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8.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3.xml" ContentType="application/vnd.openxmlformats-officedocument.wordprocessingml.header+xml"/>
  <Override PartName="/word/footer3.xml" ContentType="application/vnd.openxmlformats-officedocument.wordprocessingml.footer+xml"/>
  <Override PartName="/word/footer6.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customXml/itemProps1.xml" ContentType="application/vnd.openxmlformats-officedocument.customXmlProperties+xml"/>
  <Override PartName="/word/styles.xml" ContentType="application/vnd.openxmlformats-officedocument.wordprocessingml.styl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Look w:val="04A0" w:firstRow="1" w:lastRow="0" w:firstColumn="1" w:lastColumn="0" w:noHBand="0" w:noVBand="1"/>
      </w:tblPr>
      <w:tblGrid>
        <w:gridCol w:w="9287"/>
      </w:tblGrid>
      <w:tr w:rsidR="0054063C" w14:paraId="51AE7E3A" w14:textId="77777777" w:rsidTr="0054063C">
        <w:tc>
          <w:tcPr>
            <w:tcW w:w="9287" w:type="dxa"/>
          </w:tcPr>
          <w:p w14:paraId="68B6EA5B" w14:textId="77777777" w:rsidR="0054063C" w:rsidRPr="001C6ABB" w:rsidRDefault="0054063C" w:rsidP="0054063C">
            <w:pPr>
              <w:widowControl w:val="0"/>
              <w:tabs>
                <w:tab w:val="left" w:pos="708"/>
              </w:tabs>
              <w:spacing w:line="240" w:lineRule="auto"/>
              <w:rPr>
                <w:szCs w:val="22"/>
              </w:rPr>
            </w:pPr>
            <w:r w:rsidRPr="001C6ABB">
              <w:rPr>
                <w:szCs w:val="22"/>
              </w:rPr>
              <w:t>This document is the approved product information for</w:t>
            </w:r>
            <w:r>
              <w:rPr>
                <w:szCs w:val="22"/>
              </w:rPr>
              <w:t xml:space="preserve"> Amgevita</w:t>
            </w:r>
            <w:r w:rsidRPr="001C6ABB">
              <w:rPr>
                <w:szCs w:val="22"/>
              </w:rPr>
              <w:t xml:space="preserve">, with the changes since the previous procedure affecting the product information </w:t>
            </w:r>
            <w:r>
              <w:rPr>
                <w:szCs w:val="22"/>
              </w:rPr>
              <w:t>(</w:t>
            </w:r>
            <w:r w:rsidRPr="00860706">
              <w:rPr>
                <w:szCs w:val="22"/>
                <w:lang w:val="en-US"/>
              </w:rPr>
              <w:t>EMA/N/0000248712</w:t>
            </w:r>
            <w:r>
              <w:rPr>
                <w:szCs w:val="22"/>
              </w:rPr>
              <w:t>)</w:t>
            </w:r>
            <w:r w:rsidRPr="001C6ABB">
              <w:rPr>
                <w:szCs w:val="22"/>
              </w:rPr>
              <w:t xml:space="preserve"> tracked.</w:t>
            </w:r>
          </w:p>
          <w:p w14:paraId="4C499A9F" w14:textId="77777777" w:rsidR="0054063C" w:rsidRPr="001C6ABB" w:rsidRDefault="0054063C" w:rsidP="0054063C">
            <w:pPr>
              <w:widowControl w:val="0"/>
              <w:tabs>
                <w:tab w:val="left" w:pos="708"/>
              </w:tabs>
              <w:spacing w:line="240" w:lineRule="auto"/>
              <w:rPr>
                <w:szCs w:val="22"/>
              </w:rPr>
            </w:pPr>
          </w:p>
          <w:p w14:paraId="3EBD9F60" w14:textId="77777777" w:rsidR="0054063C" w:rsidRPr="0054063C" w:rsidRDefault="0054063C" w:rsidP="0054063C">
            <w:pPr>
              <w:pStyle w:val="Dnex1"/>
              <w:pBdr>
                <w:top w:val="none" w:sz="0" w:space="0" w:color="auto"/>
                <w:left w:val="none" w:sz="0" w:space="0" w:color="auto"/>
                <w:bottom w:val="none" w:sz="0" w:space="0" w:color="auto"/>
                <w:right w:val="none" w:sz="0" w:space="0" w:color="auto"/>
              </w:pBdr>
              <w:rPr>
                <w:rFonts w:eastAsia="Malgun Gothic"/>
                <w:vanish w:val="0"/>
                <w:szCs w:val="22"/>
                <w:lang w:val="en-US"/>
              </w:rPr>
            </w:pPr>
            <w:r w:rsidRPr="001C6ABB">
              <w:rPr>
                <w:vanish w:val="0"/>
                <w:szCs w:val="22"/>
              </w:rPr>
              <w:t>For more information, see the European Medicines Agency’s website:</w:t>
            </w:r>
            <w:r w:rsidRPr="001C6ABB">
              <w:rPr>
                <w:vanish w:val="0"/>
                <w:szCs w:val="22"/>
                <w:lang w:val="en-GB"/>
              </w:rPr>
              <w:t xml:space="preserve"> </w:t>
            </w:r>
          </w:p>
          <w:p w14:paraId="14746E0C" w14:textId="7222F232" w:rsidR="0054063C" w:rsidRDefault="0054063C" w:rsidP="0054063C">
            <w:pPr>
              <w:spacing w:line="240" w:lineRule="auto"/>
              <w:rPr>
                <w:szCs w:val="22"/>
              </w:rPr>
            </w:pPr>
            <w:hyperlink r:id="rId9" w:history="1">
              <w:r w:rsidRPr="00D75370">
                <w:rPr>
                  <w:rStyle w:val="Hyperlink"/>
                  <w:szCs w:val="22"/>
                  <w:lang w:val="en-US"/>
                </w:rPr>
                <w:t>https://www.ema.europa.eu/en/medicines/human/EPAR/amgevita</w:t>
              </w:r>
            </w:hyperlink>
          </w:p>
        </w:tc>
      </w:tr>
    </w:tbl>
    <w:p w14:paraId="2C5B8E49" w14:textId="20AAF624" w:rsidR="008011D6" w:rsidRPr="001775D9" w:rsidRDefault="008011D6" w:rsidP="00FB5458">
      <w:pPr>
        <w:spacing w:line="240" w:lineRule="auto"/>
        <w:jc w:val="center"/>
        <w:rPr>
          <w:szCs w:val="22"/>
        </w:rPr>
      </w:pPr>
    </w:p>
    <w:p w14:paraId="4F6E49BB" w14:textId="77777777" w:rsidR="008011D6" w:rsidRPr="001775D9" w:rsidRDefault="008011D6" w:rsidP="00FB5458">
      <w:pPr>
        <w:spacing w:line="240" w:lineRule="auto"/>
        <w:jc w:val="center"/>
        <w:rPr>
          <w:szCs w:val="22"/>
        </w:rPr>
      </w:pPr>
    </w:p>
    <w:p w14:paraId="550F6226" w14:textId="77777777" w:rsidR="008011D6" w:rsidRPr="001775D9" w:rsidRDefault="008011D6" w:rsidP="00FB5458">
      <w:pPr>
        <w:spacing w:line="240" w:lineRule="auto"/>
        <w:jc w:val="center"/>
        <w:rPr>
          <w:szCs w:val="22"/>
        </w:rPr>
      </w:pPr>
    </w:p>
    <w:p w14:paraId="4A353621" w14:textId="77777777" w:rsidR="008011D6" w:rsidRPr="001775D9" w:rsidRDefault="008011D6" w:rsidP="00FB5458">
      <w:pPr>
        <w:spacing w:line="240" w:lineRule="auto"/>
        <w:jc w:val="center"/>
        <w:rPr>
          <w:szCs w:val="22"/>
        </w:rPr>
      </w:pPr>
    </w:p>
    <w:p w14:paraId="766A6029" w14:textId="77777777" w:rsidR="008011D6" w:rsidRPr="001775D9" w:rsidRDefault="008011D6" w:rsidP="00FB5458">
      <w:pPr>
        <w:spacing w:line="240" w:lineRule="auto"/>
        <w:jc w:val="center"/>
        <w:rPr>
          <w:szCs w:val="22"/>
        </w:rPr>
      </w:pPr>
    </w:p>
    <w:p w14:paraId="69F7EC5E" w14:textId="77777777" w:rsidR="008011D6" w:rsidRPr="001775D9" w:rsidRDefault="008011D6" w:rsidP="00FB5458">
      <w:pPr>
        <w:spacing w:line="240" w:lineRule="auto"/>
        <w:jc w:val="center"/>
        <w:rPr>
          <w:szCs w:val="22"/>
        </w:rPr>
      </w:pPr>
    </w:p>
    <w:p w14:paraId="6733CC81" w14:textId="77777777" w:rsidR="008011D6" w:rsidRPr="001775D9" w:rsidRDefault="008011D6" w:rsidP="00FB5458">
      <w:pPr>
        <w:spacing w:line="240" w:lineRule="auto"/>
        <w:jc w:val="center"/>
        <w:rPr>
          <w:szCs w:val="22"/>
        </w:rPr>
      </w:pPr>
    </w:p>
    <w:p w14:paraId="5B3E06DB" w14:textId="77777777" w:rsidR="008011D6" w:rsidRPr="001775D9" w:rsidRDefault="008011D6" w:rsidP="00FB5458">
      <w:pPr>
        <w:spacing w:line="240" w:lineRule="auto"/>
        <w:jc w:val="center"/>
        <w:rPr>
          <w:b/>
          <w:szCs w:val="22"/>
        </w:rPr>
      </w:pPr>
    </w:p>
    <w:p w14:paraId="7599EEAD" w14:textId="77777777" w:rsidR="008011D6" w:rsidRPr="001775D9" w:rsidRDefault="008011D6" w:rsidP="00FB5458">
      <w:pPr>
        <w:spacing w:line="240" w:lineRule="auto"/>
        <w:jc w:val="center"/>
        <w:rPr>
          <w:b/>
          <w:szCs w:val="22"/>
        </w:rPr>
      </w:pPr>
    </w:p>
    <w:p w14:paraId="2D664B00" w14:textId="77777777" w:rsidR="008011D6" w:rsidRPr="001775D9" w:rsidRDefault="008011D6" w:rsidP="00FB5458">
      <w:pPr>
        <w:spacing w:line="240" w:lineRule="auto"/>
        <w:jc w:val="center"/>
        <w:rPr>
          <w:b/>
          <w:szCs w:val="22"/>
        </w:rPr>
      </w:pPr>
    </w:p>
    <w:p w14:paraId="4858050F" w14:textId="77777777" w:rsidR="008011D6" w:rsidRPr="001775D9" w:rsidRDefault="008011D6" w:rsidP="00FB5458">
      <w:pPr>
        <w:spacing w:line="240" w:lineRule="auto"/>
        <w:jc w:val="center"/>
        <w:rPr>
          <w:b/>
          <w:szCs w:val="22"/>
        </w:rPr>
      </w:pPr>
    </w:p>
    <w:p w14:paraId="73C6E3EB" w14:textId="77777777" w:rsidR="008011D6" w:rsidRPr="001775D9" w:rsidRDefault="008011D6" w:rsidP="00FB5458">
      <w:pPr>
        <w:spacing w:line="240" w:lineRule="auto"/>
        <w:jc w:val="center"/>
        <w:rPr>
          <w:b/>
          <w:szCs w:val="22"/>
        </w:rPr>
      </w:pPr>
    </w:p>
    <w:p w14:paraId="3022958C" w14:textId="77777777" w:rsidR="008011D6" w:rsidRPr="001775D9" w:rsidRDefault="008011D6" w:rsidP="00FB5458">
      <w:pPr>
        <w:spacing w:line="240" w:lineRule="auto"/>
        <w:jc w:val="center"/>
        <w:rPr>
          <w:b/>
          <w:szCs w:val="22"/>
        </w:rPr>
      </w:pPr>
    </w:p>
    <w:p w14:paraId="39CFFA58" w14:textId="77777777" w:rsidR="008011D6" w:rsidRPr="001775D9" w:rsidRDefault="008011D6" w:rsidP="00FB5458">
      <w:pPr>
        <w:spacing w:line="240" w:lineRule="auto"/>
        <w:jc w:val="center"/>
        <w:rPr>
          <w:b/>
          <w:szCs w:val="22"/>
        </w:rPr>
      </w:pPr>
    </w:p>
    <w:p w14:paraId="7AC3DDAD" w14:textId="77777777" w:rsidR="008011D6" w:rsidRPr="001775D9" w:rsidRDefault="008011D6" w:rsidP="00FB5458">
      <w:pPr>
        <w:spacing w:line="240" w:lineRule="auto"/>
        <w:jc w:val="center"/>
        <w:rPr>
          <w:b/>
          <w:szCs w:val="22"/>
        </w:rPr>
      </w:pPr>
    </w:p>
    <w:p w14:paraId="471C42A3" w14:textId="77777777" w:rsidR="008011D6" w:rsidRPr="001775D9" w:rsidRDefault="008011D6" w:rsidP="00FB5458">
      <w:pPr>
        <w:spacing w:line="240" w:lineRule="auto"/>
        <w:jc w:val="center"/>
        <w:rPr>
          <w:b/>
          <w:szCs w:val="22"/>
        </w:rPr>
      </w:pPr>
    </w:p>
    <w:p w14:paraId="22354CBF" w14:textId="77777777" w:rsidR="008011D6" w:rsidRPr="001775D9" w:rsidRDefault="008011D6" w:rsidP="00FB5458">
      <w:pPr>
        <w:tabs>
          <w:tab w:val="left" w:pos="7250"/>
        </w:tabs>
        <w:spacing w:line="240" w:lineRule="auto"/>
        <w:jc w:val="center"/>
        <w:rPr>
          <w:b/>
          <w:szCs w:val="22"/>
        </w:rPr>
      </w:pPr>
    </w:p>
    <w:p w14:paraId="71CDF395" w14:textId="77777777" w:rsidR="008011D6" w:rsidRPr="001775D9" w:rsidRDefault="008011D6" w:rsidP="00FB5458">
      <w:pPr>
        <w:spacing w:line="240" w:lineRule="auto"/>
        <w:jc w:val="center"/>
        <w:rPr>
          <w:b/>
          <w:szCs w:val="22"/>
        </w:rPr>
      </w:pPr>
    </w:p>
    <w:p w14:paraId="05067DD0" w14:textId="77777777" w:rsidR="008011D6" w:rsidRPr="001775D9" w:rsidRDefault="008011D6" w:rsidP="00FB5458">
      <w:pPr>
        <w:spacing w:line="240" w:lineRule="auto"/>
        <w:jc w:val="center"/>
        <w:rPr>
          <w:szCs w:val="22"/>
        </w:rPr>
      </w:pPr>
      <w:r w:rsidRPr="001775D9">
        <w:rPr>
          <w:b/>
          <w:szCs w:val="22"/>
        </w:rPr>
        <w:t xml:space="preserve">ANNEX </w:t>
      </w:r>
      <w:r w:rsidR="000575EC" w:rsidRPr="001775D9">
        <w:rPr>
          <w:b/>
          <w:szCs w:val="22"/>
        </w:rPr>
        <w:t>I</w:t>
      </w:r>
    </w:p>
    <w:p w14:paraId="65155094" w14:textId="77777777" w:rsidR="008011D6" w:rsidRPr="001775D9" w:rsidRDefault="008011D6" w:rsidP="00FB5458">
      <w:pPr>
        <w:spacing w:line="240" w:lineRule="auto"/>
        <w:jc w:val="center"/>
        <w:rPr>
          <w:szCs w:val="22"/>
        </w:rPr>
      </w:pPr>
    </w:p>
    <w:p w14:paraId="7DC12A8F" w14:textId="77777777" w:rsidR="008011D6" w:rsidRPr="001775D9" w:rsidRDefault="008011D6" w:rsidP="00FB5458">
      <w:pPr>
        <w:pStyle w:val="TitleA"/>
        <w:rPr>
          <w:noProof w:val="0"/>
          <w:szCs w:val="22"/>
        </w:rPr>
      </w:pPr>
      <w:r w:rsidRPr="001775D9">
        <w:rPr>
          <w:noProof w:val="0"/>
          <w:szCs w:val="22"/>
        </w:rPr>
        <w:t>SUMMARY OF PRODUCT CHARACTERISTICS</w:t>
      </w:r>
    </w:p>
    <w:p w14:paraId="768AA642" w14:textId="77777777" w:rsidR="008011D6" w:rsidRPr="001775D9" w:rsidRDefault="008011D6" w:rsidP="00FB5458">
      <w:pPr>
        <w:spacing w:line="240" w:lineRule="auto"/>
        <w:jc w:val="center"/>
        <w:rPr>
          <w:b/>
          <w:szCs w:val="22"/>
        </w:rPr>
      </w:pPr>
    </w:p>
    <w:p w14:paraId="3F96135C" w14:textId="68F4FE1C" w:rsidR="00C42229" w:rsidRPr="001775D9" w:rsidRDefault="007F1037" w:rsidP="00FB5458">
      <w:pPr>
        <w:tabs>
          <w:tab w:val="clear" w:pos="567"/>
          <w:tab w:val="left" w:pos="0"/>
        </w:tabs>
        <w:spacing w:line="240" w:lineRule="auto"/>
        <w:rPr>
          <w:color w:val="000000"/>
          <w:szCs w:val="22"/>
          <w:lang w:eastAsia="en-GB"/>
        </w:rPr>
      </w:pPr>
      <w:r w:rsidRPr="001775D9">
        <w:rPr>
          <w:szCs w:val="22"/>
        </w:rPr>
        <w:br w:type="page"/>
      </w:r>
    </w:p>
    <w:p w14:paraId="7B717CEC" w14:textId="77777777" w:rsidR="00C42229" w:rsidRPr="001775D9" w:rsidRDefault="006D2088" w:rsidP="00B61D9D">
      <w:pPr>
        <w:autoSpaceDE w:val="0"/>
        <w:autoSpaceDN w:val="0"/>
        <w:adjustRightInd w:val="0"/>
        <w:spacing w:line="240" w:lineRule="auto"/>
        <w:ind w:left="567" w:hanging="567"/>
        <w:rPr>
          <w:b/>
          <w:bCs/>
          <w:color w:val="000000"/>
          <w:szCs w:val="22"/>
          <w:lang w:eastAsia="en-GB"/>
        </w:rPr>
      </w:pPr>
      <w:r w:rsidRPr="001775D9">
        <w:rPr>
          <w:b/>
          <w:bCs/>
          <w:color w:val="000000"/>
          <w:szCs w:val="22"/>
          <w:lang w:eastAsia="en-GB"/>
        </w:rPr>
        <w:t>1.</w:t>
      </w:r>
      <w:r w:rsidR="00C42229" w:rsidRPr="001775D9">
        <w:rPr>
          <w:b/>
          <w:bCs/>
          <w:color w:val="000000"/>
          <w:szCs w:val="22"/>
          <w:lang w:eastAsia="en-GB"/>
        </w:rPr>
        <w:tab/>
        <w:t xml:space="preserve">NAME OF THE MEDICINAL PRODUCT </w:t>
      </w:r>
    </w:p>
    <w:p w14:paraId="4BD25508" w14:textId="77777777" w:rsidR="00C42229" w:rsidRPr="00D55B59" w:rsidRDefault="00C42229" w:rsidP="00FB5458">
      <w:pPr>
        <w:pStyle w:val="Default"/>
        <w:rPr>
          <w:b/>
          <w:bCs/>
          <w:sz w:val="22"/>
          <w:szCs w:val="22"/>
          <w:lang w:val="en-GB" w:eastAsia="en-GB"/>
          <w:rPrChange w:id="0" w:author="Author">
            <w:rPr>
              <w:b/>
              <w:bCs/>
              <w:sz w:val="22"/>
              <w:szCs w:val="22"/>
              <w:lang w:eastAsia="en-GB"/>
            </w:rPr>
          </w:rPrChange>
        </w:rPr>
      </w:pPr>
    </w:p>
    <w:p w14:paraId="5F14F1F1" w14:textId="048F3784" w:rsidR="00FC025A" w:rsidRPr="00D55B59" w:rsidRDefault="00C04B22" w:rsidP="00FB5458">
      <w:pPr>
        <w:pStyle w:val="Default"/>
        <w:rPr>
          <w:sz w:val="22"/>
          <w:szCs w:val="22"/>
          <w:lang w:val="en-GB" w:eastAsia="en-GB"/>
          <w:rPrChange w:id="1" w:author="Author">
            <w:rPr>
              <w:sz w:val="22"/>
              <w:szCs w:val="22"/>
              <w:lang w:eastAsia="en-GB"/>
            </w:rPr>
          </w:rPrChange>
        </w:rPr>
      </w:pPr>
      <w:r w:rsidRPr="00D55B59">
        <w:rPr>
          <w:sz w:val="22"/>
          <w:szCs w:val="22"/>
          <w:lang w:val="en-GB" w:eastAsia="en-GB"/>
          <w:rPrChange w:id="2" w:author="Author">
            <w:rPr>
              <w:sz w:val="22"/>
              <w:szCs w:val="22"/>
              <w:lang w:eastAsia="en-GB"/>
            </w:rPr>
          </w:rPrChange>
        </w:rPr>
        <w:t xml:space="preserve">AMGEVITA </w:t>
      </w:r>
      <w:r w:rsidR="005A0088" w:rsidRPr="00D55B59">
        <w:rPr>
          <w:sz w:val="22"/>
          <w:szCs w:val="22"/>
          <w:lang w:val="en-GB" w:eastAsia="en-GB"/>
          <w:rPrChange w:id="3" w:author="Author">
            <w:rPr>
              <w:sz w:val="22"/>
              <w:szCs w:val="22"/>
              <w:lang w:eastAsia="en-GB"/>
            </w:rPr>
          </w:rPrChange>
        </w:rPr>
        <w:t>20 </w:t>
      </w:r>
      <w:r w:rsidR="00FC025A" w:rsidRPr="00D55B59">
        <w:rPr>
          <w:sz w:val="22"/>
          <w:szCs w:val="22"/>
          <w:lang w:val="en-GB" w:eastAsia="en-GB"/>
          <w:rPrChange w:id="4" w:author="Author">
            <w:rPr>
              <w:sz w:val="22"/>
              <w:szCs w:val="22"/>
              <w:lang w:eastAsia="en-GB"/>
            </w:rPr>
          </w:rPrChange>
        </w:rPr>
        <w:t>mg solution for injection in pre-filled syringe</w:t>
      </w:r>
    </w:p>
    <w:p w14:paraId="419282D1" w14:textId="0551656D" w:rsidR="00C42229" w:rsidRPr="00D55B59" w:rsidRDefault="00C04B22" w:rsidP="00FB5458">
      <w:pPr>
        <w:pStyle w:val="Default"/>
        <w:rPr>
          <w:color w:val="auto"/>
          <w:sz w:val="22"/>
          <w:szCs w:val="22"/>
          <w:lang w:val="en-GB" w:eastAsia="en-GB"/>
          <w:rPrChange w:id="5" w:author="Author">
            <w:rPr>
              <w:color w:val="auto"/>
              <w:sz w:val="22"/>
              <w:szCs w:val="22"/>
              <w:lang w:eastAsia="en-GB"/>
            </w:rPr>
          </w:rPrChange>
        </w:rPr>
      </w:pPr>
      <w:r w:rsidRPr="00D55B59">
        <w:rPr>
          <w:sz w:val="22"/>
          <w:szCs w:val="22"/>
          <w:lang w:val="en-GB" w:eastAsia="en-GB"/>
          <w:rPrChange w:id="6" w:author="Author">
            <w:rPr>
              <w:sz w:val="22"/>
              <w:szCs w:val="22"/>
              <w:lang w:eastAsia="en-GB"/>
            </w:rPr>
          </w:rPrChange>
        </w:rPr>
        <w:t>AMGEVITA</w:t>
      </w:r>
      <w:r w:rsidR="00C42229" w:rsidRPr="00D55B59">
        <w:rPr>
          <w:color w:val="auto"/>
          <w:sz w:val="22"/>
          <w:szCs w:val="22"/>
          <w:lang w:val="en-GB" w:eastAsia="en-GB"/>
          <w:rPrChange w:id="7" w:author="Author">
            <w:rPr>
              <w:color w:val="auto"/>
              <w:sz w:val="22"/>
              <w:szCs w:val="22"/>
              <w:lang w:eastAsia="en-GB"/>
            </w:rPr>
          </w:rPrChange>
        </w:rPr>
        <w:t xml:space="preserve"> 40</w:t>
      </w:r>
      <w:r w:rsidR="00C42229" w:rsidRPr="00D55B59">
        <w:rPr>
          <w:color w:val="auto"/>
          <w:sz w:val="22"/>
          <w:szCs w:val="22"/>
          <w:lang w:val="en-GB"/>
          <w:rPrChange w:id="8" w:author="Author">
            <w:rPr>
              <w:color w:val="auto"/>
              <w:sz w:val="22"/>
              <w:szCs w:val="22"/>
            </w:rPr>
          </w:rPrChange>
        </w:rPr>
        <w:t> </w:t>
      </w:r>
      <w:r w:rsidR="00C42229" w:rsidRPr="00D55B59">
        <w:rPr>
          <w:color w:val="auto"/>
          <w:sz w:val="22"/>
          <w:szCs w:val="22"/>
          <w:lang w:val="en-GB" w:eastAsia="en-GB"/>
          <w:rPrChange w:id="9" w:author="Author">
            <w:rPr>
              <w:color w:val="auto"/>
              <w:sz w:val="22"/>
              <w:szCs w:val="22"/>
              <w:lang w:eastAsia="en-GB"/>
            </w:rPr>
          </w:rPrChange>
        </w:rPr>
        <w:t>mg solution for injection in pre</w:t>
      </w:r>
      <w:r w:rsidR="009870E3" w:rsidRPr="00D55B59">
        <w:rPr>
          <w:color w:val="auto"/>
          <w:sz w:val="22"/>
          <w:szCs w:val="22"/>
          <w:lang w:val="en-GB" w:eastAsia="en-GB"/>
          <w:rPrChange w:id="10" w:author="Author">
            <w:rPr>
              <w:color w:val="auto"/>
              <w:sz w:val="22"/>
              <w:szCs w:val="22"/>
              <w:lang w:eastAsia="en-GB"/>
            </w:rPr>
          </w:rPrChange>
        </w:rPr>
        <w:t>-</w:t>
      </w:r>
      <w:r w:rsidR="00C42229" w:rsidRPr="00D55B59">
        <w:rPr>
          <w:color w:val="auto"/>
          <w:sz w:val="22"/>
          <w:szCs w:val="22"/>
          <w:lang w:val="en-GB" w:eastAsia="en-GB"/>
          <w:rPrChange w:id="11" w:author="Author">
            <w:rPr>
              <w:color w:val="auto"/>
              <w:sz w:val="22"/>
              <w:szCs w:val="22"/>
              <w:lang w:eastAsia="en-GB"/>
            </w:rPr>
          </w:rPrChange>
        </w:rPr>
        <w:t>filled syringe</w:t>
      </w:r>
    </w:p>
    <w:p w14:paraId="2CB164B8" w14:textId="1EACA8FE" w:rsidR="00C42229" w:rsidRPr="00D55B59" w:rsidRDefault="00C04B22" w:rsidP="00FB5458">
      <w:pPr>
        <w:pStyle w:val="Default"/>
        <w:rPr>
          <w:color w:val="auto"/>
          <w:sz w:val="22"/>
          <w:szCs w:val="22"/>
          <w:lang w:val="en-GB" w:eastAsia="en-GB"/>
          <w:rPrChange w:id="12" w:author="Author">
            <w:rPr>
              <w:color w:val="auto"/>
              <w:sz w:val="22"/>
              <w:szCs w:val="22"/>
              <w:lang w:eastAsia="en-GB"/>
            </w:rPr>
          </w:rPrChange>
        </w:rPr>
      </w:pPr>
      <w:r w:rsidRPr="00D55B59">
        <w:rPr>
          <w:sz w:val="22"/>
          <w:szCs w:val="22"/>
          <w:lang w:val="en-GB" w:eastAsia="en-GB"/>
          <w:rPrChange w:id="13" w:author="Author">
            <w:rPr>
              <w:sz w:val="22"/>
              <w:szCs w:val="22"/>
              <w:lang w:eastAsia="en-GB"/>
            </w:rPr>
          </w:rPrChange>
        </w:rPr>
        <w:t>AMGEVITA</w:t>
      </w:r>
      <w:r w:rsidR="00C42229" w:rsidRPr="00D55B59">
        <w:rPr>
          <w:color w:val="auto"/>
          <w:sz w:val="22"/>
          <w:szCs w:val="22"/>
          <w:lang w:val="en-GB" w:eastAsia="en-GB"/>
          <w:rPrChange w:id="14" w:author="Author">
            <w:rPr>
              <w:color w:val="auto"/>
              <w:sz w:val="22"/>
              <w:szCs w:val="22"/>
              <w:lang w:eastAsia="en-GB"/>
            </w:rPr>
          </w:rPrChange>
        </w:rPr>
        <w:t xml:space="preserve"> 40</w:t>
      </w:r>
      <w:r w:rsidR="00C42229" w:rsidRPr="00D55B59">
        <w:rPr>
          <w:color w:val="auto"/>
          <w:sz w:val="22"/>
          <w:szCs w:val="22"/>
          <w:lang w:val="en-GB"/>
          <w:rPrChange w:id="15" w:author="Author">
            <w:rPr>
              <w:color w:val="auto"/>
              <w:sz w:val="22"/>
              <w:szCs w:val="22"/>
            </w:rPr>
          </w:rPrChange>
        </w:rPr>
        <w:t> </w:t>
      </w:r>
      <w:r w:rsidR="00C42229" w:rsidRPr="00D55B59">
        <w:rPr>
          <w:color w:val="auto"/>
          <w:sz w:val="22"/>
          <w:szCs w:val="22"/>
          <w:lang w:val="en-GB" w:eastAsia="en-GB"/>
          <w:rPrChange w:id="16" w:author="Author">
            <w:rPr>
              <w:color w:val="auto"/>
              <w:sz w:val="22"/>
              <w:szCs w:val="22"/>
              <w:lang w:eastAsia="en-GB"/>
            </w:rPr>
          </w:rPrChange>
        </w:rPr>
        <w:t>mg solution for injection in pre</w:t>
      </w:r>
      <w:r w:rsidR="009870E3" w:rsidRPr="00D55B59">
        <w:rPr>
          <w:color w:val="auto"/>
          <w:sz w:val="22"/>
          <w:szCs w:val="22"/>
          <w:lang w:val="en-GB" w:eastAsia="en-GB"/>
          <w:rPrChange w:id="17" w:author="Author">
            <w:rPr>
              <w:color w:val="auto"/>
              <w:sz w:val="22"/>
              <w:szCs w:val="22"/>
              <w:lang w:eastAsia="en-GB"/>
            </w:rPr>
          </w:rPrChange>
        </w:rPr>
        <w:t>-</w:t>
      </w:r>
      <w:r w:rsidR="00C42229" w:rsidRPr="00D55B59">
        <w:rPr>
          <w:color w:val="auto"/>
          <w:sz w:val="22"/>
          <w:szCs w:val="22"/>
          <w:lang w:val="en-GB" w:eastAsia="en-GB"/>
          <w:rPrChange w:id="18" w:author="Author">
            <w:rPr>
              <w:color w:val="auto"/>
              <w:sz w:val="22"/>
              <w:szCs w:val="22"/>
              <w:lang w:eastAsia="en-GB"/>
            </w:rPr>
          </w:rPrChange>
        </w:rPr>
        <w:t xml:space="preserve">filled </w:t>
      </w:r>
      <w:r w:rsidR="009870E3" w:rsidRPr="00D55B59">
        <w:rPr>
          <w:color w:val="auto"/>
          <w:sz w:val="22"/>
          <w:szCs w:val="22"/>
          <w:lang w:val="en-GB" w:eastAsia="en-GB"/>
          <w:rPrChange w:id="19" w:author="Author">
            <w:rPr>
              <w:color w:val="auto"/>
              <w:sz w:val="22"/>
              <w:szCs w:val="22"/>
              <w:lang w:eastAsia="en-GB"/>
            </w:rPr>
          </w:rPrChange>
        </w:rPr>
        <w:t>pen</w:t>
      </w:r>
    </w:p>
    <w:p w14:paraId="2C71A3B0"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1EA15D4C"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2F84F597" w14:textId="77777777" w:rsidR="00C42229" w:rsidRPr="001775D9" w:rsidRDefault="006D2088" w:rsidP="00B61D9D">
      <w:pPr>
        <w:tabs>
          <w:tab w:val="clear" w:pos="567"/>
        </w:tabs>
        <w:autoSpaceDE w:val="0"/>
        <w:autoSpaceDN w:val="0"/>
        <w:adjustRightInd w:val="0"/>
        <w:spacing w:line="240" w:lineRule="auto"/>
        <w:ind w:left="567" w:hanging="567"/>
        <w:rPr>
          <w:szCs w:val="22"/>
          <w:lang w:eastAsia="en-GB"/>
        </w:rPr>
      </w:pPr>
      <w:r w:rsidRPr="001775D9">
        <w:rPr>
          <w:b/>
          <w:bCs/>
          <w:szCs w:val="22"/>
          <w:lang w:eastAsia="en-GB"/>
        </w:rPr>
        <w:t>2.</w:t>
      </w:r>
      <w:r w:rsidR="00C42229" w:rsidRPr="001775D9">
        <w:rPr>
          <w:b/>
          <w:bCs/>
          <w:szCs w:val="22"/>
          <w:lang w:eastAsia="en-GB"/>
        </w:rPr>
        <w:tab/>
        <w:t xml:space="preserve">QUALITATIVE AND QUANTITATIVE COMPOSITION </w:t>
      </w:r>
    </w:p>
    <w:p w14:paraId="1ACE788D"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10F2C35" w14:textId="60DBDA0F" w:rsidR="00652C42" w:rsidRPr="00D55B59" w:rsidRDefault="00BE390E" w:rsidP="00FB5458">
      <w:pPr>
        <w:pStyle w:val="Default"/>
        <w:rPr>
          <w:sz w:val="22"/>
          <w:szCs w:val="22"/>
          <w:u w:val="single"/>
          <w:lang w:val="en-GB" w:eastAsia="en-GB"/>
          <w:rPrChange w:id="20" w:author="Author">
            <w:rPr>
              <w:sz w:val="22"/>
              <w:szCs w:val="22"/>
              <w:u w:val="single"/>
              <w:lang w:eastAsia="en-GB"/>
            </w:rPr>
          </w:rPrChange>
        </w:rPr>
      </w:pPr>
      <w:r w:rsidRPr="00D55B59">
        <w:rPr>
          <w:sz w:val="22"/>
          <w:szCs w:val="22"/>
          <w:u w:val="single"/>
          <w:lang w:val="en-GB" w:eastAsia="en-GB"/>
          <w:rPrChange w:id="21" w:author="Author">
            <w:rPr>
              <w:sz w:val="22"/>
              <w:szCs w:val="22"/>
              <w:u w:val="single"/>
              <w:lang w:eastAsia="en-GB"/>
            </w:rPr>
          </w:rPrChange>
        </w:rPr>
        <w:t>AMGEVITA 20 mg solution for injection in pre-filled syringe</w:t>
      </w:r>
      <w:r w:rsidR="00652C42" w:rsidRPr="00D55B59">
        <w:rPr>
          <w:sz w:val="22"/>
          <w:szCs w:val="22"/>
          <w:u w:val="single"/>
          <w:lang w:val="en-GB" w:eastAsia="en-GB"/>
          <w:rPrChange w:id="22" w:author="Author">
            <w:rPr>
              <w:sz w:val="22"/>
              <w:szCs w:val="22"/>
              <w:u w:val="single"/>
              <w:lang w:eastAsia="en-GB"/>
            </w:rPr>
          </w:rPrChange>
        </w:rPr>
        <w:t xml:space="preserve"> </w:t>
      </w:r>
    </w:p>
    <w:p w14:paraId="67879D24" w14:textId="77777777" w:rsidR="006C4C34" w:rsidRPr="00D55B59" w:rsidRDefault="006C4C34">
      <w:pPr>
        <w:pStyle w:val="Default"/>
        <w:rPr>
          <w:sz w:val="22"/>
          <w:szCs w:val="22"/>
          <w:lang w:val="en-GB"/>
          <w:rPrChange w:id="23" w:author="Author">
            <w:rPr>
              <w:sz w:val="22"/>
              <w:szCs w:val="22"/>
            </w:rPr>
          </w:rPrChange>
        </w:rPr>
      </w:pPr>
    </w:p>
    <w:p w14:paraId="7F86B638" w14:textId="329D47BE" w:rsidR="00CC0358" w:rsidRPr="00D55B59" w:rsidRDefault="00CC0358" w:rsidP="006C4C34">
      <w:pPr>
        <w:pStyle w:val="Default"/>
        <w:rPr>
          <w:szCs w:val="22"/>
          <w:lang w:val="en-GB"/>
          <w:rPrChange w:id="24" w:author="Author">
            <w:rPr>
              <w:szCs w:val="22"/>
            </w:rPr>
          </w:rPrChange>
        </w:rPr>
      </w:pPr>
      <w:r w:rsidRPr="00D55B59">
        <w:rPr>
          <w:sz w:val="22"/>
          <w:szCs w:val="22"/>
          <w:lang w:val="en-GB"/>
          <w:rPrChange w:id="25" w:author="Author">
            <w:rPr>
              <w:sz w:val="22"/>
              <w:szCs w:val="22"/>
            </w:rPr>
          </w:rPrChange>
        </w:rPr>
        <w:t xml:space="preserve">Each </w:t>
      </w:r>
      <w:r w:rsidR="00350868" w:rsidRPr="00D55B59">
        <w:rPr>
          <w:sz w:val="22"/>
          <w:szCs w:val="22"/>
          <w:lang w:val="en-GB"/>
          <w:rPrChange w:id="26" w:author="Author">
            <w:rPr>
              <w:sz w:val="22"/>
              <w:szCs w:val="22"/>
            </w:rPr>
          </w:rPrChange>
        </w:rPr>
        <w:t xml:space="preserve">single dose </w:t>
      </w:r>
      <w:r w:rsidRPr="00D55B59">
        <w:rPr>
          <w:sz w:val="22"/>
          <w:szCs w:val="22"/>
          <w:lang w:val="en-GB"/>
          <w:rPrChange w:id="27" w:author="Author">
            <w:rPr>
              <w:sz w:val="22"/>
              <w:szCs w:val="22"/>
            </w:rPr>
          </w:rPrChange>
        </w:rPr>
        <w:t xml:space="preserve">pre-filled syringe contains </w:t>
      </w:r>
      <w:r w:rsidR="005420A9" w:rsidRPr="00D55B59">
        <w:rPr>
          <w:sz w:val="22"/>
          <w:szCs w:val="22"/>
          <w:lang w:val="en-GB"/>
          <w:rPrChange w:id="28" w:author="Author">
            <w:rPr>
              <w:sz w:val="22"/>
              <w:szCs w:val="22"/>
            </w:rPr>
          </w:rPrChange>
        </w:rPr>
        <w:t>20 </w:t>
      </w:r>
      <w:r w:rsidRPr="00D55B59">
        <w:rPr>
          <w:sz w:val="22"/>
          <w:szCs w:val="22"/>
          <w:lang w:val="en-GB"/>
          <w:rPrChange w:id="29" w:author="Author">
            <w:rPr>
              <w:sz w:val="22"/>
              <w:szCs w:val="22"/>
            </w:rPr>
          </w:rPrChange>
        </w:rPr>
        <w:t>mg of adalimumab in 0.4</w:t>
      </w:r>
      <w:r w:rsidR="002B615C" w:rsidRPr="00D55B59">
        <w:rPr>
          <w:sz w:val="22"/>
          <w:szCs w:val="22"/>
          <w:lang w:val="en-GB"/>
          <w:rPrChange w:id="30" w:author="Author">
            <w:rPr>
              <w:sz w:val="22"/>
              <w:szCs w:val="22"/>
            </w:rPr>
          </w:rPrChange>
        </w:rPr>
        <w:t> </w:t>
      </w:r>
      <w:r w:rsidRPr="00D55B59">
        <w:rPr>
          <w:sz w:val="22"/>
          <w:szCs w:val="22"/>
          <w:lang w:val="en-GB"/>
          <w:rPrChange w:id="31" w:author="Author">
            <w:rPr>
              <w:sz w:val="22"/>
              <w:szCs w:val="22"/>
            </w:rPr>
          </w:rPrChange>
        </w:rPr>
        <w:t>mL</w:t>
      </w:r>
      <w:r w:rsidR="00273202" w:rsidRPr="00D55B59">
        <w:rPr>
          <w:sz w:val="22"/>
          <w:szCs w:val="22"/>
          <w:lang w:val="en-GB"/>
          <w:rPrChange w:id="32" w:author="Author">
            <w:rPr>
              <w:sz w:val="22"/>
              <w:szCs w:val="22"/>
            </w:rPr>
          </w:rPrChange>
        </w:rPr>
        <w:t xml:space="preserve"> </w:t>
      </w:r>
      <w:r w:rsidRPr="00D55B59">
        <w:rPr>
          <w:sz w:val="22"/>
          <w:szCs w:val="22"/>
          <w:lang w:val="en-GB"/>
          <w:rPrChange w:id="33" w:author="Author">
            <w:rPr>
              <w:sz w:val="22"/>
              <w:szCs w:val="22"/>
            </w:rPr>
          </w:rPrChange>
        </w:rPr>
        <w:t>solution</w:t>
      </w:r>
      <w:r w:rsidR="00411A4F" w:rsidRPr="00D55B59">
        <w:rPr>
          <w:sz w:val="22"/>
          <w:szCs w:val="22"/>
          <w:lang w:val="en-GB"/>
          <w:rPrChange w:id="34" w:author="Author">
            <w:rPr>
              <w:sz w:val="22"/>
              <w:szCs w:val="22"/>
            </w:rPr>
          </w:rPrChange>
        </w:rPr>
        <w:t xml:space="preserve"> (50 mg/mL)</w:t>
      </w:r>
      <w:r w:rsidRPr="00D55B59">
        <w:rPr>
          <w:sz w:val="22"/>
          <w:szCs w:val="22"/>
          <w:lang w:val="en-GB"/>
          <w:rPrChange w:id="35" w:author="Author">
            <w:rPr>
              <w:sz w:val="22"/>
              <w:szCs w:val="22"/>
            </w:rPr>
          </w:rPrChange>
        </w:rPr>
        <w:t xml:space="preserve">. </w:t>
      </w:r>
    </w:p>
    <w:p w14:paraId="6E098DA2" w14:textId="77777777" w:rsidR="00BE390E" w:rsidRPr="00D55B59" w:rsidRDefault="00BE390E" w:rsidP="00FB5458">
      <w:pPr>
        <w:pStyle w:val="Default"/>
        <w:rPr>
          <w:color w:val="auto"/>
          <w:sz w:val="22"/>
          <w:szCs w:val="22"/>
          <w:u w:val="single"/>
          <w:lang w:val="en-GB" w:eastAsia="en-GB"/>
          <w:rPrChange w:id="36" w:author="Author">
            <w:rPr>
              <w:color w:val="auto"/>
              <w:sz w:val="22"/>
              <w:szCs w:val="22"/>
              <w:u w:val="single"/>
              <w:lang w:eastAsia="en-GB"/>
            </w:rPr>
          </w:rPrChange>
        </w:rPr>
      </w:pPr>
    </w:p>
    <w:p w14:paraId="5FEA0625" w14:textId="33843BBB" w:rsidR="00652C42" w:rsidRPr="00D55B59" w:rsidRDefault="00BE390E" w:rsidP="00FB5458">
      <w:pPr>
        <w:pStyle w:val="Default"/>
        <w:rPr>
          <w:color w:val="auto"/>
          <w:sz w:val="22"/>
          <w:szCs w:val="22"/>
          <w:u w:val="single"/>
          <w:lang w:val="en-GB" w:eastAsia="en-GB"/>
          <w:rPrChange w:id="37" w:author="Author">
            <w:rPr>
              <w:color w:val="auto"/>
              <w:sz w:val="22"/>
              <w:szCs w:val="22"/>
              <w:u w:val="single"/>
              <w:lang w:eastAsia="en-GB"/>
            </w:rPr>
          </w:rPrChange>
        </w:rPr>
      </w:pPr>
      <w:r w:rsidRPr="00D55B59">
        <w:rPr>
          <w:sz w:val="22"/>
          <w:szCs w:val="22"/>
          <w:u w:val="single"/>
          <w:lang w:val="en-GB" w:eastAsia="en-GB"/>
          <w:rPrChange w:id="38" w:author="Author">
            <w:rPr>
              <w:sz w:val="22"/>
              <w:szCs w:val="22"/>
              <w:u w:val="single"/>
              <w:lang w:eastAsia="en-GB"/>
            </w:rPr>
          </w:rPrChange>
        </w:rPr>
        <w:t>AMGEVITA</w:t>
      </w:r>
      <w:r w:rsidRPr="00D55B59">
        <w:rPr>
          <w:color w:val="auto"/>
          <w:sz w:val="22"/>
          <w:szCs w:val="22"/>
          <w:u w:val="single"/>
          <w:lang w:val="en-GB" w:eastAsia="en-GB"/>
          <w:rPrChange w:id="39" w:author="Author">
            <w:rPr>
              <w:color w:val="auto"/>
              <w:sz w:val="22"/>
              <w:szCs w:val="22"/>
              <w:u w:val="single"/>
              <w:lang w:eastAsia="en-GB"/>
            </w:rPr>
          </w:rPrChange>
        </w:rPr>
        <w:t xml:space="preserve"> 40</w:t>
      </w:r>
      <w:r w:rsidRPr="00D55B59">
        <w:rPr>
          <w:color w:val="auto"/>
          <w:sz w:val="22"/>
          <w:szCs w:val="22"/>
          <w:u w:val="single"/>
          <w:lang w:val="en-GB"/>
          <w:rPrChange w:id="40" w:author="Author">
            <w:rPr>
              <w:color w:val="auto"/>
              <w:sz w:val="22"/>
              <w:szCs w:val="22"/>
              <w:u w:val="single"/>
            </w:rPr>
          </w:rPrChange>
        </w:rPr>
        <w:t> </w:t>
      </w:r>
      <w:r w:rsidRPr="00D55B59">
        <w:rPr>
          <w:color w:val="auto"/>
          <w:sz w:val="22"/>
          <w:szCs w:val="22"/>
          <w:u w:val="single"/>
          <w:lang w:val="en-GB" w:eastAsia="en-GB"/>
          <w:rPrChange w:id="41" w:author="Author">
            <w:rPr>
              <w:color w:val="auto"/>
              <w:sz w:val="22"/>
              <w:szCs w:val="22"/>
              <w:u w:val="single"/>
              <w:lang w:eastAsia="en-GB"/>
            </w:rPr>
          </w:rPrChange>
        </w:rPr>
        <w:t>mg solution for injection in pre-filled syringe</w:t>
      </w:r>
    </w:p>
    <w:p w14:paraId="3F748ED7" w14:textId="77777777" w:rsidR="00652C42" w:rsidRPr="00D55B59" w:rsidRDefault="00652C42" w:rsidP="00FB5458">
      <w:pPr>
        <w:pStyle w:val="Default"/>
        <w:rPr>
          <w:color w:val="auto"/>
          <w:sz w:val="22"/>
          <w:szCs w:val="22"/>
          <w:u w:val="single"/>
          <w:lang w:val="en-GB" w:eastAsia="en-GB"/>
          <w:rPrChange w:id="42" w:author="Author">
            <w:rPr>
              <w:color w:val="auto"/>
              <w:sz w:val="22"/>
              <w:szCs w:val="22"/>
              <w:u w:val="single"/>
              <w:lang w:eastAsia="en-GB"/>
            </w:rPr>
          </w:rPrChange>
        </w:rPr>
      </w:pPr>
    </w:p>
    <w:p w14:paraId="23D98090" w14:textId="6CC095EC" w:rsidR="00BE390E" w:rsidRPr="00D55B59" w:rsidRDefault="005A0088" w:rsidP="006C4C34">
      <w:pPr>
        <w:pStyle w:val="Default"/>
        <w:rPr>
          <w:szCs w:val="22"/>
          <w:lang w:val="en-GB"/>
          <w:rPrChange w:id="43" w:author="Author">
            <w:rPr>
              <w:szCs w:val="22"/>
            </w:rPr>
          </w:rPrChange>
        </w:rPr>
      </w:pPr>
      <w:r w:rsidRPr="00D55B59">
        <w:rPr>
          <w:sz w:val="22"/>
          <w:szCs w:val="22"/>
          <w:lang w:val="en-GB"/>
          <w:rPrChange w:id="44" w:author="Author">
            <w:rPr>
              <w:sz w:val="22"/>
              <w:szCs w:val="22"/>
            </w:rPr>
          </w:rPrChange>
        </w:rPr>
        <w:t xml:space="preserve">Each </w:t>
      </w:r>
      <w:r w:rsidR="00350868" w:rsidRPr="00D55B59">
        <w:rPr>
          <w:sz w:val="22"/>
          <w:szCs w:val="22"/>
          <w:lang w:val="en-GB"/>
          <w:rPrChange w:id="45" w:author="Author">
            <w:rPr>
              <w:sz w:val="22"/>
              <w:szCs w:val="22"/>
            </w:rPr>
          </w:rPrChange>
        </w:rPr>
        <w:t xml:space="preserve">single dose </w:t>
      </w:r>
      <w:r w:rsidRPr="00D55B59">
        <w:rPr>
          <w:sz w:val="22"/>
          <w:szCs w:val="22"/>
          <w:lang w:val="en-GB"/>
          <w:rPrChange w:id="46" w:author="Author">
            <w:rPr>
              <w:sz w:val="22"/>
              <w:szCs w:val="22"/>
            </w:rPr>
          </w:rPrChange>
        </w:rPr>
        <w:t>pre-filled syringe contains 40 mg of adalimumab in 0.8</w:t>
      </w:r>
      <w:r w:rsidR="002B615C" w:rsidRPr="00D55B59">
        <w:rPr>
          <w:sz w:val="22"/>
          <w:szCs w:val="22"/>
          <w:lang w:val="en-GB"/>
          <w:rPrChange w:id="47" w:author="Author">
            <w:rPr>
              <w:sz w:val="22"/>
              <w:szCs w:val="22"/>
            </w:rPr>
          </w:rPrChange>
        </w:rPr>
        <w:t> </w:t>
      </w:r>
      <w:r w:rsidRPr="00D55B59">
        <w:rPr>
          <w:sz w:val="22"/>
          <w:szCs w:val="22"/>
          <w:lang w:val="en-GB"/>
          <w:rPrChange w:id="48" w:author="Author">
            <w:rPr>
              <w:sz w:val="22"/>
              <w:szCs w:val="22"/>
            </w:rPr>
          </w:rPrChange>
        </w:rPr>
        <w:t>m</w:t>
      </w:r>
      <w:r w:rsidR="00CC0358" w:rsidRPr="00D55B59">
        <w:rPr>
          <w:sz w:val="22"/>
          <w:szCs w:val="22"/>
          <w:lang w:val="en-GB"/>
          <w:rPrChange w:id="49" w:author="Author">
            <w:rPr>
              <w:sz w:val="22"/>
              <w:szCs w:val="22"/>
            </w:rPr>
          </w:rPrChange>
        </w:rPr>
        <w:t>L</w:t>
      </w:r>
      <w:r w:rsidR="00273202" w:rsidRPr="00D55B59">
        <w:rPr>
          <w:sz w:val="22"/>
          <w:szCs w:val="22"/>
          <w:lang w:val="en-GB"/>
          <w:rPrChange w:id="50" w:author="Author">
            <w:rPr>
              <w:sz w:val="22"/>
              <w:szCs w:val="22"/>
            </w:rPr>
          </w:rPrChange>
        </w:rPr>
        <w:t xml:space="preserve"> </w:t>
      </w:r>
      <w:r w:rsidR="00BE390E" w:rsidRPr="00D55B59">
        <w:rPr>
          <w:sz w:val="22"/>
          <w:szCs w:val="22"/>
          <w:lang w:val="en-GB"/>
          <w:rPrChange w:id="51" w:author="Author">
            <w:rPr>
              <w:sz w:val="22"/>
              <w:szCs w:val="22"/>
            </w:rPr>
          </w:rPrChange>
        </w:rPr>
        <w:t>solution</w:t>
      </w:r>
      <w:r w:rsidR="00411A4F" w:rsidRPr="00D55B59">
        <w:rPr>
          <w:sz w:val="22"/>
          <w:szCs w:val="22"/>
          <w:lang w:val="en-GB"/>
          <w:rPrChange w:id="52" w:author="Author">
            <w:rPr>
              <w:sz w:val="22"/>
              <w:szCs w:val="22"/>
            </w:rPr>
          </w:rPrChange>
        </w:rPr>
        <w:t xml:space="preserve"> (50 mg/mL)</w:t>
      </w:r>
      <w:r w:rsidR="00BE390E" w:rsidRPr="00D55B59">
        <w:rPr>
          <w:sz w:val="22"/>
          <w:szCs w:val="22"/>
          <w:lang w:val="en-GB"/>
          <w:rPrChange w:id="53" w:author="Author">
            <w:rPr>
              <w:sz w:val="22"/>
              <w:szCs w:val="22"/>
            </w:rPr>
          </w:rPrChange>
        </w:rPr>
        <w:t xml:space="preserve">. </w:t>
      </w:r>
    </w:p>
    <w:p w14:paraId="6A25D02E" w14:textId="77777777" w:rsidR="00BE390E" w:rsidRPr="00D55B59" w:rsidRDefault="00BE390E" w:rsidP="00FB5458">
      <w:pPr>
        <w:pStyle w:val="Default"/>
        <w:rPr>
          <w:color w:val="auto"/>
          <w:sz w:val="22"/>
          <w:szCs w:val="22"/>
          <w:u w:val="single"/>
          <w:lang w:val="en-GB" w:eastAsia="en-GB"/>
          <w:rPrChange w:id="54" w:author="Author">
            <w:rPr>
              <w:color w:val="auto"/>
              <w:sz w:val="22"/>
              <w:szCs w:val="22"/>
              <w:u w:val="single"/>
              <w:lang w:eastAsia="en-GB"/>
            </w:rPr>
          </w:rPrChange>
        </w:rPr>
      </w:pPr>
    </w:p>
    <w:p w14:paraId="7B504D84" w14:textId="72F446D4" w:rsidR="00652C42" w:rsidRPr="00D55B59" w:rsidRDefault="00BE390E" w:rsidP="00FB5458">
      <w:pPr>
        <w:pStyle w:val="Default"/>
        <w:rPr>
          <w:color w:val="auto"/>
          <w:sz w:val="22"/>
          <w:szCs w:val="22"/>
          <w:u w:val="single"/>
          <w:lang w:val="en-GB" w:eastAsia="en-GB"/>
          <w:rPrChange w:id="55" w:author="Author">
            <w:rPr>
              <w:color w:val="auto"/>
              <w:sz w:val="22"/>
              <w:szCs w:val="22"/>
              <w:u w:val="single"/>
              <w:lang w:eastAsia="en-GB"/>
            </w:rPr>
          </w:rPrChange>
        </w:rPr>
      </w:pPr>
      <w:r w:rsidRPr="00D55B59">
        <w:rPr>
          <w:sz w:val="22"/>
          <w:szCs w:val="22"/>
          <w:u w:val="single"/>
          <w:lang w:val="en-GB" w:eastAsia="en-GB"/>
          <w:rPrChange w:id="56" w:author="Author">
            <w:rPr>
              <w:sz w:val="22"/>
              <w:szCs w:val="22"/>
              <w:u w:val="single"/>
              <w:lang w:eastAsia="en-GB"/>
            </w:rPr>
          </w:rPrChange>
        </w:rPr>
        <w:t>AMGEVITA</w:t>
      </w:r>
      <w:r w:rsidRPr="00D55B59">
        <w:rPr>
          <w:color w:val="auto"/>
          <w:sz w:val="22"/>
          <w:szCs w:val="22"/>
          <w:u w:val="single"/>
          <w:lang w:val="en-GB" w:eastAsia="en-GB"/>
          <w:rPrChange w:id="57" w:author="Author">
            <w:rPr>
              <w:color w:val="auto"/>
              <w:sz w:val="22"/>
              <w:szCs w:val="22"/>
              <w:u w:val="single"/>
              <w:lang w:eastAsia="en-GB"/>
            </w:rPr>
          </w:rPrChange>
        </w:rPr>
        <w:t xml:space="preserve"> 40</w:t>
      </w:r>
      <w:r w:rsidRPr="00D55B59">
        <w:rPr>
          <w:color w:val="auto"/>
          <w:sz w:val="22"/>
          <w:szCs w:val="22"/>
          <w:u w:val="single"/>
          <w:lang w:val="en-GB"/>
          <w:rPrChange w:id="58" w:author="Author">
            <w:rPr>
              <w:color w:val="auto"/>
              <w:sz w:val="22"/>
              <w:szCs w:val="22"/>
              <w:u w:val="single"/>
            </w:rPr>
          </w:rPrChange>
        </w:rPr>
        <w:t> </w:t>
      </w:r>
      <w:r w:rsidRPr="00D55B59">
        <w:rPr>
          <w:color w:val="auto"/>
          <w:sz w:val="22"/>
          <w:szCs w:val="22"/>
          <w:u w:val="single"/>
          <w:lang w:val="en-GB" w:eastAsia="en-GB"/>
          <w:rPrChange w:id="59" w:author="Author">
            <w:rPr>
              <w:color w:val="auto"/>
              <w:sz w:val="22"/>
              <w:szCs w:val="22"/>
              <w:u w:val="single"/>
              <w:lang w:eastAsia="en-GB"/>
            </w:rPr>
          </w:rPrChange>
        </w:rPr>
        <w:t>mg solution for injection in pre-filled pen</w:t>
      </w:r>
    </w:p>
    <w:p w14:paraId="6009FEDD" w14:textId="77777777" w:rsidR="00652C42" w:rsidRPr="00D55B59" w:rsidRDefault="00652C42" w:rsidP="00FB5458">
      <w:pPr>
        <w:pStyle w:val="Default"/>
        <w:rPr>
          <w:color w:val="auto"/>
          <w:sz w:val="22"/>
          <w:szCs w:val="22"/>
          <w:u w:val="single"/>
          <w:lang w:val="en-GB" w:eastAsia="en-GB"/>
          <w:rPrChange w:id="60" w:author="Author">
            <w:rPr>
              <w:color w:val="auto"/>
              <w:sz w:val="22"/>
              <w:szCs w:val="22"/>
              <w:u w:val="single"/>
              <w:lang w:eastAsia="en-GB"/>
            </w:rPr>
          </w:rPrChange>
        </w:rPr>
      </w:pPr>
    </w:p>
    <w:p w14:paraId="5282E03B" w14:textId="66114B92" w:rsidR="00BE390E" w:rsidRPr="00D55B59" w:rsidRDefault="005A0088" w:rsidP="006C4C34">
      <w:pPr>
        <w:pStyle w:val="Default"/>
        <w:rPr>
          <w:szCs w:val="22"/>
          <w:lang w:val="en-GB"/>
          <w:rPrChange w:id="61" w:author="Author">
            <w:rPr>
              <w:szCs w:val="22"/>
            </w:rPr>
          </w:rPrChange>
        </w:rPr>
      </w:pPr>
      <w:r w:rsidRPr="00D55B59">
        <w:rPr>
          <w:sz w:val="22"/>
          <w:szCs w:val="22"/>
          <w:lang w:val="en-GB"/>
          <w:rPrChange w:id="62" w:author="Author">
            <w:rPr>
              <w:sz w:val="22"/>
              <w:szCs w:val="22"/>
            </w:rPr>
          </w:rPrChange>
        </w:rPr>
        <w:t xml:space="preserve">Each </w:t>
      </w:r>
      <w:r w:rsidR="00350868" w:rsidRPr="00D55B59">
        <w:rPr>
          <w:sz w:val="22"/>
          <w:szCs w:val="22"/>
          <w:lang w:val="en-GB"/>
          <w:rPrChange w:id="63" w:author="Author">
            <w:rPr>
              <w:sz w:val="22"/>
              <w:szCs w:val="22"/>
            </w:rPr>
          </w:rPrChange>
        </w:rPr>
        <w:t xml:space="preserve">single dose </w:t>
      </w:r>
      <w:r w:rsidRPr="00D55B59">
        <w:rPr>
          <w:sz w:val="22"/>
          <w:szCs w:val="22"/>
          <w:lang w:val="en-GB"/>
          <w:rPrChange w:id="64" w:author="Author">
            <w:rPr>
              <w:sz w:val="22"/>
              <w:szCs w:val="22"/>
            </w:rPr>
          </w:rPrChange>
        </w:rPr>
        <w:t xml:space="preserve">pre-filled </w:t>
      </w:r>
      <w:r w:rsidR="00AD0D42" w:rsidRPr="00D55B59">
        <w:rPr>
          <w:sz w:val="22"/>
          <w:szCs w:val="22"/>
          <w:lang w:val="en-GB"/>
          <w:rPrChange w:id="65" w:author="Author">
            <w:rPr>
              <w:sz w:val="22"/>
              <w:szCs w:val="22"/>
            </w:rPr>
          </w:rPrChange>
        </w:rPr>
        <w:t>p</w:t>
      </w:r>
      <w:r w:rsidR="001E3BF8" w:rsidRPr="00D55B59">
        <w:rPr>
          <w:sz w:val="22"/>
          <w:szCs w:val="22"/>
          <w:lang w:val="en-GB"/>
          <w:rPrChange w:id="66" w:author="Author">
            <w:rPr>
              <w:sz w:val="22"/>
              <w:szCs w:val="22"/>
            </w:rPr>
          </w:rPrChange>
        </w:rPr>
        <w:t xml:space="preserve">en </w:t>
      </w:r>
      <w:r w:rsidRPr="00D55B59">
        <w:rPr>
          <w:sz w:val="22"/>
          <w:szCs w:val="22"/>
          <w:lang w:val="en-GB"/>
          <w:rPrChange w:id="67" w:author="Author">
            <w:rPr>
              <w:sz w:val="22"/>
              <w:szCs w:val="22"/>
            </w:rPr>
          </w:rPrChange>
        </w:rPr>
        <w:t>contains 40 mg of adalimumab in 0.8</w:t>
      </w:r>
      <w:r w:rsidR="00D067D5" w:rsidRPr="00D55B59">
        <w:rPr>
          <w:sz w:val="22"/>
          <w:szCs w:val="22"/>
          <w:lang w:val="en-GB"/>
          <w:rPrChange w:id="68" w:author="Author">
            <w:rPr>
              <w:sz w:val="22"/>
              <w:szCs w:val="22"/>
            </w:rPr>
          </w:rPrChange>
        </w:rPr>
        <w:t> </w:t>
      </w:r>
      <w:r w:rsidRPr="00D55B59">
        <w:rPr>
          <w:sz w:val="22"/>
          <w:szCs w:val="22"/>
          <w:lang w:val="en-GB"/>
          <w:rPrChange w:id="69" w:author="Author">
            <w:rPr>
              <w:sz w:val="22"/>
              <w:szCs w:val="22"/>
            </w:rPr>
          </w:rPrChange>
        </w:rPr>
        <w:t>m</w:t>
      </w:r>
      <w:r w:rsidR="00CC0358" w:rsidRPr="00D55B59">
        <w:rPr>
          <w:sz w:val="22"/>
          <w:szCs w:val="22"/>
          <w:lang w:val="en-GB"/>
          <w:rPrChange w:id="70" w:author="Author">
            <w:rPr>
              <w:sz w:val="22"/>
              <w:szCs w:val="22"/>
            </w:rPr>
          </w:rPrChange>
        </w:rPr>
        <w:t>L</w:t>
      </w:r>
      <w:r w:rsidR="00273202" w:rsidRPr="00D55B59">
        <w:rPr>
          <w:sz w:val="22"/>
          <w:szCs w:val="22"/>
          <w:lang w:val="en-GB"/>
          <w:rPrChange w:id="71" w:author="Author">
            <w:rPr>
              <w:sz w:val="22"/>
              <w:szCs w:val="22"/>
            </w:rPr>
          </w:rPrChange>
        </w:rPr>
        <w:t xml:space="preserve"> </w:t>
      </w:r>
      <w:r w:rsidR="00BE390E" w:rsidRPr="00D55B59">
        <w:rPr>
          <w:sz w:val="22"/>
          <w:szCs w:val="22"/>
          <w:lang w:val="en-GB"/>
          <w:rPrChange w:id="72" w:author="Author">
            <w:rPr>
              <w:sz w:val="22"/>
              <w:szCs w:val="22"/>
            </w:rPr>
          </w:rPrChange>
        </w:rPr>
        <w:t>solution</w:t>
      </w:r>
      <w:r w:rsidR="00411A4F" w:rsidRPr="00D55B59">
        <w:rPr>
          <w:sz w:val="22"/>
          <w:szCs w:val="22"/>
          <w:lang w:val="en-GB"/>
          <w:rPrChange w:id="73" w:author="Author">
            <w:rPr>
              <w:sz w:val="22"/>
              <w:szCs w:val="22"/>
            </w:rPr>
          </w:rPrChange>
        </w:rPr>
        <w:t xml:space="preserve"> (50 mg/mL)</w:t>
      </w:r>
      <w:r w:rsidR="00BE390E" w:rsidRPr="00D55B59">
        <w:rPr>
          <w:sz w:val="22"/>
          <w:szCs w:val="22"/>
          <w:lang w:val="en-GB"/>
          <w:rPrChange w:id="74" w:author="Author">
            <w:rPr>
              <w:sz w:val="22"/>
              <w:szCs w:val="22"/>
            </w:rPr>
          </w:rPrChange>
        </w:rPr>
        <w:t>.</w:t>
      </w:r>
    </w:p>
    <w:p w14:paraId="01E10942"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12CE9F1" w14:textId="77777777" w:rsidR="00C42229" w:rsidRPr="001775D9" w:rsidRDefault="00C06D9D" w:rsidP="00FB5458">
      <w:pPr>
        <w:tabs>
          <w:tab w:val="clear" w:pos="567"/>
        </w:tabs>
        <w:autoSpaceDE w:val="0"/>
        <w:autoSpaceDN w:val="0"/>
        <w:adjustRightInd w:val="0"/>
        <w:spacing w:line="240" w:lineRule="auto"/>
        <w:rPr>
          <w:szCs w:val="22"/>
          <w:lang w:eastAsia="en-GB"/>
        </w:rPr>
      </w:pPr>
      <w:r w:rsidRPr="001775D9">
        <w:rPr>
          <w:szCs w:val="22"/>
          <w:lang w:eastAsia="en-GB"/>
        </w:rPr>
        <w:t xml:space="preserve">Adalimumab </w:t>
      </w:r>
      <w:r w:rsidR="00C42229" w:rsidRPr="001775D9">
        <w:rPr>
          <w:szCs w:val="22"/>
          <w:lang w:eastAsia="en-GB"/>
        </w:rPr>
        <w:t xml:space="preserve">is a recombinant human monoclonal antibody </w:t>
      </w:r>
      <w:r w:rsidR="00B170E4" w:rsidRPr="001775D9">
        <w:rPr>
          <w:szCs w:val="22"/>
          <w:lang w:eastAsia="en-GB"/>
        </w:rPr>
        <w:t xml:space="preserve">produced </w:t>
      </w:r>
      <w:r w:rsidR="00C42229" w:rsidRPr="001775D9">
        <w:rPr>
          <w:szCs w:val="22"/>
          <w:lang w:eastAsia="en-GB"/>
        </w:rPr>
        <w:t xml:space="preserve">in Chinese Hamster Ovary cells. </w:t>
      </w:r>
    </w:p>
    <w:p w14:paraId="2317888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8DDD346"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For </w:t>
      </w:r>
      <w:r w:rsidR="00C04B22" w:rsidRPr="001775D9">
        <w:rPr>
          <w:szCs w:val="22"/>
          <w:lang w:eastAsia="en-GB"/>
        </w:rPr>
        <w:t xml:space="preserve">the </w:t>
      </w:r>
      <w:r w:rsidRPr="001775D9">
        <w:rPr>
          <w:szCs w:val="22"/>
          <w:lang w:eastAsia="en-GB"/>
        </w:rPr>
        <w:t xml:space="preserve">full list of excipients, see section 6.1. </w:t>
      </w:r>
    </w:p>
    <w:p w14:paraId="50FF06A9"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62AF6041"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7D0C75CD" w14:textId="77777777" w:rsidR="00C42229" w:rsidRPr="001775D9" w:rsidRDefault="00C42229" w:rsidP="00B61D9D">
      <w:pPr>
        <w:tabs>
          <w:tab w:val="clear" w:pos="567"/>
        </w:tabs>
        <w:autoSpaceDE w:val="0"/>
        <w:autoSpaceDN w:val="0"/>
        <w:adjustRightInd w:val="0"/>
        <w:spacing w:line="240" w:lineRule="auto"/>
        <w:ind w:left="567" w:hanging="567"/>
        <w:rPr>
          <w:szCs w:val="22"/>
          <w:lang w:eastAsia="en-GB"/>
        </w:rPr>
      </w:pPr>
      <w:r w:rsidRPr="001775D9">
        <w:rPr>
          <w:b/>
          <w:bCs/>
          <w:szCs w:val="22"/>
          <w:lang w:eastAsia="en-GB"/>
        </w:rPr>
        <w:t>3.</w:t>
      </w:r>
      <w:r w:rsidRPr="001775D9">
        <w:rPr>
          <w:b/>
          <w:bCs/>
          <w:szCs w:val="22"/>
          <w:lang w:eastAsia="en-GB"/>
        </w:rPr>
        <w:tab/>
        <w:t xml:space="preserve">PHARMACEUTICAL FORM </w:t>
      </w:r>
    </w:p>
    <w:p w14:paraId="621031A8" w14:textId="77777777" w:rsidR="00C42229" w:rsidRPr="001775D9" w:rsidRDefault="00C42229" w:rsidP="00FB5458">
      <w:pPr>
        <w:suppressLineNumbers/>
        <w:spacing w:line="240" w:lineRule="auto"/>
        <w:rPr>
          <w:b/>
          <w:i/>
          <w:caps/>
          <w:szCs w:val="22"/>
        </w:rPr>
      </w:pPr>
    </w:p>
    <w:p w14:paraId="323EFE49" w14:textId="39215C47" w:rsidR="00C04B22" w:rsidRPr="001775D9" w:rsidRDefault="00C04B22" w:rsidP="00FB5458">
      <w:pPr>
        <w:tabs>
          <w:tab w:val="clear" w:pos="567"/>
        </w:tabs>
        <w:autoSpaceDE w:val="0"/>
        <w:autoSpaceDN w:val="0"/>
        <w:adjustRightInd w:val="0"/>
        <w:spacing w:line="240" w:lineRule="auto"/>
        <w:rPr>
          <w:bCs/>
          <w:szCs w:val="22"/>
          <w:lang w:eastAsia="en-GB"/>
        </w:rPr>
      </w:pPr>
      <w:r w:rsidRPr="001775D9">
        <w:rPr>
          <w:bCs/>
          <w:szCs w:val="22"/>
          <w:lang w:eastAsia="en-GB"/>
        </w:rPr>
        <w:t>Solution for injection</w:t>
      </w:r>
      <w:r w:rsidR="00B170E4" w:rsidRPr="001775D9">
        <w:rPr>
          <w:bCs/>
          <w:szCs w:val="22"/>
          <w:lang w:eastAsia="en-GB"/>
        </w:rPr>
        <w:t xml:space="preserve"> (injection)</w:t>
      </w:r>
    </w:p>
    <w:p w14:paraId="6E946F2C" w14:textId="443028C3" w:rsidR="000E15FA" w:rsidRPr="00D55B59" w:rsidRDefault="00652C42" w:rsidP="00FB5458">
      <w:pPr>
        <w:pStyle w:val="Default"/>
        <w:rPr>
          <w:color w:val="auto"/>
          <w:sz w:val="22"/>
          <w:szCs w:val="22"/>
          <w:lang w:val="en-GB" w:eastAsia="en-GB"/>
          <w:rPrChange w:id="75" w:author="Author">
            <w:rPr>
              <w:color w:val="auto"/>
              <w:sz w:val="22"/>
              <w:szCs w:val="22"/>
              <w:lang w:eastAsia="en-GB"/>
            </w:rPr>
          </w:rPrChange>
        </w:rPr>
      </w:pPr>
      <w:r w:rsidRPr="00D55B59">
        <w:rPr>
          <w:color w:val="auto"/>
          <w:sz w:val="22"/>
          <w:szCs w:val="22"/>
          <w:lang w:val="en-GB" w:eastAsia="en-GB"/>
          <w:rPrChange w:id="76" w:author="Author">
            <w:rPr>
              <w:color w:val="auto"/>
              <w:sz w:val="22"/>
              <w:szCs w:val="22"/>
              <w:lang w:eastAsia="en-GB"/>
            </w:rPr>
          </w:rPrChange>
        </w:rPr>
        <w:t>S</w:t>
      </w:r>
      <w:r w:rsidR="000E15FA" w:rsidRPr="00D55B59">
        <w:rPr>
          <w:color w:val="auto"/>
          <w:sz w:val="22"/>
          <w:szCs w:val="22"/>
          <w:lang w:val="en-GB" w:eastAsia="en-GB"/>
          <w:rPrChange w:id="77" w:author="Author">
            <w:rPr>
              <w:color w:val="auto"/>
              <w:sz w:val="22"/>
              <w:szCs w:val="22"/>
              <w:lang w:eastAsia="en-GB"/>
            </w:rPr>
          </w:rPrChange>
        </w:rPr>
        <w:t xml:space="preserve">olution for injection </w:t>
      </w:r>
      <w:r w:rsidR="00451EA8" w:rsidRPr="00D55B59">
        <w:rPr>
          <w:color w:val="auto"/>
          <w:sz w:val="22"/>
          <w:szCs w:val="22"/>
          <w:lang w:val="en-GB" w:eastAsia="en-GB"/>
          <w:rPrChange w:id="78" w:author="Author">
            <w:rPr>
              <w:color w:val="auto"/>
              <w:sz w:val="22"/>
              <w:szCs w:val="22"/>
              <w:lang w:eastAsia="en-GB"/>
            </w:rPr>
          </w:rPrChange>
        </w:rPr>
        <w:t xml:space="preserve">(injection) </w:t>
      </w:r>
      <w:r w:rsidR="000E15FA" w:rsidRPr="00D55B59">
        <w:rPr>
          <w:color w:val="auto"/>
          <w:sz w:val="22"/>
          <w:szCs w:val="22"/>
          <w:lang w:val="en-GB" w:eastAsia="en-GB"/>
          <w:rPrChange w:id="79" w:author="Author">
            <w:rPr>
              <w:color w:val="auto"/>
              <w:sz w:val="22"/>
              <w:szCs w:val="22"/>
              <w:lang w:eastAsia="en-GB"/>
            </w:rPr>
          </w:rPrChange>
        </w:rPr>
        <w:t xml:space="preserve">in pre-filled pen </w:t>
      </w:r>
      <w:r w:rsidR="000E15FA" w:rsidRPr="00D55B59">
        <w:rPr>
          <w:sz w:val="22"/>
          <w:szCs w:val="22"/>
          <w:lang w:val="en-GB"/>
          <w:rPrChange w:id="80" w:author="Author">
            <w:rPr>
              <w:sz w:val="22"/>
              <w:szCs w:val="22"/>
            </w:rPr>
          </w:rPrChange>
        </w:rPr>
        <w:t>(SureClick)</w:t>
      </w:r>
    </w:p>
    <w:p w14:paraId="130404FA" w14:textId="77777777" w:rsidR="000E15FA" w:rsidRPr="001775D9" w:rsidRDefault="000E15FA" w:rsidP="00FB5458">
      <w:pPr>
        <w:tabs>
          <w:tab w:val="clear" w:pos="567"/>
        </w:tabs>
        <w:autoSpaceDE w:val="0"/>
        <w:autoSpaceDN w:val="0"/>
        <w:adjustRightInd w:val="0"/>
        <w:spacing w:line="240" w:lineRule="auto"/>
        <w:rPr>
          <w:bCs/>
          <w:szCs w:val="22"/>
          <w:lang w:eastAsia="en-GB"/>
        </w:rPr>
      </w:pPr>
    </w:p>
    <w:p w14:paraId="1C3FB59A" w14:textId="77777777" w:rsidR="00C42229" w:rsidRPr="001775D9" w:rsidRDefault="00C04B22" w:rsidP="00FB5458">
      <w:pPr>
        <w:tabs>
          <w:tab w:val="clear" w:pos="567"/>
        </w:tabs>
        <w:autoSpaceDE w:val="0"/>
        <w:autoSpaceDN w:val="0"/>
        <w:adjustRightInd w:val="0"/>
        <w:spacing w:line="240" w:lineRule="auto"/>
        <w:rPr>
          <w:bCs/>
          <w:szCs w:val="22"/>
          <w:lang w:eastAsia="en-GB"/>
        </w:rPr>
      </w:pPr>
      <w:r w:rsidRPr="001775D9">
        <w:rPr>
          <w:bCs/>
          <w:szCs w:val="22"/>
          <w:lang w:eastAsia="en-GB"/>
        </w:rPr>
        <w:t>Clear</w:t>
      </w:r>
      <w:r w:rsidR="000224B0" w:rsidRPr="001775D9">
        <w:rPr>
          <w:bCs/>
          <w:szCs w:val="22"/>
          <w:lang w:eastAsia="en-GB"/>
        </w:rPr>
        <w:t xml:space="preserve"> </w:t>
      </w:r>
      <w:r w:rsidR="00397168" w:rsidRPr="001775D9">
        <w:rPr>
          <w:rFonts w:eastAsia="Calibri"/>
          <w:bCs/>
          <w:szCs w:val="22"/>
        </w:rPr>
        <w:t>and colourless to slightly yellow</w:t>
      </w:r>
      <w:r w:rsidR="00397168" w:rsidRPr="001775D9">
        <w:rPr>
          <w:bCs/>
          <w:szCs w:val="22"/>
          <w:lang w:eastAsia="en-GB"/>
        </w:rPr>
        <w:t xml:space="preserve"> </w:t>
      </w:r>
      <w:r w:rsidRPr="001775D9">
        <w:rPr>
          <w:bCs/>
          <w:szCs w:val="22"/>
          <w:lang w:eastAsia="en-GB"/>
        </w:rPr>
        <w:t>solution.</w:t>
      </w:r>
    </w:p>
    <w:p w14:paraId="5326930F"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09E4968C" w14:textId="77777777" w:rsidR="00C04B22" w:rsidRPr="001775D9" w:rsidRDefault="00C04B22" w:rsidP="00FB5458">
      <w:pPr>
        <w:tabs>
          <w:tab w:val="clear" w:pos="567"/>
        </w:tabs>
        <w:autoSpaceDE w:val="0"/>
        <w:autoSpaceDN w:val="0"/>
        <w:adjustRightInd w:val="0"/>
        <w:spacing w:line="240" w:lineRule="auto"/>
        <w:rPr>
          <w:b/>
          <w:bCs/>
          <w:szCs w:val="22"/>
          <w:lang w:eastAsia="en-GB"/>
        </w:rPr>
      </w:pPr>
    </w:p>
    <w:p w14:paraId="21702226" w14:textId="77777777" w:rsidR="00C42229" w:rsidRPr="001775D9" w:rsidRDefault="00C42229" w:rsidP="00B61D9D">
      <w:pPr>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4.</w:t>
      </w:r>
      <w:r w:rsidRPr="001775D9">
        <w:rPr>
          <w:b/>
          <w:bCs/>
          <w:szCs w:val="22"/>
          <w:lang w:eastAsia="en-GB"/>
        </w:rPr>
        <w:tab/>
        <w:t xml:space="preserve">CLINICAL PARTICULARS </w:t>
      </w:r>
    </w:p>
    <w:p w14:paraId="65DAC280" w14:textId="77777777" w:rsidR="00C42229" w:rsidRPr="001775D9" w:rsidRDefault="00C42229" w:rsidP="00FB5458">
      <w:pPr>
        <w:tabs>
          <w:tab w:val="clear" w:pos="567"/>
        </w:tabs>
        <w:autoSpaceDE w:val="0"/>
        <w:autoSpaceDN w:val="0"/>
        <w:adjustRightInd w:val="0"/>
        <w:spacing w:line="240" w:lineRule="auto"/>
        <w:rPr>
          <w:b/>
          <w:bCs/>
          <w:color w:val="000000"/>
          <w:szCs w:val="22"/>
          <w:lang w:eastAsia="en-GB"/>
        </w:rPr>
      </w:pPr>
    </w:p>
    <w:p w14:paraId="14649945" w14:textId="77777777" w:rsidR="00C42229" w:rsidRPr="001775D9" w:rsidRDefault="00C42229" w:rsidP="00B61D9D">
      <w:pPr>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4.1</w:t>
      </w:r>
      <w:r w:rsidRPr="001775D9">
        <w:rPr>
          <w:b/>
          <w:bCs/>
          <w:color w:val="000000"/>
          <w:szCs w:val="22"/>
          <w:lang w:eastAsia="en-GB"/>
        </w:rPr>
        <w:tab/>
        <w:t xml:space="preserve">Therapeutic indications </w:t>
      </w:r>
    </w:p>
    <w:p w14:paraId="7258ADB3"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4F0CB0BA" w14:textId="77777777" w:rsidR="00C42229" w:rsidRPr="001775D9" w:rsidRDefault="00C42229" w:rsidP="00FB5458">
      <w:pPr>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Rheumatoid arthritis </w:t>
      </w:r>
    </w:p>
    <w:p w14:paraId="34E49D6C"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41780782" w14:textId="77777777" w:rsidR="00C42229" w:rsidRPr="001775D9" w:rsidRDefault="00C04B22"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AMGEVITA </w:t>
      </w:r>
      <w:r w:rsidR="00C42229" w:rsidRPr="001775D9">
        <w:rPr>
          <w:color w:val="000000"/>
          <w:szCs w:val="22"/>
          <w:lang w:eastAsia="en-GB"/>
        </w:rPr>
        <w:t>in combination with methotrexate</w:t>
      </w:r>
      <w:r w:rsidR="005A0088" w:rsidRPr="001775D9">
        <w:rPr>
          <w:color w:val="000000"/>
          <w:szCs w:val="22"/>
          <w:lang w:eastAsia="en-GB"/>
        </w:rPr>
        <w:t>,</w:t>
      </w:r>
      <w:r w:rsidR="00C42229" w:rsidRPr="001775D9">
        <w:rPr>
          <w:color w:val="000000"/>
          <w:szCs w:val="22"/>
          <w:lang w:eastAsia="en-GB"/>
        </w:rPr>
        <w:t xml:space="preserve"> is indicated for: </w:t>
      </w:r>
    </w:p>
    <w:p w14:paraId="34C4E6CF" w14:textId="45C9A2B3" w:rsidR="00C42229" w:rsidRPr="001775D9" w:rsidRDefault="00C42229" w:rsidP="00D55B59">
      <w:pPr>
        <w:numPr>
          <w:ilvl w:val="0"/>
          <w:numId w:val="6"/>
        </w:numPr>
        <w:autoSpaceDE w:val="0"/>
        <w:autoSpaceDN w:val="0"/>
        <w:adjustRightInd w:val="0"/>
        <w:spacing w:line="240" w:lineRule="auto"/>
        <w:ind w:left="567" w:hanging="567"/>
        <w:rPr>
          <w:color w:val="000000"/>
          <w:szCs w:val="22"/>
          <w:lang w:eastAsia="en-GB"/>
        </w:rPr>
        <w:pPrChange w:id="81" w:author="Author">
          <w:pPr>
            <w:numPr>
              <w:numId w:val="6"/>
            </w:numPr>
            <w:tabs>
              <w:tab w:val="clear" w:pos="567"/>
            </w:tabs>
            <w:autoSpaceDE w:val="0"/>
            <w:autoSpaceDN w:val="0"/>
            <w:adjustRightInd w:val="0"/>
            <w:spacing w:line="240" w:lineRule="auto"/>
            <w:ind w:left="567" w:hanging="567"/>
          </w:pPr>
        </w:pPrChange>
      </w:pPr>
      <w:r w:rsidRPr="001775D9">
        <w:rPr>
          <w:color w:val="000000"/>
          <w:szCs w:val="22"/>
          <w:lang w:eastAsia="en-GB"/>
        </w:rPr>
        <w:t>the treatment of moderate to severe, active rheumatoid arthritis in adult patients when the response to disease-modifying anti-rheumatic drugs</w:t>
      </w:r>
      <w:r w:rsidR="006D4429" w:rsidRPr="001775D9">
        <w:rPr>
          <w:color w:val="000000"/>
          <w:szCs w:val="22"/>
          <w:lang w:eastAsia="en-GB"/>
        </w:rPr>
        <w:t xml:space="preserve"> (DMARDs)</w:t>
      </w:r>
      <w:r w:rsidRPr="001775D9">
        <w:rPr>
          <w:color w:val="000000"/>
          <w:szCs w:val="22"/>
          <w:lang w:eastAsia="en-GB"/>
        </w:rPr>
        <w:t xml:space="preserve"> including methotrexate has been inadequate. </w:t>
      </w:r>
    </w:p>
    <w:p w14:paraId="00D77236" w14:textId="77777777" w:rsidR="00C42229" w:rsidRPr="001775D9" w:rsidRDefault="00C42229" w:rsidP="00FB5458">
      <w:pPr>
        <w:numPr>
          <w:ilvl w:val="0"/>
          <w:numId w:val="6"/>
        </w:numPr>
        <w:tabs>
          <w:tab w:val="clear" w:pos="567"/>
        </w:tabs>
        <w:autoSpaceDE w:val="0"/>
        <w:autoSpaceDN w:val="0"/>
        <w:adjustRightInd w:val="0"/>
        <w:spacing w:line="240" w:lineRule="auto"/>
        <w:ind w:left="567" w:hanging="567"/>
        <w:rPr>
          <w:color w:val="000000"/>
          <w:szCs w:val="22"/>
          <w:lang w:eastAsia="en-GB"/>
        </w:rPr>
      </w:pPr>
      <w:r w:rsidRPr="001775D9">
        <w:rPr>
          <w:color w:val="000000"/>
          <w:szCs w:val="22"/>
          <w:lang w:eastAsia="en-GB"/>
        </w:rPr>
        <w:t xml:space="preserve">the treatment of severe, active and progressive rheumatoid arthritis in adults not previously treated with methotrexate. </w:t>
      </w:r>
    </w:p>
    <w:p w14:paraId="64454161"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4FEA162F" w14:textId="77777777" w:rsidR="00C42229" w:rsidRPr="001775D9" w:rsidRDefault="00C04B22"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AMGEVITA</w:t>
      </w:r>
      <w:r w:rsidR="00C42229" w:rsidRPr="001775D9">
        <w:rPr>
          <w:color w:val="000000"/>
          <w:szCs w:val="22"/>
          <w:lang w:eastAsia="en-GB"/>
        </w:rPr>
        <w:t xml:space="preserve"> can be given as monotherapy in case of intolerance to methotrexate or when continued treatment with methotrexate is inappropriate. </w:t>
      </w:r>
    </w:p>
    <w:p w14:paraId="6261D640"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E653289" w14:textId="77777777" w:rsidR="003D4634" w:rsidRPr="001775D9" w:rsidRDefault="003D4634" w:rsidP="003D4634">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lang w:eastAsia="en-GB"/>
        </w:rPr>
        <w:t xml:space="preserve"> reduces the rate of progression of joint damage as measured by x-ray and improves physical function, when given in combination with methotrexate. </w:t>
      </w:r>
    </w:p>
    <w:p w14:paraId="6B509113" w14:textId="77777777" w:rsidR="00C42229" w:rsidRPr="001775D9" w:rsidRDefault="00C42229" w:rsidP="00FB5458">
      <w:pPr>
        <w:tabs>
          <w:tab w:val="clear" w:pos="567"/>
        </w:tabs>
        <w:autoSpaceDE w:val="0"/>
        <w:autoSpaceDN w:val="0"/>
        <w:adjustRightInd w:val="0"/>
        <w:spacing w:line="240" w:lineRule="auto"/>
        <w:rPr>
          <w:rFonts w:eastAsia="TimesNewRoman"/>
          <w:szCs w:val="22"/>
          <w:u w:val="single"/>
        </w:rPr>
      </w:pPr>
    </w:p>
    <w:p w14:paraId="0CDA87E8" w14:textId="77777777" w:rsidR="0001763B" w:rsidRPr="001775D9" w:rsidRDefault="0001763B" w:rsidP="00FB5458">
      <w:pPr>
        <w:keepNext/>
        <w:tabs>
          <w:tab w:val="clear" w:pos="567"/>
        </w:tabs>
        <w:autoSpaceDE w:val="0"/>
        <w:autoSpaceDN w:val="0"/>
        <w:adjustRightInd w:val="0"/>
        <w:spacing w:line="240" w:lineRule="auto"/>
        <w:rPr>
          <w:rFonts w:eastAsia="TimesNewRoman"/>
          <w:szCs w:val="22"/>
          <w:u w:val="single"/>
        </w:rPr>
      </w:pPr>
      <w:r w:rsidRPr="001775D9">
        <w:rPr>
          <w:rFonts w:eastAsia="TimesNewRoman"/>
          <w:szCs w:val="22"/>
          <w:u w:val="single"/>
        </w:rPr>
        <w:lastRenderedPageBreak/>
        <w:t xml:space="preserve">Juvenile idiopathic arthritis </w:t>
      </w:r>
    </w:p>
    <w:p w14:paraId="369C8874" w14:textId="77777777" w:rsidR="0001763B" w:rsidRPr="001775D9" w:rsidRDefault="0001763B" w:rsidP="00FB5458">
      <w:pPr>
        <w:keepNext/>
        <w:tabs>
          <w:tab w:val="clear" w:pos="567"/>
        </w:tabs>
        <w:autoSpaceDE w:val="0"/>
        <w:autoSpaceDN w:val="0"/>
        <w:adjustRightInd w:val="0"/>
        <w:spacing w:line="240" w:lineRule="auto"/>
        <w:rPr>
          <w:rFonts w:eastAsia="TimesNewRoman"/>
          <w:szCs w:val="22"/>
          <w:u w:val="single"/>
        </w:rPr>
      </w:pPr>
    </w:p>
    <w:p w14:paraId="2E2B9452" w14:textId="77777777" w:rsidR="00CC1A7C" w:rsidRPr="001775D9" w:rsidRDefault="00C42229" w:rsidP="00FB5458">
      <w:pPr>
        <w:keepNext/>
        <w:tabs>
          <w:tab w:val="clear" w:pos="567"/>
        </w:tabs>
        <w:autoSpaceDE w:val="0"/>
        <w:autoSpaceDN w:val="0"/>
        <w:adjustRightInd w:val="0"/>
        <w:spacing w:line="240" w:lineRule="auto"/>
        <w:rPr>
          <w:rFonts w:eastAsia="TimesNewRoman"/>
          <w:i/>
          <w:szCs w:val="22"/>
        </w:rPr>
      </w:pPr>
      <w:r w:rsidRPr="001775D9">
        <w:rPr>
          <w:rFonts w:eastAsia="TimesNewRoman"/>
          <w:i/>
          <w:szCs w:val="22"/>
        </w:rPr>
        <w:t>Polyarticular juvenile idiopathic arthritis</w:t>
      </w:r>
    </w:p>
    <w:p w14:paraId="58E5E0E2" w14:textId="77777777" w:rsidR="00524DB2" w:rsidRPr="001775D9" w:rsidRDefault="00524DB2" w:rsidP="00FB5458">
      <w:pPr>
        <w:keepNext/>
        <w:tabs>
          <w:tab w:val="clear" w:pos="567"/>
        </w:tabs>
        <w:autoSpaceDE w:val="0"/>
        <w:autoSpaceDN w:val="0"/>
        <w:adjustRightInd w:val="0"/>
        <w:spacing w:line="240" w:lineRule="auto"/>
        <w:rPr>
          <w:szCs w:val="22"/>
          <w:lang w:eastAsia="en-GB"/>
        </w:rPr>
      </w:pPr>
    </w:p>
    <w:p w14:paraId="05F128CE" w14:textId="5F9297C4" w:rsidR="00FF328D" w:rsidRPr="001775D9" w:rsidRDefault="00CC1A7C" w:rsidP="00FB5458">
      <w:pPr>
        <w:tabs>
          <w:tab w:val="clear" w:pos="567"/>
        </w:tabs>
        <w:autoSpaceDE w:val="0"/>
        <w:autoSpaceDN w:val="0"/>
        <w:adjustRightInd w:val="0"/>
        <w:spacing w:line="240" w:lineRule="auto"/>
        <w:rPr>
          <w:color w:val="000000"/>
          <w:szCs w:val="22"/>
        </w:rPr>
      </w:pPr>
      <w:r w:rsidRPr="001775D9">
        <w:rPr>
          <w:color w:val="000000"/>
          <w:szCs w:val="22"/>
          <w:lang w:eastAsia="en-GB"/>
        </w:rPr>
        <w:t>AMGEVITA</w:t>
      </w:r>
      <w:r w:rsidR="00C42229" w:rsidRPr="001775D9">
        <w:rPr>
          <w:rFonts w:eastAsia="TimesNewRoman"/>
          <w:szCs w:val="22"/>
        </w:rPr>
        <w:t xml:space="preserve"> in combination with methotrexate is indicated for the treatment of active polyarticular</w:t>
      </w:r>
      <w:r w:rsidR="003D437D" w:rsidRPr="001775D9">
        <w:rPr>
          <w:rFonts w:eastAsia="TimesNewRoman"/>
          <w:szCs w:val="22"/>
        </w:rPr>
        <w:t xml:space="preserve"> </w:t>
      </w:r>
      <w:r w:rsidR="00C42229" w:rsidRPr="001775D9">
        <w:rPr>
          <w:rFonts w:eastAsia="TimesNewRoman"/>
          <w:szCs w:val="22"/>
        </w:rPr>
        <w:t xml:space="preserve">juvenile idiopathic arthritis, in patients from the age of </w:t>
      </w:r>
      <w:r w:rsidR="00193D18" w:rsidRPr="001775D9">
        <w:rPr>
          <w:rFonts w:eastAsia="TimesNewRoman"/>
          <w:szCs w:val="22"/>
        </w:rPr>
        <w:t>2</w:t>
      </w:r>
      <w:r w:rsidRPr="001775D9">
        <w:rPr>
          <w:rFonts w:eastAsia="TimesNewRoman"/>
          <w:szCs w:val="22"/>
        </w:rPr>
        <w:t xml:space="preserve"> </w:t>
      </w:r>
      <w:r w:rsidR="00C42229" w:rsidRPr="001775D9">
        <w:rPr>
          <w:rFonts w:eastAsia="TimesNewRoman"/>
          <w:szCs w:val="22"/>
        </w:rPr>
        <w:t xml:space="preserve">years who have had an inadequate response to one or more DMARDs. </w:t>
      </w:r>
      <w:r w:rsidRPr="001775D9">
        <w:rPr>
          <w:color w:val="000000"/>
          <w:szCs w:val="22"/>
          <w:lang w:eastAsia="en-GB"/>
        </w:rPr>
        <w:t>AMGEVITA</w:t>
      </w:r>
      <w:r w:rsidR="00C42229" w:rsidRPr="001775D9">
        <w:rPr>
          <w:rFonts w:eastAsia="TimesNewRoman"/>
          <w:szCs w:val="22"/>
        </w:rPr>
        <w:t xml:space="preserve"> can be given as monotherapy</w:t>
      </w:r>
      <w:r w:rsidR="0098482D" w:rsidRPr="001775D9">
        <w:rPr>
          <w:rFonts w:eastAsia="TimesNewRoman"/>
          <w:szCs w:val="22"/>
        </w:rPr>
        <w:t xml:space="preserve"> </w:t>
      </w:r>
      <w:r w:rsidR="00C42229" w:rsidRPr="001775D9">
        <w:rPr>
          <w:rFonts w:eastAsia="TimesNewRoman"/>
          <w:szCs w:val="22"/>
        </w:rPr>
        <w:t>in case of intolerance to methotrexate or when continued treatment with methotrexate is inappropriate (for</w:t>
      </w:r>
      <w:r w:rsidR="0098482D" w:rsidRPr="001775D9">
        <w:rPr>
          <w:rFonts w:eastAsia="TimesNewRoman"/>
          <w:szCs w:val="22"/>
        </w:rPr>
        <w:t xml:space="preserve"> </w:t>
      </w:r>
      <w:r w:rsidR="00C42229" w:rsidRPr="001775D9">
        <w:rPr>
          <w:rFonts w:eastAsia="TimesNewRoman"/>
          <w:szCs w:val="22"/>
        </w:rPr>
        <w:t xml:space="preserve">the efficacy in monotherapy see section 5.1). </w:t>
      </w:r>
      <w:r w:rsidR="00DB4B71" w:rsidRPr="001775D9">
        <w:rPr>
          <w:rFonts w:eastAsia="TimesNewRoman"/>
          <w:szCs w:val="22"/>
        </w:rPr>
        <w:t>Adalimumab</w:t>
      </w:r>
      <w:r w:rsidRPr="001775D9">
        <w:rPr>
          <w:szCs w:val="22"/>
          <w:lang w:eastAsia="en-GB"/>
        </w:rPr>
        <w:t xml:space="preserve"> </w:t>
      </w:r>
      <w:r w:rsidR="0051158D" w:rsidRPr="001775D9">
        <w:rPr>
          <w:color w:val="000000"/>
          <w:szCs w:val="22"/>
        </w:rPr>
        <w:t>has not been studied in patients aged less than 2 years.</w:t>
      </w:r>
    </w:p>
    <w:p w14:paraId="0FB70D21" w14:textId="77777777" w:rsidR="007B3FB0" w:rsidRPr="001775D9" w:rsidRDefault="007B3FB0" w:rsidP="00FB5458">
      <w:pPr>
        <w:tabs>
          <w:tab w:val="clear" w:pos="567"/>
        </w:tabs>
        <w:autoSpaceDE w:val="0"/>
        <w:autoSpaceDN w:val="0"/>
        <w:adjustRightInd w:val="0"/>
        <w:spacing w:line="240" w:lineRule="auto"/>
        <w:rPr>
          <w:color w:val="000000"/>
          <w:szCs w:val="22"/>
        </w:rPr>
      </w:pPr>
    </w:p>
    <w:p w14:paraId="7C7F577E" w14:textId="77777777" w:rsidR="007B3FB0" w:rsidRPr="001775D9" w:rsidRDefault="007B3FB0" w:rsidP="00FB5458">
      <w:pPr>
        <w:tabs>
          <w:tab w:val="clear" w:pos="567"/>
        </w:tabs>
        <w:autoSpaceDE w:val="0"/>
        <w:autoSpaceDN w:val="0"/>
        <w:adjustRightInd w:val="0"/>
        <w:spacing w:line="240" w:lineRule="auto"/>
        <w:rPr>
          <w:i/>
          <w:color w:val="000000"/>
          <w:szCs w:val="22"/>
        </w:rPr>
      </w:pPr>
      <w:r w:rsidRPr="001775D9">
        <w:rPr>
          <w:i/>
          <w:color w:val="000000"/>
          <w:szCs w:val="22"/>
        </w:rPr>
        <w:t>Enthesitis-related arthritis</w:t>
      </w:r>
    </w:p>
    <w:p w14:paraId="3C4C78EE" w14:textId="77777777" w:rsidR="007B3FB0" w:rsidRPr="001775D9" w:rsidRDefault="007B3FB0" w:rsidP="00FB5458">
      <w:pPr>
        <w:tabs>
          <w:tab w:val="clear" w:pos="567"/>
        </w:tabs>
        <w:autoSpaceDE w:val="0"/>
        <w:autoSpaceDN w:val="0"/>
        <w:adjustRightInd w:val="0"/>
        <w:spacing w:line="240" w:lineRule="auto"/>
        <w:rPr>
          <w:color w:val="000000"/>
          <w:szCs w:val="22"/>
        </w:rPr>
      </w:pPr>
    </w:p>
    <w:p w14:paraId="5CC81B8D" w14:textId="77777777" w:rsidR="007B3FB0" w:rsidRPr="001775D9" w:rsidRDefault="007B3FB0" w:rsidP="00FB5458">
      <w:pPr>
        <w:tabs>
          <w:tab w:val="clear" w:pos="567"/>
        </w:tabs>
        <w:autoSpaceDE w:val="0"/>
        <w:autoSpaceDN w:val="0"/>
        <w:adjustRightInd w:val="0"/>
        <w:spacing w:line="240" w:lineRule="auto"/>
        <w:rPr>
          <w:color w:val="000000"/>
          <w:szCs w:val="22"/>
        </w:rPr>
      </w:pPr>
      <w:r w:rsidRPr="001775D9">
        <w:rPr>
          <w:color w:val="000000"/>
          <w:szCs w:val="22"/>
        </w:rPr>
        <w:t>AMGEVITA is indicated for the treatment of active enthesitis-related arthritis in patients, 6 years of age and older, who have had an inadequate response to, or who are intolerant of, conventional therapy (see section 5.1).</w:t>
      </w:r>
    </w:p>
    <w:p w14:paraId="03D5C8F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B8A7B6D"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Axial spondyloarthritis </w:t>
      </w:r>
    </w:p>
    <w:p w14:paraId="4AADCF13"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p>
    <w:p w14:paraId="08EDFAE0" w14:textId="77777777" w:rsidR="00C42229" w:rsidRPr="001775D9" w:rsidRDefault="00C42229" w:rsidP="00FB5458">
      <w:pPr>
        <w:keepNext/>
        <w:tabs>
          <w:tab w:val="clear" w:pos="567"/>
        </w:tabs>
        <w:autoSpaceDE w:val="0"/>
        <w:autoSpaceDN w:val="0"/>
        <w:adjustRightInd w:val="0"/>
        <w:spacing w:line="240" w:lineRule="auto"/>
        <w:rPr>
          <w:i/>
          <w:szCs w:val="22"/>
          <w:lang w:eastAsia="en-GB"/>
        </w:rPr>
      </w:pPr>
      <w:r w:rsidRPr="001775D9">
        <w:rPr>
          <w:i/>
          <w:szCs w:val="22"/>
          <w:lang w:eastAsia="en-GB"/>
        </w:rPr>
        <w:t xml:space="preserve">Ankylosing spondylitis (AS) </w:t>
      </w:r>
    </w:p>
    <w:p w14:paraId="2CBE173A" w14:textId="77777777" w:rsidR="00CC1A7C" w:rsidRPr="001775D9" w:rsidRDefault="00CC1A7C" w:rsidP="00FB5458">
      <w:pPr>
        <w:tabs>
          <w:tab w:val="clear" w:pos="567"/>
        </w:tabs>
        <w:autoSpaceDE w:val="0"/>
        <w:autoSpaceDN w:val="0"/>
        <w:adjustRightInd w:val="0"/>
        <w:spacing w:line="240" w:lineRule="auto"/>
        <w:rPr>
          <w:szCs w:val="22"/>
          <w:lang w:eastAsia="en-GB"/>
        </w:rPr>
      </w:pPr>
    </w:p>
    <w:p w14:paraId="138DDA39" w14:textId="77777777" w:rsidR="00C42229" w:rsidRPr="001775D9" w:rsidRDefault="00CC1A7C" w:rsidP="00FB5458">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lang w:eastAsia="en-GB"/>
        </w:rPr>
        <w:t xml:space="preserve"> </w:t>
      </w:r>
      <w:r w:rsidR="00C42229" w:rsidRPr="001775D9">
        <w:rPr>
          <w:szCs w:val="22"/>
          <w:lang w:eastAsia="en-GB"/>
        </w:rPr>
        <w:t xml:space="preserve">is indicated for the treatment of adults with severe active ankylosing spondylitis who have had an inadequate response to conventional therapy. </w:t>
      </w:r>
    </w:p>
    <w:p w14:paraId="43F9817E"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5E98EDF" w14:textId="77777777" w:rsidR="00C42229" w:rsidRPr="001775D9" w:rsidRDefault="00C42229" w:rsidP="00FB5458">
      <w:pPr>
        <w:tabs>
          <w:tab w:val="clear" w:pos="567"/>
        </w:tabs>
        <w:autoSpaceDE w:val="0"/>
        <w:autoSpaceDN w:val="0"/>
        <w:adjustRightInd w:val="0"/>
        <w:spacing w:line="240" w:lineRule="auto"/>
        <w:rPr>
          <w:i/>
          <w:szCs w:val="22"/>
          <w:lang w:eastAsia="en-GB"/>
        </w:rPr>
      </w:pPr>
      <w:r w:rsidRPr="001775D9">
        <w:rPr>
          <w:i/>
          <w:szCs w:val="22"/>
          <w:lang w:eastAsia="en-GB"/>
        </w:rPr>
        <w:t xml:space="preserve">Axial spondyloarthritis without radiographic evidence of AS </w:t>
      </w:r>
    </w:p>
    <w:p w14:paraId="7C1AE18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E4A835C" w14:textId="77777777" w:rsidR="00C42229" w:rsidRPr="001775D9" w:rsidRDefault="00CC1A7C" w:rsidP="00FB5458">
      <w:pPr>
        <w:tabs>
          <w:tab w:val="clear" w:pos="567"/>
        </w:tabs>
        <w:autoSpaceDE w:val="0"/>
        <w:autoSpaceDN w:val="0"/>
        <w:adjustRightInd w:val="0"/>
        <w:spacing w:line="240" w:lineRule="auto"/>
        <w:rPr>
          <w:szCs w:val="22"/>
          <w:u w:val="single"/>
          <w:lang w:eastAsia="en-GB"/>
        </w:rPr>
      </w:pPr>
      <w:r w:rsidRPr="001775D9">
        <w:rPr>
          <w:color w:val="000000"/>
          <w:szCs w:val="22"/>
          <w:lang w:eastAsia="en-GB"/>
        </w:rPr>
        <w:t>AMGEVITA</w:t>
      </w:r>
      <w:r w:rsidR="00C42229" w:rsidRPr="001775D9">
        <w:rPr>
          <w:szCs w:val="22"/>
          <w:lang w:eastAsia="en-GB"/>
        </w:rPr>
        <w:t xml:space="preserve"> is indicated for the treatment of adults with severe axial spondyloarthritis without radiographic evidence of AS but with objective signs of inflammation by elevated CRP and/or MRI, who have had an inadequate response to, or are intolerant to non</w:t>
      </w:r>
      <w:r w:rsidR="002C367E" w:rsidRPr="001775D9">
        <w:rPr>
          <w:szCs w:val="22"/>
          <w:lang w:eastAsia="en-GB"/>
        </w:rPr>
        <w:t>-</w:t>
      </w:r>
      <w:r w:rsidR="00C42229" w:rsidRPr="001775D9">
        <w:rPr>
          <w:szCs w:val="22"/>
          <w:lang w:eastAsia="en-GB"/>
        </w:rPr>
        <w:t>steroidal anti-inflammatory drugs.</w:t>
      </w:r>
    </w:p>
    <w:p w14:paraId="7B9E2461"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7CE693C5"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Psoriatic arthritis </w:t>
      </w:r>
    </w:p>
    <w:p w14:paraId="34BFFA8E" w14:textId="77777777" w:rsidR="00CC1A7C" w:rsidRPr="001775D9" w:rsidRDefault="00CC1A7C" w:rsidP="00FB5458">
      <w:pPr>
        <w:tabs>
          <w:tab w:val="clear" w:pos="567"/>
        </w:tabs>
        <w:autoSpaceDE w:val="0"/>
        <w:autoSpaceDN w:val="0"/>
        <w:adjustRightInd w:val="0"/>
        <w:spacing w:line="240" w:lineRule="auto"/>
        <w:rPr>
          <w:szCs w:val="22"/>
          <w:lang w:eastAsia="en-GB"/>
        </w:rPr>
      </w:pPr>
    </w:p>
    <w:p w14:paraId="43FBFB84" w14:textId="2A605C51" w:rsidR="00C42229" w:rsidRPr="001775D9" w:rsidRDefault="00CC1A7C" w:rsidP="00FB5458">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lang w:eastAsia="en-GB"/>
        </w:rPr>
        <w:t xml:space="preserve"> </w:t>
      </w:r>
      <w:r w:rsidR="00C42229" w:rsidRPr="001775D9">
        <w:rPr>
          <w:szCs w:val="22"/>
          <w:lang w:eastAsia="en-GB"/>
        </w:rPr>
        <w:t xml:space="preserve">is indicated for the treatment of active and progressive psoriatic arthritis in adults when the response to previous </w:t>
      </w:r>
      <w:r w:rsidR="00E26517" w:rsidRPr="001775D9">
        <w:rPr>
          <w:szCs w:val="22"/>
          <w:lang w:eastAsia="en-GB"/>
        </w:rPr>
        <w:t>DMARD</w:t>
      </w:r>
      <w:r w:rsidR="00C42229" w:rsidRPr="001775D9">
        <w:rPr>
          <w:szCs w:val="22"/>
          <w:lang w:eastAsia="en-GB"/>
        </w:rPr>
        <w:t xml:space="preserve"> therapy has been inadequate. </w:t>
      </w:r>
      <w:r w:rsidRPr="001775D9">
        <w:rPr>
          <w:color w:val="000000"/>
          <w:szCs w:val="22"/>
          <w:lang w:eastAsia="en-GB"/>
        </w:rPr>
        <w:t>AMGEVITA</w:t>
      </w:r>
      <w:r w:rsidR="005F03FE" w:rsidRPr="001775D9">
        <w:rPr>
          <w:szCs w:val="22"/>
          <w:lang w:eastAsia="en-GB"/>
        </w:rPr>
        <w:t xml:space="preserve"> </w:t>
      </w:r>
      <w:r w:rsidR="003D4634" w:rsidRPr="001775D9">
        <w:rPr>
          <w:szCs w:val="22"/>
          <w:lang w:eastAsia="en-GB"/>
        </w:rPr>
        <w:t>reduces</w:t>
      </w:r>
      <w:r w:rsidR="00C42229" w:rsidRPr="001775D9">
        <w:rPr>
          <w:szCs w:val="22"/>
          <w:lang w:eastAsia="en-GB"/>
        </w:rPr>
        <w:t xml:space="preserve"> the rate of progression of peripheral joint damage as measured by </w:t>
      </w:r>
      <w:r w:rsidR="00BA4A0C" w:rsidRPr="001775D9">
        <w:rPr>
          <w:szCs w:val="22"/>
          <w:lang w:eastAsia="en-GB"/>
        </w:rPr>
        <w:t>x</w:t>
      </w:r>
      <w:r w:rsidR="00C42229" w:rsidRPr="001775D9">
        <w:rPr>
          <w:szCs w:val="22"/>
          <w:lang w:eastAsia="en-GB"/>
        </w:rPr>
        <w:t xml:space="preserve">-ray in patients with polyarticular symmetrical subtypes of the disease (see </w:t>
      </w:r>
      <w:r w:rsidR="00823FB6" w:rsidRPr="001775D9">
        <w:rPr>
          <w:szCs w:val="22"/>
          <w:lang w:eastAsia="en-GB"/>
        </w:rPr>
        <w:t>s</w:t>
      </w:r>
      <w:r w:rsidR="00C42229" w:rsidRPr="001775D9">
        <w:rPr>
          <w:szCs w:val="22"/>
          <w:lang w:eastAsia="en-GB"/>
        </w:rPr>
        <w:t xml:space="preserve">ection 5.1) and </w:t>
      </w:r>
      <w:r w:rsidR="003D4634" w:rsidRPr="001775D9">
        <w:rPr>
          <w:szCs w:val="22"/>
          <w:lang w:eastAsia="en-GB"/>
        </w:rPr>
        <w:t>improves</w:t>
      </w:r>
      <w:r w:rsidR="00C42229" w:rsidRPr="001775D9">
        <w:rPr>
          <w:szCs w:val="22"/>
          <w:lang w:eastAsia="en-GB"/>
        </w:rPr>
        <w:t xml:space="preserve"> physical function. </w:t>
      </w:r>
    </w:p>
    <w:p w14:paraId="34ECE04E"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7E65D2A5"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Psoriasis </w:t>
      </w:r>
    </w:p>
    <w:p w14:paraId="234EFAA1" w14:textId="77777777" w:rsidR="00CC1A7C" w:rsidRPr="001775D9" w:rsidRDefault="00CC1A7C" w:rsidP="00FB5458">
      <w:pPr>
        <w:tabs>
          <w:tab w:val="clear" w:pos="567"/>
        </w:tabs>
        <w:autoSpaceDE w:val="0"/>
        <w:autoSpaceDN w:val="0"/>
        <w:adjustRightInd w:val="0"/>
        <w:spacing w:line="240" w:lineRule="auto"/>
        <w:rPr>
          <w:szCs w:val="22"/>
          <w:lang w:eastAsia="en-GB"/>
        </w:rPr>
      </w:pPr>
    </w:p>
    <w:p w14:paraId="27F1C18A" w14:textId="77777777" w:rsidR="005C5B30" w:rsidRPr="001775D9" w:rsidRDefault="00CC1A7C" w:rsidP="00FB5458">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00C42229" w:rsidRPr="001775D9">
        <w:rPr>
          <w:szCs w:val="22"/>
          <w:lang w:eastAsia="en-GB"/>
        </w:rPr>
        <w:t xml:space="preserve"> is indicated for the treatment of moderate to severe chronic plaque psoriasis in adult patients who </w:t>
      </w:r>
      <w:r w:rsidR="008E5C3A" w:rsidRPr="001775D9">
        <w:rPr>
          <w:szCs w:val="22"/>
          <w:lang w:eastAsia="en-GB"/>
        </w:rPr>
        <w:t>are candidates for systemic therapy.</w:t>
      </w:r>
      <w:r w:rsidR="00B03F12" w:rsidRPr="001775D9">
        <w:rPr>
          <w:szCs w:val="22"/>
          <w:lang w:eastAsia="en-GB"/>
        </w:rPr>
        <w:t xml:space="preserve"> </w:t>
      </w:r>
    </w:p>
    <w:p w14:paraId="009A96D1" w14:textId="77777777" w:rsidR="005C5B30" w:rsidRPr="001775D9" w:rsidRDefault="005C5B30" w:rsidP="00FB5458">
      <w:pPr>
        <w:tabs>
          <w:tab w:val="clear" w:pos="567"/>
        </w:tabs>
        <w:autoSpaceDE w:val="0"/>
        <w:autoSpaceDN w:val="0"/>
        <w:adjustRightInd w:val="0"/>
        <w:spacing w:line="240" w:lineRule="auto"/>
        <w:rPr>
          <w:szCs w:val="22"/>
          <w:lang w:eastAsia="en-GB"/>
        </w:rPr>
      </w:pPr>
    </w:p>
    <w:p w14:paraId="45986E92" w14:textId="77777777" w:rsidR="001A5307" w:rsidRPr="001775D9" w:rsidRDefault="001A5307"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Paediatric plaque psoriasis </w:t>
      </w:r>
    </w:p>
    <w:p w14:paraId="03D6BC0C" w14:textId="77777777" w:rsidR="00CC1A7C" w:rsidRPr="001775D9" w:rsidRDefault="00CC1A7C" w:rsidP="00FB5458">
      <w:pPr>
        <w:tabs>
          <w:tab w:val="clear" w:pos="567"/>
        </w:tabs>
        <w:autoSpaceDE w:val="0"/>
        <w:autoSpaceDN w:val="0"/>
        <w:adjustRightInd w:val="0"/>
        <w:spacing w:line="240" w:lineRule="auto"/>
        <w:rPr>
          <w:szCs w:val="22"/>
          <w:lang w:eastAsia="en-GB"/>
        </w:rPr>
      </w:pPr>
    </w:p>
    <w:p w14:paraId="5FF8D19A" w14:textId="77777777" w:rsidR="001A5307" w:rsidRPr="001775D9" w:rsidRDefault="00CC1A7C" w:rsidP="00FB5458">
      <w:pPr>
        <w:tabs>
          <w:tab w:val="clear" w:pos="567"/>
        </w:tabs>
        <w:autoSpaceDE w:val="0"/>
        <w:autoSpaceDN w:val="0"/>
        <w:adjustRightInd w:val="0"/>
        <w:spacing w:line="240" w:lineRule="auto"/>
        <w:rPr>
          <w:szCs w:val="22"/>
        </w:rPr>
      </w:pPr>
      <w:r w:rsidRPr="001775D9">
        <w:rPr>
          <w:color w:val="000000"/>
          <w:szCs w:val="22"/>
          <w:lang w:eastAsia="en-GB"/>
        </w:rPr>
        <w:t>AMGEVITA</w:t>
      </w:r>
      <w:r w:rsidRPr="001775D9">
        <w:rPr>
          <w:szCs w:val="22"/>
        </w:rPr>
        <w:t xml:space="preserve"> </w:t>
      </w:r>
      <w:r w:rsidR="001A5307" w:rsidRPr="001775D9">
        <w:rPr>
          <w:szCs w:val="22"/>
        </w:rPr>
        <w:t xml:space="preserve">is indicated for the treatment of severe chronic plaque psoriasis in children and adolescents </w:t>
      </w:r>
      <w:r w:rsidR="00193D18" w:rsidRPr="001775D9">
        <w:rPr>
          <w:szCs w:val="22"/>
        </w:rPr>
        <w:t xml:space="preserve">from 4 years of age </w:t>
      </w:r>
      <w:r w:rsidR="001A5307" w:rsidRPr="001775D9">
        <w:rPr>
          <w:szCs w:val="22"/>
        </w:rPr>
        <w:t>who have had an inadequate response to or are inappropriate candidates for topical therapy and phototherapies.</w:t>
      </w:r>
    </w:p>
    <w:p w14:paraId="678DF874" w14:textId="77777777" w:rsidR="0051158D" w:rsidRPr="001775D9" w:rsidRDefault="0051158D" w:rsidP="00FB5458">
      <w:pPr>
        <w:tabs>
          <w:tab w:val="clear" w:pos="567"/>
        </w:tabs>
        <w:autoSpaceDE w:val="0"/>
        <w:autoSpaceDN w:val="0"/>
        <w:adjustRightInd w:val="0"/>
        <w:spacing w:line="240" w:lineRule="auto"/>
        <w:rPr>
          <w:szCs w:val="22"/>
        </w:rPr>
      </w:pPr>
    </w:p>
    <w:p w14:paraId="4C816F7A" w14:textId="77777777" w:rsidR="0051158D" w:rsidRPr="001775D9" w:rsidRDefault="0051158D" w:rsidP="00FB5458">
      <w:pPr>
        <w:keepNext/>
        <w:shd w:val="clear" w:color="auto" w:fill="FFFFFF"/>
        <w:tabs>
          <w:tab w:val="clear" w:pos="567"/>
        </w:tabs>
        <w:spacing w:line="240" w:lineRule="auto"/>
        <w:rPr>
          <w:rFonts w:eastAsia="Times New Roman"/>
          <w:color w:val="000000"/>
          <w:szCs w:val="22"/>
          <w:u w:val="single"/>
        </w:rPr>
      </w:pPr>
      <w:r w:rsidRPr="001775D9">
        <w:rPr>
          <w:rFonts w:eastAsia="Times New Roman"/>
          <w:color w:val="000000"/>
          <w:szCs w:val="22"/>
          <w:u w:val="single"/>
        </w:rPr>
        <w:t>Hidradenitis suppurativa (HS)</w:t>
      </w:r>
    </w:p>
    <w:p w14:paraId="1C9E8665" w14:textId="77777777" w:rsidR="00CC1A7C" w:rsidRPr="001775D9" w:rsidRDefault="00CC1A7C" w:rsidP="00FB5458">
      <w:pPr>
        <w:keepNext/>
        <w:tabs>
          <w:tab w:val="clear" w:pos="567"/>
        </w:tabs>
        <w:autoSpaceDE w:val="0"/>
        <w:autoSpaceDN w:val="0"/>
        <w:adjustRightInd w:val="0"/>
        <w:spacing w:line="240" w:lineRule="auto"/>
        <w:rPr>
          <w:szCs w:val="22"/>
          <w:lang w:eastAsia="en-GB"/>
        </w:rPr>
      </w:pPr>
    </w:p>
    <w:p w14:paraId="089699D3" w14:textId="77777777" w:rsidR="0051158D" w:rsidRPr="001775D9" w:rsidRDefault="00CC1A7C" w:rsidP="00FB5458">
      <w:pPr>
        <w:keepNext/>
        <w:shd w:val="clear" w:color="auto" w:fill="FFFFFF"/>
        <w:tabs>
          <w:tab w:val="clear" w:pos="567"/>
        </w:tabs>
        <w:spacing w:line="240" w:lineRule="auto"/>
        <w:rPr>
          <w:rFonts w:eastAsia="Times New Roman"/>
          <w:color w:val="000000"/>
          <w:szCs w:val="22"/>
        </w:rPr>
      </w:pPr>
      <w:r w:rsidRPr="001775D9">
        <w:rPr>
          <w:color w:val="000000"/>
          <w:szCs w:val="22"/>
          <w:lang w:eastAsia="en-GB"/>
        </w:rPr>
        <w:t>AMGEVITA</w:t>
      </w:r>
      <w:r w:rsidRPr="001775D9">
        <w:rPr>
          <w:szCs w:val="22"/>
        </w:rPr>
        <w:t xml:space="preserve"> </w:t>
      </w:r>
      <w:r w:rsidR="0051158D" w:rsidRPr="001775D9">
        <w:rPr>
          <w:rFonts w:eastAsia="Times New Roman"/>
          <w:color w:val="000000"/>
          <w:szCs w:val="22"/>
        </w:rPr>
        <w:t xml:space="preserve">is indicated for the treatment of active moderate to severe hidradenitis suppurativa (acne inversa) </w:t>
      </w:r>
      <w:r w:rsidR="00BE1294" w:rsidRPr="001775D9">
        <w:rPr>
          <w:rFonts w:eastAsia="Times New Roman"/>
          <w:color w:val="000000"/>
          <w:szCs w:val="22"/>
        </w:rPr>
        <w:t xml:space="preserve">in adults and adolescents from 12 years of age </w:t>
      </w:r>
      <w:r w:rsidR="0051158D" w:rsidRPr="001775D9">
        <w:rPr>
          <w:rFonts w:eastAsia="Times New Roman"/>
          <w:color w:val="000000"/>
          <w:szCs w:val="22"/>
        </w:rPr>
        <w:t xml:space="preserve">with an inadequate response to conventional systemic HS </w:t>
      </w:r>
      <w:r w:rsidR="00BE1294" w:rsidRPr="001775D9">
        <w:rPr>
          <w:rFonts w:eastAsia="Times New Roman"/>
          <w:color w:val="000000"/>
          <w:szCs w:val="22"/>
        </w:rPr>
        <w:t>therapy (see sections 5.1 and 5.2).</w:t>
      </w:r>
    </w:p>
    <w:p w14:paraId="1497F1EC" w14:textId="77777777" w:rsidR="001A5307" w:rsidRPr="001775D9" w:rsidRDefault="001A5307" w:rsidP="00FB5458">
      <w:pPr>
        <w:tabs>
          <w:tab w:val="clear" w:pos="567"/>
        </w:tabs>
        <w:autoSpaceDE w:val="0"/>
        <w:autoSpaceDN w:val="0"/>
        <w:adjustRightInd w:val="0"/>
        <w:spacing w:line="240" w:lineRule="auto"/>
        <w:rPr>
          <w:szCs w:val="22"/>
          <w:u w:val="single"/>
          <w:lang w:eastAsia="en-GB"/>
        </w:rPr>
      </w:pPr>
    </w:p>
    <w:p w14:paraId="24289C0A"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Crohn’s disease </w:t>
      </w:r>
    </w:p>
    <w:p w14:paraId="44F6F30A" w14:textId="77777777" w:rsidR="00CC1A7C" w:rsidRPr="001775D9" w:rsidRDefault="00CC1A7C" w:rsidP="00FB5458">
      <w:pPr>
        <w:keepNext/>
        <w:tabs>
          <w:tab w:val="clear" w:pos="567"/>
        </w:tabs>
        <w:autoSpaceDE w:val="0"/>
        <w:autoSpaceDN w:val="0"/>
        <w:adjustRightInd w:val="0"/>
        <w:spacing w:line="240" w:lineRule="auto"/>
        <w:rPr>
          <w:szCs w:val="22"/>
          <w:lang w:eastAsia="en-GB"/>
        </w:rPr>
      </w:pPr>
    </w:p>
    <w:p w14:paraId="50D6A471" w14:textId="77777777" w:rsidR="00C42229" w:rsidRPr="001775D9" w:rsidRDefault="00CC1A7C" w:rsidP="00FB5458">
      <w:pPr>
        <w:keepNext/>
        <w:tabs>
          <w:tab w:val="clear" w:pos="567"/>
        </w:tabs>
        <w:autoSpaceDE w:val="0"/>
        <w:autoSpaceDN w:val="0"/>
        <w:adjustRightInd w:val="0"/>
        <w:spacing w:line="240" w:lineRule="auto"/>
        <w:rPr>
          <w:szCs w:val="22"/>
          <w:u w:val="single"/>
          <w:lang w:eastAsia="en-GB"/>
        </w:rPr>
      </w:pPr>
      <w:r w:rsidRPr="001775D9">
        <w:rPr>
          <w:color w:val="000000"/>
          <w:szCs w:val="22"/>
          <w:lang w:eastAsia="en-GB"/>
        </w:rPr>
        <w:t>AMGEVITA</w:t>
      </w:r>
      <w:r w:rsidRPr="001775D9">
        <w:rPr>
          <w:szCs w:val="22"/>
        </w:rPr>
        <w:t xml:space="preserve"> </w:t>
      </w:r>
      <w:r w:rsidR="00C42229" w:rsidRPr="001775D9">
        <w:rPr>
          <w:szCs w:val="22"/>
          <w:lang w:eastAsia="en-GB"/>
        </w:rPr>
        <w:t>is indicated for treatment of moderately to severely active Crohn’s disease, in adult patients who have not responded despite a full and adequate course of therapy with a corticosteroid and/or an immunosuppressant; or who are intolerant to or have medical contraindications for such therapies.</w:t>
      </w:r>
    </w:p>
    <w:p w14:paraId="556F6CC6" w14:textId="77777777" w:rsidR="00140B73" w:rsidRPr="001775D9" w:rsidRDefault="00140B73" w:rsidP="00FB5458">
      <w:pPr>
        <w:tabs>
          <w:tab w:val="clear" w:pos="567"/>
        </w:tabs>
        <w:autoSpaceDE w:val="0"/>
        <w:autoSpaceDN w:val="0"/>
        <w:adjustRightInd w:val="0"/>
        <w:spacing w:line="240" w:lineRule="auto"/>
        <w:rPr>
          <w:szCs w:val="22"/>
          <w:u w:val="single"/>
          <w:lang w:eastAsia="en-GB"/>
        </w:rPr>
      </w:pPr>
    </w:p>
    <w:p w14:paraId="2EACCD16"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Paediatric Crohn's disease </w:t>
      </w:r>
    </w:p>
    <w:p w14:paraId="364480B6" w14:textId="77777777" w:rsidR="00CC1A7C" w:rsidRPr="001775D9" w:rsidRDefault="00CC1A7C" w:rsidP="00FB5458">
      <w:pPr>
        <w:keepNext/>
        <w:tabs>
          <w:tab w:val="clear" w:pos="567"/>
        </w:tabs>
        <w:autoSpaceDE w:val="0"/>
        <w:autoSpaceDN w:val="0"/>
        <w:adjustRightInd w:val="0"/>
        <w:spacing w:line="240" w:lineRule="auto"/>
        <w:rPr>
          <w:szCs w:val="22"/>
          <w:lang w:eastAsia="en-GB"/>
        </w:rPr>
      </w:pPr>
    </w:p>
    <w:p w14:paraId="7D0A9709" w14:textId="77777777" w:rsidR="00C42229" w:rsidRPr="001775D9" w:rsidRDefault="00CC1A7C" w:rsidP="00FB5458">
      <w:pPr>
        <w:keepNext/>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rPr>
        <w:t xml:space="preserve"> </w:t>
      </w:r>
      <w:r w:rsidR="00C42229" w:rsidRPr="001775D9">
        <w:rPr>
          <w:szCs w:val="22"/>
          <w:lang w:eastAsia="en-GB"/>
        </w:rPr>
        <w:t xml:space="preserve">is indicated for the treatment of </w:t>
      </w:r>
      <w:r w:rsidR="00FE70D4" w:rsidRPr="001775D9">
        <w:rPr>
          <w:szCs w:val="22"/>
          <w:lang w:eastAsia="en-GB"/>
        </w:rPr>
        <w:t xml:space="preserve">moderately to </w:t>
      </w:r>
      <w:r w:rsidR="00C42229" w:rsidRPr="001775D9">
        <w:rPr>
          <w:szCs w:val="22"/>
          <w:lang w:eastAsia="en-GB"/>
        </w:rPr>
        <w:t>severe</w:t>
      </w:r>
      <w:r w:rsidR="00FE70D4" w:rsidRPr="001775D9">
        <w:rPr>
          <w:szCs w:val="22"/>
          <w:lang w:eastAsia="en-GB"/>
        </w:rPr>
        <w:t>ly</w:t>
      </w:r>
      <w:r w:rsidR="00C42229" w:rsidRPr="001775D9">
        <w:rPr>
          <w:szCs w:val="22"/>
          <w:lang w:eastAsia="en-GB"/>
        </w:rPr>
        <w:t xml:space="preserve"> active Crohn's disease in paediatric patients (from 6 years of age) who have had an inadequate response to conventional therapy including primary nutrition </w:t>
      </w:r>
      <w:r w:rsidR="003D4634" w:rsidRPr="001775D9">
        <w:rPr>
          <w:szCs w:val="22"/>
          <w:lang w:eastAsia="en-GB"/>
        </w:rPr>
        <w:t xml:space="preserve">therapy </w:t>
      </w:r>
      <w:bookmarkStart w:id="82" w:name="_Hlk528759787"/>
      <w:r w:rsidR="003D4634" w:rsidRPr="001775D9">
        <w:rPr>
          <w:szCs w:val="22"/>
          <w:lang w:eastAsia="en-GB"/>
        </w:rPr>
        <w:t>and a corticosteroid and/or</w:t>
      </w:r>
      <w:bookmarkEnd w:id="82"/>
      <w:r w:rsidR="003D4634" w:rsidRPr="001775D9">
        <w:rPr>
          <w:szCs w:val="22"/>
          <w:lang w:eastAsia="en-GB"/>
        </w:rPr>
        <w:t xml:space="preserve"> </w:t>
      </w:r>
      <w:r w:rsidR="00C42229" w:rsidRPr="001775D9">
        <w:rPr>
          <w:szCs w:val="22"/>
          <w:lang w:eastAsia="en-GB"/>
        </w:rPr>
        <w:t xml:space="preserve">an immunomodulator, or who are intolerant to or have contraindications for such therapies. </w:t>
      </w:r>
    </w:p>
    <w:p w14:paraId="1A513B11"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3953CC53"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Ulcerative colitis </w:t>
      </w:r>
    </w:p>
    <w:p w14:paraId="5ED25B20" w14:textId="77777777" w:rsidR="00CC1A7C" w:rsidRPr="001775D9" w:rsidRDefault="00CC1A7C" w:rsidP="00FB5458">
      <w:pPr>
        <w:tabs>
          <w:tab w:val="clear" w:pos="567"/>
        </w:tabs>
        <w:autoSpaceDE w:val="0"/>
        <w:autoSpaceDN w:val="0"/>
        <w:adjustRightInd w:val="0"/>
        <w:spacing w:line="240" w:lineRule="auto"/>
        <w:rPr>
          <w:szCs w:val="22"/>
          <w:lang w:eastAsia="en-GB"/>
        </w:rPr>
      </w:pPr>
    </w:p>
    <w:p w14:paraId="46FEC5B3" w14:textId="667B968A" w:rsidR="007B3FB0" w:rsidRPr="001775D9" w:rsidRDefault="00CC1A7C" w:rsidP="00FB5458">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rPr>
        <w:t xml:space="preserve"> </w:t>
      </w:r>
      <w:r w:rsidR="00C42229" w:rsidRPr="001775D9">
        <w:rPr>
          <w:szCs w:val="22"/>
          <w:lang w:eastAsia="en-GB"/>
        </w:rPr>
        <w:t>is indicated for treatment of moderately to severely active ulcerative colitis in adult patients who have had an inadequate response to conventional therapy including corticosteroids and 6-mercaptopurine (6-MP) or azathioprine (AZA), or who are intolerant to or have medical contraindications for such therapies.</w:t>
      </w:r>
    </w:p>
    <w:p w14:paraId="36F32D29" w14:textId="77777777" w:rsidR="009A3433" w:rsidRPr="001775D9" w:rsidRDefault="009A3433" w:rsidP="00FB5458">
      <w:pPr>
        <w:tabs>
          <w:tab w:val="clear" w:pos="567"/>
        </w:tabs>
        <w:autoSpaceDE w:val="0"/>
        <w:autoSpaceDN w:val="0"/>
        <w:adjustRightInd w:val="0"/>
        <w:spacing w:line="240" w:lineRule="auto"/>
        <w:rPr>
          <w:szCs w:val="22"/>
          <w:lang w:eastAsia="en-GB"/>
        </w:rPr>
      </w:pPr>
    </w:p>
    <w:p w14:paraId="2A183C29" w14:textId="77777777" w:rsidR="005D1775" w:rsidRPr="001775D9" w:rsidRDefault="005D1775" w:rsidP="005D1775">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Paediatric ulcerative colitis</w:t>
      </w:r>
    </w:p>
    <w:p w14:paraId="7EC8C88F" w14:textId="77777777" w:rsidR="005D1775" w:rsidRPr="001775D9" w:rsidRDefault="005D1775" w:rsidP="005D1775">
      <w:pPr>
        <w:keepNext/>
        <w:tabs>
          <w:tab w:val="clear" w:pos="567"/>
        </w:tabs>
        <w:autoSpaceDE w:val="0"/>
        <w:autoSpaceDN w:val="0"/>
        <w:adjustRightInd w:val="0"/>
        <w:spacing w:line="240" w:lineRule="auto"/>
        <w:rPr>
          <w:szCs w:val="22"/>
          <w:u w:val="single"/>
          <w:lang w:eastAsia="en-GB"/>
        </w:rPr>
      </w:pPr>
    </w:p>
    <w:p w14:paraId="77C303B7" w14:textId="77777777" w:rsidR="005D1775" w:rsidRPr="001775D9" w:rsidRDefault="00987358" w:rsidP="005D177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AMGEVITA</w:t>
      </w:r>
      <w:r w:rsidR="005D1775" w:rsidRPr="001775D9">
        <w:rPr>
          <w:color w:val="000000"/>
          <w:szCs w:val="22"/>
          <w:lang w:eastAsia="en-GB"/>
        </w:rPr>
        <w:t xml:space="preserve"> is indicated for the treatment of moderately to severely active ulcerative colitis in paediatric</w:t>
      </w:r>
      <w:r w:rsidRPr="001775D9">
        <w:rPr>
          <w:color w:val="000000"/>
          <w:szCs w:val="22"/>
          <w:lang w:eastAsia="en-GB"/>
        </w:rPr>
        <w:t xml:space="preserve"> </w:t>
      </w:r>
      <w:r w:rsidR="005D1775" w:rsidRPr="001775D9">
        <w:rPr>
          <w:color w:val="000000"/>
          <w:szCs w:val="22"/>
          <w:lang w:eastAsia="en-GB"/>
        </w:rPr>
        <w:t>patients (from 6 years of age) who have had an inadequate response to conventional therapy including</w:t>
      </w:r>
      <w:r w:rsidRPr="001775D9">
        <w:rPr>
          <w:color w:val="000000"/>
          <w:szCs w:val="22"/>
          <w:lang w:eastAsia="en-GB"/>
        </w:rPr>
        <w:t xml:space="preserve"> </w:t>
      </w:r>
      <w:r w:rsidR="005D1775" w:rsidRPr="001775D9">
        <w:rPr>
          <w:color w:val="000000"/>
          <w:szCs w:val="22"/>
          <w:lang w:eastAsia="en-GB"/>
        </w:rPr>
        <w:t>corticosteroids and/or 6-mercaptopurine (6-MP) or azathioprine (AZA), or who are intolerant to or have medical contraindications for such therapies.</w:t>
      </w:r>
    </w:p>
    <w:p w14:paraId="0F7287BB" w14:textId="77777777" w:rsidR="005D1775" w:rsidRPr="001775D9" w:rsidRDefault="005D1775" w:rsidP="00FB5458">
      <w:pPr>
        <w:keepNext/>
        <w:tabs>
          <w:tab w:val="clear" w:pos="567"/>
        </w:tabs>
        <w:autoSpaceDE w:val="0"/>
        <w:autoSpaceDN w:val="0"/>
        <w:adjustRightInd w:val="0"/>
        <w:spacing w:line="240" w:lineRule="auto"/>
        <w:rPr>
          <w:szCs w:val="22"/>
          <w:u w:val="single"/>
          <w:lang w:eastAsia="en-GB"/>
        </w:rPr>
      </w:pPr>
    </w:p>
    <w:p w14:paraId="37CDDB57" w14:textId="77777777" w:rsidR="007B3FB0" w:rsidRPr="001775D9" w:rsidRDefault="007B3FB0"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Uveitis</w:t>
      </w:r>
    </w:p>
    <w:p w14:paraId="6F645A3D" w14:textId="77777777" w:rsidR="007B3FB0" w:rsidRPr="001775D9" w:rsidRDefault="007B3FB0" w:rsidP="00FB5458">
      <w:pPr>
        <w:keepNext/>
        <w:tabs>
          <w:tab w:val="clear" w:pos="567"/>
        </w:tabs>
        <w:autoSpaceDE w:val="0"/>
        <w:autoSpaceDN w:val="0"/>
        <w:adjustRightInd w:val="0"/>
        <w:spacing w:line="240" w:lineRule="auto"/>
        <w:rPr>
          <w:szCs w:val="22"/>
          <w:u w:val="single"/>
          <w:lang w:eastAsia="en-GB"/>
        </w:rPr>
      </w:pPr>
    </w:p>
    <w:p w14:paraId="77E6DADB" w14:textId="77777777" w:rsidR="007B3FB0" w:rsidRPr="001775D9" w:rsidRDefault="007B3FB0" w:rsidP="00FB5458">
      <w:pPr>
        <w:keepNext/>
        <w:tabs>
          <w:tab w:val="clear" w:pos="567"/>
        </w:tabs>
        <w:autoSpaceDE w:val="0"/>
        <w:autoSpaceDN w:val="0"/>
        <w:adjustRightInd w:val="0"/>
        <w:spacing w:line="240" w:lineRule="auto"/>
        <w:rPr>
          <w:szCs w:val="22"/>
          <w:lang w:eastAsia="en-GB"/>
        </w:rPr>
      </w:pPr>
      <w:r w:rsidRPr="001775D9">
        <w:rPr>
          <w:szCs w:val="22"/>
          <w:lang w:eastAsia="en-GB"/>
        </w:rPr>
        <w:t>AMGEVITA is indicated for the treatment of non-infectious intermediate, posterior and panuveitis in adult patients who have had an inadequate response to corticosteroids, in patients in need of corticosteroid-sparing, or in whom corticosteroid treatment is inappropriate.</w:t>
      </w:r>
    </w:p>
    <w:p w14:paraId="6E66F7C5"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7F3C3646" w14:textId="77777777" w:rsidR="00BE1294" w:rsidRPr="001775D9" w:rsidRDefault="00BE1294" w:rsidP="00BE1294">
      <w:pPr>
        <w:keepNext/>
        <w:tabs>
          <w:tab w:val="clear" w:pos="567"/>
          <w:tab w:val="left" w:pos="720"/>
        </w:tabs>
        <w:autoSpaceDE w:val="0"/>
        <w:autoSpaceDN w:val="0"/>
        <w:adjustRightInd w:val="0"/>
        <w:spacing w:line="240" w:lineRule="auto"/>
        <w:rPr>
          <w:szCs w:val="22"/>
          <w:u w:val="single"/>
          <w:lang w:eastAsia="en-GB"/>
        </w:rPr>
      </w:pPr>
      <w:r w:rsidRPr="001775D9">
        <w:rPr>
          <w:szCs w:val="22"/>
          <w:u w:val="single"/>
          <w:lang w:eastAsia="en-GB"/>
        </w:rPr>
        <w:t xml:space="preserve">Paediatric </w:t>
      </w:r>
      <w:r w:rsidR="006D2088" w:rsidRPr="001775D9">
        <w:rPr>
          <w:szCs w:val="22"/>
          <w:u w:val="single"/>
          <w:lang w:eastAsia="en-GB"/>
        </w:rPr>
        <w:t>u</w:t>
      </w:r>
      <w:r w:rsidRPr="001775D9">
        <w:rPr>
          <w:szCs w:val="22"/>
          <w:u w:val="single"/>
          <w:lang w:eastAsia="en-GB"/>
        </w:rPr>
        <w:t>veitis</w:t>
      </w:r>
    </w:p>
    <w:p w14:paraId="43FB296B" w14:textId="77777777" w:rsidR="003315EE" w:rsidRPr="001775D9" w:rsidRDefault="003315EE" w:rsidP="00BE1294">
      <w:pPr>
        <w:keepNext/>
        <w:tabs>
          <w:tab w:val="clear" w:pos="567"/>
          <w:tab w:val="left" w:pos="720"/>
        </w:tabs>
        <w:autoSpaceDE w:val="0"/>
        <w:autoSpaceDN w:val="0"/>
        <w:adjustRightInd w:val="0"/>
        <w:spacing w:line="240" w:lineRule="auto"/>
        <w:rPr>
          <w:szCs w:val="22"/>
          <w:u w:val="single"/>
          <w:lang w:eastAsia="en-GB"/>
        </w:rPr>
      </w:pPr>
    </w:p>
    <w:p w14:paraId="1570CFCE" w14:textId="77777777" w:rsidR="00BE1294" w:rsidRPr="001775D9" w:rsidRDefault="00BE1294" w:rsidP="00BE1294">
      <w:pPr>
        <w:keepNext/>
        <w:tabs>
          <w:tab w:val="clear" w:pos="567"/>
          <w:tab w:val="left" w:pos="720"/>
        </w:tabs>
        <w:autoSpaceDE w:val="0"/>
        <w:autoSpaceDN w:val="0"/>
        <w:adjustRightInd w:val="0"/>
        <w:spacing w:line="240" w:lineRule="auto"/>
        <w:rPr>
          <w:szCs w:val="22"/>
          <w:lang w:eastAsia="en-GB"/>
        </w:rPr>
      </w:pPr>
      <w:r w:rsidRPr="001775D9">
        <w:rPr>
          <w:szCs w:val="22"/>
          <w:lang w:eastAsia="en-GB"/>
        </w:rPr>
        <w:t>AMGEVITA is indicated for the treatment of paediatric chronic non-infectious anterior uveitis in patients from 2 years of age who have had an inadequate response to or are intolerant to conventional therapy, or in whom conventional therapy is inappropriate.</w:t>
      </w:r>
    </w:p>
    <w:p w14:paraId="23E0D4D3" w14:textId="77777777" w:rsidR="00BE1294" w:rsidRPr="001775D9" w:rsidRDefault="00BE1294" w:rsidP="00FB5458">
      <w:pPr>
        <w:tabs>
          <w:tab w:val="clear" w:pos="567"/>
        </w:tabs>
        <w:autoSpaceDE w:val="0"/>
        <w:autoSpaceDN w:val="0"/>
        <w:adjustRightInd w:val="0"/>
        <w:spacing w:line="240" w:lineRule="auto"/>
        <w:rPr>
          <w:b/>
          <w:bCs/>
          <w:szCs w:val="22"/>
          <w:lang w:eastAsia="en-GB"/>
        </w:rPr>
      </w:pPr>
    </w:p>
    <w:p w14:paraId="035164F8" w14:textId="281324AA" w:rsidR="00C42229" w:rsidRPr="001775D9" w:rsidRDefault="00C42229" w:rsidP="00B61D9D">
      <w:pPr>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4.2</w:t>
      </w:r>
      <w:r w:rsidRPr="001775D9">
        <w:rPr>
          <w:b/>
          <w:bCs/>
          <w:szCs w:val="22"/>
          <w:lang w:eastAsia="en-GB"/>
        </w:rPr>
        <w:tab/>
        <w:t xml:space="preserve">Posology and method of administration </w:t>
      </w:r>
    </w:p>
    <w:p w14:paraId="649B280D" w14:textId="77777777" w:rsidR="00CC1A7C" w:rsidRPr="001775D9" w:rsidRDefault="00CC1A7C" w:rsidP="00FB5458">
      <w:pPr>
        <w:tabs>
          <w:tab w:val="clear" w:pos="567"/>
        </w:tabs>
        <w:autoSpaceDE w:val="0"/>
        <w:autoSpaceDN w:val="0"/>
        <w:adjustRightInd w:val="0"/>
        <w:spacing w:line="240" w:lineRule="auto"/>
        <w:rPr>
          <w:szCs w:val="22"/>
          <w:lang w:eastAsia="en-GB"/>
        </w:rPr>
      </w:pPr>
    </w:p>
    <w:p w14:paraId="2F5C7024" w14:textId="77777777" w:rsidR="00C42229" w:rsidRPr="001775D9" w:rsidRDefault="00CC1A7C" w:rsidP="00FB5458">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rPr>
        <w:t xml:space="preserve"> </w:t>
      </w:r>
      <w:r w:rsidR="00C42229" w:rsidRPr="001775D9">
        <w:rPr>
          <w:szCs w:val="22"/>
          <w:lang w:eastAsia="en-GB"/>
        </w:rPr>
        <w:t xml:space="preserve">treatment should be initiated and supervised by specialist physicians experienced in the diagnosis and treatment of conditions for which </w:t>
      </w:r>
      <w:r w:rsidRPr="001775D9">
        <w:rPr>
          <w:color w:val="000000"/>
          <w:szCs w:val="22"/>
          <w:lang w:eastAsia="en-GB"/>
        </w:rPr>
        <w:t>AMGEVITA</w:t>
      </w:r>
      <w:r w:rsidR="00C42229" w:rsidRPr="001775D9">
        <w:rPr>
          <w:szCs w:val="22"/>
          <w:lang w:eastAsia="en-GB"/>
        </w:rPr>
        <w:t xml:space="preserve"> is indicated. </w:t>
      </w:r>
      <w:r w:rsidR="0099495A" w:rsidRPr="001775D9">
        <w:rPr>
          <w:szCs w:val="22"/>
          <w:lang w:eastAsia="en-GB"/>
        </w:rPr>
        <w:t xml:space="preserve">Ophthalmologists are advised to consult with an appropriate specialist before initiation of treatment with AMGEVITA (see section 4.4). </w:t>
      </w:r>
      <w:r w:rsidR="00C42229" w:rsidRPr="001775D9">
        <w:rPr>
          <w:szCs w:val="22"/>
          <w:lang w:eastAsia="en-GB"/>
        </w:rPr>
        <w:t xml:space="preserve">Patients treated with </w:t>
      </w:r>
      <w:r w:rsidRPr="001775D9">
        <w:rPr>
          <w:color w:val="000000"/>
          <w:szCs w:val="22"/>
          <w:lang w:eastAsia="en-GB"/>
        </w:rPr>
        <w:t>AMGEVITA</w:t>
      </w:r>
      <w:r w:rsidR="00C42229" w:rsidRPr="001775D9">
        <w:rPr>
          <w:szCs w:val="22"/>
          <w:lang w:eastAsia="en-GB"/>
        </w:rPr>
        <w:t xml:space="preserve"> should be given the </w:t>
      </w:r>
      <w:r w:rsidR="0067002D" w:rsidRPr="001775D9">
        <w:rPr>
          <w:szCs w:val="22"/>
          <w:lang w:eastAsia="en-GB"/>
        </w:rPr>
        <w:t>Patient Reminder Card</w:t>
      </w:r>
      <w:r w:rsidR="00C42229" w:rsidRPr="001775D9">
        <w:rPr>
          <w:szCs w:val="22"/>
          <w:lang w:eastAsia="en-GB"/>
        </w:rPr>
        <w:t xml:space="preserve">. </w:t>
      </w:r>
    </w:p>
    <w:p w14:paraId="0846D166"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7BA061E2" w14:textId="17846FEA" w:rsidR="00451EA8" w:rsidRPr="001775D9" w:rsidRDefault="00C42229" w:rsidP="00FB5458">
      <w:pPr>
        <w:tabs>
          <w:tab w:val="clear" w:pos="567"/>
        </w:tabs>
        <w:autoSpaceDE w:val="0"/>
        <w:autoSpaceDN w:val="0"/>
        <w:adjustRightInd w:val="0"/>
        <w:spacing w:line="240" w:lineRule="auto"/>
        <w:rPr>
          <w:szCs w:val="22"/>
        </w:rPr>
      </w:pPr>
      <w:r w:rsidRPr="001775D9">
        <w:rPr>
          <w:szCs w:val="22"/>
          <w:lang w:eastAsia="en-GB"/>
        </w:rPr>
        <w:t xml:space="preserve">After proper training in injection technique, patients may self-inject with </w:t>
      </w:r>
      <w:r w:rsidR="00CC1A7C" w:rsidRPr="001775D9">
        <w:rPr>
          <w:color w:val="000000"/>
          <w:szCs w:val="22"/>
          <w:lang w:eastAsia="en-GB"/>
        </w:rPr>
        <w:t>AMGEVITA</w:t>
      </w:r>
      <w:r w:rsidRPr="001775D9">
        <w:rPr>
          <w:szCs w:val="22"/>
          <w:lang w:eastAsia="en-GB"/>
        </w:rPr>
        <w:t xml:space="preserve"> if their physician determines that it is appropriate and with medical follow-up as necessary. </w:t>
      </w:r>
    </w:p>
    <w:p w14:paraId="4959DD1D" w14:textId="77777777" w:rsidR="00451EA8" w:rsidRPr="001775D9" w:rsidRDefault="00451EA8" w:rsidP="00FB5458">
      <w:pPr>
        <w:tabs>
          <w:tab w:val="clear" w:pos="567"/>
        </w:tabs>
        <w:autoSpaceDE w:val="0"/>
        <w:autoSpaceDN w:val="0"/>
        <w:adjustRightInd w:val="0"/>
        <w:spacing w:line="240" w:lineRule="auto"/>
        <w:rPr>
          <w:szCs w:val="22"/>
          <w:lang w:eastAsia="en-GB"/>
        </w:rPr>
      </w:pPr>
    </w:p>
    <w:p w14:paraId="46750E4D"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rPr>
        <w:t xml:space="preserve">During treatment with </w:t>
      </w:r>
      <w:r w:rsidR="00CC1A7C" w:rsidRPr="001775D9">
        <w:rPr>
          <w:color w:val="000000"/>
          <w:szCs w:val="22"/>
          <w:lang w:eastAsia="en-GB"/>
        </w:rPr>
        <w:t>AMGEVITA</w:t>
      </w:r>
      <w:r w:rsidRPr="001775D9">
        <w:rPr>
          <w:szCs w:val="22"/>
        </w:rPr>
        <w:t>, other concomitant therapies (e.g. corticosteroids and/or immunomodulatory agents) should be optimised.</w:t>
      </w:r>
    </w:p>
    <w:p w14:paraId="13B2722C"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3FD2BF6D" w14:textId="77777777" w:rsidR="00A62CB6" w:rsidRPr="001775D9" w:rsidRDefault="00A62CB6" w:rsidP="00747B80">
      <w:pPr>
        <w:keepNext/>
        <w:tabs>
          <w:tab w:val="clear" w:pos="567"/>
        </w:tabs>
        <w:autoSpaceDE w:val="0"/>
        <w:autoSpaceDN w:val="0"/>
        <w:adjustRightInd w:val="0"/>
        <w:spacing w:line="240" w:lineRule="auto"/>
        <w:rPr>
          <w:b/>
          <w:bCs/>
          <w:szCs w:val="22"/>
          <w:u w:val="single"/>
          <w:lang w:eastAsia="en-GB"/>
        </w:rPr>
      </w:pPr>
      <w:r w:rsidRPr="001775D9">
        <w:rPr>
          <w:szCs w:val="22"/>
          <w:u w:val="single"/>
        </w:rPr>
        <w:t>Posology</w:t>
      </w:r>
    </w:p>
    <w:p w14:paraId="13069057" w14:textId="77777777" w:rsidR="00A62CB6" w:rsidRPr="001775D9" w:rsidRDefault="00A62CB6" w:rsidP="00747B80">
      <w:pPr>
        <w:keepNext/>
        <w:tabs>
          <w:tab w:val="clear" w:pos="567"/>
        </w:tabs>
        <w:autoSpaceDE w:val="0"/>
        <w:autoSpaceDN w:val="0"/>
        <w:adjustRightInd w:val="0"/>
        <w:spacing w:line="240" w:lineRule="auto"/>
        <w:rPr>
          <w:b/>
          <w:bCs/>
          <w:szCs w:val="22"/>
          <w:lang w:eastAsia="en-GB"/>
        </w:rPr>
      </w:pPr>
    </w:p>
    <w:p w14:paraId="7DDC27FA" w14:textId="77777777" w:rsidR="00C42229" w:rsidRPr="001775D9" w:rsidRDefault="00C42229" w:rsidP="00747B80">
      <w:pPr>
        <w:keepNext/>
        <w:tabs>
          <w:tab w:val="clear" w:pos="567"/>
        </w:tabs>
        <w:autoSpaceDE w:val="0"/>
        <w:autoSpaceDN w:val="0"/>
        <w:adjustRightInd w:val="0"/>
        <w:spacing w:line="240" w:lineRule="auto"/>
        <w:rPr>
          <w:i/>
          <w:szCs w:val="22"/>
          <w:lang w:eastAsia="en-GB"/>
        </w:rPr>
      </w:pPr>
      <w:r w:rsidRPr="001775D9">
        <w:rPr>
          <w:i/>
          <w:szCs w:val="22"/>
          <w:lang w:eastAsia="en-GB"/>
        </w:rPr>
        <w:t xml:space="preserve">Rheumatoid arthritis </w:t>
      </w:r>
    </w:p>
    <w:p w14:paraId="01F6A1E0" w14:textId="77777777" w:rsidR="00C42229" w:rsidRPr="001775D9" w:rsidRDefault="00C42229" w:rsidP="00747B80">
      <w:pPr>
        <w:keepNext/>
        <w:tabs>
          <w:tab w:val="clear" w:pos="567"/>
        </w:tabs>
        <w:autoSpaceDE w:val="0"/>
        <w:autoSpaceDN w:val="0"/>
        <w:adjustRightInd w:val="0"/>
        <w:spacing w:line="240" w:lineRule="auto"/>
        <w:rPr>
          <w:szCs w:val="22"/>
          <w:lang w:eastAsia="en-GB"/>
        </w:rPr>
      </w:pPr>
    </w:p>
    <w:p w14:paraId="6DACD22F" w14:textId="77777777" w:rsidR="00C42229" w:rsidRPr="001775D9" w:rsidRDefault="00C42229" w:rsidP="00747B80">
      <w:pPr>
        <w:keepNext/>
        <w:tabs>
          <w:tab w:val="clear" w:pos="567"/>
        </w:tabs>
        <w:autoSpaceDE w:val="0"/>
        <w:autoSpaceDN w:val="0"/>
        <w:adjustRightInd w:val="0"/>
        <w:spacing w:line="240" w:lineRule="auto"/>
        <w:rPr>
          <w:szCs w:val="22"/>
          <w:lang w:eastAsia="en-GB"/>
        </w:rPr>
      </w:pPr>
      <w:r w:rsidRPr="001775D9">
        <w:rPr>
          <w:szCs w:val="22"/>
          <w:lang w:eastAsia="en-GB"/>
        </w:rPr>
        <w:t xml:space="preserve">The recommended dose of </w:t>
      </w:r>
      <w:r w:rsidR="00CC1A7C" w:rsidRPr="001775D9">
        <w:rPr>
          <w:color w:val="000000"/>
          <w:szCs w:val="22"/>
          <w:lang w:eastAsia="en-GB"/>
        </w:rPr>
        <w:t>AMGEVITA</w:t>
      </w:r>
      <w:r w:rsidR="00CC1A7C" w:rsidRPr="001775D9">
        <w:rPr>
          <w:szCs w:val="22"/>
        </w:rPr>
        <w:t xml:space="preserve"> </w:t>
      </w:r>
      <w:r w:rsidRPr="001775D9">
        <w:rPr>
          <w:szCs w:val="22"/>
          <w:lang w:eastAsia="en-GB"/>
        </w:rPr>
        <w:t>for adult patients with rheumatoid arthritis is 40</w:t>
      </w:r>
      <w:r w:rsidRPr="001775D9">
        <w:rPr>
          <w:szCs w:val="22"/>
        </w:rPr>
        <w:t> </w:t>
      </w:r>
      <w:r w:rsidRPr="001775D9">
        <w:rPr>
          <w:szCs w:val="22"/>
          <w:lang w:eastAsia="en-GB"/>
        </w:rPr>
        <w:t xml:space="preserve">mg </w:t>
      </w:r>
      <w:r w:rsidR="001A0F2A" w:rsidRPr="001775D9">
        <w:rPr>
          <w:szCs w:val="22"/>
          <w:lang w:eastAsia="en-GB"/>
        </w:rPr>
        <w:t>adalimumab</w:t>
      </w:r>
      <w:r w:rsidR="00E71225" w:rsidRPr="001775D9">
        <w:rPr>
          <w:szCs w:val="22"/>
          <w:lang w:eastAsia="en-GB"/>
        </w:rPr>
        <w:t xml:space="preserve"> </w:t>
      </w:r>
      <w:r w:rsidRPr="001775D9">
        <w:rPr>
          <w:szCs w:val="22"/>
          <w:lang w:eastAsia="en-GB"/>
        </w:rPr>
        <w:t xml:space="preserve">administered every other week as a single dose via subcutaneous injection. Methotrexate should be continued during treatment with </w:t>
      </w:r>
      <w:r w:rsidR="00CC1A7C" w:rsidRPr="001775D9">
        <w:rPr>
          <w:color w:val="000000"/>
          <w:szCs w:val="22"/>
          <w:lang w:eastAsia="en-GB"/>
        </w:rPr>
        <w:t>AMGEVITA</w:t>
      </w:r>
      <w:r w:rsidRPr="001775D9">
        <w:rPr>
          <w:szCs w:val="22"/>
          <w:lang w:eastAsia="en-GB"/>
        </w:rPr>
        <w:t xml:space="preserve">. </w:t>
      </w:r>
    </w:p>
    <w:p w14:paraId="1A083DAE"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932F648"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Glucocorticoids, salicylates, non</w:t>
      </w:r>
      <w:r w:rsidR="00E1653D" w:rsidRPr="001775D9">
        <w:rPr>
          <w:szCs w:val="22"/>
          <w:lang w:eastAsia="en-GB"/>
        </w:rPr>
        <w:t>-</w:t>
      </w:r>
      <w:r w:rsidRPr="001775D9">
        <w:rPr>
          <w:szCs w:val="22"/>
          <w:lang w:eastAsia="en-GB"/>
        </w:rPr>
        <w:t xml:space="preserve">steroidal anti-inflammatory drugs, or analgesics can be continued during treatment with </w:t>
      </w:r>
      <w:r w:rsidR="00CC1A7C" w:rsidRPr="001775D9">
        <w:rPr>
          <w:color w:val="000000"/>
          <w:szCs w:val="22"/>
          <w:lang w:eastAsia="en-GB"/>
        </w:rPr>
        <w:t>AMGEVITA</w:t>
      </w:r>
      <w:r w:rsidRPr="001775D9">
        <w:rPr>
          <w:szCs w:val="22"/>
          <w:lang w:eastAsia="en-GB"/>
        </w:rPr>
        <w:t>. Regarding combination with disease</w:t>
      </w:r>
      <w:r w:rsidR="00C035C7" w:rsidRPr="001775D9">
        <w:rPr>
          <w:szCs w:val="22"/>
          <w:lang w:eastAsia="en-GB"/>
        </w:rPr>
        <w:t>-</w:t>
      </w:r>
      <w:r w:rsidRPr="001775D9">
        <w:rPr>
          <w:szCs w:val="22"/>
          <w:lang w:eastAsia="en-GB"/>
        </w:rPr>
        <w:t xml:space="preserve">modifying anti-rheumatic drugs other than methotrexate see sections 4.4 and 5.1. </w:t>
      </w:r>
    </w:p>
    <w:p w14:paraId="431EF93B"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64C1471" w14:textId="4DC2570F"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monotherapy, some patients who experience a decrease in their response </w:t>
      </w:r>
      <w:r w:rsidR="00932B1A" w:rsidRPr="001775D9">
        <w:rPr>
          <w:szCs w:val="22"/>
          <w:lang w:eastAsia="en-GB"/>
        </w:rPr>
        <w:t xml:space="preserve">to AMGEVITA 40 mg every other week </w:t>
      </w:r>
      <w:r w:rsidRPr="001775D9">
        <w:rPr>
          <w:szCs w:val="22"/>
          <w:lang w:eastAsia="en-GB"/>
        </w:rPr>
        <w:t xml:space="preserve">may benefit from an increase in </w:t>
      </w:r>
      <w:r w:rsidR="00932B1A" w:rsidRPr="001775D9">
        <w:rPr>
          <w:szCs w:val="22"/>
          <w:lang w:eastAsia="en-GB"/>
        </w:rPr>
        <w:t>dos</w:t>
      </w:r>
      <w:r w:rsidR="001E5EB0" w:rsidRPr="001775D9">
        <w:rPr>
          <w:szCs w:val="22"/>
          <w:lang w:eastAsia="en-GB"/>
        </w:rPr>
        <w:t>e</w:t>
      </w:r>
      <w:r w:rsidRPr="001775D9">
        <w:rPr>
          <w:szCs w:val="22"/>
          <w:lang w:eastAsia="en-GB"/>
        </w:rPr>
        <w:t xml:space="preserve"> to 40</w:t>
      </w:r>
      <w:r w:rsidRPr="001775D9">
        <w:rPr>
          <w:szCs w:val="22"/>
        </w:rPr>
        <w:t> </w:t>
      </w:r>
      <w:r w:rsidRPr="001775D9">
        <w:rPr>
          <w:szCs w:val="22"/>
          <w:lang w:eastAsia="en-GB"/>
        </w:rPr>
        <w:t xml:space="preserve">mg </w:t>
      </w:r>
      <w:r w:rsidR="00CC1A7C" w:rsidRPr="001775D9">
        <w:rPr>
          <w:szCs w:val="22"/>
          <w:lang w:eastAsia="en-GB"/>
        </w:rPr>
        <w:t>adalimumab</w:t>
      </w:r>
      <w:r w:rsidR="00A748CC" w:rsidRPr="001775D9">
        <w:rPr>
          <w:szCs w:val="22"/>
          <w:lang w:eastAsia="en-GB"/>
        </w:rPr>
        <w:t xml:space="preserve"> </w:t>
      </w:r>
      <w:r w:rsidRPr="001775D9">
        <w:rPr>
          <w:szCs w:val="22"/>
          <w:lang w:eastAsia="en-GB"/>
        </w:rPr>
        <w:t>every week</w:t>
      </w:r>
      <w:r w:rsidR="00932B1A" w:rsidRPr="001775D9">
        <w:t xml:space="preserve"> </w:t>
      </w:r>
      <w:r w:rsidR="00932B1A" w:rsidRPr="001775D9">
        <w:rPr>
          <w:szCs w:val="22"/>
          <w:lang w:eastAsia="en-GB"/>
        </w:rPr>
        <w:t>or 80</w:t>
      </w:r>
      <w:r w:rsidR="00D5093F" w:rsidRPr="001775D9">
        <w:rPr>
          <w:szCs w:val="22"/>
          <w:lang w:eastAsia="en-GB"/>
        </w:rPr>
        <w:t> </w:t>
      </w:r>
      <w:r w:rsidR="00932B1A" w:rsidRPr="001775D9">
        <w:rPr>
          <w:szCs w:val="22"/>
          <w:lang w:eastAsia="en-GB"/>
        </w:rPr>
        <w:t>mg every other week</w:t>
      </w:r>
      <w:r w:rsidRPr="001775D9">
        <w:rPr>
          <w:szCs w:val="22"/>
          <w:lang w:eastAsia="en-GB"/>
        </w:rPr>
        <w:t>.</w:t>
      </w:r>
    </w:p>
    <w:p w14:paraId="7FB8FBE1" w14:textId="77777777" w:rsidR="008E5C3A" w:rsidRPr="001775D9" w:rsidRDefault="008E5C3A" w:rsidP="00FB5458">
      <w:pPr>
        <w:tabs>
          <w:tab w:val="clear" w:pos="567"/>
        </w:tabs>
        <w:autoSpaceDE w:val="0"/>
        <w:autoSpaceDN w:val="0"/>
        <w:adjustRightInd w:val="0"/>
        <w:spacing w:line="240" w:lineRule="auto"/>
        <w:rPr>
          <w:szCs w:val="22"/>
          <w:lang w:eastAsia="en-GB"/>
        </w:rPr>
      </w:pPr>
    </w:p>
    <w:p w14:paraId="76A3D5DB" w14:textId="77777777" w:rsidR="006D7681" w:rsidRPr="00D55B59" w:rsidRDefault="008E5C3A" w:rsidP="00FB5458">
      <w:pPr>
        <w:tabs>
          <w:tab w:val="clear" w:pos="567"/>
        </w:tabs>
        <w:autoSpaceDE w:val="0"/>
        <w:autoSpaceDN w:val="0"/>
        <w:adjustRightInd w:val="0"/>
        <w:spacing w:line="240" w:lineRule="auto"/>
        <w:rPr>
          <w:szCs w:val="22"/>
          <w:rPrChange w:id="83" w:author="Author">
            <w:rPr>
              <w:szCs w:val="22"/>
              <w:lang w:val="en-US"/>
            </w:rPr>
          </w:rPrChange>
        </w:rPr>
      </w:pPr>
      <w:r w:rsidRPr="00D55B59">
        <w:rPr>
          <w:szCs w:val="22"/>
          <w:rPrChange w:id="84" w:author="Author">
            <w:rPr>
              <w:szCs w:val="22"/>
              <w:lang w:val="en-US"/>
            </w:rPr>
          </w:rPrChange>
        </w:rPr>
        <w:t>Available</w:t>
      </w:r>
      <w:r w:rsidR="00AD0D42" w:rsidRPr="00D55B59">
        <w:rPr>
          <w:szCs w:val="22"/>
          <w:rPrChange w:id="85" w:author="Author">
            <w:rPr>
              <w:szCs w:val="22"/>
              <w:lang w:val="en-US"/>
            </w:rPr>
          </w:rPrChange>
        </w:rPr>
        <w:t xml:space="preserve"> adalimumab</w:t>
      </w:r>
      <w:r w:rsidRPr="00D55B59">
        <w:rPr>
          <w:szCs w:val="22"/>
          <w:rPrChange w:id="86" w:author="Author">
            <w:rPr>
              <w:szCs w:val="22"/>
              <w:lang w:val="en-US"/>
            </w:rPr>
          </w:rPrChange>
        </w:rPr>
        <w:t xml:space="preserve"> data suggest that the clinical response is usually achieved within 12 weeks of treatment.</w:t>
      </w:r>
      <w:r w:rsidR="00E02B39" w:rsidRPr="00D55B59">
        <w:rPr>
          <w:szCs w:val="22"/>
          <w:rPrChange w:id="87" w:author="Author">
            <w:rPr>
              <w:szCs w:val="22"/>
              <w:lang w:val="en-US"/>
            </w:rPr>
          </w:rPrChange>
        </w:rPr>
        <w:t xml:space="preserve"> </w:t>
      </w:r>
      <w:r w:rsidRPr="00D55B59">
        <w:rPr>
          <w:szCs w:val="22"/>
          <w:rPrChange w:id="88" w:author="Author">
            <w:rPr>
              <w:szCs w:val="22"/>
              <w:lang w:val="en-US"/>
            </w:rPr>
          </w:rPrChange>
        </w:rPr>
        <w:t>Continued therapy should be reconsidered in a patient not responding within this time period.</w:t>
      </w:r>
    </w:p>
    <w:p w14:paraId="06501ACA"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4A205DF8"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i/>
          <w:iCs/>
          <w:szCs w:val="22"/>
          <w:u w:val="single"/>
          <w:lang w:eastAsia="en-GB"/>
        </w:rPr>
        <w:t xml:space="preserve">Dose </w:t>
      </w:r>
      <w:r w:rsidR="00731327" w:rsidRPr="001775D9">
        <w:rPr>
          <w:i/>
          <w:iCs/>
          <w:szCs w:val="22"/>
          <w:u w:val="single"/>
          <w:lang w:eastAsia="en-GB"/>
        </w:rPr>
        <w:t>i</w:t>
      </w:r>
      <w:r w:rsidRPr="001775D9">
        <w:rPr>
          <w:i/>
          <w:iCs/>
          <w:szCs w:val="22"/>
          <w:u w:val="single"/>
          <w:lang w:eastAsia="en-GB"/>
        </w:rPr>
        <w:t xml:space="preserve">nterruption </w:t>
      </w:r>
    </w:p>
    <w:p w14:paraId="56C1E1D6"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701BA69"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There may be a need for dose interruption, for instance before surgery or if a serious infection occurs. </w:t>
      </w:r>
    </w:p>
    <w:p w14:paraId="48594F05" w14:textId="77777777" w:rsidR="00731327" w:rsidRPr="001775D9" w:rsidRDefault="00731327" w:rsidP="00FB5458">
      <w:pPr>
        <w:tabs>
          <w:tab w:val="clear" w:pos="567"/>
        </w:tabs>
        <w:autoSpaceDE w:val="0"/>
        <w:autoSpaceDN w:val="0"/>
        <w:adjustRightInd w:val="0"/>
        <w:spacing w:line="240" w:lineRule="auto"/>
        <w:rPr>
          <w:szCs w:val="22"/>
          <w:lang w:eastAsia="en-GB"/>
        </w:rPr>
      </w:pPr>
    </w:p>
    <w:p w14:paraId="25395CD8" w14:textId="0ED248A9" w:rsidR="00C42229" w:rsidRPr="001775D9" w:rsidRDefault="001E5EB0" w:rsidP="00FB5458">
      <w:pPr>
        <w:tabs>
          <w:tab w:val="clear" w:pos="567"/>
        </w:tabs>
        <w:autoSpaceDE w:val="0"/>
        <w:autoSpaceDN w:val="0"/>
        <w:adjustRightInd w:val="0"/>
        <w:spacing w:line="240" w:lineRule="auto"/>
        <w:rPr>
          <w:szCs w:val="22"/>
          <w:lang w:eastAsia="en-GB"/>
        </w:rPr>
      </w:pPr>
      <w:r w:rsidRPr="001775D9">
        <w:rPr>
          <w:szCs w:val="22"/>
          <w:lang w:eastAsia="en-GB"/>
        </w:rPr>
        <w:t>Available data suggest that r</w:t>
      </w:r>
      <w:r w:rsidR="003D4634" w:rsidRPr="001775D9">
        <w:rPr>
          <w:szCs w:val="22"/>
          <w:lang w:eastAsia="en-GB"/>
        </w:rPr>
        <w:t>e</w:t>
      </w:r>
      <w:r w:rsidR="00731327" w:rsidRPr="001775D9">
        <w:rPr>
          <w:szCs w:val="22"/>
          <w:lang w:eastAsia="en-GB"/>
        </w:rPr>
        <w:t xml:space="preserve">-introduction of </w:t>
      </w:r>
      <w:r w:rsidRPr="001775D9">
        <w:rPr>
          <w:szCs w:val="22"/>
          <w:lang w:eastAsia="en-GB"/>
        </w:rPr>
        <w:t xml:space="preserve">adalimumab </w:t>
      </w:r>
      <w:r w:rsidR="00731327" w:rsidRPr="001775D9">
        <w:rPr>
          <w:szCs w:val="22"/>
          <w:lang w:eastAsia="en-GB"/>
        </w:rPr>
        <w:t xml:space="preserve">after discontinuation for 70 days or </w:t>
      </w:r>
      <w:r w:rsidR="003D4634" w:rsidRPr="001775D9">
        <w:rPr>
          <w:szCs w:val="22"/>
          <w:lang w:eastAsia="en-GB"/>
        </w:rPr>
        <w:t>longer result</w:t>
      </w:r>
      <w:r w:rsidRPr="001775D9">
        <w:rPr>
          <w:szCs w:val="22"/>
          <w:lang w:eastAsia="en-GB"/>
        </w:rPr>
        <w:t>ed</w:t>
      </w:r>
      <w:r w:rsidR="003D4634" w:rsidRPr="001775D9">
        <w:rPr>
          <w:szCs w:val="22"/>
          <w:lang w:eastAsia="en-GB"/>
        </w:rPr>
        <w:t xml:space="preserve"> </w:t>
      </w:r>
      <w:r w:rsidR="00731327" w:rsidRPr="001775D9">
        <w:rPr>
          <w:szCs w:val="22"/>
          <w:lang w:eastAsia="en-GB"/>
        </w:rPr>
        <w:t>in the same magnitudes of clinical response and similar safety profile as before dose interruption.</w:t>
      </w:r>
    </w:p>
    <w:p w14:paraId="24AB7EC5" w14:textId="77777777" w:rsidR="00731327" w:rsidRPr="001775D9" w:rsidRDefault="00731327" w:rsidP="00FB5458">
      <w:pPr>
        <w:tabs>
          <w:tab w:val="clear" w:pos="567"/>
        </w:tabs>
        <w:autoSpaceDE w:val="0"/>
        <w:autoSpaceDN w:val="0"/>
        <w:adjustRightInd w:val="0"/>
        <w:spacing w:line="240" w:lineRule="auto"/>
        <w:rPr>
          <w:szCs w:val="22"/>
          <w:lang w:eastAsia="en-GB"/>
        </w:rPr>
      </w:pPr>
    </w:p>
    <w:p w14:paraId="622B1D29" w14:textId="77777777" w:rsidR="00C42229" w:rsidRPr="001775D9" w:rsidRDefault="00C42229" w:rsidP="00FB5458">
      <w:pPr>
        <w:keepNext/>
        <w:tabs>
          <w:tab w:val="clear" w:pos="567"/>
        </w:tabs>
        <w:autoSpaceDE w:val="0"/>
        <w:autoSpaceDN w:val="0"/>
        <w:adjustRightInd w:val="0"/>
        <w:spacing w:line="240" w:lineRule="auto"/>
        <w:rPr>
          <w:i/>
          <w:szCs w:val="22"/>
          <w:lang w:eastAsia="en-GB"/>
        </w:rPr>
      </w:pPr>
      <w:r w:rsidRPr="001775D9">
        <w:rPr>
          <w:i/>
          <w:szCs w:val="22"/>
          <w:lang w:eastAsia="en-GB"/>
        </w:rPr>
        <w:t xml:space="preserve">Ankylosing spondylitis, axial spondyloarthritis without radiographic evidence of AS and psoriatic arthritis </w:t>
      </w:r>
    </w:p>
    <w:p w14:paraId="2B0AA6AE"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52A9338E"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lang w:eastAsia="en-GB"/>
        </w:rPr>
        <w:t xml:space="preserve">The recommended dose of </w:t>
      </w:r>
      <w:r w:rsidR="00731327" w:rsidRPr="001775D9">
        <w:rPr>
          <w:color w:val="000000"/>
          <w:szCs w:val="22"/>
          <w:lang w:eastAsia="en-GB"/>
        </w:rPr>
        <w:t>AMGEVITA</w:t>
      </w:r>
      <w:r w:rsidR="00D33007" w:rsidRPr="001775D9">
        <w:rPr>
          <w:szCs w:val="22"/>
          <w:lang w:eastAsia="en-GB"/>
        </w:rPr>
        <w:t xml:space="preserve"> </w:t>
      </w:r>
      <w:r w:rsidRPr="001775D9">
        <w:rPr>
          <w:szCs w:val="22"/>
          <w:lang w:eastAsia="en-GB"/>
        </w:rPr>
        <w:t>for patients with ankylosing spondylitis, axial spondyloarthritis without radiographic evidence of AS and for patients with psoriatic arthritis is 40</w:t>
      </w:r>
      <w:r w:rsidRPr="001775D9">
        <w:rPr>
          <w:szCs w:val="22"/>
        </w:rPr>
        <w:t> </w:t>
      </w:r>
      <w:r w:rsidRPr="001775D9">
        <w:rPr>
          <w:szCs w:val="22"/>
          <w:lang w:eastAsia="en-GB"/>
        </w:rPr>
        <w:t xml:space="preserve">mg </w:t>
      </w:r>
      <w:r w:rsidR="001A0F2A" w:rsidRPr="001775D9">
        <w:rPr>
          <w:szCs w:val="22"/>
          <w:lang w:eastAsia="en-GB"/>
        </w:rPr>
        <w:t>adalimumab</w:t>
      </w:r>
      <w:r w:rsidR="00F9738D" w:rsidRPr="001775D9">
        <w:rPr>
          <w:szCs w:val="22"/>
          <w:lang w:eastAsia="en-GB"/>
        </w:rPr>
        <w:t xml:space="preserve"> </w:t>
      </w:r>
      <w:r w:rsidRPr="001775D9">
        <w:rPr>
          <w:szCs w:val="22"/>
          <w:lang w:eastAsia="en-GB"/>
        </w:rPr>
        <w:t>administered every other week as a single dose via subcutaneous injection.</w:t>
      </w:r>
    </w:p>
    <w:p w14:paraId="402BC054"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697E2603" w14:textId="77777777" w:rsidR="00C42229" w:rsidRPr="001775D9" w:rsidRDefault="003D4634" w:rsidP="00FB5458">
      <w:pPr>
        <w:tabs>
          <w:tab w:val="clear" w:pos="567"/>
        </w:tabs>
        <w:autoSpaceDE w:val="0"/>
        <w:autoSpaceDN w:val="0"/>
        <w:adjustRightInd w:val="0"/>
        <w:spacing w:line="240" w:lineRule="auto"/>
        <w:rPr>
          <w:szCs w:val="22"/>
          <w:lang w:eastAsia="en-GB"/>
        </w:rPr>
      </w:pPr>
      <w:r w:rsidRPr="001775D9">
        <w:rPr>
          <w:szCs w:val="22"/>
          <w:lang w:eastAsia="en-GB"/>
        </w:rPr>
        <w:t>A</w:t>
      </w:r>
      <w:r w:rsidR="00C42229" w:rsidRPr="001775D9">
        <w:rPr>
          <w:szCs w:val="22"/>
          <w:lang w:eastAsia="en-GB"/>
        </w:rPr>
        <w:t xml:space="preserve">vailable data suggest that the clinical response is usually achieved within 12 weeks of treatment. Continued therapy should be reconsidered in a patient not responding within this time period. </w:t>
      </w:r>
    </w:p>
    <w:p w14:paraId="27853694"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3C8B9E69" w14:textId="77777777" w:rsidR="00C42229" w:rsidRPr="001775D9" w:rsidRDefault="00C42229" w:rsidP="00FB5458">
      <w:pPr>
        <w:keepNext/>
        <w:tabs>
          <w:tab w:val="clear" w:pos="567"/>
        </w:tabs>
        <w:autoSpaceDE w:val="0"/>
        <w:autoSpaceDN w:val="0"/>
        <w:adjustRightInd w:val="0"/>
        <w:spacing w:line="240" w:lineRule="auto"/>
        <w:rPr>
          <w:i/>
          <w:szCs w:val="22"/>
          <w:lang w:eastAsia="en-GB"/>
        </w:rPr>
      </w:pPr>
      <w:r w:rsidRPr="001775D9">
        <w:rPr>
          <w:i/>
          <w:szCs w:val="22"/>
          <w:lang w:eastAsia="en-GB"/>
        </w:rPr>
        <w:t xml:space="preserve">Psoriasis </w:t>
      </w:r>
    </w:p>
    <w:p w14:paraId="53490965"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33FA4D12"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The recommended dose of </w:t>
      </w:r>
      <w:r w:rsidR="00731327" w:rsidRPr="001775D9">
        <w:rPr>
          <w:color w:val="000000"/>
          <w:szCs w:val="22"/>
          <w:lang w:eastAsia="en-GB"/>
        </w:rPr>
        <w:t>AMGEVITA</w:t>
      </w:r>
      <w:r w:rsidRPr="001775D9">
        <w:rPr>
          <w:szCs w:val="22"/>
          <w:lang w:eastAsia="en-GB"/>
        </w:rPr>
        <w:t xml:space="preserve"> for adult patients is an initial dose of 80</w:t>
      </w:r>
      <w:r w:rsidRPr="001775D9">
        <w:rPr>
          <w:szCs w:val="22"/>
        </w:rPr>
        <w:t> </w:t>
      </w:r>
      <w:r w:rsidRPr="001775D9">
        <w:rPr>
          <w:szCs w:val="22"/>
          <w:lang w:eastAsia="en-GB"/>
        </w:rPr>
        <w:t>mg administered subcutaneously, followed by 40</w:t>
      </w:r>
      <w:r w:rsidRPr="001775D9">
        <w:rPr>
          <w:szCs w:val="22"/>
        </w:rPr>
        <w:t> </w:t>
      </w:r>
      <w:r w:rsidRPr="001775D9">
        <w:rPr>
          <w:szCs w:val="22"/>
          <w:lang w:eastAsia="en-GB"/>
        </w:rPr>
        <w:t>mg subcutaneously given every other week starting one week after the initial dose.</w:t>
      </w:r>
    </w:p>
    <w:p w14:paraId="246B7C2A"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4A871BD1"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Continued therapy beyond 16 weeks should be carefully reconsidered in a patient not responding within this time period. </w:t>
      </w:r>
    </w:p>
    <w:p w14:paraId="3C43027C" w14:textId="77777777" w:rsidR="005175C2" w:rsidRPr="001775D9" w:rsidRDefault="005175C2" w:rsidP="00FB5458">
      <w:pPr>
        <w:tabs>
          <w:tab w:val="clear" w:pos="567"/>
        </w:tabs>
        <w:autoSpaceDE w:val="0"/>
        <w:autoSpaceDN w:val="0"/>
        <w:adjustRightInd w:val="0"/>
        <w:spacing w:line="240" w:lineRule="auto"/>
        <w:rPr>
          <w:szCs w:val="22"/>
          <w:lang w:eastAsia="en-GB"/>
        </w:rPr>
      </w:pPr>
    </w:p>
    <w:p w14:paraId="71C3158D" w14:textId="44F82A5A" w:rsidR="000B0EAE" w:rsidRPr="001775D9" w:rsidRDefault="00F24D90" w:rsidP="00FB5458">
      <w:pPr>
        <w:tabs>
          <w:tab w:val="clear" w:pos="567"/>
        </w:tabs>
        <w:autoSpaceDE w:val="0"/>
        <w:autoSpaceDN w:val="0"/>
        <w:adjustRightInd w:val="0"/>
        <w:spacing w:line="240" w:lineRule="auto"/>
        <w:rPr>
          <w:szCs w:val="22"/>
          <w:lang w:eastAsia="en-GB"/>
        </w:rPr>
      </w:pPr>
      <w:r w:rsidRPr="001775D9">
        <w:rPr>
          <w:szCs w:val="22"/>
          <w:lang w:eastAsia="en-GB"/>
        </w:rPr>
        <w:t xml:space="preserve">Beyond 16 weeks, patients with inadequate response </w:t>
      </w:r>
      <w:r w:rsidR="005B4B3F" w:rsidRPr="001775D9">
        <w:rPr>
          <w:szCs w:val="22"/>
          <w:lang w:eastAsia="en-GB"/>
        </w:rPr>
        <w:t>to AMGEVITA 40</w:t>
      </w:r>
      <w:r w:rsidR="00D5093F" w:rsidRPr="001775D9">
        <w:rPr>
          <w:szCs w:val="22"/>
          <w:lang w:eastAsia="en-GB"/>
        </w:rPr>
        <w:t> </w:t>
      </w:r>
      <w:r w:rsidR="005B4B3F" w:rsidRPr="001775D9">
        <w:rPr>
          <w:szCs w:val="22"/>
          <w:lang w:eastAsia="en-GB"/>
        </w:rPr>
        <w:t xml:space="preserve">mg every other week </w:t>
      </w:r>
      <w:r w:rsidRPr="001775D9">
        <w:rPr>
          <w:szCs w:val="22"/>
          <w:lang w:eastAsia="en-GB"/>
        </w:rPr>
        <w:t xml:space="preserve">may benefit from an increase in </w:t>
      </w:r>
      <w:r w:rsidR="005B4B3F" w:rsidRPr="001775D9">
        <w:rPr>
          <w:szCs w:val="22"/>
          <w:lang w:eastAsia="en-GB"/>
        </w:rPr>
        <w:t>dose</w:t>
      </w:r>
      <w:r w:rsidRPr="001775D9">
        <w:rPr>
          <w:szCs w:val="22"/>
          <w:lang w:eastAsia="en-GB"/>
        </w:rPr>
        <w:t xml:space="preserve"> to 40</w:t>
      </w:r>
      <w:r w:rsidR="0099329A" w:rsidRPr="001775D9">
        <w:rPr>
          <w:szCs w:val="22"/>
          <w:lang w:eastAsia="en-GB"/>
        </w:rPr>
        <w:t> </w:t>
      </w:r>
      <w:r w:rsidRPr="001775D9">
        <w:rPr>
          <w:szCs w:val="22"/>
          <w:lang w:eastAsia="en-GB"/>
        </w:rPr>
        <w:t>mg every week</w:t>
      </w:r>
      <w:r w:rsidR="005B4B3F" w:rsidRPr="001775D9">
        <w:rPr>
          <w:szCs w:val="22"/>
          <w:lang w:eastAsia="en-GB"/>
        </w:rPr>
        <w:t xml:space="preserve"> or 80</w:t>
      </w:r>
      <w:r w:rsidR="00D5093F" w:rsidRPr="001775D9">
        <w:rPr>
          <w:szCs w:val="22"/>
          <w:lang w:eastAsia="en-GB"/>
        </w:rPr>
        <w:t> </w:t>
      </w:r>
      <w:r w:rsidR="005B4B3F" w:rsidRPr="001775D9">
        <w:rPr>
          <w:szCs w:val="22"/>
          <w:lang w:eastAsia="en-GB"/>
        </w:rPr>
        <w:t>mg every other week</w:t>
      </w:r>
      <w:r w:rsidRPr="001775D9">
        <w:rPr>
          <w:szCs w:val="22"/>
          <w:lang w:eastAsia="en-GB"/>
        </w:rPr>
        <w:t xml:space="preserve">. The benefits and risks of continued </w:t>
      </w:r>
      <w:r w:rsidR="005B4B3F" w:rsidRPr="001775D9">
        <w:rPr>
          <w:szCs w:val="22"/>
          <w:lang w:eastAsia="en-GB"/>
        </w:rPr>
        <w:t>40</w:t>
      </w:r>
      <w:r w:rsidR="00D5093F" w:rsidRPr="001775D9">
        <w:rPr>
          <w:szCs w:val="22"/>
          <w:lang w:eastAsia="en-GB"/>
        </w:rPr>
        <w:t> </w:t>
      </w:r>
      <w:r w:rsidR="005B4B3F" w:rsidRPr="001775D9">
        <w:rPr>
          <w:szCs w:val="22"/>
          <w:lang w:eastAsia="en-GB"/>
        </w:rPr>
        <w:t xml:space="preserve">mg </w:t>
      </w:r>
      <w:r w:rsidRPr="001775D9">
        <w:rPr>
          <w:szCs w:val="22"/>
          <w:lang w:eastAsia="en-GB"/>
        </w:rPr>
        <w:t xml:space="preserve">weekly </w:t>
      </w:r>
      <w:r w:rsidR="005B4B3F" w:rsidRPr="001775D9">
        <w:rPr>
          <w:szCs w:val="22"/>
          <w:lang w:eastAsia="en-GB"/>
        </w:rPr>
        <w:t>or 80</w:t>
      </w:r>
      <w:r w:rsidR="00D5093F" w:rsidRPr="001775D9">
        <w:rPr>
          <w:szCs w:val="22"/>
          <w:lang w:eastAsia="en-GB"/>
        </w:rPr>
        <w:t> </w:t>
      </w:r>
      <w:r w:rsidR="005B4B3F" w:rsidRPr="001775D9">
        <w:rPr>
          <w:szCs w:val="22"/>
          <w:lang w:eastAsia="en-GB"/>
        </w:rPr>
        <w:t xml:space="preserve">mg every other week </w:t>
      </w:r>
      <w:r w:rsidRPr="001775D9">
        <w:rPr>
          <w:szCs w:val="22"/>
          <w:lang w:eastAsia="en-GB"/>
        </w:rPr>
        <w:t xml:space="preserve">therapy should be carefully reconsidered in a patient with an inadequate response after the increase in </w:t>
      </w:r>
      <w:r w:rsidR="005B4B3F" w:rsidRPr="001775D9">
        <w:rPr>
          <w:szCs w:val="22"/>
          <w:lang w:eastAsia="en-GB"/>
        </w:rPr>
        <w:t>dose</w:t>
      </w:r>
      <w:r w:rsidRPr="001775D9">
        <w:rPr>
          <w:szCs w:val="22"/>
          <w:lang w:eastAsia="en-GB"/>
        </w:rPr>
        <w:t xml:space="preserve"> (see section 5.1). If adequate response is achieved with </w:t>
      </w:r>
      <w:r w:rsidR="005B4B3F" w:rsidRPr="001775D9">
        <w:rPr>
          <w:szCs w:val="22"/>
          <w:lang w:eastAsia="en-GB"/>
        </w:rPr>
        <w:t>40</w:t>
      </w:r>
      <w:r w:rsidR="00D5093F" w:rsidRPr="001775D9">
        <w:rPr>
          <w:szCs w:val="22"/>
          <w:lang w:eastAsia="en-GB"/>
        </w:rPr>
        <w:t> </w:t>
      </w:r>
      <w:r w:rsidR="005B4B3F" w:rsidRPr="001775D9">
        <w:rPr>
          <w:szCs w:val="22"/>
          <w:lang w:eastAsia="en-GB"/>
        </w:rPr>
        <w:t>mg every week or 80</w:t>
      </w:r>
      <w:r w:rsidR="00D5093F" w:rsidRPr="001775D9">
        <w:rPr>
          <w:szCs w:val="22"/>
          <w:lang w:eastAsia="en-GB"/>
        </w:rPr>
        <w:t> </w:t>
      </w:r>
      <w:r w:rsidR="003A0605" w:rsidRPr="001775D9">
        <w:rPr>
          <w:szCs w:val="22"/>
          <w:lang w:eastAsia="en-GB"/>
        </w:rPr>
        <w:t xml:space="preserve">mg </w:t>
      </w:r>
      <w:r w:rsidR="005B4B3F" w:rsidRPr="001775D9">
        <w:rPr>
          <w:szCs w:val="22"/>
          <w:lang w:eastAsia="en-GB"/>
        </w:rPr>
        <w:t>every other week</w:t>
      </w:r>
      <w:r w:rsidRPr="001775D9">
        <w:rPr>
          <w:szCs w:val="22"/>
          <w:lang w:eastAsia="en-GB"/>
        </w:rPr>
        <w:t>, the</w:t>
      </w:r>
      <w:r w:rsidR="00BA0B9F" w:rsidRPr="001775D9">
        <w:rPr>
          <w:szCs w:val="22"/>
          <w:lang w:eastAsia="en-GB"/>
        </w:rPr>
        <w:t xml:space="preserve"> </w:t>
      </w:r>
      <w:r w:rsidRPr="001775D9">
        <w:rPr>
          <w:szCs w:val="22"/>
          <w:lang w:eastAsia="en-GB"/>
        </w:rPr>
        <w:t>dos</w:t>
      </w:r>
      <w:r w:rsidR="005B4B3F" w:rsidRPr="001775D9">
        <w:rPr>
          <w:szCs w:val="22"/>
          <w:lang w:eastAsia="en-GB"/>
        </w:rPr>
        <w:t>e</w:t>
      </w:r>
      <w:r w:rsidRPr="001775D9">
        <w:rPr>
          <w:szCs w:val="22"/>
          <w:lang w:eastAsia="en-GB"/>
        </w:rPr>
        <w:t xml:space="preserve"> may subsequently be reduced to 40</w:t>
      </w:r>
      <w:r w:rsidR="0099329A" w:rsidRPr="001775D9">
        <w:rPr>
          <w:szCs w:val="22"/>
          <w:lang w:eastAsia="en-GB"/>
        </w:rPr>
        <w:t> </w:t>
      </w:r>
      <w:r w:rsidRPr="001775D9">
        <w:rPr>
          <w:szCs w:val="22"/>
          <w:lang w:eastAsia="en-GB"/>
        </w:rPr>
        <w:t>mg every other week.</w:t>
      </w:r>
    </w:p>
    <w:p w14:paraId="641EBF80" w14:textId="77777777" w:rsidR="00F24D90" w:rsidRPr="001775D9" w:rsidRDefault="00F24D90" w:rsidP="00FB5458">
      <w:pPr>
        <w:tabs>
          <w:tab w:val="clear" w:pos="567"/>
        </w:tabs>
        <w:autoSpaceDE w:val="0"/>
        <w:autoSpaceDN w:val="0"/>
        <w:adjustRightInd w:val="0"/>
        <w:spacing w:line="240" w:lineRule="auto"/>
        <w:rPr>
          <w:szCs w:val="22"/>
          <w:lang w:eastAsia="en-GB"/>
        </w:rPr>
      </w:pPr>
    </w:p>
    <w:p w14:paraId="0AA58651" w14:textId="77777777" w:rsidR="005175C2" w:rsidRPr="001775D9" w:rsidRDefault="005175C2" w:rsidP="00747B80">
      <w:pPr>
        <w:keepNext/>
        <w:shd w:val="clear" w:color="auto" w:fill="FFFFFF"/>
        <w:tabs>
          <w:tab w:val="clear" w:pos="567"/>
        </w:tabs>
        <w:spacing w:line="240" w:lineRule="auto"/>
        <w:rPr>
          <w:rFonts w:eastAsia="Times New Roman"/>
          <w:i/>
          <w:iCs/>
          <w:color w:val="000000"/>
          <w:szCs w:val="22"/>
        </w:rPr>
      </w:pPr>
      <w:r w:rsidRPr="001775D9">
        <w:rPr>
          <w:rFonts w:eastAsia="Times New Roman"/>
          <w:i/>
          <w:iCs/>
          <w:color w:val="000000"/>
          <w:szCs w:val="22"/>
        </w:rPr>
        <w:t>Hidradenitis suppurativa</w:t>
      </w:r>
    </w:p>
    <w:p w14:paraId="0B1E8BB9" w14:textId="77777777" w:rsidR="005175C2" w:rsidRPr="001775D9" w:rsidRDefault="005175C2" w:rsidP="00747B80">
      <w:pPr>
        <w:keepNext/>
        <w:shd w:val="clear" w:color="auto" w:fill="FFFFFF"/>
        <w:tabs>
          <w:tab w:val="clear" w:pos="567"/>
        </w:tabs>
        <w:spacing w:line="240" w:lineRule="auto"/>
        <w:rPr>
          <w:rFonts w:eastAsia="Times New Roman"/>
          <w:color w:val="000000"/>
          <w:szCs w:val="22"/>
        </w:rPr>
      </w:pPr>
    </w:p>
    <w:p w14:paraId="2DE2F7D3" w14:textId="77777777" w:rsidR="005175C2" w:rsidRPr="001775D9" w:rsidRDefault="005175C2" w:rsidP="00E0250B">
      <w:pPr>
        <w:keepNext/>
        <w:keepLines/>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The recommended </w:t>
      </w:r>
      <w:r w:rsidR="00731327" w:rsidRPr="001775D9">
        <w:rPr>
          <w:color w:val="000000"/>
          <w:szCs w:val="22"/>
          <w:lang w:eastAsia="en-GB"/>
        </w:rPr>
        <w:t>AMGEVITA</w:t>
      </w:r>
      <w:r w:rsidRPr="001775D9">
        <w:rPr>
          <w:rFonts w:eastAsia="Times New Roman"/>
          <w:color w:val="000000"/>
          <w:szCs w:val="22"/>
        </w:rPr>
        <w:t xml:space="preserve"> dose regimen for adult patients with hidradenitis suppurativa (HS) is 160</w:t>
      </w:r>
      <w:r w:rsidR="00BA0B9F" w:rsidRPr="001775D9">
        <w:rPr>
          <w:rFonts w:eastAsia="Times New Roman"/>
          <w:color w:val="000000"/>
          <w:szCs w:val="22"/>
        </w:rPr>
        <w:t> </w:t>
      </w:r>
      <w:r w:rsidRPr="001775D9">
        <w:rPr>
          <w:rFonts w:eastAsia="Times New Roman"/>
          <w:color w:val="000000"/>
          <w:szCs w:val="22"/>
        </w:rPr>
        <w:t xml:space="preserve">mg initially at </w:t>
      </w:r>
      <w:r w:rsidR="005B4EA9" w:rsidRPr="001775D9">
        <w:rPr>
          <w:rFonts w:eastAsia="Times New Roman"/>
          <w:color w:val="000000"/>
          <w:szCs w:val="22"/>
        </w:rPr>
        <w:t>d</w:t>
      </w:r>
      <w:r w:rsidRPr="001775D9">
        <w:rPr>
          <w:rFonts w:eastAsia="Times New Roman"/>
          <w:color w:val="000000"/>
          <w:szCs w:val="22"/>
        </w:rPr>
        <w:t>ay 1 (given as four 40</w:t>
      </w:r>
      <w:r w:rsidR="00BA0B9F" w:rsidRPr="001775D9">
        <w:rPr>
          <w:rFonts w:eastAsia="Times New Roman"/>
          <w:color w:val="000000"/>
          <w:szCs w:val="22"/>
        </w:rPr>
        <w:t> </w:t>
      </w:r>
      <w:r w:rsidRPr="001775D9">
        <w:rPr>
          <w:rFonts w:eastAsia="Times New Roman"/>
          <w:color w:val="000000"/>
          <w:szCs w:val="22"/>
        </w:rPr>
        <w:t>mg injections in one day or as two 40</w:t>
      </w:r>
      <w:r w:rsidR="00BA0B9F" w:rsidRPr="001775D9">
        <w:rPr>
          <w:rFonts w:eastAsia="Times New Roman"/>
          <w:color w:val="000000"/>
          <w:szCs w:val="22"/>
        </w:rPr>
        <w:t> </w:t>
      </w:r>
      <w:r w:rsidRPr="001775D9">
        <w:rPr>
          <w:rFonts w:eastAsia="Times New Roman"/>
          <w:color w:val="000000"/>
          <w:szCs w:val="22"/>
        </w:rPr>
        <w:t>mg injections per day for two consecutive days), followed by 80</w:t>
      </w:r>
      <w:r w:rsidR="00BA0B9F" w:rsidRPr="001775D9">
        <w:rPr>
          <w:rFonts w:eastAsia="Times New Roman"/>
          <w:color w:val="000000"/>
          <w:szCs w:val="22"/>
        </w:rPr>
        <w:t> </w:t>
      </w:r>
      <w:r w:rsidRPr="001775D9">
        <w:rPr>
          <w:rFonts w:eastAsia="Times New Roman"/>
          <w:color w:val="000000"/>
          <w:szCs w:val="22"/>
        </w:rPr>
        <w:t xml:space="preserve">mg two weeks later at </w:t>
      </w:r>
      <w:r w:rsidR="005B4EA9" w:rsidRPr="001775D9">
        <w:rPr>
          <w:rFonts w:eastAsia="Times New Roman"/>
          <w:color w:val="000000"/>
          <w:szCs w:val="22"/>
        </w:rPr>
        <w:t>d</w:t>
      </w:r>
      <w:r w:rsidRPr="001775D9">
        <w:rPr>
          <w:rFonts w:eastAsia="Times New Roman"/>
          <w:color w:val="000000"/>
          <w:szCs w:val="22"/>
        </w:rPr>
        <w:t>ay 15 (given as two 40</w:t>
      </w:r>
      <w:r w:rsidR="00BA0B9F" w:rsidRPr="001775D9">
        <w:rPr>
          <w:rFonts w:eastAsia="Times New Roman"/>
          <w:color w:val="000000"/>
          <w:szCs w:val="22"/>
        </w:rPr>
        <w:t> </w:t>
      </w:r>
      <w:r w:rsidRPr="001775D9">
        <w:rPr>
          <w:rFonts w:eastAsia="Times New Roman"/>
          <w:color w:val="000000"/>
          <w:szCs w:val="22"/>
        </w:rPr>
        <w:t>mg injections in one day). Two weeks later (</w:t>
      </w:r>
      <w:r w:rsidR="005B4EA9" w:rsidRPr="001775D9">
        <w:rPr>
          <w:rFonts w:eastAsia="Times New Roman"/>
          <w:color w:val="000000"/>
          <w:szCs w:val="22"/>
        </w:rPr>
        <w:t>d</w:t>
      </w:r>
      <w:r w:rsidRPr="001775D9">
        <w:rPr>
          <w:rFonts w:eastAsia="Times New Roman"/>
          <w:color w:val="000000"/>
          <w:szCs w:val="22"/>
        </w:rPr>
        <w:t>ay 29) continue with a dose of 40</w:t>
      </w:r>
      <w:r w:rsidR="00BA0B9F" w:rsidRPr="001775D9">
        <w:rPr>
          <w:rFonts w:eastAsia="Times New Roman"/>
          <w:color w:val="000000"/>
          <w:szCs w:val="22"/>
        </w:rPr>
        <w:t> </w:t>
      </w:r>
      <w:r w:rsidRPr="001775D9">
        <w:rPr>
          <w:rFonts w:eastAsia="Times New Roman"/>
          <w:color w:val="000000"/>
          <w:szCs w:val="22"/>
        </w:rPr>
        <w:t>mg every week</w:t>
      </w:r>
      <w:r w:rsidR="005B4B3F" w:rsidRPr="001775D9">
        <w:t xml:space="preserve"> </w:t>
      </w:r>
      <w:r w:rsidR="005B4B3F" w:rsidRPr="001775D9">
        <w:rPr>
          <w:rFonts w:eastAsia="Times New Roman"/>
          <w:color w:val="000000"/>
          <w:szCs w:val="22"/>
        </w:rPr>
        <w:t>or 80</w:t>
      </w:r>
      <w:r w:rsidR="00D5093F" w:rsidRPr="001775D9">
        <w:rPr>
          <w:szCs w:val="22"/>
          <w:lang w:eastAsia="en-GB"/>
        </w:rPr>
        <w:t> </w:t>
      </w:r>
      <w:r w:rsidR="005B4B3F" w:rsidRPr="001775D9">
        <w:rPr>
          <w:rFonts w:eastAsia="Times New Roman"/>
          <w:color w:val="000000"/>
          <w:szCs w:val="22"/>
        </w:rPr>
        <w:t>mg every other week (given as two 40</w:t>
      </w:r>
      <w:r w:rsidR="00D5093F" w:rsidRPr="001775D9">
        <w:rPr>
          <w:szCs w:val="22"/>
          <w:lang w:eastAsia="en-GB"/>
        </w:rPr>
        <w:t> </w:t>
      </w:r>
      <w:r w:rsidR="005B4B3F" w:rsidRPr="001775D9">
        <w:rPr>
          <w:rFonts w:eastAsia="Times New Roman"/>
          <w:color w:val="000000"/>
          <w:szCs w:val="22"/>
        </w:rPr>
        <w:t>mg injections in one day)</w:t>
      </w:r>
      <w:r w:rsidRPr="001775D9">
        <w:rPr>
          <w:rFonts w:eastAsia="Times New Roman"/>
          <w:color w:val="000000"/>
          <w:szCs w:val="22"/>
        </w:rPr>
        <w:t xml:space="preserve">. Antibiotics may be continued during treatment with </w:t>
      </w:r>
      <w:r w:rsidR="00731327" w:rsidRPr="001775D9">
        <w:rPr>
          <w:color w:val="000000"/>
          <w:szCs w:val="22"/>
          <w:lang w:eastAsia="en-GB"/>
        </w:rPr>
        <w:t>AMGEVITA</w:t>
      </w:r>
      <w:r w:rsidRPr="001775D9">
        <w:rPr>
          <w:rFonts w:eastAsia="Times New Roman"/>
          <w:color w:val="000000"/>
          <w:szCs w:val="22"/>
        </w:rPr>
        <w:t xml:space="preserve"> if necessary. It is recommended that the patient should use a topical antiseptic wash on their HS lesions on a daily basis during treatment with </w:t>
      </w:r>
      <w:r w:rsidR="00731327" w:rsidRPr="001775D9">
        <w:rPr>
          <w:color w:val="000000"/>
          <w:szCs w:val="22"/>
          <w:lang w:eastAsia="en-GB"/>
        </w:rPr>
        <w:t>AMGEVITA</w:t>
      </w:r>
      <w:r w:rsidRPr="001775D9">
        <w:rPr>
          <w:rFonts w:eastAsia="Times New Roman"/>
          <w:color w:val="000000"/>
          <w:szCs w:val="22"/>
        </w:rPr>
        <w:t>.</w:t>
      </w:r>
    </w:p>
    <w:p w14:paraId="774A154B" w14:textId="77777777" w:rsidR="00731327" w:rsidRPr="001775D9" w:rsidRDefault="00731327" w:rsidP="00FB5458">
      <w:pPr>
        <w:shd w:val="clear" w:color="auto" w:fill="FFFFFF"/>
        <w:tabs>
          <w:tab w:val="clear" w:pos="567"/>
        </w:tabs>
        <w:spacing w:line="240" w:lineRule="auto"/>
        <w:rPr>
          <w:rFonts w:eastAsia="Times New Roman"/>
          <w:color w:val="000000"/>
          <w:szCs w:val="22"/>
        </w:rPr>
      </w:pPr>
    </w:p>
    <w:p w14:paraId="701FCE90" w14:textId="77777777" w:rsidR="005175C2" w:rsidRPr="001775D9" w:rsidRDefault="005175C2"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Continued therapy beyond 12 weeks should be carefully reconsidered in a patient with no improvement within this time period. </w:t>
      </w:r>
    </w:p>
    <w:p w14:paraId="0F444EF2" w14:textId="77777777" w:rsidR="00731327" w:rsidRPr="001775D9" w:rsidRDefault="00731327" w:rsidP="00FB5458">
      <w:pPr>
        <w:shd w:val="clear" w:color="auto" w:fill="FFFFFF"/>
        <w:tabs>
          <w:tab w:val="clear" w:pos="567"/>
        </w:tabs>
        <w:spacing w:line="240" w:lineRule="auto"/>
        <w:rPr>
          <w:rFonts w:eastAsia="Times New Roman"/>
          <w:color w:val="000000"/>
          <w:szCs w:val="22"/>
        </w:rPr>
      </w:pPr>
    </w:p>
    <w:p w14:paraId="4A954B4B" w14:textId="77777777" w:rsidR="005175C2" w:rsidRPr="001775D9" w:rsidRDefault="005175C2"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Should treatment be interrupted, </w:t>
      </w:r>
      <w:r w:rsidR="00731327" w:rsidRPr="001775D9">
        <w:rPr>
          <w:color w:val="000000"/>
          <w:szCs w:val="22"/>
          <w:lang w:eastAsia="en-GB"/>
        </w:rPr>
        <w:t>AMGEVITA</w:t>
      </w:r>
      <w:r w:rsidRPr="001775D9">
        <w:rPr>
          <w:rFonts w:eastAsia="Times New Roman"/>
          <w:color w:val="000000"/>
          <w:szCs w:val="22"/>
        </w:rPr>
        <w:t xml:space="preserve"> 40</w:t>
      </w:r>
      <w:r w:rsidR="00D067D5" w:rsidRPr="001775D9">
        <w:rPr>
          <w:rFonts w:eastAsia="Times New Roman"/>
          <w:color w:val="000000"/>
          <w:szCs w:val="22"/>
        </w:rPr>
        <w:t> </w:t>
      </w:r>
      <w:r w:rsidRPr="001775D9">
        <w:rPr>
          <w:rFonts w:eastAsia="Times New Roman"/>
          <w:color w:val="000000"/>
          <w:szCs w:val="22"/>
        </w:rPr>
        <w:t xml:space="preserve">mg every week </w:t>
      </w:r>
      <w:r w:rsidR="005B4B3F" w:rsidRPr="001775D9">
        <w:rPr>
          <w:rFonts w:eastAsia="Times New Roman"/>
          <w:color w:val="000000"/>
          <w:szCs w:val="22"/>
        </w:rPr>
        <w:t>or 80</w:t>
      </w:r>
      <w:r w:rsidR="00D5093F" w:rsidRPr="001775D9">
        <w:rPr>
          <w:szCs w:val="22"/>
          <w:lang w:eastAsia="en-GB"/>
        </w:rPr>
        <w:t> </w:t>
      </w:r>
      <w:r w:rsidR="00624106" w:rsidRPr="001775D9">
        <w:rPr>
          <w:rFonts w:eastAsia="Times New Roman"/>
          <w:color w:val="000000"/>
          <w:szCs w:val="22"/>
        </w:rPr>
        <w:t>mg</w:t>
      </w:r>
      <w:r w:rsidR="005B4B3F" w:rsidRPr="001775D9">
        <w:rPr>
          <w:rFonts w:eastAsia="Times New Roman"/>
          <w:color w:val="000000"/>
          <w:szCs w:val="22"/>
        </w:rPr>
        <w:t xml:space="preserve"> </w:t>
      </w:r>
      <w:r w:rsidR="007043BC" w:rsidRPr="001775D9">
        <w:rPr>
          <w:rFonts w:eastAsia="Times New Roman"/>
          <w:color w:val="000000"/>
          <w:szCs w:val="22"/>
        </w:rPr>
        <w:t xml:space="preserve">every other week </w:t>
      </w:r>
      <w:r w:rsidRPr="001775D9">
        <w:rPr>
          <w:rFonts w:eastAsia="Times New Roman"/>
          <w:color w:val="000000"/>
          <w:szCs w:val="22"/>
        </w:rPr>
        <w:t>ma</w:t>
      </w:r>
      <w:r w:rsidR="005C5B30" w:rsidRPr="001775D9">
        <w:rPr>
          <w:rFonts w:eastAsia="Times New Roman"/>
          <w:color w:val="000000"/>
          <w:szCs w:val="22"/>
        </w:rPr>
        <w:t>y be re-introduced (see section </w:t>
      </w:r>
      <w:r w:rsidRPr="001775D9">
        <w:rPr>
          <w:rFonts w:eastAsia="Times New Roman"/>
          <w:color w:val="000000"/>
          <w:szCs w:val="22"/>
        </w:rPr>
        <w:t xml:space="preserve">5.1). </w:t>
      </w:r>
    </w:p>
    <w:p w14:paraId="5C764A9F" w14:textId="77777777" w:rsidR="00731327" w:rsidRPr="001775D9" w:rsidRDefault="00731327" w:rsidP="00FB5458">
      <w:pPr>
        <w:shd w:val="clear" w:color="auto" w:fill="FFFFFF"/>
        <w:tabs>
          <w:tab w:val="clear" w:pos="567"/>
        </w:tabs>
        <w:spacing w:line="240" w:lineRule="auto"/>
        <w:rPr>
          <w:rFonts w:eastAsia="Times New Roman"/>
          <w:color w:val="000000"/>
          <w:szCs w:val="22"/>
        </w:rPr>
      </w:pPr>
    </w:p>
    <w:p w14:paraId="41198F73" w14:textId="77777777" w:rsidR="008C1A34" w:rsidRPr="001775D9" w:rsidRDefault="005175C2" w:rsidP="00FB5458">
      <w:pPr>
        <w:shd w:val="clear" w:color="auto" w:fill="FFFFFF"/>
        <w:tabs>
          <w:tab w:val="clear" w:pos="567"/>
        </w:tabs>
        <w:spacing w:line="240" w:lineRule="auto"/>
        <w:rPr>
          <w:szCs w:val="22"/>
          <w:lang w:eastAsia="en-GB"/>
        </w:rPr>
      </w:pPr>
      <w:r w:rsidRPr="001775D9">
        <w:rPr>
          <w:rFonts w:eastAsia="Times New Roman"/>
          <w:color w:val="000000"/>
          <w:szCs w:val="22"/>
        </w:rPr>
        <w:t>The benefit and risk of continued long-term treatment should be periodically ev</w:t>
      </w:r>
      <w:r w:rsidR="005C5B30" w:rsidRPr="001775D9">
        <w:rPr>
          <w:rFonts w:eastAsia="Times New Roman"/>
          <w:color w:val="000000"/>
          <w:szCs w:val="22"/>
        </w:rPr>
        <w:t>aluated (see section </w:t>
      </w:r>
      <w:r w:rsidRPr="001775D9">
        <w:rPr>
          <w:rFonts w:eastAsia="Times New Roman"/>
          <w:color w:val="000000"/>
          <w:szCs w:val="22"/>
        </w:rPr>
        <w:t>5.1).</w:t>
      </w:r>
    </w:p>
    <w:p w14:paraId="0CA118E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B442B02" w14:textId="77777777" w:rsidR="00C42229" w:rsidRPr="001775D9" w:rsidRDefault="00C42229" w:rsidP="00FB5458">
      <w:pPr>
        <w:tabs>
          <w:tab w:val="clear" w:pos="567"/>
        </w:tabs>
        <w:autoSpaceDE w:val="0"/>
        <w:autoSpaceDN w:val="0"/>
        <w:adjustRightInd w:val="0"/>
        <w:spacing w:line="240" w:lineRule="auto"/>
        <w:rPr>
          <w:i/>
          <w:szCs w:val="22"/>
          <w:lang w:eastAsia="en-GB"/>
        </w:rPr>
      </w:pPr>
      <w:r w:rsidRPr="001775D9">
        <w:rPr>
          <w:i/>
          <w:szCs w:val="22"/>
          <w:lang w:eastAsia="en-GB"/>
        </w:rPr>
        <w:t xml:space="preserve">Crohn’s disease </w:t>
      </w:r>
    </w:p>
    <w:p w14:paraId="2132B934" w14:textId="77777777" w:rsidR="00A62CB6" w:rsidRPr="001775D9" w:rsidRDefault="00A62CB6" w:rsidP="00FB5458">
      <w:pPr>
        <w:tabs>
          <w:tab w:val="clear" w:pos="567"/>
        </w:tabs>
        <w:autoSpaceDE w:val="0"/>
        <w:autoSpaceDN w:val="0"/>
        <w:adjustRightInd w:val="0"/>
        <w:spacing w:line="240" w:lineRule="auto"/>
        <w:rPr>
          <w:szCs w:val="22"/>
          <w:lang w:eastAsia="en-GB"/>
        </w:rPr>
      </w:pPr>
    </w:p>
    <w:p w14:paraId="31F7D2B0"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The recommended </w:t>
      </w:r>
      <w:r w:rsidR="00731327" w:rsidRPr="001775D9">
        <w:rPr>
          <w:color w:val="000000"/>
          <w:szCs w:val="22"/>
          <w:lang w:eastAsia="en-GB"/>
        </w:rPr>
        <w:t>AMGEVITA</w:t>
      </w:r>
      <w:r w:rsidRPr="001775D9">
        <w:rPr>
          <w:szCs w:val="22"/>
          <w:lang w:eastAsia="en-GB"/>
        </w:rPr>
        <w:t xml:space="preserve"> induction dose regimen for adult patients with moderately to severely active Crohn’s disease is 80</w:t>
      </w:r>
      <w:r w:rsidRPr="001775D9">
        <w:rPr>
          <w:szCs w:val="22"/>
        </w:rPr>
        <w:t> </w:t>
      </w:r>
      <w:r w:rsidRPr="001775D9">
        <w:rPr>
          <w:szCs w:val="22"/>
          <w:lang w:eastAsia="en-GB"/>
        </w:rPr>
        <w:t xml:space="preserve">mg at </w:t>
      </w:r>
      <w:r w:rsidR="005A0088" w:rsidRPr="001775D9">
        <w:rPr>
          <w:szCs w:val="22"/>
          <w:lang w:eastAsia="en-GB"/>
        </w:rPr>
        <w:t>week</w:t>
      </w:r>
      <w:r w:rsidRPr="001775D9">
        <w:rPr>
          <w:szCs w:val="22"/>
          <w:lang w:eastAsia="en-GB"/>
        </w:rPr>
        <w:t xml:space="preserve"> 0 followed by 40</w:t>
      </w:r>
      <w:r w:rsidRPr="001775D9">
        <w:rPr>
          <w:szCs w:val="22"/>
        </w:rPr>
        <w:t> </w:t>
      </w:r>
      <w:r w:rsidRPr="001775D9">
        <w:rPr>
          <w:szCs w:val="22"/>
          <w:lang w:eastAsia="en-GB"/>
        </w:rPr>
        <w:t xml:space="preserve">mg at </w:t>
      </w:r>
      <w:r w:rsidR="005A0088" w:rsidRPr="001775D9">
        <w:rPr>
          <w:szCs w:val="22"/>
          <w:lang w:eastAsia="en-GB"/>
        </w:rPr>
        <w:t>w</w:t>
      </w:r>
      <w:r w:rsidR="00CE7371" w:rsidRPr="001775D9">
        <w:rPr>
          <w:szCs w:val="22"/>
          <w:lang w:eastAsia="en-GB"/>
        </w:rPr>
        <w:t>eek</w:t>
      </w:r>
      <w:r w:rsidRPr="001775D9">
        <w:rPr>
          <w:szCs w:val="22"/>
          <w:lang w:eastAsia="en-GB"/>
        </w:rPr>
        <w:t xml:space="preserve"> 2. In case there is a need for a more rapid response to therapy, the regimen 160</w:t>
      </w:r>
      <w:r w:rsidRPr="001775D9">
        <w:rPr>
          <w:szCs w:val="22"/>
        </w:rPr>
        <w:t> </w:t>
      </w:r>
      <w:r w:rsidRPr="001775D9">
        <w:rPr>
          <w:szCs w:val="22"/>
          <w:lang w:eastAsia="en-GB"/>
        </w:rPr>
        <w:t xml:space="preserve">mg at </w:t>
      </w:r>
      <w:r w:rsidR="005A0088" w:rsidRPr="001775D9">
        <w:rPr>
          <w:szCs w:val="22"/>
          <w:lang w:eastAsia="en-GB"/>
        </w:rPr>
        <w:t>week</w:t>
      </w:r>
      <w:r w:rsidRPr="001775D9">
        <w:rPr>
          <w:szCs w:val="22"/>
          <w:lang w:eastAsia="en-GB"/>
        </w:rPr>
        <w:t xml:space="preserve"> 0 (</w:t>
      </w:r>
      <w:r w:rsidR="005B4B3F" w:rsidRPr="001775D9">
        <w:rPr>
          <w:szCs w:val="22"/>
          <w:lang w:eastAsia="en-GB"/>
        </w:rPr>
        <w:t xml:space="preserve">given </w:t>
      </w:r>
      <w:r w:rsidRPr="001775D9">
        <w:rPr>
          <w:szCs w:val="22"/>
          <w:lang w:eastAsia="en-GB"/>
        </w:rPr>
        <w:t xml:space="preserve">as four </w:t>
      </w:r>
      <w:r w:rsidR="005B4B3F" w:rsidRPr="001775D9">
        <w:rPr>
          <w:szCs w:val="22"/>
          <w:lang w:eastAsia="en-GB"/>
        </w:rPr>
        <w:t>40</w:t>
      </w:r>
      <w:r w:rsidR="00D5093F" w:rsidRPr="001775D9">
        <w:rPr>
          <w:szCs w:val="22"/>
          <w:lang w:eastAsia="en-GB"/>
        </w:rPr>
        <w:t> </w:t>
      </w:r>
      <w:r w:rsidR="005B4B3F" w:rsidRPr="001775D9">
        <w:rPr>
          <w:szCs w:val="22"/>
          <w:lang w:eastAsia="en-GB"/>
        </w:rPr>
        <w:t xml:space="preserve">mg </w:t>
      </w:r>
      <w:r w:rsidRPr="001775D9">
        <w:rPr>
          <w:szCs w:val="22"/>
          <w:lang w:eastAsia="en-GB"/>
        </w:rPr>
        <w:t xml:space="preserve">injections in one day or as two </w:t>
      </w:r>
      <w:r w:rsidR="005B4B3F" w:rsidRPr="001775D9">
        <w:rPr>
          <w:szCs w:val="22"/>
          <w:lang w:eastAsia="en-GB"/>
        </w:rPr>
        <w:t>40</w:t>
      </w:r>
      <w:r w:rsidR="00D5093F" w:rsidRPr="001775D9">
        <w:rPr>
          <w:szCs w:val="22"/>
          <w:lang w:eastAsia="en-GB"/>
        </w:rPr>
        <w:t> </w:t>
      </w:r>
      <w:r w:rsidR="005B4B3F" w:rsidRPr="001775D9">
        <w:rPr>
          <w:szCs w:val="22"/>
          <w:lang w:eastAsia="en-GB"/>
        </w:rPr>
        <w:t xml:space="preserve">mg </w:t>
      </w:r>
      <w:r w:rsidRPr="001775D9">
        <w:rPr>
          <w:szCs w:val="22"/>
          <w:lang w:eastAsia="en-GB"/>
        </w:rPr>
        <w:t>injections per day for two consecutive days),</w:t>
      </w:r>
      <w:r w:rsidR="005D1775" w:rsidRPr="001775D9">
        <w:rPr>
          <w:szCs w:val="22"/>
          <w:lang w:eastAsia="en-GB"/>
        </w:rPr>
        <w:t xml:space="preserve"> followed by</w:t>
      </w:r>
      <w:r w:rsidRPr="001775D9">
        <w:rPr>
          <w:szCs w:val="22"/>
          <w:lang w:eastAsia="en-GB"/>
        </w:rPr>
        <w:t xml:space="preserve"> 80</w:t>
      </w:r>
      <w:r w:rsidRPr="001775D9">
        <w:rPr>
          <w:szCs w:val="22"/>
        </w:rPr>
        <w:t> </w:t>
      </w:r>
      <w:r w:rsidRPr="001775D9">
        <w:rPr>
          <w:szCs w:val="22"/>
          <w:lang w:eastAsia="en-GB"/>
        </w:rPr>
        <w:t xml:space="preserve">mg at </w:t>
      </w:r>
      <w:r w:rsidR="005A0088" w:rsidRPr="001775D9">
        <w:rPr>
          <w:szCs w:val="22"/>
          <w:lang w:eastAsia="en-GB"/>
        </w:rPr>
        <w:t>week</w:t>
      </w:r>
      <w:r w:rsidRPr="001775D9">
        <w:rPr>
          <w:szCs w:val="22"/>
          <w:lang w:eastAsia="en-GB"/>
        </w:rPr>
        <w:t xml:space="preserve"> 2</w:t>
      </w:r>
      <w:r w:rsidR="005B4B3F" w:rsidRPr="001775D9">
        <w:rPr>
          <w:szCs w:val="22"/>
          <w:lang w:eastAsia="en-GB"/>
        </w:rPr>
        <w:t xml:space="preserve"> (given as two 40</w:t>
      </w:r>
      <w:r w:rsidR="00D5093F" w:rsidRPr="001775D9">
        <w:rPr>
          <w:szCs w:val="22"/>
          <w:lang w:eastAsia="en-GB"/>
        </w:rPr>
        <w:t> </w:t>
      </w:r>
      <w:r w:rsidR="005B4B3F" w:rsidRPr="001775D9">
        <w:rPr>
          <w:szCs w:val="22"/>
          <w:lang w:eastAsia="en-GB"/>
        </w:rPr>
        <w:t>mg injections in one day)</w:t>
      </w:r>
      <w:r w:rsidRPr="001775D9">
        <w:rPr>
          <w:szCs w:val="22"/>
          <w:lang w:eastAsia="en-GB"/>
        </w:rPr>
        <w:t xml:space="preserve">, can be used with the awareness that the risk for adverse events is higher during induction. </w:t>
      </w:r>
    </w:p>
    <w:p w14:paraId="0B5A78C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8D7ADFA"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lang w:eastAsia="en-GB"/>
        </w:rPr>
        <w:t>After induction treatment, the recommended dose is 40</w:t>
      </w:r>
      <w:r w:rsidRPr="001775D9">
        <w:rPr>
          <w:szCs w:val="22"/>
        </w:rPr>
        <w:t> </w:t>
      </w:r>
      <w:r w:rsidRPr="001775D9">
        <w:rPr>
          <w:szCs w:val="22"/>
          <w:lang w:eastAsia="en-GB"/>
        </w:rPr>
        <w:t xml:space="preserve">mg every other week via subcutaneous injection. Alternatively, if a patient has stopped </w:t>
      </w:r>
      <w:r w:rsidR="00731327" w:rsidRPr="001775D9">
        <w:rPr>
          <w:color w:val="000000"/>
          <w:szCs w:val="22"/>
          <w:lang w:eastAsia="en-GB"/>
        </w:rPr>
        <w:t>AMGEVITA</w:t>
      </w:r>
      <w:r w:rsidRPr="001775D9">
        <w:rPr>
          <w:szCs w:val="22"/>
          <w:lang w:eastAsia="en-GB"/>
        </w:rPr>
        <w:t xml:space="preserve"> and signs and symptoms of disease recur, </w:t>
      </w:r>
      <w:r w:rsidR="00731327" w:rsidRPr="001775D9">
        <w:rPr>
          <w:color w:val="000000"/>
          <w:szCs w:val="22"/>
          <w:lang w:eastAsia="en-GB"/>
        </w:rPr>
        <w:t>AMGEVITA</w:t>
      </w:r>
      <w:r w:rsidRPr="001775D9">
        <w:rPr>
          <w:szCs w:val="22"/>
          <w:lang w:eastAsia="en-GB"/>
        </w:rPr>
        <w:t xml:space="preserve"> may be re-administered. There is little experience from re-administration after more than 8 weeks since the previous dose.</w:t>
      </w:r>
    </w:p>
    <w:p w14:paraId="753A2131"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521838AE"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During maintenance treatment, corticosteroids may be tapered in accordance with clinical practice guidelines. </w:t>
      </w:r>
    </w:p>
    <w:p w14:paraId="06434A00"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E7A8CDC" w14:textId="7F7DA7AB"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Some patients who experience decrease in their response </w:t>
      </w:r>
      <w:r w:rsidR="005B4B3F" w:rsidRPr="001775D9">
        <w:rPr>
          <w:szCs w:val="22"/>
          <w:lang w:eastAsia="en-GB"/>
        </w:rPr>
        <w:t>to AMGEVITA 40</w:t>
      </w:r>
      <w:r w:rsidR="00D5093F" w:rsidRPr="001775D9">
        <w:rPr>
          <w:szCs w:val="22"/>
          <w:lang w:eastAsia="en-GB"/>
        </w:rPr>
        <w:t> </w:t>
      </w:r>
      <w:r w:rsidR="005B4B3F" w:rsidRPr="001775D9">
        <w:rPr>
          <w:szCs w:val="22"/>
          <w:lang w:eastAsia="en-GB"/>
        </w:rPr>
        <w:t xml:space="preserve">mg every other week </w:t>
      </w:r>
      <w:r w:rsidRPr="001775D9">
        <w:rPr>
          <w:szCs w:val="22"/>
          <w:lang w:eastAsia="en-GB"/>
        </w:rPr>
        <w:t xml:space="preserve">may benefit from an increase in </w:t>
      </w:r>
      <w:r w:rsidR="005B4B3F" w:rsidRPr="001775D9">
        <w:rPr>
          <w:szCs w:val="22"/>
          <w:lang w:eastAsia="en-GB"/>
        </w:rPr>
        <w:t>dose</w:t>
      </w:r>
      <w:r w:rsidRPr="001775D9">
        <w:rPr>
          <w:szCs w:val="22"/>
          <w:lang w:eastAsia="en-GB"/>
        </w:rPr>
        <w:t xml:space="preserve"> to 40</w:t>
      </w:r>
      <w:r w:rsidRPr="001775D9">
        <w:rPr>
          <w:szCs w:val="22"/>
        </w:rPr>
        <w:t> </w:t>
      </w:r>
      <w:r w:rsidRPr="001775D9">
        <w:rPr>
          <w:szCs w:val="22"/>
          <w:lang w:eastAsia="en-GB"/>
        </w:rPr>
        <w:t xml:space="preserve">mg </w:t>
      </w:r>
      <w:r w:rsidR="00731327" w:rsidRPr="001775D9">
        <w:rPr>
          <w:color w:val="000000"/>
          <w:szCs w:val="22"/>
          <w:lang w:eastAsia="en-GB"/>
        </w:rPr>
        <w:t>AMGEVITA</w:t>
      </w:r>
      <w:r w:rsidRPr="001775D9">
        <w:rPr>
          <w:szCs w:val="22"/>
          <w:lang w:eastAsia="en-GB"/>
        </w:rPr>
        <w:t xml:space="preserve"> every week</w:t>
      </w:r>
      <w:r w:rsidR="007D21DE" w:rsidRPr="001775D9">
        <w:rPr>
          <w:szCs w:val="22"/>
          <w:lang w:eastAsia="en-GB"/>
        </w:rPr>
        <w:t xml:space="preserve"> or 80</w:t>
      </w:r>
      <w:r w:rsidR="00D5093F" w:rsidRPr="001775D9">
        <w:rPr>
          <w:szCs w:val="22"/>
          <w:lang w:eastAsia="en-GB"/>
        </w:rPr>
        <w:t> </w:t>
      </w:r>
      <w:r w:rsidR="007D21DE" w:rsidRPr="001775D9">
        <w:rPr>
          <w:szCs w:val="22"/>
          <w:lang w:eastAsia="en-GB"/>
        </w:rPr>
        <w:t>mg every other week</w:t>
      </w:r>
      <w:r w:rsidRPr="001775D9">
        <w:rPr>
          <w:szCs w:val="22"/>
          <w:lang w:eastAsia="en-GB"/>
        </w:rPr>
        <w:t xml:space="preserve">. </w:t>
      </w:r>
    </w:p>
    <w:p w14:paraId="1E7AA9DE"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2D36A3C" w14:textId="77777777" w:rsidR="007D21DE"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Some patients who have not responded by </w:t>
      </w:r>
      <w:r w:rsidR="005A0088" w:rsidRPr="001775D9">
        <w:rPr>
          <w:szCs w:val="22"/>
          <w:lang w:eastAsia="en-GB"/>
        </w:rPr>
        <w:t>week</w:t>
      </w:r>
      <w:r w:rsidRPr="001775D9">
        <w:rPr>
          <w:szCs w:val="22"/>
          <w:lang w:eastAsia="en-GB"/>
        </w:rPr>
        <w:t xml:space="preserve"> 4 may benefit from continued maintenance therapy through </w:t>
      </w:r>
      <w:r w:rsidR="005A0088" w:rsidRPr="001775D9">
        <w:rPr>
          <w:szCs w:val="22"/>
          <w:lang w:eastAsia="en-GB"/>
        </w:rPr>
        <w:t>week</w:t>
      </w:r>
      <w:r w:rsidRPr="001775D9">
        <w:rPr>
          <w:szCs w:val="22"/>
          <w:lang w:eastAsia="en-GB"/>
        </w:rPr>
        <w:t xml:space="preserve"> 12. Continued therapy should be carefully reconsidered in a patient not responding within this time period. </w:t>
      </w:r>
    </w:p>
    <w:p w14:paraId="639F6FAA" w14:textId="77777777" w:rsidR="00530FB7" w:rsidRPr="001775D9" w:rsidRDefault="00530FB7" w:rsidP="00FB5458">
      <w:pPr>
        <w:tabs>
          <w:tab w:val="clear" w:pos="567"/>
        </w:tabs>
        <w:autoSpaceDE w:val="0"/>
        <w:autoSpaceDN w:val="0"/>
        <w:adjustRightInd w:val="0"/>
        <w:spacing w:line="240" w:lineRule="auto"/>
        <w:rPr>
          <w:szCs w:val="22"/>
          <w:lang w:eastAsia="en-GB"/>
        </w:rPr>
      </w:pPr>
    </w:p>
    <w:p w14:paraId="768BADDD" w14:textId="77777777" w:rsidR="00C42229" w:rsidRPr="001775D9" w:rsidRDefault="00C42229" w:rsidP="00FB5458">
      <w:pPr>
        <w:keepNext/>
        <w:tabs>
          <w:tab w:val="clear" w:pos="567"/>
        </w:tabs>
        <w:autoSpaceDE w:val="0"/>
        <w:autoSpaceDN w:val="0"/>
        <w:adjustRightInd w:val="0"/>
        <w:spacing w:line="240" w:lineRule="auto"/>
        <w:rPr>
          <w:i/>
          <w:szCs w:val="22"/>
          <w:lang w:eastAsia="en-GB"/>
        </w:rPr>
      </w:pPr>
      <w:r w:rsidRPr="001775D9">
        <w:rPr>
          <w:i/>
          <w:szCs w:val="22"/>
          <w:lang w:eastAsia="en-GB"/>
        </w:rPr>
        <w:t xml:space="preserve">Ulcerative colitis </w:t>
      </w:r>
    </w:p>
    <w:p w14:paraId="6799E0B5"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154E6F7A"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lang w:eastAsia="en-GB"/>
        </w:rPr>
        <w:t xml:space="preserve">The recommended </w:t>
      </w:r>
      <w:r w:rsidR="00731327" w:rsidRPr="001775D9">
        <w:rPr>
          <w:color w:val="000000"/>
          <w:szCs w:val="22"/>
          <w:lang w:eastAsia="en-GB"/>
        </w:rPr>
        <w:t>AMGEVITA</w:t>
      </w:r>
      <w:r w:rsidRPr="001775D9">
        <w:rPr>
          <w:szCs w:val="22"/>
          <w:lang w:eastAsia="en-GB"/>
        </w:rPr>
        <w:t xml:space="preserve"> induction dose regimen for adult patients with moderate to severe ulcerative colitis is 160</w:t>
      </w:r>
      <w:r w:rsidRPr="001775D9">
        <w:rPr>
          <w:szCs w:val="22"/>
        </w:rPr>
        <w:t> </w:t>
      </w:r>
      <w:r w:rsidRPr="001775D9">
        <w:rPr>
          <w:szCs w:val="22"/>
          <w:lang w:eastAsia="en-GB"/>
        </w:rPr>
        <w:t xml:space="preserve">mg at </w:t>
      </w:r>
      <w:r w:rsidR="005A0088" w:rsidRPr="001775D9">
        <w:rPr>
          <w:szCs w:val="22"/>
          <w:lang w:eastAsia="en-GB"/>
        </w:rPr>
        <w:t>week</w:t>
      </w:r>
      <w:r w:rsidR="00CE7371" w:rsidRPr="001775D9">
        <w:rPr>
          <w:szCs w:val="22"/>
          <w:lang w:eastAsia="en-GB"/>
        </w:rPr>
        <w:t xml:space="preserve"> </w:t>
      </w:r>
      <w:r w:rsidRPr="001775D9">
        <w:rPr>
          <w:szCs w:val="22"/>
          <w:lang w:eastAsia="en-GB"/>
        </w:rPr>
        <w:t>0 (</w:t>
      </w:r>
      <w:r w:rsidR="007D21DE" w:rsidRPr="001775D9">
        <w:rPr>
          <w:szCs w:val="22"/>
          <w:lang w:eastAsia="en-GB"/>
        </w:rPr>
        <w:t>given</w:t>
      </w:r>
      <w:r w:rsidRPr="001775D9">
        <w:rPr>
          <w:szCs w:val="22"/>
          <w:lang w:eastAsia="en-GB"/>
        </w:rPr>
        <w:t xml:space="preserve"> as four </w:t>
      </w:r>
      <w:r w:rsidR="007D21DE" w:rsidRPr="001775D9">
        <w:rPr>
          <w:szCs w:val="22"/>
          <w:lang w:eastAsia="en-GB"/>
        </w:rPr>
        <w:t>40</w:t>
      </w:r>
      <w:r w:rsidR="00D5093F" w:rsidRPr="001775D9">
        <w:rPr>
          <w:szCs w:val="22"/>
          <w:lang w:eastAsia="en-GB"/>
        </w:rPr>
        <w:t> </w:t>
      </w:r>
      <w:r w:rsidR="007D21DE" w:rsidRPr="001775D9">
        <w:rPr>
          <w:szCs w:val="22"/>
          <w:lang w:eastAsia="en-GB"/>
        </w:rPr>
        <w:t xml:space="preserve">mg </w:t>
      </w:r>
      <w:r w:rsidRPr="001775D9">
        <w:rPr>
          <w:szCs w:val="22"/>
          <w:lang w:eastAsia="en-GB"/>
        </w:rPr>
        <w:t xml:space="preserve">injections in one day or as two </w:t>
      </w:r>
      <w:r w:rsidR="007D21DE" w:rsidRPr="001775D9">
        <w:rPr>
          <w:szCs w:val="22"/>
          <w:lang w:eastAsia="en-GB"/>
        </w:rPr>
        <w:t>40</w:t>
      </w:r>
      <w:r w:rsidR="00D5093F" w:rsidRPr="001775D9">
        <w:rPr>
          <w:szCs w:val="22"/>
          <w:lang w:eastAsia="en-GB"/>
        </w:rPr>
        <w:t> </w:t>
      </w:r>
      <w:r w:rsidR="007D21DE" w:rsidRPr="001775D9">
        <w:rPr>
          <w:szCs w:val="22"/>
          <w:lang w:eastAsia="en-GB"/>
        </w:rPr>
        <w:t xml:space="preserve">mg </w:t>
      </w:r>
      <w:r w:rsidRPr="001775D9">
        <w:rPr>
          <w:szCs w:val="22"/>
          <w:lang w:eastAsia="en-GB"/>
        </w:rPr>
        <w:t>injections per day for two consecutive days) and 80</w:t>
      </w:r>
      <w:r w:rsidRPr="001775D9">
        <w:rPr>
          <w:szCs w:val="22"/>
        </w:rPr>
        <w:t> </w:t>
      </w:r>
      <w:r w:rsidRPr="001775D9">
        <w:rPr>
          <w:szCs w:val="22"/>
          <w:lang w:eastAsia="en-GB"/>
        </w:rPr>
        <w:t xml:space="preserve">mg at </w:t>
      </w:r>
      <w:r w:rsidR="005A0088" w:rsidRPr="001775D9">
        <w:rPr>
          <w:szCs w:val="22"/>
          <w:lang w:eastAsia="en-GB"/>
        </w:rPr>
        <w:t>week</w:t>
      </w:r>
      <w:r w:rsidRPr="001775D9">
        <w:rPr>
          <w:szCs w:val="22"/>
          <w:lang w:eastAsia="en-GB"/>
        </w:rPr>
        <w:t xml:space="preserve"> 2</w:t>
      </w:r>
      <w:r w:rsidR="007D21DE" w:rsidRPr="001775D9">
        <w:rPr>
          <w:szCs w:val="22"/>
          <w:lang w:eastAsia="en-GB"/>
        </w:rPr>
        <w:t xml:space="preserve"> (given as two 40</w:t>
      </w:r>
      <w:r w:rsidR="00D5093F" w:rsidRPr="001775D9">
        <w:rPr>
          <w:szCs w:val="22"/>
          <w:lang w:eastAsia="en-GB"/>
        </w:rPr>
        <w:t> </w:t>
      </w:r>
      <w:r w:rsidR="007D21DE" w:rsidRPr="001775D9">
        <w:rPr>
          <w:szCs w:val="22"/>
          <w:lang w:eastAsia="en-GB"/>
        </w:rPr>
        <w:t>mg injections in one day)</w:t>
      </w:r>
      <w:r w:rsidRPr="001775D9">
        <w:rPr>
          <w:szCs w:val="22"/>
          <w:lang w:eastAsia="en-GB"/>
        </w:rPr>
        <w:t>. After induction treatment, the recommended dose is 40</w:t>
      </w:r>
      <w:r w:rsidRPr="001775D9">
        <w:rPr>
          <w:szCs w:val="22"/>
        </w:rPr>
        <w:t> </w:t>
      </w:r>
      <w:r w:rsidRPr="001775D9">
        <w:rPr>
          <w:szCs w:val="22"/>
          <w:lang w:eastAsia="en-GB"/>
        </w:rPr>
        <w:t>mg every other week via subcutaneous injection.</w:t>
      </w:r>
    </w:p>
    <w:p w14:paraId="7D174820"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0136E54C"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During maintenance treatment, corticosteroids may be tapered in accordance with clinical practice guidelines. </w:t>
      </w:r>
    </w:p>
    <w:p w14:paraId="320736D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9D02369" w14:textId="12963752"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Some patients who experience decrease in their response </w:t>
      </w:r>
      <w:r w:rsidR="007D21DE" w:rsidRPr="001775D9">
        <w:rPr>
          <w:szCs w:val="22"/>
          <w:lang w:eastAsia="en-GB"/>
        </w:rPr>
        <w:t>to AMGEVITA 40</w:t>
      </w:r>
      <w:r w:rsidR="00D5093F" w:rsidRPr="001775D9">
        <w:rPr>
          <w:szCs w:val="22"/>
          <w:lang w:eastAsia="en-GB"/>
        </w:rPr>
        <w:t> </w:t>
      </w:r>
      <w:r w:rsidR="007D21DE" w:rsidRPr="001775D9">
        <w:rPr>
          <w:szCs w:val="22"/>
          <w:lang w:eastAsia="en-GB"/>
        </w:rPr>
        <w:t xml:space="preserve">mg every other week </w:t>
      </w:r>
      <w:r w:rsidRPr="001775D9">
        <w:rPr>
          <w:szCs w:val="22"/>
          <w:lang w:eastAsia="en-GB"/>
        </w:rPr>
        <w:t xml:space="preserve">may benefit from an increase in </w:t>
      </w:r>
      <w:r w:rsidR="007D21DE" w:rsidRPr="001775D9">
        <w:rPr>
          <w:szCs w:val="22"/>
          <w:lang w:eastAsia="en-GB"/>
        </w:rPr>
        <w:t>dose</w:t>
      </w:r>
      <w:r w:rsidRPr="001775D9">
        <w:rPr>
          <w:szCs w:val="22"/>
          <w:lang w:eastAsia="en-GB"/>
        </w:rPr>
        <w:t xml:space="preserve"> to 40</w:t>
      </w:r>
      <w:r w:rsidRPr="001775D9">
        <w:rPr>
          <w:szCs w:val="22"/>
        </w:rPr>
        <w:t> </w:t>
      </w:r>
      <w:r w:rsidRPr="001775D9">
        <w:rPr>
          <w:szCs w:val="22"/>
          <w:lang w:eastAsia="en-GB"/>
        </w:rPr>
        <w:t xml:space="preserve">mg </w:t>
      </w:r>
      <w:r w:rsidR="00731327" w:rsidRPr="001775D9">
        <w:rPr>
          <w:color w:val="000000"/>
          <w:szCs w:val="22"/>
          <w:lang w:eastAsia="en-GB"/>
        </w:rPr>
        <w:t>AMGEVITA</w:t>
      </w:r>
      <w:r w:rsidRPr="001775D9">
        <w:rPr>
          <w:szCs w:val="22"/>
          <w:lang w:eastAsia="en-GB"/>
        </w:rPr>
        <w:t xml:space="preserve"> every week</w:t>
      </w:r>
      <w:r w:rsidR="007D21DE" w:rsidRPr="001775D9">
        <w:rPr>
          <w:szCs w:val="22"/>
          <w:lang w:eastAsia="en-GB"/>
        </w:rPr>
        <w:t xml:space="preserve"> or 80</w:t>
      </w:r>
      <w:r w:rsidR="00D5093F" w:rsidRPr="001775D9">
        <w:rPr>
          <w:szCs w:val="22"/>
          <w:lang w:eastAsia="en-GB"/>
        </w:rPr>
        <w:t> </w:t>
      </w:r>
      <w:r w:rsidR="00624106" w:rsidRPr="001775D9">
        <w:rPr>
          <w:szCs w:val="22"/>
          <w:lang w:eastAsia="en-GB"/>
        </w:rPr>
        <w:t>mg</w:t>
      </w:r>
      <w:r w:rsidR="00D04259" w:rsidRPr="001775D9">
        <w:rPr>
          <w:szCs w:val="22"/>
          <w:lang w:eastAsia="en-GB"/>
        </w:rPr>
        <w:t xml:space="preserve"> </w:t>
      </w:r>
      <w:r w:rsidR="007D21DE" w:rsidRPr="001775D9">
        <w:rPr>
          <w:szCs w:val="22"/>
          <w:lang w:eastAsia="en-GB"/>
        </w:rPr>
        <w:t>every other week</w:t>
      </w:r>
      <w:r w:rsidRPr="001775D9">
        <w:rPr>
          <w:szCs w:val="22"/>
          <w:lang w:eastAsia="en-GB"/>
        </w:rPr>
        <w:t xml:space="preserve">. </w:t>
      </w:r>
    </w:p>
    <w:p w14:paraId="20EB4CCC" w14:textId="77777777" w:rsidR="00731327" w:rsidRPr="001775D9" w:rsidRDefault="00731327" w:rsidP="00FB5458">
      <w:pPr>
        <w:tabs>
          <w:tab w:val="clear" w:pos="567"/>
        </w:tabs>
        <w:autoSpaceDE w:val="0"/>
        <w:autoSpaceDN w:val="0"/>
        <w:adjustRightInd w:val="0"/>
        <w:spacing w:line="240" w:lineRule="auto"/>
        <w:rPr>
          <w:szCs w:val="22"/>
          <w:lang w:eastAsia="en-GB"/>
        </w:rPr>
      </w:pPr>
    </w:p>
    <w:p w14:paraId="7DEE0193" w14:textId="27D5035B" w:rsidR="008C1A34" w:rsidRPr="001775D9" w:rsidRDefault="00AA54F2" w:rsidP="00FB5458">
      <w:pPr>
        <w:tabs>
          <w:tab w:val="clear" w:pos="567"/>
        </w:tabs>
        <w:autoSpaceDE w:val="0"/>
        <w:autoSpaceDN w:val="0"/>
        <w:adjustRightInd w:val="0"/>
        <w:spacing w:line="240" w:lineRule="auto"/>
        <w:rPr>
          <w:szCs w:val="22"/>
          <w:lang w:eastAsia="en-GB"/>
        </w:rPr>
      </w:pPr>
      <w:r w:rsidRPr="001775D9">
        <w:rPr>
          <w:szCs w:val="22"/>
          <w:lang w:eastAsia="en-GB"/>
        </w:rPr>
        <w:t>Available data suggest that c</w:t>
      </w:r>
      <w:r w:rsidR="003D4634" w:rsidRPr="001775D9">
        <w:rPr>
          <w:szCs w:val="22"/>
          <w:lang w:eastAsia="en-GB"/>
        </w:rPr>
        <w:t>linical</w:t>
      </w:r>
      <w:r w:rsidR="00731327" w:rsidRPr="001775D9">
        <w:rPr>
          <w:szCs w:val="22"/>
          <w:lang w:eastAsia="en-GB"/>
        </w:rPr>
        <w:t xml:space="preserve"> response is usually achieved within 2</w:t>
      </w:r>
      <w:r w:rsidR="0038323A" w:rsidRPr="001775D9">
        <w:rPr>
          <w:szCs w:val="22"/>
          <w:lang w:eastAsia="en-GB"/>
        </w:rPr>
        <w:t>-</w:t>
      </w:r>
      <w:r w:rsidR="00731327" w:rsidRPr="001775D9">
        <w:rPr>
          <w:szCs w:val="22"/>
          <w:lang w:eastAsia="en-GB"/>
        </w:rPr>
        <w:t xml:space="preserve">8 weeks of treatment. </w:t>
      </w:r>
      <w:r w:rsidR="00731327" w:rsidRPr="001775D9">
        <w:rPr>
          <w:color w:val="000000"/>
          <w:szCs w:val="22"/>
          <w:lang w:eastAsia="en-GB"/>
        </w:rPr>
        <w:t>AMGEVITA</w:t>
      </w:r>
      <w:r w:rsidR="00731327" w:rsidRPr="001775D9">
        <w:rPr>
          <w:szCs w:val="22"/>
          <w:lang w:eastAsia="en-GB"/>
        </w:rPr>
        <w:t xml:space="preserve"> therapy should not be continued in patients failing to respond within this time period.</w:t>
      </w:r>
    </w:p>
    <w:p w14:paraId="2EBF71F1" w14:textId="77777777" w:rsidR="0099495A" w:rsidRPr="001775D9" w:rsidRDefault="0099495A" w:rsidP="00FB5458">
      <w:pPr>
        <w:tabs>
          <w:tab w:val="clear" w:pos="567"/>
        </w:tabs>
        <w:autoSpaceDE w:val="0"/>
        <w:autoSpaceDN w:val="0"/>
        <w:adjustRightInd w:val="0"/>
        <w:spacing w:line="240" w:lineRule="auto"/>
        <w:rPr>
          <w:szCs w:val="22"/>
          <w:lang w:eastAsia="en-GB"/>
        </w:rPr>
      </w:pPr>
    </w:p>
    <w:p w14:paraId="0183090A" w14:textId="77777777" w:rsidR="0099495A" w:rsidRPr="001775D9" w:rsidRDefault="0099495A" w:rsidP="00FB5458">
      <w:pPr>
        <w:tabs>
          <w:tab w:val="clear" w:pos="567"/>
        </w:tabs>
        <w:autoSpaceDE w:val="0"/>
        <w:autoSpaceDN w:val="0"/>
        <w:adjustRightInd w:val="0"/>
        <w:spacing w:line="240" w:lineRule="auto"/>
        <w:rPr>
          <w:i/>
          <w:iCs/>
          <w:szCs w:val="22"/>
          <w:lang w:eastAsia="en-GB"/>
        </w:rPr>
      </w:pPr>
      <w:r w:rsidRPr="001775D9">
        <w:rPr>
          <w:i/>
          <w:iCs/>
          <w:szCs w:val="22"/>
          <w:lang w:eastAsia="en-GB"/>
        </w:rPr>
        <w:t>Uveitis</w:t>
      </w:r>
    </w:p>
    <w:p w14:paraId="1AFE79FC" w14:textId="77777777" w:rsidR="0099495A" w:rsidRPr="001775D9" w:rsidRDefault="0099495A" w:rsidP="00FB5458">
      <w:pPr>
        <w:tabs>
          <w:tab w:val="clear" w:pos="567"/>
        </w:tabs>
        <w:autoSpaceDE w:val="0"/>
        <w:autoSpaceDN w:val="0"/>
        <w:adjustRightInd w:val="0"/>
        <w:spacing w:line="240" w:lineRule="auto"/>
        <w:rPr>
          <w:i/>
          <w:iCs/>
          <w:szCs w:val="22"/>
          <w:lang w:eastAsia="en-GB"/>
        </w:rPr>
      </w:pPr>
    </w:p>
    <w:p w14:paraId="2F9A789D" w14:textId="77777777" w:rsidR="0099495A" w:rsidRPr="001775D9" w:rsidRDefault="0099495A" w:rsidP="00FB5458">
      <w:pPr>
        <w:tabs>
          <w:tab w:val="clear" w:pos="567"/>
        </w:tabs>
        <w:autoSpaceDE w:val="0"/>
        <w:autoSpaceDN w:val="0"/>
        <w:adjustRightInd w:val="0"/>
        <w:spacing w:line="240" w:lineRule="auto"/>
        <w:rPr>
          <w:szCs w:val="22"/>
          <w:lang w:eastAsia="en-GB"/>
        </w:rPr>
      </w:pPr>
      <w:r w:rsidRPr="001775D9">
        <w:rPr>
          <w:szCs w:val="22"/>
          <w:lang w:eastAsia="en-GB"/>
        </w:rPr>
        <w:t>The recommended dose of AMGEVITA for adult patients with uveitis is an initial dose of 80 mg, followed by 40 mg given every other week starting one week after the initial dose. There is limited experience in the initiation of treatment with adalimumab alone. Treatment with AMGEVITA can be initiated in combination with corticosteroids and/or with other non-biologic immunomodulatory agents. Concomitant corticosteroids may be tapered in accordance with clinical practice starting two weeks after initiating treatment with AMGEVITA.</w:t>
      </w:r>
    </w:p>
    <w:p w14:paraId="5411E9A0" w14:textId="77777777" w:rsidR="0099495A" w:rsidRPr="001775D9" w:rsidRDefault="0099495A" w:rsidP="00FB5458">
      <w:pPr>
        <w:tabs>
          <w:tab w:val="clear" w:pos="567"/>
        </w:tabs>
        <w:autoSpaceDE w:val="0"/>
        <w:autoSpaceDN w:val="0"/>
        <w:adjustRightInd w:val="0"/>
        <w:spacing w:line="240" w:lineRule="auto"/>
        <w:rPr>
          <w:szCs w:val="22"/>
          <w:lang w:eastAsia="en-GB"/>
        </w:rPr>
      </w:pPr>
    </w:p>
    <w:p w14:paraId="4E3C855D" w14:textId="77777777" w:rsidR="009D4546" w:rsidRPr="001775D9" w:rsidRDefault="0099495A" w:rsidP="00FB5458">
      <w:pPr>
        <w:tabs>
          <w:tab w:val="clear" w:pos="567"/>
        </w:tabs>
        <w:autoSpaceDE w:val="0"/>
        <w:autoSpaceDN w:val="0"/>
        <w:adjustRightInd w:val="0"/>
        <w:spacing w:line="240" w:lineRule="auto"/>
        <w:rPr>
          <w:szCs w:val="22"/>
          <w:u w:val="single"/>
          <w:lang w:eastAsia="en-GB"/>
        </w:rPr>
      </w:pPr>
      <w:r w:rsidRPr="001775D9">
        <w:rPr>
          <w:szCs w:val="22"/>
          <w:lang w:eastAsia="en-GB"/>
        </w:rPr>
        <w:t>It is recommended that the benefit and risk of continued long-term treatment should be evaluated on a yearly basis (see section 5.1).</w:t>
      </w:r>
    </w:p>
    <w:p w14:paraId="02D5280A" w14:textId="77777777" w:rsidR="001A69C5" w:rsidRPr="001775D9" w:rsidRDefault="001A69C5" w:rsidP="00FB5458">
      <w:pPr>
        <w:tabs>
          <w:tab w:val="clear" w:pos="567"/>
        </w:tabs>
        <w:autoSpaceDE w:val="0"/>
        <w:autoSpaceDN w:val="0"/>
        <w:adjustRightInd w:val="0"/>
        <w:spacing w:line="240" w:lineRule="auto"/>
        <w:rPr>
          <w:szCs w:val="22"/>
          <w:highlight w:val="yellow"/>
          <w:u w:val="single"/>
          <w:lang w:eastAsia="en-GB"/>
        </w:rPr>
      </w:pPr>
    </w:p>
    <w:p w14:paraId="466DC6A6" w14:textId="77777777" w:rsidR="00C212EF" w:rsidRPr="001775D9" w:rsidRDefault="00C212EF"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Special populations</w:t>
      </w:r>
    </w:p>
    <w:p w14:paraId="7C6A9EED" w14:textId="77777777" w:rsidR="00C212EF" w:rsidRPr="001775D9" w:rsidRDefault="00C212EF" w:rsidP="00FB5458">
      <w:pPr>
        <w:tabs>
          <w:tab w:val="clear" w:pos="567"/>
        </w:tabs>
        <w:autoSpaceDE w:val="0"/>
        <w:autoSpaceDN w:val="0"/>
        <w:adjustRightInd w:val="0"/>
        <w:spacing w:line="240" w:lineRule="auto"/>
        <w:rPr>
          <w:szCs w:val="22"/>
          <w:u w:val="single"/>
          <w:lang w:eastAsia="en-GB"/>
        </w:rPr>
      </w:pPr>
    </w:p>
    <w:p w14:paraId="215FEC07" w14:textId="77777777" w:rsidR="00C42229" w:rsidRPr="001775D9" w:rsidRDefault="00696955" w:rsidP="00FB5458">
      <w:pPr>
        <w:keepNext/>
        <w:tabs>
          <w:tab w:val="clear" w:pos="567"/>
        </w:tabs>
        <w:autoSpaceDE w:val="0"/>
        <w:autoSpaceDN w:val="0"/>
        <w:adjustRightInd w:val="0"/>
        <w:spacing w:line="240" w:lineRule="auto"/>
        <w:rPr>
          <w:i/>
          <w:iCs/>
          <w:szCs w:val="22"/>
          <w:lang w:eastAsia="en-GB"/>
        </w:rPr>
      </w:pPr>
      <w:r w:rsidRPr="001775D9">
        <w:rPr>
          <w:i/>
          <w:iCs/>
          <w:szCs w:val="22"/>
          <w:lang w:eastAsia="en-GB"/>
        </w:rPr>
        <w:t>Elderly</w:t>
      </w:r>
    </w:p>
    <w:p w14:paraId="77EE7AD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2EA9F90"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No dose adjustment is required. </w:t>
      </w:r>
    </w:p>
    <w:p w14:paraId="4DF7FFB3"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3E194C32" w14:textId="77777777" w:rsidR="003D4634" w:rsidRPr="001775D9" w:rsidRDefault="003D4634" w:rsidP="003D4634">
      <w:pPr>
        <w:keepNext/>
        <w:tabs>
          <w:tab w:val="clear" w:pos="567"/>
        </w:tabs>
        <w:autoSpaceDE w:val="0"/>
        <w:autoSpaceDN w:val="0"/>
        <w:adjustRightInd w:val="0"/>
        <w:spacing w:line="240" w:lineRule="auto"/>
        <w:rPr>
          <w:i/>
          <w:iCs/>
          <w:szCs w:val="22"/>
          <w:lang w:eastAsia="en-GB"/>
        </w:rPr>
      </w:pPr>
      <w:r w:rsidRPr="001775D9">
        <w:rPr>
          <w:i/>
          <w:iCs/>
          <w:szCs w:val="22"/>
          <w:lang w:eastAsia="en-GB"/>
        </w:rPr>
        <w:t>Renal and/or hepatic impairment</w:t>
      </w:r>
    </w:p>
    <w:p w14:paraId="6B8CEFA8"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8D2E38A" w14:textId="77777777" w:rsidR="00C42229" w:rsidRPr="001775D9" w:rsidRDefault="00A430E6" w:rsidP="00FB5458">
      <w:pPr>
        <w:tabs>
          <w:tab w:val="clear" w:pos="567"/>
        </w:tabs>
        <w:autoSpaceDE w:val="0"/>
        <w:autoSpaceDN w:val="0"/>
        <w:adjustRightInd w:val="0"/>
        <w:spacing w:line="240" w:lineRule="auto"/>
        <w:rPr>
          <w:szCs w:val="22"/>
          <w:u w:val="single"/>
          <w:lang w:eastAsia="en-GB"/>
        </w:rPr>
      </w:pPr>
      <w:r w:rsidRPr="001775D9">
        <w:rPr>
          <w:color w:val="000000"/>
          <w:szCs w:val="22"/>
          <w:lang w:eastAsia="en-GB"/>
        </w:rPr>
        <w:t>Adalimumab</w:t>
      </w:r>
      <w:r w:rsidR="00C42229" w:rsidRPr="001775D9">
        <w:rPr>
          <w:szCs w:val="22"/>
          <w:lang w:eastAsia="en-GB"/>
        </w:rPr>
        <w:t xml:space="preserve"> has not been studied in these patient populations. No dose recommendations can be made.</w:t>
      </w:r>
    </w:p>
    <w:p w14:paraId="6D6FE100"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78179BDB" w14:textId="77777777" w:rsidR="00C42229" w:rsidRPr="001775D9" w:rsidRDefault="00C42229" w:rsidP="00FB5458">
      <w:pPr>
        <w:keepNext/>
        <w:tabs>
          <w:tab w:val="clear" w:pos="567"/>
        </w:tabs>
        <w:autoSpaceDE w:val="0"/>
        <w:autoSpaceDN w:val="0"/>
        <w:adjustRightInd w:val="0"/>
        <w:spacing w:line="240" w:lineRule="auto"/>
        <w:rPr>
          <w:i/>
          <w:iCs/>
          <w:szCs w:val="22"/>
          <w:lang w:eastAsia="en-GB"/>
        </w:rPr>
      </w:pPr>
      <w:r w:rsidRPr="001775D9">
        <w:rPr>
          <w:i/>
          <w:iCs/>
          <w:szCs w:val="22"/>
          <w:lang w:eastAsia="en-GB"/>
        </w:rPr>
        <w:t xml:space="preserve">Paediatric </w:t>
      </w:r>
      <w:r w:rsidR="00731327" w:rsidRPr="001775D9">
        <w:rPr>
          <w:i/>
          <w:iCs/>
          <w:szCs w:val="22"/>
          <w:lang w:eastAsia="en-GB"/>
        </w:rPr>
        <w:t>p</w:t>
      </w:r>
      <w:r w:rsidRPr="001775D9">
        <w:rPr>
          <w:i/>
          <w:iCs/>
          <w:szCs w:val="22"/>
          <w:lang w:eastAsia="en-GB"/>
        </w:rPr>
        <w:t xml:space="preserve">opulation </w:t>
      </w:r>
    </w:p>
    <w:p w14:paraId="3CC31F43" w14:textId="77777777" w:rsidR="00426EDF" w:rsidRPr="001775D9" w:rsidRDefault="00426EDF" w:rsidP="00FB5458">
      <w:pPr>
        <w:tabs>
          <w:tab w:val="clear" w:pos="567"/>
        </w:tabs>
        <w:autoSpaceDE w:val="0"/>
        <w:autoSpaceDN w:val="0"/>
        <w:adjustRightInd w:val="0"/>
        <w:spacing w:line="240" w:lineRule="auto"/>
        <w:rPr>
          <w:szCs w:val="22"/>
          <w:u w:val="single"/>
          <w:lang w:eastAsia="en-GB"/>
        </w:rPr>
      </w:pPr>
    </w:p>
    <w:p w14:paraId="24932D2D" w14:textId="77777777" w:rsidR="00FF52D1" w:rsidRPr="001775D9" w:rsidRDefault="006D7681" w:rsidP="00FB5458">
      <w:pPr>
        <w:tabs>
          <w:tab w:val="clear" w:pos="567"/>
        </w:tabs>
        <w:autoSpaceDE w:val="0"/>
        <w:autoSpaceDN w:val="0"/>
        <w:adjustRightInd w:val="0"/>
        <w:spacing w:line="240" w:lineRule="auto"/>
        <w:rPr>
          <w:i/>
          <w:u w:val="single"/>
        </w:rPr>
      </w:pPr>
      <w:r w:rsidRPr="001775D9">
        <w:rPr>
          <w:i/>
          <w:u w:val="single"/>
        </w:rPr>
        <w:t>Juvenile idiopathic arthritis</w:t>
      </w:r>
    </w:p>
    <w:p w14:paraId="3D38D70A" w14:textId="77777777" w:rsidR="006D7681" w:rsidRPr="001775D9" w:rsidRDefault="006D7681" w:rsidP="00FB5458">
      <w:pPr>
        <w:tabs>
          <w:tab w:val="clear" w:pos="567"/>
        </w:tabs>
        <w:autoSpaceDE w:val="0"/>
        <w:autoSpaceDN w:val="0"/>
        <w:adjustRightInd w:val="0"/>
        <w:spacing w:line="240" w:lineRule="auto"/>
        <w:rPr>
          <w:rFonts w:ascii="TimesNewRoman" w:hAnsi="TimesNewRoman" w:cs="TimesNewRoman"/>
          <w:szCs w:val="22"/>
        </w:rPr>
      </w:pPr>
    </w:p>
    <w:p w14:paraId="489E5D3E" w14:textId="77777777" w:rsidR="00E23F64" w:rsidRPr="001775D9" w:rsidRDefault="00E23F64" w:rsidP="00FB5458">
      <w:pPr>
        <w:keepNext/>
        <w:keepLines/>
        <w:tabs>
          <w:tab w:val="clear" w:pos="567"/>
        </w:tabs>
        <w:autoSpaceDE w:val="0"/>
        <w:autoSpaceDN w:val="0"/>
        <w:adjustRightInd w:val="0"/>
        <w:spacing w:line="240" w:lineRule="auto"/>
        <w:rPr>
          <w:iCs/>
          <w:szCs w:val="22"/>
          <w:lang w:eastAsia="en-GB"/>
        </w:rPr>
      </w:pPr>
      <w:r w:rsidRPr="001775D9">
        <w:rPr>
          <w:iCs/>
          <w:szCs w:val="22"/>
          <w:lang w:eastAsia="en-GB"/>
        </w:rPr>
        <w:t>Polyarticular juvenile idiopathic arthritis from 2 years of age</w:t>
      </w:r>
    </w:p>
    <w:p w14:paraId="7E6BFFB7" w14:textId="77777777" w:rsidR="00E23F64" w:rsidRPr="001775D9" w:rsidRDefault="00E23F64" w:rsidP="00FB5458">
      <w:pPr>
        <w:keepNext/>
        <w:keepLines/>
        <w:tabs>
          <w:tab w:val="clear" w:pos="567"/>
        </w:tabs>
        <w:autoSpaceDE w:val="0"/>
        <w:autoSpaceDN w:val="0"/>
        <w:adjustRightInd w:val="0"/>
        <w:spacing w:line="240" w:lineRule="auto"/>
        <w:rPr>
          <w:i/>
          <w:szCs w:val="22"/>
          <w:lang w:eastAsia="en-GB"/>
        </w:rPr>
      </w:pPr>
    </w:p>
    <w:p w14:paraId="103E1AC7" w14:textId="77777777" w:rsidR="00E23F64" w:rsidRPr="001775D9" w:rsidRDefault="00E23F64"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The recommended dose of AMGEVITA for patients with polyarticular juvenile idiopathic arthritis, </w:t>
      </w:r>
      <w:r w:rsidR="00A45115" w:rsidRPr="001775D9">
        <w:rPr>
          <w:szCs w:val="22"/>
          <w:lang w:eastAsia="en-GB"/>
        </w:rPr>
        <w:t xml:space="preserve">from </w:t>
      </w:r>
      <w:r w:rsidRPr="001775D9">
        <w:rPr>
          <w:szCs w:val="22"/>
          <w:lang w:eastAsia="en-GB"/>
        </w:rPr>
        <w:t>2 years</w:t>
      </w:r>
      <w:r w:rsidR="00A45115" w:rsidRPr="001775D9">
        <w:rPr>
          <w:szCs w:val="22"/>
          <w:lang w:eastAsia="en-GB"/>
        </w:rPr>
        <w:t xml:space="preserve"> of age is based on body weight (table 1</w:t>
      </w:r>
      <w:r w:rsidR="007B5F05" w:rsidRPr="001775D9">
        <w:rPr>
          <w:szCs w:val="22"/>
          <w:lang w:eastAsia="en-GB"/>
        </w:rPr>
        <w:t>)</w:t>
      </w:r>
      <w:r w:rsidR="00A45115" w:rsidRPr="001775D9">
        <w:rPr>
          <w:szCs w:val="22"/>
          <w:lang w:eastAsia="en-GB"/>
        </w:rPr>
        <w:t>. AMGEVITA is</w:t>
      </w:r>
      <w:r w:rsidRPr="001775D9">
        <w:rPr>
          <w:szCs w:val="22"/>
          <w:lang w:eastAsia="en-GB"/>
        </w:rPr>
        <w:t xml:space="preserve"> administered every other week via subcutaneous injection.</w:t>
      </w:r>
      <w:r w:rsidR="00A45115" w:rsidRPr="00D55B59">
        <w:rPr>
          <w:szCs w:val="22"/>
          <w:lang w:eastAsia="en-GB"/>
          <w:rPrChange w:id="89" w:author="Author">
            <w:rPr>
              <w:szCs w:val="22"/>
              <w:lang w:val="en-US" w:eastAsia="en-GB"/>
            </w:rPr>
          </w:rPrChange>
        </w:rPr>
        <w:t xml:space="preserve"> </w:t>
      </w:r>
    </w:p>
    <w:p w14:paraId="3995EB2E"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76C27F7" w14:textId="7391E0C9" w:rsidR="00112495" w:rsidRPr="00D55B59" w:rsidRDefault="00112495" w:rsidP="00CF6F25">
      <w:pPr>
        <w:suppressAutoHyphens/>
        <w:spacing w:line="240" w:lineRule="auto"/>
        <w:rPr>
          <w:rFonts w:eastAsia="Times New Roman"/>
          <w:b/>
          <w:szCs w:val="22"/>
          <w:rPrChange w:id="90" w:author="Author">
            <w:rPr>
              <w:rFonts w:eastAsia="Times New Roman"/>
              <w:b/>
              <w:szCs w:val="22"/>
              <w:lang w:val="en-US"/>
            </w:rPr>
          </w:rPrChange>
        </w:rPr>
      </w:pPr>
      <w:r w:rsidRPr="00D55B59">
        <w:rPr>
          <w:rFonts w:eastAsia="Times New Roman"/>
          <w:b/>
          <w:szCs w:val="22"/>
          <w:rPrChange w:id="91" w:author="Author">
            <w:rPr>
              <w:rFonts w:eastAsia="Times New Roman"/>
              <w:b/>
              <w:szCs w:val="22"/>
              <w:lang w:val="en-US"/>
            </w:rPr>
          </w:rPrChange>
        </w:rPr>
        <w:t xml:space="preserve">Table 1. AMGEVITA </w:t>
      </w:r>
      <w:r w:rsidR="00FB1CE9" w:rsidRPr="00D55B59">
        <w:rPr>
          <w:rFonts w:eastAsia="Times New Roman"/>
          <w:b/>
          <w:szCs w:val="22"/>
          <w:rPrChange w:id="92" w:author="Author">
            <w:rPr>
              <w:rFonts w:eastAsia="Times New Roman"/>
              <w:b/>
              <w:szCs w:val="22"/>
              <w:lang w:val="en-US"/>
            </w:rPr>
          </w:rPrChange>
        </w:rPr>
        <w:t>d</w:t>
      </w:r>
      <w:r w:rsidRPr="00D55B59">
        <w:rPr>
          <w:rFonts w:eastAsia="Times New Roman"/>
          <w:b/>
          <w:szCs w:val="22"/>
          <w:rPrChange w:id="93" w:author="Author">
            <w:rPr>
              <w:rFonts w:eastAsia="Times New Roman"/>
              <w:b/>
              <w:szCs w:val="22"/>
              <w:lang w:val="en-US"/>
            </w:rPr>
          </w:rPrChange>
        </w:rPr>
        <w:t xml:space="preserve">ose for </w:t>
      </w:r>
      <w:r w:rsidR="00FB1CE9" w:rsidRPr="00D55B59">
        <w:rPr>
          <w:rFonts w:eastAsia="Times New Roman"/>
          <w:b/>
          <w:szCs w:val="22"/>
          <w:rPrChange w:id="94" w:author="Author">
            <w:rPr>
              <w:rFonts w:eastAsia="Times New Roman"/>
              <w:b/>
              <w:szCs w:val="22"/>
              <w:lang w:val="en-US"/>
            </w:rPr>
          </w:rPrChange>
        </w:rPr>
        <w:t>p</w:t>
      </w:r>
      <w:r w:rsidRPr="00D55B59">
        <w:rPr>
          <w:rFonts w:eastAsia="Times New Roman"/>
          <w:b/>
          <w:szCs w:val="22"/>
          <w:rPrChange w:id="95" w:author="Author">
            <w:rPr>
              <w:rFonts w:eastAsia="Times New Roman"/>
              <w:b/>
              <w:szCs w:val="22"/>
              <w:lang w:val="en-US"/>
            </w:rPr>
          </w:rPrChange>
        </w:rPr>
        <w:t xml:space="preserve">atients with </w:t>
      </w:r>
      <w:r w:rsidR="009E040A" w:rsidRPr="00D55B59">
        <w:rPr>
          <w:rFonts w:eastAsia="Times New Roman"/>
          <w:b/>
          <w:szCs w:val="22"/>
          <w:rPrChange w:id="96" w:author="Author">
            <w:rPr>
              <w:rFonts w:eastAsia="Times New Roman"/>
              <w:b/>
              <w:szCs w:val="22"/>
              <w:lang w:val="en-US"/>
            </w:rPr>
          </w:rPrChange>
        </w:rPr>
        <w:t>p</w:t>
      </w:r>
      <w:r w:rsidRPr="00D55B59">
        <w:rPr>
          <w:rFonts w:eastAsia="Times New Roman"/>
          <w:b/>
          <w:szCs w:val="22"/>
          <w:rPrChange w:id="97" w:author="Author">
            <w:rPr>
              <w:rFonts w:eastAsia="Times New Roman"/>
              <w:b/>
              <w:szCs w:val="22"/>
              <w:lang w:val="en-US"/>
            </w:rPr>
          </w:rPrChange>
        </w:rPr>
        <w:t xml:space="preserve">olyarticular </w:t>
      </w:r>
      <w:r w:rsidR="009E040A" w:rsidRPr="00D55B59">
        <w:rPr>
          <w:rFonts w:eastAsia="Times New Roman"/>
          <w:b/>
          <w:szCs w:val="22"/>
          <w:rPrChange w:id="98" w:author="Author">
            <w:rPr>
              <w:rFonts w:eastAsia="Times New Roman"/>
              <w:b/>
              <w:szCs w:val="22"/>
              <w:lang w:val="en-US"/>
            </w:rPr>
          </w:rPrChange>
        </w:rPr>
        <w:t>j</w:t>
      </w:r>
      <w:r w:rsidRPr="00D55B59">
        <w:rPr>
          <w:rFonts w:eastAsia="Times New Roman"/>
          <w:b/>
          <w:szCs w:val="22"/>
          <w:rPrChange w:id="99" w:author="Author">
            <w:rPr>
              <w:rFonts w:eastAsia="Times New Roman"/>
              <w:b/>
              <w:szCs w:val="22"/>
              <w:lang w:val="en-US"/>
            </w:rPr>
          </w:rPrChange>
        </w:rPr>
        <w:t xml:space="preserve">uvenile </w:t>
      </w:r>
      <w:r w:rsidR="009E040A" w:rsidRPr="00D55B59">
        <w:rPr>
          <w:rFonts w:eastAsia="Times New Roman"/>
          <w:b/>
          <w:szCs w:val="22"/>
          <w:rPrChange w:id="100" w:author="Author">
            <w:rPr>
              <w:rFonts w:eastAsia="Times New Roman"/>
              <w:b/>
              <w:szCs w:val="22"/>
              <w:lang w:val="en-US"/>
            </w:rPr>
          </w:rPrChange>
        </w:rPr>
        <w:t>i</w:t>
      </w:r>
      <w:r w:rsidRPr="00D55B59">
        <w:rPr>
          <w:rFonts w:eastAsia="Times New Roman"/>
          <w:b/>
          <w:szCs w:val="22"/>
          <w:rPrChange w:id="101" w:author="Author">
            <w:rPr>
              <w:rFonts w:eastAsia="Times New Roman"/>
              <w:b/>
              <w:szCs w:val="22"/>
              <w:lang w:val="en-US"/>
            </w:rPr>
          </w:rPrChange>
        </w:rPr>
        <w:t xml:space="preserve">diopathic </w:t>
      </w:r>
      <w:r w:rsidR="009E040A" w:rsidRPr="00D55B59">
        <w:rPr>
          <w:rFonts w:eastAsia="Times New Roman"/>
          <w:b/>
          <w:szCs w:val="22"/>
          <w:rPrChange w:id="102" w:author="Author">
            <w:rPr>
              <w:rFonts w:eastAsia="Times New Roman"/>
              <w:b/>
              <w:szCs w:val="22"/>
              <w:lang w:val="en-US"/>
            </w:rPr>
          </w:rPrChange>
        </w:rPr>
        <w:t>a</w:t>
      </w:r>
      <w:r w:rsidRPr="00D55B59">
        <w:rPr>
          <w:rFonts w:eastAsia="Times New Roman"/>
          <w:b/>
          <w:szCs w:val="22"/>
          <w:rPrChange w:id="103" w:author="Author">
            <w:rPr>
              <w:rFonts w:eastAsia="Times New Roman"/>
              <w:b/>
              <w:szCs w:val="22"/>
              <w:lang w:val="en-US"/>
            </w:rPr>
          </w:rPrChange>
        </w:rPr>
        <w:t>rthr</w:t>
      </w:r>
      <w:r w:rsidR="000A7AE9" w:rsidRPr="00D55B59">
        <w:rPr>
          <w:rFonts w:eastAsia="Times New Roman"/>
          <w:b/>
          <w:szCs w:val="22"/>
          <w:rPrChange w:id="104" w:author="Author">
            <w:rPr>
              <w:rFonts w:eastAsia="Times New Roman"/>
              <w:b/>
              <w:szCs w:val="22"/>
              <w:lang w:val="en-US"/>
            </w:rPr>
          </w:rPrChange>
        </w:rPr>
        <w:t>i</w:t>
      </w:r>
      <w:r w:rsidRPr="00D55B59">
        <w:rPr>
          <w:rFonts w:eastAsia="Times New Roman"/>
          <w:b/>
          <w:szCs w:val="22"/>
          <w:rPrChange w:id="105" w:author="Author">
            <w:rPr>
              <w:rFonts w:eastAsia="Times New Roman"/>
              <w:b/>
              <w:szCs w:val="22"/>
              <w:lang w:val="en-US"/>
            </w:rPr>
          </w:rPrChange>
        </w:rPr>
        <w:t xml:space="preserve">tis </w:t>
      </w:r>
    </w:p>
    <w:p w14:paraId="1B4609EC" w14:textId="77777777" w:rsidR="00112495" w:rsidRPr="001775D9" w:rsidRDefault="00112495" w:rsidP="00112495">
      <w:pPr>
        <w:suppressAutoHyphens/>
        <w:spacing w:line="240" w:lineRule="auto"/>
        <w:rPr>
          <w:rFonts w:eastAsia="Times New Roman"/>
          <w:szCs w:val="22"/>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5103"/>
      </w:tblGrid>
      <w:tr w:rsidR="00112495" w:rsidRPr="00F04F82" w14:paraId="38F11A1A" w14:textId="77777777" w:rsidTr="00A66CE9">
        <w:trPr>
          <w:tblHeader/>
        </w:trPr>
        <w:tc>
          <w:tcPr>
            <w:tcW w:w="4253" w:type="dxa"/>
          </w:tcPr>
          <w:p w14:paraId="68F75862" w14:textId="377592F0" w:rsidR="00112495" w:rsidRPr="00D55B59" w:rsidRDefault="00112495" w:rsidP="00CF6F25">
            <w:pPr>
              <w:keepNext/>
              <w:tabs>
                <w:tab w:val="clear" w:pos="567"/>
              </w:tabs>
              <w:spacing w:line="240" w:lineRule="auto"/>
              <w:rPr>
                <w:rFonts w:eastAsia="Calibri"/>
                <w:b/>
                <w:szCs w:val="22"/>
                <w:lang w:eastAsia="ja-JP"/>
                <w:rPrChange w:id="106" w:author="Author">
                  <w:rPr>
                    <w:rFonts w:eastAsia="Calibri"/>
                    <w:b/>
                    <w:szCs w:val="22"/>
                    <w:lang w:val="en-US" w:eastAsia="ja-JP"/>
                  </w:rPr>
                </w:rPrChange>
              </w:rPr>
            </w:pPr>
            <w:r w:rsidRPr="00D55B59">
              <w:rPr>
                <w:rFonts w:eastAsia="Calibri"/>
                <w:b/>
                <w:szCs w:val="22"/>
                <w:lang w:eastAsia="ja-JP"/>
                <w:rPrChange w:id="107" w:author="Author">
                  <w:rPr>
                    <w:rFonts w:eastAsia="Calibri"/>
                    <w:b/>
                    <w:szCs w:val="22"/>
                    <w:lang w:val="en-US" w:eastAsia="ja-JP"/>
                  </w:rPr>
                </w:rPrChange>
              </w:rPr>
              <w:t xml:space="preserve">Patient </w:t>
            </w:r>
            <w:r w:rsidR="00FB1CE9" w:rsidRPr="00D55B59">
              <w:rPr>
                <w:rFonts w:eastAsia="Calibri"/>
                <w:b/>
                <w:szCs w:val="22"/>
                <w:lang w:eastAsia="ja-JP"/>
                <w:rPrChange w:id="108" w:author="Author">
                  <w:rPr>
                    <w:rFonts w:eastAsia="Calibri"/>
                    <w:b/>
                    <w:szCs w:val="22"/>
                    <w:lang w:val="en-US" w:eastAsia="ja-JP"/>
                  </w:rPr>
                </w:rPrChange>
              </w:rPr>
              <w:t>w</w:t>
            </w:r>
            <w:r w:rsidRPr="00D55B59">
              <w:rPr>
                <w:rFonts w:eastAsia="Calibri"/>
                <w:b/>
                <w:szCs w:val="22"/>
                <w:lang w:eastAsia="ja-JP"/>
                <w:rPrChange w:id="109" w:author="Author">
                  <w:rPr>
                    <w:rFonts w:eastAsia="Calibri"/>
                    <w:b/>
                    <w:szCs w:val="22"/>
                    <w:lang w:val="en-US" w:eastAsia="ja-JP"/>
                  </w:rPr>
                </w:rPrChange>
              </w:rPr>
              <w:t>eight</w:t>
            </w:r>
          </w:p>
        </w:tc>
        <w:tc>
          <w:tcPr>
            <w:tcW w:w="5103" w:type="dxa"/>
          </w:tcPr>
          <w:p w14:paraId="74068389" w14:textId="3492DCD3" w:rsidR="00112495" w:rsidRPr="00D55B59" w:rsidRDefault="00112495" w:rsidP="00CF6F25">
            <w:pPr>
              <w:keepNext/>
              <w:tabs>
                <w:tab w:val="clear" w:pos="567"/>
              </w:tabs>
              <w:spacing w:line="240" w:lineRule="auto"/>
              <w:rPr>
                <w:rFonts w:eastAsia="Calibri"/>
                <w:b/>
                <w:szCs w:val="22"/>
                <w:lang w:eastAsia="ja-JP"/>
                <w:rPrChange w:id="110" w:author="Author">
                  <w:rPr>
                    <w:rFonts w:eastAsia="Calibri"/>
                    <w:b/>
                    <w:szCs w:val="22"/>
                    <w:lang w:val="en-US" w:eastAsia="ja-JP"/>
                  </w:rPr>
                </w:rPrChange>
              </w:rPr>
            </w:pPr>
            <w:r w:rsidRPr="00D55B59">
              <w:rPr>
                <w:rFonts w:eastAsia="Calibri"/>
                <w:b/>
                <w:szCs w:val="22"/>
                <w:lang w:eastAsia="ja-JP"/>
                <w:rPrChange w:id="111" w:author="Author">
                  <w:rPr>
                    <w:rFonts w:eastAsia="Calibri"/>
                    <w:b/>
                    <w:szCs w:val="22"/>
                    <w:lang w:val="en-US" w:eastAsia="ja-JP"/>
                  </w:rPr>
                </w:rPrChange>
              </w:rPr>
              <w:t xml:space="preserve">Dosing </w:t>
            </w:r>
            <w:r w:rsidR="00FB1CE9" w:rsidRPr="00D55B59">
              <w:rPr>
                <w:rFonts w:eastAsia="Calibri"/>
                <w:b/>
                <w:szCs w:val="22"/>
                <w:lang w:eastAsia="ja-JP"/>
                <w:rPrChange w:id="112" w:author="Author">
                  <w:rPr>
                    <w:rFonts w:eastAsia="Calibri"/>
                    <w:b/>
                    <w:szCs w:val="22"/>
                    <w:lang w:val="en-US" w:eastAsia="ja-JP"/>
                  </w:rPr>
                </w:rPrChange>
              </w:rPr>
              <w:t>r</w:t>
            </w:r>
            <w:r w:rsidRPr="00D55B59">
              <w:rPr>
                <w:rFonts w:eastAsia="Calibri"/>
                <w:b/>
                <w:szCs w:val="22"/>
                <w:lang w:eastAsia="ja-JP"/>
                <w:rPrChange w:id="113" w:author="Author">
                  <w:rPr>
                    <w:rFonts w:eastAsia="Calibri"/>
                    <w:b/>
                    <w:szCs w:val="22"/>
                    <w:lang w:val="en-US" w:eastAsia="ja-JP"/>
                  </w:rPr>
                </w:rPrChange>
              </w:rPr>
              <w:t>egimen</w:t>
            </w:r>
          </w:p>
        </w:tc>
      </w:tr>
      <w:tr w:rsidR="00112495" w:rsidRPr="00F04F82" w14:paraId="0C7CD512" w14:textId="77777777" w:rsidTr="00A66CE9">
        <w:trPr>
          <w:tblHeader/>
        </w:trPr>
        <w:tc>
          <w:tcPr>
            <w:tcW w:w="4253" w:type="dxa"/>
          </w:tcPr>
          <w:p w14:paraId="148330B0" w14:textId="0A5A95F1" w:rsidR="00112495" w:rsidRPr="00D55B59" w:rsidRDefault="00112495" w:rsidP="00CF6F25">
            <w:pPr>
              <w:keepNext/>
              <w:tabs>
                <w:tab w:val="clear" w:pos="567"/>
              </w:tabs>
              <w:spacing w:line="240" w:lineRule="auto"/>
              <w:rPr>
                <w:rFonts w:eastAsia="Calibri"/>
                <w:b/>
                <w:szCs w:val="22"/>
                <w:lang w:eastAsia="ja-JP"/>
                <w:rPrChange w:id="114" w:author="Author">
                  <w:rPr>
                    <w:rFonts w:eastAsia="Calibri"/>
                    <w:b/>
                    <w:szCs w:val="22"/>
                    <w:lang w:val="en-US" w:eastAsia="ja-JP"/>
                  </w:rPr>
                </w:rPrChange>
              </w:rPr>
            </w:pPr>
            <w:r w:rsidRPr="00D55B59">
              <w:rPr>
                <w:rFonts w:eastAsia="Calibri"/>
                <w:szCs w:val="22"/>
                <w:lang w:eastAsia="ja-JP"/>
                <w:rPrChange w:id="115" w:author="Author">
                  <w:rPr>
                    <w:rFonts w:eastAsia="Calibri"/>
                    <w:szCs w:val="22"/>
                    <w:lang w:val="en-US" w:eastAsia="ja-JP"/>
                  </w:rPr>
                </w:rPrChange>
              </w:rPr>
              <w:t>10 kg to &lt; 30 kg</w:t>
            </w:r>
          </w:p>
        </w:tc>
        <w:tc>
          <w:tcPr>
            <w:tcW w:w="5103" w:type="dxa"/>
          </w:tcPr>
          <w:p w14:paraId="07EF903B" w14:textId="12074594" w:rsidR="00112495" w:rsidRPr="00D55B59" w:rsidRDefault="00112495" w:rsidP="00CF6F25">
            <w:pPr>
              <w:keepNext/>
              <w:tabs>
                <w:tab w:val="clear" w:pos="567"/>
              </w:tabs>
              <w:spacing w:line="240" w:lineRule="auto"/>
              <w:rPr>
                <w:rFonts w:eastAsia="Calibri"/>
                <w:b/>
                <w:szCs w:val="22"/>
                <w:lang w:eastAsia="ja-JP"/>
                <w:rPrChange w:id="116" w:author="Author">
                  <w:rPr>
                    <w:rFonts w:eastAsia="Calibri"/>
                    <w:b/>
                    <w:szCs w:val="22"/>
                    <w:lang w:val="en-US" w:eastAsia="ja-JP"/>
                  </w:rPr>
                </w:rPrChange>
              </w:rPr>
            </w:pPr>
            <w:r w:rsidRPr="00D55B59">
              <w:rPr>
                <w:rFonts w:eastAsia="Calibri"/>
                <w:szCs w:val="22"/>
                <w:lang w:eastAsia="ja-JP"/>
                <w:rPrChange w:id="117" w:author="Author">
                  <w:rPr>
                    <w:rFonts w:eastAsia="Calibri"/>
                    <w:szCs w:val="22"/>
                    <w:lang w:val="en-US" w:eastAsia="ja-JP"/>
                  </w:rPr>
                </w:rPrChange>
              </w:rPr>
              <w:t>20 mg every other week</w:t>
            </w:r>
          </w:p>
        </w:tc>
      </w:tr>
      <w:tr w:rsidR="00112495" w:rsidRPr="00F04F82" w14:paraId="786E1A55" w14:textId="77777777" w:rsidTr="00A66CE9">
        <w:trPr>
          <w:tblHeader/>
        </w:trPr>
        <w:tc>
          <w:tcPr>
            <w:tcW w:w="4253" w:type="dxa"/>
          </w:tcPr>
          <w:p w14:paraId="2C06B868" w14:textId="4383B559" w:rsidR="00112495" w:rsidRPr="00D55B59" w:rsidRDefault="00112495" w:rsidP="00CF6F25">
            <w:pPr>
              <w:keepNext/>
              <w:tabs>
                <w:tab w:val="clear" w:pos="567"/>
              </w:tabs>
              <w:spacing w:line="240" w:lineRule="auto"/>
              <w:rPr>
                <w:rFonts w:eastAsia="Calibri"/>
                <w:b/>
                <w:szCs w:val="22"/>
                <w:lang w:eastAsia="ja-JP"/>
                <w:rPrChange w:id="118" w:author="Author">
                  <w:rPr>
                    <w:rFonts w:eastAsia="Calibri"/>
                    <w:b/>
                    <w:szCs w:val="22"/>
                    <w:lang w:val="en-US" w:eastAsia="ja-JP"/>
                  </w:rPr>
                </w:rPrChange>
              </w:rPr>
            </w:pPr>
            <w:r w:rsidRPr="00D55B59">
              <w:rPr>
                <w:rFonts w:eastAsia="Calibri"/>
                <w:szCs w:val="22"/>
                <w:lang w:eastAsia="ja-JP"/>
                <w:rPrChange w:id="119" w:author="Author">
                  <w:rPr>
                    <w:rFonts w:eastAsia="Calibri"/>
                    <w:szCs w:val="22"/>
                    <w:lang w:val="en-US" w:eastAsia="ja-JP"/>
                  </w:rPr>
                </w:rPrChange>
              </w:rPr>
              <w:t>≥ 30 kg</w:t>
            </w:r>
          </w:p>
        </w:tc>
        <w:tc>
          <w:tcPr>
            <w:tcW w:w="5103" w:type="dxa"/>
          </w:tcPr>
          <w:p w14:paraId="18DD2F59" w14:textId="6C76A3B1" w:rsidR="00112495" w:rsidRPr="00D55B59" w:rsidRDefault="00112495" w:rsidP="00CF6F25">
            <w:pPr>
              <w:keepNext/>
              <w:tabs>
                <w:tab w:val="clear" w:pos="567"/>
              </w:tabs>
              <w:spacing w:line="240" w:lineRule="auto"/>
              <w:rPr>
                <w:rFonts w:eastAsia="Calibri"/>
                <w:b/>
                <w:szCs w:val="22"/>
                <w:lang w:eastAsia="ja-JP"/>
                <w:rPrChange w:id="120" w:author="Author">
                  <w:rPr>
                    <w:rFonts w:eastAsia="Calibri"/>
                    <w:b/>
                    <w:szCs w:val="22"/>
                    <w:lang w:val="en-US" w:eastAsia="ja-JP"/>
                  </w:rPr>
                </w:rPrChange>
              </w:rPr>
            </w:pPr>
            <w:r w:rsidRPr="00D55B59">
              <w:rPr>
                <w:rFonts w:eastAsia="Calibri"/>
                <w:szCs w:val="22"/>
                <w:lang w:eastAsia="ja-JP"/>
                <w:rPrChange w:id="121" w:author="Author">
                  <w:rPr>
                    <w:rFonts w:eastAsia="Calibri"/>
                    <w:szCs w:val="22"/>
                    <w:lang w:val="en-US" w:eastAsia="ja-JP"/>
                  </w:rPr>
                </w:rPrChange>
              </w:rPr>
              <w:t>40 mg every other week</w:t>
            </w:r>
          </w:p>
        </w:tc>
      </w:tr>
    </w:tbl>
    <w:p w14:paraId="32F52724" w14:textId="77777777" w:rsidR="00112495" w:rsidRPr="001775D9" w:rsidRDefault="00112495" w:rsidP="00FB5458">
      <w:pPr>
        <w:tabs>
          <w:tab w:val="clear" w:pos="567"/>
        </w:tabs>
        <w:autoSpaceDE w:val="0"/>
        <w:autoSpaceDN w:val="0"/>
        <w:adjustRightInd w:val="0"/>
        <w:spacing w:line="240" w:lineRule="auto"/>
        <w:rPr>
          <w:szCs w:val="22"/>
          <w:lang w:eastAsia="en-GB"/>
        </w:rPr>
      </w:pPr>
    </w:p>
    <w:p w14:paraId="01EB5817" w14:textId="012E6A1D" w:rsidR="00C42229" w:rsidRPr="001775D9" w:rsidRDefault="00FB1CE9" w:rsidP="00FB5458">
      <w:pPr>
        <w:tabs>
          <w:tab w:val="clear" w:pos="567"/>
        </w:tabs>
        <w:autoSpaceDE w:val="0"/>
        <w:autoSpaceDN w:val="0"/>
        <w:adjustRightInd w:val="0"/>
        <w:spacing w:line="240" w:lineRule="auto"/>
        <w:rPr>
          <w:szCs w:val="22"/>
          <w:lang w:eastAsia="en-GB"/>
        </w:rPr>
      </w:pPr>
      <w:r w:rsidRPr="001775D9">
        <w:rPr>
          <w:szCs w:val="22"/>
          <w:lang w:eastAsia="en-GB"/>
        </w:rPr>
        <w:t>Available clinical data suggest that c</w:t>
      </w:r>
      <w:r w:rsidR="003D4634" w:rsidRPr="001775D9">
        <w:rPr>
          <w:szCs w:val="22"/>
          <w:lang w:eastAsia="en-GB"/>
        </w:rPr>
        <w:t>linical</w:t>
      </w:r>
      <w:r w:rsidR="00731327" w:rsidRPr="001775D9">
        <w:rPr>
          <w:szCs w:val="22"/>
          <w:lang w:eastAsia="en-GB"/>
        </w:rPr>
        <w:t xml:space="preserve"> </w:t>
      </w:r>
      <w:r w:rsidR="00C42229" w:rsidRPr="001775D9">
        <w:rPr>
          <w:szCs w:val="22"/>
          <w:lang w:eastAsia="en-GB"/>
        </w:rPr>
        <w:t xml:space="preserve">response is usually achieved within </w:t>
      </w:r>
      <w:r w:rsidR="00C42229" w:rsidRPr="001775D9">
        <w:rPr>
          <w:szCs w:val="22"/>
        </w:rPr>
        <w:t>12 weeks</w:t>
      </w:r>
      <w:r w:rsidR="00C42229" w:rsidRPr="001775D9">
        <w:rPr>
          <w:szCs w:val="22"/>
          <w:lang w:eastAsia="en-GB"/>
        </w:rPr>
        <w:t xml:space="preserve"> of treatment. Continued therapy should be carefully reconsidered in a patient not responding within this time period. </w:t>
      </w:r>
    </w:p>
    <w:p w14:paraId="3C9F0CD3"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CBBC369" w14:textId="77777777" w:rsidR="00F318AC"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There is no relevant use of</w:t>
      </w:r>
      <w:r w:rsidR="00834298" w:rsidRPr="001775D9">
        <w:rPr>
          <w:szCs w:val="22"/>
          <w:lang w:eastAsia="en-GB"/>
        </w:rPr>
        <w:t xml:space="preserve"> </w:t>
      </w:r>
      <w:r w:rsidR="00643191" w:rsidRPr="001775D9">
        <w:rPr>
          <w:szCs w:val="22"/>
          <w:lang w:eastAsia="en-GB"/>
        </w:rPr>
        <w:t xml:space="preserve">adalimumab </w:t>
      </w:r>
      <w:r w:rsidRPr="001775D9">
        <w:rPr>
          <w:szCs w:val="22"/>
          <w:lang w:eastAsia="en-GB"/>
        </w:rPr>
        <w:t>in patients aged less than 2</w:t>
      </w:r>
      <w:r w:rsidRPr="001775D9">
        <w:rPr>
          <w:szCs w:val="22"/>
        </w:rPr>
        <w:t> </w:t>
      </w:r>
      <w:r w:rsidRPr="001775D9">
        <w:rPr>
          <w:szCs w:val="22"/>
          <w:lang w:eastAsia="en-GB"/>
        </w:rPr>
        <w:t xml:space="preserve">years </w:t>
      </w:r>
      <w:r w:rsidR="00186C10" w:rsidRPr="001775D9">
        <w:rPr>
          <w:szCs w:val="22"/>
          <w:lang w:eastAsia="en-GB"/>
        </w:rPr>
        <w:t xml:space="preserve">for </w:t>
      </w:r>
      <w:r w:rsidRPr="001775D9">
        <w:rPr>
          <w:szCs w:val="22"/>
          <w:lang w:eastAsia="en-GB"/>
        </w:rPr>
        <w:t xml:space="preserve">this indication. </w:t>
      </w:r>
    </w:p>
    <w:p w14:paraId="0A446BF0" w14:textId="77777777" w:rsidR="00D7181A" w:rsidRPr="001775D9" w:rsidRDefault="00D7181A" w:rsidP="00FB5458">
      <w:pPr>
        <w:tabs>
          <w:tab w:val="clear" w:pos="567"/>
        </w:tabs>
        <w:autoSpaceDE w:val="0"/>
        <w:autoSpaceDN w:val="0"/>
        <w:adjustRightInd w:val="0"/>
        <w:spacing w:line="240" w:lineRule="auto"/>
        <w:rPr>
          <w:szCs w:val="22"/>
          <w:lang w:eastAsia="en-GB"/>
        </w:rPr>
      </w:pPr>
    </w:p>
    <w:p w14:paraId="7DED9307" w14:textId="77777777" w:rsidR="007B3FB0" w:rsidRPr="001775D9" w:rsidRDefault="007B3FB0" w:rsidP="00FB5458">
      <w:pPr>
        <w:keepNext/>
        <w:tabs>
          <w:tab w:val="clear" w:pos="567"/>
        </w:tabs>
        <w:autoSpaceDE w:val="0"/>
        <w:autoSpaceDN w:val="0"/>
        <w:adjustRightInd w:val="0"/>
        <w:spacing w:line="240" w:lineRule="auto"/>
        <w:rPr>
          <w:i/>
          <w:szCs w:val="22"/>
          <w:u w:val="single"/>
          <w:lang w:eastAsia="en-GB"/>
        </w:rPr>
      </w:pPr>
      <w:r w:rsidRPr="001775D9">
        <w:rPr>
          <w:i/>
          <w:szCs w:val="22"/>
          <w:u w:val="single"/>
          <w:lang w:eastAsia="en-GB"/>
        </w:rPr>
        <w:t>Enthesitis-related arthritis</w:t>
      </w:r>
    </w:p>
    <w:p w14:paraId="1E2E6044" w14:textId="77777777" w:rsidR="007B3FB0" w:rsidRPr="001775D9" w:rsidRDefault="007B3FB0" w:rsidP="00FB5458">
      <w:pPr>
        <w:tabs>
          <w:tab w:val="clear" w:pos="567"/>
        </w:tabs>
        <w:autoSpaceDE w:val="0"/>
        <w:autoSpaceDN w:val="0"/>
        <w:adjustRightInd w:val="0"/>
        <w:spacing w:line="240" w:lineRule="auto"/>
        <w:rPr>
          <w:i/>
          <w:szCs w:val="22"/>
          <w:u w:val="single"/>
          <w:lang w:eastAsia="en-GB"/>
        </w:rPr>
      </w:pPr>
    </w:p>
    <w:p w14:paraId="742FD9C1" w14:textId="77777777" w:rsidR="007B3FB0" w:rsidRPr="001775D9" w:rsidRDefault="007B3FB0" w:rsidP="00FB5458">
      <w:pPr>
        <w:tabs>
          <w:tab w:val="clear" w:pos="567"/>
        </w:tabs>
        <w:autoSpaceDE w:val="0"/>
        <w:autoSpaceDN w:val="0"/>
        <w:adjustRightInd w:val="0"/>
        <w:spacing w:line="240" w:lineRule="auto"/>
        <w:rPr>
          <w:szCs w:val="22"/>
          <w:lang w:eastAsia="en-GB"/>
        </w:rPr>
      </w:pPr>
      <w:r w:rsidRPr="001775D9">
        <w:rPr>
          <w:szCs w:val="22"/>
          <w:lang w:eastAsia="en-GB"/>
        </w:rPr>
        <w:t>The recommended dose of AMGEVITA for patients with enthesitis-related arthritis</w:t>
      </w:r>
      <w:r w:rsidR="00112495" w:rsidRPr="001775D9">
        <w:rPr>
          <w:szCs w:val="22"/>
          <w:lang w:eastAsia="en-GB"/>
        </w:rPr>
        <w:t xml:space="preserve"> from</w:t>
      </w:r>
      <w:r w:rsidRPr="001775D9">
        <w:rPr>
          <w:szCs w:val="22"/>
          <w:lang w:eastAsia="en-GB"/>
        </w:rPr>
        <w:t xml:space="preserve"> 6 years of age </w:t>
      </w:r>
      <w:r w:rsidR="00112495" w:rsidRPr="001775D9">
        <w:rPr>
          <w:szCs w:val="22"/>
          <w:lang w:eastAsia="en-GB"/>
        </w:rPr>
        <w:t>is based on body weight (table 2). AMGEVITA is</w:t>
      </w:r>
      <w:r w:rsidRPr="001775D9">
        <w:rPr>
          <w:szCs w:val="22"/>
          <w:lang w:eastAsia="en-GB"/>
        </w:rPr>
        <w:t xml:space="preserve"> administered every other week via subcutaneous injection. </w:t>
      </w:r>
    </w:p>
    <w:p w14:paraId="6AC1C522" w14:textId="77777777" w:rsidR="007B3FB0" w:rsidRPr="001775D9" w:rsidRDefault="007B3FB0" w:rsidP="00FB5458">
      <w:pPr>
        <w:tabs>
          <w:tab w:val="clear" w:pos="567"/>
        </w:tabs>
        <w:autoSpaceDE w:val="0"/>
        <w:autoSpaceDN w:val="0"/>
        <w:adjustRightInd w:val="0"/>
        <w:spacing w:line="240" w:lineRule="auto"/>
        <w:rPr>
          <w:szCs w:val="22"/>
          <w:lang w:eastAsia="en-GB"/>
        </w:rPr>
      </w:pPr>
    </w:p>
    <w:p w14:paraId="26B4ABA7" w14:textId="48738318" w:rsidR="00112495" w:rsidRPr="00D55B59" w:rsidRDefault="00112495" w:rsidP="00747B80">
      <w:pPr>
        <w:keepNext/>
        <w:suppressAutoHyphens/>
        <w:spacing w:line="240" w:lineRule="auto"/>
        <w:rPr>
          <w:rFonts w:eastAsia="Times New Roman"/>
          <w:b/>
          <w:szCs w:val="22"/>
          <w:rPrChange w:id="122" w:author="Author">
            <w:rPr>
              <w:rFonts w:eastAsia="Times New Roman"/>
              <w:b/>
              <w:szCs w:val="22"/>
              <w:lang w:val="en-US"/>
            </w:rPr>
          </w:rPrChange>
        </w:rPr>
      </w:pPr>
      <w:r w:rsidRPr="00D55B59">
        <w:rPr>
          <w:rFonts w:eastAsia="Times New Roman"/>
          <w:b/>
          <w:szCs w:val="22"/>
          <w:rPrChange w:id="123" w:author="Author">
            <w:rPr>
              <w:rFonts w:eastAsia="Times New Roman"/>
              <w:b/>
              <w:szCs w:val="22"/>
              <w:lang w:val="en-US"/>
            </w:rPr>
          </w:rPrChange>
        </w:rPr>
        <w:t xml:space="preserve">Table 2. AMGEVITA </w:t>
      </w:r>
      <w:r w:rsidR="00FB1CE9" w:rsidRPr="00D55B59">
        <w:rPr>
          <w:rFonts w:eastAsia="Times New Roman"/>
          <w:b/>
          <w:szCs w:val="22"/>
          <w:rPrChange w:id="124" w:author="Author">
            <w:rPr>
              <w:rFonts w:eastAsia="Times New Roman"/>
              <w:b/>
              <w:szCs w:val="22"/>
              <w:lang w:val="en-US"/>
            </w:rPr>
          </w:rPrChange>
        </w:rPr>
        <w:t>d</w:t>
      </w:r>
      <w:r w:rsidRPr="00D55B59">
        <w:rPr>
          <w:rFonts w:eastAsia="Times New Roman"/>
          <w:b/>
          <w:szCs w:val="22"/>
          <w:rPrChange w:id="125" w:author="Author">
            <w:rPr>
              <w:rFonts w:eastAsia="Times New Roman"/>
              <w:b/>
              <w:szCs w:val="22"/>
              <w:lang w:val="en-US"/>
            </w:rPr>
          </w:rPrChange>
        </w:rPr>
        <w:t xml:space="preserve">ose for </w:t>
      </w:r>
      <w:r w:rsidR="00FB1CE9" w:rsidRPr="00D55B59">
        <w:rPr>
          <w:rFonts w:eastAsia="Times New Roman"/>
          <w:b/>
          <w:szCs w:val="22"/>
          <w:rPrChange w:id="126" w:author="Author">
            <w:rPr>
              <w:rFonts w:eastAsia="Times New Roman"/>
              <w:b/>
              <w:szCs w:val="22"/>
              <w:lang w:val="en-US"/>
            </w:rPr>
          </w:rPrChange>
        </w:rPr>
        <w:t>p</w:t>
      </w:r>
      <w:r w:rsidRPr="00D55B59">
        <w:rPr>
          <w:rFonts w:eastAsia="Times New Roman"/>
          <w:b/>
          <w:szCs w:val="22"/>
          <w:rPrChange w:id="127" w:author="Author">
            <w:rPr>
              <w:rFonts w:eastAsia="Times New Roman"/>
              <w:b/>
              <w:szCs w:val="22"/>
              <w:lang w:val="en-US"/>
            </w:rPr>
          </w:rPrChange>
        </w:rPr>
        <w:t xml:space="preserve">atients with </w:t>
      </w:r>
      <w:r w:rsidR="00032E45" w:rsidRPr="00D55B59">
        <w:rPr>
          <w:rFonts w:eastAsia="Times New Roman"/>
          <w:b/>
          <w:szCs w:val="22"/>
          <w:rPrChange w:id="128" w:author="Author">
            <w:rPr>
              <w:rFonts w:eastAsia="Times New Roman"/>
              <w:b/>
              <w:szCs w:val="22"/>
              <w:lang w:val="en-US"/>
            </w:rPr>
          </w:rPrChange>
        </w:rPr>
        <w:t>e</w:t>
      </w:r>
      <w:r w:rsidRPr="00D55B59">
        <w:rPr>
          <w:rFonts w:eastAsia="Times New Roman"/>
          <w:b/>
          <w:szCs w:val="22"/>
          <w:rPrChange w:id="129" w:author="Author">
            <w:rPr>
              <w:rFonts w:eastAsia="Times New Roman"/>
              <w:b/>
              <w:szCs w:val="22"/>
              <w:lang w:val="en-US"/>
            </w:rPr>
          </w:rPrChange>
        </w:rPr>
        <w:t>nthesitis-</w:t>
      </w:r>
      <w:r w:rsidR="00032E45" w:rsidRPr="00D55B59">
        <w:rPr>
          <w:rFonts w:eastAsia="Times New Roman"/>
          <w:b/>
          <w:szCs w:val="22"/>
          <w:rPrChange w:id="130" w:author="Author">
            <w:rPr>
              <w:rFonts w:eastAsia="Times New Roman"/>
              <w:b/>
              <w:szCs w:val="22"/>
              <w:lang w:val="en-US"/>
            </w:rPr>
          </w:rPrChange>
        </w:rPr>
        <w:t>r</w:t>
      </w:r>
      <w:r w:rsidRPr="00D55B59">
        <w:rPr>
          <w:rFonts w:eastAsia="Times New Roman"/>
          <w:b/>
          <w:szCs w:val="22"/>
          <w:rPrChange w:id="131" w:author="Author">
            <w:rPr>
              <w:rFonts w:eastAsia="Times New Roman"/>
              <w:b/>
              <w:szCs w:val="22"/>
              <w:lang w:val="en-US"/>
            </w:rPr>
          </w:rPrChange>
        </w:rPr>
        <w:t xml:space="preserve">elated </w:t>
      </w:r>
      <w:r w:rsidR="00032E45" w:rsidRPr="00D55B59">
        <w:rPr>
          <w:rFonts w:eastAsia="Times New Roman"/>
          <w:b/>
          <w:szCs w:val="22"/>
          <w:rPrChange w:id="132" w:author="Author">
            <w:rPr>
              <w:rFonts w:eastAsia="Times New Roman"/>
              <w:b/>
              <w:szCs w:val="22"/>
              <w:lang w:val="en-US"/>
            </w:rPr>
          </w:rPrChange>
        </w:rPr>
        <w:t>a</w:t>
      </w:r>
      <w:r w:rsidRPr="00D55B59">
        <w:rPr>
          <w:rFonts w:eastAsia="Times New Roman"/>
          <w:b/>
          <w:szCs w:val="22"/>
          <w:rPrChange w:id="133" w:author="Author">
            <w:rPr>
              <w:rFonts w:eastAsia="Times New Roman"/>
              <w:b/>
              <w:szCs w:val="22"/>
              <w:lang w:val="en-US"/>
            </w:rPr>
          </w:rPrChange>
        </w:rPr>
        <w:t xml:space="preserve">rthritis </w:t>
      </w:r>
    </w:p>
    <w:p w14:paraId="7C29FAA2" w14:textId="77777777" w:rsidR="00112495" w:rsidRPr="001775D9" w:rsidRDefault="00112495" w:rsidP="00747B80">
      <w:pPr>
        <w:keepNext/>
        <w:suppressAutoHyphens/>
        <w:spacing w:line="240" w:lineRule="auto"/>
        <w:rPr>
          <w:rFonts w:eastAsia="Times New Roman"/>
          <w:szCs w:val="22"/>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5103"/>
      </w:tblGrid>
      <w:tr w:rsidR="00112495" w:rsidRPr="00F04F82" w14:paraId="6C654BE7" w14:textId="77777777" w:rsidTr="00A66CE9">
        <w:trPr>
          <w:tblHeader/>
        </w:trPr>
        <w:tc>
          <w:tcPr>
            <w:tcW w:w="4253" w:type="dxa"/>
          </w:tcPr>
          <w:p w14:paraId="7181184D" w14:textId="4DCD2CCF" w:rsidR="00112495" w:rsidRPr="00D55B59" w:rsidRDefault="00112495" w:rsidP="00747B80">
            <w:pPr>
              <w:keepNext/>
              <w:tabs>
                <w:tab w:val="clear" w:pos="567"/>
              </w:tabs>
              <w:spacing w:line="240" w:lineRule="auto"/>
              <w:rPr>
                <w:rFonts w:eastAsia="Calibri"/>
                <w:b/>
                <w:szCs w:val="22"/>
                <w:lang w:eastAsia="ja-JP"/>
                <w:rPrChange w:id="134" w:author="Author">
                  <w:rPr>
                    <w:rFonts w:eastAsia="Calibri"/>
                    <w:b/>
                    <w:szCs w:val="22"/>
                    <w:lang w:val="en-US" w:eastAsia="ja-JP"/>
                  </w:rPr>
                </w:rPrChange>
              </w:rPr>
            </w:pPr>
            <w:r w:rsidRPr="00D55B59">
              <w:rPr>
                <w:rFonts w:eastAsia="Calibri"/>
                <w:b/>
                <w:szCs w:val="22"/>
                <w:lang w:eastAsia="ja-JP"/>
                <w:rPrChange w:id="135" w:author="Author">
                  <w:rPr>
                    <w:rFonts w:eastAsia="Calibri"/>
                    <w:b/>
                    <w:szCs w:val="22"/>
                    <w:lang w:val="en-US" w:eastAsia="ja-JP"/>
                  </w:rPr>
                </w:rPrChange>
              </w:rPr>
              <w:t xml:space="preserve">Patient </w:t>
            </w:r>
            <w:r w:rsidR="00FB1CE9" w:rsidRPr="00D55B59">
              <w:rPr>
                <w:rFonts w:eastAsia="Calibri"/>
                <w:b/>
                <w:szCs w:val="22"/>
                <w:lang w:eastAsia="ja-JP"/>
                <w:rPrChange w:id="136" w:author="Author">
                  <w:rPr>
                    <w:rFonts w:eastAsia="Calibri"/>
                    <w:b/>
                    <w:szCs w:val="22"/>
                    <w:lang w:val="en-US" w:eastAsia="ja-JP"/>
                  </w:rPr>
                </w:rPrChange>
              </w:rPr>
              <w:t>w</w:t>
            </w:r>
            <w:r w:rsidRPr="00D55B59">
              <w:rPr>
                <w:rFonts w:eastAsia="Calibri"/>
                <w:b/>
                <w:szCs w:val="22"/>
                <w:lang w:eastAsia="ja-JP"/>
                <w:rPrChange w:id="137" w:author="Author">
                  <w:rPr>
                    <w:rFonts w:eastAsia="Calibri"/>
                    <w:b/>
                    <w:szCs w:val="22"/>
                    <w:lang w:val="en-US" w:eastAsia="ja-JP"/>
                  </w:rPr>
                </w:rPrChange>
              </w:rPr>
              <w:t>eight</w:t>
            </w:r>
          </w:p>
        </w:tc>
        <w:tc>
          <w:tcPr>
            <w:tcW w:w="5103" w:type="dxa"/>
          </w:tcPr>
          <w:p w14:paraId="008E4121" w14:textId="533CD053" w:rsidR="00112495" w:rsidRPr="00D55B59" w:rsidRDefault="00112495" w:rsidP="00747B80">
            <w:pPr>
              <w:keepNext/>
              <w:tabs>
                <w:tab w:val="clear" w:pos="567"/>
              </w:tabs>
              <w:spacing w:line="240" w:lineRule="auto"/>
              <w:rPr>
                <w:rFonts w:eastAsia="Calibri"/>
                <w:b/>
                <w:szCs w:val="22"/>
                <w:lang w:eastAsia="ja-JP"/>
                <w:rPrChange w:id="138" w:author="Author">
                  <w:rPr>
                    <w:rFonts w:eastAsia="Calibri"/>
                    <w:b/>
                    <w:szCs w:val="22"/>
                    <w:lang w:val="en-US" w:eastAsia="ja-JP"/>
                  </w:rPr>
                </w:rPrChange>
              </w:rPr>
            </w:pPr>
            <w:r w:rsidRPr="00D55B59">
              <w:rPr>
                <w:rFonts w:eastAsia="Calibri"/>
                <w:b/>
                <w:szCs w:val="22"/>
                <w:lang w:eastAsia="ja-JP"/>
                <w:rPrChange w:id="139" w:author="Author">
                  <w:rPr>
                    <w:rFonts w:eastAsia="Calibri"/>
                    <w:b/>
                    <w:szCs w:val="22"/>
                    <w:lang w:val="en-US" w:eastAsia="ja-JP"/>
                  </w:rPr>
                </w:rPrChange>
              </w:rPr>
              <w:t xml:space="preserve">Dosing </w:t>
            </w:r>
            <w:r w:rsidR="00FB1CE9" w:rsidRPr="00D55B59">
              <w:rPr>
                <w:rFonts w:eastAsia="Calibri"/>
                <w:b/>
                <w:szCs w:val="22"/>
                <w:lang w:eastAsia="ja-JP"/>
                <w:rPrChange w:id="140" w:author="Author">
                  <w:rPr>
                    <w:rFonts w:eastAsia="Calibri"/>
                    <w:b/>
                    <w:szCs w:val="22"/>
                    <w:lang w:val="en-US" w:eastAsia="ja-JP"/>
                  </w:rPr>
                </w:rPrChange>
              </w:rPr>
              <w:t>r</w:t>
            </w:r>
            <w:r w:rsidRPr="00D55B59">
              <w:rPr>
                <w:rFonts w:eastAsia="Calibri"/>
                <w:b/>
                <w:szCs w:val="22"/>
                <w:lang w:eastAsia="ja-JP"/>
                <w:rPrChange w:id="141" w:author="Author">
                  <w:rPr>
                    <w:rFonts w:eastAsia="Calibri"/>
                    <w:b/>
                    <w:szCs w:val="22"/>
                    <w:lang w:val="en-US" w:eastAsia="ja-JP"/>
                  </w:rPr>
                </w:rPrChange>
              </w:rPr>
              <w:t>egimen</w:t>
            </w:r>
          </w:p>
        </w:tc>
      </w:tr>
      <w:tr w:rsidR="00112495" w:rsidRPr="00F04F82" w14:paraId="0D73A58F" w14:textId="77777777" w:rsidTr="00A66CE9">
        <w:trPr>
          <w:tblHeader/>
        </w:trPr>
        <w:tc>
          <w:tcPr>
            <w:tcW w:w="4253" w:type="dxa"/>
          </w:tcPr>
          <w:p w14:paraId="051DD09D" w14:textId="724AF143" w:rsidR="00112495" w:rsidRPr="00D55B59" w:rsidRDefault="00112495" w:rsidP="00CF6F25">
            <w:pPr>
              <w:keepNext/>
              <w:tabs>
                <w:tab w:val="clear" w:pos="567"/>
              </w:tabs>
              <w:spacing w:line="240" w:lineRule="auto"/>
              <w:rPr>
                <w:rFonts w:eastAsia="Calibri"/>
                <w:b/>
                <w:szCs w:val="22"/>
                <w:lang w:eastAsia="ja-JP"/>
                <w:rPrChange w:id="142" w:author="Author">
                  <w:rPr>
                    <w:rFonts w:eastAsia="Calibri"/>
                    <w:b/>
                    <w:szCs w:val="22"/>
                    <w:lang w:val="en-US" w:eastAsia="ja-JP"/>
                  </w:rPr>
                </w:rPrChange>
              </w:rPr>
            </w:pPr>
            <w:r w:rsidRPr="00D55B59">
              <w:rPr>
                <w:rFonts w:eastAsia="Calibri"/>
                <w:szCs w:val="22"/>
                <w:lang w:eastAsia="ja-JP"/>
                <w:rPrChange w:id="143" w:author="Author">
                  <w:rPr>
                    <w:rFonts w:eastAsia="Calibri"/>
                    <w:szCs w:val="22"/>
                    <w:lang w:val="en-US" w:eastAsia="ja-JP"/>
                  </w:rPr>
                </w:rPrChange>
              </w:rPr>
              <w:t>15 kg to &lt; 30 kg</w:t>
            </w:r>
          </w:p>
        </w:tc>
        <w:tc>
          <w:tcPr>
            <w:tcW w:w="5103" w:type="dxa"/>
          </w:tcPr>
          <w:p w14:paraId="63D8C111" w14:textId="3DFC6DAA" w:rsidR="00112495" w:rsidRPr="00D55B59" w:rsidRDefault="00112495" w:rsidP="00CF6F25">
            <w:pPr>
              <w:keepNext/>
              <w:tabs>
                <w:tab w:val="clear" w:pos="567"/>
              </w:tabs>
              <w:spacing w:line="240" w:lineRule="auto"/>
              <w:rPr>
                <w:rFonts w:eastAsia="Calibri"/>
                <w:b/>
                <w:szCs w:val="22"/>
                <w:lang w:eastAsia="ja-JP"/>
                <w:rPrChange w:id="144" w:author="Author">
                  <w:rPr>
                    <w:rFonts w:eastAsia="Calibri"/>
                    <w:b/>
                    <w:szCs w:val="22"/>
                    <w:lang w:val="en-US" w:eastAsia="ja-JP"/>
                  </w:rPr>
                </w:rPrChange>
              </w:rPr>
            </w:pPr>
            <w:r w:rsidRPr="00D55B59">
              <w:rPr>
                <w:rFonts w:eastAsia="Calibri"/>
                <w:szCs w:val="22"/>
                <w:lang w:eastAsia="ja-JP"/>
                <w:rPrChange w:id="145" w:author="Author">
                  <w:rPr>
                    <w:rFonts w:eastAsia="Calibri"/>
                    <w:szCs w:val="22"/>
                    <w:lang w:val="en-US" w:eastAsia="ja-JP"/>
                  </w:rPr>
                </w:rPrChange>
              </w:rPr>
              <w:t>20 mg every other week</w:t>
            </w:r>
          </w:p>
        </w:tc>
      </w:tr>
      <w:tr w:rsidR="00112495" w:rsidRPr="00F04F82" w14:paraId="74825827" w14:textId="77777777" w:rsidTr="00A66CE9">
        <w:trPr>
          <w:tblHeader/>
        </w:trPr>
        <w:tc>
          <w:tcPr>
            <w:tcW w:w="4253" w:type="dxa"/>
          </w:tcPr>
          <w:p w14:paraId="28A32682" w14:textId="080488DE" w:rsidR="00112495" w:rsidRPr="00D55B59" w:rsidRDefault="00112495" w:rsidP="00CF6F25">
            <w:pPr>
              <w:keepNext/>
              <w:tabs>
                <w:tab w:val="clear" w:pos="567"/>
              </w:tabs>
              <w:spacing w:line="240" w:lineRule="auto"/>
              <w:rPr>
                <w:rFonts w:eastAsia="Calibri"/>
                <w:b/>
                <w:szCs w:val="22"/>
                <w:lang w:eastAsia="ja-JP"/>
                <w:rPrChange w:id="146" w:author="Author">
                  <w:rPr>
                    <w:rFonts w:eastAsia="Calibri"/>
                    <w:b/>
                    <w:szCs w:val="22"/>
                    <w:lang w:val="en-US" w:eastAsia="ja-JP"/>
                  </w:rPr>
                </w:rPrChange>
              </w:rPr>
            </w:pPr>
            <w:r w:rsidRPr="00D55B59">
              <w:rPr>
                <w:rFonts w:eastAsia="Calibri"/>
                <w:szCs w:val="22"/>
                <w:lang w:eastAsia="ja-JP"/>
                <w:rPrChange w:id="147" w:author="Author">
                  <w:rPr>
                    <w:rFonts w:eastAsia="Calibri"/>
                    <w:szCs w:val="22"/>
                    <w:lang w:val="en-US" w:eastAsia="ja-JP"/>
                  </w:rPr>
                </w:rPrChange>
              </w:rPr>
              <w:t>≥ 30 kg</w:t>
            </w:r>
          </w:p>
        </w:tc>
        <w:tc>
          <w:tcPr>
            <w:tcW w:w="5103" w:type="dxa"/>
          </w:tcPr>
          <w:p w14:paraId="16090E9D" w14:textId="2D48E826" w:rsidR="00112495" w:rsidRPr="00D55B59" w:rsidRDefault="00112495" w:rsidP="00CF6F25">
            <w:pPr>
              <w:keepNext/>
              <w:tabs>
                <w:tab w:val="clear" w:pos="567"/>
              </w:tabs>
              <w:spacing w:line="240" w:lineRule="auto"/>
              <w:rPr>
                <w:rFonts w:eastAsia="Calibri"/>
                <w:b/>
                <w:szCs w:val="22"/>
                <w:lang w:eastAsia="ja-JP"/>
                <w:rPrChange w:id="148" w:author="Author">
                  <w:rPr>
                    <w:rFonts w:eastAsia="Calibri"/>
                    <w:b/>
                    <w:szCs w:val="22"/>
                    <w:lang w:val="en-US" w:eastAsia="ja-JP"/>
                  </w:rPr>
                </w:rPrChange>
              </w:rPr>
            </w:pPr>
            <w:r w:rsidRPr="00D55B59">
              <w:rPr>
                <w:rFonts w:eastAsia="Calibri"/>
                <w:szCs w:val="22"/>
                <w:lang w:eastAsia="ja-JP"/>
                <w:rPrChange w:id="149" w:author="Author">
                  <w:rPr>
                    <w:rFonts w:eastAsia="Calibri"/>
                    <w:szCs w:val="22"/>
                    <w:lang w:val="en-US" w:eastAsia="ja-JP"/>
                  </w:rPr>
                </w:rPrChange>
              </w:rPr>
              <w:t>40 mg every other week</w:t>
            </w:r>
          </w:p>
        </w:tc>
      </w:tr>
    </w:tbl>
    <w:p w14:paraId="477CB612" w14:textId="77777777" w:rsidR="00112495" w:rsidRPr="001775D9" w:rsidRDefault="00112495" w:rsidP="00FB5458">
      <w:pPr>
        <w:tabs>
          <w:tab w:val="clear" w:pos="567"/>
        </w:tabs>
        <w:autoSpaceDE w:val="0"/>
        <w:autoSpaceDN w:val="0"/>
        <w:adjustRightInd w:val="0"/>
        <w:spacing w:line="240" w:lineRule="auto"/>
        <w:rPr>
          <w:szCs w:val="22"/>
          <w:lang w:eastAsia="en-GB"/>
        </w:rPr>
      </w:pPr>
    </w:p>
    <w:p w14:paraId="1661AB94" w14:textId="77777777" w:rsidR="00C87B6A" w:rsidRPr="001775D9" w:rsidRDefault="007B3FB0" w:rsidP="00FB5458">
      <w:pPr>
        <w:tabs>
          <w:tab w:val="clear" w:pos="567"/>
        </w:tabs>
        <w:autoSpaceDE w:val="0"/>
        <w:autoSpaceDN w:val="0"/>
        <w:adjustRightInd w:val="0"/>
        <w:spacing w:line="240" w:lineRule="auto"/>
        <w:rPr>
          <w:szCs w:val="22"/>
          <w:lang w:eastAsia="en-GB"/>
        </w:rPr>
      </w:pPr>
      <w:r w:rsidRPr="001775D9">
        <w:rPr>
          <w:szCs w:val="22"/>
          <w:lang w:eastAsia="en-GB"/>
        </w:rPr>
        <w:t>Adalimumab has not been studied in patients with enthesitis-related arthritis aged less than 6 years.</w:t>
      </w:r>
    </w:p>
    <w:p w14:paraId="3C001AD7" w14:textId="77777777" w:rsidR="007B3FB0" w:rsidRPr="001775D9" w:rsidRDefault="007B3FB0" w:rsidP="00FB5458">
      <w:pPr>
        <w:tabs>
          <w:tab w:val="clear" w:pos="567"/>
        </w:tabs>
        <w:autoSpaceDE w:val="0"/>
        <w:autoSpaceDN w:val="0"/>
        <w:adjustRightInd w:val="0"/>
        <w:spacing w:line="240" w:lineRule="auto"/>
        <w:rPr>
          <w:i/>
          <w:szCs w:val="22"/>
          <w:lang w:eastAsia="en-GB"/>
        </w:rPr>
      </w:pPr>
    </w:p>
    <w:p w14:paraId="5197DAEF" w14:textId="77777777" w:rsidR="00E77F5C" w:rsidRPr="001775D9" w:rsidRDefault="00E77F5C" w:rsidP="00720D81">
      <w:pPr>
        <w:tabs>
          <w:tab w:val="clear" w:pos="567"/>
        </w:tabs>
        <w:autoSpaceDE w:val="0"/>
        <w:autoSpaceDN w:val="0"/>
        <w:adjustRightInd w:val="0"/>
        <w:spacing w:line="240" w:lineRule="auto"/>
        <w:rPr>
          <w:i/>
          <w:szCs w:val="22"/>
          <w:lang w:eastAsia="en-GB"/>
        </w:rPr>
      </w:pPr>
      <w:r w:rsidRPr="001775D9">
        <w:rPr>
          <w:i/>
          <w:szCs w:val="22"/>
          <w:lang w:eastAsia="en-GB"/>
        </w:rPr>
        <w:t xml:space="preserve">Psoriatic arthritis and axial spondyloarthritis including ankylosing spondylitis </w:t>
      </w:r>
    </w:p>
    <w:p w14:paraId="49B6E6A1" w14:textId="77777777" w:rsidR="00E77F5C" w:rsidRPr="001775D9" w:rsidRDefault="00E77F5C" w:rsidP="00720D81">
      <w:pPr>
        <w:tabs>
          <w:tab w:val="clear" w:pos="567"/>
        </w:tabs>
        <w:autoSpaceDE w:val="0"/>
        <w:autoSpaceDN w:val="0"/>
        <w:adjustRightInd w:val="0"/>
        <w:spacing w:line="240" w:lineRule="auto"/>
        <w:rPr>
          <w:szCs w:val="22"/>
          <w:lang w:eastAsia="en-GB"/>
        </w:rPr>
      </w:pPr>
    </w:p>
    <w:p w14:paraId="5E8AE6F3" w14:textId="08BA863C" w:rsidR="00E77F5C" w:rsidRPr="001775D9" w:rsidRDefault="00E77F5C" w:rsidP="00720D81">
      <w:pPr>
        <w:tabs>
          <w:tab w:val="clear" w:pos="567"/>
        </w:tabs>
        <w:autoSpaceDE w:val="0"/>
        <w:autoSpaceDN w:val="0"/>
        <w:adjustRightInd w:val="0"/>
        <w:spacing w:line="240" w:lineRule="auto"/>
        <w:rPr>
          <w:i/>
          <w:szCs w:val="22"/>
          <w:lang w:eastAsia="en-GB"/>
        </w:rPr>
      </w:pPr>
      <w:r w:rsidRPr="001775D9">
        <w:rPr>
          <w:szCs w:val="22"/>
          <w:lang w:eastAsia="en-GB"/>
        </w:rPr>
        <w:t xml:space="preserve">There is no relevant use of </w:t>
      </w:r>
      <w:r w:rsidRPr="001775D9">
        <w:rPr>
          <w:color w:val="000000"/>
          <w:szCs w:val="22"/>
          <w:lang w:eastAsia="en-GB"/>
        </w:rPr>
        <w:t>adalimumab</w:t>
      </w:r>
      <w:r w:rsidRPr="001775D9">
        <w:rPr>
          <w:szCs w:val="22"/>
          <w:lang w:eastAsia="en-GB"/>
        </w:rPr>
        <w:t xml:space="preserve"> in the paediatric population for the indications of ankylosing spondylitis and psoriatic arthritis.</w:t>
      </w:r>
    </w:p>
    <w:p w14:paraId="2EB785E1" w14:textId="77777777" w:rsidR="00E77F5C" w:rsidRPr="001775D9" w:rsidRDefault="00E77F5C" w:rsidP="00FB5458">
      <w:pPr>
        <w:keepNext/>
        <w:tabs>
          <w:tab w:val="clear" w:pos="567"/>
        </w:tabs>
        <w:autoSpaceDE w:val="0"/>
        <w:autoSpaceDN w:val="0"/>
        <w:adjustRightInd w:val="0"/>
        <w:spacing w:line="240" w:lineRule="auto"/>
        <w:rPr>
          <w:i/>
          <w:szCs w:val="22"/>
          <w:lang w:eastAsia="en-GB"/>
        </w:rPr>
      </w:pPr>
    </w:p>
    <w:p w14:paraId="6B128E48" w14:textId="75A1E2E8" w:rsidR="00731327"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i/>
          <w:szCs w:val="22"/>
          <w:lang w:eastAsia="en-GB"/>
        </w:rPr>
        <w:t>Paediatric</w:t>
      </w:r>
      <w:r w:rsidR="00555F34" w:rsidRPr="001775D9">
        <w:rPr>
          <w:i/>
          <w:szCs w:val="22"/>
          <w:lang w:eastAsia="en-GB"/>
        </w:rPr>
        <w:t xml:space="preserve"> plaque </w:t>
      </w:r>
      <w:r w:rsidRPr="001775D9">
        <w:rPr>
          <w:i/>
          <w:szCs w:val="22"/>
          <w:lang w:eastAsia="en-GB"/>
        </w:rPr>
        <w:t xml:space="preserve">psoriasis </w:t>
      </w:r>
    </w:p>
    <w:p w14:paraId="41E95ABD" w14:textId="77777777" w:rsidR="005D7F94" w:rsidRPr="001775D9" w:rsidRDefault="005D7F94" w:rsidP="00FB5458">
      <w:pPr>
        <w:keepNext/>
        <w:tabs>
          <w:tab w:val="clear" w:pos="567"/>
        </w:tabs>
        <w:autoSpaceDE w:val="0"/>
        <w:autoSpaceDN w:val="0"/>
        <w:adjustRightInd w:val="0"/>
        <w:spacing w:line="240" w:lineRule="auto"/>
        <w:rPr>
          <w:color w:val="000000"/>
          <w:szCs w:val="22"/>
        </w:rPr>
      </w:pPr>
    </w:p>
    <w:p w14:paraId="304AE4CB" w14:textId="77777777" w:rsidR="00731327" w:rsidRPr="001775D9" w:rsidRDefault="00731327" w:rsidP="00FB5458">
      <w:pPr>
        <w:tabs>
          <w:tab w:val="clear" w:pos="567"/>
        </w:tabs>
        <w:autoSpaceDE w:val="0"/>
        <w:autoSpaceDN w:val="0"/>
        <w:adjustRightInd w:val="0"/>
        <w:spacing w:line="240" w:lineRule="auto"/>
        <w:rPr>
          <w:color w:val="000000"/>
          <w:szCs w:val="22"/>
        </w:rPr>
      </w:pPr>
      <w:r w:rsidRPr="001775D9">
        <w:rPr>
          <w:szCs w:val="22"/>
          <w:lang w:eastAsia="en-GB"/>
        </w:rPr>
        <w:t>Th</w:t>
      </w:r>
      <w:r w:rsidRPr="001775D9">
        <w:rPr>
          <w:color w:val="000000"/>
          <w:szCs w:val="22"/>
        </w:rPr>
        <w:t xml:space="preserve">e recommended </w:t>
      </w:r>
      <w:r w:rsidRPr="001775D9">
        <w:rPr>
          <w:color w:val="000000"/>
          <w:szCs w:val="22"/>
          <w:lang w:eastAsia="en-GB"/>
        </w:rPr>
        <w:t>AMGEVITA</w:t>
      </w:r>
      <w:r w:rsidRPr="001775D9">
        <w:rPr>
          <w:color w:val="000000"/>
          <w:szCs w:val="22"/>
        </w:rPr>
        <w:t xml:space="preserve"> dose</w:t>
      </w:r>
      <w:r w:rsidR="00112495" w:rsidRPr="001775D9">
        <w:rPr>
          <w:color w:val="000000"/>
          <w:szCs w:val="22"/>
        </w:rPr>
        <w:t xml:space="preserve"> for patients with plaque psoriasis from 4 to 17 years of age is based on body weight (table 3).</w:t>
      </w:r>
      <w:r w:rsidRPr="001775D9">
        <w:rPr>
          <w:color w:val="000000"/>
          <w:szCs w:val="22"/>
        </w:rPr>
        <w:t xml:space="preserve"> </w:t>
      </w:r>
      <w:r w:rsidR="00112495" w:rsidRPr="001775D9">
        <w:rPr>
          <w:color w:val="000000"/>
          <w:szCs w:val="22"/>
        </w:rPr>
        <w:t xml:space="preserve">AMGEVITA is </w:t>
      </w:r>
      <w:r w:rsidRPr="001775D9">
        <w:rPr>
          <w:color w:val="000000"/>
          <w:szCs w:val="22"/>
        </w:rPr>
        <w:t xml:space="preserve">administered </w:t>
      </w:r>
      <w:r w:rsidR="00112495" w:rsidRPr="001775D9">
        <w:rPr>
          <w:color w:val="000000"/>
          <w:szCs w:val="22"/>
        </w:rPr>
        <w:t>via subcutaneous injection.</w:t>
      </w:r>
    </w:p>
    <w:p w14:paraId="44381B4F" w14:textId="77777777" w:rsidR="002E53AB" w:rsidRPr="001775D9" w:rsidRDefault="002E53AB" w:rsidP="00FB5458">
      <w:pPr>
        <w:tabs>
          <w:tab w:val="clear" w:pos="567"/>
        </w:tabs>
        <w:autoSpaceDE w:val="0"/>
        <w:autoSpaceDN w:val="0"/>
        <w:adjustRightInd w:val="0"/>
        <w:spacing w:line="240" w:lineRule="auto"/>
        <w:rPr>
          <w:color w:val="000000"/>
          <w:szCs w:val="22"/>
        </w:rPr>
      </w:pPr>
    </w:p>
    <w:p w14:paraId="377C7E31" w14:textId="4A8CEC4F" w:rsidR="00225C24" w:rsidRPr="00D55B59" w:rsidRDefault="00225C24" w:rsidP="00CF6F25">
      <w:pPr>
        <w:keepNext/>
        <w:suppressAutoHyphens/>
        <w:spacing w:line="240" w:lineRule="auto"/>
        <w:rPr>
          <w:rFonts w:eastAsia="Times New Roman"/>
          <w:b/>
          <w:szCs w:val="22"/>
          <w:rPrChange w:id="150" w:author="Author">
            <w:rPr>
              <w:rFonts w:eastAsia="Times New Roman"/>
              <w:b/>
              <w:szCs w:val="22"/>
              <w:lang w:val="en-US"/>
            </w:rPr>
          </w:rPrChange>
        </w:rPr>
      </w:pPr>
      <w:r w:rsidRPr="00D55B59">
        <w:rPr>
          <w:rFonts w:eastAsia="Times New Roman"/>
          <w:b/>
          <w:szCs w:val="22"/>
          <w:rPrChange w:id="151" w:author="Author">
            <w:rPr>
              <w:rFonts w:eastAsia="Times New Roman"/>
              <w:b/>
              <w:szCs w:val="22"/>
              <w:lang w:val="en-US"/>
            </w:rPr>
          </w:rPrChange>
        </w:rPr>
        <w:t xml:space="preserve">Table 3. AMGEVITA </w:t>
      </w:r>
      <w:r w:rsidR="00FB1CE9" w:rsidRPr="00D55B59">
        <w:rPr>
          <w:rFonts w:eastAsia="Times New Roman"/>
          <w:b/>
          <w:szCs w:val="22"/>
          <w:rPrChange w:id="152" w:author="Author">
            <w:rPr>
              <w:rFonts w:eastAsia="Times New Roman"/>
              <w:b/>
              <w:szCs w:val="22"/>
              <w:lang w:val="en-US"/>
            </w:rPr>
          </w:rPrChange>
        </w:rPr>
        <w:t>d</w:t>
      </w:r>
      <w:r w:rsidRPr="00D55B59">
        <w:rPr>
          <w:rFonts w:eastAsia="Times New Roman"/>
          <w:b/>
          <w:szCs w:val="22"/>
          <w:rPrChange w:id="153" w:author="Author">
            <w:rPr>
              <w:rFonts w:eastAsia="Times New Roman"/>
              <w:b/>
              <w:szCs w:val="22"/>
              <w:lang w:val="en-US"/>
            </w:rPr>
          </w:rPrChange>
        </w:rPr>
        <w:t xml:space="preserve">ose for </w:t>
      </w:r>
      <w:r w:rsidR="00FB1CE9" w:rsidRPr="00D55B59">
        <w:rPr>
          <w:rFonts w:eastAsia="Times New Roman"/>
          <w:b/>
          <w:szCs w:val="22"/>
          <w:rPrChange w:id="154" w:author="Author">
            <w:rPr>
              <w:rFonts w:eastAsia="Times New Roman"/>
              <w:b/>
              <w:szCs w:val="22"/>
              <w:lang w:val="en-US"/>
            </w:rPr>
          </w:rPrChange>
        </w:rPr>
        <w:t>p</w:t>
      </w:r>
      <w:r w:rsidRPr="00D55B59">
        <w:rPr>
          <w:rFonts w:eastAsia="Times New Roman"/>
          <w:b/>
          <w:szCs w:val="22"/>
          <w:rPrChange w:id="155" w:author="Author">
            <w:rPr>
              <w:rFonts w:eastAsia="Times New Roman"/>
              <w:b/>
              <w:szCs w:val="22"/>
              <w:lang w:val="en-US"/>
            </w:rPr>
          </w:rPrChange>
        </w:rPr>
        <w:t xml:space="preserve">aediatric </w:t>
      </w:r>
      <w:r w:rsidR="00FB1CE9" w:rsidRPr="00D55B59">
        <w:rPr>
          <w:rFonts w:eastAsia="Times New Roman"/>
          <w:b/>
          <w:szCs w:val="22"/>
          <w:rPrChange w:id="156" w:author="Author">
            <w:rPr>
              <w:rFonts w:eastAsia="Times New Roman"/>
              <w:b/>
              <w:szCs w:val="22"/>
              <w:lang w:val="en-US"/>
            </w:rPr>
          </w:rPrChange>
        </w:rPr>
        <w:t>p</w:t>
      </w:r>
      <w:r w:rsidRPr="00D55B59">
        <w:rPr>
          <w:rFonts w:eastAsia="Times New Roman"/>
          <w:b/>
          <w:szCs w:val="22"/>
          <w:rPrChange w:id="157" w:author="Author">
            <w:rPr>
              <w:rFonts w:eastAsia="Times New Roman"/>
              <w:b/>
              <w:szCs w:val="22"/>
              <w:lang w:val="en-US"/>
            </w:rPr>
          </w:rPrChange>
        </w:rPr>
        <w:t xml:space="preserve">atients with </w:t>
      </w:r>
      <w:r w:rsidR="00032E45" w:rsidRPr="00D55B59">
        <w:rPr>
          <w:rFonts w:eastAsia="Times New Roman"/>
          <w:b/>
          <w:szCs w:val="22"/>
          <w:rPrChange w:id="158" w:author="Author">
            <w:rPr>
              <w:rFonts w:eastAsia="Times New Roman"/>
              <w:b/>
              <w:szCs w:val="22"/>
              <w:lang w:val="en-US"/>
            </w:rPr>
          </w:rPrChange>
        </w:rPr>
        <w:t>p</w:t>
      </w:r>
      <w:r w:rsidRPr="00D55B59">
        <w:rPr>
          <w:rFonts w:eastAsia="Times New Roman"/>
          <w:b/>
          <w:szCs w:val="22"/>
          <w:rPrChange w:id="159" w:author="Author">
            <w:rPr>
              <w:rFonts w:eastAsia="Times New Roman"/>
              <w:b/>
              <w:szCs w:val="22"/>
              <w:lang w:val="en-US"/>
            </w:rPr>
          </w:rPrChange>
        </w:rPr>
        <w:t xml:space="preserve">laque </w:t>
      </w:r>
      <w:r w:rsidR="00032E45" w:rsidRPr="00D55B59">
        <w:rPr>
          <w:rFonts w:eastAsia="Times New Roman"/>
          <w:b/>
          <w:szCs w:val="22"/>
          <w:rPrChange w:id="160" w:author="Author">
            <w:rPr>
              <w:rFonts w:eastAsia="Times New Roman"/>
              <w:b/>
              <w:szCs w:val="22"/>
              <w:lang w:val="en-US"/>
            </w:rPr>
          </w:rPrChange>
        </w:rPr>
        <w:t>p</w:t>
      </w:r>
      <w:r w:rsidRPr="00D55B59">
        <w:rPr>
          <w:rFonts w:eastAsia="Times New Roman"/>
          <w:b/>
          <w:szCs w:val="22"/>
          <w:rPrChange w:id="161" w:author="Author">
            <w:rPr>
              <w:rFonts w:eastAsia="Times New Roman"/>
              <w:b/>
              <w:szCs w:val="22"/>
              <w:lang w:val="en-US"/>
            </w:rPr>
          </w:rPrChange>
        </w:rPr>
        <w:t xml:space="preserve">soriasis </w:t>
      </w:r>
    </w:p>
    <w:p w14:paraId="3E01E522" w14:textId="77777777" w:rsidR="00225C24" w:rsidRPr="00D55B59" w:rsidRDefault="00225C24" w:rsidP="00CF6F25">
      <w:pPr>
        <w:keepNext/>
        <w:suppressAutoHyphens/>
        <w:spacing w:line="240" w:lineRule="auto"/>
        <w:rPr>
          <w:rFonts w:eastAsia="Times New Roman"/>
          <w:szCs w:val="22"/>
          <w:rPrChange w:id="162" w:author="Author">
            <w:rPr>
              <w:rFonts w:eastAsia="Times New Roman"/>
              <w:szCs w:val="22"/>
              <w:lang w:val="en-US"/>
            </w:rPr>
          </w:rPrChange>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5103"/>
      </w:tblGrid>
      <w:tr w:rsidR="00225C24" w:rsidRPr="00F04F82" w14:paraId="3339CFB9" w14:textId="77777777" w:rsidTr="00A66CE9">
        <w:trPr>
          <w:tblHeader/>
        </w:trPr>
        <w:tc>
          <w:tcPr>
            <w:tcW w:w="4253" w:type="dxa"/>
          </w:tcPr>
          <w:p w14:paraId="69C02031" w14:textId="338BDA19" w:rsidR="00225C24" w:rsidRPr="00D55B59" w:rsidRDefault="00225C24" w:rsidP="00CF6F25">
            <w:pPr>
              <w:keepNext/>
              <w:tabs>
                <w:tab w:val="clear" w:pos="567"/>
              </w:tabs>
              <w:spacing w:line="240" w:lineRule="auto"/>
              <w:rPr>
                <w:rFonts w:eastAsia="Calibri"/>
                <w:b/>
                <w:szCs w:val="22"/>
                <w:lang w:eastAsia="ja-JP"/>
                <w:rPrChange w:id="163" w:author="Author">
                  <w:rPr>
                    <w:rFonts w:eastAsia="Calibri"/>
                    <w:b/>
                    <w:szCs w:val="22"/>
                    <w:lang w:val="en-US" w:eastAsia="ja-JP"/>
                  </w:rPr>
                </w:rPrChange>
              </w:rPr>
            </w:pPr>
            <w:r w:rsidRPr="00D55B59">
              <w:rPr>
                <w:rFonts w:eastAsia="Calibri"/>
                <w:b/>
                <w:szCs w:val="22"/>
                <w:lang w:eastAsia="ja-JP"/>
                <w:rPrChange w:id="164" w:author="Author">
                  <w:rPr>
                    <w:rFonts w:eastAsia="Calibri"/>
                    <w:b/>
                    <w:szCs w:val="22"/>
                    <w:lang w:val="en-US" w:eastAsia="ja-JP"/>
                  </w:rPr>
                </w:rPrChange>
              </w:rPr>
              <w:t xml:space="preserve">Patient </w:t>
            </w:r>
            <w:r w:rsidR="00FB1CE9" w:rsidRPr="00D55B59">
              <w:rPr>
                <w:rFonts w:eastAsia="Calibri"/>
                <w:b/>
                <w:szCs w:val="22"/>
                <w:lang w:eastAsia="ja-JP"/>
                <w:rPrChange w:id="165" w:author="Author">
                  <w:rPr>
                    <w:rFonts w:eastAsia="Calibri"/>
                    <w:b/>
                    <w:szCs w:val="22"/>
                    <w:lang w:val="en-US" w:eastAsia="ja-JP"/>
                  </w:rPr>
                </w:rPrChange>
              </w:rPr>
              <w:t>w</w:t>
            </w:r>
            <w:r w:rsidRPr="00D55B59">
              <w:rPr>
                <w:rFonts w:eastAsia="Calibri"/>
                <w:b/>
                <w:szCs w:val="22"/>
                <w:lang w:eastAsia="ja-JP"/>
                <w:rPrChange w:id="166" w:author="Author">
                  <w:rPr>
                    <w:rFonts w:eastAsia="Calibri"/>
                    <w:b/>
                    <w:szCs w:val="22"/>
                    <w:lang w:val="en-US" w:eastAsia="ja-JP"/>
                  </w:rPr>
                </w:rPrChange>
              </w:rPr>
              <w:t>eight</w:t>
            </w:r>
          </w:p>
        </w:tc>
        <w:tc>
          <w:tcPr>
            <w:tcW w:w="5103" w:type="dxa"/>
          </w:tcPr>
          <w:p w14:paraId="0A9FE5A6" w14:textId="173AB5A5" w:rsidR="00225C24" w:rsidRPr="00D55B59" w:rsidRDefault="00225C24" w:rsidP="00CF6F25">
            <w:pPr>
              <w:keepNext/>
              <w:tabs>
                <w:tab w:val="clear" w:pos="567"/>
              </w:tabs>
              <w:spacing w:line="240" w:lineRule="auto"/>
              <w:rPr>
                <w:rFonts w:eastAsia="Calibri"/>
                <w:b/>
                <w:szCs w:val="22"/>
                <w:lang w:eastAsia="ja-JP"/>
                <w:rPrChange w:id="167" w:author="Author">
                  <w:rPr>
                    <w:rFonts w:eastAsia="Calibri"/>
                    <w:b/>
                    <w:szCs w:val="22"/>
                    <w:lang w:val="en-US" w:eastAsia="ja-JP"/>
                  </w:rPr>
                </w:rPrChange>
              </w:rPr>
            </w:pPr>
            <w:r w:rsidRPr="00D55B59">
              <w:rPr>
                <w:rFonts w:eastAsia="Calibri"/>
                <w:b/>
                <w:szCs w:val="22"/>
                <w:lang w:eastAsia="ja-JP"/>
                <w:rPrChange w:id="168" w:author="Author">
                  <w:rPr>
                    <w:rFonts w:eastAsia="Calibri"/>
                    <w:b/>
                    <w:szCs w:val="22"/>
                    <w:lang w:val="en-US" w:eastAsia="ja-JP"/>
                  </w:rPr>
                </w:rPrChange>
              </w:rPr>
              <w:t xml:space="preserve">Dosing </w:t>
            </w:r>
            <w:r w:rsidR="00FB1CE9" w:rsidRPr="00D55B59">
              <w:rPr>
                <w:rFonts w:eastAsia="Calibri"/>
                <w:b/>
                <w:szCs w:val="22"/>
                <w:lang w:eastAsia="ja-JP"/>
                <w:rPrChange w:id="169" w:author="Author">
                  <w:rPr>
                    <w:rFonts w:eastAsia="Calibri"/>
                    <w:b/>
                    <w:szCs w:val="22"/>
                    <w:lang w:val="en-US" w:eastAsia="ja-JP"/>
                  </w:rPr>
                </w:rPrChange>
              </w:rPr>
              <w:t>r</w:t>
            </w:r>
            <w:r w:rsidRPr="00D55B59">
              <w:rPr>
                <w:rFonts w:eastAsia="Calibri"/>
                <w:b/>
                <w:szCs w:val="22"/>
                <w:lang w:eastAsia="ja-JP"/>
                <w:rPrChange w:id="170" w:author="Author">
                  <w:rPr>
                    <w:rFonts w:eastAsia="Calibri"/>
                    <w:b/>
                    <w:szCs w:val="22"/>
                    <w:lang w:val="en-US" w:eastAsia="ja-JP"/>
                  </w:rPr>
                </w:rPrChange>
              </w:rPr>
              <w:t>egimen</w:t>
            </w:r>
          </w:p>
        </w:tc>
      </w:tr>
      <w:tr w:rsidR="00225C24" w:rsidRPr="00F04F82" w14:paraId="6A68111C" w14:textId="77777777" w:rsidTr="00A66CE9">
        <w:trPr>
          <w:tblHeader/>
        </w:trPr>
        <w:tc>
          <w:tcPr>
            <w:tcW w:w="4253" w:type="dxa"/>
          </w:tcPr>
          <w:p w14:paraId="4BE2AB72" w14:textId="59D94B7E" w:rsidR="00225C24" w:rsidRPr="00D55B59" w:rsidRDefault="00225C24" w:rsidP="00CF6F25">
            <w:pPr>
              <w:keepNext/>
              <w:tabs>
                <w:tab w:val="clear" w:pos="567"/>
              </w:tabs>
              <w:spacing w:line="240" w:lineRule="auto"/>
              <w:rPr>
                <w:rFonts w:eastAsia="Calibri"/>
                <w:b/>
                <w:szCs w:val="22"/>
                <w:lang w:eastAsia="ja-JP"/>
                <w:rPrChange w:id="171" w:author="Author">
                  <w:rPr>
                    <w:rFonts w:eastAsia="Calibri"/>
                    <w:b/>
                    <w:szCs w:val="22"/>
                    <w:lang w:val="en-US" w:eastAsia="ja-JP"/>
                  </w:rPr>
                </w:rPrChange>
              </w:rPr>
            </w:pPr>
            <w:r w:rsidRPr="00D55B59">
              <w:rPr>
                <w:rFonts w:eastAsia="Calibri"/>
                <w:szCs w:val="22"/>
                <w:lang w:eastAsia="ja-JP"/>
                <w:rPrChange w:id="172" w:author="Author">
                  <w:rPr>
                    <w:rFonts w:eastAsia="Calibri"/>
                    <w:szCs w:val="22"/>
                    <w:lang w:val="en-US" w:eastAsia="ja-JP"/>
                  </w:rPr>
                </w:rPrChange>
              </w:rPr>
              <w:t>15 kg to &lt; 30 kg</w:t>
            </w:r>
          </w:p>
        </w:tc>
        <w:tc>
          <w:tcPr>
            <w:tcW w:w="5103" w:type="dxa"/>
          </w:tcPr>
          <w:p w14:paraId="51D819F1" w14:textId="5804DE74" w:rsidR="00225C24" w:rsidRPr="00D55B59" w:rsidRDefault="00225C24" w:rsidP="00BC30BD">
            <w:pPr>
              <w:keepNext/>
              <w:tabs>
                <w:tab w:val="clear" w:pos="567"/>
              </w:tabs>
              <w:spacing w:line="240" w:lineRule="auto"/>
              <w:rPr>
                <w:rFonts w:eastAsia="Calibri"/>
                <w:b/>
                <w:szCs w:val="22"/>
                <w:lang w:eastAsia="ja-JP"/>
                <w:rPrChange w:id="173" w:author="Author">
                  <w:rPr>
                    <w:rFonts w:eastAsia="Calibri"/>
                    <w:b/>
                    <w:szCs w:val="22"/>
                    <w:lang w:val="en-US" w:eastAsia="ja-JP"/>
                  </w:rPr>
                </w:rPrChange>
              </w:rPr>
            </w:pPr>
            <w:r w:rsidRPr="00D55B59">
              <w:rPr>
                <w:rFonts w:eastAsia="Calibri"/>
                <w:szCs w:val="22"/>
                <w:lang w:eastAsia="ja-JP"/>
                <w:rPrChange w:id="174" w:author="Author">
                  <w:rPr>
                    <w:rFonts w:eastAsia="Calibri"/>
                    <w:szCs w:val="22"/>
                    <w:lang w:val="en-US" w:eastAsia="ja-JP"/>
                  </w:rPr>
                </w:rPrChange>
              </w:rPr>
              <w:t>Initial dose of 20 mg, followed by 20 mg given every other week starting one week after the initial dose</w:t>
            </w:r>
          </w:p>
        </w:tc>
      </w:tr>
      <w:tr w:rsidR="00225C24" w:rsidRPr="00F04F82" w14:paraId="6A175653" w14:textId="77777777" w:rsidTr="00A66CE9">
        <w:trPr>
          <w:tblHeader/>
        </w:trPr>
        <w:tc>
          <w:tcPr>
            <w:tcW w:w="4253" w:type="dxa"/>
          </w:tcPr>
          <w:p w14:paraId="356541DA" w14:textId="6BBD7A04" w:rsidR="00225C24" w:rsidRPr="00D55B59" w:rsidRDefault="00225C24" w:rsidP="00CF6F25">
            <w:pPr>
              <w:keepNext/>
              <w:tabs>
                <w:tab w:val="clear" w:pos="567"/>
              </w:tabs>
              <w:spacing w:line="240" w:lineRule="auto"/>
              <w:rPr>
                <w:rFonts w:eastAsia="Calibri"/>
                <w:b/>
                <w:szCs w:val="22"/>
                <w:lang w:eastAsia="ja-JP"/>
                <w:rPrChange w:id="175" w:author="Author">
                  <w:rPr>
                    <w:rFonts w:eastAsia="Calibri"/>
                    <w:b/>
                    <w:szCs w:val="22"/>
                    <w:lang w:val="en-US" w:eastAsia="ja-JP"/>
                  </w:rPr>
                </w:rPrChange>
              </w:rPr>
            </w:pPr>
            <w:r w:rsidRPr="00D55B59">
              <w:rPr>
                <w:rFonts w:eastAsia="Calibri"/>
                <w:szCs w:val="22"/>
                <w:lang w:eastAsia="ja-JP"/>
                <w:rPrChange w:id="176" w:author="Author">
                  <w:rPr>
                    <w:rFonts w:eastAsia="Calibri"/>
                    <w:szCs w:val="22"/>
                    <w:lang w:val="en-US" w:eastAsia="ja-JP"/>
                  </w:rPr>
                </w:rPrChange>
              </w:rPr>
              <w:t>≥ 30 kg</w:t>
            </w:r>
          </w:p>
        </w:tc>
        <w:tc>
          <w:tcPr>
            <w:tcW w:w="5103" w:type="dxa"/>
          </w:tcPr>
          <w:p w14:paraId="089C2A81" w14:textId="70FE27D9" w:rsidR="00225C24" w:rsidRPr="00D55B59" w:rsidRDefault="00225C24" w:rsidP="00CF6F25">
            <w:pPr>
              <w:suppressAutoHyphens/>
              <w:spacing w:line="240" w:lineRule="auto"/>
              <w:rPr>
                <w:rFonts w:eastAsia="Times New Roman"/>
                <w:b/>
                <w:szCs w:val="22"/>
                <w:rPrChange w:id="177" w:author="Author">
                  <w:rPr>
                    <w:rFonts w:eastAsia="Times New Roman"/>
                    <w:b/>
                    <w:szCs w:val="22"/>
                    <w:lang w:val="en-US"/>
                  </w:rPr>
                </w:rPrChange>
              </w:rPr>
            </w:pPr>
            <w:r w:rsidRPr="00D55B59">
              <w:rPr>
                <w:rFonts w:eastAsia="Times New Roman"/>
                <w:szCs w:val="22"/>
                <w:rPrChange w:id="178" w:author="Author">
                  <w:rPr>
                    <w:rFonts w:eastAsia="Times New Roman"/>
                    <w:szCs w:val="22"/>
                    <w:lang w:val="en-US"/>
                  </w:rPr>
                </w:rPrChange>
              </w:rPr>
              <w:t>Initial dose of 40 mg, followed by 40 mg given every other week starting one week after the initial dose</w:t>
            </w:r>
          </w:p>
        </w:tc>
      </w:tr>
    </w:tbl>
    <w:p w14:paraId="1C57A896" w14:textId="77777777" w:rsidR="00225C24" w:rsidRPr="001775D9" w:rsidRDefault="00225C24" w:rsidP="00FB5458">
      <w:pPr>
        <w:tabs>
          <w:tab w:val="clear" w:pos="567"/>
        </w:tabs>
        <w:autoSpaceDE w:val="0"/>
        <w:autoSpaceDN w:val="0"/>
        <w:adjustRightInd w:val="0"/>
        <w:spacing w:line="240" w:lineRule="auto"/>
        <w:rPr>
          <w:color w:val="000000"/>
          <w:szCs w:val="22"/>
        </w:rPr>
      </w:pPr>
    </w:p>
    <w:p w14:paraId="69EB54B0" w14:textId="77777777" w:rsidR="00225C24" w:rsidRPr="001775D9" w:rsidRDefault="00225C24" w:rsidP="00FB5458">
      <w:pPr>
        <w:tabs>
          <w:tab w:val="clear" w:pos="567"/>
        </w:tabs>
        <w:autoSpaceDE w:val="0"/>
        <w:autoSpaceDN w:val="0"/>
        <w:adjustRightInd w:val="0"/>
        <w:spacing w:line="240" w:lineRule="auto"/>
        <w:rPr>
          <w:color w:val="000000"/>
          <w:szCs w:val="22"/>
        </w:rPr>
      </w:pPr>
      <w:r w:rsidRPr="001775D9">
        <w:rPr>
          <w:color w:val="000000"/>
          <w:szCs w:val="22"/>
        </w:rPr>
        <w:t>Continued therapy beyond 16 weeks should be carefully considered in a patient not responding within this time period.</w:t>
      </w:r>
    </w:p>
    <w:p w14:paraId="041CC7BF" w14:textId="77777777" w:rsidR="00225C24" w:rsidRPr="001775D9" w:rsidRDefault="00225C24" w:rsidP="00FB5458">
      <w:pPr>
        <w:tabs>
          <w:tab w:val="clear" w:pos="567"/>
        </w:tabs>
        <w:autoSpaceDE w:val="0"/>
        <w:autoSpaceDN w:val="0"/>
        <w:adjustRightInd w:val="0"/>
        <w:spacing w:line="240" w:lineRule="auto"/>
        <w:rPr>
          <w:color w:val="000000"/>
          <w:szCs w:val="22"/>
        </w:rPr>
      </w:pPr>
    </w:p>
    <w:p w14:paraId="5F279BC3" w14:textId="77777777" w:rsidR="002E53AB" w:rsidRPr="001775D9" w:rsidRDefault="002E53AB" w:rsidP="00FB5458">
      <w:pPr>
        <w:tabs>
          <w:tab w:val="clear" w:pos="567"/>
        </w:tabs>
        <w:autoSpaceDE w:val="0"/>
        <w:autoSpaceDN w:val="0"/>
        <w:adjustRightInd w:val="0"/>
        <w:spacing w:line="240" w:lineRule="auto"/>
        <w:rPr>
          <w:color w:val="000000"/>
          <w:szCs w:val="22"/>
        </w:rPr>
      </w:pPr>
      <w:r w:rsidRPr="001775D9">
        <w:rPr>
          <w:color w:val="000000"/>
          <w:szCs w:val="22"/>
        </w:rPr>
        <w:t xml:space="preserve">If retreatment with </w:t>
      </w:r>
      <w:r w:rsidR="00882BB0" w:rsidRPr="001775D9">
        <w:rPr>
          <w:color w:val="000000"/>
          <w:szCs w:val="22"/>
          <w:lang w:eastAsia="en-GB"/>
        </w:rPr>
        <w:t>AMGEVITA</w:t>
      </w:r>
      <w:r w:rsidRPr="001775D9">
        <w:rPr>
          <w:color w:val="000000"/>
          <w:szCs w:val="22"/>
        </w:rPr>
        <w:t xml:space="preserve"> is indicated, the above guidance on dose and treatment duration should be followed. </w:t>
      </w:r>
    </w:p>
    <w:p w14:paraId="0D8F7C95" w14:textId="77777777" w:rsidR="00DB4B71" w:rsidRPr="001775D9" w:rsidRDefault="00DB4B71" w:rsidP="00FB5458">
      <w:pPr>
        <w:tabs>
          <w:tab w:val="clear" w:pos="567"/>
        </w:tabs>
        <w:autoSpaceDE w:val="0"/>
        <w:autoSpaceDN w:val="0"/>
        <w:adjustRightInd w:val="0"/>
        <w:spacing w:line="240" w:lineRule="auto"/>
        <w:rPr>
          <w:color w:val="000000"/>
          <w:szCs w:val="22"/>
        </w:rPr>
      </w:pPr>
    </w:p>
    <w:p w14:paraId="54AB1374" w14:textId="77777777" w:rsidR="002E53AB" w:rsidRPr="001775D9" w:rsidRDefault="002E53AB" w:rsidP="00FB5458">
      <w:pPr>
        <w:tabs>
          <w:tab w:val="clear" w:pos="567"/>
        </w:tabs>
        <w:autoSpaceDE w:val="0"/>
        <w:autoSpaceDN w:val="0"/>
        <w:adjustRightInd w:val="0"/>
        <w:spacing w:line="240" w:lineRule="auto"/>
        <w:rPr>
          <w:color w:val="000000"/>
          <w:szCs w:val="22"/>
        </w:rPr>
      </w:pPr>
      <w:r w:rsidRPr="001775D9">
        <w:rPr>
          <w:color w:val="000000"/>
          <w:szCs w:val="22"/>
        </w:rPr>
        <w:t xml:space="preserve">The safety of </w:t>
      </w:r>
      <w:r w:rsidR="00882BB0" w:rsidRPr="001775D9">
        <w:rPr>
          <w:color w:val="000000"/>
          <w:szCs w:val="22"/>
        </w:rPr>
        <w:t>adalimumab</w:t>
      </w:r>
      <w:r w:rsidR="009E1354" w:rsidRPr="001775D9">
        <w:rPr>
          <w:color w:val="000000"/>
          <w:szCs w:val="22"/>
        </w:rPr>
        <w:t xml:space="preserve"> </w:t>
      </w:r>
      <w:r w:rsidRPr="001775D9">
        <w:rPr>
          <w:color w:val="000000"/>
          <w:szCs w:val="22"/>
        </w:rPr>
        <w:t>in paediatric patients with plaque psoriasis has</w:t>
      </w:r>
      <w:r w:rsidR="00A41844" w:rsidRPr="001775D9">
        <w:rPr>
          <w:color w:val="000000"/>
          <w:szCs w:val="22"/>
        </w:rPr>
        <w:t xml:space="preserve"> been assessed for a mean of 13 </w:t>
      </w:r>
      <w:r w:rsidRPr="001775D9">
        <w:rPr>
          <w:color w:val="000000"/>
          <w:szCs w:val="22"/>
        </w:rPr>
        <w:t xml:space="preserve">months. </w:t>
      </w:r>
    </w:p>
    <w:p w14:paraId="4216333D" w14:textId="77777777" w:rsidR="00CD086B" w:rsidRPr="001775D9" w:rsidRDefault="00CD086B" w:rsidP="00FB5458">
      <w:pPr>
        <w:tabs>
          <w:tab w:val="clear" w:pos="567"/>
        </w:tabs>
        <w:autoSpaceDE w:val="0"/>
        <w:autoSpaceDN w:val="0"/>
        <w:adjustRightInd w:val="0"/>
        <w:spacing w:line="240" w:lineRule="auto"/>
        <w:rPr>
          <w:color w:val="000000"/>
          <w:szCs w:val="22"/>
        </w:rPr>
      </w:pPr>
    </w:p>
    <w:p w14:paraId="68B88CCA" w14:textId="77777777" w:rsidR="006B1202" w:rsidRPr="001775D9" w:rsidRDefault="002E53AB" w:rsidP="00FB5458">
      <w:pPr>
        <w:tabs>
          <w:tab w:val="clear" w:pos="567"/>
        </w:tabs>
        <w:autoSpaceDE w:val="0"/>
        <w:autoSpaceDN w:val="0"/>
        <w:adjustRightInd w:val="0"/>
        <w:spacing w:line="240" w:lineRule="auto"/>
        <w:rPr>
          <w:szCs w:val="22"/>
          <w:u w:val="single"/>
          <w:lang w:eastAsia="en-GB"/>
        </w:rPr>
      </w:pPr>
      <w:r w:rsidRPr="001775D9">
        <w:rPr>
          <w:color w:val="000000"/>
          <w:szCs w:val="22"/>
        </w:rPr>
        <w:t xml:space="preserve">There is no relevant use of </w:t>
      </w:r>
      <w:r w:rsidR="00882BB0" w:rsidRPr="001775D9">
        <w:rPr>
          <w:color w:val="000000"/>
          <w:szCs w:val="22"/>
        </w:rPr>
        <w:t xml:space="preserve">adalimumab </w:t>
      </w:r>
      <w:r w:rsidRPr="001775D9">
        <w:rPr>
          <w:color w:val="000000"/>
          <w:szCs w:val="22"/>
        </w:rPr>
        <w:t xml:space="preserve">in children aged less than 4 years </w:t>
      </w:r>
      <w:r w:rsidR="003D4634" w:rsidRPr="001775D9">
        <w:rPr>
          <w:color w:val="000000"/>
          <w:szCs w:val="22"/>
        </w:rPr>
        <w:t>for</w:t>
      </w:r>
      <w:r w:rsidRPr="001775D9">
        <w:rPr>
          <w:color w:val="000000"/>
          <w:szCs w:val="22"/>
        </w:rPr>
        <w:t xml:space="preserve"> this indication.</w:t>
      </w:r>
      <w:r w:rsidR="00FF52D1" w:rsidRPr="001775D9" w:rsidDel="00FF52D1">
        <w:rPr>
          <w:szCs w:val="22"/>
          <w:u w:val="single"/>
          <w:lang w:eastAsia="en-GB"/>
        </w:rPr>
        <w:t xml:space="preserve"> </w:t>
      </w:r>
    </w:p>
    <w:p w14:paraId="0AFE153A" w14:textId="77777777" w:rsidR="005C5B30" w:rsidRPr="001775D9" w:rsidRDefault="005C5B30" w:rsidP="00FB5458">
      <w:pPr>
        <w:keepNext/>
        <w:tabs>
          <w:tab w:val="clear" w:pos="567"/>
        </w:tabs>
        <w:autoSpaceDE w:val="0"/>
        <w:autoSpaceDN w:val="0"/>
        <w:adjustRightInd w:val="0"/>
        <w:spacing w:line="240" w:lineRule="auto"/>
        <w:rPr>
          <w:i/>
          <w:szCs w:val="22"/>
          <w:lang w:eastAsia="en-GB"/>
        </w:rPr>
      </w:pPr>
    </w:p>
    <w:p w14:paraId="5080FE81" w14:textId="77777777" w:rsidR="00BE1294" w:rsidRPr="001775D9" w:rsidRDefault="00BE1294" w:rsidP="00BE1294">
      <w:pPr>
        <w:tabs>
          <w:tab w:val="clear" w:pos="567"/>
          <w:tab w:val="left" w:pos="720"/>
        </w:tabs>
        <w:autoSpaceDE w:val="0"/>
        <w:autoSpaceDN w:val="0"/>
        <w:adjustRightInd w:val="0"/>
        <w:spacing w:line="240" w:lineRule="auto"/>
        <w:rPr>
          <w:i/>
          <w:szCs w:val="22"/>
          <w:lang w:eastAsia="en-GB"/>
        </w:rPr>
      </w:pPr>
      <w:r w:rsidRPr="001775D9">
        <w:rPr>
          <w:i/>
          <w:szCs w:val="22"/>
          <w:lang w:eastAsia="en-GB"/>
        </w:rPr>
        <w:t>Adolescent hidradenitis suppurativa (from 12 years of age, weighing at least 30</w:t>
      </w:r>
      <w:r w:rsidR="006D2088" w:rsidRPr="001775D9">
        <w:rPr>
          <w:color w:val="000000"/>
          <w:szCs w:val="22"/>
        </w:rPr>
        <w:t> </w:t>
      </w:r>
      <w:r w:rsidRPr="001775D9">
        <w:rPr>
          <w:i/>
          <w:szCs w:val="22"/>
          <w:lang w:eastAsia="en-GB"/>
        </w:rPr>
        <w:t>kg)</w:t>
      </w:r>
    </w:p>
    <w:p w14:paraId="7FB069AF" w14:textId="77777777" w:rsidR="00BE1294" w:rsidRPr="001775D9" w:rsidRDefault="00BE1294" w:rsidP="00BE1294">
      <w:pPr>
        <w:tabs>
          <w:tab w:val="clear" w:pos="567"/>
          <w:tab w:val="left" w:pos="720"/>
        </w:tabs>
        <w:autoSpaceDE w:val="0"/>
        <w:autoSpaceDN w:val="0"/>
        <w:adjustRightInd w:val="0"/>
        <w:spacing w:line="240" w:lineRule="auto"/>
        <w:rPr>
          <w:szCs w:val="22"/>
          <w:u w:val="single"/>
          <w:lang w:eastAsia="en-GB"/>
        </w:rPr>
      </w:pPr>
    </w:p>
    <w:p w14:paraId="2DD36213"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 xml:space="preserve">There are no clinical trials with </w:t>
      </w:r>
      <w:r w:rsidR="00E8779C" w:rsidRPr="001775D9">
        <w:rPr>
          <w:szCs w:val="22"/>
          <w:lang w:eastAsia="en-GB"/>
        </w:rPr>
        <w:t xml:space="preserve">adalimumab </w:t>
      </w:r>
      <w:r w:rsidRPr="001775D9">
        <w:rPr>
          <w:szCs w:val="22"/>
          <w:lang w:eastAsia="en-GB"/>
        </w:rPr>
        <w:t>in adolescent patients with HS. The posology of AMGEVITA in these patients has been determined from pharmacokinetic modelling and simulation (see section 5.2).</w:t>
      </w:r>
    </w:p>
    <w:p w14:paraId="2166445A"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6B58F52D" w14:textId="26C4A339"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The recommended AMGEVITA dose is 80</w:t>
      </w:r>
      <w:r w:rsidR="006D2088" w:rsidRPr="001775D9">
        <w:rPr>
          <w:color w:val="000000"/>
          <w:szCs w:val="22"/>
        </w:rPr>
        <w:t> </w:t>
      </w:r>
      <w:r w:rsidRPr="001775D9">
        <w:rPr>
          <w:szCs w:val="22"/>
          <w:lang w:eastAsia="en-GB"/>
        </w:rPr>
        <w:t xml:space="preserve">mg at </w:t>
      </w:r>
      <w:r w:rsidR="00D82A5B" w:rsidRPr="001775D9">
        <w:rPr>
          <w:szCs w:val="22"/>
          <w:lang w:eastAsia="en-GB"/>
        </w:rPr>
        <w:t>w</w:t>
      </w:r>
      <w:r w:rsidRPr="001775D9">
        <w:rPr>
          <w:szCs w:val="22"/>
          <w:lang w:eastAsia="en-GB"/>
        </w:rPr>
        <w:t>eek 0 followed by 40</w:t>
      </w:r>
      <w:r w:rsidR="006D2088" w:rsidRPr="001775D9">
        <w:rPr>
          <w:color w:val="000000"/>
          <w:szCs w:val="22"/>
        </w:rPr>
        <w:t> </w:t>
      </w:r>
      <w:r w:rsidRPr="001775D9">
        <w:rPr>
          <w:szCs w:val="22"/>
          <w:lang w:eastAsia="en-GB"/>
        </w:rPr>
        <w:t xml:space="preserve">mg every other week starting at </w:t>
      </w:r>
      <w:r w:rsidR="00D82A5B" w:rsidRPr="001775D9">
        <w:rPr>
          <w:szCs w:val="22"/>
          <w:lang w:eastAsia="en-GB"/>
        </w:rPr>
        <w:t>w</w:t>
      </w:r>
      <w:r w:rsidRPr="001775D9">
        <w:rPr>
          <w:szCs w:val="22"/>
          <w:lang w:eastAsia="en-GB"/>
        </w:rPr>
        <w:t>eek 1 via subcutaneous injection.</w:t>
      </w:r>
    </w:p>
    <w:p w14:paraId="4EC2C04C"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205814AE" w14:textId="60B6989F"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In adolescent patients with inadequate response to AMGEVITA 40</w:t>
      </w:r>
      <w:r w:rsidR="006D2088" w:rsidRPr="001775D9">
        <w:rPr>
          <w:color w:val="000000"/>
          <w:szCs w:val="22"/>
        </w:rPr>
        <w:t> </w:t>
      </w:r>
      <w:r w:rsidRPr="001775D9">
        <w:rPr>
          <w:szCs w:val="22"/>
          <w:lang w:eastAsia="en-GB"/>
        </w:rPr>
        <w:t>mg every other week, an increase in dose to 40</w:t>
      </w:r>
      <w:r w:rsidR="006D2088" w:rsidRPr="001775D9">
        <w:rPr>
          <w:color w:val="000000"/>
          <w:szCs w:val="22"/>
        </w:rPr>
        <w:t> </w:t>
      </w:r>
      <w:r w:rsidRPr="001775D9">
        <w:rPr>
          <w:szCs w:val="22"/>
          <w:lang w:eastAsia="en-GB"/>
        </w:rPr>
        <w:t>mg every week or 80</w:t>
      </w:r>
      <w:r w:rsidR="006D2088" w:rsidRPr="001775D9">
        <w:rPr>
          <w:color w:val="000000"/>
          <w:szCs w:val="22"/>
        </w:rPr>
        <w:t> </w:t>
      </w:r>
      <w:r w:rsidRPr="001775D9">
        <w:rPr>
          <w:szCs w:val="22"/>
          <w:lang w:eastAsia="en-GB"/>
        </w:rPr>
        <w:t>mg every other week may be considered.</w:t>
      </w:r>
    </w:p>
    <w:p w14:paraId="6E1E0E5B"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1219AD47"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Antibiotics may be continued during treatment with AMGEVITA if necessary. It is recommended that the patient should use a topical antiseptic wash on their HS lesions on a daily basis during treatment with AMGEVITA.</w:t>
      </w:r>
    </w:p>
    <w:p w14:paraId="7E1925C6"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25CB2AD9"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Continued therapy beyond 12 weeks should be carefully reconsidered in a patient with no improvement within this time period.</w:t>
      </w:r>
    </w:p>
    <w:p w14:paraId="7E377B81"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3189F84E"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Should treatment be interrupted, AMGEVITA may be re-introduced as appropriate.</w:t>
      </w:r>
    </w:p>
    <w:p w14:paraId="1507864E"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5CB81A21"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The benefit and risk of continued long-term treatment should be periodically evaluated (see adult data in section 5.1)</w:t>
      </w:r>
      <w:r w:rsidR="00747B80" w:rsidRPr="001775D9">
        <w:rPr>
          <w:szCs w:val="22"/>
          <w:lang w:eastAsia="en-GB"/>
        </w:rPr>
        <w:t>.</w:t>
      </w:r>
    </w:p>
    <w:p w14:paraId="1DCF3BE2"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3239030D"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There is no relevant use of AMGEVITA in children aged less than 12 years in this indication.</w:t>
      </w:r>
    </w:p>
    <w:p w14:paraId="5036DB2B" w14:textId="77777777" w:rsidR="00BE1294" w:rsidRPr="001775D9" w:rsidRDefault="00BE1294" w:rsidP="00FB5458">
      <w:pPr>
        <w:keepNext/>
        <w:tabs>
          <w:tab w:val="clear" w:pos="567"/>
        </w:tabs>
        <w:autoSpaceDE w:val="0"/>
        <w:autoSpaceDN w:val="0"/>
        <w:adjustRightInd w:val="0"/>
        <w:spacing w:line="240" w:lineRule="auto"/>
        <w:rPr>
          <w:i/>
          <w:szCs w:val="22"/>
          <w:lang w:eastAsia="en-GB"/>
        </w:rPr>
      </w:pPr>
    </w:p>
    <w:p w14:paraId="6382EB78" w14:textId="77777777" w:rsidR="00C42229" w:rsidRPr="001775D9" w:rsidRDefault="00C42229" w:rsidP="00FB5458">
      <w:pPr>
        <w:keepNext/>
        <w:tabs>
          <w:tab w:val="clear" w:pos="567"/>
        </w:tabs>
        <w:autoSpaceDE w:val="0"/>
        <w:autoSpaceDN w:val="0"/>
        <w:adjustRightInd w:val="0"/>
        <w:spacing w:line="240" w:lineRule="auto"/>
        <w:rPr>
          <w:i/>
          <w:szCs w:val="22"/>
          <w:lang w:eastAsia="en-GB"/>
        </w:rPr>
      </w:pPr>
      <w:r w:rsidRPr="001775D9">
        <w:rPr>
          <w:i/>
          <w:szCs w:val="22"/>
          <w:lang w:eastAsia="en-GB"/>
        </w:rPr>
        <w:t xml:space="preserve">Paediatric Crohn's disease </w:t>
      </w:r>
    </w:p>
    <w:p w14:paraId="3090352F"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275516B4" w14:textId="77777777" w:rsidR="00225C24" w:rsidRPr="00D55B59" w:rsidRDefault="00225C24" w:rsidP="00225C24">
      <w:pPr>
        <w:suppressAutoHyphens/>
        <w:spacing w:line="240" w:lineRule="auto"/>
        <w:rPr>
          <w:rFonts w:eastAsia="Times New Roman"/>
          <w:szCs w:val="22"/>
          <w:rPrChange w:id="179" w:author="Author">
            <w:rPr>
              <w:rFonts w:eastAsia="Times New Roman"/>
              <w:szCs w:val="22"/>
              <w:lang w:val="en-US"/>
            </w:rPr>
          </w:rPrChange>
        </w:rPr>
      </w:pPr>
      <w:r w:rsidRPr="00D55B59">
        <w:rPr>
          <w:rFonts w:eastAsia="Times New Roman"/>
          <w:szCs w:val="22"/>
          <w:rPrChange w:id="180" w:author="Author">
            <w:rPr>
              <w:rFonts w:eastAsia="Times New Roman"/>
              <w:szCs w:val="22"/>
              <w:lang w:val="en-US"/>
            </w:rPr>
          </w:rPrChange>
        </w:rPr>
        <w:t xml:space="preserve">The recommended dose of AMGEVITA for patients with Crohn’s disease from 6 to 17 years of age is based on body weight (table 4). AMGEVITA is administered via subcutaneous injection. </w:t>
      </w:r>
    </w:p>
    <w:p w14:paraId="0654CDF0" w14:textId="77777777" w:rsidR="00225C24" w:rsidRPr="001775D9" w:rsidRDefault="00225C24" w:rsidP="00225C24">
      <w:pPr>
        <w:suppressAutoHyphens/>
        <w:spacing w:line="240" w:lineRule="auto"/>
        <w:rPr>
          <w:rFonts w:eastAsia="Times New Roman"/>
          <w:szCs w:val="24"/>
        </w:rPr>
      </w:pPr>
    </w:p>
    <w:p w14:paraId="7E6D1BCB" w14:textId="27076D6E" w:rsidR="00225C24" w:rsidRPr="00D55B59" w:rsidRDefault="00225C24" w:rsidP="00CF6F25">
      <w:pPr>
        <w:keepNext/>
        <w:suppressAutoHyphens/>
        <w:spacing w:line="240" w:lineRule="auto"/>
        <w:rPr>
          <w:rFonts w:eastAsia="Times New Roman"/>
          <w:b/>
          <w:szCs w:val="22"/>
          <w:rPrChange w:id="181" w:author="Author">
            <w:rPr>
              <w:rFonts w:eastAsia="Times New Roman"/>
              <w:b/>
              <w:szCs w:val="22"/>
              <w:lang w:val="en-US"/>
            </w:rPr>
          </w:rPrChange>
        </w:rPr>
      </w:pPr>
      <w:r w:rsidRPr="00D55B59">
        <w:rPr>
          <w:rFonts w:eastAsia="Times New Roman"/>
          <w:b/>
          <w:szCs w:val="22"/>
          <w:rPrChange w:id="182" w:author="Author">
            <w:rPr>
              <w:rFonts w:eastAsia="Times New Roman"/>
              <w:b/>
              <w:szCs w:val="22"/>
              <w:lang w:val="en-US"/>
            </w:rPr>
          </w:rPrChange>
        </w:rPr>
        <w:t xml:space="preserve">Table 4. AMGEVITA </w:t>
      </w:r>
      <w:r w:rsidR="00FB1CE9" w:rsidRPr="00D55B59">
        <w:rPr>
          <w:rFonts w:eastAsia="Times New Roman"/>
          <w:b/>
          <w:szCs w:val="22"/>
          <w:rPrChange w:id="183" w:author="Author">
            <w:rPr>
              <w:rFonts w:eastAsia="Times New Roman"/>
              <w:b/>
              <w:szCs w:val="22"/>
              <w:lang w:val="en-US"/>
            </w:rPr>
          </w:rPrChange>
        </w:rPr>
        <w:t>d</w:t>
      </w:r>
      <w:r w:rsidRPr="00D55B59">
        <w:rPr>
          <w:rFonts w:eastAsia="Times New Roman"/>
          <w:b/>
          <w:szCs w:val="22"/>
          <w:rPrChange w:id="184" w:author="Author">
            <w:rPr>
              <w:rFonts w:eastAsia="Times New Roman"/>
              <w:b/>
              <w:szCs w:val="22"/>
              <w:lang w:val="en-US"/>
            </w:rPr>
          </w:rPrChange>
        </w:rPr>
        <w:t xml:space="preserve">ose for </w:t>
      </w:r>
      <w:r w:rsidR="00FB1CE9" w:rsidRPr="00D55B59">
        <w:rPr>
          <w:rFonts w:eastAsia="Times New Roman"/>
          <w:b/>
          <w:szCs w:val="22"/>
          <w:rPrChange w:id="185" w:author="Author">
            <w:rPr>
              <w:rFonts w:eastAsia="Times New Roman"/>
              <w:b/>
              <w:szCs w:val="22"/>
              <w:lang w:val="en-US"/>
            </w:rPr>
          </w:rPrChange>
        </w:rPr>
        <w:t>p</w:t>
      </w:r>
      <w:r w:rsidRPr="00D55B59">
        <w:rPr>
          <w:rFonts w:eastAsia="Times New Roman"/>
          <w:b/>
          <w:szCs w:val="22"/>
          <w:rPrChange w:id="186" w:author="Author">
            <w:rPr>
              <w:rFonts w:eastAsia="Times New Roman"/>
              <w:b/>
              <w:szCs w:val="22"/>
              <w:lang w:val="en-US"/>
            </w:rPr>
          </w:rPrChange>
        </w:rPr>
        <w:t xml:space="preserve">aediatric </w:t>
      </w:r>
      <w:r w:rsidR="00FB1CE9" w:rsidRPr="00D55B59">
        <w:rPr>
          <w:rFonts w:eastAsia="Times New Roman"/>
          <w:b/>
          <w:szCs w:val="22"/>
          <w:rPrChange w:id="187" w:author="Author">
            <w:rPr>
              <w:rFonts w:eastAsia="Times New Roman"/>
              <w:b/>
              <w:szCs w:val="22"/>
              <w:lang w:val="en-US"/>
            </w:rPr>
          </w:rPrChange>
        </w:rPr>
        <w:t>p</w:t>
      </w:r>
      <w:r w:rsidRPr="00D55B59">
        <w:rPr>
          <w:rFonts w:eastAsia="Times New Roman"/>
          <w:b/>
          <w:szCs w:val="22"/>
          <w:rPrChange w:id="188" w:author="Author">
            <w:rPr>
              <w:rFonts w:eastAsia="Times New Roman"/>
              <w:b/>
              <w:szCs w:val="22"/>
              <w:lang w:val="en-US"/>
            </w:rPr>
          </w:rPrChange>
        </w:rPr>
        <w:t>atients with Crohn’s disease</w:t>
      </w:r>
    </w:p>
    <w:p w14:paraId="3AD03002" w14:textId="77777777" w:rsidR="00225C24" w:rsidRPr="00D55B59" w:rsidRDefault="00225C24" w:rsidP="00CF6F25">
      <w:pPr>
        <w:keepNext/>
        <w:suppressAutoHyphens/>
        <w:spacing w:line="240" w:lineRule="auto"/>
        <w:rPr>
          <w:rFonts w:eastAsia="Times New Roman"/>
          <w:szCs w:val="24"/>
          <w:rPrChange w:id="189" w:author="Author">
            <w:rPr>
              <w:rFonts w:eastAsia="Times New Roman"/>
              <w:szCs w:val="24"/>
              <w:lang w:val="en-US"/>
            </w:rPr>
          </w:rPrChange>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32"/>
        <w:gridCol w:w="6606"/>
        <w:gridCol w:w="1563"/>
      </w:tblGrid>
      <w:tr w:rsidR="00225C24" w:rsidRPr="00F04F82" w14:paraId="477DB06A" w14:textId="77777777" w:rsidTr="00692847">
        <w:trPr>
          <w:tblHeader/>
        </w:trPr>
        <w:tc>
          <w:tcPr>
            <w:tcW w:w="0" w:type="auto"/>
            <w:tcBorders>
              <w:top w:val="single" w:sz="6" w:space="0" w:color="000000"/>
              <w:left w:val="single" w:sz="6" w:space="0" w:color="000000"/>
              <w:bottom w:val="single" w:sz="6" w:space="0" w:color="000000"/>
              <w:right w:val="single" w:sz="6" w:space="0" w:color="000000"/>
            </w:tcBorders>
            <w:hideMark/>
          </w:tcPr>
          <w:p w14:paraId="5FCEA0E7" w14:textId="62FDD09A" w:rsidR="00225C24" w:rsidRPr="00D55B59" w:rsidRDefault="00225C24" w:rsidP="00CF6F25">
            <w:pPr>
              <w:suppressAutoHyphens/>
              <w:spacing w:line="240" w:lineRule="auto"/>
              <w:rPr>
                <w:rFonts w:eastAsia="Times New Roman"/>
                <w:szCs w:val="24"/>
                <w:rPrChange w:id="190" w:author="Author">
                  <w:rPr>
                    <w:rFonts w:eastAsia="Times New Roman"/>
                    <w:szCs w:val="24"/>
                    <w:lang w:val="en-US"/>
                  </w:rPr>
                </w:rPrChange>
              </w:rPr>
            </w:pPr>
            <w:r w:rsidRPr="00D55B59">
              <w:rPr>
                <w:rFonts w:eastAsia="Times New Roman"/>
                <w:b/>
                <w:szCs w:val="24"/>
                <w:rPrChange w:id="191" w:author="Author">
                  <w:rPr>
                    <w:rFonts w:eastAsia="Times New Roman"/>
                    <w:b/>
                    <w:szCs w:val="24"/>
                    <w:lang w:val="en-US"/>
                  </w:rPr>
                </w:rPrChange>
              </w:rPr>
              <w:t xml:space="preserve">Patient </w:t>
            </w:r>
            <w:r w:rsidR="00FB1CE9" w:rsidRPr="00D55B59">
              <w:rPr>
                <w:rFonts w:eastAsia="Times New Roman"/>
                <w:b/>
                <w:szCs w:val="24"/>
                <w:rPrChange w:id="192" w:author="Author">
                  <w:rPr>
                    <w:rFonts w:eastAsia="Times New Roman"/>
                    <w:b/>
                    <w:szCs w:val="24"/>
                    <w:lang w:val="en-US"/>
                  </w:rPr>
                </w:rPrChange>
              </w:rPr>
              <w:t>w</w:t>
            </w:r>
            <w:r w:rsidRPr="00D55B59">
              <w:rPr>
                <w:rFonts w:eastAsia="Times New Roman"/>
                <w:b/>
                <w:szCs w:val="24"/>
                <w:rPrChange w:id="193" w:author="Author">
                  <w:rPr>
                    <w:rFonts w:eastAsia="Times New Roman"/>
                    <w:b/>
                    <w:szCs w:val="24"/>
                    <w:lang w:val="en-US"/>
                  </w:rPr>
                </w:rPrChange>
              </w:rPr>
              <w:t>eight</w:t>
            </w:r>
          </w:p>
        </w:tc>
        <w:tc>
          <w:tcPr>
            <w:tcW w:w="0" w:type="auto"/>
            <w:tcBorders>
              <w:top w:val="single" w:sz="6" w:space="0" w:color="000000"/>
              <w:left w:val="single" w:sz="6" w:space="0" w:color="000000"/>
              <w:bottom w:val="single" w:sz="6" w:space="0" w:color="000000"/>
              <w:right w:val="single" w:sz="6" w:space="0" w:color="000000"/>
            </w:tcBorders>
            <w:hideMark/>
          </w:tcPr>
          <w:p w14:paraId="14FFB881" w14:textId="3E389443" w:rsidR="00225C24" w:rsidRPr="00D55B59" w:rsidRDefault="00225C24" w:rsidP="00CF6F25">
            <w:pPr>
              <w:suppressAutoHyphens/>
              <w:spacing w:line="240" w:lineRule="auto"/>
              <w:rPr>
                <w:rFonts w:eastAsia="Times New Roman"/>
                <w:szCs w:val="24"/>
                <w:rPrChange w:id="194" w:author="Author">
                  <w:rPr>
                    <w:rFonts w:eastAsia="Times New Roman"/>
                    <w:szCs w:val="24"/>
                    <w:lang w:val="en-US"/>
                  </w:rPr>
                </w:rPrChange>
              </w:rPr>
            </w:pPr>
            <w:r w:rsidRPr="00D55B59">
              <w:rPr>
                <w:rFonts w:eastAsia="Times New Roman"/>
                <w:b/>
                <w:szCs w:val="24"/>
                <w:rPrChange w:id="195" w:author="Author">
                  <w:rPr>
                    <w:rFonts w:eastAsia="Times New Roman"/>
                    <w:b/>
                    <w:szCs w:val="24"/>
                    <w:lang w:val="en-US"/>
                  </w:rPr>
                </w:rPrChange>
              </w:rPr>
              <w:t xml:space="preserve">Induction </w:t>
            </w:r>
            <w:r w:rsidR="00FB1CE9" w:rsidRPr="00D55B59">
              <w:rPr>
                <w:rFonts w:eastAsia="Times New Roman"/>
                <w:b/>
                <w:szCs w:val="24"/>
                <w:rPrChange w:id="196" w:author="Author">
                  <w:rPr>
                    <w:rFonts w:eastAsia="Times New Roman"/>
                    <w:b/>
                    <w:szCs w:val="24"/>
                    <w:lang w:val="en-US"/>
                  </w:rPr>
                </w:rPrChange>
              </w:rPr>
              <w:t>d</w:t>
            </w:r>
            <w:r w:rsidRPr="00D55B59">
              <w:rPr>
                <w:rFonts w:eastAsia="Times New Roman"/>
                <w:b/>
                <w:szCs w:val="24"/>
                <w:rPrChange w:id="197" w:author="Author">
                  <w:rPr>
                    <w:rFonts w:eastAsia="Times New Roman"/>
                    <w:b/>
                    <w:szCs w:val="24"/>
                    <w:lang w:val="en-US"/>
                  </w:rPr>
                </w:rPrChange>
              </w:rPr>
              <w:t>ose</w:t>
            </w:r>
          </w:p>
        </w:tc>
        <w:tc>
          <w:tcPr>
            <w:tcW w:w="0" w:type="auto"/>
            <w:tcBorders>
              <w:top w:val="single" w:sz="6" w:space="0" w:color="000000"/>
              <w:left w:val="single" w:sz="6" w:space="0" w:color="000000"/>
              <w:bottom w:val="single" w:sz="6" w:space="0" w:color="000000"/>
              <w:right w:val="single" w:sz="6" w:space="0" w:color="000000"/>
            </w:tcBorders>
            <w:hideMark/>
          </w:tcPr>
          <w:p w14:paraId="3155E6A2" w14:textId="7F722FFF" w:rsidR="00225C24" w:rsidRPr="00D55B59" w:rsidRDefault="00225C24" w:rsidP="00CF6F25">
            <w:pPr>
              <w:suppressAutoHyphens/>
              <w:spacing w:line="240" w:lineRule="auto"/>
              <w:rPr>
                <w:rFonts w:eastAsia="Times New Roman"/>
                <w:szCs w:val="24"/>
                <w:rPrChange w:id="198" w:author="Author">
                  <w:rPr>
                    <w:rFonts w:eastAsia="Times New Roman"/>
                    <w:szCs w:val="24"/>
                    <w:lang w:val="en-US"/>
                  </w:rPr>
                </w:rPrChange>
              </w:rPr>
            </w:pPr>
            <w:r w:rsidRPr="00D55B59">
              <w:rPr>
                <w:rFonts w:eastAsia="Times New Roman"/>
                <w:b/>
                <w:szCs w:val="24"/>
                <w:rPrChange w:id="199" w:author="Author">
                  <w:rPr>
                    <w:rFonts w:eastAsia="Times New Roman"/>
                    <w:b/>
                    <w:szCs w:val="24"/>
                    <w:lang w:val="en-US"/>
                  </w:rPr>
                </w:rPrChange>
              </w:rPr>
              <w:t xml:space="preserve">Maintenance </w:t>
            </w:r>
            <w:r w:rsidR="00FB1CE9" w:rsidRPr="00D55B59">
              <w:rPr>
                <w:rFonts w:eastAsia="Times New Roman"/>
                <w:b/>
                <w:szCs w:val="24"/>
                <w:rPrChange w:id="200" w:author="Author">
                  <w:rPr>
                    <w:rFonts w:eastAsia="Times New Roman"/>
                    <w:b/>
                    <w:szCs w:val="24"/>
                    <w:lang w:val="en-US"/>
                  </w:rPr>
                </w:rPrChange>
              </w:rPr>
              <w:t>d</w:t>
            </w:r>
            <w:r w:rsidRPr="00D55B59">
              <w:rPr>
                <w:rFonts w:eastAsia="Times New Roman"/>
                <w:b/>
                <w:szCs w:val="24"/>
                <w:rPrChange w:id="201" w:author="Author">
                  <w:rPr>
                    <w:rFonts w:eastAsia="Times New Roman"/>
                    <w:b/>
                    <w:szCs w:val="24"/>
                    <w:lang w:val="en-US"/>
                  </w:rPr>
                </w:rPrChange>
              </w:rPr>
              <w:t>ose</w:t>
            </w:r>
            <w:r w:rsidRPr="00D55B59">
              <w:rPr>
                <w:rFonts w:eastAsia="Times New Roman"/>
                <w:b/>
                <w:szCs w:val="24"/>
                <w:rPrChange w:id="202" w:author="Author">
                  <w:rPr>
                    <w:rFonts w:eastAsia="Times New Roman"/>
                    <w:b/>
                    <w:szCs w:val="24"/>
                    <w:lang w:val="en-US"/>
                  </w:rPr>
                </w:rPrChange>
              </w:rPr>
              <w:br/>
            </w:r>
            <w:r w:rsidR="00FB1CE9" w:rsidRPr="00D55B59">
              <w:rPr>
                <w:rFonts w:eastAsia="Times New Roman"/>
                <w:b/>
                <w:szCs w:val="24"/>
                <w:rPrChange w:id="203" w:author="Author">
                  <w:rPr>
                    <w:rFonts w:eastAsia="Times New Roman"/>
                    <w:b/>
                    <w:szCs w:val="24"/>
                    <w:lang w:val="en-US"/>
                  </w:rPr>
                </w:rPrChange>
              </w:rPr>
              <w:t>s</w:t>
            </w:r>
            <w:r w:rsidRPr="00D55B59">
              <w:rPr>
                <w:rFonts w:eastAsia="Times New Roman"/>
                <w:b/>
                <w:szCs w:val="24"/>
                <w:rPrChange w:id="204" w:author="Author">
                  <w:rPr>
                    <w:rFonts w:eastAsia="Times New Roman"/>
                    <w:b/>
                    <w:szCs w:val="24"/>
                    <w:lang w:val="en-US"/>
                  </w:rPr>
                </w:rPrChange>
              </w:rPr>
              <w:t xml:space="preserve">tarting at </w:t>
            </w:r>
            <w:r w:rsidR="00FB1CE9" w:rsidRPr="00D55B59">
              <w:rPr>
                <w:rFonts w:eastAsia="Times New Roman"/>
                <w:b/>
                <w:szCs w:val="24"/>
                <w:rPrChange w:id="205" w:author="Author">
                  <w:rPr>
                    <w:rFonts w:eastAsia="Times New Roman"/>
                    <w:b/>
                    <w:szCs w:val="24"/>
                    <w:lang w:val="en-US"/>
                  </w:rPr>
                </w:rPrChange>
              </w:rPr>
              <w:t>w</w:t>
            </w:r>
            <w:r w:rsidRPr="00D55B59">
              <w:rPr>
                <w:rFonts w:eastAsia="Times New Roman"/>
                <w:b/>
                <w:szCs w:val="24"/>
                <w:rPrChange w:id="206" w:author="Author">
                  <w:rPr>
                    <w:rFonts w:eastAsia="Times New Roman"/>
                    <w:b/>
                    <w:szCs w:val="24"/>
                    <w:lang w:val="en-US"/>
                  </w:rPr>
                </w:rPrChange>
              </w:rPr>
              <w:t>eek</w:t>
            </w:r>
            <w:r w:rsidR="004E0079" w:rsidRPr="00D55B59">
              <w:rPr>
                <w:rFonts w:eastAsia="Times New Roman"/>
                <w:b/>
                <w:szCs w:val="24"/>
                <w:rPrChange w:id="207" w:author="Author">
                  <w:rPr>
                    <w:rFonts w:eastAsia="Times New Roman"/>
                    <w:b/>
                    <w:szCs w:val="24"/>
                    <w:lang w:val="en-US"/>
                  </w:rPr>
                </w:rPrChange>
              </w:rPr>
              <w:t> </w:t>
            </w:r>
            <w:r w:rsidRPr="00D55B59">
              <w:rPr>
                <w:rFonts w:eastAsia="Times New Roman"/>
                <w:b/>
                <w:szCs w:val="24"/>
                <w:rPrChange w:id="208" w:author="Author">
                  <w:rPr>
                    <w:rFonts w:eastAsia="Times New Roman"/>
                    <w:b/>
                    <w:szCs w:val="24"/>
                    <w:lang w:val="en-US"/>
                  </w:rPr>
                </w:rPrChange>
              </w:rPr>
              <w:t>4</w:t>
            </w:r>
          </w:p>
        </w:tc>
      </w:tr>
      <w:tr w:rsidR="00225C24" w:rsidRPr="00F04F82" w14:paraId="61A6441E" w14:textId="77777777" w:rsidTr="00692847">
        <w:tc>
          <w:tcPr>
            <w:tcW w:w="0" w:type="auto"/>
            <w:tcBorders>
              <w:top w:val="single" w:sz="6" w:space="0" w:color="000000"/>
              <w:left w:val="single" w:sz="6" w:space="0" w:color="000000"/>
              <w:bottom w:val="single" w:sz="6" w:space="0" w:color="000000"/>
              <w:right w:val="single" w:sz="6" w:space="0" w:color="000000"/>
            </w:tcBorders>
            <w:hideMark/>
          </w:tcPr>
          <w:p w14:paraId="3BE5AB00" w14:textId="418065C0" w:rsidR="00225C24" w:rsidRPr="00D55B59" w:rsidRDefault="00225C24" w:rsidP="00225C24">
            <w:pPr>
              <w:suppressAutoHyphens/>
              <w:spacing w:line="240" w:lineRule="auto"/>
              <w:jc w:val="center"/>
              <w:rPr>
                <w:rFonts w:eastAsia="Times New Roman"/>
                <w:szCs w:val="24"/>
                <w:rPrChange w:id="209" w:author="Author">
                  <w:rPr>
                    <w:rFonts w:eastAsia="Times New Roman"/>
                    <w:szCs w:val="24"/>
                    <w:lang w:val="en-US"/>
                  </w:rPr>
                </w:rPrChange>
              </w:rPr>
            </w:pPr>
            <w:r w:rsidRPr="00D55B59">
              <w:rPr>
                <w:rFonts w:eastAsia="Times New Roman"/>
                <w:szCs w:val="24"/>
                <w:rPrChange w:id="210" w:author="Author">
                  <w:rPr>
                    <w:rFonts w:eastAsia="Times New Roman"/>
                    <w:szCs w:val="24"/>
                    <w:lang w:val="en-US"/>
                  </w:rPr>
                </w:rPrChange>
              </w:rPr>
              <w:t>&lt; 40 kg</w:t>
            </w:r>
          </w:p>
        </w:tc>
        <w:tc>
          <w:tcPr>
            <w:tcW w:w="0" w:type="auto"/>
            <w:tcBorders>
              <w:top w:val="single" w:sz="6" w:space="0" w:color="000000"/>
              <w:left w:val="single" w:sz="6" w:space="0" w:color="000000"/>
              <w:bottom w:val="single" w:sz="6" w:space="0" w:color="000000"/>
              <w:right w:val="single" w:sz="6" w:space="0" w:color="000000"/>
            </w:tcBorders>
            <w:hideMark/>
          </w:tcPr>
          <w:p w14:paraId="74DDE654" w14:textId="0CE6E475" w:rsidR="00225C24" w:rsidRPr="00D55B59" w:rsidRDefault="00225C24">
            <w:pPr>
              <w:numPr>
                <w:ilvl w:val="0"/>
                <w:numId w:val="28"/>
              </w:numPr>
              <w:tabs>
                <w:tab w:val="clear" w:pos="567"/>
              </w:tabs>
              <w:suppressAutoHyphens/>
              <w:spacing w:line="240" w:lineRule="auto"/>
              <w:ind w:left="307" w:hanging="180"/>
              <w:rPr>
                <w:rFonts w:eastAsia="Times New Roman"/>
                <w:szCs w:val="22"/>
                <w:rPrChange w:id="211" w:author="Author">
                  <w:rPr>
                    <w:rFonts w:eastAsia="Times New Roman"/>
                    <w:szCs w:val="22"/>
                    <w:lang w:val="en-US"/>
                  </w:rPr>
                </w:rPrChange>
              </w:rPr>
            </w:pPr>
            <w:r w:rsidRPr="00D55B59">
              <w:rPr>
                <w:rFonts w:eastAsia="Times New Roman"/>
                <w:szCs w:val="22"/>
                <w:rPrChange w:id="212" w:author="Author">
                  <w:rPr>
                    <w:rFonts w:eastAsia="Times New Roman"/>
                    <w:szCs w:val="22"/>
                    <w:lang w:val="en-US"/>
                  </w:rPr>
                </w:rPrChange>
              </w:rPr>
              <w:t>40 mg at week 0 and 20 mg at week 2</w:t>
            </w:r>
          </w:p>
          <w:p w14:paraId="7FDA21B8" w14:textId="77777777" w:rsidR="00225C24" w:rsidRPr="00D55B59" w:rsidRDefault="00225C24" w:rsidP="00225C24">
            <w:pPr>
              <w:tabs>
                <w:tab w:val="clear" w:pos="567"/>
              </w:tabs>
              <w:spacing w:line="240" w:lineRule="auto"/>
              <w:ind w:left="337"/>
              <w:rPr>
                <w:rFonts w:eastAsia="Times New Roman"/>
                <w:szCs w:val="22"/>
                <w:rPrChange w:id="213" w:author="Author">
                  <w:rPr>
                    <w:rFonts w:eastAsia="Times New Roman"/>
                    <w:szCs w:val="22"/>
                    <w:lang w:val="en-US"/>
                  </w:rPr>
                </w:rPrChange>
              </w:rPr>
            </w:pPr>
          </w:p>
          <w:p w14:paraId="6E4C7DC3" w14:textId="77777777" w:rsidR="00225C24" w:rsidRPr="00D55B59" w:rsidRDefault="00225C24" w:rsidP="00225C24">
            <w:pPr>
              <w:tabs>
                <w:tab w:val="clear" w:pos="567"/>
              </w:tabs>
              <w:spacing w:line="240" w:lineRule="auto"/>
              <w:ind w:left="150"/>
              <w:rPr>
                <w:rFonts w:eastAsia="Times New Roman"/>
                <w:szCs w:val="22"/>
                <w:rPrChange w:id="214" w:author="Author">
                  <w:rPr>
                    <w:rFonts w:eastAsia="Times New Roman"/>
                    <w:szCs w:val="22"/>
                    <w:lang w:val="en-US"/>
                  </w:rPr>
                </w:rPrChange>
              </w:rPr>
            </w:pPr>
            <w:r w:rsidRPr="00D55B59">
              <w:rPr>
                <w:rFonts w:eastAsia="Times New Roman"/>
                <w:szCs w:val="22"/>
                <w:rPrChange w:id="215" w:author="Author">
                  <w:rPr>
                    <w:rFonts w:eastAsia="Times New Roman"/>
                    <w:szCs w:val="22"/>
                    <w:lang w:val="en-US"/>
                  </w:rPr>
                </w:rPrChange>
              </w:rPr>
              <w:t>I</w:t>
            </w:r>
            <w:r w:rsidRPr="001775D9">
              <w:rPr>
                <w:rFonts w:eastAsia="Times New Roman"/>
                <w:szCs w:val="22"/>
              </w:rPr>
              <w:t xml:space="preserve">n case there is a need for a more rapid response to therapy </w:t>
            </w:r>
            <w:r w:rsidRPr="00D55B59">
              <w:rPr>
                <w:rFonts w:eastAsia="Times New Roman"/>
                <w:iCs/>
                <w:szCs w:val="22"/>
                <w:rPrChange w:id="216" w:author="Author">
                  <w:rPr>
                    <w:rFonts w:eastAsia="Times New Roman"/>
                    <w:iCs/>
                    <w:szCs w:val="22"/>
                    <w:lang w:val="en-US"/>
                  </w:rPr>
                </w:rPrChange>
              </w:rPr>
              <w:t>with the awareness that the risk for adverse events may be higher with use of the higher induction dose, the following dose may be used:</w:t>
            </w:r>
          </w:p>
          <w:p w14:paraId="07818DAA" w14:textId="05237EAB" w:rsidR="00225C24" w:rsidRPr="00D55B59" w:rsidRDefault="00225C24">
            <w:pPr>
              <w:numPr>
                <w:ilvl w:val="0"/>
                <w:numId w:val="30"/>
              </w:numPr>
              <w:tabs>
                <w:tab w:val="clear" w:pos="567"/>
              </w:tabs>
              <w:suppressAutoHyphens/>
              <w:spacing w:line="240" w:lineRule="auto"/>
              <w:ind w:left="307" w:hanging="180"/>
              <w:rPr>
                <w:rFonts w:eastAsia="Times New Roman"/>
                <w:iCs/>
                <w:szCs w:val="22"/>
                <w:rPrChange w:id="217" w:author="Author">
                  <w:rPr>
                    <w:rFonts w:eastAsia="Times New Roman"/>
                    <w:iCs/>
                    <w:szCs w:val="22"/>
                    <w:lang w:val="en-US"/>
                  </w:rPr>
                </w:rPrChange>
              </w:rPr>
            </w:pPr>
            <w:r w:rsidRPr="00D55B59">
              <w:rPr>
                <w:rFonts w:eastAsia="Times New Roman"/>
                <w:szCs w:val="22"/>
                <w:rPrChange w:id="218" w:author="Author">
                  <w:rPr>
                    <w:rFonts w:eastAsia="Times New Roman"/>
                    <w:szCs w:val="22"/>
                    <w:lang w:val="en-US"/>
                  </w:rPr>
                </w:rPrChange>
              </w:rPr>
              <w:t>80 m</w:t>
            </w:r>
            <w:r w:rsidR="00524430" w:rsidRPr="00D55B59">
              <w:rPr>
                <w:rFonts w:eastAsia="Times New Roman"/>
                <w:szCs w:val="22"/>
                <w:rPrChange w:id="219" w:author="Author">
                  <w:rPr>
                    <w:rFonts w:eastAsia="Times New Roman"/>
                    <w:szCs w:val="22"/>
                    <w:lang w:val="en-US"/>
                  </w:rPr>
                </w:rPrChange>
              </w:rPr>
              <w:t>g</w:t>
            </w:r>
            <w:r w:rsidR="00CD5052" w:rsidRPr="001775D9">
              <w:rPr>
                <w:rFonts w:eastAsia="Times New Roman"/>
                <w:szCs w:val="22"/>
              </w:rPr>
              <w:t xml:space="preserve"> </w:t>
            </w:r>
            <w:r w:rsidRPr="00D55B59">
              <w:rPr>
                <w:rFonts w:eastAsia="Times New Roman"/>
                <w:szCs w:val="22"/>
                <w:rPrChange w:id="220" w:author="Author">
                  <w:rPr>
                    <w:rFonts w:eastAsia="Times New Roman"/>
                    <w:szCs w:val="22"/>
                    <w:lang w:val="en-US"/>
                  </w:rPr>
                </w:rPrChange>
              </w:rPr>
              <w:t>at week 0 and 40 mg at week 2</w:t>
            </w:r>
          </w:p>
        </w:tc>
        <w:tc>
          <w:tcPr>
            <w:tcW w:w="0" w:type="auto"/>
            <w:tcBorders>
              <w:top w:val="single" w:sz="6" w:space="0" w:color="000000"/>
              <w:left w:val="single" w:sz="6" w:space="0" w:color="000000"/>
              <w:bottom w:val="single" w:sz="6" w:space="0" w:color="000000"/>
              <w:right w:val="single" w:sz="6" w:space="0" w:color="000000"/>
            </w:tcBorders>
            <w:hideMark/>
          </w:tcPr>
          <w:p w14:paraId="102474EC" w14:textId="09BDD877" w:rsidR="00225C24" w:rsidRPr="00D55B59" w:rsidRDefault="00225C24" w:rsidP="00225C24">
            <w:pPr>
              <w:tabs>
                <w:tab w:val="clear" w:pos="567"/>
              </w:tabs>
              <w:spacing w:line="240" w:lineRule="auto"/>
              <w:ind w:left="16"/>
              <w:jc w:val="center"/>
              <w:rPr>
                <w:rFonts w:eastAsia="Times New Roman"/>
                <w:szCs w:val="24"/>
                <w:rPrChange w:id="221" w:author="Author">
                  <w:rPr>
                    <w:rFonts w:eastAsia="Times New Roman"/>
                    <w:szCs w:val="24"/>
                    <w:lang w:val="en-US"/>
                  </w:rPr>
                </w:rPrChange>
              </w:rPr>
            </w:pPr>
            <w:r w:rsidRPr="00D55B59">
              <w:rPr>
                <w:rFonts w:eastAsia="Times New Roman"/>
                <w:szCs w:val="24"/>
                <w:rPrChange w:id="222" w:author="Author">
                  <w:rPr>
                    <w:rFonts w:eastAsia="Times New Roman"/>
                    <w:szCs w:val="24"/>
                    <w:lang w:val="en-US"/>
                  </w:rPr>
                </w:rPrChange>
              </w:rPr>
              <w:t>20 mg every other week</w:t>
            </w:r>
          </w:p>
        </w:tc>
      </w:tr>
      <w:tr w:rsidR="00225C24" w:rsidRPr="00F04F82" w14:paraId="412DA089" w14:textId="77777777" w:rsidTr="00692847">
        <w:tc>
          <w:tcPr>
            <w:tcW w:w="0" w:type="auto"/>
            <w:tcBorders>
              <w:top w:val="single" w:sz="6" w:space="0" w:color="000000"/>
              <w:left w:val="single" w:sz="6" w:space="0" w:color="000000"/>
              <w:bottom w:val="single" w:sz="6" w:space="0" w:color="000000"/>
              <w:right w:val="single" w:sz="6" w:space="0" w:color="000000"/>
            </w:tcBorders>
            <w:hideMark/>
          </w:tcPr>
          <w:p w14:paraId="4290308E" w14:textId="6024E5AF" w:rsidR="00225C24" w:rsidRPr="00D55B59" w:rsidRDefault="00225C24" w:rsidP="00225C24">
            <w:pPr>
              <w:suppressAutoHyphens/>
              <w:spacing w:line="240" w:lineRule="auto"/>
              <w:jc w:val="center"/>
              <w:rPr>
                <w:rFonts w:eastAsia="Times New Roman"/>
                <w:szCs w:val="24"/>
                <w:rPrChange w:id="223" w:author="Author">
                  <w:rPr>
                    <w:rFonts w:eastAsia="Times New Roman"/>
                    <w:szCs w:val="24"/>
                    <w:lang w:val="en-US"/>
                  </w:rPr>
                </w:rPrChange>
              </w:rPr>
            </w:pPr>
            <w:r w:rsidRPr="00D55B59">
              <w:rPr>
                <w:rFonts w:eastAsia="Times New Roman"/>
                <w:szCs w:val="24"/>
                <w:rPrChange w:id="224" w:author="Author">
                  <w:rPr>
                    <w:rFonts w:eastAsia="Times New Roman"/>
                    <w:szCs w:val="24"/>
                    <w:lang w:val="en-US"/>
                  </w:rPr>
                </w:rPrChange>
              </w:rPr>
              <w:t>≥ 40 kg</w:t>
            </w:r>
          </w:p>
        </w:tc>
        <w:tc>
          <w:tcPr>
            <w:tcW w:w="0" w:type="auto"/>
            <w:tcBorders>
              <w:top w:val="single" w:sz="6" w:space="0" w:color="000000"/>
              <w:left w:val="single" w:sz="6" w:space="0" w:color="000000"/>
              <w:bottom w:val="single" w:sz="6" w:space="0" w:color="000000"/>
              <w:right w:val="single" w:sz="6" w:space="0" w:color="000000"/>
            </w:tcBorders>
            <w:hideMark/>
          </w:tcPr>
          <w:p w14:paraId="30A38284" w14:textId="6184331C" w:rsidR="00225C24" w:rsidRPr="00D55B59" w:rsidRDefault="00225C24">
            <w:pPr>
              <w:numPr>
                <w:ilvl w:val="0"/>
                <w:numId w:val="31"/>
              </w:numPr>
              <w:tabs>
                <w:tab w:val="clear" w:pos="567"/>
              </w:tabs>
              <w:suppressAutoHyphens/>
              <w:spacing w:line="240" w:lineRule="auto"/>
              <w:ind w:left="307" w:hanging="175"/>
              <w:rPr>
                <w:rFonts w:eastAsia="Times New Roman"/>
                <w:szCs w:val="22"/>
                <w:rPrChange w:id="225" w:author="Author">
                  <w:rPr>
                    <w:rFonts w:eastAsia="Times New Roman"/>
                    <w:szCs w:val="22"/>
                    <w:lang w:val="en-US"/>
                  </w:rPr>
                </w:rPrChange>
              </w:rPr>
            </w:pPr>
            <w:r w:rsidRPr="00D55B59">
              <w:rPr>
                <w:rFonts w:eastAsia="Times New Roman"/>
                <w:szCs w:val="22"/>
                <w:rPrChange w:id="226" w:author="Author">
                  <w:rPr>
                    <w:rFonts w:eastAsia="Times New Roman"/>
                    <w:szCs w:val="22"/>
                    <w:lang w:val="en-US"/>
                  </w:rPr>
                </w:rPrChange>
              </w:rPr>
              <w:t>80 mg at week 0 and 40 mg at week 2</w:t>
            </w:r>
          </w:p>
          <w:p w14:paraId="0BD2CE02" w14:textId="77777777" w:rsidR="00225C24" w:rsidRPr="00D55B59" w:rsidRDefault="00225C24" w:rsidP="00225C24">
            <w:pPr>
              <w:tabs>
                <w:tab w:val="clear" w:pos="567"/>
              </w:tabs>
              <w:spacing w:line="240" w:lineRule="auto"/>
              <w:rPr>
                <w:rFonts w:eastAsia="Times New Roman"/>
                <w:szCs w:val="22"/>
                <w:rPrChange w:id="227" w:author="Author">
                  <w:rPr>
                    <w:rFonts w:eastAsia="Times New Roman"/>
                    <w:szCs w:val="22"/>
                    <w:lang w:val="en-US"/>
                  </w:rPr>
                </w:rPrChange>
              </w:rPr>
            </w:pPr>
          </w:p>
          <w:p w14:paraId="3135E437" w14:textId="77777777" w:rsidR="00225C24" w:rsidRPr="00D55B59" w:rsidRDefault="00225C24" w:rsidP="00225C24">
            <w:pPr>
              <w:tabs>
                <w:tab w:val="clear" w:pos="567"/>
              </w:tabs>
              <w:spacing w:line="240" w:lineRule="auto"/>
              <w:ind w:left="150"/>
              <w:rPr>
                <w:rFonts w:eastAsia="Times New Roman"/>
                <w:iCs/>
                <w:szCs w:val="22"/>
                <w:rPrChange w:id="228" w:author="Author">
                  <w:rPr>
                    <w:rFonts w:eastAsia="Times New Roman"/>
                    <w:iCs/>
                    <w:szCs w:val="22"/>
                    <w:lang w:val="en-US"/>
                  </w:rPr>
                </w:rPrChange>
              </w:rPr>
            </w:pPr>
            <w:r w:rsidRPr="00D55B59">
              <w:rPr>
                <w:rFonts w:eastAsia="Times New Roman"/>
                <w:szCs w:val="22"/>
                <w:rPrChange w:id="229" w:author="Author">
                  <w:rPr>
                    <w:rFonts w:eastAsia="Times New Roman"/>
                    <w:szCs w:val="22"/>
                    <w:lang w:val="en-US"/>
                  </w:rPr>
                </w:rPrChange>
              </w:rPr>
              <w:t>I</w:t>
            </w:r>
            <w:r w:rsidRPr="001775D9">
              <w:rPr>
                <w:rFonts w:eastAsia="Times New Roman"/>
                <w:szCs w:val="22"/>
              </w:rPr>
              <w:t xml:space="preserve">n case there is a need for a more rapid response to therapy </w:t>
            </w:r>
            <w:r w:rsidRPr="00D55B59">
              <w:rPr>
                <w:rFonts w:eastAsia="Times New Roman"/>
                <w:iCs/>
                <w:szCs w:val="22"/>
                <w:rPrChange w:id="230" w:author="Author">
                  <w:rPr>
                    <w:rFonts w:eastAsia="Times New Roman"/>
                    <w:iCs/>
                    <w:szCs w:val="22"/>
                    <w:lang w:val="en-US"/>
                  </w:rPr>
                </w:rPrChange>
              </w:rPr>
              <w:t>with the awareness that the risk for adverse events may be higher with use of the higher induction dose, the following dose may be used:</w:t>
            </w:r>
          </w:p>
          <w:p w14:paraId="7B80E260" w14:textId="0919645E" w:rsidR="00225C24" w:rsidRPr="00D55B59" w:rsidRDefault="00225C24" w:rsidP="00C36B0B">
            <w:pPr>
              <w:numPr>
                <w:ilvl w:val="0"/>
                <w:numId w:val="29"/>
              </w:numPr>
              <w:tabs>
                <w:tab w:val="clear" w:pos="567"/>
              </w:tabs>
              <w:suppressAutoHyphens/>
              <w:spacing w:line="240" w:lineRule="auto"/>
              <w:ind w:left="314" w:hanging="187"/>
              <w:rPr>
                <w:rFonts w:eastAsia="Times New Roman"/>
                <w:szCs w:val="22"/>
                <w:rPrChange w:id="231" w:author="Author">
                  <w:rPr>
                    <w:rFonts w:eastAsia="Times New Roman"/>
                    <w:szCs w:val="22"/>
                    <w:lang w:val="en-US"/>
                  </w:rPr>
                </w:rPrChange>
              </w:rPr>
            </w:pPr>
            <w:r w:rsidRPr="00D55B59">
              <w:rPr>
                <w:rFonts w:eastAsia="Times New Roman"/>
                <w:szCs w:val="22"/>
                <w:rPrChange w:id="232" w:author="Author">
                  <w:rPr>
                    <w:rFonts w:eastAsia="Times New Roman"/>
                    <w:szCs w:val="22"/>
                    <w:lang w:val="en-US"/>
                  </w:rPr>
                </w:rPrChange>
              </w:rPr>
              <w:t>160 mg at week 0 and 80 mg at week 2</w:t>
            </w:r>
          </w:p>
        </w:tc>
        <w:tc>
          <w:tcPr>
            <w:tcW w:w="0" w:type="auto"/>
            <w:tcBorders>
              <w:top w:val="single" w:sz="6" w:space="0" w:color="000000"/>
              <w:left w:val="single" w:sz="6" w:space="0" w:color="000000"/>
              <w:bottom w:val="single" w:sz="6" w:space="0" w:color="000000"/>
              <w:right w:val="single" w:sz="6" w:space="0" w:color="000000"/>
            </w:tcBorders>
            <w:hideMark/>
          </w:tcPr>
          <w:p w14:paraId="1A797942" w14:textId="7D1A0355" w:rsidR="00225C24" w:rsidRPr="00D55B59" w:rsidRDefault="00225C24" w:rsidP="00C36B0B">
            <w:pPr>
              <w:tabs>
                <w:tab w:val="clear" w:pos="567"/>
              </w:tabs>
              <w:spacing w:line="240" w:lineRule="auto"/>
              <w:ind w:left="16"/>
              <w:jc w:val="center"/>
              <w:rPr>
                <w:rFonts w:eastAsia="Times New Roman"/>
                <w:szCs w:val="24"/>
                <w:rPrChange w:id="233" w:author="Author">
                  <w:rPr>
                    <w:rFonts w:eastAsia="Times New Roman"/>
                    <w:szCs w:val="24"/>
                    <w:lang w:val="en-US"/>
                  </w:rPr>
                </w:rPrChange>
              </w:rPr>
            </w:pPr>
            <w:r w:rsidRPr="00D55B59">
              <w:rPr>
                <w:rFonts w:eastAsia="Times New Roman"/>
                <w:szCs w:val="24"/>
                <w:rPrChange w:id="234" w:author="Author">
                  <w:rPr>
                    <w:rFonts w:eastAsia="Times New Roman"/>
                    <w:szCs w:val="24"/>
                    <w:lang w:val="en-US"/>
                  </w:rPr>
                </w:rPrChange>
              </w:rPr>
              <w:t>40 mg every other week</w:t>
            </w:r>
          </w:p>
        </w:tc>
      </w:tr>
    </w:tbl>
    <w:p w14:paraId="0E746D28" w14:textId="77777777" w:rsidR="00225C24" w:rsidRPr="001775D9" w:rsidRDefault="00225C24" w:rsidP="00225C24">
      <w:pPr>
        <w:keepNext/>
        <w:suppressAutoHyphens/>
        <w:spacing w:line="240" w:lineRule="auto"/>
        <w:rPr>
          <w:rFonts w:eastAsia="Times New Roman"/>
          <w:szCs w:val="24"/>
        </w:rPr>
      </w:pPr>
      <w:bookmarkStart w:id="235" w:name="l35893291409284316"/>
      <w:bookmarkStart w:id="236" w:name="l409706291409284374"/>
      <w:bookmarkStart w:id="237" w:name="l409697291409284461"/>
      <w:bookmarkStart w:id="238" w:name="l604373291409284474"/>
      <w:bookmarkEnd w:id="235"/>
      <w:bookmarkEnd w:id="236"/>
      <w:bookmarkEnd w:id="237"/>
      <w:bookmarkEnd w:id="238"/>
    </w:p>
    <w:p w14:paraId="238C52A7" w14:textId="612B417E" w:rsidR="00225C24" w:rsidRPr="001775D9" w:rsidRDefault="00225C24" w:rsidP="00225C24">
      <w:pPr>
        <w:keepNext/>
        <w:suppressAutoHyphens/>
        <w:spacing w:line="240" w:lineRule="auto"/>
        <w:rPr>
          <w:rFonts w:eastAsia="Times New Roman"/>
          <w:szCs w:val="24"/>
        </w:rPr>
      </w:pPr>
      <w:r w:rsidRPr="001775D9">
        <w:rPr>
          <w:rFonts w:eastAsia="Times New Roman"/>
          <w:szCs w:val="24"/>
        </w:rPr>
        <w:t xml:space="preserve">Patients who experience insufficient response may benefit from an increase in </w:t>
      </w:r>
      <w:r w:rsidR="00B72876" w:rsidRPr="001775D9">
        <w:rPr>
          <w:rFonts w:eastAsia="Times New Roman"/>
          <w:szCs w:val="24"/>
        </w:rPr>
        <w:t>dose</w:t>
      </w:r>
      <w:r w:rsidRPr="001775D9">
        <w:rPr>
          <w:rFonts w:eastAsia="Times New Roman"/>
          <w:szCs w:val="24"/>
        </w:rPr>
        <w:t>:</w:t>
      </w:r>
    </w:p>
    <w:p w14:paraId="594B9035" w14:textId="77777777" w:rsidR="00225C24" w:rsidRPr="001775D9" w:rsidRDefault="00225C24">
      <w:pPr>
        <w:keepNext/>
        <w:numPr>
          <w:ilvl w:val="0"/>
          <w:numId w:val="29"/>
        </w:numPr>
        <w:tabs>
          <w:tab w:val="clear" w:pos="567"/>
          <w:tab w:val="left" w:pos="540"/>
        </w:tabs>
        <w:suppressAutoHyphens/>
        <w:spacing w:line="240" w:lineRule="auto"/>
        <w:ind w:left="540" w:hanging="540"/>
        <w:rPr>
          <w:rFonts w:eastAsia="Times New Roman"/>
          <w:szCs w:val="24"/>
        </w:rPr>
      </w:pPr>
      <w:r w:rsidRPr="001775D9">
        <w:rPr>
          <w:rFonts w:eastAsia="Times New Roman"/>
          <w:szCs w:val="24"/>
        </w:rPr>
        <w:t>&lt; 40 kg: 20 mg every week</w:t>
      </w:r>
    </w:p>
    <w:p w14:paraId="42E81C4B" w14:textId="77777777" w:rsidR="00225C24" w:rsidRPr="001775D9" w:rsidRDefault="00225C24">
      <w:pPr>
        <w:keepNext/>
        <w:numPr>
          <w:ilvl w:val="0"/>
          <w:numId w:val="29"/>
        </w:numPr>
        <w:tabs>
          <w:tab w:val="clear" w:pos="567"/>
          <w:tab w:val="left" w:pos="540"/>
        </w:tabs>
        <w:suppressAutoHyphens/>
        <w:spacing w:line="240" w:lineRule="auto"/>
        <w:ind w:left="540" w:hanging="540"/>
        <w:rPr>
          <w:rFonts w:eastAsia="Times New Roman"/>
          <w:szCs w:val="24"/>
        </w:rPr>
      </w:pPr>
      <w:r w:rsidRPr="001775D9">
        <w:rPr>
          <w:rFonts w:eastAsia="Times New Roman"/>
          <w:szCs w:val="24"/>
        </w:rPr>
        <w:t>≥ 40 kg: 40 mg every week</w:t>
      </w:r>
      <w:r w:rsidR="00B72876" w:rsidRPr="001775D9">
        <w:rPr>
          <w:rFonts w:eastAsia="Times New Roman"/>
          <w:szCs w:val="24"/>
        </w:rPr>
        <w:t xml:space="preserve"> </w:t>
      </w:r>
      <w:r w:rsidR="00B72876" w:rsidRPr="001775D9">
        <w:t>or 80 mg every other week</w:t>
      </w:r>
    </w:p>
    <w:p w14:paraId="5D923752"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D6128F8"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Continued therapy should be carefully considered in a subject not responding by </w:t>
      </w:r>
      <w:r w:rsidR="005153CB" w:rsidRPr="001775D9">
        <w:rPr>
          <w:szCs w:val="22"/>
          <w:lang w:eastAsia="en-GB"/>
        </w:rPr>
        <w:t>week</w:t>
      </w:r>
      <w:r w:rsidRPr="001775D9">
        <w:rPr>
          <w:szCs w:val="22"/>
          <w:lang w:eastAsia="en-GB"/>
        </w:rPr>
        <w:t xml:space="preserve"> 12. </w:t>
      </w:r>
    </w:p>
    <w:p w14:paraId="236D865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BC68B32" w14:textId="77777777" w:rsidR="008D4DB6"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There is no relevant use of</w:t>
      </w:r>
      <w:r w:rsidR="00324108" w:rsidRPr="001775D9">
        <w:rPr>
          <w:szCs w:val="22"/>
          <w:lang w:eastAsia="en-GB"/>
        </w:rPr>
        <w:t xml:space="preserve"> </w:t>
      </w:r>
      <w:r w:rsidR="002820BE" w:rsidRPr="001775D9">
        <w:rPr>
          <w:color w:val="000000"/>
          <w:szCs w:val="22"/>
          <w:lang w:eastAsia="en-GB"/>
        </w:rPr>
        <w:t xml:space="preserve">adalimumab </w:t>
      </w:r>
      <w:r w:rsidRPr="001775D9">
        <w:rPr>
          <w:szCs w:val="22"/>
          <w:lang w:eastAsia="en-GB"/>
        </w:rPr>
        <w:t xml:space="preserve">in children aged </w:t>
      </w:r>
      <w:r w:rsidR="00882BB0" w:rsidRPr="001775D9">
        <w:rPr>
          <w:szCs w:val="22"/>
          <w:lang w:eastAsia="en-GB"/>
        </w:rPr>
        <w:t>less than</w:t>
      </w:r>
      <w:r w:rsidRPr="001775D9">
        <w:rPr>
          <w:szCs w:val="22"/>
          <w:lang w:eastAsia="en-GB"/>
        </w:rPr>
        <w:t xml:space="preserve"> 6</w:t>
      </w:r>
      <w:r w:rsidRPr="001775D9">
        <w:rPr>
          <w:szCs w:val="22"/>
        </w:rPr>
        <w:t> </w:t>
      </w:r>
      <w:r w:rsidRPr="001775D9">
        <w:rPr>
          <w:szCs w:val="22"/>
          <w:lang w:eastAsia="en-GB"/>
        </w:rPr>
        <w:t xml:space="preserve">years </w:t>
      </w:r>
      <w:bookmarkStart w:id="239" w:name="_Hlk528760044"/>
      <w:r w:rsidR="003D4634" w:rsidRPr="001775D9">
        <w:rPr>
          <w:szCs w:val="22"/>
          <w:lang w:eastAsia="en-GB"/>
        </w:rPr>
        <w:t>for</w:t>
      </w:r>
      <w:bookmarkEnd w:id="239"/>
      <w:r w:rsidR="003D4634" w:rsidRPr="001775D9">
        <w:rPr>
          <w:szCs w:val="22"/>
          <w:lang w:eastAsia="en-GB"/>
        </w:rPr>
        <w:t xml:space="preserve"> </w:t>
      </w:r>
      <w:r w:rsidRPr="001775D9">
        <w:rPr>
          <w:szCs w:val="22"/>
          <w:lang w:eastAsia="en-GB"/>
        </w:rPr>
        <w:t xml:space="preserve">this indication. </w:t>
      </w:r>
    </w:p>
    <w:p w14:paraId="4AD6D8BA" w14:textId="77777777" w:rsidR="005C5B30" w:rsidRPr="001775D9" w:rsidRDefault="005C5B30" w:rsidP="00FB5458">
      <w:pPr>
        <w:tabs>
          <w:tab w:val="clear" w:pos="567"/>
        </w:tabs>
        <w:autoSpaceDE w:val="0"/>
        <w:autoSpaceDN w:val="0"/>
        <w:adjustRightInd w:val="0"/>
        <w:spacing w:line="240" w:lineRule="auto"/>
        <w:rPr>
          <w:szCs w:val="22"/>
          <w:lang w:eastAsia="en-GB"/>
        </w:rPr>
      </w:pPr>
    </w:p>
    <w:p w14:paraId="32066B49" w14:textId="77777777" w:rsidR="00987358" w:rsidRPr="001775D9" w:rsidRDefault="00987358" w:rsidP="00987358">
      <w:pPr>
        <w:tabs>
          <w:tab w:val="clear" w:pos="567"/>
          <w:tab w:val="left" w:pos="720"/>
        </w:tabs>
        <w:autoSpaceDE w:val="0"/>
        <w:autoSpaceDN w:val="0"/>
        <w:adjustRightInd w:val="0"/>
        <w:spacing w:line="240" w:lineRule="auto"/>
        <w:rPr>
          <w:i/>
          <w:szCs w:val="22"/>
          <w:lang w:eastAsia="en-GB"/>
        </w:rPr>
      </w:pPr>
      <w:r w:rsidRPr="001775D9">
        <w:rPr>
          <w:i/>
          <w:szCs w:val="22"/>
          <w:lang w:eastAsia="en-GB"/>
        </w:rPr>
        <w:t>Paediatric ulcerative colitis</w:t>
      </w:r>
    </w:p>
    <w:p w14:paraId="3B4E9700" w14:textId="77777777" w:rsidR="005D1775" w:rsidRPr="001775D9" w:rsidRDefault="005D1775" w:rsidP="00BE1294">
      <w:pPr>
        <w:tabs>
          <w:tab w:val="clear" w:pos="567"/>
          <w:tab w:val="left" w:pos="720"/>
        </w:tabs>
        <w:autoSpaceDE w:val="0"/>
        <w:autoSpaceDN w:val="0"/>
        <w:adjustRightInd w:val="0"/>
        <w:spacing w:line="240" w:lineRule="auto"/>
        <w:rPr>
          <w:i/>
          <w:szCs w:val="22"/>
          <w:lang w:eastAsia="en-GB"/>
        </w:rPr>
      </w:pPr>
    </w:p>
    <w:p w14:paraId="5103BFC7" w14:textId="77777777" w:rsidR="00987358" w:rsidRPr="001775D9" w:rsidRDefault="00987358" w:rsidP="00987358">
      <w:pPr>
        <w:tabs>
          <w:tab w:val="clear" w:pos="567"/>
          <w:tab w:val="left" w:pos="720"/>
        </w:tabs>
        <w:autoSpaceDE w:val="0"/>
        <w:autoSpaceDN w:val="0"/>
        <w:adjustRightInd w:val="0"/>
        <w:spacing w:line="240" w:lineRule="auto"/>
        <w:rPr>
          <w:iCs/>
          <w:szCs w:val="22"/>
          <w:lang w:eastAsia="en-GB"/>
        </w:rPr>
      </w:pPr>
      <w:r w:rsidRPr="001775D9">
        <w:rPr>
          <w:iCs/>
          <w:szCs w:val="22"/>
          <w:lang w:eastAsia="en-GB"/>
        </w:rPr>
        <w:t>The recommended dose of AMGEVITA for patients from 6 to 17 years of age with ulcerative colitis is based on body weight (table 5). AMGEVITA is administered via subcutaneous injection.</w:t>
      </w:r>
    </w:p>
    <w:p w14:paraId="17E11AE6" w14:textId="77777777" w:rsidR="00987358" w:rsidRPr="001775D9" w:rsidRDefault="00987358" w:rsidP="00BE1294">
      <w:pPr>
        <w:tabs>
          <w:tab w:val="clear" w:pos="567"/>
          <w:tab w:val="left" w:pos="720"/>
        </w:tabs>
        <w:autoSpaceDE w:val="0"/>
        <w:autoSpaceDN w:val="0"/>
        <w:adjustRightInd w:val="0"/>
        <w:spacing w:line="240" w:lineRule="auto"/>
        <w:rPr>
          <w:iCs/>
          <w:szCs w:val="22"/>
          <w:lang w:eastAsia="en-GB"/>
        </w:rPr>
      </w:pPr>
    </w:p>
    <w:p w14:paraId="31D1A8B8" w14:textId="42EA0983" w:rsidR="00987358" w:rsidRPr="00D55B59" w:rsidRDefault="00987358" w:rsidP="002F2265">
      <w:pPr>
        <w:keepNext/>
        <w:suppressAutoHyphens/>
        <w:spacing w:line="240" w:lineRule="auto"/>
        <w:rPr>
          <w:rFonts w:eastAsia="Times New Roman"/>
          <w:b/>
          <w:szCs w:val="22"/>
          <w:rPrChange w:id="240" w:author="Author">
            <w:rPr>
              <w:rFonts w:eastAsia="Times New Roman"/>
              <w:b/>
              <w:szCs w:val="22"/>
              <w:lang w:val="en-US"/>
            </w:rPr>
          </w:rPrChange>
        </w:rPr>
      </w:pPr>
      <w:r w:rsidRPr="00D55B59">
        <w:rPr>
          <w:rFonts w:eastAsia="Times New Roman"/>
          <w:b/>
          <w:szCs w:val="22"/>
          <w:rPrChange w:id="241" w:author="Author">
            <w:rPr>
              <w:rFonts w:eastAsia="Times New Roman"/>
              <w:b/>
              <w:szCs w:val="22"/>
              <w:lang w:val="en-US"/>
            </w:rPr>
          </w:rPrChange>
        </w:rPr>
        <w:t xml:space="preserve">Table 5. AMGEVITA </w:t>
      </w:r>
      <w:r w:rsidR="0027157C" w:rsidRPr="00D55B59">
        <w:rPr>
          <w:rFonts w:eastAsia="Times New Roman"/>
          <w:b/>
          <w:szCs w:val="22"/>
          <w:rPrChange w:id="242" w:author="Author">
            <w:rPr>
              <w:rFonts w:eastAsia="Times New Roman"/>
              <w:b/>
              <w:szCs w:val="22"/>
              <w:lang w:val="en-US"/>
            </w:rPr>
          </w:rPrChange>
        </w:rPr>
        <w:t>d</w:t>
      </w:r>
      <w:r w:rsidRPr="00D55B59">
        <w:rPr>
          <w:rFonts w:eastAsia="Times New Roman"/>
          <w:b/>
          <w:szCs w:val="22"/>
          <w:rPrChange w:id="243" w:author="Author">
            <w:rPr>
              <w:rFonts w:eastAsia="Times New Roman"/>
              <w:b/>
              <w:szCs w:val="22"/>
              <w:lang w:val="en-US"/>
            </w:rPr>
          </w:rPrChange>
        </w:rPr>
        <w:t xml:space="preserve">ose for </w:t>
      </w:r>
      <w:r w:rsidR="0027157C" w:rsidRPr="00D55B59">
        <w:rPr>
          <w:rFonts w:eastAsia="Times New Roman"/>
          <w:b/>
          <w:szCs w:val="22"/>
          <w:rPrChange w:id="244" w:author="Author">
            <w:rPr>
              <w:rFonts w:eastAsia="Times New Roman"/>
              <w:b/>
              <w:szCs w:val="22"/>
              <w:lang w:val="en-US"/>
            </w:rPr>
          </w:rPrChange>
        </w:rPr>
        <w:t>p</w:t>
      </w:r>
      <w:r w:rsidRPr="00D55B59">
        <w:rPr>
          <w:rFonts w:eastAsia="Times New Roman"/>
          <w:b/>
          <w:szCs w:val="22"/>
          <w:rPrChange w:id="245" w:author="Author">
            <w:rPr>
              <w:rFonts w:eastAsia="Times New Roman"/>
              <w:b/>
              <w:szCs w:val="22"/>
              <w:lang w:val="en-US"/>
            </w:rPr>
          </w:rPrChange>
        </w:rPr>
        <w:t xml:space="preserve">aediatric </w:t>
      </w:r>
      <w:r w:rsidR="0027157C" w:rsidRPr="00D55B59">
        <w:rPr>
          <w:rFonts w:eastAsia="Times New Roman"/>
          <w:b/>
          <w:szCs w:val="22"/>
          <w:rPrChange w:id="246" w:author="Author">
            <w:rPr>
              <w:rFonts w:eastAsia="Times New Roman"/>
              <w:b/>
              <w:szCs w:val="22"/>
              <w:lang w:val="en-US"/>
            </w:rPr>
          </w:rPrChange>
        </w:rPr>
        <w:t>p</w:t>
      </w:r>
      <w:r w:rsidRPr="00D55B59">
        <w:rPr>
          <w:rFonts w:eastAsia="Times New Roman"/>
          <w:b/>
          <w:szCs w:val="22"/>
          <w:rPrChange w:id="247" w:author="Author">
            <w:rPr>
              <w:rFonts w:eastAsia="Times New Roman"/>
              <w:b/>
              <w:szCs w:val="22"/>
              <w:lang w:val="en-US"/>
            </w:rPr>
          </w:rPrChange>
        </w:rPr>
        <w:t xml:space="preserve">atients with </w:t>
      </w:r>
      <w:r w:rsidR="00032E45" w:rsidRPr="00D55B59">
        <w:rPr>
          <w:rFonts w:eastAsia="Times New Roman"/>
          <w:b/>
          <w:szCs w:val="22"/>
          <w:rPrChange w:id="248" w:author="Author">
            <w:rPr>
              <w:rFonts w:eastAsia="Times New Roman"/>
              <w:b/>
              <w:szCs w:val="22"/>
              <w:lang w:val="en-US"/>
            </w:rPr>
          </w:rPrChange>
        </w:rPr>
        <w:t>u</w:t>
      </w:r>
      <w:r w:rsidRPr="00D55B59">
        <w:rPr>
          <w:rFonts w:eastAsia="Times New Roman"/>
          <w:b/>
          <w:szCs w:val="22"/>
          <w:rPrChange w:id="249" w:author="Author">
            <w:rPr>
              <w:rFonts w:eastAsia="Times New Roman"/>
              <w:b/>
              <w:szCs w:val="22"/>
              <w:lang w:val="en-US"/>
            </w:rPr>
          </w:rPrChange>
        </w:rPr>
        <w:t xml:space="preserve">lcerative </w:t>
      </w:r>
      <w:r w:rsidR="00032E45" w:rsidRPr="00D55B59">
        <w:rPr>
          <w:rFonts w:eastAsia="Times New Roman"/>
          <w:b/>
          <w:szCs w:val="22"/>
          <w:rPrChange w:id="250" w:author="Author">
            <w:rPr>
              <w:rFonts w:eastAsia="Times New Roman"/>
              <w:b/>
              <w:szCs w:val="22"/>
              <w:lang w:val="en-US"/>
            </w:rPr>
          </w:rPrChange>
        </w:rPr>
        <w:t>c</w:t>
      </w:r>
      <w:r w:rsidRPr="00D55B59">
        <w:rPr>
          <w:rFonts w:eastAsia="Times New Roman"/>
          <w:b/>
          <w:szCs w:val="22"/>
          <w:rPrChange w:id="251" w:author="Author">
            <w:rPr>
              <w:rFonts w:eastAsia="Times New Roman"/>
              <w:b/>
              <w:szCs w:val="22"/>
              <w:lang w:val="en-US"/>
            </w:rPr>
          </w:rPrChange>
        </w:rPr>
        <w:t>olitis</w:t>
      </w:r>
    </w:p>
    <w:p w14:paraId="53427967" w14:textId="77777777" w:rsidR="00987358" w:rsidRPr="001775D9" w:rsidRDefault="00987358" w:rsidP="00BE1294">
      <w:pPr>
        <w:tabs>
          <w:tab w:val="clear" w:pos="567"/>
          <w:tab w:val="left" w:pos="720"/>
        </w:tabs>
        <w:autoSpaceDE w:val="0"/>
        <w:autoSpaceDN w:val="0"/>
        <w:adjustRightInd w:val="0"/>
        <w:spacing w:line="240" w:lineRule="auto"/>
        <w:rPr>
          <w:iCs/>
          <w:szCs w:val="22"/>
          <w:lang w:eastAsia="en-GB"/>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90"/>
        <w:gridCol w:w="6553"/>
        <w:gridCol w:w="1558"/>
      </w:tblGrid>
      <w:tr w:rsidR="00987358" w:rsidRPr="00F04F82" w14:paraId="4D7CFAD1" w14:textId="77777777" w:rsidTr="002F2265">
        <w:trPr>
          <w:tblHeader/>
        </w:trPr>
        <w:tc>
          <w:tcPr>
            <w:tcW w:w="544" w:type="pct"/>
            <w:tcBorders>
              <w:top w:val="single" w:sz="6" w:space="0" w:color="000000"/>
              <w:left w:val="single" w:sz="6" w:space="0" w:color="000000"/>
              <w:bottom w:val="single" w:sz="6" w:space="0" w:color="000000"/>
              <w:right w:val="single" w:sz="6" w:space="0" w:color="000000"/>
            </w:tcBorders>
            <w:hideMark/>
          </w:tcPr>
          <w:p w14:paraId="38384719" w14:textId="5871C32F" w:rsidR="00987358" w:rsidRPr="00D55B59" w:rsidRDefault="00987358" w:rsidP="00450860">
            <w:pPr>
              <w:suppressAutoHyphens/>
              <w:spacing w:line="240" w:lineRule="auto"/>
              <w:rPr>
                <w:rFonts w:eastAsia="Times New Roman"/>
                <w:szCs w:val="24"/>
                <w:rPrChange w:id="252" w:author="Author">
                  <w:rPr>
                    <w:rFonts w:eastAsia="Times New Roman"/>
                    <w:szCs w:val="24"/>
                    <w:lang w:val="en-US"/>
                  </w:rPr>
                </w:rPrChange>
              </w:rPr>
            </w:pPr>
            <w:r w:rsidRPr="00D55B59">
              <w:rPr>
                <w:rFonts w:eastAsia="Times New Roman"/>
                <w:b/>
                <w:szCs w:val="24"/>
                <w:rPrChange w:id="253" w:author="Author">
                  <w:rPr>
                    <w:rFonts w:eastAsia="Times New Roman"/>
                    <w:b/>
                    <w:szCs w:val="24"/>
                    <w:lang w:val="en-US"/>
                  </w:rPr>
                </w:rPrChange>
              </w:rPr>
              <w:t xml:space="preserve">Patient </w:t>
            </w:r>
            <w:r w:rsidR="003F4804" w:rsidRPr="00D55B59">
              <w:rPr>
                <w:rFonts w:eastAsia="Times New Roman"/>
                <w:b/>
                <w:szCs w:val="24"/>
                <w:rPrChange w:id="254" w:author="Author">
                  <w:rPr>
                    <w:rFonts w:eastAsia="Times New Roman"/>
                    <w:b/>
                    <w:szCs w:val="24"/>
                    <w:lang w:val="en-US"/>
                  </w:rPr>
                </w:rPrChange>
              </w:rPr>
              <w:t>w</w:t>
            </w:r>
            <w:r w:rsidRPr="00D55B59">
              <w:rPr>
                <w:rFonts w:eastAsia="Times New Roman"/>
                <w:b/>
                <w:szCs w:val="24"/>
                <w:rPrChange w:id="255" w:author="Author">
                  <w:rPr>
                    <w:rFonts w:eastAsia="Times New Roman"/>
                    <w:b/>
                    <w:szCs w:val="24"/>
                    <w:lang w:val="en-US"/>
                  </w:rPr>
                </w:rPrChange>
              </w:rPr>
              <w:t>eight</w:t>
            </w:r>
          </w:p>
        </w:tc>
        <w:tc>
          <w:tcPr>
            <w:tcW w:w="3600" w:type="pct"/>
            <w:tcBorders>
              <w:top w:val="single" w:sz="6" w:space="0" w:color="000000"/>
              <w:left w:val="single" w:sz="6" w:space="0" w:color="000000"/>
              <w:bottom w:val="single" w:sz="6" w:space="0" w:color="000000"/>
              <w:right w:val="single" w:sz="6" w:space="0" w:color="000000"/>
            </w:tcBorders>
            <w:hideMark/>
          </w:tcPr>
          <w:p w14:paraId="620C6C63" w14:textId="1F59B685" w:rsidR="00987358" w:rsidRPr="00D55B59" w:rsidRDefault="00987358" w:rsidP="00450860">
            <w:pPr>
              <w:suppressAutoHyphens/>
              <w:spacing w:line="240" w:lineRule="auto"/>
              <w:rPr>
                <w:rFonts w:eastAsia="Times New Roman"/>
                <w:szCs w:val="24"/>
                <w:rPrChange w:id="256" w:author="Author">
                  <w:rPr>
                    <w:rFonts w:eastAsia="Times New Roman"/>
                    <w:szCs w:val="24"/>
                    <w:lang w:val="en-US"/>
                  </w:rPr>
                </w:rPrChange>
              </w:rPr>
            </w:pPr>
            <w:r w:rsidRPr="00D55B59">
              <w:rPr>
                <w:rFonts w:eastAsia="Times New Roman"/>
                <w:b/>
                <w:szCs w:val="24"/>
                <w:rPrChange w:id="257" w:author="Author">
                  <w:rPr>
                    <w:rFonts w:eastAsia="Times New Roman"/>
                    <w:b/>
                    <w:szCs w:val="24"/>
                    <w:lang w:val="en-US"/>
                  </w:rPr>
                </w:rPrChange>
              </w:rPr>
              <w:t xml:space="preserve">Induction </w:t>
            </w:r>
            <w:r w:rsidR="003F4804" w:rsidRPr="00D55B59">
              <w:rPr>
                <w:rFonts w:eastAsia="Times New Roman"/>
                <w:b/>
                <w:szCs w:val="24"/>
                <w:rPrChange w:id="258" w:author="Author">
                  <w:rPr>
                    <w:rFonts w:eastAsia="Times New Roman"/>
                    <w:b/>
                    <w:szCs w:val="24"/>
                    <w:lang w:val="en-US"/>
                  </w:rPr>
                </w:rPrChange>
              </w:rPr>
              <w:t>d</w:t>
            </w:r>
            <w:r w:rsidRPr="00D55B59">
              <w:rPr>
                <w:rFonts w:eastAsia="Times New Roman"/>
                <w:b/>
                <w:szCs w:val="24"/>
                <w:rPrChange w:id="259" w:author="Author">
                  <w:rPr>
                    <w:rFonts w:eastAsia="Times New Roman"/>
                    <w:b/>
                    <w:szCs w:val="24"/>
                    <w:lang w:val="en-US"/>
                  </w:rPr>
                </w:rPrChange>
              </w:rPr>
              <w:t>ose</w:t>
            </w:r>
          </w:p>
        </w:tc>
        <w:tc>
          <w:tcPr>
            <w:tcW w:w="856" w:type="pct"/>
            <w:tcBorders>
              <w:top w:val="single" w:sz="6" w:space="0" w:color="000000"/>
              <w:left w:val="single" w:sz="6" w:space="0" w:color="000000"/>
              <w:bottom w:val="single" w:sz="6" w:space="0" w:color="000000"/>
              <w:right w:val="single" w:sz="6" w:space="0" w:color="000000"/>
            </w:tcBorders>
            <w:hideMark/>
          </w:tcPr>
          <w:p w14:paraId="11A6F7CC" w14:textId="7A242891" w:rsidR="00987358" w:rsidRPr="00D55B59" w:rsidRDefault="00987358" w:rsidP="00450860">
            <w:pPr>
              <w:suppressAutoHyphens/>
              <w:spacing w:line="240" w:lineRule="auto"/>
              <w:rPr>
                <w:rFonts w:eastAsia="Times New Roman"/>
                <w:szCs w:val="24"/>
                <w:rPrChange w:id="260" w:author="Author">
                  <w:rPr>
                    <w:rFonts w:eastAsia="Times New Roman"/>
                    <w:szCs w:val="24"/>
                    <w:lang w:val="en-US"/>
                  </w:rPr>
                </w:rPrChange>
              </w:rPr>
            </w:pPr>
            <w:r w:rsidRPr="00D55B59">
              <w:rPr>
                <w:rFonts w:eastAsia="Times New Roman"/>
                <w:b/>
                <w:szCs w:val="24"/>
                <w:rPrChange w:id="261" w:author="Author">
                  <w:rPr>
                    <w:rFonts w:eastAsia="Times New Roman"/>
                    <w:b/>
                    <w:szCs w:val="24"/>
                    <w:lang w:val="en-US"/>
                  </w:rPr>
                </w:rPrChange>
              </w:rPr>
              <w:t xml:space="preserve">Maintenance </w:t>
            </w:r>
            <w:r w:rsidR="003F4804" w:rsidRPr="00D55B59">
              <w:rPr>
                <w:rFonts w:eastAsia="Times New Roman"/>
                <w:b/>
                <w:szCs w:val="24"/>
                <w:rPrChange w:id="262" w:author="Author">
                  <w:rPr>
                    <w:rFonts w:eastAsia="Times New Roman"/>
                    <w:b/>
                    <w:szCs w:val="24"/>
                    <w:lang w:val="en-US"/>
                  </w:rPr>
                </w:rPrChange>
              </w:rPr>
              <w:t>d</w:t>
            </w:r>
            <w:r w:rsidRPr="00D55B59">
              <w:rPr>
                <w:rFonts w:eastAsia="Times New Roman"/>
                <w:b/>
                <w:szCs w:val="24"/>
                <w:rPrChange w:id="263" w:author="Author">
                  <w:rPr>
                    <w:rFonts w:eastAsia="Times New Roman"/>
                    <w:b/>
                    <w:szCs w:val="24"/>
                    <w:lang w:val="en-US"/>
                  </w:rPr>
                </w:rPrChange>
              </w:rPr>
              <w:t xml:space="preserve">ose </w:t>
            </w:r>
            <w:r w:rsidR="003F4804" w:rsidRPr="00D55B59">
              <w:rPr>
                <w:rFonts w:eastAsia="Times New Roman"/>
                <w:b/>
                <w:szCs w:val="24"/>
                <w:rPrChange w:id="264" w:author="Author">
                  <w:rPr>
                    <w:rFonts w:eastAsia="Times New Roman"/>
                    <w:b/>
                    <w:szCs w:val="24"/>
                    <w:lang w:val="en-US"/>
                  </w:rPr>
                </w:rPrChange>
              </w:rPr>
              <w:t>s</w:t>
            </w:r>
            <w:r w:rsidRPr="00D55B59">
              <w:rPr>
                <w:rFonts w:eastAsia="Times New Roman"/>
                <w:b/>
                <w:szCs w:val="24"/>
                <w:rPrChange w:id="265" w:author="Author">
                  <w:rPr>
                    <w:rFonts w:eastAsia="Times New Roman"/>
                    <w:b/>
                    <w:szCs w:val="24"/>
                    <w:lang w:val="en-US"/>
                  </w:rPr>
                </w:rPrChange>
              </w:rPr>
              <w:t xml:space="preserve">tarting at </w:t>
            </w:r>
            <w:r w:rsidR="003F4804" w:rsidRPr="00D55B59">
              <w:rPr>
                <w:rFonts w:eastAsia="Times New Roman"/>
                <w:b/>
                <w:szCs w:val="24"/>
                <w:rPrChange w:id="266" w:author="Author">
                  <w:rPr>
                    <w:rFonts w:eastAsia="Times New Roman"/>
                    <w:b/>
                    <w:szCs w:val="24"/>
                    <w:lang w:val="en-US"/>
                  </w:rPr>
                </w:rPrChange>
              </w:rPr>
              <w:t>w</w:t>
            </w:r>
            <w:r w:rsidRPr="00D55B59">
              <w:rPr>
                <w:rFonts w:eastAsia="Times New Roman"/>
                <w:b/>
                <w:szCs w:val="24"/>
                <w:rPrChange w:id="267" w:author="Author">
                  <w:rPr>
                    <w:rFonts w:eastAsia="Times New Roman"/>
                    <w:b/>
                    <w:szCs w:val="24"/>
                    <w:lang w:val="en-US"/>
                  </w:rPr>
                </w:rPrChange>
              </w:rPr>
              <w:t>eek 4*</w:t>
            </w:r>
          </w:p>
        </w:tc>
      </w:tr>
      <w:tr w:rsidR="00987358" w:rsidRPr="00F04F82" w14:paraId="1BB58814" w14:textId="77777777" w:rsidTr="002F2265">
        <w:tc>
          <w:tcPr>
            <w:tcW w:w="544" w:type="pct"/>
            <w:tcBorders>
              <w:top w:val="single" w:sz="6" w:space="0" w:color="000000"/>
              <w:left w:val="single" w:sz="6" w:space="0" w:color="000000"/>
              <w:bottom w:val="single" w:sz="6" w:space="0" w:color="000000"/>
              <w:right w:val="single" w:sz="6" w:space="0" w:color="000000"/>
            </w:tcBorders>
            <w:hideMark/>
          </w:tcPr>
          <w:p w14:paraId="4EAEF61F" w14:textId="347111AA" w:rsidR="00987358" w:rsidRPr="00D55B59" w:rsidRDefault="00987358" w:rsidP="00450860">
            <w:pPr>
              <w:suppressAutoHyphens/>
              <w:spacing w:line="240" w:lineRule="auto"/>
              <w:jc w:val="center"/>
              <w:rPr>
                <w:rFonts w:eastAsia="Times New Roman"/>
                <w:szCs w:val="24"/>
                <w:rPrChange w:id="268" w:author="Author">
                  <w:rPr>
                    <w:rFonts w:eastAsia="Times New Roman"/>
                    <w:szCs w:val="24"/>
                    <w:lang w:val="en-US"/>
                  </w:rPr>
                </w:rPrChange>
              </w:rPr>
            </w:pPr>
            <w:r w:rsidRPr="00D55B59">
              <w:rPr>
                <w:rFonts w:eastAsia="Times New Roman"/>
                <w:szCs w:val="24"/>
                <w:rPrChange w:id="269" w:author="Author">
                  <w:rPr>
                    <w:rFonts w:eastAsia="Times New Roman"/>
                    <w:szCs w:val="24"/>
                    <w:lang w:val="en-US"/>
                  </w:rPr>
                </w:rPrChange>
              </w:rPr>
              <w:t>&lt; 40 kg</w:t>
            </w:r>
          </w:p>
        </w:tc>
        <w:tc>
          <w:tcPr>
            <w:tcW w:w="3600" w:type="pct"/>
            <w:tcBorders>
              <w:top w:val="single" w:sz="6" w:space="0" w:color="000000"/>
              <w:left w:val="single" w:sz="6" w:space="0" w:color="000000"/>
              <w:bottom w:val="single" w:sz="6" w:space="0" w:color="000000"/>
              <w:right w:val="single" w:sz="6" w:space="0" w:color="000000"/>
            </w:tcBorders>
          </w:tcPr>
          <w:p w14:paraId="2924E711" w14:textId="2A66750D" w:rsidR="00987358" w:rsidRPr="00D55B59" w:rsidRDefault="00987358" w:rsidP="00C36B0B">
            <w:pPr>
              <w:numPr>
                <w:ilvl w:val="0"/>
                <w:numId w:val="30"/>
              </w:numPr>
              <w:tabs>
                <w:tab w:val="clear" w:pos="567"/>
              </w:tabs>
              <w:suppressAutoHyphens/>
              <w:spacing w:line="240" w:lineRule="auto"/>
              <w:ind w:left="370" w:hanging="283"/>
              <w:rPr>
                <w:rFonts w:eastAsia="Times New Roman"/>
                <w:iCs/>
                <w:szCs w:val="22"/>
                <w:rPrChange w:id="270" w:author="Author">
                  <w:rPr>
                    <w:rFonts w:eastAsia="Times New Roman"/>
                    <w:iCs/>
                    <w:szCs w:val="22"/>
                    <w:lang w:val="en-US"/>
                  </w:rPr>
                </w:rPrChange>
              </w:rPr>
            </w:pPr>
            <w:r w:rsidRPr="00D55B59">
              <w:rPr>
                <w:rFonts w:eastAsia="Times New Roman"/>
                <w:iCs/>
                <w:szCs w:val="22"/>
                <w:rPrChange w:id="271" w:author="Author">
                  <w:rPr>
                    <w:rFonts w:eastAsia="Times New Roman"/>
                    <w:iCs/>
                    <w:szCs w:val="22"/>
                    <w:lang w:val="en-US"/>
                  </w:rPr>
                </w:rPrChange>
              </w:rPr>
              <w:t xml:space="preserve">80 mg at </w:t>
            </w:r>
            <w:r w:rsidR="00D82A5B" w:rsidRPr="00D55B59">
              <w:rPr>
                <w:rFonts w:eastAsia="Times New Roman"/>
                <w:iCs/>
                <w:szCs w:val="22"/>
                <w:rPrChange w:id="272" w:author="Author">
                  <w:rPr>
                    <w:rFonts w:eastAsia="Times New Roman"/>
                    <w:iCs/>
                    <w:szCs w:val="22"/>
                    <w:lang w:val="en-US"/>
                  </w:rPr>
                </w:rPrChange>
              </w:rPr>
              <w:t>w</w:t>
            </w:r>
            <w:r w:rsidRPr="00D55B59">
              <w:rPr>
                <w:rFonts w:eastAsia="Times New Roman"/>
                <w:iCs/>
                <w:szCs w:val="22"/>
                <w:rPrChange w:id="273" w:author="Author">
                  <w:rPr>
                    <w:rFonts w:eastAsia="Times New Roman"/>
                    <w:iCs/>
                    <w:szCs w:val="22"/>
                    <w:lang w:val="en-US"/>
                  </w:rPr>
                </w:rPrChange>
              </w:rPr>
              <w:t>eek 0 (given as two 40 mg injections in one day) and</w:t>
            </w:r>
          </w:p>
          <w:p w14:paraId="07C14EEC" w14:textId="59BBB712" w:rsidR="00987358" w:rsidRPr="00D55B59" w:rsidRDefault="00987358">
            <w:pPr>
              <w:numPr>
                <w:ilvl w:val="0"/>
                <w:numId w:val="30"/>
              </w:numPr>
              <w:tabs>
                <w:tab w:val="clear" w:pos="567"/>
              </w:tabs>
              <w:suppressAutoHyphens/>
              <w:spacing w:line="240" w:lineRule="auto"/>
              <w:ind w:left="370" w:hanging="283"/>
              <w:rPr>
                <w:rFonts w:eastAsia="Times New Roman"/>
                <w:iCs/>
                <w:szCs w:val="22"/>
                <w:rPrChange w:id="274" w:author="Author">
                  <w:rPr>
                    <w:rFonts w:eastAsia="Times New Roman"/>
                    <w:iCs/>
                    <w:szCs w:val="22"/>
                    <w:lang w:val="en-US"/>
                  </w:rPr>
                </w:rPrChange>
              </w:rPr>
            </w:pPr>
            <w:r w:rsidRPr="00D55B59">
              <w:rPr>
                <w:rFonts w:eastAsia="Times New Roman"/>
                <w:iCs/>
                <w:szCs w:val="22"/>
                <w:rPrChange w:id="275" w:author="Author">
                  <w:rPr>
                    <w:rFonts w:eastAsia="Times New Roman"/>
                    <w:iCs/>
                    <w:szCs w:val="22"/>
                    <w:lang w:val="en-US"/>
                  </w:rPr>
                </w:rPrChange>
              </w:rPr>
              <w:t xml:space="preserve">40 mg at </w:t>
            </w:r>
            <w:r w:rsidR="00D82A5B" w:rsidRPr="00D55B59">
              <w:rPr>
                <w:rFonts w:eastAsia="Times New Roman"/>
                <w:iCs/>
                <w:szCs w:val="22"/>
                <w:rPrChange w:id="276" w:author="Author">
                  <w:rPr>
                    <w:rFonts w:eastAsia="Times New Roman"/>
                    <w:iCs/>
                    <w:szCs w:val="22"/>
                    <w:lang w:val="en-US"/>
                  </w:rPr>
                </w:rPrChange>
              </w:rPr>
              <w:t>w</w:t>
            </w:r>
            <w:r w:rsidRPr="00D55B59">
              <w:rPr>
                <w:rFonts w:eastAsia="Times New Roman"/>
                <w:iCs/>
                <w:szCs w:val="22"/>
                <w:rPrChange w:id="277" w:author="Author">
                  <w:rPr>
                    <w:rFonts w:eastAsia="Times New Roman"/>
                    <w:iCs/>
                    <w:szCs w:val="22"/>
                    <w:lang w:val="en-US"/>
                  </w:rPr>
                </w:rPrChange>
              </w:rPr>
              <w:t>eek 2 (given as one 40 mg injection)</w:t>
            </w:r>
          </w:p>
        </w:tc>
        <w:tc>
          <w:tcPr>
            <w:tcW w:w="856" w:type="pct"/>
            <w:tcBorders>
              <w:top w:val="single" w:sz="6" w:space="0" w:color="000000"/>
              <w:left w:val="single" w:sz="6" w:space="0" w:color="000000"/>
              <w:bottom w:val="single" w:sz="6" w:space="0" w:color="000000"/>
              <w:right w:val="single" w:sz="6" w:space="0" w:color="000000"/>
            </w:tcBorders>
            <w:hideMark/>
          </w:tcPr>
          <w:p w14:paraId="1DFD5BC0" w14:textId="7ECF8230" w:rsidR="00987358" w:rsidRPr="00D55B59" w:rsidRDefault="00987358" w:rsidP="00987358">
            <w:pPr>
              <w:jc w:val="center"/>
              <w:rPr>
                <w:rFonts w:eastAsia="Times New Roman"/>
                <w:rPrChange w:id="278" w:author="Author">
                  <w:rPr>
                    <w:rFonts w:eastAsia="Times New Roman"/>
                    <w:lang w:val="en-US"/>
                  </w:rPr>
                </w:rPrChange>
              </w:rPr>
            </w:pPr>
            <w:r w:rsidRPr="00D55B59">
              <w:rPr>
                <w:rFonts w:eastAsia="Times New Roman"/>
                <w:rPrChange w:id="279" w:author="Author">
                  <w:rPr>
                    <w:rFonts w:eastAsia="Times New Roman"/>
                    <w:lang w:val="en-US"/>
                  </w:rPr>
                </w:rPrChange>
              </w:rPr>
              <w:t>40 mg every other week</w:t>
            </w:r>
          </w:p>
        </w:tc>
      </w:tr>
      <w:tr w:rsidR="00987358" w:rsidRPr="00F04F82" w14:paraId="151524E4" w14:textId="77777777" w:rsidTr="002F2265">
        <w:tc>
          <w:tcPr>
            <w:tcW w:w="544" w:type="pct"/>
            <w:tcBorders>
              <w:top w:val="single" w:sz="6" w:space="0" w:color="000000"/>
              <w:left w:val="single" w:sz="6" w:space="0" w:color="000000"/>
              <w:bottom w:val="single" w:sz="6" w:space="0" w:color="000000"/>
              <w:right w:val="single" w:sz="6" w:space="0" w:color="000000"/>
            </w:tcBorders>
            <w:hideMark/>
          </w:tcPr>
          <w:p w14:paraId="1E322B01" w14:textId="277A59F5" w:rsidR="00987358" w:rsidRPr="00D55B59" w:rsidRDefault="00987358" w:rsidP="00450860">
            <w:pPr>
              <w:suppressAutoHyphens/>
              <w:spacing w:line="240" w:lineRule="auto"/>
              <w:jc w:val="center"/>
              <w:rPr>
                <w:rFonts w:eastAsia="Times New Roman"/>
                <w:szCs w:val="24"/>
                <w:rPrChange w:id="280" w:author="Author">
                  <w:rPr>
                    <w:rFonts w:eastAsia="Times New Roman"/>
                    <w:szCs w:val="24"/>
                    <w:lang w:val="en-US"/>
                  </w:rPr>
                </w:rPrChange>
              </w:rPr>
            </w:pPr>
            <w:r w:rsidRPr="00D55B59">
              <w:rPr>
                <w:rFonts w:eastAsia="Times New Roman"/>
                <w:szCs w:val="24"/>
                <w:rPrChange w:id="281" w:author="Author">
                  <w:rPr>
                    <w:rFonts w:eastAsia="Times New Roman"/>
                    <w:szCs w:val="24"/>
                    <w:lang w:val="en-US"/>
                  </w:rPr>
                </w:rPrChange>
              </w:rPr>
              <w:t>≥ 40 kg</w:t>
            </w:r>
          </w:p>
        </w:tc>
        <w:tc>
          <w:tcPr>
            <w:tcW w:w="3600" w:type="pct"/>
            <w:tcBorders>
              <w:top w:val="single" w:sz="6" w:space="0" w:color="000000"/>
              <w:left w:val="single" w:sz="6" w:space="0" w:color="000000"/>
              <w:bottom w:val="single" w:sz="6" w:space="0" w:color="000000"/>
              <w:right w:val="single" w:sz="6" w:space="0" w:color="000000"/>
            </w:tcBorders>
          </w:tcPr>
          <w:p w14:paraId="05A880A3" w14:textId="78D1E0B3" w:rsidR="002F2265" w:rsidRPr="00D55B59" w:rsidRDefault="002F2265">
            <w:pPr>
              <w:numPr>
                <w:ilvl w:val="0"/>
                <w:numId w:val="29"/>
              </w:numPr>
              <w:tabs>
                <w:tab w:val="clear" w:pos="567"/>
              </w:tabs>
              <w:suppressAutoHyphens/>
              <w:spacing w:line="240" w:lineRule="auto"/>
              <w:ind w:left="370" w:hanging="283"/>
              <w:rPr>
                <w:rFonts w:eastAsia="Times New Roman"/>
                <w:szCs w:val="22"/>
                <w:rPrChange w:id="282" w:author="Author">
                  <w:rPr>
                    <w:rFonts w:eastAsia="Times New Roman"/>
                    <w:szCs w:val="22"/>
                    <w:lang w:val="en-US"/>
                  </w:rPr>
                </w:rPrChange>
              </w:rPr>
            </w:pPr>
            <w:r w:rsidRPr="00D55B59">
              <w:rPr>
                <w:rFonts w:eastAsia="Times New Roman"/>
                <w:szCs w:val="22"/>
                <w:rPrChange w:id="283" w:author="Author">
                  <w:rPr>
                    <w:rFonts w:eastAsia="Times New Roman"/>
                    <w:szCs w:val="22"/>
                    <w:lang w:val="en-US"/>
                  </w:rPr>
                </w:rPrChange>
              </w:rPr>
              <w:t xml:space="preserve">160 mg at </w:t>
            </w:r>
            <w:r w:rsidR="00D82A5B" w:rsidRPr="00D55B59">
              <w:rPr>
                <w:rFonts w:eastAsia="Times New Roman"/>
                <w:szCs w:val="22"/>
                <w:rPrChange w:id="284" w:author="Author">
                  <w:rPr>
                    <w:rFonts w:eastAsia="Times New Roman"/>
                    <w:szCs w:val="22"/>
                    <w:lang w:val="en-US"/>
                  </w:rPr>
                </w:rPrChange>
              </w:rPr>
              <w:t>w</w:t>
            </w:r>
            <w:r w:rsidRPr="00D55B59">
              <w:rPr>
                <w:rFonts w:eastAsia="Times New Roman"/>
                <w:szCs w:val="22"/>
                <w:rPrChange w:id="285" w:author="Author">
                  <w:rPr>
                    <w:rFonts w:eastAsia="Times New Roman"/>
                    <w:szCs w:val="22"/>
                    <w:lang w:val="en-US"/>
                  </w:rPr>
                </w:rPrChange>
              </w:rPr>
              <w:t>eek 0 (given as four 40 mg injections in one day or two 40 mg injections per day for two consecutive days) and</w:t>
            </w:r>
          </w:p>
          <w:p w14:paraId="2C5B9454" w14:textId="63838169" w:rsidR="00987358" w:rsidRPr="00D55B59" w:rsidRDefault="002F2265">
            <w:pPr>
              <w:numPr>
                <w:ilvl w:val="0"/>
                <w:numId w:val="29"/>
              </w:numPr>
              <w:tabs>
                <w:tab w:val="clear" w:pos="567"/>
              </w:tabs>
              <w:suppressAutoHyphens/>
              <w:spacing w:line="240" w:lineRule="auto"/>
              <w:ind w:left="370" w:hanging="283"/>
              <w:rPr>
                <w:rFonts w:eastAsia="Times New Roman"/>
                <w:szCs w:val="22"/>
                <w:rPrChange w:id="286" w:author="Author">
                  <w:rPr>
                    <w:rFonts w:eastAsia="Times New Roman"/>
                    <w:szCs w:val="22"/>
                    <w:lang w:val="en-US"/>
                  </w:rPr>
                </w:rPrChange>
              </w:rPr>
            </w:pPr>
            <w:r w:rsidRPr="00D55B59">
              <w:rPr>
                <w:rFonts w:eastAsia="Times New Roman"/>
                <w:szCs w:val="22"/>
                <w:rPrChange w:id="287" w:author="Author">
                  <w:rPr>
                    <w:rFonts w:eastAsia="Times New Roman"/>
                    <w:szCs w:val="22"/>
                    <w:lang w:val="en-US"/>
                  </w:rPr>
                </w:rPrChange>
              </w:rPr>
              <w:t xml:space="preserve">80 mg at </w:t>
            </w:r>
            <w:r w:rsidR="00D82A5B" w:rsidRPr="00D55B59">
              <w:rPr>
                <w:rFonts w:eastAsia="Times New Roman"/>
                <w:szCs w:val="22"/>
                <w:rPrChange w:id="288" w:author="Author">
                  <w:rPr>
                    <w:rFonts w:eastAsia="Times New Roman"/>
                    <w:szCs w:val="22"/>
                    <w:lang w:val="en-US"/>
                  </w:rPr>
                </w:rPrChange>
              </w:rPr>
              <w:t>w</w:t>
            </w:r>
            <w:r w:rsidRPr="00D55B59">
              <w:rPr>
                <w:rFonts w:eastAsia="Times New Roman"/>
                <w:szCs w:val="22"/>
                <w:rPrChange w:id="289" w:author="Author">
                  <w:rPr>
                    <w:rFonts w:eastAsia="Times New Roman"/>
                    <w:szCs w:val="22"/>
                    <w:lang w:val="en-US"/>
                  </w:rPr>
                </w:rPrChange>
              </w:rPr>
              <w:t>eek 2 (given as two 40 mg injections in one day)</w:t>
            </w:r>
          </w:p>
        </w:tc>
        <w:tc>
          <w:tcPr>
            <w:tcW w:w="856" w:type="pct"/>
            <w:tcBorders>
              <w:top w:val="single" w:sz="6" w:space="0" w:color="000000"/>
              <w:left w:val="single" w:sz="6" w:space="0" w:color="000000"/>
              <w:bottom w:val="single" w:sz="6" w:space="0" w:color="000000"/>
              <w:right w:val="single" w:sz="6" w:space="0" w:color="000000"/>
            </w:tcBorders>
            <w:hideMark/>
          </w:tcPr>
          <w:p w14:paraId="50562D50" w14:textId="4F2ED5BE" w:rsidR="00987358" w:rsidRPr="00D55B59" w:rsidRDefault="00987358" w:rsidP="00987358">
            <w:pPr>
              <w:jc w:val="center"/>
              <w:rPr>
                <w:rFonts w:eastAsia="Times New Roman"/>
                <w:rPrChange w:id="290" w:author="Author">
                  <w:rPr>
                    <w:rFonts w:eastAsia="Times New Roman"/>
                    <w:lang w:val="en-US"/>
                  </w:rPr>
                </w:rPrChange>
              </w:rPr>
            </w:pPr>
            <w:r w:rsidRPr="00D55B59">
              <w:rPr>
                <w:rFonts w:eastAsia="Times New Roman"/>
                <w:rPrChange w:id="291" w:author="Author">
                  <w:rPr>
                    <w:rFonts w:eastAsia="Times New Roman"/>
                    <w:lang w:val="en-US"/>
                  </w:rPr>
                </w:rPrChange>
              </w:rPr>
              <w:t>80 mg every other week</w:t>
            </w:r>
          </w:p>
        </w:tc>
      </w:tr>
    </w:tbl>
    <w:p w14:paraId="6734F599" w14:textId="77777777" w:rsidR="00987358" w:rsidRPr="001775D9" w:rsidRDefault="00987358" w:rsidP="00987358">
      <w:pPr>
        <w:tabs>
          <w:tab w:val="clear" w:pos="567"/>
          <w:tab w:val="left" w:pos="720"/>
        </w:tabs>
        <w:autoSpaceDE w:val="0"/>
        <w:autoSpaceDN w:val="0"/>
        <w:adjustRightInd w:val="0"/>
        <w:spacing w:line="240" w:lineRule="auto"/>
        <w:rPr>
          <w:iCs/>
          <w:sz w:val="20"/>
          <w:lang w:eastAsia="en-GB"/>
        </w:rPr>
      </w:pPr>
      <w:r w:rsidRPr="001775D9">
        <w:rPr>
          <w:iCs/>
          <w:sz w:val="20"/>
          <w:lang w:eastAsia="en-GB"/>
        </w:rPr>
        <w:t>* Paediatric patients who turn 18 years of age while on AMGEVITA should continue their prescribed maintenance dose.</w:t>
      </w:r>
    </w:p>
    <w:p w14:paraId="75BEE651" w14:textId="77777777" w:rsidR="00987358" w:rsidRPr="001775D9" w:rsidRDefault="00987358" w:rsidP="00BE1294">
      <w:pPr>
        <w:tabs>
          <w:tab w:val="clear" w:pos="567"/>
          <w:tab w:val="left" w:pos="720"/>
        </w:tabs>
        <w:autoSpaceDE w:val="0"/>
        <w:autoSpaceDN w:val="0"/>
        <w:adjustRightInd w:val="0"/>
        <w:spacing w:line="240" w:lineRule="auto"/>
        <w:rPr>
          <w:iCs/>
          <w:szCs w:val="22"/>
          <w:lang w:eastAsia="en-GB"/>
        </w:rPr>
      </w:pPr>
    </w:p>
    <w:p w14:paraId="26EAB01F" w14:textId="6420D8F3" w:rsidR="002F2265" w:rsidRPr="001775D9" w:rsidRDefault="002F2265" w:rsidP="002F2265">
      <w:pPr>
        <w:tabs>
          <w:tab w:val="clear" w:pos="567"/>
          <w:tab w:val="left" w:pos="720"/>
        </w:tabs>
        <w:autoSpaceDE w:val="0"/>
        <w:autoSpaceDN w:val="0"/>
        <w:adjustRightInd w:val="0"/>
        <w:spacing w:line="240" w:lineRule="auto"/>
        <w:rPr>
          <w:iCs/>
          <w:szCs w:val="22"/>
          <w:lang w:eastAsia="en-GB"/>
        </w:rPr>
      </w:pPr>
      <w:r w:rsidRPr="001775D9">
        <w:rPr>
          <w:iCs/>
          <w:szCs w:val="22"/>
          <w:lang w:eastAsia="en-GB"/>
        </w:rPr>
        <w:t>Continued therapy beyond 8 weeks should be carefully considered in patients not showing signs of</w:t>
      </w:r>
      <w:r w:rsidR="005E36B5" w:rsidRPr="001775D9">
        <w:rPr>
          <w:iCs/>
          <w:szCs w:val="22"/>
          <w:lang w:eastAsia="en-GB"/>
        </w:rPr>
        <w:t xml:space="preserve"> </w:t>
      </w:r>
      <w:r w:rsidRPr="001775D9">
        <w:rPr>
          <w:iCs/>
          <w:szCs w:val="22"/>
          <w:lang w:eastAsia="en-GB"/>
        </w:rPr>
        <w:t>response within this time period.</w:t>
      </w:r>
    </w:p>
    <w:p w14:paraId="1473667D" w14:textId="77777777" w:rsidR="002F2265" w:rsidRPr="001775D9" w:rsidRDefault="002F2265" w:rsidP="002F2265">
      <w:pPr>
        <w:tabs>
          <w:tab w:val="clear" w:pos="567"/>
          <w:tab w:val="left" w:pos="720"/>
        </w:tabs>
        <w:autoSpaceDE w:val="0"/>
        <w:autoSpaceDN w:val="0"/>
        <w:adjustRightInd w:val="0"/>
        <w:spacing w:line="240" w:lineRule="auto"/>
        <w:rPr>
          <w:iCs/>
          <w:szCs w:val="22"/>
          <w:lang w:eastAsia="en-GB"/>
        </w:rPr>
      </w:pPr>
    </w:p>
    <w:p w14:paraId="2A2F78FE" w14:textId="77777777" w:rsidR="002F2265" w:rsidRPr="001775D9" w:rsidRDefault="002F2265" w:rsidP="002F2265">
      <w:pPr>
        <w:tabs>
          <w:tab w:val="clear" w:pos="567"/>
          <w:tab w:val="left" w:pos="720"/>
        </w:tabs>
        <w:autoSpaceDE w:val="0"/>
        <w:autoSpaceDN w:val="0"/>
        <w:adjustRightInd w:val="0"/>
        <w:spacing w:line="240" w:lineRule="auto"/>
        <w:rPr>
          <w:iCs/>
          <w:szCs w:val="22"/>
          <w:lang w:eastAsia="en-GB"/>
        </w:rPr>
      </w:pPr>
      <w:r w:rsidRPr="001775D9">
        <w:rPr>
          <w:iCs/>
          <w:szCs w:val="22"/>
          <w:lang w:eastAsia="en-GB"/>
        </w:rPr>
        <w:t>There is no relevant use of AMGEVITA in children aged less than 6 years in this indication.</w:t>
      </w:r>
    </w:p>
    <w:p w14:paraId="7A4168DC" w14:textId="77777777" w:rsidR="002F2265" w:rsidRPr="001775D9" w:rsidRDefault="002F2265" w:rsidP="002F2265">
      <w:pPr>
        <w:tabs>
          <w:tab w:val="clear" w:pos="567"/>
          <w:tab w:val="left" w:pos="720"/>
        </w:tabs>
        <w:autoSpaceDE w:val="0"/>
        <w:autoSpaceDN w:val="0"/>
        <w:adjustRightInd w:val="0"/>
        <w:spacing w:line="240" w:lineRule="auto"/>
        <w:rPr>
          <w:iCs/>
          <w:szCs w:val="22"/>
          <w:lang w:eastAsia="en-GB"/>
        </w:rPr>
      </w:pPr>
    </w:p>
    <w:p w14:paraId="298FB9B5" w14:textId="77777777" w:rsidR="00BE1294" w:rsidRPr="001775D9" w:rsidRDefault="00BE1294" w:rsidP="00BE1294">
      <w:pPr>
        <w:tabs>
          <w:tab w:val="clear" w:pos="567"/>
          <w:tab w:val="left" w:pos="720"/>
        </w:tabs>
        <w:autoSpaceDE w:val="0"/>
        <w:autoSpaceDN w:val="0"/>
        <w:adjustRightInd w:val="0"/>
        <w:spacing w:line="240" w:lineRule="auto"/>
        <w:rPr>
          <w:i/>
          <w:szCs w:val="22"/>
          <w:lang w:eastAsia="en-GB"/>
        </w:rPr>
      </w:pPr>
      <w:r w:rsidRPr="001775D9">
        <w:rPr>
          <w:i/>
          <w:szCs w:val="22"/>
          <w:lang w:eastAsia="en-GB"/>
        </w:rPr>
        <w:t xml:space="preserve">Paediatric </w:t>
      </w:r>
      <w:r w:rsidR="006D2088" w:rsidRPr="001775D9">
        <w:rPr>
          <w:i/>
          <w:szCs w:val="22"/>
          <w:lang w:eastAsia="en-GB"/>
        </w:rPr>
        <w:t>u</w:t>
      </w:r>
      <w:r w:rsidRPr="001775D9">
        <w:rPr>
          <w:i/>
          <w:szCs w:val="22"/>
          <w:lang w:eastAsia="en-GB"/>
        </w:rPr>
        <w:t>veitis</w:t>
      </w:r>
    </w:p>
    <w:p w14:paraId="09D419EB" w14:textId="77777777" w:rsidR="00BE1294" w:rsidRPr="001775D9" w:rsidRDefault="00BE1294" w:rsidP="00BE1294">
      <w:pPr>
        <w:tabs>
          <w:tab w:val="clear" w:pos="567"/>
          <w:tab w:val="left" w:pos="720"/>
        </w:tabs>
        <w:autoSpaceDE w:val="0"/>
        <w:autoSpaceDN w:val="0"/>
        <w:adjustRightInd w:val="0"/>
        <w:spacing w:line="240" w:lineRule="auto"/>
        <w:rPr>
          <w:i/>
          <w:szCs w:val="22"/>
          <w:lang w:eastAsia="en-GB"/>
        </w:rPr>
      </w:pPr>
    </w:p>
    <w:p w14:paraId="28F2F296" w14:textId="0A27C035"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The recommended dose of AMGEVITA for paediatric patients with uveitis from 2 years of age is based on body weight (</w:t>
      </w:r>
      <w:r w:rsidR="00F77206" w:rsidRPr="001775D9">
        <w:rPr>
          <w:szCs w:val="22"/>
          <w:lang w:eastAsia="en-GB"/>
        </w:rPr>
        <w:t>t</w:t>
      </w:r>
      <w:r w:rsidRPr="001775D9">
        <w:rPr>
          <w:szCs w:val="22"/>
          <w:lang w:eastAsia="en-GB"/>
        </w:rPr>
        <w:t xml:space="preserve">able </w:t>
      </w:r>
      <w:r w:rsidR="00407EA8" w:rsidRPr="001775D9">
        <w:rPr>
          <w:szCs w:val="22"/>
          <w:lang w:eastAsia="en-GB"/>
        </w:rPr>
        <w:t>6</w:t>
      </w:r>
      <w:r w:rsidRPr="001775D9">
        <w:rPr>
          <w:szCs w:val="22"/>
          <w:lang w:eastAsia="en-GB"/>
        </w:rPr>
        <w:t>). AMGEVITA is administered via subcutaneous injection.</w:t>
      </w:r>
    </w:p>
    <w:p w14:paraId="0B513066"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44BA6C9B"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In paediatric uveitis, there is no experience in the treatment with AMGEVITA without concomitant treatment with methotrexate.</w:t>
      </w:r>
    </w:p>
    <w:p w14:paraId="3EE54EF3"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7E12958B" w14:textId="277BCED1" w:rsidR="00BE1294" w:rsidRPr="001775D9" w:rsidRDefault="00BE1294" w:rsidP="00BE1294">
      <w:pPr>
        <w:tabs>
          <w:tab w:val="clear" w:pos="567"/>
          <w:tab w:val="left" w:pos="720"/>
        </w:tabs>
        <w:autoSpaceDE w:val="0"/>
        <w:autoSpaceDN w:val="0"/>
        <w:adjustRightInd w:val="0"/>
        <w:spacing w:line="240" w:lineRule="auto"/>
        <w:rPr>
          <w:b/>
          <w:szCs w:val="22"/>
          <w:lang w:eastAsia="en-GB"/>
        </w:rPr>
      </w:pPr>
      <w:r w:rsidRPr="001775D9">
        <w:rPr>
          <w:b/>
          <w:szCs w:val="22"/>
          <w:lang w:eastAsia="en-GB"/>
        </w:rPr>
        <w:t xml:space="preserve">Table </w:t>
      </w:r>
      <w:r w:rsidR="00407EA8" w:rsidRPr="001775D9">
        <w:rPr>
          <w:b/>
          <w:szCs w:val="22"/>
          <w:lang w:eastAsia="en-GB"/>
        </w:rPr>
        <w:t>6</w:t>
      </w:r>
      <w:r w:rsidRPr="001775D9">
        <w:rPr>
          <w:b/>
          <w:szCs w:val="22"/>
          <w:lang w:eastAsia="en-GB"/>
        </w:rPr>
        <w:t xml:space="preserve">. AMGEVITA </w:t>
      </w:r>
      <w:r w:rsidR="003F4804" w:rsidRPr="001775D9">
        <w:rPr>
          <w:b/>
          <w:szCs w:val="22"/>
          <w:lang w:eastAsia="en-GB"/>
        </w:rPr>
        <w:t>d</w:t>
      </w:r>
      <w:r w:rsidRPr="001775D9">
        <w:rPr>
          <w:b/>
          <w:szCs w:val="22"/>
          <w:lang w:eastAsia="en-GB"/>
        </w:rPr>
        <w:t xml:space="preserve">ose for </w:t>
      </w:r>
      <w:r w:rsidR="003F4804" w:rsidRPr="001775D9">
        <w:rPr>
          <w:b/>
          <w:szCs w:val="22"/>
          <w:lang w:eastAsia="en-GB"/>
        </w:rPr>
        <w:t>p</w:t>
      </w:r>
      <w:r w:rsidRPr="001775D9">
        <w:rPr>
          <w:b/>
          <w:szCs w:val="22"/>
          <w:lang w:eastAsia="en-GB"/>
        </w:rPr>
        <w:t xml:space="preserve">aediatric </w:t>
      </w:r>
      <w:r w:rsidR="003F4804" w:rsidRPr="001775D9">
        <w:rPr>
          <w:b/>
          <w:szCs w:val="22"/>
          <w:lang w:eastAsia="en-GB"/>
        </w:rPr>
        <w:t>p</w:t>
      </w:r>
      <w:r w:rsidRPr="001775D9">
        <w:rPr>
          <w:b/>
          <w:szCs w:val="22"/>
          <w:lang w:eastAsia="en-GB"/>
        </w:rPr>
        <w:t xml:space="preserve">atients with </w:t>
      </w:r>
      <w:r w:rsidR="00032E45" w:rsidRPr="001775D9">
        <w:rPr>
          <w:b/>
          <w:szCs w:val="22"/>
          <w:lang w:eastAsia="en-GB"/>
        </w:rPr>
        <w:t>u</w:t>
      </w:r>
      <w:r w:rsidRPr="001775D9">
        <w:rPr>
          <w:b/>
          <w:szCs w:val="22"/>
          <w:lang w:eastAsia="en-GB"/>
        </w:rPr>
        <w:t>veitis</w:t>
      </w:r>
    </w:p>
    <w:p w14:paraId="29FFEA76" w14:textId="77777777" w:rsidR="00BE1294" w:rsidRPr="001775D9" w:rsidRDefault="00BE1294" w:rsidP="00BE1294">
      <w:pPr>
        <w:tabs>
          <w:tab w:val="clear" w:pos="567"/>
          <w:tab w:val="left" w:pos="720"/>
        </w:tabs>
        <w:autoSpaceDE w:val="0"/>
        <w:autoSpaceDN w:val="0"/>
        <w:adjustRightInd w:val="0"/>
        <w:spacing w:line="240" w:lineRule="auto"/>
        <w:rPr>
          <w:b/>
          <w:szCs w:val="22"/>
          <w:lang w:eastAsia="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5105"/>
      </w:tblGrid>
      <w:tr w:rsidR="00BE1294" w:rsidRPr="00F04F82" w14:paraId="06394B93" w14:textId="77777777" w:rsidTr="00A66CE9">
        <w:trPr>
          <w:tblHeader/>
        </w:trPr>
        <w:tc>
          <w:tcPr>
            <w:tcW w:w="4253" w:type="dxa"/>
            <w:tcBorders>
              <w:top w:val="single" w:sz="4" w:space="0" w:color="auto"/>
              <w:left w:val="single" w:sz="4" w:space="0" w:color="auto"/>
              <w:bottom w:val="single" w:sz="4" w:space="0" w:color="auto"/>
              <w:right w:val="single" w:sz="4" w:space="0" w:color="auto"/>
            </w:tcBorders>
            <w:hideMark/>
          </w:tcPr>
          <w:p w14:paraId="59D2792C" w14:textId="54AB7C1A" w:rsidR="00BE1294" w:rsidRPr="00D55B59" w:rsidRDefault="00BE1294">
            <w:pPr>
              <w:keepNext/>
              <w:tabs>
                <w:tab w:val="clear" w:pos="567"/>
                <w:tab w:val="left" w:pos="720"/>
              </w:tabs>
              <w:spacing w:line="240" w:lineRule="auto"/>
              <w:rPr>
                <w:rFonts w:eastAsia="Calibri"/>
                <w:b/>
                <w:szCs w:val="22"/>
                <w:lang w:eastAsia="ja-JP"/>
                <w:rPrChange w:id="292" w:author="Author">
                  <w:rPr>
                    <w:rFonts w:eastAsia="Calibri"/>
                    <w:b/>
                    <w:szCs w:val="22"/>
                    <w:lang w:val="en-US" w:eastAsia="ja-JP"/>
                  </w:rPr>
                </w:rPrChange>
              </w:rPr>
            </w:pPr>
            <w:r w:rsidRPr="00D55B59">
              <w:rPr>
                <w:rFonts w:eastAsia="Calibri"/>
                <w:b/>
                <w:szCs w:val="22"/>
                <w:lang w:eastAsia="ja-JP"/>
                <w:rPrChange w:id="293" w:author="Author">
                  <w:rPr>
                    <w:rFonts w:eastAsia="Calibri"/>
                    <w:b/>
                    <w:szCs w:val="22"/>
                    <w:lang w:val="en-US" w:eastAsia="ja-JP"/>
                  </w:rPr>
                </w:rPrChange>
              </w:rPr>
              <w:t xml:space="preserve">Patient </w:t>
            </w:r>
            <w:r w:rsidR="003F4804" w:rsidRPr="00D55B59">
              <w:rPr>
                <w:rFonts w:eastAsia="Calibri"/>
                <w:b/>
                <w:szCs w:val="22"/>
                <w:lang w:eastAsia="ja-JP"/>
                <w:rPrChange w:id="294" w:author="Author">
                  <w:rPr>
                    <w:rFonts w:eastAsia="Calibri"/>
                    <w:b/>
                    <w:szCs w:val="22"/>
                    <w:lang w:val="en-US" w:eastAsia="ja-JP"/>
                  </w:rPr>
                </w:rPrChange>
              </w:rPr>
              <w:t>w</w:t>
            </w:r>
            <w:r w:rsidRPr="00D55B59">
              <w:rPr>
                <w:rFonts w:eastAsia="Calibri"/>
                <w:b/>
                <w:szCs w:val="22"/>
                <w:lang w:eastAsia="ja-JP"/>
                <w:rPrChange w:id="295" w:author="Author">
                  <w:rPr>
                    <w:rFonts w:eastAsia="Calibri"/>
                    <w:b/>
                    <w:szCs w:val="22"/>
                    <w:lang w:val="en-US" w:eastAsia="ja-JP"/>
                  </w:rPr>
                </w:rPrChange>
              </w:rPr>
              <w:t>eight</w:t>
            </w:r>
          </w:p>
        </w:tc>
        <w:tc>
          <w:tcPr>
            <w:tcW w:w="5103" w:type="dxa"/>
            <w:tcBorders>
              <w:top w:val="single" w:sz="4" w:space="0" w:color="auto"/>
              <w:left w:val="single" w:sz="4" w:space="0" w:color="auto"/>
              <w:bottom w:val="single" w:sz="4" w:space="0" w:color="auto"/>
              <w:right w:val="single" w:sz="4" w:space="0" w:color="auto"/>
            </w:tcBorders>
            <w:hideMark/>
          </w:tcPr>
          <w:p w14:paraId="7A7F71AF" w14:textId="51C4E2BC" w:rsidR="00BE1294" w:rsidRPr="00D55B59" w:rsidRDefault="00BE1294">
            <w:pPr>
              <w:keepNext/>
              <w:tabs>
                <w:tab w:val="clear" w:pos="567"/>
                <w:tab w:val="left" w:pos="720"/>
              </w:tabs>
              <w:spacing w:line="240" w:lineRule="auto"/>
              <w:rPr>
                <w:rFonts w:eastAsia="Calibri"/>
                <w:b/>
                <w:szCs w:val="22"/>
                <w:lang w:eastAsia="ja-JP"/>
                <w:rPrChange w:id="296" w:author="Author">
                  <w:rPr>
                    <w:rFonts w:eastAsia="Calibri"/>
                    <w:b/>
                    <w:szCs w:val="22"/>
                    <w:lang w:val="en-US" w:eastAsia="ja-JP"/>
                  </w:rPr>
                </w:rPrChange>
              </w:rPr>
            </w:pPr>
            <w:r w:rsidRPr="00D55B59">
              <w:rPr>
                <w:rFonts w:eastAsia="Calibri"/>
                <w:b/>
                <w:szCs w:val="22"/>
                <w:lang w:eastAsia="ja-JP"/>
                <w:rPrChange w:id="297" w:author="Author">
                  <w:rPr>
                    <w:rFonts w:eastAsia="Calibri"/>
                    <w:b/>
                    <w:szCs w:val="22"/>
                    <w:lang w:val="en-US" w:eastAsia="ja-JP"/>
                  </w:rPr>
                </w:rPrChange>
              </w:rPr>
              <w:t xml:space="preserve">Dosing </w:t>
            </w:r>
            <w:r w:rsidR="003F4804" w:rsidRPr="00D55B59">
              <w:rPr>
                <w:rFonts w:eastAsia="Calibri"/>
                <w:b/>
                <w:szCs w:val="22"/>
                <w:lang w:eastAsia="ja-JP"/>
                <w:rPrChange w:id="298" w:author="Author">
                  <w:rPr>
                    <w:rFonts w:eastAsia="Calibri"/>
                    <w:b/>
                    <w:szCs w:val="22"/>
                    <w:lang w:val="en-US" w:eastAsia="ja-JP"/>
                  </w:rPr>
                </w:rPrChange>
              </w:rPr>
              <w:t>r</w:t>
            </w:r>
            <w:r w:rsidRPr="00D55B59">
              <w:rPr>
                <w:rFonts w:eastAsia="Calibri"/>
                <w:b/>
                <w:szCs w:val="22"/>
                <w:lang w:eastAsia="ja-JP"/>
                <w:rPrChange w:id="299" w:author="Author">
                  <w:rPr>
                    <w:rFonts w:eastAsia="Calibri"/>
                    <w:b/>
                    <w:szCs w:val="22"/>
                    <w:lang w:val="en-US" w:eastAsia="ja-JP"/>
                  </w:rPr>
                </w:rPrChange>
              </w:rPr>
              <w:t>egimen</w:t>
            </w:r>
          </w:p>
        </w:tc>
      </w:tr>
      <w:tr w:rsidR="00BE1294" w:rsidRPr="00F04F82" w14:paraId="1FF68C5B" w14:textId="77777777" w:rsidTr="00A66CE9">
        <w:trPr>
          <w:tblHeader/>
        </w:trPr>
        <w:tc>
          <w:tcPr>
            <w:tcW w:w="4253" w:type="dxa"/>
            <w:tcBorders>
              <w:top w:val="single" w:sz="4" w:space="0" w:color="auto"/>
              <w:left w:val="single" w:sz="4" w:space="0" w:color="auto"/>
              <w:bottom w:val="single" w:sz="4" w:space="0" w:color="auto"/>
              <w:right w:val="single" w:sz="4" w:space="0" w:color="auto"/>
            </w:tcBorders>
            <w:hideMark/>
          </w:tcPr>
          <w:p w14:paraId="5F1509C3" w14:textId="2D13478B" w:rsidR="00BE1294" w:rsidRPr="00D55B59" w:rsidRDefault="00BE1294">
            <w:pPr>
              <w:keepNext/>
              <w:tabs>
                <w:tab w:val="clear" w:pos="567"/>
                <w:tab w:val="left" w:pos="720"/>
              </w:tabs>
              <w:spacing w:line="240" w:lineRule="auto"/>
              <w:rPr>
                <w:rFonts w:eastAsia="Calibri"/>
                <w:b/>
                <w:szCs w:val="22"/>
                <w:lang w:eastAsia="ja-JP"/>
                <w:rPrChange w:id="300" w:author="Author">
                  <w:rPr>
                    <w:rFonts w:eastAsia="Calibri"/>
                    <w:b/>
                    <w:szCs w:val="22"/>
                    <w:lang w:val="en-US" w:eastAsia="ja-JP"/>
                  </w:rPr>
                </w:rPrChange>
              </w:rPr>
            </w:pPr>
            <w:r w:rsidRPr="00D55B59">
              <w:rPr>
                <w:rFonts w:eastAsia="Calibri"/>
                <w:szCs w:val="22"/>
                <w:lang w:eastAsia="ja-JP"/>
                <w:rPrChange w:id="301" w:author="Author">
                  <w:rPr>
                    <w:rFonts w:eastAsia="Calibri"/>
                    <w:szCs w:val="22"/>
                    <w:lang w:val="en-US" w:eastAsia="ja-JP"/>
                  </w:rPr>
                </w:rPrChange>
              </w:rPr>
              <w:t>&lt; 30 kg</w:t>
            </w:r>
          </w:p>
        </w:tc>
        <w:tc>
          <w:tcPr>
            <w:tcW w:w="5103" w:type="dxa"/>
            <w:tcBorders>
              <w:top w:val="single" w:sz="4" w:space="0" w:color="auto"/>
              <w:left w:val="single" w:sz="4" w:space="0" w:color="auto"/>
              <w:bottom w:val="single" w:sz="4" w:space="0" w:color="auto"/>
              <w:right w:val="single" w:sz="4" w:space="0" w:color="auto"/>
            </w:tcBorders>
            <w:hideMark/>
          </w:tcPr>
          <w:p w14:paraId="452462FE" w14:textId="67528552" w:rsidR="00BE1294" w:rsidRPr="001775D9" w:rsidRDefault="00BE1294">
            <w:pPr>
              <w:keepNext/>
              <w:tabs>
                <w:tab w:val="clear" w:pos="567"/>
                <w:tab w:val="left" w:pos="720"/>
              </w:tabs>
              <w:spacing w:line="240" w:lineRule="auto"/>
              <w:rPr>
                <w:rFonts w:eastAsia="Calibri"/>
                <w:szCs w:val="22"/>
                <w:lang w:eastAsia="ja-JP"/>
              </w:rPr>
            </w:pPr>
            <w:r w:rsidRPr="001775D9">
              <w:rPr>
                <w:rFonts w:eastAsia="Calibri"/>
                <w:szCs w:val="22"/>
                <w:lang w:eastAsia="ja-JP"/>
              </w:rPr>
              <w:t>20 mg every other week in combination with methotrexate</w:t>
            </w:r>
          </w:p>
        </w:tc>
      </w:tr>
      <w:tr w:rsidR="00BE1294" w:rsidRPr="00F04F82" w14:paraId="37E5EE79" w14:textId="77777777" w:rsidTr="00A66CE9">
        <w:trPr>
          <w:tblHeader/>
        </w:trPr>
        <w:tc>
          <w:tcPr>
            <w:tcW w:w="4253" w:type="dxa"/>
            <w:tcBorders>
              <w:top w:val="single" w:sz="4" w:space="0" w:color="auto"/>
              <w:left w:val="single" w:sz="4" w:space="0" w:color="auto"/>
              <w:bottom w:val="single" w:sz="4" w:space="0" w:color="auto"/>
              <w:right w:val="single" w:sz="4" w:space="0" w:color="auto"/>
            </w:tcBorders>
            <w:hideMark/>
          </w:tcPr>
          <w:p w14:paraId="50734FFB" w14:textId="2A055661" w:rsidR="00BE1294" w:rsidRPr="00D55B59" w:rsidRDefault="00BE1294" w:rsidP="00C36B0B">
            <w:pPr>
              <w:keepNext/>
              <w:tabs>
                <w:tab w:val="clear" w:pos="567"/>
                <w:tab w:val="left" w:pos="720"/>
              </w:tabs>
              <w:spacing w:line="240" w:lineRule="auto"/>
              <w:rPr>
                <w:rFonts w:eastAsia="Calibri"/>
                <w:b/>
                <w:szCs w:val="22"/>
                <w:lang w:eastAsia="ja-JP"/>
                <w:rPrChange w:id="302" w:author="Author">
                  <w:rPr>
                    <w:rFonts w:eastAsia="Calibri"/>
                    <w:b/>
                    <w:szCs w:val="22"/>
                    <w:lang w:val="en-US" w:eastAsia="ja-JP"/>
                  </w:rPr>
                </w:rPrChange>
              </w:rPr>
            </w:pPr>
            <w:r w:rsidRPr="00D55B59">
              <w:rPr>
                <w:rFonts w:eastAsia="Calibri"/>
                <w:szCs w:val="22"/>
                <w:lang w:eastAsia="ja-JP"/>
                <w:rPrChange w:id="303" w:author="Author">
                  <w:rPr>
                    <w:rFonts w:eastAsia="Calibri"/>
                    <w:szCs w:val="22"/>
                    <w:lang w:val="en-US" w:eastAsia="ja-JP"/>
                  </w:rPr>
                </w:rPrChange>
              </w:rPr>
              <w:t>≥ 30 kg</w:t>
            </w:r>
          </w:p>
        </w:tc>
        <w:tc>
          <w:tcPr>
            <w:tcW w:w="5103" w:type="dxa"/>
            <w:tcBorders>
              <w:top w:val="single" w:sz="4" w:space="0" w:color="auto"/>
              <w:left w:val="single" w:sz="4" w:space="0" w:color="auto"/>
              <w:bottom w:val="single" w:sz="4" w:space="0" w:color="auto"/>
              <w:right w:val="single" w:sz="4" w:space="0" w:color="auto"/>
            </w:tcBorders>
            <w:hideMark/>
          </w:tcPr>
          <w:p w14:paraId="72D0309D" w14:textId="77FBE5CF" w:rsidR="00BE1294" w:rsidRPr="00D55B59" w:rsidRDefault="00BE1294">
            <w:pPr>
              <w:suppressAutoHyphens/>
              <w:spacing w:line="240" w:lineRule="auto"/>
              <w:rPr>
                <w:rFonts w:eastAsia="Times New Roman"/>
                <w:szCs w:val="22"/>
                <w:rPrChange w:id="304" w:author="Author">
                  <w:rPr>
                    <w:rFonts w:eastAsia="Times New Roman"/>
                    <w:szCs w:val="22"/>
                    <w:lang w:val="en-US"/>
                  </w:rPr>
                </w:rPrChange>
              </w:rPr>
            </w:pPr>
            <w:r w:rsidRPr="00D55B59">
              <w:rPr>
                <w:rFonts w:eastAsia="Times New Roman"/>
                <w:szCs w:val="22"/>
                <w:rPrChange w:id="305" w:author="Author">
                  <w:rPr>
                    <w:rFonts w:eastAsia="Times New Roman"/>
                    <w:szCs w:val="22"/>
                    <w:lang w:val="en-US"/>
                  </w:rPr>
                </w:rPrChange>
              </w:rPr>
              <w:t>40 mg every other week in combination with methotrexate</w:t>
            </w:r>
          </w:p>
        </w:tc>
      </w:tr>
    </w:tbl>
    <w:p w14:paraId="0AFA601E"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42460F4D"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When AMGEVITA therapy is initiated, a loading dose of 40</w:t>
      </w:r>
      <w:r w:rsidR="006D2088" w:rsidRPr="001775D9">
        <w:rPr>
          <w:color w:val="000000"/>
          <w:szCs w:val="22"/>
        </w:rPr>
        <w:t> </w:t>
      </w:r>
      <w:r w:rsidRPr="001775D9">
        <w:rPr>
          <w:szCs w:val="22"/>
          <w:lang w:eastAsia="en-GB"/>
        </w:rPr>
        <w:t>mg for patients &lt;</w:t>
      </w:r>
      <w:r w:rsidR="00F77206" w:rsidRPr="001775D9">
        <w:rPr>
          <w:szCs w:val="22"/>
        </w:rPr>
        <w:t> </w:t>
      </w:r>
      <w:r w:rsidRPr="001775D9">
        <w:rPr>
          <w:szCs w:val="22"/>
          <w:lang w:eastAsia="en-GB"/>
        </w:rPr>
        <w:t>30</w:t>
      </w:r>
      <w:r w:rsidR="006D2088" w:rsidRPr="001775D9">
        <w:rPr>
          <w:color w:val="000000"/>
          <w:szCs w:val="22"/>
        </w:rPr>
        <w:t> </w:t>
      </w:r>
      <w:r w:rsidRPr="001775D9">
        <w:rPr>
          <w:szCs w:val="22"/>
          <w:lang w:eastAsia="en-GB"/>
        </w:rPr>
        <w:t>kg or 80</w:t>
      </w:r>
      <w:r w:rsidR="00F77206" w:rsidRPr="001775D9">
        <w:rPr>
          <w:szCs w:val="22"/>
        </w:rPr>
        <w:t> </w:t>
      </w:r>
      <w:r w:rsidRPr="001775D9">
        <w:rPr>
          <w:szCs w:val="22"/>
          <w:lang w:eastAsia="en-GB"/>
        </w:rPr>
        <w:t>mg for patients ≥</w:t>
      </w:r>
      <w:r w:rsidR="00F77206" w:rsidRPr="001775D9">
        <w:rPr>
          <w:szCs w:val="22"/>
        </w:rPr>
        <w:t> </w:t>
      </w:r>
      <w:r w:rsidRPr="001775D9">
        <w:rPr>
          <w:szCs w:val="22"/>
          <w:lang w:eastAsia="en-GB"/>
        </w:rPr>
        <w:t>30</w:t>
      </w:r>
      <w:r w:rsidR="006D2088" w:rsidRPr="001775D9">
        <w:rPr>
          <w:color w:val="000000"/>
          <w:szCs w:val="22"/>
        </w:rPr>
        <w:t> </w:t>
      </w:r>
      <w:r w:rsidRPr="001775D9">
        <w:rPr>
          <w:szCs w:val="22"/>
          <w:lang w:eastAsia="en-GB"/>
        </w:rPr>
        <w:t>kg may be administered one week prior to the start of maintenance therapy. No clinical data are available on the use of a AMGEVITA loading dose in children &lt;</w:t>
      </w:r>
      <w:r w:rsidR="00F77206" w:rsidRPr="001775D9">
        <w:rPr>
          <w:szCs w:val="22"/>
        </w:rPr>
        <w:t> </w:t>
      </w:r>
      <w:r w:rsidRPr="001775D9">
        <w:rPr>
          <w:szCs w:val="22"/>
          <w:lang w:eastAsia="en-GB"/>
        </w:rPr>
        <w:t>6 years of age (see section</w:t>
      </w:r>
      <w:r w:rsidR="006D2088" w:rsidRPr="001775D9">
        <w:rPr>
          <w:color w:val="000000"/>
          <w:szCs w:val="22"/>
        </w:rPr>
        <w:t> </w:t>
      </w:r>
      <w:r w:rsidRPr="001775D9">
        <w:rPr>
          <w:szCs w:val="22"/>
          <w:lang w:eastAsia="en-GB"/>
        </w:rPr>
        <w:t>5.2).</w:t>
      </w:r>
    </w:p>
    <w:p w14:paraId="14C5E3DA"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06C2E4BC"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There is no relevant use of AMGEVITA in children aged less than 2 years in this indication.</w:t>
      </w:r>
    </w:p>
    <w:p w14:paraId="7DCDBF29" w14:textId="77777777" w:rsidR="00BE1294" w:rsidRPr="001775D9" w:rsidRDefault="00BE1294" w:rsidP="00BE1294">
      <w:pPr>
        <w:tabs>
          <w:tab w:val="clear" w:pos="567"/>
          <w:tab w:val="left" w:pos="720"/>
        </w:tabs>
        <w:autoSpaceDE w:val="0"/>
        <w:autoSpaceDN w:val="0"/>
        <w:adjustRightInd w:val="0"/>
        <w:spacing w:line="240" w:lineRule="auto"/>
        <w:rPr>
          <w:szCs w:val="22"/>
          <w:lang w:eastAsia="en-GB"/>
        </w:rPr>
      </w:pPr>
    </w:p>
    <w:p w14:paraId="7298C0DD" w14:textId="245C2A1D" w:rsidR="00BE1294" w:rsidRPr="001775D9" w:rsidRDefault="00BE1294" w:rsidP="00BE1294">
      <w:pPr>
        <w:tabs>
          <w:tab w:val="clear" w:pos="567"/>
          <w:tab w:val="left" w:pos="720"/>
        </w:tabs>
        <w:autoSpaceDE w:val="0"/>
        <w:autoSpaceDN w:val="0"/>
        <w:adjustRightInd w:val="0"/>
        <w:spacing w:line="240" w:lineRule="auto"/>
        <w:rPr>
          <w:szCs w:val="22"/>
          <w:lang w:eastAsia="en-GB"/>
        </w:rPr>
      </w:pPr>
      <w:r w:rsidRPr="001775D9">
        <w:rPr>
          <w:szCs w:val="22"/>
          <w:lang w:eastAsia="en-GB"/>
        </w:rPr>
        <w:t>It is recommended that the benefit and risk of continued long-term treatment should be evaluated on a</w:t>
      </w:r>
      <w:r w:rsidR="005E36B5" w:rsidRPr="001775D9">
        <w:rPr>
          <w:szCs w:val="22"/>
          <w:lang w:eastAsia="en-GB"/>
        </w:rPr>
        <w:t xml:space="preserve"> </w:t>
      </w:r>
      <w:r w:rsidRPr="001775D9">
        <w:rPr>
          <w:szCs w:val="22"/>
          <w:lang w:eastAsia="en-GB"/>
        </w:rPr>
        <w:t>yearly basis (see section 5.1).</w:t>
      </w:r>
    </w:p>
    <w:p w14:paraId="7C625BFD" w14:textId="77777777" w:rsidR="009D4546" w:rsidRPr="001775D9" w:rsidRDefault="009D4546" w:rsidP="00FB5458">
      <w:pPr>
        <w:tabs>
          <w:tab w:val="clear" w:pos="567"/>
        </w:tabs>
        <w:autoSpaceDE w:val="0"/>
        <w:autoSpaceDN w:val="0"/>
        <w:adjustRightInd w:val="0"/>
        <w:spacing w:line="240" w:lineRule="auto"/>
        <w:rPr>
          <w:szCs w:val="22"/>
          <w:u w:val="single"/>
          <w:lang w:eastAsia="en-GB"/>
        </w:rPr>
      </w:pPr>
    </w:p>
    <w:p w14:paraId="646FE089"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Method of administration </w:t>
      </w:r>
    </w:p>
    <w:p w14:paraId="3305C9B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017C161" w14:textId="77777777" w:rsidR="00C42229" w:rsidRPr="001775D9" w:rsidRDefault="00CE7371" w:rsidP="00FB5458">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00C42229" w:rsidRPr="001775D9">
        <w:rPr>
          <w:szCs w:val="22"/>
          <w:lang w:eastAsia="en-GB"/>
        </w:rPr>
        <w:t xml:space="preserve"> is administered by subcutaneous injection. Full instructions for use are provided in the package leaflet.</w:t>
      </w:r>
    </w:p>
    <w:p w14:paraId="2A62688D" w14:textId="77777777" w:rsidR="001B404F" w:rsidRPr="001775D9" w:rsidRDefault="001B404F" w:rsidP="00FB5458">
      <w:pPr>
        <w:tabs>
          <w:tab w:val="clear" w:pos="567"/>
        </w:tabs>
        <w:autoSpaceDE w:val="0"/>
        <w:autoSpaceDN w:val="0"/>
        <w:adjustRightInd w:val="0"/>
        <w:spacing w:line="240" w:lineRule="auto"/>
        <w:rPr>
          <w:szCs w:val="22"/>
        </w:rPr>
      </w:pPr>
    </w:p>
    <w:p w14:paraId="1C51B98D" w14:textId="56038369" w:rsidR="00C42229" w:rsidRPr="001775D9" w:rsidRDefault="00C42229" w:rsidP="00B61D9D">
      <w:pPr>
        <w:keepNext/>
        <w:tabs>
          <w:tab w:val="clear" w:pos="567"/>
        </w:tabs>
        <w:autoSpaceDE w:val="0"/>
        <w:autoSpaceDN w:val="0"/>
        <w:adjustRightInd w:val="0"/>
        <w:spacing w:line="240" w:lineRule="auto"/>
        <w:ind w:left="567" w:hanging="567"/>
        <w:rPr>
          <w:szCs w:val="22"/>
          <w:lang w:eastAsia="en-GB"/>
        </w:rPr>
      </w:pPr>
      <w:r w:rsidRPr="001775D9">
        <w:rPr>
          <w:b/>
          <w:bCs/>
          <w:szCs w:val="22"/>
          <w:lang w:eastAsia="en-GB"/>
        </w:rPr>
        <w:t>4.3</w:t>
      </w:r>
      <w:r w:rsidRPr="001775D9">
        <w:rPr>
          <w:b/>
          <w:bCs/>
          <w:szCs w:val="22"/>
          <w:lang w:eastAsia="en-GB"/>
        </w:rPr>
        <w:tab/>
        <w:t xml:space="preserve">Contraindications </w:t>
      </w:r>
    </w:p>
    <w:p w14:paraId="06480C8D"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151624CA"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Hypersensitivity to the active substance or to any of the excipients listed in section 6.1. </w:t>
      </w:r>
    </w:p>
    <w:p w14:paraId="0D8E094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D062BCE"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Active tuberculosis or other severe infections such as sepsis, and opport</w:t>
      </w:r>
      <w:r w:rsidR="005C5B30" w:rsidRPr="001775D9">
        <w:rPr>
          <w:szCs w:val="22"/>
          <w:lang w:eastAsia="en-GB"/>
        </w:rPr>
        <w:t>unistic infections (see section </w:t>
      </w:r>
      <w:r w:rsidRPr="001775D9">
        <w:rPr>
          <w:szCs w:val="22"/>
          <w:lang w:eastAsia="en-GB"/>
        </w:rPr>
        <w:t xml:space="preserve">4.4). </w:t>
      </w:r>
    </w:p>
    <w:p w14:paraId="10CB36DC"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F04522A"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Moderate to severe heart failure (NYHA class III/IV) (see section 4.4). </w:t>
      </w:r>
    </w:p>
    <w:p w14:paraId="43D0F098"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41AAE12B" w14:textId="1D0E0AA3" w:rsidR="00C42229" w:rsidRPr="001775D9" w:rsidRDefault="00C42229" w:rsidP="00B61D9D">
      <w:pPr>
        <w:keepNext/>
        <w:tabs>
          <w:tab w:val="clear" w:pos="567"/>
        </w:tabs>
        <w:autoSpaceDE w:val="0"/>
        <w:autoSpaceDN w:val="0"/>
        <w:adjustRightInd w:val="0"/>
        <w:spacing w:line="240" w:lineRule="auto"/>
        <w:ind w:left="567" w:hanging="567"/>
        <w:rPr>
          <w:szCs w:val="22"/>
          <w:lang w:eastAsia="en-GB"/>
        </w:rPr>
      </w:pPr>
      <w:r w:rsidRPr="001775D9">
        <w:rPr>
          <w:b/>
          <w:bCs/>
          <w:szCs w:val="22"/>
          <w:lang w:eastAsia="en-GB"/>
        </w:rPr>
        <w:t>4.4</w:t>
      </w:r>
      <w:r w:rsidRPr="001775D9">
        <w:rPr>
          <w:b/>
          <w:bCs/>
          <w:szCs w:val="22"/>
          <w:lang w:eastAsia="en-GB"/>
        </w:rPr>
        <w:tab/>
        <w:t xml:space="preserve">Special warnings and precautions for use </w:t>
      </w:r>
    </w:p>
    <w:p w14:paraId="538D025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39EB324" w14:textId="77777777" w:rsidR="0061401E" w:rsidRPr="001775D9" w:rsidRDefault="00516C90" w:rsidP="0061401E">
      <w:pPr>
        <w:tabs>
          <w:tab w:val="clear" w:pos="567"/>
        </w:tabs>
        <w:autoSpaceDE w:val="0"/>
        <w:autoSpaceDN w:val="0"/>
        <w:adjustRightInd w:val="0"/>
        <w:spacing w:line="240" w:lineRule="auto"/>
        <w:rPr>
          <w:szCs w:val="22"/>
          <w:u w:val="single"/>
          <w:lang w:eastAsia="en-GB"/>
        </w:rPr>
      </w:pPr>
      <w:r w:rsidRPr="001775D9">
        <w:rPr>
          <w:szCs w:val="22"/>
          <w:u w:val="single"/>
          <w:lang w:eastAsia="en-GB"/>
        </w:rPr>
        <w:t>Traceability</w:t>
      </w:r>
    </w:p>
    <w:p w14:paraId="5A4B647D" w14:textId="77777777" w:rsidR="00516C90" w:rsidRPr="001775D9" w:rsidRDefault="00516C90" w:rsidP="0061401E">
      <w:pPr>
        <w:tabs>
          <w:tab w:val="clear" w:pos="567"/>
        </w:tabs>
        <w:autoSpaceDE w:val="0"/>
        <w:autoSpaceDN w:val="0"/>
        <w:adjustRightInd w:val="0"/>
        <w:spacing w:line="240" w:lineRule="auto"/>
        <w:rPr>
          <w:szCs w:val="22"/>
          <w:u w:val="single"/>
          <w:lang w:eastAsia="en-GB"/>
        </w:rPr>
      </w:pPr>
    </w:p>
    <w:p w14:paraId="195AE548" w14:textId="1755E615"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In order to improve</w:t>
      </w:r>
      <w:r w:rsidR="003F4804" w:rsidRPr="001775D9">
        <w:rPr>
          <w:szCs w:val="22"/>
          <w:lang w:eastAsia="en-GB"/>
        </w:rPr>
        <w:t xml:space="preserve"> the</w:t>
      </w:r>
      <w:r w:rsidRPr="001775D9">
        <w:rPr>
          <w:szCs w:val="22"/>
          <w:lang w:eastAsia="en-GB"/>
        </w:rPr>
        <w:t xml:space="preserve"> traceability of </w:t>
      </w:r>
      <w:r w:rsidR="0059096F" w:rsidRPr="001775D9">
        <w:rPr>
          <w:szCs w:val="22"/>
          <w:lang w:eastAsia="en-GB"/>
        </w:rPr>
        <w:t>biological medicinal product</w:t>
      </w:r>
      <w:r w:rsidR="00AF46E2" w:rsidRPr="001775D9">
        <w:rPr>
          <w:szCs w:val="22"/>
          <w:lang w:eastAsia="en-GB"/>
        </w:rPr>
        <w:t>s</w:t>
      </w:r>
      <w:r w:rsidRPr="001775D9">
        <w:rPr>
          <w:szCs w:val="22"/>
          <w:lang w:eastAsia="en-GB"/>
        </w:rPr>
        <w:t>, the name and the batch number of the administered product should be clearly recorded</w:t>
      </w:r>
      <w:r w:rsidR="00AF46E2" w:rsidRPr="001775D9">
        <w:rPr>
          <w:szCs w:val="22"/>
          <w:lang w:eastAsia="en-GB"/>
        </w:rPr>
        <w:t>.</w:t>
      </w:r>
      <w:r w:rsidRPr="001775D9">
        <w:rPr>
          <w:szCs w:val="22"/>
          <w:lang w:eastAsia="en-GB"/>
        </w:rPr>
        <w:t xml:space="preserve"> </w:t>
      </w:r>
    </w:p>
    <w:p w14:paraId="4F1AB4C7"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4E9603EB"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Infections </w:t>
      </w:r>
    </w:p>
    <w:p w14:paraId="6C212F1A"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5018E564"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Patients taking TNF-antagonists are more susceptible to serious infections. Impaired lung function may increase the risk for developing infections. Patients must therefore be monitored closely for infections, including tuberculosis, before, during and after treatment with </w:t>
      </w:r>
      <w:r w:rsidR="00CE7371" w:rsidRPr="001775D9">
        <w:rPr>
          <w:color w:val="000000"/>
          <w:szCs w:val="22"/>
          <w:lang w:eastAsia="en-GB"/>
        </w:rPr>
        <w:t>AMGEVITA</w:t>
      </w:r>
      <w:r w:rsidRPr="001775D9">
        <w:rPr>
          <w:szCs w:val="22"/>
          <w:lang w:eastAsia="en-GB"/>
        </w:rPr>
        <w:t>. Because the elimination of</w:t>
      </w:r>
      <w:r w:rsidR="00D55EB0" w:rsidRPr="001775D9">
        <w:rPr>
          <w:szCs w:val="22"/>
          <w:lang w:eastAsia="en-GB"/>
        </w:rPr>
        <w:t xml:space="preserve"> </w:t>
      </w:r>
      <w:r w:rsidR="001A7E7A" w:rsidRPr="001775D9">
        <w:rPr>
          <w:szCs w:val="22"/>
          <w:lang w:eastAsia="en-GB"/>
        </w:rPr>
        <w:t xml:space="preserve">adalimumab </w:t>
      </w:r>
      <w:r w:rsidRPr="001775D9">
        <w:rPr>
          <w:szCs w:val="22"/>
          <w:lang w:eastAsia="en-GB"/>
        </w:rPr>
        <w:t xml:space="preserve">may take up to four months, monitoring should be continued throughout this period. </w:t>
      </w:r>
    </w:p>
    <w:p w14:paraId="66250B5C"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631C70D"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Treatment with </w:t>
      </w:r>
      <w:r w:rsidR="00CE7371" w:rsidRPr="001775D9">
        <w:rPr>
          <w:color w:val="000000"/>
          <w:szCs w:val="22"/>
          <w:lang w:eastAsia="en-GB"/>
        </w:rPr>
        <w:t>AMGEVITA</w:t>
      </w:r>
      <w:r w:rsidRPr="001775D9">
        <w:rPr>
          <w:szCs w:val="22"/>
          <w:lang w:eastAsia="en-GB"/>
        </w:rPr>
        <w:t xml:space="preserve"> should not be initiated in patients with active infections including chronic or locali</w:t>
      </w:r>
      <w:r w:rsidR="000237BC" w:rsidRPr="001775D9">
        <w:rPr>
          <w:szCs w:val="22"/>
          <w:lang w:eastAsia="en-GB"/>
        </w:rPr>
        <w:t>s</w:t>
      </w:r>
      <w:r w:rsidRPr="001775D9">
        <w:rPr>
          <w:szCs w:val="22"/>
          <w:lang w:eastAsia="en-GB"/>
        </w:rPr>
        <w:t xml:space="preserve">ed infections until infections are controlled. In patients who have been exposed to tuberculosis and patients who have travelled in areas of high risk of tuberculosis or endemic mycoses, such as histoplasmosis, coccidioidomycosis, or blastomycosis, the risk and benefits of treatment with </w:t>
      </w:r>
      <w:r w:rsidR="00CE7371" w:rsidRPr="001775D9">
        <w:rPr>
          <w:color w:val="000000"/>
          <w:szCs w:val="22"/>
          <w:lang w:eastAsia="en-GB"/>
        </w:rPr>
        <w:t>AMGEVITA</w:t>
      </w:r>
      <w:r w:rsidRPr="001775D9">
        <w:rPr>
          <w:szCs w:val="22"/>
          <w:lang w:eastAsia="en-GB"/>
        </w:rPr>
        <w:t xml:space="preserve"> should be considered prior to initiating therapy (see </w:t>
      </w:r>
      <w:r w:rsidR="00CE7371" w:rsidRPr="001775D9">
        <w:rPr>
          <w:iCs/>
          <w:szCs w:val="22"/>
          <w:lang w:eastAsia="en-GB"/>
        </w:rPr>
        <w:t>O</w:t>
      </w:r>
      <w:r w:rsidRPr="001775D9">
        <w:rPr>
          <w:iCs/>
          <w:szCs w:val="22"/>
          <w:lang w:eastAsia="en-GB"/>
        </w:rPr>
        <w:t>ther opportunistic infections</w:t>
      </w:r>
      <w:r w:rsidRPr="001775D9">
        <w:rPr>
          <w:szCs w:val="22"/>
          <w:lang w:eastAsia="en-GB"/>
        </w:rPr>
        <w:t xml:space="preserve">). </w:t>
      </w:r>
    </w:p>
    <w:p w14:paraId="2EAE168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7A282CB"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Patients who develop a new infection while undergoing treatment with </w:t>
      </w:r>
      <w:r w:rsidR="00977500" w:rsidRPr="001775D9">
        <w:rPr>
          <w:color w:val="000000"/>
          <w:szCs w:val="22"/>
          <w:lang w:eastAsia="en-GB"/>
        </w:rPr>
        <w:t>AMGEVITA</w:t>
      </w:r>
      <w:r w:rsidRPr="001775D9">
        <w:rPr>
          <w:szCs w:val="22"/>
          <w:lang w:eastAsia="en-GB"/>
        </w:rPr>
        <w:t xml:space="preserve">, should be monitored closely and undergo a complete diagnostic evaluation. Administration of </w:t>
      </w:r>
      <w:r w:rsidR="00977500" w:rsidRPr="001775D9">
        <w:rPr>
          <w:color w:val="000000"/>
          <w:szCs w:val="22"/>
          <w:lang w:eastAsia="en-GB"/>
        </w:rPr>
        <w:t>AMGEVITA</w:t>
      </w:r>
      <w:r w:rsidRPr="001775D9">
        <w:rPr>
          <w:szCs w:val="22"/>
          <w:lang w:eastAsia="en-GB"/>
        </w:rPr>
        <w:t xml:space="preserve"> should be discontinued if a patient develops a new serious infection or sepsis, and appropriate antimicrobial or antifungal therapy should be initiated until the infection is controlled. Physicians should exercise caution when considering the use of </w:t>
      </w:r>
      <w:r w:rsidR="00977500" w:rsidRPr="001775D9">
        <w:rPr>
          <w:color w:val="000000"/>
          <w:szCs w:val="22"/>
          <w:lang w:eastAsia="en-GB"/>
        </w:rPr>
        <w:t>AMGEVITA</w:t>
      </w:r>
      <w:r w:rsidRPr="001775D9">
        <w:rPr>
          <w:szCs w:val="22"/>
          <w:lang w:eastAsia="en-GB"/>
        </w:rPr>
        <w:t xml:space="preserve"> in patients with a history of recurring infection or with underlying conditions which may predispose patients to infections, including the use of concomitant immunosuppressive medications. </w:t>
      </w:r>
    </w:p>
    <w:p w14:paraId="60809277" w14:textId="77777777" w:rsidR="00C42229" w:rsidRPr="001775D9" w:rsidRDefault="00C42229" w:rsidP="00FB5458">
      <w:pPr>
        <w:tabs>
          <w:tab w:val="clear" w:pos="567"/>
        </w:tabs>
        <w:autoSpaceDE w:val="0"/>
        <w:autoSpaceDN w:val="0"/>
        <w:adjustRightInd w:val="0"/>
        <w:spacing w:line="240" w:lineRule="auto"/>
        <w:rPr>
          <w:i/>
          <w:iCs/>
          <w:szCs w:val="22"/>
          <w:lang w:eastAsia="en-GB"/>
        </w:rPr>
      </w:pPr>
    </w:p>
    <w:p w14:paraId="3F7FCE93"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i/>
          <w:iCs/>
          <w:szCs w:val="22"/>
          <w:lang w:eastAsia="en-GB"/>
        </w:rPr>
        <w:t>Serious infections</w:t>
      </w:r>
    </w:p>
    <w:p w14:paraId="2524B419"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0C1DDCA1"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Serious infections, including sepsis, due to bacterial, mycobacterial, invasive fungal, parasitic, viral, or other opportunistic infections such as listeriosis, legionellosis and pneumocystis have been reported in patients receiving </w:t>
      </w:r>
      <w:r w:rsidR="00977500" w:rsidRPr="001775D9">
        <w:rPr>
          <w:szCs w:val="22"/>
          <w:lang w:eastAsia="en-GB"/>
        </w:rPr>
        <w:t>adalimumab</w:t>
      </w:r>
      <w:r w:rsidRPr="001775D9">
        <w:rPr>
          <w:szCs w:val="22"/>
          <w:lang w:eastAsia="en-GB"/>
        </w:rPr>
        <w:t xml:space="preserve">. </w:t>
      </w:r>
    </w:p>
    <w:p w14:paraId="70A5D325"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4A2174C"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Other serious infections seen in clinical trials include pneumonia, pyelonephritis, septic arthritis and septicaemia. Hospitalisation or fatal outcomes associated with infections have been reported. </w:t>
      </w:r>
    </w:p>
    <w:p w14:paraId="796484F7" w14:textId="77777777" w:rsidR="00C42229" w:rsidRPr="001775D9" w:rsidRDefault="00C42229" w:rsidP="00FB5458">
      <w:pPr>
        <w:tabs>
          <w:tab w:val="clear" w:pos="567"/>
        </w:tabs>
        <w:autoSpaceDE w:val="0"/>
        <w:autoSpaceDN w:val="0"/>
        <w:adjustRightInd w:val="0"/>
        <w:spacing w:line="240" w:lineRule="auto"/>
        <w:rPr>
          <w:i/>
          <w:iCs/>
          <w:szCs w:val="22"/>
          <w:lang w:eastAsia="en-GB"/>
        </w:rPr>
      </w:pPr>
    </w:p>
    <w:p w14:paraId="204DE714"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i/>
          <w:iCs/>
          <w:szCs w:val="22"/>
          <w:lang w:eastAsia="en-GB"/>
        </w:rPr>
        <w:t>Tuberculosis</w:t>
      </w:r>
    </w:p>
    <w:p w14:paraId="67A69ABE"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7D8B58DD"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Tuberculosis, including reactivation and new onset of tuberculosis, has been reported in patients receiving </w:t>
      </w:r>
      <w:r w:rsidR="00977500" w:rsidRPr="001775D9">
        <w:rPr>
          <w:szCs w:val="22"/>
          <w:lang w:eastAsia="en-GB"/>
        </w:rPr>
        <w:t>adalimumab</w:t>
      </w:r>
      <w:r w:rsidRPr="001775D9">
        <w:rPr>
          <w:szCs w:val="22"/>
          <w:lang w:eastAsia="en-GB"/>
        </w:rPr>
        <w:t>. Reports included cases of pulmonary and extra-pulmonary (i.e. disseminated) tuberculosis.</w:t>
      </w:r>
    </w:p>
    <w:p w14:paraId="65DD216D"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F583846"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Before initiation of therapy with </w:t>
      </w:r>
      <w:r w:rsidR="00977500" w:rsidRPr="001775D9">
        <w:rPr>
          <w:color w:val="000000"/>
          <w:szCs w:val="22"/>
          <w:lang w:eastAsia="en-GB"/>
        </w:rPr>
        <w:t>AMGEVITA</w:t>
      </w:r>
      <w:r w:rsidRPr="001775D9">
        <w:rPr>
          <w:szCs w:val="22"/>
          <w:lang w:eastAsia="en-GB"/>
        </w:rPr>
        <w:t xml:space="preserve">, all patients must be evaluated for both active or inactive (“latent”) tuberculosis infection. This evaluation should include a detailed medical assessment of patient history of tuberculosis or possible previous exposure to people with active tuberculosis and previous and/or current immunosuppressive therapy. Appropriate screening tests (i.e. tuberculin skin test and chest </w:t>
      </w:r>
      <w:r w:rsidR="00977500" w:rsidRPr="001775D9">
        <w:rPr>
          <w:szCs w:val="22"/>
          <w:lang w:eastAsia="en-GB"/>
        </w:rPr>
        <w:t>x</w:t>
      </w:r>
      <w:r w:rsidRPr="001775D9">
        <w:rPr>
          <w:szCs w:val="22"/>
          <w:lang w:eastAsia="en-GB"/>
        </w:rPr>
        <w:t xml:space="preserve">-ray) should be performed in all patients (local recommendations may apply). It is recommended that the conduct and results of these tests are recorded in the </w:t>
      </w:r>
      <w:r w:rsidR="0067002D" w:rsidRPr="001775D9">
        <w:rPr>
          <w:szCs w:val="22"/>
          <w:lang w:eastAsia="en-GB"/>
        </w:rPr>
        <w:t>Patient Reminder Card</w:t>
      </w:r>
      <w:r w:rsidRPr="001775D9">
        <w:rPr>
          <w:szCs w:val="22"/>
          <w:lang w:eastAsia="en-GB"/>
        </w:rPr>
        <w:t xml:space="preserve">. Prescribers are reminded of the risk of false negative tuberculin skin test results, especially in patients who are severely ill or immunocompromised. </w:t>
      </w:r>
    </w:p>
    <w:p w14:paraId="2673C1EE"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1E37B89"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If active tuberculosis is diagnosed, </w:t>
      </w:r>
      <w:r w:rsidR="00977500" w:rsidRPr="001775D9">
        <w:rPr>
          <w:color w:val="000000"/>
          <w:szCs w:val="22"/>
          <w:lang w:eastAsia="en-GB"/>
        </w:rPr>
        <w:t>AMGEVITA</w:t>
      </w:r>
      <w:r w:rsidRPr="001775D9">
        <w:rPr>
          <w:szCs w:val="22"/>
          <w:lang w:eastAsia="en-GB"/>
        </w:rPr>
        <w:t xml:space="preserve"> therapy must not be initiated (see section 4.3). </w:t>
      </w:r>
    </w:p>
    <w:p w14:paraId="4F0719D3"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E76926F"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all situations described below, the benefit/risk balance of therapy should be very carefully considered. </w:t>
      </w:r>
    </w:p>
    <w:p w14:paraId="05DCA3E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7C88F795"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If latent tuberculosis is suspected, a physician with expertise in the treatment of tuberculosis should be consulted. </w:t>
      </w:r>
    </w:p>
    <w:p w14:paraId="2D8F1C72"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6430B11"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If latent tuberculosis is diagnosed, appropriate treatment must be started with anti-tuberculosis prophylaxis treatment before the initiation of </w:t>
      </w:r>
      <w:r w:rsidR="00977500" w:rsidRPr="001775D9">
        <w:rPr>
          <w:color w:val="000000"/>
          <w:szCs w:val="22"/>
          <w:lang w:eastAsia="en-GB"/>
        </w:rPr>
        <w:t>AMGEVITA</w:t>
      </w:r>
      <w:r w:rsidRPr="001775D9">
        <w:rPr>
          <w:szCs w:val="22"/>
          <w:lang w:eastAsia="en-GB"/>
        </w:rPr>
        <w:t xml:space="preserve">, and in accordance with local recommendations. </w:t>
      </w:r>
    </w:p>
    <w:p w14:paraId="350C7A38"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AB99787"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Use of anti-tuberculosis prophylaxis treatment should also be considered before the initiation of </w:t>
      </w:r>
      <w:r w:rsidR="00977500" w:rsidRPr="001775D9">
        <w:rPr>
          <w:color w:val="000000"/>
          <w:szCs w:val="22"/>
          <w:lang w:eastAsia="en-GB"/>
        </w:rPr>
        <w:t>AMGEVITA</w:t>
      </w:r>
      <w:r w:rsidRPr="001775D9">
        <w:rPr>
          <w:szCs w:val="22"/>
          <w:lang w:eastAsia="en-GB"/>
        </w:rPr>
        <w:t xml:space="preserve"> in patients with several or significant risk factors for tuberculosis despite a negative test for tuberculosis and in patients with a past history of latent or active tuberculosis in whom an adequate course of treatment cannot be confirmed. </w:t>
      </w:r>
    </w:p>
    <w:p w14:paraId="7CF6E012"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5FEFE10"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Despite prophylactic treatment for tuberculosis, cases of reactivated tuberculosis have occurred in patients treated with </w:t>
      </w:r>
      <w:r w:rsidR="00977500" w:rsidRPr="001775D9">
        <w:rPr>
          <w:szCs w:val="22"/>
          <w:lang w:eastAsia="en-GB"/>
        </w:rPr>
        <w:t>adalimumab</w:t>
      </w:r>
      <w:r w:rsidRPr="001775D9">
        <w:rPr>
          <w:szCs w:val="22"/>
          <w:lang w:eastAsia="en-GB"/>
        </w:rPr>
        <w:t xml:space="preserve">. Some patients who have been successfully treated for active tuberculosis have redeveloped tuberculosis while being treated with </w:t>
      </w:r>
      <w:r w:rsidR="00977500" w:rsidRPr="001775D9">
        <w:rPr>
          <w:szCs w:val="22"/>
          <w:lang w:eastAsia="en-GB"/>
        </w:rPr>
        <w:t>adalimumab</w:t>
      </w:r>
      <w:r w:rsidRPr="001775D9">
        <w:rPr>
          <w:szCs w:val="22"/>
          <w:lang w:eastAsia="en-GB"/>
        </w:rPr>
        <w:t xml:space="preserve">. </w:t>
      </w:r>
    </w:p>
    <w:p w14:paraId="42657877"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9CB401A"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Patients should be instructed to seek medical advice if signs/symptoms suggestive of a tuberculosis infection (e.g. persistent cough, wasting/weight loss, low grade fever, listlessness) occur during or after therapy with</w:t>
      </w:r>
      <w:r w:rsidR="00977500" w:rsidRPr="001775D9">
        <w:rPr>
          <w:szCs w:val="22"/>
          <w:lang w:eastAsia="en-GB"/>
        </w:rPr>
        <w:t xml:space="preserve"> </w:t>
      </w:r>
      <w:r w:rsidR="00977500" w:rsidRPr="001775D9">
        <w:rPr>
          <w:color w:val="000000"/>
          <w:szCs w:val="22"/>
          <w:lang w:eastAsia="en-GB"/>
        </w:rPr>
        <w:t>AMGEVITA</w:t>
      </w:r>
      <w:r w:rsidRPr="001775D9">
        <w:rPr>
          <w:szCs w:val="22"/>
          <w:lang w:eastAsia="en-GB"/>
        </w:rPr>
        <w:t xml:space="preserve">. </w:t>
      </w:r>
    </w:p>
    <w:p w14:paraId="1566FB3E" w14:textId="77777777" w:rsidR="00C42229" w:rsidRPr="001775D9" w:rsidRDefault="00C42229" w:rsidP="00FB5458">
      <w:pPr>
        <w:tabs>
          <w:tab w:val="clear" w:pos="567"/>
        </w:tabs>
        <w:autoSpaceDE w:val="0"/>
        <w:autoSpaceDN w:val="0"/>
        <w:adjustRightInd w:val="0"/>
        <w:spacing w:line="240" w:lineRule="auto"/>
        <w:rPr>
          <w:i/>
          <w:iCs/>
          <w:szCs w:val="22"/>
          <w:lang w:eastAsia="en-GB"/>
        </w:rPr>
      </w:pPr>
    </w:p>
    <w:p w14:paraId="2AC12C2D"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i/>
          <w:iCs/>
          <w:szCs w:val="22"/>
          <w:lang w:eastAsia="en-GB"/>
        </w:rPr>
        <w:t>Other opportunistic infections</w:t>
      </w:r>
    </w:p>
    <w:p w14:paraId="4FC88C18"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5BB35513"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Opportunistic infections, including invasive fungal infections have been observed in patients receiving </w:t>
      </w:r>
      <w:r w:rsidR="00977500" w:rsidRPr="001775D9">
        <w:rPr>
          <w:szCs w:val="22"/>
          <w:lang w:eastAsia="en-GB"/>
        </w:rPr>
        <w:t>adalimumab</w:t>
      </w:r>
      <w:r w:rsidRPr="001775D9">
        <w:rPr>
          <w:szCs w:val="22"/>
          <w:lang w:eastAsia="en-GB"/>
        </w:rPr>
        <w:t>. These infections have not consistently been recognised in patients taking TNF-antagonists and this</w:t>
      </w:r>
      <w:r w:rsidR="007E19C6" w:rsidRPr="001775D9">
        <w:rPr>
          <w:szCs w:val="22"/>
          <w:lang w:eastAsia="en-GB"/>
        </w:rPr>
        <w:t xml:space="preserve"> has</w:t>
      </w:r>
      <w:r w:rsidRPr="001775D9">
        <w:rPr>
          <w:szCs w:val="22"/>
          <w:lang w:eastAsia="en-GB"/>
        </w:rPr>
        <w:t xml:space="preserve"> resulted in delays in appropriate treatment, sometimes resulting in fatal outcomes. </w:t>
      </w:r>
    </w:p>
    <w:p w14:paraId="09D3AA60"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83BCAA4"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For patients who develop the signs and symptoms such as fever, malaise, weight loss, sweats, cough, </w:t>
      </w:r>
      <w:r w:rsidR="005C5B30" w:rsidRPr="001775D9">
        <w:rPr>
          <w:szCs w:val="22"/>
          <w:lang w:eastAsia="en-GB"/>
        </w:rPr>
        <w:t>dyspnoea</w:t>
      </w:r>
      <w:r w:rsidRPr="001775D9">
        <w:rPr>
          <w:szCs w:val="22"/>
          <w:lang w:eastAsia="en-GB"/>
        </w:rPr>
        <w:t xml:space="preserve">, and/or pulmonary infiltrates or other serious systemic illness with or without concomitant shock an invasive fungal infection should be suspected and administration of </w:t>
      </w:r>
      <w:r w:rsidR="00977500" w:rsidRPr="001775D9">
        <w:rPr>
          <w:color w:val="000000"/>
          <w:szCs w:val="22"/>
          <w:lang w:eastAsia="en-GB"/>
        </w:rPr>
        <w:t>AMGEVITA</w:t>
      </w:r>
      <w:r w:rsidRPr="001775D9">
        <w:rPr>
          <w:szCs w:val="22"/>
          <w:lang w:eastAsia="en-GB"/>
        </w:rPr>
        <w:t xml:space="preserve"> should be promptly discontinued. Diagnosis and administration of empiric antifungal therapy in these patients should be made in consultation with a physician with expertise in the care of patients with invasive fungal infections. </w:t>
      </w:r>
    </w:p>
    <w:p w14:paraId="48D9BE09"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45C2B8B"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Hepatitis B reactivation </w:t>
      </w:r>
    </w:p>
    <w:p w14:paraId="3EFF704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88231A5" w14:textId="77777777" w:rsidR="00C42229" w:rsidRPr="00D55B59" w:rsidRDefault="00C42229" w:rsidP="00FB5458">
      <w:pPr>
        <w:pStyle w:val="Default"/>
        <w:rPr>
          <w:rFonts w:eastAsia="Times New Roman"/>
          <w:color w:val="auto"/>
          <w:sz w:val="22"/>
          <w:szCs w:val="22"/>
          <w:lang w:val="en-GB" w:eastAsia="en-GB"/>
          <w:rPrChange w:id="306" w:author="Author">
            <w:rPr>
              <w:rFonts w:eastAsia="Times New Roman"/>
              <w:color w:val="auto"/>
              <w:sz w:val="22"/>
              <w:szCs w:val="22"/>
              <w:lang w:eastAsia="en-GB"/>
            </w:rPr>
          </w:rPrChange>
        </w:rPr>
      </w:pPr>
      <w:r w:rsidRPr="00D55B59">
        <w:rPr>
          <w:color w:val="auto"/>
          <w:sz w:val="22"/>
          <w:szCs w:val="22"/>
          <w:lang w:val="en-GB" w:eastAsia="en-GB"/>
          <w:rPrChange w:id="307" w:author="Author">
            <w:rPr>
              <w:color w:val="auto"/>
              <w:sz w:val="22"/>
              <w:szCs w:val="22"/>
              <w:lang w:eastAsia="en-GB"/>
            </w:rPr>
          </w:rPrChange>
        </w:rPr>
        <w:t xml:space="preserve">Reactivation of hepatitis B has occurred in patients receiving a TNF-antagonist including </w:t>
      </w:r>
      <w:r w:rsidR="00977500" w:rsidRPr="00D55B59">
        <w:rPr>
          <w:sz w:val="22"/>
          <w:szCs w:val="22"/>
          <w:lang w:val="en-GB" w:eastAsia="en-GB"/>
          <w:rPrChange w:id="308" w:author="Author">
            <w:rPr>
              <w:sz w:val="22"/>
              <w:szCs w:val="22"/>
              <w:lang w:eastAsia="en-GB"/>
            </w:rPr>
          </w:rPrChange>
        </w:rPr>
        <w:t>adalimumab</w:t>
      </w:r>
      <w:r w:rsidRPr="00D55B59">
        <w:rPr>
          <w:color w:val="auto"/>
          <w:sz w:val="22"/>
          <w:szCs w:val="22"/>
          <w:lang w:val="en-GB" w:eastAsia="en-GB"/>
          <w:rPrChange w:id="309" w:author="Author">
            <w:rPr>
              <w:color w:val="auto"/>
              <w:sz w:val="22"/>
              <w:szCs w:val="22"/>
              <w:lang w:eastAsia="en-GB"/>
            </w:rPr>
          </w:rPrChange>
        </w:rPr>
        <w:t>, who are chronic carriers of this virus (i.e. surface antigen positive). Some cases have had a fatal outcome. Patients should be tested for HBV infection before initiating treatment with</w:t>
      </w:r>
      <w:r w:rsidR="00977500" w:rsidRPr="00D55B59">
        <w:rPr>
          <w:sz w:val="22"/>
          <w:szCs w:val="22"/>
          <w:lang w:val="en-GB" w:eastAsia="en-GB"/>
          <w:rPrChange w:id="310" w:author="Author">
            <w:rPr>
              <w:sz w:val="22"/>
              <w:szCs w:val="22"/>
              <w:lang w:eastAsia="en-GB"/>
            </w:rPr>
          </w:rPrChange>
        </w:rPr>
        <w:t xml:space="preserve"> AMGEVITA</w:t>
      </w:r>
      <w:r w:rsidRPr="00D55B59">
        <w:rPr>
          <w:color w:val="auto"/>
          <w:sz w:val="22"/>
          <w:szCs w:val="22"/>
          <w:lang w:val="en-GB" w:eastAsia="en-GB"/>
          <w:rPrChange w:id="311" w:author="Author">
            <w:rPr>
              <w:color w:val="auto"/>
              <w:sz w:val="22"/>
              <w:szCs w:val="22"/>
              <w:lang w:eastAsia="en-GB"/>
            </w:rPr>
          </w:rPrChange>
        </w:rPr>
        <w:t xml:space="preserve">. For </w:t>
      </w:r>
      <w:r w:rsidRPr="00D55B59">
        <w:rPr>
          <w:rFonts w:eastAsia="Times New Roman"/>
          <w:color w:val="auto"/>
          <w:sz w:val="22"/>
          <w:szCs w:val="22"/>
          <w:lang w:val="en-GB" w:eastAsia="en-GB"/>
          <w:rPrChange w:id="312" w:author="Author">
            <w:rPr>
              <w:rFonts w:eastAsia="Times New Roman"/>
              <w:color w:val="auto"/>
              <w:sz w:val="22"/>
              <w:szCs w:val="22"/>
              <w:lang w:eastAsia="en-GB"/>
            </w:rPr>
          </w:rPrChange>
        </w:rPr>
        <w:t xml:space="preserve">patients who test positive for hepatitis B infection, consultation with a physician with expertise in the treatment of hepatitis B is recommended. </w:t>
      </w:r>
    </w:p>
    <w:p w14:paraId="65B78472"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C60ECC5"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Carriers of HBV who require treatment with </w:t>
      </w:r>
      <w:r w:rsidR="00977500" w:rsidRPr="001775D9">
        <w:rPr>
          <w:color w:val="000000"/>
          <w:szCs w:val="22"/>
          <w:lang w:eastAsia="en-GB"/>
        </w:rPr>
        <w:t>AMGEVITA</w:t>
      </w:r>
      <w:r w:rsidRPr="001775D9">
        <w:rPr>
          <w:szCs w:val="22"/>
          <w:lang w:eastAsia="en-GB"/>
        </w:rPr>
        <w:t xml:space="preserve"> should be closely monitored for signs and symptoms of active HBV infection throughout therapy and for several months following termination of therapy. Adequate data from treating patients who are carriers of HBV with anti-viral therapy in conjunction with TNF-antagonist therapy to prevent HBV reactivation are not available. In patients who develop HBV reactivation, </w:t>
      </w:r>
      <w:r w:rsidR="00977500" w:rsidRPr="001775D9">
        <w:rPr>
          <w:color w:val="000000"/>
          <w:szCs w:val="22"/>
          <w:lang w:eastAsia="en-GB"/>
        </w:rPr>
        <w:t>AMGEVITA</w:t>
      </w:r>
      <w:r w:rsidRPr="001775D9">
        <w:rPr>
          <w:szCs w:val="22"/>
          <w:lang w:eastAsia="en-GB"/>
        </w:rPr>
        <w:t xml:space="preserve"> should be stopped and effective anti-viral therapy with appropriate supportive treatment should be initiated. </w:t>
      </w:r>
    </w:p>
    <w:p w14:paraId="3D6815DC"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D1B8006"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Neurological events </w:t>
      </w:r>
    </w:p>
    <w:p w14:paraId="030B3DA0"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6147D5A0"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TNF-antagonists including </w:t>
      </w:r>
      <w:r w:rsidR="00977500" w:rsidRPr="001775D9">
        <w:rPr>
          <w:szCs w:val="22"/>
          <w:lang w:eastAsia="en-GB"/>
        </w:rPr>
        <w:t>adalimumab</w:t>
      </w:r>
      <w:r w:rsidRPr="001775D9">
        <w:rPr>
          <w:szCs w:val="22"/>
          <w:lang w:eastAsia="en-GB"/>
        </w:rPr>
        <w:t xml:space="preserve"> have been associated in rare instances with new onset or exacerbation of clinical symptoms and/or radiographic evidence of central nervous system demyelinating disease including multiple sclerosis and optic neuritis, and peripheral demyelinating disease, including Guillain-Barré syndrome. Prescribers should exercise caution in considering the use of </w:t>
      </w:r>
      <w:r w:rsidR="00977500" w:rsidRPr="001775D9">
        <w:rPr>
          <w:color w:val="000000"/>
          <w:szCs w:val="22"/>
          <w:lang w:eastAsia="en-GB"/>
        </w:rPr>
        <w:t>AMGEVITA</w:t>
      </w:r>
      <w:r w:rsidRPr="001775D9">
        <w:rPr>
          <w:szCs w:val="22"/>
          <w:lang w:eastAsia="en-GB"/>
        </w:rPr>
        <w:t xml:space="preserve"> in patients with pre-existing or recent-onset central or peripheral nervous system demyelinating disorders</w:t>
      </w:r>
      <w:r w:rsidR="0099495A" w:rsidRPr="001775D9">
        <w:rPr>
          <w:szCs w:val="22"/>
          <w:lang w:eastAsia="en-GB"/>
        </w:rPr>
        <w:t>; discontinuation of AMGEVITA should be considered if any of these disorders develop. There is a known association between intermediate uveitis and central demyelinating disorders. Neurologic evaluation should be performed in patients with non-infectious intermediate uveitis prior to the initiation of AMGEVITA therapy and regularly during treatment to assess for pre-existing or developing central demyelinating disorders.</w:t>
      </w:r>
    </w:p>
    <w:p w14:paraId="1BDB454E"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45FE7436" w14:textId="77777777" w:rsidR="00C42229" w:rsidRPr="001775D9" w:rsidRDefault="00C42229" w:rsidP="00E07581">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Allergic reactions </w:t>
      </w:r>
    </w:p>
    <w:p w14:paraId="4DBD2245" w14:textId="77777777" w:rsidR="00C42229" w:rsidRPr="001775D9" w:rsidRDefault="00C42229" w:rsidP="00E07581">
      <w:pPr>
        <w:tabs>
          <w:tab w:val="clear" w:pos="567"/>
        </w:tabs>
        <w:autoSpaceDE w:val="0"/>
        <w:autoSpaceDN w:val="0"/>
        <w:adjustRightInd w:val="0"/>
        <w:spacing w:line="240" w:lineRule="auto"/>
        <w:rPr>
          <w:szCs w:val="22"/>
          <w:lang w:eastAsia="en-GB"/>
        </w:rPr>
      </w:pPr>
    </w:p>
    <w:p w14:paraId="6BD8850F" w14:textId="77777777" w:rsidR="00C42229" w:rsidRPr="001775D9" w:rsidRDefault="00C42229" w:rsidP="00E07581">
      <w:pPr>
        <w:tabs>
          <w:tab w:val="clear" w:pos="567"/>
        </w:tabs>
        <w:autoSpaceDE w:val="0"/>
        <w:autoSpaceDN w:val="0"/>
        <w:adjustRightInd w:val="0"/>
        <w:spacing w:line="240" w:lineRule="auto"/>
        <w:rPr>
          <w:szCs w:val="22"/>
          <w:lang w:eastAsia="en-GB"/>
        </w:rPr>
      </w:pPr>
      <w:r w:rsidRPr="001775D9">
        <w:rPr>
          <w:szCs w:val="22"/>
          <w:lang w:eastAsia="en-GB"/>
        </w:rPr>
        <w:t xml:space="preserve">Serious allergic reactions associated with </w:t>
      </w:r>
      <w:r w:rsidR="00977500" w:rsidRPr="001775D9">
        <w:rPr>
          <w:szCs w:val="22"/>
          <w:lang w:eastAsia="en-GB"/>
        </w:rPr>
        <w:t>adalimumab</w:t>
      </w:r>
      <w:r w:rsidRPr="001775D9">
        <w:rPr>
          <w:szCs w:val="22"/>
          <w:lang w:eastAsia="en-GB"/>
        </w:rPr>
        <w:t xml:space="preserve"> were rare during clinical trials. Non-serious allergic reactions associated with </w:t>
      </w:r>
      <w:r w:rsidR="00977500" w:rsidRPr="001775D9">
        <w:rPr>
          <w:szCs w:val="22"/>
          <w:lang w:eastAsia="en-GB"/>
        </w:rPr>
        <w:t xml:space="preserve">adalimumab </w:t>
      </w:r>
      <w:r w:rsidRPr="001775D9">
        <w:rPr>
          <w:szCs w:val="22"/>
          <w:lang w:eastAsia="en-GB"/>
        </w:rPr>
        <w:t xml:space="preserve">were uncommon during clinical trials. Reports of serious allergic reactions including anaphylaxis have been received following </w:t>
      </w:r>
      <w:r w:rsidR="00977500" w:rsidRPr="001775D9">
        <w:rPr>
          <w:szCs w:val="22"/>
          <w:lang w:eastAsia="en-GB"/>
        </w:rPr>
        <w:t>adalimumab</w:t>
      </w:r>
      <w:r w:rsidRPr="001775D9">
        <w:rPr>
          <w:szCs w:val="22"/>
          <w:lang w:eastAsia="en-GB"/>
        </w:rPr>
        <w:t xml:space="preserve"> administration. If an anaphylactic reaction or other serious allergic reaction occurs, administration of </w:t>
      </w:r>
      <w:r w:rsidR="00977500" w:rsidRPr="001775D9">
        <w:rPr>
          <w:color w:val="000000"/>
          <w:szCs w:val="22"/>
          <w:lang w:eastAsia="en-GB"/>
        </w:rPr>
        <w:t>AMGEVITA</w:t>
      </w:r>
      <w:r w:rsidRPr="001775D9">
        <w:rPr>
          <w:szCs w:val="22"/>
          <w:lang w:eastAsia="en-GB"/>
        </w:rPr>
        <w:t xml:space="preserve"> should be discontinued immediately and appropriate therapy initiated. </w:t>
      </w:r>
    </w:p>
    <w:p w14:paraId="6BA7D4EB"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0A026D2"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Immunosuppression </w:t>
      </w:r>
    </w:p>
    <w:p w14:paraId="3AFE0C0C"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3F210652"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In a study of 64</w:t>
      </w:r>
      <w:r w:rsidRPr="001775D9">
        <w:rPr>
          <w:szCs w:val="22"/>
        </w:rPr>
        <w:t> </w:t>
      </w:r>
      <w:r w:rsidRPr="001775D9">
        <w:rPr>
          <w:szCs w:val="22"/>
          <w:lang w:eastAsia="en-GB"/>
        </w:rPr>
        <w:t>patients with rheumatoid arthritis that were treated with</w:t>
      </w:r>
      <w:r w:rsidR="00977500" w:rsidRPr="001775D9">
        <w:rPr>
          <w:szCs w:val="22"/>
          <w:lang w:eastAsia="en-GB"/>
        </w:rPr>
        <w:t xml:space="preserve"> adalimumab</w:t>
      </w:r>
      <w:r w:rsidRPr="001775D9">
        <w:rPr>
          <w:szCs w:val="22"/>
          <w:lang w:eastAsia="en-GB"/>
        </w:rPr>
        <w:t>, there was no evidence of depression of delayed-type hypersensitivity, depression of immunoglobulin levels, or change in enumeration of effector T-, B</w:t>
      </w:r>
      <w:r w:rsidR="00E556D2" w:rsidRPr="001775D9">
        <w:rPr>
          <w:szCs w:val="22"/>
          <w:lang w:eastAsia="en-GB"/>
        </w:rPr>
        <w:t>-</w:t>
      </w:r>
      <w:r w:rsidRPr="001775D9">
        <w:rPr>
          <w:szCs w:val="22"/>
          <w:lang w:eastAsia="en-GB"/>
        </w:rPr>
        <w:t xml:space="preserve">, NK-cells, monocyte/macrophages, and neutrophils. </w:t>
      </w:r>
    </w:p>
    <w:p w14:paraId="70FC4915"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98CADE8"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Malignancies and lymphoproliferative disorders </w:t>
      </w:r>
    </w:p>
    <w:p w14:paraId="44F859C0"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0697E4A2"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In the controlled portions of </w:t>
      </w:r>
      <w:r w:rsidR="003D4E96" w:rsidRPr="001775D9">
        <w:rPr>
          <w:szCs w:val="22"/>
          <w:lang w:eastAsia="en-GB"/>
        </w:rPr>
        <w:t>adalimumab</w:t>
      </w:r>
      <w:r w:rsidR="00FB428B" w:rsidRPr="001775D9">
        <w:rPr>
          <w:szCs w:val="22"/>
          <w:lang w:eastAsia="en-GB"/>
        </w:rPr>
        <w:t xml:space="preserve"> </w:t>
      </w:r>
      <w:r w:rsidRPr="001775D9">
        <w:rPr>
          <w:szCs w:val="22"/>
          <w:lang w:eastAsia="en-GB"/>
        </w:rPr>
        <w:t>clinical trials of TNF-antagonists, more cases of malignancies including lymphoma have been observed among patients receiving a TNF-antagonist compared with control patients. However, the occurrence was rare. In the post</w:t>
      </w:r>
      <w:r w:rsidR="00FB3D98" w:rsidRPr="001775D9">
        <w:rPr>
          <w:szCs w:val="22"/>
          <w:lang w:eastAsia="en-GB"/>
        </w:rPr>
        <w:t>-</w:t>
      </w:r>
      <w:r w:rsidRPr="001775D9">
        <w:rPr>
          <w:szCs w:val="22"/>
          <w:lang w:eastAsia="en-GB"/>
        </w:rPr>
        <w:t>marketing setting, cases of leuk</w:t>
      </w:r>
      <w:r w:rsidR="00977500" w:rsidRPr="001775D9">
        <w:rPr>
          <w:szCs w:val="22"/>
          <w:lang w:eastAsia="en-GB"/>
        </w:rPr>
        <w:t>a</w:t>
      </w:r>
      <w:r w:rsidRPr="001775D9">
        <w:rPr>
          <w:szCs w:val="22"/>
          <w:lang w:eastAsia="en-GB"/>
        </w:rPr>
        <w:t xml:space="preserve">emia have been reported in patients treated with a TNF-antagonist. There is an increased background risk for lymphoma and </w:t>
      </w:r>
      <w:r w:rsidR="00977500" w:rsidRPr="001775D9">
        <w:rPr>
          <w:szCs w:val="22"/>
          <w:lang w:eastAsia="en-GB"/>
        </w:rPr>
        <w:t>leukaemia</w:t>
      </w:r>
      <w:r w:rsidRPr="001775D9">
        <w:rPr>
          <w:szCs w:val="22"/>
          <w:lang w:eastAsia="en-GB"/>
        </w:rPr>
        <w:t xml:space="preserve"> in rheumatoid arthritis patients with long-standing highly active, inflammatory disease, which complicates the risk estimation. With the current knowledge, a possible risk for the development of lymphomas, </w:t>
      </w:r>
      <w:r w:rsidR="00977500" w:rsidRPr="001775D9">
        <w:rPr>
          <w:szCs w:val="22"/>
          <w:lang w:eastAsia="en-GB"/>
        </w:rPr>
        <w:t>leukaemia</w:t>
      </w:r>
      <w:r w:rsidRPr="001775D9">
        <w:rPr>
          <w:szCs w:val="22"/>
          <w:lang w:eastAsia="en-GB"/>
        </w:rPr>
        <w:t xml:space="preserve">, and other malignancies in patients treated with a TNF-antagonist cannot be excluded. </w:t>
      </w:r>
    </w:p>
    <w:p w14:paraId="0C2AD21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1C9F7B8"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Malignancies, some fatal, have been reported among children, adolescents and young adults (up to 22</w:t>
      </w:r>
      <w:r w:rsidRPr="001775D9">
        <w:rPr>
          <w:szCs w:val="22"/>
        </w:rPr>
        <w:t> </w:t>
      </w:r>
      <w:r w:rsidRPr="001775D9">
        <w:rPr>
          <w:szCs w:val="22"/>
          <w:lang w:eastAsia="en-GB"/>
        </w:rPr>
        <w:t>years of age) treated with TNF-antagonists (initiation of therapy ≤</w:t>
      </w:r>
      <w:r w:rsidRPr="001775D9">
        <w:rPr>
          <w:szCs w:val="22"/>
        </w:rPr>
        <w:t> </w:t>
      </w:r>
      <w:r w:rsidRPr="001775D9">
        <w:rPr>
          <w:szCs w:val="22"/>
          <w:lang w:eastAsia="en-GB"/>
        </w:rPr>
        <w:t>18 years of age), including adalimumab in the post</w:t>
      </w:r>
      <w:r w:rsidR="005D0374" w:rsidRPr="001775D9">
        <w:rPr>
          <w:szCs w:val="22"/>
          <w:lang w:eastAsia="en-GB"/>
        </w:rPr>
        <w:t>-</w:t>
      </w:r>
      <w:r w:rsidRPr="001775D9">
        <w:rPr>
          <w:szCs w:val="22"/>
          <w:lang w:eastAsia="en-GB"/>
        </w:rPr>
        <w:t>marketing setting</w:t>
      </w:r>
      <w:r w:rsidR="00C21760" w:rsidRPr="001775D9">
        <w:rPr>
          <w:szCs w:val="22"/>
          <w:lang w:eastAsia="en-GB"/>
        </w:rPr>
        <w:t>.</w:t>
      </w:r>
      <w:r w:rsidRPr="001775D9">
        <w:rPr>
          <w:szCs w:val="22"/>
          <w:lang w:eastAsia="en-GB"/>
        </w:rPr>
        <w:t xml:space="preserve"> Approximately half the cases were lymphomas. The other cases represented a variety of different malignancies and included rare malignancies usually associated with immunosuppression. A risk for the development of malignancies in children and adolescents treated with TNF-antagonists cannot be excluded. </w:t>
      </w:r>
    </w:p>
    <w:p w14:paraId="1C313F5D"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8588D61" w14:textId="77777777" w:rsidR="00C42229" w:rsidRPr="00D55B59" w:rsidRDefault="00977500" w:rsidP="00FB5458">
      <w:pPr>
        <w:pStyle w:val="Default"/>
        <w:rPr>
          <w:rFonts w:eastAsia="Times New Roman"/>
          <w:color w:val="auto"/>
          <w:sz w:val="22"/>
          <w:szCs w:val="22"/>
          <w:lang w:val="en-GB" w:eastAsia="en-GB"/>
          <w:rPrChange w:id="313" w:author="Author">
            <w:rPr>
              <w:rFonts w:eastAsia="Times New Roman"/>
              <w:color w:val="auto"/>
              <w:sz w:val="22"/>
              <w:szCs w:val="22"/>
              <w:lang w:eastAsia="en-GB"/>
            </w:rPr>
          </w:rPrChange>
        </w:rPr>
      </w:pPr>
      <w:r w:rsidRPr="00D55B59">
        <w:rPr>
          <w:color w:val="auto"/>
          <w:sz w:val="22"/>
          <w:szCs w:val="22"/>
          <w:lang w:val="en-GB" w:eastAsia="en-GB"/>
          <w:rPrChange w:id="314" w:author="Author">
            <w:rPr>
              <w:color w:val="auto"/>
              <w:sz w:val="22"/>
              <w:szCs w:val="22"/>
              <w:lang w:eastAsia="en-GB"/>
            </w:rPr>
          </w:rPrChange>
        </w:rPr>
        <w:t>Rare post-</w:t>
      </w:r>
      <w:r w:rsidR="00C42229" w:rsidRPr="00D55B59">
        <w:rPr>
          <w:color w:val="auto"/>
          <w:sz w:val="22"/>
          <w:szCs w:val="22"/>
          <w:lang w:val="en-GB" w:eastAsia="en-GB"/>
          <w:rPrChange w:id="315" w:author="Author">
            <w:rPr>
              <w:color w:val="auto"/>
              <w:sz w:val="22"/>
              <w:szCs w:val="22"/>
              <w:lang w:eastAsia="en-GB"/>
            </w:rPr>
          </w:rPrChange>
        </w:rPr>
        <w:t>marketing cases of hepatosplenic T-cell lymphoma have been identified in patients treated with adalimumab. This rare type of T-cell lymphoma has a very aggressive disease course and is usually fatal. Some of these hepatosplenic T-cell lymphomas with</w:t>
      </w:r>
      <w:r w:rsidRPr="00D55B59">
        <w:rPr>
          <w:sz w:val="22"/>
          <w:szCs w:val="22"/>
          <w:lang w:val="en-GB" w:eastAsia="en-GB"/>
          <w:rPrChange w:id="316" w:author="Author">
            <w:rPr>
              <w:sz w:val="22"/>
              <w:szCs w:val="22"/>
              <w:lang w:eastAsia="en-GB"/>
            </w:rPr>
          </w:rPrChange>
        </w:rPr>
        <w:t xml:space="preserve"> adalimumab </w:t>
      </w:r>
      <w:r w:rsidR="00C42229" w:rsidRPr="00D55B59">
        <w:rPr>
          <w:color w:val="auto"/>
          <w:sz w:val="22"/>
          <w:szCs w:val="22"/>
          <w:lang w:val="en-GB" w:eastAsia="en-GB"/>
          <w:rPrChange w:id="317" w:author="Author">
            <w:rPr>
              <w:color w:val="auto"/>
              <w:sz w:val="22"/>
              <w:szCs w:val="22"/>
              <w:lang w:eastAsia="en-GB"/>
            </w:rPr>
          </w:rPrChange>
        </w:rPr>
        <w:t xml:space="preserve">have occurred in young </w:t>
      </w:r>
      <w:r w:rsidR="00C42229" w:rsidRPr="00D55B59">
        <w:rPr>
          <w:rFonts w:eastAsia="Times New Roman"/>
          <w:color w:val="auto"/>
          <w:sz w:val="22"/>
          <w:szCs w:val="22"/>
          <w:lang w:val="en-GB" w:eastAsia="en-GB"/>
          <w:rPrChange w:id="318" w:author="Author">
            <w:rPr>
              <w:rFonts w:eastAsia="Times New Roman"/>
              <w:color w:val="auto"/>
              <w:sz w:val="22"/>
              <w:szCs w:val="22"/>
              <w:lang w:eastAsia="en-GB"/>
            </w:rPr>
          </w:rPrChange>
        </w:rPr>
        <w:t>adult patients on concomitant treatment with azathioprine or 6-mercaptopurine used for inflammatory bowel disease. The potential risk with the combination of azathioprine or 6</w:t>
      </w:r>
      <w:r w:rsidR="00235EA6" w:rsidRPr="00D55B59">
        <w:rPr>
          <w:rFonts w:eastAsia="Times New Roman"/>
          <w:color w:val="auto"/>
          <w:sz w:val="22"/>
          <w:szCs w:val="22"/>
          <w:lang w:val="en-GB" w:eastAsia="en-GB"/>
          <w:rPrChange w:id="319" w:author="Author">
            <w:rPr>
              <w:rFonts w:eastAsia="Times New Roman"/>
              <w:color w:val="auto"/>
              <w:sz w:val="22"/>
              <w:szCs w:val="22"/>
              <w:lang w:eastAsia="en-GB"/>
            </w:rPr>
          </w:rPrChange>
        </w:rPr>
        <w:noBreakHyphen/>
      </w:r>
      <w:r w:rsidR="00C42229" w:rsidRPr="00D55B59">
        <w:rPr>
          <w:rFonts w:eastAsia="Times New Roman"/>
          <w:color w:val="auto"/>
          <w:sz w:val="22"/>
          <w:szCs w:val="22"/>
          <w:lang w:val="en-GB" w:eastAsia="en-GB"/>
          <w:rPrChange w:id="320" w:author="Author">
            <w:rPr>
              <w:rFonts w:eastAsia="Times New Roman"/>
              <w:color w:val="auto"/>
              <w:sz w:val="22"/>
              <w:szCs w:val="22"/>
              <w:lang w:eastAsia="en-GB"/>
            </w:rPr>
          </w:rPrChange>
        </w:rPr>
        <w:t xml:space="preserve">mercaptopurine and </w:t>
      </w:r>
      <w:r w:rsidRPr="00D55B59">
        <w:rPr>
          <w:sz w:val="22"/>
          <w:szCs w:val="22"/>
          <w:lang w:val="en-GB" w:eastAsia="en-GB"/>
          <w:rPrChange w:id="321" w:author="Author">
            <w:rPr>
              <w:sz w:val="22"/>
              <w:szCs w:val="22"/>
              <w:lang w:eastAsia="en-GB"/>
            </w:rPr>
          </w:rPrChange>
        </w:rPr>
        <w:t>AMGEVITA</w:t>
      </w:r>
      <w:r w:rsidR="00C42229" w:rsidRPr="00D55B59">
        <w:rPr>
          <w:rFonts w:eastAsia="Times New Roman"/>
          <w:color w:val="auto"/>
          <w:sz w:val="22"/>
          <w:szCs w:val="22"/>
          <w:lang w:val="en-GB" w:eastAsia="en-GB"/>
          <w:rPrChange w:id="322" w:author="Author">
            <w:rPr>
              <w:rFonts w:eastAsia="Times New Roman"/>
              <w:color w:val="auto"/>
              <w:sz w:val="22"/>
              <w:szCs w:val="22"/>
              <w:lang w:eastAsia="en-GB"/>
            </w:rPr>
          </w:rPrChange>
        </w:rPr>
        <w:t xml:space="preserve"> should be carefully considered. A risk for the development of hepatosplenic T-cell lymphoma in patients treated with </w:t>
      </w:r>
      <w:r w:rsidRPr="00D55B59">
        <w:rPr>
          <w:sz w:val="22"/>
          <w:szCs w:val="22"/>
          <w:lang w:val="en-GB" w:eastAsia="en-GB"/>
          <w:rPrChange w:id="323" w:author="Author">
            <w:rPr>
              <w:sz w:val="22"/>
              <w:szCs w:val="22"/>
              <w:lang w:eastAsia="en-GB"/>
            </w:rPr>
          </w:rPrChange>
        </w:rPr>
        <w:t>AMGEVITA</w:t>
      </w:r>
      <w:r w:rsidR="00C42229" w:rsidRPr="00D55B59">
        <w:rPr>
          <w:rFonts w:eastAsia="Times New Roman"/>
          <w:color w:val="auto"/>
          <w:sz w:val="22"/>
          <w:szCs w:val="22"/>
          <w:lang w:val="en-GB" w:eastAsia="en-GB"/>
          <w:rPrChange w:id="324" w:author="Author">
            <w:rPr>
              <w:rFonts w:eastAsia="Times New Roman"/>
              <w:color w:val="auto"/>
              <w:sz w:val="22"/>
              <w:szCs w:val="22"/>
              <w:lang w:eastAsia="en-GB"/>
            </w:rPr>
          </w:rPrChange>
        </w:rPr>
        <w:t xml:space="preserve"> </w:t>
      </w:r>
      <w:r w:rsidR="005C5B30" w:rsidRPr="00D55B59">
        <w:rPr>
          <w:rFonts w:eastAsia="Times New Roman"/>
          <w:color w:val="auto"/>
          <w:sz w:val="22"/>
          <w:szCs w:val="22"/>
          <w:lang w:val="en-GB" w:eastAsia="en-GB"/>
          <w:rPrChange w:id="325" w:author="Author">
            <w:rPr>
              <w:rFonts w:eastAsia="Times New Roman"/>
              <w:color w:val="auto"/>
              <w:sz w:val="22"/>
              <w:szCs w:val="22"/>
              <w:lang w:eastAsia="en-GB"/>
            </w:rPr>
          </w:rPrChange>
        </w:rPr>
        <w:t>cannot be excluded (see section </w:t>
      </w:r>
      <w:r w:rsidR="00C42229" w:rsidRPr="00D55B59">
        <w:rPr>
          <w:rFonts w:eastAsia="Times New Roman"/>
          <w:color w:val="auto"/>
          <w:sz w:val="22"/>
          <w:szCs w:val="22"/>
          <w:lang w:val="en-GB" w:eastAsia="en-GB"/>
          <w:rPrChange w:id="326" w:author="Author">
            <w:rPr>
              <w:rFonts w:eastAsia="Times New Roman"/>
              <w:color w:val="auto"/>
              <w:sz w:val="22"/>
              <w:szCs w:val="22"/>
              <w:lang w:eastAsia="en-GB"/>
            </w:rPr>
          </w:rPrChange>
        </w:rPr>
        <w:t xml:space="preserve">4.8). </w:t>
      </w:r>
    </w:p>
    <w:p w14:paraId="68349DB9"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593BA18"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No studies have been conducted that include patients with a history of malignancy or in whom treatment with </w:t>
      </w:r>
      <w:r w:rsidR="001B7390" w:rsidRPr="001775D9">
        <w:rPr>
          <w:szCs w:val="22"/>
          <w:lang w:eastAsia="en-GB"/>
        </w:rPr>
        <w:t>adalimumab</w:t>
      </w:r>
      <w:r w:rsidRPr="001775D9">
        <w:rPr>
          <w:szCs w:val="22"/>
          <w:lang w:eastAsia="en-GB"/>
        </w:rPr>
        <w:t xml:space="preserve"> is continued following development of malignancy. Thus additional caution should be exercised in considering </w:t>
      </w:r>
      <w:r w:rsidR="00977500" w:rsidRPr="001775D9">
        <w:rPr>
          <w:color w:val="000000"/>
          <w:szCs w:val="22"/>
          <w:lang w:eastAsia="en-GB"/>
        </w:rPr>
        <w:t>AMGEVITA</w:t>
      </w:r>
      <w:r w:rsidRPr="001775D9">
        <w:rPr>
          <w:szCs w:val="22"/>
          <w:lang w:eastAsia="en-GB"/>
        </w:rPr>
        <w:t xml:space="preserve"> treatment of these patients (see section</w:t>
      </w:r>
      <w:r w:rsidR="005806F9" w:rsidRPr="001775D9">
        <w:rPr>
          <w:szCs w:val="22"/>
          <w:lang w:eastAsia="en-GB"/>
        </w:rPr>
        <w:t> </w:t>
      </w:r>
      <w:r w:rsidRPr="001775D9">
        <w:rPr>
          <w:szCs w:val="22"/>
          <w:lang w:eastAsia="en-GB"/>
        </w:rPr>
        <w:t xml:space="preserve">4.8). </w:t>
      </w:r>
    </w:p>
    <w:p w14:paraId="4F56F62C"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62ECC73" w14:textId="0B030E82" w:rsidR="00C42229" w:rsidRPr="001775D9" w:rsidRDefault="00C42229" w:rsidP="00165F49">
      <w:pPr>
        <w:tabs>
          <w:tab w:val="clear" w:pos="567"/>
        </w:tabs>
        <w:autoSpaceDE w:val="0"/>
        <w:autoSpaceDN w:val="0"/>
        <w:adjustRightInd w:val="0"/>
        <w:spacing w:line="240" w:lineRule="auto"/>
        <w:rPr>
          <w:szCs w:val="22"/>
          <w:lang w:eastAsia="en-GB"/>
        </w:rPr>
      </w:pPr>
      <w:r w:rsidRPr="001775D9">
        <w:rPr>
          <w:szCs w:val="22"/>
          <w:lang w:eastAsia="en-GB"/>
        </w:rPr>
        <w:t xml:space="preserve">All patients, and in particular patients with a medical history of extensive immunosuppressant therapy or psoriasis patients with a history of PUVA treatment should be examined for the presence of non-melanoma skin cancer prior to and during treatment with </w:t>
      </w:r>
      <w:r w:rsidR="00977500" w:rsidRPr="001775D9">
        <w:rPr>
          <w:color w:val="000000"/>
          <w:szCs w:val="22"/>
          <w:lang w:eastAsia="en-GB"/>
        </w:rPr>
        <w:t>AMGEVITA</w:t>
      </w:r>
      <w:r w:rsidRPr="001775D9">
        <w:rPr>
          <w:szCs w:val="22"/>
          <w:lang w:eastAsia="en-GB"/>
        </w:rPr>
        <w:t xml:space="preserve">. Melanoma and Merkel cell carcinoma have also been reported in patients treated with TNF-antagonists including adalimumab (see section 4.8). </w:t>
      </w:r>
    </w:p>
    <w:p w14:paraId="5C66492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B10E376"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an exploratory clinical trial evaluating the use of another TNF-antagonist, infliximab, in patients with moderate to severe chronic obstructive pulmonary disease (COPD), more malignancies, mostly in the lung or head and neck, were reported in infliximab-treated patients compared with control patients. All patients had a history of heavy smoking. Therefore, caution should be exercised when using any TNF-antagonist in COPD patients, as well as in patients with increased risk for malignancy due to heavy smoking. </w:t>
      </w:r>
    </w:p>
    <w:p w14:paraId="31F30999"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3C4035B"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With current data it is not known if adalimumab treatment influences the risk for developing dysplasia or colon cancer. All patients with ulcerative colitis who are at increased risk for dysplasia or colon carcinoma (for example, patients with long-standing ulcerative colitis or primary sclerosing cholangitis), or who had a prior history of dysplasia or colon carcinoma should be screened for dysplasia at regular intervals before therapy and throughout their disease course. This evaluation should include colonoscopy and biopsies per local recommendations. </w:t>
      </w:r>
    </w:p>
    <w:p w14:paraId="21C18C8F"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939FCE7"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Haematologic reactions </w:t>
      </w:r>
    </w:p>
    <w:p w14:paraId="60A7F12C"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25DC1B39"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lang w:eastAsia="en-GB"/>
        </w:rPr>
        <w:t>Rare reports of pancytopenia including aplastic anaemia have been reported with TNF-antagonists. Adverse events of the haematologic system, including medically significant cytopenia (e.g. thrombocytopenia, leu</w:t>
      </w:r>
      <w:r w:rsidR="00084253" w:rsidRPr="001775D9">
        <w:rPr>
          <w:szCs w:val="22"/>
          <w:lang w:eastAsia="en-GB"/>
        </w:rPr>
        <w:t>k</w:t>
      </w:r>
      <w:r w:rsidRPr="001775D9">
        <w:rPr>
          <w:szCs w:val="22"/>
          <w:lang w:eastAsia="en-GB"/>
        </w:rPr>
        <w:t xml:space="preserve">openia) have been reported with </w:t>
      </w:r>
      <w:r w:rsidR="001B7390" w:rsidRPr="001775D9">
        <w:rPr>
          <w:szCs w:val="22"/>
          <w:lang w:eastAsia="en-GB"/>
        </w:rPr>
        <w:t>adalimumab</w:t>
      </w:r>
      <w:r w:rsidRPr="001775D9">
        <w:rPr>
          <w:szCs w:val="22"/>
          <w:lang w:eastAsia="en-GB"/>
        </w:rPr>
        <w:t>. All patients should be advised to seek immediate medical attention if they</w:t>
      </w:r>
      <w:r w:rsidRPr="001775D9">
        <w:rPr>
          <w:color w:val="000000"/>
          <w:szCs w:val="22"/>
          <w:lang w:eastAsia="en-GB"/>
        </w:rPr>
        <w:t xml:space="preserve"> develop signs and symptoms suggestive of blood dyscrasias (e.g. persistent fever, bruising, bleeding, pallor) while on </w:t>
      </w:r>
      <w:r w:rsidR="001B7390" w:rsidRPr="001775D9">
        <w:rPr>
          <w:color w:val="000000"/>
          <w:szCs w:val="22"/>
          <w:lang w:eastAsia="en-GB"/>
        </w:rPr>
        <w:t>AMGEVITA</w:t>
      </w:r>
      <w:r w:rsidRPr="001775D9">
        <w:rPr>
          <w:color w:val="000000"/>
          <w:szCs w:val="22"/>
          <w:lang w:eastAsia="en-GB"/>
        </w:rPr>
        <w:t xml:space="preserve">. Discontinuation of </w:t>
      </w:r>
      <w:r w:rsidR="001B7390" w:rsidRPr="001775D9">
        <w:rPr>
          <w:color w:val="000000"/>
          <w:szCs w:val="22"/>
          <w:lang w:eastAsia="en-GB"/>
        </w:rPr>
        <w:t>AMGEVITA</w:t>
      </w:r>
      <w:r w:rsidRPr="001775D9">
        <w:rPr>
          <w:color w:val="000000"/>
          <w:szCs w:val="22"/>
          <w:lang w:eastAsia="en-GB"/>
        </w:rPr>
        <w:t xml:space="preserve"> therapy should be considered in patients with confirmed significant haematologic abnormalities. </w:t>
      </w:r>
    </w:p>
    <w:p w14:paraId="080D2550" w14:textId="77777777" w:rsidR="006C3476" w:rsidRPr="001775D9" w:rsidRDefault="006C3476" w:rsidP="00FB5458">
      <w:pPr>
        <w:tabs>
          <w:tab w:val="clear" w:pos="567"/>
        </w:tabs>
        <w:autoSpaceDE w:val="0"/>
        <w:autoSpaceDN w:val="0"/>
        <w:adjustRightInd w:val="0"/>
        <w:spacing w:line="240" w:lineRule="auto"/>
        <w:rPr>
          <w:color w:val="000000"/>
          <w:szCs w:val="22"/>
          <w:lang w:eastAsia="en-GB"/>
        </w:rPr>
      </w:pPr>
    </w:p>
    <w:p w14:paraId="7B5D2C1A" w14:textId="77777777" w:rsidR="00C42229" w:rsidRPr="001775D9" w:rsidRDefault="00C42229" w:rsidP="00FB5458">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Vaccinations </w:t>
      </w:r>
    </w:p>
    <w:p w14:paraId="4071CA92"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p>
    <w:p w14:paraId="687516E2"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color w:val="000000"/>
          <w:szCs w:val="22"/>
          <w:lang w:eastAsia="en-GB"/>
        </w:rPr>
        <w:t xml:space="preserve">Similar antibody responses to the standard 23-valent pneumococcal vaccine and the influenza trivalent virus vaccination </w:t>
      </w:r>
      <w:r w:rsidRPr="001775D9">
        <w:rPr>
          <w:szCs w:val="22"/>
          <w:lang w:eastAsia="en-GB"/>
        </w:rPr>
        <w:t xml:space="preserve">were observed in a study </w:t>
      </w:r>
      <w:r w:rsidR="003D4E96" w:rsidRPr="001775D9">
        <w:rPr>
          <w:szCs w:val="22"/>
          <w:lang w:eastAsia="en-GB"/>
        </w:rPr>
        <w:t>i</w:t>
      </w:r>
      <w:r w:rsidRPr="001775D9">
        <w:rPr>
          <w:szCs w:val="22"/>
          <w:lang w:eastAsia="en-GB"/>
        </w:rPr>
        <w:t xml:space="preserve">n 226 adult subjects with rheumatoid arthritis who were treated with adalimumab or placebo. No data are available on the secondary transmission of infection by live vaccines in patients receiving </w:t>
      </w:r>
      <w:r w:rsidR="001B7390" w:rsidRPr="001775D9">
        <w:rPr>
          <w:szCs w:val="22"/>
          <w:lang w:eastAsia="en-GB"/>
        </w:rPr>
        <w:t>adalimumab</w:t>
      </w:r>
      <w:r w:rsidRPr="001775D9">
        <w:rPr>
          <w:szCs w:val="22"/>
          <w:lang w:eastAsia="en-GB"/>
        </w:rPr>
        <w:t xml:space="preserve">. </w:t>
      </w:r>
    </w:p>
    <w:p w14:paraId="6EFBBFC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AF83F48"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It is recommended that paediatric patients, if possible, be brought up to date with all immunisations in agreement with current immunisation guidelines prior to initiating </w:t>
      </w:r>
      <w:r w:rsidR="001B7390" w:rsidRPr="001775D9">
        <w:rPr>
          <w:color w:val="000000"/>
          <w:szCs w:val="22"/>
          <w:lang w:eastAsia="en-GB"/>
        </w:rPr>
        <w:t>AMGEVITA</w:t>
      </w:r>
      <w:r w:rsidRPr="001775D9">
        <w:rPr>
          <w:szCs w:val="22"/>
          <w:lang w:eastAsia="en-GB"/>
        </w:rPr>
        <w:t xml:space="preserve"> therapy. </w:t>
      </w:r>
    </w:p>
    <w:p w14:paraId="30A083D9"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8EEFBBE" w14:textId="77777777" w:rsidR="00C42229" w:rsidRPr="001775D9" w:rsidRDefault="00C42229" w:rsidP="00FB5458">
      <w:pPr>
        <w:tabs>
          <w:tab w:val="clear" w:pos="567"/>
        </w:tabs>
        <w:autoSpaceDE w:val="0"/>
        <w:autoSpaceDN w:val="0"/>
        <w:adjustRightInd w:val="0"/>
        <w:spacing w:line="240" w:lineRule="auto"/>
        <w:rPr>
          <w:b/>
          <w:bCs/>
          <w:szCs w:val="22"/>
          <w:lang w:eastAsia="en-GB"/>
        </w:rPr>
      </w:pPr>
      <w:r w:rsidRPr="001775D9">
        <w:rPr>
          <w:szCs w:val="22"/>
          <w:lang w:eastAsia="en-GB"/>
        </w:rPr>
        <w:t xml:space="preserve">Patients on </w:t>
      </w:r>
      <w:r w:rsidR="001B7390" w:rsidRPr="001775D9">
        <w:rPr>
          <w:color w:val="000000"/>
          <w:szCs w:val="22"/>
          <w:lang w:eastAsia="en-GB"/>
        </w:rPr>
        <w:t>AMGEVITA</w:t>
      </w:r>
      <w:r w:rsidRPr="001775D9">
        <w:rPr>
          <w:szCs w:val="22"/>
          <w:lang w:eastAsia="en-GB"/>
        </w:rPr>
        <w:t xml:space="preserve"> may receive concurrent vaccinations, except for live vaccines. Administration of live vaccines </w:t>
      </w:r>
      <w:r w:rsidR="00BE1294" w:rsidRPr="001775D9">
        <w:rPr>
          <w:szCs w:val="22"/>
          <w:lang w:eastAsia="en-GB"/>
        </w:rPr>
        <w:t xml:space="preserve">(e.g., BCG vaccine) </w:t>
      </w:r>
      <w:r w:rsidRPr="001775D9">
        <w:rPr>
          <w:szCs w:val="22"/>
          <w:lang w:eastAsia="en-GB"/>
        </w:rPr>
        <w:t>to infants exposed to</w:t>
      </w:r>
      <w:r w:rsidR="00D55EB0" w:rsidRPr="001775D9">
        <w:rPr>
          <w:szCs w:val="22"/>
          <w:lang w:eastAsia="en-GB"/>
        </w:rPr>
        <w:t xml:space="preserve"> </w:t>
      </w:r>
      <w:r w:rsidR="001B7390" w:rsidRPr="001775D9">
        <w:rPr>
          <w:color w:val="000000"/>
          <w:szCs w:val="22"/>
          <w:lang w:eastAsia="en-GB"/>
        </w:rPr>
        <w:t>AMGEVITA</w:t>
      </w:r>
      <w:r w:rsidR="002E0555" w:rsidRPr="001775D9">
        <w:rPr>
          <w:szCs w:val="22"/>
          <w:lang w:eastAsia="en-GB"/>
        </w:rPr>
        <w:t xml:space="preserve"> </w:t>
      </w:r>
      <w:r w:rsidRPr="001775D9">
        <w:rPr>
          <w:i/>
          <w:iCs/>
          <w:szCs w:val="22"/>
          <w:lang w:eastAsia="en-GB"/>
        </w:rPr>
        <w:t>in utero</w:t>
      </w:r>
      <w:r w:rsidRPr="001775D9">
        <w:rPr>
          <w:szCs w:val="22"/>
          <w:lang w:eastAsia="en-GB"/>
        </w:rPr>
        <w:t xml:space="preserve"> is not recommended for 5</w:t>
      </w:r>
      <w:r w:rsidRPr="001775D9">
        <w:rPr>
          <w:szCs w:val="22"/>
        </w:rPr>
        <w:t> </w:t>
      </w:r>
      <w:r w:rsidRPr="001775D9">
        <w:rPr>
          <w:szCs w:val="22"/>
          <w:lang w:eastAsia="en-GB"/>
        </w:rPr>
        <w:t xml:space="preserve">months following the mother’s last </w:t>
      </w:r>
      <w:r w:rsidR="001B7390" w:rsidRPr="001775D9">
        <w:rPr>
          <w:color w:val="000000"/>
          <w:szCs w:val="22"/>
          <w:lang w:eastAsia="en-GB"/>
        </w:rPr>
        <w:t>AMGEVITA</w:t>
      </w:r>
      <w:r w:rsidR="002E0555" w:rsidRPr="001775D9">
        <w:rPr>
          <w:szCs w:val="22"/>
          <w:lang w:eastAsia="en-GB"/>
        </w:rPr>
        <w:t xml:space="preserve"> </w:t>
      </w:r>
      <w:r w:rsidRPr="001775D9">
        <w:rPr>
          <w:szCs w:val="22"/>
          <w:lang w:eastAsia="en-GB"/>
        </w:rPr>
        <w:t>injection during pregnancy.</w:t>
      </w:r>
    </w:p>
    <w:p w14:paraId="233C6EAF" w14:textId="77777777" w:rsidR="007F5FA0" w:rsidRPr="001775D9" w:rsidRDefault="007F5FA0" w:rsidP="00FB5458">
      <w:pPr>
        <w:tabs>
          <w:tab w:val="clear" w:pos="567"/>
        </w:tabs>
        <w:autoSpaceDE w:val="0"/>
        <w:autoSpaceDN w:val="0"/>
        <w:adjustRightInd w:val="0"/>
        <w:spacing w:line="240" w:lineRule="auto"/>
        <w:rPr>
          <w:szCs w:val="22"/>
          <w:u w:val="single"/>
          <w:lang w:eastAsia="en-GB"/>
        </w:rPr>
      </w:pPr>
    </w:p>
    <w:p w14:paraId="606EEE10" w14:textId="77777777" w:rsidR="00C42229" w:rsidRPr="001775D9" w:rsidRDefault="00C42229" w:rsidP="00CF6F25">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Congestive heart failure </w:t>
      </w:r>
    </w:p>
    <w:p w14:paraId="1AAFC863"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4A73902"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a clinical trial with another TNF-antagonist worsening congestive heart failure and increased mortality due to congestive heart failure have been observed. Cases of worsening congestive heart failure have also been reported in patients receiving </w:t>
      </w:r>
      <w:r w:rsidR="001B7390" w:rsidRPr="001775D9">
        <w:rPr>
          <w:szCs w:val="22"/>
          <w:lang w:eastAsia="en-GB"/>
        </w:rPr>
        <w:t>adalimumab</w:t>
      </w:r>
      <w:r w:rsidRPr="001775D9">
        <w:rPr>
          <w:szCs w:val="22"/>
          <w:lang w:eastAsia="en-GB"/>
        </w:rPr>
        <w:t xml:space="preserve">. </w:t>
      </w:r>
      <w:r w:rsidR="001B7390" w:rsidRPr="001775D9">
        <w:rPr>
          <w:color w:val="000000"/>
          <w:szCs w:val="22"/>
          <w:lang w:eastAsia="en-GB"/>
        </w:rPr>
        <w:t>AMGEVITA</w:t>
      </w:r>
      <w:r w:rsidRPr="001775D9">
        <w:rPr>
          <w:szCs w:val="22"/>
          <w:lang w:eastAsia="en-GB"/>
        </w:rPr>
        <w:t xml:space="preserve"> should be used with caution in patients with mild heart failure (NYHA class I/II). </w:t>
      </w:r>
      <w:r w:rsidR="001B7390" w:rsidRPr="001775D9">
        <w:rPr>
          <w:color w:val="000000"/>
          <w:szCs w:val="22"/>
          <w:lang w:eastAsia="en-GB"/>
        </w:rPr>
        <w:t>AMGEVITA</w:t>
      </w:r>
      <w:r w:rsidRPr="001775D9">
        <w:rPr>
          <w:szCs w:val="22"/>
          <w:lang w:eastAsia="en-GB"/>
        </w:rPr>
        <w:t xml:space="preserve"> is contraindicated in moderate to severe heart failure (see section 4.3). Treatment with </w:t>
      </w:r>
      <w:r w:rsidR="001B7390" w:rsidRPr="001775D9">
        <w:rPr>
          <w:color w:val="000000"/>
          <w:szCs w:val="22"/>
          <w:lang w:eastAsia="en-GB"/>
        </w:rPr>
        <w:t>AMGEVITA</w:t>
      </w:r>
      <w:r w:rsidRPr="001775D9">
        <w:rPr>
          <w:szCs w:val="22"/>
          <w:lang w:eastAsia="en-GB"/>
        </w:rPr>
        <w:t xml:space="preserve"> must be discontinued in patients who develop new or worsening symptoms of congestive heart failure. </w:t>
      </w:r>
    </w:p>
    <w:p w14:paraId="7E42E0A8"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6B1928D"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Autoimmune processes </w:t>
      </w:r>
    </w:p>
    <w:p w14:paraId="45501F70"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2DD2DAF7"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Treatment with </w:t>
      </w:r>
      <w:r w:rsidR="001B7390" w:rsidRPr="001775D9">
        <w:rPr>
          <w:color w:val="000000"/>
          <w:szCs w:val="22"/>
          <w:lang w:eastAsia="en-GB"/>
        </w:rPr>
        <w:t>AMGEVITA</w:t>
      </w:r>
      <w:r w:rsidRPr="001775D9">
        <w:rPr>
          <w:szCs w:val="22"/>
          <w:lang w:eastAsia="en-GB"/>
        </w:rPr>
        <w:t xml:space="preserve"> may result in the formation of autoimmune antibodies. The impact of long-term treatment with </w:t>
      </w:r>
      <w:r w:rsidR="001B7390" w:rsidRPr="001775D9">
        <w:rPr>
          <w:color w:val="000000"/>
          <w:szCs w:val="22"/>
          <w:lang w:eastAsia="en-GB"/>
        </w:rPr>
        <w:t>AMGEVITA</w:t>
      </w:r>
      <w:r w:rsidRPr="001775D9">
        <w:rPr>
          <w:szCs w:val="22"/>
          <w:lang w:eastAsia="en-GB"/>
        </w:rPr>
        <w:t xml:space="preserve"> on the development of autoimmune diseases is unknown. If a patient develops symptoms suggestive of a lupus-like syndrome following treatment with </w:t>
      </w:r>
      <w:r w:rsidR="001B7390" w:rsidRPr="001775D9">
        <w:rPr>
          <w:color w:val="000000"/>
          <w:szCs w:val="22"/>
          <w:lang w:eastAsia="en-GB"/>
        </w:rPr>
        <w:t>AMGEVITA</w:t>
      </w:r>
      <w:r w:rsidRPr="001775D9">
        <w:rPr>
          <w:szCs w:val="22"/>
          <w:lang w:eastAsia="en-GB"/>
        </w:rPr>
        <w:t xml:space="preserve"> and is positive for antibodies against double-stranded DNA, further treatment with </w:t>
      </w:r>
      <w:r w:rsidR="001B7390" w:rsidRPr="001775D9">
        <w:rPr>
          <w:color w:val="000000"/>
          <w:szCs w:val="22"/>
          <w:lang w:eastAsia="en-GB"/>
        </w:rPr>
        <w:t>AMGEVITA</w:t>
      </w:r>
      <w:r w:rsidRPr="001775D9">
        <w:rPr>
          <w:szCs w:val="22"/>
          <w:lang w:eastAsia="en-GB"/>
        </w:rPr>
        <w:t xml:space="preserve"> should not be given (see section 4.8). </w:t>
      </w:r>
    </w:p>
    <w:p w14:paraId="0D26EFF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9D01C4A" w14:textId="093B38B7" w:rsidR="00C42229" w:rsidRPr="001775D9" w:rsidRDefault="00C42229" w:rsidP="008024E2">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Concurrent administration of biologic DMARD</w:t>
      </w:r>
      <w:r w:rsidR="00FD5D5F" w:rsidRPr="001775D9">
        <w:rPr>
          <w:szCs w:val="22"/>
          <w:u w:val="single"/>
          <w:lang w:eastAsia="en-GB"/>
        </w:rPr>
        <w:t>s</w:t>
      </w:r>
      <w:r w:rsidRPr="001775D9">
        <w:rPr>
          <w:szCs w:val="22"/>
          <w:u w:val="single"/>
          <w:lang w:eastAsia="en-GB"/>
        </w:rPr>
        <w:t xml:space="preserve"> or TNF-antagonists </w:t>
      </w:r>
    </w:p>
    <w:p w14:paraId="2FDA02A6" w14:textId="77777777" w:rsidR="00C42229" w:rsidRPr="001775D9" w:rsidRDefault="00C42229" w:rsidP="008024E2">
      <w:pPr>
        <w:keepNext/>
        <w:tabs>
          <w:tab w:val="clear" w:pos="567"/>
        </w:tabs>
        <w:autoSpaceDE w:val="0"/>
        <w:autoSpaceDN w:val="0"/>
        <w:adjustRightInd w:val="0"/>
        <w:spacing w:line="240" w:lineRule="auto"/>
        <w:rPr>
          <w:szCs w:val="22"/>
          <w:u w:val="single"/>
          <w:lang w:eastAsia="en-GB"/>
        </w:rPr>
      </w:pPr>
    </w:p>
    <w:p w14:paraId="59A463E2" w14:textId="396DD677" w:rsidR="00C42229" w:rsidRPr="001775D9" w:rsidRDefault="00C42229" w:rsidP="008024E2">
      <w:pPr>
        <w:keepNext/>
        <w:tabs>
          <w:tab w:val="clear" w:pos="567"/>
        </w:tabs>
        <w:autoSpaceDE w:val="0"/>
        <w:autoSpaceDN w:val="0"/>
        <w:adjustRightInd w:val="0"/>
        <w:spacing w:line="240" w:lineRule="auto"/>
        <w:rPr>
          <w:szCs w:val="22"/>
          <w:lang w:eastAsia="en-GB"/>
        </w:rPr>
      </w:pPr>
      <w:r w:rsidRPr="001775D9">
        <w:rPr>
          <w:szCs w:val="22"/>
          <w:lang w:eastAsia="en-GB"/>
        </w:rPr>
        <w:t xml:space="preserve">Serious infections were seen in clinical studies with concurrent use of anakinra and another TNF-antagonist, etanercept, with no added clinical benefit compared to etanercept alone. Because of the nature of the adverse events seen with the combination of etanercept and anakinra therapy, similar toxicities may also result from the combination of anakinra and other TNF-antagonists. Therefore, the combination of </w:t>
      </w:r>
      <w:r w:rsidR="001B7390" w:rsidRPr="001775D9">
        <w:rPr>
          <w:szCs w:val="22"/>
          <w:lang w:eastAsia="en-GB"/>
        </w:rPr>
        <w:t xml:space="preserve">AMGEVITA </w:t>
      </w:r>
      <w:r w:rsidR="00BB677E" w:rsidRPr="001775D9">
        <w:rPr>
          <w:szCs w:val="22"/>
          <w:lang w:eastAsia="en-GB"/>
        </w:rPr>
        <w:t xml:space="preserve">and </w:t>
      </w:r>
      <w:r w:rsidRPr="001775D9">
        <w:rPr>
          <w:szCs w:val="22"/>
          <w:lang w:eastAsia="en-GB"/>
        </w:rPr>
        <w:t>anakinra is not recommended (</w:t>
      </w:r>
      <w:r w:rsidR="00BF64E3" w:rsidRPr="001775D9">
        <w:rPr>
          <w:szCs w:val="22"/>
          <w:lang w:eastAsia="en-GB"/>
        </w:rPr>
        <w:t>s</w:t>
      </w:r>
      <w:r w:rsidRPr="001775D9">
        <w:rPr>
          <w:szCs w:val="22"/>
          <w:lang w:eastAsia="en-GB"/>
        </w:rPr>
        <w:t xml:space="preserve">ee section 4.5). </w:t>
      </w:r>
    </w:p>
    <w:p w14:paraId="1298BD2E"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89E4CA8" w14:textId="3FFB85F8"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lang w:eastAsia="en-GB"/>
        </w:rPr>
        <w:t>Concomitant administration of</w:t>
      </w:r>
      <w:r w:rsidR="00D55EB0" w:rsidRPr="001775D9">
        <w:rPr>
          <w:szCs w:val="22"/>
          <w:lang w:eastAsia="en-GB"/>
        </w:rPr>
        <w:t xml:space="preserve"> </w:t>
      </w:r>
      <w:r w:rsidR="001B7390" w:rsidRPr="001775D9">
        <w:rPr>
          <w:szCs w:val="22"/>
          <w:lang w:eastAsia="en-GB"/>
        </w:rPr>
        <w:t>AMGEVITA</w:t>
      </w:r>
      <w:r w:rsidR="00BD39C0" w:rsidRPr="001775D9">
        <w:rPr>
          <w:szCs w:val="22"/>
          <w:lang w:eastAsia="en-GB"/>
        </w:rPr>
        <w:t xml:space="preserve"> </w:t>
      </w:r>
      <w:r w:rsidRPr="001775D9">
        <w:rPr>
          <w:szCs w:val="22"/>
          <w:lang w:eastAsia="en-GB"/>
        </w:rPr>
        <w:t>with other biologic DMARD</w:t>
      </w:r>
      <w:r w:rsidR="00FD5D5F" w:rsidRPr="001775D9">
        <w:rPr>
          <w:szCs w:val="22"/>
          <w:lang w:eastAsia="en-GB"/>
        </w:rPr>
        <w:t>s</w:t>
      </w:r>
      <w:r w:rsidRPr="001775D9">
        <w:rPr>
          <w:szCs w:val="22"/>
          <w:lang w:eastAsia="en-GB"/>
        </w:rPr>
        <w:t xml:space="preserve"> (</w:t>
      </w:r>
      <w:r w:rsidR="001B7390" w:rsidRPr="001775D9">
        <w:rPr>
          <w:szCs w:val="22"/>
          <w:lang w:eastAsia="en-GB"/>
        </w:rPr>
        <w:t>e.g.</w:t>
      </w:r>
      <w:r w:rsidRPr="001775D9">
        <w:rPr>
          <w:szCs w:val="22"/>
          <w:lang w:eastAsia="en-GB"/>
        </w:rPr>
        <w:t xml:space="preserve"> anakinra and abatacept) or other TNF-antagonists is not recommended based upon the possible increased risk for</w:t>
      </w:r>
      <w:r w:rsidR="00962860" w:rsidRPr="001775D9">
        <w:rPr>
          <w:szCs w:val="22"/>
          <w:lang w:eastAsia="en-GB"/>
        </w:rPr>
        <w:t xml:space="preserve"> </w:t>
      </w:r>
      <w:r w:rsidRPr="001775D9">
        <w:rPr>
          <w:szCs w:val="22"/>
          <w:lang w:eastAsia="en-GB"/>
        </w:rPr>
        <w:t>infections, including serious infections and other potential pharmacological</w:t>
      </w:r>
      <w:r w:rsidRPr="001775D9">
        <w:rPr>
          <w:color w:val="000000"/>
          <w:szCs w:val="22"/>
          <w:lang w:eastAsia="en-GB"/>
        </w:rPr>
        <w:t xml:space="preserve"> interactions (</w:t>
      </w:r>
      <w:r w:rsidR="001B7390" w:rsidRPr="001775D9">
        <w:rPr>
          <w:color w:val="000000"/>
          <w:szCs w:val="22"/>
          <w:lang w:eastAsia="en-GB"/>
        </w:rPr>
        <w:t>s</w:t>
      </w:r>
      <w:r w:rsidRPr="001775D9">
        <w:rPr>
          <w:color w:val="000000"/>
          <w:szCs w:val="22"/>
          <w:lang w:eastAsia="en-GB"/>
        </w:rPr>
        <w:t>ee section</w:t>
      </w:r>
      <w:r w:rsidR="006D2088" w:rsidRPr="001775D9">
        <w:rPr>
          <w:color w:val="000000"/>
          <w:szCs w:val="22"/>
        </w:rPr>
        <w:t> </w:t>
      </w:r>
      <w:r w:rsidRPr="001775D9">
        <w:rPr>
          <w:color w:val="000000"/>
          <w:szCs w:val="22"/>
          <w:lang w:eastAsia="en-GB"/>
        </w:rPr>
        <w:t xml:space="preserve">4.5). </w:t>
      </w:r>
    </w:p>
    <w:p w14:paraId="3BEF6C53"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6B1B74D5" w14:textId="77777777" w:rsidR="00C42229" w:rsidRPr="001775D9" w:rsidRDefault="00C42229" w:rsidP="00FB5458">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Surgery </w:t>
      </w:r>
    </w:p>
    <w:p w14:paraId="175DF090"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p>
    <w:p w14:paraId="09E28E6C"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There is limited safety experience of </w:t>
      </w:r>
      <w:r w:rsidR="005F03FE" w:rsidRPr="001775D9">
        <w:rPr>
          <w:color w:val="000000"/>
          <w:szCs w:val="22"/>
          <w:lang w:eastAsia="en-GB"/>
        </w:rPr>
        <w:t>s</w:t>
      </w:r>
      <w:r w:rsidRPr="001775D9">
        <w:rPr>
          <w:color w:val="000000"/>
          <w:szCs w:val="22"/>
          <w:lang w:eastAsia="en-GB"/>
        </w:rPr>
        <w:t xml:space="preserve">urgical </w:t>
      </w:r>
      <w:r w:rsidRPr="001775D9">
        <w:rPr>
          <w:szCs w:val="22"/>
          <w:lang w:eastAsia="en-GB"/>
        </w:rPr>
        <w:t xml:space="preserve">procedures in patients treated with </w:t>
      </w:r>
      <w:r w:rsidR="003D4E96" w:rsidRPr="001775D9">
        <w:rPr>
          <w:szCs w:val="22"/>
          <w:lang w:eastAsia="en-GB"/>
        </w:rPr>
        <w:t>adalimumab</w:t>
      </w:r>
      <w:r w:rsidRPr="001775D9">
        <w:rPr>
          <w:szCs w:val="22"/>
          <w:lang w:eastAsia="en-GB"/>
        </w:rPr>
        <w:t xml:space="preserve">. The long half-life of </w:t>
      </w:r>
      <w:r w:rsidR="00BB677E" w:rsidRPr="001775D9">
        <w:rPr>
          <w:szCs w:val="22"/>
          <w:lang w:eastAsia="en-GB"/>
        </w:rPr>
        <w:t>adalimumab</w:t>
      </w:r>
      <w:r w:rsidR="00D55EB0" w:rsidRPr="001775D9">
        <w:rPr>
          <w:szCs w:val="22"/>
          <w:lang w:eastAsia="en-GB"/>
        </w:rPr>
        <w:t xml:space="preserve"> </w:t>
      </w:r>
      <w:r w:rsidRPr="001775D9">
        <w:rPr>
          <w:szCs w:val="22"/>
          <w:lang w:eastAsia="en-GB"/>
        </w:rPr>
        <w:t>should be taken into consideration if a surgical procedure is planned. A patient who requires surgery while on</w:t>
      </w:r>
      <w:r w:rsidR="001B7390" w:rsidRPr="001775D9">
        <w:rPr>
          <w:szCs w:val="22"/>
          <w:lang w:eastAsia="en-GB"/>
        </w:rPr>
        <w:t xml:space="preserve"> </w:t>
      </w:r>
      <w:r w:rsidR="001B7390" w:rsidRPr="001775D9">
        <w:rPr>
          <w:color w:val="000000"/>
          <w:szCs w:val="22"/>
          <w:lang w:eastAsia="en-GB"/>
        </w:rPr>
        <w:t>AMGEVITA</w:t>
      </w:r>
      <w:r w:rsidR="001B7390" w:rsidRPr="001775D9">
        <w:rPr>
          <w:szCs w:val="22"/>
          <w:lang w:eastAsia="en-GB"/>
        </w:rPr>
        <w:t xml:space="preserve"> </w:t>
      </w:r>
      <w:r w:rsidRPr="001775D9">
        <w:rPr>
          <w:szCs w:val="22"/>
          <w:lang w:eastAsia="en-GB"/>
        </w:rPr>
        <w:t xml:space="preserve">should be closely monitored for infections, and appropriate actions should be taken. There is limited safety experience in patients undergoing arthroplasty while receiving </w:t>
      </w:r>
      <w:r w:rsidR="0074522E" w:rsidRPr="001775D9">
        <w:rPr>
          <w:color w:val="000000"/>
          <w:szCs w:val="22"/>
          <w:lang w:eastAsia="en-GB"/>
        </w:rPr>
        <w:t>adalimumab</w:t>
      </w:r>
      <w:r w:rsidRPr="001775D9">
        <w:rPr>
          <w:szCs w:val="22"/>
          <w:lang w:eastAsia="en-GB"/>
        </w:rPr>
        <w:t xml:space="preserve">. </w:t>
      </w:r>
    </w:p>
    <w:p w14:paraId="537E6AFF" w14:textId="77777777" w:rsidR="006C3476" w:rsidRPr="001775D9" w:rsidRDefault="006C3476" w:rsidP="00FB5458">
      <w:pPr>
        <w:tabs>
          <w:tab w:val="clear" w:pos="567"/>
        </w:tabs>
        <w:autoSpaceDE w:val="0"/>
        <w:autoSpaceDN w:val="0"/>
        <w:adjustRightInd w:val="0"/>
        <w:spacing w:line="240" w:lineRule="auto"/>
        <w:rPr>
          <w:szCs w:val="22"/>
          <w:lang w:eastAsia="en-GB"/>
        </w:rPr>
      </w:pPr>
    </w:p>
    <w:p w14:paraId="33DBA775"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Small bowel obstruction </w:t>
      </w:r>
    </w:p>
    <w:p w14:paraId="0CB3FFC9"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7068720C"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Failure to respond to treatment for Crohn’s disease may indicate the presence of fixed fibrotic stricture that may require surgical treatment. Available data suggest that </w:t>
      </w:r>
      <w:r w:rsidR="001B7390" w:rsidRPr="001775D9">
        <w:rPr>
          <w:szCs w:val="22"/>
          <w:lang w:eastAsia="en-GB"/>
        </w:rPr>
        <w:t>adalimumab</w:t>
      </w:r>
      <w:r w:rsidRPr="001775D9">
        <w:rPr>
          <w:szCs w:val="22"/>
          <w:lang w:eastAsia="en-GB"/>
        </w:rPr>
        <w:t xml:space="preserve"> does not worsen or cause strictures. </w:t>
      </w:r>
    </w:p>
    <w:p w14:paraId="71EC20C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AB1899F" w14:textId="77777777" w:rsidR="00C42229" w:rsidRPr="001775D9" w:rsidRDefault="009E2A1F"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Elderly</w:t>
      </w:r>
    </w:p>
    <w:p w14:paraId="57F955D4"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135E8148"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The frequency of serious infections among </w:t>
      </w:r>
      <w:r w:rsidR="001B7390" w:rsidRPr="001775D9">
        <w:rPr>
          <w:szCs w:val="22"/>
          <w:lang w:eastAsia="en-GB"/>
        </w:rPr>
        <w:t>adalimumab</w:t>
      </w:r>
      <w:r w:rsidR="00A515F5" w:rsidRPr="001775D9">
        <w:rPr>
          <w:szCs w:val="22"/>
          <w:lang w:eastAsia="en-GB"/>
        </w:rPr>
        <w:t>-</w:t>
      </w:r>
      <w:r w:rsidRPr="001775D9">
        <w:rPr>
          <w:szCs w:val="22"/>
          <w:lang w:eastAsia="en-GB"/>
        </w:rPr>
        <w:t>treated subjects over 65</w:t>
      </w:r>
      <w:r w:rsidRPr="001775D9">
        <w:rPr>
          <w:szCs w:val="22"/>
        </w:rPr>
        <w:t> </w:t>
      </w:r>
      <w:r w:rsidRPr="001775D9">
        <w:rPr>
          <w:szCs w:val="22"/>
          <w:lang w:eastAsia="en-GB"/>
        </w:rPr>
        <w:t>years of age (3.</w:t>
      </w:r>
      <w:r w:rsidR="0099495A" w:rsidRPr="001775D9">
        <w:rPr>
          <w:szCs w:val="22"/>
          <w:lang w:eastAsia="en-GB"/>
        </w:rPr>
        <w:t>7</w:t>
      </w:r>
      <w:r w:rsidRPr="001775D9">
        <w:rPr>
          <w:szCs w:val="22"/>
          <w:lang w:eastAsia="en-GB"/>
        </w:rPr>
        <w:t>%) was higher than for those under 65</w:t>
      </w:r>
      <w:r w:rsidRPr="001775D9">
        <w:rPr>
          <w:szCs w:val="22"/>
        </w:rPr>
        <w:t> </w:t>
      </w:r>
      <w:r w:rsidRPr="001775D9">
        <w:rPr>
          <w:szCs w:val="22"/>
          <w:lang w:eastAsia="en-GB"/>
        </w:rPr>
        <w:t>years of age (1.</w:t>
      </w:r>
      <w:r w:rsidR="0099495A" w:rsidRPr="001775D9">
        <w:rPr>
          <w:szCs w:val="22"/>
          <w:lang w:eastAsia="en-GB"/>
        </w:rPr>
        <w:t>5</w:t>
      </w:r>
      <w:r w:rsidRPr="001775D9">
        <w:rPr>
          <w:szCs w:val="22"/>
          <w:lang w:eastAsia="en-GB"/>
        </w:rPr>
        <w:t xml:space="preserve">%). Some of those had a fatal outcome. Particular attention regarding the risk for infection should be paid when treating the elderly. </w:t>
      </w:r>
    </w:p>
    <w:p w14:paraId="2B9263C6"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A0A7ABF"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Paediatric population </w:t>
      </w:r>
    </w:p>
    <w:p w14:paraId="6F13C6B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4BBC980"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See </w:t>
      </w:r>
      <w:r w:rsidR="002F26FB" w:rsidRPr="001775D9">
        <w:rPr>
          <w:szCs w:val="22"/>
          <w:lang w:eastAsia="en-GB"/>
        </w:rPr>
        <w:t>V</w:t>
      </w:r>
      <w:r w:rsidRPr="001775D9">
        <w:rPr>
          <w:szCs w:val="22"/>
          <w:lang w:eastAsia="en-GB"/>
        </w:rPr>
        <w:t>accinations</w:t>
      </w:r>
      <w:r w:rsidR="00B17805" w:rsidRPr="001775D9">
        <w:rPr>
          <w:szCs w:val="22"/>
          <w:lang w:eastAsia="en-GB"/>
        </w:rPr>
        <w:t xml:space="preserve"> </w:t>
      </w:r>
      <w:r w:rsidR="002F26FB" w:rsidRPr="001775D9">
        <w:rPr>
          <w:szCs w:val="22"/>
          <w:lang w:eastAsia="en-GB"/>
        </w:rPr>
        <w:t>above</w:t>
      </w:r>
      <w:r w:rsidRPr="001775D9">
        <w:rPr>
          <w:szCs w:val="22"/>
          <w:lang w:eastAsia="en-GB"/>
        </w:rPr>
        <w:t>.</w:t>
      </w:r>
    </w:p>
    <w:p w14:paraId="132E1E20" w14:textId="77777777" w:rsidR="0061401E" w:rsidRPr="001775D9" w:rsidRDefault="0061401E" w:rsidP="00FB5458">
      <w:pPr>
        <w:tabs>
          <w:tab w:val="clear" w:pos="567"/>
        </w:tabs>
        <w:autoSpaceDE w:val="0"/>
        <w:autoSpaceDN w:val="0"/>
        <w:adjustRightInd w:val="0"/>
        <w:spacing w:line="240" w:lineRule="auto"/>
        <w:rPr>
          <w:szCs w:val="22"/>
          <w:lang w:eastAsia="en-GB"/>
        </w:rPr>
      </w:pPr>
    </w:p>
    <w:p w14:paraId="6B46774E" w14:textId="2F4F4B7E" w:rsidR="0061401E" w:rsidRPr="001775D9" w:rsidRDefault="00FD5D5F" w:rsidP="00A757C6">
      <w:pPr>
        <w:keepNext/>
        <w:tabs>
          <w:tab w:val="clear" w:pos="567"/>
        </w:tabs>
        <w:suppressAutoHyphens/>
        <w:spacing w:line="240" w:lineRule="auto"/>
        <w:rPr>
          <w:rFonts w:eastAsia="Times New Roman"/>
          <w:szCs w:val="24"/>
          <w:u w:val="single"/>
        </w:rPr>
      </w:pPr>
      <w:r w:rsidRPr="001775D9">
        <w:rPr>
          <w:rFonts w:eastAsia="Times New Roman"/>
          <w:szCs w:val="24"/>
          <w:u w:val="single"/>
        </w:rPr>
        <w:t>Sodium contents</w:t>
      </w:r>
    </w:p>
    <w:p w14:paraId="095BE8B2" w14:textId="77777777" w:rsidR="0061401E" w:rsidRPr="001775D9" w:rsidRDefault="0061401E" w:rsidP="00CF6F25">
      <w:pPr>
        <w:keepNext/>
        <w:suppressAutoHyphens/>
        <w:autoSpaceDE w:val="0"/>
        <w:autoSpaceDN w:val="0"/>
        <w:adjustRightInd w:val="0"/>
        <w:spacing w:line="240" w:lineRule="auto"/>
        <w:rPr>
          <w:rFonts w:eastAsia="Times New Roman"/>
          <w:szCs w:val="22"/>
        </w:rPr>
      </w:pPr>
    </w:p>
    <w:p w14:paraId="25FAA3CC" w14:textId="0B7D64B3" w:rsidR="0061401E" w:rsidRPr="001775D9" w:rsidRDefault="0061401E" w:rsidP="0076030B">
      <w:pPr>
        <w:suppressAutoHyphens/>
        <w:autoSpaceDE w:val="0"/>
        <w:autoSpaceDN w:val="0"/>
        <w:adjustRightInd w:val="0"/>
        <w:spacing w:line="240" w:lineRule="auto"/>
        <w:rPr>
          <w:rFonts w:eastAsia="Times New Roman"/>
          <w:szCs w:val="22"/>
        </w:rPr>
      </w:pPr>
      <w:r w:rsidRPr="001775D9">
        <w:rPr>
          <w:rFonts w:eastAsia="Times New Roman"/>
          <w:szCs w:val="22"/>
        </w:rPr>
        <w:t xml:space="preserve">This medicinal product contains less than 1 mmol of sodium (23 mg) per 0.8 ml dose, </w:t>
      </w:r>
      <w:r w:rsidR="00DF07DE" w:rsidRPr="001775D9">
        <w:rPr>
          <w:rFonts w:eastAsia="Times New Roman"/>
          <w:szCs w:val="22"/>
        </w:rPr>
        <w:t>that is to say</w:t>
      </w:r>
      <w:r w:rsidRPr="001775D9">
        <w:rPr>
          <w:rFonts w:eastAsia="Times New Roman"/>
          <w:szCs w:val="22"/>
        </w:rPr>
        <w:t xml:space="preserve"> essentially ‘sodium-free’.</w:t>
      </w:r>
    </w:p>
    <w:p w14:paraId="1B6A8641" w14:textId="77777777" w:rsidR="00B9052D" w:rsidRPr="001775D9" w:rsidRDefault="00B9052D" w:rsidP="00FB5458">
      <w:pPr>
        <w:tabs>
          <w:tab w:val="clear" w:pos="567"/>
        </w:tabs>
        <w:autoSpaceDE w:val="0"/>
        <w:autoSpaceDN w:val="0"/>
        <w:adjustRightInd w:val="0"/>
        <w:spacing w:line="240" w:lineRule="auto"/>
        <w:rPr>
          <w:szCs w:val="22"/>
          <w:lang w:eastAsia="en-GB"/>
        </w:rPr>
      </w:pPr>
    </w:p>
    <w:p w14:paraId="60AD277B" w14:textId="75BBFAA5" w:rsidR="00C42229" w:rsidRPr="001775D9" w:rsidRDefault="00C42229" w:rsidP="00B61D9D">
      <w:pPr>
        <w:tabs>
          <w:tab w:val="clear" w:pos="567"/>
        </w:tabs>
        <w:autoSpaceDE w:val="0"/>
        <w:autoSpaceDN w:val="0"/>
        <w:adjustRightInd w:val="0"/>
        <w:spacing w:line="240" w:lineRule="auto"/>
        <w:ind w:left="567" w:hanging="567"/>
        <w:rPr>
          <w:szCs w:val="22"/>
          <w:lang w:eastAsia="en-GB"/>
        </w:rPr>
      </w:pPr>
      <w:r w:rsidRPr="001775D9">
        <w:rPr>
          <w:b/>
          <w:bCs/>
          <w:szCs w:val="22"/>
          <w:lang w:eastAsia="en-GB"/>
        </w:rPr>
        <w:t>4.5</w:t>
      </w:r>
      <w:r w:rsidR="00A62CB6" w:rsidRPr="001775D9">
        <w:rPr>
          <w:b/>
          <w:bCs/>
          <w:szCs w:val="22"/>
          <w:lang w:eastAsia="en-GB"/>
        </w:rPr>
        <w:tab/>
      </w:r>
      <w:r w:rsidRPr="001775D9">
        <w:rPr>
          <w:b/>
          <w:bCs/>
          <w:szCs w:val="22"/>
          <w:lang w:eastAsia="en-GB"/>
        </w:rPr>
        <w:t xml:space="preserve">Interaction with other medicinal products and other forms of interaction </w:t>
      </w:r>
    </w:p>
    <w:p w14:paraId="6DD0788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71AD44AF" w14:textId="77777777" w:rsidR="00C42229" w:rsidRPr="001775D9" w:rsidRDefault="001B7390" w:rsidP="00FB5458">
      <w:pPr>
        <w:tabs>
          <w:tab w:val="clear" w:pos="567"/>
        </w:tabs>
        <w:autoSpaceDE w:val="0"/>
        <w:autoSpaceDN w:val="0"/>
        <w:adjustRightInd w:val="0"/>
        <w:spacing w:line="240" w:lineRule="auto"/>
        <w:rPr>
          <w:szCs w:val="22"/>
          <w:lang w:eastAsia="en-GB"/>
        </w:rPr>
      </w:pPr>
      <w:r w:rsidRPr="001775D9">
        <w:rPr>
          <w:szCs w:val="22"/>
          <w:lang w:eastAsia="en-GB"/>
        </w:rPr>
        <w:t>Adalimumab</w:t>
      </w:r>
      <w:r w:rsidR="00C42229" w:rsidRPr="001775D9">
        <w:rPr>
          <w:szCs w:val="22"/>
          <w:lang w:eastAsia="en-GB"/>
        </w:rPr>
        <w:t xml:space="preserve"> has been studied in rheumatoid arthritis, polyarticular juvenile idiopathic arthritis and psoriatic arthritis patients taking </w:t>
      </w:r>
      <w:r w:rsidRPr="001775D9">
        <w:rPr>
          <w:szCs w:val="22"/>
          <w:lang w:eastAsia="en-GB"/>
        </w:rPr>
        <w:t>adalimumab</w:t>
      </w:r>
      <w:r w:rsidR="00C42229" w:rsidRPr="001775D9">
        <w:rPr>
          <w:szCs w:val="22"/>
          <w:lang w:eastAsia="en-GB"/>
        </w:rPr>
        <w:t xml:space="preserve"> as monotherapy and those taking concomitant methotrexate. Antibody formation was lower when </w:t>
      </w:r>
      <w:r w:rsidR="002E094B" w:rsidRPr="001775D9">
        <w:rPr>
          <w:szCs w:val="22"/>
          <w:lang w:eastAsia="en-GB"/>
        </w:rPr>
        <w:t xml:space="preserve">adalimumab was </w:t>
      </w:r>
      <w:r w:rsidR="00C42229" w:rsidRPr="001775D9">
        <w:rPr>
          <w:szCs w:val="22"/>
          <w:lang w:eastAsia="en-GB"/>
        </w:rPr>
        <w:t xml:space="preserve">given together with methotrexate in comparison with use as monotherapy. Administration </w:t>
      </w:r>
      <w:r w:rsidR="002E094B" w:rsidRPr="001775D9">
        <w:rPr>
          <w:szCs w:val="22"/>
          <w:lang w:eastAsia="en-GB"/>
        </w:rPr>
        <w:t xml:space="preserve">of adalimumab </w:t>
      </w:r>
      <w:r w:rsidR="00C42229" w:rsidRPr="001775D9">
        <w:rPr>
          <w:szCs w:val="22"/>
          <w:lang w:eastAsia="en-GB"/>
        </w:rPr>
        <w:t xml:space="preserve">without methotrexate resulted in increased formation of antibodies, increased clearance and reduced efficacy </w:t>
      </w:r>
      <w:r w:rsidRPr="001775D9">
        <w:rPr>
          <w:szCs w:val="22"/>
          <w:lang w:eastAsia="en-GB"/>
        </w:rPr>
        <w:t xml:space="preserve">of adalimumab </w:t>
      </w:r>
      <w:r w:rsidR="00C42229" w:rsidRPr="001775D9">
        <w:rPr>
          <w:szCs w:val="22"/>
          <w:lang w:eastAsia="en-GB"/>
        </w:rPr>
        <w:t xml:space="preserve">(see section 5.1). </w:t>
      </w:r>
    </w:p>
    <w:p w14:paraId="1F30E5D6"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1EE0AC0" w14:textId="100FF6CB"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The combination of </w:t>
      </w:r>
      <w:r w:rsidR="001B7390" w:rsidRPr="001775D9">
        <w:rPr>
          <w:color w:val="000000"/>
          <w:szCs w:val="22"/>
          <w:lang w:eastAsia="en-GB"/>
        </w:rPr>
        <w:t>AMGEVITA</w:t>
      </w:r>
      <w:r w:rsidRPr="001775D9">
        <w:rPr>
          <w:szCs w:val="22"/>
          <w:lang w:eastAsia="en-GB"/>
        </w:rPr>
        <w:t xml:space="preserve"> and anakinra is not recommended (see section 4.4 “Concurrent administration of biologic DMARD</w:t>
      </w:r>
      <w:r w:rsidR="00FD5D5F" w:rsidRPr="001775D9">
        <w:rPr>
          <w:szCs w:val="22"/>
          <w:lang w:eastAsia="en-GB"/>
        </w:rPr>
        <w:t>s</w:t>
      </w:r>
      <w:r w:rsidRPr="001775D9">
        <w:rPr>
          <w:szCs w:val="22"/>
          <w:lang w:eastAsia="en-GB"/>
        </w:rPr>
        <w:t xml:space="preserve"> or TNF-antagonists”). </w:t>
      </w:r>
    </w:p>
    <w:p w14:paraId="141F3095"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B978CE3" w14:textId="4F7B914D"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The combination of </w:t>
      </w:r>
      <w:r w:rsidR="001B7390" w:rsidRPr="001775D9">
        <w:rPr>
          <w:color w:val="000000"/>
          <w:szCs w:val="22"/>
          <w:lang w:eastAsia="en-GB"/>
        </w:rPr>
        <w:t>AMGEVITA</w:t>
      </w:r>
      <w:r w:rsidRPr="001775D9">
        <w:rPr>
          <w:szCs w:val="22"/>
          <w:lang w:eastAsia="en-GB"/>
        </w:rPr>
        <w:t xml:space="preserve"> and abatacept is not recommended (see section 4.4 “Concurrent administration of biologic DMARD</w:t>
      </w:r>
      <w:r w:rsidR="00FD5D5F" w:rsidRPr="001775D9">
        <w:rPr>
          <w:szCs w:val="22"/>
          <w:lang w:eastAsia="en-GB"/>
        </w:rPr>
        <w:t>s</w:t>
      </w:r>
      <w:r w:rsidRPr="001775D9">
        <w:rPr>
          <w:szCs w:val="22"/>
          <w:lang w:eastAsia="en-GB"/>
        </w:rPr>
        <w:t xml:space="preserve"> or TNF-antagonists”). </w:t>
      </w:r>
    </w:p>
    <w:p w14:paraId="5004A240"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5CD15D85" w14:textId="2BE27C4D" w:rsidR="00C42229" w:rsidRPr="001775D9" w:rsidRDefault="00C42229" w:rsidP="00B61D9D">
      <w:pPr>
        <w:keepNext/>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4.6</w:t>
      </w:r>
      <w:r w:rsidRPr="001775D9">
        <w:rPr>
          <w:b/>
          <w:bCs/>
          <w:szCs w:val="22"/>
          <w:lang w:eastAsia="en-GB"/>
        </w:rPr>
        <w:tab/>
        <w:t xml:space="preserve">Fertility, pregnancy and lactation </w:t>
      </w:r>
    </w:p>
    <w:p w14:paraId="66FDA336" w14:textId="77777777" w:rsidR="00F62574" w:rsidRPr="001775D9" w:rsidRDefault="00F62574" w:rsidP="00F62574">
      <w:pPr>
        <w:keepNext/>
        <w:tabs>
          <w:tab w:val="clear" w:pos="567"/>
        </w:tabs>
        <w:autoSpaceDE w:val="0"/>
        <w:autoSpaceDN w:val="0"/>
        <w:adjustRightInd w:val="0"/>
        <w:spacing w:line="240" w:lineRule="auto"/>
        <w:rPr>
          <w:b/>
          <w:bCs/>
          <w:szCs w:val="22"/>
          <w:lang w:eastAsia="en-GB"/>
        </w:rPr>
      </w:pPr>
    </w:p>
    <w:p w14:paraId="2B6B3E0A" w14:textId="77777777" w:rsidR="00F62574" w:rsidRPr="001775D9" w:rsidRDefault="00F62574" w:rsidP="00F62574">
      <w:pPr>
        <w:keepNext/>
        <w:shd w:val="clear" w:color="auto" w:fill="FFFFFF"/>
        <w:tabs>
          <w:tab w:val="clear" w:pos="567"/>
        </w:tabs>
        <w:spacing w:line="240" w:lineRule="auto"/>
        <w:rPr>
          <w:rFonts w:eastAsia="Times New Roman"/>
          <w:color w:val="000000"/>
          <w:szCs w:val="22"/>
          <w:u w:val="single"/>
        </w:rPr>
      </w:pPr>
      <w:r w:rsidRPr="001775D9">
        <w:rPr>
          <w:rFonts w:eastAsia="Times New Roman"/>
          <w:color w:val="000000"/>
          <w:szCs w:val="22"/>
          <w:u w:val="single"/>
        </w:rPr>
        <w:t>Women of child bearing potential</w:t>
      </w:r>
    </w:p>
    <w:p w14:paraId="4C37BCEE" w14:textId="77777777" w:rsidR="001B7390" w:rsidRPr="001775D9" w:rsidRDefault="001B7390" w:rsidP="00FB5458">
      <w:pPr>
        <w:keepNext/>
        <w:shd w:val="clear" w:color="auto" w:fill="FFFFFF"/>
        <w:tabs>
          <w:tab w:val="clear" w:pos="567"/>
        </w:tabs>
        <w:spacing w:line="240" w:lineRule="auto"/>
        <w:rPr>
          <w:rFonts w:eastAsia="Times New Roman"/>
          <w:color w:val="000000"/>
          <w:szCs w:val="22"/>
        </w:rPr>
      </w:pPr>
    </w:p>
    <w:p w14:paraId="1157D240" w14:textId="77777777" w:rsidR="00F62574" w:rsidRPr="001775D9" w:rsidRDefault="00F62574" w:rsidP="00F62574">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Women of childbearing potential should consider</w:t>
      </w:r>
      <w:r w:rsidR="00CF597D" w:rsidRPr="001775D9">
        <w:rPr>
          <w:rFonts w:eastAsia="Times New Roman"/>
          <w:color w:val="000000"/>
          <w:szCs w:val="22"/>
        </w:rPr>
        <w:t xml:space="preserve"> the</w:t>
      </w:r>
      <w:r w:rsidRPr="001775D9">
        <w:rPr>
          <w:rFonts w:eastAsia="Times New Roman"/>
          <w:color w:val="000000"/>
          <w:szCs w:val="22"/>
        </w:rPr>
        <w:t xml:space="preserve"> use of adequate contraception to prevent pregnancy and continue its use for at least five months after the last </w:t>
      </w:r>
      <w:r w:rsidRPr="001775D9">
        <w:rPr>
          <w:color w:val="000000"/>
          <w:szCs w:val="22"/>
          <w:lang w:eastAsia="en-GB"/>
        </w:rPr>
        <w:t>AMGEVITA</w:t>
      </w:r>
      <w:r w:rsidRPr="001775D9">
        <w:rPr>
          <w:rFonts w:eastAsia="Times New Roman"/>
          <w:color w:val="000000"/>
          <w:szCs w:val="22"/>
        </w:rPr>
        <w:t xml:space="preserve"> treatment.</w:t>
      </w:r>
    </w:p>
    <w:p w14:paraId="7129A848"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629B37C"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Pregnancy </w:t>
      </w:r>
    </w:p>
    <w:p w14:paraId="68D79A73" w14:textId="77777777" w:rsidR="00F62574" w:rsidRPr="001775D9" w:rsidRDefault="00F62574" w:rsidP="00F62574">
      <w:pPr>
        <w:keepNext/>
        <w:tabs>
          <w:tab w:val="clear" w:pos="567"/>
        </w:tabs>
        <w:autoSpaceDE w:val="0"/>
        <w:autoSpaceDN w:val="0"/>
        <w:adjustRightInd w:val="0"/>
        <w:spacing w:line="240" w:lineRule="auto"/>
        <w:rPr>
          <w:szCs w:val="22"/>
          <w:lang w:eastAsia="en-GB"/>
        </w:rPr>
      </w:pPr>
    </w:p>
    <w:p w14:paraId="324D1807" w14:textId="56700A33" w:rsidR="00F62574" w:rsidRPr="001775D9" w:rsidRDefault="00F62574" w:rsidP="00F62574">
      <w:pPr>
        <w:tabs>
          <w:tab w:val="clear" w:pos="567"/>
        </w:tabs>
        <w:autoSpaceDE w:val="0"/>
        <w:autoSpaceDN w:val="0"/>
        <w:adjustRightInd w:val="0"/>
        <w:spacing w:line="240" w:lineRule="auto"/>
        <w:rPr>
          <w:szCs w:val="22"/>
          <w:lang w:eastAsia="en-GB"/>
        </w:rPr>
      </w:pPr>
      <w:r w:rsidRPr="001775D9">
        <w:rPr>
          <w:szCs w:val="22"/>
          <w:lang w:eastAsia="en-GB"/>
        </w:rPr>
        <w:t>A large number (approximately 2</w:t>
      </w:r>
      <w:r w:rsidR="00FD5D5F" w:rsidRPr="001775D9">
        <w:rPr>
          <w:szCs w:val="22"/>
          <w:lang w:eastAsia="en-GB"/>
        </w:rPr>
        <w:t xml:space="preserve"> </w:t>
      </w:r>
      <w:r w:rsidRPr="001775D9">
        <w:rPr>
          <w:szCs w:val="22"/>
          <w:lang w:eastAsia="en-GB"/>
        </w:rPr>
        <w:t>100) of prospectively collected pregnancies exposed to adalimumab resulting in live birth with known outcomes, including more than 1</w:t>
      </w:r>
      <w:r w:rsidR="00FD5D5F" w:rsidRPr="001775D9">
        <w:rPr>
          <w:szCs w:val="22"/>
          <w:lang w:eastAsia="en-GB"/>
        </w:rPr>
        <w:t xml:space="preserve"> </w:t>
      </w:r>
      <w:r w:rsidRPr="001775D9">
        <w:rPr>
          <w:szCs w:val="22"/>
          <w:lang w:eastAsia="en-GB"/>
        </w:rPr>
        <w:t>500 exposed during the first trimester, does not indicate an increase in the rate of malformation in the newborn.</w:t>
      </w:r>
    </w:p>
    <w:p w14:paraId="529F8DBF"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4E0DC3FC" w14:textId="77777777" w:rsidR="00F62574" w:rsidRPr="001775D9" w:rsidRDefault="00F62574" w:rsidP="00F62574">
      <w:pPr>
        <w:tabs>
          <w:tab w:val="clear" w:pos="567"/>
        </w:tabs>
        <w:autoSpaceDE w:val="0"/>
        <w:autoSpaceDN w:val="0"/>
        <w:adjustRightInd w:val="0"/>
        <w:spacing w:line="240" w:lineRule="auto"/>
        <w:rPr>
          <w:szCs w:val="22"/>
          <w:lang w:eastAsia="en-GB"/>
        </w:rPr>
      </w:pPr>
      <w:r w:rsidRPr="001775D9">
        <w:rPr>
          <w:szCs w:val="22"/>
          <w:lang w:eastAsia="en-GB"/>
        </w:rPr>
        <w:t>In a prospective cohort registry, 257 women with rheumatoid arthritis (RA) or Crohn’s disease (CD) treated with adalimumab at least during the first trimester and 120 women with RA or CD not treated with adalimumab were enrolled. The primary endpoint was the birth prevalence of major birth defects. The rate of pregnancies ending with at least one live born infant with a major birth defect was 6/69 (8.7%) in the adalimumab-treated women with RA and 5/74 (6.8%) in the untreated women with RA (unadjusted OR 1.31, 95% CI 0.38-4.52) and 16/152 (10.5%) in the adalimumab-treated women with CD and 3/32 (9.4%) in the untreated women with CD (unadjusted OR 1.14, 95% CI 0.31-4.16). The adjusted OR (accounting for baseline differences) was 1.10 (95% CI 0.45-2.73) with RA and CD combined. There were no distinct differences between adalimumab-treated and untreated women for the secondary endpoints spontaneous abortions, minor birth defects, preterm delivery, birth size and serious or opportunistic infections and no stillbirths or malignancies were reported. The interpretation of data may be impacted due to methodological limitations of the study, including small sample size and non-randomi</w:t>
      </w:r>
      <w:r w:rsidR="00CF6790" w:rsidRPr="001775D9">
        <w:rPr>
          <w:szCs w:val="22"/>
          <w:lang w:eastAsia="en-GB"/>
        </w:rPr>
        <w:t>s</w:t>
      </w:r>
      <w:r w:rsidRPr="001775D9">
        <w:rPr>
          <w:szCs w:val="22"/>
          <w:lang w:eastAsia="en-GB"/>
        </w:rPr>
        <w:t>ed design.</w:t>
      </w:r>
    </w:p>
    <w:p w14:paraId="01246E19"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DA0567F"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a developmental toxicity study conducted in monkeys, there was no indication of maternal toxicity, embryotoxicity or teratogenicity. Preclinical data on postnatal toxicity </w:t>
      </w:r>
      <w:r w:rsidR="001B7390" w:rsidRPr="001775D9">
        <w:rPr>
          <w:szCs w:val="22"/>
          <w:lang w:eastAsia="en-GB"/>
        </w:rPr>
        <w:t xml:space="preserve">of adalimumab </w:t>
      </w:r>
      <w:r w:rsidRPr="001775D9">
        <w:rPr>
          <w:szCs w:val="22"/>
          <w:lang w:eastAsia="en-GB"/>
        </w:rPr>
        <w:t xml:space="preserve">are not available (see section 5.3). </w:t>
      </w:r>
    </w:p>
    <w:p w14:paraId="3B2346CA"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535F941D" w14:textId="77777777" w:rsidR="00F62574" w:rsidRPr="001775D9" w:rsidRDefault="00F62574" w:rsidP="00F62574">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Due to its inhibition of TNFα, </w:t>
      </w:r>
      <w:r w:rsidRPr="001775D9">
        <w:rPr>
          <w:szCs w:val="22"/>
          <w:lang w:eastAsia="en-GB"/>
        </w:rPr>
        <w:t xml:space="preserve">adalimumab </w:t>
      </w:r>
      <w:r w:rsidRPr="001775D9">
        <w:rPr>
          <w:color w:val="000000"/>
          <w:szCs w:val="22"/>
          <w:lang w:eastAsia="en-GB"/>
        </w:rPr>
        <w:t xml:space="preserve">administered during pregnancy could affect normal immune responses in the new born. </w:t>
      </w:r>
      <w:r w:rsidR="00D64F87" w:rsidRPr="001775D9">
        <w:rPr>
          <w:color w:val="000000"/>
          <w:szCs w:val="22"/>
          <w:lang w:eastAsia="en-GB"/>
        </w:rPr>
        <w:t xml:space="preserve">AMGEVITA </w:t>
      </w:r>
      <w:r w:rsidRPr="001775D9">
        <w:rPr>
          <w:color w:val="000000"/>
          <w:szCs w:val="22"/>
          <w:lang w:eastAsia="en-GB"/>
        </w:rPr>
        <w:t>should only be used during pregnancy if clearly needed.</w:t>
      </w:r>
    </w:p>
    <w:p w14:paraId="14C2097C"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72F29191" w14:textId="18324F4D" w:rsidR="00C42229" w:rsidRPr="001775D9" w:rsidRDefault="009E2A1F"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Ad</w:t>
      </w:r>
      <w:r w:rsidR="0056305F" w:rsidRPr="001775D9">
        <w:rPr>
          <w:color w:val="000000"/>
          <w:szCs w:val="22"/>
          <w:lang w:eastAsia="en-GB"/>
        </w:rPr>
        <w:t>a</w:t>
      </w:r>
      <w:r w:rsidRPr="001775D9">
        <w:rPr>
          <w:color w:val="000000"/>
          <w:szCs w:val="22"/>
          <w:lang w:eastAsia="en-GB"/>
        </w:rPr>
        <w:t>limumab</w:t>
      </w:r>
      <w:r w:rsidR="00BB677E" w:rsidRPr="001775D9">
        <w:rPr>
          <w:color w:val="000000"/>
          <w:szCs w:val="22"/>
          <w:lang w:eastAsia="en-GB"/>
        </w:rPr>
        <w:t xml:space="preserve"> </w:t>
      </w:r>
      <w:r w:rsidR="00C42229" w:rsidRPr="001775D9">
        <w:rPr>
          <w:color w:val="000000"/>
          <w:szCs w:val="22"/>
          <w:lang w:eastAsia="en-GB"/>
        </w:rPr>
        <w:t xml:space="preserve">may cross the placenta into the serum of infants born to women treated with </w:t>
      </w:r>
      <w:r w:rsidR="00BB677E" w:rsidRPr="001775D9">
        <w:rPr>
          <w:color w:val="000000"/>
          <w:szCs w:val="22"/>
          <w:lang w:eastAsia="en-GB"/>
        </w:rPr>
        <w:t xml:space="preserve">adalimumab </w:t>
      </w:r>
      <w:r w:rsidR="00C42229" w:rsidRPr="001775D9">
        <w:rPr>
          <w:color w:val="000000"/>
          <w:szCs w:val="22"/>
          <w:lang w:eastAsia="en-GB"/>
        </w:rPr>
        <w:t>during pregnancy. Consequently, these infants may be at increased risk for infection. Administration of live vaccines</w:t>
      </w:r>
      <w:r w:rsidR="00CF597D" w:rsidRPr="001775D9">
        <w:rPr>
          <w:color w:val="000000"/>
          <w:szCs w:val="22"/>
          <w:lang w:eastAsia="en-GB"/>
        </w:rPr>
        <w:t xml:space="preserve"> </w:t>
      </w:r>
      <w:r w:rsidR="00CF597D" w:rsidRPr="001775D9">
        <w:rPr>
          <w:szCs w:val="22"/>
          <w:lang w:eastAsia="en-GB"/>
        </w:rPr>
        <w:t xml:space="preserve">(e.g., BCG vaccine) </w:t>
      </w:r>
      <w:r w:rsidR="00C42229" w:rsidRPr="001775D9">
        <w:rPr>
          <w:color w:val="000000"/>
          <w:szCs w:val="22"/>
          <w:lang w:eastAsia="en-GB"/>
        </w:rPr>
        <w:t xml:space="preserve">to infants exposed to </w:t>
      </w:r>
      <w:r w:rsidR="00BB677E" w:rsidRPr="001775D9">
        <w:rPr>
          <w:color w:val="000000"/>
          <w:szCs w:val="22"/>
          <w:lang w:eastAsia="en-GB"/>
        </w:rPr>
        <w:t xml:space="preserve">adalimumab </w:t>
      </w:r>
      <w:r w:rsidR="00C42229" w:rsidRPr="001775D9">
        <w:rPr>
          <w:i/>
          <w:iCs/>
          <w:color w:val="000000"/>
          <w:szCs w:val="22"/>
          <w:lang w:eastAsia="en-GB"/>
        </w:rPr>
        <w:t>in utero</w:t>
      </w:r>
      <w:r w:rsidR="00C42229" w:rsidRPr="001775D9">
        <w:rPr>
          <w:color w:val="000000"/>
          <w:szCs w:val="22"/>
          <w:lang w:eastAsia="en-GB"/>
        </w:rPr>
        <w:t xml:space="preserve"> is not recommended for 5 months following the mother’s last </w:t>
      </w:r>
      <w:r w:rsidR="001B1D09" w:rsidRPr="001775D9">
        <w:rPr>
          <w:color w:val="000000"/>
          <w:szCs w:val="22"/>
          <w:lang w:eastAsia="en-GB"/>
        </w:rPr>
        <w:t xml:space="preserve">adalimumab </w:t>
      </w:r>
      <w:r w:rsidR="00C42229" w:rsidRPr="001775D9">
        <w:rPr>
          <w:color w:val="000000"/>
          <w:szCs w:val="22"/>
          <w:lang w:eastAsia="en-GB"/>
        </w:rPr>
        <w:t xml:space="preserve">injection during pregnancy. </w:t>
      </w:r>
    </w:p>
    <w:p w14:paraId="5EC7585E"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2095EF2F" w14:textId="77777777" w:rsidR="00C42229" w:rsidRPr="001775D9" w:rsidRDefault="00A62CB6" w:rsidP="00FB5458">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Breast-</w:t>
      </w:r>
      <w:r w:rsidR="00C42229" w:rsidRPr="001775D9">
        <w:rPr>
          <w:color w:val="000000"/>
          <w:szCs w:val="22"/>
          <w:u w:val="single"/>
          <w:lang w:eastAsia="en-GB"/>
        </w:rPr>
        <w:t xml:space="preserve">feeding </w:t>
      </w:r>
    </w:p>
    <w:p w14:paraId="33059A2B" w14:textId="77777777" w:rsidR="00F62574" w:rsidRPr="001775D9" w:rsidRDefault="00F62574" w:rsidP="00F62574">
      <w:pPr>
        <w:keepNext/>
        <w:tabs>
          <w:tab w:val="clear" w:pos="567"/>
        </w:tabs>
        <w:autoSpaceDE w:val="0"/>
        <w:autoSpaceDN w:val="0"/>
        <w:adjustRightInd w:val="0"/>
        <w:spacing w:line="240" w:lineRule="auto"/>
        <w:rPr>
          <w:color w:val="000000"/>
          <w:szCs w:val="22"/>
          <w:lang w:eastAsia="en-GB"/>
        </w:rPr>
      </w:pPr>
    </w:p>
    <w:p w14:paraId="78F83105" w14:textId="26194FE4" w:rsidR="00F62574" w:rsidRPr="001775D9" w:rsidRDefault="00F62574" w:rsidP="00F62574">
      <w:pPr>
        <w:tabs>
          <w:tab w:val="clear" w:pos="567"/>
        </w:tabs>
        <w:autoSpaceDE w:val="0"/>
        <w:autoSpaceDN w:val="0"/>
        <w:adjustRightInd w:val="0"/>
        <w:spacing w:line="240" w:lineRule="auto"/>
        <w:rPr>
          <w:color w:val="000000"/>
          <w:szCs w:val="22"/>
          <w:lang w:eastAsia="en-GB"/>
        </w:rPr>
      </w:pPr>
      <w:bookmarkStart w:id="327" w:name="_Hlk528593083"/>
      <w:r w:rsidRPr="001775D9">
        <w:rPr>
          <w:color w:val="000000"/>
          <w:szCs w:val="22"/>
          <w:lang w:eastAsia="en-GB"/>
        </w:rPr>
        <w:t>Limited information from the published literature indicates that adalimumab is excreted in breast milk at very low concentrations with the presence of adalimumab in human milk at concentrations of 0.1% to 1% of the maternal serum level. Given orally, immunoglobulin G proteins undergo intestinal proteolysis and have poor bioavailability. No effects on the breast</w:t>
      </w:r>
      <w:r w:rsidR="006F5450" w:rsidRPr="001775D9">
        <w:rPr>
          <w:color w:val="000000"/>
          <w:szCs w:val="22"/>
          <w:lang w:eastAsia="en-GB"/>
        </w:rPr>
        <w:t>-</w:t>
      </w:r>
      <w:r w:rsidRPr="001775D9">
        <w:rPr>
          <w:color w:val="000000"/>
          <w:szCs w:val="22"/>
          <w:lang w:eastAsia="en-GB"/>
        </w:rPr>
        <w:t xml:space="preserve">fed newborns/infants are anticipated. Consequently, </w:t>
      </w:r>
      <w:r w:rsidR="003315EE" w:rsidRPr="001775D9">
        <w:rPr>
          <w:color w:val="000000"/>
          <w:szCs w:val="22"/>
          <w:lang w:eastAsia="en-GB"/>
        </w:rPr>
        <w:t>AMGEVITA</w:t>
      </w:r>
      <w:r w:rsidRPr="001775D9">
        <w:rPr>
          <w:color w:val="000000"/>
          <w:szCs w:val="22"/>
          <w:lang w:eastAsia="en-GB"/>
        </w:rPr>
        <w:t xml:space="preserve"> can be used during breast</w:t>
      </w:r>
      <w:r w:rsidR="006F5450" w:rsidRPr="001775D9">
        <w:rPr>
          <w:color w:val="000000"/>
          <w:szCs w:val="22"/>
          <w:lang w:eastAsia="en-GB"/>
        </w:rPr>
        <w:t>-</w:t>
      </w:r>
      <w:r w:rsidRPr="001775D9">
        <w:rPr>
          <w:color w:val="000000"/>
          <w:szCs w:val="22"/>
          <w:lang w:eastAsia="en-GB"/>
        </w:rPr>
        <w:t>feeding.</w:t>
      </w:r>
    </w:p>
    <w:bookmarkEnd w:id="327"/>
    <w:p w14:paraId="647D7F01" w14:textId="77777777" w:rsidR="00F62574" w:rsidRPr="001775D9" w:rsidRDefault="00F62574" w:rsidP="00F62574">
      <w:pPr>
        <w:tabs>
          <w:tab w:val="clear" w:pos="567"/>
        </w:tabs>
        <w:autoSpaceDE w:val="0"/>
        <w:autoSpaceDN w:val="0"/>
        <w:adjustRightInd w:val="0"/>
        <w:spacing w:line="240" w:lineRule="auto"/>
        <w:rPr>
          <w:color w:val="000000"/>
          <w:szCs w:val="22"/>
          <w:u w:val="single"/>
          <w:lang w:eastAsia="en-GB"/>
        </w:rPr>
      </w:pPr>
    </w:p>
    <w:p w14:paraId="3D7E42AC" w14:textId="77777777" w:rsidR="00F62574" w:rsidRPr="001775D9" w:rsidRDefault="00F62574" w:rsidP="00F62574">
      <w:pPr>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Fertility </w:t>
      </w:r>
    </w:p>
    <w:p w14:paraId="2FD09D3F"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712D4EC7"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Preclinical data on fertility effects of </w:t>
      </w:r>
      <w:r w:rsidR="001B1D09" w:rsidRPr="001775D9">
        <w:rPr>
          <w:color w:val="000000"/>
          <w:szCs w:val="22"/>
          <w:lang w:eastAsia="en-GB"/>
        </w:rPr>
        <w:t xml:space="preserve">adalimumab </w:t>
      </w:r>
      <w:r w:rsidRPr="001775D9">
        <w:rPr>
          <w:color w:val="000000"/>
          <w:szCs w:val="22"/>
          <w:lang w:eastAsia="en-GB"/>
        </w:rPr>
        <w:t xml:space="preserve">are not available. </w:t>
      </w:r>
    </w:p>
    <w:p w14:paraId="723420C6" w14:textId="77777777" w:rsidR="001B7390" w:rsidRPr="001775D9" w:rsidRDefault="001B7390" w:rsidP="00FB5458">
      <w:pPr>
        <w:tabs>
          <w:tab w:val="clear" w:pos="567"/>
        </w:tabs>
        <w:autoSpaceDE w:val="0"/>
        <w:autoSpaceDN w:val="0"/>
        <w:adjustRightInd w:val="0"/>
        <w:spacing w:line="240" w:lineRule="auto"/>
        <w:rPr>
          <w:color w:val="000000"/>
          <w:szCs w:val="22"/>
          <w:lang w:eastAsia="en-GB"/>
        </w:rPr>
      </w:pPr>
    </w:p>
    <w:p w14:paraId="54DA4F21" w14:textId="57D16346" w:rsidR="00C42229" w:rsidRPr="001775D9" w:rsidRDefault="00C42229"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4.7</w:t>
      </w:r>
      <w:r w:rsidRPr="001775D9">
        <w:rPr>
          <w:b/>
          <w:bCs/>
          <w:color w:val="000000"/>
          <w:szCs w:val="22"/>
          <w:lang w:eastAsia="en-GB"/>
        </w:rPr>
        <w:tab/>
        <w:t xml:space="preserve">Effects on ability to drive and use machines </w:t>
      </w:r>
    </w:p>
    <w:p w14:paraId="561A80ED" w14:textId="77777777" w:rsidR="00C42229" w:rsidRPr="001775D9" w:rsidRDefault="00C42229" w:rsidP="00CF6790">
      <w:pPr>
        <w:keepNext/>
        <w:tabs>
          <w:tab w:val="clear" w:pos="567"/>
        </w:tabs>
        <w:autoSpaceDE w:val="0"/>
        <w:autoSpaceDN w:val="0"/>
        <w:adjustRightInd w:val="0"/>
        <w:spacing w:line="240" w:lineRule="auto"/>
        <w:rPr>
          <w:color w:val="000000"/>
          <w:szCs w:val="22"/>
          <w:lang w:eastAsia="en-GB"/>
        </w:rPr>
      </w:pPr>
    </w:p>
    <w:p w14:paraId="51D0D911" w14:textId="77777777" w:rsidR="00C42229" w:rsidRPr="001775D9" w:rsidRDefault="001B7390" w:rsidP="00CF6790">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AMGEVITA</w:t>
      </w:r>
      <w:r w:rsidR="00C42229" w:rsidRPr="001775D9">
        <w:rPr>
          <w:color w:val="000000"/>
          <w:szCs w:val="22"/>
          <w:lang w:eastAsia="en-GB"/>
        </w:rPr>
        <w:t xml:space="preserve"> may have a minor influence on the ability to drive and use machines. Vertigo and visual impairment may occur following administration of </w:t>
      </w:r>
      <w:r w:rsidRPr="001775D9">
        <w:rPr>
          <w:color w:val="000000"/>
          <w:szCs w:val="22"/>
          <w:lang w:eastAsia="en-GB"/>
        </w:rPr>
        <w:t>AMGEVITA</w:t>
      </w:r>
      <w:r w:rsidR="00C42229" w:rsidRPr="001775D9">
        <w:rPr>
          <w:color w:val="000000"/>
          <w:szCs w:val="22"/>
          <w:lang w:eastAsia="en-GB"/>
        </w:rPr>
        <w:t xml:space="preserve"> (see </w:t>
      </w:r>
      <w:r w:rsidRPr="001775D9">
        <w:rPr>
          <w:color w:val="000000"/>
          <w:szCs w:val="22"/>
          <w:lang w:eastAsia="en-GB"/>
        </w:rPr>
        <w:t>s</w:t>
      </w:r>
      <w:r w:rsidR="00C42229" w:rsidRPr="001775D9">
        <w:rPr>
          <w:color w:val="000000"/>
          <w:szCs w:val="22"/>
          <w:lang w:eastAsia="en-GB"/>
        </w:rPr>
        <w:t xml:space="preserve">ection 4.8). </w:t>
      </w:r>
    </w:p>
    <w:p w14:paraId="54243A44" w14:textId="77777777" w:rsidR="00C42229" w:rsidRPr="001775D9" w:rsidRDefault="00C42229" w:rsidP="00FB5458">
      <w:pPr>
        <w:tabs>
          <w:tab w:val="clear" w:pos="567"/>
        </w:tabs>
        <w:autoSpaceDE w:val="0"/>
        <w:autoSpaceDN w:val="0"/>
        <w:adjustRightInd w:val="0"/>
        <w:spacing w:line="240" w:lineRule="auto"/>
        <w:rPr>
          <w:b/>
          <w:bCs/>
          <w:color w:val="000000"/>
          <w:szCs w:val="22"/>
          <w:lang w:eastAsia="en-GB"/>
        </w:rPr>
      </w:pPr>
    </w:p>
    <w:p w14:paraId="0CDC1B6C" w14:textId="53257411" w:rsidR="00B03F12" w:rsidRPr="001775D9" w:rsidRDefault="00C42229" w:rsidP="00B61D9D">
      <w:pPr>
        <w:keepNext/>
        <w:tabs>
          <w:tab w:val="clear" w:pos="567"/>
        </w:tabs>
        <w:autoSpaceDE w:val="0"/>
        <w:autoSpaceDN w:val="0"/>
        <w:adjustRightInd w:val="0"/>
        <w:spacing w:line="240" w:lineRule="auto"/>
        <w:ind w:left="567" w:hanging="567"/>
        <w:rPr>
          <w:b/>
          <w:bCs/>
          <w:color w:val="000000"/>
          <w:szCs w:val="22"/>
          <w:lang w:eastAsia="en-GB"/>
        </w:rPr>
      </w:pPr>
      <w:r w:rsidRPr="001775D9">
        <w:rPr>
          <w:b/>
          <w:bCs/>
          <w:color w:val="000000"/>
          <w:szCs w:val="22"/>
          <w:lang w:eastAsia="en-GB"/>
        </w:rPr>
        <w:t>4.8</w:t>
      </w:r>
      <w:r w:rsidRPr="001775D9">
        <w:rPr>
          <w:b/>
          <w:bCs/>
          <w:color w:val="000000"/>
          <w:szCs w:val="22"/>
          <w:lang w:eastAsia="en-GB"/>
        </w:rPr>
        <w:tab/>
        <w:t xml:space="preserve">Undesirable effects </w:t>
      </w:r>
    </w:p>
    <w:p w14:paraId="7314B41B" w14:textId="77777777" w:rsidR="00274BD4" w:rsidRPr="001775D9" w:rsidRDefault="00274BD4" w:rsidP="00FB5458">
      <w:pPr>
        <w:keepNext/>
        <w:tabs>
          <w:tab w:val="clear" w:pos="567"/>
        </w:tabs>
        <w:autoSpaceDE w:val="0"/>
        <w:autoSpaceDN w:val="0"/>
        <w:adjustRightInd w:val="0"/>
        <w:spacing w:line="240" w:lineRule="auto"/>
        <w:rPr>
          <w:szCs w:val="22"/>
          <w:u w:val="single"/>
          <w:lang w:eastAsia="en-GB"/>
        </w:rPr>
      </w:pPr>
    </w:p>
    <w:p w14:paraId="7C4E60A6" w14:textId="77777777" w:rsidR="00336B1C" w:rsidRPr="001775D9" w:rsidRDefault="00336B1C"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Summary of the safety profile </w:t>
      </w:r>
    </w:p>
    <w:p w14:paraId="65DEAF6C" w14:textId="77777777" w:rsidR="00C42229" w:rsidRPr="001775D9" w:rsidRDefault="00C42229" w:rsidP="00FB5458">
      <w:pPr>
        <w:keepNext/>
        <w:tabs>
          <w:tab w:val="clear" w:pos="567"/>
        </w:tabs>
        <w:autoSpaceDE w:val="0"/>
        <w:autoSpaceDN w:val="0"/>
        <w:adjustRightInd w:val="0"/>
        <w:spacing w:line="240" w:lineRule="auto"/>
        <w:rPr>
          <w:b/>
          <w:bCs/>
          <w:color w:val="000000"/>
          <w:szCs w:val="22"/>
          <w:lang w:eastAsia="en-GB"/>
        </w:rPr>
      </w:pPr>
    </w:p>
    <w:p w14:paraId="2AFCAA76" w14:textId="23D6F2E8" w:rsidR="00C42229" w:rsidRPr="001775D9" w:rsidRDefault="001B7390" w:rsidP="00FB5458">
      <w:pPr>
        <w:keepNext/>
        <w:tabs>
          <w:tab w:val="clear" w:pos="567"/>
        </w:tabs>
        <w:autoSpaceDE w:val="0"/>
        <w:autoSpaceDN w:val="0"/>
        <w:adjustRightInd w:val="0"/>
        <w:spacing w:line="240" w:lineRule="auto"/>
        <w:rPr>
          <w:szCs w:val="22"/>
          <w:lang w:eastAsia="en-GB"/>
        </w:rPr>
      </w:pPr>
      <w:r w:rsidRPr="001775D9">
        <w:rPr>
          <w:szCs w:val="22"/>
          <w:lang w:eastAsia="en-GB"/>
        </w:rPr>
        <w:t>Adalimumab</w:t>
      </w:r>
      <w:r w:rsidR="00C42229" w:rsidRPr="001775D9">
        <w:rPr>
          <w:szCs w:val="22"/>
          <w:lang w:eastAsia="en-GB"/>
        </w:rPr>
        <w:t xml:space="preserve"> was studied in </w:t>
      </w:r>
      <w:r w:rsidR="00DF4F5B" w:rsidRPr="001775D9">
        <w:rPr>
          <w:szCs w:val="22"/>
          <w:lang w:eastAsia="en-GB"/>
        </w:rPr>
        <w:t>9,</w:t>
      </w:r>
      <w:r w:rsidR="0099495A" w:rsidRPr="001775D9">
        <w:rPr>
          <w:szCs w:val="22"/>
          <w:lang w:eastAsia="en-GB"/>
        </w:rPr>
        <w:t>506</w:t>
      </w:r>
      <w:r w:rsidR="00C974DA" w:rsidRPr="001775D9">
        <w:rPr>
          <w:szCs w:val="22"/>
          <w:lang w:eastAsia="en-GB"/>
        </w:rPr>
        <w:t xml:space="preserve"> </w:t>
      </w:r>
      <w:r w:rsidR="00C42229" w:rsidRPr="001775D9">
        <w:rPr>
          <w:szCs w:val="22"/>
          <w:lang w:eastAsia="en-GB"/>
        </w:rPr>
        <w:t>patients in pivotal controlled and open</w:t>
      </w:r>
      <w:r w:rsidR="00603F3D" w:rsidRPr="001775D9">
        <w:rPr>
          <w:szCs w:val="22"/>
          <w:lang w:eastAsia="en-GB"/>
        </w:rPr>
        <w:t>-</w:t>
      </w:r>
      <w:r w:rsidR="00C42229" w:rsidRPr="001775D9">
        <w:rPr>
          <w:szCs w:val="22"/>
          <w:lang w:eastAsia="en-GB"/>
        </w:rPr>
        <w:t>label trials for up to 60</w:t>
      </w:r>
      <w:r w:rsidR="00C42229" w:rsidRPr="001775D9">
        <w:rPr>
          <w:szCs w:val="22"/>
        </w:rPr>
        <w:t> </w:t>
      </w:r>
      <w:r w:rsidR="00C42229" w:rsidRPr="001775D9">
        <w:rPr>
          <w:szCs w:val="22"/>
          <w:lang w:eastAsia="en-GB"/>
        </w:rPr>
        <w:t>months or more. These trials included rheumatoid arthritis patients with short term and long</w:t>
      </w:r>
      <w:r w:rsidR="00C24136" w:rsidRPr="001775D9">
        <w:rPr>
          <w:szCs w:val="22"/>
          <w:lang w:eastAsia="en-GB"/>
        </w:rPr>
        <w:t>-</w:t>
      </w:r>
      <w:r w:rsidR="00C42229" w:rsidRPr="001775D9">
        <w:rPr>
          <w:szCs w:val="22"/>
          <w:lang w:eastAsia="en-GB"/>
        </w:rPr>
        <w:t>standing disease, juvenile idiopathic arthritis (polyarticular juvenile idiopathic arthritis and enthesitis-related arthritis) as well as axial spondyloarthritis (ankylosing spondylitis and axial spondyloarthritis without radiographic evidence of AS), psoriatic arthritis, Crohn’s disease, ulcerative colitis</w:t>
      </w:r>
      <w:r w:rsidR="00DF4F5B" w:rsidRPr="001775D9">
        <w:rPr>
          <w:szCs w:val="22"/>
          <w:lang w:eastAsia="en-GB"/>
        </w:rPr>
        <w:t>,</w:t>
      </w:r>
      <w:r w:rsidR="00C42229" w:rsidRPr="001775D9">
        <w:rPr>
          <w:szCs w:val="22"/>
          <w:lang w:eastAsia="en-GB"/>
        </w:rPr>
        <w:t xml:space="preserve"> psoriasis</w:t>
      </w:r>
      <w:r w:rsidR="0099495A" w:rsidRPr="001775D9">
        <w:rPr>
          <w:szCs w:val="22"/>
          <w:lang w:eastAsia="en-GB"/>
        </w:rPr>
        <w:t xml:space="preserve">, </w:t>
      </w:r>
      <w:r w:rsidR="00DF4F5B" w:rsidRPr="001775D9">
        <w:rPr>
          <w:szCs w:val="22"/>
          <w:lang w:eastAsia="en-GB"/>
        </w:rPr>
        <w:t>hidradenitis suppurativa</w:t>
      </w:r>
      <w:r w:rsidR="0099495A" w:rsidRPr="001775D9">
        <w:rPr>
          <w:szCs w:val="22"/>
          <w:lang w:eastAsia="en-GB"/>
        </w:rPr>
        <w:t xml:space="preserve"> and uveitis</w:t>
      </w:r>
      <w:r w:rsidR="00DF4F5B" w:rsidRPr="001775D9">
        <w:rPr>
          <w:rFonts w:ascii="Arial" w:hAnsi="Arial" w:cs="Arial"/>
          <w:color w:val="000000"/>
          <w:sz w:val="20"/>
        </w:rPr>
        <w:t xml:space="preserve"> </w:t>
      </w:r>
      <w:r w:rsidR="00C42229" w:rsidRPr="001775D9">
        <w:rPr>
          <w:szCs w:val="22"/>
          <w:lang w:eastAsia="en-GB"/>
        </w:rPr>
        <w:t xml:space="preserve">patients. The pivotal controlled studies involved </w:t>
      </w:r>
      <w:r w:rsidR="0099495A" w:rsidRPr="001775D9">
        <w:rPr>
          <w:szCs w:val="22"/>
          <w:lang w:eastAsia="en-GB"/>
        </w:rPr>
        <w:t>6,089</w:t>
      </w:r>
      <w:r w:rsidR="00AF062B" w:rsidRPr="001775D9">
        <w:rPr>
          <w:szCs w:val="22"/>
          <w:lang w:eastAsia="en-GB"/>
        </w:rPr>
        <w:t xml:space="preserve"> </w:t>
      </w:r>
      <w:r w:rsidR="00C42229" w:rsidRPr="001775D9">
        <w:rPr>
          <w:szCs w:val="22"/>
          <w:lang w:eastAsia="en-GB"/>
        </w:rPr>
        <w:t xml:space="preserve">patients receiving </w:t>
      </w:r>
      <w:r w:rsidRPr="001775D9">
        <w:rPr>
          <w:szCs w:val="22"/>
          <w:lang w:eastAsia="en-GB"/>
        </w:rPr>
        <w:t xml:space="preserve">adalimumab </w:t>
      </w:r>
      <w:r w:rsidR="00C42229" w:rsidRPr="001775D9">
        <w:rPr>
          <w:szCs w:val="22"/>
          <w:lang w:eastAsia="en-GB"/>
        </w:rPr>
        <w:t xml:space="preserve">and </w:t>
      </w:r>
      <w:r w:rsidR="00DF4F5B" w:rsidRPr="001775D9">
        <w:rPr>
          <w:szCs w:val="22"/>
          <w:lang w:eastAsia="en-GB"/>
        </w:rPr>
        <w:t>3,</w:t>
      </w:r>
      <w:r w:rsidR="0099495A" w:rsidRPr="001775D9">
        <w:rPr>
          <w:szCs w:val="22"/>
          <w:lang w:eastAsia="en-GB"/>
        </w:rPr>
        <w:t>801</w:t>
      </w:r>
      <w:r w:rsidR="00C974DA" w:rsidRPr="001775D9">
        <w:rPr>
          <w:szCs w:val="22"/>
          <w:lang w:eastAsia="en-GB"/>
        </w:rPr>
        <w:t xml:space="preserve"> </w:t>
      </w:r>
      <w:r w:rsidR="00C42229" w:rsidRPr="001775D9">
        <w:rPr>
          <w:szCs w:val="22"/>
          <w:lang w:eastAsia="en-GB"/>
        </w:rPr>
        <w:t xml:space="preserve">patients receiving placebo or active comparator during the controlled period. </w:t>
      </w:r>
    </w:p>
    <w:p w14:paraId="3A243DBF"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B6189CD"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The proportion of patients who discontinued treatment due to adverse events during the double-blind, controlled portion of pivotal studies was </w:t>
      </w:r>
      <w:r w:rsidR="00336B1C" w:rsidRPr="001775D9">
        <w:rPr>
          <w:szCs w:val="22"/>
          <w:lang w:eastAsia="en-GB"/>
        </w:rPr>
        <w:t>5.</w:t>
      </w:r>
      <w:r w:rsidR="0099495A" w:rsidRPr="001775D9">
        <w:rPr>
          <w:szCs w:val="22"/>
          <w:lang w:eastAsia="en-GB"/>
        </w:rPr>
        <w:t>9</w:t>
      </w:r>
      <w:r w:rsidRPr="001775D9">
        <w:rPr>
          <w:szCs w:val="22"/>
          <w:lang w:eastAsia="en-GB"/>
        </w:rPr>
        <w:t xml:space="preserve">% for patients taking </w:t>
      </w:r>
      <w:r w:rsidR="001B7390" w:rsidRPr="001775D9">
        <w:rPr>
          <w:szCs w:val="22"/>
          <w:lang w:eastAsia="en-GB"/>
        </w:rPr>
        <w:t>adalimumab</w:t>
      </w:r>
      <w:r w:rsidRPr="001775D9">
        <w:rPr>
          <w:szCs w:val="22"/>
          <w:lang w:eastAsia="en-GB"/>
        </w:rPr>
        <w:t xml:space="preserve"> and 5.</w:t>
      </w:r>
      <w:r w:rsidR="00336B1C" w:rsidRPr="001775D9">
        <w:rPr>
          <w:szCs w:val="22"/>
          <w:lang w:eastAsia="en-GB"/>
        </w:rPr>
        <w:t>4</w:t>
      </w:r>
      <w:r w:rsidRPr="001775D9">
        <w:rPr>
          <w:szCs w:val="22"/>
          <w:lang w:eastAsia="en-GB"/>
        </w:rPr>
        <w:t xml:space="preserve">% for control treated patients. </w:t>
      </w:r>
    </w:p>
    <w:p w14:paraId="07F046E8"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7DCE60F"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The most commonly reported adverse reactions</w:t>
      </w:r>
      <w:r w:rsidR="005221CC" w:rsidRPr="001775D9">
        <w:rPr>
          <w:szCs w:val="22"/>
          <w:lang w:eastAsia="en-GB"/>
        </w:rPr>
        <w:t xml:space="preserve"> </w:t>
      </w:r>
      <w:r w:rsidRPr="001775D9">
        <w:rPr>
          <w:szCs w:val="22"/>
          <w:lang w:eastAsia="en-GB"/>
        </w:rPr>
        <w:t>are infections (such as nasopharyngitis, upper respiratory tract infection and sinusitis), injection site reactions (erythema, itching, haemorrhage, pain or swelling), headache and musculoskeletal pain.</w:t>
      </w:r>
    </w:p>
    <w:p w14:paraId="607294A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6BCD3C2"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Serious adverse reactions have been reported for </w:t>
      </w:r>
      <w:r w:rsidR="001B7390" w:rsidRPr="001775D9">
        <w:rPr>
          <w:szCs w:val="22"/>
          <w:lang w:eastAsia="en-GB"/>
        </w:rPr>
        <w:t>adalimumab</w:t>
      </w:r>
      <w:r w:rsidRPr="001775D9">
        <w:rPr>
          <w:szCs w:val="22"/>
          <w:lang w:eastAsia="en-GB"/>
        </w:rPr>
        <w:t>. TNF-antagonists</w:t>
      </w:r>
      <w:r w:rsidR="001B7390" w:rsidRPr="001775D9">
        <w:rPr>
          <w:szCs w:val="22"/>
          <w:lang w:eastAsia="en-GB"/>
        </w:rPr>
        <w:t xml:space="preserve">, such as </w:t>
      </w:r>
      <w:r w:rsidR="00004140" w:rsidRPr="001775D9">
        <w:rPr>
          <w:szCs w:val="22"/>
          <w:lang w:eastAsia="en-GB"/>
        </w:rPr>
        <w:t xml:space="preserve">AMGEVITA </w:t>
      </w:r>
      <w:r w:rsidRPr="001775D9">
        <w:rPr>
          <w:szCs w:val="22"/>
          <w:lang w:eastAsia="en-GB"/>
        </w:rPr>
        <w:t>affect the immune system and their use may affect the body’s defen</w:t>
      </w:r>
      <w:r w:rsidR="00C42DC9" w:rsidRPr="001775D9">
        <w:rPr>
          <w:szCs w:val="22"/>
          <w:lang w:eastAsia="en-GB"/>
        </w:rPr>
        <w:t>c</w:t>
      </w:r>
      <w:r w:rsidRPr="001775D9">
        <w:rPr>
          <w:szCs w:val="22"/>
          <w:lang w:eastAsia="en-GB"/>
        </w:rPr>
        <w:t xml:space="preserve">e against infection and cancer. </w:t>
      </w:r>
    </w:p>
    <w:p w14:paraId="35148934" w14:textId="77777777" w:rsidR="00346014" w:rsidRPr="001775D9" w:rsidRDefault="00346014" w:rsidP="00FB5458">
      <w:pPr>
        <w:tabs>
          <w:tab w:val="clear" w:pos="567"/>
        </w:tabs>
        <w:autoSpaceDE w:val="0"/>
        <w:autoSpaceDN w:val="0"/>
        <w:adjustRightInd w:val="0"/>
        <w:spacing w:line="240" w:lineRule="auto"/>
        <w:rPr>
          <w:szCs w:val="22"/>
          <w:lang w:eastAsia="en-GB"/>
        </w:rPr>
      </w:pPr>
    </w:p>
    <w:p w14:paraId="6FE04D8E"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Fatal and life-threatening infections (including sepsis, opportunistic infections and TB), HBV reactivation and various malignancies (including leukaemia, lymphoma and HSTCL) have also been reported with use of</w:t>
      </w:r>
      <w:r w:rsidR="001B7390" w:rsidRPr="001775D9">
        <w:rPr>
          <w:szCs w:val="22"/>
          <w:lang w:eastAsia="en-GB"/>
        </w:rPr>
        <w:t xml:space="preserve"> adalimumab</w:t>
      </w:r>
      <w:r w:rsidRPr="001775D9">
        <w:rPr>
          <w:szCs w:val="22"/>
          <w:lang w:eastAsia="en-GB"/>
        </w:rPr>
        <w:t xml:space="preserve">. </w:t>
      </w:r>
    </w:p>
    <w:p w14:paraId="0B0C2D3C"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D3018F5"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Serious haematological, neurological and autoimmune reactions have also been reported. These include rare reports of pancytopenia, aplastic anaemia, central and peripheral demyelinating events and reports of lupus, lupus-related conditions and Stevens-Johnson syndrome. </w:t>
      </w:r>
    </w:p>
    <w:p w14:paraId="693A57C0"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7E455E8D" w14:textId="77777777" w:rsidR="00C42229" w:rsidRPr="001775D9" w:rsidRDefault="00C42229" w:rsidP="00FB5458">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Paediatric population </w:t>
      </w:r>
    </w:p>
    <w:p w14:paraId="46494673" w14:textId="77777777" w:rsidR="00C42229" w:rsidRPr="001775D9" w:rsidRDefault="00C42229" w:rsidP="0076030B">
      <w:pPr>
        <w:keepNext/>
        <w:tabs>
          <w:tab w:val="clear" w:pos="567"/>
        </w:tabs>
        <w:autoSpaceDE w:val="0"/>
        <w:autoSpaceDN w:val="0"/>
        <w:adjustRightInd w:val="0"/>
        <w:spacing w:line="240" w:lineRule="auto"/>
        <w:rPr>
          <w:color w:val="000000"/>
          <w:szCs w:val="22"/>
          <w:lang w:eastAsia="en-GB"/>
        </w:rPr>
      </w:pPr>
    </w:p>
    <w:p w14:paraId="0420941B"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 general, the adverse events in paediatric patients were similar in frequency and type to those seen in adult patients. </w:t>
      </w:r>
    </w:p>
    <w:p w14:paraId="70DE799E"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21EC89E0" w14:textId="77777777" w:rsidR="00C42229" w:rsidRPr="001775D9" w:rsidRDefault="00C42229" w:rsidP="00FB5458">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Tabulated list of adverse reactions </w:t>
      </w:r>
    </w:p>
    <w:p w14:paraId="0A722A60"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58D049BD" w14:textId="4F634A5F"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lang w:eastAsia="en-GB"/>
        </w:rPr>
        <w:t xml:space="preserve">The following list of adverse reactions is based on experience from clinical trials </w:t>
      </w:r>
      <w:r w:rsidR="001B7390" w:rsidRPr="001775D9">
        <w:rPr>
          <w:szCs w:val="22"/>
          <w:lang w:eastAsia="en-GB"/>
        </w:rPr>
        <w:t>and on post-</w:t>
      </w:r>
      <w:r w:rsidRPr="001775D9">
        <w:rPr>
          <w:szCs w:val="22"/>
          <w:lang w:eastAsia="en-GB"/>
        </w:rPr>
        <w:t xml:space="preserve">marketing experience and are displayed by system organ class and frequency </w:t>
      </w:r>
      <w:r w:rsidR="001B7390" w:rsidRPr="001775D9">
        <w:rPr>
          <w:szCs w:val="22"/>
          <w:lang w:eastAsia="en-GB"/>
        </w:rPr>
        <w:t xml:space="preserve">in </w:t>
      </w:r>
      <w:r w:rsidR="00B96951" w:rsidRPr="001775D9">
        <w:rPr>
          <w:szCs w:val="22"/>
          <w:lang w:eastAsia="en-GB"/>
        </w:rPr>
        <w:t xml:space="preserve">table </w:t>
      </w:r>
      <w:r w:rsidR="00407EA8" w:rsidRPr="001775D9">
        <w:rPr>
          <w:szCs w:val="22"/>
          <w:lang w:eastAsia="en-GB"/>
        </w:rPr>
        <w:t xml:space="preserve">7 </w:t>
      </w:r>
      <w:r w:rsidR="001B7390" w:rsidRPr="001775D9">
        <w:rPr>
          <w:szCs w:val="22"/>
          <w:lang w:eastAsia="en-GB"/>
        </w:rPr>
        <w:t xml:space="preserve">below: </w:t>
      </w:r>
      <w:r w:rsidRPr="001775D9">
        <w:rPr>
          <w:szCs w:val="22"/>
          <w:lang w:eastAsia="en-GB"/>
        </w:rPr>
        <w:t xml:space="preserve">very common </w:t>
      </w:r>
      <w:r w:rsidR="00B96951" w:rsidRPr="001775D9">
        <w:rPr>
          <w:szCs w:val="22"/>
          <w:lang w:eastAsia="en-GB"/>
        </w:rPr>
        <w:t>(</w:t>
      </w:r>
      <w:r w:rsidRPr="001775D9">
        <w:rPr>
          <w:szCs w:val="22"/>
          <w:lang w:eastAsia="en-GB"/>
        </w:rPr>
        <w:t>≥</w:t>
      </w:r>
      <w:r w:rsidRPr="001775D9">
        <w:rPr>
          <w:szCs w:val="22"/>
        </w:rPr>
        <w:t> </w:t>
      </w:r>
      <w:r w:rsidRPr="001775D9">
        <w:rPr>
          <w:szCs w:val="22"/>
          <w:lang w:eastAsia="en-GB"/>
        </w:rPr>
        <w:t>1/10</w:t>
      </w:r>
      <w:r w:rsidR="00B96951" w:rsidRPr="001775D9">
        <w:rPr>
          <w:szCs w:val="22"/>
          <w:lang w:eastAsia="en-GB"/>
        </w:rPr>
        <w:t>)</w:t>
      </w:r>
      <w:r w:rsidRPr="001775D9">
        <w:rPr>
          <w:szCs w:val="22"/>
          <w:lang w:eastAsia="en-GB"/>
        </w:rPr>
        <w:t xml:space="preserve">; common </w:t>
      </w:r>
      <w:r w:rsidR="00B96951" w:rsidRPr="001775D9">
        <w:rPr>
          <w:szCs w:val="22"/>
          <w:lang w:eastAsia="en-GB"/>
        </w:rPr>
        <w:t>(</w:t>
      </w:r>
      <w:r w:rsidRPr="001775D9">
        <w:rPr>
          <w:szCs w:val="22"/>
          <w:lang w:eastAsia="en-GB"/>
        </w:rPr>
        <w:t>≥</w:t>
      </w:r>
      <w:r w:rsidRPr="001775D9">
        <w:rPr>
          <w:szCs w:val="22"/>
        </w:rPr>
        <w:t> </w:t>
      </w:r>
      <w:r w:rsidRPr="001775D9">
        <w:rPr>
          <w:szCs w:val="22"/>
          <w:lang w:eastAsia="en-GB"/>
        </w:rPr>
        <w:t>1/100 to &lt;</w:t>
      </w:r>
      <w:r w:rsidRPr="001775D9">
        <w:rPr>
          <w:szCs w:val="22"/>
        </w:rPr>
        <w:t> </w:t>
      </w:r>
      <w:r w:rsidRPr="001775D9">
        <w:rPr>
          <w:szCs w:val="22"/>
          <w:lang w:eastAsia="en-GB"/>
        </w:rPr>
        <w:t>1/10</w:t>
      </w:r>
      <w:r w:rsidR="00B96951" w:rsidRPr="001775D9">
        <w:rPr>
          <w:szCs w:val="22"/>
          <w:lang w:eastAsia="en-GB"/>
        </w:rPr>
        <w:t>)</w:t>
      </w:r>
      <w:r w:rsidRPr="001775D9">
        <w:rPr>
          <w:szCs w:val="22"/>
          <w:lang w:eastAsia="en-GB"/>
        </w:rPr>
        <w:t xml:space="preserve">; uncommon </w:t>
      </w:r>
      <w:r w:rsidR="00B96951" w:rsidRPr="001775D9">
        <w:rPr>
          <w:szCs w:val="22"/>
          <w:lang w:eastAsia="en-GB"/>
        </w:rPr>
        <w:t>(</w:t>
      </w:r>
      <w:r w:rsidRPr="001775D9">
        <w:rPr>
          <w:szCs w:val="22"/>
          <w:lang w:eastAsia="en-GB"/>
        </w:rPr>
        <w:t>≥</w:t>
      </w:r>
      <w:r w:rsidRPr="001775D9">
        <w:rPr>
          <w:szCs w:val="22"/>
        </w:rPr>
        <w:t> </w:t>
      </w:r>
      <w:r w:rsidRPr="001775D9">
        <w:rPr>
          <w:szCs w:val="22"/>
          <w:lang w:eastAsia="en-GB"/>
        </w:rPr>
        <w:t>1/1,000 to &lt;</w:t>
      </w:r>
      <w:r w:rsidRPr="001775D9">
        <w:rPr>
          <w:szCs w:val="22"/>
        </w:rPr>
        <w:t> </w:t>
      </w:r>
      <w:r w:rsidRPr="001775D9">
        <w:rPr>
          <w:szCs w:val="22"/>
          <w:lang w:eastAsia="en-GB"/>
        </w:rPr>
        <w:t>1/100</w:t>
      </w:r>
      <w:r w:rsidR="00B96951" w:rsidRPr="001775D9">
        <w:rPr>
          <w:szCs w:val="22"/>
          <w:lang w:eastAsia="en-GB"/>
        </w:rPr>
        <w:t>);</w:t>
      </w:r>
      <w:r w:rsidRPr="001775D9">
        <w:rPr>
          <w:szCs w:val="22"/>
          <w:lang w:eastAsia="en-GB"/>
        </w:rPr>
        <w:t xml:space="preserve"> rare </w:t>
      </w:r>
      <w:r w:rsidR="00B96951" w:rsidRPr="001775D9">
        <w:rPr>
          <w:szCs w:val="22"/>
          <w:lang w:eastAsia="en-GB"/>
        </w:rPr>
        <w:t>(</w:t>
      </w:r>
      <w:r w:rsidRPr="001775D9">
        <w:rPr>
          <w:szCs w:val="22"/>
          <w:lang w:eastAsia="en-GB"/>
        </w:rPr>
        <w:t>≥</w:t>
      </w:r>
      <w:r w:rsidRPr="001775D9">
        <w:rPr>
          <w:szCs w:val="22"/>
        </w:rPr>
        <w:t> </w:t>
      </w:r>
      <w:r w:rsidRPr="001775D9">
        <w:rPr>
          <w:szCs w:val="22"/>
          <w:lang w:eastAsia="en-GB"/>
        </w:rPr>
        <w:t>1/10,000 to &lt;</w:t>
      </w:r>
      <w:r w:rsidRPr="001775D9">
        <w:rPr>
          <w:szCs w:val="22"/>
        </w:rPr>
        <w:t> </w:t>
      </w:r>
      <w:r w:rsidRPr="001775D9">
        <w:rPr>
          <w:szCs w:val="22"/>
          <w:lang w:eastAsia="en-GB"/>
        </w:rPr>
        <w:t>1/1,000</w:t>
      </w:r>
      <w:r w:rsidR="00B96951" w:rsidRPr="001775D9">
        <w:rPr>
          <w:szCs w:val="22"/>
          <w:lang w:eastAsia="en-GB"/>
        </w:rPr>
        <w:t>);</w:t>
      </w:r>
      <w:r w:rsidRPr="001775D9">
        <w:rPr>
          <w:szCs w:val="22"/>
          <w:lang w:eastAsia="en-GB"/>
        </w:rPr>
        <w:t xml:space="preserve"> and not known </w:t>
      </w:r>
      <w:r w:rsidR="00B96951" w:rsidRPr="001775D9">
        <w:rPr>
          <w:szCs w:val="22"/>
          <w:lang w:eastAsia="en-GB"/>
        </w:rPr>
        <w:t>(</w:t>
      </w:r>
      <w:r w:rsidRPr="001775D9">
        <w:rPr>
          <w:szCs w:val="22"/>
          <w:lang w:eastAsia="en-GB"/>
        </w:rPr>
        <w:t>cannot be estimated from the available data). Within each frequency grouping, undesirable effects are presented in order of decreasing seriousness. The highest frequency seen among the various indications has been included. An asterisk (*) appears in the SOC column if further</w:t>
      </w:r>
      <w:r w:rsidRPr="001775D9">
        <w:rPr>
          <w:color w:val="000000"/>
          <w:szCs w:val="22"/>
          <w:lang w:eastAsia="en-GB"/>
        </w:rPr>
        <w:t xml:space="preserve"> information is found elsewhere in sections 4.3, 4.4 and 4.8.</w:t>
      </w:r>
    </w:p>
    <w:p w14:paraId="49A9BF96"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1027B4DD" w14:textId="2FB65B47" w:rsidR="00C42229" w:rsidRPr="001775D9" w:rsidRDefault="00C42229" w:rsidP="00E07581">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Table </w:t>
      </w:r>
      <w:r w:rsidR="00407EA8" w:rsidRPr="001775D9">
        <w:rPr>
          <w:b/>
          <w:bCs/>
          <w:color w:val="000000"/>
          <w:szCs w:val="22"/>
          <w:lang w:eastAsia="en-GB"/>
        </w:rPr>
        <w:t>7</w:t>
      </w:r>
      <w:r w:rsidR="004D3CCE" w:rsidRPr="001775D9">
        <w:rPr>
          <w:b/>
          <w:bCs/>
          <w:color w:val="000000"/>
          <w:szCs w:val="22"/>
          <w:lang w:eastAsia="en-GB"/>
        </w:rPr>
        <w:t>.</w:t>
      </w:r>
      <w:r w:rsidR="00110304" w:rsidRPr="001775D9">
        <w:rPr>
          <w:b/>
          <w:bCs/>
          <w:color w:val="000000"/>
          <w:szCs w:val="22"/>
          <w:lang w:eastAsia="en-GB"/>
        </w:rPr>
        <w:t xml:space="preserve"> </w:t>
      </w:r>
      <w:r w:rsidRPr="001775D9">
        <w:rPr>
          <w:b/>
          <w:bCs/>
          <w:color w:val="000000"/>
          <w:szCs w:val="22"/>
          <w:lang w:eastAsia="en-GB"/>
        </w:rPr>
        <w:t xml:space="preserve">Undesirable </w:t>
      </w:r>
      <w:r w:rsidR="005153CB" w:rsidRPr="001775D9">
        <w:rPr>
          <w:b/>
          <w:bCs/>
          <w:color w:val="000000"/>
          <w:szCs w:val="22"/>
          <w:lang w:eastAsia="en-GB"/>
        </w:rPr>
        <w:t>e</w:t>
      </w:r>
      <w:r w:rsidR="00231B88" w:rsidRPr="001775D9">
        <w:rPr>
          <w:b/>
          <w:bCs/>
          <w:color w:val="000000"/>
          <w:szCs w:val="22"/>
          <w:lang w:eastAsia="en-GB"/>
        </w:rPr>
        <w:t>ffects</w:t>
      </w:r>
    </w:p>
    <w:p w14:paraId="5E522DD1" w14:textId="77777777" w:rsidR="00C42229" w:rsidRPr="001775D9" w:rsidRDefault="00C42229" w:rsidP="00E07581">
      <w:pPr>
        <w:keepNext/>
        <w:keepLines/>
        <w:tabs>
          <w:tab w:val="clear" w:pos="567"/>
        </w:tabs>
        <w:autoSpaceDE w:val="0"/>
        <w:autoSpaceDN w:val="0"/>
        <w:adjustRightInd w:val="0"/>
        <w:spacing w:line="240" w:lineRule="auto"/>
        <w:rPr>
          <w:color w:val="000000"/>
          <w:szCs w:val="22"/>
          <w:lang w:eastAsia="en-GB"/>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701"/>
        <w:gridCol w:w="5670"/>
      </w:tblGrid>
      <w:tr w:rsidR="00C42229" w:rsidRPr="00F04F82" w14:paraId="585A7AC8" w14:textId="77777777" w:rsidTr="00E0250B">
        <w:trPr>
          <w:cantSplit/>
          <w:trHeight w:val="149"/>
          <w:tblHeader/>
        </w:trPr>
        <w:tc>
          <w:tcPr>
            <w:tcW w:w="2268" w:type="dxa"/>
          </w:tcPr>
          <w:p w14:paraId="11B49939" w14:textId="3F88F020" w:rsidR="00C42229" w:rsidRPr="001775D9" w:rsidRDefault="00C42229" w:rsidP="00E07581">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System </w:t>
            </w:r>
            <w:r w:rsidR="00FD5D5F" w:rsidRPr="001775D9">
              <w:rPr>
                <w:b/>
                <w:bCs/>
                <w:color w:val="000000"/>
                <w:szCs w:val="22"/>
                <w:lang w:eastAsia="en-GB"/>
              </w:rPr>
              <w:t>o</w:t>
            </w:r>
            <w:r w:rsidRPr="001775D9">
              <w:rPr>
                <w:b/>
                <w:bCs/>
                <w:color w:val="000000"/>
                <w:szCs w:val="22"/>
                <w:lang w:eastAsia="en-GB"/>
              </w:rPr>
              <w:t xml:space="preserve">rgan </w:t>
            </w:r>
            <w:r w:rsidR="00FD5D5F" w:rsidRPr="001775D9">
              <w:rPr>
                <w:b/>
                <w:bCs/>
                <w:color w:val="000000"/>
                <w:szCs w:val="22"/>
                <w:lang w:eastAsia="en-GB"/>
              </w:rPr>
              <w:t>c</w:t>
            </w:r>
            <w:r w:rsidRPr="001775D9">
              <w:rPr>
                <w:b/>
                <w:bCs/>
                <w:color w:val="000000"/>
                <w:szCs w:val="22"/>
                <w:lang w:eastAsia="en-GB"/>
              </w:rPr>
              <w:t xml:space="preserve">lass </w:t>
            </w:r>
          </w:p>
        </w:tc>
        <w:tc>
          <w:tcPr>
            <w:tcW w:w="1701" w:type="dxa"/>
          </w:tcPr>
          <w:p w14:paraId="5866E191" w14:textId="77777777" w:rsidR="00C42229" w:rsidRPr="001775D9" w:rsidRDefault="00C42229" w:rsidP="00E07581">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Frequency </w:t>
            </w:r>
          </w:p>
        </w:tc>
        <w:tc>
          <w:tcPr>
            <w:tcW w:w="5670" w:type="dxa"/>
          </w:tcPr>
          <w:p w14:paraId="7DE86AE9" w14:textId="32D3EDB9" w:rsidR="00C42229" w:rsidRPr="001775D9" w:rsidRDefault="00C42229" w:rsidP="00E07581">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Adverse </w:t>
            </w:r>
            <w:r w:rsidR="00FD5D5F" w:rsidRPr="001775D9">
              <w:rPr>
                <w:b/>
                <w:bCs/>
                <w:color w:val="000000"/>
                <w:szCs w:val="22"/>
                <w:lang w:eastAsia="en-GB"/>
              </w:rPr>
              <w:t>r</w:t>
            </w:r>
            <w:r w:rsidRPr="001775D9">
              <w:rPr>
                <w:b/>
                <w:bCs/>
                <w:color w:val="000000"/>
                <w:szCs w:val="22"/>
                <w:lang w:eastAsia="en-GB"/>
              </w:rPr>
              <w:t xml:space="preserve">eaction </w:t>
            </w:r>
          </w:p>
        </w:tc>
      </w:tr>
      <w:tr w:rsidR="00C42229" w:rsidRPr="00F04F82" w14:paraId="57BB45B1" w14:textId="77777777" w:rsidTr="00E0250B">
        <w:trPr>
          <w:cantSplit/>
          <w:trHeight w:val="555"/>
        </w:trPr>
        <w:tc>
          <w:tcPr>
            <w:tcW w:w="2268" w:type="dxa"/>
            <w:vMerge w:val="restart"/>
          </w:tcPr>
          <w:p w14:paraId="22253A87" w14:textId="77777777" w:rsidR="00C42229" w:rsidRPr="001775D9" w:rsidRDefault="00C42229"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Infections and infestations* </w:t>
            </w:r>
          </w:p>
        </w:tc>
        <w:tc>
          <w:tcPr>
            <w:tcW w:w="1701" w:type="dxa"/>
          </w:tcPr>
          <w:p w14:paraId="094307CA" w14:textId="77777777" w:rsidR="00C42229" w:rsidRPr="001775D9" w:rsidRDefault="00C42229"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common </w:t>
            </w:r>
          </w:p>
        </w:tc>
        <w:tc>
          <w:tcPr>
            <w:tcW w:w="5670" w:type="dxa"/>
          </w:tcPr>
          <w:p w14:paraId="6B8E9371" w14:textId="77777777" w:rsidR="00C42229"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R</w:t>
            </w:r>
            <w:r w:rsidR="00763225" w:rsidRPr="001775D9">
              <w:rPr>
                <w:color w:val="000000"/>
                <w:szCs w:val="22"/>
                <w:lang w:eastAsia="en-GB"/>
              </w:rPr>
              <w:t>espiratory tract infections (including lower and upper respiratory tract infection, pneumonia, sinusitis, pharyngitis, nasopharyngitis and pneumonia herpes viral)</w:t>
            </w:r>
          </w:p>
        </w:tc>
      </w:tr>
      <w:tr w:rsidR="00C42229" w:rsidRPr="00F04F82" w14:paraId="005CF4B0" w14:textId="77777777" w:rsidTr="00E0250B">
        <w:trPr>
          <w:cantSplit/>
          <w:trHeight w:val="2282"/>
        </w:trPr>
        <w:tc>
          <w:tcPr>
            <w:tcW w:w="2268" w:type="dxa"/>
            <w:vMerge/>
          </w:tcPr>
          <w:p w14:paraId="466D8A04" w14:textId="77777777" w:rsidR="00C42229" w:rsidRPr="00F04F82" w:rsidRDefault="00C42229" w:rsidP="00E07581">
            <w:pPr>
              <w:keepNext/>
              <w:keepLines/>
              <w:tabs>
                <w:tab w:val="clear" w:pos="567"/>
              </w:tabs>
              <w:autoSpaceDE w:val="0"/>
              <w:autoSpaceDN w:val="0"/>
              <w:adjustRightInd w:val="0"/>
              <w:spacing w:line="240" w:lineRule="auto"/>
              <w:rPr>
                <w:color w:val="000000"/>
                <w:szCs w:val="22"/>
                <w:lang w:eastAsia="en-GB"/>
              </w:rPr>
            </w:pPr>
          </w:p>
        </w:tc>
        <w:tc>
          <w:tcPr>
            <w:tcW w:w="1701" w:type="dxa"/>
          </w:tcPr>
          <w:p w14:paraId="735498D0" w14:textId="77777777" w:rsidR="00C42229" w:rsidRPr="001775D9" w:rsidRDefault="00C42229"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Common</w:t>
            </w:r>
          </w:p>
        </w:tc>
        <w:tc>
          <w:tcPr>
            <w:tcW w:w="5670" w:type="dxa"/>
          </w:tcPr>
          <w:p w14:paraId="0F7749D8" w14:textId="77777777" w:rsidR="00763225"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S</w:t>
            </w:r>
            <w:r w:rsidR="00763225" w:rsidRPr="001775D9">
              <w:rPr>
                <w:color w:val="000000"/>
                <w:szCs w:val="22"/>
                <w:lang w:eastAsia="en-GB"/>
              </w:rPr>
              <w:t xml:space="preserve">ystemic infections (including sepsis, candidiasis and influenza), </w:t>
            </w:r>
          </w:p>
          <w:p w14:paraId="6E5894B2" w14:textId="77777777" w:rsidR="00763225"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I</w:t>
            </w:r>
            <w:r w:rsidR="00763225" w:rsidRPr="001775D9">
              <w:rPr>
                <w:color w:val="000000"/>
                <w:szCs w:val="22"/>
                <w:lang w:eastAsia="en-GB"/>
              </w:rPr>
              <w:t xml:space="preserve">ntestinal infections (including gastroenteritis viral), </w:t>
            </w:r>
          </w:p>
          <w:p w14:paraId="574D5777" w14:textId="77777777" w:rsidR="00763225"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S</w:t>
            </w:r>
            <w:r w:rsidR="00763225" w:rsidRPr="001775D9">
              <w:rPr>
                <w:color w:val="000000"/>
                <w:szCs w:val="22"/>
                <w:lang w:eastAsia="en-GB"/>
              </w:rPr>
              <w:t xml:space="preserve">kin and soft tissue infections (including paronychia, cellulitis, impetigo, necrotising fasciitis and herpes zoster), </w:t>
            </w:r>
          </w:p>
          <w:p w14:paraId="4D215229" w14:textId="77777777" w:rsidR="00763225"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E</w:t>
            </w:r>
            <w:r w:rsidR="00763225" w:rsidRPr="001775D9">
              <w:rPr>
                <w:color w:val="000000"/>
                <w:szCs w:val="22"/>
                <w:lang w:eastAsia="en-GB"/>
              </w:rPr>
              <w:t xml:space="preserve">ar infections, </w:t>
            </w:r>
          </w:p>
          <w:p w14:paraId="1259D83F" w14:textId="77777777" w:rsidR="00763225"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O</w:t>
            </w:r>
            <w:r w:rsidR="00763225" w:rsidRPr="001775D9">
              <w:rPr>
                <w:color w:val="000000"/>
                <w:szCs w:val="22"/>
                <w:lang w:eastAsia="en-GB"/>
              </w:rPr>
              <w:t xml:space="preserve">ral infections (including herpes simplex, oral herpes and tooth infections), </w:t>
            </w:r>
          </w:p>
          <w:p w14:paraId="1BC9AB33" w14:textId="77777777" w:rsidR="00763225"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R</w:t>
            </w:r>
            <w:r w:rsidR="00763225" w:rsidRPr="001775D9">
              <w:rPr>
                <w:color w:val="000000"/>
                <w:szCs w:val="22"/>
                <w:lang w:eastAsia="en-GB"/>
              </w:rPr>
              <w:t xml:space="preserve">eproductive tract infections (including vulvovaginal mycotic infection), </w:t>
            </w:r>
          </w:p>
          <w:p w14:paraId="22B993DA" w14:textId="77777777" w:rsidR="00763225"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U</w:t>
            </w:r>
            <w:r w:rsidR="00763225" w:rsidRPr="001775D9">
              <w:rPr>
                <w:color w:val="000000"/>
                <w:szCs w:val="22"/>
                <w:lang w:eastAsia="en-GB"/>
              </w:rPr>
              <w:t xml:space="preserve">rinary tract infections (including pyelonephritis), </w:t>
            </w:r>
          </w:p>
          <w:p w14:paraId="4469E13F" w14:textId="77777777" w:rsidR="00763225"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F</w:t>
            </w:r>
            <w:r w:rsidR="00763225" w:rsidRPr="001775D9">
              <w:rPr>
                <w:color w:val="000000"/>
                <w:szCs w:val="22"/>
                <w:lang w:eastAsia="en-GB"/>
              </w:rPr>
              <w:t xml:space="preserve">ungal infections, </w:t>
            </w:r>
          </w:p>
          <w:p w14:paraId="2CF2F991" w14:textId="77777777" w:rsidR="00C42229" w:rsidRPr="001775D9" w:rsidRDefault="009D37CE" w:rsidP="00E07581">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J</w:t>
            </w:r>
            <w:r w:rsidR="00763225" w:rsidRPr="001775D9">
              <w:rPr>
                <w:color w:val="000000"/>
                <w:szCs w:val="22"/>
                <w:lang w:eastAsia="en-GB"/>
              </w:rPr>
              <w:t>oint infection</w:t>
            </w:r>
            <w:r w:rsidR="009922E5" w:rsidRPr="001775D9">
              <w:rPr>
                <w:color w:val="000000"/>
                <w:szCs w:val="22"/>
                <w:lang w:eastAsia="en-GB"/>
              </w:rPr>
              <w:t>s</w:t>
            </w:r>
          </w:p>
        </w:tc>
      </w:tr>
      <w:tr w:rsidR="00C42229" w:rsidRPr="00F04F82" w14:paraId="715363A5" w14:textId="77777777" w:rsidTr="00E0250B">
        <w:trPr>
          <w:cantSplit/>
          <w:trHeight w:val="1099"/>
        </w:trPr>
        <w:tc>
          <w:tcPr>
            <w:tcW w:w="2268" w:type="dxa"/>
            <w:vMerge/>
          </w:tcPr>
          <w:p w14:paraId="0923C295"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3BEC7BEA"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Uncommon</w:t>
            </w:r>
          </w:p>
        </w:tc>
        <w:tc>
          <w:tcPr>
            <w:tcW w:w="5670" w:type="dxa"/>
          </w:tcPr>
          <w:p w14:paraId="7A5A812F" w14:textId="77777777" w:rsidR="00763225" w:rsidRPr="001775D9" w:rsidRDefault="009D37CE"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N</w:t>
            </w:r>
            <w:r w:rsidR="00763225" w:rsidRPr="001775D9">
              <w:rPr>
                <w:color w:val="000000"/>
                <w:szCs w:val="22"/>
                <w:lang w:eastAsia="en-GB"/>
              </w:rPr>
              <w:t xml:space="preserve">eurological infections (including viral meningitis), </w:t>
            </w:r>
          </w:p>
          <w:p w14:paraId="7D1ADA09" w14:textId="77777777" w:rsidR="00EA7706" w:rsidRPr="001775D9" w:rsidRDefault="009D37CE"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O</w:t>
            </w:r>
            <w:r w:rsidR="00763225" w:rsidRPr="001775D9">
              <w:rPr>
                <w:color w:val="000000"/>
                <w:szCs w:val="22"/>
                <w:lang w:eastAsia="en-GB"/>
              </w:rPr>
              <w:t>pportunistic infections and tuberculosis (including coccidioidomycosis, histoplasmosis and mycobacterium avium</w:t>
            </w:r>
            <w:r w:rsidR="00CD67E9" w:rsidRPr="001775D9">
              <w:rPr>
                <w:color w:val="000000"/>
                <w:szCs w:val="22"/>
                <w:lang w:eastAsia="en-GB"/>
              </w:rPr>
              <w:t xml:space="preserve"> </w:t>
            </w:r>
            <w:r w:rsidR="00763225" w:rsidRPr="001775D9">
              <w:rPr>
                <w:color w:val="000000"/>
                <w:szCs w:val="22"/>
                <w:lang w:eastAsia="en-GB"/>
              </w:rPr>
              <w:t xml:space="preserve">complex infection), </w:t>
            </w:r>
          </w:p>
          <w:p w14:paraId="0A2B961E" w14:textId="77777777" w:rsidR="00B96951" w:rsidRPr="001775D9" w:rsidRDefault="00EA7706"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B</w:t>
            </w:r>
            <w:r w:rsidR="00971607" w:rsidRPr="001775D9">
              <w:rPr>
                <w:color w:val="000000"/>
                <w:szCs w:val="22"/>
                <w:lang w:eastAsia="en-GB"/>
              </w:rPr>
              <w:t xml:space="preserve">acterial infections, </w:t>
            </w:r>
          </w:p>
          <w:p w14:paraId="452AA057" w14:textId="77777777" w:rsidR="00763225" w:rsidRPr="001775D9" w:rsidRDefault="009D37CE"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E</w:t>
            </w:r>
            <w:r w:rsidR="00763225" w:rsidRPr="001775D9">
              <w:rPr>
                <w:color w:val="000000"/>
                <w:szCs w:val="22"/>
                <w:lang w:eastAsia="en-GB"/>
              </w:rPr>
              <w:t>ye infections,</w:t>
            </w:r>
            <w:r w:rsidR="004E400B" w:rsidRPr="001775D9">
              <w:rPr>
                <w:color w:val="000000"/>
                <w:szCs w:val="22"/>
                <w:lang w:eastAsia="en-GB"/>
              </w:rPr>
              <w:t xml:space="preserve"> </w:t>
            </w:r>
          </w:p>
          <w:p w14:paraId="0F56003A" w14:textId="77777777" w:rsidR="00C42229" w:rsidRPr="001775D9" w:rsidRDefault="009D37CE"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D</w:t>
            </w:r>
            <w:r w:rsidR="00763225" w:rsidRPr="001775D9">
              <w:rPr>
                <w:color w:val="000000"/>
                <w:szCs w:val="22"/>
                <w:lang w:eastAsia="en-GB"/>
              </w:rPr>
              <w:t>iverticulitis</w:t>
            </w:r>
            <w:r w:rsidR="00763225" w:rsidRPr="001775D9">
              <w:rPr>
                <w:color w:val="000000"/>
                <w:szCs w:val="22"/>
                <w:vertAlign w:val="superscript"/>
                <w:lang w:eastAsia="en-GB"/>
              </w:rPr>
              <w:t>1)</w:t>
            </w:r>
          </w:p>
        </w:tc>
      </w:tr>
      <w:tr w:rsidR="00763225" w:rsidRPr="00F04F82" w14:paraId="0A6217F6" w14:textId="77777777" w:rsidTr="00E0250B">
        <w:trPr>
          <w:cantSplit/>
          <w:trHeight w:val="587"/>
        </w:trPr>
        <w:tc>
          <w:tcPr>
            <w:tcW w:w="2268" w:type="dxa"/>
            <w:vMerge w:val="restart"/>
          </w:tcPr>
          <w:p w14:paraId="2722A216" w14:textId="77777777" w:rsidR="00763225" w:rsidRPr="001775D9" w:rsidRDefault="00763225" w:rsidP="00012E3B">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Neoplasms benign, malignant and unspecified (including cysts and polyps)* </w:t>
            </w:r>
          </w:p>
        </w:tc>
        <w:tc>
          <w:tcPr>
            <w:tcW w:w="1701" w:type="dxa"/>
          </w:tcPr>
          <w:p w14:paraId="76B0E441" w14:textId="77777777" w:rsidR="00763225" w:rsidRPr="001775D9" w:rsidRDefault="00763225" w:rsidP="00012E3B">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Pr>
          <w:p w14:paraId="7B318FA4" w14:textId="77777777" w:rsidR="00763225" w:rsidRPr="001775D9" w:rsidRDefault="009D37CE"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S</w:t>
            </w:r>
            <w:r w:rsidR="00763225" w:rsidRPr="001775D9">
              <w:rPr>
                <w:color w:val="000000"/>
                <w:szCs w:val="22"/>
                <w:lang w:eastAsia="en-GB"/>
              </w:rPr>
              <w:t xml:space="preserve">kin cancer excluding melanoma (including basal cell carcinoma and squamous cell carcinoma), </w:t>
            </w:r>
          </w:p>
          <w:p w14:paraId="37607480" w14:textId="77777777" w:rsidR="00763225" w:rsidRPr="001775D9" w:rsidRDefault="009D37CE"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B</w:t>
            </w:r>
            <w:r w:rsidR="00763225" w:rsidRPr="001775D9">
              <w:rPr>
                <w:color w:val="000000"/>
                <w:szCs w:val="22"/>
                <w:lang w:eastAsia="en-GB"/>
              </w:rPr>
              <w:t>enign neoplasm</w:t>
            </w:r>
          </w:p>
        </w:tc>
      </w:tr>
      <w:tr w:rsidR="00763225" w:rsidRPr="00F04F82" w14:paraId="0DE33303" w14:textId="77777777" w:rsidTr="00E0250B">
        <w:trPr>
          <w:cantSplit/>
          <w:trHeight w:val="555"/>
        </w:trPr>
        <w:tc>
          <w:tcPr>
            <w:tcW w:w="2268" w:type="dxa"/>
            <w:vMerge/>
          </w:tcPr>
          <w:p w14:paraId="703DFA74" w14:textId="77777777" w:rsidR="00763225" w:rsidRPr="00F04F82" w:rsidRDefault="00763225" w:rsidP="00FB5458">
            <w:pPr>
              <w:tabs>
                <w:tab w:val="clear" w:pos="567"/>
              </w:tabs>
              <w:autoSpaceDE w:val="0"/>
              <w:autoSpaceDN w:val="0"/>
              <w:adjustRightInd w:val="0"/>
              <w:spacing w:line="240" w:lineRule="auto"/>
              <w:rPr>
                <w:color w:val="000000"/>
                <w:szCs w:val="22"/>
                <w:lang w:eastAsia="en-GB"/>
              </w:rPr>
            </w:pPr>
          </w:p>
        </w:tc>
        <w:tc>
          <w:tcPr>
            <w:tcW w:w="1701" w:type="dxa"/>
          </w:tcPr>
          <w:p w14:paraId="14BE15ED" w14:textId="77777777" w:rsidR="00763225" w:rsidRPr="001775D9" w:rsidRDefault="00763225"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Uncommon</w:t>
            </w:r>
          </w:p>
        </w:tc>
        <w:tc>
          <w:tcPr>
            <w:tcW w:w="5670" w:type="dxa"/>
          </w:tcPr>
          <w:p w14:paraId="5B5BDA38" w14:textId="77777777" w:rsidR="00763225" w:rsidRPr="001775D9" w:rsidRDefault="00CC0358"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L</w:t>
            </w:r>
            <w:r w:rsidR="00763225" w:rsidRPr="001775D9">
              <w:rPr>
                <w:color w:val="000000"/>
                <w:szCs w:val="22"/>
                <w:lang w:eastAsia="en-GB"/>
              </w:rPr>
              <w:t xml:space="preserve">ymphoma**, </w:t>
            </w:r>
          </w:p>
          <w:p w14:paraId="6DCF8E3A" w14:textId="77777777" w:rsidR="00763225" w:rsidRPr="001775D9" w:rsidRDefault="00CC0358"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S</w:t>
            </w:r>
            <w:r w:rsidR="00763225" w:rsidRPr="001775D9">
              <w:rPr>
                <w:color w:val="000000"/>
                <w:szCs w:val="22"/>
                <w:lang w:eastAsia="en-GB"/>
              </w:rPr>
              <w:t xml:space="preserve">olid organ neoplasm (including breast cancer, lung neoplasm and thyroid neoplasm), </w:t>
            </w:r>
          </w:p>
          <w:p w14:paraId="4E9038E3" w14:textId="77777777" w:rsidR="00763225" w:rsidRPr="001775D9" w:rsidRDefault="00CC0358"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M</w:t>
            </w:r>
            <w:r w:rsidR="00763225" w:rsidRPr="001775D9">
              <w:rPr>
                <w:color w:val="000000"/>
                <w:szCs w:val="22"/>
                <w:lang w:eastAsia="en-GB"/>
              </w:rPr>
              <w:t>elanoma**</w:t>
            </w:r>
          </w:p>
        </w:tc>
      </w:tr>
      <w:tr w:rsidR="00763225" w:rsidRPr="00F04F82" w14:paraId="7EC80223" w14:textId="77777777" w:rsidTr="00E0250B">
        <w:trPr>
          <w:cantSplit/>
          <w:trHeight w:val="154"/>
        </w:trPr>
        <w:tc>
          <w:tcPr>
            <w:tcW w:w="2268" w:type="dxa"/>
            <w:vMerge/>
          </w:tcPr>
          <w:p w14:paraId="6028A5B2" w14:textId="77777777" w:rsidR="00763225" w:rsidRPr="00F04F82" w:rsidRDefault="00763225" w:rsidP="00FB5458">
            <w:pPr>
              <w:tabs>
                <w:tab w:val="clear" w:pos="567"/>
              </w:tabs>
              <w:autoSpaceDE w:val="0"/>
              <w:autoSpaceDN w:val="0"/>
              <w:adjustRightInd w:val="0"/>
              <w:spacing w:line="240" w:lineRule="auto"/>
              <w:rPr>
                <w:color w:val="000000"/>
                <w:szCs w:val="22"/>
                <w:lang w:eastAsia="en-GB"/>
              </w:rPr>
            </w:pPr>
          </w:p>
        </w:tc>
        <w:tc>
          <w:tcPr>
            <w:tcW w:w="1701" w:type="dxa"/>
          </w:tcPr>
          <w:p w14:paraId="126992EE" w14:textId="77777777" w:rsidR="00763225" w:rsidRPr="001775D9" w:rsidRDefault="00763225"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Rare</w:t>
            </w:r>
          </w:p>
        </w:tc>
        <w:tc>
          <w:tcPr>
            <w:tcW w:w="5670" w:type="dxa"/>
          </w:tcPr>
          <w:p w14:paraId="77367233" w14:textId="77777777" w:rsidR="00763225" w:rsidRPr="001775D9" w:rsidRDefault="00CC0358"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L</w:t>
            </w:r>
            <w:r w:rsidR="00763225" w:rsidRPr="001775D9">
              <w:rPr>
                <w:color w:val="000000"/>
                <w:szCs w:val="22"/>
                <w:lang w:eastAsia="en-GB"/>
              </w:rPr>
              <w:t>eukaemia</w:t>
            </w:r>
            <w:r w:rsidR="00763225" w:rsidRPr="001775D9">
              <w:rPr>
                <w:color w:val="000000"/>
                <w:szCs w:val="22"/>
                <w:vertAlign w:val="superscript"/>
                <w:lang w:eastAsia="en-GB"/>
              </w:rPr>
              <w:t>1)</w:t>
            </w:r>
          </w:p>
        </w:tc>
      </w:tr>
      <w:tr w:rsidR="00763225" w:rsidRPr="00F04F82" w14:paraId="2C4E2B6B" w14:textId="77777777" w:rsidTr="00E0250B">
        <w:trPr>
          <w:cantSplit/>
          <w:trHeight w:val="154"/>
        </w:trPr>
        <w:tc>
          <w:tcPr>
            <w:tcW w:w="2268" w:type="dxa"/>
            <w:vMerge/>
          </w:tcPr>
          <w:p w14:paraId="5A070368" w14:textId="77777777" w:rsidR="00763225" w:rsidRPr="00F04F82" w:rsidRDefault="00763225" w:rsidP="00FB5458">
            <w:pPr>
              <w:tabs>
                <w:tab w:val="clear" w:pos="567"/>
              </w:tabs>
              <w:autoSpaceDE w:val="0"/>
              <w:autoSpaceDN w:val="0"/>
              <w:adjustRightInd w:val="0"/>
              <w:spacing w:line="240" w:lineRule="auto"/>
              <w:rPr>
                <w:color w:val="000000"/>
                <w:szCs w:val="22"/>
                <w:lang w:eastAsia="en-GB"/>
              </w:rPr>
            </w:pPr>
          </w:p>
        </w:tc>
        <w:tc>
          <w:tcPr>
            <w:tcW w:w="1701" w:type="dxa"/>
          </w:tcPr>
          <w:p w14:paraId="5A1A8F03" w14:textId="77777777" w:rsidR="00763225" w:rsidRPr="001775D9" w:rsidRDefault="00763225"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Not known</w:t>
            </w:r>
          </w:p>
        </w:tc>
        <w:tc>
          <w:tcPr>
            <w:tcW w:w="5670" w:type="dxa"/>
          </w:tcPr>
          <w:p w14:paraId="47ED44F3" w14:textId="77777777" w:rsidR="00763225"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H</w:t>
            </w:r>
            <w:r w:rsidR="00763225" w:rsidRPr="001775D9">
              <w:rPr>
                <w:color w:val="000000"/>
                <w:szCs w:val="22"/>
                <w:lang w:eastAsia="en-GB"/>
              </w:rPr>
              <w:t>epatosplenic T-cell lymphoma</w:t>
            </w:r>
            <w:r w:rsidR="00763225" w:rsidRPr="001775D9">
              <w:rPr>
                <w:color w:val="000000"/>
                <w:szCs w:val="22"/>
                <w:vertAlign w:val="superscript"/>
                <w:lang w:eastAsia="en-GB"/>
              </w:rPr>
              <w:t>1)</w:t>
            </w:r>
            <w:r w:rsidR="00DC4942" w:rsidRPr="001775D9">
              <w:rPr>
                <w:color w:val="000000"/>
                <w:szCs w:val="22"/>
                <w:lang w:eastAsia="en-GB"/>
              </w:rPr>
              <w:t>,</w:t>
            </w:r>
          </w:p>
          <w:p w14:paraId="521C563B" w14:textId="77777777" w:rsidR="00763225"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M</w:t>
            </w:r>
            <w:r w:rsidR="00763225" w:rsidRPr="001775D9">
              <w:rPr>
                <w:color w:val="000000"/>
                <w:szCs w:val="22"/>
                <w:lang w:eastAsia="en-GB"/>
              </w:rPr>
              <w:t>erkel cell carcinoma (neuroendocrine carcinoma of the skin)</w:t>
            </w:r>
            <w:r w:rsidR="00763225" w:rsidRPr="001775D9">
              <w:rPr>
                <w:color w:val="000000"/>
                <w:szCs w:val="22"/>
                <w:vertAlign w:val="superscript"/>
                <w:lang w:eastAsia="en-GB"/>
              </w:rPr>
              <w:t>1)</w:t>
            </w:r>
            <w:r w:rsidR="00487B92" w:rsidRPr="001775D9">
              <w:rPr>
                <w:color w:val="000000"/>
                <w:szCs w:val="22"/>
                <w:lang w:eastAsia="en-GB"/>
              </w:rPr>
              <w:t>,</w:t>
            </w:r>
          </w:p>
          <w:p w14:paraId="747AF677" w14:textId="41F6D3E4" w:rsidR="00487B92" w:rsidRPr="001775D9" w:rsidRDefault="00487B92"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Kaposi’s </w:t>
            </w:r>
            <w:r w:rsidR="00B94029" w:rsidRPr="001775D9">
              <w:rPr>
                <w:color w:val="000000"/>
                <w:szCs w:val="22"/>
                <w:lang w:eastAsia="en-GB"/>
              </w:rPr>
              <w:t>s</w:t>
            </w:r>
            <w:r w:rsidRPr="001775D9">
              <w:rPr>
                <w:color w:val="000000"/>
                <w:szCs w:val="22"/>
                <w:lang w:eastAsia="en-GB"/>
              </w:rPr>
              <w:t>arcoma</w:t>
            </w:r>
          </w:p>
        </w:tc>
      </w:tr>
      <w:tr w:rsidR="00C42229" w:rsidRPr="00F04F82" w14:paraId="3D2C5FBD" w14:textId="77777777" w:rsidTr="00E0250B">
        <w:trPr>
          <w:cantSplit/>
          <w:trHeight w:val="154"/>
        </w:trPr>
        <w:tc>
          <w:tcPr>
            <w:tcW w:w="2268" w:type="dxa"/>
            <w:vMerge w:val="restart"/>
          </w:tcPr>
          <w:p w14:paraId="4DE468D5" w14:textId="77777777" w:rsidR="00C42229" w:rsidRPr="00D55B59" w:rsidRDefault="00C42229" w:rsidP="00FB5458">
            <w:pPr>
              <w:pStyle w:val="Default"/>
              <w:rPr>
                <w:sz w:val="22"/>
                <w:szCs w:val="22"/>
                <w:lang w:val="en-GB"/>
                <w:rPrChange w:id="328" w:author="Author">
                  <w:rPr>
                    <w:sz w:val="22"/>
                    <w:szCs w:val="22"/>
                  </w:rPr>
                </w:rPrChange>
              </w:rPr>
            </w:pPr>
            <w:r w:rsidRPr="00D55B59">
              <w:rPr>
                <w:sz w:val="22"/>
                <w:szCs w:val="22"/>
                <w:lang w:val="en-GB"/>
                <w:rPrChange w:id="329" w:author="Author">
                  <w:rPr>
                    <w:sz w:val="22"/>
                    <w:szCs w:val="22"/>
                  </w:rPr>
                </w:rPrChange>
              </w:rPr>
              <w:t>Blood and the lymphatic system disorders*</w:t>
            </w:r>
          </w:p>
          <w:p w14:paraId="4E969FBA"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037A6F13" w14:textId="77777777" w:rsidR="00C42229" w:rsidRPr="00D55B59" w:rsidRDefault="00C42229" w:rsidP="00FB5458">
            <w:pPr>
              <w:pStyle w:val="Default"/>
              <w:rPr>
                <w:sz w:val="22"/>
                <w:szCs w:val="22"/>
                <w:lang w:val="en-GB"/>
                <w:rPrChange w:id="330" w:author="Author">
                  <w:rPr>
                    <w:sz w:val="22"/>
                    <w:szCs w:val="22"/>
                  </w:rPr>
                </w:rPrChange>
              </w:rPr>
            </w:pPr>
            <w:r w:rsidRPr="00D55B59">
              <w:rPr>
                <w:sz w:val="22"/>
                <w:szCs w:val="22"/>
                <w:lang w:val="en-GB"/>
                <w:rPrChange w:id="331" w:author="Author">
                  <w:rPr>
                    <w:sz w:val="22"/>
                    <w:szCs w:val="22"/>
                  </w:rPr>
                </w:rPrChange>
              </w:rPr>
              <w:t xml:space="preserve">Very common </w:t>
            </w:r>
          </w:p>
          <w:p w14:paraId="0B03F0D7"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tc>
        <w:tc>
          <w:tcPr>
            <w:tcW w:w="5670" w:type="dxa"/>
          </w:tcPr>
          <w:p w14:paraId="313B1FC7" w14:textId="77777777" w:rsidR="00C42229" w:rsidRPr="00D55B59" w:rsidRDefault="007225FD" w:rsidP="00FB5458">
            <w:pPr>
              <w:pStyle w:val="Default"/>
              <w:rPr>
                <w:sz w:val="22"/>
                <w:szCs w:val="22"/>
                <w:lang w:val="en-GB"/>
                <w:rPrChange w:id="332" w:author="Author">
                  <w:rPr>
                    <w:sz w:val="22"/>
                    <w:szCs w:val="22"/>
                  </w:rPr>
                </w:rPrChange>
              </w:rPr>
            </w:pPr>
            <w:r w:rsidRPr="00D55B59">
              <w:rPr>
                <w:sz w:val="22"/>
                <w:szCs w:val="22"/>
                <w:lang w:val="en-GB"/>
                <w:rPrChange w:id="333" w:author="Author">
                  <w:rPr>
                    <w:sz w:val="22"/>
                    <w:szCs w:val="22"/>
                  </w:rPr>
                </w:rPrChange>
              </w:rPr>
              <w:t>L</w:t>
            </w:r>
            <w:r w:rsidR="00C42229" w:rsidRPr="00D55B59">
              <w:rPr>
                <w:sz w:val="22"/>
                <w:szCs w:val="22"/>
                <w:lang w:val="en-GB"/>
                <w:rPrChange w:id="334" w:author="Author">
                  <w:rPr>
                    <w:sz w:val="22"/>
                    <w:szCs w:val="22"/>
                  </w:rPr>
                </w:rPrChange>
              </w:rPr>
              <w:t>eu</w:t>
            </w:r>
            <w:r w:rsidR="00092BF6" w:rsidRPr="00D55B59">
              <w:rPr>
                <w:sz w:val="22"/>
                <w:szCs w:val="22"/>
                <w:lang w:val="en-GB"/>
                <w:rPrChange w:id="335" w:author="Author">
                  <w:rPr>
                    <w:sz w:val="22"/>
                    <w:szCs w:val="22"/>
                  </w:rPr>
                </w:rPrChange>
              </w:rPr>
              <w:t>k</w:t>
            </w:r>
            <w:r w:rsidR="00C42229" w:rsidRPr="00D55B59">
              <w:rPr>
                <w:sz w:val="22"/>
                <w:szCs w:val="22"/>
                <w:lang w:val="en-GB"/>
                <w:rPrChange w:id="336" w:author="Author">
                  <w:rPr>
                    <w:sz w:val="22"/>
                    <w:szCs w:val="22"/>
                  </w:rPr>
                </w:rPrChange>
              </w:rPr>
              <w:t xml:space="preserve">openia (including neutropenia and agranulocytosis), </w:t>
            </w:r>
          </w:p>
          <w:p w14:paraId="443EED8F"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szCs w:val="22"/>
              </w:rPr>
              <w:t>A</w:t>
            </w:r>
            <w:r w:rsidR="00C42229" w:rsidRPr="001775D9">
              <w:rPr>
                <w:szCs w:val="22"/>
              </w:rPr>
              <w:t xml:space="preserve">naemia </w:t>
            </w:r>
          </w:p>
        </w:tc>
      </w:tr>
      <w:tr w:rsidR="00C42229" w:rsidRPr="00F04F82" w14:paraId="399C19CF" w14:textId="77777777" w:rsidTr="00E0250B">
        <w:trPr>
          <w:cantSplit/>
          <w:trHeight w:val="154"/>
        </w:trPr>
        <w:tc>
          <w:tcPr>
            <w:tcW w:w="2268" w:type="dxa"/>
            <w:vMerge/>
          </w:tcPr>
          <w:p w14:paraId="6A61B8DD"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41FDE302" w14:textId="77777777" w:rsidR="00C42229" w:rsidRPr="00D55B59" w:rsidRDefault="00C42229" w:rsidP="00FB5458">
            <w:pPr>
              <w:pStyle w:val="Default"/>
              <w:rPr>
                <w:sz w:val="22"/>
                <w:szCs w:val="22"/>
                <w:lang w:val="en-GB"/>
                <w:rPrChange w:id="337" w:author="Author">
                  <w:rPr>
                    <w:sz w:val="22"/>
                    <w:szCs w:val="22"/>
                  </w:rPr>
                </w:rPrChange>
              </w:rPr>
            </w:pPr>
            <w:r w:rsidRPr="00D55B59">
              <w:rPr>
                <w:sz w:val="22"/>
                <w:szCs w:val="22"/>
                <w:lang w:val="en-GB"/>
                <w:rPrChange w:id="338" w:author="Author">
                  <w:rPr>
                    <w:sz w:val="22"/>
                    <w:szCs w:val="22"/>
                  </w:rPr>
                </w:rPrChange>
              </w:rPr>
              <w:t xml:space="preserve">Common </w:t>
            </w:r>
          </w:p>
          <w:p w14:paraId="43FA8CB5"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tc>
        <w:tc>
          <w:tcPr>
            <w:tcW w:w="5670" w:type="dxa"/>
          </w:tcPr>
          <w:p w14:paraId="7DF4D271" w14:textId="77777777" w:rsidR="00C42229" w:rsidRPr="00D55B59" w:rsidRDefault="007225FD" w:rsidP="00FB5458">
            <w:pPr>
              <w:pStyle w:val="Default"/>
              <w:rPr>
                <w:sz w:val="22"/>
                <w:szCs w:val="22"/>
                <w:lang w:val="en-GB"/>
                <w:rPrChange w:id="339" w:author="Author">
                  <w:rPr>
                    <w:sz w:val="22"/>
                    <w:szCs w:val="22"/>
                  </w:rPr>
                </w:rPrChange>
              </w:rPr>
            </w:pPr>
            <w:r w:rsidRPr="00D55B59">
              <w:rPr>
                <w:sz w:val="22"/>
                <w:szCs w:val="22"/>
                <w:lang w:val="en-GB"/>
                <w:rPrChange w:id="340" w:author="Author">
                  <w:rPr>
                    <w:sz w:val="22"/>
                    <w:szCs w:val="22"/>
                  </w:rPr>
                </w:rPrChange>
              </w:rPr>
              <w:t>L</w:t>
            </w:r>
            <w:r w:rsidR="00C42229" w:rsidRPr="00D55B59">
              <w:rPr>
                <w:sz w:val="22"/>
                <w:szCs w:val="22"/>
                <w:lang w:val="en-GB"/>
                <w:rPrChange w:id="341" w:author="Author">
                  <w:rPr>
                    <w:sz w:val="22"/>
                    <w:szCs w:val="22"/>
                  </w:rPr>
                </w:rPrChange>
              </w:rPr>
              <w:t>eu</w:t>
            </w:r>
            <w:r w:rsidR="00092BF6" w:rsidRPr="00D55B59">
              <w:rPr>
                <w:sz w:val="22"/>
                <w:szCs w:val="22"/>
                <w:lang w:val="en-GB"/>
                <w:rPrChange w:id="342" w:author="Author">
                  <w:rPr>
                    <w:sz w:val="22"/>
                    <w:szCs w:val="22"/>
                  </w:rPr>
                </w:rPrChange>
              </w:rPr>
              <w:t>k</w:t>
            </w:r>
            <w:r w:rsidR="00C42229" w:rsidRPr="00D55B59">
              <w:rPr>
                <w:sz w:val="22"/>
                <w:szCs w:val="22"/>
                <w:lang w:val="en-GB"/>
                <w:rPrChange w:id="343" w:author="Author">
                  <w:rPr>
                    <w:sz w:val="22"/>
                    <w:szCs w:val="22"/>
                  </w:rPr>
                </w:rPrChange>
              </w:rPr>
              <w:t xml:space="preserve">ocytosis, </w:t>
            </w:r>
          </w:p>
          <w:p w14:paraId="343A3F53" w14:textId="77777777" w:rsidR="00C42229" w:rsidRPr="00D55B59" w:rsidRDefault="007225FD" w:rsidP="00FB5458">
            <w:pPr>
              <w:pStyle w:val="Default"/>
              <w:rPr>
                <w:sz w:val="22"/>
                <w:szCs w:val="22"/>
                <w:lang w:val="en-GB" w:eastAsia="en-GB"/>
                <w:rPrChange w:id="344" w:author="Author">
                  <w:rPr>
                    <w:sz w:val="22"/>
                    <w:szCs w:val="22"/>
                    <w:lang w:eastAsia="en-GB"/>
                  </w:rPr>
                </w:rPrChange>
              </w:rPr>
            </w:pPr>
            <w:r w:rsidRPr="00D55B59">
              <w:rPr>
                <w:sz w:val="22"/>
                <w:szCs w:val="22"/>
                <w:lang w:val="en-GB"/>
                <w:rPrChange w:id="345" w:author="Author">
                  <w:rPr>
                    <w:sz w:val="22"/>
                    <w:szCs w:val="22"/>
                  </w:rPr>
                </w:rPrChange>
              </w:rPr>
              <w:t>T</w:t>
            </w:r>
            <w:r w:rsidR="00C42229" w:rsidRPr="00D55B59">
              <w:rPr>
                <w:sz w:val="22"/>
                <w:szCs w:val="22"/>
                <w:lang w:val="en-GB"/>
                <w:rPrChange w:id="346" w:author="Author">
                  <w:rPr>
                    <w:sz w:val="22"/>
                    <w:szCs w:val="22"/>
                  </w:rPr>
                </w:rPrChange>
              </w:rPr>
              <w:t xml:space="preserve">hrombocytopenia </w:t>
            </w:r>
          </w:p>
        </w:tc>
      </w:tr>
      <w:tr w:rsidR="00C42229" w:rsidRPr="00F04F82" w14:paraId="4CD7DD9A" w14:textId="77777777" w:rsidTr="00E0250B">
        <w:trPr>
          <w:cantSplit/>
          <w:trHeight w:val="154"/>
        </w:trPr>
        <w:tc>
          <w:tcPr>
            <w:tcW w:w="2268" w:type="dxa"/>
            <w:vMerge/>
          </w:tcPr>
          <w:p w14:paraId="3496FF0E"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1FC3824C" w14:textId="77777777" w:rsidR="00C42229" w:rsidRPr="00D55B59" w:rsidRDefault="00C42229" w:rsidP="00FB5458">
            <w:pPr>
              <w:pStyle w:val="Default"/>
              <w:rPr>
                <w:sz w:val="22"/>
                <w:szCs w:val="22"/>
                <w:lang w:val="en-GB" w:eastAsia="en-GB"/>
                <w:rPrChange w:id="347" w:author="Author">
                  <w:rPr>
                    <w:sz w:val="22"/>
                    <w:szCs w:val="22"/>
                    <w:lang w:eastAsia="en-GB"/>
                  </w:rPr>
                </w:rPrChange>
              </w:rPr>
            </w:pPr>
            <w:r w:rsidRPr="00D55B59">
              <w:rPr>
                <w:sz w:val="22"/>
                <w:szCs w:val="22"/>
                <w:lang w:val="en-GB"/>
                <w:rPrChange w:id="348" w:author="Author">
                  <w:rPr>
                    <w:sz w:val="22"/>
                    <w:szCs w:val="22"/>
                  </w:rPr>
                </w:rPrChange>
              </w:rPr>
              <w:t xml:space="preserve">Uncommon </w:t>
            </w:r>
          </w:p>
        </w:tc>
        <w:tc>
          <w:tcPr>
            <w:tcW w:w="5670" w:type="dxa"/>
          </w:tcPr>
          <w:p w14:paraId="2A6A58A8" w14:textId="77777777" w:rsidR="00C42229" w:rsidRPr="00D55B59" w:rsidRDefault="007225FD" w:rsidP="00FB5458">
            <w:pPr>
              <w:pStyle w:val="Default"/>
              <w:rPr>
                <w:sz w:val="22"/>
                <w:szCs w:val="22"/>
                <w:lang w:val="en-GB" w:eastAsia="en-GB"/>
                <w:rPrChange w:id="349" w:author="Author">
                  <w:rPr>
                    <w:sz w:val="22"/>
                    <w:szCs w:val="22"/>
                    <w:lang w:eastAsia="en-GB"/>
                  </w:rPr>
                </w:rPrChange>
              </w:rPr>
            </w:pPr>
            <w:r w:rsidRPr="00D55B59">
              <w:rPr>
                <w:sz w:val="22"/>
                <w:szCs w:val="22"/>
                <w:lang w:val="en-GB"/>
                <w:rPrChange w:id="350" w:author="Author">
                  <w:rPr>
                    <w:sz w:val="22"/>
                    <w:szCs w:val="22"/>
                  </w:rPr>
                </w:rPrChange>
              </w:rPr>
              <w:t>I</w:t>
            </w:r>
            <w:r w:rsidR="00C42229" w:rsidRPr="00D55B59">
              <w:rPr>
                <w:sz w:val="22"/>
                <w:szCs w:val="22"/>
                <w:lang w:val="en-GB"/>
                <w:rPrChange w:id="351" w:author="Author">
                  <w:rPr>
                    <w:sz w:val="22"/>
                    <w:szCs w:val="22"/>
                  </w:rPr>
                </w:rPrChange>
              </w:rPr>
              <w:t xml:space="preserve">diopathic thrombocytopenic purpura </w:t>
            </w:r>
          </w:p>
        </w:tc>
      </w:tr>
      <w:tr w:rsidR="00C42229" w:rsidRPr="00F04F82" w14:paraId="78A193EB" w14:textId="77777777" w:rsidTr="00E0250B">
        <w:trPr>
          <w:cantSplit/>
          <w:trHeight w:val="154"/>
        </w:trPr>
        <w:tc>
          <w:tcPr>
            <w:tcW w:w="2268" w:type="dxa"/>
            <w:vMerge/>
          </w:tcPr>
          <w:p w14:paraId="105D3C1C"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63D7A582" w14:textId="77777777" w:rsidR="00C42229" w:rsidRPr="00D55B59" w:rsidRDefault="00C42229" w:rsidP="00FB5458">
            <w:pPr>
              <w:pStyle w:val="Default"/>
              <w:rPr>
                <w:sz w:val="22"/>
                <w:szCs w:val="22"/>
                <w:lang w:val="en-GB" w:eastAsia="en-GB"/>
                <w:rPrChange w:id="352" w:author="Author">
                  <w:rPr>
                    <w:sz w:val="22"/>
                    <w:szCs w:val="22"/>
                    <w:lang w:eastAsia="en-GB"/>
                  </w:rPr>
                </w:rPrChange>
              </w:rPr>
            </w:pPr>
            <w:r w:rsidRPr="00D55B59">
              <w:rPr>
                <w:sz w:val="22"/>
                <w:szCs w:val="22"/>
                <w:lang w:val="en-GB"/>
                <w:rPrChange w:id="353" w:author="Author">
                  <w:rPr>
                    <w:sz w:val="22"/>
                    <w:szCs w:val="22"/>
                  </w:rPr>
                </w:rPrChange>
              </w:rPr>
              <w:t xml:space="preserve">Rare </w:t>
            </w:r>
          </w:p>
        </w:tc>
        <w:tc>
          <w:tcPr>
            <w:tcW w:w="5670" w:type="dxa"/>
          </w:tcPr>
          <w:p w14:paraId="62F553ED" w14:textId="77777777" w:rsidR="00C42229" w:rsidRPr="00D55B59" w:rsidRDefault="007225FD" w:rsidP="00FB5458">
            <w:pPr>
              <w:pStyle w:val="Default"/>
              <w:rPr>
                <w:sz w:val="22"/>
                <w:szCs w:val="22"/>
                <w:lang w:val="en-GB" w:eastAsia="en-GB"/>
                <w:rPrChange w:id="354" w:author="Author">
                  <w:rPr>
                    <w:sz w:val="22"/>
                    <w:szCs w:val="22"/>
                    <w:lang w:eastAsia="en-GB"/>
                  </w:rPr>
                </w:rPrChange>
              </w:rPr>
            </w:pPr>
            <w:r w:rsidRPr="00D55B59">
              <w:rPr>
                <w:sz w:val="22"/>
                <w:szCs w:val="22"/>
                <w:lang w:val="en-GB"/>
                <w:rPrChange w:id="355" w:author="Author">
                  <w:rPr>
                    <w:sz w:val="22"/>
                    <w:szCs w:val="22"/>
                  </w:rPr>
                </w:rPrChange>
              </w:rPr>
              <w:t>P</w:t>
            </w:r>
            <w:r w:rsidR="00C42229" w:rsidRPr="00D55B59">
              <w:rPr>
                <w:sz w:val="22"/>
                <w:szCs w:val="22"/>
                <w:lang w:val="en-GB"/>
                <w:rPrChange w:id="356" w:author="Author">
                  <w:rPr>
                    <w:sz w:val="22"/>
                    <w:szCs w:val="22"/>
                  </w:rPr>
                </w:rPrChange>
              </w:rPr>
              <w:t xml:space="preserve">ancytopenia </w:t>
            </w:r>
          </w:p>
        </w:tc>
      </w:tr>
      <w:tr w:rsidR="00C42229" w:rsidRPr="00F04F82" w14:paraId="3441C387" w14:textId="77777777" w:rsidTr="00E0250B">
        <w:trPr>
          <w:cantSplit/>
          <w:trHeight w:val="154"/>
        </w:trPr>
        <w:tc>
          <w:tcPr>
            <w:tcW w:w="2268" w:type="dxa"/>
            <w:vMerge w:val="restart"/>
          </w:tcPr>
          <w:p w14:paraId="69B4A2FE" w14:textId="77777777" w:rsidR="00C42229" w:rsidRPr="00D55B59" w:rsidRDefault="00C42229" w:rsidP="00FB5458">
            <w:pPr>
              <w:pStyle w:val="Default"/>
              <w:rPr>
                <w:sz w:val="22"/>
                <w:szCs w:val="22"/>
                <w:lang w:val="en-GB"/>
                <w:rPrChange w:id="357" w:author="Author">
                  <w:rPr>
                    <w:sz w:val="22"/>
                    <w:szCs w:val="22"/>
                  </w:rPr>
                </w:rPrChange>
              </w:rPr>
            </w:pPr>
            <w:r w:rsidRPr="00D55B59">
              <w:rPr>
                <w:sz w:val="22"/>
                <w:szCs w:val="22"/>
                <w:lang w:val="en-GB"/>
                <w:rPrChange w:id="358" w:author="Author">
                  <w:rPr>
                    <w:sz w:val="22"/>
                    <w:szCs w:val="22"/>
                  </w:rPr>
                </w:rPrChange>
              </w:rPr>
              <w:t xml:space="preserve">Immune system disorders* </w:t>
            </w:r>
          </w:p>
          <w:p w14:paraId="51DDD798"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46A4BC95" w14:textId="77777777" w:rsidR="00C42229" w:rsidRPr="00D55B59" w:rsidRDefault="00C42229" w:rsidP="00FB5458">
            <w:pPr>
              <w:pStyle w:val="Default"/>
              <w:rPr>
                <w:sz w:val="22"/>
                <w:szCs w:val="22"/>
                <w:lang w:val="en-GB"/>
                <w:rPrChange w:id="359" w:author="Author">
                  <w:rPr>
                    <w:sz w:val="22"/>
                    <w:szCs w:val="22"/>
                  </w:rPr>
                </w:rPrChange>
              </w:rPr>
            </w:pPr>
            <w:r w:rsidRPr="00D55B59">
              <w:rPr>
                <w:sz w:val="22"/>
                <w:szCs w:val="22"/>
                <w:lang w:val="en-GB"/>
                <w:rPrChange w:id="360" w:author="Author">
                  <w:rPr>
                    <w:sz w:val="22"/>
                    <w:szCs w:val="22"/>
                  </w:rPr>
                </w:rPrChange>
              </w:rPr>
              <w:t xml:space="preserve">Common </w:t>
            </w:r>
          </w:p>
          <w:p w14:paraId="38E37C37" w14:textId="77777777" w:rsidR="00C42229" w:rsidRPr="00D55B59" w:rsidRDefault="00C42229" w:rsidP="00FB5458">
            <w:pPr>
              <w:pStyle w:val="Default"/>
              <w:rPr>
                <w:sz w:val="22"/>
                <w:szCs w:val="22"/>
                <w:lang w:val="en-GB"/>
                <w:rPrChange w:id="361" w:author="Author">
                  <w:rPr>
                    <w:sz w:val="22"/>
                    <w:szCs w:val="22"/>
                  </w:rPr>
                </w:rPrChange>
              </w:rPr>
            </w:pPr>
          </w:p>
        </w:tc>
        <w:tc>
          <w:tcPr>
            <w:tcW w:w="5670" w:type="dxa"/>
          </w:tcPr>
          <w:p w14:paraId="0A212CE4" w14:textId="77777777" w:rsidR="00C42229" w:rsidRPr="00D55B59" w:rsidRDefault="007225FD" w:rsidP="00FB5458">
            <w:pPr>
              <w:pStyle w:val="Default"/>
              <w:rPr>
                <w:sz w:val="22"/>
                <w:szCs w:val="22"/>
                <w:lang w:val="en-GB"/>
                <w:rPrChange w:id="362" w:author="Author">
                  <w:rPr>
                    <w:sz w:val="22"/>
                    <w:szCs w:val="22"/>
                  </w:rPr>
                </w:rPrChange>
              </w:rPr>
            </w:pPr>
            <w:r w:rsidRPr="00D55B59">
              <w:rPr>
                <w:sz w:val="22"/>
                <w:szCs w:val="22"/>
                <w:lang w:val="en-GB"/>
                <w:rPrChange w:id="363" w:author="Author">
                  <w:rPr>
                    <w:sz w:val="22"/>
                    <w:szCs w:val="22"/>
                  </w:rPr>
                </w:rPrChange>
              </w:rPr>
              <w:t>H</w:t>
            </w:r>
            <w:r w:rsidR="00C42229" w:rsidRPr="00D55B59">
              <w:rPr>
                <w:sz w:val="22"/>
                <w:szCs w:val="22"/>
                <w:lang w:val="en-GB"/>
                <w:rPrChange w:id="364" w:author="Author">
                  <w:rPr>
                    <w:sz w:val="22"/>
                    <w:szCs w:val="22"/>
                  </w:rPr>
                </w:rPrChange>
              </w:rPr>
              <w:t xml:space="preserve">ypersensitivity, </w:t>
            </w:r>
          </w:p>
          <w:p w14:paraId="35C3D150" w14:textId="77777777" w:rsidR="00C42229" w:rsidRPr="00D55B59" w:rsidRDefault="007225FD" w:rsidP="00FB5458">
            <w:pPr>
              <w:pStyle w:val="Default"/>
              <w:rPr>
                <w:sz w:val="22"/>
                <w:szCs w:val="22"/>
                <w:lang w:val="en-GB"/>
                <w:rPrChange w:id="365" w:author="Author">
                  <w:rPr>
                    <w:sz w:val="22"/>
                    <w:szCs w:val="22"/>
                  </w:rPr>
                </w:rPrChange>
              </w:rPr>
            </w:pPr>
            <w:r w:rsidRPr="00D55B59">
              <w:rPr>
                <w:sz w:val="22"/>
                <w:szCs w:val="22"/>
                <w:lang w:val="en-GB"/>
                <w:rPrChange w:id="366" w:author="Author">
                  <w:rPr>
                    <w:sz w:val="22"/>
                    <w:szCs w:val="22"/>
                  </w:rPr>
                </w:rPrChange>
              </w:rPr>
              <w:t>A</w:t>
            </w:r>
            <w:r w:rsidR="00C42229" w:rsidRPr="00D55B59">
              <w:rPr>
                <w:sz w:val="22"/>
                <w:szCs w:val="22"/>
                <w:lang w:val="en-GB"/>
                <w:rPrChange w:id="367" w:author="Author">
                  <w:rPr>
                    <w:sz w:val="22"/>
                    <w:szCs w:val="22"/>
                  </w:rPr>
                </w:rPrChange>
              </w:rPr>
              <w:t xml:space="preserve">llergies (including seasonal allergy) </w:t>
            </w:r>
          </w:p>
        </w:tc>
      </w:tr>
      <w:tr w:rsidR="00C42229" w:rsidRPr="00F04F82" w14:paraId="174F62CC" w14:textId="77777777" w:rsidTr="00E0250B">
        <w:trPr>
          <w:cantSplit/>
          <w:trHeight w:val="154"/>
        </w:trPr>
        <w:tc>
          <w:tcPr>
            <w:tcW w:w="2268" w:type="dxa"/>
            <w:vMerge/>
          </w:tcPr>
          <w:p w14:paraId="59F6E73C"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7011D6CA" w14:textId="77777777" w:rsidR="00C42229" w:rsidRPr="00D55B59" w:rsidRDefault="00C42229" w:rsidP="00FB5458">
            <w:pPr>
              <w:pStyle w:val="Default"/>
              <w:rPr>
                <w:sz w:val="22"/>
                <w:szCs w:val="22"/>
                <w:lang w:val="en-GB"/>
                <w:rPrChange w:id="368" w:author="Author">
                  <w:rPr>
                    <w:sz w:val="22"/>
                    <w:szCs w:val="22"/>
                  </w:rPr>
                </w:rPrChange>
              </w:rPr>
            </w:pPr>
            <w:r w:rsidRPr="00D55B59">
              <w:rPr>
                <w:sz w:val="22"/>
                <w:szCs w:val="22"/>
                <w:lang w:val="en-GB"/>
                <w:rPrChange w:id="369" w:author="Author">
                  <w:rPr>
                    <w:sz w:val="22"/>
                    <w:szCs w:val="22"/>
                  </w:rPr>
                </w:rPrChange>
              </w:rPr>
              <w:t xml:space="preserve">Uncommon </w:t>
            </w:r>
          </w:p>
          <w:p w14:paraId="7769F618" w14:textId="77777777" w:rsidR="00C42229" w:rsidRPr="00D55B59" w:rsidRDefault="00C42229" w:rsidP="00FB5458">
            <w:pPr>
              <w:pStyle w:val="Default"/>
              <w:rPr>
                <w:sz w:val="22"/>
                <w:szCs w:val="22"/>
                <w:lang w:val="en-GB"/>
                <w:rPrChange w:id="370" w:author="Author">
                  <w:rPr>
                    <w:sz w:val="22"/>
                    <w:szCs w:val="22"/>
                  </w:rPr>
                </w:rPrChange>
              </w:rPr>
            </w:pPr>
          </w:p>
        </w:tc>
        <w:tc>
          <w:tcPr>
            <w:tcW w:w="5670" w:type="dxa"/>
          </w:tcPr>
          <w:p w14:paraId="3712FA85" w14:textId="77777777" w:rsidR="00C42229" w:rsidRPr="00D55B59" w:rsidRDefault="007225FD" w:rsidP="00FB5458">
            <w:pPr>
              <w:pStyle w:val="Default"/>
              <w:rPr>
                <w:sz w:val="22"/>
                <w:szCs w:val="22"/>
                <w:lang w:val="en-GB"/>
                <w:rPrChange w:id="371" w:author="Author">
                  <w:rPr>
                    <w:sz w:val="22"/>
                    <w:szCs w:val="22"/>
                  </w:rPr>
                </w:rPrChange>
              </w:rPr>
            </w:pPr>
            <w:r w:rsidRPr="00D55B59">
              <w:rPr>
                <w:sz w:val="22"/>
                <w:szCs w:val="22"/>
                <w:lang w:val="en-GB"/>
                <w:rPrChange w:id="372" w:author="Author">
                  <w:rPr>
                    <w:sz w:val="22"/>
                    <w:szCs w:val="22"/>
                  </w:rPr>
                </w:rPrChange>
              </w:rPr>
              <w:t>S</w:t>
            </w:r>
            <w:r w:rsidR="00C42229" w:rsidRPr="00D55B59">
              <w:rPr>
                <w:sz w:val="22"/>
                <w:szCs w:val="22"/>
                <w:lang w:val="en-GB"/>
                <w:rPrChange w:id="373" w:author="Author">
                  <w:rPr>
                    <w:sz w:val="22"/>
                    <w:szCs w:val="22"/>
                  </w:rPr>
                </w:rPrChange>
              </w:rPr>
              <w:t>arcoidosis</w:t>
            </w:r>
            <w:r w:rsidR="00C42229" w:rsidRPr="00D55B59">
              <w:rPr>
                <w:sz w:val="22"/>
                <w:szCs w:val="22"/>
                <w:vertAlign w:val="superscript"/>
                <w:lang w:val="en-GB"/>
                <w:rPrChange w:id="374" w:author="Author">
                  <w:rPr>
                    <w:sz w:val="22"/>
                    <w:szCs w:val="22"/>
                    <w:vertAlign w:val="superscript"/>
                  </w:rPr>
                </w:rPrChange>
              </w:rPr>
              <w:t>1)</w:t>
            </w:r>
            <w:r w:rsidR="00C42229" w:rsidRPr="00D55B59">
              <w:rPr>
                <w:sz w:val="22"/>
                <w:szCs w:val="22"/>
                <w:lang w:val="en-GB"/>
                <w:rPrChange w:id="375" w:author="Author">
                  <w:rPr>
                    <w:sz w:val="22"/>
                    <w:szCs w:val="22"/>
                  </w:rPr>
                </w:rPrChange>
              </w:rPr>
              <w:t xml:space="preserve">, </w:t>
            </w:r>
          </w:p>
          <w:p w14:paraId="6E218745" w14:textId="77777777" w:rsidR="00C42229" w:rsidRPr="00D55B59" w:rsidRDefault="007225FD" w:rsidP="00FB5458">
            <w:pPr>
              <w:pStyle w:val="Default"/>
              <w:rPr>
                <w:sz w:val="22"/>
                <w:szCs w:val="22"/>
                <w:lang w:val="en-GB"/>
                <w:rPrChange w:id="376" w:author="Author">
                  <w:rPr>
                    <w:sz w:val="22"/>
                    <w:szCs w:val="22"/>
                  </w:rPr>
                </w:rPrChange>
              </w:rPr>
            </w:pPr>
            <w:r w:rsidRPr="00D55B59">
              <w:rPr>
                <w:sz w:val="22"/>
                <w:szCs w:val="22"/>
                <w:lang w:val="en-GB"/>
                <w:rPrChange w:id="377" w:author="Author">
                  <w:rPr>
                    <w:sz w:val="22"/>
                    <w:szCs w:val="22"/>
                  </w:rPr>
                </w:rPrChange>
              </w:rPr>
              <w:t>V</w:t>
            </w:r>
            <w:r w:rsidR="00C42229" w:rsidRPr="00D55B59">
              <w:rPr>
                <w:sz w:val="22"/>
                <w:szCs w:val="22"/>
                <w:lang w:val="en-GB"/>
                <w:rPrChange w:id="378" w:author="Author">
                  <w:rPr>
                    <w:sz w:val="22"/>
                    <w:szCs w:val="22"/>
                  </w:rPr>
                </w:rPrChange>
              </w:rPr>
              <w:t xml:space="preserve">asculitis </w:t>
            </w:r>
          </w:p>
        </w:tc>
      </w:tr>
      <w:tr w:rsidR="00C42229" w:rsidRPr="00F04F82" w14:paraId="30CBD018" w14:textId="77777777" w:rsidTr="00E0250B">
        <w:trPr>
          <w:cantSplit/>
          <w:trHeight w:val="154"/>
        </w:trPr>
        <w:tc>
          <w:tcPr>
            <w:tcW w:w="2268" w:type="dxa"/>
            <w:vMerge/>
          </w:tcPr>
          <w:p w14:paraId="5B8DE1FB"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6D234B06" w14:textId="77777777" w:rsidR="00C42229" w:rsidRPr="00D55B59" w:rsidRDefault="00C42229" w:rsidP="00FB5458">
            <w:pPr>
              <w:pStyle w:val="Default"/>
              <w:rPr>
                <w:sz w:val="22"/>
                <w:szCs w:val="22"/>
                <w:lang w:val="en-GB"/>
                <w:rPrChange w:id="379" w:author="Author">
                  <w:rPr>
                    <w:sz w:val="22"/>
                    <w:szCs w:val="22"/>
                  </w:rPr>
                </w:rPrChange>
              </w:rPr>
            </w:pPr>
            <w:r w:rsidRPr="00D55B59">
              <w:rPr>
                <w:sz w:val="22"/>
                <w:szCs w:val="22"/>
                <w:lang w:val="en-GB"/>
                <w:rPrChange w:id="380" w:author="Author">
                  <w:rPr>
                    <w:sz w:val="22"/>
                    <w:szCs w:val="22"/>
                  </w:rPr>
                </w:rPrChange>
              </w:rPr>
              <w:t xml:space="preserve">Rare </w:t>
            </w:r>
          </w:p>
        </w:tc>
        <w:tc>
          <w:tcPr>
            <w:tcW w:w="5670" w:type="dxa"/>
          </w:tcPr>
          <w:p w14:paraId="7E021425" w14:textId="77777777" w:rsidR="00C42229" w:rsidRPr="00D55B59" w:rsidRDefault="007225FD" w:rsidP="00FB5458">
            <w:pPr>
              <w:pStyle w:val="Default"/>
              <w:rPr>
                <w:sz w:val="22"/>
                <w:szCs w:val="22"/>
                <w:lang w:val="en-GB"/>
                <w:rPrChange w:id="381" w:author="Author">
                  <w:rPr>
                    <w:sz w:val="22"/>
                    <w:szCs w:val="22"/>
                  </w:rPr>
                </w:rPrChange>
              </w:rPr>
            </w:pPr>
            <w:r w:rsidRPr="00D55B59">
              <w:rPr>
                <w:sz w:val="22"/>
                <w:szCs w:val="22"/>
                <w:lang w:val="en-GB"/>
                <w:rPrChange w:id="382" w:author="Author">
                  <w:rPr>
                    <w:sz w:val="22"/>
                    <w:szCs w:val="22"/>
                  </w:rPr>
                </w:rPrChange>
              </w:rPr>
              <w:t>A</w:t>
            </w:r>
            <w:r w:rsidR="00C42229" w:rsidRPr="00D55B59">
              <w:rPr>
                <w:sz w:val="22"/>
                <w:szCs w:val="22"/>
                <w:lang w:val="en-GB"/>
                <w:rPrChange w:id="383" w:author="Author">
                  <w:rPr>
                    <w:sz w:val="22"/>
                    <w:szCs w:val="22"/>
                  </w:rPr>
                </w:rPrChange>
              </w:rPr>
              <w:t>naphylaxis</w:t>
            </w:r>
            <w:r w:rsidR="00C42229" w:rsidRPr="00D55B59">
              <w:rPr>
                <w:sz w:val="22"/>
                <w:szCs w:val="22"/>
                <w:vertAlign w:val="superscript"/>
                <w:lang w:val="en-GB"/>
                <w:rPrChange w:id="384" w:author="Author">
                  <w:rPr>
                    <w:sz w:val="22"/>
                    <w:szCs w:val="22"/>
                    <w:vertAlign w:val="superscript"/>
                  </w:rPr>
                </w:rPrChange>
              </w:rPr>
              <w:t>1)</w:t>
            </w:r>
            <w:r w:rsidR="00C42229" w:rsidRPr="00D55B59">
              <w:rPr>
                <w:sz w:val="22"/>
                <w:szCs w:val="22"/>
                <w:lang w:val="en-GB"/>
                <w:rPrChange w:id="385" w:author="Author">
                  <w:rPr>
                    <w:sz w:val="22"/>
                    <w:szCs w:val="22"/>
                  </w:rPr>
                </w:rPrChange>
              </w:rPr>
              <w:t xml:space="preserve"> </w:t>
            </w:r>
          </w:p>
        </w:tc>
      </w:tr>
      <w:tr w:rsidR="00C42229" w:rsidRPr="00F04F82" w14:paraId="76B4C590" w14:textId="77777777" w:rsidTr="005E36B5">
        <w:trPr>
          <w:trHeight w:val="154"/>
        </w:trPr>
        <w:tc>
          <w:tcPr>
            <w:tcW w:w="2268" w:type="dxa"/>
            <w:vMerge w:val="restart"/>
          </w:tcPr>
          <w:p w14:paraId="15FAFDEA" w14:textId="77777777" w:rsidR="00C42229" w:rsidRPr="00D55B59" w:rsidRDefault="00C42229" w:rsidP="005E36B5">
            <w:pPr>
              <w:pStyle w:val="Default"/>
              <w:keepNext/>
              <w:keepLines/>
              <w:rPr>
                <w:sz w:val="22"/>
                <w:szCs w:val="22"/>
                <w:lang w:val="en-GB"/>
                <w:rPrChange w:id="386" w:author="Author">
                  <w:rPr>
                    <w:sz w:val="22"/>
                    <w:szCs w:val="22"/>
                  </w:rPr>
                </w:rPrChange>
              </w:rPr>
            </w:pPr>
            <w:r w:rsidRPr="00D55B59">
              <w:rPr>
                <w:sz w:val="22"/>
                <w:szCs w:val="22"/>
                <w:lang w:val="en-GB"/>
                <w:rPrChange w:id="387" w:author="Author">
                  <w:rPr>
                    <w:sz w:val="22"/>
                    <w:szCs w:val="22"/>
                  </w:rPr>
                </w:rPrChange>
              </w:rPr>
              <w:t xml:space="preserve">Metabolism and nutrition disorders </w:t>
            </w:r>
          </w:p>
          <w:p w14:paraId="58EBC1A3" w14:textId="77777777" w:rsidR="00C42229" w:rsidRPr="001775D9" w:rsidRDefault="00C42229" w:rsidP="005E36B5">
            <w:pPr>
              <w:keepNext/>
              <w:keepLines/>
              <w:tabs>
                <w:tab w:val="clear" w:pos="567"/>
              </w:tabs>
              <w:autoSpaceDE w:val="0"/>
              <w:autoSpaceDN w:val="0"/>
              <w:adjustRightInd w:val="0"/>
              <w:spacing w:line="240" w:lineRule="auto"/>
              <w:rPr>
                <w:color w:val="000000"/>
                <w:szCs w:val="22"/>
                <w:lang w:eastAsia="en-GB"/>
              </w:rPr>
            </w:pPr>
          </w:p>
        </w:tc>
        <w:tc>
          <w:tcPr>
            <w:tcW w:w="1701" w:type="dxa"/>
          </w:tcPr>
          <w:p w14:paraId="67707CEE" w14:textId="77777777" w:rsidR="00C42229" w:rsidRPr="00D55B59" w:rsidRDefault="00C42229" w:rsidP="005E36B5">
            <w:pPr>
              <w:pStyle w:val="Default"/>
              <w:keepNext/>
              <w:keepLines/>
              <w:rPr>
                <w:sz w:val="22"/>
                <w:szCs w:val="22"/>
                <w:lang w:val="en-GB"/>
                <w:rPrChange w:id="388" w:author="Author">
                  <w:rPr>
                    <w:sz w:val="22"/>
                    <w:szCs w:val="22"/>
                  </w:rPr>
                </w:rPrChange>
              </w:rPr>
            </w:pPr>
            <w:r w:rsidRPr="00D55B59">
              <w:rPr>
                <w:sz w:val="22"/>
                <w:szCs w:val="22"/>
                <w:lang w:val="en-GB"/>
                <w:rPrChange w:id="389" w:author="Author">
                  <w:rPr>
                    <w:sz w:val="22"/>
                    <w:szCs w:val="22"/>
                  </w:rPr>
                </w:rPrChange>
              </w:rPr>
              <w:t xml:space="preserve">Very common </w:t>
            </w:r>
          </w:p>
        </w:tc>
        <w:tc>
          <w:tcPr>
            <w:tcW w:w="5670" w:type="dxa"/>
          </w:tcPr>
          <w:p w14:paraId="617593D2" w14:textId="77777777" w:rsidR="00C42229" w:rsidRPr="00D55B59" w:rsidRDefault="007225FD" w:rsidP="005E36B5">
            <w:pPr>
              <w:pStyle w:val="Default"/>
              <w:keepNext/>
              <w:keepLines/>
              <w:rPr>
                <w:sz w:val="22"/>
                <w:szCs w:val="22"/>
                <w:lang w:val="en-GB"/>
                <w:rPrChange w:id="390" w:author="Author">
                  <w:rPr>
                    <w:sz w:val="22"/>
                    <w:szCs w:val="22"/>
                  </w:rPr>
                </w:rPrChange>
              </w:rPr>
            </w:pPr>
            <w:r w:rsidRPr="00D55B59">
              <w:rPr>
                <w:sz w:val="22"/>
                <w:szCs w:val="22"/>
                <w:lang w:val="en-GB"/>
                <w:rPrChange w:id="391" w:author="Author">
                  <w:rPr>
                    <w:sz w:val="22"/>
                    <w:szCs w:val="22"/>
                  </w:rPr>
                </w:rPrChange>
              </w:rPr>
              <w:t>L</w:t>
            </w:r>
            <w:r w:rsidR="00C42229" w:rsidRPr="00D55B59">
              <w:rPr>
                <w:sz w:val="22"/>
                <w:szCs w:val="22"/>
                <w:lang w:val="en-GB"/>
                <w:rPrChange w:id="392" w:author="Author">
                  <w:rPr>
                    <w:sz w:val="22"/>
                    <w:szCs w:val="22"/>
                  </w:rPr>
                </w:rPrChange>
              </w:rPr>
              <w:t xml:space="preserve">ipids increased </w:t>
            </w:r>
          </w:p>
        </w:tc>
      </w:tr>
      <w:tr w:rsidR="00C42229" w:rsidRPr="00F04F82" w14:paraId="5C6332C9" w14:textId="77777777" w:rsidTr="005E36B5">
        <w:trPr>
          <w:trHeight w:val="154"/>
        </w:trPr>
        <w:tc>
          <w:tcPr>
            <w:tcW w:w="2268" w:type="dxa"/>
            <w:vMerge/>
          </w:tcPr>
          <w:p w14:paraId="100C2332" w14:textId="77777777" w:rsidR="00C42229" w:rsidRPr="00F04F82" w:rsidRDefault="00C42229" w:rsidP="005E36B5">
            <w:pPr>
              <w:keepNext/>
              <w:keepLines/>
              <w:tabs>
                <w:tab w:val="clear" w:pos="567"/>
              </w:tabs>
              <w:autoSpaceDE w:val="0"/>
              <w:autoSpaceDN w:val="0"/>
              <w:adjustRightInd w:val="0"/>
              <w:spacing w:line="240" w:lineRule="auto"/>
              <w:rPr>
                <w:color w:val="000000"/>
                <w:szCs w:val="22"/>
                <w:lang w:eastAsia="en-GB"/>
              </w:rPr>
            </w:pPr>
          </w:p>
        </w:tc>
        <w:tc>
          <w:tcPr>
            <w:tcW w:w="1701" w:type="dxa"/>
          </w:tcPr>
          <w:p w14:paraId="3CAEEEA2" w14:textId="77777777" w:rsidR="00C42229" w:rsidRPr="00D55B59" w:rsidRDefault="00C42229" w:rsidP="005E36B5">
            <w:pPr>
              <w:pStyle w:val="Default"/>
              <w:keepNext/>
              <w:keepLines/>
              <w:rPr>
                <w:sz w:val="22"/>
                <w:szCs w:val="22"/>
                <w:lang w:val="en-GB"/>
                <w:rPrChange w:id="393" w:author="Author">
                  <w:rPr>
                    <w:sz w:val="22"/>
                    <w:szCs w:val="22"/>
                  </w:rPr>
                </w:rPrChange>
              </w:rPr>
            </w:pPr>
            <w:r w:rsidRPr="00D55B59">
              <w:rPr>
                <w:sz w:val="22"/>
                <w:szCs w:val="22"/>
                <w:lang w:val="en-GB"/>
                <w:rPrChange w:id="394" w:author="Author">
                  <w:rPr>
                    <w:sz w:val="22"/>
                    <w:szCs w:val="22"/>
                  </w:rPr>
                </w:rPrChange>
              </w:rPr>
              <w:t xml:space="preserve">Common </w:t>
            </w:r>
          </w:p>
          <w:p w14:paraId="1E05A2E8" w14:textId="77777777" w:rsidR="00C42229" w:rsidRPr="00D55B59" w:rsidRDefault="00C42229" w:rsidP="005E36B5">
            <w:pPr>
              <w:pStyle w:val="Default"/>
              <w:keepNext/>
              <w:keepLines/>
              <w:rPr>
                <w:sz w:val="22"/>
                <w:szCs w:val="22"/>
                <w:lang w:val="en-GB"/>
                <w:rPrChange w:id="395" w:author="Author">
                  <w:rPr>
                    <w:sz w:val="22"/>
                    <w:szCs w:val="22"/>
                  </w:rPr>
                </w:rPrChange>
              </w:rPr>
            </w:pPr>
          </w:p>
        </w:tc>
        <w:tc>
          <w:tcPr>
            <w:tcW w:w="5670" w:type="dxa"/>
          </w:tcPr>
          <w:p w14:paraId="594760E4" w14:textId="77777777" w:rsidR="00C42229" w:rsidRPr="00D55B59" w:rsidRDefault="007225FD" w:rsidP="005E36B5">
            <w:pPr>
              <w:pStyle w:val="Default"/>
              <w:keepNext/>
              <w:keepLines/>
              <w:rPr>
                <w:sz w:val="22"/>
                <w:szCs w:val="22"/>
                <w:lang w:val="en-GB"/>
                <w:rPrChange w:id="396" w:author="Author">
                  <w:rPr>
                    <w:sz w:val="22"/>
                    <w:szCs w:val="22"/>
                  </w:rPr>
                </w:rPrChange>
              </w:rPr>
            </w:pPr>
            <w:r w:rsidRPr="00D55B59">
              <w:rPr>
                <w:sz w:val="22"/>
                <w:szCs w:val="22"/>
                <w:lang w:val="en-GB"/>
                <w:rPrChange w:id="397" w:author="Author">
                  <w:rPr>
                    <w:sz w:val="22"/>
                    <w:szCs w:val="22"/>
                  </w:rPr>
                </w:rPrChange>
              </w:rPr>
              <w:t>H</w:t>
            </w:r>
            <w:r w:rsidR="00C42229" w:rsidRPr="00D55B59">
              <w:rPr>
                <w:sz w:val="22"/>
                <w:szCs w:val="22"/>
                <w:lang w:val="en-GB"/>
                <w:rPrChange w:id="398" w:author="Author">
                  <w:rPr>
                    <w:sz w:val="22"/>
                    <w:szCs w:val="22"/>
                  </w:rPr>
                </w:rPrChange>
              </w:rPr>
              <w:t xml:space="preserve">ypokalaemia, </w:t>
            </w:r>
          </w:p>
          <w:p w14:paraId="225CF707" w14:textId="77777777" w:rsidR="00C42229" w:rsidRPr="00D55B59" w:rsidRDefault="007225FD" w:rsidP="005E36B5">
            <w:pPr>
              <w:pStyle w:val="Default"/>
              <w:keepNext/>
              <w:keepLines/>
              <w:rPr>
                <w:sz w:val="22"/>
                <w:szCs w:val="22"/>
                <w:lang w:val="en-GB"/>
                <w:rPrChange w:id="399" w:author="Author">
                  <w:rPr>
                    <w:sz w:val="22"/>
                    <w:szCs w:val="22"/>
                  </w:rPr>
                </w:rPrChange>
              </w:rPr>
            </w:pPr>
            <w:r w:rsidRPr="00D55B59">
              <w:rPr>
                <w:sz w:val="22"/>
                <w:szCs w:val="22"/>
                <w:lang w:val="en-GB"/>
                <w:rPrChange w:id="400" w:author="Author">
                  <w:rPr>
                    <w:sz w:val="22"/>
                    <w:szCs w:val="22"/>
                  </w:rPr>
                </w:rPrChange>
              </w:rPr>
              <w:t>U</w:t>
            </w:r>
            <w:r w:rsidR="00C42229" w:rsidRPr="00D55B59">
              <w:rPr>
                <w:sz w:val="22"/>
                <w:szCs w:val="22"/>
                <w:lang w:val="en-GB"/>
                <w:rPrChange w:id="401" w:author="Author">
                  <w:rPr>
                    <w:sz w:val="22"/>
                    <w:szCs w:val="22"/>
                  </w:rPr>
                </w:rPrChange>
              </w:rPr>
              <w:t xml:space="preserve">ric acid increased, </w:t>
            </w:r>
          </w:p>
          <w:p w14:paraId="637D861B" w14:textId="77777777" w:rsidR="00C42229" w:rsidRPr="00D55B59" w:rsidRDefault="007225FD" w:rsidP="005E36B5">
            <w:pPr>
              <w:pStyle w:val="Default"/>
              <w:keepNext/>
              <w:keepLines/>
              <w:rPr>
                <w:sz w:val="22"/>
                <w:szCs w:val="22"/>
                <w:lang w:val="en-GB"/>
                <w:rPrChange w:id="402" w:author="Author">
                  <w:rPr>
                    <w:sz w:val="22"/>
                    <w:szCs w:val="22"/>
                  </w:rPr>
                </w:rPrChange>
              </w:rPr>
            </w:pPr>
            <w:r w:rsidRPr="00D55B59">
              <w:rPr>
                <w:sz w:val="22"/>
                <w:szCs w:val="22"/>
                <w:lang w:val="en-GB"/>
                <w:rPrChange w:id="403" w:author="Author">
                  <w:rPr>
                    <w:sz w:val="22"/>
                    <w:szCs w:val="22"/>
                  </w:rPr>
                </w:rPrChange>
              </w:rPr>
              <w:t>B</w:t>
            </w:r>
            <w:r w:rsidR="00C42229" w:rsidRPr="00D55B59">
              <w:rPr>
                <w:sz w:val="22"/>
                <w:szCs w:val="22"/>
                <w:lang w:val="en-GB"/>
                <w:rPrChange w:id="404" w:author="Author">
                  <w:rPr>
                    <w:sz w:val="22"/>
                    <w:szCs w:val="22"/>
                  </w:rPr>
                </w:rPrChange>
              </w:rPr>
              <w:t xml:space="preserve">lood sodium abnormal, </w:t>
            </w:r>
          </w:p>
          <w:p w14:paraId="618EAD59" w14:textId="77777777" w:rsidR="00C42229" w:rsidRPr="00D55B59" w:rsidRDefault="007225FD" w:rsidP="005E36B5">
            <w:pPr>
              <w:pStyle w:val="Default"/>
              <w:keepNext/>
              <w:keepLines/>
              <w:rPr>
                <w:sz w:val="22"/>
                <w:szCs w:val="22"/>
                <w:lang w:val="en-GB"/>
                <w:rPrChange w:id="405" w:author="Author">
                  <w:rPr>
                    <w:sz w:val="22"/>
                    <w:szCs w:val="22"/>
                  </w:rPr>
                </w:rPrChange>
              </w:rPr>
            </w:pPr>
            <w:r w:rsidRPr="00D55B59">
              <w:rPr>
                <w:sz w:val="22"/>
                <w:szCs w:val="22"/>
                <w:lang w:val="en-GB"/>
                <w:rPrChange w:id="406" w:author="Author">
                  <w:rPr>
                    <w:sz w:val="22"/>
                    <w:szCs w:val="22"/>
                  </w:rPr>
                </w:rPrChange>
              </w:rPr>
              <w:t>H</w:t>
            </w:r>
            <w:r w:rsidR="00C42229" w:rsidRPr="00D55B59">
              <w:rPr>
                <w:sz w:val="22"/>
                <w:szCs w:val="22"/>
                <w:lang w:val="en-GB"/>
                <w:rPrChange w:id="407" w:author="Author">
                  <w:rPr>
                    <w:sz w:val="22"/>
                    <w:szCs w:val="22"/>
                  </w:rPr>
                </w:rPrChange>
              </w:rPr>
              <w:t xml:space="preserve">ypocalcaemia, </w:t>
            </w:r>
          </w:p>
          <w:p w14:paraId="399D0C9E" w14:textId="77777777" w:rsidR="00C42229" w:rsidRPr="00D55B59" w:rsidRDefault="007225FD" w:rsidP="005E36B5">
            <w:pPr>
              <w:pStyle w:val="Default"/>
              <w:keepNext/>
              <w:keepLines/>
              <w:rPr>
                <w:sz w:val="22"/>
                <w:szCs w:val="22"/>
                <w:lang w:val="en-GB"/>
                <w:rPrChange w:id="408" w:author="Author">
                  <w:rPr>
                    <w:sz w:val="22"/>
                    <w:szCs w:val="22"/>
                  </w:rPr>
                </w:rPrChange>
              </w:rPr>
            </w:pPr>
            <w:r w:rsidRPr="00D55B59">
              <w:rPr>
                <w:sz w:val="22"/>
                <w:szCs w:val="22"/>
                <w:lang w:val="en-GB"/>
                <w:rPrChange w:id="409" w:author="Author">
                  <w:rPr>
                    <w:sz w:val="22"/>
                    <w:szCs w:val="22"/>
                  </w:rPr>
                </w:rPrChange>
              </w:rPr>
              <w:t>H</w:t>
            </w:r>
            <w:r w:rsidR="00C42229" w:rsidRPr="00D55B59">
              <w:rPr>
                <w:sz w:val="22"/>
                <w:szCs w:val="22"/>
                <w:lang w:val="en-GB"/>
                <w:rPrChange w:id="410" w:author="Author">
                  <w:rPr>
                    <w:sz w:val="22"/>
                    <w:szCs w:val="22"/>
                  </w:rPr>
                </w:rPrChange>
              </w:rPr>
              <w:t xml:space="preserve">yperglycaemia, </w:t>
            </w:r>
          </w:p>
          <w:p w14:paraId="58F9E8B5" w14:textId="6A3457D9" w:rsidR="00C42229" w:rsidRPr="00D55B59" w:rsidRDefault="007225FD" w:rsidP="005E36B5">
            <w:pPr>
              <w:pStyle w:val="Default"/>
              <w:keepNext/>
              <w:keepLines/>
              <w:rPr>
                <w:sz w:val="22"/>
                <w:szCs w:val="22"/>
                <w:lang w:val="en-GB"/>
                <w:rPrChange w:id="411" w:author="Author">
                  <w:rPr>
                    <w:sz w:val="22"/>
                    <w:szCs w:val="22"/>
                  </w:rPr>
                </w:rPrChange>
              </w:rPr>
            </w:pPr>
            <w:r w:rsidRPr="00D55B59">
              <w:rPr>
                <w:sz w:val="22"/>
                <w:szCs w:val="22"/>
                <w:lang w:val="en-GB"/>
                <w:rPrChange w:id="412" w:author="Author">
                  <w:rPr>
                    <w:sz w:val="22"/>
                    <w:szCs w:val="22"/>
                  </w:rPr>
                </w:rPrChange>
              </w:rPr>
              <w:t>H</w:t>
            </w:r>
            <w:r w:rsidR="00C42229" w:rsidRPr="00D55B59">
              <w:rPr>
                <w:sz w:val="22"/>
                <w:szCs w:val="22"/>
                <w:lang w:val="en-GB"/>
                <w:rPrChange w:id="413" w:author="Author">
                  <w:rPr>
                    <w:sz w:val="22"/>
                    <w:szCs w:val="22"/>
                  </w:rPr>
                </w:rPrChange>
              </w:rPr>
              <w:t>ypophosphat</w:t>
            </w:r>
            <w:r w:rsidR="00FD5D5F" w:rsidRPr="00D55B59">
              <w:rPr>
                <w:sz w:val="22"/>
                <w:szCs w:val="22"/>
                <w:lang w:val="en-GB"/>
                <w:rPrChange w:id="414" w:author="Author">
                  <w:rPr>
                    <w:sz w:val="22"/>
                    <w:szCs w:val="22"/>
                  </w:rPr>
                </w:rPrChange>
              </w:rPr>
              <w:t>a</w:t>
            </w:r>
            <w:r w:rsidR="00C42229" w:rsidRPr="00D55B59">
              <w:rPr>
                <w:sz w:val="22"/>
                <w:szCs w:val="22"/>
                <w:lang w:val="en-GB"/>
                <w:rPrChange w:id="415" w:author="Author">
                  <w:rPr>
                    <w:sz w:val="22"/>
                    <w:szCs w:val="22"/>
                  </w:rPr>
                </w:rPrChange>
              </w:rPr>
              <w:t xml:space="preserve">emia, </w:t>
            </w:r>
          </w:p>
          <w:p w14:paraId="06614365" w14:textId="77777777" w:rsidR="00C42229" w:rsidRPr="00D55B59" w:rsidRDefault="007225FD" w:rsidP="005E36B5">
            <w:pPr>
              <w:pStyle w:val="Default"/>
              <w:keepNext/>
              <w:keepLines/>
              <w:rPr>
                <w:sz w:val="22"/>
                <w:szCs w:val="22"/>
                <w:lang w:val="en-GB"/>
                <w:rPrChange w:id="416" w:author="Author">
                  <w:rPr>
                    <w:sz w:val="22"/>
                    <w:szCs w:val="22"/>
                  </w:rPr>
                </w:rPrChange>
              </w:rPr>
            </w:pPr>
            <w:r w:rsidRPr="00D55B59">
              <w:rPr>
                <w:sz w:val="22"/>
                <w:szCs w:val="22"/>
                <w:lang w:val="en-GB"/>
                <w:rPrChange w:id="417" w:author="Author">
                  <w:rPr>
                    <w:sz w:val="22"/>
                    <w:szCs w:val="22"/>
                  </w:rPr>
                </w:rPrChange>
              </w:rPr>
              <w:t>D</w:t>
            </w:r>
            <w:r w:rsidR="00C42229" w:rsidRPr="00D55B59">
              <w:rPr>
                <w:sz w:val="22"/>
                <w:szCs w:val="22"/>
                <w:lang w:val="en-GB"/>
                <w:rPrChange w:id="418" w:author="Author">
                  <w:rPr>
                    <w:sz w:val="22"/>
                    <w:szCs w:val="22"/>
                  </w:rPr>
                </w:rPrChange>
              </w:rPr>
              <w:t xml:space="preserve">ehydration </w:t>
            </w:r>
          </w:p>
        </w:tc>
      </w:tr>
      <w:tr w:rsidR="00C42229" w:rsidRPr="00F04F82" w14:paraId="49519EAC" w14:textId="77777777" w:rsidTr="00E0250B">
        <w:trPr>
          <w:cantSplit/>
          <w:trHeight w:val="154"/>
        </w:trPr>
        <w:tc>
          <w:tcPr>
            <w:tcW w:w="2268" w:type="dxa"/>
          </w:tcPr>
          <w:p w14:paraId="64A03297" w14:textId="77777777" w:rsidR="00C42229" w:rsidRPr="00D55B59" w:rsidRDefault="00C42229" w:rsidP="00FB5458">
            <w:pPr>
              <w:pStyle w:val="Default"/>
              <w:rPr>
                <w:sz w:val="22"/>
                <w:szCs w:val="22"/>
                <w:lang w:val="en-GB"/>
                <w:rPrChange w:id="419" w:author="Author">
                  <w:rPr>
                    <w:sz w:val="22"/>
                    <w:szCs w:val="22"/>
                  </w:rPr>
                </w:rPrChange>
              </w:rPr>
            </w:pPr>
            <w:r w:rsidRPr="00D55B59">
              <w:rPr>
                <w:sz w:val="22"/>
                <w:szCs w:val="22"/>
                <w:lang w:val="en-GB"/>
                <w:rPrChange w:id="420" w:author="Author">
                  <w:rPr>
                    <w:sz w:val="22"/>
                    <w:szCs w:val="22"/>
                  </w:rPr>
                </w:rPrChange>
              </w:rPr>
              <w:t xml:space="preserve">Psychiatric disorders </w:t>
            </w:r>
          </w:p>
          <w:p w14:paraId="70C1C86F"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553334A6" w14:textId="77777777" w:rsidR="00C42229" w:rsidRPr="00D55B59" w:rsidRDefault="00C42229" w:rsidP="00FB5458">
            <w:pPr>
              <w:pStyle w:val="Default"/>
              <w:rPr>
                <w:sz w:val="22"/>
                <w:szCs w:val="22"/>
                <w:lang w:val="en-GB"/>
                <w:rPrChange w:id="421" w:author="Author">
                  <w:rPr>
                    <w:sz w:val="22"/>
                    <w:szCs w:val="22"/>
                  </w:rPr>
                </w:rPrChange>
              </w:rPr>
            </w:pPr>
            <w:r w:rsidRPr="00D55B59">
              <w:rPr>
                <w:sz w:val="22"/>
                <w:szCs w:val="22"/>
                <w:lang w:val="en-GB"/>
                <w:rPrChange w:id="422" w:author="Author">
                  <w:rPr>
                    <w:sz w:val="22"/>
                    <w:szCs w:val="22"/>
                  </w:rPr>
                </w:rPrChange>
              </w:rPr>
              <w:t xml:space="preserve">Common </w:t>
            </w:r>
          </w:p>
          <w:p w14:paraId="2877948E" w14:textId="77777777" w:rsidR="00C42229" w:rsidRPr="00D55B59" w:rsidRDefault="00C42229" w:rsidP="00FB5458">
            <w:pPr>
              <w:pStyle w:val="Default"/>
              <w:rPr>
                <w:sz w:val="22"/>
                <w:szCs w:val="22"/>
                <w:lang w:val="en-GB"/>
                <w:rPrChange w:id="423" w:author="Author">
                  <w:rPr>
                    <w:sz w:val="22"/>
                    <w:szCs w:val="22"/>
                  </w:rPr>
                </w:rPrChange>
              </w:rPr>
            </w:pPr>
          </w:p>
        </w:tc>
        <w:tc>
          <w:tcPr>
            <w:tcW w:w="5670" w:type="dxa"/>
          </w:tcPr>
          <w:p w14:paraId="0E8AD3AC" w14:textId="77777777" w:rsidR="00C42229" w:rsidRPr="00D55B59" w:rsidRDefault="007225FD" w:rsidP="00FB5458">
            <w:pPr>
              <w:pStyle w:val="Default"/>
              <w:rPr>
                <w:sz w:val="22"/>
                <w:szCs w:val="22"/>
                <w:lang w:val="en-GB"/>
                <w:rPrChange w:id="424" w:author="Author">
                  <w:rPr>
                    <w:sz w:val="22"/>
                    <w:szCs w:val="22"/>
                  </w:rPr>
                </w:rPrChange>
              </w:rPr>
            </w:pPr>
            <w:r w:rsidRPr="00D55B59">
              <w:rPr>
                <w:sz w:val="22"/>
                <w:szCs w:val="22"/>
                <w:lang w:val="en-GB"/>
                <w:rPrChange w:id="425" w:author="Author">
                  <w:rPr>
                    <w:sz w:val="22"/>
                    <w:szCs w:val="22"/>
                  </w:rPr>
                </w:rPrChange>
              </w:rPr>
              <w:t>M</w:t>
            </w:r>
            <w:r w:rsidR="00C42229" w:rsidRPr="00D55B59">
              <w:rPr>
                <w:sz w:val="22"/>
                <w:szCs w:val="22"/>
                <w:lang w:val="en-GB"/>
                <w:rPrChange w:id="426" w:author="Author">
                  <w:rPr>
                    <w:sz w:val="22"/>
                    <w:szCs w:val="22"/>
                  </w:rPr>
                </w:rPrChange>
              </w:rPr>
              <w:t xml:space="preserve">ood alterations (including depression), </w:t>
            </w:r>
          </w:p>
          <w:p w14:paraId="7EE716EB" w14:textId="77777777" w:rsidR="00C42229" w:rsidRPr="00D55B59" w:rsidRDefault="007225FD" w:rsidP="00FB5458">
            <w:pPr>
              <w:pStyle w:val="Default"/>
              <w:rPr>
                <w:sz w:val="22"/>
                <w:szCs w:val="22"/>
                <w:lang w:val="en-GB"/>
                <w:rPrChange w:id="427" w:author="Author">
                  <w:rPr>
                    <w:sz w:val="22"/>
                    <w:szCs w:val="22"/>
                  </w:rPr>
                </w:rPrChange>
              </w:rPr>
            </w:pPr>
            <w:r w:rsidRPr="00D55B59">
              <w:rPr>
                <w:sz w:val="22"/>
                <w:szCs w:val="22"/>
                <w:lang w:val="en-GB"/>
                <w:rPrChange w:id="428" w:author="Author">
                  <w:rPr>
                    <w:sz w:val="22"/>
                    <w:szCs w:val="22"/>
                  </w:rPr>
                </w:rPrChange>
              </w:rPr>
              <w:t>A</w:t>
            </w:r>
            <w:r w:rsidR="00C42229" w:rsidRPr="00D55B59">
              <w:rPr>
                <w:sz w:val="22"/>
                <w:szCs w:val="22"/>
                <w:lang w:val="en-GB"/>
                <w:rPrChange w:id="429" w:author="Author">
                  <w:rPr>
                    <w:sz w:val="22"/>
                    <w:szCs w:val="22"/>
                  </w:rPr>
                </w:rPrChange>
              </w:rPr>
              <w:t xml:space="preserve">nxiety, </w:t>
            </w:r>
          </w:p>
          <w:p w14:paraId="0267205F" w14:textId="77777777" w:rsidR="00C42229" w:rsidRPr="00D55B59" w:rsidRDefault="007225FD" w:rsidP="00FB5458">
            <w:pPr>
              <w:pStyle w:val="Default"/>
              <w:rPr>
                <w:sz w:val="22"/>
                <w:szCs w:val="22"/>
                <w:lang w:val="en-GB"/>
                <w:rPrChange w:id="430" w:author="Author">
                  <w:rPr>
                    <w:sz w:val="22"/>
                    <w:szCs w:val="22"/>
                  </w:rPr>
                </w:rPrChange>
              </w:rPr>
            </w:pPr>
            <w:r w:rsidRPr="00D55B59">
              <w:rPr>
                <w:sz w:val="22"/>
                <w:szCs w:val="22"/>
                <w:lang w:val="en-GB"/>
                <w:rPrChange w:id="431" w:author="Author">
                  <w:rPr>
                    <w:sz w:val="22"/>
                    <w:szCs w:val="22"/>
                  </w:rPr>
                </w:rPrChange>
              </w:rPr>
              <w:t>I</w:t>
            </w:r>
            <w:r w:rsidR="00C42229" w:rsidRPr="00D55B59">
              <w:rPr>
                <w:sz w:val="22"/>
                <w:szCs w:val="22"/>
                <w:lang w:val="en-GB"/>
                <w:rPrChange w:id="432" w:author="Author">
                  <w:rPr>
                    <w:sz w:val="22"/>
                    <w:szCs w:val="22"/>
                  </w:rPr>
                </w:rPrChange>
              </w:rPr>
              <w:t xml:space="preserve">nsomnia </w:t>
            </w:r>
          </w:p>
        </w:tc>
      </w:tr>
      <w:tr w:rsidR="00C42229" w:rsidRPr="00F04F82" w14:paraId="21645603" w14:textId="77777777" w:rsidTr="00E0250B">
        <w:trPr>
          <w:cantSplit/>
          <w:trHeight w:val="154"/>
        </w:trPr>
        <w:tc>
          <w:tcPr>
            <w:tcW w:w="2268" w:type="dxa"/>
            <w:vMerge w:val="restart"/>
          </w:tcPr>
          <w:p w14:paraId="5B41153C" w14:textId="77777777" w:rsidR="00C42229" w:rsidRPr="00D55B59" w:rsidRDefault="00C42229" w:rsidP="00FB5458">
            <w:pPr>
              <w:pStyle w:val="Default"/>
              <w:keepNext/>
              <w:rPr>
                <w:sz w:val="22"/>
                <w:szCs w:val="22"/>
                <w:lang w:val="en-GB"/>
                <w:rPrChange w:id="433" w:author="Author">
                  <w:rPr>
                    <w:sz w:val="22"/>
                    <w:szCs w:val="22"/>
                  </w:rPr>
                </w:rPrChange>
              </w:rPr>
            </w:pPr>
            <w:r w:rsidRPr="00D55B59">
              <w:rPr>
                <w:sz w:val="22"/>
                <w:szCs w:val="22"/>
                <w:lang w:val="en-GB"/>
                <w:rPrChange w:id="434" w:author="Author">
                  <w:rPr>
                    <w:sz w:val="22"/>
                    <w:szCs w:val="22"/>
                  </w:rPr>
                </w:rPrChange>
              </w:rPr>
              <w:t xml:space="preserve">Nervous system disorders* </w:t>
            </w:r>
          </w:p>
          <w:p w14:paraId="6AD88D17"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p>
        </w:tc>
        <w:tc>
          <w:tcPr>
            <w:tcW w:w="1701" w:type="dxa"/>
          </w:tcPr>
          <w:p w14:paraId="10A99395" w14:textId="77777777" w:rsidR="00C42229" w:rsidRPr="00D55B59" w:rsidRDefault="00C42229" w:rsidP="00FB5458">
            <w:pPr>
              <w:pStyle w:val="Default"/>
              <w:keepNext/>
              <w:rPr>
                <w:sz w:val="22"/>
                <w:szCs w:val="22"/>
                <w:lang w:val="en-GB"/>
                <w:rPrChange w:id="435" w:author="Author">
                  <w:rPr>
                    <w:sz w:val="22"/>
                    <w:szCs w:val="22"/>
                  </w:rPr>
                </w:rPrChange>
              </w:rPr>
            </w:pPr>
            <w:r w:rsidRPr="00D55B59">
              <w:rPr>
                <w:sz w:val="22"/>
                <w:szCs w:val="22"/>
                <w:lang w:val="en-GB"/>
                <w:rPrChange w:id="436" w:author="Author">
                  <w:rPr>
                    <w:sz w:val="22"/>
                    <w:szCs w:val="22"/>
                  </w:rPr>
                </w:rPrChange>
              </w:rPr>
              <w:t xml:space="preserve">Very common </w:t>
            </w:r>
          </w:p>
        </w:tc>
        <w:tc>
          <w:tcPr>
            <w:tcW w:w="5670" w:type="dxa"/>
          </w:tcPr>
          <w:p w14:paraId="548F8814" w14:textId="77777777" w:rsidR="00C42229" w:rsidRPr="00D55B59" w:rsidRDefault="007225FD" w:rsidP="00FB5458">
            <w:pPr>
              <w:pStyle w:val="Default"/>
              <w:keepNext/>
              <w:rPr>
                <w:sz w:val="22"/>
                <w:szCs w:val="22"/>
                <w:lang w:val="en-GB"/>
                <w:rPrChange w:id="437" w:author="Author">
                  <w:rPr>
                    <w:sz w:val="22"/>
                    <w:szCs w:val="22"/>
                  </w:rPr>
                </w:rPrChange>
              </w:rPr>
            </w:pPr>
            <w:r w:rsidRPr="00D55B59">
              <w:rPr>
                <w:sz w:val="22"/>
                <w:szCs w:val="22"/>
                <w:lang w:val="en-GB"/>
                <w:rPrChange w:id="438" w:author="Author">
                  <w:rPr>
                    <w:sz w:val="22"/>
                    <w:szCs w:val="22"/>
                  </w:rPr>
                </w:rPrChange>
              </w:rPr>
              <w:t>H</w:t>
            </w:r>
            <w:r w:rsidR="00C42229" w:rsidRPr="00D55B59">
              <w:rPr>
                <w:sz w:val="22"/>
                <w:szCs w:val="22"/>
                <w:lang w:val="en-GB"/>
                <w:rPrChange w:id="439" w:author="Author">
                  <w:rPr>
                    <w:sz w:val="22"/>
                    <w:szCs w:val="22"/>
                  </w:rPr>
                </w:rPrChange>
              </w:rPr>
              <w:t xml:space="preserve">eadache </w:t>
            </w:r>
          </w:p>
        </w:tc>
      </w:tr>
      <w:tr w:rsidR="00C42229" w:rsidRPr="00F04F82" w14:paraId="35D64F2B" w14:textId="77777777" w:rsidTr="00E0250B">
        <w:trPr>
          <w:cantSplit/>
          <w:trHeight w:val="154"/>
        </w:trPr>
        <w:tc>
          <w:tcPr>
            <w:tcW w:w="2268" w:type="dxa"/>
            <w:vMerge/>
          </w:tcPr>
          <w:p w14:paraId="21447667" w14:textId="77777777" w:rsidR="00C42229" w:rsidRPr="00F04F82" w:rsidRDefault="00C42229" w:rsidP="00FB5458">
            <w:pPr>
              <w:keepNext/>
              <w:tabs>
                <w:tab w:val="clear" w:pos="567"/>
              </w:tabs>
              <w:autoSpaceDE w:val="0"/>
              <w:autoSpaceDN w:val="0"/>
              <w:adjustRightInd w:val="0"/>
              <w:spacing w:line="240" w:lineRule="auto"/>
              <w:rPr>
                <w:color w:val="000000"/>
                <w:szCs w:val="22"/>
                <w:lang w:eastAsia="en-GB"/>
              </w:rPr>
            </w:pPr>
          </w:p>
        </w:tc>
        <w:tc>
          <w:tcPr>
            <w:tcW w:w="1701" w:type="dxa"/>
          </w:tcPr>
          <w:p w14:paraId="5A7F0191" w14:textId="77777777" w:rsidR="00C42229" w:rsidRPr="00D55B59" w:rsidRDefault="00C42229" w:rsidP="00FB5458">
            <w:pPr>
              <w:pStyle w:val="Default"/>
              <w:keepNext/>
              <w:rPr>
                <w:sz w:val="22"/>
                <w:szCs w:val="22"/>
                <w:lang w:val="en-GB"/>
                <w:rPrChange w:id="440" w:author="Author">
                  <w:rPr>
                    <w:sz w:val="22"/>
                    <w:szCs w:val="22"/>
                  </w:rPr>
                </w:rPrChange>
              </w:rPr>
            </w:pPr>
            <w:r w:rsidRPr="00D55B59">
              <w:rPr>
                <w:sz w:val="22"/>
                <w:szCs w:val="22"/>
                <w:lang w:val="en-GB"/>
                <w:rPrChange w:id="441" w:author="Author">
                  <w:rPr>
                    <w:sz w:val="22"/>
                    <w:szCs w:val="22"/>
                  </w:rPr>
                </w:rPrChange>
              </w:rPr>
              <w:t xml:space="preserve">Common </w:t>
            </w:r>
          </w:p>
          <w:p w14:paraId="556C01B3" w14:textId="77777777" w:rsidR="00C42229" w:rsidRPr="00D55B59" w:rsidRDefault="00C42229" w:rsidP="00FB5458">
            <w:pPr>
              <w:pStyle w:val="Default"/>
              <w:keepNext/>
              <w:rPr>
                <w:sz w:val="22"/>
                <w:szCs w:val="22"/>
                <w:lang w:val="en-GB"/>
                <w:rPrChange w:id="442" w:author="Author">
                  <w:rPr>
                    <w:sz w:val="22"/>
                    <w:szCs w:val="22"/>
                  </w:rPr>
                </w:rPrChange>
              </w:rPr>
            </w:pPr>
          </w:p>
        </w:tc>
        <w:tc>
          <w:tcPr>
            <w:tcW w:w="5670" w:type="dxa"/>
          </w:tcPr>
          <w:p w14:paraId="2B8A0AB1" w14:textId="18F6BC36" w:rsidR="00C42229" w:rsidRPr="00D55B59" w:rsidRDefault="007225FD" w:rsidP="00FB5458">
            <w:pPr>
              <w:pStyle w:val="Default"/>
              <w:keepNext/>
              <w:rPr>
                <w:sz w:val="22"/>
                <w:szCs w:val="22"/>
                <w:lang w:val="en-GB"/>
                <w:rPrChange w:id="443" w:author="Author">
                  <w:rPr>
                    <w:sz w:val="22"/>
                    <w:szCs w:val="22"/>
                  </w:rPr>
                </w:rPrChange>
              </w:rPr>
            </w:pPr>
            <w:r w:rsidRPr="00D55B59">
              <w:rPr>
                <w:sz w:val="22"/>
                <w:szCs w:val="22"/>
                <w:lang w:val="en-GB"/>
                <w:rPrChange w:id="444" w:author="Author">
                  <w:rPr>
                    <w:sz w:val="22"/>
                    <w:szCs w:val="22"/>
                  </w:rPr>
                </w:rPrChange>
              </w:rPr>
              <w:t>P</w:t>
            </w:r>
            <w:r w:rsidR="00C42229" w:rsidRPr="00D55B59">
              <w:rPr>
                <w:sz w:val="22"/>
                <w:szCs w:val="22"/>
                <w:lang w:val="en-GB"/>
                <w:rPrChange w:id="445" w:author="Author">
                  <w:rPr>
                    <w:sz w:val="22"/>
                    <w:szCs w:val="22"/>
                  </w:rPr>
                </w:rPrChange>
              </w:rPr>
              <w:t xml:space="preserve">araesthesia (including hypoaesthesia), </w:t>
            </w:r>
          </w:p>
          <w:p w14:paraId="69C8F9E5" w14:textId="77777777" w:rsidR="00C42229" w:rsidRPr="00D55B59" w:rsidRDefault="007225FD" w:rsidP="00FB5458">
            <w:pPr>
              <w:pStyle w:val="Default"/>
              <w:keepNext/>
              <w:rPr>
                <w:sz w:val="22"/>
                <w:szCs w:val="22"/>
                <w:lang w:val="en-GB"/>
                <w:rPrChange w:id="446" w:author="Author">
                  <w:rPr>
                    <w:sz w:val="22"/>
                    <w:szCs w:val="22"/>
                  </w:rPr>
                </w:rPrChange>
              </w:rPr>
            </w:pPr>
            <w:r w:rsidRPr="00D55B59">
              <w:rPr>
                <w:sz w:val="22"/>
                <w:szCs w:val="22"/>
                <w:lang w:val="en-GB"/>
                <w:rPrChange w:id="447" w:author="Author">
                  <w:rPr>
                    <w:sz w:val="22"/>
                    <w:szCs w:val="22"/>
                  </w:rPr>
                </w:rPrChange>
              </w:rPr>
              <w:t>M</w:t>
            </w:r>
            <w:r w:rsidR="00C42229" w:rsidRPr="00D55B59">
              <w:rPr>
                <w:sz w:val="22"/>
                <w:szCs w:val="22"/>
                <w:lang w:val="en-GB"/>
                <w:rPrChange w:id="448" w:author="Author">
                  <w:rPr>
                    <w:sz w:val="22"/>
                    <w:szCs w:val="22"/>
                  </w:rPr>
                </w:rPrChange>
              </w:rPr>
              <w:t xml:space="preserve">igraine, </w:t>
            </w:r>
          </w:p>
          <w:p w14:paraId="5E27BEF9" w14:textId="77777777" w:rsidR="00C42229" w:rsidRPr="00D55B59" w:rsidRDefault="007225FD" w:rsidP="00FB5458">
            <w:pPr>
              <w:pStyle w:val="Default"/>
              <w:keepNext/>
              <w:rPr>
                <w:sz w:val="22"/>
                <w:szCs w:val="22"/>
                <w:lang w:val="en-GB"/>
                <w:rPrChange w:id="449" w:author="Author">
                  <w:rPr>
                    <w:sz w:val="22"/>
                    <w:szCs w:val="22"/>
                  </w:rPr>
                </w:rPrChange>
              </w:rPr>
            </w:pPr>
            <w:r w:rsidRPr="00D55B59">
              <w:rPr>
                <w:sz w:val="22"/>
                <w:szCs w:val="22"/>
                <w:lang w:val="en-GB"/>
                <w:rPrChange w:id="450" w:author="Author">
                  <w:rPr>
                    <w:sz w:val="22"/>
                    <w:szCs w:val="22"/>
                  </w:rPr>
                </w:rPrChange>
              </w:rPr>
              <w:t>N</w:t>
            </w:r>
            <w:r w:rsidR="00C42229" w:rsidRPr="00D55B59">
              <w:rPr>
                <w:sz w:val="22"/>
                <w:szCs w:val="22"/>
                <w:lang w:val="en-GB"/>
                <w:rPrChange w:id="451" w:author="Author">
                  <w:rPr>
                    <w:sz w:val="22"/>
                    <w:szCs w:val="22"/>
                  </w:rPr>
                </w:rPrChange>
              </w:rPr>
              <w:t>erve root compression</w:t>
            </w:r>
          </w:p>
        </w:tc>
      </w:tr>
      <w:tr w:rsidR="00C42229" w:rsidRPr="00F04F82" w14:paraId="0344BB55" w14:textId="77777777" w:rsidTr="00E0250B">
        <w:trPr>
          <w:cantSplit/>
          <w:trHeight w:val="154"/>
        </w:trPr>
        <w:tc>
          <w:tcPr>
            <w:tcW w:w="2268" w:type="dxa"/>
            <w:vMerge/>
          </w:tcPr>
          <w:p w14:paraId="79A7EFFF"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3AAEFF80" w14:textId="77777777" w:rsidR="00C42229" w:rsidRPr="00D55B59" w:rsidRDefault="00C42229" w:rsidP="00FB5458">
            <w:pPr>
              <w:pStyle w:val="Default"/>
              <w:rPr>
                <w:sz w:val="22"/>
                <w:szCs w:val="22"/>
                <w:lang w:val="en-GB"/>
                <w:rPrChange w:id="452" w:author="Author">
                  <w:rPr>
                    <w:sz w:val="22"/>
                    <w:szCs w:val="22"/>
                  </w:rPr>
                </w:rPrChange>
              </w:rPr>
            </w:pPr>
            <w:r w:rsidRPr="00D55B59">
              <w:rPr>
                <w:sz w:val="22"/>
                <w:szCs w:val="22"/>
                <w:lang w:val="en-GB"/>
                <w:rPrChange w:id="453" w:author="Author">
                  <w:rPr>
                    <w:sz w:val="22"/>
                    <w:szCs w:val="22"/>
                  </w:rPr>
                </w:rPrChange>
              </w:rPr>
              <w:t xml:space="preserve">Uncommon </w:t>
            </w:r>
          </w:p>
          <w:p w14:paraId="668CA0B2" w14:textId="77777777" w:rsidR="00C42229" w:rsidRPr="00D55B59" w:rsidRDefault="00C42229" w:rsidP="00FB5458">
            <w:pPr>
              <w:pStyle w:val="Default"/>
              <w:rPr>
                <w:sz w:val="22"/>
                <w:szCs w:val="22"/>
                <w:lang w:val="en-GB"/>
                <w:rPrChange w:id="454" w:author="Author">
                  <w:rPr>
                    <w:sz w:val="22"/>
                    <w:szCs w:val="22"/>
                  </w:rPr>
                </w:rPrChange>
              </w:rPr>
            </w:pPr>
          </w:p>
        </w:tc>
        <w:tc>
          <w:tcPr>
            <w:tcW w:w="5670" w:type="dxa"/>
          </w:tcPr>
          <w:p w14:paraId="3BFDCCA4" w14:textId="77777777" w:rsidR="00C42229" w:rsidRPr="00D55B59" w:rsidRDefault="007225FD" w:rsidP="00FB5458">
            <w:pPr>
              <w:pStyle w:val="Default"/>
              <w:rPr>
                <w:sz w:val="22"/>
                <w:szCs w:val="22"/>
                <w:lang w:val="en-GB"/>
                <w:rPrChange w:id="455" w:author="Author">
                  <w:rPr>
                    <w:sz w:val="22"/>
                    <w:szCs w:val="22"/>
                  </w:rPr>
                </w:rPrChange>
              </w:rPr>
            </w:pPr>
            <w:r w:rsidRPr="00D55B59">
              <w:rPr>
                <w:sz w:val="22"/>
                <w:szCs w:val="22"/>
                <w:lang w:val="en-GB"/>
                <w:rPrChange w:id="456" w:author="Author">
                  <w:rPr>
                    <w:sz w:val="22"/>
                    <w:szCs w:val="22"/>
                  </w:rPr>
                </w:rPrChange>
              </w:rPr>
              <w:t>C</w:t>
            </w:r>
            <w:r w:rsidR="00C42229" w:rsidRPr="00D55B59">
              <w:rPr>
                <w:sz w:val="22"/>
                <w:szCs w:val="22"/>
                <w:lang w:val="en-GB"/>
                <w:rPrChange w:id="457" w:author="Author">
                  <w:rPr>
                    <w:sz w:val="22"/>
                    <w:szCs w:val="22"/>
                  </w:rPr>
                </w:rPrChange>
              </w:rPr>
              <w:t>erebrovascular accident</w:t>
            </w:r>
            <w:r w:rsidR="00C42229" w:rsidRPr="00D55B59">
              <w:rPr>
                <w:sz w:val="22"/>
                <w:szCs w:val="22"/>
                <w:vertAlign w:val="superscript"/>
                <w:lang w:val="en-GB"/>
                <w:rPrChange w:id="458" w:author="Author">
                  <w:rPr>
                    <w:sz w:val="22"/>
                    <w:szCs w:val="22"/>
                    <w:vertAlign w:val="superscript"/>
                  </w:rPr>
                </w:rPrChange>
              </w:rPr>
              <w:t>1)</w:t>
            </w:r>
            <w:r w:rsidR="00C42229" w:rsidRPr="00D55B59">
              <w:rPr>
                <w:sz w:val="22"/>
                <w:szCs w:val="22"/>
                <w:lang w:val="en-GB"/>
                <w:rPrChange w:id="459" w:author="Author">
                  <w:rPr>
                    <w:sz w:val="22"/>
                    <w:szCs w:val="22"/>
                  </w:rPr>
                </w:rPrChange>
              </w:rPr>
              <w:t xml:space="preserve">, </w:t>
            </w:r>
          </w:p>
          <w:p w14:paraId="12A092B6" w14:textId="77777777" w:rsidR="00C42229" w:rsidRPr="00D55B59" w:rsidRDefault="007225FD" w:rsidP="00FB5458">
            <w:pPr>
              <w:pStyle w:val="Default"/>
              <w:rPr>
                <w:sz w:val="22"/>
                <w:szCs w:val="22"/>
                <w:lang w:val="en-GB"/>
                <w:rPrChange w:id="460" w:author="Author">
                  <w:rPr>
                    <w:sz w:val="22"/>
                    <w:szCs w:val="22"/>
                  </w:rPr>
                </w:rPrChange>
              </w:rPr>
            </w:pPr>
            <w:r w:rsidRPr="00D55B59">
              <w:rPr>
                <w:sz w:val="22"/>
                <w:szCs w:val="22"/>
                <w:lang w:val="en-GB"/>
                <w:rPrChange w:id="461" w:author="Author">
                  <w:rPr>
                    <w:sz w:val="22"/>
                    <w:szCs w:val="22"/>
                  </w:rPr>
                </w:rPrChange>
              </w:rPr>
              <w:t>T</w:t>
            </w:r>
            <w:r w:rsidR="00C42229" w:rsidRPr="00D55B59">
              <w:rPr>
                <w:sz w:val="22"/>
                <w:szCs w:val="22"/>
                <w:lang w:val="en-GB"/>
                <w:rPrChange w:id="462" w:author="Author">
                  <w:rPr>
                    <w:sz w:val="22"/>
                    <w:szCs w:val="22"/>
                  </w:rPr>
                </w:rPrChange>
              </w:rPr>
              <w:t xml:space="preserve">remor, </w:t>
            </w:r>
          </w:p>
          <w:p w14:paraId="35290F82" w14:textId="77777777" w:rsidR="00C42229" w:rsidRPr="00D55B59" w:rsidRDefault="007225FD" w:rsidP="00FB5458">
            <w:pPr>
              <w:pStyle w:val="Default"/>
              <w:rPr>
                <w:sz w:val="22"/>
                <w:szCs w:val="22"/>
                <w:lang w:val="en-GB"/>
                <w:rPrChange w:id="463" w:author="Author">
                  <w:rPr>
                    <w:sz w:val="22"/>
                    <w:szCs w:val="22"/>
                  </w:rPr>
                </w:rPrChange>
              </w:rPr>
            </w:pPr>
            <w:r w:rsidRPr="00D55B59">
              <w:rPr>
                <w:sz w:val="22"/>
                <w:szCs w:val="22"/>
                <w:lang w:val="en-GB"/>
                <w:rPrChange w:id="464" w:author="Author">
                  <w:rPr>
                    <w:sz w:val="22"/>
                    <w:szCs w:val="22"/>
                  </w:rPr>
                </w:rPrChange>
              </w:rPr>
              <w:t>N</w:t>
            </w:r>
            <w:r w:rsidR="00C42229" w:rsidRPr="00D55B59">
              <w:rPr>
                <w:sz w:val="22"/>
                <w:szCs w:val="22"/>
                <w:lang w:val="en-GB"/>
                <w:rPrChange w:id="465" w:author="Author">
                  <w:rPr>
                    <w:sz w:val="22"/>
                    <w:szCs w:val="22"/>
                  </w:rPr>
                </w:rPrChange>
              </w:rPr>
              <w:t xml:space="preserve">europathy </w:t>
            </w:r>
          </w:p>
        </w:tc>
      </w:tr>
      <w:tr w:rsidR="00C42229" w:rsidRPr="00F04F82" w14:paraId="15A9F5E6" w14:textId="77777777" w:rsidTr="00E0250B">
        <w:trPr>
          <w:cantSplit/>
          <w:trHeight w:val="154"/>
        </w:trPr>
        <w:tc>
          <w:tcPr>
            <w:tcW w:w="2268" w:type="dxa"/>
            <w:vMerge/>
          </w:tcPr>
          <w:p w14:paraId="7ED35BD4"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0D76DDD1" w14:textId="77777777" w:rsidR="00C42229" w:rsidRPr="00D55B59" w:rsidRDefault="00C42229" w:rsidP="00FB5458">
            <w:pPr>
              <w:pStyle w:val="Default"/>
              <w:rPr>
                <w:sz w:val="22"/>
                <w:szCs w:val="22"/>
                <w:lang w:val="en-GB"/>
                <w:rPrChange w:id="466" w:author="Author">
                  <w:rPr>
                    <w:sz w:val="22"/>
                    <w:szCs w:val="22"/>
                  </w:rPr>
                </w:rPrChange>
              </w:rPr>
            </w:pPr>
            <w:r w:rsidRPr="00D55B59">
              <w:rPr>
                <w:sz w:val="22"/>
                <w:szCs w:val="22"/>
                <w:lang w:val="en-GB"/>
                <w:rPrChange w:id="467" w:author="Author">
                  <w:rPr>
                    <w:sz w:val="22"/>
                    <w:szCs w:val="22"/>
                  </w:rPr>
                </w:rPrChange>
              </w:rPr>
              <w:t xml:space="preserve">Rare </w:t>
            </w:r>
          </w:p>
          <w:p w14:paraId="24284078" w14:textId="77777777" w:rsidR="00C42229" w:rsidRPr="00D55B59" w:rsidRDefault="00C42229" w:rsidP="00FB5458">
            <w:pPr>
              <w:pStyle w:val="Default"/>
              <w:rPr>
                <w:sz w:val="22"/>
                <w:szCs w:val="22"/>
                <w:lang w:val="en-GB"/>
                <w:rPrChange w:id="468" w:author="Author">
                  <w:rPr>
                    <w:sz w:val="22"/>
                    <w:szCs w:val="22"/>
                  </w:rPr>
                </w:rPrChange>
              </w:rPr>
            </w:pPr>
          </w:p>
        </w:tc>
        <w:tc>
          <w:tcPr>
            <w:tcW w:w="5670" w:type="dxa"/>
          </w:tcPr>
          <w:p w14:paraId="373DEF25" w14:textId="77777777" w:rsidR="00C42229" w:rsidRPr="00D55B59" w:rsidRDefault="007225FD" w:rsidP="00FB5458">
            <w:pPr>
              <w:pStyle w:val="Default"/>
              <w:rPr>
                <w:sz w:val="22"/>
                <w:szCs w:val="22"/>
                <w:lang w:val="en-GB"/>
                <w:rPrChange w:id="469" w:author="Author">
                  <w:rPr>
                    <w:sz w:val="22"/>
                    <w:szCs w:val="22"/>
                  </w:rPr>
                </w:rPrChange>
              </w:rPr>
            </w:pPr>
            <w:r w:rsidRPr="00D55B59">
              <w:rPr>
                <w:sz w:val="22"/>
                <w:szCs w:val="22"/>
                <w:lang w:val="en-GB"/>
                <w:rPrChange w:id="470" w:author="Author">
                  <w:rPr>
                    <w:sz w:val="22"/>
                    <w:szCs w:val="22"/>
                  </w:rPr>
                </w:rPrChange>
              </w:rPr>
              <w:t>M</w:t>
            </w:r>
            <w:r w:rsidR="00C42229" w:rsidRPr="00D55B59">
              <w:rPr>
                <w:sz w:val="22"/>
                <w:szCs w:val="22"/>
                <w:lang w:val="en-GB"/>
                <w:rPrChange w:id="471" w:author="Author">
                  <w:rPr>
                    <w:sz w:val="22"/>
                    <w:szCs w:val="22"/>
                  </w:rPr>
                </w:rPrChange>
              </w:rPr>
              <w:t xml:space="preserve">ultiple sclerosis, </w:t>
            </w:r>
          </w:p>
          <w:p w14:paraId="5E0C3714" w14:textId="77777777" w:rsidR="00C42229" w:rsidRPr="00D55B59" w:rsidRDefault="007225FD" w:rsidP="00FB5458">
            <w:pPr>
              <w:pStyle w:val="Default"/>
              <w:rPr>
                <w:sz w:val="22"/>
                <w:szCs w:val="22"/>
                <w:lang w:val="en-GB"/>
                <w:rPrChange w:id="472" w:author="Author">
                  <w:rPr>
                    <w:sz w:val="22"/>
                    <w:szCs w:val="22"/>
                  </w:rPr>
                </w:rPrChange>
              </w:rPr>
            </w:pPr>
            <w:r w:rsidRPr="00D55B59">
              <w:rPr>
                <w:sz w:val="22"/>
                <w:szCs w:val="22"/>
                <w:lang w:val="en-GB"/>
                <w:rPrChange w:id="473" w:author="Author">
                  <w:rPr>
                    <w:sz w:val="22"/>
                    <w:szCs w:val="22"/>
                  </w:rPr>
                </w:rPrChange>
              </w:rPr>
              <w:t>D</w:t>
            </w:r>
            <w:r w:rsidR="00C42229" w:rsidRPr="00D55B59">
              <w:rPr>
                <w:sz w:val="22"/>
                <w:szCs w:val="22"/>
                <w:lang w:val="en-GB"/>
                <w:rPrChange w:id="474" w:author="Author">
                  <w:rPr>
                    <w:sz w:val="22"/>
                    <w:szCs w:val="22"/>
                  </w:rPr>
                </w:rPrChange>
              </w:rPr>
              <w:t>emyelinating disorders (e.g. optic neuritis, Guillain-Barré syndrome)</w:t>
            </w:r>
            <w:r w:rsidR="00C42229" w:rsidRPr="00D55B59">
              <w:rPr>
                <w:sz w:val="22"/>
                <w:szCs w:val="22"/>
                <w:vertAlign w:val="superscript"/>
                <w:lang w:val="en-GB"/>
                <w:rPrChange w:id="475" w:author="Author">
                  <w:rPr>
                    <w:sz w:val="22"/>
                    <w:szCs w:val="22"/>
                    <w:vertAlign w:val="superscript"/>
                  </w:rPr>
                </w:rPrChange>
              </w:rPr>
              <w:t>1</w:t>
            </w:r>
            <w:r w:rsidR="00DC4942" w:rsidRPr="00D55B59">
              <w:rPr>
                <w:sz w:val="22"/>
                <w:szCs w:val="22"/>
                <w:vertAlign w:val="superscript"/>
                <w:lang w:val="en-GB"/>
                <w:rPrChange w:id="476" w:author="Author">
                  <w:rPr>
                    <w:sz w:val="22"/>
                    <w:szCs w:val="22"/>
                    <w:vertAlign w:val="superscript"/>
                  </w:rPr>
                </w:rPrChange>
              </w:rPr>
              <w:t>)</w:t>
            </w:r>
            <w:r w:rsidR="00C42229" w:rsidRPr="00D55B59">
              <w:rPr>
                <w:sz w:val="22"/>
                <w:szCs w:val="22"/>
                <w:vertAlign w:val="superscript"/>
                <w:lang w:val="en-GB"/>
                <w:rPrChange w:id="477" w:author="Author">
                  <w:rPr>
                    <w:sz w:val="22"/>
                    <w:szCs w:val="22"/>
                    <w:vertAlign w:val="superscript"/>
                  </w:rPr>
                </w:rPrChange>
              </w:rPr>
              <w:t xml:space="preserve"> </w:t>
            </w:r>
          </w:p>
        </w:tc>
      </w:tr>
      <w:tr w:rsidR="00C42229" w:rsidRPr="00F04F82" w14:paraId="789D2844" w14:textId="77777777" w:rsidTr="00E0250B">
        <w:trPr>
          <w:cantSplit/>
          <w:trHeight w:val="154"/>
        </w:trPr>
        <w:tc>
          <w:tcPr>
            <w:tcW w:w="2268" w:type="dxa"/>
            <w:vMerge w:val="restart"/>
          </w:tcPr>
          <w:p w14:paraId="344B4728" w14:textId="77777777" w:rsidR="00C42229" w:rsidRPr="00D55B59" w:rsidRDefault="00C42229" w:rsidP="00FB5458">
            <w:pPr>
              <w:pStyle w:val="Default"/>
              <w:rPr>
                <w:sz w:val="22"/>
                <w:szCs w:val="22"/>
                <w:lang w:val="en-GB"/>
                <w:rPrChange w:id="478" w:author="Author">
                  <w:rPr>
                    <w:sz w:val="22"/>
                    <w:szCs w:val="22"/>
                  </w:rPr>
                </w:rPrChange>
              </w:rPr>
            </w:pPr>
            <w:r w:rsidRPr="00D55B59">
              <w:rPr>
                <w:sz w:val="22"/>
                <w:szCs w:val="22"/>
                <w:lang w:val="en-GB"/>
                <w:rPrChange w:id="479" w:author="Author">
                  <w:rPr>
                    <w:sz w:val="22"/>
                    <w:szCs w:val="22"/>
                  </w:rPr>
                </w:rPrChange>
              </w:rPr>
              <w:t xml:space="preserve">Eye disorders </w:t>
            </w:r>
          </w:p>
          <w:p w14:paraId="46F591C3"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55E5C393" w14:textId="77777777" w:rsidR="00C42229" w:rsidRPr="00D55B59" w:rsidRDefault="00C42229" w:rsidP="00FB5458">
            <w:pPr>
              <w:pStyle w:val="Default"/>
              <w:rPr>
                <w:sz w:val="22"/>
                <w:szCs w:val="22"/>
                <w:lang w:val="en-GB"/>
                <w:rPrChange w:id="480" w:author="Author">
                  <w:rPr>
                    <w:sz w:val="22"/>
                    <w:szCs w:val="22"/>
                  </w:rPr>
                </w:rPrChange>
              </w:rPr>
            </w:pPr>
            <w:r w:rsidRPr="00D55B59">
              <w:rPr>
                <w:sz w:val="22"/>
                <w:szCs w:val="22"/>
                <w:lang w:val="en-GB"/>
                <w:rPrChange w:id="481" w:author="Author">
                  <w:rPr>
                    <w:sz w:val="22"/>
                    <w:szCs w:val="22"/>
                  </w:rPr>
                </w:rPrChange>
              </w:rPr>
              <w:t xml:space="preserve">Common </w:t>
            </w:r>
          </w:p>
          <w:p w14:paraId="6A8CC128" w14:textId="77777777" w:rsidR="00C42229" w:rsidRPr="00D55B59" w:rsidRDefault="00C42229" w:rsidP="00FB5458">
            <w:pPr>
              <w:pStyle w:val="Default"/>
              <w:rPr>
                <w:sz w:val="22"/>
                <w:szCs w:val="22"/>
                <w:lang w:val="en-GB"/>
                <w:rPrChange w:id="482" w:author="Author">
                  <w:rPr>
                    <w:sz w:val="22"/>
                    <w:szCs w:val="22"/>
                  </w:rPr>
                </w:rPrChange>
              </w:rPr>
            </w:pPr>
          </w:p>
        </w:tc>
        <w:tc>
          <w:tcPr>
            <w:tcW w:w="5670" w:type="dxa"/>
          </w:tcPr>
          <w:p w14:paraId="34DB04CE" w14:textId="77777777" w:rsidR="00C42229" w:rsidRPr="00D55B59" w:rsidRDefault="007225FD" w:rsidP="00FB5458">
            <w:pPr>
              <w:pStyle w:val="Default"/>
              <w:rPr>
                <w:sz w:val="22"/>
                <w:szCs w:val="22"/>
                <w:lang w:val="en-GB"/>
                <w:rPrChange w:id="483" w:author="Author">
                  <w:rPr>
                    <w:sz w:val="22"/>
                    <w:szCs w:val="22"/>
                  </w:rPr>
                </w:rPrChange>
              </w:rPr>
            </w:pPr>
            <w:r w:rsidRPr="00D55B59">
              <w:rPr>
                <w:sz w:val="22"/>
                <w:szCs w:val="22"/>
                <w:lang w:val="en-GB"/>
                <w:rPrChange w:id="484" w:author="Author">
                  <w:rPr>
                    <w:sz w:val="22"/>
                    <w:szCs w:val="22"/>
                  </w:rPr>
                </w:rPrChange>
              </w:rPr>
              <w:t>V</w:t>
            </w:r>
            <w:r w:rsidR="00C42229" w:rsidRPr="00D55B59">
              <w:rPr>
                <w:sz w:val="22"/>
                <w:szCs w:val="22"/>
                <w:lang w:val="en-GB"/>
                <w:rPrChange w:id="485" w:author="Author">
                  <w:rPr>
                    <w:sz w:val="22"/>
                    <w:szCs w:val="22"/>
                  </w:rPr>
                </w:rPrChange>
              </w:rPr>
              <w:t xml:space="preserve">isual impairment, </w:t>
            </w:r>
          </w:p>
          <w:p w14:paraId="5154348B" w14:textId="77777777" w:rsidR="00C42229" w:rsidRPr="00D55B59" w:rsidRDefault="007225FD" w:rsidP="00FB5458">
            <w:pPr>
              <w:pStyle w:val="Default"/>
              <w:rPr>
                <w:sz w:val="22"/>
                <w:szCs w:val="22"/>
                <w:lang w:val="en-GB"/>
                <w:rPrChange w:id="486" w:author="Author">
                  <w:rPr>
                    <w:sz w:val="22"/>
                    <w:szCs w:val="22"/>
                  </w:rPr>
                </w:rPrChange>
              </w:rPr>
            </w:pPr>
            <w:r w:rsidRPr="00D55B59">
              <w:rPr>
                <w:sz w:val="22"/>
                <w:szCs w:val="22"/>
                <w:lang w:val="en-GB"/>
                <w:rPrChange w:id="487" w:author="Author">
                  <w:rPr>
                    <w:sz w:val="22"/>
                    <w:szCs w:val="22"/>
                  </w:rPr>
                </w:rPrChange>
              </w:rPr>
              <w:t>C</w:t>
            </w:r>
            <w:r w:rsidR="00C42229" w:rsidRPr="00D55B59">
              <w:rPr>
                <w:sz w:val="22"/>
                <w:szCs w:val="22"/>
                <w:lang w:val="en-GB"/>
                <w:rPrChange w:id="488" w:author="Author">
                  <w:rPr>
                    <w:sz w:val="22"/>
                    <w:szCs w:val="22"/>
                  </w:rPr>
                </w:rPrChange>
              </w:rPr>
              <w:t xml:space="preserve">onjunctivitis, </w:t>
            </w:r>
          </w:p>
          <w:p w14:paraId="26708CF1" w14:textId="77777777" w:rsidR="00C42229" w:rsidRPr="00D55B59" w:rsidRDefault="007225FD" w:rsidP="00FB5458">
            <w:pPr>
              <w:pStyle w:val="Default"/>
              <w:rPr>
                <w:sz w:val="22"/>
                <w:szCs w:val="22"/>
                <w:lang w:val="en-GB"/>
                <w:rPrChange w:id="489" w:author="Author">
                  <w:rPr>
                    <w:sz w:val="22"/>
                    <w:szCs w:val="22"/>
                  </w:rPr>
                </w:rPrChange>
              </w:rPr>
            </w:pPr>
            <w:r w:rsidRPr="00D55B59">
              <w:rPr>
                <w:sz w:val="22"/>
                <w:szCs w:val="22"/>
                <w:lang w:val="en-GB"/>
                <w:rPrChange w:id="490" w:author="Author">
                  <w:rPr>
                    <w:sz w:val="22"/>
                    <w:szCs w:val="22"/>
                  </w:rPr>
                </w:rPrChange>
              </w:rPr>
              <w:t>B</w:t>
            </w:r>
            <w:r w:rsidR="00C42229" w:rsidRPr="00D55B59">
              <w:rPr>
                <w:sz w:val="22"/>
                <w:szCs w:val="22"/>
                <w:lang w:val="en-GB"/>
                <w:rPrChange w:id="491" w:author="Author">
                  <w:rPr>
                    <w:sz w:val="22"/>
                    <w:szCs w:val="22"/>
                  </w:rPr>
                </w:rPrChange>
              </w:rPr>
              <w:t xml:space="preserve">lepharitis, </w:t>
            </w:r>
          </w:p>
          <w:p w14:paraId="46DBC83A" w14:textId="77777777" w:rsidR="00C42229" w:rsidRPr="00D55B59" w:rsidRDefault="007225FD" w:rsidP="00FB5458">
            <w:pPr>
              <w:pStyle w:val="Default"/>
              <w:rPr>
                <w:sz w:val="22"/>
                <w:szCs w:val="22"/>
                <w:lang w:val="en-GB"/>
                <w:rPrChange w:id="492" w:author="Author">
                  <w:rPr>
                    <w:sz w:val="22"/>
                    <w:szCs w:val="22"/>
                  </w:rPr>
                </w:rPrChange>
              </w:rPr>
            </w:pPr>
            <w:r w:rsidRPr="00D55B59">
              <w:rPr>
                <w:sz w:val="22"/>
                <w:szCs w:val="22"/>
                <w:lang w:val="en-GB"/>
                <w:rPrChange w:id="493" w:author="Author">
                  <w:rPr>
                    <w:sz w:val="22"/>
                    <w:szCs w:val="22"/>
                  </w:rPr>
                </w:rPrChange>
              </w:rPr>
              <w:t>E</w:t>
            </w:r>
            <w:r w:rsidR="00C42229" w:rsidRPr="00D55B59">
              <w:rPr>
                <w:sz w:val="22"/>
                <w:szCs w:val="22"/>
                <w:lang w:val="en-GB"/>
                <w:rPrChange w:id="494" w:author="Author">
                  <w:rPr>
                    <w:sz w:val="22"/>
                    <w:szCs w:val="22"/>
                  </w:rPr>
                </w:rPrChange>
              </w:rPr>
              <w:t xml:space="preserve">ye swelling </w:t>
            </w:r>
          </w:p>
        </w:tc>
      </w:tr>
      <w:tr w:rsidR="00C42229" w:rsidRPr="00F04F82" w14:paraId="548F27AC" w14:textId="77777777" w:rsidTr="00E0250B">
        <w:trPr>
          <w:cantSplit/>
          <w:trHeight w:val="154"/>
        </w:trPr>
        <w:tc>
          <w:tcPr>
            <w:tcW w:w="2268" w:type="dxa"/>
            <w:vMerge/>
          </w:tcPr>
          <w:p w14:paraId="401EB8AE"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759FCE57" w14:textId="77777777" w:rsidR="00C42229" w:rsidRPr="00D55B59" w:rsidRDefault="00C42229" w:rsidP="00FB5458">
            <w:pPr>
              <w:pStyle w:val="Default"/>
              <w:rPr>
                <w:sz w:val="22"/>
                <w:szCs w:val="22"/>
                <w:lang w:val="en-GB"/>
                <w:rPrChange w:id="495" w:author="Author">
                  <w:rPr>
                    <w:sz w:val="22"/>
                    <w:szCs w:val="22"/>
                  </w:rPr>
                </w:rPrChange>
              </w:rPr>
            </w:pPr>
            <w:r w:rsidRPr="00D55B59">
              <w:rPr>
                <w:sz w:val="22"/>
                <w:szCs w:val="22"/>
                <w:lang w:val="en-GB"/>
                <w:rPrChange w:id="496" w:author="Author">
                  <w:rPr>
                    <w:sz w:val="22"/>
                    <w:szCs w:val="22"/>
                  </w:rPr>
                </w:rPrChange>
              </w:rPr>
              <w:t xml:space="preserve">Uncommon </w:t>
            </w:r>
          </w:p>
        </w:tc>
        <w:tc>
          <w:tcPr>
            <w:tcW w:w="5670" w:type="dxa"/>
          </w:tcPr>
          <w:p w14:paraId="0EBBC55D" w14:textId="77777777" w:rsidR="00C42229" w:rsidRPr="00D55B59" w:rsidRDefault="007225FD" w:rsidP="00FB5458">
            <w:pPr>
              <w:pStyle w:val="Default"/>
              <w:rPr>
                <w:sz w:val="22"/>
                <w:szCs w:val="22"/>
                <w:lang w:val="en-GB"/>
                <w:rPrChange w:id="497" w:author="Author">
                  <w:rPr>
                    <w:sz w:val="22"/>
                    <w:szCs w:val="22"/>
                  </w:rPr>
                </w:rPrChange>
              </w:rPr>
            </w:pPr>
            <w:r w:rsidRPr="00D55B59">
              <w:rPr>
                <w:sz w:val="22"/>
                <w:szCs w:val="22"/>
                <w:lang w:val="en-GB"/>
                <w:rPrChange w:id="498" w:author="Author">
                  <w:rPr>
                    <w:sz w:val="22"/>
                    <w:szCs w:val="22"/>
                  </w:rPr>
                </w:rPrChange>
              </w:rPr>
              <w:t>D</w:t>
            </w:r>
            <w:r w:rsidR="00C42229" w:rsidRPr="00D55B59">
              <w:rPr>
                <w:sz w:val="22"/>
                <w:szCs w:val="22"/>
                <w:lang w:val="en-GB"/>
                <w:rPrChange w:id="499" w:author="Author">
                  <w:rPr>
                    <w:sz w:val="22"/>
                    <w:szCs w:val="22"/>
                  </w:rPr>
                </w:rPrChange>
              </w:rPr>
              <w:t xml:space="preserve">iplopia </w:t>
            </w:r>
          </w:p>
        </w:tc>
      </w:tr>
      <w:tr w:rsidR="00C42229" w:rsidRPr="00F04F82" w14:paraId="5F979867" w14:textId="77777777" w:rsidTr="00E0250B">
        <w:trPr>
          <w:cantSplit/>
          <w:trHeight w:val="154"/>
        </w:trPr>
        <w:tc>
          <w:tcPr>
            <w:tcW w:w="2268" w:type="dxa"/>
            <w:vMerge w:val="restart"/>
          </w:tcPr>
          <w:p w14:paraId="12F1D5BE"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Ear and labyrinth disorders</w:t>
            </w:r>
          </w:p>
        </w:tc>
        <w:tc>
          <w:tcPr>
            <w:tcW w:w="1701" w:type="dxa"/>
          </w:tcPr>
          <w:p w14:paraId="62A18ED9" w14:textId="77777777" w:rsidR="00C42229" w:rsidRPr="00D55B59" w:rsidRDefault="00C42229" w:rsidP="00FB5458">
            <w:pPr>
              <w:pStyle w:val="Default"/>
              <w:rPr>
                <w:sz w:val="22"/>
                <w:szCs w:val="22"/>
                <w:lang w:val="en-GB"/>
                <w:rPrChange w:id="500" w:author="Author">
                  <w:rPr>
                    <w:sz w:val="22"/>
                    <w:szCs w:val="22"/>
                  </w:rPr>
                </w:rPrChange>
              </w:rPr>
            </w:pPr>
            <w:r w:rsidRPr="00D55B59">
              <w:rPr>
                <w:sz w:val="22"/>
                <w:szCs w:val="22"/>
                <w:lang w:val="en-GB"/>
                <w:rPrChange w:id="501" w:author="Author">
                  <w:rPr>
                    <w:sz w:val="22"/>
                    <w:szCs w:val="22"/>
                  </w:rPr>
                </w:rPrChange>
              </w:rPr>
              <w:t>Common</w:t>
            </w:r>
          </w:p>
        </w:tc>
        <w:tc>
          <w:tcPr>
            <w:tcW w:w="5670" w:type="dxa"/>
          </w:tcPr>
          <w:p w14:paraId="6AF1F6D7" w14:textId="77777777" w:rsidR="00C42229" w:rsidRPr="00D55B59" w:rsidRDefault="007225FD" w:rsidP="00FB5458">
            <w:pPr>
              <w:pStyle w:val="Default"/>
              <w:rPr>
                <w:sz w:val="22"/>
                <w:szCs w:val="22"/>
                <w:lang w:val="en-GB"/>
                <w:rPrChange w:id="502" w:author="Author">
                  <w:rPr>
                    <w:sz w:val="22"/>
                    <w:szCs w:val="22"/>
                  </w:rPr>
                </w:rPrChange>
              </w:rPr>
            </w:pPr>
            <w:r w:rsidRPr="00D55B59">
              <w:rPr>
                <w:sz w:val="22"/>
                <w:szCs w:val="22"/>
                <w:lang w:val="en-GB"/>
                <w:rPrChange w:id="503" w:author="Author">
                  <w:rPr>
                    <w:sz w:val="22"/>
                    <w:szCs w:val="22"/>
                  </w:rPr>
                </w:rPrChange>
              </w:rPr>
              <w:t>V</w:t>
            </w:r>
            <w:r w:rsidR="00C42229" w:rsidRPr="00D55B59">
              <w:rPr>
                <w:sz w:val="22"/>
                <w:szCs w:val="22"/>
                <w:lang w:val="en-GB"/>
                <w:rPrChange w:id="504" w:author="Author">
                  <w:rPr>
                    <w:sz w:val="22"/>
                    <w:szCs w:val="22"/>
                  </w:rPr>
                </w:rPrChange>
              </w:rPr>
              <w:t>ertigo</w:t>
            </w:r>
          </w:p>
        </w:tc>
      </w:tr>
      <w:tr w:rsidR="00C42229" w:rsidRPr="00F04F82" w14:paraId="599648E4" w14:textId="77777777" w:rsidTr="00E0250B">
        <w:trPr>
          <w:cantSplit/>
          <w:trHeight w:val="154"/>
        </w:trPr>
        <w:tc>
          <w:tcPr>
            <w:tcW w:w="2268" w:type="dxa"/>
            <w:vMerge/>
          </w:tcPr>
          <w:p w14:paraId="55BEA2D3"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0D7958B7" w14:textId="77777777" w:rsidR="00C42229" w:rsidRPr="00D55B59" w:rsidRDefault="00C42229" w:rsidP="00FB5458">
            <w:pPr>
              <w:pStyle w:val="Default"/>
              <w:rPr>
                <w:sz w:val="22"/>
                <w:szCs w:val="22"/>
                <w:lang w:val="en-GB"/>
                <w:rPrChange w:id="505" w:author="Author">
                  <w:rPr>
                    <w:sz w:val="22"/>
                    <w:szCs w:val="22"/>
                  </w:rPr>
                </w:rPrChange>
              </w:rPr>
            </w:pPr>
            <w:r w:rsidRPr="00D55B59">
              <w:rPr>
                <w:sz w:val="22"/>
                <w:szCs w:val="22"/>
                <w:lang w:val="en-GB" w:eastAsia="en-GB"/>
                <w:rPrChange w:id="506" w:author="Author">
                  <w:rPr>
                    <w:sz w:val="22"/>
                    <w:szCs w:val="22"/>
                    <w:lang w:eastAsia="en-GB"/>
                  </w:rPr>
                </w:rPrChange>
              </w:rPr>
              <w:t>Uncommon</w:t>
            </w:r>
          </w:p>
        </w:tc>
        <w:tc>
          <w:tcPr>
            <w:tcW w:w="5670" w:type="dxa"/>
          </w:tcPr>
          <w:p w14:paraId="034D12B7"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D</w:t>
            </w:r>
            <w:r w:rsidR="00C42229" w:rsidRPr="001775D9">
              <w:rPr>
                <w:color w:val="000000"/>
                <w:szCs w:val="22"/>
                <w:lang w:eastAsia="en-GB"/>
              </w:rPr>
              <w:t xml:space="preserve">eafness, </w:t>
            </w:r>
          </w:p>
          <w:p w14:paraId="3ED3ACBB" w14:textId="77777777" w:rsidR="00C42229" w:rsidRPr="00D55B59" w:rsidRDefault="007225FD" w:rsidP="00FB5458">
            <w:pPr>
              <w:pStyle w:val="Default"/>
              <w:rPr>
                <w:sz w:val="22"/>
                <w:szCs w:val="22"/>
                <w:lang w:val="en-GB"/>
                <w:rPrChange w:id="507" w:author="Author">
                  <w:rPr>
                    <w:sz w:val="22"/>
                    <w:szCs w:val="22"/>
                  </w:rPr>
                </w:rPrChange>
              </w:rPr>
            </w:pPr>
            <w:r w:rsidRPr="00D55B59">
              <w:rPr>
                <w:sz w:val="22"/>
                <w:szCs w:val="22"/>
                <w:lang w:val="en-GB" w:eastAsia="en-GB"/>
                <w:rPrChange w:id="508" w:author="Author">
                  <w:rPr>
                    <w:sz w:val="22"/>
                    <w:szCs w:val="22"/>
                    <w:lang w:eastAsia="en-GB"/>
                  </w:rPr>
                </w:rPrChange>
              </w:rPr>
              <w:t>T</w:t>
            </w:r>
            <w:r w:rsidR="00C42229" w:rsidRPr="00D55B59">
              <w:rPr>
                <w:sz w:val="22"/>
                <w:szCs w:val="22"/>
                <w:lang w:val="en-GB" w:eastAsia="en-GB"/>
                <w:rPrChange w:id="509" w:author="Author">
                  <w:rPr>
                    <w:sz w:val="22"/>
                    <w:szCs w:val="22"/>
                    <w:lang w:eastAsia="en-GB"/>
                  </w:rPr>
                </w:rPrChange>
              </w:rPr>
              <w:t>innitus</w:t>
            </w:r>
          </w:p>
        </w:tc>
      </w:tr>
      <w:tr w:rsidR="00C42229" w:rsidRPr="00F04F82" w14:paraId="1CF212B0" w14:textId="77777777" w:rsidTr="00E0250B">
        <w:trPr>
          <w:cantSplit/>
          <w:trHeight w:val="154"/>
        </w:trPr>
        <w:tc>
          <w:tcPr>
            <w:tcW w:w="2268" w:type="dxa"/>
            <w:vMerge w:val="restart"/>
          </w:tcPr>
          <w:p w14:paraId="75774431"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Cardiac disorders*</w:t>
            </w:r>
          </w:p>
        </w:tc>
        <w:tc>
          <w:tcPr>
            <w:tcW w:w="1701" w:type="dxa"/>
          </w:tcPr>
          <w:p w14:paraId="7B80052E" w14:textId="77777777" w:rsidR="00C42229" w:rsidRPr="00D55B59" w:rsidRDefault="00C42229" w:rsidP="00FB5458">
            <w:pPr>
              <w:pStyle w:val="Default"/>
              <w:rPr>
                <w:sz w:val="22"/>
                <w:szCs w:val="22"/>
                <w:lang w:val="en-GB"/>
                <w:rPrChange w:id="510" w:author="Author">
                  <w:rPr>
                    <w:sz w:val="22"/>
                    <w:szCs w:val="22"/>
                  </w:rPr>
                </w:rPrChange>
              </w:rPr>
            </w:pPr>
            <w:r w:rsidRPr="00D55B59">
              <w:rPr>
                <w:sz w:val="22"/>
                <w:szCs w:val="22"/>
                <w:lang w:val="en-GB" w:eastAsia="en-GB"/>
                <w:rPrChange w:id="511" w:author="Author">
                  <w:rPr>
                    <w:sz w:val="22"/>
                    <w:szCs w:val="22"/>
                    <w:lang w:eastAsia="en-GB"/>
                  </w:rPr>
                </w:rPrChange>
              </w:rPr>
              <w:t>Common</w:t>
            </w:r>
          </w:p>
        </w:tc>
        <w:tc>
          <w:tcPr>
            <w:tcW w:w="5670" w:type="dxa"/>
          </w:tcPr>
          <w:p w14:paraId="7953BFCD" w14:textId="77777777" w:rsidR="00C42229" w:rsidRPr="00D55B59" w:rsidRDefault="007225FD" w:rsidP="00FB5458">
            <w:pPr>
              <w:pStyle w:val="Default"/>
              <w:rPr>
                <w:sz w:val="22"/>
                <w:szCs w:val="22"/>
                <w:lang w:val="en-GB"/>
                <w:rPrChange w:id="512" w:author="Author">
                  <w:rPr>
                    <w:sz w:val="22"/>
                    <w:szCs w:val="22"/>
                  </w:rPr>
                </w:rPrChange>
              </w:rPr>
            </w:pPr>
            <w:r w:rsidRPr="00D55B59">
              <w:rPr>
                <w:sz w:val="22"/>
                <w:szCs w:val="22"/>
                <w:lang w:val="en-GB" w:eastAsia="en-GB"/>
                <w:rPrChange w:id="513" w:author="Author">
                  <w:rPr>
                    <w:sz w:val="22"/>
                    <w:szCs w:val="22"/>
                    <w:lang w:eastAsia="en-GB"/>
                  </w:rPr>
                </w:rPrChange>
              </w:rPr>
              <w:t>T</w:t>
            </w:r>
            <w:r w:rsidR="00C42229" w:rsidRPr="00D55B59">
              <w:rPr>
                <w:sz w:val="22"/>
                <w:szCs w:val="22"/>
                <w:lang w:val="en-GB" w:eastAsia="en-GB"/>
                <w:rPrChange w:id="514" w:author="Author">
                  <w:rPr>
                    <w:sz w:val="22"/>
                    <w:szCs w:val="22"/>
                    <w:lang w:eastAsia="en-GB"/>
                  </w:rPr>
                </w:rPrChange>
              </w:rPr>
              <w:t>achycardia</w:t>
            </w:r>
          </w:p>
        </w:tc>
      </w:tr>
      <w:tr w:rsidR="00C42229" w:rsidRPr="00F04F82" w14:paraId="09817C84" w14:textId="77777777" w:rsidTr="00E0250B">
        <w:trPr>
          <w:cantSplit/>
          <w:trHeight w:val="154"/>
        </w:trPr>
        <w:tc>
          <w:tcPr>
            <w:tcW w:w="2268" w:type="dxa"/>
            <w:vMerge/>
          </w:tcPr>
          <w:p w14:paraId="0DC39D1E"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246F3DB3" w14:textId="77777777" w:rsidR="00C42229" w:rsidRPr="00D55B59" w:rsidRDefault="00C42229" w:rsidP="00FB5458">
            <w:pPr>
              <w:pStyle w:val="Default"/>
              <w:rPr>
                <w:sz w:val="22"/>
                <w:szCs w:val="22"/>
                <w:lang w:val="en-GB"/>
                <w:rPrChange w:id="515" w:author="Author">
                  <w:rPr>
                    <w:sz w:val="22"/>
                    <w:szCs w:val="22"/>
                  </w:rPr>
                </w:rPrChange>
              </w:rPr>
            </w:pPr>
            <w:r w:rsidRPr="00D55B59">
              <w:rPr>
                <w:sz w:val="22"/>
                <w:szCs w:val="22"/>
                <w:lang w:val="en-GB" w:eastAsia="en-GB"/>
                <w:rPrChange w:id="516" w:author="Author">
                  <w:rPr>
                    <w:sz w:val="22"/>
                    <w:szCs w:val="22"/>
                    <w:lang w:eastAsia="en-GB"/>
                  </w:rPr>
                </w:rPrChange>
              </w:rPr>
              <w:t>Uncommon</w:t>
            </w:r>
          </w:p>
        </w:tc>
        <w:tc>
          <w:tcPr>
            <w:tcW w:w="5670" w:type="dxa"/>
          </w:tcPr>
          <w:p w14:paraId="5A9EBF89"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M</w:t>
            </w:r>
            <w:r w:rsidR="00C42229" w:rsidRPr="001775D9">
              <w:rPr>
                <w:color w:val="000000"/>
                <w:szCs w:val="22"/>
                <w:lang w:eastAsia="en-GB"/>
              </w:rPr>
              <w:t>yocardial infarction</w:t>
            </w:r>
            <w:r w:rsidR="00C42229" w:rsidRPr="001775D9">
              <w:rPr>
                <w:color w:val="000000"/>
                <w:szCs w:val="22"/>
                <w:vertAlign w:val="superscript"/>
                <w:lang w:eastAsia="en-GB"/>
              </w:rPr>
              <w:t>1)</w:t>
            </w:r>
            <w:r w:rsidR="00C42229" w:rsidRPr="001775D9">
              <w:rPr>
                <w:color w:val="000000"/>
                <w:szCs w:val="22"/>
                <w:lang w:eastAsia="en-GB"/>
              </w:rPr>
              <w:t xml:space="preserve">, </w:t>
            </w:r>
          </w:p>
          <w:p w14:paraId="1726DDDD"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w:t>
            </w:r>
            <w:r w:rsidR="00C42229" w:rsidRPr="001775D9">
              <w:rPr>
                <w:color w:val="000000"/>
                <w:szCs w:val="22"/>
                <w:lang w:eastAsia="en-GB"/>
              </w:rPr>
              <w:t xml:space="preserve">rrhythmia, </w:t>
            </w:r>
          </w:p>
          <w:p w14:paraId="491A1AC3" w14:textId="77777777" w:rsidR="00C42229" w:rsidRPr="00D55B59" w:rsidRDefault="007225FD" w:rsidP="00FB5458">
            <w:pPr>
              <w:pStyle w:val="Default"/>
              <w:rPr>
                <w:sz w:val="22"/>
                <w:szCs w:val="22"/>
                <w:lang w:val="en-GB"/>
                <w:rPrChange w:id="517" w:author="Author">
                  <w:rPr>
                    <w:sz w:val="22"/>
                    <w:szCs w:val="22"/>
                  </w:rPr>
                </w:rPrChange>
              </w:rPr>
            </w:pPr>
            <w:r w:rsidRPr="00D55B59">
              <w:rPr>
                <w:sz w:val="22"/>
                <w:szCs w:val="22"/>
                <w:lang w:val="en-GB" w:eastAsia="en-GB"/>
                <w:rPrChange w:id="518" w:author="Author">
                  <w:rPr>
                    <w:sz w:val="22"/>
                    <w:szCs w:val="22"/>
                    <w:lang w:eastAsia="en-GB"/>
                  </w:rPr>
                </w:rPrChange>
              </w:rPr>
              <w:t>C</w:t>
            </w:r>
            <w:r w:rsidR="00C42229" w:rsidRPr="00D55B59">
              <w:rPr>
                <w:sz w:val="22"/>
                <w:szCs w:val="22"/>
                <w:lang w:val="en-GB" w:eastAsia="en-GB"/>
                <w:rPrChange w:id="519" w:author="Author">
                  <w:rPr>
                    <w:sz w:val="22"/>
                    <w:szCs w:val="22"/>
                    <w:lang w:eastAsia="en-GB"/>
                  </w:rPr>
                </w:rPrChange>
              </w:rPr>
              <w:t>ongestive heart failure</w:t>
            </w:r>
          </w:p>
        </w:tc>
      </w:tr>
      <w:tr w:rsidR="00C42229" w:rsidRPr="00F04F82" w14:paraId="69B7EF88" w14:textId="77777777" w:rsidTr="00E0250B">
        <w:trPr>
          <w:cantSplit/>
          <w:trHeight w:val="154"/>
        </w:trPr>
        <w:tc>
          <w:tcPr>
            <w:tcW w:w="2268" w:type="dxa"/>
            <w:vMerge/>
          </w:tcPr>
          <w:p w14:paraId="479286FB"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5B511968" w14:textId="77777777" w:rsidR="00C42229" w:rsidRPr="00D55B59" w:rsidRDefault="00C42229" w:rsidP="00FB5458">
            <w:pPr>
              <w:pStyle w:val="Default"/>
              <w:rPr>
                <w:sz w:val="22"/>
                <w:szCs w:val="22"/>
                <w:lang w:val="en-GB"/>
                <w:rPrChange w:id="520" w:author="Author">
                  <w:rPr>
                    <w:sz w:val="22"/>
                    <w:szCs w:val="22"/>
                  </w:rPr>
                </w:rPrChange>
              </w:rPr>
            </w:pPr>
            <w:r w:rsidRPr="00D55B59">
              <w:rPr>
                <w:sz w:val="22"/>
                <w:szCs w:val="22"/>
                <w:lang w:val="en-GB" w:eastAsia="en-GB"/>
                <w:rPrChange w:id="521" w:author="Author">
                  <w:rPr>
                    <w:sz w:val="22"/>
                    <w:szCs w:val="22"/>
                    <w:lang w:eastAsia="en-GB"/>
                  </w:rPr>
                </w:rPrChange>
              </w:rPr>
              <w:t>Rare</w:t>
            </w:r>
          </w:p>
        </w:tc>
        <w:tc>
          <w:tcPr>
            <w:tcW w:w="5670" w:type="dxa"/>
          </w:tcPr>
          <w:p w14:paraId="51489CE5" w14:textId="77777777" w:rsidR="00C42229" w:rsidRPr="00D55B59" w:rsidRDefault="007225FD" w:rsidP="00FB5458">
            <w:pPr>
              <w:pStyle w:val="Default"/>
              <w:rPr>
                <w:sz w:val="22"/>
                <w:szCs w:val="22"/>
                <w:lang w:val="en-GB"/>
                <w:rPrChange w:id="522" w:author="Author">
                  <w:rPr>
                    <w:sz w:val="22"/>
                    <w:szCs w:val="22"/>
                  </w:rPr>
                </w:rPrChange>
              </w:rPr>
            </w:pPr>
            <w:r w:rsidRPr="00D55B59">
              <w:rPr>
                <w:sz w:val="22"/>
                <w:szCs w:val="22"/>
                <w:lang w:val="en-GB" w:eastAsia="en-GB"/>
                <w:rPrChange w:id="523" w:author="Author">
                  <w:rPr>
                    <w:sz w:val="22"/>
                    <w:szCs w:val="22"/>
                    <w:lang w:eastAsia="en-GB"/>
                  </w:rPr>
                </w:rPrChange>
              </w:rPr>
              <w:t>C</w:t>
            </w:r>
            <w:r w:rsidR="00C42229" w:rsidRPr="00D55B59">
              <w:rPr>
                <w:sz w:val="22"/>
                <w:szCs w:val="22"/>
                <w:lang w:val="en-GB" w:eastAsia="en-GB"/>
                <w:rPrChange w:id="524" w:author="Author">
                  <w:rPr>
                    <w:sz w:val="22"/>
                    <w:szCs w:val="22"/>
                    <w:lang w:eastAsia="en-GB"/>
                  </w:rPr>
                </w:rPrChange>
              </w:rPr>
              <w:t>ardiac arrest</w:t>
            </w:r>
          </w:p>
        </w:tc>
      </w:tr>
      <w:tr w:rsidR="00C42229" w:rsidRPr="00F04F82" w14:paraId="2C26FA89" w14:textId="77777777" w:rsidTr="00E0250B">
        <w:trPr>
          <w:cantSplit/>
          <w:trHeight w:val="154"/>
        </w:trPr>
        <w:tc>
          <w:tcPr>
            <w:tcW w:w="2268" w:type="dxa"/>
            <w:vMerge w:val="restart"/>
          </w:tcPr>
          <w:p w14:paraId="506D154A"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Vascular disorders</w:t>
            </w:r>
          </w:p>
        </w:tc>
        <w:tc>
          <w:tcPr>
            <w:tcW w:w="1701" w:type="dxa"/>
          </w:tcPr>
          <w:p w14:paraId="03D68C68" w14:textId="77777777" w:rsidR="00C42229" w:rsidRPr="00D55B59" w:rsidRDefault="00C42229" w:rsidP="00FB5458">
            <w:pPr>
              <w:pStyle w:val="Default"/>
              <w:rPr>
                <w:sz w:val="22"/>
                <w:szCs w:val="22"/>
                <w:lang w:val="en-GB"/>
                <w:rPrChange w:id="525" w:author="Author">
                  <w:rPr>
                    <w:sz w:val="22"/>
                    <w:szCs w:val="22"/>
                  </w:rPr>
                </w:rPrChange>
              </w:rPr>
            </w:pPr>
            <w:r w:rsidRPr="00D55B59">
              <w:rPr>
                <w:sz w:val="22"/>
                <w:szCs w:val="22"/>
                <w:lang w:val="en-GB" w:eastAsia="en-GB"/>
                <w:rPrChange w:id="526" w:author="Author">
                  <w:rPr>
                    <w:sz w:val="22"/>
                    <w:szCs w:val="22"/>
                    <w:lang w:eastAsia="en-GB"/>
                  </w:rPr>
                </w:rPrChange>
              </w:rPr>
              <w:t>Common</w:t>
            </w:r>
          </w:p>
        </w:tc>
        <w:tc>
          <w:tcPr>
            <w:tcW w:w="5670" w:type="dxa"/>
          </w:tcPr>
          <w:p w14:paraId="58D5210F"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H</w:t>
            </w:r>
            <w:r w:rsidR="00C42229" w:rsidRPr="001775D9">
              <w:rPr>
                <w:color w:val="000000"/>
                <w:szCs w:val="22"/>
                <w:lang w:eastAsia="en-GB"/>
              </w:rPr>
              <w:t xml:space="preserve">ypertension, </w:t>
            </w:r>
          </w:p>
          <w:p w14:paraId="03622DE5"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F</w:t>
            </w:r>
            <w:r w:rsidR="00C42229" w:rsidRPr="001775D9">
              <w:rPr>
                <w:color w:val="000000"/>
                <w:szCs w:val="22"/>
                <w:lang w:eastAsia="en-GB"/>
              </w:rPr>
              <w:t xml:space="preserve">lushing, </w:t>
            </w:r>
          </w:p>
          <w:p w14:paraId="68875DD1" w14:textId="77777777" w:rsidR="00C42229" w:rsidRPr="00D55B59" w:rsidRDefault="007225FD" w:rsidP="00FB5458">
            <w:pPr>
              <w:pStyle w:val="Default"/>
              <w:rPr>
                <w:sz w:val="22"/>
                <w:szCs w:val="22"/>
                <w:lang w:val="en-GB"/>
                <w:rPrChange w:id="527" w:author="Author">
                  <w:rPr>
                    <w:sz w:val="22"/>
                    <w:szCs w:val="22"/>
                  </w:rPr>
                </w:rPrChange>
              </w:rPr>
            </w:pPr>
            <w:r w:rsidRPr="00D55B59">
              <w:rPr>
                <w:sz w:val="22"/>
                <w:szCs w:val="22"/>
                <w:lang w:val="en-GB" w:eastAsia="en-GB"/>
                <w:rPrChange w:id="528" w:author="Author">
                  <w:rPr>
                    <w:sz w:val="22"/>
                    <w:szCs w:val="22"/>
                    <w:lang w:eastAsia="en-GB"/>
                  </w:rPr>
                </w:rPrChange>
              </w:rPr>
              <w:t>H</w:t>
            </w:r>
            <w:r w:rsidR="00C42229" w:rsidRPr="00D55B59">
              <w:rPr>
                <w:sz w:val="22"/>
                <w:szCs w:val="22"/>
                <w:lang w:val="en-GB" w:eastAsia="en-GB"/>
                <w:rPrChange w:id="529" w:author="Author">
                  <w:rPr>
                    <w:sz w:val="22"/>
                    <w:szCs w:val="22"/>
                    <w:lang w:eastAsia="en-GB"/>
                  </w:rPr>
                </w:rPrChange>
              </w:rPr>
              <w:t>aematoma</w:t>
            </w:r>
          </w:p>
        </w:tc>
      </w:tr>
      <w:tr w:rsidR="00C42229" w:rsidRPr="00F04F82" w14:paraId="082A9BB0" w14:textId="77777777" w:rsidTr="00E0250B">
        <w:trPr>
          <w:cantSplit/>
          <w:trHeight w:val="154"/>
        </w:trPr>
        <w:tc>
          <w:tcPr>
            <w:tcW w:w="2268" w:type="dxa"/>
            <w:vMerge/>
          </w:tcPr>
          <w:p w14:paraId="6E662AEA"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Pr>
          <w:p w14:paraId="60894858" w14:textId="77777777" w:rsidR="00C42229" w:rsidRPr="00D55B59" w:rsidRDefault="00C42229" w:rsidP="00FB5458">
            <w:pPr>
              <w:pStyle w:val="Default"/>
              <w:rPr>
                <w:sz w:val="22"/>
                <w:szCs w:val="22"/>
                <w:lang w:val="en-GB"/>
                <w:rPrChange w:id="530" w:author="Author">
                  <w:rPr>
                    <w:sz w:val="22"/>
                    <w:szCs w:val="22"/>
                  </w:rPr>
                </w:rPrChange>
              </w:rPr>
            </w:pPr>
            <w:r w:rsidRPr="00D55B59">
              <w:rPr>
                <w:sz w:val="22"/>
                <w:szCs w:val="22"/>
                <w:lang w:val="en-GB" w:eastAsia="en-GB"/>
                <w:rPrChange w:id="531" w:author="Author">
                  <w:rPr>
                    <w:sz w:val="22"/>
                    <w:szCs w:val="22"/>
                    <w:lang w:eastAsia="en-GB"/>
                  </w:rPr>
                </w:rPrChange>
              </w:rPr>
              <w:t>Uncommon</w:t>
            </w:r>
          </w:p>
        </w:tc>
        <w:tc>
          <w:tcPr>
            <w:tcW w:w="5670" w:type="dxa"/>
          </w:tcPr>
          <w:p w14:paraId="0DA94332"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w:t>
            </w:r>
            <w:r w:rsidR="00C85BDD" w:rsidRPr="001775D9">
              <w:rPr>
                <w:color w:val="000000"/>
                <w:szCs w:val="22"/>
                <w:lang w:eastAsia="en-GB"/>
              </w:rPr>
              <w:t xml:space="preserve">ortic aneurysm, </w:t>
            </w:r>
          </w:p>
          <w:p w14:paraId="318385DE"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V</w:t>
            </w:r>
            <w:r w:rsidR="00C85BDD" w:rsidRPr="001775D9">
              <w:rPr>
                <w:color w:val="000000"/>
                <w:szCs w:val="22"/>
                <w:lang w:eastAsia="en-GB"/>
              </w:rPr>
              <w:t xml:space="preserve">ascular arterial occlusion, </w:t>
            </w:r>
          </w:p>
          <w:p w14:paraId="1DB3720A" w14:textId="77777777" w:rsidR="00C42229" w:rsidRPr="00D55B59" w:rsidRDefault="007225FD" w:rsidP="00FB5458">
            <w:pPr>
              <w:pStyle w:val="Default"/>
              <w:rPr>
                <w:sz w:val="22"/>
                <w:szCs w:val="22"/>
                <w:lang w:val="en-GB"/>
                <w:rPrChange w:id="532" w:author="Author">
                  <w:rPr>
                    <w:sz w:val="22"/>
                    <w:szCs w:val="22"/>
                  </w:rPr>
                </w:rPrChange>
              </w:rPr>
            </w:pPr>
            <w:r w:rsidRPr="00D55B59">
              <w:rPr>
                <w:sz w:val="22"/>
                <w:szCs w:val="22"/>
                <w:lang w:val="en-GB" w:eastAsia="en-GB"/>
                <w:rPrChange w:id="533" w:author="Author">
                  <w:rPr>
                    <w:sz w:val="22"/>
                    <w:szCs w:val="22"/>
                    <w:lang w:eastAsia="en-GB"/>
                  </w:rPr>
                </w:rPrChange>
              </w:rPr>
              <w:t>T</w:t>
            </w:r>
            <w:r w:rsidR="00C85BDD" w:rsidRPr="00D55B59">
              <w:rPr>
                <w:sz w:val="22"/>
                <w:szCs w:val="22"/>
                <w:lang w:val="en-GB" w:eastAsia="en-GB"/>
                <w:rPrChange w:id="534" w:author="Author">
                  <w:rPr>
                    <w:sz w:val="22"/>
                    <w:szCs w:val="22"/>
                    <w:lang w:eastAsia="en-GB"/>
                  </w:rPr>
                </w:rPrChange>
              </w:rPr>
              <w:t>hrombophlebitis</w:t>
            </w:r>
          </w:p>
        </w:tc>
      </w:tr>
      <w:tr w:rsidR="00C42229" w:rsidRPr="00F04F82" w14:paraId="64A4DD0B" w14:textId="77777777" w:rsidTr="00E0250B">
        <w:trPr>
          <w:cantSplit/>
          <w:trHeight w:val="154"/>
        </w:trPr>
        <w:tc>
          <w:tcPr>
            <w:tcW w:w="2268" w:type="dxa"/>
            <w:vMerge w:val="restart"/>
            <w:tcBorders>
              <w:top w:val="single" w:sz="4" w:space="0" w:color="auto"/>
              <w:left w:val="single" w:sz="4" w:space="0" w:color="auto"/>
              <w:right w:val="single" w:sz="4" w:space="0" w:color="auto"/>
            </w:tcBorders>
          </w:tcPr>
          <w:p w14:paraId="65A36F4D"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Respiratory, thoracic and mediastinal disorders*</w:t>
            </w:r>
          </w:p>
        </w:tc>
        <w:tc>
          <w:tcPr>
            <w:tcW w:w="1701" w:type="dxa"/>
            <w:tcBorders>
              <w:top w:val="single" w:sz="4" w:space="0" w:color="auto"/>
              <w:left w:val="single" w:sz="4" w:space="0" w:color="auto"/>
              <w:bottom w:val="single" w:sz="4" w:space="0" w:color="auto"/>
              <w:right w:val="single" w:sz="4" w:space="0" w:color="auto"/>
            </w:tcBorders>
          </w:tcPr>
          <w:p w14:paraId="49F1B7EF" w14:textId="77777777" w:rsidR="00C42229" w:rsidRPr="00D55B59" w:rsidRDefault="00C42229" w:rsidP="00FB5458">
            <w:pPr>
              <w:pStyle w:val="Default"/>
              <w:keepNext/>
              <w:rPr>
                <w:sz w:val="22"/>
                <w:szCs w:val="22"/>
                <w:lang w:val="en-GB"/>
                <w:rPrChange w:id="535" w:author="Author">
                  <w:rPr>
                    <w:sz w:val="22"/>
                    <w:szCs w:val="22"/>
                  </w:rPr>
                </w:rPrChange>
              </w:rPr>
            </w:pPr>
            <w:r w:rsidRPr="00D55B59">
              <w:rPr>
                <w:sz w:val="22"/>
                <w:szCs w:val="22"/>
                <w:lang w:val="en-GB" w:eastAsia="en-GB"/>
                <w:rPrChange w:id="536" w:author="Author">
                  <w:rPr>
                    <w:sz w:val="22"/>
                    <w:szCs w:val="22"/>
                    <w:lang w:eastAsia="en-GB"/>
                  </w:rPr>
                </w:rPrChange>
              </w:rPr>
              <w:t>Common</w:t>
            </w:r>
          </w:p>
        </w:tc>
        <w:tc>
          <w:tcPr>
            <w:tcW w:w="5670" w:type="dxa"/>
            <w:tcBorders>
              <w:top w:val="single" w:sz="4" w:space="0" w:color="auto"/>
              <w:left w:val="single" w:sz="4" w:space="0" w:color="auto"/>
              <w:bottom w:val="single" w:sz="4" w:space="0" w:color="auto"/>
              <w:right w:val="single" w:sz="4" w:space="0" w:color="auto"/>
            </w:tcBorders>
          </w:tcPr>
          <w:p w14:paraId="592A394B" w14:textId="77777777" w:rsidR="00C42229" w:rsidRPr="001775D9" w:rsidRDefault="007225FD"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A</w:t>
            </w:r>
            <w:r w:rsidR="00C85BDD" w:rsidRPr="001775D9">
              <w:rPr>
                <w:color w:val="000000"/>
                <w:szCs w:val="22"/>
                <w:lang w:eastAsia="en-GB"/>
              </w:rPr>
              <w:t xml:space="preserve">sthma, </w:t>
            </w:r>
          </w:p>
          <w:p w14:paraId="43E4DA8C" w14:textId="77777777" w:rsidR="00C42229" w:rsidRPr="001775D9" w:rsidRDefault="007225FD"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D</w:t>
            </w:r>
            <w:r w:rsidR="00C85BDD" w:rsidRPr="001775D9">
              <w:rPr>
                <w:color w:val="000000"/>
                <w:szCs w:val="22"/>
                <w:lang w:eastAsia="en-GB"/>
              </w:rPr>
              <w:t xml:space="preserve">yspnoea, </w:t>
            </w:r>
          </w:p>
          <w:p w14:paraId="3DA100B4" w14:textId="77777777" w:rsidR="00C42229" w:rsidRPr="00D55B59" w:rsidRDefault="007225FD" w:rsidP="00FB5458">
            <w:pPr>
              <w:pStyle w:val="Default"/>
              <w:keepNext/>
              <w:rPr>
                <w:sz w:val="22"/>
                <w:szCs w:val="22"/>
                <w:lang w:val="en-GB"/>
                <w:rPrChange w:id="537" w:author="Author">
                  <w:rPr>
                    <w:sz w:val="22"/>
                    <w:szCs w:val="22"/>
                  </w:rPr>
                </w:rPrChange>
              </w:rPr>
            </w:pPr>
            <w:r w:rsidRPr="00D55B59">
              <w:rPr>
                <w:sz w:val="22"/>
                <w:szCs w:val="22"/>
                <w:lang w:val="en-GB" w:eastAsia="en-GB"/>
                <w:rPrChange w:id="538" w:author="Author">
                  <w:rPr>
                    <w:sz w:val="22"/>
                    <w:szCs w:val="22"/>
                    <w:lang w:eastAsia="en-GB"/>
                  </w:rPr>
                </w:rPrChange>
              </w:rPr>
              <w:t>C</w:t>
            </w:r>
            <w:r w:rsidR="00C85BDD" w:rsidRPr="00D55B59">
              <w:rPr>
                <w:sz w:val="22"/>
                <w:szCs w:val="22"/>
                <w:lang w:val="en-GB" w:eastAsia="en-GB"/>
                <w:rPrChange w:id="539" w:author="Author">
                  <w:rPr>
                    <w:sz w:val="22"/>
                    <w:szCs w:val="22"/>
                    <w:lang w:eastAsia="en-GB"/>
                  </w:rPr>
                </w:rPrChange>
              </w:rPr>
              <w:t>ough</w:t>
            </w:r>
          </w:p>
        </w:tc>
      </w:tr>
      <w:tr w:rsidR="00C42229" w:rsidRPr="00F04F82" w14:paraId="57F9FC0B" w14:textId="77777777" w:rsidTr="00E0250B">
        <w:trPr>
          <w:cantSplit/>
          <w:trHeight w:val="154"/>
        </w:trPr>
        <w:tc>
          <w:tcPr>
            <w:tcW w:w="2268" w:type="dxa"/>
            <w:vMerge/>
            <w:tcBorders>
              <w:left w:val="single" w:sz="4" w:space="0" w:color="auto"/>
              <w:right w:val="single" w:sz="4" w:space="0" w:color="auto"/>
            </w:tcBorders>
          </w:tcPr>
          <w:p w14:paraId="23C0DF2A"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393E24E0" w14:textId="77777777" w:rsidR="00C42229" w:rsidRPr="00D55B59" w:rsidRDefault="00C42229" w:rsidP="00FB5458">
            <w:pPr>
              <w:pStyle w:val="Default"/>
              <w:rPr>
                <w:sz w:val="22"/>
                <w:szCs w:val="22"/>
                <w:lang w:val="en-GB" w:eastAsia="en-GB"/>
                <w:rPrChange w:id="540" w:author="Author">
                  <w:rPr>
                    <w:sz w:val="22"/>
                    <w:szCs w:val="22"/>
                    <w:lang w:eastAsia="en-GB"/>
                  </w:rPr>
                </w:rPrChange>
              </w:rPr>
            </w:pPr>
            <w:r w:rsidRPr="00D55B59">
              <w:rPr>
                <w:sz w:val="22"/>
                <w:szCs w:val="22"/>
                <w:lang w:val="en-GB" w:eastAsia="en-GB"/>
                <w:rPrChange w:id="541" w:author="Author">
                  <w:rPr>
                    <w:sz w:val="22"/>
                    <w:szCs w:val="22"/>
                    <w:lang w:eastAsia="en-GB"/>
                  </w:rPr>
                </w:rPrChange>
              </w:rPr>
              <w:t>Uncommon</w:t>
            </w:r>
          </w:p>
        </w:tc>
        <w:tc>
          <w:tcPr>
            <w:tcW w:w="5670" w:type="dxa"/>
            <w:tcBorders>
              <w:top w:val="single" w:sz="4" w:space="0" w:color="auto"/>
              <w:left w:val="single" w:sz="4" w:space="0" w:color="auto"/>
              <w:bottom w:val="single" w:sz="4" w:space="0" w:color="auto"/>
              <w:right w:val="single" w:sz="4" w:space="0" w:color="auto"/>
            </w:tcBorders>
          </w:tcPr>
          <w:p w14:paraId="20197E51"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w:t>
            </w:r>
            <w:r w:rsidR="00C85BDD" w:rsidRPr="001775D9">
              <w:rPr>
                <w:color w:val="000000"/>
                <w:szCs w:val="22"/>
                <w:lang w:eastAsia="en-GB"/>
              </w:rPr>
              <w:t>ulmonary embolism</w:t>
            </w:r>
            <w:r w:rsidR="00C42229" w:rsidRPr="001775D9">
              <w:rPr>
                <w:color w:val="000000"/>
                <w:szCs w:val="22"/>
                <w:vertAlign w:val="superscript"/>
                <w:lang w:eastAsia="en-GB"/>
              </w:rPr>
              <w:t>1)</w:t>
            </w:r>
            <w:r w:rsidR="00C42229" w:rsidRPr="001775D9">
              <w:rPr>
                <w:color w:val="000000"/>
                <w:szCs w:val="22"/>
                <w:lang w:eastAsia="en-GB"/>
              </w:rPr>
              <w:t xml:space="preserve">, </w:t>
            </w:r>
          </w:p>
          <w:p w14:paraId="0D0FB435"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I</w:t>
            </w:r>
            <w:r w:rsidR="00C85BDD" w:rsidRPr="001775D9">
              <w:rPr>
                <w:color w:val="000000"/>
                <w:szCs w:val="22"/>
                <w:lang w:eastAsia="en-GB"/>
              </w:rPr>
              <w:t xml:space="preserve">nterstitial lung disease, </w:t>
            </w:r>
          </w:p>
          <w:p w14:paraId="2E81135F"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C</w:t>
            </w:r>
            <w:r w:rsidR="00C85BDD" w:rsidRPr="001775D9">
              <w:rPr>
                <w:color w:val="000000"/>
                <w:szCs w:val="22"/>
                <w:lang w:eastAsia="en-GB"/>
              </w:rPr>
              <w:t xml:space="preserve">hronic obstructive pulmonary disease, </w:t>
            </w:r>
          </w:p>
          <w:p w14:paraId="28D0ED3E"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w:t>
            </w:r>
            <w:r w:rsidR="00C85BDD" w:rsidRPr="001775D9">
              <w:rPr>
                <w:color w:val="000000"/>
                <w:szCs w:val="22"/>
                <w:lang w:eastAsia="en-GB"/>
              </w:rPr>
              <w:t xml:space="preserve">neumonitis, </w:t>
            </w:r>
          </w:p>
          <w:p w14:paraId="722A332B"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w:t>
            </w:r>
            <w:r w:rsidR="00C85BDD" w:rsidRPr="001775D9">
              <w:rPr>
                <w:color w:val="000000"/>
                <w:szCs w:val="22"/>
                <w:lang w:eastAsia="en-GB"/>
              </w:rPr>
              <w:t>leural effusion</w:t>
            </w:r>
            <w:r w:rsidR="00C42229" w:rsidRPr="001775D9">
              <w:rPr>
                <w:color w:val="000000"/>
                <w:szCs w:val="22"/>
                <w:vertAlign w:val="superscript"/>
                <w:lang w:eastAsia="en-GB"/>
              </w:rPr>
              <w:t>1)</w:t>
            </w:r>
            <w:r w:rsidR="00C42229" w:rsidRPr="001775D9">
              <w:rPr>
                <w:color w:val="000000"/>
                <w:szCs w:val="22"/>
                <w:lang w:eastAsia="en-GB"/>
              </w:rPr>
              <w:t xml:space="preserve"> </w:t>
            </w:r>
          </w:p>
        </w:tc>
      </w:tr>
      <w:tr w:rsidR="00C42229" w:rsidRPr="00F04F82" w14:paraId="7602253B" w14:textId="77777777" w:rsidTr="00E0250B">
        <w:trPr>
          <w:cantSplit/>
          <w:trHeight w:val="154"/>
        </w:trPr>
        <w:tc>
          <w:tcPr>
            <w:tcW w:w="2268" w:type="dxa"/>
            <w:vMerge/>
            <w:tcBorders>
              <w:left w:val="single" w:sz="4" w:space="0" w:color="auto"/>
              <w:bottom w:val="single" w:sz="4" w:space="0" w:color="auto"/>
              <w:right w:val="single" w:sz="4" w:space="0" w:color="auto"/>
            </w:tcBorders>
          </w:tcPr>
          <w:p w14:paraId="2C4722EA"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40133A95" w14:textId="77777777" w:rsidR="00C42229" w:rsidRPr="00D55B59" w:rsidRDefault="00C42229" w:rsidP="00FB5458">
            <w:pPr>
              <w:pStyle w:val="Default"/>
              <w:rPr>
                <w:sz w:val="22"/>
                <w:szCs w:val="22"/>
                <w:lang w:val="en-GB" w:eastAsia="en-GB"/>
                <w:rPrChange w:id="542" w:author="Author">
                  <w:rPr>
                    <w:sz w:val="22"/>
                    <w:szCs w:val="22"/>
                    <w:lang w:eastAsia="en-GB"/>
                  </w:rPr>
                </w:rPrChange>
              </w:rPr>
            </w:pPr>
            <w:r w:rsidRPr="00D55B59">
              <w:rPr>
                <w:sz w:val="22"/>
                <w:szCs w:val="22"/>
                <w:lang w:val="en-GB" w:eastAsia="en-GB"/>
                <w:rPrChange w:id="543" w:author="Author">
                  <w:rPr>
                    <w:sz w:val="22"/>
                    <w:szCs w:val="22"/>
                    <w:lang w:eastAsia="en-GB"/>
                  </w:rPr>
                </w:rPrChange>
              </w:rPr>
              <w:t>Rare</w:t>
            </w:r>
          </w:p>
        </w:tc>
        <w:tc>
          <w:tcPr>
            <w:tcW w:w="5670" w:type="dxa"/>
            <w:tcBorders>
              <w:top w:val="single" w:sz="4" w:space="0" w:color="auto"/>
              <w:left w:val="single" w:sz="4" w:space="0" w:color="auto"/>
              <w:bottom w:val="single" w:sz="4" w:space="0" w:color="auto"/>
              <w:right w:val="single" w:sz="4" w:space="0" w:color="auto"/>
            </w:tcBorders>
          </w:tcPr>
          <w:p w14:paraId="3CBB3C39"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w:t>
            </w:r>
            <w:r w:rsidR="00C85BDD" w:rsidRPr="001775D9">
              <w:rPr>
                <w:color w:val="000000"/>
                <w:szCs w:val="22"/>
                <w:lang w:eastAsia="en-GB"/>
              </w:rPr>
              <w:t>ulmonary fibrosis</w:t>
            </w:r>
            <w:r w:rsidR="00C42229" w:rsidRPr="001775D9">
              <w:rPr>
                <w:color w:val="000000"/>
                <w:szCs w:val="22"/>
                <w:vertAlign w:val="superscript"/>
                <w:lang w:eastAsia="en-GB"/>
              </w:rPr>
              <w:t>1)</w:t>
            </w:r>
            <w:r w:rsidR="00C42229" w:rsidRPr="001775D9">
              <w:rPr>
                <w:color w:val="000000"/>
                <w:szCs w:val="22"/>
                <w:lang w:eastAsia="en-GB"/>
              </w:rPr>
              <w:t xml:space="preserve"> </w:t>
            </w:r>
          </w:p>
        </w:tc>
      </w:tr>
      <w:tr w:rsidR="00C42229" w:rsidRPr="00F04F82" w14:paraId="132C9006" w14:textId="77777777" w:rsidTr="00E0250B">
        <w:trPr>
          <w:cantSplit/>
          <w:trHeight w:val="154"/>
        </w:trPr>
        <w:tc>
          <w:tcPr>
            <w:tcW w:w="2268" w:type="dxa"/>
            <w:vMerge w:val="restart"/>
            <w:tcBorders>
              <w:top w:val="single" w:sz="4" w:space="0" w:color="auto"/>
              <w:left w:val="single" w:sz="4" w:space="0" w:color="auto"/>
              <w:right w:val="single" w:sz="4" w:space="0" w:color="auto"/>
            </w:tcBorders>
          </w:tcPr>
          <w:p w14:paraId="4B5B300F" w14:textId="77777777" w:rsidR="00C42229" w:rsidRPr="001775D9" w:rsidRDefault="00C42229"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Gastrointestinal disorders </w:t>
            </w:r>
          </w:p>
        </w:tc>
        <w:tc>
          <w:tcPr>
            <w:tcW w:w="1701" w:type="dxa"/>
            <w:tcBorders>
              <w:top w:val="single" w:sz="4" w:space="0" w:color="auto"/>
              <w:left w:val="single" w:sz="4" w:space="0" w:color="auto"/>
              <w:bottom w:val="single" w:sz="4" w:space="0" w:color="auto"/>
              <w:right w:val="single" w:sz="4" w:space="0" w:color="auto"/>
            </w:tcBorders>
          </w:tcPr>
          <w:p w14:paraId="044F9162" w14:textId="77777777" w:rsidR="00C42229" w:rsidRPr="001775D9" w:rsidRDefault="00C42229"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common </w:t>
            </w:r>
          </w:p>
        </w:tc>
        <w:tc>
          <w:tcPr>
            <w:tcW w:w="5670" w:type="dxa"/>
            <w:tcBorders>
              <w:top w:val="single" w:sz="4" w:space="0" w:color="auto"/>
              <w:left w:val="single" w:sz="4" w:space="0" w:color="auto"/>
              <w:bottom w:val="single" w:sz="4" w:space="0" w:color="auto"/>
              <w:right w:val="single" w:sz="4" w:space="0" w:color="auto"/>
            </w:tcBorders>
          </w:tcPr>
          <w:p w14:paraId="7B891F96" w14:textId="77777777" w:rsidR="00C42229" w:rsidRPr="001775D9" w:rsidRDefault="007225FD"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A</w:t>
            </w:r>
            <w:r w:rsidR="00C85BDD" w:rsidRPr="001775D9">
              <w:rPr>
                <w:color w:val="000000"/>
                <w:szCs w:val="22"/>
                <w:lang w:eastAsia="en-GB"/>
              </w:rPr>
              <w:t xml:space="preserve">bdominal pain, </w:t>
            </w:r>
          </w:p>
          <w:p w14:paraId="568DA62A" w14:textId="77777777" w:rsidR="00C42229" w:rsidRPr="001775D9" w:rsidRDefault="007225FD"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N</w:t>
            </w:r>
            <w:r w:rsidR="00C85BDD" w:rsidRPr="001775D9">
              <w:rPr>
                <w:color w:val="000000"/>
                <w:szCs w:val="22"/>
                <w:lang w:eastAsia="en-GB"/>
              </w:rPr>
              <w:t>aus</w:t>
            </w:r>
            <w:r w:rsidR="00C42229" w:rsidRPr="001775D9">
              <w:rPr>
                <w:color w:val="000000"/>
                <w:szCs w:val="22"/>
                <w:lang w:eastAsia="en-GB"/>
              </w:rPr>
              <w:t xml:space="preserve">ea and vomiting </w:t>
            </w:r>
          </w:p>
        </w:tc>
      </w:tr>
      <w:tr w:rsidR="00C42229" w:rsidRPr="00F04F82" w14:paraId="4D865B89" w14:textId="77777777" w:rsidTr="00E0250B">
        <w:trPr>
          <w:cantSplit/>
          <w:trHeight w:val="154"/>
        </w:trPr>
        <w:tc>
          <w:tcPr>
            <w:tcW w:w="2268" w:type="dxa"/>
            <w:vMerge/>
            <w:tcBorders>
              <w:left w:val="single" w:sz="4" w:space="0" w:color="auto"/>
              <w:right w:val="single" w:sz="4" w:space="0" w:color="auto"/>
            </w:tcBorders>
          </w:tcPr>
          <w:p w14:paraId="2F9DE5D6" w14:textId="77777777" w:rsidR="00C42229" w:rsidRPr="00F04F82" w:rsidRDefault="00C42229" w:rsidP="001C2A6A">
            <w:pPr>
              <w:keepNext/>
              <w:keepLines/>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57870A4C" w14:textId="77777777" w:rsidR="00C42229" w:rsidRPr="001775D9" w:rsidRDefault="00C42229"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72A2F15A" w14:textId="77777777" w:rsidR="00C42229" w:rsidRPr="001775D9" w:rsidRDefault="00CC0358"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G</w:t>
            </w:r>
            <w:r w:rsidR="00C42229" w:rsidRPr="001775D9">
              <w:rPr>
                <w:color w:val="000000"/>
                <w:szCs w:val="22"/>
                <w:lang w:eastAsia="en-GB"/>
              </w:rPr>
              <w:t xml:space="preserve">I haemorrhage, </w:t>
            </w:r>
          </w:p>
          <w:p w14:paraId="7012118A" w14:textId="77777777" w:rsidR="00C42229" w:rsidRPr="001775D9" w:rsidRDefault="007225FD"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D</w:t>
            </w:r>
            <w:r w:rsidR="00C85BDD" w:rsidRPr="001775D9">
              <w:rPr>
                <w:color w:val="000000"/>
                <w:szCs w:val="22"/>
                <w:lang w:eastAsia="en-GB"/>
              </w:rPr>
              <w:t>yspepsia</w:t>
            </w:r>
            <w:r w:rsidR="00C42229" w:rsidRPr="001775D9">
              <w:rPr>
                <w:color w:val="000000"/>
                <w:szCs w:val="22"/>
                <w:lang w:eastAsia="en-GB"/>
              </w:rPr>
              <w:t xml:space="preserve">, </w:t>
            </w:r>
          </w:p>
          <w:p w14:paraId="0037C11D" w14:textId="77777777" w:rsidR="00C42229" w:rsidRPr="001775D9" w:rsidRDefault="007225FD"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G</w:t>
            </w:r>
            <w:r w:rsidR="00C85BDD" w:rsidRPr="001775D9">
              <w:rPr>
                <w:color w:val="000000"/>
                <w:szCs w:val="22"/>
                <w:lang w:eastAsia="en-GB"/>
              </w:rPr>
              <w:t xml:space="preserve">astroesophageal </w:t>
            </w:r>
            <w:r w:rsidR="00C42229" w:rsidRPr="001775D9">
              <w:rPr>
                <w:color w:val="000000"/>
                <w:szCs w:val="22"/>
                <w:lang w:eastAsia="en-GB"/>
              </w:rPr>
              <w:t xml:space="preserve">reflux disease, </w:t>
            </w:r>
          </w:p>
          <w:p w14:paraId="75F83140" w14:textId="77777777" w:rsidR="00C42229" w:rsidRPr="001775D9" w:rsidRDefault="007225FD"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S</w:t>
            </w:r>
            <w:r w:rsidR="00C85BDD" w:rsidRPr="001775D9">
              <w:rPr>
                <w:color w:val="000000"/>
                <w:szCs w:val="22"/>
                <w:lang w:eastAsia="en-GB"/>
              </w:rPr>
              <w:t xml:space="preserve">icca </w:t>
            </w:r>
            <w:r w:rsidR="00C42229" w:rsidRPr="001775D9">
              <w:rPr>
                <w:color w:val="000000"/>
                <w:szCs w:val="22"/>
                <w:lang w:eastAsia="en-GB"/>
              </w:rPr>
              <w:t xml:space="preserve">syndrome </w:t>
            </w:r>
          </w:p>
        </w:tc>
      </w:tr>
      <w:tr w:rsidR="00C42229" w:rsidRPr="00F04F82" w14:paraId="25E1F33B" w14:textId="77777777" w:rsidTr="00E0250B">
        <w:trPr>
          <w:cantSplit/>
          <w:trHeight w:val="154"/>
        </w:trPr>
        <w:tc>
          <w:tcPr>
            <w:tcW w:w="2268" w:type="dxa"/>
            <w:vMerge/>
            <w:tcBorders>
              <w:left w:val="single" w:sz="4" w:space="0" w:color="auto"/>
              <w:right w:val="single" w:sz="4" w:space="0" w:color="auto"/>
            </w:tcBorders>
          </w:tcPr>
          <w:p w14:paraId="36728597"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627BBE21"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4039F4BF"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w:t>
            </w:r>
            <w:r w:rsidR="00C85BDD" w:rsidRPr="001775D9">
              <w:rPr>
                <w:color w:val="000000"/>
                <w:szCs w:val="22"/>
                <w:lang w:eastAsia="en-GB"/>
              </w:rPr>
              <w:t xml:space="preserve">ancreatitis, </w:t>
            </w:r>
          </w:p>
          <w:p w14:paraId="0A6F076D"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D</w:t>
            </w:r>
            <w:r w:rsidR="00C85BDD" w:rsidRPr="001775D9">
              <w:rPr>
                <w:color w:val="000000"/>
                <w:szCs w:val="22"/>
                <w:lang w:eastAsia="en-GB"/>
              </w:rPr>
              <w:t xml:space="preserve">ysphagia, </w:t>
            </w:r>
          </w:p>
          <w:p w14:paraId="607C9160"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F</w:t>
            </w:r>
            <w:r w:rsidR="00C85BDD" w:rsidRPr="001775D9">
              <w:rPr>
                <w:color w:val="000000"/>
                <w:szCs w:val="22"/>
                <w:lang w:eastAsia="en-GB"/>
              </w:rPr>
              <w:t xml:space="preserve">ace oedema </w:t>
            </w:r>
          </w:p>
        </w:tc>
      </w:tr>
      <w:tr w:rsidR="00C42229" w:rsidRPr="00F04F82" w14:paraId="76F795F6" w14:textId="77777777" w:rsidTr="00E0250B">
        <w:trPr>
          <w:cantSplit/>
          <w:trHeight w:val="154"/>
        </w:trPr>
        <w:tc>
          <w:tcPr>
            <w:tcW w:w="2268" w:type="dxa"/>
            <w:vMerge/>
            <w:tcBorders>
              <w:left w:val="single" w:sz="4" w:space="0" w:color="auto"/>
              <w:bottom w:val="single" w:sz="4" w:space="0" w:color="auto"/>
              <w:right w:val="single" w:sz="4" w:space="0" w:color="auto"/>
            </w:tcBorders>
          </w:tcPr>
          <w:p w14:paraId="683CF2BA"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0538B0AD"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w:t>
            </w:r>
          </w:p>
        </w:tc>
        <w:tc>
          <w:tcPr>
            <w:tcW w:w="5670" w:type="dxa"/>
            <w:tcBorders>
              <w:top w:val="single" w:sz="4" w:space="0" w:color="auto"/>
              <w:left w:val="single" w:sz="4" w:space="0" w:color="auto"/>
              <w:bottom w:val="single" w:sz="4" w:space="0" w:color="auto"/>
              <w:right w:val="single" w:sz="4" w:space="0" w:color="auto"/>
            </w:tcBorders>
          </w:tcPr>
          <w:p w14:paraId="6ADE8DEC"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I</w:t>
            </w:r>
            <w:r w:rsidR="00C85BDD" w:rsidRPr="001775D9">
              <w:rPr>
                <w:color w:val="000000"/>
                <w:szCs w:val="22"/>
                <w:lang w:eastAsia="en-GB"/>
              </w:rPr>
              <w:t>ntestinal perforation</w:t>
            </w:r>
            <w:r w:rsidR="00C42229" w:rsidRPr="001775D9">
              <w:rPr>
                <w:color w:val="000000"/>
                <w:szCs w:val="22"/>
                <w:vertAlign w:val="superscript"/>
                <w:lang w:eastAsia="en-GB"/>
              </w:rPr>
              <w:t>1)</w:t>
            </w:r>
            <w:r w:rsidR="00C42229" w:rsidRPr="001775D9">
              <w:rPr>
                <w:color w:val="000000"/>
                <w:szCs w:val="22"/>
                <w:lang w:eastAsia="en-GB"/>
              </w:rPr>
              <w:t xml:space="preserve"> </w:t>
            </w:r>
          </w:p>
        </w:tc>
      </w:tr>
      <w:tr w:rsidR="00C42229" w:rsidRPr="00F04F82" w14:paraId="52E53322" w14:textId="77777777" w:rsidTr="00E0250B">
        <w:trPr>
          <w:cantSplit/>
          <w:trHeight w:val="154"/>
        </w:trPr>
        <w:tc>
          <w:tcPr>
            <w:tcW w:w="2268" w:type="dxa"/>
            <w:vMerge w:val="restart"/>
            <w:tcBorders>
              <w:top w:val="single" w:sz="4" w:space="0" w:color="auto"/>
              <w:left w:val="single" w:sz="4" w:space="0" w:color="auto"/>
              <w:right w:val="single" w:sz="4" w:space="0" w:color="auto"/>
            </w:tcBorders>
          </w:tcPr>
          <w:p w14:paraId="1340E8B2" w14:textId="4C9F1179" w:rsidR="00C42229" w:rsidRPr="001775D9" w:rsidRDefault="00C42229"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Hepatobiliary disorders* </w:t>
            </w:r>
          </w:p>
        </w:tc>
        <w:tc>
          <w:tcPr>
            <w:tcW w:w="1701" w:type="dxa"/>
            <w:tcBorders>
              <w:top w:val="single" w:sz="4" w:space="0" w:color="auto"/>
              <w:left w:val="single" w:sz="4" w:space="0" w:color="auto"/>
              <w:bottom w:val="single" w:sz="4" w:space="0" w:color="auto"/>
              <w:right w:val="single" w:sz="4" w:space="0" w:color="auto"/>
            </w:tcBorders>
          </w:tcPr>
          <w:p w14:paraId="3C2B9E8D"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w:t>
            </w:r>
            <w:r w:rsidR="004F17DD" w:rsidRPr="001775D9">
              <w:rPr>
                <w:color w:val="000000"/>
                <w:szCs w:val="22"/>
                <w:lang w:eastAsia="en-GB"/>
              </w:rPr>
              <w:t>c</w:t>
            </w:r>
            <w:r w:rsidRPr="001775D9">
              <w:rPr>
                <w:color w:val="000000"/>
                <w:szCs w:val="22"/>
                <w:lang w:eastAsia="en-GB"/>
              </w:rPr>
              <w:t xml:space="preserve">ommon </w:t>
            </w:r>
          </w:p>
        </w:tc>
        <w:tc>
          <w:tcPr>
            <w:tcW w:w="5670" w:type="dxa"/>
            <w:tcBorders>
              <w:top w:val="single" w:sz="4" w:space="0" w:color="auto"/>
              <w:left w:val="single" w:sz="4" w:space="0" w:color="auto"/>
              <w:bottom w:val="single" w:sz="4" w:space="0" w:color="auto"/>
              <w:right w:val="single" w:sz="4" w:space="0" w:color="auto"/>
            </w:tcBorders>
          </w:tcPr>
          <w:p w14:paraId="706E4F4D" w14:textId="77777777" w:rsidR="00C42229" w:rsidRPr="001775D9" w:rsidRDefault="007225FD"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E</w:t>
            </w:r>
            <w:r w:rsidR="00C85BDD" w:rsidRPr="001775D9">
              <w:rPr>
                <w:color w:val="000000"/>
                <w:szCs w:val="22"/>
                <w:lang w:eastAsia="en-GB"/>
              </w:rPr>
              <w:t xml:space="preserve">levated liver enzymes </w:t>
            </w:r>
          </w:p>
        </w:tc>
      </w:tr>
      <w:tr w:rsidR="00C42229" w:rsidRPr="00F04F82" w14:paraId="741BA9BD" w14:textId="77777777" w:rsidTr="00E0250B">
        <w:trPr>
          <w:cantSplit/>
          <w:trHeight w:val="154"/>
        </w:trPr>
        <w:tc>
          <w:tcPr>
            <w:tcW w:w="2268" w:type="dxa"/>
            <w:vMerge/>
            <w:tcBorders>
              <w:left w:val="single" w:sz="4" w:space="0" w:color="auto"/>
              <w:right w:val="single" w:sz="4" w:space="0" w:color="auto"/>
            </w:tcBorders>
          </w:tcPr>
          <w:p w14:paraId="3DE78A6D" w14:textId="77777777" w:rsidR="00C42229" w:rsidRPr="00F04F82" w:rsidRDefault="00C42229" w:rsidP="00FB5458">
            <w:pPr>
              <w:keepNext/>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76B640BA"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48DE0433" w14:textId="77777777" w:rsidR="00C42229" w:rsidRPr="001775D9" w:rsidRDefault="007225FD"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C</w:t>
            </w:r>
            <w:r w:rsidR="00C85BDD" w:rsidRPr="001775D9">
              <w:rPr>
                <w:color w:val="000000"/>
                <w:szCs w:val="22"/>
                <w:lang w:eastAsia="en-GB"/>
              </w:rPr>
              <w:t xml:space="preserve">holecystitis and cholelithiasis, </w:t>
            </w:r>
          </w:p>
          <w:p w14:paraId="0853F046" w14:textId="77777777" w:rsidR="00C42229" w:rsidRPr="001775D9" w:rsidRDefault="007225FD"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H</w:t>
            </w:r>
            <w:r w:rsidR="00C85BDD" w:rsidRPr="001775D9">
              <w:rPr>
                <w:color w:val="000000"/>
                <w:szCs w:val="22"/>
                <w:lang w:eastAsia="en-GB"/>
              </w:rPr>
              <w:t xml:space="preserve">epatic steatosis, </w:t>
            </w:r>
          </w:p>
          <w:p w14:paraId="17355572" w14:textId="77777777" w:rsidR="00C42229" w:rsidRPr="001775D9" w:rsidRDefault="007225FD"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B</w:t>
            </w:r>
            <w:r w:rsidR="00C85BDD" w:rsidRPr="001775D9">
              <w:rPr>
                <w:color w:val="000000"/>
                <w:szCs w:val="22"/>
                <w:lang w:eastAsia="en-GB"/>
              </w:rPr>
              <w:t xml:space="preserve">ilirubin increased </w:t>
            </w:r>
          </w:p>
        </w:tc>
      </w:tr>
      <w:tr w:rsidR="00C42229" w:rsidRPr="00F04F82" w14:paraId="79DA5F33" w14:textId="77777777" w:rsidTr="00E0250B">
        <w:trPr>
          <w:cantSplit/>
          <w:trHeight w:val="154"/>
        </w:trPr>
        <w:tc>
          <w:tcPr>
            <w:tcW w:w="2268" w:type="dxa"/>
            <w:vMerge/>
            <w:tcBorders>
              <w:left w:val="single" w:sz="4" w:space="0" w:color="auto"/>
              <w:right w:val="single" w:sz="4" w:space="0" w:color="auto"/>
            </w:tcBorders>
          </w:tcPr>
          <w:p w14:paraId="644BA1C2" w14:textId="77777777" w:rsidR="00C42229" w:rsidRPr="00F04F82" w:rsidRDefault="00C42229" w:rsidP="00FB5458">
            <w:pPr>
              <w:keepNext/>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4489711C"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w:t>
            </w:r>
          </w:p>
        </w:tc>
        <w:tc>
          <w:tcPr>
            <w:tcW w:w="5670" w:type="dxa"/>
            <w:tcBorders>
              <w:top w:val="single" w:sz="4" w:space="0" w:color="auto"/>
              <w:left w:val="single" w:sz="4" w:space="0" w:color="auto"/>
              <w:bottom w:val="single" w:sz="4" w:space="0" w:color="auto"/>
              <w:right w:val="single" w:sz="4" w:space="0" w:color="auto"/>
            </w:tcBorders>
          </w:tcPr>
          <w:p w14:paraId="67C50CA5" w14:textId="77777777" w:rsidR="00C42229" w:rsidRPr="001775D9" w:rsidRDefault="007225FD"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H</w:t>
            </w:r>
            <w:r w:rsidR="00C42229" w:rsidRPr="001775D9">
              <w:rPr>
                <w:color w:val="000000"/>
                <w:szCs w:val="22"/>
                <w:lang w:eastAsia="en-GB"/>
              </w:rPr>
              <w:t xml:space="preserve">epatitis, </w:t>
            </w:r>
          </w:p>
          <w:p w14:paraId="0D830F1B" w14:textId="77777777" w:rsidR="00C42229" w:rsidRPr="001775D9" w:rsidRDefault="007225FD"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R</w:t>
            </w:r>
            <w:r w:rsidR="00C85BDD" w:rsidRPr="001775D9">
              <w:rPr>
                <w:color w:val="000000"/>
                <w:szCs w:val="22"/>
                <w:lang w:eastAsia="en-GB"/>
              </w:rPr>
              <w:t xml:space="preserve">eactivation </w:t>
            </w:r>
            <w:r w:rsidR="00C42229" w:rsidRPr="001775D9">
              <w:rPr>
                <w:color w:val="000000"/>
                <w:szCs w:val="22"/>
                <w:lang w:eastAsia="en-GB"/>
              </w:rPr>
              <w:t>of hepatitis B</w:t>
            </w:r>
            <w:r w:rsidR="00C42229" w:rsidRPr="001775D9">
              <w:rPr>
                <w:color w:val="000000"/>
                <w:szCs w:val="22"/>
                <w:vertAlign w:val="superscript"/>
                <w:lang w:eastAsia="en-GB"/>
              </w:rPr>
              <w:t>1)</w:t>
            </w:r>
            <w:r w:rsidR="00C42229" w:rsidRPr="001775D9">
              <w:rPr>
                <w:color w:val="000000"/>
                <w:szCs w:val="22"/>
                <w:lang w:eastAsia="en-GB"/>
              </w:rPr>
              <w:t xml:space="preserve">, </w:t>
            </w:r>
          </w:p>
          <w:p w14:paraId="77E72744" w14:textId="77777777" w:rsidR="00C42229" w:rsidRPr="001775D9" w:rsidRDefault="007225FD"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A</w:t>
            </w:r>
            <w:r w:rsidR="00C85BDD" w:rsidRPr="001775D9">
              <w:rPr>
                <w:color w:val="000000"/>
                <w:szCs w:val="22"/>
                <w:lang w:eastAsia="en-GB"/>
              </w:rPr>
              <w:t xml:space="preserve">utoimmune </w:t>
            </w:r>
            <w:r w:rsidR="00C42229" w:rsidRPr="001775D9">
              <w:rPr>
                <w:color w:val="000000"/>
                <w:szCs w:val="22"/>
                <w:lang w:eastAsia="en-GB"/>
              </w:rPr>
              <w:t>hepatitis</w:t>
            </w:r>
            <w:r w:rsidR="00C42229" w:rsidRPr="001775D9">
              <w:rPr>
                <w:color w:val="000000"/>
                <w:szCs w:val="22"/>
                <w:vertAlign w:val="superscript"/>
                <w:lang w:eastAsia="en-GB"/>
              </w:rPr>
              <w:t>1)</w:t>
            </w:r>
            <w:r w:rsidR="00C42229" w:rsidRPr="001775D9">
              <w:rPr>
                <w:color w:val="000000"/>
                <w:szCs w:val="22"/>
                <w:lang w:eastAsia="en-GB"/>
              </w:rPr>
              <w:t xml:space="preserve"> </w:t>
            </w:r>
          </w:p>
        </w:tc>
      </w:tr>
      <w:tr w:rsidR="00C42229" w:rsidRPr="00F04F82" w14:paraId="3CCB6D6F" w14:textId="77777777" w:rsidTr="00E0250B">
        <w:trPr>
          <w:cantSplit/>
          <w:trHeight w:val="154"/>
        </w:trPr>
        <w:tc>
          <w:tcPr>
            <w:tcW w:w="2268" w:type="dxa"/>
            <w:vMerge/>
            <w:tcBorders>
              <w:left w:val="single" w:sz="4" w:space="0" w:color="auto"/>
              <w:bottom w:val="single" w:sz="4" w:space="0" w:color="auto"/>
              <w:right w:val="single" w:sz="4" w:space="0" w:color="auto"/>
            </w:tcBorders>
          </w:tcPr>
          <w:p w14:paraId="49831F56"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4656112A"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Not known </w:t>
            </w:r>
          </w:p>
        </w:tc>
        <w:tc>
          <w:tcPr>
            <w:tcW w:w="5670" w:type="dxa"/>
            <w:tcBorders>
              <w:top w:val="single" w:sz="4" w:space="0" w:color="auto"/>
              <w:left w:val="single" w:sz="4" w:space="0" w:color="auto"/>
              <w:bottom w:val="single" w:sz="4" w:space="0" w:color="auto"/>
              <w:right w:val="single" w:sz="4" w:space="0" w:color="auto"/>
            </w:tcBorders>
          </w:tcPr>
          <w:p w14:paraId="6EDD59D0"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L</w:t>
            </w:r>
            <w:r w:rsidR="00C85BDD" w:rsidRPr="001775D9">
              <w:rPr>
                <w:color w:val="000000"/>
                <w:szCs w:val="22"/>
                <w:lang w:eastAsia="en-GB"/>
              </w:rPr>
              <w:t>iver failure</w:t>
            </w:r>
            <w:r w:rsidR="00C42229" w:rsidRPr="001775D9">
              <w:rPr>
                <w:color w:val="000000"/>
                <w:szCs w:val="22"/>
                <w:vertAlign w:val="superscript"/>
                <w:lang w:eastAsia="en-GB"/>
              </w:rPr>
              <w:t>1)</w:t>
            </w:r>
            <w:r w:rsidR="00C42229" w:rsidRPr="001775D9">
              <w:rPr>
                <w:color w:val="000000"/>
                <w:szCs w:val="22"/>
                <w:lang w:eastAsia="en-GB"/>
              </w:rPr>
              <w:t xml:space="preserve"> </w:t>
            </w:r>
          </w:p>
        </w:tc>
      </w:tr>
      <w:tr w:rsidR="00C42229" w:rsidRPr="00F04F82" w14:paraId="52FA8DB7" w14:textId="77777777" w:rsidTr="00E0250B">
        <w:trPr>
          <w:cantSplit/>
          <w:trHeight w:val="154"/>
        </w:trPr>
        <w:tc>
          <w:tcPr>
            <w:tcW w:w="2268" w:type="dxa"/>
            <w:vMerge w:val="restart"/>
            <w:tcBorders>
              <w:top w:val="single" w:sz="4" w:space="0" w:color="auto"/>
              <w:left w:val="single" w:sz="4" w:space="0" w:color="auto"/>
              <w:right w:val="single" w:sz="4" w:space="0" w:color="auto"/>
            </w:tcBorders>
          </w:tcPr>
          <w:p w14:paraId="63321250"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Skin and subcutaneous tissue disorders </w:t>
            </w:r>
          </w:p>
        </w:tc>
        <w:tc>
          <w:tcPr>
            <w:tcW w:w="1701" w:type="dxa"/>
            <w:tcBorders>
              <w:top w:val="single" w:sz="4" w:space="0" w:color="auto"/>
              <w:left w:val="single" w:sz="4" w:space="0" w:color="auto"/>
              <w:bottom w:val="single" w:sz="4" w:space="0" w:color="auto"/>
              <w:right w:val="single" w:sz="4" w:space="0" w:color="auto"/>
            </w:tcBorders>
          </w:tcPr>
          <w:p w14:paraId="12F582D9"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w:t>
            </w:r>
            <w:r w:rsidR="004F17DD" w:rsidRPr="001775D9">
              <w:rPr>
                <w:color w:val="000000"/>
                <w:szCs w:val="22"/>
                <w:lang w:eastAsia="en-GB"/>
              </w:rPr>
              <w:t>c</w:t>
            </w:r>
            <w:r w:rsidRPr="001775D9">
              <w:rPr>
                <w:color w:val="000000"/>
                <w:szCs w:val="22"/>
                <w:lang w:eastAsia="en-GB"/>
              </w:rPr>
              <w:t xml:space="preserve">ommon </w:t>
            </w:r>
          </w:p>
        </w:tc>
        <w:tc>
          <w:tcPr>
            <w:tcW w:w="5670" w:type="dxa"/>
            <w:tcBorders>
              <w:top w:val="single" w:sz="4" w:space="0" w:color="auto"/>
              <w:left w:val="single" w:sz="4" w:space="0" w:color="auto"/>
              <w:bottom w:val="single" w:sz="4" w:space="0" w:color="auto"/>
              <w:right w:val="single" w:sz="4" w:space="0" w:color="auto"/>
            </w:tcBorders>
          </w:tcPr>
          <w:p w14:paraId="6FA97501"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R</w:t>
            </w:r>
            <w:r w:rsidR="00C85BDD" w:rsidRPr="001775D9">
              <w:rPr>
                <w:color w:val="000000"/>
                <w:szCs w:val="22"/>
                <w:lang w:eastAsia="en-GB"/>
              </w:rPr>
              <w:t>ash (i</w:t>
            </w:r>
            <w:r w:rsidR="00C42229" w:rsidRPr="001775D9">
              <w:rPr>
                <w:color w:val="000000"/>
                <w:szCs w:val="22"/>
                <w:lang w:eastAsia="en-GB"/>
              </w:rPr>
              <w:t xml:space="preserve">ncluding exfoliative rash) </w:t>
            </w:r>
          </w:p>
        </w:tc>
      </w:tr>
      <w:tr w:rsidR="00C42229" w:rsidRPr="00F04F82" w14:paraId="0F056577" w14:textId="77777777" w:rsidTr="00E0250B">
        <w:trPr>
          <w:cantSplit/>
          <w:trHeight w:val="154"/>
        </w:trPr>
        <w:tc>
          <w:tcPr>
            <w:tcW w:w="2268" w:type="dxa"/>
            <w:vMerge/>
            <w:tcBorders>
              <w:left w:val="single" w:sz="4" w:space="0" w:color="auto"/>
              <w:right w:val="single" w:sz="4" w:space="0" w:color="auto"/>
            </w:tcBorders>
          </w:tcPr>
          <w:p w14:paraId="711B841D"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47A8362F"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1B338769"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W</w:t>
            </w:r>
            <w:r w:rsidR="00C85BDD" w:rsidRPr="001775D9">
              <w:rPr>
                <w:color w:val="000000"/>
                <w:szCs w:val="22"/>
                <w:lang w:eastAsia="en-GB"/>
              </w:rPr>
              <w:t>orsening or new onset of psorias</w:t>
            </w:r>
            <w:r w:rsidR="00DC4942" w:rsidRPr="001775D9">
              <w:rPr>
                <w:color w:val="000000"/>
                <w:szCs w:val="22"/>
                <w:lang w:eastAsia="en-GB"/>
              </w:rPr>
              <w:t>i</w:t>
            </w:r>
            <w:r w:rsidR="00C85BDD" w:rsidRPr="001775D9">
              <w:rPr>
                <w:color w:val="000000"/>
                <w:szCs w:val="22"/>
                <w:lang w:eastAsia="en-GB"/>
              </w:rPr>
              <w:t>s (including palm</w:t>
            </w:r>
            <w:r w:rsidR="000575EC" w:rsidRPr="001775D9">
              <w:rPr>
                <w:color w:val="000000"/>
                <w:szCs w:val="22"/>
                <w:lang w:eastAsia="en-GB"/>
              </w:rPr>
              <w:t>o</w:t>
            </w:r>
            <w:r w:rsidR="00C85BDD" w:rsidRPr="001775D9">
              <w:rPr>
                <w:color w:val="000000"/>
                <w:szCs w:val="22"/>
                <w:lang w:eastAsia="en-GB"/>
              </w:rPr>
              <w:t>plantar pustular psoriasis)</w:t>
            </w:r>
            <w:r w:rsidR="00C42229" w:rsidRPr="001775D9">
              <w:rPr>
                <w:color w:val="000000"/>
                <w:szCs w:val="22"/>
                <w:vertAlign w:val="superscript"/>
                <w:lang w:eastAsia="en-GB"/>
              </w:rPr>
              <w:t>1)</w:t>
            </w:r>
            <w:r w:rsidR="00C42229" w:rsidRPr="001775D9">
              <w:rPr>
                <w:color w:val="000000"/>
                <w:szCs w:val="22"/>
                <w:lang w:eastAsia="en-GB"/>
              </w:rPr>
              <w:t xml:space="preserve">, </w:t>
            </w:r>
          </w:p>
          <w:p w14:paraId="22DE94EC"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U</w:t>
            </w:r>
            <w:r w:rsidR="00C85BDD" w:rsidRPr="001775D9">
              <w:rPr>
                <w:color w:val="000000"/>
                <w:szCs w:val="22"/>
                <w:lang w:eastAsia="en-GB"/>
              </w:rPr>
              <w:t xml:space="preserve">rticaria, </w:t>
            </w:r>
          </w:p>
          <w:p w14:paraId="5003EA0A"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B</w:t>
            </w:r>
            <w:r w:rsidR="00C85BDD" w:rsidRPr="001775D9">
              <w:rPr>
                <w:color w:val="000000"/>
                <w:szCs w:val="22"/>
                <w:lang w:eastAsia="en-GB"/>
              </w:rPr>
              <w:t xml:space="preserve">ruising (including purpura), </w:t>
            </w:r>
          </w:p>
          <w:p w14:paraId="41366656"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D</w:t>
            </w:r>
            <w:r w:rsidR="00C85BDD" w:rsidRPr="001775D9">
              <w:rPr>
                <w:color w:val="000000"/>
                <w:szCs w:val="22"/>
                <w:lang w:eastAsia="en-GB"/>
              </w:rPr>
              <w:t xml:space="preserve">ermatitis (including eczema), </w:t>
            </w:r>
          </w:p>
          <w:p w14:paraId="5F00CFE0"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O</w:t>
            </w:r>
            <w:r w:rsidR="00C85BDD" w:rsidRPr="001775D9">
              <w:rPr>
                <w:color w:val="000000"/>
                <w:szCs w:val="22"/>
                <w:lang w:eastAsia="en-GB"/>
              </w:rPr>
              <w:t xml:space="preserve">nychoclasis, </w:t>
            </w:r>
          </w:p>
          <w:p w14:paraId="3D33AE06"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H</w:t>
            </w:r>
            <w:r w:rsidR="00C85BDD" w:rsidRPr="001775D9">
              <w:rPr>
                <w:color w:val="000000"/>
                <w:szCs w:val="22"/>
                <w:lang w:eastAsia="en-GB"/>
              </w:rPr>
              <w:t>yperh</w:t>
            </w:r>
            <w:r w:rsidR="000575EC" w:rsidRPr="001775D9">
              <w:rPr>
                <w:color w:val="000000"/>
                <w:szCs w:val="22"/>
                <w:lang w:eastAsia="en-GB"/>
              </w:rPr>
              <w:t>i</w:t>
            </w:r>
            <w:r w:rsidR="00C85BDD" w:rsidRPr="001775D9">
              <w:rPr>
                <w:color w:val="000000"/>
                <w:szCs w:val="22"/>
                <w:lang w:eastAsia="en-GB"/>
              </w:rPr>
              <w:t xml:space="preserve">drosis, </w:t>
            </w:r>
          </w:p>
          <w:p w14:paraId="02A7FA5E"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w:t>
            </w:r>
            <w:r w:rsidR="00C85BDD" w:rsidRPr="001775D9">
              <w:rPr>
                <w:color w:val="000000"/>
                <w:szCs w:val="22"/>
                <w:lang w:eastAsia="en-GB"/>
              </w:rPr>
              <w:t>lopecia</w:t>
            </w:r>
            <w:r w:rsidR="00C42229" w:rsidRPr="001775D9">
              <w:rPr>
                <w:color w:val="000000"/>
                <w:szCs w:val="22"/>
                <w:vertAlign w:val="superscript"/>
                <w:lang w:eastAsia="en-GB"/>
              </w:rPr>
              <w:t>1)</w:t>
            </w:r>
            <w:r w:rsidR="00C42229" w:rsidRPr="001775D9">
              <w:rPr>
                <w:color w:val="000000"/>
                <w:szCs w:val="22"/>
                <w:lang w:eastAsia="en-GB"/>
              </w:rPr>
              <w:t xml:space="preserve">, </w:t>
            </w:r>
          </w:p>
          <w:p w14:paraId="013CA7FE"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w:t>
            </w:r>
            <w:r w:rsidR="00C85BDD" w:rsidRPr="001775D9">
              <w:rPr>
                <w:color w:val="000000"/>
                <w:szCs w:val="22"/>
                <w:lang w:eastAsia="en-GB"/>
              </w:rPr>
              <w:t>ruritus</w:t>
            </w:r>
          </w:p>
        </w:tc>
      </w:tr>
      <w:tr w:rsidR="00C42229" w:rsidRPr="00F04F82" w14:paraId="43AC958A" w14:textId="77777777" w:rsidTr="00E0250B">
        <w:trPr>
          <w:cantSplit/>
          <w:trHeight w:val="154"/>
        </w:trPr>
        <w:tc>
          <w:tcPr>
            <w:tcW w:w="2268" w:type="dxa"/>
            <w:vMerge/>
            <w:tcBorders>
              <w:left w:val="single" w:sz="4" w:space="0" w:color="auto"/>
              <w:right w:val="single" w:sz="4" w:space="0" w:color="auto"/>
            </w:tcBorders>
          </w:tcPr>
          <w:p w14:paraId="5D123474"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1E7335FE"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44EB13E2"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N</w:t>
            </w:r>
            <w:r w:rsidR="00C85BDD" w:rsidRPr="001775D9">
              <w:rPr>
                <w:color w:val="000000"/>
                <w:szCs w:val="22"/>
                <w:lang w:eastAsia="en-GB"/>
              </w:rPr>
              <w:t xml:space="preserve">ight sweats, </w:t>
            </w:r>
          </w:p>
          <w:p w14:paraId="0966B14D"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S</w:t>
            </w:r>
            <w:r w:rsidR="00C85BDD" w:rsidRPr="001775D9">
              <w:rPr>
                <w:color w:val="000000"/>
                <w:szCs w:val="22"/>
                <w:lang w:eastAsia="en-GB"/>
              </w:rPr>
              <w:t xml:space="preserve">car </w:t>
            </w:r>
          </w:p>
        </w:tc>
      </w:tr>
      <w:tr w:rsidR="00C42229" w:rsidRPr="00F04F82" w14:paraId="139B8C9D" w14:textId="77777777" w:rsidTr="00E0250B">
        <w:trPr>
          <w:cantSplit/>
          <w:trHeight w:val="154"/>
        </w:trPr>
        <w:tc>
          <w:tcPr>
            <w:tcW w:w="2268" w:type="dxa"/>
            <w:vMerge/>
            <w:tcBorders>
              <w:left w:val="single" w:sz="4" w:space="0" w:color="auto"/>
              <w:right w:val="single" w:sz="4" w:space="0" w:color="auto"/>
            </w:tcBorders>
          </w:tcPr>
          <w:p w14:paraId="4EF19C4F"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26065FFD"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w:t>
            </w:r>
          </w:p>
        </w:tc>
        <w:tc>
          <w:tcPr>
            <w:tcW w:w="5670" w:type="dxa"/>
            <w:tcBorders>
              <w:top w:val="single" w:sz="4" w:space="0" w:color="auto"/>
              <w:left w:val="single" w:sz="4" w:space="0" w:color="auto"/>
              <w:bottom w:val="single" w:sz="4" w:space="0" w:color="auto"/>
              <w:right w:val="single" w:sz="4" w:space="0" w:color="auto"/>
            </w:tcBorders>
          </w:tcPr>
          <w:p w14:paraId="5D9D25DB" w14:textId="77777777" w:rsidR="00C42229" w:rsidRPr="004C2EC3" w:rsidRDefault="007225FD" w:rsidP="00FB5458">
            <w:pPr>
              <w:tabs>
                <w:tab w:val="clear" w:pos="567"/>
              </w:tabs>
              <w:autoSpaceDE w:val="0"/>
              <w:autoSpaceDN w:val="0"/>
              <w:adjustRightInd w:val="0"/>
              <w:spacing w:line="240" w:lineRule="auto"/>
              <w:rPr>
                <w:color w:val="000000"/>
                <w:szCs w:val="22"/>
                <w:lang w:val="fr-FR" w:eastAsia="en-GB"/>
              </w:rPr>
            </w:pPr>
            <w:r w:rsidRPr="004C2EC3">
              <w:rPr>
                <w:color w:val="000000"/>
                <w:szCs w:val="22"/>
                <w:lang w:val="fr-FR" w:eastAsia="en-GB"/>
              </w:rPr>
              <w:t>E</w:t>
            </w:r>
            <w:r w:rsidR="00C85BDD" w:rsidRPr="004C2EC3">
              <w:rPr>
                <w:color w:val="000000"/>
                <w:szCs w:val="22"/>
                <w:lang w:val="fr-FR" w:eastAsia="en-GB"/>
              </w:rPr>
              <w:t>rythema multiforme</w:t>
            </w:r>
            <w:r w:rsidR="00C42229" w:rsidRPr="004C2EC3">
              <w:rPr>
                <w:color w:val="000000"/>
                <w:szCs w:val="22"/>
                <w:vertAlign w:val="superscript"/>
                <w:lang w:val="fr-FR" w:eastAsia="en-GB"/>
              </w:rPr>
              <w:t>1)</w:t>
            </w:r>
            <w:r w:rsidR="00C42229" w:rsidRPr="004C2EC3">
              <w:rPr>
                <w:color w:val="000000"/>
                <w:szCs w:val="22"/>
                <w:lang w:val="fr-FR" w:eastAsia="en-GB"/>
              </w:rPr>
              <w:t xml:space="preserve">, </w:t>
            </w:r>
          </w:p>
          <w:p w14:paraId="70C21E31" w14:textId="77777777" w:rsidR="00C42229" w:rsidRPr="004C2EC3" w:rsidRDefault="007225FD" w:rsidP="00FB5458">
            <w:pPr>
              <w:tabs>
                <w:tab w:val="clear" w:pos="567"/>
              </w:tabs>
              <w:autoSpaceDE w:val="0"/>
              <w:autoSpaceDN w:val="0"/>
              <w:adjustRightInd w:val="0"/>
              <w:spacing w:line="240" w:lineRule="auto"/>
              <w:rPr>
                <w:color w:val="000000"/>
                <w:szCs w:val="22"/>
                <w:lang w:val="fr-FR" w:eastAsia="en-GB"/>
              </w:rPr>
            </w:pPr>
            <w:r w:rsidRPr="004C2EC3">
              <w:rPr>
                <w:color w:val="000000"/>
                <w:szCs w:val="22"/>
                <w:lang w:val="fr-FR" w:eastAsia="en-GB"/>
              </w:rPr>
              <w:t>S</w:t>
            </w:r>
            <w:r w:rsidR="00C85BDD" w:rsidRPr="004C2EC3">
              <w:rPr>
                <w:color w:val="000000"/>
                <w:szCs w:val="22"/>
                <w:lang w:val="fr-FR" w:eastAsia="en-GB"/>
              </w:rPr>
              <w:t>tev</w:t>
            </w:r>
            <w:r w:rsidR="00DC4942" w:rsidRPr="004C2EC3">
              <w:rPr>
                <w:color w:val="000000"/>
                <w:szCs w:val="22"/>
                <w:lang w:val="fr-FR" w:eastAsia="en-GB"/>
              </w:rPr>
              <w:t>ens-J</w:t>
            </w:r>
            <w:r w:rsidR="00C85BDD" w:rsidRPr="004C2EC3">
              <w:rPr>
                <w:color w:val="000000"/>
                <w:szCs w:val="22"/>
                <w:lang w:val="fr-FR" w:eastAsia="en-GB"/>
              </w:rPr>
              <w:t>ohnson syndrome</w:t>
            </w:r>
            <w:r w:rsidR="00C42229" w:rsidRPr="004C2EC3">
              <w:rPr>
                <w:color w:val="000000"/>
                <w:szCs w:val="22"/>
                <w:vertAlign w:val="superscript"/>
                <w:lang w:val="fr-FR" w:eastAsia="en-GB"/>
              </w:rPr>
              <w:t>1)</w:t>
            </w:r>
            <w:r w:rsidR="00C42229" w:rsidRPr="004C2EC3">
              <w:rPr>
                <w:color w:val="000000"/>
                <w:szCs w:val="22"/>
                <w:lang w:val="fr-FR" w:eastAsia="en-GB"/>
              </w:rPr>
              <w:t xml:space="preserve">, </w:t>
            </w:r>
          </w:p>
          <w:p w14:paraId="620D439F" w14:textId="77777777" w:rsidR="00C42229" w:rsidRPr="00D55B59" w:rsidRDefault="007225FD" w:rsidP="00FB5458">
            <w:pPr>
              <w:tabs>
                <w:tab w:val="clear" w:pos="567"/>
              </w:tabs>
              <w:autoSpaceDE w:val="0"/>
              <w:autoSpaceDN w:val="0"/>
              <w:adjustRightInd w:val="0"/>
              <w:spacing w:line="240" w:lineRule="auto"/>
              <w:rPr>
                <w:color w:val="000000"/>
                <w:szCs w:val="22"/>
                <w:lang w:eastAsia="en-GB"/>
                <w:rPrChange w:id="544" w:author="Author">
                  <w:rPr>
                    <w:color w:val="000000"/>
                    <w:szCs w:val="22"/>
                    <w:lang w:val="fr-CH" w:eastAsia="en-GB"/>
                  </w:rPr>
                </w:rPrChange>
              </w:rPr>
            </w:pPr>
            <w:r w:rsidRPr="00D55B59">
              <w:rPr>
                <w:color w:val="000000"/>
                <w:szCs w:val="22"/>
                <w:lang w:eastAsia="en-GB"/>
                <w:rPrChange w:id="545" w:author="Author">
                  <w:rPr>
                    <w:color w:val="000000"/>
                    <w:szCs w:val="22"/>
                    <w:lang w:val="fr-CH" w:eastAsia="en-GB"/>
                  </w:rPr>
                </w:rPrChange>
              </w:rPr>
              <w:t>A</w:t>
            </w:r>
            <w:r w:rsidR="00C85BDD" w:rsidRPr="00D55B59">
              <w:rPr>
                <w:color w:val="000000"/>
                <w:szCs w:val="22"/>
                <w:lang w:eastAsia="en-GB"/>
                <w:rPrChange w:id="546" w:author="Author">
                  <w:rPr>
                    <w:color w:val="000000"/>
                    <w:szCs w:val="22"/>
                    <w:lang w:val="fr-CH" w:eastAsia="en-GB"/>
                  </w:rPr>
                </w:rPrChange>
              </w:rPr>
              <w:t>ngioedema</w:t>
            </w:r>
            <w:r w:rsidR="00C42229" w:rsidRPr="00D55B59">
              <w:rPr>
                <w:color w:val="000000"/>
                <w:szCs w:val="22"/>
                <w:vertAlign w:val="superscript"/>
                <w:lang w:eastAsia="en-GB"/>
                <w:rPrChange w:id="547" w:author="Author">
                  <w:rPr>
                    <w:color w:val="000000"/>
                    <w:szCs w:val="22"/>
                    <w:vertAlign w:val="superscript"/>
                    <w:lang w:val="fr-CH" w:eastAsia="en-GB"/>
                  </w:rPr>
                </w:rPrChange>
              </w:rPr>
              <w:t>1)</w:t>
            </w:r>
            <w:r w:rsidR="00C42229" w:rsidRPr="00D55B59">
              <w:rPr>
                <w:color w:val="000000"/>
                <w:szCs w:val="22"/>
                <w:lang w:eastAsia="en-GB"/>
                <w:rPrChange w:id="548" w:author="Author">
                  <w:rPr>
                    <w:color w:val="000000"/>
                    <w:szCs w:val="22"/>
                    <w:lang w:val="fr-CH" w:eastAsia="en-GB"/>
                  </w:rPr>
                </w:rPrChange>
              </w:rPr>
              <w:t xml:space="preserve">, </w:t>
            </w:r>
          </w:p>
          <w:p w14:paraId="31E8147D" w14:textId="718FE85E" w:rsidR="00C42229" w:rsidRPr="00D55B59" w:rsidRDefault="007225FD" w:rsidP="00FB5458">
            <w:pPr>
              <w:tabs>
                <w:tab w:val="clear" w:pos="567"/>
              </w:tabs>
              <w:autoSpaceDE w:val="0"/>
              <w:autoSpaceDN w:val="0"/>
              <w:adjustRightInd w:val="0"/>
              <w:spacing w:line="240" w:lineRule="auto"/>
              <w:rPr>
                <w:color w:val="000000"/>
                <w:szCs w:val="22"/>
                <w:lang w:eastAsia="en-GB"/>
                <w:rPrChange w:id="549" w:author="Author">
                  <w:rPr>
                    <w:color w:val="000000"/>
                    <w:szCs w:val="22"/>
                    <w:lang w:val="fr-CH" w:eastAsia="en-GB"/>
                  </w:rPr>
                </w:rPrChange>
              </w:rPr>
            </w:pPr>
            <w:r w:rsidRPr="00D55B59">
              <w:rPr>
                <w:color w:val="000000"/>
                <w:szCs w:val="22"/>
                <w:lang w:eastAsia="en-GB"/>
                <w:rPrChange w:id="550" w:author="Author">
                  <w:rPr>
                    <w:color w:val="000000"/>
                    <w:szCs w:val="22"/>
                    <w:lang w:val="fr-CH" w:eastAsia="en-GB"/>
                  </w:rPr>
                </w:rPrChange>
              </w:rPr>
              <w:t>C</w:t>
            </w:r>
            <w:r w:rsidR="00C85BDD" w:rsidRPr="00D55B59">
              <w:rPr>
                <w:color w:val="000000"/>
                <w:szCs w:val="22"/>
                <w:lang w:eastAsia="en-GB"/>
                <w:rPrChange w:id="551" w:author="Author">
                  <w:rPr>
                    <w:color w:val="000000"/>
                    <w:szCs w:val="22"/>
                    <w:lang w:val="fr-CH" w:eastAsia="en-GB"/>
                  </w:rPr>
                </w:rPrChange>
              </w:rPr>
              <w:t>utaneous vasculitis</w:t>
            </w:r>
            <w:r w:rsidR="00C42229" w:rsidRPr="00D55B59">
              <w:rPr>
                <w:color w:val="000000"/>
                <w:szCs w:val="22"/>
                <w:vertAlign w:val="superscript"/>
                <w:lang w:eastAsia="en-GB"/>
                <w:rPrChange w:id="552" w:author="Author">
                  <w:rPr>
                    <w:color w:val="000000"/>
                    <w:szCs w:val="22"/>
                    <w:vertAlign w:val="superscript"/>
                    <w:lang w:val="fr-CH" w:eastAsia="en-GB"/>
                  </w:rPr>
                </w:rPrChange>
              </w:rPr>
              <w:t>1)</w:t>
            </w:r>
          </w:p>
          <w:p w14:paraId="2F66BE34" w14:textId="77777777" w:rsidR="00F62574" w:rsidRPr="00D55B59" w:rsidRDefault="00F62574" w:rsidP="00FB5458">
            <w:pPr>
              <w:tabs>
                <w:tab w:val="clear" w:pos="567"/>
              </w:tabs>
              <w:autoSpaceDE w:val="0"/>
              <w:autoSpaceDN w:val="0"/>
              <w:adjustRightInd w:val="0"/>
              <w:spacing w:line="240" w:lineRule="auto"/>
              <w:rPr>
                <w:color w:val="000000"/>
                <w:szCs w:val="22"/>
                <w:lang w:eastAsia="en-GB"/>
                <w:rPrChange w:id="553" w:author="Author">
                  <w:rPr>
                    <w:color w:val="000000"/>
                    <w:szCs w:val="22"/>
                    <w:lang w:val="fr-CH" w:eastAsia="en-GB"/>
                  </w:rPr>
                </w:rPrChange>
              </w:rPr>
            </w:pPr>
            <w:r w:rsidRPr="00D55B59">
              <w:rPr>
                <w:color w:val="000000"/>
                <w:szCs w:val="22"/>
                <w:lang w:eastAsia="en-GB"/>
                <w:rPrChange w:id="554" w:author="Author">
                  <w:rPr>
                    <w:color w:val="000000"/>
                    <w:szCs w:val="22"/>
                    <w:lang w:val="fr-CH" w:eastAsia="en-GB"/>
                  </w:rPr>
                </w:rPrChange>
              </w:rPr>
              <w:t>Lichenoid skin reaction</w:t>
            </w:r>
            <w:r w:rsidRPr="00D55B59">
              <w:rPr>
                <w:color w:val="000000"/>
                <w:szCs w:val="22"/>
                <w:vertAlign w:val="superscript"/>
                <w:lang w:eastAsia="en-GB"/>
                <w:rPrChange w:id="555" w:author="Author">
                  <w:rPr>
                    <w:color w:val="000000"/>
                    <w:szCs w:val="22"/>
                    <w:vertAlign w:val="superscript"/>
                    <w:lang w:val="fr-CH" w:eastAsia="en-GB"/>
                  </w:rPr>
                </w:rPrChange>
              </w:rPr>
              <w:t>1)</w:t>
            </w:r>
          </w:p>
        </w:tc>
      </w:tr>
      <w:tr w:rsidR="00C42229" w:rsidRPr="00F04F82" w14:paraId="1869BC08" w14:textId="77777777" w:rsidTr="00E0250B">
        <w:trPr>
          <w:cantSplit/>
          <w:trHeight w:val="154"/>
        </w:trPr>
        <w:tc>
          <w:tcPr>
            <w:tcW w:w="2268" w:type="dxa"/>
            <w:vMerge/>
            <w:tcBorders>
              <w:left w:val="single" w:sz="4" w:space="0" w:color="auto"/>
              <w:right w:val="single" w:sz="4" w:space="0" w:color="auto"/>
            </w:tcBorders>
          </w:tcPr>
          <w:p w14:paraId="516E0D98" w14:textId="77777777" w:rsidR="00C42229" w:rsidRPr="00D55B59" w:rsidRDefault="00C42229" w:rsidP="00FB5458">
            <w:pPr>
              <w:tabs>
                <w:tab w:val="clear" w:pos="567"/>
              </w:tabs>
              <w:autoSpaceDE w:val="0"/>
              <w:autoSpaceDN w:val="0"/>
              <w:adjustRightInd w:val="0"/>
              <w:spacing w:line="240" w:lineRule="auto"/>
              <w:rPr>
                <w:color w:val="000000"/>
                <w:szCs w:val="22"/>
                <w:lang w:eastAsia="en-GB"/>
                <w:rPrChange w:id="556" w:author="Author">
                  <w:rPr>
                    <w:color w:val="000000"/>
                    <w:szCs w:val="22"/>
                    <w:lang w:val="fr-CH" w:eastAsia="en-GB"/>
                  </w:rPr>
                </w:rPrChange>
              </w:rPr>
            </w:pPr>
          </w:p>
        </w:tc>
        <w:tc>
          <w:tcPr>
            <w:tcW w:w="1701" w:type="dxa"/>
            <w:tcBorders>
              <w:top w:val="single" w:sz="4" w:space="0" w:color="auto"/>
              <w:left w:val="single" w:sz="4" w:space="0" w:color="auto"/>
              <w:bottom w:val="single" w:sz="4" w:space="0" w:color="auto"/>
              <w:right w:val="single" w:sz="4" w:space="0" w:color="auto"/>
            </w:tcBorders>
          </w:tcPr>
          <w:p w14:paraId="060C60A8"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Not known </w:t>
            </w:r>
          </w:p>
        </w:tc>
        <w:tc>
          <w:tcPr>
            <w:tcW w:w="5670" w:type="dxa"/>
            <w:tcBorders>
              <w:top w:val="single" w:sz="4" w:space="0" w:color="auto"/>
              <w:left w:val="single" w:sz="4" w:space="0" w:color="auto"/>
              <w:bottom w:val="single" w:sz="4" w:space="0" w:color="auto"/>
              <w:right w:val="single" w:sz="4" w:space="0" w:color="auto"/>
            </w:tcBorders>
          </w:tcPr>
          <w:p w14:paraId="23E4B7BE"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W</w:t>
            </w:r>
            <w:r w:rsidR="00C85BDD" w:rsidRPr="001775D9">
              <w:rPr>
                <w:color w:val="000000"/>
                <w:szCs w:val="22"/>
                <w:lang w:eastAsia="en-GB"/>
              </w:rPr>
              <w:t>orsening of symptoms of dermatomyositis</w:t>
            </w:r>
            <w:r w:rsidR="00C42229" w:rsidRPr="001775D9">
              <w:rPr>
                <w:color w:val="000000"/>
                <w:szCs w:val="22"/>
                <w:vertAlign w:val="superscript"/>
                <w:lang w:eastAsia="en-GB"/>
              </w:rPr>
              <w:t>1)</w:t>
            </w:r>
            <w:r w:rsidR="00C42229" w:rsidRPr="001775D9">
              <w:rPr>
                <w:color w:val="000000"/>
                <w:szCs w:val="22"/>
                <w:lang w:eastAsia="en-GB"/>
              </w:rPr>
              <w:t xml:space="preserve"> </w:t>
            </w:r>
          </w:p>
        </w:tc>
      </w:tr>
      <w:tr w:rsidR="00C42229" w:rsidRPr="00F04F82" w14:paraId="5921114D" w14:textId="77777777" w:rsidTr="00E0250B">
        <w:trPr>
          <w:cantSplit/>
          <w:trHeight w:val="154"/>
        </w:trPr>
        <w:tc>
          <w:tcPr>
            <w:tcW w:w="2268" w:type="dxa"/>
            <w:vMerge w:val="restart"/>
            <w:tcBorders>
              <w:left w:val="single" w:sz="4" w:space="0" w:color="auto"/>
              <w:right w:val="single" w:sz="4" w:space="0" w:color="auto"/>
            </w:tcBorders>
          </w:tcPr>
          <w:p w14:paraId="2B5F47BD" w14:textId="77777777" w:rsidR="00C42229" w:rsidRPr="001775D9" w:rsidRDefault="00C42229" w:rsidP="00FD31FB">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Musculoskeletal and connective tissue disorders </w:t>
            </w:r>
          </w:p>
        </w:tc>
        <w:tc>
          <w:tcPr>
            <w:tcW w:w="1701" w:type="dxa"/>
            <w:tcBorders>
              <w:top w:val="single" w:sz="4" w:space="0" w:color="auto"/>
              <w:left w:val="single" w:sz="4" w:space="0" w:color="auto"/>
              <w:bottom w:val="single" w:sz="4" w:space="0" w:color="auto"/>
              <w:right w:val="single" w:sz="4" w:space="0" w:color="auto"/>
            </w:tcBorders>
          </w:tcPr>
          <w:p w14:paraId="014FE66B" w14:textId="77777777" w:rsidR="00C42229" w:rsidRPr="001775D9" w:rsidRDefault="00C42229" w:rsidP="00FD31FB">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common </w:t>
            </w:r>
          </w:p>
        </w:tc>
        <w:tc>
          <w:tcPr>
            <w:tcW w:w="5670" w:type="dxa"/>
            <w:tcBorders>
              <w:top w:val="single" w:sz="4" w:space="0" w:color="auto"/>
              <w:left w:val="single" w:sz="4" w:space="0" w:color="auto"/>
              <w:bottom w:val="single" w:sz="4" w:space="0" w:color="auto"/>
              <w:right w:val="single" w:sz="4" w:space="0" w:color="auto"/>
            </w:tcBorders>
          </w:tcPr>
          <w:p w14:paraId="714758A8" w14:textId="77777777" w:rsidR="00C42229" w:rsidRPr="001775D9" w:rsidRDefault="007225FD" w:rsidP="00FD31FB">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M</w:t>
            </w:r>
            <w:r w:rsidR="00C85BDD" w:rsidRPr="001775D9">
              <w:rPr>
                <w:color w:val="000000"/>
                <w:szCs w:val="22"/>
                <w:lang w:eastAsia="en-GB"/>
              </w:rPr>
              <w:t>usculos</w:t>
            </w:r>
            <w:r w:rsidR="00C42229" w:rsidRPr="001775D9">
              <w:rPr>
                <w:color w:val="000000"/>
                <w:szCs w:val="22"/>
                <w:lang w:eastAsia="en-GB"/>
              </w:rPr>
              <w:t xml:space="preserve">keletal pain </w:t>
            </w:r>
          </w:p>
        </w:tc>
      </w:tr>
      <w:tr w:rsidR="00C42229" w:rsidRPr="00F04F82" w14:paraId="3BF39FF5" w14:textId="77777777" w:rsidTr="00E0250B">
        <w:trPr>
          <w:cantSplit/>
          <w:trHeight w:val="154"/>
        </w:trPr>
        <w:tc>
          <w:tcPr>
            <w:tcW w:w="2268" w:type="dxa"/>
            <w:vMerge/>
            <w:tcBorders>
              <w:left w:val="single" w:sz="4" w:space="0" w:color="auto"/>
              <w:right w:val="single" w:sz="4" w:space="0" w:color="auto"/>
            </w:tcBorders>
          </w:tcPr>
          <w:p w14:paraId="64A1AE7B" w14:textId="77777777" w:rsidR="00C42229" w:rsidRPr="00F04F82" w:rsidRDefault="00C42229" w:rsidP="00FD31FB">
            <w:pPr>
              <w:keepNext/>
              <w:keepLines/>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29AF9A06" w14:textId="77777777" w:rsidR="00C42229" w:rsidRPr="001775D9" w:rsidRDefault="00C42229" w:rsidP="00FD31FB">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50B49CE3" w14:textId="77777777" w:rsidR="00C42229" w:rsidRPr="001775D9" w:rsidRDefault="007225FD" w:rsidP="00FD31FB">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M</w:t>
            </w:r>
            <w:r w:rsidR="00C85BDD" w:rsidRPr="001775D9">
              <w:rPr>
                <w:color w:val="000000"/>
                <w:szCs w:val="22"/>
                <w:lang w:eastAsia="en-GB"/>
              </w:rPr>
              <w:t xml:space="preserve">uscle spasms (including blood creatine phosphokinase increased) </w:t>
            </w:r>
          </w:p>
        </w:tc>
      </w:tr>
      <w:tr w:rsidR="00C42229" w:rsidRPr="00F04F82" w14:paraId="41D9CF2D" w14:textId="77777777" w:rsidTr="00E0250B">
        <w:trPr>
          <w:cantSplit/>
          <w:trHeight w:val="154"/>
        </w:trPr>
        <w:tc>
          <w:tcPr>
            <w:tcW w:w="2268" w:type="dxa"/>
            <w:vMerge/>
            <w:tcBorders>
              <w:left w:val="single" w:sz="4" w:space="0" w:color="auto"/>
              <w:right w:val="single" w:sz="4" w:space="0" w:color="auto"/>
            </w:tcBorders>
          </w:tcPr>
          <w:p w14:paraId="0C4C5EA3"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68D74484"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256C69BA"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R</w:t>
            </w:r>
            <w:r w:rsidR="00C85BDD" w:rsidRPr="001775D9">
              <w:rPr>
                <w:color w:val="000000"/>
                <w:szCs w:val="22"/>
                <w:lang w:eastAsia="en-GB"/>
              </w:rPr>
              <w:t xml:space="preserve">habdomyolysis, </w:t>
            </w:r>
          </w:p>
          <w:p w14:paraId="4B20BC04"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S</w:t>
            </w:r>
            <w:r w:rsidR="00C85BDD" w:rsidRPr="001775D9">
              <w:rPr>
                <w:color w:val="000000"/>
                <w:szCs w:val="22"/>
                <w:lang w:eastAsia="en-GB"/>
              </w:rPr>
              <w:t xml:space="preserve">ystemic lupus erythematosus </w:t>
            </w:r>
          </w:p>
        </w:tc>
      </w:tr>
      <w:tr w:rsidR="00C42229" w:rsidRPr="00F04F82" w14:paraId="13230229" w14:textId="77777777" w:rsidTr="00E0250B">
        <w:trPr>
          <w:cantSplit/>
          <w:trHeight w:val="154"/>
        </w:trPr>
        <w:tc>
          <w:tcPr>
            <w:tcW w:w="2268" w:type="dxa"/>
            <w:vMerge/>
            <w:tcBorders>
              <w:left w:val="single" w:sz="4" w:space="0" w:color="auto"/>
              <w:right w:val="single" w:sz="4" w:space="0" w:color="auto"/>
            </w:tcBorders>
          </w:tcPr>
          <w:p w14:paraId="5BEDD680"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4E4ACE95"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w:t>
            </w:r>
          </w:p>
        </w:tc>
        <w:tc>
          <w:tcPr>
            <w:tcW w:w="5670" w:type="dxa"/>
            <w:tcBorders>
              <w:top w:val="single" w:sz="4" w:space="0" w:color="auto"/>
              <w:left w:val="single" w:sz="4" w:space="0" w:color="auto"/>
              <w:bottom w:val="single" w:sz="4" w:space="0" w:color="auto"/>
              <w:right w:val="single" w:sz="4" w:space="0" w:color="auto"/>
            </w:tcBorders>
          </w:tcPr>
          <w:p w14:paraId="26E3FB0E"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L</w:t>
            </w:r>
            <w:r w:rsidR="00C85BDD" w:rsidRPr="001775D9">
              <w:rPr>
                <w:color w:val="000000"/>
                <w:szCs w:val="22"/>
                <w:lang w:eastAsia="en-GB"/>
              </w:rPr>
              <w:t>upus-like syndrome</w:t>
            </w:r>
            <w:r w:rsidR="00C42229" w:rsidRPr="001775D9">
              <w:rPr>
                <w:color w:val="000000"/>
                <w:szCs w:val="22"/>
                <w:vertAlign w:val="superscript"/>
                <w:lang w:eastAsia="en-GB"/>
              </w:rPr>
              <w:t>1)</w:t>
            </w:r>
            <w:r w:rsidR="00C42229" w:rsidRPr="001775D9">
              <w:rPr>
                <w:color w:val="000000"/>
                <w:szCs w:val="22"/>
                <w:lang w:eastAsia="en-GB"/>
              </w:rPr>
              <w:t xml:space="preserve"> </w:t>
            </w:r>
          </w:p>
        </w:tc>
      </w:tr>
      <w:tr w:rsidR="00C42229" w:rsidRPr="00F04F82" w14:paraId="34839916" w14:textId="77777777" w:rsidTr="00E0250B">
        <w:trPr>
          <w:cantSplit/>
          <w:trHeight w:val="154"/>
        </w:trPr>
        <w:tc>
          <w:tcPr>
            <w:tcW w:w="2268" w:type="dxa"/>
            <w:vMerge w:val="restart"/>
            <w:tcBorders>
              <w:left w:val="single" w:sz="4" w:space="0" w:color="auto"/>
              <w:right w:val="single" w:sz="4" w:space="0" w:color="auto"/>
            </w:tcBorders>
          </w:tcPr>
          <w:p w14:paraId="4116899B"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Renal and urinary disorders </w:t>
            </w:r>
          </w:p>
        </w:tc>
        <w:tc>
          <w:tcPr>
            <w:tcW w:w="1701" w:type="dxa"/>
            <w:tcBorders>
              <w:top w:val="single" w:sz="4" w:space="0" w:color="auto"/>
              <w:left w:val="single" w:sz="4" w:space="0" w:color="auto"/>
              <w:bottom w:val="single" w:sz="4" w:space="0" w:color="auto"/>
              <w:right w:val="single" w:sz="4" w:space="0" w:color="auto"/>
            </w:tcBorders>
          </w:tcPr>
          <w:p w14:paraId="18A9C751"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44503742"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R</w:t>
            </w:r>
            <w:r w:rsidR="00C85BDD" w:rsidRPr="001775D9">
              <w:rPr>
                <w:color w:val="000000"/>
                <w:szCs w:val="22"/>
                <w:lang w:eastAsia="en-GB"/>
              </w:rPr>
              <w:t xml:space="preserve">enal impairment, </w:t>
            </w:r>
          </w:p>
          <w:p w14:paraId="5464A7BB"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H</w:t>
            </w:r>
            <w:r w:rsidR="00C85BDD" w:rsidRPr="001775D9">
              <w:rPr>
                <w:color w:val="000000"/>
                <w:szCs w:val="22"/>
                <w:lang w:eastAsia="en-GB"/>
              </w:rPr>
              <w:t xml:space="preserve">aematuria </w:t>
            </w:r>
          </w:p>
        </w:tc>
      </w:tr>
      <w:tr w:rsidR="00C42229" w:rsidRPr="00F04F82" w14:paraId="2A4EF3D3" w14:textId="77777777" w:rsidTr="00E0250B">
        <w:trPr>
          <w:cantSplit/>
          <w:trHeight w:val="154"/>
        </w:trPr>
        <w:tc>
          <w:tcPr>
            <w:tcW w:w="2268" w:type="dxa"/>
            <w:vMerge/>
            <w:tcBorders>
              <w:left w:val="single" w:sz="4" w:space="0" w:color="auto"/>
              <w:right w:val="single" w:sz="4" w:space="0" w:color="auto"/>
            </w:tcBorders>
          </w:tcPr>
          <w:p w14:paraId="3794A6E7"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5CD3B173"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404B7832"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N</w:t>
            </w:r>
            <w:r w:rsidR="00C85BDD" w:rsidRPr="001775D9">
              <w:rPr>
                <w:color w:val="000000"/>
                <w:szCs w:val="22"/>
                <w:lang w:eastAsia="en-GB"/>
              </w:rPr>
              <w:t xml:space="preserve">octuria </w:t>
            </w:r>
          </w:p>
        </w:tc>
      </w:tr>
      <w:tr w:rsidR="00C42229" w:rsidRPr="00F04F82" w14:paraId="58018E55" w14:textId="77777777" w:rsidTr="00E0250B">
        <w:trPr>
          <w:cantSplit/>
          <w:trHeight w:val="154"/>
        </w:trPr>
        <w:tc>
          <w:tcPr>
            <w:tcW w:w="2268" w:type="dxa"/>
            <w:tcBorders>
              <w:left w:val="single" w:sz="4" w:space="0" w:color="auto"/>
              <w:right w:val="single" w:sz="4" w:space="0" w:color="auto"/>
            </w:tcBorders>
          </w:tcPr>
          <w:p w14:paraId="31ECC171"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Reproductive system and breast disorders </w:t>
            </w:r>
          </w:p>
        </w:tc>
        <w:tc>
          <w:tcPr>
            <w:tcW w:w="1701" w:type="dxa"/>
            <w:tcBorders>
              <w:top w:val="single" w:sz="4" w:space="0" w:color="auto"/>
              <w:left w:val="single" w:sz="4" w:space="0" w:color="auto"/>
              <w:bottom w:val="single" w:sz="4" w:space="0" w:color="auto"/>
              <w:right w:val="single" w:sz="4" w:space="0" w:color="auto"/>
            </w:tcBorders>
          </w:tcPr>
          <w:p w14:paraId="62C5D315"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5A3FADF6"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E</w:t>
            </w:r>
            <w:r w:rsidR="00C85BDD" w:rsidRPr="001775D9">
              <w:rPr>
                <w:color w:val="000000"/>
                <w:szCs w:val="22"/>
                <w:lang w:eastAsia="en-GB"/>
              </w:rPr>
              <w:t xml:space="preserve">rectile dysfunction </w:t>
            </w:r>
          </w:p>
        </w:tc>
      </w:tr>
      <w:tr w:rsidR="00C42229" w:rsidRPr="00F04F82" w14:paraId="0E0B54D2" w14:textId="77777777" w:rsidTr="00E0250B">
        <w:trPr>
          <w:cantSplit/>
          <w:trHeight w:val="154"/>
        </w:trPr>
        <w:tc>
          <w:tcPr>
            <w:tcW w:w="2268" w:type="dxa"/>
            <w:vMerge w:val="restart"/>
            <w:tcBorders>
              <w:left w:val="single" w:sz="4" w:space="0" w:color="auto"/>
              <w:right w:val="single" w:sz="4" w:space="0" w:color="auto"/>
            </w:tcBorders>
          </w:tcPr>
          <w:p w14:paraId="4EBE3629"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General disorders and administration site conditions* </w:t>
            </w:r>
          </w:p>
        </w:tc>
        <w:tc>
          <w:tcPr>
            <w:tcW w:w="1701" w:type="dxa"/>
            <w:tcBorders>
              <w:top w:val="single" w:sz="4" w:space="0" w:color="auto"/>
              <w:left w:val="single" w:sz="4" w:space="0" w:color="auto"/>
              <w:bottom w:val="single" w:sz="4" w:space="0" w:color="auto"/>
              <w:right w:val="single" w:sz="4" w:space="0" w:color="auto"/>
            </w:tcBorders>
          </w:tcPr>
          <w:p w14:paraId="72309038"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w:t>
            </w:r>
            <w:r w:rsidR="004F17DD" w:rsidRPr="001775D9">
              <w:rPr>
                <w:color w:val="000000"/>
                <w:szCs w:val="22"/>
                <w:lang w:eastAsia="en-GB"/>
              </w:rPr>
              <w:t>c</w:t>
            </w:r>
            <w:r w:rsidRPr="001775D9">
              <w:rPr>
                <w:color w:val="000000"/>
                <w:szCs w:val="22"/>
                <w:lang w:eastAsia="en-GB"/>
              </w:rPr>
              <w:t xml:space="preserve">ommon </w:t>
            </w:r>
          </w:p>
        </w:tc>
        <w:tc>
          <w:tcPr>
            <w:tcW w:w="5670" w:type="dxa"/>
            <w:tcBorders>
              <w:top w:val="single" w:sz="4" w:space="0" w:color="auto"/>
              <w:left w:val="single" w:sz="4" w:space="0" w:color="auto"/>
              <w:bottom w:val="single" w:sz="4" w:space="0" w:color="auto"/>
              <w:right w:val="single" w:sz="4" w:space="0" w:color="auto"/>
            </w:tcBorders>
          </w:tcPr>
          <w:p w14:paraId="4C199F91"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I</w:t>
            </w:r>
            <w:r w:rsidR="00C85BDD" w:rsidRPr="001775D9">
              <w:rPr>
                <w:color w:val="000000"/>
                <w:szCs w:val="22"/>
                <w:lang w:eastAsia="en-GB"/>
              </w:rPr>
              <w:t xml:space="preserve">njection site reaction (including injection site erythema) </w:t>
            </w:r>
          </w:p>
        </w:tc>
      </w:tr>
      <w:tr w:rsidR="00C42229" w:rsidRPr="00F04F82" w14:paraId="1AB2CE94" w14:textId="77777777" w:rsidTr="00E0250B">
        <w:trPr>
          <w:cantSplit/>
          <w:trHeight w:val="154"/>
        </w:trPr>
        <w:tc>
          <w:tcPr>
            <w:tcW w:w="2268" w:type="dxa"/>
            <w:vMerge/>
            <w:tcBorders>
              <w:left w:val="single" w:sz="4" w:space="0" w:color="auto"/>
              <w:right w:val="single" w:sz="4" w:space="0" w:color="auto"/>
            </w:tcBorders>
          </w:tcPr>
          <w:p w14:paraId="63C1B947"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19EDD374"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53D5C9E1"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C</w:t>
            </w:r>
            <w:r w:rsidR="00C85BDD" w:rsidRPr="001775D9">
              <w:rPr>
                <w:color w:val="000000"/>
                <w:szCs w:val="22"/>
                <w:lang w:eastAsia="en-GB"/>
              </w:rPr>
              <w:t xml:space="preserve">hest pain, </w:t>
            </w:r>
          </w:p>
          <w:p w14:paraId="4BAE942E"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O</w:t>
            </w:r>
            <w:r w:rsidR="00C85BDD" w:rsidRPr="001775D9">
              <w:rPr>
                <w:color w:val="000000"/>
                <w:szCs w:val="22"/>
                <w:lang w:eastAsia="en-GB"/>
              </w:rPr>
              <w:t xml:space="preserve">edema, </w:t>
            </w:r>
          </w:p>
          <w:p w14:paraId="03778194"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w:t>
            </w:r>
            <w:r w:rsidR="00C85BDD" w:rsidRPr="001775D9">
              <w:rPr>
                <w:color w:val="000000"/>
                <w:szCs w:val="22"/>
                <w:lang w:eastAsia="en-GB"/>
              </w:rPr>
              <w:t>yre</w:t>
            </w:r>
            <w:r w:rsidR="00C42229" w:rsidRPr="001775D9">
              <w:rPr>
                <w:color w:val="000000"/>
                <w:szCs w:val="22"/>
                <w:lang w:eastAsia="en-GB"/>
              </w:rPr>
              <w:t>xia</w:t>
            </w:r>
            <w:r w:rsidR="00C42229" w:rsidRPr="001775D9">
              <w:rPr>
                <w:color w:val="000000"/>
                <w:szCs w:val="22"/>
                <w:vertAlign w:val="superscript"/>
                <w:lang w:eastAsia="en-GB"/>
              </w:rPr>
              <w:t>1)</w:t>
            </w:r>
            <w:r w:rsidR="00C42229" w:rsidRPr="001775D9">
              <w:rPr>
                <w:color w:val="000000"/>
                <w:szCs w:val="22"/>
                <w:lang w:eastAsia="en-GB"/>
              </w:rPr>
              <w:t xml:space="preserve"> </w:t>
            </w:r>
          </w:p>
        </w:tc>
      </w:tr>
      <w:tr w:rsidR="00C42229" w:rsidRPr="00F04F82" w14:paraId="3283F7C2" w14:textId="77777777" w:rsidTr="00E0250B">
        <w:trPr>
          <w:cantSplit/>
          <w:trHeight w:val="154"/>
        </w:trPr>
        <w:tc>
          <w:tcPr>
            <w:tcW w:w="2268" w:type="dxa"/>
            <w:vMerge/>
            <w:tcBorders>
              <w:left w:val="single" w:sz="4" w:space="0" w:color="auto"/>
              <w:right w:val="single" w:sz="4" w:space="0" w:color="auto"/>
            </w:tcBorders>
          </w:tcPr>
          <w:p w14:paraId="58ABC600" w14:textId="77777777" w:rsidR="00C42229" w:rsidRPr="00F04F82" w:rsidRDefault="00C422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50D7DDB8"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0461AF05" w14:textId="77777777" w:rsidR="00C42229" w:rsidRPr="001775D9" w:rsidRDefault="007225FD"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I</w:t>
            </w:r>
            <w:r w:rsidR="00C85BDD" w:rsidRPr="001775D9">
              <w:rPr>
                <w:color w:val="000000"/>
                <w:szCs w:val="22"/>
                <w:lang w:eastAsia="en-GB"/>
              </w:rPr>
              <w:t xml:space="preserve">nflammation </w:t>
            </w:r>
          </w:p>
        </w:tc>
      </w:tr>
      <w:tr w:rsidR="00B94029" w:rsidRPr="00F04F82" w14:paraId="2311F79B" w14:textId="77777777" w:rsidTr="00E0250B">
        <w:trPr>
          <w:cantSplit/>
          <w:trHeight w:val="154"/>
        </w:trPr>
        <w:tc>
          <w:tcPr>
            <w:tcW w:w="2268" w:type="dxa"/>
            <w:vMerge w:val="restart"/>
            <w:tcBorders>
              <w:left w:val="single" w:sz="4" w:space="0" w:color="auto"/>
              <w:right w:val="single" w:sz="4" w:space="0" w:color="auto"/>
            </w:tcBorders>
          </w:tcPr>
          <w:p w14:paraId="0BC49603" w14:textId="77777777" w:rsidR="00B94029" w:rsidRPr="001775D9" w:rsidRDefault="00B940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Investigations* </w:t>
            </w:r>
          </w:p>
        </w:tc>
        <w:tc>
          <w:tcPr>
            <w:tcW w:w="1701" w:type="dxa"/>
            <w:tcBorders>
              <w:top w:val="single" w:sz="4" w:space="0" w:color="auto"/>
              <w:left w:val="single" w:sz="4" w:space="0" w:color="auto"/>
              <w:bottom w:val="single" w:sz="4" w:space="0" w:color="auto"/>
              <w:right w:val="single" w:sz="4" w:space="0" w:color="auto"/>
            </w:tcBorders>
          </w:tcPr>
          <w:p w14:paraId="0FBB9DFA" w14:textId="77777777" w:rsidR="00B94029" w:rsidRPr="001775D9" w:rsidRDefault="00B940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2BA82BBB" w14:textId="77777777" w:rsidR="00B94029" w:rsidRPr="001775D9" w:rsidRDefault="00B940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Coagulation and bleeding disorders (including activated partial thromboplastin time prolonged), </w:t>
            </w:r>
          </w:p>
          <w:p w14:paraId="6DA26957" w14:textId="77777777" w:rsidR="00B94029" w:rsidRPr="001775D9" w:rsidRDefault="00B940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Autoantibody test positive (including double stranded DNA antibody), </w:t>
            </w:r>
          </w:p>
          <w:p w14:paraId="0AB02898" w14:textId="77777777" w:rsidR="00B94029" w:rsidRPr="001775D9" w:rsidRDefault="00B940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Blood lactate dehydrogenase increased</w:t>
            </w:r>
          </w:p>
        </w:tc>
      </w:tr>
      <w:tr w:rsidR="00B94029" w:rsidRPr="00F04F82" w14:paraId="42E4C84E" w14:textId="77777777" w:rsidTr="00E0250B">
        <w:trPr>
          <w:cantSplit/>
          <w:trHeight w:val="154"/>
        </w:trPr>
        <w:tc>
          <w:tcPr>
            <w:tcW w:w="2268" w:type="dxa"/>
            <w:vMerge/>
            <w:tcBorders>
              <w:left w:val="single" w:sz="4" w:space="0" w:color="auto"/>
              <w:right w:val="single" w:sz="4" w:space="0" w:color="auto"/>
            </w:tcBorders>
          </w:tcPr>
          <w:p w14:paraId="07EF3E2A" w14:textId="77777777" w:rsidR="00B94029" w:rsidRPr="00F04F82" w:rsidRDefault="00B94029" w:rsidP="00FB5458">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00308FD4" w14:textId="0454FC36" w:rsidR="00B94029" w:rsidRPr="001775D9" w:rsidRDefault="00B940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Not known</w:t>
            </w:r>
          </w:p>
        </w:tc>
        <w:tc>
          <w:tcPr>
            <w:tcW w:w="5670" w:type="dxa"/>
            <w:tcBorders>
              <w:top w:val="single" w:sz="4" w:space="0" w:color="auto"/>
              <w:left w:val="single" w:sz="4" w:space="0" w:color="auto"/>
              <w:bottom w:val="single" w:sz="4" w:space="0" w:color="auto"/>
              <w:right w:val="single" w:sz="4" w:space="0" w:color="auto"/>
            </w:tcBorders>
          </w:tcPr>
          <w:p w14:paraId="620A5ED4" w14:textId="6AC68B59" w:rsidR="00B94029" w:rsidRPr="001775D9" w:rsidRDefault="00B940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Weight increased</w:t>
            </w:r>
            <w:r w:rsidRPr="001775D9">
              <w:rPr>
                <w:color w:val="000000"/>
                <w:szCs w:val="22"/>
                <w:vertAlign w:val="superscript"/>
                <w:lang w:eastAsia="en-GB"/>
              </w:rPr>
              <w:t>2)</w:t>
            </w:r>
          </w:p>
        </w:tc>
      </w:tr>
      <w:tr w:rsidR="00C42229" w:rsidRPr="00F04F82" w14:paraId="0FB1D135" w14:textId="77777777" w:rsidTr="00E0250B">
        <w:trPr>
          <w:cantSplit/>
          <w:trHeight w:val="154"/>
        </w:trPr>
        <w:tc>
          <w:tcPr>
            <w:tcW w:w="2268" w:type="dxa"/>
            <w:tcBorders>
              <w:left w:val="single" w:sz="4" w:space="0" w:color="auto"/>
              <w:bottom w:val="single" w:sz="4" w:space="0" w:color="auto"/>
              <w:right w:val="single" w:sz="4" w:space="0" w:color="auto"/>
            </w:tcBorders>
          </w:tcPr>
          <w:p w14:paraId="0354CB7B" w14:textId="77777777" w:rsidR="00C42229" w:rsidRPr="00D55B59" w:rsidRDefault="00C42229" w:rsidP="00FB5458">
            <w:pPr>
              <w:pStyle w:val="Default"/>
              <w:rPr>
                <w:sz w:val="22"/>
                <w:szCs w:val="22"/>
                <w:lang w:val="en-GB" w:eastAsia="en-GB"/>
                <w:rPrChange w:id="557" w:author="Author">
                  <w:rPr>
                    <w:sz w:val="22"/>
                    <w:szCs w:val="22"/>
                    <w:lang w:eastAsia="en-GB"/>
                  </w:rPr>
                </w:rPrChange>
              </w:rPr>
            </w:pPr>
            <w:r w:rsidRPr="00D55B59">
              <w:rPr>
                <w:sz w:val="22"/>
                <w:szCs w:val="22"/>
                <w:lang w:val="en-GB"/>
                <w:rPrChange w:id="558" w:author="Author">
                  <w:rPr>
                    <w:sz w:val="22"/>
                    <w:szCs w:val="22"/>
                  </w:rPr>
                </w:rPrChange>
              </w:rPr>
              <w:t xml:space="preserve">Injury, poisoning and procedural complications </w:t>
            </w:r>
          </w:p>
        </w:tc>
        <w:tc>
          <w:tcPr>
            <w:tcW w:w="1701" w:type="dxa"/>
            <w:tcBorders>
              <w:top w:val="single" w:sz="4" w:space="0" w:color="auto"/>
              <w:left w:val="single" w:sz="4" w:space="0" w:color="auto"/>
              <w:bottom w:val="single" w:sz="4" w:space="0" w:color="auto"/>
              <w:right w:val="single" w:sz="4" w:space="0" w:color="auto"/>
            </w:tcBorders>
          </w:tcPr>
          <w:p w14:paraId="670EDCD0" w14:textId="77777777" w:rsidR="00C42229" w:rsidRPr="00D55B59" w:rsidRDefault="00C42229" w:rsidP="00FB5458">
            <w:pPr>
              <w:pStyle w:val="Default"/>
              <w:rPr>
                <w:sz w:val="22"/>
                <w:szCs w:val="22"/>
                <w:lang w:val="en-GB"/>
                <w:rPrChange w:id="559" w:author="Author">
                  <w:rPr>
                    <w:sz w:val="22"/>
                    <w:szCs w:val="22"/>
                  </w:rPr>
                </w:rPrChange>
              </w:rPr>
            </w:pPr>
            <w:r w:rsidRPr="00D55B59">
              <w:rPr>
                <w:sz w:val="22"/>
                <w:szCs w:val="22"/>
                <w:lang w:val="en-GB"/>
                <w:rPrChange w:id="560" w:author="Author">
                  <w:rPr>
                    <w:sz w:val="22"/>
                    <w:szCs w:val="22"/>
                  </w:rPr>
                </w:rPrChange>
              </w:rPr>
              <w:t xml:space="preserve">Common </w:t>
            </w:r>
          </w:p>
          <w:p w14:paraId="4039FB12"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tc>
        <w:tc>
          <w:tcPr>
            <w:tcW w:w="5670" w:type="dxa"/>
            <w:tcBorders>
              <w:top w:val="single" w:sz="4" w:space="0" w:color="auto"/>
              <w:left w:val="single" w:sz="4" w:space="0" w:color="auto"/>
              <w:bottom w:val="single" w:sz="4" w:space="0" w:color="auto"/>
              <w:right w:val="single" w:sz="4" w:space="0" w:color="auto"/>
            </w:tcBorders>
          </w:tcPr>
          <w:p w14:paraId="0B61B46A" w14:textId="77777777" w:rsidR="00C42229" w:rsidRPr="00D55B59" w:rsidRDefault="007225FD" w:rsidP="00FB5458">
            <w:pPr>
              <w:pStyle w:val="Default"/>
              <w:rPr>
                <w:sz w:val="22"/>
                <w:szCs w:val="22"/>
                <w:lang w:val="en-GB"/>
                <w:rPrChange w:id="561" w:author="Author">
                  <w:rPr>
                    <w:sz w:val="22"/>
                    <w:szCs w:val="22"/>
                  </w:rPr>
                </w:rPrChange>
              </w:rPr>
            </w:pPr>
            <w:r w:rsidRPr="00D55B59">
              <w:rPr>
                <w:sz w:val="22"/>
                <w:szCs w:val="22"/>
                <w:lang w:val="en-GB"/>
                <w:rPrChange w:id="562" w:author="Author">
                  <w:rPr>
                    <w:sz w:val="22"/>
                    <w:szCs w:val="22"/>
                  </w:rPr>
                </w:rPrChange>
              </w:rPr>
              <w:t>I</w:t>
            </w:r>
            <w:r w:rsidR="00C85BDD" w:rsidRPr="00D55B59">
              <w:rPr>
                <w:sz w:val="22"/>
                <w:szCs w:val="22"/>
                <w:lang w:val="en-GB"/>
                <w:rPrChange w:id="563" w:author="Author">
                  <w:rPr>
                    <w:sz w:val="22"/>
                    <w:szCs w:val="22"/>
                  </w:rPr>
                </w:rPrChange>
              </w:rPr>
              <w:t xml:space="preserve">mpaired healing </w:t>
            </w:r>
          </w:p>
          <w:p w14:paraId="3E52F5F0"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tc>
      </w:tr>
    </w:tbl>
    <w:p w14:paraId="33B389A3" w14:textId="77777777" w:rsidR="00C42229" w:rsidRPr="001775D9" w:rsidRDefault="00C42229" w:rsidP="00FB5458">
      <w:pPr>
        <w:tabs>
          <w:tab w:val="clear" w:pos="567"/>
        </w:tabs>
        <w:autoSpaceDE w:val="0"/>
        <w:autoSpaceDN w:val="0"/>
        <w:adjustRightInd w:val="0"/>
        <w:spacing w:line="240" w:lineRule="auto"/>
        <w:rPr>
          <w:color w:val="000000"/>
          <w:sz w:val="20"/>
          <w:lang w:eastAsia="en-GB"/>
        </w:rPr>
      </w:pPr>
      <w:r w:rsidRPr="001775D9">
        <w:rPr>
          <w:color w:val="000000"/>
          <w:sz w:val="20"/>
          <w:lang w:eastAsia="en-GB"/>
        </w:rPr>
        <w:t xml:space="preserve">* further information is found elsewhere in sections 4.3, 4.4 and 4.8 </w:t>
      </w:r>
    </w:p>
    <w:p w14:paraId="09B41294" w14:textId="77777777" w:rsidR="00C42229" w:rsidRPr="001775D9" w:rsidRDefault="00C42229" w:rsidP="00FB5458">
      <w:pPr>
        <w:tabs>
          <w:tab w:val="clear" w:pos="567"/>
        </w:tabs>
        <w:autoSpaceDE w:val="0"/>
        <w:autoSpaceDN w:val="0"/>
        <w:adjustRightInd w:val="0"/>
        <w:spacing w:line="240" w:lineRule="auto"/>
        <w:rPr>
          <w:color w:val="000000"/>
          <w:sz w:val="20"/>
          <w:lang w:eastAsia="en-GB"/>
        </w:rPr>
      </w:pPr>
      <w:r w:rsidRPr="001775D9">
        <w:rPr>
          <w:color w:val="000000"/>
          <w:sz w:val="20"/>
          <w:lang w:eastAsia="en-GB"/>
        </w:rPr>
        <w:t>** including open</w:t>
      </w:r>
      <w:r w:rsidR="00E556D2" w:rsidRPr="001775D9">
        <w:rPr>
          <w:color w:val="000000"/>
          <w:sz w:val="20"/>
          <w:lang w:eastAsia="en-GB"/>
        </w:rPr>
        <w:t>-</w:t>
      </w:r>
      <w:r w:rsidRPr="001775D9">
        <w:rPr>
          <w:color w:val="000000"/>
          <w:sz w:val="20"/>
          <w:lang w:eastAsia="en-GB"/>
        </w:rPr>
        <w:t>label extension studies</w:t>
      </w:r>
      <w:r w:rsidR="003D1B52" w:rsidRPr="001775D9">
        <w:rPr>
          <w:color w:val="000000"/>
          <w:sz w:val="20"/>
          <w:lang w:eastAsia="en-GB"/>
        </w:rPr>
        <w:t xml:space="preserve"> </w:t>
      </w:r>
    </w:p>
    <w:p w14:paraId="5C395B81" w14:textId="5E699D16" w:rsidR="00C42229" w:rsidRPr="001775D9" w:rsidRDefault="00C42229" w:rsidP="00B61D9D">
      <w:pPr>
        <w:spacing w:line="240" w:lineRule="auto"/>
        <w:rPr>
          <w:color w:val="000000"/>
          <w:sz w:val="20"/>
        </w:rPr>
      </w:pPr>
      <w:r w:rsidRPr="001775D9">
        <w:rPr>
          <w:color w:val="000000"/>
          <w:sz w:val="20"/>
          <w:vertAlign w:val="superscript"/>
        </w:rPr>
        <w:t>1)</w:t>
      </w:r>
      <w:r w:rsidRPr="001775D9">
        <w:rPr>
          <w:color w:val="000000"/>
          <w:sz w:val="20"/>
        </w:rPr>
        <w:t xml:space="preserve"> including spontaneous reporting data</w:t>
      </w:r>
    </w:p>
    <w:p w14:paraId="752FADC0" w14:textId="5B2FC5B5" w:rsidR="00B94029" w:rsidRPr="001775D9" w:rsidRDefault="00B94029" w:rsidP="00B61D9D">
      <w:pPr>
        <w:spacing w:line="240" w:lineRule="auto"/>
      </w:pPr>
      <w:r w:rsidRPr="001775D9">
        <w:rPr>
          <w:sz w:val="20"/>
          <w:szCs w:val="18"/>
          <w:vertAlign w:val="superscript"/>
        </w:rPr>
        <w:t>2)</w:t>
      </w:r>
      <w:r w:rsidRPr="001775D9">
        <w:rPr>
          <w:sz w:val="20"/>
          <w:szCs w:val="18"/>
        </w:rPr>
        <w:t xml:space="preserve"> </w:t>
      </w:r>
      <w:r w:rsidRPr="001775D9">
        <w:rPr>
          <w:sz w:val="20"/>
        </w:rPr>
        <w:t>The mean weight change from baseline for adalimumab ranged from 0.3</w:t>
      </w:r>
      <w:r w:rsidR="002E0766" w:rsidRPr="001775D9">
        <w:rPr>
          <w:szCs w:val="22"/>
        </w:rPr>
        <w:t> </w:t>
      </w:r>
      <w:r w:rsidRPr="001775D9">
        <w:rPr>
          <w:sz w:val="20"/>
        </w:rPr>
        <w:t>kg to 1.0</w:t>
      </w:r>
      <w:r w:rsidR="002E0766" w:rsidRPr="001775D9">
        <w:rPr>
          <w:szCs w:val="22"/>
        </w:rPr>
        <w:t> </w:t>
      </w:r>
      <w:r w:rsidRPr="001775D9">
        <w:rPr>
          <w:sz w:val="20"/>
        </w:rPr>
        <w:t>kg across adult indications compared to (minus) -0.4</w:t>
      </w:r>
      <w:r w:rsidR="002E0766" w:rsidRPr="001775D9">
        <w:rPr>
          <w:szCs w:val="22"/>
        </w:rPr>
        <w:t> </w:t>
      </w:r>
      <w:r w:rsidRPr="001775D9">
        <w:rPr>
          <w:sz w:val="20"/>
        </w:rPr>
        <w:t>kg to 0.4</w:t>
      </w:r>
      <w:r w:rsidR="002E0766" w:rsidRPr="001775D9">
        <w:rPr>
          <w:szCs w:val="22"/>
        </w:rPr>
        <w:t> </w:t>
      </w:r>
      <w:r w:rsidRPr="001775D9">
        <w:rPr>
          <w:sz w:val="20"/>
        </w:rPr>
        <w:t>kg for placebo over a treatment period of 4-6 months. Weight increase of 5</w:t>
      </w:r>
      <w:r w:rsidRPr="001775D9">
        <w:rPr>
          <w:sz w:val="20"/>
        </w:rPr>
        <w:noBreakHyphen/>
        <w:t>6 kg has also been observed in long-term extension studies with mean exposures of approximately 1-2 years without control group, particularly in patients with Crohn’s disease and ulcerative colitis. The mechanism behind this effect is unclear but could be associated with the anti-inflammatory effect of adalimumab.</w:t>
      </w:r>
    </w:p>
    <w:p w14:paraId="1F78565B" w14:textId="77777777" w:rsidR="00C42229" w:rsidRPr="001775D9" w:rsidRDefault="00C42229" w:rsidP="00FB5458">
      <w:pPr>
        <w:tabs>
          <w:tab w:val="clear" w:pos="567"/>
        </w:tabs>
        <w:autoSpaceDE w:val="0"/>
        <w:autoSpaceDN w:val="0"/>
        <w:adjustRightInd w:val="0"/>
        <w:spacing w:line="240" w:lineRule="auto"/>
        <w:rPr>
          <w:color w:val="000000"/>
          <w:szCs w:val="22"/>
          <w:u w:val="single"/>
          <w:lang w:eastAsia="en-GB"/>
        </w:rPr>
      </w:pPr>
    </w:p>
    <w:p w14:paraId="6695A983" w14:textId="0B2243FA" w:rsidR="00336B1C" w:rsidRPr="001775D9" w:rsidRDefault="00336B1C"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u w:val="single"/>
        </w:rPr>
        <w:t>Hidradenitis suppurativa</w:t>
      </w:r>
    </w:p>
    <w:p w14:paraId="1694F93C" w14:textId="77777777" w:rsidR="00B03F12" w:rsidRPr="001775D9" w:rsidRDefault="00B03F12" w:rsidP="00FB5458">
      <w:pPr>
        <w:shd w:val="clear" w:color="auto" w:fill="FFFFFF"/>
        <w:tabs>
          <w:tab w:val="clear" w:pos="567"/>
        </w:tabs>
        <w:spacing w:line="240" w:lineRule="auto"/>
        <w:rPr>
          <w:rFonts w:eastAsia="Times New Roman"/>
          <w:color w:val="000000"/>
          <w:szCs w:val="22"/>
        </w:rPr>
      </w:pPr>
    </w:p>
    <w:p w14:paraId="6C2A22D3" w14:textId="77777777" w:rsidR="00336B1C" w:rsidRPr="001775D9" w:rsidRDefault="00336B1C"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The safety profile for patients with HS treated with </w:t>
      </w:r>
      <w:r w:rsidR="00DC4942" w:rsidRPr="001775D9">
        <w:rPr>
          <w:rFonts w:eastAsia="Times New Roman"/>
          <w:color w:val="000000"/>
          <w:szCs w:val="22"/>
        </w:rPr>
        <w:t>adalimumab</w:t>
      </w:r>
      <w:r w:rsidRPr="001775D9">
        <w:rPr>
          <w:rFonts w:eastAsia="Times New Roman"/>
          <w:color w:val="000000"/>
          <w:szCs w:val="22"/>
        </w:rPr>
        <w:t xml:space="preserve"> weekly was consistent with the known safety profile of </w:t>
      </w:r>
      <w:r w:rsidR="00DC4942" w:rsidRPr="001775D9">
        <w:rPr>
          <w:rFonts w:eastAsia="Times New Roman"/>
          <w:color w:val="000000"/>
          <w:szCs w:val="22"/>
        </w:rPr>
        <w:t>adalimumab</w:t>
      </w:r>
      <w:r w:rsidRPr="001775D9">
        <w:rPr>
          <w:rFonts w:eastAsia="Times New Roman"/>
          <w:color w:val="000000"/>
          <w:szCs w:val="22"/>
        </w:rPr>
        <w:t>.</w:t>
      </w:r>
    </w:p>
    <w:p w14:paraId="2786E30D" w14:textId="77777777" w:rsidR="00336B1C" w:rsidRPr="001775D9" w:rsidRDefault="00336B1C" w:rsidP="00FB5458">
      <w:pPr>
        <w:keepNext/>
        <w:tabs>
          <w:tab w:val="clear" w:pos="567"/>
        </w:tabs>
        <w:autoSpaceDE w:val="0"/>
        <w:autoSpaceDN w:val="0"/>
        <w:adjustRightInd w:val="0"/>
        <w:spacing w:line="240" w:lineRule="auto"/>
        <w:rPr>
          <w:color w:val="000000"/>
          <w:szCs w:val="22"/>
          <w:u w:val="single"/>
          <w:lang w:eastAsia="en-GB"/>
        </w:rPr>
      </w:pPr>
    </w:p>
    <w:p w14:paraId="7CC140DC" w14:textId="77777777" w:rsidR="007549A9" w:rsidRPr="001775D9" w:rsidRDefault="007549A9"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Uveitis</w:t>
      </w:r>
    </w:p>
    <w:p w14:paraId="1CE241A4" w14:textId="77777777" w:rsidR="007549A9" w:rsidRPr="001775D9" w:rsidRDefault="007549A9" w:rsidP="00FB5458">
      <w:pPr>
        <w:tabs>
          <w:tab w:val="clear" w:pos="567"/>
        </w:tabs>
        <w:autoSpaceDE w:val="0"/>
        <w:autoSpaceDN w:val="0"/>
        <w:adjustRightInd w:val="0"/>
        <w:spacing w:line="240" w:lineRule="auto"/>
        <w:rPr>
          <w:i/>
          <w:szCs w:val="22"/>
          <w:u w:val="single"/>
          <w:lang w:eastAsia="en-GB"/>
        </w:rPr>
      </w:pPr>
    </w:p>
    <w:p w14:paraId="2EFD0506" w14:textId="77777777" w:rsidR="007549A9" w:rsidRPr="001775D9" w:rsidRDefault="007549A9" w:rsidP="00FB5458">
      <w:pPr>
        <w:spacing w:line="240" w:lineRule="auto"/>
        <w:rPr>
          <w:szCs w:val="22"/>
          <w:lang w:eastAsia="en-GB"/>
        </w:rPr>
      </w:pPr>
      <w:r w:rsidRPr="001775D9">
        <w:rPr>
          <w:szCs w:val="22"/>
          <w:lang w:eastAsia="en-GB"/>
        </w:rPr>
        <w:t>The safety profile for patients with uveitis treated with adalimumab every other week was consistent with the known safety profile of adalimumab.</w:t>
      </w:r>
    </w:p>
    <w:p w14:paraId="3BB685DB" w14:textId="77777777" w:rsidR="007549A9" w:rsidRPr="001775D9" w:rsidRDefault="007549A9" w:rsidP="00FB5458">
      <w:pPr>
        <w:spacing w:line="240" w:lineRule="auto"/>
        <w:rPr>
          <w:szCs w:val="22"/>
          <w:lang w:eastAsia="en-GB"/>
        </w:rPr>
      </w:pPr>
    </w:p>
    <w:p w14:paraId="6439F1C2" w14:textId="77777777" w:rsidR="00C42229" w:rsidRPr="001775D9" w:rsidRDefault="00C42229" w:rsidP="00FB5458">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Description of selected adverse reactions </w:t>
      </w:r>
    </w:p>
    <w:p w14:paraId="1DFC7918" w14:textId="77777777" w:rsidR="00C42229" w:rsidRPr="001775D9" w:rsidRDefault="00C42229" w:rsidP="00FB5458">
      <w:pPr>
        <w:keepNext/>
        <w:tabs>
          <w:tab w:val="clear" w:pos="567"/>
        </w:tabs>
        <w:autoSpaceDE w:val="0"/>
        <w:autoSpaceDN w:val="0"/>
        <w:adjustRightInd w:val="0"/>
        <w:spacing w:line="240" w:lineRule="auto"/>
        <w:rPr>
          <w:color w:val="000000"/>
          <w:szCs w:val="22"/>
          <w:u w:val="single"/>
          <w:lang w:eastAsia="en-GB"/>
        </w:rPr>
      </w:pPr>
    </w:p>
    <w:p w14:paraId="79BE4A7B" w14:textId="77777777" w:rsidR="00C42229" w:rsidRPr="001775D9" w:rsidRDefault="00C42229" w:rsidP="00FB5458">
      <w:pPr>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Injection site reactions </w:t>
      </w:r>
    </w:p>
    <w:p w14:paraId="143C5CCD" w14:textId="77777777" w:rsidR="00C42229" w:rsidRPr="001775D9" w:rsidRDefault="00C42229" w:rsidP="00FB5458">
      <w:pPr>
        <w:spacing w:line="240" w:lineRule="auto"/>
        <w:rPr>
          <w:color w:val="000000"/>
          <w:szCs w:val="22"/>
          <w:lang w:eastAsia="en-GB"/>
        </w:rPr>
      </w:pPr>
    </w:p>
    <w:p w14:paraId="6AC0F1B9" w14:textId="77777777" w:rsidR="00C42229" w:rsidRPr="001775D9" w:rsidRDefault="00C42229" w:rsidP="00FB5458">
      <w:pPr>
        <w:spacing w:line="240" w:lineRule="auto"/>
        <w:rPr>
          <w:szCs w:val="22"/>
        </w:rPr>
      </w:pPr>
      <w:r w:rsidRPr="001775D9">
        <w:rPr>
          <w:color w:val="000000"/>
          <w:szCs w:val="22"/>
          <w:lang w:eastAsia="en-GB"/>
        </w:rPr>
        <w:t xml:space="preserve">In the pivotal controlled trials in adults and children, </w:t>
      </w:r>
      <w:r w:rsidR="00353B1B" w:rsidRPr="001775D9">
        <w:rPr>
          <w:color w:val="000000"/>
          <w:szCs w:val="22"/>
          <w:lang w:eastAsia="en-GB"/>
        </w:rPr>
        <w:t>12</w:t>
      </w:r>
      <w:r w:rsidRPr="001775D9">
        <w:rPr>
          <w:color w:val="000000"/>
          <w:szCs w:val="22"/>
          <w:lang w:eastAsia="en-GB"/>
        </w:rPr>
        <w:t>.</w:t>
      </w:r>
      <w:r w:rsidR="00353B1B" w:rsidRPr="001775D9">
        <w:rPr>
          <w:color w:val="000000"/>
          <w:szCs w:val="22"/>
          <w:lang w:eastAsia="en-GB"/>
        </w:rPr>
        <w:t>9</w:t>
      </w:r>
      <w:r w:rsidRPr="001775D9">
        <w:rPr>
          <w:color w:val="000000"/>
          <w:szCs w:val="22"/>
          <w:lang w:eastAsia="en-GB"/>
        </w:rPr>
        <w:t xml:space="preserve">% of </w:t>
      </w:r>
      <w:r w:rsidRPr="001775D9">
        <w:rPr>
          <w:szCs w:val="22"/>
          <w:lang w:eastAsia="en-GB"/>
        </w:rPr>
        <w:t xml:space="preserve">patients treated with </w:t>
      </w:r>
      <w:r w:rsidR="00DC4942" w:rsidRPr="001775D9">
        <w:rPr>
          <w:rFonts w:eastAsia="Times New Roman"/>
          <w:color w:val="000000"/>
          <w:szCs w:val="22"/>
        </w:rPr>
        <w:t>adalimumab</w:t>
      </w:r>
      <w:r w:rsidRPr="001775D9">
        <w:rPr>
          <w:szCs w:val="22"/>
          <w:lang w:eastAsia="en-GB"/>
        </w:rPr>
        <w:t xml:space="preserve"> developed injection site reactions (erythema and/or itching, haemorrhage, pain or swelling), compared to 7.</w:t>
      </w:r>
      <w:r w:rsidR="0099495A" w:rsidRPr="001775D9">
        <w:rPr>
          <w:szCs w:val="22"/>
          <w:lang w:eastAsia="en-GB"/>
        </w:rPr>
        <w:t>2</w:t>
      </w:r>
      <w:r w:rsidRPr="001775D9">
        <w:rPr>
          <w:color w:val="000000"/>
          <w:szCs w:val="22"/>
          <w:lang w:eastAsia="en-GB"/>
        </w:rPr>
        <w:t>% of patients receiving placebo or active control. Injection site reactions generally did not necessitate discontinuation of the medicinal product.</w:t>
      </w:r>
    </w:p>
    <w:p w14:paraId="07062A77" w14:textId="77777777" w:rsidR="00F32658" w:rsidRPr="001775D9" w:rsidRDefault="00F32658" w:rsidP="00FB5458">
      <w:pPr>
        <w:spacing w:line="240" w:lineRule="auto"/>
        <w:rPr>
          <w:szCs w:val="22"/>
        </w:rPr>
      </w:pPr>
    </w:p>
    <w:p w14:paraId="1297CC0F" w14:textId="77777777" w:rsidR="00C42229" w:rsidRPr="001775D9" w:rsidRDefault="00C42229" w:rsidP="00FB5458">
      <w:pPr>
        <w:keepNext/>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Infections </w:t>
      </w:r>
    </w:p>
    <w:p w14:paraId="647C1119"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p>
    <w:p w14:paraId="06A8C806"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In the </w:t>
      </w:r>
      <w:r w:rsidRPr="001775D9">
        <w:rPr>
          <w:szCs w:val="22"/>
          <w:lang w:eastAsia="en-GB"/>
        </w:rPr>
        <w:t>pivotal controlled trials in adults and children, the rate of infection was 1.5</w:t>
      </w:r>
      <w:r w:rsidR="00A74632" w:rsidRPr="001775D9">
        <w:rPr>
          <w:szCs w:val="22"/>
          <w:lang w:eastAsia="en-GB"/>
        </w:rPr>
        <w:t>1</w:t>
      </w:r>
      <w:r w:rsidRPr="001775D9">
        <w:rPr>
          <w:szCs w:val="22"/>
          <w:lang w:eastAsia="en-GB"/>
        </w:rPr>
        <w:t xml:space="preserve"> per patient year in the </w:t>
      </w:r>
      <w:r w:rsidR="00DC4942" w:rsidRPr="001775D9">
        <w:rPr>
          <w:rFonts w:eastAsia="Times New Roman"/>
          <w:color w:val="000000"/>
          <w:szCs w:val="22"/>
        </w:rPr>
        <w:t>adalimumab</w:t>
      </w:r>
      <w:r w:rsidR="00A515F5" w:rsidRPr="001775D9">
        <w:rPr>
          <w:szCs w:val="22"/>
          <w:lang w:eastAsia="en-GB"/>
        </w:rPr>
        <w:t>-</w:t>
      </w:r>
      <w:r w:rsidRPr="001775D9">
        <w:rPr>
          <w:szCs w:val="22"/>
          <w:lang w:eastAsia="en-GB"/>
        </w:rPr>
        <w:t>treated patients and 1.</w:t>
      </w:r>
      <w:r w:rsidR="000F21EF" w:rsidRPr="001775D9">
        <w:rPr>
          <w:szCs w:val="22"/>
          <w:lang w:eastAsia="en-GB"/>
        </w:rPr>
        <w:t xml:space="preserve">46 </w:t>
      </w:r>
      <w:r w:rsidRPr="001775D9">
        <w:rPr>
          <w:szCs w:val="22"/>
          <w:lang w:eastAsia="en-GB"/>
        </w:rPr>
        <w:t xml:space="preserve">per patient year in the placebo and active control-treated patients. The infections consisted primarily of nasopharyngitis, upper respiratory tract infection, and </w:t>
      </w:r>
      <w:r w:rsidR="001E662F" w:rsidRPr="001775D9">
        <w:rPr>
          <w:szCs w:val="22"/>
          <w:lang w:eastAsia="en-GB"/>
        </w:rPr>
        <w:t xml:space="preserve">sinusitis. </w:t>
      </w:r>
      <w:r w:rsidRPr="001775D9">
        <w:rPr>
          <w:szCs w:val="22"/>
          <w:lang w:eastAsia="en-GB"/>
        </w:rPr>
        <w:t xml:space="preserve">Most patients continued on </w:t>
      </w:r>
      <w:r w:rsidR="00DC4942" w:rsidRPr="001775D9">
        <w:rPr>
          <w:rFonts w:eastAsia="Times New Roman"/>
          <w:color w:val="000000"/>
          <w:szCs w:val="22"/>
        </w:rPr>
        <w:t>adalimumab</w:t>
      </w:r>
      <w:r w:rsidRPr="001775D9">
        <w:rPr>
          <w:szCs w:val="22"/>
          <w:lang w:eastAsia="en-GB"/>
        </w:rPr>
        <w:t xml:space="preserve"> after the infection resolved. </w:t>
      </w:r>
    </w:p>
    <w:p w14:paraId="140E3CC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13EC41D" w14:textId="1137D6E2"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The incidence of serious infections was 0.04 per patient year in </w:t>
      </w:r>
      <w:r w:rsidR="001E662F" w:rsidRPr="001775D9">
        <w:rPr>
          <w:rFonts w:eastAsia="Times New Roman"/>
          <w:color w:val="000000"/>
          <w:szCs w:val="22"/>
        </w:rPr>
        <w:t>adalimumab</w:t>
      </w:r>
      <w:r w:rsidR="00A515F5" w:rsidRPr="001775D9">
        <w:rPr>
          <w:szCs w:val="22"/>
          <w:lang w:eastAsia="en-GB"/>
        </w:rPr>
        <w:t>-</w:t>
      </w:r>
      <w:r w:rsidRPr="001775D9">
        <w:rPr>
          <w:szCs w:val="22"/>
          <w:lang w:eastAsia="en-GB"/>
        </w:rPr>
        <w:t>treated patients and 0.03 per patient year in placebo and active control</w:t>
      </w:r>
      <w:r w:rsidR="00962860" w:rsidRPr="001775D9">
        <w:rPr>
          <w:szCs w:val="22"/>
          <w:lang w:eastAsia="en-GB"/>
        </w:rPr>
        <w:t>-</w:t>
      </w:r>
      <w:r w:rsidRPr="001775D9">
        <w:rPr>
          <w:szCs w:val="22"/>
          <w:lang w:eastAsia="en-GB"/>
        </w:rPr>
        <w:t xml:space="preserve">treated patients. </w:t>
      </w:r>
    </w:p>
    <w:p w14:paraId="5FF63EE3"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4D766B5"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In controlled and open</w:t>
      </w:r>
      <w:r w:rsidR="00E556D2" w:rsidRPr="001775D9">
        <w:rPr>
          <w:szCs w:val="22"/>
          <w:lang w:eastAsia="en-GB"/>
        </w:rPr>
        <w:t>-</w:t>
      </w:r>
      <w:r w:rsidRPr="001775D9">
        <w:rPr>
          <w:szCs w:val="22"/>
          <w:lang w:eastAsia="en-GB"/>
        </w:rPr>
        <w:t xml:space="preserve">label adult and paediatric studies with </w:t>
      </w:r>
      <w:r w:rsidR="001E662F" w:rsidRPr="001775D9">
        <w:rPr>
          <w:rFonts w:eastAsia="Times New Roman"/>
          <w:color w:val="000000"/>
          <w:szCs w:val="22"/>
        </w:rPr>
        <w:t>adalimumab</w:t>
      </w:r>
      <w:r w:rsidRPr="001775D9">
        <w:rPr>
          <w:szCs w:val="22"/>
          <w:lang w:eastAsia="en-GB"/>
        </w:rPr>
        <w:t xml:space="preserve">, serious infections (including fatal infections, which occurred rarely) have been reported, which include reports of tuberculosis (including miliary and extra-pulmonary locations) and invasive opportunistic infections (e.g. disseminated or extrapulmonary histoplasmosis, blastomycosis, coccidioidomycosis, pneumocystis, candidiasis, aspergillosis and listeriosis). Most of the cases of tuberculosis occurred within the first eight months after initiation of therapy and may reflect recrudescence of latent disease. </w:t>
      </w:r>
    </w:p>
    <w:p w14:paraId="568BDD55"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EB6ECD4" w14:textId="77777777" w:rsidR="00C42229" w:rsidRPr="001775D9" w:rsidRDefault="00C42229" w:rsidP="001C2A6A">
      <w:pPr>
        <w:keepNext/>
        <w:keepLines/>
        <w:tabs>
          <w:tab w:val="clear" w:pos="567"/>
        </w:tabs>
        <w:autoSpaceDE w:val="0"/>
        <w:autoSpaceDN w:val="0"/>
        <w:adjustRightInd w:val="0"/>
        <w:spacing w:line="240" w:lineRule="auto"/>
        <w:rPr>
          <w:i/>
          <w:szCs w:val="22"/>
          <w:lang w:eastAsia="en-GB"/>
        </w:rPr>
      </w:pPr>
      <w:r w:rsidRPr="001775D9">
        <w:rPr>
          <w:i/>
          <w:szCs w:val="22"/>
          <w:lang w:eastAsia="en-GB"/>
        </w:rPr>
        <w:t xml:space="preserve">Malignancies and lymphoproliferative disorders </w:t>
      </w:r>
    </w:p>
    <w:p w14:paraId="5AA870E2" w14:textId="77777777" w:rsidR="00C42229" w:rsidRPr="001775D9" w:rsidRDefault="00C42229" w:rsidP="001C2A6A">
      <w:pPr>
        <w:keepNext/>
        <w:keepLines/>
        <w:tabs>
          <w:tab w:val="clear" w:pos="567"/>
        </w:tabs>
        <w:autoSpaceDE w:val="0"/>
        <w:autoSpaceDN w:val="0"/>
        <w:adjustRightInd w:val="0"/>
        <w:spacing w:line="240" w:lineRule="auto"/>
        <w:rPr>
          <w:szCs w:val="22"/>
          <w:lang w:eastAsia="en-GB"/>
        </w:rPr>
      </w:pPr>
    </w:p>
    <w:p w14:paraId="0AFF6F36" w14:textId="5DDEBD1C" w:rsidR="00C42229" w:rsidRPr="001775D9" w:rsidRDefault="00C42229" w:rsidP="00551636">
      <w:pPr>
        <w:tabs>
          <w:tab w:val="clear" w:pos="567"/>
        </w:tabs>
        <w:autoSpaceDE w:val="0"/>
        <w:autoSpaceDN w:val="0"/>
        <w:adjustRightInd w:val="0"/>
        <w:spacing w:line="240" w:lineRule="auto"/>
        <w:rPr>
          <w:szCs w:val="22"/>
          <w:lang w:eastAsia="en-GB"/>
        </w:rPr>
      </w:pPr>
      <w:r w:rsidRPr="001775D9">
        <w:rPr>
          <w:szCs w:val="22"/>
          <w:lang w:eastAsia="en-GB"/>
        </w:rPr>
        <w:t>No malignancies were observed in 249 paediatric patients with an exposure of 655.6 patient</w:t>
      </w:r>
      <w:r w:rsidR="003D4841" w:rsidRPr="001775D9">
        <w:rPr>
          <w:szCs w:val="22"/>
          <w:lang w:eastAsia="en-GB"/>
        </w:rPr>
        <w:t>-</w:t>
      </w:r>
      <w:r w:rsidRPr="001775D9">
        <w:rPr>
          <w:szCs w:val="22"/>
          <w:lang w:eastAsia="en-GB"/>
        </w:rPr>
        <w:t xml:space="preserve">years during </w:t>
      </w:r>
      <w:r w:rsidR="001E662F" w:rsidRPr="001775D9">
        <w:rPr>
          <w:rFonts w:eastAsia="Times New Roman"/>
          <w:color w:val="000000"/>
          <w:szCs w:val="22"/>
        </w:rPr>
        <w:t>adalimumab</w:t>
      </w:r>
      <w:r w:rsidRPr="001775D9">
        <w:rPr>
          <w:szCs w:val="22"/>
          <w:lang w:eastAsia="en-GB"/>
        </w:rPr>
        <w:t xml:space="preserve"> trials in patients with juvenile idiopathic arthritis (polyarticular juvenile idiopathic arthritis and enthesitis-related arthritis). In addition, no malignancies were observed in 192 paediatric patients with an exposure of </w:t>
      </w:r>
      <w:r w:rsidR="00397168" w:rsidRPr="001775D9">
        <w:rPr>
          <w:szCs w:val="22"/>
          <w:lang w:eastAsia="en-GB"/>
        </w:rPr>
        <w:t>498.1</w:t>
      </w:r>
      <w:r w:rsidRPr="001775D9">
        <w:rPr>
          <w:szCs w:val="22"/>
          <w:lang w:eastAsia="en-GB"/>
        </w:rPr>
        <w:t xml:space="preserve"> patient</w:t>
      </w:r>
      <w:r w:rsidR="00F250F4" w:rsidRPr="001775D9">
        <w:rPr>
          <w:szCs w:val="22"/>
          <w:lang w:eastAsia="en-GB"/>
        </w:rPr>
        <w:t>-</w:t>
      </w:r>
      <w:r w:rsidRPr="001775D9">
        <w:rPr>
          <w:szCs w:val="22"/>
          <w:lang w:eastAsia="en-GB"/>
        </w:rPr>
        <w:t>years during a</w:t>
      </w:r>
      <w:r w:rsidR="001E662F" w:rsidRPr="001775D9">
        <w:rPr>
          <w:szCs w:val="22"/>
          <w:lang w:eastAsia="en-GB"/>
        </w:rPr>
        <w:t>n</w:t>
      </w:r>
      <w:r w:rsidRPr="001775D9">
        <w:rPr>
          <w:szCs w:val="22"/>
          <w:lang w:eastAsia="en-GB"/>
        </w:rPr>
        <w:t xml:space="preserve"> </w:t>
      </w:r>
      <w:r w:rsidR="001E662F" w:rsidRPr="001775D9">
        <w:rPr>
          <w:rFonts w:eastAsia="Times New Roman"/>
          <w:color w:val="000000"/>
          <w:szCs w:val="22"/>
        </w:rPr>
        <w:t>adalimumab</w:t>
      </w:r>
      <w:r w:rsidRPr="001775D9">
        <w:rPr>
          <w:szCs w:val="22"/>
          <w:lang w:eastAsia="en-GB"/>
        </w:rPr>
        <w:t xml:space="preserve"> trial in paediatric patients with Crohn’s disease.</w:t>
      </w:r>
      <w:r w:rsidR="00A74632" w:rsidRPr="001775D9">
        <w:rPr>
          <w:szCs w:val="22"/>
          <w:lang w:eastAsia="en-GB"/>
        </w:rPr>
        <w:t xml:space="preserve"> </w:t>
      </w:r>
      <w:r w:rsidR="00A74632" w:rsidRPr="001775D9">
        <w:rPr>
          <w:szCs w:val="22"/>
        </w:rPr>
        <w:t>No malignancies were observed in 77 paediatric patients with an exposure of 80.0 patient</w:t>
      </w:r>
      <w:r w:rsidR="00F250F4" w:rsidRPr="001775D9">
        <w:rPr>
          <w:szCs w:val="22"/>
        </w:rPr>
        <w:t>-</w:t>
      </w:r>
      <w:r w:rsidR="00A74632" w:rsidRPr="001775D9">
        <w:rPr>
          <w:szCs w:val="22"/>
        </w:rPr>
        <w:t>years during a</w:t>
      </w:r>
      <w:r w:rsidR="004D552D" w:rsidRPr="001775D9">
        <w:rPr>
          <w:szCs w:val="22"/>
        </w:rPr>
        <w:t>n</w:t>
      </w:r>
      <w:r w:rsidR="00A74632" w:rsidRPr="001775D9">
        <w:rPr>
          <w:szCs w:val="22"/>
        </w:rPr>
        <w:t xml:space="preserve"> </w:t>
      </w:r>
      <w:r w:rsidR="004D552D" w:rsidRPr="001775D9">
        <w:rPr>
          <w:szCs w:val="22"/>
        </w:rPr>
        <w:t xml:space="preserve">adalimumab </w:t>
      </w:r>
      <w:r w:rsidR="00A74632" w:rsidRPr="001775D9">
        <w:rPr>
          <w:szCs w:val="22"/>
        </w:rPr>
        <w:t>trial</w:t>
      </w:r>
      <w:r w:rsidR="00B47BC0" w:rsidRPr="001775D9">
        <w:rPr>
          <w:szCs w:val="22"/>
        </w:rPr>
        <w:t xml:space="preserve"> </w:t>
      </w:r>
      <w:r w:rsidR="00A74632" w:rsidRPr="001775D9">
        <w:rPr>
          <w:szCs w:val="22"/>
        </w:rPr>
        <w:t>in paediatric patients with chronic plaque psoriasis</w:t>
      </w:r>
      <w:r w:rsidR="00ED47F9" w:rsidRPr="001775D9">
        <w:rPr>
          <w:szCs w:val="22"/>
          <w:lang w:eastAsia="en-GB"/>
        </w:rPr>
        <w:t>.</w:t>
      </w:r>
      <w:r w:rsidR="00551636" w:rsidRPr="001775D9">
        <w:rPr>
          <w:szCs w:val="22"/>
          <w:lang w:eastAsia="en-GB"/>
        </w:rPr>
        <w:t xml:space="preserve"> No malignancies were observed in 93 paediatric patients with an exposure of 65.3 patient years during </w:t>
      </w:r>
      <w:r w:rsidR="004217AF" w:rsidRPr="001775D9">
        <w:rPr>
          <w:szCs w:val="22"/>
          <w:lang w:eastAsia="en-GB"/>
        </w:rPr>
        <w:t xml:space="preserve">an </w:t>
      </w:r>
      <w:r w:rsidR="00551636" w:rsidRPr="001775D9">
        <w:rPr>
          <w:szCs w:val="22"/>
          <w:lang w:eastAsia="en-GB"/>
        </w:rPr>
        <w:t>adalimumab trial in paediatric patients with ulcerative colitis.</w:t>
      </w:r>
      <w:r w:rsidR="00F2208B" w:rsidRPr="001775D9">
        <w:rPr>
          <w:szCs w:val="22"/>
          <w:lang w:eastAsia="en-GB"/>
        </w:rPr>
        <w:t xml:space="preserve"> </w:t>
      </w:r>
      <w:r w:rsidR="003D4634" w:rsidRPr="001775D9">
        <w:rPr>
          <w:szCs w:val="22"/>
        </w:rPr>
        <w:t>No malignancies were observed in 60 paediatric patients with an exposure of 58.4 patient years during a</w:t>
      </w:r>
      <w:r w:rsidR="00D64F87" w:rsidRPr="001775D9">
        <w:rPr>
          <w:szCs w:val="22"/>
        </w:rPr>
        <w:t>n</w:t>
      </w:r>
      <w:r w:rsidR="003D4634" w:rsidRPr="001775D9">
        <w:rPr>
          <w:szCs w:val="22"/>
        </w:rPr>
        <w:t xml:space="preserve"> adalimumab trial in paediatric patients with uveitis.</w:t>
      </w:r>
    </w:p>
    <w:p w14:paraId="045A2DAF"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297357E" w14:textId="37113B33"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During the controlled portions of pivotal </w:t>
      </w:r>
      <w:r w:rsidR="001E662F" w:rsidRPr="001775D9">
        <w:rPr>
          <w:rFonts w:eastAsia="Times New Roman"/>
          <w:color w:val="000000"/>
          <w:szCs w:val="22"/>
        </w:rPr>
        <w:t>adalimumab</w:t>
      </w:r>
      <w:r w:rsidRPr="001775D9">
        <w:rPr>
          <w:szCs w:val="22"/>
          <w:lang w:eastAsia="en-GB"/>
        </w:rPr>
        <w:t xml:space="preserve"> trials in adults of at least 12 weeks in duration in patients with moderately to severely active rheumatoid arthritis, ankylosing spondylitis, axial spondyloarthritis without radiographic evidence of AS, psoriatic arthritis, psoriasis, </w:t>
      </w:r>
      <w:r w:rsidR="001E662F" w:rsidRPr="001775D9">
        <w:rPr>
          <w:szCs w:val="22"/>
          <w:lang w:eastAsia="en-GB"/>
        </w:rPr>
        <w:t xml:space="preserve">hidradenitis suppurativa, </w:t>
      </w:r>
      <w:r w:rsidRPr="001775D9">
        <w:rPr>
          <w:szCs w:val="22"/>
          <w:lang w:eastAsia="en-GB"/>
        </w:rPr>
        <w:t>Crohn’s disease</w:t>
      </w:r>
      <w:r w:rsidR="00F32658" w:rsidRPr="001775D9">
        <w:rPr>
          <w:szCs w:val="22"/>
          <w:lang w:eastAsia="en-GB"/>
        </w:rPr>
        <w:t>,</w:t>
      </w:r>
      <w:r w:rsidRPr="001775D9">
        <w:rPr>
          <w:szCs w:val="22"/>
          <w:lang w:eastAsia="en-GB"/>
        </w:rPr>
        <w:t xml:space="preserve"> ulcerative colitis</w:t>
      </w:r>
      <w:r w:rsidR="00F32658" w:rsidRPr="001775D9">
        <w:rPr>
          <w:szCs w:val="22"/>
          <w:lang w:eastAsia="en-GB"/>
        </w:rPr>
        <w:t xml:space="preserve"> and uveitis</w:t>
      </w:r>
      <w:r w:rsidRPr="001775D9">
        <w:rPr>
          <w:szCs w:val="22"/>
          <w:lang w:eastAsia="en-GB"/>
        </w:rPr>
        <w:t>, malignancies, other than lymphoma and non-melanoma skin cancer, were observed at a rate (95% confidence interval) of 6.</w:t>
      </w:r>
      <w:r w:rsidR="00F32658" w:rsidRPr="001775D9">
        <w:rPr>
          <w:szCs w:val="22"/>
          <w:lang w:eastAsia="en-GB"/>
        </w:rPr>
        <w:t>8</w:t>
      </w:r>
      <w:r w:rsidR="000F21EF" w:rsidRPr="001775D9">
        <w:rPr>
          <w:szCs w:val="22"/>
          <w:lang w:eastAsia="en-GB"/>
        </w:rPr>
        <w:t xml:space="preserve"> </w:t>
      </w:r>
      <w:r w:rsidRPr="001775D9">
        <w:rPr>
          <w:szCs w:val="22"/>
          <w:lang w:eastAsia="en-GB"/>
        </w:rPr>
        <w:t>(</w:t>
      </w:r>
      <w:r w:rsidR="00F32658" w:rsidRPr="001775D9">
        <w:rPr>
          <w:szCs w:val="22"/>
          <w:lang w:eastAsia="en-GB"/>
        </w:rPr>
        <w:t>4.4, 10.5</w:t>
      </w:r>
      <w:r w:rsidRPr="001775D9">
        <w:rPr>
          <w:szCs w:val="22"/>
          <w:lang w:eastAsia="en-GB"/>
        </w:rPr>
        <w:t xml:space="preserve">) per 1,000 patient-years among </w:t>
      </w:r>
      <w:r w:rsidR="000F21EF" w:rsidRPr="001775D9">
        <w:rPr>
          <w:szCs w:val="22"/>
          <w:lang w:eastAsia="en-GB"/>
        </w:rPr>
        <w:t>5,</w:t>
      </w:r>
      <w:r w:rsidR="00F32658" w:rsidRPr="001775D9">
        <w:rPr>
          <w:szCs w:val="22"/>
          <w:lang w:eastAsia="en-GB"/>
        </w:rPr>
        <w:t>291</w:t>
      </w:r>
      <w:r w:rsidRPr="001775D9">
        <w:rPr>
          <w:szCs w:val="22"/>
          <w:lang w:eastAsia="en-GB"/>
        </w:rPr>
        <w:t xml:space="preserve"> </w:t>
      </w:r>
      <w:r w:rsidR="001E662F" w:rsidRPr="001775D9">
        <w:rPr>
          <w:rFonts w:eastAsia="Times New Roman"/>
          <w:color w:val="000000"/>
          <w:szCs w:val="22"/>
        </w:rPr>
        <w:t>adalimumab</w:t>
      </w:r>
      <w:r w:rsidR="00A515F5" w:rsidRPr="001775D9">
        <w:rPr>
          <w:szCs w:val="22"/>
          <w:lang w:eastAsia="en-GB"/>
        </w:rPr>
        <w:t>-</w:t>
      </w:r>
      <w:r w:rsidRPr="001775D9">
        <w:rPr>
          <w:szCs w:val="22"/>
          <w:lang w:eastAsia="en-GB"/>
        </w:rPr>
        <w:t xml:space="preserve">treated patients </w:t>
      </w:r>
      <w:r w:rsidRPr="001775D9">
        <w:rPr>
          <w:iCs/>
          <w:szCs w:val="22"/>
          <w:lang w:eastAsia="en-GB"/>
        </w:rPr>
        <w:t xml:space="preserve">versus </w:t>
      </w:r>
      <w:r w:rsidRPr="001775D9">
        <w:rPr>
          <w:szCs w:val="22"/>
          <w:lang w:eastAsia="en-GB"/>
        </w:rPr>
        <w:t xml:space="preserve">a rate of </w:t>
      </w:r>
      <w:r w:rsidR="000F21EF" w:rsidRPr="001775D9">
        <w:rPr>
          <w:szCs w:val="22"/>
          <w:lang w:eastAsia="en-GB"/>
        </w:rPr>
        <w:t>6.</w:t>
      </w:r>
      <w:r w:rsidR="00F32658" w:rsidRPr="001775D9">
        <w:rPr>
          <w:szCs w:val="22"/>
          <w:lang w:eastAsia="en-GB"/>
        </w:rPr>
        <w:t>3</w:t>
      </w:r>
      <w:r w:rsidRPr="001775D9">
        <w:rPr>
          <w:szCs w:val="22"/>
          <w:lang w:eastAsia="en-GB"/>
        </w:rPr>
        <w:t xml:space="preserve"> (</w:t>
      </w:r>
      <w:r w:rsidR="000F21EF" w:rsidRPr="001775D9">
        <w:rPr>
          <w:szCs w:val="22"/>
          <w:lang w:eastAsia="en-GB"/>
        </w:rPr>
        <w:t>3.</w:t>
      </w:r>
      <w:r w:rsidR="00F32658" w:rsidRPr="001775D9">
        <w:rPr>
          <w:szCs w:val="22"/>
          <w:lang w:eastAsia="en-GB"/>
        </w:rPr>
        <w:t>4, 11.8</w:t>
      </w:r>
      <w:r w:rsidRPr="001775D9">
        <w:rPr>
          <w:szCs w:val="22"/>
          <w:lang w:eastAsia="en-GB"/>
        </w:rPr>
        <w:t xml:space="preserve">) per 1,000 patient-years among </w:t>
      </w:r>
      <w:r w:rsidR="000F21EF" w:rsidRPr="001775D9">
        <w:rPr>
          <w:szCs w:val="22"/>
          <w:lang w:eastAsia="en-GB"/>
        </w:rPr>
        <w:t>3,</w:t>
      </w:r>
      <w:r w:rsidR="00F32658" w:rsidRPr="001775D9">
        <w:rPr>
          <w:szCs w:val="22"/>
          <w:lang w:eastAsia="en-GB"/>
        </w:rPr>
        <w:t>444</w:t>
      </w:r>
      <w:r w:rsidRPr="001775D9">
        <w:rPr>
          <w:szCs w:val="22"/>
          <w:lang w:eastAsia="en-GB"/>
        </w:rPr>
        <w:t xml:space="preserve"> control patients (median duration of treatment was </w:t>
      </w:r>
      <w:r w:rsidR="000F21EF" w:rsidRPr="001775D9">
        <w:rPr>
          <w:szCs w:val="22"/>
          <w:lang w:eastAsia="en-GB"/>
        </w:rPr>
        <w:t>4.0</w:t>
      </w:r>
      <w:r w:rsidRPr="001775D9">
        <w:rPr>
          <w:szCs w:val="22"/>
          <w:lang w:eastAsia="en-GB"/>
        </w:rPr>
        <w:t xml:space="preserve"> months for </w:t>
      </w:r>
      <w:r w:rsidR="001E662F" w:rsidRPr="001775D9">
        <w:rPr>
          <w:rFonts w:eastAsia="Times New Roman"/>
          <w:color w:val="000000"/>
          <w:szCs w:val="22"/>
        </w:rPr>
        <w:t>adalimumab</w:t>
      </w:r>
      <w:r w:rsidRPr="001775D9">
        <w:rPr>
          <w:szCs w:val="22"/>
          <w:lang w:eastAsia="en-GB"/>
        </w:rPr>
        <w:t xml:space="preserve"> and </w:t>
      </w:r>
      <w:r w:rsidR="000F21EF" w:rsidRPr="001775D9">
        <w:rPr>
          <w:szCs w:val="22"/>
          <w:lang w:eastAsia="en-GB"/>
        </w:rPr>
        <w:t>3.</w:t>
      </w:r>
      <w:r w:rsidR="00F32658" w:rsidRPr="001775D9">
        <w:rPr>
          <w:szCs w:val="22"/>
          <w:lang w:eastAsia="en-GB"/>
        </w:rPr>
        <w:t>8</w:t>
      </w:r>
      <w:r w:rsidRPr="001775D9">
        <w:rPr>
          <w:szCs w:val="22"/>
          <w:lang w:eastAsia="en-GB"/>
        </w:rPr>
        <w:t xml:space="preserve"> months for control-treated patients). The rate (95% confidence interval) of non-melanoma skin cancers was </w:t>
      </w:r>
      <w:r w:rsidR="00F32658" w:rsidRPr="001775D9">
        <w:rPr>
          <w:szCs w:val="22"/>
          <w:lang w:eastAsia="en-GB"/>
        </w:rPr>
        <w:t>8.8</w:t>
      </w:r>
      <w:r w:rsidR="000F21EF" w:rsidRPr="001775D9">
        <w:rPr>
          <w:szCs w:val="22"/>
          <w:lang w:eastAsia="en-GB"/>
        </w:rPr>
        <w:t xml:space="preserve"> </w:t>
      </w:r>
      <w:r w:rsidRPr="001775D9">
        <w:rPr>
          <w:szCs w:val="22"/>
          <w:lang w:eastAsia="en-GB"/>
        </w:rPr>
        <w:t>(6.</w:t>
      </w:r>
      <w:r w:rsidR="00F32658" w:rsidRPr="001775D9">
        <w:rPr>
          <w:szCs w:val="22"/>
          <w:lang w:eastAsia="en-GB"/>
        </w:rPr>
        <w:t>0</w:t>
      </w:r>
      <w:r w:rsidRPr="001775D9">
        <w:rPr>
          <w:szCs w:val="22"/>
          <w:lang w:eastAsia="en-GB"/>
        </w:rPr>
        <w:t xml:space="preserve">, </w:t>
      </w:r>
      <w:r w:rsidR="000F21EF" w:rsidRPr="001775D9">
        <w:rPr>
          <w:szCs w:val="22"/>
          <w:lang w:eastAsia="en-GB"/>
        </w:rPr>
        <w:t>13</w:t>
      </w:r>
      <w:r w:rsidRPr="001775D9">
        <w:rPr>
          <w:szCs w:val="22"/>
          <w:lang w:eastAsia="en-GB"/>
        </w:rPr>
        <w:t>.</w:t>
      </w:r>
      <w:r w:rsidR="00F32658" w:rsidRPr="001775D9">
        <w:rPr>
          <w:szCs w:val="22"/>
          <w:lang w:eastAsia="en-GB"/>
        </w:rPr>
        <w:t>0</w:t>
      </w:r>
      <w:r w:rsidRPr="001775D9">
        <w:rPr>
          <w:szCs w:val="22"/>
          <w:lang w:eastAsia="en-GB"/>
        </w:rPr>
        <w:t xml:space="preserve">) per 1,000 patient-years among </w:t>
      </w:r>
      <w:r w:rsidR="001E662F" w:rsidRPr="001775D9">
        <w:rPr>
          <w:rFonts w:eastAsia="Times New Roman"/>
          <w:color w:val="000000"/>
          <w:szCs w:val="22"/>
        </w:rPr>
        <w:t>adalimumab</w:t>
      </w:r>
      <w:r w:rsidRPr="001775D9">
        <w:rPr>
          <w:szCs w:val="22"/>
          <w:lang w:eastAsia="en-GB"/>
        </w:rPr>
        <w:t xml:space="preserve">-treated patients and </w:t>
      </w:r>
      <w:r w:rsidR="000F21EF" w:rsidRPr="001775D9">
        <w:rPr>
          <w:szCs w:val="22"/>
          <w:lang w:eastAsia="en-GB"/>
        </w:rPr>
        <w:t>3.</w:t>
      </w:r>
      <w:r w:rsidR="00F32658" w:rsidRPr="001775D9">
        <w:rPr>
          <w:szCs w:val="22"/>
          <w:lang w:eastAsia="en-GB"/>
        </w:rPr>
        <w:t>2</w:t>
      </w:r>
      <w:r w:rsidRPr="001775D9">
        <w:rPr>
          <w:szCs w:val="22"/>
          <w:lang w:eastAsia="en-GB"/>
        </w:rPr>
        <w:t xml:space="preserve"> (</w:t>
      </w:r>
      <w:r w:rsidR="000F21EF" w:rsidRPr="001775D9">
        <w:rPr>
          <w:szCs w:val="22"/>
          <w:lang w:eastAsia="en-GB"/>
        </w:rPr>
        <w:t>1</w:t>
      </w:r>
      <w:r w:rsidRPr="001775D9">
        <w:rPr>
          <w:szCs w:val="22"/>
          <w:lang w:eastAsia="en-GB"/>
        </w:rPr>
        <w:t>.</w:t>
      </w:r>
      <w:r w:rsidR="00F32658" w:rsidRPr="001775D9">
        <w:rPr>
          <w:szCs w:val="22"/>
          <w:lang w:eastAsia="en-GB"/>
        </w:rPr>
        <w:t>3</w:t>
      </w:r>
      <w:r w:rsidRPr="001775D9">
        <w:rPr>
          <w:szCs w:val="22"/>
          <w:lang w:eastAsia="en-GB"/>
        </w:rPr>
        <w:t xml:space="preserve">, </w:t>
      </w:r>
      <w:r w:rsidR="00F32658" w:rsidRPr="001775D9">
        <w:rPr>
          <w:szCs w:val="22"/>
          <w:lang w:eastAsia="en-GB"/>
        </w:rPr>
        <w:t>7.6</w:t>
      </w:r>
      <w:r w:rsidRPr="001775D9">
        <w:rPr>
          <w:szCs w:val="22"/>
          <w:lang w:eastAsia="en-GB"/>
        </w:rPr>
        <w:t>) per 1,000 patient-years among control patients. Of these skin cancers, squamous cell carcinomas occurred at rates (95% confidence interval) of 2.</w:t>
      </w:r>
      <w:r w:rsidR="00F32658" w:rsidRPr="001775D9">
        <w:rPr>
          <w:szCs w:val="22"/>
          <w:lang w:eastAsia="en-GB"/>
        </w:rPr>
        <w:t>7</w:t>
      </w:r>
      <w:r w:rsidR="000F21EF" w:rsidRPr="001775D9">
        <w:rPr>
          <w:szCs w:val="22"/>
          <w:lang w:eastAsia="en-GB"/>
        </w:rPr>
        <w:t xml:space="preserve"> </w:t>
      </w:r>
      <w:r w:rsidRPr="001775D9">
        <w:rPr>
          <w:szCs w:val="22"/>
          <w:lang w:eastAsia="en-GB"/>
        </w:rPr>
        <w:t>(1.</w:t>
      </w:r>
      <w:r w:rsidR="00F32658" w:rsidRPr="001775D9">
        <w:rPr>
          <w:szCs w:val="22"/>
          <w:lang w:eastAsia="en-GB"/>
        </w:rPr>
        <w:t>4</w:t>
      </w:r>
      <w:r w:rsidRPr="001775D9">
        <w:rPr>
          <w:szCs w:val="22"/>
          <w:lang w:eastAsia="en-GB"/>
        </w:rPr>
        <w:t>, 5.</w:t>
      </w:r>
      <w:r w:rsidR="00F32658" w:rsidRPr="001775D9">
        <w:rPr>
          <w:szCs w:val="22"/>
          <w:lang w:eastAsia="en-GB"/>
        </w:rPr>
        <w:t>4</w:t>
      </w:r>
      <w:r w:rsidRPr="001775D9">
        <w:rPr>
          <w:szCs w:val="22"/>
          <w:lang w:eastAsia="en-GB"/>
        </w:rPr>
        <w:t xml:space="preserve">) per 1,000 patient-years among </w:t>
      </w:r>
      <w:r w:rsidR="001E662F" w:rsidRPr="001775D9">
        <w:rPr>
          <w:rFonts w:eastAsia="Times New Roman"/>
          <w:color w:val="000000"/>
          <w:szCs w:val="22"/>
        </w:rPr>
        <w:t>adalimumab</w:t>
      </w:r>
      <w:r w:rsidRPr="001775D9">
        <w:rPr>
          <w:szCs w:val="22"/>
          <w:lang w:eastAsia="en-GB"/>
        </w:rPr>
        <w:t>-treated patients and 0.</w:t>
      </w:r>
      <w:r w:rsidR="00F32658" w:rsidRPr="001775D9">
        <w:rPr>
          <w:szCs w:val="22"/>
          <w:lang w:eastAsia="en-GB"/>
        </w:rPr>
        <w:t>6</w:t>
      </w:r>
      <w:r w:rsidRPr="001775D9">
        <w:rPr>
          <w:szCs w:val="22"/>
          <w:lang w:eastAsia="en-GB"/>
        </w:rPr>
        <w:t xml:space="preserve"> (0.1, </w:t>
      </w:r>
      <w:r w:rsidR="000F21EF" w:rsidRPr="001775D9">
        <w:rPr>
          <w:szCs w:val="22"/>
          <w:lang w:eastAsia="en-GB"/>
        </w:rPr>
        <w:t>4.</w:t>
      </w:r>
      <w:r w:rsidR="00F32658" w:rsidRPr="001775D9">
        <w:rPr>
          <w:szCs w:val="22"/>
          <w:lang w:eastAsia="en-GB"/>
        </w:rPr>
        <w:t>5</w:t>
      </w:r>
      <w:r w:rsidRPr="001775D9">
        <w:rPr>
          <w:szCs w:val="22"/>
          <w:lang w:eastAsia="en-GB"/>
        </w:rPr>
        <w:t xml:space="preserve">) per 1,000 patient-years among control patients. The rate (95% confidence interval) of lymphomas was 0.7 (0.2, </w:t>
      </w:r>
      <w:r w:rsidR="000F21EF" w:rsidRPr="001775D9">
        <w:rPr>
          <w:szCs w:val="22"/>
          <w:lang w:eastAsia="en-GB"/>
        </w:rPr>
        <w:t>2.</w:t>
      </w:r>
      <w:r w:rsidR="00F32658" w:rsidRPr="001775D9">
        <w:rPr>
          <w:szCs w:val="22"/>
          <w:lang w:eastAsia="en-GB"/>
        </w:rPr>
        <w:t>7</w:t>
      </w:r>
      <w:r w:rsidRPr="001775D9">
        <w:rPr>
          <w:szCs w:val="22"/>
          <w:lang w:eastAsia="en-GB"/>
        </w:rPr>
        <w:t xml:space="preserve">) per 1,000 patient-years among </w:t>
      </w:r>
      <w:r w:rsidR="001E662F" w:rsidRPr="001775D9">
        <w:rPr>
          <w:rFonts w:eastAsia="Times New Roman"/>
          <w:color w:val="000000"/>
          <w:szCs w:val="22"/>
        </w:rPr>
        <w:t>adalimumab</w:t>
      </w:r>
      <w:r w:rsidRPr="001775D9">
        <w:rPr>
          <w:szCs w:val="22"/>
          <w:lang w:eastAsia="en-GB"/>
        </w:rPr>
        <w:t xml:space="preserve">-treated patients and </w:t>
      </w:r>
      <w:r w:rsidR="000F21EF" w:rsidRPr="001775D9">
        <w:rPr>
          <w:szCs w:val="22"/>
          <w:lang w:eastAsia="en-GB"/>
        </w:rPr>
        <w:t>0.</w:t>
      </w:r>
      <w:r w:rsidR="00F32658" w:rsidRPr="001775D9">
        <w:rPr>
          <w:szCs w:val="22"/>
          <w:lang w:eastAsia="en-GB"/>
        </w:rPr>
        <w:t>6</w:t>
      </w:r>
      <w:r w:rsidRPr="001775D9">
        <w:rPr>
          <w:szCs w:val="22"/>
          <w:lang w:eastAsia="en-GB"/>
        </w:rPr>
        <w:t xml:space="preserve"> (0.</w:t>
      </w:r>
      <w:r w:rsidR="000F21EF" w:rsidRPr="001775D9">
        <w:rPr>
          <w:szCs w:val="22"/>
          <w:lang w:eastAsia="en-GB"/>
        </w:rPr>
        <w:t>1</w:t>
      </w:r>
      <w:r w:rsidRPr="001775D9">
        <w:rPr>
          <w:szCs w:val="22"/>
          <w:lang w:eastAsia="en-GB"/>
        </w:rPr>
        <w:t xml:space="preserve">, </w:t>
      </w:r>
      <w:r w:rsidR="000F21EF" w:rsidRPr="001775D9">
        <w:rPr>
          <w:szCs w:val="22"/>
          <w:lang w:eastAsia="en-GB"/>
        </w:rPr>
        <w:t>4.</w:t>
      </w:r>
      <w:r w:rsidR="00F32658" w:rsidRPr="001775D9">
        <w:rPr>
          <w:szCs w:val="22"/>
          <w:lang w:eastAsia="en-GB"/>
        </w:rPr>
        <w:t>5</w:t>
      </w:r>
      <w:r w:rsidRPr="001775D9">
        <w:rPr>
          <w:szCs w:val="22"/>
          <w:lang w:eastAsia="en-GB"/>
        </w:rPr>
        <w:t xml:space="preserve">) per 1,000 patient-years among control patients. </w:t>
      </w:r>
    </w:p>
    <w:p w14:paraId="4DEBEEF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F3BBC3E" w14:textId="509F43D8" w:rsidR="00C42229" w:rsidRPr="001775D9" w:rsidRDefault="00C42229" w:rsidP="001E5C68">
      <w:pPr>
        <w:tabs>
          <w:tab w:val="clear" w:pos="567"/>
        </w:tabs>
        <w:autoSpaceDE w:val="0"/>
        <w:autoSpaceDN w:val="0"/>
        <w:adjustRightInd w:val="0"/>
        <w:spacing w:line="240" w:lineRule="auto"/>
        <w:rPr>
          <w:szCs w:val="22"/>
          <w:lang w:eastAsia="en-GB"/>
        </w:rPr>
      </w:pPr>
      <w:r w:rsidRPr="001775D9">
        <w:rPr>
          <w:szCs w:val="22"/>
          <w:lang w:eastAsia="en-GB"/>
        </w:rPr>
        <w:t>When combining controlled portions of these trials and ongoing and completed open</w:t>
      </w:r>
      <w:r w:rsidR="00E556D2" w:rsidRPr="001775D9">
        <w:rPr>
          <w:szCs w:val="22"/>
          <w:lang w:eastAsia="en-GB"/>
        </w:rPr>
        <w:t>-</w:t>
      </w:r>
      <w:r w:rsidRPr="001775D9">
        <w:rPr>
          <w:szCs w:val="22"/>
          <w:lang w:eastAsia="en-GB"/>
        </w:rPr>
        <w:t>label extension studies</w:t>
      </w:r>
      <w:r w:rsidR="001E662F" w:rsidRPr="001775D9">
        <w:rPr>
          <w:szCs w:val="22"/>
          <w:lang w:eastAsia="en-GB"/>
        </w:rPr>
        <w:t xml:space="preserve"> of adalimumab</w:t>
      </w:r>
      <w:r w:rsidR="00B47BC0" w:rsidRPr="001775D9">
        <w:rPr>
          <w:szCs w:val="22"/>
          <w:lang w:eastAsia="en-GB"/>
        </w:rPr>
        <w:t xml:space="preserve">, </w:t>
      </w:r>
      <w:r w:rsidRPr="001775D9">
        <w:rPr>
          <w:szCs w:val="22"/>
          <w:lang w:eastAsia="en-GB"/>
        </w:rPr>
        <w:t>with a median duration of approximately 3.</w:t>
      </w:r>
      <w:r w:rsidR="00F32658" w:rsidRPr="001775D9">
        <w:rPr>
          <w:szCs w:val="22"/>
          <w:lang w:eastAsia="en-GB"/>
        </w:rPr>
        <w:t>3</w:t>
      </w:r>
      <w:r w:rsidRPr="001775D9">
        <w:rPr>
          <w:szCs w:val="22"/>
          <w:lang w:eastAsia="en-GB"/>
        </w:rPr>
        <w:t xml:space="preserve"> years including </w:t>
      </w:r>
      <w:r w:rsidR="000F21EF" w:rsidRPr="001775D9">
        <w:rPr>
          <w:szCs w:val="22"/>
          <w:lang w:eastAsia="en-GB"/>
        </w:rPr>
        <w:t>6,</w:t>
      </w:r>
      <w:r w:rsidR="00F32658" w:rsidRPr="001775D9">
        <w:rPr>
          <w:szCs w:val="22"/>
          <w:lang w:eastAsia="en-GB"/>
        </w:rPr>
        <w:t>427</w:t>
      </w:r>
      <w:r w:rsidRPr="001775D9">
        <w:rPr>
          <w:szCs w:val="22"/>
          <w:lang w:eastAsia="en-GB"/>
        </w:rPr>
        <w:t xml:space="preserve"> patients and over </w:t>
      </w:r>
      <w:r w:rsidR="00F32658" w:rsidRPr="001775D9">
        <w:rPr>
          <w:szCs w:val="22"/>
          <w:lang w:eastAsia="en-GB"/>
        </w:rPr>
        <w:t>26,439</w:t>
      </w:r>
      <w:r w:rsidRPr="001775D9">
        <w:rPr>
          <w:szCs w:val="22"/>
          <w:lang w:eastAsia="en-GB"/>
        </w:rPr>
        <w:t xml:space="preserve"> patient-years of therapy, the observed rate of malignancies, other than lymphoma and non-melanoma skin cancers is approximately</w:t>
      </w:r>
      <w:r w:rsidR="000F21EF" w:rsidRPr="001775D9">
        <w:rPr>
          <w:szCs w:val="22"/>
          <w:lang w:eastAsia="en-GB"/>
        </w:rPr>
        <w:t xml:space="preserve"> </w:t>
      </w:r>
      <w:r w:rsidRPr="001775D9">
        <w:rPr>
          <w:szCs w:val="22"/>
          <w:lang w:eastAsia="en-GB"/>
        </w:rPr>
        <w:t>8.</w:t>
      </w:r>
      <w:r w:rsidR="000F21EF" w:rsidRPr="001775D9">
        <w:rPr>
          <w:szCs w:val="22"/>
          <w:lang w:eastAsia="en-GB"/>
        </w:rPr>
        <w:t xml:space="preserve">5 </w:t>
      </w:r>
      <w:r w:rsidRPr="001775D9">
        <w:rPr>
          <w:szCs w:val="22"/>
          <w:lang w:eastAsia="en-GB"/>
        </w:rPr>
        <w:t>per 1,000 patient</w:t>
      </w:r>
      <w:r w:rsidR="00F250F4" w:rsidRPr="001775D9">
        <w:rPr>
          <w:szCs w:val="22"/>
          <w:lang w:eastAsia="en-GB"/>
        </w:rPr>
        <w:t>-</w:t>
      </w:r>
      <w:r w:rsidRPr="001775D9">
        <w:rPr>
          <w:szCs w:val="22"/>
          <w:lang w:eastAsia="en-GB"/>
        </w:rPr>
        <w:t xml:space="preserve">years. The observed rate of non-melanoma skin cancers is approximately </w:t>
      </w:r>
      <w:r w:rsidR="0071047A" w:rsidRPr="001775D9">
        <w:rPr>
          <w:szCs w:val="22"/>
          <w:lang w:eastAsia="en-GB"/>
        </w:rPr>
        <w:t>9.</w:t>
      </w:r>
      <w:r w:rsidR="00F32658" w:rsidRPr="001775D9">
        <w:rPr>
          <w:szCs w:val="22"/>
          <w:lang w:eastAsia="en-GB"/>
        </w:rPr>
        <w:t>6</w:t>
      </w:r>
      <w:r w:rsidRPr="001775D9">
        <w:rPr>
          <w:szCs w:val="22"/>
          <w:lang w:eastAsia="en-GB"/>
        </w:rPr>
        <w:t xml:space="preserve"> per 1,000 patient</w:t>
      </w:r>
      <w:r w:rsidR="00F250F4" w:rsidRPr="001775D9">
        <w:rPr>
          <w:szCs w:val="22"/>
          <w:lang w:eastAsia="en-GB"/>
        </w:rPr>
        <w:t>-</w:t>
      </w:r>
      <w:r w:rsidRPr="001775D9">
        <w:rPr>
          <w:szCs w:val="22"/>
          <w:lang w:eastAsia="en-GB"/>
        </w:rPr>
        <w:t>years, and the observed rate of lymphomas is approximately 1.</w:t>
      </w:r>
      <w:r w:rsidR="0071047A" w:rsidRPr="001775D9">
        <w:rPr>
          <w:szCs w:val="22"/>
          <w:lang w:eastAsia="en-GB"/>
        </w:rPr>
        <w:t xml:space="preserve">3 </w:t>
      </w:r>
      <w:r w:rsidRPr="001775D9">
        <w:rPr>
          <w:szCs w:val="22"/>
          <w:lang w:eastAsia="en-GB"/>
        </w:rPr>
        <w:t>per 1,000 patient</w:t>
      </w:r>
      <w:r w:rsidR="00F250F4" w:rsidRPr="001775D9">
        <w:rPr>
          <w:szCs w:val="22"/>
          <w:lang w:eastAsia="en-GB"/>
        </w:rPr>
        <w:t>-</w:t>
      </w:r>
      <w:r w:rsidRPr="001775D9">
        <w:rPr>
          <w:szCs w:val="22"/>
          <w:lang w:eastAsia="en-GB"/>
        </w:rPr>
        <w:t xml:space="preserve">years. </w:t>
      </w:r>
    </w:p>
    <w:p w14:paraId="61B1850A" w14:textId="77777777" w:rsidR="00C42229" w:rsidRPr="001775D9" w:rsidRDefault="00C42229" w:rsidP="00FB5458">
      <w:pPr>
        <w:spacing w:line="240" w:lineRule="auto"/>
        <w:rPr>
          <w:szCs w:val="22"/>
          <w:lang w:eastAsia="en-GB"/>
        </w:rPr>
      </w:pPr>
    </w:p>
    <w:p w14:paraId="7249CDD6" w14:textId="2AE6E035" w:rsidR="00C42229" w:rsidRPr="001775D9" w:rsidRDefault="00C42229" w:rsidP="00FB5458">
      <w:pPr>
        <w:spacing w:line="240" w:lineRule="auto"/>
        <w:rPr>
          <w:szCs w:val="22"/>
        </w:rPr>
      </w:pPr>
      <w:r w:rsidRPr="001775D9">
        <w:rPr>
          <w:szCs w:val="22"/>
          <w:lang w:eastAsia="en-GB"/>
        </w:rPr>
        <w:t xml:space="preserve">In post-marketing experience from January 2003 to December 2010, predominantly in patients with rheumatoid arthritis, the </w:t>
      </w:r>
      <w:r w:rsidR="00474C20" w:rsidRPr="001775D9">
        <w:t xml:space="preserve">spontaneously </w:t>
      </w:r>
      <w:r w:rsidRPr="001775D9">
        <w:rPr>
          <w:szCs w:val="22"/>
          <w:lang w:eastAsia="en-GB"/>
        </w:rPr>
        <w:t xml:space="preserve">reported rate of malignancies is approximately 2.7 per 1,000 patient treatment years. The </w:t>
      </w:r>
      <w:r w:rsidR="00474C20" w:rsidRPr="001775D9">
        <w:t xml:space="preserve">spontaneously </w:t>
      </w:r>
      <w:r w:rsidRPr="001775D9">
        <w:rPr>
          <w:szCs w:val="22"/>
          <w:lang w:eastAsia="en-GB"/>
        </w:rPr>
        <w:t>reported rates for non-melanoma skin cancers and lymphomas are approximately 0.2 and 0.</w:t>
      </w:r>
      <w:r w:rsidRPr="001775D9">
        <w:rPr>
          <w:color w:val="000000"/>
          <w:szCs w:val="22"/>
          <w:lang w:eastAsia="en-GB"/>
        </w:rPr>
        <w:t>3 per 1,000 patient treatment years, respectively (see section 4.4).</w:t>
      </w:r>
    </w:p>
    <w:p w14:paraId="146A7897" w14:textId="77777777" w:rsidR="00C42229" w:rsidRPr="001775D9" w:rsidRDefault="00C42229" w:rsidP="00FB5458">
      <w:pPr>
        <w:spacing w:line="240" w:lineRule="auto"/>
        <w:rPr>
          <w:szCs w:val="22"/>
        </w:rPr>
      </w:pPr>
    </w:p>
    <w:p w14:paraId="53A0F76B"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post-marketing cases of hepatosplenic T-cell lymphoma have been reported in patients treated with adalimumab (see section 4.4). </w:t>
      </w:r>
    </w:p>
    <w:p w14:paraId="6140B769"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0AC9146F" w14:textId="77777777" w:rsidR="00C42229" w:rsidRPr="001775D9" w:rsidRDefault="00C42229" w:rsidP="00FB5458">
      <w:pPr>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Autoantibodies </w:t>
      </w:r>
    </w:p>
    <w:p w14:paraId="5F219F45"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27E7F5B5" w14:textId="4A055A8C" w:rsidR="00B47BC0" w:rsidRPr="001775D9" w:rsidRDefault="00B47BC0" w:rsidP="00FB5458">
      <w:pPr>
        <w:tabs>
          <w:tab w:val="clear" w:pos="567"/>
        </w:tabs>
        <w:autoSpaceDE w:val="0"/>
        <w:autoSpaceDN w:val="0"/>
        <w:adjustRightInd w:val="0"/>
        <w:spacing w:line="240" w:lineRule="auto"/>
        <w:rPr>
          <w:color w:val="000000"/>
          <w:szCs w:val="22"/>
          <w:lang w:eastAsia="en-GB"/>
        </w:rPr>
      </w:pPr>
      <w:r w:rsidRPr="001775D9">
        <w:rPr>
          <w:color w:val="000000"/>
          <w:szCs w:val="22"/>
        </w:rPr>
        <w:t>Patients had serum samples tested for autoantibodies at multiple time points in rheumatoid arthritis studies I−V. In these trials, 11.9% of patients treated with</w:t>
      </w:r>
      <w:r w:rsidR="001E662F" w:rsidRPr="001775D9">
        <w:rPr>
          <w:szCs w:val="22"/>
          <w:lang w:eastAsia="en-GB"/>
        </w:rPr>
        <w:t xml:space="preserve"> </w:t>
      </w:r>
      <w:r w:rsidR="001E662F" w:rsidRPr="001775D9">
        <w:rPr>
          <w:rFonts w:eastAsia="Times New Roman"/>
          <w:color w:val="000000"/>
          <w:szCs w:val="22"/>
        </w:rPr>
        <w:t>adalimumab</w:t>
      </w:r>
      <w:r w:rsidR="001E662F" w:rsidRPr="001775D9">
        <w:rPr>
          <w:szCs w:val="22"/>
          <w:lang w:eastAsia="en-GB"/>
        </w:rPr>
        <w:t xml:space="preserve"> </w:t>
      </w:r>
      <w:r w:rsidRPr="001775D9">
        <w:rPr>
          <w:color w:val="000000"/>
          <w:szCs w:val="22"/>
        </w:rPr>
        <w:t>and 8.1% of placebo and active control</w:t>
      </w:r>
      <w:r w:rsidR="004C348A" w:rsidRPr="001775D9">
        <w:rPr>
          <w:szCs w:val="22"/>
          <w:lang w:eastAsia="en-GB"/>
        </w:rPr>
        <w:t>-</w:t>
      </w:r>
      <w:r w:rsidRPr="001775D9">
        <w:rPr>
          <w:color w:val="000000"/>
          <w:szCs w:val="22"/>
        </w:rPr>
        <w:t xml:space="preserve">treated patients that had negative baseline anti-nuclear antibody titres reported positive titres at </w:t>
      </w:r>
      <w:r w:rsidR="009D37CE" w:rsidRPr="001775D9">
        <w:rPr>
          <w:color w:val="000000"/>
          <w:szCs w:val="22"/>
        </w:rPr>
        <w:t>w</w:t>
      </w:r>
      <w:r w:rsidRPr="001775D9">
        <w:rPr>
          <w:color w:val="000000"/>
          <w:szCs w:val="22"/>
        </w:rPr>
        <w:t xml:space="preserve">eek 24. Two patients out of 3,441 treated with </w:t>
      </w:r>
      <w:r w:rsidR="001E662F" w:rsidRPr="001775D9">
        <w:rPr>
          <w:rFonts w:eastAsia="Times New Roman"/>
          <w:color w:val="000000"/>
          <w:szCs w:val="22"/>
        </w:rPr>
        <w:t>adalimumab</w:t>
      </w:r>
      <w:r w:rsidRPr="001775D9">
        <w:rPr>
          <w:color w:val="000000"/>
          <w:szCs w:val="22"/>
        </w:rPr>
        <w:t xml:space="preserve"> in all rheumatoid arthritis and psoriatic arthritis studies developed clinical signs suggestive of new</w:t>
      </w:r>
      <w:r w:rsidR="00404E3B" w:rsidRPr="001775D9">
        <w:rPr>
          <w:color w:val="000000"/>
          <w:szCs w:val="22"/>
        </w:rPr>
        <w:t xml:space="preserve"> </w:t>
      </w:r>
      <w:r w:rsidRPr="001775D9">
        <w:rPr>
          <w:color w:val="000000"/>
          <w:szCs w:val="22"/>
        </w:rPr>
        <w:t>onset lupus-like syndrome. The patients improved following discontinuation of therapy. No patients developed lupus nephritis or central nervous system symptoms.</w:t>
      </w:r>
    </w:p>
    <w:p w14:paraId="08C9D9DA" w14:textId="77777777" w:rsidR="00B47BC0" w:rsidRPr="001775D9" w:rsidRDefault="00B47BC0" w:rsidP="00FB5458">
      <w:pPr>
        <w:tabs>
          <w:tab w:val="clear" w:pos="567"/>
        </w:tabs>
        <w:autoSpaceDE w:val="0"/>
        <w:autoSpaceDN w:val="0"/>
        <w:adjustRightInd w:val="0"/>
        <w:spacing w:line="240" w:lineRule="auto"/>
        <w:rPr>
          <w:color w:val="000000"/>
          <w:szCs w:val="22"/>
          <w:u w:val="single"/>
          <w:lang w:eastAsia="en-GB"/>
        </w:rPr>
      </w:pPr>
    </w:p>
    <w:p w14:paraId="42B74368" w14:textId="0D6E2F18" w:rsidR="00C42229" w:rsidRPr="001775D9" w:rsidRDefault="00C42229" w:rsidP="00E0250B">
      <w:pPr>
        <w:keepNext/>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Hepatobiliary events </w:t>
      </w:r>
    </w:p>
    <w:p w14:paraId="0BA1C400" w14:textId="77777777" w:rsidR="00C42229" w:rsidRPr="001775D9" w:rsidRDefault="00C42229" w:rsidP="00E0250B">
      <w:pPr>
        <w:keepNext/>
        <w:tabs>
          <w:tab w:val="clear" w:pos="567"/>
        </w:tabs>
        <w:autoSpaceDE w:val="0"/>
        <w:autoSpaceDN w:val="0"/>
        <w:adjustRightInd w:val="0"/>
        <w:spacing w:line="240" w:lineRule="auto"/>
        <w:rPr>
          <w:color w:val="000000"/>
          <w:szCs w:val="22"/>
          <w:lang w:eastAsia="en-GB"/>
        </w:rPr>
      </w:pPr>
    </w:p>
    <w:p w14:paraId="57E8F7F5" w14:textId="2358E9CF" w:rsidR="00C42229" w:rsidRPr="001775D9" w:rsidRDefault="00C42229" w:rsidP="00FB5458">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In controlled </w:t>
      </w:r>
      <w:r w:rsidR="009D37CE" w:rsidRPr="001775D9">
        <w:rPr>
          <w:color w:val="000000"/>
          <w:szCs w:val="22"/>
          <w:lang w:eastAsia="en-GB"/>
        </w:rPr>
        <w:t>p</w:t>
      </w:r>
      <w:r w:rsidR="00231B88" w:rsidRPr="001775D9">
        <w:rPr>
          <w:color w:val="000000"/>
          <w:szCs w:val="22"/>
          <w:lang w:eastAsia="en-GB"/>
        </w:rPr>
        <w:t xml:space="preserve">hase </w:t>
      </w:r>
      <w:r w:rsidRPr="001775D9">
        <w:rPr>
          <w:szCs w:val="22"/>
          <w:lang w:eastAsia="en-GB"/>
        </w:rPr>
        <w:t xml:space="preserve">3 trials of </w:t>
      </w:r>
      <w:r w:rsidR="001E662F" w:rsidRPr="001775D9">
        <w:rPr>
          <w:rFonts w:eastAsia="Times New Roman"/>
          <w:color w:val="000000"/>
          <w:szCs w:val="22"/>
        </w:rPr>
        <w:t>adalimumab</w:t>
      </w:r>
      <w:r w:rsidRPr="001775D9">
        <w:rPr>
          <w:szCs w:val="22"/>
          <w:lang w:eastAsia="en-GB"/>
        </w:rPr>
        <w:t xml:space="preserve"> in patients with rheumatoid arthritis and psoriatic arthritis with a control period duration ranging from 4 to 104 weeks, ALT elevations ≥</w:t>
      </w:r>
      <w:r w:rsidRPr="001775D9">
        <w:rPr>
          <w:szCs w:val="22"/>
        </w:rPr>
        <w:t> </w:t>
      </w:r>
      <w:r w:rsidRPr="001775D9">
        <w:rPr>
          <w:szCs w:val="22"/>
          <w:lang w:eastAsia="en-GB"/>
        </w:rPr>
        <w:t xml:space="preserve">3 x ULN occurred in 3.7% of </w:t>
      </w:r>
      <w:r w:rsidR="001E662F" w:rsidRPr="001775D9">
        <w:rPr>
          <w:rFonts w:eastAsia="Times New Roman"/>
          <w:color w:val="000000"/>
          <w:szCs w:val="22"/>
        </w:rPr>
        <w:t>adalimumab</w:t>
      </w:r>
      <w:r w:rsidRPr="001775D9">
        <w:rPr>
          <w:szCs w:val="22"/>
          <w:lang w:eastAsia="en-GB"/>
        </w:rPr>
        <w:t xml:space="preserve">-treated patients and 1.6% of control-treated patients. </w:t>
      </w:r>
    </w:p>
    <w:p w14:paraId="1F7D688B"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9205D9C" w14:textId="20E76FAB"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controlled </w:t>
      </w:r>
      <w:r w:rsidR="009D37CE" w:rsidRPr="001775D9">
        <w:rPr>
          <w:color w:val="000000"/>
          <w:szCs w:val="22"/>
          <w:lang w:eastAsia="en-GB"/>
        </w:rPr>
        <w:t>phase</w:t>
      </w:r>
      <w:r w:rsidRPr="001775D9">
        <w:rPr>
          <w:szCs w:val="22"/>
          <w:lang w:eastAsia="en-GB"/>
        </w:rPr>
        <w:t xml:space="preserve"> 3 trials of </w:t>
      </w:r>
      <w:r w:rsidR="001E662F" w:rsidRPr="001775D9">
        <w:rPr>
          <w:rFonts w:eastAsia="Times New Roman"/>
          <w:color w:val="000000"/>
          <w:szCs w:val="22"/>
        </w:rPr>
        <w:t>adalimumab</w:t>
      </w:r>
      <w:r w:rsidRPr="001775D9">
        <w:rPr>
          <w:szCs w:val="22"/>
          <w:lang w:eastAsia="en-GB"/>
        </w:rPr>
        <w:t xml:space="preserve"> in patients with polyarticular juvenile idiopathic arthritis who were 4 to 17</w:t>
      </w:r>
      <w:r w:rsidRPr="001775D9">
        <w:rPr>
          <w:szCs w:val="22"/>
        </w:rPr>
        <w:t> </w:t>
      </w:r>
      <w:r w:rsidRPr="001775D9">
        <w:rPr>
          <w:szCs w:val="22"/>
          <w:lang w:eastAsia="en-GB"/>
        </w:rPr>
        <w:t>years and enthesitis-related arthritis who were 6 to 17</w:t>
      </w:r>
      <w:r w:rsidRPr="001775D9">
        <w:rPr>
          <w:szCs w:val="22"/>
        </w:rPr>
        <w:t> </w:t>
      </w:r>
      <w:r w:rsidRPr="001775D9">
        <w:rPr>
          <w:szCs w:val="22"/>
          <w:lang w:eastAsia="en-GB"/>
        </w:rPr>
        <w:t>years, ALT elevations ≥</w:t>
      </w:r>
      <w:r w:rsidRPr="001775D9">
        <w:rPr>
          <w:szCs w:val="22"/>
        </w:rPr>
        <w:t> </w:t>
      </w:r>
      <w:r w:rsidRPr="001775D9">
        <w:rPr>
          <w:szCs w:val="22"/>
          <w:lang w:eastAsia="en-GB"/>
        </w:rPr>
        <w:t>3</w:t>
      </w:r>
      <w:r w:rsidR="0060229D" w:rsidRPr="001775D9">
        <w:rPr>
          <w:szCs w:val="22"/>
          <w:lang w:eastAsia="en-GB"/>
        </w:rPr>
        <w:t> </w:t>
      </w:r>
      <w:r w:rsidRPr="001775D9">
        <w:rPr>
          <w:szCs w:val="22"/>
          <w:lang w:eastAsia="en-GB"/>
        </w:rPr>
        <w:t>x</w:t>
      </w:r>
      <w:r w:rsidR="0060229D" w:rsidRPr="001775D9">
        <w:rPr>
          <w:szCs w:val="22"/>
          <w:lang w:eastAsia="en-GB"/>
        </w:rPr>
        <w:t> </w:t>
      </w:r>
      <w:r w:rsidRPr="001775D9">
        <w:rPr>
          <w:szCs w:val="22"/>
          <w:lang w:eastAsia="en-GB"/>
        </w:rPr>
        <w:t xml:space="preserve">ULN occurred in 6.1% of </w:t>
      </w:r>
      <w:r w:rsidR="001E662F" w:rsidRPr="001775D9">
        <w:rPr>
          <w:rFonts w:eastAsia="Times New Roman"/>
          <w:color w:val="000000"/>
          <w:szCs w:val="22"/>
        </w:rPr>
        <w:t>adalimumab</w:t>
      </w:r>
      <w:r w:rsidRPr="001775D9">
        <w:rPr>
          <w:szCs w:val="22"/>
          <w:lang w:eastAsia="en-GB"/>
        </w:rPr>
        <w:t>-treated patients and 1.3% of control-treated patients. Most ALT elevations occurred with concomitant methotrexate use. No ALT elevations ≥</w:t>
      </w:r>
      <w:r w:rsidRPr="001775D9">
        <w:rPr>
          <w:szCs w:val="22"/>
        </w:rPr>
        <w:t> </w:t>
      </w:r>
      <w:r w:rsidRPr="001775D9">
        <w:rPr>
          <w:szCs w:val="22"/>
          <w:lang w:eastAsia="en-GB"/>
        </w:rPr>
        <w:t xml:space="preserve">3 x ULN occurred in the </w:t>
      </w:r>
      <w:r w:rsidR="00A54A1A" w:rsidRPr="001775D9">
        <w:rPr>
          <w:szCs w:val="22"/>
          <w:lang w:eastAsia="en-GB"/>
        </w:rPr>
        <w:t>p</w:t>
      </w:r>
      <w:r w:rsidRPr="001775D9">
        <w:rPr>
          <w:szCs w:val="22"/>
          <w:lang w:eastAsia="en-GB"/>
        </w:rPr>
        <w:t xml:space="preserve">hase 3 trial of </w:t>
      </w:r>
      <w:r w:rsidR="001E662F" w:rsidRPr="001775D9">
        <w:rPr>
          <w:rFonts w:eastAsia="Times New Roman"/>
          <w:color w:val="000000"/>
          <w:szCs w:val="22"/>
        </w:rPr>
        <w:t>adalimumab</w:t>
      </w:r>
      <w:r w:rsidRPr="001775D9">
        <w:rPr>
          <w:szCs w:val="22"/>
          <w:lang w:eastAsia="en-GB"/>
        </w:rPr>
        <w:t xml:space="preserve"> in patients with polyarticular juvenile idiopathic arthritis who were 2 to &lt;</w:t>
      </w:r>
      <w:r w:rsidRPr="001775D9">
        <w:rPr>
          <w:szCs w:val="22"/>
        </w:rPr>
        <w:t> </w:t>
      </w:r>
      <w:r w:rsidRPr="001775D9">
        <w:rPr>
          <w:szCs w:val="22"/>
          <w:lang w:eastAsia="en-GB"/>
        </w:rPr>
        <w:t>4</w:t>
      </w:r>
      <w:r w:rsidRPr="001775D9">
        <w:rPr>
          <w:szCs w:val="22"/>
        </w:rPr>
        <w:t> </w:t>
      </w:r>
      <w:r w:rsidRPr="001775D9">
        <w:rPr>
          <w:szCs w:val="22"/>
          <w:lang w:eastAsia="en-GB"/>
        </w:rPr>
        <w:t xml:space="preserve">years. </w:t>
      </w:r>
    </w:p>
    <w:p w14:paraId="59B3FD97"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914747A" w14:textId="0595EC1D"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controlled </w:t>
      </w:r>
      <w:r w:rsidR="009D37CE" w:rsidRPr="001775D9">
        <w:rPr>
          <w:color w:val="000000"/>
          <w:szCs w:val="22"/>
          <w:lang w:eastAsia="en-GB"/>
        </w:rPr>
        <w:t>phase</w:t>
      </w:r>
      <w:r w:rsidRPr="001775D9">
        <w:rPr>
          <w:szCs w:val="22"/>
          <w:lang w:eastAsia="en-GB"/>
        </w:rPr>
        <w:t xml:space="preserve"> 3 trials of </w:t>
      </w:r>
      <w:r w:rsidR="001E662F" w:rsidRPr="001775D9">
        <w:rPr>
          <w:rFonts w:eastAsia="Times New Roman"/>
          <w:color w:val="000000"/>
          <w:szCs w:val="22"/>
        </w:rPr>
        <w:t>adalimumab</w:t>
      </w:r>
      <w:r w:rsidRPr="001775D9">
        <w:rPr>
          <w:szCs w:val="22"/>
          <w:lang w:eastAsia="en-GB"/>
        </w:rPr>
        <w:t xml:space="preserve"> in patients with Crohn’s disease and ulcerative colitis with a control period ranging from 4 to 52</w:t>
      </w:r>
      <w:r w:rsidRPr="001775D9">
        <w:rPr>
          <w:szCs w:val="22"/>
        </w:rPr>
        <w:t> </w:t>
      </w:r>
      <w:r w:rsidRPr="001775D9">
        <w:rPr>
          <w:szCs w:val="22"/>
          <w:lang w:eastAsia="en-GB"/>
        </w:rPr>
        <w:t>weeks. ALT elevations ≥</w:t>
      </w:r>
      <w:r w:rsidRPr="001775D9">
        <w:rPr>
          <w:szCs w:val="22"/>
        </w:rPr>
        <w:t> </w:t>
      </w:r>
      <w:r w:rsidRPr="001775D9">
        <w:rPr>
          <w:szCs w:val="22"/>
          <w:lang w:eastAsia="en-GB"/>
        </w:rPr>
        <w:t xml:space="preserve">3 x ULN occurred in 0.9% of </w:t>
      </w:r>
      <w:r w:rsidR="001E662F" w:rsidRPr="001775D9">
        <w:rPr>
          <w:rFonts w:eastAsia="Times New Roman"/>
          <w:color w:val="000000"/>
          <w:szCs w:val="22"/>
        </w:rPr>
        <w:t>adalimumab</w:t>
      </w:r>
      <w:r w:rsidRPr="001775D9">
        <w:rPr>
          <w:szCs w:val="22"/>
          <w:lang w:eastAsia="en-GB"/>
        </w:rPr>
        <w:t xml:space="preserve">-treated patients and 0.9% of controlled-treated patients. </w:t>
      </w:r>
    </w:p>
    <w:p w14:paraId="50C5585E"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DDBE524" w14:textId="474542EE"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the </w:t>
      </w:r>
      <w:r w:rsidR="009D37CE" w:rsidRPr="001775D9">
        <w:rPr>
          <w:color w:val="000000"/>
          <w:szCs w:val="22"/>
          <w:lang w:eastAsia="en-GB"/>
        </w:rPr>
        <w:t>phase</w:t>
      </w:r>
      <w:r w:rsidRPr="001775D9">
        <w:rPr>
          <w:szCs w:val="22"/>
          <w:lang w:eastAsia="en-GB"/>
        </w:rPr>
        <w:t xml:space="preserve"> 3 trial of </w:t>
      </w:r>
      <w:r w:rsidR="001E662F" w:rsidRPr="001775D9">
        <w:rPr>
          <w:rFonts w:eastAsia="Times New Roman"/>
          <w:color w:val="000000"/>
          <w:szCs w:val="22"/>
        </w:rPr>
        <w:t>adalimumab</w:t>
      </w:r>
      <w:r w:rsidRPr="001775D9">
        <w:rPr>
          <w:szCs w:val="22"/>
          <w:lang w:eastAsia="en-GB"/>
        </w:rPr>
        <w:t xml:space="preserve"> in patients with paediatric Crohn’s disease which evaluated efficacy and safety of two body weight adjusted maintenance dose regimens following body weight adjusted induction therapy up to 52</w:t>
      </w:r>
      <w:r w:rsidRPr="001775D9">
        <w:rPr>
          <w:szCs w:val="22"/>
        </w:rPr>
        <w:t> </w:t>
      </w:r>
      <w:r w:rsidRPr="001775D9">
        <w:rPr>
          <w:szCs w:val="22"/>
          <w:lang w:eastAsia="en-GB"/>
        </w:rPr>
        <w:t>weeks of treatment, ALT elevations ≥</w:t>
      </w:r>
      <w:r w:rsidRPr="001775D9">
        <w:rPr>
          <w:szCs w:val="22"/>
        </w:rPr>
        <w:t> </w:t>
      </w:r>
      <w:r w:rsidRPr="001775D9">
        <w:rPr>
          <w:szCs w:val="22"/>
          <w:lang w:eastAsia="en-GB"/>
        </w:rPr>
        <w:t xml:space="preserve">3 x ULN occurred in 2.6% </w:t>
      </w:r>
      <w:r w:rsidR="00A44BCB" w:rsidRPr="001775D9">
        <w:rPr>
          <w:szCs w:val="22"/>
          <w:lang w:eastAsia="en-GB"/>
        </w:rPr>
        <w:t xml:space="preserve">(5/192) </w:t>
      </w:r>
      <w:r w:rsidRPr="001775D9">
        <w:rPr>
          <w:szCs w:val="22"/>
          <w:lang w:eastAsia="en-GB"/>
        </w:rPr>
        <w:t xml:space="preserve">of patients of whom </w:t>
      </w:r>
      <w:r w:rsidR="00A44BCB" w:rsidRPr="001775D9">
        <w:rPr>
          <w:szCs w:val="22"/>
          <w:lang w:eastAsia="en-GB"/>
        </w:rPr>
        <w:t xml:space="preserve">4 </w:t>
      </w:r>
      <w:r w:rsidRPr="001775D9">
        <w:rPr>
          <w:szCs w:val="22"/>
          <w:lang w:eastAsia="en-GB"/>
        </w:rPr>
        <w:t xml:space="preserve">were </w:t>
      </w:r>
      <w:r w:rsidR="001E662F" w:rsidRPr="001775D9">
        <w:rPr>
          <w:szCs w:val="22"/>
          <w:lang w:eastAsia="en-GB"/>
        </w:rPr>
        <w:t xml:space="preserve">receiving </w:t>
      </w:r>
      <w:r w:rsidRPr="001775D9">
        <w:rPr>
          <w:szCs w:val="22"/>
          <w:lang w:eastAsia="en-GB"/>
        </w:rPr>
        <w:t xml:space="preserve">concomitant immunosuppressants at baseline. </w:t>
      </w:r>
    </w:p>
    <w:p w14:paraId="37F26B7F" w14:textId="77777777" w:rsidR="00166594" w:rsidRPr="001775D9" w:rsidRDefault="00166594" w:rsidP="00FB5458">
      <w:pPr>
        <w:tabs>
          <w:tab w:val="clear" w:pos="567"/>
        </w:tabs>
        <w:autoSpaceDE w:val="0"/>
        <w:autoSpaceDN w:val="0"/>
        <w:adjustRightInd w:val="0"/>
        <w:spacing w:line="240" w:lineRule="auto"/>
        <w:rPr>
          <w:szCs w:val="22"/>
          <w:lang w:eastAsia="en-GB"/>
        </w:rPr>
      </w:pPr>
    </w:p>
    <w:p w14:paraId="6A12C3AC" w14:textId="10DD6F92" w:rsidR="00166594" w:rsidRPr="001775D9" w:rsidRDefault="00166594"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controlled </w:t>
      </w:r>
      <w:r w:rsidR="009D37CE" w:rsidRPr="001775D9">
        <w:rPr>
          <w:color w:val="000000"/>
          <w:szCs w:val="22"/>
          <w:lang w:eastAsia="en-GB"/>
        </w:rPr>
        <w:t>phase</w:t>
      </w:r>
      <w:r w:rsidRPr="001775D9">
        <w:rPr>
          <w:szCs w:val="22"/>
          <w:lang w:eastAsia="en-GB"/>
        </w:rPr>
        <w:t xml:space="preserve"> 3 trials of </w:t>
      </w:r>
      <w:r w:rsidR="001E662F" w:rsidRPr="001775D9">
        <w:rPr>
          <w:rFonts w:eastAsia="Times New Roman"/>
          <w:color w:val="000000"/>
          <w:szCs w:val="22"/>
        </w:rPr>
        <w:t>adalimumab</w:t>
      </w:r>
      <w:r w:rsidRPr="001775D9">
        <w:rPr>
          <w:szCs w:val="22"/>
          <w:lang w:eastAsia="en-GB"/>
        </w:rPr>
        <w:t xml:space="preserve"> in patients with plaque </w:t>
      </w:r>
      <w:r w:rsidR="009D37CE" w:rsidRPr="001775D9">
        <w:rPr>
          <w:szCs w:val="22"/>
          <w:lang w:eastAsia="en-GB"/>
        </w:rPr>
        <w:t>p</w:t>
      </w:r>
      <w:r w:rsidR="00231B88" w:rsidRPr="001775D9">
        <w:rPr>
          <w:szCs w:val="22"/>
          <w:lang w:eastAsia="en-GB"/>
        </w:rPr>
        <w:t xml:space="preserve">soriasis </w:t>
      </w:r>
      <w:r w:rsidRPr="001775D9">
        <w:rPr>
          <w:szCs w:val="22"/>
          <w:lang w:eastAsia="en-GB"/>
        </w:rPr>
        <w:t>with a control period duration ranging from 12 to 24</w:t>
      </w:r>
      <w:r w:rsidRPr="001775D9">
        <w:rPr>
          <w:szCs w:val="22"/>
        </w:rPr>
        <w:t> </w:t>
      </w:r>
      <w:r w:rsidRPr="001775D9">
        <w:rPr>
          <w:szCs w:val="22"/>
          <w:lang w:eastAsia="en-GB"/>
        </w:rPr>
        <w:t>weeks, ALT elevations ≥</w:t>
      </w:r>
      <w:r w:rsidRPr="001775D9">
        <w:rPr>
          <w:szCs w:val="22"/>
        </w:rPr>
        <w:t> </w:t>
      </w:r>
      <w:r w:rsidRPr="001775D9">
        <w:rPr>
          <w:szCs w:val="22"/>
          <w:lang w:eastAsia="en-GB"/>
        </w:rPr>
        <w:t xml:space="preserve">3 x ULN occurred in 1.8% of </w:t>
      </w:r>
      <w:r w:rsidR="001E662F" w:rsidRPr="001775D9">
        <w:rPr>
          <w:rFonts w:eastAsia="Times New Roman"/>
          <w:color w:val="000000"/>
          <w:szCs w:val="22"/>
        </w:rPr>
        <w:t>adalimumab</w:t>
      </w:r>
      <w:r w:rsidRPr="001775D9">
        <w:rPr>
          <w:szCs w:val="22"/>
          <w:lang w:eastAsia="en-GB"/>
        </w:rPr>
        <w:t xml:space="preserve">-treated patients and 1.8% of control-treated patients. </w:t>
      </w:r>
    </w:p>
    <w:p w14:paraId="6CE983D6"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573873A" w14:textId="4B08F31E" w:rsidR="00166594" w:rsidRPr="001775D9" w:rsidRDefault="00166594" w:rsidP="00FB5458">
      <w:pPr>
        <w:tabs>
          <w:tab w:val="clear" w:pos="567"/>
        </w:tabs>
        <w:autoSpaceDE w:val="0"/>
        <w:autoSpaceDN w:val="0"/>
        <w:adjustRightInd w:val="0"/>
        <w:spacing w:line="240" w:lineRule="auto"/>
        <w:rPr>
          <w:szCs w:val="22"/>
          <w:lang w:eastAsia="en-GB"/>
        </w:rPr>
      </w:pPr>
      <w:r w:rsidRPr="001775D9">
        <w:rPr>
          <w:szCs w:val="22"/>
          <w:lang w:eastAsia="en-GB"/>
        </w:rPr>
        <w:t>No ALT elevations ≥</w:t>
      </w:r>
      <w:r w:rsidR="00231B88" w:rsidRPr="001775D9">
        <w:rPr>
          <w:szCs w:val="22"/>
          <w:lang w:eastAsia="en-GB"/>
        </w:rPr>
        <w:t> </w:t>
      </w:r>
      <w:r w:rsidRPr="001775D9">
        <w:rPr>
          <w:szCs w:val="22"/>
          <w:lang w:eastAsia="en-GB"/>
        </w:rPr>
        <w:t xml:space="preserve">3 X ULN occurred in the </w:t>
      </w:r>
      <w:r w:rsidR="009D37CE" w:rsidRPr="001775D9">
        <w:rPr>
          <w:color w:val="000000"/>
          <w:szCs w:val="22"/>
          <w:lang w:eastAsia="en-GB"/>
        </w:rPr>
        <w:t>phase</w:t>
      </w:r>
      <w:r w:rsidRPr="001775D9">
        <w:rPr>
          <w:szCs w:val="22"/>
          <w:lang w:eastAsia="en-GB"/>
        </w:rPr>
        <w:t xml:space="preserve"> 3 trial of </w:t>
      </w:r>
      <w:r w:rsidR="001E662F" w:rsidRPr="001775D9">
        <w:rPr>
          <w:rFonts w:eastAsia="Times New Roman"/>
          <w:color w:val="000000"/>
          <w:szCs w:val="22"/>
        </w:rPr>
        <w:t>adalimumab</w:t>
      </w:r>
      <w:r w:rsidRPr="001775D9">
        <w:rPr>
          <w:szCs w:val="22"/>
          <w:lang w:eastAsia="en-GB"/>
        </w:rPr>
        <w:t xml:space="preserve"> in paediatric patients with plaque psoriasis.</w:t>
      </w:r>
    </w:p>
    <w:p w14:paraId="4C1797DB" w14:textId="77777777" w:rsidR="00166594" w:rsidRPr="001775D9" w:rsidRDefault="00166594" w:rsidP="00FB5458">
      <w:pPr>
        <w:tabs>
          <w:tab w:val="clear" w:pos="567"/>
        </w:tabs>
        <w:autoSpaceDE w:val="0"/>
        <w:autoSpaceDN w:val="0"/>
        <w:adjustRightInd w:val="0"/>
        <w:spacing w:line="240" w:lineRule="auto"/>
        <w:rPr>
          <w:szCs w:val="22"/>
          <w:lang w:eastAsia="en-GB"/>
        </w:rPr>
      </w:pPr>
    </w:p>
    <w:p w14:paraId="402999F4" w14:textId="4D12EE6C" w:rsidR="002C1135" w:rsidRPr="001775D9" w:rsidRDefault="002C1135"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controlled trials of </w:t>
      </w:r>
      <w:r w:rsidR="002D1145" w:rsidRPr="001775D9">
        <w:rPr>
          <w:szCs w:val="22"/>
          <w:lang w:eastAsia="en-GB"/>
        </w:rPr>
        <w:t xml:space="preserve">adalimumab </w:t>
      </w:r>
      <w:r w:rsidRPr="001775D9">
        <w:rPr>
          <w:szCs w:val="22"/>
          <w:lang w:eastAsia="en-GB"/>
        </w:rPr>
        <w:t>(initial doses of 160</w:t>
      </w:r>
      <w:r w:rsidR="00072717" w:rsidRPr="001775D9">
        <w:rPr>
          <w:szCs w:val="22"/>
          <w:lang w:eastAsia="en-GB"/>
        </w:rPr>
        <w:t> </w:t>
      </w:r>
      <w:r w:rsidRPr="001775D9">
        <w:rPr>
          <w:szCs w:val="22"/>
          <w:lang w:eastAsia="en-GB"/>
        </w:rPr>
        <w:t xml:space="preserve">mg at </w:t>
      </w:r>
      <w:r w:rsidR="00B004DE" w:rsidRPr="001775D9">
        <w:rPr>
          <w:szCs w:val="22"/>
          <w:lang w:eastAsia="en-GB"/>
        </w:rPr>
        <w:t>w</w:t>
      </w:r>
      <w:r w:rsidRPr="001775D9">
        <w:rPr>
          <w:szCs w:val="22"/>
          <w:lang w:eastAsia="en-GB"/>
        </w:rPr>
        <w:t>eek 0 and 80</w:t>
      </w:r>
      <w:r w:rsidR="00072717" w:rsidRPr="001775D9">
        <w:rPr>
          <w:szCs w:val="22"/>
          <w:lang w:eastAsia="en-GB"/>
        </w:rPr>
        <w:t> </w:t>
      </w:r>
      <w:r w:rsidRPr="001775D9">
        <w:rPr>
          <w:szCs w:val="22"/>
          <w:lang w:eastAsia="en-GB"/>
        </w:rPr>
        <w:t xml:space="preserve">mg at </w:t>
      </w:r>
      <w:r w:rsidR="00B004DE" w:rsidRPr="001775D9">
        <w:rPr>
          <w:szCs w:val="22"/>
          <w:lang w:eastAsia="en-GB"/>
        </w:rPr>
        <w:t>w</w:t>
      </w:r>
      <w:r w:rsidRPr="001775D9">
        <w:rPr>
          <w:szCs w:val="22"/>
          <w:lang w:eastAsia="en-GB"/>
        </w:rPr>
        <w:t>eek 2, followed by 40</w:t>
      </w:r>
      <w:r w:rsidR="00072717" w:rsidRPr="001775D9">
        <w:rPr>
          <w:szCs w:val="22"/>
          <w:lang w:eastAsia="en-GB"/>
        </w:rPr>
        <w:t> </w:t>
      </w:r>
      <w:r w:rsidRPr="001775D9">
        <w:rPr>
          <w:szCs w:val="22"/>
          <w:lang w:eastAsia="en-GB"/>
        </w:rPr>
        <w:t xml:space="preserve">mg every week starting at </w:t>
      </w:r>
      <w:r w:rsidR="00B004DE" w:rsidRPr="001775D9">
        <w:rPr>
          <w:szCs w:val="22"/>
          <w:lang w:eastAsia="en-GB"/>
        </w:rPr>
        <w:t>w</w:t>
      </w:r>
      <w:r w:rsidRPr="001775D9">
        <w:rPr>
          <w:szCs w:val="22"/>
          <w:lang w:eastAsia="en-GB"/>
        </w:rPr>
        <w:t xml:space="preserve">eek 4), in patients with hidradenitis suppurativa with a control period duration ranging from 12 to 16 weeks, ALT elevations ≥ 3 x ULN occurred in 0.3% of </w:t>
      </w:r>
      <w:r w:rsidR="002D1145" w:rsidRPr="001775D9">
        <w:rPr>
          <w:szCs w:val="22"/>
          <w:lang w:eastAsia="en-GB"/>
        </w:rPr>
        <w:t>adalimumab</w:t>
      </w:r>
      <w:r w:rsidRPr="001775D9">
        <w:rPr>
          <w:szCs w:val="22"/>
          <w:lang w:eastAsia="en-GB"/>
        </w:rPr>
        <w:t>-treated patients and 0.6% of control-treated patients.</w:t>
      </w:r>
    </w:p>
    <w:p w14:paraId="170406FA" w14:textId="77777777" w:rsidR="00F32658" w:rsidRPr="001775D9" w:rsidRDefault="00F32658" w:rsidP="00FB5458">
      <w:pPr>
        <w:tabs>
          <w:tab w:val="clear" w:pos="567"/>
        </w:tabs>
        <w:autoSpaceDE w:val="0"/>
        <w:autoSpaceDN w:val="0"/>
        <w:adjustRightInd w:val="0"/>
        <w:spacing w:line="240" w:lineRule="auto"/>
        <w:rPr>
          <w:szCs w:val="22"/>
          <w:lang w:eastAsia="en-GB"/>
        </w:rPr>
      </w:pPr>
    </w:p>
    <w:p w14:paraId="108C566D" w14:textId="7C9D9626" w:rsidR="00F32658" w:rsidRPr="001775D9" w:rsidRDefault="00F32658"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controlled trials of adalimumab (initial doses of 80 mg at week 0 followed by 40 mg every other week starting at week 1) in </w:t>
      </w:r>
      <w:r w:rsidR="00CA6B90" w:rsidRPr="001775D9">
        <w:rPr>
          <w:szCs w:val="22"/>
          <w:lang w:eastAsia="en-GB"/>
        </w:rPr>
        <w:t xml:space="preserve">adult </w:t>
      </w:r>
      <w:r w:rsidRPr="001775D9">
        <w:rPr>
          <w:szCs w:val="22"/>
          <w:lang w:eastAsia="en-GB"/>
        </w:rPr>
        <w:t>patients with uveitis up to 80 weeks with a median exposure of 166.5 days and 105.0 days in adalimumab-treated and control-</w:t>
      </w:r>
      <w:r w:rsidRPr="001775D9">
        <w:rPr>
          <w:rFonts w:eastAsia="TimesNewRomanPSMT"/>
          <w:szCs w:val="22"/>
          <w:lang w:eastAsia="en-GB"/>
        </w:rPr>
        <w:t>treated patients, respectively, ALT elevations ≥ 3 x ULN</w:t>
      </w:r>
      <w:r w:rsidRPr="001775D9">
        <w:rPr>
          <w:szCs w:val="22"/>
          <w:lang w:eastAsia="en-GB"/>
        </w:rPr>
        <w:t xml:space="preserve"> occurred in 2.4% of adalimumab-treated patients and 2.4% of control-treated patients.</w:t>
      </w:r>
    </w:p>
    <w:p w14:paraId="72DC5083" w14:textId="5AF69E0E" w:rsidR="00695B4F" w:rsidRPr="001775D9" w:rsidRDefault="00695B4F" w:rsidP="00FB5458">
      <w:pPr>
        <w:tabs>
          <w:tab w:val="clear" w:pos="567"/>
        </w:tabs>
        <w:autoSpaceDE w:val="0"/>
        <w:autoSpaceDN w:val="0"/>
        <w:adjustRightInd w:val="0"/>
        <w:spacing w:line="240" w:lineRule="auto"/>
        <w:rPr>
          <w:szCs w:val="22"/>
          <w:lang w:eastAsia="en-GB"/>
        </w:rPr>
      </w:pPr>
    </w:p>
    <w:p w14:paraId="421A67E9" w14:textId="0AA78AB3" w:rsidR="00551636" w:rsidRPr="001775D9" w:rsidRDefault="00551636" w:rsidP="00551636">
      <w:pPr>
        <w:tabs>
          <w:tab w:val="clear" w:pos="567"/>
        </w:tabs>
        <w:autoSpaceDE w:val="0"/>
        <w:autoSpaceDN w:val="0"/>
        <w:adjustRightInd w:val="0"/>
        <w:spacing w:line="240" w:lineRule="auto"/>
        <w:rPr>
          <w:szCs w:val="22"/>
          <w:lang w:eastAsia="en-GB"/>
        </w:rPr>
      </w:pPr>
      <w:r w:rsidRPr="001775D9">
        <w:rPr>
          <w:szCs w:val="22"/>
          <w:lang w:eastAsia="en-GB"/>
        </w:rPr>
        <w:t xml:space="preserve">In the controlled </w:t>
      </w:r>
      <w:r w:rsidR="005D727C" w:rsidRPr="001775D9">
        <w:rPr>
          <w:szCs w:val="22"/>
          <w:lang w:eastAsia="en-GB"/>
        </w:rPr>
        <w:t>p</w:t>
      </w:r>
      <w:r w:rsidRPr="001775D9">
        <w:rPr>
          <w:szCs w:val="22"/>
          <w:lang w:eastAsia="en-GB"/>
        </w:rPr>
        <w:t>hase 3 trial of adalimumab in patients with paediatric ulcerative colitis (N=93) which evaluated efficacy and safety of a maintenance dose of 0.6</w:t>
      </w:r>
      <w:r w:rsidR="004A5254" w:rsidRPr="001775D9">
        <w:rPr>
          <w:szCs w:val="22"/>
          <w:lang w:eastAsia="en-GB"/>
        </w:rPr>
        <w:t> </w:t>
      </w:r>
      <w:r w:rsidRPr="001775D9">
        <w:rPr>
          <w:szCs w:val="22"/>
          <w:lang w:eastAsia="en-GB"/>
        </w:rPr>
        <w:t>mg/kg (maximum of 40</w:t>
      </w:r>
      <w:r w:rsidR="004A5254" w:rsidRPr="001775D9">
        <w:rPr>
          <w:szCs w:val="22"/>
          <w:lang w:eastAsia="en-GB"/>
        </w:rPr>
        <w:t> </w:t>
      </w:r>
      <w:r w:rsidRPr="001775D9">
        <w:rPr>
          <w:szCs w:val="22"/>
          <w:lang w:eastAsia="en-GB"/>
        </w:rPr>
        <w:t>mg) every other week (N=31) and a maintenance dose of 0.6</w:t>
      </w:r>
      <w:r w:rsidR="004A5254" w:rsidRPr="001775D9">
        <w:rPr>
          <w:szCs w:val="22"/>
          <w:lang w:eastAsia="en-GB"/>
        </w:rPr>
        <w:t> </w:t>
      </w:r>
      <w:r w:rsidRPr="001775D9">
        <w:rPr>
          <w:szCs w:val="22"/>
          <w:lang w:eastAsia="en-GB"/>
        </w:rPr>
        <w:t>mg/kg (maximum of 40</w:t>
      </w:r>
      <w:r w:rsidR="004A5254" w:rsidRPr="001775D9">
        <w:rPr>
          <w:szCs w:val="22"/>
          <w:lang w:eastAsia="en-GB"/>
        </w:rPr>
        <w:t> </w:t>
      </w:r>
      <w:r w:rsidRPr="001775D9">
        <w:rPr>
          <w:szCs w:val="22"/>
          <w:lang w:eastAsia="en-GB"/>
        </w:rPr>
        <w:t xml:space="preserve">mg) every </w:t>
      </w:r>
      <w:r w:rsidR="004A5254" w:rsidRPr="001775D9">
        <w:rPr>
          <w:szCs w:val="22"/>
          <w:lang w:eastAsia="en-GB"/>
        </w:rPr>
        <w:t>w</w:t>
      </w:r>
      <w:r w:rsidRPr="001775D9">
        <w:rPr>
          <w:szCs w:val="22"/>
          <w:lang w:eastAsia="en-GB"/>
        </w:rPr>
        <w:t>eek (N=32), following body weight adjusted induction dosing of 2.4 mg/kg (maximum of 160</w:t>
      </w:r>
      <w:r w:rsidR="004A5254" w:rsidRPr="001775D9">
        <w:rPr>
          <w:szCs w:val="22"/>
          <w:lang w:eastAsia="en-GB"/>
        </w:rPr>
        <w:t> </w:t>
      </w:r>
      <w:r w:rsidRPr="001775D9">
        <w:rPr>
          <w:szCs w:val="22"/>
          <w:lang w:eastAsia="en-GB"/>
        </w:rPr>
        <w:t xml:space="preserve">mg) at </w:t>
      </w:r>
      <w:r w:rsidR="004A5254" w:rsidRPr="001775D9">
        <w:rPr>
          <w:szCs w:val="22"/>
          <w:lang w:eastAsia="en-GB"/>
        </w:rPr>
        <w:t>w</w:t>
      </w:r>
      <w:r w:rsidRPr="001775D9">
        <w:rPr>
          <w:szCs w:val="22"/>
          <w:lang w:eastAsia="en-GB"/>
        </w:rPr>
        <w:t xml:space="preserve">eek 0 and </w:t>
      </w:r>
      <w:r w:rsidR="004A5254" w:rsidRPr="001775D9">
        <w:rPr>
          <w:szCs w:val="22"/>
          <w:lang w:eastAsia="en-GB"/>
        </w:rPr>
        <w:t>w</w:t>
      </w:r>
      <w:r w:rsidRPr="001775D9">
        <w:rPr>
          <w:szCs w:val="22"/>
          <w:lang w:eastAsia="en-GB"/>
        </w:rPr>
        <w:t>eek 1, and 1.2 mg/kg (maximum of 80</w:t>
      </w:r>
      <w:r w:rsidR="004A5254" w:rsidRPr="001775D9">
        <w:rPr>
          <w:szCs w:val="22"/>
          <w:lang w:eastAsia="en-GB"/>
        </w:rPr>
        <w:t> </w:t>
      </w:r>
      <w:r w:rsidRPr="001775D9">
        <w:rPr>
          <w:szCs w:val="22"/>
          <w:lang w:eastAsia="en-GB"/>
        </w:rPr>
        <w:t xml:space="preserve">mg) at </w:t>
      </w:r>
      <w:r w:rsidR="004A5254" w:rsidRPr="001775D9">
        <w:rPr>
          <w:szCs w:val="22"/>
          <w:lang w:eastAsia="en-GB"/>
        </w:rPr>
        <w:t>w</w:t>
      </w:r>
      <w:r w:rsidRPr="001775D9">
        <w:rPr>
          <w:szCs w:val="22"/>
          <w:lang w:eastAsia="en-GB"/>
        </w:rPr>
        <w:t>eek</w:t>
      </w:r>
      <w:r w:rsidR="005D727C" w:rsidRPr="001775D9">
        <w:rPr>
          <w:szCs w:val="22"/>
        </w:rPr>
        <w:t> </w:t>
      </w:r>
      <w:r w:rsidRPr="001775D9">
        <w:rPr>
          <w:szCs w:val="22"/>
          <w:lang w:eastAsia="en-GB"/>
        </w:rPr>
        <w:t>2 (N=63), or an induction dose of 2.4</w:t>
      </w:r>
      <w:r w:rsidR="004A5254" w:rsidRPr="001775D9">
        <w:rPr>
          <w:szCs w:val="22"/>
          <w:lang w:eastAsia="en-GB"/>
        </w:rPr>
        <w:t> </w:t>
      </w:r>
      <w:r w:rsidRPr="001775D9">
        <w:rPr>
          <w:szCs w:val="22"/>
          <w:lang w:eastAsia="en-GB"/>
        </w:rPr>
        <w:t>mg/kg (maximum of 160</w:t>
      </w:r>
      <w:r w:rsidR="004A5254" w:rsidRPr="001775D9">
        <w:rPr>
          <w:szCs w:val="22"/>
          <w:lang w:eastAsia="en-GB"/>
        </w:rPr>
        <w:t> </w:t>
      </w:r>
      <w:r w:rsidRPr="001775D9">
        <w:rPr>
          <w:szCs w:val="22"/>
          <w:lang w:eastAsia="en-GB"/>
        </w:rPr>
        <w:t xml:space="preserve">mg) at </w:t>
      </w:r>
      <w:r w:rsidR="004A5254" w:rsidRPr="001775D9">
        <w:rPr>
          <w:szCs w:val="22"/>
          <w:lang w:eastAsia="en-GB"/>
        </w:rPr>
        <w:t>w</w:t>
      </w:r>
      <w:r w:rsidRPr="001775D9">
        <w:rPr>
          <w:szCs w:val="22"/>
          <w:lang w:eastAsia="en-GB"/>
        </w:rPr>
        <w:t xml:space="preserve">eek 0, placebo at </w:t>
      </w:r>
      <w:r w:rsidR="004A5254" w:rsidRPr="001775D9">
        <w:rPr>
          <w:szCs w:val="22"/>
          <w:lang w:eastAsia="en-GB"/>
        </w:rPr>
        <w:t>w</w:t>
      </w:r>
      <w:r w:rsidRPr="001775D9">
        <w:rPr>
          <w:szCs w:val="22"/>
          <w:lang w:eastAsia="en-GB"/>
        </w:rPr>
        <w:t>eek 1, and 1.2</w:t>
      </w:r>
      <w:r w:rsidR="004A5254" w:rsidRPr="001775D9">
        <w:rPr>
          <w:szCs w:val="22"/>
          <w:lang w:eastAsia="en-GB"/>
        </w:rPr>
        <w:t> </w:t>
      </w:r>
      <w:r w:rsidRPr="001775D9">
        <w:rPr>
          <w:szCs w:val="22"/>
          <w:lang w:eastAsia="en-GB"/>
        </w:rPr>
        <w:t>mg/kg (maximum of 80</w:t>
      </w:r>
      <w:r w:rsidR="004A5254" w:rsidRPr="001775D9">
        <w:rPr>
          <w:szCs w:val="22"/>
          <w:lang w:eastAsia="en-GB"/>
        </w:rPr>
        <w:t> </w:t>
      </w:r>
      <w:r w:rsidRPr="001775D9">
        <w:rPr>
          <w:szCs w:val="22"/>
          <w:lang w:eastAsia="en-GB"/>
        </w:rPr>
        <w:t xml:space="preserve">mg) at </w:t>
      </w:r>
      <w:r w:rsidR="004A5254" w:rsidRPr="001775D9">
        <w:rPr>
          <w:szCs w:val="22"/>
          <w:lang w:eastAsia="en-GB"/>
        </w:rPr>
        <w:t>w</w:t>
      </w:r>
      <w:r w:rsidRPr="001775D9">
        <w:rPr>
          <w:szCs w:val="22"/>
          <w:lang w:eastAsia="en-GB"/>
        </w:rPr>
        <w:t>eek 2 (N=30), ALT elevations ≥</w:t>
      </w:r>
      <w:r w:rsidR="004A5254" w:rsidRPr="001775D9">
        <w:rPr>
          <w:szCs w:val="22"/>
          <w:lang w:eastAsia="en-GB"/>
        </w:rPr>
        <w:t> </w:t>
      </w:r>
      <w:r w:rsidRPr="001775D9">
        <w:rPr>
          <w:szCs w:val="22"/>
          <w:lang w:eastAsia="en-GB"/>
        </w:rPr>
        <w:t>3 X ULN occurred in 1.1% (1/93) of patients.</w:t>
      </w:r>
    </w:p>
    <w:p w14:paraId="51011216" w14:textId="77777777" w:rsidR="00551636" w:rsidRPr="001775D9" w:rsidRDefault="00551636" w:rsidP="00FB5458">
      <w:pPr>
        <w:tabs>
          <w:tab w:val="clear" w:pos="567"/>
        </w:tabs>
        <w:autoSpaceDE w:val="0"/>
        <w:autoSpaceDN w:val="0"/>
        <w:adjustRightInd w:val="0"/>
        <w:spacing w:line="240" w:lineRule="auto"/>
        <w:rPr>
          <w:szCs w:val="22"/>
          <w:lang w:eastAsia="en-GB"/>
        </w:rPr>
      </w:pPr>
    </w:p>
    <w:p w14:paraId="0909A548" w14:textId="06148500"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Across all indications in clinical trials patients with raised ALT were asymptomatic and in most cases elevations were transient and resolved on continued treatment. However, there have also been post-marketing reports of liver failure as well as less severe liver disorders that may precede liver failure, such as hepatitis including autoimmune hepatitis in patients receiving adalimumab. </w:t>
      </w:r>
    </w:p>
    <w:p w14:paraId="5216800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439F085"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Concurrent treatment with azathioprine/6-mercaptopurine </w:t>
      </w:r>
    </w:p>
    <w:p w14:paraId="7DCCFAB3"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3BBAA3CE"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adult Crohn’s disease studies, higher incidences of malignant and serious infection-related adverse events were seen with the combination of </w:t>
      </w:r>
      <w:r w:rsidR="002C1135" w:rsidRPr="001775D9">
        <w:rPr>
          <w:rFonts w:eastAsia="Times New Roman"/>
          <w:color w:val="000000"/>
          <w:szCs w:val="22"/>
        </w:rPr>
        <w:t>adalimumab</w:t>
      </w:r>
      <w:r w:rsidRPr="001775D9">
        <w:rPr>
          <w:szCs w:val="22"/>
          <w:lang w:eastAsia="en-GB"/>
        </w:rPr>
        <w:t xml:space="preserve"> and azathioprine/6-mercaptopurine compared with </w:t>
      </w:r>
      <w:r w:rsidR="002C1135" w:rsidRPr="001775D9">
        <w:rPr>
          <w:rFonts w:eastAsia="Times New Roman"/>
          <w:color w:val="000000"/>
          <w:szCs w:val="22"/>
        </w:rPr>
        <w:t>adalimumab</w:t>
      </w:r>
      <w:r w:rsidRPr="001775D9">
        <w:rPr>
          <w:szCs w:val="22"/>
          <w:lang w:eastAsia="en-GB"/>
        </w:rPr>
        <w:t xml:space="preserve"> alone. </w:t>
      </w:r>
    </w:p>
    <w:p w14:paraId="022AFC9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627FB47"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Reporting of suspected adverse reactions </w:t>
      </w:r>
    </w:p>
    <w:p w14:paraId="06DF99E8" w14:textId="77777777" w:rsidR="00C42229" w:rsidRPr="001775D9" w:rsidRDefault="00C42229" w:rsidP="00FB5458">
      <w:pPr>
        <w:keepNext/>
        <w:spacing w:line="240" w:lineRule="auto"/>
        <w:rPr>
          <w:szCs w:val="22"/>
          <w:lang w:eastAsia="en-GB"/>
        </w:rPr>
      </w:pPr>
    </w:p>
    <w:p w14:paraId="4B200BDC" w14:textId="35A88CB8" w:rsidR="008D2427" w:rsidRPr="001775D9" w:rsidRDefault="00C42229" w:rsidP="00FB5458">
      <w:pPr>
        <w:spacing w:line="240" w:lineRule="auto"/>
        <w:rPr>
          <w:color w:val="000000"/>
          <w:szCs w:val="22"/>
          <w:lang w:eastAsia="en-GB"/>
        </w:rPr>
      </w:pPr>
      <w:r w:rsidRPr="001775D9">
        <w:rPr>
          <w:szCs w:val="22"/>
          <w:lang w:eastAsia="en-GB"/>
        </w:rPr>
        <w:t>Reporting suspected adverse reactions after authorisation of the medicinal product is important. It allows continued monitoring of the benefit/risk balance of the medicinal product. Healthcare</w:t>
      </w:r>
      <w:r w:rsidRPr="001775D9">
        <w:rPr>
          <w:color w:val="000000"/>
          <w:szCs w:val="22"/>
          <w:lang w:eastAsia="en-GB"/>
        </w:rPr>
        <w:t xml:space="preserve"> professionals are asked to report any suspected adverse reactions via </w:t>
      </w:r>
      <w:r>
        <w:rPr>
          <w:color w:val="000000"/>
          <w:szCs w:val="22"/>
          <w:highlight w:val="lightGray"/>
          <w:lang w:eastAsia="en-GB"/>
        </w:rPr>
        <w:t>the national reporting system listed in</w:t>
      </w:r>
      <w:r w:rsidR="00DC0D1D">
        <w:rPr>
          <w:color w:val="000000"/>
          <w:szCs w:val="22"/>
          <w:highlight w:val="lightGray"/>
          <w:lang w:eastAsia="en-GB"/>
        </w:rPr>
        <w:t xml:space="preserve"> </w:t>
      </w:r>
      <w:hyperlink r:id="rId10" w:history="1">
        <w:r>
          <w:rPr>
            <w:rStyle w:val="Hyperlink"/>
            <w:szCs w:val="22"/>
            <w:highlight w:val="lightGray"/>
          </w:rPr>
          <w:t>Appendix V</w:t>
        </w:r>
      </w:hyperlink>
      <w:r w:rsidRPr="001775D9">
        <w:rPr>
          <w:color w:val="000000"/>
          <w:szCs w:val="22"/>
          <w:lang w:eastAsia="en-GB"/>
        </w:rPr>
        <w:t>.</w:t>
      </w:r>
    </w:p>
    <w:p w14:paraId="2773C1B4" w14:textId="77777777" w:rsidR="00A44BCB" w:rsidRPr="001775D9" w:rsidRDefault="00A44BCB" w:rsidP="00FB5458">
      <w:pPr>
        <w:spacing w:line="240" w:lineRule="auto"/>
        <w:rPr>
          <w:szCs w:val="22"/>
        </w:rPr>
      </w:pPr>
    </w:p>
    <w:p w14:paraId="1EDAD482" w14:textId="1AB5DB96" w:rsidR="00C42229" w:rsidRPr="001775D9" w:rsidRDefault="00C42229"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4.9</w:t>
      </w:r>
      <w:r w:rsidRPr="001775D9">
        <w:rPr>
          <w:b/>
          <w:bCs/>
          <w:color w:val="000000"/>
          <w:szCs w:val="22"/>
          <w:lang w:eastAsia="en-GB"/>
        </w:rPr>
        <w:tab/>
        <w:t xml:space="preserve">Overdose </w:t>
      </w:r>
    </w:p>
    <w:p w14:paraId="4C1748F5"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p>
    <w:p w14:paraId="3456AEA7"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No dose-limiting toxicity was observed during clinical trials. The highest dose level evaluated has been multiple intravenous doses of 10</w:t>
      </w:r>
      <w:r w:rsidRPr="001775D9">
        <w:rPr>
          <w:szCs w:val="22"/>
        </w:rPr>
        <w:t> </w:t>
      </w:r>
      <w:r w:rsidRPr="001775D9">
        <w:rPr>
          <w:color w:val="000000"/>
          <w:szCs w:val="22"/>
          <w:lang w:eastAsia="en-GB"/>
        </w:rPr>
        <w:t xml:space="preserve">mg/kg, which is approximately 15 times the recommended dose. </w:t>
      </w:r>
    </w:p>
    <w:p w14:paraId="7C7719BA" w14:textId="77777777" w:rsidR="005806F9" w:rsidRPr="001775D9" w:rsidRDefault="005806F9" w:rsidP="00FB5458">
      <w:pPr>
        <w:tabs>
          <w:tab w:val="clear" w:pos="567"/>
        </w:tabs>
        <w:autoSpaceDE w:val="0"/>
        <w:autoSpaceDN w:val="0"/>
        <w:adjustRightInd w:val="0"/>
        <w:spacing w:line="240" w:lineRule="auto"/>
        <w:rPr>
          <w:b/>
          <w:bCs/>
          <w:color w:val="000000"/>
          <w:szCs w:val="22"/>
          <w:lang w:eastAsia="en-GB"/>
        </w:rPr>
      </w:pPr>
    </w:p>
    <w:p w14:paraId="0022E557" w14:textId="77777777" w:rsidR="00607144" w:rsidRPr="001775D9" w:rsidRDefault="00607144" w:rsidP="00FB5458">
      <w:pPr>
        <w:tabs>
          <w:tab w:val="clear" w:pos="567"/>
        </w:tabs>
        <w:autoSpaceDE w:val="0"/>
        <w:autoSpaceDN w:val="0"/>
        <w:adjustRightInd w:val="0"/>
        <w:spacing w:line="240" w:lineRule="auto"/>
        <w:rPr>
          <w:b/>
          <w:bCs/>
          <w:color w:val="000000"/>
          <w:szCs w:val="22"/>
          <w:lang w:eastAsia="en-GB"/>
        </w:rPr>
      </w:pPr>
    </w:p>
    <w:p w14:paraId="55C4FC51" w14:textId="6CE9B6CE" w:rsidR="00C42229" w:rsidRPr="001775D9" w:rsidRDefault="00C42229"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5.</w:t>
      </w:r>
      <w:r w:rsidRPr="001775D9">
        <w:rPr>
          <w:b/>
          <w:bCs/>
          <w:color w:val="000000"/>
          <w:szCs w:val="22"/>
          <w:lang w:eastAsia="en-GB"/>
        </w:rPr>
        <w:tab/>
        <w:t xml:space="preserve">PHARMACOLOGICAL PROPERTIES </w:t>
      </w:r>
    </w:p>
    <w:p w14:paraId="011094BC" w14:textId="77777777" w:rsidR="00C42229" w:rsidRPr="001775D9" w:rsidRDefault="00C42229" w:rsidP="00FB5458">
      <w:pPr>
        <w:keepNext/>
        <w:tabs>
          <w:tab w:val="clear" w:pos="567"/>
        </w:tabs>
        <w:autoSpaceDE w:val="0"/>
        <w:autoSpaceDN w:val="0"/>
        <w:adjustRightInd w:val="0"/>
        <w:spacing w:line="240" w:lineRule="auto"/>
        <w:rPr>
          <w:b/>
          <w:bCs/>
          <w:color w:val="000000"/>
          <w:szCs w:val="22"/>
          <w:lang w:eastAsia="en-GB"/>
        </w:rPr>
      </w:pPr>
    </w:p>
    <w:p w14:paraId="7426A1F9" w14:textId="039A8685" w:rsidR="00C42229" w:rsidRPr="001775D9" w:rsidRDefault="00C42229"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5.1</w:t>
      </w:r>
      <w:r w:rsidRPr="001775D9">
        <w:rPr>
          <w:b/>
          <w:bCs/>
          <w:color w:val="000000"/>
          <w:szCs w:val="22"/>
          <w:lang w:eastAsia="en-GB"/>
        </w:rPr>
        <w:tab/>
        <w:t xml:space="preserve">Pharmacodynamic properties </w:t>
      </w:r>
    </w:p>
    <w:p w14:paraId="0920B7B6"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p>
    <w:p w14:paraId="47346F7F" w14:textId="6E61B89D"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Pharmacotherapeutic group: </w:t>
      </w:r>
      <w:r w:rsidR="002C1135" w:rsidRPr="001775D9">
        <w:rPr>
          <w:szCs w:val="22"/>
          <w:lang w:eastAsia="en-GB"/>
        </w:rPr>
        <w:t>Immunosuppressants</w:t>
      </w:r>
      <w:r w:rsidR="001D54DA" w:rsidRPr="001775D9">
        <w:rPr>
          <w:szCs w:val="22"/>
          <w:lang w:eastAsia="en-GB"/>
        </w:rPr>
        <w:t xml:space="preserve">, </w:t>
      </w:r>
      <w:r w:rsidR="00FD5D5F" w:rsidRPr="001775D9">
        <w:rPr>
          <w:szCs w:val="22"/>
        </w:rPr>
        <w:t>t</w:t>
      </w:r>
      <w:r w:rsidR="001D54DA" w:rsidRPr="001775D9">
        <w:rPr>
          <w:szCs w:val="22"/>
        </w:rPr>
        <w:t xml:space="preserve">umour </w:t>
      </w:r>
      <w:r w:rsidR="00FD5D5F" w:rsidRPr="001775D9">
        <w:rPr>
          <w:szCs w:val="22"/>
        </w:rPr>
        <w:t>n</w:t>
      </w:r>
      <w:r w:rsidR="001D54DA" w:rsidRPr="001775D9">
        <w:rPr>
          <w:szCs w:val="22"/>
        </w:rPr>
        <w:t xml:space="preserve">ecrosis </w:t>
      </w:r>
      <w:r w:rsidR="00FD5D5F" w:rsidRPr="001775D9">
        <w:rPr>
          <w:szCs w:val="22"/>
        </w:rPr>
        <w:t>f</w:t>
      </w:r>
      <w:r w:rsidR="001D54DA" w:rsidRPr="001775D9">
        <w:rPr>
          <w:szCs w:val="22"/>
        </w:rPr>
        <w:t>actor alpha (TNFα) inhibitors</w:t>
      </w:r>
      <w:r w:rsidRPr="001775D9">
        <w:rPr>
          <w:szCs w:val="22"/>
          <w:lang w:eastAsia="en-GB"/>
        </w:rPr>
        <w:t xml:space="preserve">. ATC code: L04AB04 </w:t>
      </w:r>
    </w:p>
    <w:p w14:paraId="41A645AF"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2CC2FA8" w14:textId="77777777" w:rsidR="00A769EF" w:rsidRPr="001775D9" w:rsidRDefault="002C1135" w:rsidP="00FB5458">
      <w:pPr>
        <w:tabs>
          <w:tab w:val="clear" w:pos="567"/>
        </w:tabs>
        <w:autoSpaceDE w:val="0"/>
        <w:autoSpaceDN w:val="0"/>
        <w:adjustRightInd w:val="0"/>
        <w:spacing w:line="240" w:lineRule="auto"/>
        <w:rPr>
          <w:lang w:eastAsia="en-GB"/>
        </w:rPr>
      </w:pPr>
      <w:r w:rsidRPr="001775D9">
        <w:rPr>
          <w:szCs w:val="22"/>
          <w:lang w:eastAsia="en-GB"/>
        </w:rPr>
        <w:t xml:space="preserve">AMGEVITA is a biosimilar medicinal product. Detailed information is available on the website of the European Medicines Agency </w:t>
      </w:r>
      <w:hyperlink r:id="rId11" w:history="1">
        <w:r w:rsidR="00A769EF" w:rsidRPr="001775D9">
          <w:rPr>
            <w:rStyle w:val="Hyperlink"/>
            <w:szCs w:val="22"/>
          </w:rPr>
          <w:t>http://www.ema.europa.eu</w:t>
        </w:r>
      </w:hyperlink>
      <w:r w:rsidR="00A769EF" w:rsidRPr="001775D9">
        <w:rPr>
          <w:rStyle w:val="Hyperlink"/>
          <w:color w:val="auto"/>
          <w:szCs w:val="22"/>
          <w:u w:val="none"/>
        </w:rPr>
        <w:t>.</w:t>
      </w:r>
    </w:p>
    <w:p w14:paraId="0E4CF4C9" w14:textId="77777777" w:rsidR="00A769EF" w:rsidRPr="001775D9" w:rsidRDefault="00A769EF" w:rsidP="00FB5458">
      <w:pPr>
        <w:tabs>
          <w:tab w:val="clear" w:pos="567"/>
        </w:tabs>
        <w:autoSpaceDE w:val="0"/>
        <w:autoSpaceDN w:val="0"/>
        <w:adjustRightInd w:val="0"/>
        <w:spacing w:line="240" w:lineRule="auto"/>
        <w:rPr>
          <w:lang w:eastAsia="en-GB"/>
        </w:rPr>
      </w:pPr>
    </w:p>
    <w:p w14:paraId="395771B3" w14:textId="77777777" w:rsidR="00C42229" w:rsidRPr="001775D9" w:rsidRDefault="00C42229" w:rsidP="00747B80">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Mechanism of action </w:t>
      </w:r>
    </w:p>
    <w:p w14:paraId="6AB1C015" w14:textId="77777777" w:rsidR="00C42229" w:rsidRPr="001775D9" w:rsidRDefault="00C42229" w:rsidP="00747B80">
      <w:pPr>
        <w:keepNext/>
        <w:tabs>
          <w:tab w:val="clear" w:pos="567"/>
        </w:tabs>
        <w:autoSpaceDE w:val="0"/>
        <w:autoSpaceDN w:val="0"/>
        <w:adjustRightInd w:val="0"/>
        <w:spacing w:line="240" w:lineRule="auto"/>
        <w:rPr>
          <w:color w:val="000000"/>
          <w:szCs w:val="22"/>
          <w:lang w:eastAsia="en-GB"/>
        </w:rPr>
      </w:pPr>
    </w:p>
    <w:p w14:paraId="4022E096" w14:textId="77777777" w:rsidR="00C42229" w:rsidRPr="001775D9" w:rsidRDefault="003D1B52" w:rsidP="00747B80">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Adalimumab</w:t>
      </w:r>
      <w:r w:rsidR="006151E7" w:rsidRPr="001775D9">
        <w:rPr>
          <w:color w:val="000000"/>
          <w:szCs w:val="22"/>
          <w:lang w:eastAsia="en-GB"/>
        </w:rPr>
        <w:t xml:space="preserve"> </w:t>
      </w:r>
      <w:r w:rsidR="00C42229" w:rsidRPr="001775D9">
        <w:rPr>
          <w:color w:val="000000"/>
          <w:szCs w:val="22"/>
          <w:lang w:eastAsia="en-GB"/>
        </w:rPr>
        <w:t>bind</w:t>
      </w:r>
      <w:r w:rsidRPr="001775D9">
        <w:rPr>
          <w:color w:val="000000"/>
          <w:szCs w:val="22"/>
          <w:lang w:eastAsia="en-GB"/>
        </w:rPr>
        <w:t>s</w:t>
      </w:r>
      <w:r w:rsidR="003E07B0" w:rsidRPr="001775D9">
        <w:rPr>
          <w:color w:val="000000"/>
          <w:szCs w:val="22"/>
          <w:lang w:eastAsia="en-GB"/>
        </w:rPr>
        <w:t xml:space="preserve"> </w:t>
      </w:r>
      <w:r w:rsidR="00C42229" w:rsidRPr="001775D9">
        <w:rPr>
          <w:color w:val="000000"/>
          <w:szCs w:val="22"/>
          <w:lang w:eastAsia="en-GB"/>
        </w:rPr>
        <w:t>specifically to TNF and neutrali</w:t>
      </w:r>
      <w:r w:rsidR="00DB0962" w:rsidRPr="001775D9">
        <w:rPr>
          <w:color w:val="000000"/>
          <w:szCs w:val="22"/>
          <w:lang w:eastAsia="en-GB"/>
        </w:rPr>
        <w:t>s</w:t>
      </w:r>
      <w:r w:rsidR="00C42229" w:rsidRPr="001775D9">
        <w:rPr>
          <w:color w:val="000000"/>
          <w:szCs w:val="22"/>
          <w:lang w:eastAsia="en-GB"/>
        </w:rPr>
        <w:t xml:space="preserve">es the biological function of TNF by blocking its interaction with the p55 and p75 cell surface TNF receptors. </w:t>
      </w:r>
    </w:p>
    <w:p w14:paraId="150EB71B"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70934DC3" w14:textId="77777777" w:rsidR="00C42229" w:rsidRPr="001775D9" w:rsidRDefault="009E2A1F"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Adalimumab</w:t>
      </w:r>
      <w:r w:rsidR="006151E7" w:rsidRPr="001775D9">
        <w:rPr>
          <w:color w:val="000000"/>
          <w:szCs w:val="22"/>
          <w:lang w:eastAsia="en-GB"/>
        </w:rPr>
        <w:t xml:space="preserve"> </w:t>
      </w:r>
      <w:r w:rsidR="00C42229" w:rsidRPr="001775D9">
        <w:rPr>
          <w:color w:val="000000"/>
          <w:szCs w:val="22"/>
          <w:lang w:eastAsia="en-GB"/>
        </w:rPr>
        <w:t>also modulate</w:t>
      </w:r>
      <w:r w:rsidR="002C1135" w:rsidRPr="001775D9">
        <w:rPr>
          <w:color w:val="000000"/>
          <w:szCs w:val="22"/>
          <w:lang w:eastAsia="en-GB"/>
        </w:rPr>
        <w:t>s</w:t>
      </w:r>
      <w:r w:rsidR="003E07B0" w:rsidRPr="001775D9">
        <w:rPr>
          <w:color w:val="000000"/>
          <w:szCs w:val="22"/>
          <w:lang w:eastAsia="en-GB"/>
        </w:rPr>
        <w:t xml:space="preserve"> </w:t>
      </w:r>
      <w:r w:rsidR="00C42229" w:rsidRPr="001775D9">
        <w:rPr>
          <w:color w:val="000000"/>
          <w:szCs w:val="22"/>
          <w:lang w:eastAsia="en-GB"/>
        </w:rPr>
        <w:t xml:space="preserve">biological responses that are induced or regulated by TNF, including changes in the levels of adhesion molecules responsible for </w:t>
      </w:r>
      <w:r w:rsidR="003D4634" w:rsidRPr="001775D9">
        <w:rPr>
          <w:color w:val="000000"/>
          <w:szCs w:val="22"/>
          <w:lang w:eastAsia="en-GB"/>
        </w:rPr>
        <w:t xml:space="preserve">leukocyte </w:t>
      </w:r>
      <w:r w:rsidR="00C42229" w:rsidRPr="001775D9">
        <w:rPr>
          <w:color w:val="000000"/>
          <w:szCs w:val="22"/>
          <w:lang w:eastAsia="en-GB"/>
        </w:rPr>
        <w:t>migration (ELAM-1, VCAM-1, and ICAM-1 with an IC50 of 0.1-0.2</w:t>
      </w:r>
      <w:r w:rsidR="004C4044" w:rsidRPr="001775D9">
        <w:rPr>
          <w:color w:val="000000"/>
          <w:szCs w:val="22"/>
          <w:lang w:eastAsia="en-GB"/>
        </w:rPr>
        <w:t> </w:t>
      </w:r>
      <w:r w:rsidR="00C42229" w:rsidRPr="001775D9">
        <w:rPr>
          <w:color w:val="000000"/>
          <w:szCs w:val="22"/>
          <w:lang w:eastAsia="en-GB"/>
        </w:rPr>
        <w:t xml:space="preserve">nM). </w:t>
      </w:r>
    </w:p>
    <w:p w14:paraId="5E1B3291"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546FC0E9" w14:textId="77777777" w:rsidR="00C42229" w:rsidRPr="001775D9" w:rsidRDefault="00C42229" w:rsidP="00FB5458">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Pharmacodynamic effects </w:t>
      </w:r>
    </w:p>
    <w:p w14:paraId="5E489B7C"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p>
    <w:p w14:paraId="2281D305"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After treatment </w:t>
      </w:r>
      <w:r w:rsidRPr="001775D9">
        <w:rPr>
          <w:szCs w:val="22"/>
          <w:lang w:eastAsia="en-GB"/>
        </w:rPr>
        <w:t xml:space="preserve">with </w:t>
      </w:r>
      <w:r w:rsidR="002C1135" w:rsidRPr="001775D9">
        <w:rPr>
          <w:rFonts w:eastAsia="Times New Roman"/>
          <w:color w:val="000000"/>
          <w:szCs w:val="22"/>
        </w:rPr>
        <w:t>adalimumab</w:t>
      </w:r>
      <w:r w:rsidRPr="001775D9">
        <w:rPr>
          <w:szCs w:val="22"/>
          <w:lang w:eastAsia="en-GB"/>
        </w:rPr>
        <w:t>, a rapid decrease in levels of acute phase reactants of inflammation</w:t>
      </w:r>
      <w:r w:rsidR="002D1145" w:rsidRPr="001775D9">
        <w:rPr>
          <w:szCs w:val="22"/>
          <w:lang w:eastAsia="en-GB"/>
        </w:rPr>
        <w:t xml:space="preserve"> </w:t>
      </w:r>
      <w:r w:rsidRPr="001775D9">
        <w:rPr>
          <w:szCs w:val="22"/>
          <w:lang w:eastAsia="en-GB"/>
        </w:rPr>
        <w:t xml:space="preserve">(C-reactive protein (CRP) and erythrocyte sedimentation rate (ESR)) and serum cytokines (IL-6) was observed, compared to baseline in patients with rheumatoid arthritis. Serum levels of matrix metalloproteinases (MMP-1 and MMP-3) that produce tissue remodelling responsible for cartilage destruction were also decreased after </w:t>
      </w:r>
      <w:r w:rsidR="002C1135" w:rsidRPr="001775D9">
        <w:rPr>
          <w:rFonts w:eastAsia="Times New Roman"/>
          <w:color w:val="000000"/>
          <w:szCs w:val="22"/>
        </w:rPr>
        <w:t>adalimumab</w:t>
      </w:r>
      <w:r w:rsidRPr="001775D9">
        <w:rPr>
          <w:szCs w:val="22"/>
          <w:lang w:eastAsia="en-GB"/>
        </w:rPr>
        <w:t xml:space="preserve"> administration. Patients treated with </w:t>
      </w:r>
      <w:r w:rsidR="002C1135" w:rsidRPr="001775D9">
        <w:rPr>
          <w:rFonts w:eastAsia="Times New Roman"/>
          <w:color w:val="000000"/>
          <w:szCs w:val="22"/>
        </w:rPr>
        <w:t>adalimumab</w:t>
      </w:r>
      <w:r w:rsidRPr="001775D9">
        <w:rPr>
          <w:szCs w:val="22"/>
          <w:lang w:eastAsia="en-GB"/>
        </w:rPr>
        <w:t xml:space="preserve"> usually experienced improvement in haematological signs of chronic inflammation. </w:t>
      </w:r>
    </w:p>
    <w:p w14:paraId="69891AA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BD0E045" w14:textId="762F36F2" w:rsidR="00C42229" w:rsidRPr="001775D9" w:rsidRDefault="00C42229" w:rsidP="00654871">
      <w:pPr>
        <w:tabs>
          <w:tab w:val="clear" w:pos="567"/>
        </w:tabs>
        <w:autoSpaceDE w:val="0"/>
        <w:autoSpaceDN w:val="0"/>
        <w:adjustRightInd w:val="0"/>
        <w:spacing w:line="240" w:lineRule="auto"/>
        <w:rPr>
          <w:szCs w:val="22"/>
          <w:lang w:eastAsia="en-GB"/>
        </w:rPr>
      </w:pPr>
      <w:r w:rsidRPr="001775D9">
        <w:rPr>
          <w:szCs w:val="22"/>
          <w:lang w:eastAsia="en-GB"/>
        </w:rPr>
        <w:t>A rapid decrease in CRP levels was also observed in patients with polyarticular juvenile idiopathic arthritis, Crohn's disease</w:t>
      </w:r>
      <w:r w:rsidR="002C1135" w:rsidRPr="001775D9">
        <w:rPr>
          <w:szCs w:val="22"/>
          <w:lang w:eastAsia="en-GB"/>
        </w:rPr>
        <w:t xml:space="preserve">, </w:t>
      </w:r>
      <w:r w:rsidRPr="001775D9">
        <w:rPr>
          <w:szCs w:val="22"/>
          <w:lang w:eastAsia="en-GB"/>
        </w:rPr>
        <w:t xml:space="preserve">ulcerative colitis </w:t>
      </w:r>
      <w:r w:rsidR="002C1135" w:rsidRPr="001775D9">
        <w:rPr>
          <w:szCs w:val="22"/>
          <w:lang w:eastAsia="en-GB"/>
        </w:rPr>
        <w:t xml:space="preserve">and hidradenitis suppurativa </w:t>
      </w:r>
      <w:r w:rsidRPr="001775D9">
        <w:rPr>
          <w:szCs w:val="22"/>
          <w:lang w:eastAsia="en-GB"/>
        </w:rPr>
        <w:t xml:space="preserve">after treatment with </w:t>
      </w:r>
      <w:r w:rsidR="002C1135" w:rsidRPr="001775D9">
        <w:rPr>
          <w:rFonts w:eastAsia="Times New Roman"/>
          <w:color w:val="000000"/>
          <w:szCs w:val="22"/>
        </w:rPr>
        <w:t>adalimumab</w:t>
      </w:r>
      <w:r w:rsidRPr="001775D9">
        <w:rPr>
          <w:szCs w:val="22"/>
          <w:lang w:eastAsia="en-GB"/>
        </w:rPr>
        <w:t>. In patients with Crohn’s disease</w:t>
      </w:r>
      <w:r w:rsidR="007E19C6" w:rsidRPr="001775D9">
        <w:rPr>
          <w:szCs w:val="22"/>
          <w:lang w:eastAsia="en-GB"/>
        </w:rPr>
        <w:t>,</w:t>
      </w:r>
      <w:r w:rsidRPr="001775D9">
        <w:rPr>
          <w:szCs w:val="22"/>
          <w:lang w:eastAsia="en-GB"/>
        </w:rPr>
        <w:t xml:space="preserve"> a reduction of the number of cells expressing inflammatory markers in the colon including a significant reduction of expression of TNFα was seen. Endoscopic studies in intestinal mucosa have shown evidence of mucosal healing in adalimumab</w:t>
      </w:r>
      <w:r w:rsidR="00A515F5" w:rsidRPr="001775D9">
        <w:rPr>
          <w:szCs w:val="22"/>
          <w:lang w:eastAsia="en-GB"/>
        </w:rPr>
        <w:t>-</w:t>
      </w:r>
      <w:r w:rsidRPr="001775D9">
        <w:rPr>
          <w:szCs w:val="22"/>
          <w:lang w:eastAsia="en-GB"/>
        </w:rPr>
        <w:t xml:space="preserve">treated patients. </w:t>
      </w:r>
    </w:p>
    <w:p w14:paraId="2738A237"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2B3E814"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Clinical efficacy and safety </w:t>
      </w:r>
    </w:p>
    <w:p w14:paraId="0ADB27C7" w14:textId="77777777" w:rsidR="00C42229" w:rsidRPr="001775D9" w:rsidRDefault="00C42229" w:rsidP="00FB5458">
      <w:pPr>
        <w:keepNext/>
        <w:tabs>
          <w:tab w:val="clear" w:pos="567"/>
        </w:tabs>
        <w:autoSpaceDE w:val="0"/>
        <w:autoSpaceDN w:val="0"/>
        <w:adjustRightInd w:val="0"/>
        <w:spacing w:line="240" w:lineRule="auto"/>
        <w:rPr>
          <w:szCs w:val="22"/>
          <w:u w:val="single"/>
          <w:lang w:eastAsia="en-GB"/>
        </w:rPr>
      </w:pPr>
    </w:p>
    <w:p w14:paraId="1491AEF9" w14:textId="77777777" w:rsidR="00C42229" w:rsidRPr="001775D9" w:rsidRDefault="00C42229" w:rsidP="00FB5458">
      <w:pPr>
        <w:tabs>
          <w:tab w:val="clear" w:pos="567"/>
        </w:tabs>
        <w:autoSpaceDE w:val="0"/>
        <w:autoSpaceDN w:val="0"/>
        <w:adjustRightInd w:val="0"/>
        <w:spacing w:line="240" w:lineRule="auto"/>
        <w:rPr>
          <w:i/>
          <w:szCs w:val="22"/>
          <w:lang w:eastAsia="en-GB"/>
        </w:rPr>
      </w:pPr>
      <w:r w:rsidRPr="001775D9">
        <w:rPr>
          <w:i/>
          <w:szCs w:val="22"/>
          <w:lang w:eastAsia="en-GB"/>
        </w:rPr>
        <w:t xml:space="preserve">Rheumatoid arthritis </w:t>
      </w:r>
    </w:p>
    <w:p w14:paraId="33F24A58"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711ADB2C" w14:textId="3DD5467E" w:rsidR="00C42229" w:rsidRPr="001775D9" w:rsidRDefault="002C1135" w:rsidP="00FB5458">
      <w:pPr>
        <w:tabs>
          <w:tab w:val="clear" w:pos="567"/>
        </w:tabs>
        <w:autoSpaceDE w:val="0"/>
        <w:autoSpaceDN w:val="0"/>
        <w:adjustRightInd w:val="0"/>
        <w:spacing w:line="240" w:lineRule="auto"/>
        <w:rPr>
          <w:szCs w:val="22"/>
          <w:lang w:eastAsia="ja-JP"/>
        </w:rPr>
      </w:pPr>
      <w:r w:rsidRPr="001775D9">
        <w:rPr>
          <w:rFonts w:eastAsia="Times New Roman"/>
          <w:color w:val="000000"/>
          <w:szCs w:val="22"/>
        </w:rPr>
        <w:t>Adalimumab</w:t>
      </w:r>
      <w:r w:rsidR="00C42229" w:rsidRPr="001775D9">
        <w:rPr>
          <w:szCs w:val="22"/>
          <w:lang w:eastAsia="en-GB"/>
        </w:rPr>
        <w:t xml:space="preserve"> was evaluated in over 3</w:t>
      </w:r>
      <w:r w:rsidR="00792ACC" w:rsidRPr="001775D9">
        <w:rPr>
          <w:szCs w:val="22"/>
          <w:lang w:eastAsia="en-GB"/>
        </w:rPr>
        <w:t>,</w:t>
      </w:r>
      <w:r w:rsidR="00C42229" w:rsidRPr="001775D9">
        <w:rPr>
          <w:szCs w:val="22"/>
          <w:lang w:eastAsia="en-GB"/>
        </w:rPr>
        <w:t xml:space="preserve">000 patients in all rheumatoid arthritis clinical trials. The efficacy and safety of </w:t>
      </w:r>
      <w:r w:rsidRPr="001775D9">
        <w:rPr>
          <w:rFonts w:eastAsia="Times New Roman"/>
          <w:color w:val="000000"/>
          <w:szCs w:val="22"/>
        </w:rPr>
        <w:t>adalimumab</w:t>
      </w:r>
      <w:r w:rsidR="00C42229" w:rsidRPr="001775D9">
        <w:rPr>
          <w:szCs w:val="22"/>
          <w:lang w:eastAsia="en-GB"/>
        </w:rPr>
        <w:t xml:space="preserve"> were assessed in five randomised, double-blind and well-controlled studies. Some patients were treated for up to 120 months duration. </w:t>
      </w:r>
    </w:p>
    <w:p w14:paraId="2E571295"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D70B1AC" w14:textId="61C8880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lang w:eastAsia="en-GB"/>
        </w:rPr>
        <w:t>RA study I evaluated 271 patients with moderately to severely active rheumatoid arthritis who were ≥</w:t>
      </w:r>
      <w:r w:rsidRPr="001775D9">
        <w:rPr>
          <w:szCs w:val="22"/>
        </w:rPr>
        <w:t> </w:t>
      </w:r>
      <w:r w:rsidRPr="001775D9">
        <w:rPr>
          <w:szCs w:val="22"/>
          <w:lang w:eastAsia="en-GB"/>
        </w:rPr>
        <w:t>18 years old, had failed therapy with at le</w:t>
      </w:r>
      <w:r w:rsidR="002C1135" w:rsidRPr="001775D9">
        <w:rPr>
          <w:szCs w:val="22"/>
          <w:lang w:eastAsia="en-GB"/>
        </w:rPr>
        <w:t>ast one disease-modifying, anti-</w:t>
      </w:r>
      <w:r w:rsidRPr="001775D9">
        <w:rPr>
          <w:szCs w:val="22"/>
          <w:lang w:eastAsia="en-GB"/>
        </w:rPr>
        <w:t>rheumatic drug and had insufficient efficacy with methotrexate at doses of 12.5 to 25</w:t>
      </w:r>
      <w:r w:rsidRPr="001775D9">
        <w:rPr>
          <w:szCs w:val="22"/>
        </w:rPr>
        <w:t> </w:t>
      </w:r>
      <w:r w:rsidRPr="001775D9">
        <w:rPr>
          <w:szCs w:val="22"/>
          <w:lang w:eastAsia="en-GB"/>
        </w:rPr>
        <w:t>mg (10</w:t>
      </w:r>
      <w:r w:rsidRPr="001775D9">
        <w:rPr>
          <w:szCs w:val="22"/>
        </w:rPr>
        <w:t> </w:t>
      </w:r>
      <w:r w:rsidRPr="001775D9">
        <w:rPr>
          <w:szCs w:val="22"/>
          <w:lang w:eastAsia="en-GB"/>
        </w:rPr>
        <w:t>mg if methotrexate-intolerant) every week and whose methotrexate dose remained constant at 10 to 25</w:t>
      </w:r>
      <w:r w:rsidRPr="001775D9">
        <w:rPr>
          <w:szCs w:val="22"/>
        </w:rPr>
        <w:t> </w:t>
      </w:r>
      <w:r w:rsidRPr="001775D9">
        <w:rPr>
          <w:szCs w:val="22"/>
          <w:lang w:eastAsia="en-GB"/>
        </w:rPr>
        <w:t>mg every week. Doses of 20, 40 or 80</w:t>
      </w:r>
      <w:r w:rsidRPr="001775D9">
        <w:rPr>
          <w:szCs w:val="22"/>
        </w:rPr>
        <w:t> </w:t>
      </w:r>
      <w:r w:rsidRPr="001775D9">
        <w:rPr>
          <w:szCs w:val="22"/>
          <w:lang w:eastAsia="en-GB"/>
        </w:rPr>
        <w:t xml:space="preserve">mg of </w:t>
      </w:r>
      <w:r w:rsidR="002C1135" w:rsidRPr="001775D9">
        <w:rPr>
          <w:rFonts w:eastAsia="Times New Roman"/>
          <w:color w:val="000000"/>
          <w:szCs w:val="22"/>
        </w:rPr>
        <w:t>adalimumab</w:t>
      </w:r>
      <w:r w:rsidRPr="001775D9">
        <w:rPr>
          <w:szCs w:val="22"/>
          <w:lang w:eastAsia="en-GB"/>
        </w:rPr>
        <w:t xml:space="preserve"> or placebo were given every other week for 24 weeks.</w:t>
      </w:r>
    </w:p>
    <w:p w14:paraId="475D01A1"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561457C7"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lang w:eastAsia="en-GB"/>
        </w:rPr>
        <w:t>RA study II evaluated 544 patients with moderately to severely active rheumatoid arthritis who were ≥</w:t>
      </w:r>
      <w:r w:rsidR="00231B88" w:rsidRPr="001775D9">
        <w:rPr>
          <w:szCs w:val="22"/>
        </w:rPr>
        <w:t> </w:t>
      </w:r>
      <w:r w:rsidRPr="001775D9">
        <w:rPr>
          <w:szCs w:val="22"/>
          <w:lang w:eastAsia="en-GB"/>
        </w:rPr>
        <w:t>18</w:t>
      </w:r>
      <w:r w:rsidR="00231B88" w:rsidRPr="001775D9">
        <w:rPr>
          <w:szCs w:val="22"/>
          <w:lang w:eastAsia="en-GB"/>
        </w:rPr>
        <w:t> </w:t>
      </w:r>
      <w:r w:rsidRPr="001775D9">
        <w:rPr>
          <w:szCs w:val="22"/>
          <w:lang w:eastAsia="en-GB"/>
        </w:rPr>
        <w:t>years old and had failed therapy with at least one disease-modifying, anti-rheumatic drugs. Doses of 20</w:t>
      </w:r>
      <w:r w:rsidR="00231B88" w:rsidRPr="001775D9">
        <w:rPr>
          <w:szCs w:val="22"/>
          <w:lang w:eastAsia="en-GB"/>
        </w:rPr>
        <w:t> </w:t>
      </w:r>
      <w:r w:rsidRPr="001775D9">
        <w:rPr>
          <w:szCs w:val="22"/>
          <w:lang w:eastAsia="en-GB"/>
        </w:rPr>
        <w:t>or 40</w:t>
      </w:r>
      <w:r w:rsidRPr="001775D9">
        <w:rPr>
          <w:szCs w:val="22"/>
        </w:rPr>
        <w:t> </w:t>
      </w:r>
      <w:r w:rsidRPr="001775D9">
        <w:rPr>
          <w:szCs w:val="22"/>
          <w:lang w:eastAsia="en-GB"/>
        </w:rPr>
        <w:t xml:space="preserve">mg of </w:t>
      </w:r>
      <w:r w:rsidR="002C1135" w:rsidRPr="001775D9">
        <w:rPr>
          <w:rFonts w:eastAsia="Times New Roman"/>
          <w:color w:val="000000"/>
          <w:szCs w:val="22"/>
        </w:rPr>
        <w:t>adalimumab</w:t>
      </w:r>
      <w:r w:rsidRPr="001775D9">
        <w:rPr>
          <w:szCs w:val="22"/>
          <w:lang w:eastAsia="en-GB"/>
        </w:rPr>
        <w:t xml:space="preserve"> were given by subcutaneous injection every</w:t>
      </w:r>
      <w:r w:rsidRPr="001775D9">
        <w:rPr>
          <w:color w:val="000000"/>
          <w:szCs w:val="22"/>
          <w:lang w:eastAsia="en-GB"/>
        </w:rPr>
        <w:t xml:space="preserve"> other week with placebo on alternative weeks or every week for 26</w:t>
      </w:r>
      <w:r w:rsidRPr="001775D9">
        <w:rPr>
          <w:szCs w:val="22"/>
        </w:rPr>
        <w:t> </w:t>
      </w:r>
      <w:r w:rsidRPr="001775D9">
        <w:rPr>
          <w:color w:val="000000"/>
          <w:szCs w:val="22"/>
          <w:lang w:eastAsia="en-GB"/>
        </w:rPr>
        <w:t xml:space="preserve">weeks; placebo was given every week for the same duration. No other disease-modifying anti-rheumatic drugs were allowed. </w:t>
      </w:r>
    </w:p>
    <w:p w14:paraId="65784269"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51989D2C"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color w:val="000000"/>
          <w:szCs w:val="22"/>
          <w:lang w:eastAsia="en-GB"/>
        </w:rPr>
        <w:t>RA study III evaluated 619 patients with moderately to severely active rheumatoid arthritis who were ≥</w:t>
      </w:r>
      <w:r w:rsidR="00231B88" w:rsidRPr="001775D9">
        <w:rPr>
          <w:szCs w:val="22"/>
        </w:rPr>
        <w:t> </w:t>
      </w:r>
      <w:r w:rsidRPr="001775D9">
        <w:rPr>
          <w:color w:val="000000"/>
          <w:szCs w:val="22"/>
          <w:lang w:eastAsia="en-GB"/>
        </w:rPr>
        <w:t>18</w:t>
      </w:r>
      <w:r w:rsidR="00231B88" w:rsidRPr="001775D9">
        <w:rPr>
          <w:color w:val="000000"/>
          <w:szCs w:val="22"/>
          <w:lang w:eastAsia="en-GB"/>
        </w:rPr>
        <w:t> </w:t>
      </w:r>
      <w:r w:rsidRPr="001775D9">
        <w:rPr>
          <w:color w:val="000000"/>
          <w:szCs w:val="22"/>
          <w:lang w:eastAsia="en-GB"/>
        </w:rPr>
        <w:t xml:space="preserve">years old, and who </w:t>
      </w:r>
      <w:r w:rsidRPr="001775D9">
        <w:rPr>
          <w:szCs w:val="22"/>
          <w:lang w:eastAsia="en-GB"/>
        </w:rPr>
        <w:t>had an ineffective response to methotrexate at doses of 12.5 to 25</w:t>
      </w:r>
      <w:r w:rsidRPr="001775D9">
        <w:rPr>
          <w:szCs w:val="22"/>
        </w:rPr>
        <w:t> </w:t>
      </w:r>
      <w:r w:rsidRPr="001775D9">
        <w:rPr>
          <w:szCs w:val="22"/>
          <w:lang w:eastAsia="en-GB"/>
        </w:rPr>
        <w:t>mg or have been intolerant to 10</w:t>
      </w:r>
      <w:r w:rsidRPr="001775D9">
        <w:rPr>
          <w:szCs w:val="22"/>
        </w:rPr>
        <w:t> </w:t>
      </w:r>
      <w:r w:rsidRPr="001775D9">
        <w:rPr>
          <w:szCs w:val="22"/>
          <w:lang w:eastAsia="en-GB"/>
        </w:rPr>
        <w:t>mg of methotrexate every week. There were three groups in this study. The first received placebo injections every week for 52 weeks. The second received 20</w:t>
      </w:r>
      <w:r w:rsidRPr="001775D9">
        <w:rPr>
          <w:szCs w:val="22"/>
        </w:rPr>
        <w:t> </w:t>
      </w:r>
      <w:r w:rsidRPr="001775D9">
        <w:rPr>
          <w:szCs w:val="22"/>
          <w:lang w:eastAsia="en-GB"/>
        </w:rPr>
        <w:t xml:space="preserve">mg of </w:t>
      </w:r>
      <w:r w:rsidR="002C1135" w:rsidRPr="001775D9">
        <w:rPr>
          <w:rFonts w:eastAsia="Times New Roman"/>
          <w:color w:val="000000"/>
          <w:szCs w:val="22"/>
        </w:rPr>
        <w:t>adalimumab</w:t>
      </w:r>
      <w:r w:rsidRPr="001775D9">
        <w:rPr>
          <w:szCs w:val="22"/>
          <w:lang w:eastAsia="en-GB"/>
        </w:rPr>
        <w:t xml:space="preserve"> every week for 52</w:t>
      </w:r>
      <w:r w:rsidR="00231B88" w:rsidRPr="001775D9">
        <w:rPr>
          <w:szCs w:val="22"/>
          <w:lang w:eastAsia="en-GB"/>
        </w:rPr>
        <w:t> </w:t>
      </w:r>
      <w:r w:rsidRPr="001775D9">
        <w:rPr>
          <w:szCs w:val="22"/>
          <w:lang w:eastAsia="en-GB"/>
        </w:rPr>
        <w:t>weeks. The third group received 40</w:t>
      </w:r>
      <w:r w:rsidRPr="001775D9">
        <w:rPr>
          <w:szCs w:val="22"/>
        </w:rPr>
        <w:t> </w:t>
      </w:r>
      <w:r w:rsidRPr="001775D9">
        <w:rPr>
          <w:szCs w:val="22"/>
          <w:lang w:eastAsia="en-GB"/>
        </w:rPr>
        <w:t xml:space="preserve">mg of </w:t>
      </w:r>
      <w:r w:rsidR="002C1135" w:rsidRPr="001775D9">
        <w:rPr>
          <w:rFonts w:eastAsia="Times New Roman"/>
          <w:color w:val="000000"/>
          <w:szCs w:val="22"/>
        </w:rPr>
        <w:t>adalimumab</w:t>
      </w:r>
      <w:r w:rsidRPr="001775D9">
        <w:rPr>
          <w:szCs w:val="22"/>
          <w:lang w:eastAsia="en-GB"/>
        </w:rPr>
        <w:t xml:space="preserve"> every other week with placebo injections on alternate weeks. Upon completion of the first 52 weeks, 457 patients enrolled in an open-label extension phase in which 40</w:t>
      </w:r>
      <w:r w:rsidRPr="001775D9">
        <w:rPr>
          <w:szCs w:val="22"/>
        </w:rPr>
        <w:t> </w:t>
      </w:r>
      <w:r w:rsidRPr="001775D9">
        <w:rPr>
          <w:szCs w:val="22"/>
          <w:lang w:eastAsia="en-GB"/>
        </w:rPr>
        <w:t xml:space="preserve">mg of </w:t>
      </w:r>
      <w:r w:rsidR="002C1135" w:rsidRPr="001775D9">
        <w:rPr>
          <w:rFonts w:eastAsia="Times New Roman"/>
          <w:color w:val="000000"/>
          <w:szCs w:val="22"/>
        </w:rPr>
        <w:t>adalimumab</w:t>
      </w:r>
      <w:r w:rsidRPr="001775D9">
        <w:rPr>
          <w:szCs w:val="22"/>
          <w:lang w:eastAsia="en-GB"/>
        </w:rPr>
        <w:t>/MTX was administered every other week up to 10 years.</w:t>
      </w:r>
    </w:p>
    <w:p w14:paraId="66D27175"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3257727E" w14:textId="2E6D529E"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RA study IV primarily assessed safety in 636 patients with moderately to severely active rheumatoid arthritis who were ≥</w:t>
      </w:r>
      <w:r w:rsidRPr="001775D9">
        <w:rPr>
          <w:szCs w:val="22"/>
        </w:rPr>
        <w:t> </w:t>
      </w:r>
      <w:r w:rsidRPr="001775D9">
        <w:rPr>
          <w:szCs w:val="22"/>
          <w:lang w:eastAsia="en-GB"/>
        </w:rPr>
        <w:t>18 years old. Patients were permitted to be either disease-modifying, anti</w:t>
      </w:r>
      <w:r w:rsidR="002C1135" w:rsidRPr="001775D9">
        <w:rPr>
          <w:szCs w:val="22"/>
          <w:lang w:eastAsia="en-GB"/>
        </w:rPr>
        <w:t>-</w:t>
      </w:r>
      <w:r w:rsidRPr="001775D9">
        <w:rPr>
          <w:szCs w:val="22"/>
          <w:lang w:eastAsia="en-GB"/>
        </w:rPr>
        <w:t>rheumatic drug-naïve or to remain on their pre-existing rheumatologic therapy provided that therapy was stable for a minimum of 28 days. These therapies include methotrexate, leflunomide, hydroxychloroquine, sulfasalazine and/or gold salts. Patients were randomised to 40</w:t>
      </w:r>
      <w:r w:rsidRPr="001775D9">
        <w:rPr>
          <w:szCs w:val="22"/>
        </w:rPr>
        <w:t> </w:t>
      </w:r>
      <w:r w:rsidRPr="001775D9">
        <w:rPr>
          <w:szCs w:val="22"/>
          <w:lang w:eastAsia="en-GB"/>
        </w:rPr>
        <w:t xml:space="preserve">mg of </w:t>
      </w:r>
      <w:r w:rsidR="002C1135" w:rsidRPr="001775D9">
        <w:rPr>
          <w:rFonts w:eastAsia="Times New Roman"/>
          <w:color w:val="000000"/>
          <w:szCs w:val="22"/>
        </w:rPr>
        <w:t>adalimumab</w:t>
      </w:r>
      <w:r w:rsidRPr="001775D9">
        <w:rPr>
          <w:szCs w:val="22"/>
          <w:lang w:eastAsia="en-GB"/>
        </w:rPr>
        <w:t xml:space="preserve"> or placebo every other week for 24</w:t>
      </w:r>
      <w:r w:rsidR="00231B88" w:rsidRPr="001775D9">
        <w:rPr>
          <w:szCs w:val="22"/>
          <w:lang w:eastAsia="en-GB"/>
        </w:rPr>
        <w:t> </w:t>
      </w:r>
      <w:r w:rsidRPr="001775D9">
        <w:rPr>
          <w:szCs w:val="22"/>
          <w:lang w:eastAsia="en-GB"/>
        </w:rPr>
        <w:t xml:space="preserve">weeks. </w:t>
      </w:r>
    </w:p>
    <w:p w14:paraId="5FD00F35"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BE45060" w14:textId="11549CDA" w:rsidR="00C42229" w:rsidRPr="001775D9" w:rsidRDefault="00C42229" w:rsidP="00FB5458">
      <w:pPr>
        <w:tabs>
          <w:tab w:val="clear" w:pos="567"/>
        </w:tabs>
        <w:autoSpaceDE w:val="0"/>
        <w:autoSpaceDN w:val="0"/>
        <w:adjustRightInd w:val="0"/>
        <w:spacing w:line="240" w:lineRule="auto"/>
        <w:rPr>
          <w:szCs w:val="22"/>
          <w:lang w:eastAsia="ja-JP"/>
        </w:rPr>
      </w:pPr>
      <w:r w:rsidRPr="001775D9">
        <w:rPr>
          <w:szCs w:val="22"/>
          <w:lang w:eastAsia="en-GB"/>
        </w:rPr>
        <w:t xml:space="preserve">RA study V evaluated 799 methotrexate-naïve, adult patients with moderate to severely active early rheumatoid arthritis (mean disease duration less than 9 months). This study evaluated the efficacy of </w:t>
      </w:r>
      <w:r w:rsidR="002C1135" w:rsidRPr="001775D9">
        <w:rPr>
          <w:rFonts w:eastAsia="Times New Roman"/>
          <w:color w:val="000000"/>
          <w:szCs w:val="22"/>
        </w:rPr>
        <w:t>adalimumab</w:t>
      </w:r>
      <w:r w:rsidR="00A8582B" w:rsidRPr="001775D9">
        <w:rPr>
          <w:szCs w:val="22"/>
          <w:lang w:eastAsia="en-GB"/>
        </w:rPr>
        <w:t xml:space="preserve"> </w:t>
      </w:r>
      <w:r w:rsidRPr="001775D9">
        <w:rPr>
          <w:szCs w:val="22"/>
          <w:lang w:eastAsia="en-GB"/>
        </w:rPr>
        <w:t>40</w:t>
      </w:r>
      <w:r w:rsidRPr="001775D9">
        <w:rPr>
          <w:szCs w:val="22"/>
        </w:rPr>
        <w:t> </w:t>
      </w:r>
      <w:r w:rsidRPr="001775D9">
        <w:rPr>
          <w:szCs w:val="22"/>
          <w:lang w:eastAsia="en-GB"/>
        </w:rPr>
        <w:t xml:space="preserve">mg every other week/methotrexate combination therapy, </w:t>
      </w:r>
      <w:r w:rsidR="002C1135"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mg every other week monotherapy and methotrexate monotherapy in reducing the signs and symptoms and rate of progression of joint damage in rheumatoid arthritis for 104 weeks.</w:t>
      </w:r>
      <w:r w:rsidR="007B1035" w:rsidRPr="001775D9">
        <w:rPr>
          <w:szCs w:val="22"/>
          <w:lang w:eastAsia="en-GB"/>
        </w:rPr>
        <w:t xml:space="preserve"> </w:t>
      </w:r>
      <w:r w:rsidR="007B1035" w:rsidRPr="001775D9">
        <w:rPr>
          <w:szCs w:val="22"/>
          <w:lang w:eastAsia="ja-JP"/>
        </w:rPr>
        <w:t xml:space="preserve">Upon completion of the first 104 weeks, 497 patients enrolled in an open-label extension phase in which 40 mg of </w:t>
      </w:r>
      <w:r w:rsidR="007B1035" w:rsidRPr="001775D9">
        <w:rPr>
          <w:rFonts w:eastAsia="Times New Roman"/>
          <w:color w:val="000000"/>
          <w:szCs w:val="22"/>
        </w:rPr>
        <w:t>adalimumab</w:t>
      </w:r>
      <w:r w:rsidR="007B1035" w:rsidRPr="001775D9">
        <w:rPr>
          <w:szCs w:val="22"/>
          <w:lang w:eastAsia="ja-JP"/>
        </w:rPr>
        <w:t xml:space="preserve"> was administered every other week up to 10 years.</w:t>
      </w:r>
    </w:p>
    <w:p w14:paraId="10EC50D7" w14:textId="77777777" w:rsidR="00504D4F" w:rsidRPr="001775D9" w:rsidRDefault="00504D4F" w:rsidP="00FB5458">
      <w:pPr>
        <w:tabs>
          <w:tab w:val="clear" w:pos="567"/>
        </w:tabs>
        <w:autoSpaceDE w:val="0"/>
        <w:autoSpaceDN w:val="0"/>
        <w:adjustRightInd w:val="0"/>
        <w:spacing w:line="240" w:lineRule="auto"/>
        <w:rPr>
          <w:szCs w:val="22"/>
          <w:lang w:eastAsia="ja-JP"/>
        </w:rPr>
      </w:pPr>
    </w:p>
    <w:p w14:paraId="54E5F30A" w14:textId="77777777" w:rsidR="00C42229" w:rsidRPr="001775D9" w:rsidRDefault="00C42229" w:rsidP="00FB5458">
      <w:pPr>
        <w:tabs>
          <w:tab w:val="clear" w:pos="567"/>
        </w:tabs>
        <w:autoSpaceDE w:val="0"/>
        <w:autoSpaceDN w:val="0"/>
        <w:adjustRightInd w:val="0"/>
        <w:spacing w:line="240" w:lineRule="auto"/>
        <w:rPr>
          <w:szCs w:val="22"/>
          <w:lang w:eastAsia="ja-JP"/>
        </w:rPr>
      </w:pPr>
      <w:r w:rsidRPr="001775D9">
        <w:rPr>
          <w:szCs w:val="22"/>
        </w:rPr>
        <w:t xml:space="preserve">The primary end point in RA studies I, II and III and the secondary endpoint in RA study IV was the percent of patients who achieved an ACR 20 response at </w:t>
      </w:r>
      <w:r w:rsidR="009D37CE" w:rsidRPr="001775D9">
        <w:rPr>
          <w:szCs w:val="22"/>
        </w:rPr>
        <w:t>w</w:t>
      </w:r>
      <w:r w:rsidRPr="001775D9">
        <w:rPr>
          <w:szCs w:val="22"/>
        </w:rPr>
        <w:t xml:space="preserve">eek 24 or 26. The primary endpoint in RA study V was the percent of patients who achieved an ACR 50 response at </w:t>
      </w:r>
      <w:r w:rsidR="009D37CE" w:rsidRPr="001775D9">
        <w:rPr>
          <w:szCs w:val="22"/>
        </w:rPr>
        <w:t>week</w:t>
      </w:r>
      <w:r w:rsidRPr="001775D9">
        <w:rPr>
          <w:szCs w:val="22"/>
        </w:rPr>
        <w:t xml:space="preserve"> 52. RA studies III and V had an additional primary endpoint at 52 weeks of retardation of disease progression (as detected by </w:t>
      </w:r>
      <w:r w:rsidR="005D0634" w:rsidRPr="001775D9">
        <w:rPr>
          <w:szCs w:val="22"/>
        </w:rPr>
        <w:t>x</w:t>
      </w:r>
      <w:r w:rsidRPr="001775D9">
        <w:rPr>
          <w:szCs w:val="22"/>
        </w:rPr>
        <w:t>-ray results). RA study III also had a primary endpoint of changes in quality of life.</w:t>
      </w:r>
      <w:r w:rsidR="00504D4F" w:rsidRPr="001775D9">
        <w:rPr>
          <w:szCs w:val="22"/>
        </w:rPr>
        <w:t xml:space="preserve"> </w:t>
      </w:r>
    </w:p>
    <w:p w14:paraId="14A9A38C" w14:textId="77777777" w:rsidR="00C42229" w:rsidRPr="001775D9" w:rsidRDefault="00C42229" w:rsidP="00275906">
      <w:pPr>
        <w:keepNext/>
        <w:tabs>
          <w:tab w:val="clear" w:pos="567"/>
        </w:tabs>
        <w:autoSpaceDE w:val="0"/>
        <w:autoSpaceDN w:val="0"/>
        <w:adjustRightInd w:val="0"/>
        <w:spacing w:line="240" w:lineRule="auto"/>
        <w:rPr>
          <w:szCs w:val="22"/>
          <w:u w:val="single"/>
          <w:lang w:eastAsia="en-GB"/>
        </w:rPr>
      </w:pPr>
    </w:p>
    <w:p w14:paraId="4AF3EE53" w14:textId="77777777" w:rsidR="00C42229" w:rsidRPr="001775D9" w:rsidRDefault="00C42229" w:rsidP="00FB5458">
      <w:pPr>
        <w:tabs>
          <w:tab w:val="clear" w:pos="567"/>
        </w:tabs>
        <w:autoSpaceDE w:val="0"/>
        <w:autoSpaceDN w:val="0"/>
        <w:adjustRightInd w:val="0"/>
        <w:spacing w:line="240" w:lineRule="auto"/>
        <w:rPr>
          <w:i/>
          <w:szCs w:val="22"/>
          <w:u w:val="single"/>
          <w:lang w:eastAsia="en-GB"/>
        </w:rPr>
      </w:pPr>
      <w:r w:rsidRPr="001775D9">
        <w:rPr>
          <w:i/>
          <w:szCs w:val="22"/>
          <w:u w:val="single"/>
        </w:rPr>
        <w:t>ACR response</w:t>
      </w:r>
    </w:p>
    <w:p w14:paraId="0B0AD666" w14:textId="77777777" w:rsidR="00504D4F" w:rsidRPr="001775D9" w:rsidRDefault="00504D4F" w:rsidP="00FB5458">
      <w:pPr>
        <w:tabs>
          <w:tab w:val="clear" w:pos="567"/>
        </w:tabs>
        <w:autoSpaceDE w:val="0"/>
        <w:autoSpaceDN w:val="0"/>
        <w:adjustRightInd w:val="0"/>
        <w:spacing w:line="240" w:lineRule="auto"/>
        <w:rPr>
          <w:szCs w:val="22"/>
          <w:u w:val="single"/>
          <w:lang w:eastAsia="en-GB"/>
        </w:rPr>
      </w:pPr>
    </w:p>
    <w:p w14:paraId="39CFBE47" w14:textId="5D6A2F34" w:rsidR="00C42229" w:rsidRPr="001775D9" w:rsidRDefault="00C42229" w:rsidP="00FB5458">
      <w:pPr>
        <w:tabs>
          <w:tab w:val="clear" w:pos="567"/>
        </w:tabs>
        <w:autoSpaceDE w:val="0"/>
        <w:autoSpaceDN w:val="0"/>
        <w:adjustRightInd w:val="0"/>
        <w:spacing w:line="240" w:lineRule="auto"/>
        <w:rPr>
          <w:color w:val="000000"/>
          <w:szCs w:val="22"/>
          <w:u w:val="single"/>
          <w:lang w:eastAsia="en-GB"/>
        </w:rPr>
      </w:pPr>
      <w:r w:rsidRPr="001775D9">
        <w:rPr>
          <w:szCs w:val="22"/>
        </w:rPr>
        <w:t xml:space="preserve">The percent of </w:t>
      </w:r>
      <w:r w:rsidR="002C1135" w:rsidRPr="001775D9">
        <w:rPr>
          <w:rFonts w:eastAsia="Times New Roman"/>
          <w:color w:val="000000"/>
          <w:szCs w:val="22"/>
        </w:rPr>
        <w:t>adalimumab</w:t>
      </w:r>
      <w:r w:rsidRPr="001775D9">
        <w:rPr>
          <w:szCs w:val="22"/>
        </w:rPr>
        <w:t xml:space="preserve">-treated patients achieving ACR 20, 50 and 70 responses was consistent across RA studies I, II and III. The results for the 40 mg every other week dose are summarised in </w:t>
      </w:r>
      <w:r w:rsidR="00CB7003" w:rsidRPr="001775D9">
        <w:rPr>
          <w:szCs w:val="22"/>
        </w:rPr>
        <w:t>t</w:t>
      </w:r>
      <w:r w:rsidR="00A2178C" w:rsidRPr="001775D9">
        <w:rPr>
          <w:szCs w:val="22"/>
        </w:rPr>
        <w:t xml:space="preserve">able </w:t>
      </w:r>
      <w:r w:rsidR="00407EA8" w:rsidRPr="001775D9">
        <w:rPr>
          <w:szCs w:val="22"/>
        </w:rPr>
        <w:t>8</w:t>
      </w:r>
      <w:r w:rsidRPr="001775D9">
        <w:rPr>
          <w:szCs w:val="22"/>
        </w:rPr>
        <w:t>.</w:t>
      </w:r>
    </w:p>
    <w:p w14:paraId="71C37E9C" w14:textId="77777777" w:rsidR="00C42229" w:rsidRPr="001775D9" w:rsidRDefault="00C42229" w:rsidP="00FB5458">
      <w:pPr>
        <w:tabs>
          <w:tab w:val="clear" w:pos="567"/>
        </w:tabs>
        <w:autoSpaceDE w:val="0"/>
        <w:autoSpaceDN w:val="0"/>
        <w:adjustRightInd w:val="0"/>
        <w:spacing w:line="240" w:lineRule="auto"/>
        <w:rPr>
          <w:color w:val="000000"/>
          <w:szCs w:val="22"/>
          <w:u w:val="single"/>
          <w:lang w:eastAsia="en-GB"/>
        </w:rPr>
      </w:pPr>
    </w:p>
    <w:p w14:paraId="73DD182F" w14:textId="4DA1CE48" w:rsidR="00C42229" w:rsidRPr="001775D9" w:rsidRDefault="00C42229" w:rsidP="00FB5458">
      <w:pPr>
        <w:keepNext/>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Table </w:t>
      </w:r>
      <w:r w:rsidR="00407EA8" w:rsidRPr="001775D9">
        <w:rPr>
          <w:b/>
          <w:bCs/>
          <w:color w:val="000000"/>
          <w:szCs w:val="22"/>
          <w:lang w:eastAsia="en-GB"/>
        </w:rPr>
        <w:t>8</w:t>
      </w:r>
      <w:r w:rsidR="004D3CCE" w:rsidRPr="001775D9">
        <w:rPr>
          <w:b/>
          <w:bCs/>
          <w:color w:val="000000"/>
          <w:szCs w:val="22"/>
          <w:lang w:eastAsia="en-GB"/>
        </w:rPr>
        <w:t>.</w:t>
      </w:r>
      <w:r w:rsidR="0068096D" w:rsidRPr="001775D9">
        <w:rPr>
          <w:b/>
          <w:bCs/>
          <w:color w:val="000000"/>
          <w:szCs w:val="22"/>
          <w:lang w:eastAsia="en-GB"/>
        </w:rPr>
        <w:t xml:space="preserve"> </w:t>
      </w:r>
      <w:r w:rsidRPr="001775D9">
        <w:rPr>
          <w:b/>
          <w:bCs/>
          <w:color w:val="000000"/>
          <w:szCs w:val="22"/>
          <w:lang w:eastAsia="en-GB"/>
        </w:rPr>
        <w:t xml:space="preserve">ACR </w:t>
      </w:r>
      <w:r w:rsidR="007B1044" w:rsidRPr="001775D9">
        <w:rPr>
          <w:b/>
          <w:bCs/>
          <w:color w:val="000000"/>
          <w:szCs w:val="22"/>
          <w:lang w:eastAsia="en-GB"/>
        </w:rPr>
        <w:t>r</w:t>
      </w:r>
      <w:r w:rsidRPr="001775D9">
        <w:rPr>
          <w:b/>
          <w:bCs/>
          <w:color w:val="000000"/>
          <w:szCs w:val="22"/>
          <w:lang w:eastAsia="en-GB"/>
        </w:rPr>
        <w:t xml:space="preserve">esponses in </w:t>
      </w:r>
      <w:r w:rsidR="007B1044" w:rsidRPr="001775D9">
        <w:rPr>
          <w:b/>
          <w:bCs/>
          <w:color w:val="000000"/>
          <w:szCs w:val="22"/>
          <w:lang w:eastAsia="en-GB"/>
        </w:rPr>
        <w:t>p</w:t>
      </w:r>
      <w:r w:rsidRPr="001775D9">
        <w:rPr>
          <w:b/>
          <w:bCs/>
          <w:color w:val="000000"/>
          <w:szCs w:val="22"/>
          <w:lang w:eastAsia="en-GB"/>
        </w:rPr>
        <w:t>lacebo-</w:t>
      </w:r>
      <w:r w:rsidR="007B1044" w:rsidRPr="001775D9">
        <w:rPr>
          <w:b/>
          <w:bCs/>
          <w:color w:val="000000"/>
          <w:szCs w:val="22"/>
          <w:lang w:eastAsia="en-GB"/>
        </w:rPr>
        <w:t>c</w:t>
      </w:r>
      <w:r w:rsidRPr="001775D9">
        <w:rPr>
          <w:b/>
          <w:bCs/>
          <w:color w:val="000000"/>
          <w:szCs w:val="22"/>
          <w:lang w:eastAsia="en-GB"/>
        </w:rPr>
        <w:t xml:space="preserve">ontrolled </w:t>
      </w:r>
      <w:r w:rsidR="007B1044" w:rsidRPr="001775D9">
        <w:rPr>
          <w:b/>
          <w:bCs/>
          <w:color w:val="000000"/>
          <w:szCs w:val="22"/>
          <w:lang w:eastAsia="en-GB"/>
        </w:rPr>
        <w:t>t</w:t>
      </w:r>
      <w:r w:rsidRPr="001775D9">
        <w:rPr>
          <w:b/>
          <w:bCs/>
          <w:color w:val="000000"/>
          <w:szCs w:val="22"/>
          <w:lang w:eastAsia="en-GB"/>
        </w:rPr>
        <w:t>rials</w:t>
      </w:r>
      <w:r w:rsidR="00231B88" w:rsidRPr="001775D9">
        <w:rPr>
          <w:b/>
          <w:bCs/>
          <w:color w:val="000000"/>
          <w:szCs w:val="22"/>
          <w:lang w:eastAsia="en-GB"/>
        </w:rPr>
        <w:t xml:space="preserve"> </w:t>
      </w:r>
      <w:r w:rsidRPr="001775D9">
        <w:rPr>
          <w:b/>
          <w:bCs/>
          <w:color w:val="000000"/>
          <w:szCs w:val="22"/>
          <w:lang w:eastAsia="en-GB"/>
        </w:rPr>
        <w:t>(</w:t>
      </w:r>
      <w:r w:rsidR="007B1044" w:rsidRPr="001775D9">
        <w:rPr>
          <w:b/>
          <w:bCs/>
          <w:color w:val="000000"/>
          <w:szCs w:val="22"/>
          <w:lang w:eastAsia="en-GB"/>
        </w:rPr>
        <w:t>p</w:t>
      </w:r>
      <w:r w:rsidRPr="001775D9">
        <w:rPr>
          <w:b/>
          <w:bCs/>
          <w:color w:val="000000"/>
          <w:szCs w:val="22"/>
          <w:lang w:eastAsia="en-GB"/>
        </w:rPr>
        <w:t xml:space="preserve">ercent of </w:t>
      </w:r>
      <w:r w:rsidR="007B1044" w:rsidRPr="001775D9">
        <w:rPr>
          <w:b/>
          <w:bCs/>
          <w:color w:val="000000"/>
          <w:szCs w:val="22"/>
          <w:lang w:eastAsia="en-GB"/>
        </w:rPr>
        <w:t>p</w:t>
      </w:r>
      <w:r w:rsidRPr="001775D9">
        <w:rPr>
          <w:b/>
          <w:bCs/>
          <w:color w:val="000000"/>
          <w:szCs w:val="22"/>
          <w:lang w:eastAsia="en-GB"/>
        </w:rPr>
        <w:t>atients)</w:t>
      </w:r>
    </w:p>
    <w:p w14:paraId="03F5CA79" w14:textId="77777777" w:rsidR="00C42229" w:rsidRPr="001775D9" w:rsidRDefault="00C42229" w:rsidP="00FB5458">
      <w:pPr>
        <w:keepNext/>
        <w:spacing w:line="240" w:lineRule="auto"/>
        <w:rPr>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134"/>
        <w:gridCol w:w="1417"/>
        <w:gridCol w:w="1242"/>
        <w:gridCol w:w="1452"/>
        <w:gridCol w:w="1134"/>
        <w:gridCol w:w="1417"/>
      </w:tblGrid>
      <w:tr w:rsidR="00C42229" w:rsidRPr="00F04F82" w14:paraId="358E1BFD" w14:textId="77777777" w:rsidTr="00E0250B">
        <w:trPr>
          <w:trHeight w:val="154"/>
          <w:tblHeader/>
        </w:trPr>
        <w:tc>
          <w:tcPr>
            <w:tcW w:w="1418" w:type="dxa"/>
            <w:vMerge w:val="restart"/>
          </w:tcPr>
          <w:p w14:paraId="07654021" w14:textId="77777777" w:rsidR="00C42229" w:rsidRPr="001775D9" w:rsidRDefault="00C42229" w:rsidP="00FB5458">
            <w:pPr>
              <w:keepNext/>
              <w:tabs>
                <w:tab w:val="clear" w:pos="567"/>
              </w:tabs>
              <w:autoSpaceDE w:val="0"/>
              <w:autoSpaceDN w:val="0"/>
              <w:adjustRightInd w:val="0"/>
              <w:spacing w:line="240" w:lineRule="auto"/>
              <w:rPr>
                <w:b/>
                <w:color w:val="000000"/>
                <w:szCs w:val="22"/>
                <w:lang w:eastAsia="en-GB"/>
              </w:rPr>
            </w:pPr>
            <w:r w:rsidRPr="001775D9">
              <w:rPr>
                <w:b/>
                <w:color w:val="000000"/>
                <w:szCs w:val="22"/>
                <w:lang w:eastAsia="en-GB"/>
              </w:rPr>
              <w:t xml:space="preserve">Response </w:t>
            </w:r>
          </w:p>
          <w:p w14:paraId="5259DFFE" w14:textId="77777777" w:rsidR="00C42229" w:rsidRPr="001775D9" w:rsidRDefault="00C42229" w:rsidP="00FB5458">
            <w:pPr>
              <w:keepNext/>
              <w:autoSpaceDE w:val="0"/>
              <w:autoSpaceDN w:val="0"/>
              <w:adjustRightInd w:val="0"/>
              <w:spacing w:line="240" w:lineRule="auto"/>
              <w:rPr>
                <w:b/>
                <w:color w:val="000000"/>
                <w:szCs w:val="22"/>
                <w:lang w:eastAsia="en-GB"/>
              </w:rPr>
            </w:pPr>
            <w:r w:rsidRPr="001775D9">
              <w:rPr>
                <w:b/>
                <w:color w:val="000000"/>
                <w:szCs w:val="22"/>
                <w:lang w:eastAsia="en-GB"/>
              </w:rPr>
              <w:t xml:space="preserve"> </w:t>
            </w:r>
          </w:p>
        </w:tc>
        <w:tc>
          <w:tcPr>
            <w:tcW w:w="2551" w:type="dxa"/>
            <w:gridSpan w:val="2"/>
          </w:tcPr>
          <w:p w14:paraId="5CF30157" w14:textId="77777777" w:rsidR="00C42229" w:rsidRPr="001775D9" w:rsidRDefault="00C42229" w:rsidP="00FB5458">
            <w:pPr>
              <w:keepNext/>
              <w:tabs>
                <w:tab w:val="clear" w:pos="567"/>
              </w:tabs>
              <w:autoSpaceDE w:val="0"/>
              <w:autoSpaceDN w:val="0"/>
              <w:adjustRightInd w:val="0"/>
              <w:spacing w:line="240" w:lineRule="auto"/>
              <w:jc w:val="center"/>
              <w:rPr>
                <w:b/>
                <w:color w:val="000000"/>
                <w:szCs w:val="22"/>
                <w:lang w:eastAsia="en-GB"/>
              </w:rPr>
            </w:pPr>
            <w:r w:rsidRPr="001775D9">
              <w:rPr>
                <w:b/>
                <w:color w:val="000000"/>
                <w:szCs w:val="22"/>
                <w:lang w:eastAsia="en-GB"/>
              </w:rPr>
              <w:t xml:space="preserve">RA </w:t>
            </w:r>
            <w:r w:rsidR="007B1044" w:rsidRPr="001775D9">
              <w:rPr>
                <w:b/>
                <w:color w:val="000000"/>
                <w:szCs w:val="22"/>
                <w:lang w:eastAsia="en-GB"/>
              </w:rPr>
              <w:t>s</w:t>
            </w:r>
            <w:r w:rsidRPr="001775D9">
              <w:rPr>
                <w:b/>
                <w:color w:val="000000"/>
                <w:szCs w:val="22"/>
                <w:lang w:eastAsia="en-GB"/>
              </w:rPr>
              <w:t>tudy I</w:t>
            </w:r>
            <w:r w:rsidRPr="001775D9">
              <w:rPr>
                <w:b/>
                <w:color w:val="000000"/>
                <w:szCs w:val="22"/>
                <w:vertAlign w:val="superscript"/>
                <w:lang w:eastAsia="en-GB"/>
              </w:rPr>
              <w:t>a</w:t>
            </w:r>
            <w:r w:rsidRPr="001775D9">
              <w:rPr>
                <w:b/>
                <w:color w:val="000000"/>
                <w:szCs w:val="22"/>
                <w:lang w:eastAsia="en-GB"/>
              </w:rPr>
              <w:t>**</w:t>
            </w:r>
          </w:p>
        </w:tc>
        <w:tc>
          <w:tcPr>
            <w:tcW w:w="2694" w:type="dxa"/>
            <w:gridSpan w:val="2"/>
          </w:tcPr>
          <w:p w14:paraId="71876049" w14:textId="77777777" w:rsidR="00C42229" w:rsidRPr="001775D9" w:rsidRDefault="00C42229" w:rsidP="00FB5458">
            <w:pPr>
              <w:keepNext/>
              <w:tabs>
                <w:tab w:val="clear" w:pos="567"/>
              </w:tabs>
              <w:autoSpaceDE w:val="0"/>
              <w:autoSpaceDN w:val="0"/>
              <w:adjustRightInd w:val="0"/>
              <w:spacing w:line="240" w:lineRule="auto"/>
              <w:jc w:val="center"/>
              <w:rPr>
                <w:b/>
                <w:color w:val="000000"/>
                <w:szCs w:val="22"/>
                <w:lang w:eastAsia="en-GB"/>
              </w:rPr>
            </w:pPr>
            <w:r w:rsidRPr="001775D9">
              <w:rPr>
                <w:b/>
                <w:color w:val="000000"/>
                <w:szCs w:val="22"/>
                <w:lang w:eastAsia="en-GB"/>
              </w:rPr>
              <w:t xml:space="preserve">RA </w:t>
            </w:r>
            <w:r w:rsidR="007B1044" w:rsidRPr="001775D9">
              <w:rPr>
                <w:b/>
                <w:color w:val="000000"/>
                <w:szCs w:val="22"/>
                <w:lang w:eastAsia="en-GB"/>
              </w:rPr>
              <w:t>study</w:t>
            </w:r>
            <w:r w:rsidRPr="001775D9">
              <w:rPr>
                <w:b/>
                <w:color w:val="000000"/>
                <w:szCs w:val="22"/>
                <w:lang w:eastAsia="en-GB"/>
              </w:rPr>
              <w:t xml:space="preserve"> II</w:t>
            </w:r>
            <w:r w:rsidRPr="001775D9">
              <w:rPr>
                <w:b/>
                <w:color w:val="000000"/>
                <w:szCs w:val="22"/>
                <w:vertAlign w:val="superscript"/>
                <w:lang w:eastAsia="en-GB"/>
              </w:rPr>
              <w:t>a</w:t>
            </w:r>
            <w:r w:rsidRPr="001775D9">
              <w:rPr>
                <w:b/>
                <w:color w:val="000000"/>
                <w:szCs w:val="22"/>
                <w:lang w:eastAsia="en-GB"/>
              </w:rPr>
              <w:t>**</w:t>
            </w:r>
          </w:p>
        </w:tc>
        <w:tc>
          <w:tcPr>
            <w:tcW w:w="2551" w:type="dxa"/>
            <w:gridSpan w:val="2"/>
          </w:tcPr>
          <w:p w14:paraId="7185D01F" w14:textId="77777777" w:rsidR="00C42229" w:rsidRPr="001775D9" w:rsidRDefault="00C42229" w:rsidP="00FB5458">
            <w:pPr>
              <w:keepNext/>
              <w:tabs>
                <w:tab w:val="clear" w:pos="567"/>
              </w:tabs>
              <w:autoSpaceDE w:val="0"/>
              <w:autoSpaceDN w:val="0"/>
              <w:adjustRightInd w:val="0"/>
              <w:spacing w:line="240" w:lineRule="auto"/>
              <w:jc w:val="center"/>
              <w:rPr>
                <w:b/>
                <w:color w:val="000000"/>
                <w:szCs w:val="22"/>
                <w:lang w:eastAsia="en-GB"/>
              </w:rPr>
            </w:pPr>
            <w:r w:rsidRPr="001775D9">
              <w:rPr>
                <w:b/>
                <w:color w:val="000000"/>
                <w:szCs w:val="22"/>
                <w:lang w:eastAsia="en-GB"/>
              </w:rPr>
              <w:t xml:space="preserve">RA </w:t>
            </w:r>
            <w:r w:rsidR="007B1044" w:rsidRPr="001775D9">
              <w:rPr>
                <w:b/>
                <w:color w:val="000000"/>
                <w:szCs w:val="22"/>
                <w:lang w:eastAsia="en-GB"/>
              </w:rPr>
              <w:t>study</w:t>
            </w:r>
            <w:r w:rsidRPr="001775D9">
              <w:rPr>
                <w:b/>
                <w:color w:val="000000"/>
                <w:szCs w:val="22"/>
                <w:lang w:eastAsia="en-GB"/>
              </w:rPr>
              <w:t xml:space="preserve"> III</w:t>
            </w:r>
            <w:r w:rsidRPr="001775D9">
              <w:rPr>
                <w:b/>
                <w:color w:val="000000"/>
                <w:szCs w:val="22"/>
                <w:vertAlign w:val="superscript"/>
                <w:lang w:eastAsia="en-GB"/>
              </w:rPr>
              <w:t>a</w:t>
            </w:r>
            <w:r w:rsidRPr="001775D9">
              <w:rPr>
                <w:b/>
                <w:color w:val="000000"/>
                <w:szCs w:val="22"/>
                <w:lang w:eastAsia="en-GB"/>
              </w:rPr>
              <w:t>**</w:t>
            </w:r>
          </w:p>
        </w:tc>
      </w:tr>
      <w:tr w:rsidR="00C42229" w:rsidRPr="00F04F82" w14:paraId="7E3AC9DF" w14:textId="77777777" w:rsidTr="00275906">
        <w:trPr>
          <w:trHeight w:val="426"/>
          <w:tblHeader/>
        </w:trPr>
        <w:tc>
          <w:tcPr>
            <w:tcW w:w="1418" w:type="dxa"/>
            <w:vMerge/>
          </w:tcPr>
          <w:p w14:paraId="27D493F3" w14:textId="77777777" w:rsidR="00C42229" w:rsidRPr="00F04F82" w:rsidRDefault="00C42229" w:rsidP="00FB5458">
            <w:pPr>
              <w:keepNext/>
              <w:tabs>
                <w:tab w:val="clear" w:pos="567"/>
              </w:tabs>
              <w:autoSpaceDE w:val="0"/>
              <w:autoSpaceDN w:val="0"/>
              <w:adjustRightInd w:val="0"/>
              <w:spacing w:line="240" w:lineRule="auto"/>
              <w:rPr>
                <w:b/>
                <w:szCs w:val="22"/>
                <w:lang w:eastAsia="en-GB"/>
              </w:rPr>
            </w:pPr>
          </w:p>
        </w:tc>
        <w:tc>
          <w:tcPr>
            <w:tcW w:w="1134" w:type="dxa"/>
          </w:tcPr>
          <w:p w14:paraId="213C9F5B" w14:textId="77777777" w:rsidR="00C42229" w:rsidRPr="001775D9" w:rsidRDefault="00C42229" w:rsidP="00FB5458">
            <w:pPr>
              <w:keepNext/>
              <w:tabs>
                <w:tab w:val="clear" w:pos="567"/>
              </w:tabs>
              <w:autoSpaceDE w:val="0"/>
              <w:autoSpaceDN w:val="0"/>
              <w:adjustRightInd w:val="0"/>
              <w:spacing w:line="240" w:lineRule="auto"/>
              <w:jc w:val="center"/>
              <w:rPr>
                <w:b/>
                <w:sz w:val="20"/>
                <w:lang w:eastAsia="en-GB"/>
              </w:rPr>
            </w:pPr>
            <w:r w:rsidRPr="001775D9">
              <w:rPr>
                <w:b/>
                <w:sz w:val="20"/>
                <w:lang w:eastAsia="en-GB"/>
              </w:rPr>
              <w:t>Placebo/ MTX</w:t>
            </w:r>
            <w:r w:rsidRPr="001775D9">
              <w:rPr>
                <w:b/>
                <w:sz w:val="20"/>
                <w:vertAlign w:val="superscript"/>
                <w:lang w:eastAsia="en-GB"/>
              </w:rPr>
              <w:t>c</w:t>
            </w:r>
          </w:p>
          <w:p w14:paraId="2DBA23E0" w14:textId="77777777" w:rsidR="00C42229" w:rsidRPr="001775D9" w:rsidRDefault="00C42229" w:rsidP="00FB5458">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60</w:t>
            </w:r>
          </w:p>
        </w:tc>
        <w:tc>
          <w:tcPr>
            <w:tcW w:w="1417" w:type="dxa"/>
          </w:tcPr>
          <w:p w14:paraId="58FF1C98" w14:textId="77777777" w:rsidR="00C42229" w:rsidRPr="001775D9" w:rsidRDefault="005753F3" w:rsidP="00FB5458">
            <w:pPr>
              <w:keepNext/>
              <w:tabs>
                <w:tab w:val="clear" w:pos="567"/>
              </w:tabs>
              <w:autoSpaceDE w:val="0"/>
              <w:autoSpaceDN w:val="0"/>
              <w:adjustRightInd w:val="0"/>
              <w:spacing w:line="240" w:lineRule="auto"/>
              <w:jc w:val="center"/>
              <w:rPr>
                <w:b/>
                <w:sz w:val="20"/>
                <w:lang w:eastAsia="en-GB"/>
              </w:rPr>
            </w:pPr>
            <w:r w:rsidRPr="001775D9">
              <w:rPr>
                <w:rFonts w:eastAsia="Times New Roman"/>
                <w:b/>
                <w:color w:val="000000"/>
                <w:sz w:val="20"/>
              </w:rPr>
              <w:t>Adalimumab</w:t>
            </w:r>
            <w:r w:rsidR="00C42229" w:rsidRPr="001775D9">
              <w:rPr>
                <w:b/>
                <w:sz w:val="20"/>
                <w:vertAlign w:val="superscript"/>
                <w:lang w:eastAsia="en-GB"/>
              </w:rPr>
              <w:t>b</w:t>
            </w:r>
            <w:r w:rsidR="00C42229" w:rsidRPr="001775D9">
              <w:rPr>
                <w:b/>
                <w:sz w:val="20"/>
                <w:lang w:eastAsia="en-GB"/>
              </w:rPr>
              <w:t>/ MTX</w:t>
            </w:r>
            <w:r w:rsidR="00C42229" w:rsidRPr="001775D9">
              <w:rPr>
                <w:b/>
                <w:sz w:val="20"/>
                <w:vertAlign w:val="superscript"/>
                <w:lang w:eastAsia="en-GB"/>
              </w:rPr>
              <w:t>c</w:t>
            </w:r>
          </w:p>
          <w:p w14:paraId="4DF8D35A" w14:textId="77777777" w:rsidR="00C42229" w:rsidRPr="001775D9" w:rsidRDefault="00C42229" w:rsidP="00FB5458">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63</w:t>
            </w:r>
          </w:p>
        </w:tc>
        <w:tc>
          <w:tcPr>
            <w:tcW w:w="1242" w:type="dxa"/>
          </w:tcPr>
          <w:p w14:paraId="5DD0FF42" w14:textId="77777777" w:rsidR="00C42229" w:rsidRPr="001775D9" w:rsidRDefault="00C42229" w:rsidP="00FB5458">
            <w:pPr>
              <w:keepNext/>
              <w:tabs>
                <w:tab w:val="clear" w:pos="567"/>
              </w:tabs>
              <w:autoSpaceDE w:val="0"/>
              <w:autoSpaceDN w:val="0"/>
              <w:adjustRightInd w:val="0"/>
              <w:spacing w:line="240" w:lineRule="auto"/>
              <w:jc w:val="center"/>
              <w:rPr>
                <w:b/>
                <w:sz w:val="20"/>
                <w:lang w:eastAsia="en-GB"/>
              </w:rPr>
            </w:pPr>
            <w:r w:rsidRPr="001775D9">
              <w:rPr>
                <w:b/>
                <w:sz w:val="20"/>
                <w:lang w:eastAsia="en-GB"/>
              </w:rPr>
              <w:t>Placebo</w:t>
            </w:r>
          </w:p>
          <w:p w14:paraId="35DD5F78" w14:textId="77777777" w:rsidR="00C42229" w:rsidRPr="001775D9" w:rsidRDefault="00C42229" w:rsidP="00FB5458">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110</w:t>
            </w:r>
          </w:p>
        </w:tc>
        <w:tc>
          <w:tcPr>
            <w:tcW w:w="1452" w:type="dxa"/>
          </w:tcPr>
          <w:p w14:paraId="08A445EE" w14:textId="77777777" w:rsidR="00C42229" w:rsidRPr="001775D9" w:rsidRDefault="005753F3" w:rsidP="00FB5458">
            <w:pPr>
              <w:keepNext/>
              <w:tabs>
                <w:tab w:val="clear" w:pos="567"/>
              </w:tabs>
              <w:autoSpaceDE w:val="0"/>
              <w:autoSpaceDN w:val="0"/>
              <w:adjustRightInd w:val="0"/>
              <w:spacing w:line="240" w:lineRule="auto"/>
              <w:jc w:val="center"/>
              <w:rPr>
                <w:b/>
                <w:sz w:val="20"/>
                <w:lang w:eastAsia="en-GB"/>
              </w:rPr>
            </w:pPr>
            <w:r w:rsidRPr="001775D9">
              <w:rPr>
                <w:rFonts w:eastAsia="Times New Roman"/>
                <w:b/>
                <w:color w:val="000000"/>
                <w:sz w:val="20"/>
              </w:rPr>
              <w:t>Adalimumab</w:t>
            </w:r>
            <w:r w:rsidR="00C42229" w:rsidRPr="001775D9">
              <w:rPr>
                <w:b/>
                <w:sz w:val="20"/>
                <w:vertAlign w:val="superscript"/>
                <w:lang w:eastAsia="en-GB"/>
              </w:rPr>
              <w:t>b</w:t>
            </w:r>
          </w:p>
          <w:p w14:paraId="211B6BF1" w14:textId="77777777" w:rsidR="00C42229" w:rsidRPr="001775D9" w:rsidRDefault="00C42229" w:rsidP="00FB5458">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113</w:t>
            </w:r>
          </w:p>
        </w:tc>
        <w:tc>
          <w:tcPr>
            <w:tcW w:w="1134" w:type="dxa"/>
          </w:tcPr>
          <w:p w14:paraId="3408C409" w14:textId="77777777" w:rsidR="00C42229" w:rsidRPr="001775D9" w:rsidRDefault="00C42229" w:rsidP="00FB5458">
            <w:pPr>
              <w:keepNext/>
              <w:tabs>
                <w:tab w:val="clear" w:pos="567"/>
              </w:tabs>
              <w:autoSpaceDE w:val="0"/>
              <w:autoSpaceDN w:val="0"/>
              <w:adjustRightInd w:val="0"/>
              <w:spacing w:line="240" w:lineRule="auto"/>
              <w:jc w:val="center"/>
              <w:rPr>
                <w:b/>
                <w:sz w:val="20"/>
                <w:lang w:eastAsia="en-GB"/>
              </w:rPr>
            </w:pPr>
            <w:r w:rsidRPr="001775D9">
              <w:rPr>
                <w:b/>
                <w:sz w:val="20"/>
                <w:lang w:eastAsia="en-GB"/>
              </w:rPr>
              <w:t>Placebo/ MTX</w:t>
            </w:r>
            <w:r w:rsidRPr="001775D9">
              <w:rPr>
                <w:b/>
                <w:sz w:val="20"/>
                <w:vertAlign w:val="superscript"/>
                <w:lang w:eastAsia="en-GB"/>
              </w:rPr>
              <w:t>c</w:t>
            </w:r>
          </w:p>
          <w:p w14:paraId="4F554BAF" w14:textId="77777777" w:rsidR="00C42229" w:rsidRPr="001775D9" w:rsidRDefault="00C42229" w:rsidP="00FB5458">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200</w:t>
            </w:r>
          </w:p>
        </w:tc>
        <w:tc>
          <w:tcPr>
            <w:tcW w:w="1417" w:type="dxa"/>
          </w:tcPr>
          <w:p w14:paraId="16455E2E" w14:textId="77777777" w:rsidR="00C42229" w:rsidRPr="001775D9" w:rsidRDefault="005753F3" w:rsidP="00FB5458">
            <w:pPr>
              <w:keepNext/>
              <w:tabs>
                <w:tab w:val="clear" w:pos="567"/>
              </w:tabs>
              <w:autoSpaceDE w:val="0"/>
              <w:autoSpaceDN w:val="0"/>
              <w:adjustRightInd w:val="0"/>
              <w:spacing w:line="240" w:lineRule="auto"/>
              <w:jc w:val="center"/>
              <w:rPr>
                <w:b/>
                <w:sz w:val="20"/>
                <w:lang w:eastAsia="en-GB"/>
              </w:rPr>
            </w:pPr>
            <w:r w:rsidRPr="001775D9">
              <w:rPr>
                <w:rFonts w:eastAsia="Times New Roman"/>
                <w:b/>
                <w:color w:val="000000"/>
                <w:sz w:val="20"/>
              </w:rPr>
              <w:t>Adalimumab</w:t>
            </w:r>
            <w:r w:rsidR="00C42229" w:rsidRPr="001775D9">
              <w:rPr>
                <w:b/>
                <w:sz w:val="20"/>
                <w:vertAlign w:val="superscript"/>
                <w:lang w:eastAsia="en-GB"/>
              </w:rPr>
              <w:t>b</w:t>
            </w:r>
            <w:r w:rsidR="00C42229" w:rsidRPr="001775D9">
              <w:rPr>
                <w:b/>
                <w:sz w:val="20"/>
                <w:lang w:eastAsia="en-GB"/>
              </w:rPr>
              <w:t>/ MTX</w:t>
            </w:r>
            <w:r w:rsidR="00C42229" w:rsidRPr="001775D9">
              <w:rPr>
                <w:b/>
                <w:sz w:val="20"/>
                <w:vertAlign w:val="superscript"/>
                <w:lang w:eastAsia="en-GB"/>
              </w:rPr>
              <w:t>c</w:t>
            </w:r>
            <w:r w:rsidR="00C42229" w:rsidRPr="001775D9">
              <w:rPr>
                <w:b/>
                <w:sz w:val="20"/>
                <w:lang w:eastAsia="en-GB"/>
              </w:rPr>
              <w:t xml:space="preserve"> </w:t>
            </w:r>
            <w:r w:rsidR="00664534" w:rsidRPr="001775D9">
              <w:rPr>
                <w:b/>
                <w:sz w:val="20"/>
                <w:lang w:eastAsia="en-GB"/>
              </w:rPr>
              <w:br/>
            </w:r>
            <w:r w:rsidR="00C42229" w:rsidRPr="001775D9">
              <w:rPr>
                <w:b/>
                <w:sz w:val="20"/>
                <w:lang w:eastAsia="en-GB"/>
              </w:rPr>
              <w:t>n</w:t>
            </w:r>
            <w:r w:rsidR="00C42229" w:rsidRPr="001775D9">
              <w:rPr>
                <w:b/>
                <w:sz w:val="20"/>
              </w:rPr>
              <w:t> </w:t>
            </w:r>
            <w:r w:rsidR="00C42229" w:rsidRPr="001775D9">
              <w:rPr>
                <w:b/>
                <w:sz w:val="20"/>
                <w:lang w:eastAsia="en-GB"/>
              </w:rPr>
              <w:t>=</w:t>
            </w:r>
            <w:r w:rsidR="00C42229" w:rsidRPr="001775D9">
              <w:rPr>
                <w:b/>
                <w:sz w:val="20"/>
              </w:rPr>
              <w:t> </w:t>
            </w:r>
            <w:r w:rsidR="00C42229" w:rsidRPr="001775D9">
              <w:rPr>
                <w:b/>
                <w:sz w:val="20"/>
                <w:lang w:eastAsia="en-GB"/>
              </w:rPr>
              <w:t>207</w:t>
            </w:r>
          </w:p>
        </w:tc>
      </w:tr>
      <w:tr w:rsidR="00C42229" w:rsidRPr="00F04F82" w14:paraId="5915D7A7" w14:textId="77777777" w:rsidTr="00E0250B">
        <w:trPr>
          <w:trHeight w:val="147"/>
        </w:trPr>
        <w:tc>
          <w:tcPr>
            <w:tcW w:w="9214" w:type="dxa"/>
            <w:gridSpan w:val="7"/>
          </w:tcPr>
          <w:p w14:paraId="305F74F0"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ACR 20 </w:t>
            </w:r>
          </w:p>
        </w:tc>
      </w:tr>
      <w:tr w:rsidR="00C42229" w:rsidRPr="00F04F82" w14:paraId="3918F506" w14:textId="77777777" w:rsidTr="00275906">
        <w:trPr>
          <w:trHeight w:val="147"/>
        </w:trPr>
        <w:tc>
          <w:tcPr>
            <w:tcW w:w="1418" w:type="dxa"/>
          </w:tcPr>
          <w:p w14:paraId="35FF11E9"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6 months</w:t>
            </w:r>
          </w:p>
        </w:tc>
        <w:tc>
          <w:tcPr>
            <w:tcW w:w="1134" w:type="dxa"/>
          </w:tcPr>
          <w:p w14:paraId="155EF53C"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13.3%</w:t>
            </w:r>
          </w:p>
        </w:tc>
        <w:tc>
          <w:tcPr>
            <w:tcW w:w="1417" w:type="dxa"/>
          </w:tcPr>
          <w:p w14:paraId="76F2AD40"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65.1%</w:t>
            </w:r>
          </w:p>
        </w:tc>
        <w:tc>
          <w:tcPr>
            <w:tcW w:w="1242" w:type="dxa"/>
          </w:tcPr>
          <w:p w14:paraId="56ED61C4"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19.1%</w:t>
            </w:r>
          </w:p>
        </w:tc>
        <w:tc>
          <w:tcPr>
            <w:tcW w:w="1452" w:type="dxa"/>
          </w:tcPr>
          <w:p w14:paraId="6BCC7D3C"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46.0%</w:t>
            </w:r>
          </w:p>
        </w:tc>
        <w:tc>
          <w:tcPr>
            <w:tcW w:w="1134" w:type="dxa"/>
          </w:tcPr>
          <w:p w14:paraId="1EED4941"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29.5%</w:t>
            </w:r>
          </w:p>
        </w:tc>
        <w:tc>
          <w:tcPr>
            <w:tcW w:w="1417" w:type="dxa"/>
          </w:tcPr>
          <w:p w14:paraId="1020102B"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63.3%</w:t>
            </w:r>
          </w:p>
        </w:tc>
      </w:tr>
      <w:tr w:rsidR="00C42229" w:rsidRPr="00F04F82" w14:paraId="09DE1B5A" w14:textId="77777777" w:rsidTr="00275906">
        <w:trPr>
          <w:trHeight w:val="147"/>
        </w:trPr>
        <w:tc>
          <w:tcPr>
            <w:tcW w:w="1418" w:type="dxa"/>
          </w:tcPr>
          <w:p w14:paraId="0D7CB1E3"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12 months</w:t>
            </w:r>
          </w:p>
        </w:tc>
        <w:tc>
          <w:tcPr>
            <w:tcW w:w="1134" w:type="dxa"/>
          </w:tcPr>
          <w:p w14:paraId="03C1089E"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17" w:type="dxa"/>
          </w:tcPr>
          <w:p w14:paraId="1F743CE3"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242" w:type="dxa"/>
          </w:tcPr>
          <w:p w14:paraId="49509FBD"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52" w:type="dxa"/>
          </w:tcPr>
          <w:p w14:paraId="350CF63E"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134" w:type="dxa"/>
          </w:tcPr>
          <w:p w14:paraId="4D4F8788"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24.0%</w:t>
            </w:r>
          </w:p>
        </w:tc>
        <w:tc>
          <w:tcPr>
            <w:tcW w:w="1417" w:type="dxa"/>
          </w:tcPr>
          <w:p w14:paraId="7F0F5288"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58.9%</w:t>
            </w:r>
          </w:p>
        </w:tc>
      </w:tr>
      <w:tr w:rsidR="00C42229" w:rsidRPr="00F04F82" w14:paraId="3730F3D4" w14:textId="77777777" w:rsidTr="00E0250B">
        <w:trPr>
          <w:trHeight w:val="147"/>
        </w:trPr>
        <w:tc>
          <w:tcPr>
            <w:tcW w:w="9214" w:type="dxa"/>
            <w:gridSpan w:val="7"/>
          </w:tcPr>
          <w:p w14:paraId="28CC0D8F"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ACR 50 </w:t>
            </w:r>
          </w:p>
        </w:tc>
      </w:tr>
      <w:tr w:rsidR="00C42229" w:rsidRPr="00F04F82" w14:paraId="41F96870" w14:textId="77777777" w:rsidTr="00275906">
        <w:trPr>
          <w:trHeight w:val="147"/>
        </w:trPr>
        <w:tc>
          <w:tcPr>
            <w:tcW w:w="1418" w:type="dxa"/>
          </w:tcPr>
          <w:p w14:paraId="6C06CD6D"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6 months</w:t>
            </w:r>
          </w:p>
        </w:tc>
        <w:tc>
          <w:tcPr>
            <w:tcW w:w="1134" w:type="dxa"/>
          </w:tcPr>
          <w:p w14:paraId="5C03BE64"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6.7%</w:t>
            </w:r>
          </w:p>
        </w:tc>
        <w:tc>
          <w:tcPr>
            <w:tcW w:w="1417" w:type="dxa"/>
          </w:tcPr>
          <w:p w14:paraId="16ABDC78"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52.4%</w:t>
            </w:r>
          </w:p>
        </w:tc>
        <w:tc>
          <w:tcPr>
            <w:tcW w:w="1242" w:type="dxa"/>
          </w:tcPr>
          <w:p w14:paraId="5A35AEC6"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8.2%</w:t>
            </w:r>
          </w:p>
        </w:tc>
        <w:tc>
          <w:tcPr>
            <w:tcW w:w="1452" w:type="dxa"/>
          </w:tcPr>
          <w:p w14:paraId="587ED132"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22.1%</w:t>
            </w:r>
          </w:p>
        </w:tc>
        <w:tc>
          <w:tcPr>
            <w:tcW w:w="1134" w:type="dxa"/>
          </w:tcPr>
          <w:p w14:paraId="142C6141"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9.5%</w:t>
            </w:r>
          </w:p>
        </w:tc>
        <w:tc>
          <w:tcPr>
            <w:tcW w:w="1417" w:type="dxa"/>
          </w:tcPr>
          <w:p w14:paraId="059BB848"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39.1%</w:t>
            </w:r>
          </w:p>
        </w:tc>
      </w:tr>
      <w:tr w:rsidR="00C42229" w:rsidRPr="00F04F82" w14:paraId="15F41703" w14:textId="77777777" w:rsidTr="00275906">
        <w:trPr>
          <w:trHeight w:val="147"/>
        </w:trPr>
        <w:tc>
          <w:tcPr>
            <w:tcW w:w="1418" w:type="dxa"/>
          </w:tcPr>
          <w:p w14:paraId="18287911"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12 months</w:t>
            </w:r>
          </w:p>
        </w:tc>
        <w:tc>
          <w:tcPr>
            <w:tcW w:w="1134" w:type="dxa"/>
          </w:tcPr>
          <w:p w14:paraId="63B935A0"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17" w:type="dxa"/>
          </w:tcPr>
          <w:p w14:paraId="534B1AA8"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242" w:type="dxa"/>
          </w:tcPr>
          <w:p w14:paraId="034A8F94"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52" w:type="dxa"/>
          </w:tcPr>
          <w:p w14:paraId="5E72CD7F"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134" w:type="dxa"/>
          </w:tcPr>
          <w:p w14:paraId="75426BD6"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9.5%</w:t>
            </w:r>
          </w:p>
        </w:tc>
        <w:tc>
          <w:tcPr>
            <w:tcW w:w="1417" w:type="dxa"/>
          </w:tcPr>
          <w:p w14:paraId="102FD466"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41.5%</w:t>
            </w:r>
          </w:p>
        </w:tc>
      </w:tr>
      <w:tr w:rsidR="00C42229" w:rsidRPr="00F04F82" w14:paraId="7EC976DA" w14:textId="77777777" w:rsidTr="00E0250B">
        <w:trPr>
          <w:trHeight w:val="147"/>
        </w:trPr>
        <w:tc>
          <w:tcPr>
            <w:tcW w:w="9214" w:type="dxa"/>
            <w:gridSpan w:val="7"/>
          </w:tcPr>
          <w:p w14:paraId="50238C48"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ACR 70 </w:t>
            </w:r>
          </w:p>
        </w:tc>
      </w:tr>
      <w:tr w:rsidR="00C42229" w:rsidRPr="00F04F82" w14:paraId="7327C854" w14:textId="77777777" w:rsidTr="00275906">
        <w:trPr>
          <w:trHeight w:val="147"/>
        </w:trPr>
        <w:tc>
          <w:tcPr>
            <w:tcW w:w="1418" w:type="dxa"/>
          </w:tcPr>
          <w:p w14:paraId="11E17B17"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6 months</w:t>
            </w:r>
          </w:p>
        </w:tc>
        <w:tc>
          <w:tcPr>
            <w:tcW w:w="1134" w:type="dxa"/>
          </w:tcPr>
          <w:p w14:paraId="123BD86E"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3.3%</w:t>
            </w:r>
          </w:p>
        </w:tc>
        <w:tc>
          <w:tcPr>
            <w:tcW w:w="1417" w:type="dxa"/>
          </w:tcPr>
          <w:p w14:paraId="1CEABAD8"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23.8%</w:t>
            </w:r>
          </w:p>
        </w:tc>
        <w:tc>
          <w:tcPr>
            <w:tcW w:w="1242" w:type="dxa"/>
          </w:tcPr>
          <w:p w14:paraId="740EC3DC"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1.8%</w:t>
            </w:r>
          </w:p>
        </w:tc>
        <w:tc>
          <w:tcPr>
            <w:tcW w:w="1452" w:type="dxa"/>
          </w:tcPr>
          <w:p w14:paraId="757CD57D"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12.4%</w:t>
            </w:r>
          </w:p>
        </w:tc>
        <w:tc>
          <w:tcPr>
            <w:tcW w:w="1134" w:type="dxa"/>
          </w:tcPr>
          <w:p w14:paraId="5117254E"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2.5%</w:t>
            </w:r>
          </w:p>
        </w:tc>
        <w:tc>
          <w:tcPr>
            <w:tcW w:w="1417" w:type="dxa"/>
          </w:tcPr>
          <w:p w14:paraId="7FFEF5C7"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20.8%</w:t>
            </w:r>
          </w:p>
        </w:tc>
      </w:tr>
      <w:tr w:rsidR="00C42229" w:rsidRPr="00F04F82" w14:paraId="3FD3496B" w14:textId="77777777" w:rsidTr="00275906">
        <w:trPr>
          <w:trHeight w:val="147"/>
        </w:trPr>
        <w:tc>
          <w:tcPr>
            <w:tcW w:w="1418" w:type="dxa"/>
          </w:tcPr>
          <w:p w14:paraId="583D343A"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12 months</w:t>
            </w:r>
          </w:p>
        </w:tc>
        <w:tc>
          <w:tcPr>
            <w:tcW w:w="1134" w:type="dxa"/>
          </w:tcPr>
          <w:p w14:paraId="3F097CB2"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17" w:type="dxa"/>
          </w:tcPr>
          <w:p w14:paraId="6A019A85"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242" w:type="dxa"/>
          </w:tcPr>
          <w:p w14:paraId="5A91C2B2"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52" w:type="dxa"/>
          </w:tcPr>
          <w:p w14:paraId="24E71376"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134" w:type="dxa"/>
          </w:tcPr>
          <w:p w14:paraId="4FE265D1"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4.5%</w:t>
            </w:r>
          </w:p>
        </w:tc>
        <w:tc>
          <w:tcPr>
            <w:tcW w:w="1417" w:type="dxa"/>
          </w:tcPr>
          <w:p w14:paraId="3B68D57F"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23.2%</w:t>
            </w:r>
          </w:p>
        </w:tc>
      </w:tr>
    </w:tbl>
    <w:p w14:paraId="27B4775F"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RA study I at 24</w:t>
      </w:r>
      <w:r w:rsidRPr="001775D9">
        <w:rPr>
          <w:sz w:val="20"/>
        </w:rPr>
        <w:t> </w:t>
      </w:r>
      <w:r w:rsidRPr="001775D9">
        <w:rPr>
          <w:sz w:val="20"/>
          <w:lang w:eastAsia="en-GB"/>
        </w:rPr>
        <w:t>weeks, RA study II at 26 weeks, and RA study III at 24 and 52</w:t>
      </w:r>
      <w:r w:rsidRPr="001775D9">
        <w:rPr>
          <w:sz w:val="20"/>
        </w:rPr>
        <w:t> </w:t>
      </w:r>
      <w:r w:rsidRPr="001775D9">
        <w:rPr>
          <w:sz w:val="20"/>
          <w:lang w:eastAsia="en-GB"/>
        </w:rPr>
        <w:t xml:space="preserve">weeks </w:t>
      </w:r>
    </w:p>
    <w:p w14:paraId="515447C2"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40</w:t>
      </w:r>
      <w:r w:rsidRPr="001775D9">
        <w:rPr>
          <w:sz w:val="20"/>
        </w:rPr>
        <w:t> </w:t>
      </w:r>
      <w:r w:rsidRPr="001775D9">
        <w:rPr>
          <w:sz w:val="20"/>
          <w:lang w:eastAsia="en-GB"/>
        </w:rPr>
        <w:t xml:space="preserve">mg </w:t>
      </w:r>
      <w:r w:rsidR="005753F3" w:rsidRPr="001775D9">
        <w:rPr>
          <w:rFonts w:eastAsia="Times New Roman"/>
          <w:color w:val="000000"/>
          <w:sz w:val="20"/>
        </w:rPr>
        <w:t>adalimumab</w:t>
      </w:r>
      <w:r w:rsidRPr="001775D9">
        <w:rPr>
          <w:sz w:val="20"/>
          <w:lang w:eastAsia="en-GB"/>
        </w:rPr>
        <w:t xml:space="preserve"> administered every other week </w:t>
      </w:r>
    </w:p>
    <w:p w14:paraId="2951CBEC"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MTX</w:t>
      </w:r>
      <w:r w:rsidRPr="001775D9">
        <w:rPr>
          <w:sz w:val="20"/>
        </w:rPr>
        <w:t> </w:t>
      </w:r>
      <w:r w:rsidRPr="001775D9">
        <w:rPr>
          <w:sz w:val="20"/>
          <w:lang w:eastAsia="en-GB"/>
        </w:rPr>
        <w:t>=</w:t>
      </w:r>
      <w:r w:rsidRPr="001775D9">
        <w:rPr>
          <w:sz w:val="20"/>
        </w:rPr>
        <w:t> </w:t>
      </w:r>
      <w:r w:rsidRPr="001775D9">
        <w:rPr>
          <w:sz w:val="20"/>
          <w:lang w:eastAsia="en-GB"/>
        </w:rPr>
        <w:t xml:space="preserve">methotrexate </w:t>
      </w:r>
    </w:p>
    <w:p w14:paraId="4208EC89" w14:textId="77777777" w:rsidR="00C42229" w:rsidRPr="001775D9" w:rsidRDefault="00C42229" w:rsidP="00FB5458">
      <w:pPr>
        <w:spacing w:line="240" w:lineRule="auto"/>
        <w:rPr>
          <w:sz w:val="20"/>
        </w:rPr>
      </w:pPr>
      <w:r w:rsidRPr="001775D9">
        <w:rPr>
          <w:sz w:val="20"/>
          <w:lang w:eastAsia="en-GB"/>
        </w:rPr>
        <w:t>**</w:t>
      </w:r>
      <w:r w:rsidR="007F6ED4" w:rsidRPr="001775D9">
        <w:rPr>
          <w:sz w:val="20"/>
          <w:lang w:eastAsia="en-GB"/>
        </w:rPr>
        <w:t xml:space="preserve"> </w:t>
      </w:r>
      <w:r w:rsidRPr="001775D9">
        <w:rPr>
          <w:sz w:val="20"/>
          <w:lang w:eastAsia="en-GB"/>
        </w:rPr>
        <w:t>p</w:t>
      </w:r>
      <w:r w:rsidRPr="001775D9">
        <w:rPr>
          <w:sz w:val="20"/>
        </w:rPr>
        <w:t> </w:t>
      </w:r>
      <w:r w:rsidRPr="001775D9">
        <w:rPr>
          <w:sz w:val="20"/>
          <w:lang w:eastAsia="en-GB"/>
        </w:rPr>
        <w:t>&lt;</w:t>
      </w:r>
      <w:r w:rsidRPr="001775D9">
        <w:rPr>
          <w:sz w:val="20"/>
        </w:rPr>
        <w:t> </w:t>
      </w:r>
      <w:r w:rsidRPr="001775D9">
        <w:rPr>
          <w:sz w:val="20"/>
          <w:lang w:eastAsia="en-GB"/>
        </w:rPr>
        <w:t xml:space="preserve">0.01, </w:t>
      </w:r>
      <w:r w:rsidR="005753F3" w:rsidRPr="001775D9">
        <w:rPr>
          <w:rFonts w:eastAsia="Times New Roman"/>
          <w:color w:val="000000"/>
          <w:sz w:val="20"/>
        </w:rPr>
        <w:t>adalimumab</w:t>
      </w:r>
      <w:r w:rsidRPr="001775D9">
        <w:rPr>
          <w:i/>
          <w:iCs/>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w:t>
      </w:r>
    </w:p>
    <w:p w14:paraId="6B670867"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6ABA3FF1"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lang w:eastAsia="en-GB"/>
        </w:rPr>
        <w:t>In RA studies I-IV, all individual components of the ACR response criteria (number of tender and swollen joints, physician and patient assessment of disease activity and pain</w:t>
      </w:r>
      <w:r w:rsidRPr="001775D9">
        <w:rPr>
          <w:color w:val="000000"/>
          <w:szCs w:val="22"/>
          <w:lang w:eastAsia="en-GB"/>
        </w:rPr>
        <w:t>, disability index (HAQ) scores and CRP (mg/d</w:t>
      </w:r>
      <w:r w:rsidR="00E9456E" w:rsidRPr="001775D9">
        <w:rPr>
          <w:color w:val="000000"/>
          <w:szCs w:val="22"/>
          <w:lang w:eastAsia="en-GB"/>
        </w:rPr>
        <w:t>L</w:t>
      </w:r>
      <w:r w:rsidRPr="001775D9">
        <w:rPr>
          <w:color w:val="000000"/>
          <w:szCs w:val="22"/>
          <w:lang w:eastAsia="en-GB"/>
        </w:rPr>
        <w:t xml:space="preserve">) values) improved at 24 or 26 weeks compared to placebo. In RA study III, these improvements were maintained throughout 52 weeks. </w:t>
      </w:r>
    </w:p>
    <w:p w14:paraId="0633E961"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108CE623" w14:textId="3B82A22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color w:val="000000"/>
          <w:szCs w:val="22"/>
          <w:lang w:eastAsia="en-GB"/>
        </w:rPr>
        <w:t xml:space="preserve">In the open-label extension for </w:t>
      </w:r>
      <w:r w:rsidRPr="001775D9">
        <w:rPr>
          <w:szCs w:val="22"/>
          <w:lang w:eastAsia="en-GB"/>
        </w:rPr>
        <w:t xml:space="preserve">RA study III, most patients who were ACR responders maintained response when followed for up to 10 years. Of 207 patients who were randomised to </w:t>
      </w:r>
      <w:r w:rsidR="005753F3"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 xml:space="preserve">mg every other week, 114 patients continued on </w:t>
      </w:r>
      <w:r w:rsidR="005753F3"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 xml:space="preserve">mg every other week for 5 years. Among those, 86 patients (75.4%) had ACR 20 responses; 72 patients (63.2%) had ACR 50 responses; and 41 patients (36%) had ACR 70 responses. Of 207 patients, 81 patients continued on </w:t>
      </w:r>
      <w:r w:rsidR="005753F3"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mg every other week for 10 years. Among those, 64 patients (79.0%) had ACR 20 responses; 56 patients (69.1%) had ACR 50 responses; and 43 patients (53.1%) had ACR 70 responses.</w:t>
      </w:r>
    </w:p>
    <w:p w14:paraId="08659387"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3BD9481B"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RA study IV, the ACR 20 response of patients treated with </w:t>
      </w:r>
      <w:r w:rsidR="005753F3" w:rsidRPr="001775D9">
        <w:rPr>
          <w:rFonts w:eastAsia="Times New Roman"/>
          <w:color w:val="000000"/>
          <w:szCs w:val="22"/>
        </w:rPr>
        <w:t>adalimumab</w:t>
      </w:r>
      <w:r w:rsidRPr="001775D9">
        <w:rPr>
          <w:szCs w:val="22"/>
          <w:lang w:eastAsia="en-GB"/>
        </w:rPr>
        <w:t xml:space="preserve"> plus standard of care was statistically significantly better than patients treated with placebo plus standard of care (p</w:t>
      </w:r>
      <w:r w:rsidRPr="001775D9">
        <w:rPr>
          <w:szCs w:val="22"/>
        </w:rPr>
        <w:t> </w:t>
      </w:r>
      <w:r w:rsidRPr="001775D9">
        <w:rPr>
          <w:szCs w:val="22"/>
          <w:lang w:eastAsia="en-GB"/>
        </w:rPr>
        <w:t>&lt;</w:t>
      </w:r>
      <w:r w:rsidRPr="001775D9">
        <w:rPr>
          <w:szCs w:val="22"/>
        </w:rPr>
        <w:t> </w:t>
      </w:r>
      <w:r w:rsidRPr="001775D9">
        <w:rPr>
          <w:szCs w:val="22"/>
          <w:lang w:eastAsia="en-GB"/>
        </w:rPr>
        <w:t xml:space="preserve">0.001). </w:t>
      </w:r>
    </w:p>
    <w:p w14:paraId="19B0182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39AD8E0" w14:textId="2F80C124" w:rsidR="00C42229" w:rsidRPr="001775D9" w:rsidRDefault="00C42229" w:rsidP="004D6C00">
      <w:pPr>
        <w:tabs>
          <w:tab w:val="clear" w:pos="567"/>
        </w:tabs>
        <w:autoSpaceDE w:val="0"/>
        <w:autoSpaceDN w:val="0"/>
        <w:adjustRightInd w:val="0"/>
        <w:spacing w:line="240" w:lineRule="auto"/>
        <w:rPr>
          <w:szCs w:val="22"/>
          <w:lang w:eastAsia="en-GB"/>
        </w:rPr>
      </w:pPr>
      <w:r w:rsidRPr="001775D9">
        <w:rPr>
          <w:szCs w:val="22"/>
          <w:lang w:eastAsia="en-GB"/>
        </w:rPr>
        <w:t xml:space="preserve">In RA studies I-IV, </w:t>
      </w:r>
      <w:r w:rsidR="005753F3" w:rsidRPr="001775D9">
        <w:rPr>
          <w:rFonts w:eastAsia="Times New Roman"/>
          <w:color w:val="000000"/>
          <w:szCs w:val="22"/>
        </w:rPr>
        <w:t>adalimumab</w:t>
      </w:r>
      <w:r w:rsidRPr="001775D9">
        <w:rPr>
          <w:szCs w:val="22"/>
          <w:lang w:eastAsia="en-GB"/>
        </w:rPr>
        <w:t xml:space="preserve">-treated patients achieved statistically significant ACR 20 and 50 responses compared to placebo as early as one to two weeks after initiation of treatment. </w:t>
      </w:r>
    </w:p>
    <w:p w14:paraId="367EBAE7"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6D50C3B" w14:textId="53738BAD"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lang w:eastAsia="en-GB"/>
        </w:rPr>
        <w:t xml:space="preserve">In RA study V with early rheumatoid arthritis patients who were methotrexate naïve, combination therapy with </w:t>
      </w:r>
      <w:r w:rsidR="005753F3" w:rsidRPr="001775D9">
        <w:rPr>
          <w:rFonts w:eastAsia="Times New Roman"/>
          <w:color w:val="000000"/>
          <w:szCs w:val="22"/>
        </w:rPr>
        <w:t>adalimumab</w:t>
      </w:r>
      <w:r w:rsidRPr="001775D9">
        <w:rPr>
          <w:szCs w:val="22"/>
          <w:lang w:eastAsia="en-GB"/>
        </w:rPr>
        <w:t xml:space="preserve"> and methotrexate led to faster and significantly greater ACR responses than methotrexate monotherapy and </w:t>
      </w:r>
      <w:r w:rsidR="00F009A0" w:rsidRPr="001775D9">
        <w:rPr>
          <w:szCs w:val="22"/>
          <w:lang w:eastAsia="en-GB"/>
        </w:rPr>
        <w:t xml:space="preserve">adalimumab </w:t>
      </w:r>
      <w:r w:rsidRPr="001775D9">
        <w:rPr>
          <w:szCs w:val="22"/>
          <w:lang w:eastAsia="en-GB"/>
        </w:rPr>
        <w:t xml:space="preserve">monotherapy at </w:t>
      </w:r>
      <w:r w:rsidR="007B1044" w:rsidRPr="001775D9">
        <w:rPr>
          <w:szCs w:val="22"/>
          <w:lang w:eastAsia="en-GB"/>
        </w:rPr>
        <w:t>w</w:t>
      </w:r>
      <w:r w:rsidRPr="001775D9">
        <w:rPr>
          <w:szCs w:val="22"/>
          <w:lang w:eastAsia="en-GB"/>
        </w:rPr>
        <w:t xml:space="preserve">eek 52 and responses were sustained at </w:t>
      </w:r>
      <w:r w:rsidR="007B1044" w:rsidRPr="001775D9">
        <w:rPr>
          <w:szCs w:val="22"/>
          <w:lang w:eastAsia="en-GB"/>
        </w:rPr>
        <w:t>week</w:t>
      </w:r>
      <w:r w:rsidRPr="001775D9">
        <w:rPr>
          <w:szCs w:val="22"/>
          <w:lang w:eastAsia="en-GB"/>
        </w:rPr>
        <w:t xml:space="preserve"> 104 (see </w:t>
      </w:r>
      <w:r w:rsidR="00CB7003" w:rsidRPr="001775D9">
        <w:rPr>
          <w:szCs w:val="22"/>
          <w:lang w:eastAsia="en-GB"/>
        </w:rPr>
        <w:t>t</w:t>
      </w:r>
      <w:r w:rsidRPr="001775D9">
        <w:rPr>
          <w:szCs w:val="22"/>
          <w:lang w:eastAsia="en-GB"/>
        </w:rPr>
        <w:t xml:space="preserve">able </w:t>
      </w:r>
      <w:r w:rsidR="00407EA8" w:rsidRPr="001775D9">
        <w:rPr>
          <w:szCs w:val="22"/>
          <w:lang w:eastAsia="en-GB"/>
        </w:rPr>
        <w:t>9</w:t>
      </w:r>
      <w:r w:rsidRPr="001775D9">
        <w:rPr>
          <w:szCs w:val="22"/>
          <w:lang w:eastAsia="en-GB"/>
        </w:rPr>
        <w:t>).</w:t>
      </w:r>
    </w:p>
    <w:p w14:paraId="264304E2"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741F1695" w14:textId="12C25ECA" w:rsidR="00C42229" w:rsidRPr="001775D9" w:rsidRDefault="00C42229" w:rsidP="00275906">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Table </w:t>
      </w:r>
      <w:r w:rsidR="00407EA8" w:rsidRPr="001775D9">
        <w:rPr>
          <w:b/>
          <w:bCs/>
          <w:szCs w:val="22"/>
          <w:lang w:eastAsia="en-GB"/>
        </w:rPr>
        <w:t>9</w:t>
      </w:r>
      <w:r w:rsidR="004D3CCE" w:rsidRPr="001775D9">
        <w:rPr>
          <w:b/>
          <w:bCs/>
          <w:szCs w:val="22"/>
          <w:lang w:eastAsia="en-GB"/>
        </w:rPr>
        <w:t>.</w:t>
      </w:r>
      <w:r w:rsidR="00110304" w:rsidRPr="001775D9">
        <w:rPr>
          <w:b/>
          <w:bCs/>
          <w:szCs w:val="22"/>
          <w:lang w:eastAsia="en-GB"/>
        </w:rPr>
        <w:t xml:space="preserve"> </w:t>
      </w:r>
      <w:r w:rsidRPr="001775D9">
        <w:rPr>
          <w:b/>
          <w:bCs/>
          <w:szCs w:val="22"/>
          <w:lang w:eastAsia="en-GB"/>
        </w:rPr>
        <w:t xml:space="preserve">ACR </w:t>
      </w:r>
      <w:r w:rsidR="007B1044" w:rsidRPr="001775D9">
        <w:rPr>
          <w:b/>
          <w:bCs/>
          <w:szCs w:val="22"/>
          <w:lang w:eastAsia="en-GB"/>
        </w:rPr>
        <w:t>r</w:t>
      </w:r>
      <w:r w:rsidRPr="001775D9">
        <w:rPr>
          <w:b/>
          <w:bCs/>
          <w:szCs w:val="22"/>
          <w:lang w:eastAsia="en-GB"/>
        </w:rPr>
        <w:t xml:space="preserve">esponses in RA </w:t>
      </w:r>
      <w:r w:rsidR="007B1044" w:rsidRPr="001775D9">
        <w:rPr>
          <w:b/>
          <w:bCs/>
          <w:szCs w:val="22"/>
          <w:lang w:eastAsia="en-GB"/>
        </w:rPr>
        <w:t>s</w:t>
      </w:r>
      <w:r w:rsidRPr="001775D9">
        <w:rPr>
          <w:b/>
          <w:bCs/>
          <w:szCs w:val="22"/>
          <w:lang w:eastAsia="en-GB"/>
        </w:rPr>
        <w:t>tudy V (percent of patients)</w:t>
      </w:r>
    </w:p>
    <w:p w14:paraId="67B25314" w14:textId="77777777" w:rsidR="00C42229" w:rsidRPr="001775D9" w:rsidRDefault="00C42229" w:rsidP="00275906">
      <w:pPr>
        <w:keepNext/>
        <w:keepLines/>
        <w:spacing w:line="240" w:lineRule="auto"/>
        <w:rPr>
          <w:szCs w:val="22"/>
          <w:lang w:eastAsia="en-GB"/>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276"/>
        <w:gridCol w:w="1559"/>
        <w:gridCol w:w="1559"/>
        <w:gridCol w:w="1134"/>
        <w:gridCol w:w="1134"/>
        <w:gridCol w:w="1134"/>
      </w:tblGrid>
      <w:tr w:rsidR="00C42229" w:rsidRPr="00F04F82" w14:paraId="7A43053C" w14:textId="77777777" w:rsidTr="00A66CE9">
        <w:trPr>
          <w:trHeight w:val="293"/>
          <w:tblHeader/>
        </w:trPr>
        <w:tc>
          <w:tcPr>
            <w:tcW w:w="1418" w:type="dxa"/>
          </w:tcPr>
          <w:p w14:paraId="3F2A1755" w14:textId="77777777" w:rsidR="00C42229" w:rsidRPr="001775D9" w:rsidRDefault="00C42229" w:rsidP="00275906">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Response </w:t>
            </w:r>
          </w:p>
        </w:tc>
        <w:tc>
          <w:tcPr>
            <w:tcW w:w="1276" w:type="dxa"/>
          </w:tcPr>
          <w:p w14:paraId="4CCDF564" w14:textId="77777777" w:rsidR="00C42229" w:rsidRPr="001775D9" w:rsidRDefault="00C42229" w:rsidP="00275906">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MTX</w:t>
            </w:r>
          </w:p>
          <w:p w14:paraId="144BCB2E" w14:textId="77777777" w:rsidR="00C42229" w:rsidRPr="001775D9" w:rsidRDefault="00C42229" w:rsidP="00275906">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257</w:t>
            </w:r>
          </w:p>
        </w:tc>
        <w:tc>
          <w:tcPr>
            <w:tcW w:w="1559" w:type="dxa"/>
          </w:tcPr>
          <w:p w14:paraId="3ABE72FC" w14:textId="77777777" w:rsidR="00C42229" w:rsidRPr="001775D9" w:rsidRDefault="005753F3" w:rsidP="00275906">
            <w:pPr>
              <w:keepNext/>
              <w:keepLines/>
              <w:tabs>
                <w:tab w:val="clear" w:pos="567"/>
              </w:tabs>
              <w:autoSpaceDE w:val="0"/>
              <w:autoSpaceDN w:val="0"/>
              <w:adjustRightInd w:val="0"/>
              <w:spacing w:line="240" w:lineRule="auto"/>
              <w:jc w:val="center"/>
              <w:rPr>
                <w:szCs w:val="22"/>
                <w:lang w:eastAsia="en-GB"/>
              </w:rPr>
            </w:pPr>
            <w:r w:rsidRPr="001775D9">
              <w:rPr>
                <w:b/>
                <w:szCs w:val="22"/>
                <w:lang w:eastAsia="en-GB"/>
              </w:rPr>
              <w:t>Adalimumab</w:t>
            </w:r>
            <w:r w:rsidR="00664534" w:rsidRPr="001775D9">
              <w:rPr>
                <w:b/>
                <w:szCs w:val="22"/>
                <w:lang w:eastAsia="en-GB"/>
              </w:rPr>
              <w:br/>
            </w:r>
            <w:r w:rsidR="00C42229" w:rsidRPr="001775D9">
              <w:rPr>
                <w:b/>
                <w:bCs/>
                <w:szCs w:val="22"/>
                <w:lang w:eastAsia="en-GB"/>
              </w:rPr>
              <w:t>n</w:t>
            </w:r>
            <w:r w:rsidR="00C42229" w:rsidRPr="001775D9">
              <w:rPr>
                <w:szCs w:val="22"/>
              </w:rPr>
              <w:t> </w:t>
            </w:r>
            <w:r w:rsidR="00C42229" w:rsidRPr="001775D9">
              <w:rPr>
                <w:b/>
                <w:bCs/>
                <w:szCs w:val="22"/>
                <w:lang w:eastAsia="en-GB"/>
              </w:rPr>
              <w:t>=</w:t>
            </w:r>
            <w:r w:rsidR="00C42229" w:rsidRPr="001775D9">
              <w:rPr>
                <w:szCs w:val="22"/>
              </w:rPr>
              <w:t> </w:t>
            </w:r>
            <w:r w:rsidR="00C42229" w:rsidRPr="001775D9">
              <w:rPr>
                <w:b/>
                <w:bCs/>
                <w:szCs w:val="22"/>
                <w:lang w:eastAsia="en-GB"/>
              </w:rPr>
              <w:t>274</w:t>
            </w:r>
          </w:p>
        </w:tc>
        <w:tc>
          <w:tcPr>
            <w:tcW w:w="1559" w:type="dxa"/>
          </w:tcPr>
          <w:p w14:paraId="374E0E21" w14:textId="77777777" w:rsidR="00C42229" w:rsidRPr="001775D9" w:rsidRDefault="005753F3" w:rsidP="00275906">
            <w:pPr>
              <w:keepNext/>
              <w:keepLines/>
              <w:tabs>
                <w:tab w:val="clear" w:pos="567"/>
              </w:tabs>
              <w:autoSpaceDE w:val="0"/>
              <w:autoSpaceDN w:val="0"/>
              <w:adjustRightInd w:val="0"/>
              <w:spacing w:line="240" w:lineRule="auto"/>
              <w:jc w:val="center"/>
              <w:rPr>
                <w:szCs w:val="22"/>
                <w:lang w:eastAsia="en-GB"/>
              </w:rPr>
            </w:pPr>
            <w:r w:rsidRPr="001775D9">
              <w:rPr>
                <w:b/>
                <w:szCs w:val="22"/>
                <w:lang w:eastAsia="en-GB"/>
              </w:rPr>
              <w:t>Adalimumab</w:t>
            </w:r>
            <w:r w:rsidR="00C42229" w:rsidRPr="001775D9">
              <w:rPr>
                <w:b/>
                <w:bCs/>
                <w:szCs w:val="22"/>
                <w:lang w:eastAsia="en-GB"/>
              </w:rPr>
              <w:t xml:space="preserve"> /MTX</w:t>
            </w:r>
          </w:p>
          <w:p w14:paraId="4880E6FF" w14:textId="77777777" w:rsidR="00C42229" w:rsidRPr="001775D9" w:rsidRDefault="00C42229" w:rsidP="00275906">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268</w:t>
            </w:r>
          </w:p>
        </w:tc>
        <w:tc>
          <w:tcPr>
            <w:tcW w:w="1134" w:type="dxa"/>
          </w:tcPr>
          <w:p w14:paraId="142AAAC4" w14:textId="77777777" w:rsidR="00C42229" w:rsidRPr="001775D9" w:rsidRDefault="00C42229" w:rsidP="00275906">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p-value</w:t>
            </w:r>
            <w:r w:rsidRPr="001775D9">
              <w:rPr>
                <w:b/>
                <w:bCs/>
                <w:szCs w:val="22"/>
                <w:vertAlign w:val="superscript"/>
                <w:lang w:eastAsia="en-GB"/>
              </w:rPr>
              <w:t>a</w:t>
            </w:r>
          </w:p>
        </w:tc>
        <w:tc>
          <w:tcPr>
            <w:tcW w:w="1134" w:type="dxa"/>
          </w:tcPr>
          <w:p w14:paraId="43E5EAC8" w14:textId="77777777" w:rsidR="00C42229" w:rsidRPr="001775D9" w:rsidRDefault="00C42229" w:rsidP="00275906">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p-value</w:t>
            </w:r>
            <w:r w:rsidRPr="001775D9">
              <w:rPr>
                <w:b/>
                <w:bCs/>
                <w:szCs w:val="22"/>
                <w:vertAlign w:val="superscript"/>
                <w:lang w:eastAsia="en-GB"/>
              </w:rPr>
              <w:t>b</w:t>
            </w:r>
          </w:p>
        </w:tc>
        <w:tc>
          <w:tcPr>
            <w:tcW w:w="1134" w:type="dxa"/>
          </w:tcPr>
          <w:p w14:paraId="666CE2BB" w14:textId="77777777" w:rsidR="00C42229" w:rsidRPr="001775D9" w:rsidRDefault="00C42229" w:rsidP="00275906">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p-value</w:t>
            </w:r>
            <w:r w:rsidRPr="001775D9">
              <w:rPr>
                <w:b/>
                <w:bCs/>
                <w:szCs w:val="22"/>
                <w:vertAlign w:val="superscript"/>
                <w:lang w:eastAsia="en-GB"/>
              </w:rPr>
              <w:t>c</w:t>
            </w:r>
          </w:p>
        </w:tc>
      </w:tr>
      <w:tr w:rsidR="00C42229" w:rsidRPr="00F04F82" w14:paraId="67A120AE" w14:textId="77777777" w:rsidTr="00A66CE9">
        <w:trPr>
          <w:trHeight w:val="147"/>
        </w:trPr>
        <w:tc>
          <w:tcPr>
            <w:tcW w:w="9214" w:type="dxa"/>
            <w:gridSpan w:val="7"/>
          </w:tcPr>
          <w:p w14:paraId="782CBED0" w14:textId="77777777" w:rsidR="00C42229" w:rsidRPr="001775D9" w:rsidRDefault="00C42229" w:rsidP="00275906">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ACR 20 </w:t>
            </w:r>
          </w:p>
        </w:tc>
      </w:tr>
      <w:tr w:rsidR="00C42229" w:rsidRPr="00F04F82" w14:paraId="47CC9B48" w14:textId="77777777" w:rsidTr="00A66CE9">
        <w:trPr>
          <w:trHeight w:val="147"/>
        </w:trPr>
        <w:tc>
          <w:tcPr>
            <w:tcW w:w="1418" w:type="dxa"/>
          </w:tcPr>
          <w:p w14:paraId="2B6F9B70"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52</w:t>
            </w:r>
          </w:p>
        </w:tc>
        <w:tc>
          <w:tcPr>
            <w:tcW w:w="1276" w:type="dxa"/>
          </w:tcPr>
          <w:p w14:paraId="73AAE490"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62.6%</w:t>
            </w:r>
          </w:p>
        </w:tc>
        <w:tc>
          <w:tcPr>
            <w:tcW w:w="1559" w:type="dxa"/>
          </w:tcPr>
          <w:p w14:paraId="7E0F5016"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54.4%</w:t>
            </w:r>
          </w:p>
        </w:tc>
        <w:tc>
          <w:tcPr>
            <w:tcW w:w="1559" w:type="dxa"/>
          </w:tcPr>
          <w:p w14:paraId="2C804BDD"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72.8%</w:t>
            </w:r>
          </w:p>
        </w:tc>
        <w:tc>
          <w:tcPr>
            <w:tcW w:w="1134" w:type="dxa"/>
          </w:tcPr>
          <w:p w14:paraId="50EB181A"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0.013</w:t>
            </w:r>
          </w:p>
        </w:tc>
        <w:tc>
          <w:tcPr>
            <w:tcW w:w="1134" w:type="dxa"/>
          </w:tcPr>
          <w:p w14:paraId="66088DD6"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71363643"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0.043</w:t>
            </w:r>
          </w:p>
        </w:tc>
      </w:tr>
      <w:tr w:rsidR="00C42229" w:rsidRPr="00F04F82" w14:paraId="6F334336" w14:textId="77777777" w:rsidTr="00A66CE9">
        <w:trPr>
          <w:trHeight w:val="147"/>
        </w:trPr>
        <w:tc>
          <w:tcPr>
            <w:tcW w:w="1418" w:type="dxa"/>
          </w:tcPr>
          <w:p w14:paraId="0F6DE536"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104</w:t>
            </w:r>
          </w:p>
        </w:tc>
        <w:tc>
          <w:tcPr>
            <w:tcW w:w="1276" w:type="dxa"/>
          </w:tcPr>
          <w:p w14:paraId="05FF0A1C"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56.0%</w:t>
            </w:r>
          </w:p>
        </w:tc>
        <w:tc>
          <w:tcPr>
            <w:tcW w:w="1559" w:type="dxa"/>
          </w:tcPr>
          <w:p w14:paraId="24337E35"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49.3%</w:t>
            </w:r>
          </w:p>
        </w:tc>
        <w:tc>
          <w:tcPr>
            <w:tcW w:w="1559" w:type="dxa"/>
          </w:tcPr>
          <w:p w14:paraId="667D8D45"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69.4%</w:t>
            </w:r>
          </w:p>
        </w:tc>
        <w:tc>
          <w:tcPr>
            <w:tcW w:w="1134" w:type="dxa"/>
          </w:tcPr>
          <w:p w14:paraId="79A17DFC"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0.002</w:t>
            </w:r>
          </w:p>
        </w:tc>
        <w:tc>
          <w:tcPr>
            <w:tcW w:w="1134" w:type="dxa"/>
          </w:tcPr>
          <w:p w14:paraId="436B184B"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7E8FD6E0" w14:textId="77777777" w:rsidR="00C42229" w:rsidRPr="001775D9" w:rsidRDefault="00C42229" w:rsidP="00275906">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0.140</w:t>
            </w:r>
          </w:p>
        </w:tc>
      </w:tr>
      <w:tr w:rsidR="00C42229" w:rsidRPr="00F04F82" w14:paraId="36EDCBEF" w14:textId="77777777" w:rsidTr="00A66CE9">
        <w:trPr>
          <w:trHeight w:val="147"/>
        </w:trPr>
        <w:tc>
          <w:tcPr>
            <w:tcW w:w="9214" w:type="dxa"/>
            <w:gridSpan w:val="7"/>
          </w:tcPr>
          <w:p w14:paraId="1CA667EE" w14:textId="77777777" w:rsidR="00C42229" w:rsidRPr="001775D9" w:rsidRDefault="00C42229" w:rsidP="00275906">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ACR 50 </w:t>
            </w:r>
          </w:p>
        </w:tc>
      </w:tr>
      <w:tr w:rsidR="00C42229" w:rsidRPr="00F04F82" w14:paraId="55148B46" w14:textId="77777777" w:rsidTr="00A66CE9">
        <w:trPr>
          <w:trHeight w:val="147"/>
        </w:trPr>
        <w:tc>
          <w:tcPr>
            <w:tcW w:w="1418" w:type="dxa"/>
          </w:tcPr>
          <w:p w14:paraId="5BB56BAF"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52</w:t>
            </w:r>
          </w:p>
        </w:tc>
        <w:tc>
          <w:tcPr>
            <w:tcW w:w="1276" w:type="dxa"/>
          </w:tcPr>
          <w:p w14:paraId="59F10CF0"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45.9%</w:t>
            </w:r>
          </w:p>
        </w:tc>
        <w:tc>
          <w:tcPr>
            <w:tcW w:w="1559" w:type="dxa"/>
          </w:tcPr>
          <w:p w14:paraId="0F8A3067"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41.2%</w:t>
            </w:r>
          </w:p>
        </w:tc>
        <w:tc>
          <w:tcPr>
            <w:tcW w:w="1559" w:type="dxa"/>
          </w:tcPr>
          <w:p w14:paraId="436F9165"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61.6%</w:t>
            </w:r>
          </w:p>
        </w:tc>
        <w:tc>
          <w:tcPr>
            <w:tcW w:w="1134" w:type="dxa"/>
          </w:tcPr>
          <w:p w14:paraId="2A29AF74"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1C3CADDD"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5EE6BE04"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0.317</w:t>
            </w:r>
          </w:p>
        </w:tc>
      </w:tr>
      <w:tr w:rsidR="00C42229" w:rsidRPr="00F04F82" w14:paraId="4D6CC412" w14:textId="77777777" w:rsidTr="00A66CE9">
        <w:trPr>
          <w:trHeight w:val="147"/>
        </w:trPr>
        <w:tc>
          <w:tcPr>
            <w:tcW w:w="1418" w:type="dxa"/>
          </w:tcPr>
          <w:p w14:paraId="102FE4E2"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104</w:t>
            </w:r>
          </w:p>
        </w:tc>
        <w:tc>
          <w:tcPr>
            <w:tcW w:w="1276" w:type="dxa"/>
          </w:tcPr>
          <w:p w14:paraId="186C6D86"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42.8%</w:t>
            </w:r>
          </w:p>
        </w:tc>
        <w:tc>
          <w:tcPr>
            <w:tcW w:w="1559" w:type="dxa"/>
          </w:tcPr>
          <w:p w14:paraId="12B262BB"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36.9%</w:t>
            </w:r>
          </w:p>
        </w:tc>
        <w:tc>
          <w:tcPr>
            <w:tcW w:w="1559" w:type="dxa"/>
          </w:tcPr>
          <w:p w14:paraId="60826A7C"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59.0%</w:t>
            </w:r>
          </w:p>
        </w:tc>
        <w:tc>
          <w:tcPr>
            <w:tcW w:w="1134" w:type="dxa"/>
          </w:tcPr>
          <w:p w14:paraId="063C0CFD"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48CAF5A4"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2D3E631B" w14:textId="77777777" w:rsidR="00C42229" w:rsidRPr="001775D9" w:rsidRDefault="00C42229" w:rsidP="00E07581">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0.162</w:t>
            </w:r>
          </w:p>
        </w:tc>
      </w:tr>
      <w:tr w:rsidR="00C42229" w:rsidRPr="00F04F82" w14:paraId="12D6AD13" w14:textId="77777777" w:rsidTr="00A66CE9">
        <w:trPr>
          <w:trHeight w:val="147"/>
        </w:trPr>
        <w:tc>
          <w:tcPr>
            <w:tcW w:w="9214" w:type="dxa"/>
            <w:gridSpan w:val="7"/>
          </w:tcPr>
          <w:p w14:paraId="60AAC865" w14:textId="77777777" w:rsidR="00C42229" w:rsidRPr="001775D9" w:rsidRDefault="00C42229" w:rsidP="00F45F72">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ACR 70 </w:t>
            </w:r>
          </w:p>
        </w:tc>
      </w:tr>
      <w:tr w:rsidR="00C42229" w:rsidRPr="00F04F82" w14:paraId="668152E8" w14:textId="77777777" w:rsidTr="00A66CE9">
        <w:trPr>
          <w:trHeight w:val="147"/>
        </w:trPr>
        <w:tc>
          <w:tcPr>
            <w:tcW w:w="1418" w:type="dxa"/>
          </w:tcPr>
          <w:p w14:paraId="50BA7856"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52</w:t>
            </w:r>
          </w:p>
        </w:tc>
        <w:tc>
          <w:tcPr>
            <w:tcW w:w="1276" w:type="dxa"/>
          </w:tcPr>
          <w:p w14:paraId="1CA74B31"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27.2%</w:t>
            </w:r>
          </w:p>
        </w:tc>
        <w:tc>
          <w:tcPr>
            <w:tcW w:w="1559" w:type="dxa"/>
          </w:tcPr>
          <w:p w14:paraId="58FC695F"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25.9%</w:t>
            </w:r>
          </w:p>
        </w:tc>
        <w:tc>
          <w:tcPr>
            <w:tcW w:w="1559" w:type="dxa"/>
          </w:tcPr>
          <w:p w14:paraId="666341CB"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45.5%</w:t>
            </w:r>
          </w:p>
        </w:tc>
        <w:tc>
          <w:tcPr>
            <w:tcW w:w="1134" w:type="dxa"/>
          </w:tcPr>
          <w:p w14:paraId="08DFF240"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125D2B23"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1B4CA5CC"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0.656</w:t>
            </w:r>
          </w:p>
        </w:tc>
      </w:tr>
      <w:tr w:rsidR="00C42229" w:rsidRPr="00F04F82" w14:paraId="08ADF858" w14:textId="77777777" w:rsidTr="00A66CE9">
        <w:trPr>
          <w:trHeight w:val="147"/>
        </w:trPr>
        <w:tc>
          <w:tcPr>
            <w:tcW w:w="1418" w:type="dxa"/>
            <w:tcBorders>
              <w:bottom w:val="single" w:sz="4" w:space="0" w:color="auto"/>
            </w:tcBorders>
          </w:tcPr>
          <w:p w14:paraId="0A567948"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104</w:t>
            </w:r>
          </w:p>
        </w:tc>
        <w:tc>
          <w:tcPr>
            <w:tcW w:w="1276" w:type="dxa"/>
            <w:tcBorders>
              <w:bottom w:val="single" w:sz="4" w:space="0" w:color="auto"/>
            </w:tcBorders>
          </w:tcPr>
          <w:p w14:paraId="32778152"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28.4%</w:t>
            </w:r>
          </w:p>
        </w:tc>
        <w:tc>
          <w:tcPr>
            <w:tcW w:w="1559" w:type="dxa"/>
            <w:tcBorders>
              <w:bottom w:val="single" w:sz="4" w:space="0" w:color="auto"/>
            </w:tcBorders>
          </w:tcPr>
          <w:p w14:paraId="2DA8E92D"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28.1%</w:t>
            </w:r>
          </w:p>
        </w:tc>
        <w:tc>
          <w:tcPr>
            <w:tcW w:w="1559" w:type="dxa"/>
            <w:tcBorders>
              <w:bottom w:val="single" w:sz="4" w:space="0" w:color="auto"/>
            </w:tcBorders>
          </w:tcPr>
          <w:p w14:paraId="44063AA4"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46.6%</w:t>
            </w:r>
          </w:p>
        </w:tc>
        <w:tc>
          <w:tcPr>
            <w:tcW w:w="1134" w:type="dxa"/>
            <w:tcBorders>
              <w:bottom w:val="single" w:sz="4" w:space="0" w:color="auto"/>
            </w:tcBorders>
          </w:tcPr>
          <w:p w14:paraId="3E047082"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Borders>
              <w:bottom w:val="single" w:sz="4" w:space="0" w:color="auto"/>
            </w:tcBorders>
          </w:tcPr>
          <w:p w14:paraId="4B5CF747"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 0.001</w:t>
            </w:r>
          </w:p>
        </w:tc>
        <w:tc>
          <w:tcPr>
            <w:tcW w:w="1134" w:type="dxa"/>
            <w:tcBorders>
              <w:bottom w:val="single" w:sz="4" w:space="0" w:color="auto"/>
            </w:tcBorders>
          </w:tcPr>
          <w:p w14:paraId="488746A5" w14:textId="77777777" w:rsidR="00C42229" w:rsidRPr="001775D9" w:rsidRDefault="00C42229" w:rsidP="00F45F72">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0.864</w:t>
            </w:r>
          </w:p>
        </w:tc>
      </w:tr>
      <w:tr w:rsidR="00C42229" w:rsidRPr="00F04F82" w14:paraId="52F13A7C" w14:textId="77777777" w:rsidTr="00A66CE9">
        <w:trPr>
          <w:trHeight w:val="834"/>
        </w:trPr>
        <w:tc>
          <w:tcPr>
            <w:tcW w:w="9214" w:type="dxa"/>
            <w:gridSpan w:val="7"/>
            <w:tcBorders>
              <w:top w:val="single" w:sz="4" w:space="0" w:color="auto"/>
              <w:left w:val="nil"/>
              <w:bottom w:val="nil"/>
              <w:right w:val="nil"/>
            </w:tcBorders>
          </w:tcPr>
          <w:p w14:paraId="151CF7A0" w14:textId="77777777" w:rsidR="00C42229" w:rsidRPr="001775D9" w:rsidRDefault="00C42229" w:rsidP="00F45F72">
            <w:pPr>
              <w:keepNext/>
              <w:keepLines/>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p-value is from the pairwise comparison of methotrexate monotherapy and </w:t>
            </w:r>
            <w:r w:rsidR="005753F3" w:rsidRPr="001775D9">
              <w:rPr>
                <w:rFonts w:eastAsia="Times New Roman"/>
                <w:color w:val="000000"/>
                <w:sz w:val="20"/>
              </w:rPr>
              <w:t>adalimumab</w:t>
            </w:r>
            <w:r w:rsidRPr="001775D9">
              <w:rPr>
                <w:sz w:val="20"/>
                <w:lang w:eastAsia="en-GB"/>
              </w:rPr>
              <w:t xml:space="preserve">/methotrexate combination therapy using the Mann-Whitney U test </w:t>
            </w:r>
          </w:p>
          <w:p w14:paraId="13547CAF" w14:textId="77777777" w:rsidR="00C42229" w:rsidRPr="001775D9" w:rsidRDefault="00C42229" w:rsidP="00F45F72">
            <w:pPr>
              <w:keepNext/>
              <w:keepLines/>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p-value is from the pairwise comparison of </w:t>
            </w:r>
            <w:r w:rsidR="005753F3" w:rsidRPr="001775D9">
              <w:rPr>
                <w:rFonts w:eastAsia="Times New Roman"/>
                <w:color w:val="000000"/>
                <w:sz w:val="20"/>
              </w:rPr>
              <w:t>adalimumab</w:t>
            </w:r>
            <w:r w:rsidRPr="001775D9">
              <w:rPr>
                <w:sz w:val="20"/>
                <w:lang w:eastAsia="en-GB"/>
              </w:rPr>
              <w:t xml:space="preserve"> monotherapy and </w:t>
            </w:r>
            <w:r w:rsidR="005753F3" w:rsidRPr="001775D9">
              <w:rPr>
                <w:rFonts w:eastAsia="Times New Roman"/>
                <w:color w:val="000000"/>
                <w:sz w:val="20"/>
              </w:rPr>
              <w:t>adalimumab</w:t>
            </w:r>
            <w:r w:rsidRPr="001775D9">
              <w:rPr>
                <w:sz w:val="20"/>
                <w:lang w:eastAsia="en-GB"/>
              </w:rPr>
              <w:t xml:space="preserve">/methotrexate combination therapy using the Mann-Whitney U test </w:t>
            </w:r>
          </w:p>
          <w:p w14:paraId="2B400AF6" w14:textId="77777777" w:rsidR="00C42229" w:rsidRPr="001775D9" w:rsidRDefault="00C42229" w:rsidP="00F45F72">
            <w:pPr>
              <w:keepNext/>
              <w:keepLines/>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p-value is from the pairwise comparison of </w:t>
            </w:r>
            <w:r w:rsidR="005753F3" w:rsidRPr="001775D9">
              <w:rPr>
                <w:rFonts w:eastAsia="Times New Roman"/>
                <w:color w:val="000000"/>
                <w:sz w:val="20"/>
              </w:rPr>
              <w:t>adalimumab</w:t>
            </w:r>
            <w:r w:rsidRPr="001775D9">
              <w:rPr>
                <w:sz w:val="20"/>
                <w:lang w:eastAsia="en-GB"/>
              </w:rPr>
              <w:t xml:space="preserve"> monotherapy and methotrexate monotherapy using the Mann-Whitney U test </w:t>
            </w:r>
          </w:p>
        </w:tc>
      </w:tr>
    </w:tbl>
    <w:p w14:paraId="0B5D8CF4" w14:textId="77777777" w:rsidR="00C42229" w:rsidRPr="001775D9" w:rsidRDefault="00C42229" w:rsidP="00FB5458">
      <w:pPr>
        <w:spacing w:line="240" w:lineRule="auto"/>
        <w:rPr>
          <w:szCs w:val="22"/>
          <w:lang w:eastAsia="en-GB"/>
        </w:rPr>
      </w:pPr>
    </w:p>
    <w:p w14:paraId="1EF52151" w14:textId="34773FB5" w:rsidR="00664534" w:rsidRPr="00D55B59" w:rsidRDefault="00664534" w:rsidP="00FB5458">
      <w:pPr>
        <w:tabs>
          <w:tab w:val="clear" w:pos="567"/>
        </w:tabs>
        <w:autoSpaceDE w:val="0"/>
        <w:autoSpaceDN w:val="0"/>
        <w:adjustRightInd w:val="0"/>
        <w:spacing w:line="240" w:lineRule="auto"/>
        <w:rPr>
          <w:szCs w:val="22"/>
          <w:rPrChange w:id="564" w:author="Author">
            <w:rPr>
              <w:szCs w:val="22"/>
              <w:lang w:val="en-US"/>
            </w:rPr>
          </w:rPrChange>
        </w:rPr>
      </w:pPr>
      <w:r w:rsidRPr="00D55B59">
        <w:rPr>
          <w:szCs w:val="22"/>
          <w:rPrChange w:id="565" w:author="Author">
            <w:rPr>
              <w:szCs w:val="22"/>
              <w:lang w:val="en-US"/>
            </w:rPr>
          </w:rPrChange>
        </w:rPr>
        <w:t>In the open-label extension for RA study V, ACR response rates were maintained when followed for</w:t>
      </w:r>
      <w:r w:rsidR="00DE7894" w:rsidRPr="00D55B59">
        <w:rPr>
          <w:szCs w:val="22"/>
          <w:rPrChange w:id="566" w:author="Author">
            <w:rPr>
              <w:szCs w:val="22"/>
              <w:lang w:val="en-US"/>
            </w:rPr>
          </w:rPrChange>
        </w:rPr>
        <w:t xml:space="preserve"> </w:t>
      </w:r>
      <w:r w:rsidRPr="00D55B59">
        <w:rPr>
          <w:szCs w:val="22"/>
          <w:rPrChange w:id="567" w:author="Author">
            <w:rPr>
              <w:szCs w:val="22"/>
              <w:lang w:val="en-US"/>
            </w:rPr>
          </w:rPrChange>
        </w:rPr>
        <w:t>up to 10 years. Of 542 patients who w</w:t>
      </w:r>
      <w:r w:rsidR="00401C9A" w:rsidRPr="00D55B59">
        <w:rPr>
          <w:szCs w:val="22"/>
          <w:rPrChange w:id="568" w:author="Author">
            <w:rPr>
              <w:szCs w:val="22"/>
              <w:lang w:val="en-US"/>
            </w:rPr>
          </w:rPrChange>
        </w:rPr>
        <w:t>ere randomised to adalimumab 40 </w:t>
      </w:r>
      <w:r w:rsidRPr="00D55B59">
        <w:rPr>
          <w:szCs w:val="22"/>
          <w:rPrChange w:id="569" w:author="Author">
            <w:rPr>
              <w:szCs w:val="22"/>
              <w:lang w:val="en-US"/>
            </w:rPr>
          </w:rPrChange>
        </w:rPr>
        <w:t>mg every other week, 170 patients continued on adalimumab 40</w:t>
      </w:r>
      <w:r w:rsidR="00DE7894" w:rsidRPr="00D55B59">
        <w:rPr>
          <w:szCs w:val="22"/>
          <w:rPrChange w:id="570" w:author="Author">
            <w:rPr>
              <w:szCs w:val="22"/>
              <w:lang w:val="en-US"/>
            </w:rPr>
          </w:rPrChange>
        </w:rPr>
        <w:t> </w:t>
      </w:r>
      <w:r w:rsidRPr="00D55B59">
        <w:rPr>
          <w:szCs w:val="22"/>
          <w:rPrChange w:id="571" w:author="Author">
            <w:rPr>
              <w:szCs w:val="22"/>
              <w:lang w:val="en-US"/>
            </w:rPr>
          </w:rPrChange>
        </w:rPr>
        <w:t>mg every other week for 10 years. Among those, 154 patients (90.6%) had ACR 20 responses; 127 patients (74.7%) had ACR 50 responses; and 102 patients (60.0%) had ACR 70 responses.</w:t>
      </w:r>
      <w:r w:rsidR="00246E71" w:rsidRPr="00D55B59">
        <w:rPr>
          <w:szCs w:val="22"/>
          <w:rPrChange w:id="572" w:author="Author">
            <w:rPr>
              <w:szCs w:val="22"/>
              <w:lang w:val="en-US"/>
            </w:rPr>
          </w:rPrChange>
        </w:rPr>
        <w:t xml:space="preserve"> </w:t>
      </w:r>
    </w:p>
    <w:p w14:paraId="3D0BEE80" w14:textId="77777777" w:rsidR="00664534" w:rsidRPr="00D55B59" w:rsidRDefault="00664534" w:rsidP="00FB5458">
      <w:pPr>
        <w:tabs>
          <w:tab w:val="clear" w:pos="567"/>
        </w:tabs>
        <w:autoSpaceDE w:val="0"/>
        <w:autoSpaceDN w:val="0"/>
        <w:adjustRightInd w:val="0"/>
        <w:spacing w:line="240" w:lineRule="auto"/>
        <w:rPr>
          <w:szCs w:val="22"/>
          <w:rPrChange w:id="573" w:author="Author">
            <w:rPr>
              <w:szCs w:val="22"/>
              <w:lang w:val="en-US"/>
            </w:rPr>
          </w:rPrChange>
        </w:rPr>
      </w:pPr>
    </w:p>
    <w:p w14:paraId="0DC988AF" w14:textId="0CC96D54"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At </w:t>
      </w:r>
      <w:r w:rsidR="007B1044" w:rsidRPr="001775D9">
        <w:rPr>
          <w:szCs w:val="22"/>
          <w:lang w:eastAsia="en-GB"/>
        </w:rPr>
        <w:t>week</w:t>
      </w:r>
      <w:r w:rsidRPr="001775D9">
        <w:rPr>
          <w:szCs w:val="22"/>
          <w:lang w:eastAsia="en-GB"/>
        </w:rPr>
        <w:t xml:space="preserve"> 52, 42.9% of patients who received </w:t>
      </w:r>
      <w:r w:rsidR="00D26193" w:rsidRPr="001775D9">
        <w:rPr>
          <w:rFonts w:eastAsia="Times New Roman"/>
          <w:color w:val="000000"/>
          <w:szCs w:val="22"/>
        </w:rPr>
        <w:t>adalimumab</w:t>
      </w:r>
      <w:r w:rsidRPr="001775D9">
        <w:rPr>
          <w:szCs w:val="22"/>
          <w:lang w:eastAsia="en-GB"/>
        </w:rPr>
        <w:t xml:space="preserve">/methotrexate combination therapy achieved clinical remission (DAS28 </w:t>
      </w:r>
      <w:r w:rsidR="003D4634" w:rsidRPr="001775D9">
        <w:rPr>
          <w:szCs w:val="22"/>
          <w:lang w:eastAsia="en-GB"/>
        </w:rPr>
        <w:t>(C</w:t>
      </w:r>
      <w:r w:rsidR="009C7190" w:rsidRPr="001775D9">
        <w:rPr>
          <w:szCs w:val="22"/>
          <w:lang w:eastAsia="en-GB"/>
        </w:rPr>
        <w:t>RP</w:t>
      </w:r>
      <w:r w:rsidR="003D4634" w:rsidRPr="001775D9">
        <w:rPr>
          <w:szCs w:val="22"/>
          <w:lang w:eastAsia="en-GB"/>
        </w:rPr>
        <w:t xml:space="preserve">) </w:t>
      </w:r>
      <w:r w:rsidRPr="001775D9">
        <w:rPr>
          <w:szCs w:val="22"/>
          <w:lang w:eastAsia="en-GB"/>
        </w:rPr>
        <w:t>&lt;</w:t>
      </w:r>
      <w:r w:rsidRPr="001775D9">
        <w:rPr>
          <w:szCs w:val="22"/>
        </w:rPr>
        <w:t> </w:t>
      </w:r>
      <w:r w:rsidRPr="001775D9">
        <w:rPr>
          <w:szCs w:val="22"/>
          <w:lang w:eastAsia="en-GB"/>
        </w:rPr>
        <w:t xml:space="preserve">2.6) compared to 20.6% of patients receiving methotrexate monotherapy and 23.4% of patients receiving </w:t>
      </w:r>
      <w:r w:rsidR="00D26193" w:rsidRPr="001775D9">
        <w:rPr>
          <w:rFonts w:eastAsia="Times New Roman"/>
          <w:color w:val="000000"/>
          <w:szCs w:val="22"/>
        </w:rPr>
        <w:t>adalimumab</w:t>
      </w:r>
      <w:r w:rsidRPr="001775D9">
        <w:rPr>
          <w:szCs w:val="22"/>
          <w:lang w:eastAsia="en-GB"/>
        </w:rPr>
        <w:t xml:space="preserve"> monotherapy. </w:t>
      </w:r>
      <w:r w:rsidR="00E618E4" w:rsidRPr="001775D9">
        <w:rPr>
          <w:rFonts w:eastAsia="Times New Roman"/>
          <w:color w:val="000000"/>
          <w:szCs w:val="22"/>
        </w:rPr>
        <w:t>A</w:t>
      </w:r>
      <w:r w:rsidR="00D26193" w:rsidRPr="001775D9">
        <w:rPr>
          <w:rFonts w:eastAsia="Times New Roman"/>
          <w:color w:val="000000"/>
          <w:szCs w:val="22"/>
        </w:rPr>
        <w:t>dalimumab</w:t>
      </w:r>
      <w:r w:rsidRPr="001775D9">
        <w:rPr>
          <w:szCs w:val="22"/>
          <w:lang w:eastAsia="en-GB"/>
        </w:rPr>
        <w:t>/methotrexate combination therapy was clinically and statistically superior to methotrexate (p</w:t>
      </w:r>
      <w:r w:rsidRPr="001775D9">
        <w:rPr>
          <w:szCs w:val="22"/>
        </w:rPr>
        <w:t> </w:t>
      </w:r>
      <w:r w:rsidRPr="001775D9">
        <w:rPr>
          <w:szCs w:val="22"/>
          <w:lang w:eastAsia="en-GB"/>
        </w:rPr>
        <w:t>&lt;</w:t>
      </w:r>
      <w:r w:rsidRPr="001775D9">
        <w:rPr>
          <w:szCs w:val="22"/>
        </w:rPr>
        <w:t> </w:t>
      </w:r>
      <w:r w:rsidRPr="001775D9">
        <w:rPr>
          <w:szCs w:val="22"/>
          <w:lang w:eastAsia="en-GB"/>
        </w:rPr>
        <w:t xml:space="preserve">0.001) and </w:t>
      </w:r>
      <w:r w:rsidR="00D26193" w:rsidRPr="001775D9">
        <w:rPr>
          <w:rFonts w:eastAsia="Times New Roman"/>
          <w:color w:val="000000"/>
          <w:szCs w:val="22"/>
        </w:rPr>
        <w:t>adalimumab</w:t>
      </w:r>
      <w:r w:rsidRPr="001775D9">
        <w:rPr>
          <w:szCs w:val="22"/>
          <w:lang w:eastAsia="en-GB"/>
        </w:rPr>
        <w:t xml:space="preserve"> monotherapy (p</w:t>
      </w:r>
      <w:r w:rsidRPr="001775D9">
        <w:rPr>
          <w:szCs w:val="22"/>
        </w:rPr>
        <w:t> </w:t>
      </w:r>
      <w:r w:rsidRPr="001775D9">
        <w:rPr>
          <w:szCs w:val="22"/>
          <w:lang w:eastAsia="en-GB"/>
        </w:rPr>
        <w:t>&lt;</w:t>
      </w:r>
      <w:r w:rsidRPr="001775D9">
        <w:rPr>
          <w:szCs w:val="22"/>
        </w:rPr>
        <w:t> </w:t>
      </w:r>
      <w:r w:rsidRPr="001775D9">
        <w:rPr>
          <w:szCs w:val="22"/>
          <w:lang w:eastAsia="en-GB"/>
        </w:rPr>
        <w:t>0.001) in achieving a low disease state in patients with recently diagnosed moderate to severe rheumatoid arthritis. The response for the two monotherapy arms was similar (p</w:t>
      </w:r>
      <w:r w:rsidRPr="001775D9">
        <w:rPr>
          <w:szCs w:val="22"/>
        </w:rPr>
        <w:t> </w:t>
      </w:r>
      <w:r w:rsidRPr="001775D9">
        <w:rPr>
          <w:szCs w:val="22"/>
          <w:lang w:eastAsia="en-GB"/>
        </w:rPr>
        <w:t>=</w:t>
      </w:r>
      <w:r w:rsidRPr="001775D9">
        <w:rPr>
          <w:szCs w:val="22"/>
        </w:rPr>
        <w:t> </w:t>
      </w:r>
      <w:r w:rsidRPr="001775D9">
        <w:rPr>
          <w:szCs w:val="22"/>
          <w:lang w:eastAsia="en-GB"/>
        </w:rPr>
        <w:t xml:space="preserve">0.447). </w:t>
      </w:r>
      <w:r w:rsidR="003D4634" w:rsidRPr="001775D9">
        <w:t xml:space="preserve">Of </w:t>
      </w:r>
      <w:r w:rsidR="00747B80" w:rsidRPr="001775D9">
        <w:t>342 subjects originally randomis</w:t>
      </w:r>
      <w:r w:rsidR="003D4634" w:rsidRPr="001775D9">
        <w:t>ed to adalimumab monotherapy or adalimumab/methotrexate combination therapy who entered the open-label extension study, 171 subjects completed 10 years of adalimumab treatment. Among those, 109 subjects (63.7%) were reported to be in remission at 10 years.</w:t>
      </w:r>
    </w:p>
    <w:p w14:paraId="078D4F6F"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32D0F18" w14:textId="77777777" w:rsidR="00C42229" w:rsidRPr="001775D9" w:rsidRDefault="00C42229" w:rsidP="00FB5458">
      <w:pPr>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Radiographic response </w:t>
      </w:r>
    </w:p>
    <w:p w14:paraId="02A8E749"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4BD8DA6" w14:textId="45BB3749"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RA study III, where </w:t>
      </w:r>
      <w:r w:rsidR="00D26193" w:rsidRPr="001775D9">
        <w:rPr>
          <w:rFonts w:eastAsia="Times New Roman"/>
          <w:color w:val="000000"/>
          <w:szCs w:val="22"/>
        </w:rPr>
        <w:t>adalimumab</w:t>
      </w:r>
      <w:r w:rsidR="00A515F5" w:rsidRPr="001775D9">
        <w:rPr>
          <w:szCs w:val="22"/>
          <w:lang w:eastAsia="en-GB"/>
        </w:rPr>
        <w:t>-</w:t>
      </w:r>
      <w:r w:rsidRPr="001775D9">
        <w:rPr>
          <w:szCs w:val="22"/>
          <w:lang w:eastAsia="en-GB"/>
        </w:rPr>
        <w:t>treated patients had a mean duration of rheumatoid arthritis of approximately 11</w:t>
      </w:r>
      <w:r w:rsidRPr="001775D9">
        <w:rPr>
          <w:szCs w:val="22"/>
        </w:rPr>
        <w:t> </w:t>
      </w:r>
      <w:r w:rsidRPr="001775D9">
        <w:rPr>
          <w:szCs w:val="22"/>
          <w:lang w:eastAsia="en-GB"/>
        </w:rPr>
        <w:t>years, structural joint damage was assessed radiographically and expressed as change in modified Total Sharp Score (TSS) and its components, the erosion score and joint</w:t>
      </w:r>
      <w:r w:rsidRPr="001775D9">
        <w:rPr>
          <w:color w:val="000000"/>
          <w:szCs w:val="22"/>
          <w:lang w:eastAsia="en-GB"/>
        </w:rPr>
        <w:t xml:space="preserve"> space narrowing score. </w:t>
      </w:r>
      <w:r w:rsidR="00D26193" w:rsidRPr="001775D9">
        <w:rPr>
          <w:rFonts w:eastAsia="Times New Roman"/>
          <w:color w:val="000000"/>
          <w:szCs w:val="22"/>
        </w:rPr>
        <w:t>Adalimumab</w:t>
      </w:r>
      <w:r w:rsidRPr="001775D9">
        <w:rPr>
          <w:szCs w:val="22"/>
          <w:lang w:eastAsia="en-GB"/>
        </w:rPr>
        <w:t xml:space="preserve">/methotrexate patients demonstrated significantly less radiographic progression than patients receiving methotrexate alone at 6 and 12 months (see </w:t>
      </w:r>
      <w:r w:rsidR="00CB7003" w:rsidRPr="001775D9">
        <w:rPr>
          <w:szCs w:val="22"/>
          <w:lang w:eastAsia="en-GB"/>
        </w:rPr>
        <w:t>t</w:t>
      </w:r>
      <w:r w:rsidRPr="001775D9">
        <w:rPr>
          <w:szCs w:val="22"/>
          <w:lang w:eastAsia="en-GB"/>
        </w:rPr>
        <w:t xml:space="preserve">able </w:t>
      </w:r>
      <w:r w:rsidR="00407EA8" w:rsidRPr="001775D9">
        <w:rPr>
          <w:szCs w:val="22"/>
          <w:lang w:eastAsia="en-GB"/>
        </w:rPr>
        <w:t>10</w:t>
      </w:r>
      <w:r w:rsidRPr="001775D9">
        <w:rPr>
          <w:szCs w:val="22"/>
          <w:lang w:eastAsia="en-GB"/>
        </w:rPr>
        <w:t xml:space="preserve">). </w:t>
      </w:r>
    </w:p>
    <w:p w14:paraId="16EFE0A4" w14:textId="77777777" w:rsidR="00C42229" w:rsidRPr="001775D9" w:rsidRDefault="00C42229" w:rsidP="00FB5458">
      <w:pPr>
        <w:spacing w:line="240" w:lineRule="auto"/>
        <w:rPr>
          <w:szCs w:val="22"/>
          <w:lang w:eastAsia="en-GB"/>
        </w:rPr>
      </w:pPr>
    </w:p>
    <w:p w14:paraId="0B89BB10" w14:textId="77777777" w:rsidR="00C42229" w:rsidRPr="001775D9" w:rsidRDefault="00C42229" w:rsidP="00FB5458">
      <w:pPr>
        <w:spacing w:line="240" w:lineRule="auto"/>
        <w:rPr>
          <w:szCs w:val="22"/>
          <w:lang w:eastAsia="en-GB"/>
        </w:rPr>
      </w:pPr>
      <w:r w:rsidRPr="001775D9">
        <w:rPr>
          <w:szCs w:val="22"/>
          <w:lang w:eastAsia="en-GB"/>
        </w:rPr>
        <w:t xml:space="preserve">In the open-label extension of RA </w:t>
      </w:r>
      <w:r w:rsidR="007B1044" w:rsidRPr="001775D9">
        <w:rPr>
          <w:szCs w:val="22"/>
          <w:lang w:eastAsia="en-GB"/>
        </w:rPr>
        <w:t>s</w:t>
      </w:r>
      <w:r w:rsidRPr="001775D9">
        <w:rPr>
          <w:szCs w:val="22"/>
          <w:lang w:eastAsia="en-GB"/>
        </w:rPr>
        <w:t>tudy III, the reduction in rate of progression of structural damage is maintained for 8 and 10</w:t>
      </w:r>
      <w:r w:rsidRPr="001775D9">
        <w:rPr>
          <w:szCs w:val="22"/>
        </w:rPr>
        <w:t> </w:t>
      </w:r>
      <w:r w:rsidRPr="001775D9">
        <w:rPr>
          <w:szCs w:val="22"/>
          <w:lang w:eastAsia="en-GB"/>
        </w:rPr>
        <w:t>years in a subset of patients. At 8</w:t>
      </w:r>
      <w:r w:rsidRPr="001775D9">
        <w:rPr>
          <w:szCs w:val="22"/>
        </w:rPr>
        <w:t> </w:t>
      </w:r>
      <w:r w:rsidRPr="001775D9">
        <w:rPr>
          <w:szCs w:val="22"/>
          <w:lang w:eastAsia="en-GB"/>
        </w:rPr>
        <w:t>years, 81 of 207 patients originally treated with 40</w:t>
      </w:r>
      <w:r w:rsidRPr="001775D9">
        <w:rPr>
          <w:szCs w:val="22"/>
        </w:rPr>
        <w:t> </w:t>
      </w:r>
      <w:r w:rsidRPr="001775D9">
        <w:rPr>
          <w:szCs w:val="22"/>
          <w:lang w:eastAsia="en-GB"/>
        </w:rPr>
        <w:t xml:space="preserve">mg </w:t>
      </w:r>
      <w:r w:rsidR="00D26193" w:rsidRPr="001775D9">
        <w:rPr>
          <w:rFonts w:eastAsia="Times New Roman"/>
          <w:color w:val="000000"/>
          <w:szCs w:val="22"/>
        </w:rPr>
        <w:t>adalimumab</w:t>
      </w:r>
      <w:r w:rsidRPr="001775D9">
        <w:rPr>
          <w:szCs w:val="22"/>
          <w:lang w:eastAsia="en-GB"/>
        </w:rPr>
        <w:t xml:space="preserve"> every other week were evaluated radiographically. Among those, 48 patients showed no progression of structural damage defined by a change from baseline in the mTSS of 0.5 or less. At 10 years, 79 of 207 patients originally treated with 40</w:t>
      </w:r>
      <w:r w:rsidRPr="001775D9">
        <w:rPr>
          <w:szCs w:val="22"/>
        </w:rPr>
        <w:t> </w:t>
      </w:r>
      <w:r w:rsidRPr="001775D9">
        <w:rPr>
          <w:szCs w:val="22"/>
          <w:lang w:eastAsia="en-GB"/>
        </w:rPr>
        <w:t xml:space="preserve">mg </w:t>
      </w:r>
      <w:r w:rsidR="00D26193" w:rsidRPr="001775D9">
        <w:rPr>
          <w:rFonts w:eastAsia="Times New Roman"/>
          <w:color w:val="000000"/>
          <w:szCs w:val="22"/>
        </w:rPr>
        <w:t>adalimumab</w:t>
      </w:r>
      <w:r w:rsidRPr="001775D9">
        <w:rPr>
          <w:szCs w:val="22"/>
          <w:lang w:eastAsia="en-GB"/>
        </w:rPr>
        <w:t xml:space="preserve"> every other week were evaluated radiographically. Among those, 40 patients showed no progression of structural damage defined by a change from baseline in the mTSS of 0.5 or less.</w:t>
      </w:r>
    </w:p>
    <w:p w14:paraId="3DDA133A" w14:textId="77777777" w:rsidR="00C42229" w:rsidRPr="001775D9" w:rsidRDefault="00C42229" w:rsidP="00FB5458">
      <w:pPr>
        <w:spacing w:line="240" w:lineRule="auto"/>
        <w:rPr>
          <w:szCs w:val="22"/>
          <w:lang w:eastAsia="en-GB"/>
        </w:rPr>
      </w:pPr>
    </w:p>
    <w:p w14:paraId="72207DAC" w14:textId="3A44C56F" w:rsidR="00C42229" w:rsidRPr="001775D9" w:rsidRDefault="00C42229" w:rsidP="00275906">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Table </w:t>
      </w:r>
      <w:r w:rsidR="00407EA8" w:rsidRPr="001775D9">
        <w:rPr>
          <w:b/>
          <w:bCs/>
          <w:szCs w:val="22"/>
          <w:lang w:eastAsia="en-GB"/>
        </w:rPr>
        <w:t>10</w:t>
      </w:r>
      <w:r w:rsidR="004D3CCE" w:rsidRPr="001775D9">
        <w:rPr>
          <w:b/>
          <w:bCs/>
          <w:szCs w:val="22"/>
          <w:lang w:eastAsia="en-GB"/>
        </w:rPr>
        <w:t>.</w:t>
      </w:r>
      <w:r w:rsidR="00110304" w:rsidRPr="001775D9">
        <w:rPr>
          <w:b/>
          <w:bCs/>
          <w:szCs w:val="22"/>
          <w:lang w:eastAsia="en-GB"/>
        </w:rPr>
        <w:t xml:space="preserve"> </w:t>
      </w:r>
      <w:r w:rsidRPr="001775D9">
        <w:rPr>
          <w:b/>
          <w:bCs/>
          <w:szCs w:val="22"/>
          <w:lang w:eastAsia="en-GB"/>
        </w:rPr>
        <w:t xml:space="preserve">Radiographic </w:t>
      </w:r>
      <w:r w:rsidR="007B1044" w:rsidRPr="001775D9">
        <w:rPr>
          <w:b/>
          <w:bCs/>
          <w:szCs w:val="22"/>
          <w:lang w:eastAsia="en-GB"/>
        </w:rPr>
        <w:t>m</w:t>
      </w:r>
      <w:r w:rsidRPr="001775D9">
        <w:rPr>
          <w:b/>
          <w:bCs/>
          <w:szCs w:val="22"/>
          <w:lang w:eastAsia="en-GB"/>
        </w:rPr>
        <w:t xml:space="preserve">ean </w:t>
      </w:r>
      <w:r w:rsidR="007B1044" w:rsidRPr="001775D9">
        <w:rPr>
          <w:b/>
          <w:bCs/>
          <w:szCs w:val="22"/>
          <w:lang w:eastAsia="en-GB"/>
        </w:rPr>
        <w:t>c</w:t>
      </w:r>
      <w:r w:rsidRPr="001775D9">
        <w:rPr>
          <w:b/>
          <w:bCs/>
          <w:szCs w:val="22"/>
          <w:lang w:eastAsia="en-GB"/>
        </w:rPr>
        <w:t xml:space="preserve">hanges </w:t>
      </w:r>
      <w:r w:rsidR="00CD086B" w:rsidRPr="001775D9">
        <w:rPr>
          <w:b/>
          <w:bCs/>
          <w:szCs w:val="22"/>
          <w:lang w:eastAsia="en-GB"/>
        </w:rPr>
        <w:t>o</w:t>
      </w:r>
      <w:r w:rsidRPr="001775D9">
        <w:rPr>
          <w:b/>
          <w:bCs/>
          <w:szCs w:val="22"/>
          <w:lang w:eastAsia="en-GB"/>
        </w:rPr>
        <w:t xml:space="preserve">ver 12 </w:t>
      </w:r>
      <w:r w:rsidR="007B1044" w:rsidRPr="001775D9">
        <w:rPr>
          <w:b/>
          <w:bCs/>
          <w:szCs w:val="22"/>
          <w:lang w:eastAsia="en-GB"/>
        </w:rPr>
        <w:t>m</w:t>
      </w:r>
      <w:r w:rsidRPr="001775D9">
        <w:rPr>
          <w:b/>
          <w:bCs/>
          <w:szCs w:val="22"/>
          <w:lang w:eastAsia="en-GB"/>
        </w:rPr>
        <w:t xml:space="preserve">onths in RA </w:t>
      </w:r>
      <w:r w:rsidR="007B1044" w:rsidRPr="001775D9">
        <w:rPr>
          <w:b/>
          <w:bCs/>
          <w:szCs w:val="22"/>
          <w:lang w:eastAsia="en-GB"/>
        </w:rPr>
        <w:t>s</w:t>
      </w:r>
      <w:r w:rsidRPr="001775D9">
        <w:rPr>
          <w:b/>
          <w:bCs/>
          <w:szCs w:val="22"/>
          <w:lang w:eastAsia="en-GB"/>
        </w:rPr>
        <w:t>tudy III</w:t>
      </w:r>
    </w:p>
    <w:p w14:paraId="63821503" w14:textId="77777777" w:rsidR="00C42229" w:rsidRPr="001775D9" w:rsidRDefault="00C42229" w:rsidP="00275906">
      <w:pPr>
        <w:keepNext/>
        <w:keepLines/>
        <w:spacing w:line="240" w:lineRule="auto"/>
        <w:rPr>
          <w:szCs w:val="22"/>
          <w:lang w:eastAsia="en-GB"/>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417"/>
        <w:gridCol w:w="1985"/>
        <w:gridCol w:w="2268"/>
        <w:gridCol w:w="1559"/>
      </w:tblGrid>
      <w:tr w:rsidR="00C42229" w:rsidRPr="00F04F82" w14:paraId="519DAE5F" w14:textId="77777777" w:rsidTr="00A66CE9">
        <w:trPr>
          <w:trHeight w:val="555"/>
        </w:trPr>
        <w:tc>
          <w:tcPr>
            <w:tcW w:w="1985" w:type="dxa"/>
          </w:tcPr>
          <w:p w14:paraId="106CF2BA" w14:textId="77777777" w:rsidR="00C42229" w:rsidRPr="001775D9" w:rsidRDefault="00C42229" w:rsidP="00E07581">
            <w:pPr>
              <w:tabs>
                <w:tab w:val="clear" w:pos="567"/>
              </w:tabs>
              <w:autoSpaceDE w:val="0"/>
              <w:autoSpaceDN w:val="0"/>
              <w:adjustRightInd w:val="0"/>
              <w:spacing w:line="240" w:lineRule="auto"/>
              <w:rPr>
                <w:szCs w:val="22"/>
                <w:lang w:eastAsia="en-GB"/>
              </w:rPr>
            </w:pPr>
          </w:p>
        </w:tc>
        <w:tc>
          <w:tcPr>
            <w:tcW w:w="1417" w:type="dxa"/>
          </w:tcPr>
          <w:p w14:paraId="3EA88CDB" w14:textId="77777777" w:rsidR="00C42229" w:rsidRPr="001775D9" w:rsidRDefault="00C42229" w:rsidP="00E07581">
            <w:pPr>
              <w:tabs>
                <w:tab w:val="clear" w:pos="567"/>
              </w:tabs>
              <w:autoSpaceDE w:val="0"/>
              <w:autoSpaceDN w:val="0"/>
              <w:adjustRightInd w:val="0"/>
              <w:spacing w:line="240" w:lineRule="auto"/>
              <w:jc w:val="center"/>
              <w:rPr>
                <w:b/>
                <w:szCs w:val="22"/>
                <w:lang w:eastAsia="en-GB"/>
              </w:rPr>
            </w:pPr>
            <w:r w:rsidRPr="001775D9">
              <w:rPr>
                <w:b/>
                <w:szCs w:val="22"/>
                <w:lang w:eastAsia="en-GB"/>
              </w:rPr>
              <w:t>Placebo/ MTX</w:t>
            </w:r>
            <w:r w:rsidRPr="001775D9">
              <w:rPr>
                <w:b/>
                <w:szCs w:val="22"/>
                <w:vertAlign w:val="superscript"/>
                <w:lang w:eastAsia="en-GB"/>
              </w:rPr>
              <w:t>a</w:t>
            </w:r>
          </w:p>
        </w:tc>
        <w:tc>
          <w:tcPr>
            <w:tcW w:w="1985" w:type="dxa"/>
          </w:tcPr>
          <w:p w14:paraId="63308BBE" w14:textId="77777777" w:rsidR="00C42229" w:rsidRPr="001775D9" w:rsidRDefault="00D26193" w:rsidP="00E07581">
            <w:pPr>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 xml:space="preserve">Adalimumab </w:t>
            </w:r>
            <w:r w:rsidR="00C42229" w:rsidRPr="001775D9">
              <w:rPr>
                <w:b/>
                <w:szCs w:val="22"/>
                <w:lang w:eastAsia="en-GB"/>
              </w:rPr>
              <w:t>/MTX</w:t>
            </w:r>
          </w:p>
          <w:p w14:paraId="586DDE39" w14:textId="77777777" w:rsidR="00C42229" w:rsidRPr="001775D9" w:rsidRDefault="00C42229" w:rsidP="00E07581">
            <w:pPr>
              <w:tabs>
                <w:tab w:val="clear" w:pos="567"/>
              </w:tabs>
              <w:autoSpaceDE w:val="0"/>
              <w:autoSpaceDN w:val="0"/>
              <w:adjustRightInd w:val="0"/>
              <w:spacing w:line="240" w:lineRule="auto"/>
              <w:jc w:val="center"/>
              <w:rPr>
                <w:b/>
                <w:szCs w:val="22"/>
                <w:lang w:eastAsia="en-GB"/>
              </w:rPr>
            </w:pPr>
            <w:r w:rsidRPr="001775D9">
              <w:rPr>
                <w:b/>
                <w:szCs w:val="22"/>
                <w:lang w:eastAsia="en-GB"/>
              </w:rPr>
              <w:t>40</w:t>
            </w:r>
            <w:r w:rsidRPr="001775D9">
              <w:rPr>
                <w:b/>
                <w:szCs w:val="22"/>
              </w:rPr>
              <w:t> </w:t>
            </w:r>
            <w:r w:rsidRPr="001775D9">
              <w:rPr>
                <w:b/>
                <w:szCs w:val="22"/>
                <w:lang w:eastAsia="en-GB"/>
              </w:rPr>
              <w:t>mg every other week</w:t>
            </w:r>
          </w:p>
        </w:tc>
        <w:tc>
          <w:tcPr>
            <w:tcW w:w="2268" w:type="dxa"/>
          </w:tcPr>
          <w:p w14:paraId="09F3279F" w14:textId="77777777" w:rsidR="00C42229" w:rsidRPr="001775D9" w:rsidRDefault="00C42229" w:rsidP="00E07581">
            <w:pPr>
              <w:tabs>
                <w:tab w:val="clear" w:pos="567"/>
              </w:tabs>
              <w:autoSpaceDE w:val="0"/>
              <w:autoSpaceDN w:val="0"/>
              <w:adjustRightInd w:val="0"/>
              <w:spacing w:line="240" w:lineRule="auto"/>
              <w:jc w:val="center"/>
              <w:rPr>
                <w:b/>
                <w:szCs w:val="22"/>
                <w:lang w:eastAsia="en-GB"/>
              </w:rPr>
            </w:pPr>
            <w:r w:rsidRPr="001775D9">
              <w:rPr>
                <w:b/>
                <w:szCs w:val="22"/>
                <w:lang w:eastAsia="en-GB"/>
              </w:rPr>
              <w:t xml:space="preserve">Placebo/MTX- </w:t>
            </w:r>
            <w:r w:rsidR="00D26193" w:rsidRPr="001775D9">
              <w:rPr>
                <w:rFonts w:eastAsia="Times New Roman"/>
                <w:b/>
                <w:color w:val="000000"/>
                <w:szCs w:val="22"/>
              </w:rPr>
              <w:t>adalimumab</w:t>
            </w:r>
            <w:r w:rsidRPr="001775D9">
              <w:rPr>
                <w:b/>
                <w:szCs w:val="22"/>
                <w:lang w:eastAsia="en-GB"/>
              </w:rPr>
              <w:t xml:space="preserve"> /MTX (95% </w:t>
            </w:r>
            <w:r w:rsidR="007B1044" w:rsidRPr="001775D9">
              <w:rPr>
                <w:b/>
                <w:szCs w:val="22"/>
                <w:lang w:eastAsia="en-GB"/>
              </w:rPr>
              <w:t>c</w:t>
            </w:r>
            <w:r w:rsidRPr="001775D9">
              <w:rPr>
                <w:b/>
                <w:szCs w:val="22"/>
                <w:lang w:eastAsia="en-GB"/>
              </w:rPr>
              <w:t xml:space="preserve">onfidence </w:t>
            </w:r>
            <w:r w:rsidR="007B1044" w:rsidRPr="001775D9">
              <w:rPr>
                <w:b/>
                <w:szCs w:val="22"/>
                <w:lang w:eastAsia="en-GB"/>
              </w:rPr>
              <w:t>i</w:t>
            </w:r>
            <w:r w:rsidRPr="001775D9">
              <w:rPr>
                <w:b/>
                <w:szCs w:val="22"/>
                <w:lang w:eastAsia="en-GB"/>
              </w:rPr>
              <w:t>nterval</w:t>
            </w:r>
            <w:r w:rsidRPr="001775D9">
              <w:rPr>
                <w:b/>
                <w:szCs w:val="22"/>
                <w:vertAlign w:val="superscript"/>
                <w:lang w:eastAsia="en-GB"/>
              </w:rPr>
              <w:t>b</w:t>
            </w:r>
            <w:r w:rsidRPr="001775D9">
              <w:rPr>
                <w:b/>
                <w:szCs w:val="22"/>
                <w:lang w:eastAsia="en-GB"/>
              </w:rPr>
              <w:t>)</w:t>
            </w:r>
          </w:p>
        </w:tc>
        <w:tc>
          <w:tcPr>
            <w:tcW w:w="1559" w:type="dxa"/>
          </w:tcPr>
          <w:p w14:paraId="5043BC5A" w14:textId="77777777" w:rsidR="00C42229" w:rsidRPr="001775D9" w:rsidRDefault="00C42229" w:rsidP="00E07581">
            <w:pPr>
              <w:tabs>
                <w:tab w:val="clear" w:pos="567"/>
              </w:tabs>
              <w:autoSpaceDE w:val="0"/>
              <w:autoSpaceDN w:val="0"/>
              <w:adjustRightInd w:val="0"/>
              <w:spacing w:line="240" w:lineRule="auto"/>
              <w:jc w:val="center"/>
              <w:rPr>
                <w:b/>
                <w:szCs w:val="22"/>
                <w:lang w:eastAsia="en-GB"/>
              </w:rPr>
            </w:pPr>
            <w:r w:rsidRPr="001775D9">
              <w:rPr>
                <w:b/>
                <w:szCs w:val="22"/>
                <w:lang w:eastAsia="en-GB"/>
              </w:rPr>
              <w:t>p-value</w:t>
            </w:r>
          </w:p>
        </w:tc>
      </w:tr>
      <w:tr w:rsidR="00C42229" w:rsidRPr="00F04F82" w14:paraId="4C42DB88" w14:textId="77777777" w:rsidTr="00A66CE9">
        <w:trPr>
          <w:trHeight w:val="154"/>
        </w:trPr>
        <w:tc>
          <w:tcPr>
            <w:tcW w:w="1985" w:type="dxa"/>
          </w:tcPr>
          <w:p w14:paraId="29375F02" w14:textId="77777777" w:rsidR="00C42229" w:rsidRPr="001775D9" w:rsidRDefault="00C42229" w:rsidP="00E07581">
            <w:pPr>
              <w:tabs>
                <w:tab w:val="clear" w:pos="567"/>
              </w:tabs>
              <w:autoSpaceDE w:val="0"/>
              <w:autoSpaceDN w:val="0"/>
              <w:adjustRightInd w:val="0"/>
              <w:spacing w:line="240" w:lineRule="auto"/>
              <w:rPr>
                <w:szCs w:val="22"/>
                <w:lang w:eastAsia="en-GB"/>
              </w:rPr>
            </w:pPr>
            <w:r w:rsidRPr="001775D9">
              <w:rPr>
                <w:szCs w:val="22"/>
                <w:lang w:eastAsia="en-GB"/>
              </w:rPr>
              <w:t>Total Sharp Score</w:t>
            </w:r>
          </w:p>
        </w:tc>
        <w:tc>
          <w:tcPr>
            <w:tcW w:w="1417" w:type="dxa"/>
          </w:tcPr>
          <w:p w14:paraId="4C44AA2A"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2.7</w:t>
            </w:r>
          </w:p>
        </w:tc>
        <w:tc>
          <w:tcPr>
            <w:tcW w:w="1985" w:type="dxa"/>
          </w:tcPr>
          <w:p w14:paraId="0140F051"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0.1</w:t>
            </w:r>
          </w:p>
        </w:tc>
        <w:tc>
          <w:tcPr>
            <w:tcW w:w="2268" w:type="dxa"/>
          </w:tcPr>
          <w:p w14:paraId="33500BD9"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2.6 (1.4, 3.8)</w:t>
            </w:r>
          </w:p>
        </w:tc>
        <w:tc>
          <w:tcPr>
            <w:tcW w:w="1559" w:type="dxa"/>
          </w:tcPr>
          <w:p w14:paraId="20E3550F"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&lt;</w:t>
            </w:r>
            <w:r w:rsidRPr="001775D9">
              <w:rPr>
                <w:szCs w:val="22"/>
              </w:rPr>
              <w:t> </w:t>
            </w:r>
            <w:r w:rsidRPr="001775D9">
              <w:rPr>
                <w:szCs w:val="22"/>
                <w:lang w:eastAsia="en-GB"/>
              </w:rPr>
              <w:t>0.001</w:t>
            </w:r>
            <w:r w:rsidRPr="001775D9">
              <w:rPr>
                <w:szCs w:val="22"/>
                <w:vertAlign w:val="superscript"/>
                <w:lang w:eastAsia="en-GB"/>
              </w:rPr>
              <w:t>c</w:t>
            </w:r>
          </w:p>
        </w:tc>
      </w:tr>
      <w:tr w:rsidR="00C42229" w:rsidRPr="00F04F82" w14:paraId="2A150E62" w14:textId="77777777" w:rsidTr="00A66CE9">
        <w:trPr>
          <w:trHeight w:val="147"/>
        </w:trPr>
        <w:tc>
          <w:tcPr>
            <w:tcW w:w="1985" w:type="dxa"/>
          </w:tcPr>
          <w:p w14:paraId="3BECBFA5" w14:textId="77777777" w:rsidR="00C42229" w:rsidRPr="001775D9" w:rsidRDefault="00C42229" w:rsidP="00E07581">
            <w:pPr>
              <w:tabs>
                <w:tab w:val="clear" w:pos="567"/>
              </w:tabs>
              <w:autoSpaceDE w:val="0"/>
              <w:autoSpaceDN w:val="0"/>
              <w:adjustRightInd w:val="0"/>
              <w:spacing w:line="240" w:lineRule="auto"/>
              <w:rPr>
                <w:szCs w:val="22"/>
                <w:lang w:eastAsia="en-GB"/>
              </w:rPr>
            </w:pPr>
            <w:r w:rsidRPr="001775D9">
              <w:rPr>
                <w:szCs w:val="22"/>
                <w:lang w:eastAsia="en-GB"/>
              </w:rPr>
              <w:t>Erosion score</w:t>
            </w:r>
          </w:p>
        </w:tc>
        <w:tc>
          <w:tcPr>
            <w:tcW w:w="1417" w:type="dxa"/>
          </w:tcPr>
          <w:p w14:paraId="0480E6D3"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1.6</w:t>
            </w:r>
          </w:p>
        </w:tc>
        <w:tc>
          <w:tcPr>
            <w:tcW w:w="1985" w:type="dxa"/>
          </w:tcPr>
          <w:p w14:paraId="6023E3DF"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0.0</w:t>
            </w:r>
          </w:p>
        </w:tc>
        <w:tc>
          <w:tcPr>
            <w:tcW w:w="2268" w:type="dxa"/>
          </w:tcPr>
          <w:p w14:paraId="5BE9DD31"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1.6 (0.9, 2.2)</w:t>
            </w:r>
          </w:p>
        </w:tc>
        <w:tc>
          <w:tcPr>
            <w:tcW w:w="1559" w:type="dxa"/>
          </w:tcPr>
          <w:p w14:paraId="35D79251"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&lt;</w:t>
            </w:r>
            <w:r w:rsidRPr="001775D9">
              <w:rPr>
                <w:szCs w:val="22"/>
              </w:rPr>
              <w:t> </w:t>
            </w:r>
            <w:r w:rsidRPr="001775D9">
              <w:rPr>
                <w:szCs w:val="22"/>
                <w:lang w:eastAsia="en-GB"/>
              </w:rPr>
              <w:t>0.001</w:t>
            </w:r>
          </w:p>
        </w:tc>
      </w:tr>
      <w:tr w:rsidR="00C42229" w:rsidRPr="00F04F82" w14:paraId="00D50C4E" w14:textId="77777777" w:rsidTr="00A66CE9">
        <w:trPr>
          <w:trHeight w:val="154"/>
        </w:trPr>
        <w:tc>
          <w:tcPr>
            <w:tcW w:w="1985" w:type="dxa"/>
          </w:tcPr>
          <w:p w14:paraId="04D5A118" w14:textId="77777777" w:rsidR="00C42229" w:rsidRPr="001775D9" w:rsidRDefault="00C42229" w:rsidP="00E07581">
            <w:pPr>
              <w:tabs>
                <w:tab w:val="clear" w:pos="567"/>
              </w:tabs>
              <w:autoSpaceDE w:val="0"/>
              <w:autoSpaceDN w:val="0"/>
              <w:adjustRightInd w:val="0"/>
              <w:spacing w:line="240" w:lineRule="auto"/>
              <w:rPr>
                <w:szCs w:val="22"/>
                <w:lang w:eastAsia="en-GB"/>
              </w:rPr>
            </w:pPr>
            <w:r w:rsidRPr="001775D9">
              <w:rPr>
                <w:szCs w:val="22"/>
                <w:lang w:eastAsia="en-GB"/>
              </w:rPr>
              <w:t>JSN</w:t>
            </w:r>
            <w:r w:rsidRPr="001775D9">
              <w:rPr>
                <w:szCs w:val="22"/>
                <w:vertAlign w:val="superscript"/>
                <w:lang w:eastAsia="en-GB"/>
              </w:rPr>
              <w:t>d</w:t>
            </w:r>
            <w:r w:rsidRPr="001775D9">
              <w:rPr>
                <w:szCs w:val="22"/>
                <w:lang w:eastAsia="en-GB"/>
              </w:rPr>
              <w:t xml:space="preserve"> score</w:t>
            </w:r>
          </w:p>
        </w:tc>
        <w:tc>
          <w:tcPr>
            <w:tcW w:w="1417" w:type="dxa"/>
          </w:tcPr>
          <w:p w14:paraId="1291C0E1"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1.0</w:t>
            </w:r>
          </w:p>
        </w:tc>
        <w:tc>
          <w:tcPr>
            <w:tcW w:w="1985" w:type="dxa"/>
          </w:tcPr>
          <w:p w14:paraId="7CA14330"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0.1</w:t>
            </w:r>
          </w:p>
        </w:tc>
        <w:tc>
          <w:tcPr>
            <w:tcW w:w="2268" w:type="dxa"/>
          </w:tcPr>
          <w:p w14:paraId="519B8544"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0.9 (0.3, 1.4)</w:t>
            </w:r>
          </w:p>
        </w:tc>
        <w:tc>
          <w:tcPr>
            <w:tcW w:w="1559" w:type="dxa"/>
          </w:tcPr>
          <w:p w14:paraId="56547338" w14:textId="77777777" w:rsidR="00C42229" w:rsidRPr="001775D9" w:rsidRDefault="00C42229" w:rsidP="00E07581">
            <w:pPr>
              <w:tabs>
                <w:tab w:val="clear" w:pos="567"/>
              </w:tabs>
              <w:autoSpaceDE w:val="0"/>
              <w:autoSpaceDN w:val="0"/>
              <w:adjustRightInd w:val="0"/>
              <w:spacing w:line="240" w:lineRule="auto"/>
              <w:jc w:val="center"/>
              <w:rPr>
                <w:szCs w:val="22"/>
                <w:lang w:eastAsia="en-GB"/>
              </w:rPr>
            </w:pPr>
            <w:r w:rsidRPr="001775D9">
              <w:rPr>
                <w:szCs w:val="22"/>
                <w:lang w:eastAsia="en-GB"/>
              </w:rPr>
              <w:t>0.002</w:t>
            </w:r>
          </w:p>
        </w:tc>
      </w:tr>
    </w:tbl>
    <w:p w14:paraId="0845C177" w14:textId="62175A10" w:rsidR="00C42229" w:rsidRPr="001775D9" w:rsidRDefault="00C42229" w:rsidP="00E07581">
      <w:pPr>
        <w:tabs>
          <w:tab w:val="clear" w:pos="567"/>
        </w:tabs>
        <w:autoSpaceDE w:val="0"/>
        <w:autoSpaceDN w:val="0"/>
        <w:adjustRightInd w:val="0"/>
        <w:spacing w:line="240" w:lineRule="auto"/>
        <w:rPr>
          <w:sz w:val="20"/>
          <w:lang w:eastAsia="en-GB"/>
        </w:rPr>
      </w:pPr>
      <w:r w:rsidRPr="001775D9">
        <w:rPr>
          <w:bCs/>
          <w:sz w:val="20"/>
          <w:vertAlign w:val="superscript"/>
          <w:lang w:eastAsia="en-GB"/>
        </w:rPr>
        <w:t>a</w:t>
      </w:r>
      <w:r w:rsidRPr="001775D9">
        <w:rPr>
          <w:bCs/>
          <w:sz w:val="20"/>
          <w:lang w:eastAsia="en-GB"/>
        </w:rPr>
        <w:t xml:space="preserve"> </w:t>
      </w:r>
      <w:r w:rsidRPr="001775D9">
        <w:rPr>
          <w:sz w:val="20"/>
          <w:lang w:eastAsia="en-GB"/>
        </w:rPr>
        <w:t xml:space="preserve">methotrexate </w:t>
      </w:r>
    </w:p>
    <w:p w14:paraId="771B9D63" w14:textId="77777777" w:rsidR="00C42229" w:rsidRPr="001775D9" w:rsidRDefault="00C42229" w:rsidP="00E07581">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95% confidence intervals for the differences in change scores between methotrexate and </w:t>
      </w:r>
      <w:r w:rsidR="00D26193" w:rsidRPr="001775D9">
        <w:rPr>
          <w:rFonts w:eastAsia="Times New Roman"/>
          <w:color w:val="000000"/>
          <w:sz w:val="20"/>
        </w:rPr>
        <w:t>adalimumab</w:t>
      </w:r>
      <w:r w:rsidRPr="001775D9">
        <w:rPr>
          <w:sz w:val="20"/>
          <w:lang w:eastAsia="en-GB"/>
        </w:rPr>
        <w:t xml:space="preserve"> </w:t>
      </w:r>
    </w:p>
    <w:p w14:paraId="7971DC47" w14:textId="77777777" w:rsidR="00C42229" w:rsidRPr="001775D9" w:rsidRDefault="00C42229" w:rsidP="009F3EC6">
      <w:pPr>
        <w:keepNext/>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Based on rank analysis </w:t>
      </w:r>
    </w:p>
    <w:p w14:paraId="201C9B63" w14:textId="77777777" w:rsidR="00C42229" w:rsidRPr="001775D9" w:rsidRDefault="00C42229" w:rsidP="00FB5458">
      <w:pPr>
        <w:spacing w:line="240" w:lineRule="auto"/>
        <w:rPr>
          <w:sz w:val="20"/>
        </w:rPr>
      </w:pPr>
      <w:r w:rsidRPr="001775D9">
        <w:rPr>
          <w:sz w:val="20"/>
          <w:vertAlign w:val="superscript"/>
          <w:lang w:eastAsia="en-GB"/>
        </w:rPr>
        <w:t>d</w:t>
      </w:r>
      <w:r w:rsidRPr="001775D9">
        <w:rPr>
          <w:sz w:val="20"/>
          <w:lang w:eastAsia="en-GB"/>
        </w:rPr>
        <w:t xml:space="preserve"> Joint Space Narrowing</w:t>
      </w:r>
    </w:p>
    <w:p w14:paraId="0481E7BB" w14:textId="77777777" w:rsidR="00C42229" w:rsidRPr="001775D9" w:rsidRDefault="00C42229" w:rsidP="00FB5458">
      <w:pPr>
        <w:spacing w:line="240" w:lineRule="auto"/>
        <w:rPr>
          <w:szCs w:val="22"/>
        </w:rPr>
      </w:pPr>
    </w:p>
    <w:p w14:paraId="06A39E58" w14:textId="7B570BF6" w:rsidR="00210CCE"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RA study V, structural joint damage was assessed radiographically and expressed as change in modified Total Sharp Score (see </w:t>
      </w:r>
      <w:r w:rsidR="00CB7003" w:rsidRPr="001775D9">
        <w:rPr>
          <w:szCs w:val="22"/>
          <w:lang w:eastAsia="en-GB"/>
        </w:rPr>
        <w:t>t</w:t>
      </w:r>
      <w:r w:rsidRPr="001775D9">
        <w:rPr>
          <w:szCs w:val="22"/>
          <w:lang w:eastAsia="en-GB"/>
        </w:rPr>
        <w:t xml:space="preserve">able </w:t>
      </w:r>
      <w:r w:rsidR="00407EA8" w:rsidRPr="001775D9">
        <w:rPr>
          <w:szCs w:val="22"/>
          <w:lang w:eastAsia="en-GB"/>
        </w:rPr>
        <w:t>11</w:t>
      </w:r>
      <w:r w:rsidRPr="001775D9">
        <w:rPr>
          <w:szCs w:val="22"/>
          <w:lang w:eastAsia="en-GB"/>
        </w:rPr>
        <w:t xml:space="preserve">). </w:t>
      </w:r>
    </w:p>
    <w:p w14:paraId="4DFE4C4B"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2FC1A72C" w14:textId="5572D7FF"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b/>
          <w:bCs/>
          <w:szCs w:val="22"/>
          <w:lang w:eastAsia="en-GB"/>
        </w:rPr>
        <w:t xml:space="preserve">Table </w:t>
      </w:r>
      <w:r w:rsidR="00407EA8" w:rsidRPr="001775D9">
        <w:rPr>
          <w:b/>
          <w:bCs/>
          <w:szCs w:val="22"/>
          <w:lang w:eastAsia="en-GB"/>
        </w:rPr>
        <w:t>11</w:t>
      </w:r>
      <w:r w:rsidR="004D3CCE" w:rsidRPr="001775D9">
        <w:rPr>
          <w:b/>
          <w:bCs/>
          <w:szCs w:val="22"/>
          <w:lang w:eastAsia="en-GB"/>
        </w:rPr>
        <w:t>.</w:t>
      </w:r>
      <w:r w:rsidR="00110304" w:rsidRPr="001775D9">
        <w:rPr>
          <w:b/>
          <w:bCs/>
          <w:szCs w:val="22"/>
          <w:lang w:eastAsia="en-GB"/>
        </w:rPr>
        <w:t xml:space="preserve"> </w:t>
      </w:r>
      <w:r w:rsidRPr="001775D9">
        <w:rPr>
          <w:b/>
          <w:bCs/>
          <w:szCs w:val="22"/>
          <w:lang w:eastAsia="en-GB"/>
        </w:rPr>
        <w:t xml:space="preserve">Radiographic </w:t>
      </w:r>
      <w:r w:rsidR="007B1044" w:rsidRPr="001775D9">
        <w:rPr>
          <w:b/>
          <w:bCs/>
          <w:szCs w:val="22"/>
          <w:lang w:eastAsia="en-GB"/>
        </w:rPr>
        <w:t>m</w:t>
      </w:r>
      <w:r w:rsidRPr="001775D9">
        <w:rPr>
          <w:b/>
          <w:bCs/>
          <w:szCs w:val="22"/>
          <w:lang w:eastAsia="en-GB"/>
        </w:rPr>
        <w:t xml:space="preserve">ean </w:t>
      </w:r>
      <w:r w:rsidR="007B1044" w:rsidRPr="001775D9">
        <w:rPr>
          <w:b/>
          <w:bCs/>
          <w:szCs w:val="22"/>
          <w:lang w:eastAsia="en-GB"/>
        </w:rPr>
        <w:t>c</w:t>
      </w:r>
      <w:r w:rsidRPr="001775D9">
        <w:rPr>
          <w:b/>
          <w:bCs/>
          <w:szCs w:val="22"/>
          <w:lang w:eastAsia="en-GB"/>
        </w:rPr>
        <w:t xml:space="preserve">hanges at </w:t>
      </w:r>
      <w:r w:rsidR="007B1044" w:rsidRPr="001775D9">
        <w:rPr>
          <w:b/>
          <w:bCs/>
          <w:szCs w:val="22"/>
          <w:lang w:eastAsia="en-GB"/>
        </w:rPr>
        <w:t>w</w:t>
      </w:r>
      <w:r w:rsidRPr="001775D9">
        <w:rPr>
          <w:b/>
          <w:bCs/>
          <w:szCs w:val="22"/>
          <w:lang w:eastAsia="en-GB"/>
        </w:rPr>
        <w:t xml:space="preserve">eek 52 in RA </w:t>
      </w:r>
      <w:r w:rsidR="007B1044" w:rsidRPr="001775D9">
        <w:rPr>
          <w:b/>
          <w:bCs/>
          <w:szCs w:val="22"/>
          <w:lang w:eastAsia="en-GB"/>
        </w:rPr>
        <w:t>s</w:t>
      </w:r>
      <w:r w:rsidRPr="001775D9">
        <w:rPr>
          <w:b/>
          <w:bCs/>
          <w:szCs w:val="22"/>
          <w:lang w:eastAsia="en-GB"/>
        </w:rPr>
        <w:t>tudy V</w:t>
      </w:r>
    </w:p>
    <w:p w14:paraId="3337193A" w14:textId="77777777" w:rsidR="00C42229" w:rsidRPr="001775D9" w:rsidRDefault="00C42229" w:rsidP="00FB5458">
      <w:pPr>
        <w:keepNext/>
        <w:spacing w:line="240" w:lineRule="auto"/>
        <w:rPr>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418"/>
        <w:gridCol w:w="1559"/>
        <w:gridCol w:w="1559"/>
        <w:gridCol w:w="1134"/>
        <w:gridCol w:w="1134"/>
        <w:gridCol w:w="1134"/>
      </w:tblGrid>
      <w:tr w:rsidR="009211FB" w:rsidRPr="00F04F82" w14:paraId="655A0D92" w14:textId="77777777" w:rsidTr="00E0250B">
        <w:trPr>
          <w:trHeight w:val="691"/>
        </w:trPr>
        <w:tc>
          <w:tcPr>
            <w:tcW w:w="1276" w:type="dxa"/>
          </w:tcPr>
          <w:p w14:paraId="63CFA288"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p>
        </w:tc>
        <w:tc>
          <w:tcPr>
            <w:tcW w:w="1418" w:type="dxa"/>
          </w:tcPr>
          <w:p w14:paraId="2F9B1ACB" w14:textId="77777777" w:rsidR="00C42229" w:rsidRPr="001775D9" w:rsidRDefault="00C42229" w:rsidP="00FB5458">
            <w:pPr>
              <w:tabs>
                <w:tab w:val="clear" w:pos="567"/>
              </w:tabs>
              <w:autoSpaceDE w:val="0"/>
              <w:autoSpaceDN w:val="0"/>
              <w:adjustRightInd w:val="0"/>
              <w:spacing w:line="240" w:lineRule="auto"/>
              <w:jc w:val="center"/>
              <w:rPr>
                <w:b/>
                <w:szCs w:val="22"/>
                <w:lang w:eastAsia="en-GB"/>
              </w:rPr>
            </w:pPr>
            <w:r w:rsidRPr="001775D9">
              <w:rPr>
                <w:b/>
                <w:szCs w:val="22"/>
                <w:lang w:eastAsia="en-GB"/>
              </w:rPr>
              <w:t>MTX</w:t>
            </w:r>
          </w:p>
          <w:p w14:paraId="6C5F99FC" w14:textId="77777777" w:rsidR="00C42229" w:rsidRPr="001775D9" w:rsidRDefault="00C42229" w:rsidP="00FB5458">
            <w:pPr>
              <w:tabs>
                <w:tab w:val="clear" w:pos="567"/>
              </w:tabs>
              <w:autoSpaceDE w:val="0"/>
              <w:autoSpaceDN w:val="0"/>
              <w:adjustRightInd w:val="0"/>
              <w:spacing w:line="240" w:lineRule="auto"/>
              <w:jc w:val="center"/>
              <w:rPr>
                <w:b/>
                <w:szCs w:val="22"/>
                <w:lang w:eastAsia="en-GB"/>
              </w:rPr>
            </w:pPr>
            <w:r w:rsidRPr="001775D9">
              <w:rPr>
                <w:b/>
                <w:szCs w:val="22"/>
                <w:lang w:eastAsia="en-GB"/>
              </w:rPr>
              <w:t>n</w:t>
            </w:r>
            <w:r w:rsidRPr="001775D9">
              <w:rPr>
                <w:b/>
                <w:szCs w:val="22"/>
              </w:rPr>
              <w:t> </w:t>
            </w:r>
            <w:r w:rsidRPr="001775D9">
              <w:rPr>
                <w:b/>
                <w:szCs w:val="22"/>
                <w:lang w:eastAsia="en-GB"/>
              </w:rPr>
              <w:t>=</w:t>
            </w:r>
            <w:r w:rsidRPr="001775D9">
              <w:rPr>
                <w:b/>
                <w:szCs w:val="22"/>
              </w:rPr>
              <w:t> </w:t>
            </w:r>
            <w:r w:rsidRPr="001775D9">
              <w:rPr>
                <w:b/>
                <w:szCs w:val="22"/>
                <w:lang w:eastAsia="en-GB"/>
              </w:rPr>
              <w:t>257 (95% confidence interval)</w:t>
            </w:r>
          </w:p>
        </w:tc>
        <w:tc>
          <w:tcPr>
            <w:tcW w:w="1559" w:type="dxa"/>
          </w:tcPr>
          <w:p w14:paraId="2AA35A40" w14:textId="77777777" w:rsidR="00C42229" w:rsidRPr="001775D9" w:rsidRDefault="00D26193" w:rsidP="00FB5458">
            <w:pPr>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Pr="001775D9">
              <w:rPr>
                <w:szCs w:val="22"/>
                <w:lang w:eastAsia="en-GB"/>
              </w:rPr>
              <w:t xml:space="preserve"> </w:t>
            </w:r>
            <w:r w:rsidR="00C42229" w:rsidRPr="001775D9">
              <w:rPr>
                <w:b/>
                <w:szCs w:val="22"/>
                <w:lang w:eastAsia="en-GB"/>
              </w:rPr>
              <w:t>n</w:t>
            </w:r>
            <w:r w:rsidR="00C42229" w:rsidRPr="001775D9">
              <w:rPr>
                <w:b/>
                <w:szCs w:val="22"/>
              </w:rPr>
              <w:t> </w:t>
            </w:r>
            <w:r w:rsidR="00C42229" w:rsidRPr="001775D9">
              <w:rPr>
                <w:b/>
                <w:szCs w:val="22"/>
                <w:lang w:eastAsia="en-GB"/>
              </w:rPr>
              <w:t>=</w:t>
            </w:r>
            <w:r w:rsidR="00C42229" w:rsidRPr="001775D9">
              <w:rPr>
                <w:b/>
                <w:szCs w:val="22"/>
              </w:rPr>
              <w:t> </w:t>
            </w:r>
            <w:r w:rsidR="00C42229" w:rsidRPr="001775D9">
              <w:rPr>
                <w:b/>
                <w:szCs w:val="22"/>
                <w:lang w:eastAsia="en-GB"/>
              </w:rPr>
              <w:t>274</w:t>
            </w:r>
          </w:p>
          <w:p w14:paraId="57CA0CE9" w14:textId="77777777" w:rsidR="00C42229" w:rsidRPr="001775D9" w:rsidRDefault="00C42229" w:rsidP="00FB5458">
            <w:pPr>
              <w:tabs>
                <w:tab w:val="clear" w:pos="567"/>
              </w:tabs>
              <w:autoSpaceDE w:val="0"/>
              <w:autoSpaceDN w:val="0"/>
              <w:adjustRightInd w:val="0"/>
              <w:spacing w:line="240" w:lineRule="auto"/>
              <w:jc w:val="center"/>
              <w:rPr>
                <w:b/>
                <w:szCs w:val="22"/>
                <w:lang w:eastAsia="en-GB"/>
              </w:rPr>
            </w:pPr>
            <w:r w:rsidRPr="001775D9">
              <w:rPr>
                <w:b/>
                <w:szCs w:val="22"/>
                <w:lang w:eastAsia="en-GB"/>
              </w:rPr>
              <w:t>(95% confidence interval)</w:t>
            </w:r>
          </w:p>
        </w:tc>
        <w:tc>
          <w:tcPr>
            <w:tcW w:w="1559" w:type="dxa"/>
          </w:tcPr>
          <w:p w14:paraId="7D5E214E" w14:textId="77777777" w:rsidR="00C42229" w:rsidRPr="001775D9" w:rsidRDefault="00D26193" w:rsidP="00FB5458">
            <w:pPr>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00C42229" w:rsidRPr="001775D9">
              <w:rPr>
                <w:b/>
                <w:szCs w:val="22"/>
                <w:lang w:eastAsia="en-GB"/>
              </w:rPr>
              <w:t>/MTX</w:t>
            </w:r>
          </w:p>
          <w:p w14:paraId="1F30A54C" w14:textId="77777777" w:rsidR="00C42229" w:rsidRPr="001775D9" w:rsidRDefault="00C42229" w:rsidP="00FB5458">
            <w:pPr>
              <w:tabs>
                <w:tab w:val="clear" w:pos="567"/>
              </w:tabs>
              <w:autoSpaceDE w:val="0"/>
              <w:autoSpaceDN w:val="0"/>
              <w:adjustRightInd w:val="0"/>
              <w:spacing w:line="240" w:lineRule="auto"/>
              <w:jc w:val="center"/>
              <w:rPr>
                <w:b/>
                <w:szCs w:val="22"/>
                <w:lang w:eastAsia="en-GB"/>
              </w:rPr>
            </w:pPr>
            <w:r w:rsidRPr="001775D9">
              <w:rPr>
                <w:b/>
                <w:szCs w:val="22"/>
                <w:lang w:eastAsia="en-GB"/>
              </w:rPr>
              <w:t>n</w:t>
            </w:r>
            <w:r w:rsidRPr="001775D9">
              <w:rPr>
                <w:b/>
                <w:szCs w:val="22"/>
              </w:rPr>
              <w:t> </w:t>
            </w:r>
            <w:r w:rsidRPr="001775D9">
              <w:rPr>
                <w:b/>
                <w:szCs w:val="22"/>
                <w:lang w:eastAsia="en-GB"/>
              </w:rPr>
              <w:t>=</w:t>
            </w:r>
            <w:r w:rsidRPr="001775D9">
              <w:rPr>
                <w:b/>
                <w:szCs w:val="22"/>
              </w:rPr>
              <w:t> </w:t>
            </w:r>
            <w:r w:rsidRPr="001775D9">
              <w:rPr>
                <w:b/>
                <w:szCs w:val="22"/>
                <w:lang w:eastAsia="en-GB"/>
              </w:rPr>
              <w:t>268</w:t>
            </w:r>
          </w:p>
          <w:p w14:paraId="2842271B" w14:textId="77777777" w:rsidR="00C42229" w:rsidRPr="001775D9" w:rsidRDefault="00C42229" w:rsidP="00FB5458">
            <w:pPr>
              <w:tabs>
                <w:tab w:val="clear" w:pos="567"/>
              </w:tabs>
              <w:autoSpaceDE w:val="0"/>
              <w:autoSpaceDN w:val="0"/>
              <w:adjustRightInd w:val="0"/>
              <w:spacing w:line="240" w:lineRule="auto"/>
              <w:jc w:val="center"/>
              <w:rPr>
                <w:b/>
                <w:szCs w:val="22"/>
                <w:lang w:eastAsia="en-GB"/>
              </w:rPr>
            </w:pPr>
            <w:r w:rsidRPr="001775D9">
              <w:rPr>
                <w:b/>
                <w:szCs w:val="22"/>
                <w:lang w:eastAsia="en-GB"/>
              </w:rPr>
              <w:t>(95% confidence interval)</w:t>
            </w:r>
          </w:p>
        </w:tc>
        <w:tc>
          <w:tcPr>
            <w:tcW w:w="1134" w:type="dxa"/>
          </w:tcPr>
          <w:p w14:paraId="0CE31020" w14:textId="77777777" w:rsidR="00C42229" w:rsidRPr="001775D9" w:rsidRDefault="00C42229" w:rsidP="00FB5458">
            <w:pPr>
              <w:tabs>
                <w:tab w:val="clear" w:pos="567"/>
              </w:tabs>
              <w:autoSpaceDE w:val="0"/>
              <w:autoSpaceDN w:val="0"/>
              <w:adjustRightInd w:val="0"/>
              <w:spacing w:line="240" w:lineRule="auto"/>
              <w:jc w:val="center"/>
              <w:rPr>
                <w:b/>
                <w:szCs w:val="22"/>
                <w:lang w:eastAsia="en-GB"/>
              </w:rPr>
            </w:pPr>
            <w:r w:rsidRPr="001775D9">
              <w:rPr>
                <w:b/>
                <w:szCs w:val="22"/>
                <w:lang w:eastAsia="en-GB"/>
              </w:rPr>
              <w:t>p-value</w:t>
            </w:r>
            <w:r w:rsidRPr="001775D9">
              <w:rPr>
                <w:b/>
                <w:szCs w:val="22"/>
                <w:vertAlign w:val="superscript"/>
                <w:lang w:eastAsia="en-GB"/>
              </w:rPr>
              <w:t>a</w:t>
            </w:r>
          </w:p>
        </w:tc>
        <w:tc>
          <w:tcPr>
            <w:tcW w:w="1134" w:type="dxa"/>
          </w:tcPr>
          <w:p w14:paraId="7DEE62E1" w14:textId="77777777" w:rsidR="00C42229" w:rsidRPr="001775D9" w:rsidRDefault="00C42229" w:rsidP="00FB5458">
            <w:pPr>
              <w:tabs>
                <w:tab w:val="clear" w:pos="567"/>
              </w:tabs>
              <w:autoSpaceDE w:val="0"/>
              <w:autoSpaceDN w:val="0"/>
              <w:adjustRightInd w:val="0"/>
              <w:spacing w:line="240" w:lineRule="auto"/>
              <w:jc w:val="center"/>
              <w:rPr>
                <w:b/>
                <w:szCs w:val="22"/>
                <w:lang w:eastAsia="en-GB"/>
              </w:rPr>
            </w:pPr>
            <w:r w:rsidRPr="001775D9">
              <w:rPr>
                <w:b/>
                <w:szCs w:val="22"/>
                <w:lang w:eastAsia="en-GB"/>
              </w:rPr>
              <w:t>p-value</w:t>
            </w:r>
            <w:r w:rsidRPr="001775D9">
              <w:rPr>
                <w:b/>
                <w:szCs w:val="22"/>
                <w:vertAlign w:val="superscript"/>
                <w:lang w:eastAsia="en-GB"/>
              </w:rPr>
              <w:t>b</w:t>
            </w:r>
          </w:p>
        </w:tc>
        <w:tc>
          <w:tcPr>
            <w:tcW w:w="1134" w:type="dxa"/>
          </w:tcPr>
          <w:p w14:paraId="3D5447FA" w14:textId="77777777" w:rsidR="00C42229" w:rsidRPr="001775D9" w:rsidRDefault="00C42229" w:rsidP="00FB5458">
            <w:pPr>
              <w:tabs>
                <w:tab w:val="clear" w:pos="567"/>
              </w:tabs>
              <w:autoSpaceDE w:val="0"/>
              <w:autoSpaceDN w:val="0"/>
              <w:adjustRightInd w:val="0"/>
              <w:spacing w:line="240" w:lineRule="auto"/>
              <w:jc w:val="center"/>
              <w:rPr>
                <w:b/>
                <w:szCs w:val="22"/>
                <w:lang w:eastAsia="en-GB"/>
              </w:rPr>
            </w:pPr>
            <w:r w:rsidRPr="001775D9">
              <w:rPr>
                <w:b/>
                <w:szCs w:val="22"/>
                <w:lang w:eastAsia="en-GB"/>
              </w:rPr>
              <w:t>p-value</w:t>
            </w:r>
            <w:r w:rsidRPr="001775D9">
              <w:rPr>
                <w:b/>
                <w:szCs w:val="22"/>
                <w:vertAlign w:val="superscript"/>
                <w:lang w:eastAsia="en-GB"/>
              </w:rPr>
              <w:t>c</w:t>
            </w:r>
          </w:p>
        </w:tc>
      </w:tr>
      <w:tr w:rsidR="009211FB" w:rsidRPr="00F04F82" w14:paraId="2205FC3A" w14:textId="77777777" w:rsidTr="00E0250B">
        <w:trPr>
          <w:trHeight w:val="283"/>
        </w:trPr>
        <w:tc>
          <w:tcPr>
            <w:tcW w:w="1276" w:type="dxa"/>
          </w:tcPr>
          <w:p w14:paraId="4AC78C61" w14:textId="77777777" w:rsidR="00C42229" w:rsidRPr="001775D9" w:rsidRDefault="00C42229" w:rsidP="00CF6F2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Total </w:t>
            </w:r>
            <w:r w:rsidR="007B1044" w:rsidRPr="001775D9">
              <w:rPr>
                <w:color w:val="000000"/>
                <w:szCs w:val="22"/>
                <w:lang w:eastAsia="en-GB"/>
              </w:rPr>
              <w:t>s</w:t>
            </w:r>
            <w:r w:rsidRPr="001775D9">
              <w:rPr>
                <w:color w:val="000000"/>
                <w:szCs w:val="22"/>
                <w:lang w:eastAsia="en-GB"/>
              </w:rPr>
              <w:t xml:space="preserve">harp </w:t>
            </w:r>
            <w:r w:rsidR="007B1044" w:rsidRPr="001775D9">
              <w:rPr>
                <w:color w:val="000000"/>
                <w:szCs w:val="22"/>
                <w:lang w:eastAsia="en-GB"/>
              </w:rPr>
              <w:t>s</w:t>
            </w:r>
            <w:r w:rsidRPr="001775D9">
              <w:rPr>
                <w:color w:val="000000"/>
                <w:szCs w:val="22"/>
                <w:lang w:eastAsia="en-GB"/>
              </w:rPr>
              <w:t>core</w:t>
            </w:r>
          </w:p>
        </w:tc>
        <w:tc>
          <w:tcPr>
            <w:tcW w:w="1418" w:type="dxa"/>
          </w:tcPr>
          <w:p w14:paraId="6461461E"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5.7 (4.2-7.3)</w:t>
            </w:r>
          </w:p>
        </w:tc>
        <w:tc>
          <w:tcPr>
            <w:tcW w:w="1559" w:type="dxa"/>
          </w:tcPr>
          <w:p w14:paraId="02CBE7C9"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3.0 (1.7-4.3)</w:t>
            </w:r>
          </w:p>
        </w:tc>
        <w:tc>
          <w:tcPr>
            <w:tcW w:w="1559" w:type="dxa"/>
          </w:tcPr>
          <w:p w14:paraId="6387B94C"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1.3 (0.5-2.1)</w:t>
            </w:r>
          </w:p>
        </w:tc>
        <w:tc>
          <w:tcPr>
            <w:tcW w:w="1134" w:type="dxa"/>
          </w:tcPr>
          <w:p w14:paraId="68DC8A0D"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6FA905B6"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0.0020</w:t>
            </w:r>
          </w:p>
        </w:tc>
        <w:tc>
          <w:tcPr>
            <w:tcW w:w="1134" w:type="dxa"/>
          </w:tcPr>
          <w:p w14:paraId="424D1406"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r>
      <w:tr w:rsidR="009211FB" w:rsidRPr="00F04F82" w14:paraId="02372899" w14:textId="77777777" w:rsidTr="00E0250B">
        <w:trPr>
          <w:trHeight w:val="283"/>
        </w:trPr>
        <w:tc>
          <w:tcPr>
            <w:tcW w:w="1276" w:type="dxa"/>
          </w:tcPr>
          <w:p w14:paraId="5AAA12F0" w14:textId="77777777" w:rsidR="00C42229" w:rsidRPr="001775D9" w:rsidRDefault="00C42229" w:rsidP="00CF6F2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Erosion score</w:t>
            </w:r>
          </w:p>
        </w:tc>
        <w:tc>
          <w:tcPr>
            <w:tcW w:w="1418" w:type="dxa"/>
          </w:tcPr>
          <w:p w14:paraId="49A5612C"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3.7 (2.7-4.7)</w:t>
            </w:r>
          </w:p>
        </w:tc>
        <w:tc>
          <w:tcPr>
            <w:tcW w:w="1559" w:type="dxa"/>
          </w:tcPr>
          <w:p w14:paraId="688DA29C"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1.7 (1.0-2.4)</w:t>
            </w:r>
          </w:p>
        </w:tc>
        <w:tc>
          <w:tcPr>
            <w:tcW w:w="1559" w:type="dxa"/>
          </w:tcPr>
          <w:p w14:paraId="1CA41B68"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0.8 (0.4-1.2)</w:t>
            </w:r>
          </w:p>
        </w:tc>
        <w:tc>
          <w:tcPr>
            <w:tcW w:w="1134" w:type="dxa"/>
          </w:tcPr>
          <w:p w14:paraId="5EBC2B5D"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73D86CAB"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0.0082</w:t>
            </w:r>
          </w:p>
        </w:tc>
        <w:tc>
          <w:tcPr>
            <w:tcW w:w="1134" w:type="dxa"/>
          </w:tcPr>
          <w:p w14:paraId="50CDCCD0"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r>
      <w:tr w:rsidR="009211FB" w:rsidRPr="00F04F82" w14:paraId="622D1712" w14:textId="77777777" w:rsidTr="00E0250B">
        <w:trPr>
          <w:trHeight w:val="147"/>
        </w:trPr>
        <w:tc>
          <w:tcPr>
            <w:tcW w:w="1276" w:type="dxa"/>
            <w:tcBorders>
              <w:bottom w:val="single" w:sz="4" w:space="0" w:color="auto"/>
            </w:tcBorders>
          </w:tcPr>
          <w:p w14:paraId="191D31AD" w14:textId="77777777" w:rsidR="00C42229" w:rsidRPr="001775D9" w:rsidRDefault="00C42229" w:rsidP="00CF6F2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JSN score</w:t>
            </w:r>
          </w:p>
        </w:tc>
        <w:tc>
          <w:tcPr>
            <w:tcW w:w="1418" w:type="dxa"/>
            <w:tcBorders>
              <w:bottom w:val="single" w:sz="4" w:space="0" w:color="auto"/>
            </w:tcBorders>
          </w:tcPr>
          <w:p w14:paraId="10078741"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2.0 (1.2-2.8)</w:t>
            </w:r>
          </w:p>
        </w:tc>
        <w:tc>
          <w:tcPr>
            <w:tcW w:w="1559" w:type="dxa"/>
            <w:tcBorders>
              <w:bottom w:val="single" w:sz="4" w:space="0" w:color="auto"/>
            </w:tcBorders>
          </w:tcPr>
          <w:p w14:paraId="0BDC8515"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1.3 (0.5-2.1)</w:t>
            </w:r>
          </w:p>
        </w:tc>
        <w:tc>
          <w:tcPr>
            <w:tcW w:w="1559" w:type="dxa"/>
            <w:tcBorders>
              <w:bottom w:val="single" w:sz="4" w:space="0" w:color="auto"/>
            </w:tcBorders>
          </w:tcPr>
          <w:p w14:paraId="25EA4083"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0.5 (0-1.0)</w:t>
            </w:r>
          </w:p>
        </w:tc>
        <w:tc>
          <w:tcPr>
            <w:tcW w:w="1134" w:type="dxa"/>
            <w:tcBorders>
              <w:bottom w:val="single" w:sz="4" w:space="0" w:color="auto"/>
            </w:tcBorders>
          </w:tcPr>
          <w:p w14:paraId="26B998D0"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Borders>
              <w:bottom w:val="single" w:sz="4" w:space="0" w:color="auto"/>
            </w:tcBorders>
          </w:tcPr>
          <w:p w14:paraId="39283862"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0.0037</w:t>
            </w:r>
          </w:p>
        </w:tc>
        <w:tc>
          <w:tcPr>
            <w:tcW w:w="1134" w:type="dxa"/>
            <w:tcBorders>
              <w:bottom w:val="single" w:sz="4" w:space="0" w:color="auto"/>
            </w:tcBorders>
          </w:tcPr>
          <w:p w14:paraId="5707D2C1" w14:textId="77777777" w:rsidR="00C42229" w:rsidRPr="001775D9" w:rsidRDefault="00C42229" w:rsidP="00FB5458">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0.151</w:t>
            </w:r>
          </w:p>
        </w:tc>
      </w:tr>
      <w:tr w:rsidR="00C42229" w:rsidRPr="00F04F82" w14:paraId="36B96CF5" w14:textId="77777777" w:rsidTr="00E0250B">
        <w:trPr>
          <w:trHeight w:val="147"/>
        </w:trPr>
        <w:tc>
          <w:tcPr>
            <w:tcW w:w="9214" w:type="dxa"/>
            <w:gridSpan w:val="7"/>
            <w:tcBorders>
              <w:top w:val="single" w:sz="4" w:space="0" w:color="auto"/>
              <w:left w:val="nil"/>
              <w:bottom w:val="nil"/>
              <w:right w:val="nil"/>
            </w:tcBorders>
          </w:tcPr>
          <w:p w14:paraId="76DAE906" w14:textId="77777777" w:rsidR="00C42229" w:rsidRPr="001775D9" w:rsidRDefault="00C42229" w:rsidP="00E0250B">
            <w:pPr>
              <w:keepNext/>
              <w:tabs>
                <w:tab w:val="clear" w:pos="567"/>
              </w:tabs>
              <w:autoSpaceDE w:val="0"/>
              <w:autoSpaceDN w:val="0"/>
              <w:adjustRightInd w:val="0"/>
              <w:spacing w:line="240" w:lineRule="auto"/>
              <w:rPr>
                <w:sz w:val="20"/>
                <w:szCs w:val="22"/>
                <w:lang w:eastAsia="en-GB"/>
              </w:rPr>
            </w:pPr>
            <w:r w:rsidRPr="001775D9">
              <w:rPr>
                <w:sz w:val="20"/>
                <w:szCs w:val="22"/>
                <w:vertAlign w:val="superscript"/>
                <w:lang w:eastAsia="en-GB"/>
              </w:rPr>
              <w:t>a</w:t>
            </w:r>
            <w:r w:rsidRPr="001775D9">
              <w:rPr>
                <w:sz w:val="20"/>
                <w:szCs w:val="22"/>
                <w:lang w:eastAsia="en-GB"/>
              </w:rPr>
              <w:t xml:space="preserve"> p-value is from the pairwise comparison of methotrexate monotherapy and </w:t>
            </w:r>
            <w:r w:rsidR="00D26193" w:rsidRPr="001775D9">
              <w:rPr>
                <w:rFonts w:eastAsia="Times New Roman"/>
                <w:color w:val="000000"/>
                <w:sz w:val="20"/>
                <w:szCs w:val="22"/>
              </w:rPr>
              <w:t>adalimumab</w:t>
            </w:r>
            <w:r w:rsidRPr="001775D9">
              <w:rPr>
                <w:sz w:val="20"/>
                <w:szCs w:val="22"/>
                <w:lang w:eastAsia="en-GB"/>
              </w:rPr>
              <w:t xml:space="preserve">/methotrexate combination therapy using the Mann-Whitney U test </w:t>
            </w:r>
          </w:p>
          <w:p w14:paraId="472A8311" w14:textId="77777777" w:rsidR="00C42229" w:rsidRPr="001775D9" w:rsidRDefault="00C42229" w:rsidP="00E0250B">
            <w:pPr>
              <w:keepNext/>
              <w:tabs>
                <w:tab w:val="clear" w:pos="567"/>
              </w:tabs>
              <w:autoSpaceDE w:val="0"/>
              <w:autoSpaceDN w:val="0"/>
              <w:adjustRightInd w:val="0"/>
              <w:spacing w:line="240" w:lineRule="auto"/>
              <w:rPr>
                <w:sz w:val="20"/>
                <w:szCs w:val="22"/>
                <w:lang w:eastAsia="en-GB"/>
              </w:rPr>
            </w:pPr>
            <w:r w:rsidRPr="001775D9">
              <w:rPr>
                <w:sz w:val="20"/>
                <w:szCs w:val="22"/>
                <w:vertAlign w:val="superscript"/>
                <w:lang w:eastAsia="en-GB"/>
              </w:rPr>
              <w:t>b</w:t>
            </w:r>
            <w:r w:rsidRPr="001775D9">
              <w:rPr>
                <w:sz w:val="20"/>
                <w:szCs w:val="22"/>
                <w:lang w:eastAsia="en-GB"/>
              </w:rPr>
              <w:t xml:space="preserve"> p-value is from the pairwise comparison of </w:t>
            </w:r>
            <w:r w:rsidR="00D26193" w:rsidRPr="001775D9">
              <w:rPr>
                <w:rFonts w:eastAsia="Times New Roman"/>
                <w:color w:val="000000"/>
                <w:sz w:val="20"/>
                <w:szCs w:val="22"/>
              </w:rPr>
              <w:t>adalimumab</w:t>
            </w:r>
            <w:r w:rsidRPr="001775D9">
              <w:rPr>
                <w:sz w:val="20"/>
                <w:szCs w:val="22"/>
                <w:lang w:eastAsia="en-GB"/>
              </w:rPr>
              <w:t xml:space="preserve"> monotherapy and </w:t>
            </w:r>
            <w:r w:rsidR="00D26193" w:rsidRPr="001775D9">
              <w:rPr>
                <w:rFonts w:eastAsia="Times New Roman"/>
                <w:color w:val="000000"/>
                <w:sz w:val="20"/>
                <w:szCs w:val="22"/>
              </w:rPr>
              <w:t>adalimumab</w:t>
            </w:r>
            <w:r w:rsidRPr="001775D9">
              <w:rPr>
                <w:sz w:val="20"/>
                <w:szCs w:val="22"/>
                <w:lang w:eastAsia="en-GB"/>
              </w:rPr>
              <w:t xml:space="preserve">/methotrexate combination therapy using the Mann-Whitney U test </w:t>
            </w:r>
          </w:p>
          <w:p w14:paraId="44F2EEA1" w14:textId="77777777" w:rsidR="00C42229" w:rsidRPr="001775D9" w:rsidRDefault="00C42229" w:rsidP="00E0250B">
            <w:pPr>
              <w:spacing w:line="240" w:lineRule="auto"/>
              <w:rPr>
                <w:szCs w:val="22"/>
                <w:lang w:eastAsia="en-GB"/>
              </w:rPr>
            </w:pPr>
            <w:r w:rsidRPr="001775D9">
              <w:rPr>
                <w:sz w:val="20"/>
                <w:szCs w:val="22"/>
                <w:vertAlign w:val="superscript"/>
                <w:lang w:eastAsia="en-GB"/>
              </w:rPr>
              <w:t>c</w:t>
            </w:r>
            <w:r w:rsidRPr="001775D9">
              <w:rPr>
                <w:sz w:val="20"/>
                <w:szCs w:val="22"/>
                <w:lang w:eastAsia="en-GB"/>
              </w:rPr>
              <w:t xml:space="preserve"> p-value is from the pairwise comparison of </w:t>
            </w:r>
            <w:r w:rsidR="00D26193" w:rsidRPr="001775D9">
              <w:rPr>
                <w:rFonts w:eastAsia="Times New Roman"/>
                <w:color w:val="000000"/>
                <w:sz w:val="20"/>
                <w:szCs w:val="22"/>
              </w:rPr>
              <w:t>adalimumab</w:t>
            </w:r>
            <w:r w:rsidRPr="001775D9">
              <w:rPr>
                <w:sz w:val="20"/>
                <w:szCs w:val="22"/>
                <w:lang w:eastAsia="en-GB"/>
              </w:rPr>
              <w:t xml:space="preserve"> monotherapy and methotrexate monotherapy using the Mann-Whitney U test </w:t>
            </w:r>
          </w:p>
        </w:tc>
      </w:tr>
    </w:tbl>
    <w:p w14:paraId="0295BE03" w14:textId="77777777" w:rsidR="00C42229" w:rsidRPr="001775D9" w:rsidRDefault="00C42229" w:rsidP="00FB5458">
      <w:pPr>
        <w:spacing w:line="240" w:lineRule="auto"/>
        <w:rPr>
          <w:szCs w:val="22"/>
        </w:rPr>
      </w:pPr>
    </w:p>
    <w:p w14:paraId="45A725BF" w14:textId="77777777" w:rsidR="00C42229" w:rsidRPr="001775D9" w:rsidRDefault="00C42229" w:rsidP="00FB5458">
      <w:pPr>
        <w:spacing w:line="240" w:lineRule="auto"/>
        <w:rPr>
          <w:szCs w:val="22"/>
        </w:rPr>
      </w:pPr>
      <w:r w:rsidRPr="001775D9">
        <w:rPr>
          <w:szCs w:val="22"/>
        </w:rPr>
        <w:t xml:space="preserve">Following 52 weeks and 104 weeks of treatment, the percentage of patients without progression (change from baseline in modified Total Sharp Score ≤ 0.5) was significantly higher with </w:t>
      </w:r>
      <w:r w:rsidR="00D26193" w:rsidRPr="001775D9">
        <w:rPr>
          <w:rFonts w:eastAsia="Times New Roman"/>
          <w:color w:val="000000"/>
          <w:szCs w:val="22"/>
        </w:rPr>
        <w:t>adalimumab</w:t>
      </w:r>
      <w:r w:rsidRPr="001775D9">
        <w:rPr>
          <w:szCs w:val="22"/>
        </w:rPr>
        <w:t xml:space="preserve">/methotrexate combination therapy (63.8% and 61.2% respectively) compared to methotrexate monotherapy (37.4% and 33.5% respectively, p &lt; 0.001) and </w:t>
      </w:r>
      <w:r w:rsidR="00D26193" w:rsidRPr="001775D9">
        <w:rPr>
          <w:rFonts w:eastAsia="Times New Roman"/>
          <w:color w:val="000000"/>
          <w:szCs w:val="22"/>
        </w:rPr>
        <w:t>adalimumab</w:t>
      </w:r>
      <w:r w:rsidRPr="001775D9">
        <w:rPr>
          <w:szCs w:val="22"/>
        </w:rPr>
        <w:t xml:space="preserve"> monotherapy (50.7%, p &lt; 0.002 and 44.5%, p &lt; 0.001 respectively).</w:t>
      </w:r>
    </w:p>
    <w:p w14:paraId="385FF41F" w14:textId="77777777" w:rsidR="00664534" w:rsidRPr="001775D9" w:rsidRDefault="00664534" w:rsidP="00FB5458">
      <w:pPr>
        <w:spacing w:line="240" w:lineRule="auto"/>
        <w:rPr>
          <w:szCs w:val="22"/>
        </w:rPr>
      </w:pPr>
    </w:p>
    <w:p w14:paraId="54250AAC" w14:textId="77777777" w:rsidR="00664534" w:rsidRPr="001775D9" w:rsidRDefault="00664534" w:rsidP="00FB5458">
      <w:pPr>
        <w:tabs>
          <w:tab w:val="clear" w:pos="567"/>
        </w:tabs>
        <w:autoSpaceDE w:val="0"/>
        <w:autoSpaceDN w:val="0"/>
        <w:adjustRightInd w:val="0"/>
        <w:spacing w:line="240" w:lineRule="auto"/>
        <w:rPr>
          <w:szCs w:val="22"/>
        </w:rPr>
      </w:pPr>
      <w:r w:rsidRPr="00D55B59">
        <w:rPr>
          <w:szCs w:val="22"/>
          <w:rPrChange w:id="574" w:author="Author">
            <w:rPr>
              <w:szCs w:val="22"/>
              <w:lang w:val="en-US"/>
            </w:rPr>
          </w:rPrChange>
        </w:rPr>
        <w:t>In the open-label extension of RA study V, the mean change from baseline at year 10 in the modified</w:t>
      </w:r>
      <w:r w:rsidR="00DE7894" w:rsidRPr="00D55B59">
        <w:rPr>
          <w:szCs w:val="22"/>
          <w:rPrChange w:id="575" w:author="Author">
            <w:rPr>
              <w:szCs w:val="22"/>
              <w:lang w:val="en-US"/>
            </w:rPr>
          </w:rPrChange>
        </w:rPr>
        <w:t xml:space="preserve"> </w:t>
      </w:r>
      <w:r w:rsidRPr="00D55B59">
        <w:rPr>
          <w:szCs w:val="22"/>
          <w:rPrChange w:id="576" w:author="Author">
            <w:rPr>
              <w:szCs w:val="22"/>
              <w:lang w:val="en-US"/>
            </w:rPr>
          </w:rPrChange>
        </w:rPr>
        <w:t>Total Sharp Score was 10.8, 9.2 and 3.9 in patients originally randomi</w:t>
      </w:r>
      <w:r w:rsidR="00745279" w:rsidRPr="00D55B59">
        <w:rPr>
          <w:szCs w:val="22"/>
          <w:rPrChange w:id="577" w:author="Author">
            <w:rPr>
              <w:szCs w:val="22"/>
              <w:lang w:val="en-US"/>
            </w:rPr>
          </w:rPrChange>
        </w:rPr>
        <w:t>s</w:t>
      </w:r>
      <w:r w:rsidRPr="00D55B59">
        <w:rPr>
          <w:szCs w:val="22"/>
          <w:rPrChange w:id="578" w:author="Author">
            <w:rPr>
              <w:szCs w:val="22"/>
              <w:lang w:val="en-US"/>
            </w:rPr>
          </w:rPrChange>
        </w:rPr>
        <w:t>ed to methotrexate</w:t>
      </w:r>
      <w:r w:rsidR="00DE7894" w:rsidRPr="00D55B59">
        <w:rPr>
          <w:szCs w:val="22"/>
          <w:rPrChange w:id="579" w:author="Author">
            <w:rPr>
              <w:szCs w:val="22"/>
              <w:lang w:val="en-US"/>
            </w:rPr>
          </w:rPrChange>
        </w:rPr>
        <w:t xml:space="preserve"> </w:t>
      </w:r>
      <w:r w:rsidRPr="00D55B59">
        <w:rPr>
          <w:szCs w:val="22"/>
          <w:rPrChange w:id="580" w:author="Author">
            <w:rPr>
              <w:szCs w:val="22"/>
              <w:lang w:val="en-US"/>
            </w:rPr>
          </w:rPrChange>
        </w:rPr>
        <w:t>monotherapy, adalimumab monotherapy and adalimumab/methotrexate combination therapy, respectively. The corresponding proportions of patients with no radiographic progression were 31.3%, 23.7% and 36.7% respectively.</w:t>
      </w:r>
    </w:p>
    <w:p w14:paraId="2C175847" w14:textId="77777777" w:rsidR="00C42229" w:rsidRPr="001775D9" w:rsidRDefault="00C42229" w:rsidP="00FB5458">
      <w:pPr>
        <w:spacing w:line="240" w:lineRule="auto"/>
        <w:rPr>
          <w:szCs w:val="22"/>
        </w:rPr>
      </w:pPr>
    </w:p>
    <w:p w14:paraId="16A275EF" w14:textId="77777777" w:rsidR="00C42229" w:rsidRPr="001775D9" w:rsidRDefault="00C42229" w:rsidP="00FB5458">
      <w:pPr>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Quality of life and physical function </w:t>
      </w:r>
    </w:p>
    <w:p w14:paraId="7193190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3332AA2"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lang w:eastAsia="en-GB"/>
        </w:rPr>
        <w:t xml:space="preserve">Health-related quality of life and physical function were assessed using the disability index of the Health Assessment Questionnaire (HAQ) in the four original adequate and well-controlled trials, which was a pre-specified primary endpoint at </w:t>
      </w:r>
      <w:r w:rsidR="007B1044" w:rsidRPr="001775D9">
        <w:rPr>
          <w:szCs w:val="22"/>
          <w:lang w:eastAsia="en-GB"/>
        </w:rPr>
        <w:t>w</w:t>
      </w:r>
      <w:r w:rsidRPr="001775D9">
        <w:rPr>
          <w:szCs w:val="22"/>
          <w:lang w:eastAsia="en-GB"/>
        </w:rPr>
        <w:t xml:space="preserve">eek 52 in RA study III. All doses/schedules of </w:t>
      </w:r>
      <w:r w:rsidR="00D26193" w:rsidRPr="001775D9">
        <w:rPr>
          <w:rFonts w:eastAsia="Times New Roman"/>
          <w:color w:val="000000"/>
          <w:szCs w:val="22"/>
        </w:rPr>
        <w:t>adalimumab</w:t>
      </w:r>
      <w:r w:rsidRPr="001775D9">
        <w:rPr>
          <w:szCs w:val="22"/>
          <w:lang w:eastAsia="en-GB"/>
        </w:rPr>
        <w:t xml:space="preserve"> in all four studies showed statistically significantly greater improvement in the disability index of the HAQ from baseline to </w:t>
      </w:r>
      <w:r w:rsidR="00D51116" w:rsidRPr="001775D9">
        <w:rPr>
          <w:szCs w:val="22"/>
          <w:lang w:eastAsia="en-GB"/>
        </w:rPr>
        <w:t>m</w:t>
      </w:r>
      <w:r w:rsidRPr="001775D9">
        <w:rPr>
          <w:szCs w:val="22"/>
          <w:lang w:eastAsia="en-GB"/>
        </w:rPr>
        <w:t xml:space="preserve">onth 6 compared to placebo and in RA study III the same was seen at </w:t>
      </w:r>
      <w:r w:rsidR="007B1044" w:rsidRPr="001775D9">
        <w:rPr>
          <w:szCs w:val="22"/>
          <w:lang w:eastAsia="en-GB"/>
        </w:rPr>
        <w:t>week</w:t>
      </w:r>
      <w:r w:rsidRPr="001775D9">
        <w:rPr>
          <w:szCs w:val="22"/>
          <w:lang w:eastAsia="en-GB"/>
        </w:rPr>
        <w:t xml:space="preserve"> 52. Results from the Short Form Health Survey (SF 36) for all doses/schedules of </w:t>
      </w:r>
      <w:r w:rsidR="00D26193" w:rsidRPr="001775D9">
        <w:rPr>
          <w:rFonts w:eastAsia="Times New Roman"/>
          <w:color w:val="000000"/>
          <w:szCs w:val="22"/>
        </w:rPr>
        <w:t>adalimumab</w:t>
      </w:r>
      <w:r w:rsidRPr="001775D9">
        <w:rPr>
          <w:szCs w:val="22"/>
          <w:lang w:eastAsia="en-GB"/>
        </w:rPr>
        <w:t xml:space="preserve"> in all four studies support these findings, with statistically significant physical component summary (PCS) scores, as well as statistically significant pain and vitality domain scores for the 40</w:t>
      </w:r>
      <w:r w:rsidRPr="001775D9">
        <w:rPr>
          <w:szCs w:val="22"/>
        </w:rPr>
        <w:t> </w:t>
      </w:r>
      <w:r w:rsidRPr="001775D9">
        <w:rPr>
          <w:szCs w:val="22"/>
          <w:lang w:eastAsia="en-GB"/>
        </w:rPr>
        <w:t>mg every other week dose. A statistically</w:t>
      </w:r>
      <w:r w:rsidRPr="001775D9">
        <w:rPr>
          <w:color w:val="000000"/>
          <w:szCs w:val="22"/>
          <w:lang w:eastAsia="en-GB"/>
        </w:rPr>
        <w:t xml:space="preserve"> significant decrease in fatigue as measured by functional assessment of chronic illness therapy (FACIT) scores was seen in all three studies in which it was assessed (RA studies I, III, IV). </w:t>
      </w:r>
    </w:p>
    <w:p w14:paraId="4CF758A6"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4810C34D"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 RA study III, most subjects who achieved improvement in physical function and continued treatment maintained improvement through </w:t>
      </w:r>
      <w:r w:rsidR="007B1044" w:rsidRPr="001775D9">
        <w:rPr>
          <w:szCs w:val="22"/>
          <w:lang w:eastAsia="en-GB"/>
        </w:rPr>
        <w:t>week</w:t>
      </w:r>
      <w:r w:rsidRPr="001775D9">
        <w:rPr>
          <w:color w:val="000000"/>
          <w:szCs w:val="22"/>
          <w:lang w:eastAsia="en-GB"/>
        </w:rPr>
        <w:t xml:space="preserve"> 520 (120 months) of open-label treatment. Improvement in quality of life was measured up to </w:t>
      </w:r>
      <w:r w:rsidR="007B1044" w:rsidRPr="001775D9">
        <w:rPr>
          <w:szCs w:val="22"/>
          <w:lang w:eastAsia="en-GB"/>
        </w:rPr>
        <w:t>week</w:t>
      </w:r>
      <w:r w:rsidRPr="001775D9">
        <w:rPr>
          <w:color w:val="000000"/>
          <w:szCs w:val="22"/>
          <w:lang w:eastAsia="en-GB"/>
        </w:rPr>
        <w:t xml:space="preserve"> 156 (36</w:t>
      </w:r>
      <w:r w:rsidRPr="001775D9">
        <w:rPr>
          <w:szCs w:val="22"/>
        </w:rPr>
        <w:t> </w:t>
      </w:r>
      <w:r w:rsidRPr="001775D9">
        <w:rPr>
          <w:color w:val="000000"/>
          <w:szCs w:val="22"/>
          <w:lang w:eastAsia="en-GB"/>
        </w:rPr>
        <w:t>months) and improvement was maintained through that time.</w:t>
      </w:r>
    </w:p>
    <w:p w14:paraId="4621497F"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060D75E4"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In RA study V, the improvement in </w:t>
      </w:r>
      <w:r w:rsidRPr="001775D9">
        <w:rPr>
          <w:szCs w:val="22"/>
          <w:lang w:eastAsia="en-GB"/>
        </w:rPr>
        <w:t>the HAQ disability index and the physical component of the SF 36 showed greater improvement (p</w:t>
      </w:r>
      <w:r w:rsidRPr="001775D9">
        <w:rPr>
          <w:szCs w:val="22"/>
        </w:rPr>
        <w:t> </w:t>
      </w:r>
      <w:r w:rsidRPr="001775D9">
        <w:rPr>
          <w:szCs w:val="22"/>
          <w:lang w:eastAsia="en-GB"/>
        </w:rPr>
        <w:t>&lt;</w:t>
      </w:r>
      <w:r w:rsidRPr="001775D9">
        <w:rPr>
          <w:szCs w:val="22"/>
        </w:rPr>
        <w:t> </w:t>
      </w:r>
      <w:r w:rsidR="003E07B0" w:rsidRPr="001775D9">
        <w:rPr>
          <w:szCs w:val="22"/>
          <w:lang w:eastAsia="en-GB"/>
        </w:rPr>
        <w:t xml:space="preserve">0.001) for </w:t>
      </w:r>
      <w:r w:rsidR="00D26193" w:rsidRPr="001775D9">
        <w:rPr>
          <w:rFonts w:eastAsia="Times New Roman"/>
          <w:color w:val="000000"/>
          <w:szCs w:val="22"/>
        </w:rPr>
        <w:t>adalimumab</w:t>
      </w:r>
      <w:r w:rsidRPr="001775D9">
        <w:rPr>
          <w:szCs w:val="22"/>
          <w:lang w:eastAsia="en-GB"/>
        </w:rPr>
        <w:t xml:space="preserve">/methotrexate combination therapy </w:t>
      </w:r>
      <w:r w:rsidRPr="001775D9">
        <w:rPr>
          <w:iCs/>
          <w:szCs w:val="22"/>
          <w:lang w:eastAsia="en-GB"/>
        </w:rPr>
        <w:t xml:space="preserve">versus </w:t>
      </w:r>
      <w:r w:rsidRPr="001775D9">
        <w:rPr>
          <w:szCs w:val="22"/>
          <w:lang w:eastAsia="en-GB"/>
        </w:rPr>
        <w:t xml:space="preserve">methotrexate monotherapy and </w:t>
      </w:r>
      <w:r w:rsidR="00D26193" w:rsidRPr="001775D9">
        <w:rPr>
          <w:rFonts w:eastAsia="Times New Roman"/>
          <w:color w:val="000000"/>
          <w:szCs w:val="22"/>
        </w:rPr>
        <w:t>adalimumab</w:t>
      </w:r>
      <w:r w:rsidRPr="001775D9">
        <w:rPr>
          <w:szCs w:val="22"/>
          <w:lang w:eastAsia="en-GB"/>
        </w:rPr>
        <w:t xml:space="preserve"> monotherapy at </w:t>
      </w:r>
      <w:r w:rsidR="007B1044" w:rsidRPr="001775D9">
        <w:rPr>
          <w:szCs w:val="22"/>
          <w:lang w:eastAsia="en-GB"/>
        </w:rPr>
        <w:t>week</w:t>
      </w:r>
      <w:r w:rsidRPr="001775D9">
        <w:rPr>
          <w:szCs w:val="22"/>
          <w:lang w:eastAsia="en-GB"/>
        </w:rPr>
        <w:t xml:space="preserve"> 52, which was maintained through </w:t>
      </w:r>
      <w:r w:rsidR="007B1044" w:rsidRPr="001775D9">
        <w:rPr>
          <w:szCs w:val="22"/>
          <w:lang w:eastAsia="en-GB"/>
        </w:rPr>
        <w:t>week</w:t>
      </w:r>
      <w:r w:rsidRPr="001775D9">
        <w:rPr>
          <w:szCs w:val="22"/>
          <w:lang w:eastAsia="en-GB"/>
        </w:rPr>
        <w:t xml:space="preserve"> 104. </w:t>
      </w:r>
      <w:r w:rsidR="0049731F" w:rsidRPr="00D55B59">
        <w:rPr>
          <w:szCs w:val="22"/>
          <w:rPrChange w:id="581" w:author="Author">
            <w:rPr>
              <w:szCs w:val="22"/>
              <w:lang w:val="en-US"/>
            </w:rPr>
          </w:rPrChange>
        </w:rPr>
        <w:t>Among the 250 subjects who completed the open-label extension study, improvements in</w:t>
      </w:r>
      <w:r w:rsidR="00DE7894" w:rsidRPr="00D55B59">
        <w:rPr>
          <w:szCs w:val="22"/>
          <w:rPrChange w:id="582" w:author="Author">
            <w:rPr>
              <w:szCs w:val="22"/>
              <w:lang w:val="en-US"/>
            </w:rPr>
          </w:rPrChange>
        </w:rPr>
        <w:t xml:space="preserve"> </w:t>
      </w:r>
      <w:r w:rsidR="0049731F" w:rsidRPr="00D55B59">
        <w:rPr>
          <w:szCs w:val="22"/>
          <w:rPrChange w:id="583" w:author="Author">
            <w:rPr>
              <w:szCs w:val="22"/>
              <w:lang w:val="en-US"/>
            </w:rPr>
          </w:rPrChange>
        </w:rPr>
        <w:t>physical function were maintained through 10 years of treatment.</w:t>
      </w:r>
    </w:p>
    <w:p w14:paraId="4D705CC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3B163A7" w14:textId="77777777" w:rsidR="00C42229" w:rsidRPr="001775D9" w:rsidRDefault="00C42229" w:rsidP="00FB5458">
      <w:pPr>
        <w:spacing w:line="240" w:lineRule="auto"/>
        <w:rPr>
          <w:i/>
          <w:szCs w:val="22"/>
          <w:lang w:eastAsia="en-GB"/>
        </w:rPr>
      </w:pPr>
      <w:r w:rsidRPr="001775D9">
        <w:rPr>
          <w:i/>
          <w:szCs w:val="22"/>
        </w:rPr>
        <w:t xml:space="preserve">Axial </w:t>
      </w:r>
      <w:r w:rsidR="00D0694A" w:rsidRPr="001775D9">
        <w:rPr>
          <w:i/>
          <w:szCs w:val="22"/>
        </w:rPr>
        <w:t>s</w:t>
      </w:r>
      <w:r w:rsidRPr="001775D9">
        <w:rPr>
          <w:i/>
          <w:szCs w:val="22"/>
        </w:rPr>
        <w:t>pondyloarthritis</w:t>
      </w:r>
    </w:p>
    <w:p w14:paraId="1748AA8E"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59C3B57E" w14:textId="77777777" w:rsidR="00C42229" w:rsidRPr="001775D9" w:rsidRDefault="00C42229" w:rsidP="00FB5458">
      <w:pPr>
        <w:tabs>
          <w:tab w:val="clear" w:pos="567"/>
        </w:tabs>
        <w:autoSpaceDE w:val="0"/>
        <w:autoSpaceDN w:val="0"/>
        <w:adjustRightInd w:val="0"/>
        <w:spacing w:line="240" w:lineRule="auto"/>
        <w:rPr>
          <w:i/>
          <w:szCs w:val="22"/>
          <w:u w:val="single"/>
          <w:lang w:eastAsia="en-GB"/>
        </w:rPr>
      </w:pPr>
      <w:r w:rsidRPr="001775D9">
        <w:rPr>
          <w:i/>
          <w:szCs w:val="22"/>
          <w:u w:val="single"/>
          <w:lang w:eastAsia="en-GB"/>
        </w:rPr>
        <w:t>Ankylosing spondylitis (AS)</w:t>
      </w:r>
    </w:p>
    <w:p w14:paraId="44168D8C"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041077B" w14:textId="77777777" w:rsidR="00C42229" w:rsidRPr="001775D9" w:rsidRDefault="00D0694A" w:rsidP="00FB5458">
      <w:pPr>
        <w:tabs>
          <w:tab w:val="clear" w:pos="567"/>
        </w:tabs>
        <w:autoSpaceDE w:val="0"/>
        <w:autoSpaceDN w:val="0"/>
        <w:adjustRightInd w:val="0"/>
        <w:spacing w:line="240" w:lineRule="auto"/>
        <w:rPr>
          <w:color w:val="000000"/>
          <w:szCs w:val="22"/>
          <w:lang w:eastAsia="en-GB"/>
        </w:rPr>
      </w:pPr>
      <w:r w:rsidRPr="001775D9">
        <w:rPr>
          <w:rFonts w:eastAsia="Times New Roman"/>
          <w:color w:val="000000"/>
          <w:szCs w:val="22"/>
        </w:rPr>
        <w:t>Adalimumab</w:t>
      </w:r>
      <w:r w:rsidR="00C42229" w:rsidRPr="001775D9">
        <w:rPr>
          <w:szCs w:val="22"/>
          <w:lang w:eastAsia="en-GB"/>
        </w:rPr>
        <w:t xml:space="preserve"> 40</w:t>
      </w:r>
      <w:r w:rsidR="00C42229" w:rsidRPr="001775D9">
        <w:rPr>
          <w:szCs w:val="22"/>
        </w:rPr>
        <w:t> m</w:t>
      </w:r>
      <w:r w:rsidR="00C42229" w:rsidRPr="001775D9">
        <w:rPr>
          <w:szCs w:val="22"/>
          <w:lang w:eastAsia="en-GB"/>
        </w:rPr>
        <w:t>g every other week was assessed in 393 patients in two randomised, 24 week double</w:t>
      </w:r>
      <w:r w:rsidR="004C348A" w:rsidRPr="001775D9">
        <w:rPr>
          <w:szCs w:val="22"/>
          <w:lang w:eastAsia="en-GB"/>
        </w:rPr>
        <w:t>-</w:t>
      </w:r>
      <w:r w:rsidR="00C42229" w:rsidRPr="001775D9">
        <w:rPr>
          <w:szCs w:val="22"/>
          <w:lang w:eastAsia="en-GB"/>
        </w:rPr>
        <w:t>blind, placebo</w:t>
      </w:r>
      <w:r w:rsidR="004C348A" w:rsidRPr="001775D9">
        <w:rPr>
          <w:szCs w:val="22"/>
          <w:lang w:eastAsia="en-GB"/>
        </w:rPr>
        <w:t>-</w:t>
      </w:r>
      <w:r w:rsidR="00C42229" w:rsidRPr="001775D9">
        <w:rPr>
          <w:szCs w:val="22"/>
          <w:lang w:eastAsia="en-GB"/>
        </w:rPr>
        <w:t>controlled studies in patients with active ankylosing spondylitis (mean baseline score of disease activity [Bath Ankylosing Spondylitis Disease Activity Index (BASDAI)] was 6.3 in all groups) who have had an inadequate response to conventional therapy. Seventy-nine (20.1%) patients were treated concomitantly with disease</w:t>
      </w:r>
      <w:r w:rsidR="000C348C" w:rsidRPr="001775D9">
        <w:rPr>
          <w:szCs w:val="22"/>
          <w:lang w:eastAsia="en-GB"/>
        </w:rPr>
        <w:t>-</w:t>
      </w:r>
      <w:r w:rsidR="00C42229" w:rsidRPr="001775D9">
        <w:rPr>
          <w:szCs w:val="22"/>
          <w:lang w:eastAsia="en-GB"/>
        </w:rPr>
        <w:t>modifying anti</w:t>
      </w:r>
      <w:r w:rsidR="004C348A" w:rsidRPr="001775D9">
        <w:rPr>
          <w:szCs w:val="22"/>
          <w:lang w:eastAsia="en-GB"/>
        </w:rPr>
        <w:t>-</w:t>
      </w:r>
      <w:r w:rsidR="00C42229" w:rsidRPr="001775D9">
        <w:rPr>
          <w:szCs w:val="22"/>
          <w:lang w:eastAsia="en-GB"/>
        </w:rPr>
        <w:t>rheumatic drugs, and 37 (9.4%) patients with glucocorticoids. The blinded period was followed by an open</w:t>
      </w:r>
      <w:r w:rsidR="004C348A" w:rsidRPr="001775D9">
        <w:rPr>
          <w:szCs w:val="22"/>
          <w:lang w:eastAsia="en-GB"/>
        </w:rPr>
        <w:t>-</w:t>
      </w:r>
      <w:r w:rsidR="00C42229" w:rsidRPr="001775D9">
        <w:rPr>
          <w:szCs w:val="22"/>
          <w:lang w:eastAsia="en-GB"/>
        </w:rPr>
        <w:t xml:space="preserve">label period during which patients received </w:t>
      </w:r>
      <w:r w:rsidRPr="001775D9">
        <w:rPr>
          <w:rFonts w:eastAsia="Times New Roman"/>
          <w:color w:val="000000"/>
          <w:szCs w:val="22"/>
        </w:rPr>
        <w:t>adalimumab</w:t>
      </w:r>
      <w:r w:rsidR="00C42229" w:rsidRPr="001775D9">
        <w:rPr>
          <w:szCs w:val="22"/>
          <w:lang w:eastAsia="en-GB"/>
        </w:rPr>
        <w:t xml:space="preserve"> 40</w:t>
      </w:r>
      <w:r w:rsidR="00C42229" w:rsidRPr="001775D9">
        <w:rPr>
          <w:szCs w:val="22"/>
        </w:rPr>
        <w:t> </w:t>
      </w:r>
      <w:r w:rsidR="00C42229" w:rsidRPr="001775D9">
        <w:rPr>
          <w:szCs w:val="22"/>
          <w:lang w:eastAsia="en-GB"/>
        </w:rPr>
        <w:t>mg every other week subcutaneously for up to an additional 28</w:t>
      </w:r>
      <w:r w:rsidR="00191D04" w:rsidRPr="001775D9">
        <w:rPr>
          <w:szCs w:val="22"/>
          <w:lang w:eastAsia="en-GB"/>
        </w:rPr>
        <w:t> </w:t>
      </w:r>
      <w:r w:rsidR="00C42229" w:rsidRPr="001775D9">
        <w:rPr>
          <w:szCs w:val="22"/>
          <w:lang w:eastAsia="en-GB"/>
        </w:rPr>
        <w:t>weeks. Subjects (n</w:t>
      </w:r>
      <w:r w:rsidR="00C42229" w:rsidRPr="001775D9">
        <w:rPr>
          <w:szCs w:val="22"/>
        </w:rPr>
        <w:t> </w:t>
      </w:r>
      <w:r w:rsidR="00C42229" w:rsidRPr="001775D9">
        <w:rPr>
          <w:szCs w:val="22"/>
          <w:lang w:eastAsia="en-GB"/>
        </w:rPr>
        <w:t>=</w:t>
      </w:r>
      <w:r w:rsidR="00C42229" w:rsidRPr="001775D9">
        <w:rPr>
          <w:szCs w:val="22"/>
        </w:rPr>
        <w:t> </w:t>
      </w:r>
      <w:r w:rsidR="00C42229" w:rsidRPr="001775D9">
        <w:rPr>
          <w:szCs w:val="22"/>
          <w:lang w:eastAsia="en-GB"/>
        </w:rPr>
        <w:t xml:space="preserve">215, 54.7%) who failed to achieve ASAS 20 at </w:t>
      </w:r>
      <w:r w:rsidR="0027224F" w:rsidRPr="001775D9">
        <w:rPr>
          <w:szCs w:val="22"/>
          <w:lang w:eastAsia="en-GB"/>
        </w:rPr>
        <w:t>weeks</w:t>
      </w:r>
      <w:r w:rsidR="00C42229" w:rsidRPr="001775D9">
        <w:rPr>
          <w:szCs w:val="22"/>
          <w:lang w:eastAsia="en-GB"/>
        </w:rPr>
        <w:t xml:space="preserve"> 12, or 16 or 20 received early escape open-label adalimumab</w:t>
      </w:r>
      <w:r w:rsidR="00C42229" w:rsidRPr="001775D9">
        <w:rPr>
          <w:color w:val="000000"/>
          <w:szCs w:val="22"/>
          <w:lang w:eastAsia="en-GB"/>
        </w:rPr>
        <w:t xml:space="preserve"> 40</w:t>
      </w:r>
      <w:r w:rsidR="00C42229" w:rsidRPr="001775D9">
        <w:rPr>
          <w:szCs w:val="22"/>
        </w:rPr>
        <w:t> </w:t>
      </w:r>
      <w:r w:rsidR="00C42229" w:rsidRPr="001775D9">
        <w:rPr>
          <w:color w:val="000000"/>
          <w:szCs w:val="22"/>
          <w:lang w:eastAsia="en-GB"/>
        </w:rPr>
        <w:t>mg every other week subcutaneously and were subsequently treated as non-responders in the double-blind statistical analyses.</w:t>
      </w:r>
    </w:p>
    <w:p w14:paraId="49C8C86F"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36BE207E" w14:textId="1C79F696" w:rsidR="00C42229" w:rsidRPr="001775D9" w:rsidRDefault="00C42229" w:rsidP="00FB5458">
      <w:pPr>
        <w:tabs>
          <w:tab w:val="clear" w:pos="567"/>
        </w:tabs>
        <w:autoSpaceDE w:val="0"/>
        <w:autoSpaceDN w:val="0"/>
        <w:adjustRightInd w:val="0"/>
        <w:spacing w:line="240" w:lineRule="auto"/>
        <w:rPr>
          <w:szCs w:val="22"/>
        </w:rPr>
      </w:pPr>
      <w:r w:rsidRPr="001775D9">
        <w:rPr>
          <w:szCs w:val="22"/>
        </w:rPr>
        <w:t xml:space="preserve">In the larger AS study I with 315 patients, results showed statistically significant improvement of the signs and symptoms of ankylosing spondylitis in patients treated with </w:t>
      </w:r>
      <w:r w:rsidR="00D0694A" w:rsidRPr="001775D9">
        <w:rPr>
          <w:rFonts w:eastAsia="Times New Roman"/>
          <w:color w:val="000000"/>
          <w:szCs w:val="22"/>
        </w:rPr>
        <w:t>adalimumab</w:t>
      </w:r>
      <w:r w:rsidRPr="001775D9">
        <w:rPr>
          <w:szCs w:val="22"/>
        </w:rPr>
        <w:t xml:space="preserve"> compared to placebo. Significant response was first observed at </w:t>
      </w:r>
      <w:r w:rsidR="0027224F" w:rsidRPr="001775D9">
        <w:rPr>
          <w:szCs w:val="22"/>
          <w:lang w:eastAsia="en-GB"/>
        </w:rPr>
        <w:t>week</w:t>
      </w:r>
      <w:r w:rsidRPr="001775D9">
        <w:rPr>
          <w:szCs w:val="22"/>
        </w:rPr>
        <w:t xml:space="preserve"> 2 and maintained through 24 weeks (</w:t>
      </w:r>
      <w:r w:rsidR="00CB7003" w:rsidRPr="001775D9">
        <w:rPr>
          <w:szCs w:val="22"/>
          <w:lang w:eastAsia="en-GB"/>
        </w:rPr>
        <w:t>table</w:t>
      </w:r>
      <w:r w:rsidRPr="001775D9">
        <w:rPr>
          <w:szCs w:val="22"/>
        </w:rPr>
        <w:t xml:space="preserve"> </w:t>
      </w:r>
      <w:r w:rsidR="004D7CC1" w:rsidRPr="001775D9">
        <w:rPr>
          <w:szCs w:val="22"/>
        </w:rPr>
        <w:t>12</w:t>
      </w:r>
      <w:r w:rsidRPr="001775D9">
        <w:rPr>
          <w:szCs w:val="22"/>
        </w:rPr>
        <w:t>).</w:t>
      </w:r>
    </w:p>
    <w:p w14:paraId="36F15744" w14:textId="77777777" w:rsidR="00C42229" w:rsidRPr="001775D9" w:rsidRDefault="00C42229" w:rsidP="00FB5458">
      <w:pPr>
        <w:tabs>
          <w:tab w:val="clear" w:pos="567"/>
        </w:tabs>
        <w:autoSpaceDE w:val="0"/>
        <w:autoSpaceDN w:val="0"/>
        <w:adjustRightInd w:val="0"/>
        <w:spacing w:line="240" w:lineRule="auto"/>
        <w:rPr>
          <w:szCs w:val="22"/>
        </w:rPr>
      </w:pPr>
    </w:p>
    <w:p w14:paraId="63ADAF35" w14:textId="22CD7AD3"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b/>
          <w:bCs/>
          <w:szCs w:val="22"/>
          <w:lang w:eastAsia="en-GB"/>
        </w:rPr>
        <w:t xml:space="preserve">Table </w:t>
      </w:r>
      <w:r w:rsidR="004D7CC1" w:rsidRPr="001775D9">
        <w:rPr>
          <w:b/>
          <w:bCs/>
          <w:szCs w:val="22"/>
          <w:lang w:eastAsia="en-GB"/>
        </w:rPr>
        <w:t>12</w:t>
      </w:r>
      <w:r w:rsidR="004D3CCE" w:rsidRPr="001775D9">
        <w:rPr>
          <w:b/>
          <w:bCs/>
          <w:szCs w:val="22"/>
          <w:lang w:eastAsia="en-GB"/>
        </w:rPr>
        <w:t>.</w:t>
      </w:r>
      <w:r w:rsidR="00110304" w:rsidRPr="001775D9">
        <w:rPr>
          <w:b/>
          <w:bCs/>
          <w:szCs w:val="22"/>
          <w:lang w:eastAsia="en-GB"/>
        </w:rPr>
        <w:t xml:space="preserve"> </w:t>
      </w:r>
      <w:r w:rsidRPr="001775D9">
        <w:rPr>
          <w:b/>
          <w:bCs/>
          <w:szCs w:val="22"/>
          <w:lang w:eastAsia="en-GB"/>
        </w:rPr>
        <w:t xml:space="preserve">Efficacy </w:t>
      </w:r>
      <w:r w:rsidR="0027224F" w:rsidRPr="001775D9">
        <w:rPr>
          <w:b/>
          <w:bCs/>
          <w:szCs w:val="22"/>
          <w:lang w:eastAsia="en-GB"/>
        </w:rPr>
        <w:t>r</w:t>
      </w:r>
      <w:r w:rsidRPr="001775D9">
        <w:rPr>
          <w:b/>
          <w:bCs/>
          <w:szCs w:val="22"/>
          <w:lang w:eastAsia="en-GB"/>
        </w:rPr>
        <w:t xml:space="preserve">esponses in </w:t>
      </w:r>
      <w:r w:rsidR="0027224F" w:rsidRPr="001775D9">
        <w:rPr>
          <w:b/>
          <w:bCs/>
          <w:szCs w:val="22"/>
          <w:lang w:eastAsia="en-GB"/>
        </w:rPr>
        <w:t>p</w:t>
      </w:r>
      <w:r w:rsidRPr="001775D9">
        <w:rPr>
          <w:b/>
          <w:bCs/>
          <w:szCs w:val="22"/>
          <w:lang w:eastAsia="en-GB"/>
        </w:rPr>
        <w:t>lacebo-</w:t>
      </w:r>
      <w:r w:rsidR="0027224F" w:rsidRPr="001775D9">
        <w:rPr>
          <w:b/>
          <w:bCs/>
          <w:szCs w:val="22"/>
          <w:lang w:eastAsia="en-GB"/>
        </w:rPr>
        <w:t>c</w:t>
      </w:r>
      <w:r w:rsidRPr="001775D9">
        <w:rPr>
          <w:b/>
          <w:bCs/>
          <w:szCs w:val="22"/>
          <w:lang w:eastAsia="en-GB"/>
        </w:rPr>
        <w:t xml:space="preserve">ontrolled AS </w:t>
      </w:r>
      <w:r w:rsidR="0027224F" w:rsidRPr="001775D9">
        <w:rPr>
          <w:b/>
          <w:bCs/>
          <w:szCs w:val="22"/>
          <w:lang w:eastAsia="en-GB"/>
        </w:rPr>
        <w:t>s</w:t>
      </w:r>
      <w:r w:rsidRPr="001775D9">
        <w:rPr>
          <w:b/>
          <w:bCs/>
          <w:szCs w:val="22"/>
          <w:lang w:eastAsia="en-GB"/>
        </w:rPr>
        <w:t xml:space="preserve">tudy – </w:t>
      </w:r>
      <w:r w:rsidR="0027224F" w:rsidRPr="001775D9">
        <w:rPr>
          <w:b/>
          <w:bCs/>
          <w:szCs w:val="22"/>
          <w:lang w:eastAsia="en-GB"/>
        </w:rPr>
        <w:t>s</w:t>
      </w:r>
      <w:r w:rsidRPr="001775D9">
        <w:rPr>
          <w:b/>
          <w:bCs/>
          <w:szCs w:val="22"/>
          <w:lang w:eastAsia="en-GB"/>
        </w:rPr>
        <w:t xml:space="preserve">tudy I </w:t>
      </w:r>
      <w:r w:rsidR="0027224F" w:rsidRPr="001775D9">
        <w:rPr>
          <w:b/>
          <w:bCs/>
          <w:szCs w:val="22"/>
          <w:lang w:eastAsia="en-GB"/>
        </w:rPr>
        <w:t>r</w:t>
      </w:r>
      <w:r w:rsidRPr="001775D9">
        <w:rPr>
          <w:b/>
          <w:bCs/>
          <w:szCs w:val="22"/>
          <w:lang w:eastAsia="en-GB"/>
        </w:rPr>
        <w:t xml:space="preserve">eduction of </w:t>
      </w:r>
      <w:r w:rsidR="0027224F" w:rsidRPr="001775D9">
        <w:rPr>
          <w:b/>
          <w:bCs/>
          <w:szCs w:val="22"/>
          <w:lang w:eastAsia="en-GB"/>
        </w:rPr>
        <w:t>s</w:t>
      </w:r>
      <w:r w:rsidRPr="001775D9">
        <w:rPr>
          <w:b/>
          <w:bCs/>
          <w:szCs w:val="22"/>
          <w:lang w:eastAsia="en-GB"/>
        </w:rPr>
        <w:t xml:space="preserve">igns and </w:t>
      </w:r>
      <w:r w:rsidR="0027224F" w:rsidRPr="001775D9">
        <w:rPr>
          <w:b/>
          <w:bCs/>
          <w:szCs w:val="22"/>
          <w:lang w:eastAsia="en-GB"/>
        </w:rPr>
        <w:t>s</w:t>
      </w:r>
      <w:r w:rsidRPr="001775D9">
        <w:rPr>
          <w:b/>
          <w:bCs/>
          <w:szCs w:val="22"/>
          <w:lang w:eastAsia="en-GB"/>
        </w:rPr>
        <w:t>ymptoms</w:t>
      </w:r>
    </w:p>
    <w:p w14:paraId="1927667D"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4"/>
        <w:gridCol w:w="3024"/>
        <w:gridCol w:w="3024"/>
      </w:tblGrid>
      <w:tr w:rsidR="00C42229" w:rsidRPr="00F04F82" w14:paraId="78AACA09" w14:textId="77777777" w:rsidTr="00A66CE9">
        <w:trPr>
          <w:trHeight w:val="293"/>
          <w:tblHeader/>
        </w:trPr>
        <w:tc>
          <w:tcPr>
            <w:tcW w:w="3024" w:type="dxa"/>
          </w:tcPr>
          <w:p w14:paraId="179381E9" w14:textId="77777777" w:rsidR="00C42229" w:rsidRPr="00D55B59" w:rsidRDefault="00C42229" w:rsidP="00FB5458">
            <w:pPr>
              <w:pStyle w:val="Default"/>
              <w:keepNext/>
              <w:rPr>
                <w:b/>
                <w:color w:val="auto"/>
                <w:sz w:val="22"/>
                <w:szCs w:val="22"/>
                <w:lang w:val="en-GB"/>
                <w:rPrChange w:id="584" w:author="Author">
                  <w:rPr>
                    <w:b/>
                    <w:color w:val="auto"/>
                    <w:sz w:val="22"/>
                    <w:szCs w:val="22"/>
                  </w:rPr>
                </w:rPrChange>
              </w:rPr>
            </w:pPr>
            <w:r w:rsidRPr="00D55B59">
              <w:rPr>
                <w:b/>
                <w:bCs/>
                <w:color w:val="auto"/>
                <w:sz w:val="22"/>
                <w:szCs w:val="22"/>
                <w:lang w:val="en-GB"/>
                <w:rPrChange w:id="585" w:author="Author">
                  <w:rPr>
                    <w:b/>
                    <w:bCs/>
                    <w:color w:val="auto"/>
                    <w:sz w:val="22"/>
                    <w:szCs w:val="22"/>
                  </w:rPr>
                </w:rPrChange>
              </w:rPr>
              <w:t xml:space="preserve">Response </w:t>
            </w:r>
          </w:p>
        </w:tc>
        <w:tc>
          <w:tcPr>
            <w:tcW w:w="3024" w:type="dxa"/>
          </w:tcPr>
          <w:p w14:paraId="10EB797A" w14:textId="77777777" w:rsidR="00C42229" w:rsidRPr="00D55B59" w:rsidRDefault="00C42229" w:rsidP="00FB5458">
            <w:pPr>
              <w:pStyle w:val="Default"/>
              <w:keepNext/>
              <w:jc w:val="center"/>
              <w:rPr>
                <w:b/>
                <w:color w:val="auto"/>
                <w:sz w:val="22"/>
                <w:szCs w:val="22"/>
                <w:lang w:val="en-GB"/>
                <w:rPrChange w:id="586" w:author="Author">
                  <w:rPr>
                    <w:b/>
                    <w:color w:val="auto"/>
                    <w:sz w:val="22"/>
                    <w:szCs w:val="22"/>
                  </w:rPr>
                </w:rPrChange>
              </w:rPr>
            </w:pPr>
            <w:r w:rsidRPr="00D55B59">
              <w:rPr>
                <w:b/>
                <w:bCs/>
                <w:color w:val="auto"/>
                <w:sz w:val="22"/>
                <w:szCs w:val="22"/>
                <w:lang w:val="en-GB"/>
                <w:rPrChange w:id="587" w:author="Author">
                  <w:rPr>
                    <w:b/>
                    <w:bCs/>
                    <w:color w:val="auto"/>
                    <w:sz w:val="22"/>
                    <w:szCs w:val="22"/>
                  </w:rPr>
                </w:rPrChange>
              </w:rPr>
              <w:t>Placebo</w:t>
            </w:r>
          </w:p>
          <w:p w14:paraId="349FE8C8" w14:textId="77777777" w:rsidR="00C42229" w:rsidRPr="00D55B59" w:rsidRDefault="00C42229" w:rsidP="00FB5458">
            <w:pPr>
              <w:pStyle w:val="Default"/>
              <w:keepNext/>
              <w:jc w:val="center"/>
              <w:rPr>
                <w:b/>
                <w:color w:val="auto"/>
                <w:sz w:val="22"/>
                <w:szCs w:val="22"/>
                <w:lang w:val="en-GB"/>
                <w:rPrChange w:id="588" w:author="Author">
                  <w:rPr>
                    <w:b/>
                    <w:color w:val="auto"/>
                    <w:sz w:val="22"/>
                    <w:szCs w:val="22"/>
                  </w:rPr>
                </w:rPrChange>
              </w:rPr>
            </w:pPr>
            <w:r w:rsidRPr="00D55B59">
              <w:rPr>
                <w:b/>
                <w:bCs/>
                <w:color w:val="auto"/>
                <w:sz w:val="22"/>
                <w:szCs w:val="22"/>
                <w:lang w:val="en-GB"/>
                <w:rPrChange w:id="589" w:author="Author">
                  <w:rPr>
                    <w:b/>
                    <w:bCs/>
                    <w:color w:val="auto"/>
                    <w:sz w:val="22"/>
                    <w:szCs w:val="22"/>
                  </w:rPr>
                </w:rPrChange>
              </w:rPr>
              <w:t>N</w:t>
            </w:r>
            <w:r w:rsidRPr="00D55B59">
              <w:rPr>
                <w:b/>
                <w:color w:val="auto"/>
                <w:sz w:val="22"/>
                <w:szCs w:val="22"/>
                <w:lang w:val="en-GB"/>
                <w:rPrChange w:id="590" w:author="Author">
                  <w:rPr>
                    <w:b/>
                    <w:color w:val="auto"/>
                    <w:sz w:val="22"/>
                    <w:szCs w:val="22"/>
                  </w:rPr>
                </w:rPrChange>
              </w:rPr>
              <w:t> </w:t>
            </w:r>
            <w:r w:rsidRPr="00D55B59">
              <w:rPr>
                <w:b/>
                <w:bCs/>
                <w:color w:val="auto"/>
                <w:sz w:val="22"/>
                <w:szCs w:val="22"/>
                <w:lang w:val="en-GB"/>
                <w:rPrChange w:id="591" w:author="Author">
                  <w:rPr>
                    <w:b/>
                    <w:bCs/>
                    <w:color w:val="auto"/>
                    <w:sz w:val="22"/>
                    <w:szCs w:val="22"/>
                  </w:rPr>
                </w:rPrChange>
              </w:rPr>
              <w:t>=</w:t>
            </w:r>
            <w:r w:rsidRPr="00D55B59">
              <w:rPr>
                <w:b/>
                <w:color w:val="auto"/>
                <w:sz w:val="22"/>
                <w:szCs w:val="22"/>
                <w:lang w:val="en-GB"/>
                <w:rPrChange w:id="592" w:author="Author">
                  <w:rPr>
                    <w:b/>
                    <w:color w:val="auto"/>
                    <w:sz w:val="22"/>
                    <w:szCs w:val="22"/>
                  </w:rPr>
                </w:rPrChange>
              </w:rPr>
              <w:t> </w:t>
            </w:r>
            <w:r w:rsidRPr="00D55B59">
              <w:rPr>
                <w:b/>
                <w:bCs/>
                <w:color w:val="auto"/>
                <w:sz w:val="22"/>
                <w:szCs w:val="22"/>
                <w:lang w:val="en-GB"/>
                <w:rPrChange w:id="593" w:author="Author">
                  <w:rPr>
                    <w:b/>
                    <w:bCs/>
                    <w:color w:val="auto"/>
                    <w:sz w:val="22"/>
                    <w:szCs w:val="22"/>
                  </w:rPr>
                </w:rPrChange>
              </w:rPr>
              <w:t>107</w:t>
            </w:r>
          </w:p>
        </w:tc>
        <w:tc>
          <w:tcPr>
            <w:tcW w:w="3024" w:type="dxa"/>
          </w:tcPr>
          <w:p w14:paraId="75B2019E" w14:textId="77777777" w:rsidR="00D0694A" w:rsidRPr="00D55B59" w:rsidRDefault="00D0694A" w:rsidP="00FB5458">
            <w:pPr>
              <w:pStyle w:val="Default"/>
              <w:keepNext/>
              <w:jc w:val="center"/>
              <w:rPr>
                <w:b/>
                <w:szCs w:val="22"/>
                <w:lang w:val="en-GB" w:eastAsia="en-GB"/>
                <w:rPrChange w:id="594" w:author="Author">
                  <w:rPr>
                    <w:b/>
                    <w:szCs w:val="22"/>
                    <w:lang w:eastAsia="en-GB"/>
                  </w:rPr>
                </w:rPrChange>
              </w:rPr>
            </w:pPr>
            <w:r w:rsidRPr="00D55B59">
              <w:rPr>
                <w:rFonts w:eastAsia="Times New Roman"/>
                <w:b/>
                <w:sz w:val="22"/>
                <w:szCs w:val="22"/>
                <w:lang w:val="en-GB"/>
                <w:rPrChange w:id="595" w:author="Author">
                  <w:rPr>
                    <w:rFonts w:eastAsia="Times New Roman"/>
                    <w:b/>
                    <w:sz w:val="22"/>
                    <w:szCs w:val="22"/>
                  </w:rPr>
                </w:rPrChange>
              </w:rPr>
              <w:t>Adalimumab</w:t>
            </w:r>
          </w:p>
          <w:p w14:paraId="48F4F6BF" w14:textId="77777777" w:rsidR="00C42229" w:rsidRPr="00D55B59" w:rsidRDefault="00C42229" w:rsidP="00FB5458">
            <w:pPr>
              <w:pStyle w:val="Default"/>
              <w:keepNext/>
              <w:jc w:val="center"/>
              <w:rPr>
                <w:b/>
                <w:color w:val="auto"/>
                <w:sz w:val="22"/>
                <w:szCs w:val="22"/>
                <w:lang w:val="en-GB"/>
                <w:rPrChange w:id="596" w:author="Author">
                  <w:rPr>
                    <w:b/>
                    <w:color w:val="auto"/>
                    <w:sz w:val="22"/>
                    <w:szCs w:val="22"/>
                  </w:rPr>
                </w:rPrChange>
              </w:rPr>
            </w:pPr>
            <w:r w:rsidRPr="00D55B59">
              <w:rPr>
                <w:b/>
                <w:bCs/>
                <w:color w:val="auto"/>
                <w:sz w:val="22"/>
                <w:szCs w:val="22"/>
                <w:lang w:val="en-GB"/>
                <w:rPrChange w:id="597" w:author="Author">
                  <w:rPr>
                    <w:b/>
                    <w:bCs/>
                    <w:color w:val="auto"/>
                    <w:sz w:val="22"/>
                    <w:szCs w:val="22"/>
                  </w:rPr>
                </w:rPrChange>
              </w:rPr>
              <w:t>N</w:t>
            </w:r>
            <w:r w:rsidRPr="00D55B59">
              <w:rPr>
                <w:b/>
                <w:color w:val="auto"/>
                <w:sz w:val="22"/>
                <w:szCs w:val="22"/>
                <w:lang w:val="en-GB"/>
                <w:rPrChange w:id="598" w:author="Author">
                  <w:rPr>
                    <w:b/>
                    <w:color w:val="auto"/>
                    <w:sz w:val="22"/>
                    <w:szCs w:val="22"/>
                  </w:rPr>
                </w:rPrChange>
              </w:rPr>
              <w:t> </w:t>
            </w:r>
            <w:r w:rsidRPr="00D55B59">
              <w:rPr>
                <w:b/>
                <w:bCs/>
                <w:color w:val="auto"/>
                <w:sz w:val="22"/>
                <w:szCs w:val="22"/>
                <w:lang w:val="en-GB"/>
                <w:rPrChange w:id="599" w:author="Author">
                  <w:rPr>
                    <w:b/>
                    <w:bCs/>
                    <w:color w:val="auto"/>
                    <w:sz w:val="22"/>
                    <w:szCs w:val="22"/>
                  </w:rPr>
                </w:rPrChange>
              </w:rPr>
              <w:t>=</w:t>
            </w:r>
            <w:r w:rsidRPr="00D55B59">
              <w:rPr>
                <w:b/>
                <w:color w:val="auto"/>
                <w:sz w:val="22"/>
                <w:szCs w:val="22"/>
                <w:lang w:val="en-GB"/>
                <w:rPrChange w:id="600" w:author="Author">
                  <w:rPr>
                    <w:b/>
                    <w:color w:val="auto"/>
                    <w:sz w:val="22"/>
                    <w:szCs w:val="22"/>
                  </w:rPr>
                </w:rPrChange>
              </w:rPr>
              <w:t> </w:t>
            </w:r>
            <w:r w:rsidRPr="00D55B59">
              <w:rPr>
                <w:b/>
                <w:bCs/>
                <w:color w:val="auto"/>
                <w:sz w:val="22"/>
                <w:szCs w:val="22"/>
                <w:lang w:val="en-GB"/>
                <w:rPrChange w:id="601" w:author="Author">
                  <w:rPr>
                    <w:b/>
                    <w:bCs/>
                    <w:color w:val="auto"/>
                    <w:sz w:val="22"/>
                    <w:szCs w:val="22"/>
                  </w:rPr>
                </w:rPrChange>
              </w:rPr>
              <w:t>208</w:t>
            </w:r>
          </w:p>
        </w:tc>
      </w:tr>
      <w:tr w:rsidR="00C42229" w:rsidRPr="00F04F82" w14:paraId="229F1DE4" w14:textId="77777777" w:rsidTr="00A66CE9">
        <w:trPr>
          <w:trHeight w:val="147"/>
        </w:trPr>
        <w:tc>
          <w:tcPr>
            <w:tcW w:w="3024" w:type="dxa"/>
          </w:tcPr>
          <w:p w14:paraId="4B15B481" w14:textId="77777777" w:rsidR="00C42229" w:rsidRPr="00D55B59" w:rsidRDefault="00C42229" w:rsidP="00FB5458">
            <w:pPr>
              <w:pStyle w:val="Default"/>
              <w:keepNext/>
              <w:rPr>
                <w:color w:val="auto"/>
                <w:sz w:val="22"/>
                <w:szCs w:val="22"/>
                <w:lang w:val="en-GB" w:eastAsia="en-GB"/>
                <w:rPrChange w:id="602" w:author="Author">
                  <w:rPr>
                    <w:color w:val="auto"/>
                    <w:sz w:val="22"/>
                    <w:szCs w:val="22"/>
                    <w:lang w:eastAsia="en-GB"/>
                  </w:rPr>
                </w:rPrChange>
              </w:rPr>
            </w:pPr>
            <w:r w:rsidRPr="00D55B59">
              <w:rPr>
                <w:color w:val="auto"/>
                <w:sz w:val="22"/>
                <w:szCs w:val="22"/>
                <w:lang w:val="en-GB"/>
                <w:rPrChange w:id="603" w:author="Author">
                  <w:rPr>
                    <w:color w:val="auto"/>
                    <w:sz w:val="22"/>
                    <w:szCs w:val="22"/>
                  </w:rPr>
                </w:rPrChange>
              </w:rPr>
              <w:t>ASAS</w:t>
            </w:r>
            <w:r w:rsidRPr="00D55B59">
              <w:rPr>
                <w:color w:val="auto"/>
                <w:sz w:val="22"/>
                <w:szCs w:val="22"/>
                <w:vertAlign w:val="superscript"/>
                <w:lang w:val="en-GB"/>
                <w:rPrChange w:id="604" w:author="Author">
                  <w:rPr>
                    <w:color w:val="auto"/>
                    <w:sz w:val="22"/>
                    <w:szCs w:val="22"/>
                    <w:vertAlign w:val="superscript"/>
                  </w:rPr>
                </w:rPrChange>
              </w:rPr>
              <w:t>a</w:t>
            </w:r>
            <w:r w:rsidRPr="00D55B59">
              <w:rPr>
                <w:color w:val="auto"/>
                <w:sz w:val="22"/>
                <w:szCs w:val="22"/>
                <w:lang w:val="en-GB"/>
                <w:rPrChange w:id="605" w:author="Author">
                  <w:rPr>
                    <w:color w:val="auto"/>
                    <w:sz w:val="22"/>
                    <w:szCs w:val="22"/>
                  </w:rPr>
                </w:rPrChange>
              </w:rPr>
              <w:t xml:space="preserve"> 20</w:t>
            </w:r>
          </w:p>
        </w:tc>
        <w:tc>
          <w:tcPr>
            <w:tcW w:w="3024" w:type="dxa"/>
          </w:tcPr>
          <w:p w14:paraId="1ABA8ECF"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p>
        </w:tc>
        <w:tc>
          <w:tcPr>
            <w:tcW w:w="3024" w:type="dxa"/>
          </w:tcPr>
          <w:p w14:paraId="02055BCB"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p>
        </w:tc>
      </w:tr>
      <w:tr w:rsidR="00C42229" w:rsidRPr="00F04F82" w14:paraId="44FB903A" w14:textId="77777777" w:rsidTr="00A66CE9">
        <w:trPr>
          <w:trHeight w:val="147"/>
        </w:trPr>
        <w:tc>
          <w:tcPr>
            <w:tcW w:w="3024" w:type="dxa"/>
          </w:tcPr>
          <w:p w14:paraId="4D4A6E93"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Week 2</w:t>
            </w:r>
          </w:p>
        </w:tc>
        <w:tc>
          <w:tcPr>
            <w:tcW w:w="3024" w:type="dxa"/>
          </w:tcPr>
          <w:p w14:paraId="3B80D777"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16%</w:t>
            </w:r>
          </w:p>
        </w:tc>
        <w:tc>
          <w:tcPr>
            <w:tcW w:w="3024" w:type="dxa"/>
          </w:tcPr>
          <w:p w14:paraId="58D6D6CE"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42%***</w:t>
            </w:r>
          </w:p>
        </w:tc>
      </w:tr>
      <w:tr w:rsidR="00C42229" w:rsidRPr="00F04F82" w14:paraId="56BEC4C4" w14:textId="77777777" w:rsidTr="00A66CE9">
        <w:trPr>
          <w:trHeight w:val="147"/>
        </w:trPr>
        <w:tc>
          <w:tcPr>
            <w:tcW w:w="3024" w:type="dxa"/>
          </w:tcPr>
          <w:p w14:paraId="01D8D06C"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Week 12</w:t>
            </w:r>
          </w:p>
        </w:tc>
        <w:tc>
          <w:tcPr>
            <w:tcW w:w="3024" w:type="dxa"/>
          </w:tcPr>
          <w:p w14:paraId="75C0806B"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21%</w:t>
            </w:r>
          </w:p>
        </w:tc>
        <w:tc>
          <w:tcPr>
            <w:tcW w:w="3024" w:type="dxa"/>
          </w:tcPr>
          <w:p w14:paraId="750B8A1F"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58%***</w:t>
            </w:r>
          </w:p>
        </w:tc>
      </w:tr>
      <w:tr w:rsidR="00C42229" w:rsidRPr="00F04F82" w14:paraId="1B69CE97" w14:textId="77777777" w:rsidTr="00A66CE9">
        <w:trPr>
          <w:trHeight w:val="147"/>
        </w:trPr>
        <w:tc>
          <w:tcPr>
            <w:tcW w:w="3024" w:type="dxa"/>
          </w:tcPr>
          <w:p w14:paraId="6F8F76A1"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Week 24</w:t>
            </w:r>
          </w:p>
        </w:tc>
        <w:tc>
          <w:tcPr>
            <w:tcW w:w="3024" w:type="dxa"/>
          </w:tcPr>
          <w:p w14:paraId="6DC7001D"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19%</w:t>
            </w:r>
          </w:p>
        </w:tc>
        <w:tc>
          <w:tcPr>
            <w:tcW w:w="3024" w:type="dxa"/>
          </w:tcPr>
          <w:p w14:paraId="065C3BAB"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51%***</w:t>
            </w:r>
          </w:p>
        </w:tc>
      </w:tr>
      <w:tr w:rsidR="00C42229" w:rsidRPr="00F04F82" w14:paraId="2B1E57A6" w14:textId="77777777" w:rsidTr="00A66CE9">
        <w:trPr>
          <w:trHeight w:val="147"/>
        </w:trPr>
        <w:tc>
          <w:tcPr>
            <w:tcW w:w="3024" w:type="dxa"/>
          </w:tcPr>
          <w:p w14:paraId="45272490"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ASAS 50</w:t>
            </w:r>
          </w:p>
        </w:tc>
        <w:tc>
          <w:tcPr>
            <w:tcW w:w="3024" w:type="dxa"/>
          </w:tcPr>
          <w:p w14:paraId="09B27A83"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p>
        </w:tc>
        <w:tc>
          <w:tcPr>
            <w:tcW w:w="3024" w:type="dxa"/>
          </w:tcPr>
          <w:p w14:paraId="1F12B109"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p>
        </w:tc>
      </w:tr>
      <w:tr w:rsidR="00C42229" w:rsidRPr="00F04F82" w14:paraId="4FFFDE4D" w14:textId="77777777" w:rsidTr="00A66CE9">
        <w:trPr>
          <w:trHeight w:val="147"/>
        </w:trPr>
        <w:tc>
          <w:tcPr>
            <w:tcW w:w="3024" w:type="dxa"/>
          </w:tcPr>
          <w:p w14:paraId="461549AE"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Week 2</w:t>
            </w:r>
          </w:p>
        </w:tc>
        <w:tc>
          <w:tcPr>
            <w:tcW w:w="3024" w:type="dxa"/>
          </w:tcPr>
          <w:p w14:paraId="39B871E7"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3%</w:t>
            </w:r>
          </w:p>
        </w:tc>
        <w:tc>
          <w:tcPr>
            <w:tcW w:w="3024" w:type="dxa"/>
          </w:tcPr>
          <w:p w14:paraId="73F66EA6"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16%***</w:t>
            </w:r>
          </w:p>
        </w:tc>
      </w:tr>
      <w:tr w:rsidR="00C42229" w:rsidRPr="00F04F82" w14:paraId="55648B68" w14:textId="77777777" w:rsidTr="00A66CE9">
        <w:trPr>
          <w:trHeight w:val="147"/>
        </w:trPr>
        <w:tc>
          <w:tcPr>
            <w:tcW w:w="3024" w:type="dxa"/>
          </w:tcPr>
          <w:p w14:paraId="25FFFD86"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Week 12</w:t>
            </w:r>
          </w:p>
        </w:tc>
        <w:tc>
          <w:tcPr>
            <w:tcW w:w="3024" w:type="dxa"/>
          </w:tcPr>
          <w:p w14:paraId="68ADD771"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10%</w:t>
            </w:r>
          </w:p>
        </w:tc>
        <w:tc>
          <w:tcPr>
            <w:tcW w:w="3024" w:type="dxa"/>
          </w:tcPr>
          <w:p w14:paraId="702EFB1D"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38%***</w:t>
            </w:r>
          </w:p>
        </w:tc>
      </w:tr>
      <w:tr w:rsidR="00C42229" w:rsidRPr="00F04F82" w14:paraId="1CED6415" w14:textId="77777777" w:rsidTr="00A66CE9">
        <w:trPr>
          <w:trHeight w:val="147"/>
        </w:trPr>
        <w:tc>
          <w:tcPr>
            <w:tcW w:w="3024" w:type="dxa"/>
          </w:tcPr>
          <w:p w14:paraId="0D450900"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Week 24</w:t>
            </w:r>
          </w:p>
        </w:tc>
        <w:tc>
          <w:tcPr>
            <w:tcW w:w="3024" w:type="dxa"/>
          </w:tcPr>
          <w:p w14:paraId="2C76EDEA"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11%</w:t>
            </w:r>
          </w:p>
        </w:tc>
        <w:tc>
          <w:tcPr>
            <w:tcW w:w="3024" w:type="dxa"/>
          </w:tcPr>
          <w:p w14:paraId="6991E43A"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35%***</w:t>
            </w:r>
          </w:p>
        </w:tc>
      </w:tr>
      <w:tr w:rsidR="00C42229" w:rsidRPr="00F04F82" w14:paraId="32489662" w14:textId="77777777" w:rsidTr="00A66CE9">
        <w:trPr>
          <w:trHeight w:val="147"/>
        </w:trPr>
        <w:tc>
          <w:tcPr>
            <w:tcW w:w="3024" w:type="dxa"/>
          </w:tcPr>
          <w:p w14:paraId="5A253964"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ASAS 70</w:t>
            </w:r>
          </w:p>
        </w:tc>
        <w:tc>
          <w:tcPr>
            <w:tcW w:w="3024" w:type="dxa"/>
          </w:tcPr>
          <w:p w14:paraId="6117A145"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p>
        </w:tc>
        <w:tc>
          <w:tcPr>
            <w:tcW w:w="3024" w:type="dxa"/>
          </w:tcPr>
          <w:p w14:paraId="6292BC24"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p>
        </w:tc>
      </w:tr>
      <w:tr w:rsidR="00C42229" w:rsidRPr="00F04F82" w14:paraId="2E72FD03" w14:textId="77777777" w:rsidTr="00A66CE9">
        <w:trPr>
          <w:trHeight w:val="147"/>
        </w:trPr>
        <w:tc>
          <w:tcPr>
            <w:tcW w:w="3024" w:type="dxa"/>
          </w:tcPr>
          <w:p w14:paraId="25BDF742"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Week 2</w:t>
            </w:r>
          </w:p>
        </w:tc>
        <w:tc>
          <w:tcPr>
            <w:tcW w:w="3024" w:type="dxa"/>
          </w:tcPr>
          <w:p w14:paraId="03C367A9"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0%</w:t>
            </w:r>
          </w:p>
        </w:tc>
        <w:tc>
          <w:tcPr>
            <w:tcW w:w="3024" w:type="dxa"/>
          </w:tcPr>
          <w:p w14:paraId="7A6C7936"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7%**</w:t>
            </w:r>
          </w:p>
        </w:tc>
      </w:tr>
      <w:tr w:rsidR="00C42229" w:rsidRPr="00F04F82" w14:paraId="1318C14A" w14:textId="77777777" w:rsidTr="00A66CE9">
        <w:trPr>
          <w:trHeight w:val="147"/>
        </w:trPr>
        <w:tc>
          <w:tcPr>
            <w:tcW w:w="3024" w:type="dxa"/>
          </w:tcPr>
          <w:p w14:paraId="0C612141"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Week 12</w:t>
            </w:r>
          </w:p>
        </w:tc>
        <w:tc>
          <w:tcPr>
            <w:tcW w:w="3024" w:type="dxa"/>
          </w:tcPr>
          <w:p w14:paraId="054560D5"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5%</w:t>
            </w:r>
          </w:p>
        </w:tc>
        <w:tc>
          <w:tcPr>
            <w:tcW w:w="3024" w:type="dxa"/>
          </w:tcPr>
          <w:p w14:paraId="51A070EB"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23%***</w:t>
            </w:r>
          </w:p>
        </w:tc>
      </w:tr>
      <w:tr w:rsidR="00C42229" w:rsidRPr="00F04F82" w14:paraId="05A79D28" w14:textId="77777777" w:rsidTr="00A66CE9">
        <w:trPr>
          <w:trHeight w:val="147"/>
        </w:trPr>
        <w:tc>
          <w:tcPr>
            <w:tcW w:w="3024" w:type="dxa"/>
          </w:tcPr>
          <w:p w14:paraId="37BBE629"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Week 24</w:t>
            </w:r>
          </w:p>
        </w:tc>
        <w:tc>
          <w:tcPr>
            <w:tcW w:w="3024" w:type="dxa"/>
          </w:tcPr>
          <w:p w14:paraId="3E79882A"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8%</w:t>
            </w:r>
          </w:p>
        </w:tc>
        <w:tc>
          <w:tcPr>
            <w:tcW w:w="3024" w:type="dxa"/>
          </w:tcPr>
          <w:p w14:paraId="576981DB"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24%***</w:t>
            </w:r>
          </w:p>
        </w:tc>
      </w:tr>
      <w:tr w:rsidR="00C42229" w:rsidRPr="00F04F82" w14:paraId="21C4BD2F" w14:textId="77777777" w:rsidTr="00A66CE9">
        <w:trPr>
          <w:trHeight w:val="147"/>
        </w:trPr>
        <w:tc>
          <w:tcPr>
            <w:tcW w:w="3024" w:type="dxa"/>
          </w:tcPr>
          <w:p w14:paraId="0A44BEE8" w14:textId="77777777" w:rsidR="00C42229" w:rsidRPr="001775D9" w:rsidRDefault="00C42229" w:rsidP="001C2A6A">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BASDAI</w:t>
            </w:r>
            <w:r w:rsidRPr="001775D9">
              <w:rPr>
                <w:color w:val="000000"/>
                <w:szCs w:val="22"/>
                <w:vertAlign w:val="superscript"/>
                <w:lang w:eastAsia="en-GB"/>
              </w:rPr>
              <w:t>b</w:t>
            </w:r>
            <w:r w:rsidRPr="001775D9">
              <w:rPr>
                <w:color w:val="000000"/>
                <w:szCs w:val="22"/>
                <w:lang w:eastAsia="en-GB"/>
              </w:rPr>
              <w:t xml:space="preserve"> 50 </w:t>
            </w:r>
          </w:p>
        </w:tc>
        <w:tc>
          <w:tcPr>
            <w:tcW w:w="3024" w:type="dxa"/>
          </w:tcPr>
          <w:p w14:paraId="0A5C86AD" w14:textId="77777777" w:rsidR="00C42229" w:rsidRPr="001775D9" w:rsidRDefault="00C42229" w:rsidP="001C2A6A">
            <w:pPr>
              <w:keepNext/>
              <w:keepLines/>
              <w:tabs>
                <w:tab w:val="clear" w:pos="567"/>
              </w:tabs>
              <w:autoSpaceDE w:val="0"/>
              <w:autoSpaceDN w:val="0"/>
              <w:adjustRightInd w:val="0"/>
              <w:spacing w:line="240" w:lineRule="auto"/>
              <w:jc w:val="center"/>
              <w:rPr>
                <w:color w:val="000000"/>
                <w:szCs w:val="22"/>
                <w:lang w:eastAsia="en-GB"/>
              </w:rPr>
            </w:pPr>
          </w:p>
        </w:tc>
        <w:tc>
          <w:tcPr>
            <w:tcW w:w="3024" w:type="dxa"/>
          </w:tcPr>
          <w:p w14:paraId="1AA75DC3" w14:textId="77777777" w:rsidR="00C42229" w:rsidRPr="001775D9" w:rsidRDefault="00C42229" w:rsidP="001C2A6A">
            <w:pPr>
              <w:keepNext/>
              <w:keepLines/>
              <w:tabs>
                <w:tab w:val="clear" w:pos="567"/>
              </w:tabs>
              <w:autoSpaceDE w:val="0"/>
              <w:autoSpaceDN w:val="0"/>
              <w:adjustRightInd w:val="0"/>
              <w:spacing w:line="240" w:lineRule="auto"/>
              <w:jc w:val="center"/>
              <w:rPr>
                <w:color w:val="000000"/>
                <w:szCs w:val="22"/>
                <w:lang w:eastAsia="en-GB"/>
              </w:rPr>
            </w:pPr>
          </w:p>
        </w:tc>
      </w:tr>
      <w:tr w:rsidR="00C42229" w:rsidRPr="00F04F82" w14:paraId="79784291" w14:textId="77777777" w:rsidTr="00A66CE9">
        <w:trPr>
          <w:trHeight w:val="147"/>
        </w:trPr>
        <w:tc>
          <w:tcPr>
            <w:tcW w:w="3024" w:type="dxa"/>
          </w:tcPr>
          <w:p w14:paraId="139A8885" w14:textId="77777777" w:rsidR="00C42229" w:rsidRPr="001775D9" w:rsidRDefault="00C42229" w:rsidP="001C2A6A">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2</w:t>
            </w:r>
          </w:p>
        </w:tc>
        <w:tc>
          <w:tcPr>
            <w:tcW w:w="3024" w:type="dxa"/>
          </w:tcPr>
          <w:p w14:paraId="2A7424FE" w14:textId="77777777" w:rsidR="00C42229" w:rsidRPr="001775D9" w:rsidRDefault="00F27168" w:rsidP="001C2A6A">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w:t>
            </w:r>
          </w:p>
        </w:tc>
        <w:tc>
          <w:tcPr>
            <w:tcW w:w="3024" w:type="dxa"/>
          </w:tcPr>
          <w:p w14:paraId="44BBF379" w14:textId="77777777" w:rsidR="00C42229" w:rsidRPr="001775D9" w:rsidRDefault="00F27168" w:rsidP="001C2A6A">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20%***</w:t>
            </w:r>
          </w:p>
        </w:tc>
      </w:tr>
      <w:tr w:rsidR="00C42229" w:rsidRPr="00F04F82" w14:paraId="6846CF07" w14:textId="77777777" w:rsidTr="00A66CE9">
        <w:trPr>
          <w:trHeight w:val="147"/>
        </w:trPr>
        <w:tc>
          <w:tcPr>
            <w:tcW w:w="3024" w:type="dxa"/>
          </w:tcPr>
          <w:p w14:paraId="159EBE2C" w14:textId="77777777" w:rsidR="00C42229" w:rsidRPr="00D55B59" w:rsidRDefault="00C42229" w:rsidP="001C2A6A">
            <w:pPr>
              <w:pStyle w:val="Default"/>
              <w:keepNext/>
              <w:keepLines/>
              <w:jc w:val="center"/>
              <w:rPr>
                <w:sz w:val="22"/>
                <w:szCs w:val="22"/>
                <w:lang w:val="en-GB" w:eastAsia="en-GB"/>
                <w:rPrChange w:id="606" w:author="Author">
                  <w:rPr>
                    <w:sz w:val="22"/>
                    <w:szCs w:val="22"/>
                    <w:lang w:eastAsia="en-GB"/>
                  </w:rPr>
                </w:rPrChange>
              </w:rPr>
            </w:pPr>
            <w:r w:rsidRPr="00D55B59">
              <w:rPr>
                <w:sz w:val="22"/>
                <w:szCs w:val="22"/>
                <w:lang w:val="en-GB"/>
                <w:rPrChange w:id="607" w:author="Author">
                  <w:rPr>
                    <w:sz w:val="22"/>
                    <w:szCs w:val="22"/>
                  </w:rPr>
                </w:rPrChange>
              </w:rPr>
              <w:t>Week 12</w:t>
            </w:r>
          </w:p>
        </w:tc>
        <w:tc>
          <w:tcPr>
            <w:tcW w:w="3024" w:type="dxa"/>
          </w:tcPr>
          <w:p w14:paraId="05F25D74" w14:textId="77777777" w:rsidR="00C42229" w:rsidRPr="00D55B59" w:rsidRDefault="00C42229" w:rsidP="001C2A6A">
            <w:pPr>
              <w:pStyle w:val="Default"/>
              <w:keepNext/>
              <w:keepLines/>
              <w:jc w:val="center"/>
              <w:rPr>
                <w:sz w:val="22"/>
                <w:szCs w:val="22"/>
                <w:lang w:val="en-GB" w:eastAsia="en-GB"/>
                <w:rPrChange w:id="608" w:author="Author">
                  <w:rPr>
                    <w:sz w:val="22"/>
                    <w:szCs w:val="22"/>
                    <w:lang w:eastAsia="en-GB"/>
                  </w:rPr>
                </w:rPrChange>
              </w:rPr>
            </w:pPr>
            <w:r w:rsidRPr="00D55B59">
              <w:rPr>
                <w:sz w:val="22"/>
                <w:szCs w:val="22"/>
                <w:lang w:val="en-GB"/>
                <w:rPrChange w:id="609" w:author="Author">
                  <w:rPr>
                    <w:sz w:val="22"/>
                    <w:szCs w:val="22"/>
                  </w:rPr>
                </w:rPrChange>
              </w:rPr>
              <w:t>16%</w:t>
            </w:r>
          </w:p>
        </w:tc>
        <w:tc>
          <w:tcPr>
            <w:tcW w:w="3024" w:type="dxa"/>
          </w:tcPr>
          <w:p w14:paraId="3DF7D8D9" w14:textId="77777777" w:rsidR="00C42229" w:rsidRPr="00D55B59" w:rsidRDefault="00C42229" w:rsidP="001C2A6A">
            <w:pPr>
              <w:pStyle w:val="Default"/>
              <w:keepNext/>
              <w:keepLines/>
              <w:jc w:val="center"/>
              <w:rPr>
                <w:sz w:val="22"/>
                <w:szCs w:val="22"/>
                <w:lang w:val="en-GB" w:eastAsia="en-GB"/>
                <w:rPrChange w:id="610" w:author="Author">
                  <w:rPr>
                    <w:sz w:val="22"/>
                    <w:szCs w:val="22"/>
                    <w:lang w:eastAsia="en-GB"/>
                  </w:rPr>
                </w:rPrChange>
              </w:rPr>
            </w:pPr>
            <w:r w:rsidRPr="00D55B59">
              <w:rPr>
                <w:sz w:val="22"/>
                <w:szCs w:val="22"/>
                <w:lang w:val="en-GB"/>
                <w:rPrChange w:id="611" w:author="Author">
                  <w:rPr>
                    <w:sz w:val="22"/>
                    <w:szCs w:val="22"/>
                  </w:rPr>
                </w:rPrChange>
              </w:rPr>
              <w:t>45%***</w:t>
            </w:r>
          </w:p>
        </w:tc>
      </w:tr>
      <w:tr w:rsidR="00C42229" w:rsidRPr="00F04F82" w14:paraId="69F5D55A" w14:textId="77777777" w:rsidTr="00A66CE9">
        <w:trPr>
          <w:trHeight w:val="147"/>
        </w:trPr>
        <w:tc>
          <w:tcPr>
            <w:tcW w:w="3024" w:type="dxa"/>
          </w:tcPr>
          <w:p w14:paraId="7F812358" w14:textId="77777777" w:rsidR="00C42229" w:rsidRPr="00D55B59" w:rsidRDefault="00C42229" w:rsidP="00FB5458">
            <w:pPr>
              <w:pStyle w:val="Default"/>
              <w:jc w:val="center"/>
              <w:rPr>
                <w:sz w:val="22"/>
                <w:szCs w:val="22"/>
                <w:lang w:val="en-GB" w:eastAsia="en-GB"/>
                <w:rPrChange w:id="612" w:author="Author">
                  <w:rPr>
                    <w:sz w:val="22"/>
                    <w:szCs w:val="22"/>
                    <w:lang w:eastAsia="en-GB"/>
                  </w:rPr>
                </w:rPrChange>
              </w:rPr>
            </w:pPr>
            <w:r w:rsidRPr="00D55B59">
              <w:rPr>
                <w:sz w:val="22"/>
                <w:szCs w:val="22"/>
                <w:lang w:val="en-GB"/>
                <w:rPrChange w:id="613" w:author="Author">
                  <w:rPr>
                    <w:sz w:val="22"/>
                    <w:szCs w:val="22"/>
                  </w:rPr>
                </w:rPrChange>
              </w:rPr>
              <w:t>Week 24</w:t>
            </w:r>
          </w:p>
        </w:tc>
        <w:tc>
          <w:tcPr>
            <w:tcW w:w="3024" w:type="dxa"/>
          </w:tcPr>
          <w:p w14:paraId="1835E513" w14:textId="77777777" w:rsidR="00C42229" w:rsidRPr="00D55B59" w:rsidRDefault="00C42229" w:rsidP="00FB5458">
            <w:pPr>
              <w:pStyle w:val="Default"/>
              <w:jc w:val="center"/>
              <w:rPr>
                <w:sz w:val="22"/>
                <w:szCs w:val="22"/>
                <w:lang w:val="en-GB" w:eastAsia="en-GB"/>
                <w:rPrChange w:id="614" w:author="Author">
                  <w:rPr>
                    <w:sz w:val="22"/>
                    <w:szCs w:val="22"/>
                    <w:lang w:eastAsia="en-GB"/>
                  </w:rPr>
                </w:rPrChange>
              </w:rPr>
            </w:pPr>
            <w:r w:rsidRPr="00D55B59">
              <w:rPr>
                <w:sz w:val="22"/>
                <w:szCs w:val="22"/>
                <w:lang w:val="en-GB"/>
                <w:rPrChange w:id="615" w:author="Author">
                  <w:rPr>
                    <w:sz w:val="22"/>
                    <w:szCs w:val="22"/>
                  </w:rPr>
                </w:rPrChange>
              </w:rPr>
              <w:t>15%</w:t>
            </w:r>
          </w:p>
        </w:tc>
        <w:tc>
          <w:tcPr>
            <w:tcW w:w="3024" w:type="dxa"/>
          </w:tcPr>
          <w:p w14:paraId="66A1D85A" w14:textId="77777777" w:rsidR="00C42229" w:rsidRPr="001775D9" w:rsidRDefault="00C42229" w:rsidP="00FB5458">
            <w:pPr>
              <w:keepNext/>
              <w:tabs>
                <w:tab w:val="clear" w:pos="567"/>
              </w:tabs>
              <w:autoSpaceDE w:val="0"/>
              <w:autoSpaceDN w:val="0"/>
              <w:adjustRightInd w:val="0"/>
              <w:spacing w:line="240" w:lineRule="auto"/>
              <w:jc w:val="center"/>
              <w:rPr>
                <w:color w:val="000000"/>
                <w:szCs w:val="22"/>
                <w:lang w:eastAsia="en-GB"/>
              </w:rPr>
            </w:pPr>
            <w:r w:rsidRPr="001775D9">
              <w:rPr>
                <w:szCs w:val="22"/>
              </w:rPr>
              <w:t>42%***</w:t>
            </w:r>
          </w:p>
        </w:tc>
      </w:tr>
    </w:tbl>
    <w:p w14:paraId="1706C3AD"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color w:val="000000"/>
          <w:sz w:val="20"/>
          <w:lang w:eastAsia="en-GB"/>
        </w:rPr>
        <w:t>***,</w:t>
      </w:r>
      <w:r w:rsidR="00BE6BE7" w:rsidRPr="001775D9">
        <w:rPr>
          <w:color w:val="000000"/>
          <w:sz w:val="20"/>
          <w:lang w:eastAsia="en-GB"/>
        </w:rPr>
        <w:t xml:space="preserve"> </w:t>
      </w:r>
      <w:r w:rsidRPr="001775D9">
        <w:rPr>
          <w:color w:val="000000"/>
          <w:sz w:val="20"/>
          <w:lang w:eastAsia="en-GB"/>
        </w:rPr>
        <w:t>** Statistically significant at p</w:t>
      </w:r>
      <w:r w:rsidRPr="001775D9">
        <w:rPr>
          <w:sz w:val="20"/>
        </w:rPr>
        <w:t> </w:t>
      </w:r>
      <w:r w:rsidRPr="001775D9">
        <w:rPr>
          <w:color w:val="000000"/>
          <w:sz w:val="20"/>
          <w:lang w:eastAsia="en-GB"/>
        </w:rPr>
        <w:t>&lt;</w:t>
      </w:r>
      <w:r w:rsidRPr="001775D9">
        <w:rPr>
          <w:sz w:val="20"/>
        </w:rPr>
        <w:t> </w:t>
      </w:r>
      <w:r w:rsidRPr="001775D9">
        <w:rPr>
          <w:sz w:val="20"/>
          <w:lang w:eastAsia="en-GB"/>
        </w:rPr>
        <w:t>0.001, &lt;</w:t>
      </w:r>
      <w:r w:rsidRPr="001775D9">
        <w:rPr>
          <w:sz w:val="20"/>
        </w:rPr>
        <w:t> </w:t>
      </w:r>
      <w:r w:rsidRPr="001775D9">
        <w:rPr>
          <w:sz w:val="20"/>
          <w:lang w:eastAsia="en-GB"/>
        </w:rPr>
        <w:t xml:space="preserve">0.01 for all comparisons between </w:t>
      </w:r>
      <w:r w:rsidR="00D0694A" w:rsidRPr="001775D9">
        <w:rPr>
          <w:rFonts w:eastAsia="Times New Roman"/>
          <w:color w:val="000000"/>
          <w:sz w:val="20"/>
        </w:rPr>
        <w:t>adalimumab</w:t>
      </w:r>
      <w:r w:rsidRPr="001775D9">
        <w:rPr>
          <w:sz w:val="20"/>
          <w:lang w:eastAsia="en-GB"/>
        </w:rPr>
        <w:t xml:space="preserve"> and placebo at </w:t>
      </w:r>
      <w:r w:rsidR="0027224F" w:rsidRPr="001775D9">
        <w:rPr>
          <w:sz w:val="20"/>
          <w:lang w:eastAsia="en-GB"/>
        </w:rPr>
        <w:t>week</w:t>
      </w:r>
      <w:r w:rsidRPr="001775D9">
        <w:rPr>
          <w:sz w:val="20"/>
          <w:lang w:eastAsia="en-GB"/>
        </w:rPr>
        <w:t xml:space="preserve">s 2, 12 and 24 </w:t>
      </w:r>
    </w:p>
    <w:p w14:paraId="798D7F7D"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vertAlign w:val="subscript"/>
          <w:lang w:eastAsia="en-GB"/>
        </w:rPr>
        <w:t xml:space="preserve"> </w:t>
      </w:r>
      <w:r w:rsidRPr="001775D9">
        <w:rPr>
          <w:sz w:val="20"/>
          <w:lang w:eastAsia="en-GB"/>
        </w:rPr>
        <w:t>A</w:t>
      </w:r>
      <w:r w:rsidR="0027224F" w:rsidRPr="001775D9">
        <w:rPr>
          <w:sz w:val="20"/>
          <w:lang w:eastAsia="en-GB"/>
        </w:rPr>
        <w:t>s</w:t>
      </w:r>
      <w:r w:rsidRPr="001775D9">
        <w:rPr>
          <w:sz w:val="20"/>
          <w:lang w:eastAsia="en-GB"/>
        </w:rPr>
        <w:t xml:space="preserve">sessments in Ankylosing Spondylitis </w:t>
      </w:r>
    </w:p>
    <w:p w14:paraId="4460CEBA"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Bath Ankylosing Spondylitis Disease Activity Index</w:t>
      </w:r>
    </w:p>
    <w:p w14:paraId="50E79A33"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0136E31" w14:textId="77777777" w:rsidR="00C42229" w:rsidRPr="001775D9" w:rsidRDefault="00D0694A" w:rsidP="00FB5458">
      <w:pPr>
        <w:tabs>
          <w:tab w:val="clear" w:pos="567"/>
        </w:tabs>
        <w:autoSpaceDE w:val="0"/>
        <w:autoSpaceDN w:val="0"/>
        <w:adjustRightInd w:val="0"/>
        <w:spacing w:line="240" w:lineRule="auto"/>
        <w:rPr>
          <w:szCs w:val="22"/>
          <w:lang w:eastAsia="en-GB"/>
        </w:rPr>
      </w:pPr>
      <w:r w:rsidRPr="001775D9">
        <w:rPr>
          <w:rFonts w:eastAsia="Times New Roman"/>
          <w:color w:val="000000"/>
          <w:szCs w:val="22"/>
        </w:rPr>
        <w:t>Adalimumab</w:t>
      </w:r>
      <w:r w:rsidR="00A515F5" w:rsidRPr="001775D9">
        <w:rPr>
          <w:szCs w:val="22"/>
          <w:lang w:eastAsia="en-GB"/>
        </w:rPr>
        <w:t>-</w:t>
      </w:r>
      <w:r w:rsidR="00C42229" w:rsidRPr="001775D9">
        <w:rPr>
          <w:szCs w:val="22"/>
          <w:lang w:eastAsia="en-GB"/>
        </w:rPr>
        <w:t xml:space="preserve">treated patients had significantly greater improvement at </w:t>
      </w:r>
      <w:r w:rsidR="0027224F" w:rsidRPr="001775D9">
        <w:rPr>
          <w:szCs w:val="22"/>
          <w:lang w:eastAsia="en-GB"/>
        </w:rPr>
        <w:t>week</w:t>
      </w:r>
      <w:r w:rsidR="00C42229" w:rsidRPr="001775D9">
        <w:rPr>
          <w:szCs w:val="22"/>
          <w:lang w:eastAsia="en-GB"/>
        </w:rPr>
        <w:t xml:space="preserve"> 12 which was maintained through </w:t>
      </w:r>
      <w:r w:rsidR="0027224F" w:rsidRPr="001775D9">
        <w:rPr>
          <w:szCs w:val="22"/>
          <w:lang w:eastAsia="en-GB"/>
        </w:rPr>
        <w:t>week</w:t>
      </w:r>
      <w:r w:rsidR="00C42229" w:rsidRPr="001775D9">
        <w:rPr>
          <w:szCs w:val="22"/>
          <w:lang w:eastAsia="en-GB"/>
        </w:rPr>
        <w:t xml:space="preserve"> 24 in both the SF36 and Ankylosing Spondylitis Quality of Life Questionnaire (ASQoL). </w:t>
      </w:r>
    </w:p>
    <w:p w14:paraId="64773B92"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D352DD9"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lang w:eastAsia="en-GB"/>
        </w:rPr>
        <w:t>Similar trends (not all statistically significant) were seen in the smaller randomised, double</w:t>
      </w:r>
      <w:r w:rsidR="004C4044" w:rsidRPr="001775D9">
        <w:rPr>
          <w:szCs w:val="22"/>
          <w:lang w:eastAsia="en-GB"/>
        </w:rPr>
        <w:t>-</w:t>
      </w:r>
      <w:r w:rsidRPr="001775D9">
        <w:rPr>
          <w:szCs w:val="22"/>
          <w:lang w:eastAsia="en-GB"/>
        </w:rPr>
        <w:t>blind, placebo controlled AS study II of 82 adult patients with active ankylosing spondylitis.</w:t>
      </w:r>
    </w:p>
    <w:p w14:paraId="0C2CC78F"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2CF077BE" w14:textId="77777777" w:rsidR="00C42229" w:rsidRPr="001775D9" w:rsidRDefault="00C42229" w:rsidP="00FB5458">
      <w:pPr>
        <w:keepNext/>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Axial spondyloarthritis without radiographic evidence of AS </w:t>
      </w:r>
    </w:p>
    <w:p w14:paraId="202E6FBE"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30819CF2" w14:textId="4E7EBBC8" w:rsidR="004C5D91" w:rsidRPr="00D55B59" w:rsidRDefault="004C5D91" w:rsidP="004C5D91">
      <w:pPr>
        <w:tabs>
          <w:tab w:val="clear" w:pos="567"/>
        </w:tabs>
        <w:autoSpaceDE w:val="0"/>
        <w:autoSpaceDN w:val="0"/>
        <w:adjustRightInd w:val="0"/>
        <w:spacing w:line="240" w:lineRule="auto"/>
        <w:rPr>
          <w:rFonts w:eastAsia="Times New Roman"/>
          <w:color w:val="000000"/>
          <w:szCs w:val="22"/>
          <w:rPrChange w:id="616" w:author="Author">
            <w:rPr>
              <w:rFonts w:eastAsia="Times New Roman"/>
              <w:color w:val="000000"/>
              <w:szCs w:val="22"/>
              <w:lang w:val="en-US"/>
            </w:rPr>
          </w:rPrChange>
        </w:rPr>
      </w:pPr>
      <w:r w:rsidRPr="00D55B59">
        <w:rPr>
          <w:rFonts w:eastAsia="Times New Roman"/>
          <w:bCs/>
          <w:iCs/>
          <w:color w:val="000000"/>
          <w:szCs w:val="22"/>
          <w:rPrChange w:id="617" w:author="Author">
            <w:rPr>
              <w:rFonts w:eastAsia="Times New Roman"/>
              <w:bCs/>
              <w:iCs/>
              <w:color w:val="000000"/>
              <w:szCs w:val="22"/>
              <w:lang w:val="en-US"/>
            </w:rPr>
          </w:rPrChange>
        </w:rPr>
        <w:t xml:space="preserve">The safety and efficacy of </w:t>
      </w:r>
      <w:r w:rsidR="00252DE5" w:rsidRPr="00D55B59">
        <w:rPr>
          <w:rFonts w:eastAsia="Times New Roman"/>
          <w:color w:val="000000"/>
          <w:szCs w:val="22"/>
          <w:rPrChange w:id="618" w:author="Author">
            <w:rPr>
              <w:rFonts w:eastAsia="Times New Roman"/>
              <w:color w:val="000000"/>
              <w:szCs w:val="22"/>
              <w:lang w:val="en-US"/>
            </w:rPr>
          </w:rPrChange>
        </w:rPr>
        <w:t>a</w:t>
      </w:r>
      <w:r w:rsidR="00731332" w:rsidRPr="00D55B59">
        <w:rPr>
          <w:rFonts w:eastAsia="Times New Roman"/>
          <w:color w:val="000000"/>
          <w:szCs w:val="22"/>
          <w:rPrChange w:id="619" w:author="Author">
            <w:rPr>
              <w:rFonts w:eastAsia="Times New Roman"/>
              <w:color w:val="000000"/>
              <w:szCs w:val="22"/>
              <w:lang w:val="en-US"/>
            </w:rPr>
          </w:rPrChange>
        </w:rPr>
        <w:t>dalimumab</w:t>
      </w:r>
      <w:r w:rsidRPr="00D55B59">
        <w:rPr>
          <w:rFonts w:eastAsia="Times New Roman"/>
          <w:color w:val="000000"/>
          <w:szCs w:val="22"/>
          <w:rPrChange w:id="620" w:author="Author">
            <w:rPr>
              <w:rFonts w:eastAsia="Times New Roman"/>
              <w:color w:val="000000"/>
              <w:szCs w:val="22"/>
              <w:lang w:val="en-US"/>
            </w:rPr>
          </w:rPrChange>
        </w:rPr>
        <w:t xml:space="preserve"> were assessed in two randomi</w:t>
      </w:r>
      <w:r w:rsidR="00747B80" w:rsidRPr="00D55B59">
        <w:rPr>
          <w:rFonts w:eastAsia="Times New Roman"/>
          <w:color w:val="000000"/>
          <w:szCs w:val="22"/>
          <w:rPrChange w:id="621" w:author="Author">
            <w:rPr>
              <w:rFonts w:eastAsia="Times New Roman"/>
              <w:color w:val="000000"/>
              <w:szCs w:val="22"/>
              <w:lang w:val="en-US"/>
            </w:rPr>
          </w:rPrChange>
        </w:rPr>
        <w:t>s</w:t>
      </w:r>
      <w:r w:rsidRPr="00D55B59">
        <w:rPr>
          <w:rFonts w:eastAsia="Times New Roman"/>
          <w:color w:val="000000"/>
          <w:szCs w:val="22"/>
          <w:rPrChange w:id="622" w:author="Author">
            <w:rPr>
              <w:rFonts w:eastAsia="Times New Roman"/>
              <w:color w:val="000000"/>
              <w:szCs w:val="22"/>
              <w:lang w:val="en-US"/>
            </w:rPr>
          </w:rPrChange>
        </w:rPr>
        <w:t xml:space="preserve">ed, double-blind placebo-controlled studies in patients with non-radiographic axial spondyloarthritis (nr-axSpA). Study nr-axSpA I evaluated patients with active nr-axSpA. Study nr-axSpA II was a treatment withdrawal study in active nr-axSpA patients who achieved remission during open-label treatment with </w:t>
      </w:r>
      <w:r w:rsidR="00990C13" w:rsidRPr="00D55B59">
        <w:rPr>
          <w:rFonts w:eastAsia="Times New Roman"/>
          <w:color w:val="000000"/>
          <w:szCs w:val="22"/>
          <w:rPrChange w:id="623" w:author="Author">
            <w:rPr>
              <w:rFonts w:eastAsia="Times New Roman"/>
              <w:color w:val="000000"/>
              <w:szCs w:val="22"/>
              <w:lang w:val="en-US"/>
            </w:rPr>
          </w:rPrChange>
        </w:rPr>
        <w:t>a</w:t>
      </w:r>
      <w:r w:rsidR="00731332" w:rsidRPr="00D55B59">
        <w:rPr>
          <w:rFonts w:eastAsia="Times New Roman"/>
          <w:color w:val="000000"/>
          <w:szCs w:val="22"/>
          <w:rPrChange w:id="624" w:author="Author">
            <w:rPr>
              <w:rFonts w:eastAsia="Times New Roman"/>
              <w:color w:val="000000"/>
              <w:szCs w:val="22"/>
              <w:lang w:val="en-US"/>
            </w:rPr>
          </w:rPrChange>
        </w:rPr>
        <w:t>dalimumab</w:t>
      </w:r>
      <w:r w:rsidRPr="00D55B59">
        <w:rPr>
          <w:rFonts w:eastAsia="Times New Roman"/>
          <w:color w:val="000000"/>
          <w:szCs w:val="22"/>
          <w:rPrChange w:id="625" w:author="Author">
            <w:rPr>
              <w:rFonts w:eastAsia="Times New Roman"/>
              <w:color w:val="000000"/>
              <w:szCs w:val="22"/>
              <w:lang w:val="en-US"/>
            </w:rPr>
          </w:rPrChange>
        </w:rPr>
        <w:t>.</w:t>
      </w:r>
    </w:p>
    <w:p w14:paraId="776ED058" w14:textId="77777777" w:rsidR="004C5D91" w:rsidRPr="00D55B59" w:rsidRDefault="004C5D91" w:rsidP="004C5D91">
      <w:pPr>
        <w:tabs>
          <w:tab w:val="clear" w:pos="567"/>
        </w:tabs>
        <w:autoSpaceDE w:val="0"/>
        <w:autoSpaceDN w:val="0"/>
        <w:adjustRightInd w:val="0"/>
        <w:spacing w:line="240" w:lineRule="auto"/>
        <w:rPr>
          <w:rFonts w:eastAsia="Times New Roman"/>
          <w:color w:val="000000"/>
          <w:szCs w:val="22"/>
          <w:rPrChange w:id="626" w:author="Author">
            <w:rPr>
              <w:rFonts w:eastAsia="Times New Roman"/>
              <w:color w:val="000000"/>
              <w:szCs w:val="22"/>
              <w:lang w:val="en-US"/>
            </w:rPr>
          </w:rPrChange>
        </w:rPr>
      </w:pPr>
    </w:p>
    <w:p w14:paraId="713BB767" w14:textId="77777777" w:rsidR="004C5D91" w:rsidRPr="00D55B59" w:rsidRDefault="004C5D91" w:rsidP="004C5D91">
      <w:pPr>
        <w:tabs>
          <w:tab w:val="clear" w:pos="567"/>
        </w:tabs>
        <w:autoSpaceDE w:val="0"/>
        <w:autoSpaceDN w:val="0"/>
        <w:adjustRightInd w:val="0"/>
        <w:spacing w:line="240" w:lineRule="auto"/>
        <w:rPr>
          <w:rFonts w:eastAsia="Times New Roman"/>
          <w:color w:val="000000"/>
          <w:szCs w:val="22"/>
          <w:rPrChange w:id="627" w:author="Author">
            <w:rPr>
              <w:rFonts w:eastAsia="Times New Roman"/>
              <w:color w:val="000000"/>
              <w:szCs w:val="22"/>
              <w:lang w:val="en-US"/>
            </w:rPr>
          </w:rPrChange>
        </w:rPr>
      </w:pPr>
      <w:r w:rsidRPr="00D55B59">
        <w:rPr>
          <w:rFonts w:eastAsia="Times New Roman"/>
          <w:color w:val="000000"/>
          <w:szCs w:val="22"/>
          <w:rPrChange w:id="628" w:author="Author">
            <w:rPr>
              <w:rFonts w:eastAsia="Times New Roman"/>
              <w:color w:val="000000"/>
              <w:szCs w:val="22"/>
              <w:lang w:val="en-US"/>
            </w:rPr>
          </w:rPrChange>
        </w:rPr>
        <w:t>Study nr-axSpA I</w:t>
      </w:r>
    </w:p>
    <w:p w14:paraId="1AF7D8F1" w14:textId="77777777" w:rsidR="004C5D91" w:rsidRPr="00D55B59" w:rsidRDefault="004C5D91" w:rsidP="00FB5458">
      <w:pPr>
        <w:tabs>
          <w:tab w:val="clear" w:pos="567"/>
        </w:tabs>
        <w:autoSpaceDE w:val="0"/>
        <w:autoSpaceDN w:val="0"/>
        <w:adjustRightInd w:val="0"/>
        <w:spacing w:line="240" w:lineRule="auto"/>
        <w:rPr>
          <w:rFonts w:eastAsia="Times New Roman"/>
          <w:color w:val="000000"/>
          <w:szCs w:val="22"/>
          <w:rPrChange w:id="629" w:author="Author">
            <w:rPr>
              <w:rFonts w:eastAsia="Times New Roman"/>
              <w:color w:val="000000"/>
              <w:szCs w:val="22"/>
              <w:lang w:val="en-US"/>
            </w:rPr>
          </w:rPrChange>
        </w:rPr>
      </w:pPr>
    </w:p>
    <w:p w14:paraId="314A4608" w14:textId="78BAD71B" w:rsidR="00C42229" w:rsidRPr="001775D9" w:rsidRDefault="004C5D91" w:rsidP="00FB5458">
      <w:pPr>
        <w:tabs>
          <w:tab w:val="clear" w:pos="567"/>
        </w:tabs>
        <w:autoSpaceDE w:val="0"/>
        <w:autoSpaceDN w:val="0"/>
        <w:adjustRightInd w:val="0"/>
        <w:spacing w:line="240" w:lineRule="auto"/>
        <w:rPr>
          <w:szCs w:val="22"/>
          <w:lang w:eastAsia="en-GB"/>
        </w:rPr>
      </w:pPr>
      <w:r w:rsidRPr="001775D9">
        <w:rPr>
          <w:rFonts w:eastAsia="Times New Roman"/>
          <w:color w:val="000000"/>
          <w:szCs w:val="22"/>
        </w:rPr>
        <w:t>In Study nr-axSpA I, a</w:t>
      </w:r>
      <w:r w:rsidR="00D0694A" w:rsidRPr="001775D9">
        <w:rPr>
          <w:rFonts w:eastAsia="Times New Roman"/>
          <w:color w:val="000000"/>
          <w:szCs w:val="22"/>
        </w:rPr>
        <w:t>dalimumab</w:t>
      </w:r>
      <w:r w:rsidR="00C42229" w:rsidRPr="001775D9">
        <w:rPr>
          <w:szCs w:val="22"/>
          <w:lang w:eastAsia="en-GB"/>
        </w:rPr>
        <w:t xml:space="preserve"> 40</w:t>
      </w:r>
      <w:r w:rsidR="00C42229" w:rsidRPr="001775D9">
        <w:rPr>
          <w:szCs w:val="22"/>
        </w:rPr>
        <w:t> </w:t>
      </w:r>
      <w:r w:rsidR="00C42229" w:rsidRPr="001775D9">
        <w:rPr>
          <w:szCs w:val="22"/>
          <w:lang w:eastAsia="en-GB"/>
        </w:rPr>
        <w:t xml:space="preserve">mg every other week was assessed in </w:t>
      </w:r>
      <w:r w:rsidR="00D0694A" w:rsidRPr="001775D9">
        <w:rPr>
          <w:szCs w:val="22"/>
          <w:lang w:eastAsia="en-GB"/>
        </w:rPr>
        <w:t xml:space="preserve">185 patients in </w:t>
      </w:r>
      <w:r w:rsidRPr="001775D9">
        <w:rPr>
          <w:szCs w:val="22"/>
          <w:lang w:eastAsia="en-GB"/>
        </w:rPr>
        <w:t xml:space="preserve">a </w:t>
      </w:r>
      <w:r w:rsidR="00D0694A" w:rsidRPr="001775D9">
        <w:rPr>
          <w:szCs w:val="22"/>
          <w:lang w:eastAsia="en-GB"/>
        </w:rPr>
        <w:t>randomis</w:t>
      </w:r>
      <w:r w:rsidR="00C42229" w:rsidRPr="001775D9">
        <w:rPr>
          <w:szCs w:val="22"/>
          <w:lang w:eastAsia="en-GB"/>
        </w:rPr>
        <w:t>ed, 12 week double-blind, placebo-controlled study in patients with active</w:t>
      </w:r>
      <w:r w:rsidRPr="001775D9">
        <w:rPr>
          <w:szCs w:val="22"/>
          <w:lang w:eastAsia="en-GB"/>
        </w:rPr>
        <w:t xml:space="preserve"> nr-axSpA</w:t>
      </w:r>
      <w:r w:rsidR="00880D1B" w:rsidRPr="001775D9">
        <w:rPr>
          <w:szCs w:val="22"/>
          <w:lang w:eastAsia="en-GB"/>
        </w:rPr>
        <w:t xml:space="preserve"> </w:t>
      </w:r>
      <w:r w:rsidR="00C42229" w:rsidRPr="001775D9">
        <w:rPr>
          <w:szCs w:val="22"/>
          <w:lang w:eastAsia="en-GB"/>
        </w:rPr>
        <w:t xml:space="preserve">(mean baseline score of disease activity [Bath Ankylosing Spondylitis Disease Activity Index (BASDAI)] was 6.4 for patients treated with </w:t>
      </w:r>
      <w:r w:rsidR="00D0694A" w:rsidRPr="001775D9">
        <w:rPr>
          <w:rFonts w:eastAsia="Times New Roman"/>
          <w:color w:val="000000"/>
          <w:szCs w:val="22"/>
        </w:rPr>
        <w:t>adalimumab</w:t>
      </w:r>
      <w:r w:rsidR="00C42229" w:rsidRPr="001775D9">
        <w:rPr>
          <w:szCs w:val="22"/>
          <w:lang w:eastAsia="en-GB"/>
        </w:rPr>
        <w:t xml:space="preserve"> and 6.5 for those on placebo) who have had an inadequate response to or intolerance to ≥</w:t>
      </w:r>
      <w:r w:rsidR="00C42229" w:rsidRPr="001775D9">
        <w:rPr>
          <w:szCs w:val="22"/>
        </w:rPr>
        <w:t> </w:t>
      </w:r>
      <w:r w:rsidR="00C42229" w:rsidRPr="001775D9">
        <w:rPr>
          <w:szCs w:val="22"/>
          <w:lang w:eastAsia="en-GB"/>
        </w:rPr>
        <w:t xml:space="preserve">1 NSAIDs, or a contraindication for NSAIDs. </w:t>
      </w:r>
    </w:p>
    <w:p w14:paraId="096D686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54A82BE" w14:textId="1D5C1988" w:rsidR="00C42229" w:rsidRPr="001775D9" w:rsidRDefault="00747B80" w:rsidP="00FB5458">
      <w:pPr>
        <w:tabs>
          <w:tab w:val="clear" w:pos="567"/>
        </w:tabs>
        <w:autoSpaceDE w:val="0"/>
        <w:autoSpaceDN w:val="0"/>
        <w:adjustRightInd w:val="0"/>
        <w:spacing w:line="240" w:lineRule="auto"/>
        <w:rPr>
          <w:szCs w:val="22"/>
          <w:lang w:eastAsia="en-GB"/>
        </w:rPr>
      </w:pPr>
      <w:r w:rsidRPr="001775D9">
        <w:rPr>
          <w:szCs w:val="22"/>
          <w:lang w:eastAsia="en-GB"/>
        </w:rPr>
        <w:t xml:space="preserve">Thirty-three (18%) </w:t>
      </w:r>
      <w:r w:rsidR="00C42229" w:rsidRPr="001775D9">
        <w:rPr>
          <w:szCs w:val="22"/>
          <w:lang w:eastAsia="en-GB"/>
        </w:rPr>
        <w:t>patients were treated concomitantly with disease</w:t>
      </w:r>
      <w:r w:rsidR="000C348C" w:rsidRPr="001775D9">
        <w:rPr>
          <w:szCs w:val="22"/>
          <w:lang w:eastAsia="en-GB"/>
        </w:rPr>
        <w:t>-</w:t>
      </w:r>
      <w:r w:rsidR="00C42229" w:rsidRPr="001775D9">
        <w:rPr>
          <w:szCs w:val="22"/>
          <w:lang w:eastAsia="en-GB"/>
        </w:rPr>
        <w:t xml:space="preserve">modifying anti-rheumatic drugs, and 146 (79%) patients with NSAIDs at baseline. The double-blind period was followed by an open-label period during which patients receive </w:t>
      </w:r>
      <w:r w:rsidR="00D0694A" w:rsidRPr="001775D9">
        <w:rPr>
          <w:rFonts w:eastAsia="Times New Roman"/>
          <w:color w:val="000000"/>
          <w:szCs w:val="22"/>
        </w:rPr>
        <w:t>adalimumab</w:t>
      </w:r>
      <w:r w:rsidR="00C42229" w:rsidRPr="001775D9">
        <w:rPr>
          <w:szCs w:val="22"/>
          <w:lang w:eastAsia="en-GB"/>
        </w:rPr>
        <w:t xml:space="preserve"> 40</w:t>
      </w:r>
      <w:r w:rsidR="00C42229" w:rsidRPr="001775D9">
        <w:rPr>
          <w:szCs w:val="22"/>
        </w:rPr>
        <w:t> </w:t>
      </w:r>
      <w:r w:rsidR="00C42229" w:rsidRPr="001775D9">
        <w:rPr>
          <w:szCs w:val="22"/>
          <w:lang w:eastAsia="en-GB"/>
        </w:rPr>
        <w:t xml:space="preserve">mg every other week subcutaneously for up to an additional 144 weeks. Week 12 results showed statistically significant improvement of the signs and symptoms of active </w:t>
      </w:r>
      <w:r w:rsidR="004C5D91" w:rsidRPr="001775D9">
        <w:rPr>
          <w:szCs w:val="22"/>
          <w:lang w:eastAsia="en-GB"/>
        </w:rPr>
        <w:t>nr-axSpA</w:t>
      </w:r>
      <w:r w:rsidR="00C42229" w:rsidRPr="001775D9">
        <w:rPr>
          <w:szCs w:val="22"/>
          <w:lang w:eastAsia="en-GB"/>
        </w:rPr>
        <w:t xml:space="preserve"> in patients treated with </w:t>
      </w:r>
      <w:r w:rsidR="00D0694A" w:rsidRPr="001775D9">
        <w:rPr>
          <w:rFonts w:eastAsia="Times New Roman"/>
          <w:color w:val="000000"/>
          <w:szCs w:val="22"/>
        </w:rPr>
        <w:t>adalimumab</w:t>
      </w:r>
      <w:r w:rsidR="00C42229" w:rsidRPr="001775D9">
        <w:rPr>
          <w:szCs w:val="22"/>
          <w:lang w:eastAsia="en-GB"/>
        </w:rPr>
        <w:t xml:space="preserve"> compared to placebo (</w:t>
      </w:r>
      <w:r w:rsidR="00CB7003" w:rsidRPr="001775D9">
        <w:rPr>
          <w:szCs w:val="22"/>
          <w:lang w:eastAsia="en-GB"/>
        </w:rPr>
        <w:t>table</w:t>
      </w:r>
      <w:r w:rsidR="00F27168" w:rsidRPr="001775D9">
        <w:rPr>
          <w:szCs w:val="22"/>
          <w:lang w:eastAsia="en-GB"/>
        </w:rPr>
        <w:t xml:space="preserve"> </w:t>
      </w:r>
      <w:r w:rsidR="004D7CC1" w:rsidRPr="001775D9">
        <w:rPr>
          <w:szCs w:val="22"/>
          <w:lang w:eastAsia="en-GB"/>
        </w:rPr>
        <w:t>13</w:t>
      </w:r>
      <w:r w:rsidR="00C42229" w:rsidRPr="001775D9">
        <w:rPr>
          <w:szCs w:val="22"/>
          <w:lang w:eastAsia="en-GB"/>
        </w:rPr>
        <w:t>).</w:t>
      </w:r>
    </w:p>
    <w:p w14:paraId="568698A0" w14:textId="77777777" w:rsidR="00C42229" w:rsidRPr="001775D9" w:rsidRDefault="00C42229" w:rsidP="00FB5458">
      <w:pPr>
        <w:tabs>
          <w:tab w:val="clear" w:pos="567"/>
        </w:tabs>
        <w:autoSpaceDE w:val="0"/>
        <w:autoSpaceDN w:val="0"/>
        <w:adjustRightInd w:val="0"/>
        <w:spacing w:line="240" w:lineRule="auto"/>
        <w:rPr>
          <w:color w:val="000000"/>
          <w:szCs w:val="22"/>
          <w:u w:val="single"/>
          <w:lang w:eastAsia="en-GB"/>
        </w:rPr>
      </w:pPr>
    </w:p>
    <w:p w14:paraId="049A17A8" w14:textId="35F45C3E" w:rsidR="00CD086B" w:rsidRPr="001775D9" w:rsidRDefault="00C42229" w:rsidP="00FB5458">
      <w:pPr>
        <w:keepNext/>
        <w:tabs>
          <w:tab w:val="clear" w:pos="567"/>
        </w:tabs>
        <w:autoSpaceDE w:val="0"/>
        <w:autoSpaceDN w:val="0"/>
        <w:adjustRightInd w:val="0"/>
        <w:spacing w:line="240" w:lineRule="auto"/>
        <w:rPr>
          <w:b/>
          <w:bCs/>
          <w:color w:val="000000"/>
          <w:szCs w:val="22"/>
          <w:lang w:eastAsia="en-GB"/>
        </w:rPr>
      </w:pPr>
      <w:r w:rsidRPr="001775D9">
        <w:rPr>
          <w:b/>
          <w:bCs/>
          <w:color w:val="000000"/>
          <w:szCs w:val="22"/>
          <w:lang w:eastAsia="en-GB"/>
        </w:rPr>
        <w:t xml:space="preserve">Table </w:t>
      </w:r>
      <w:r w:rsidR="004D7CC1" w:rsidRPr="001775D9">
        <w:rPr>
          <w:b/>
          <w:bCs/>
          <w:color w:val="000000"/>
          <w:szCs w:val="22"/>
          <w:lang w:eastAsia="en-GB"/>
        </w:rPr>
        <w:t>13</w:t>
      </w:r>
      <w:r w:rsidR="004D3CCE" w:rsidRPr="001775D9">
        <w:rPr>
          <w:b/>
          <w:bCs/>
          <w:color w:val="000000"/>
          <w:szCs w:val="22"/>
          <w:lang w:eastAsia="en-GB"/>
        </w:rPr>
        <w:t>.</w:t>
      </w:r>
      <w:r w:rsidR="00110304" w:rsidRPr="001775D9">
        <w:rPr>
          <w:b/>
          <w:bCs/>
          <w:color w:val="000000"/>
          <w:szCs w:val="22"/>
          <w:lang w:eastAsia="en-GB"/>
        </w:rPr>
        <w:t xml:space="preserve"> </w:t>
      </w:r>
      <w:r w:rsidRPr="001775D9">
        <w:rPr>
          <w:b/>
          <w:bCs/>
          <w:color w:val="000000"/>
          <w:szCs w:val="22"/>
          <w:lang w:eastAsia="en-GB"/>
        </w:rPr>
        <w:t xml:space="preserve">Efficacy </w:t>
      </w:r>
      <w:r w:rsidR="0027224F" w:rsidRPr="001775D9">
        <w:rPr>
          <w:b/>
          <w:bCs/>
          <w:color w:val="000000"/>
          <w:szCs w:val="22"/>
          <w:lang w:eastAsia="en-GB"/>
        </w:rPr>
        <w:t>r</w:t>
      </w:r>
      <w:r w:rsidRPr="001775D9">
        <w:rPr>
          <w:b/>
          <w:bCs/>
          <w:color w:val="000000"/>
          <w:szCs w:val="22"/>
          <w:lang w:eastAsia="en-GB"/>
        </w:rPr>
        <w:t xml:space="preserve">esponse in </w:t>
      </w:r>
      <w:r w:rsidR="0027224F" w:rsidRPr="001775D9">
        <w:rPr>
          <w:b/>
          <w:bCs/>
          <w:color w:val="000000"/>
          <w:szCs w:val="22"/>
          <w:lang w:eastAsia="en-GB"/>
        </w:rPr>
        <w:t>p</w:t>
      </w:r>
      <w:r w:rsidRPr="001775D9">
        <w:rPr>
          <w:b/>
          <w:bCs/>
          <w:color w:val="000000"/>
          <w:szCs w:val="22"/>
          <w:lang w:eastAsia="en-GB"/>
        </w:rPr>
        <w:t>lacebo-</w:t>
      </w:r>
      <w:r w:rsidR="0027224F" w:rsidRPr="001775D9">
        <w:rPr>
          <w:b/>
          <w:bCs/>
          <w:color w:val="000000"/>
          <w:szCs w:val="22"/>
          <w:lang w:eastAsia="en-GB"/>
        </w:rPr>
        <w:t>c</w:t>
      </w:r>
      <w:r w:rsidRPr="001775D9">
        <w:rPr>
          <w:b/>
          <w:bCs/>
          <w:color w:val="000000"/>
          <w:szCs w:val="22"/>
          <w:lang w:eastAsia="en-GB"/>
        </w:rPr>
        <w:t xml:space="preserve">ontrolled </w:t>
      </w:r>
      <w:r w:rsidR="005862A3" w:rsidRPr="001775D9">
        <w:rPr>
          <w:b/>
          <w:bCs/>
          <w:color w:val="000000"/>
          <w:szCs w:val="22"/>
          <w:lang w:eastAsia="en-GB"/>
        </w:rPr>
        <w:t>s</w:t>
      </w:r>
      <w:r w:rsidRPr="001775D9">
        <w:rPr>
          <w:b/>
          <w:bCs/>
          <w:color w:val="000000"/>
          <w:szCs w:val="22"/>
          <w:lang w:eastAsia="en-GB"/>
        </w:rPr>
        <w:t xml:space="preserve">tudy </w:t>
      </w:r>
      <w:r w:rsidR="004C5D91" w:rsidRPr="001775D9">
        <w:rPr>
          <w:b/>
          <w:bCs/>
          <w:color w:val="000000"/>
          <w:szCs w:val="22"/>
          <w:lang w:eastAsia="en-GB"/>
        </w:rPr>
        <w:t>nr-axSpA I</w:t>
      </w:r>
    </w:p>
    <w:p w14:paraId="268A403B" w14:textId="77777777" w:rsidR="00C42229" w:rsidRPr="001775D9" w:rsidRDefault="00C42229" w:rsidP="00FB5458">
      <w:pPr>
        <w:keepNext/>
        <w:tabs>
          <w:tab w:val="clear" w:pos="567"/>
        </w:tabs>
        <w:autoSpaceDE w:val="0"/>
        <w:autoSpaceDN w:val="0"/>
        <w:adjustRightInd w:val="0"/>
        <w:spacing w:line="240" w:lineRule="auto"/>
        <w:rPr>
          <w:color w:val="000000"/>
          <w:szCs w:val="22"/>
          <w:u w:val="single"/>
          <w:lang w:eastAsia="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96"/>
        <w:gridCol w:w="2706"/>
        <w:gridCol w:w="3001"/>
      </w:tblGrid>
      <w:tr w:rsidR="00C42229" w:rsidRPr="00F04F82" w14:paraId="0C51C1AD"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20CED3C1" w14:textId="397C99AC" w:rsidR="00C42229" w:rsidRPr="00D55B59" w:rsidRDefault="00C42229" w:rsidP="00FB5458">
            <w:pPr>
              <w:pStyle w:val="Default"/>
              <w:keepNext/>
              <w:rPr>
                <w:color w:val="auto"/>
                <w:sz w:val="22"/>
                <w:szCs w:val="22"/>
                <w:lang w:val="en-GB"/>
                <w:rPrChange w:id="630" w:author="Author">
                  <w:rPr>
                    <w:color w:val="auto"/>
                    <w:sz w:val="22"/>
                    <w:szCs w:val="22"/>
                  </w:rPr>
                </w:rPrChange>
              </w:rPr>
            </w:pPr>
            <w:r w:rsidRPr="00D55B59">
              <w:rPr>
                <w:b/>
                <w:bCs/>
                <w:color w:val="auto"/>
                <w:sz w:val="22"/>
                <w:szCs w:val="22"/>
                <w:lang w:val="en-GB"/>
                <w:rPrChange w:id="631" w:author="Author">
                  <w:rPr>
                    <w:b/>
                    <w:bCs/>
                    <w:color w:val="auto"/>
                    <w:sz w:val="22"/>
                    <w:szCs w:val="22"/>
                  </w:rPr>
                </w:rPrChange>
              </w:rPr>
              <w:t>Double-</w:t>
            </w:r>
            <w:r w:rsidR="005862A3" w:rsidRPr="00D55B59">
              <w:rPr>
                <w:b/>
                <w:bCs/>
                <w:color w:val="auto"/>
                <w:sz w:val="22"/>
                <w:szCs w:val="22"/>
                <w:lang w:val="en-GB"/>
                <w:rPrChange w:id="632" w:author="Author">
                  <w:rPr>
                    <w:b/>
                    <w:bCs/>
                    <w:color w:val="auto"/>
                    <w:sz w:val="22"/>
                    <w:szCs w:val="22"/>
                  </w:rPr>
                </w:rPrChange>
              </w:rPr>
              <w:t>b</w:t>
            </w:r>
            <w:r w:rsidR="00E81EC5" w:rsidRPr="00D55B59">
              <w:rPr>
                <w:b/>
                <w:bCs/>
                <w:color w:val="auto"/>
                <w:sz w:val="22"/>
                <w:szCs w:val="22"/>
                <w:lang w:val="en-GB"/>
                <w:rPrChange w:id="633" w:author="Author">
                  <w:rPr>
                    <w:b/>
                    <w:bCs/>
                    <w:color w:val="auto"/>
                    <w:sz w:val="22"/>
                    <w:szCs w:val="22"/>
                  </w:rPr>
                </w:rPrChange>
              </w:rPr>
              <w:t xml:space="preserve">lind </w:t>
            </w:r>
            <w:r w:rsidR="005862A3" w:rsidRPr="00D55B59">
              <w:rPr>
                <w:b/>
                <w:bCs/>
                <w:color w:val="auto"/>
                <w:sz w:val="22"/>
                <w:szCs w:val="22"/>
                <w:lang w:val="en-GB"/>
                <w:rPrChange w:id="634" w:author="Author">
                  <w:rPr>
                    <w:b/>
                    <w:bCs/>
                    <w:color w:val="auto"/>
                    <w:sz w:val="22"/>
                    <w:szCs w:val="22"/>
                  </w:rPr>
                </w:rPrChange>
              </w:rPr>
              <w:t>r</w:t>
            </w:r>
            <w:r w:rsidR="00E81EC5" w:rsidRPr="00D55B59">
              <w:rPr>
                <w:b/>
                <w:bCs/>
                <w:color w:val="auto"/>
                <w:sz w:val="22"/>
                <w:szCs w:val="22"/>
                <w:lang w:val="en-GB"/>
                <w:rPrChange w:id="635" w:author="Author">
                  <w:rPr>
                    <w:b/>
                    <w:bCs/>
                    <w:color w:val="auto"/>
                    <w:sz w:val="22"/>
                    <w:szCs w:val="22"/>
                  </w:rPr>
                </w:rPrChange>
              </w:rPr>
              <w:t xml:space="preserve">esponse </w:t>
            </w:r>
            <w:r w:rsidRPr="00D55B59">
              <w:rPr>
                <w:b/>
                <w:bCs/>
                <w:color w:val="auto"/>
                <w:sz w:val="22"/>
                <w:szCs w:val="22"/>
                <w:lang w:val="en-GB"/>
                <w:rPrChange w:id="636" w:author="Author">
                  <w:rPr>
                    <w:b/>
                    <w:bCs/>
                    <w:color w:val="auto"/>
                    <w:sz w:val="22"/>
                    <w:szCs w:val="22"/>
                  </w:rPr>
                </w:rPrChange>
              </w:rPr>
              <w:t xml:space="preserve">at </w:t>
            </w:r>
            <w:r w:rsidR="0027224F" w:rsidRPr="00D55B59">
              <w:rPr>
                <w:b/>
                <w:sz w:val="22"/>
                <w:szCs w:val="20"/>
                <w:lang w:val="en-GB" w:eastAsia="en-GB"/>
                <w:rPrChange w:id="637" w:author="Author">
                  <w:rPr>
                    <w:b/>
                    <w:sz w:val="22"/>
                    <w:szCs w:val="20"/>
                    <w:lang w:eastAsia="en-GB"/>
                  </w:rPr>
                </w:rPrChange>
              </w:rPr>
              <w:t>week</w:t>
            </w:r>
            <w:r w:rsidR="00531F1C" w:rsidRPr="00D55B59">
              <w:rPr>
                <w:b/>
                <w:bCs/>
                <w:color w:val="auto"/>
                <w:sz w:val="22"/>
                <w:szCs w:val="22"/>
                <w:lang w:val="en-GB"/>
                <w:rPrChange w:id="638" w:author="Author">
                  <w:rPr>
                    <w:b/>
                    <w:bCs/>
                    <w:color w:val="auto"/>
                    <w:sz w:val="22"/>
                    <w:szCs w:val="22"/>
                  </w:rPr>
                </w:rPrChange>
              </w:rPr>
              <w:t> </w:t>
            </w:r>
            <w:r w:rsidRPr="00D55B59">
              <w:rPr>
                <w:b/>
                <w:bCs/>
                <w:color w:val="auto"/>
                <w:sz w:val="22"/>
                <w:szCs w:val="22"/>
                <w:lang w:val="en-GB"/>
                <w:rPrChange w:id="639" w:author="Author">
                  <w:rPr>
                    <w:b/>
                    <w:bCs/>
                    <w:color w:val="auto"/>
                    <w:sz w:val="22"/>
                    <w:szCs w:val="22"/>
                  </w:rPr>
                </w:rPrChange>
              </w:rPr>
              <w:t xml:space="preserve">12 </w:t>
            </w:r>
          </w:p>
        </w:tc>
        <w:tc>
          <w:tcPr>
            <w:tcW w:w="2706" w:type="dxa"/>
            <w:tcBorders>
              <w:top w:val="single" w:sz="4" w:space="0" w:color="auto"/>
              <w:left w:val="single" w:sz="4" w:space="0" w:color="auto"/>
              <w:bottom w:val="single" w:sz="4" w:space="0" w:color="auto"/>
              <w:right w:val="single" w:sz="4" w:space="0" w:color="auto"/>
            </w:tcBorders>
          </w:tcPr>
          <w:p w14:paraId="399E4F0E" w14:textId="77777777" w:rsidR="00C42229" w:rsidRPr="00D55B59" w:rsidRDefault="00C42229" w:rsidP="00FB5458">
            <w:pPr>
              <w:pStyle w:val="Default"/>
              <w:keepNext/>
              <w:jc w:val="center"/>
              <w:rPr>
                <w:color w:val="auto"/>
                <w:sz w:val="22"/>
                <w:szCs w:val="22"/>
                <w:lang w:val="en-GB"/>
                <w:rPrChange w:id="640" w:author="Author">
                  <w:rPr>
                    <w:color w:val="auto"/>
                    <w:sz w:val="22"/>
                    <w:szCs w:val="22"/>
                  </w:rPr>
                </w:rPrChange>
              </w:rPr>
            </w:pPr>
            <w:r w:rsidRPr="00D55B59">
              <w:rPr>
                <w:b/>
                <w:bCs/>
                <w:color w:val="auto"/>
                <w:sz w:val="22"/>
                <w:szCs w:val="22"/>
                <w:lang w:val="en-GB"/>
                <w:rPrChange w:id="641" w:author="Author">
                  <w:rPr>
                    <w:b/>
                    <w:bCs/>
                    <w:color w:val="auto"/>
                    <w:sz w:val="22"/>
                    <w:szCs w:val="22"/>
                  </w:rPr>
                </w:rPrChange>
              </w:rPr>
              <w:t>Placebo</w:t>
            </w:r>
          </w:p>
          <w:p w14:paraId="094BB1EB" w14:textId="77777777" w:rsidR="00C42229" w:rsidRPr="00D55B59" w:rsidRDefault="00C42229" w:rsidP="00FB5458">
            <w:pPr>
              <w:pStyle w:val="Default"/>
              <w:keepNext/>
              <w:jc w:val="center"/>
              <w:rPr>
                <w:color w:val="auto"/>
                <w:sz w:val="22"/>
                <w:szCs w:val="22"/>
                <w:lang w:val="en-GB"/>
                <w:rPrChange w:id="642" w:author="Author">
                  <w:rPr>
                    <w:color w:val="auto"/>
                    <w:sz w:val="22"/>
                    <w:szCs w:val="22"/>
                  </w:rPr>
                </w:rPrChange>
              </w:rPr>
            </w:pPr>
            <w:r w:rsidRPr="00D55B59">
              <w:rPr>
                <w:b/>
                <w:bCs/>
                <w:color w:val="auto"/>
                <w:sz w:val="22"/>
                <w:szCs w:val="22"/>
                <w:lang w:val="en-GB"/>
                <w:rPrChange w:id="643" w:author="Author">
                  <w:rPr>
                    <w:b/>
                    <w:bCs/>
                    <w:color w:val="auto"/>
                    <w:sz w:val="22"/>
                    <w:szCs w:val="22"/>
                  </w:rPr>
                </w:rPrChange>
              </w:rPr>
              <w:t>N</w:t>
            </w:r>
            <w:r w:rsidRPr="00D55B59">
              <w:rPr>
                <w:color w:val="auto"/>
                <w:sz w:val="22"/>
                <w:szCs w:val="22"/>
                <w:lang w:val="en-GB"/>
                <w:rPrChange w:id="644" w:author="Author">
                  <w:rPr>
                    <w:color w:val="auto"/>
                    <w:sz w:val="22"/>
                    <w:szCs w:val="22"/>
                  </w:rPr>
                </w:rPrChange>
              </w:rPr>
              <w:t> </w:t>
            </w:r>
            <w:r w:rsidRPr="00D55B59">
              <w:rPr>
                <w:b/>
                <w:bCs/>
                <w:color w:val="auto"/>
                <w:sz w:val="22"/>
                <w:szCs w:val="22"/>
                <w:lang w:val="en-GB"/>
                <w:rPrChange w:id="645" w:author="Author">
                  <w:rPr>
                    <w:b/>
                    <w:bCs/>
                    <w:color w:val="auto"/>
                    <w:sz w:val="22"/>
                    <w:szCs w:val="22"/>
                  </w:rPr>
                </w:rPrChange>
              </w:rPr>
              <w:t>=</w:t>
            </w:r>
            <w:r w:rsidRPr="00D55B59">
              <w:rPr>
                <w:color w:val="auto"/>
                <w:sz w:val="22"/>
                <w:szCs w:val="22"/>
                <w:lang w:val="en-GB"/>
                <w:rPrChange w:id="646" w:author="Author">
                  <w:rPr>
                    <w:color w:val="auto"/>
                    <w:sz w:val="22"/>
                    <w:szCs w:val="22"/>
                  </w:rPr>
                </w:rPrChange>
              </w:rPr>
              <w:t> </w:t>
            </w:r>
            <w:r w:rsidRPr="00D55B59">
              <w:rPr>
                <w:b/>
                <w:bCs/>
                <w:color w:val="auto"/>
                <w:sz w:val="22"/>
                <w:szCs w:val="22"/>
                <w:lang w:val="en-GB"/>
                <w:rPrChange w:id="647" w:author="Author">
                  <w:rPr>
                    <w:b/>
                    <w:bCs/>
                    <w:color w:val="auto"/>
                    <w:sz w:val="22"/>
                    <w:szCs w:val="22"/>
                  </w:rPr>
                </w:rPrChange>
              </w:rPr>
              <w:t>94</w:t>
            </w:r>
          </w:p>
        </w:tc>
        <w:tc>
          <w:tcPr>
            <w:tcW w:w="3001" w:type="dxa"/>
            <w:tcBorders>
              <w:top w:val="single" w:sz="4" w:space="0" w:color="auto"/>
              <w:left w:val="single" w:sz="4" w:space="0" w:color="auto"/>
              <w:bottom w:val="single" w:sz="4" w:space="0" w:color="auto"/>
              <w:right w:val="single" w:sz="4" w:space="0" w:color="auto"/>
            </w:tcBorders>
          </w:tcPr>
          <w:p w14:paraId="37F53214" w14:textId="77777777" w:rsidR="004267B0" w:rsidRPr="00D55B59" w:rsidRDefault="004267B0" w:rsidP="00FB5458">
            <w:pPr>
              <w:pStyle w:val="Default"/>
              <w:keepNext/>
              <w:jc w:val="center"/>
              <w:rPr>
                <w:b/>
                <w:sz w:val="22"/>
                <w:szCs w:val="22"/>
                <w:lang w:val="en-GB" w:eastAsia="en-GB"/>
                <w:rPrChange w:id="648" w:author="Author">
                  <w:rPr>
                    <w:b/>
                    <w:sz w:val="22"/>
                    <w:szCs w:val="22"/>
                    <w:lang w:eastAsia="en-GB"/>
                  </w:rPr>
                </w:rPrChange>
              </w:rPr>
            </w:pPr>
            <w:r w:rsidRPr="00D55B59">
              <w:rPr>
                <w:rFonts w:eastAsia="Times New Roman"/>
                <w:b/>
                <w:sz w:val="22"/>
                <w:szCs w:val="22"/>
                <w:lang w:val="en-GB"/>
                <w:rPrChange w:id="649" w:author="Author">
                  <w:rPr>
                    <w:rFonts w:eastAsia="Times New Roman"/>
                    <w:b/>
                    <w:sz w:val="22"/>
                    <w:szCs w:val="22"/>
                  </w:rPr>
                </w:rPrChange>
              </w:rPr>
              <w:t>Adalimumab</w:t>
            </w:r>
            <w:r w:rsidRPr="00D55B59">
              <w:rPr>
                <w:b/>
                <w:sz w:val="22"/>
                <w:szCs w:val="22"/>
                <w:lang w:val="en-GB" w:eastAsia="en-GB"/>
                <w:rPrChange w:id="650" w:author="Author">
                  <w:rPr>
                    <w:b/>
                    <w:sz w:val="22"/>
                    <w:szCs w:val="22"/>
                    <w:lang w:eastAsia="en-GB"/>
                  </w:rPr>
                </w:rPrChange>
              </w:rPr>
              <w:t xml:space="preserve"> </w:t>
            </w:r>
          </w:p>
          <w:p w14:paraId="548EFB76" w14:textId="77777777" w:rsidR="00C42229" w:rsidRPr="00D55B59" w:rsidRDefault="00C42229" w:rsidP="00FB5458">
            <w:pPr>
              <w:pStyle w:val="Default"/>
              <w:keepNext/>
              <w:jc w:val="center"/>
              <w:rPr>
                <w:color w:val="auto"/>
                <w:sz w:val="22"/>
                <w:szCs w:val="22"/>
                <w:lang w:val="en-GB"/>
                <w:rPrChange w:id="651" w:author="Author">
                  <w:rPr>
                    <w:color w:val="auto"/>
                    <w:sz w:val="22"/>
                    <w:szCs w:val="22"/>
                  </w:rPr>
                </w:rPrChange>
              </w:rPr>
            </w:pPr>
            <w:r w:rsidRPr="00D55B59">
              <w:rPr>
                <w:b/>
                <w:bCs/>
                <w:color w:val="auto"/>
                <w:sz w:val="22"/>
                <w:szCs w:val="22"/>
                <w:lang w:val="en-GB"/>
                <w:rPrChange w:id="652" w:author="Author">
                  <w:rPr>
                    <w:b/>
                    <w:bCs/>
                    <w:color w:val="auto"/>
                    <w:sz w:val="22"/>
                    <w:szCs w:val="22"/>
                  </w:rPr>
                </w:rPrChange>
              </w:rPr>
              <w:t>N</w:t>
            </w:r>
            <w:r w:rsidRPr="00D55B59">
              <w:rPr>
                <w:color w:val="auto"/>
                <w:sz w:val="22"/>
                <w:szCs w:val="22"/>
                <w:lang w:val="en-GB"/>
                <w:rPrChange w:id="653" w:author="Author">
                  <w:rPr>
                    <w:color w:val="auto"/>
                    <w:sz w:val="22"/>
                    <w:szCs w:val="22"/>
                  </w:rPr>
                </w:rPrChange>
              </w:rPr>
              <w:t> </w:t>
            </w:r>
            <w:r w:rsidRPr="00D55B59">
              <w:rPr>
                <w:b/>
                <w:bCs/>
                <w:color w:val="auto"/>
                <w:sz w:val="22"/>
                <w:szCs w:val="22"/>
                <w:lang w:val="en-GB"/>
                <w:rPrChange w:id="654" w:author="Author">
                  <w:rPr>
                    <w:b/>
                    <w:bCs/>
                    <w:color w:val="auto"/>
                    <w:sz w:val="22"/>
                    <w:szCs w:val="22"/>
                  </w:rPr>
                </w:rPrChange>
              </w:rPr>
              <w:t>=</w:t>
            </w:r>
            <w:r w:rsidRPr="00D55B59">
              <w:rPr>
                <w:color w:val="auto"/>
                <w:sz w:val="22"/>
                <w:szCs w:val="22"/>
                <w:lang w:val="en-GB"/>
                <w:rPrChange w:id="655" w:author="Author">
                  <w:rPr>
                    <w:color w:val="auto"/>
                    <w:sz w:val="22"/>
                    <w:szCs w:val="22"/>
                  </w:rPr>
                </w:rPrChange>
              </w:rPr>
              <w:t> </w:t>
            </w:r>
            <w:r w:rsidRPr="00D55B59">
              <w:rPr>
                <w:b/>
                <w:bCs/>
                <w:color w:val="auto"/>
                <w:sz w:val="22"/>
                <w:szCs w:val="22"/>
                <w:lang w:val="en-GB"/>
                <w:rPrChange w:id="656" w:author="Author">
                  <w:rPr>
                    <w:b/>
                    <w:bCs/>
                    <w:color w:val="auto"/>
                    <w:sz w:val="22"/>
                    <w:szCs w:val="22"/>
                  </w:rPr>
                </w:rPrChange>
              </w:rPr>
              <w:t>91</w:t>
            </w:r>
          </w:p>
        </w:tc>
      </w:tr>
      <w:tr w:rsidR="00C42229" w:rsidRPr="00F04F82" w14:paraId="4AA5008B"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377FBB3A"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ASAS</w:t>
            </w:r>
            <w:r w:rsidRPr="001775D9">
              <w:rPr>
                <w:szCs w:val="22"/>
                <w:vertAlign w:val="superscript"/>
                <w:lang w:eastAsia="en-GB"/>
              </w:rPr>
              <w:t>a</w:t>
            </w:r>
            <w:r w:rsidRPr="001775D9">
              <w:rPr>
                <w:szCs w:val="22"/>
                <w:lang w:eastAsia="en-GB"/>
              </w:rPr>
              <w:t xml:space="preserve"> 40 </w:t>
            </w:r>
          </w:p>
        </w:tc>
        <w:tc>
          <w:tcPr>
            <w:tcW w:w="2706" w:type="dxa"/>
            <w:tcBorders>
              <w:top w:val="single" w:sz="4" w:space="0" w:color="auto"/>
              <w:left w:val="single" w:sz="4" w:space="0" w:color="auto"/>
              <w:bottom w:val="single" w:sz="4" w:space="0" w:color="auto"/>
              <w:right w:val="single" w:sz="4" w:space="0" w:color="auto"/>
            </w:tcBorders>
          </w:tcPr>
          <w:p w14:paraId="3A3E6E72"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15%</w:t>
            </w:r>
          </w:p>
        </w:tc>
        <w:tc>
          <w:tcPr>
            <w:tcW w:w="3001" w:type="dxa"/>
            <w:tcBorders>
              <w:top w:val="single" w:sz="4" w:space="0" w:color="auto"/>
              <w:left w:val="single" w:sz="4" w:space="0" w:color="auto"/>
              <w:bottom w:val="single" w:sz="4" w:space="0" w:color="auto"/>
              <w:right w:val="single" w:sz="4" w:space="0" w:color="auto"/>
            </w:tcBorders>
          </w:tcPr>
          <w:p w14:paraId="081FE51B"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36%***</w:t>
            </w:r>
          </w:p>
        </w:tc>
      </w:tr>
      <w:tr w:rsidR="00C42229" w:rsidRPr="00F04F82" w14:paraId="11A0685F"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3712B621"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ASAS 20 </w:t>
            </w:r>
          </w:p>
        </w:tc>
        <w:tc>
          <w:tcPr>
            <w:tcW w:w="2706" w:type="dxa"/>
            <w:tcBorders>
              <w:top w:val="single" w:sz="4" w:space="0" w:color="auto"/>
              <w:left w:val="single" w:sz="4" w:space="0" w:color="auto"/>
              <w:bottom w:val="single" w:sz="4" w:space="0" w:color="auto"/>
              <w:right w:val="single" w:sz="4" w:space="0" w:color="auto"/>
            </w:tcBorders>
          </w:tcPr>
          <w:p w14:paraId="63E1DD76"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31%</w:t>
            </w:r>
          </w:p>
        </w:tc>
        <w:tc>
          <w:tcPr>
            <w:tcW w:w="3001" w:type="dxa"/>
            <w:tcBorders>
              <w:top w:val="single" w:sz="4" w:space="0" w:color="auto"/>
              <w:left w:val="single" w:sz="4" w:space="0" w:color="auto"/>
              <w:bottom w:val="single" w:sz="4" w:space="0" w:color="auto"/>
              <w:right w:val="single" w:sz="4" w:space="0" w:color="auto"/>
            </w:tcBorders>
          </w:tcPr>
          <w:p w14:paraId="6AF9F106"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52%**</w:t>
            </w:r>
          </w:p>
        </w:tc>
      </w:tr>
      <w:tr w:rsidR="00C42229" w:rsidRPr="00F04F82" w14:paraId="11A34477"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51D0BB49"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ASAS 5/6 </w:t>
            </w:r>
          </w:p>
        </w:tc>
        <w:tc>
          <w:tcPr>
            <w:tcW w:w="2706" w:type="dxa"/>
            <w:tcBorders>
              <w:top w:val="single" w:sz="4" w:space="0" w:color="auto"/>
              <w:left w:val="single" w:sz="4" w:space="0" w:color="auto"/>
              <w:bottom w:val="single" w:sz="4" w:space="0" w:color="auto"/>
              <w:right w:val="single" w:sz="4" w:space="0" w:color="auto"/>
            </w:tcBorders>
          </w:tcPr>
          <w:p w14:paraId="4FADB0E4"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6%</w:t>
            </w:r>
          </w:p>
        </w:tc>
        <w:tc>
          <w:tcPr>
            <w:tcW w:w="3001" w:type="dxa"/>
            <w:tcBorders>
              <w:top w:val="single" w:sz="4" w:space="0" w:color="auto"/>
              <w:left w:val="single" w:sz="4" w:space="0" w:color="auto"/>
              <w:bottom w:val="single" w:sz="4" w:space="0" w:color="auto"/>
              <w:right w:val="single" w:sz="4" w:space="0" w:color="auto"/>
            </w:tcBorders>
          </w:tcPr>
          <w:p w14:paraId="5567FEB5"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31%***</w:t>
            </w:r>
          </w:p>
        </w:tc>
      </w:tr>
      <w:tr w:rsidR="00C42229" w:rsidRPr="00F04F82" w14:paraId="630810C6"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3F86537C"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ASAS </w:t>
            </w:r>
            <w:r w:rsidR="0027224F" w:rsidRPr="001775D9">
              <w:rPr>
                <w:szCs w:val="22"/>
                <w:lang w:eastAsia="en-GB"/>
              </w:rPr>
              <w:t>p</w:t>
            </w:r>
            <w:r w:rsidRPr="001775D9">
              <w:rPr>
                <w:szCs w:val="22"/>
                <w:lang w:eastAsia="en-GB"/>
              </w:rPr>
              <w:t xml:space="preserve">artial </w:t>
            </w:r>
            <w:r w:rsidR="0027224F" w:rsidRPr="001775D9">
              <w:rPr>
                <w:szCs w:val="22"/>
                <w:lang w:eastAsia="en-GB"/>
              </w:rPr>
              <w:t>r</w:t>
            </w:r>
            <w:r w:rsidRPr="001775D9">
              <w:rPr>
                <w:szCs w:val="22"/>
                <w:lang w:eastAsia="en-GB"/>
              </w:rPr>
              <w:t xml:space="preserve">emission </w:t>
            </w:r>
          </w:p>
        </w:tc>
        <w:tc>
          <w:tcPr>
            <w:tcW w:w="2706" w:type="dxa"/>
            <w:tcBorders>
              <w:top w:val="single" w:sz="4" w:space="0" w:color="auto"/>
              <w:left w:val="single" w:sz="4" w:space="0" w:color="auto"/>
              <w:bottom w:val="single" w:sz="4" w:space="0" w:color="auto"/>
              <w:right w:val="single" w:sz="4" w:space="0" w:color="auto"/>
            </w:tcBorders>
          </w:tcPr>
          <w:p w14:paraId="1F3D961D"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5%</w:t>
            </w:r>
          </w:p>
        </w:tc>
        <w:tc>
          <w:tcPr>
            <w:tcW w:w="3001" w:type="dxa"/>
            <w:tcBorders>
              <w:top w:val="single" w:sz="4" w:space="0" w:color="auto"/>
              <w:left w:val="single" w:sz="4" w:space="0" w:color="auto"/>
              <w:bottom w:val="single" w:sz="4" w:space="0" w:color="auto"/>
              <w:right w:val="single" w:sz="4" w:space="0" w:color="auto"/>
            </w:tcBorders>
          </w:tcPr>
          <w:p w14:paraId="18B496C0"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16%*</w:t>
            </w:r>
          </w:p>
        </w:tc>
      </w:tr>
      <w:tr w:rsidR="00C42229" w:rsidRPr="00F04F82" w14:paraId="76CC5BF3"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477871A4"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BASDAI</w:t>
            </w:r>
            <w:r w:rsidRPr="001775D9">
              <w:rPr>
                <w:szCs w:val="22"/>
                <w:vertAlign w:val="superscript"/>
                <w:lang w:eastAsia="en-GB"/>
              </w:rPr>
              <w:t>b</w:t>
            </w:r>
            <w:r w:rsidRPr="001775D9">
              <w:rPr>
                <w:szCs w:val="22"/>
                <w:lang w:eastAsia="en-GB"/>
              </w:rPr>
              <w:t xml:space="preserve"> 50 </w:t>
            </w:r>
          </w:p>
        </w:tc>
        <w:tc>
          <w:tcPr>
            <w:tcW w:w="2706" w:type="dxa"/>
            <w:tcBorders>
              <w:top w:val="single" w:sz="4" w:space="0" w:color="auto"/>
              <w:left w:val="single" w:sz="4" w:space="0" w:color="auto"/>
              <w:bottom w:val="single" w:sz="4" w:space="0" w:color="auto"/>
              <w:right w:val="single" w:sz="4" w:space="0" w:color="auto"/>
            </w:tcBorders>
          </w:tcPr>
          <w:p w14:paraId="72AC8820"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15%</w:t>
            </w:r>
          </w:p>
        </w:tc>
        <w:tc>
          <w:tcPr>
            <w:tcW w:w="3001" w:type="dxa"/>
            <w:tcBorders>
              <w:top w:val="single" w:sz="4" w:space="0" w:color="auto"/>
              <w:left w:val="single" w:sz="4" w:space="0" w:color="auto"/>
              <w:bottom w:val="single" w:sz="4" w:space="0" w:color="auto"/>
              <w:right w:val="single" w:sz="4" w:space="0" w:color="auto"/>
            </w:tcBorders>
          </w:tcPr>
          <w:p w14:paraId="5FEF34E0"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35%**</w:t>
            </w:r>
          </w:p>
        </w:tc>
      </w:tr>
      <w:tr w:rsidR="004C6630" w:rsidRPr="00F04F82" w14:paraId="622F2054"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18F06CAB" w14:textId="77777777" w:rsidR="004C6630" w:rsidRPr="001775D9" w:rsidRDefault="004C6630" w:rsidP="00FB5458">
            <w:pPr>
              <w:keepNext/>
              <w:tabs>
                <w:tab w:val="clear" w:pos="567"/>
              </w:tabs>
              <w:autoSpaceDE w:val="0"/>
              <w:autoSpaceDN w:val="0"/>
              <w:adjustRightInd w:val="0"/>
              <w:spacing w:line="240" w:lineRule="auto"/>
              <w:rPr>
                <w:szCs w:val="22"/>
                <w:lang w:eastAsia="en-GB"/>
              </w:rPr>
            </w:pPr>
            <w:r w:rsidRPr="001775D9">
              <w:rPr>
                <w:color w:val="000000"/>
                <w:szCs w:val="22"/>
              </w:rPr>
              <w:t>ASDAS</w:t>
            </w:r>
            <w:r w:rsidRPr="001775D9">
              <w:rPr>
                <w:color w:val="000000"/>
                <w:szCs w:val="22"/>
                <w:vertAlign w:val="superscript"/>
              </w:rPr>
              <w:t>c,d,e</w:t>
            </w:r>
          </w:p>
        </w:tc>
        <w:tc>
          <w:tcPr>
            <w:tcW w:w="2706" w:type="dxa"/>
            <w:tcBorders>
              <w:top w:val="single" w:sz="4" w:space="0" w:color="auto"/>
              <w:left w:val="single" w:sz="4" w:space="0" w:color="auto"/>
              <w:bottom w:val="single" w:sz="4" w:space="0" w:color="auto"/>
              <w:right w:val="single" w:sz="4" w:space="0" w:color="auto"/>
            </w:tcBorders>
          </w:tcPr>
          <w:p w14:paraId="5A85AB78" w14:textId="77777777" w:rsidR="004C6630" w:rsidRPr="001775D9" w:rsidRDefault="004C6630" w:rsidP="00FB5458">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-0.3 </w:t>
            </w:r>
          </w:p>
        </w:tc>
        <w:tc>
          <w:tcPr>
            <w:tcW w:w="3001" w:type="dxa"/>
            <w:tcBorders>
              <w:top w:val="single" w:sz="4" w:space="0" w:color="auto"/>
              <w:left w:val="single" w:sz="4" w:space="0" w:color="auto"/>
              <w:bottom w:val="single" w:sz="4" w:space="0" w:color="auto"/>
              <w:right w:val="single" w:sz="4" w:space="0" w:color="auto"/>
            </w:tcBorders>
          </w:tcPr>
          <w:p w14:paraId="55100225" w14:textId="77777777" w:rsidR="004C6630" w:rsidRPr="001775D9" w:rsidRDefault="004C6630" w:rsidP="00FB5458">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-1.0*** </w:t>
            </w:r>
          </w:p>
        </w:tc>
      </w:tr>
      <w:tr w:rsidR="004C6630" w:rsidRPr="00F04F82" w14:paraId="682E97CB"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44F81D04" w14:textId="77777777" w:rsidR="004C6630" w:rsidRPr="001775D9" w:rsidRDefault="004C6630" w:rsidP="00FB5458">
            <w:pPr>
              <w:keepNext/>
              <w:tabs>
                <w:tab w:val="clear" w:pos="567"/>
              </w:tabs>
              <w:autoSpaceDE w:val="0"/>
              <w:autoSpaceDN w:val="0"/>
              <w:adjustRightInd w:val="0"/>
              <w:spacing w:line="240" w:lineRule="auto"/>
              <w:rPr>
                <w:szCs w:val="22"/>
                <w:lang w:eastAsia="en-GB"/>
              </w:rPr>
            </w:pPr>
            <w:r w:rsidRPr="001775D9">
              <w:rPr>
                <w:color w:val="000000"/>
                <w:szCs w:val="22"/>
              </w:rPr>
              <w:t xml:space="preserve">ASDAS Inactive Disease </w:t>
            </w:r>
          </w:p>
        </w:tc>
        <w:tc>
          <w:tcPr>
            <w:tcW w:w="2706" w:type="dxa"/>
            <w:tcBorders>
              <w:top w:val="single" w:sz="4" w:space="0" w:color="auto"/>
              <w:left w:val="single" w:sz="4" w:space="0" w:color="auto"/>
              <w:bottom w:val="single" w:sz="4" w:space="0" w:color="auto"/>
              <w:right w:val="single" w:sz="4" w:space="0" w:color="auto"/>
            </w:tcBorders>
          </w:tcPr>
          <w:p w14:paraId="7D7E0EDF" w14:textId="77777777" w:rsidR="004C6630" w:rsidRPr="001775D9" w:rsidRDefault="004C6630" w:rsidP="00FB5458">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4% </w:t>
            </w:r>
          </w:p>
        </w:tc>
        <w:tc>
          <w:tcPr>
            <w:tcW w:w="3001" w:type="dxa"/>
            <w:tcBorders>
              <w:top w:val="single" w:sz="4" w:space="0" w:color="auto"/>
              <w:left w:val="single" w:sz="4" w:space="0" w:color="auto"/>
              <w:bottom w:val="single" w:sz="4" w:space="0" w:color="auto"/>
              <w:right w:val="single" w:sz="4" w:space="0" w:color="auto"/>
            </w:tcBorders>
          </w:tcPr>
          <w:p w14:paraId="680D7AD8" w14:textId="77777777" w:rsidR="004C6630" w:rsidRPr="001775D9" w:rsidRDefault="004C6630" w:rsidP="00FB5458">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24%*** </w:t>
            </w:r>
          </w:p>
        </w:tc>
      </w:tr>
      <w:tr w:rsidR="004C6630" w:rsidRPr="00F04F82" w14:paraId="6A70709C"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5E823317" w14:textId="77777777" w:rsidR="004C6630" w:rsidRPr="001775D9" w:rsidRDefault="004C6630" w:rsidP="00FB5458">
            <w:pPr>
              <w:keepNext/>
              <w:tabs>
                <w:tab w:val="clear" w:pos="567"/>
              </w:tabs>
              <w:autoSpaceDE w:val="0"/>
              <w:autoSpaceDN w:val="0"/>
              <w:adjustRightInd w:val="0"/>
              <w:spacing w:line="240" w:lineRule="auto"/>
              <w:rPr>
                <w:szCs w:val="22"/>
                <w:lang w:eastAsia="en-GB"/>
              </w:rPr>
            </w:pPr>
            <w:r w:rsidRPr="001775D9">
              <w:rPr>
                <w:color w:val="000000"/>
                <w:szCs w:val="22"/>
              </w:rPr>
              <w:t>hs-CRP</w:t>
            </w:r>
            <w:r w:rsidRPr="001775D9">
              <w:rPr>
                <w:color w:val="000000"/>
                <w:szCs w:val="22"/>
                <w:vertAlign w:val="superscript"/>
              </w:rPr>
              <w:t>d,f,g</w:t>
            </w:r>
          </w:p>
        </w:tc>
        <w:tc>
          <w:tcPr>
            <w:tcW w:w="2706" w:type="dxa"/>
            <w:tcBorders>
              <w:top w:val="single" w:sz="4" w:space="0" w:color="auto"/>
              <w:left w:val="single" w:sz="4" w:space="0" w:color="auto"/>
              <w:bottom w:val="single" w:sz="4" w:space="0" w:color="auto"/>
              <w:right w:val="single" w:sz="4" w:space="0" w:color="auto"/>
            </w:tcBorders>
          </w:tcPr>
          <w:p w14:paraId="43EEEC38" w14:textId="77777777" w:rsidR="004C6630" w:rsidRPr="001775D9" w:rsidRDefault="004C6630" w:rsidP="00FB5458">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-0.3 </w:t>
            </w:r>
          </w:p>
        </w:tc>
        <w:tc>
          <w:tcPr>
            <w:tcW w:w="3001" w:type="dxa"/>
            <w:tcBorders>
              <w:top w:val="single" w:sz="4" w:space="0" w:color="auto"/>
              <w:left w:val="single" w:sz="4" w:space="0" w:color="auto"/>
              <w:bottom w:val="single" w:sz="4" w:space="0" w:color="auto"/>
              <w:right w:val="single" w:sz="4" w:space="0" w:color="auto"/>
            </w:tcBorders>
          </w:tcPr>
          <w:p w14:paraId="3FE90BA4" w14:textId="77777777" w:rsidR="004C6630" w:rsidRPr="001775D9" w:rsidRDefault="004C6630" w:rsidP="00FB5458">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-4.7*** </w:t>
            </w:r>
          </w:p>
        </w:tc>
      </w:tr>
      <w:tr w:rsidR="004C6630" w:rsidRPr="00F04F82" w14:paraId="7FCDDB96"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769D0F4C" w14:textId="77777777" w:rsidR="004C6630" w:rsidRPr="001775D9" w:rsidRDefault="004C6630" w:rsidP="00FB5458">
            <w:pPr>
              <w:keepNext/>
              <w:tabs>
                <w:tab w:val="clear" w:pos="567"/>
              </w:tabs>
              <w:autoSpaceDE w:val="0"/>
              <w:autoSpaceDN w:val="0"/>
              <w:adjustRightInd w:val="0"/>
              <w:spacing w:line="240" w:lineRule="auto"/>
              <w:rPr>
                <w:szCs w:val="22"/>
                <w:lang w:eastAsia="en-GB"/>
              </w:rPr>
            </w:pPr>
            <w:r w:rsidRPr="001775D9">
              <w:rPr>
                <w:color w:val="000000"/>
                <w:szCs w:val="22"/>
              </w:rPr>
              <w:t>SPARCC</w:t>
            </w:r>
            <w:r w:rsidRPr="001775D9">
              <w:rPr>
                <w:color w:val="000000"/>
                <w:szCs w:val="22"/>
                <w:vertAlign w:val="superscript"/>
              </w:rPr>
              <w:t>h</w:t>
            </w:r>
            <w:r w:rsidRPr="001775D9">
              <w:rPr>
                <w:color w:val="000000"/>
                <w:szCs w:val="22"/>
              </w:rPr>
              <w:t xml:space="preserve"> MRI Sacroiliac Joints</w:t>
            </w:r>
            <w:r w:rsidRPr="001775D9">
              <w:rPr>
                <w:color w:val="000000"/>
                <w:szCs w:val="22"/>
                <w:vertAlign w:val="superscript"/>
              </w:rPr>
              <w:t>d,i</w:t>
            </w:r>
          </w:p>
        </w:tc>
        <w:tc>
          <w:tcPr>
            <w:tcW w:w="2706" w:type="dxa"/>
            <w:tcBorders>
              <w:top w:val="single" w:sz="4" w:space="0" w:color="auto"/>
              <w:left w:val="single" w:sz="4" w:space="0" w:color="auto"/>
              <w:bottom w:val="single" w:sz="4" w:space="0" w:color="auto"/>
              <w:right w:val="single" w:sz="4" w:space="0" w:color="auto"/>
            </w:tcBorders>
          </w:tcPr>
          <w:p w14:paraId="0260D5C4" w14:textId="77777777" w:rsidR="004C6630" w:rsidRPr="001775D9" w:rsidRDefault="004C6630" w:rsidP="00FB5458">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-0.6 </w:t>
            </w:r>
          </w:p>
        </w:tc>
        <w:tc>
          <w:tcPr>
            <w:tcW w:w="3001" w:type="dxa"/>
            <w:tcBorders>
              <w:top w:val="single" w:sz="4" w:space="0" w:color="auto"/>
              <w:left w:val="single" w:sz="4" w:space="0" w:color="auto"/>
              <w:bottom w:val="single" w:sz="4" w:space="0" w:color="auto"/>
              <w:right w:val="single" w:sz="4" w:space="0" w:color="auto"/>
            </w:tcBorders>
          </w:tcPr>
          <w:p w14:paraId="57F57D1E" w14:textId="77777777" w:rsidR="004C6630" w:rsidRPr="001775D9" w:rsidRDefault="004C6630" w:rsidP="00FB5458">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-3.2** </w:t>
            </w:r>
          </w:p>
        </w:tc>
      </w:tr>
      <w:tr w:rsidR="004C6630" w:rsidRPr="00F04F82" w14:paraId="4E35C57B" w14:textId="77777777" w:rsidTr="00E81EC5">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176E0BB8" w14:textId="77777777" w:rsidR="004C6630" w:rsidRPr="001775D9" w:rsidRDefault="004C6630" w:rsidP="00FB5458">
            <w:pPr>
              <w:keepNext/>
              <w:tabs>
                <w:tab w:val="clear" w:pos="567"/>
              </w:tabs>
              <w:autoSpaceDE w:val="0"/>
              <w:autoSpaceDN w:val="0"/>
              <w:adjustRightInd w:val="0"/>
              <w:spacing w:line="240" w:lineRule="auto"/>
              <w:rPr>
                <w:szCs w:val="22"/>
                <w:lang w:eastAsia="en-GB"/>
              </w:rPr>
            </w:pPr>
            <w:r w:rsidRPr="001775D9">
              <w:rPr>
                <w:color w:val="000000"/>
                <w:szCs w:val="22"/>
              </w:rPr>
              <w:t>SPARCC MRI Spine</w:t>
            </w:r>
            <w:r w:rsidRPr="001775D9">
              <w:rPr>
                <w:color w:val="000000"/>
                <w:szCs w:val="22"/>
                <w:vertAlign w:val="superscript"/>
              </w:rPr>
              <w:t>d,j</w:t>
            </w:r>
          </w:p>
        </w:tc>
        <w:tc>
          <w:tcPr>
            <w:tcW w:w="2706" w:type="dxa"/>
            <w:tcBorders>
              <w:top w:val="single" w:sz="4" w:space="0" w:color="auto"/>
              <w:left w:val="single" w:sz="4" w:space="0" w:color="auto"/>
              <w:bottom w:val="single" w:sz="4" w:space="0" w:color="auto"/>
              <w:right w:val="single" w:sz="4" w:space="0" w:color="auto"/>
            </w:tcBorders>
          </w:tcPr>
          <w:p w14:paraId="73C45FFE" w14:textId="77777777" w:rsidR="004C6630" w:rsidRPr="001775D9" w:rsidRDefault="004C6630" w:rsidP="00FB5458">
            <w:pPr>
              <w:keepNext/>
              <w:tabs>
                <w:tab w:val="clear" w:pos="567"/>
              </w:tabs>
              <w:autoSpaceDE w:val="0"/>
              <w:autoSpaceDN w:val="0"/>
              <w:adjustRightInd w:val="0"/>
              <w:spacing w:line="240" w:lineRule="auto"/>
              <w:jc w:val="center"/>
              <w:rPr>
                <w:szCs w:val="22"/>
                <w:lang w:eastAsia="en-GB"/>
              </w:rPr>
            </w:pPr>
            <w:r w:rsidRPr="001775D9">
              <w:rPr>
                <w:color w:val="000000"/>
                <w:szCs w:val="22"/>
              </w:rPr>
              <w:t>-0.2</w:t>
            </w:r>
          </w:p>
        </w:tc>
        <w:tc>
          <w:tcPr>
            <w:tcW w:w="3001" w:type="dxa"/>
            <w:tcBorders>
              <w:top w:val="single" w:sz="4" w:space="0" w:color="auto"/>
              <w:left w:val="single" w:sz="4" w:space="0" w:color="auto"/>
              <w:bottom w:val="single" w:sz="4" w:space="0" w:color="auto"/>
              <w:right w:val="single" w:sz="4" w:space="0" w:color="auto"/>
            </w:tcBorders>
          </w:tcPr>
          <w:p w14:paraId="4FA37E6C" w14:textId="77777777" w:rsidR="004C6630" w:rsidRPr="001775D9" w:rsidRDefault="00E81EC5"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-1.8**</w:t>
            </w:r>
          </w:p>
        </w:tc>
      </w:tr>
    </w:tbl>
    <w:p w14:paraId="7FE5EE20" w14:textId="77777777"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a</w:t>
      </w:r>
      <w:r w:rsidRPr="001775D9">
        <w:rPr>
          <w:rFonts w:eastAsia="Times New Roman"/>
          <w:color w:val="000000"/>
          <w:sz w:val="20"/>
        </w:rPr>
        <w:t xml:space="preserve"> Assessment of Spondylo</w:t>
      </w:r>
      <w:r w:rsidR="004C5D91" w:rsidRPr="001775D9">
        <w:rPr>
          <w:rFonts w:eastAsia="Times New Roman"/>
          <w:color w:val="000000"/>
          <w:sz w:val="20"/>
        </w:rPr>
        <w:t>A</w:t>
      </w:r>
      <w:r w:rsidRPr="001775D9">
        <w:rPr>
          <w:rFonts w:eastAsia="Times New Roman"/>
          <w:color w:val="000000"/>
          <w:sz w:val="20"/>
        </w:rPr>
        <w:t xml:space="preserve">rthritis </w:t>
      </w:r>
      <w:r w:rsidR="004C5D91" w:rsidRPr="001775D9">
        <w:rPr>
          <w:rFonts w:eastAsia="Times New Roman"/>
          <w:color w:val="000000"/>
          <w:sz w:val="20"/>
        </w:rPr>
        <w:t>i</w:t>
      </w:r>
      <w:r w:rsidRPr="001775D9">
        <w:rPr>
          <w:rFonts w:eastAsia="Times New Roman"/>
          <w:color w:val="000000"/>
          <w:sz w:val="20"/>
        </w:rPr>
        <w:t xml:space="preserve">nternational Society </w:t>
      </w:r>
    </w:p>
    <w:p w14:paraId="32ED37CA" w14:textId="77777777"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b</w:t>
      </w:r>
      <w:r w:rsidRPr="001775D9">
        <w:rPr>
          <w:rFonts w:eastAsia="Times New Roman"/>
          <w:color w:val="000000"/>
          <w:sz w:val="20"/>
        </w:rPr>
        <w:t xml:space="preserve"> Bath Ankylosing Spondylitis Disease Activity Index </w:t>
      </w:r>
    </w:p>
    <w:p w14:paraId="51820517" w14:textId="77777777"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c</w:t>
      </w:r>
      <w:r w:rsidRPr="001775D9">
        <w:rPr>
          <w:rFonts w:eastAsia="Times New Roman"/>
          <w:color w:val="000000"/>
          <w:sz w:val="20"/>
        </w:rPr>
        <w:t xml:space="preserve"> Ankylosing Spondylitis Disease Activity Score </w:t>
      </w:r>
    </w:p>
    <w:p w14:paraId="040A32DA" w14:textId="36EAECA4"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d</w:t>
      </w:r>
      <w:r w:rsidRPr="001775D9">
        <w:rPr>
          <w:rFonts w:eastAsia="Times New Roman"/>
          <w:color w:val="000000"/>
          <w:sz w:val="20"/>
        </w:rPr>
        <w:t xml:space="preserve"> mean change from baseline </w:t>
      </w:r>
    </w:p>
    <w:p w14:paraId="164D9377" w14:textId="77777777"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e</w:t>
      </w:r>
      <w:r w:rsidRPr="001775D9">
        <w:rPr>
          <w:rFonts w:eastAsia="Times New Roman"/>
          <w:color w:val="000000"/>
          <w:sz w:val="20"/>
        </w:rPr>
        <w:t xml:space="preserve"> n</w:t>
      </w:r>
      <w:r w:rsidR="00163215" w:rsidRPr="001775D9">
        <w:rPr>
          <w:color w:val="000000"/>
          <w:sz w:val="20"/>
        </w:rPr>
        <w:t> </w:t>
      </w:r>
      <w:r w:rsidRPr="001775D9">
        <w:rPr>
          <w:rFonts w:eastAsia="Times New Roman"/>
          <w:color w:val="000000"/>
          <w:sz w:val="20"/>
        </w:rPr>
        <w:t>=</w:t>
      </w:r>
      <w:r w:rsidR="00163215" w:rsidRPr="001775D9">
        <w:rPr>
          <w:color w:val="000000"/>
          <w:sz w:val="20"/>
        </w:rPr>
        <w:t> </w:t>
      </w:r>
      <w:r w:rsidRPr="001775D9">
        <w:rPr>
          <w:rFonts w:eastAsia="Times New Roman"/>
          <w:color w:val="000000"/>
          <w:sz w:val="20"/>
        </w:rPr>
        <w:t>91 placebo and n</w:t>
      </w:r>
      <w:r w:rsidR="00163215" w:rsidRPr="001775D9">
        <w:rPr>
          <w:color w:val="000000"/>
          <w:sz w:val="20"/>
        </w:rPr>
        <w:t> </w:t>
      </w:r>
      <w:r w:rsidRPr="001775D9">
        <w:rPr>
          <w:rFonts w:eastAsia="Times New Roman"/>
          <w:color w:val="000000"/>
          <w:sz w:val="20"/>
        </w:rPr>
        <w:t>=</w:t>
      </w:r>
      <w:r w:rsidR="00163215" w:rsidRPr="001775D9">
        <w:rPr>
          <w:color w:val="000000"/>
          <w:sz w:val="20"/>
        </w:rPr>
        <w:t> </w:t>
      </w:r>
      <w:r w:rsidRPr="001775D9">
        <w:rPr>
          <w:rFonts w:eastAsia="Times New Roman"/>
          <w:color w:val="000000"/>
          <w:sz w:val="20"/>
        </w:rPr>
        <w:t xml:space="preserve">87 </w:t>
      </w:r>
      <w:r w:rsidR="004267B0" w:rsidRPr="001775D9">
        <w:rPr>
          <w:rFonts w:eastAsia="Times New Roman"/>
          <w:color w:val="000000"/>
          <w:sz w:val="20"/>
        </w:rPr>
        <w:t>adalimumab</w:t>
      </w:r>
      <w:r w:rsidRPr="001775D9">
        <w:rPr>
          <w:rFonts w:eastAsia="Times New Roman"/>
          <w:color w:val="000000"/>
          <w:sz w:val="20"/>
        </w:rPr>
        <w:t xml:space="preserve"> </w:t>
      </w:r>
    </w:p>
    <w:p w14:paraId="391EED89" w14:textId="6906E88F"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f</w:t>
      </w:r>
      <w:r w:rsidRPr="001775D9">
        <w:rPr>
          <w:rFonts w:eastAsia="Times New Roman"/>
          <w:color w:val="000000"/>
          <w:sz w:val="20"/>
        </w:rPr>
        <w:t xml:space="preserve"> high sens</w:t>
      </w:r>
      <w:r w:rsidR="004267B0" w:rsidRPr="001775D9">
        <w:rPr>
          <w:rFonts w:eastAsia="Times New Roman"/>
          <w:color w:val="000000"/>
          <w:sz w:val="20"/>
        </w:rPr>
        <w:t>itivity C-Reactive Protein (mg/L</w:t>
      </w:r>
      <w:r w:rsidRPr="001775D9">
        <w:rPr>
          <w:rFonts w:eastAsia="Times New Roman"/>
          <w:color w:val="000000"/>
          <w:sz w:val="20"/>
        </w:rPr>
        <w:t xml:space="preserve">) </w:t>
      </w:r>
    </w:p>
    <w:p w14:paraId="728B682C" w14:textId="77777777"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g</w:t>
      </w:r>
      <w:r w:rsidRPr="001775D9">
        <w:rPr>
          <w:rFonts w:eastAsia="Times New Roman"/>
          <w:color w:val="000000"/>
          <w:sz w:val="20"/>
        </w:rPr>
        <w:t xml:space="preserve"> n</w:t>
      </w:r>
      <w:r w:rsidR="00163215" w:rsidRPr="001775D9">
        <w:rPr>
          <w:color w:val="000000"/>
          <w:sz w:val="20"/>
        </w:rPr>
        <w:t> </w:t>
      </w:r>
      <w:r w:rsidRPr="001775D9">
        <w:rPr>
          <w:rFonts w:eastAsia="Times New Roman"/>
          <w:color w:val="000000"/>
          <w:sz w:val="20"/>
        </w:rPr>
        <w:t>=</w:t>
      </w:r>
      <w:r w:rsidR="00163215" w:rsidRPr="001775D9">
        <w:rPr>
          <w:color w:val="000000"/>
          <w:sz w:val="20"/>
        </w:rPr>
        <w:t> </w:t>
      </w:r>
      <w:r w:rsidRPr="001775D9">
        <w:rPr>
          <w:rFonts w:eastAsia="Times New Roman"/>
          <w:color w:val="000000"/>
          <w:sz w:val="20"/>
        </w:rPr>
        <w:t>73 placebo and n</w:t>
      </w:r>
      <w:r w:rsidR="00163215" w:rsidRPr="001775D9">
        <w:rPr>
          <w:color w:val="000000"/>
          <w:sz w:val="20"/>
        </w:rPr>
        <w:t> </w:t>
      </w:r>
      <w:r w:rsidRPr="001775D9">
        <w:rPr>
          <w:rFonts w:eastAsia="Times New Roman"/>
          <w:color w:val="000000"/>
          <w:sz w:val="20"/>
        </w:rPr>
        <w:t>=</w:t>
      </w:r>
      <w:r w:rsidR="00163215" w:rsidRPr="001775D9">
        <w:rPr>
          <w:color w:val="000000"/>
          <w:sz w:val="20"/>
        </w:rPr>
        <w:t> </w:t>
      </w:r>
      <w:r w:rsidRPr="001775D9">
        <w:rPr>
          <w:rFonts w:eastAsia="Times New Roman"/>
          <w:color w:val="000000"/>
          <w:sz w:val="20"/>
        </w:rPr>
        <w:t xml:space="preserve">70 </w:t>
      </w:r>
      <w:r w:rsidR="004267B0" w:rsidRPr="001775D9">
        <w:rPr>
          <w:rFonts w:eastAsia="Times New Roman"/>
          <w:color w:val="000000"/>
          <w:sz w:val="20"/>
        </w:rPr>
        <w:t>adalimumab</w:t>
      </w:r>
      <w:r w:rsidRPr="001775D9">
        <w:rPr>
          <w:rFonts w:eastAsia="Times New Roman"/>
          <w:color w:val="000000"/>
          <w:sz w:val="20"/>
        </w:rPr>
        <w:t xml:space="preserve"> </w:t>
      </w:r>
    </w:p>
    <w:p w14:paraId="69286428" w14:textId="77777777"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h</w:t>
      </w:r>
      <w:r w:rsidRPr="001775D9">
        <w:rPr>
          <w:rFonts w:eastAsia="Times New Roman"/>
          <w:color w:val="000000"/>
          <w:sz w:val="20"/>
        </w:rPr>
        <w:t xml:space="preserve"> Spondyloarthritis Research Consortium of Canada </w:t>
      </w:r>
    </w:p>
    <w:p w14:paraId="4D973C41" w14:textId="77777777"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i</w:t>
      </w:r>
      <w:r w:rsidRPr="001775D9">
        <w:rPr>
          <w:rFonts w:eastAsia="Times New Roman"/>
          <w:color w:val="000000"/>
          <w:sz w:val="20"/>
        </w:rPr>
        <w:t xml:space="preserve"> n</w:t>
      </w:r>
      <w:r w:rsidR="00163215" w:rsidRPr="001775D9">
        <w:rPr>
          <w:color w:val="000000"/>
          <w:sz w:val="20"/>
        </w:rPr>
        <w:t> </w:t>
      </w:r>
      <w:r w:rsidRPr="001775D9">
        <w:rPr>
          <w:rFonts w:eastAsia="Times New Roman"/>
          <w:color w:val="000000"/>
          <w:sz w:val="20"/>
        </w:rPr>
        <w:t>=</w:t>
      </w:r>
      <w:r w:rsidR="00163215" w:rsidRPr="001775D9">
        <w:rPr>
          <w:color w:val="000000"/>
          <w:sz w:val="20"/>
        </w:rPr>
        <w:t> </w:t>
      </w:r>
      <w:r w:rsidRPr="001775D9">
        <w:rPr>
          <w:rFonts w:eastAsia="Times New Roman"/>
          <w:color w:val="000000"/>
          <w:sz w:val="20"/>
        </w:rPr>
        <w:t xml:space="preserve">84 placebo and </w:t>
      </w:r>
      <w:r w:rsidR="004267B0" w:rsidRPr="001775D9">
        <w:rPr>
          <w:rFonts w:eastAsia="Times New Roman"/>
          <w:color w:val="000000"/>
          <w:sz w:val="20"/>
        </w:rPr>
        <w:t>adalimumab</w:t>
      </w:r>
      <w:r w:rsidRPr="001775D9">
        <w:rPr>
          <w:rFonts w:eastAsia="Times New Roman"/>
          <w:color w:val="000000"/>
          <w:sz w:val="20"/>
        </w:rPr>
        <w:t xml:space="preserve"> </w:t>
      </w:r>
    </w:p>
    <w:p w14:paraId="3DEF6EC4" w14:textId="77777777" w:rsidR="004267B0" w:rsidRPr="001775D9" w:rsidRDefault="00E81EC5" w:rsidP="00FB5458">
      <w:pPr>
        <w:tabs>
          <w:tab w:val="clear" w:pos="567"/>
        </w:tabs>
        <w:spacing w:line="240" w:lineRule="auto"/>
        <w:rPr>
          <w:sz w:val="20"/>
          <w:lang w:eastAsia="en-GB"/>
        </w:rPr>
      </w:pPr>
      <w:r w:rsidRPr="001775D9">
        <w:rPr>
          <w:rFonts w:eastAsia="Times New Roman"/>
          <w:color w:val="000000"/>
          <w:sz w:val="20"/>
          <w:vertAlign w:val="superscript"/>
        </w:rPr>
        <w:t>j</w:t>
      </w:r>
      <w:r w:rsidRPr="001775D9">
        <w:rPr>
          <w:rFonts w:eastAsia="Times New Roman"/>
          <w:color w:val="000000"/>
          <w:sz w:val="20"/>
        </w:rPr>
        <w:t xml:space="preserve"> n</w:t>
      </w:r>
      <w:r w:rsidR="00163215" w:rsidRPr="001775D9">
        <w:rPr>
          <w:color w:val="000000"/>
          <w:sz w:val="20"/>
        </w:rPr>
        <w:t> </w:t>
      </w:r>
      <w:r w:rsidRPr="001775D9">
        <w:rPr>
          <w:rFonts w:eastAsia="Times New Roman"/>
          <w:color w:val="000000"/>
          <w:sz w:val="20"/>
        </w:rPr>
        <w:t>=</w:t>
      </w:r>
      <w:r w:rsidR="00163215" w:rsidRPr="001775D9">
        <w:rPr>
          <w:color w:val="000000"/>
          <w:sz w:val="20"/>
        </w:rPr>
        <w:t> </w:t>
      </w:r>
      <w:r w:rsidRPr="001775D9">
        <w:rPr>
          <w:rFonts w:eastAsia="Times New Roman"/>
          <w:color w:val="000000"/>
          <w:sz w:val="20"/>
        </w:rPr>
        <w:t>82 placebo and n</w:t>
      </w:r>
      <w:r w:rsidR="00163215" w:rsidRPr="001775D9">
        <w:rPr>
          <w:color w:val="000000"/>
          <w:sz w:val="20"/>
        </w:rPr>
        <w:t> </w:t>
      </w:r>
      <w:r w:rsidRPr="001775D9">
        <w:rPr>
          <w:rFonts w:eastAsia="Times New Roman"/>
          <w:color w:val="000000"/>
          <w:sz w:val="20"/>
        </w:rPr>
        <w:t>=</w:t>
      </w:r>
      <w:r w:rsidR="00163215" w:rsidRPr="001775D9">
        <w:rPr>
          <w:color w:val="000000"/>
          <w:sz w:val="20"/>
        </w:rPr>
        <w:t> </w:t>
      </w:r>
      <w:r w:rsidRPr="001775D9">
        <w:rPr>
          <w:rFonts w:eastAsia="Times New Roman"/>
          <w:color w:val="000000"/>
          <w:sz w:val="20"/>
        </w:rPr>
        <w:t xml:space="preserve">85 </w:t>
      </w:r>
      <w:r w:rsidR="004267B0" w:rsidRPr="001775D9">
        <w:rPr>
          <w:rFonts w:eastAsia="Times New Roman"/>
          <w:color w:val="000000"/>
          <w:sz w:val="20"/>
        </w:rPr>
        <w:t>adalimumab</w:t>
      </w:r>
      <w:r w:rsidR="004267B0" w:rsidRPr="001775D9">
        <w:rPr>
          <w:sz w:val="20"/>
          <w:lang w:eastAsia="en-GB"/>
        </w:rPr>
        <w:t xml:space="preserve"> </w:t>
      </w:r>
    </w:p>
    <w:p w14:paraId="25793749" w14:textId="77777777" w:rsidR="00E81EC5" w:rsidRPr="001775D9" w:rsidRDefault="00E81EC5" w:rsidP="00FB5458">
      <w:pPr>
        <w:tabs>
          <w:tab w:val="clear" w:pos="567"/>
        </w:tabs>
        <w:spacing w:line="240" w:lineRule="auto"/>
        <w:rPr>
          <w:rFonts w:eastAsia="Times New Roman"/>
          <w:color w:val="000000"/>
          <w:sz w:val="20"/>
        </w:rPr>
      </w:pPr>
      <w:r w:rsidRPr="001775D9">
        <w:rPr>
          <w:rFonts w:eastAsia="Times New Roman"/>
          <w:color w:val="000000"/>
          <w:sz w:val="20"/>
        </w:rPr>
        <w:t>***, **, * Statistically significant at p &lt;</w:t>
      </w:r>
      <w:r w:rsidR="00163215" w:rsidRPr="001775D9">
        <w:rPr>
          <w:color w:val="000000"/>
          <w:sz w:val="20"/>
        </w:rPr>
        <w:t> </w:t>
      </w:r>
      <w:r w:rsidRPr="001775D9">
        <w:rPr>
          <w:rFonts w:eastAsia="Times New Roman"/>
          <w:color w:val="000000"/>
          <w:sz w:val="20"/>
        </w:rPr>
        <w:t>0.001, &lt;</w:t>
      </w:r>
      <w:r w:rsidR="00163215" w:rsidRPr="001775D9">
        <w:rPr>
          <w:color w:val="000000"/>
          <w:sz w:val="20"/>
        </w:rPr>
        <w:t> </w:t>
      </w:r>
      <w:r w:rsidRPr="001775D9">
        <w:rPr>
          <w:rFonts w:eastAsia="Times New Roman"/>
          <w:color w:val="000000"/>
          <w:sz w:val="20"/>
        </w:rPr>
        <w:t>0.01, and &lt;</w:t>
      </w:r>
      <w:r w:rsidR="00163215" w:rsidRPr="001775D9">
        <w:rPr>
          <w:color w:val="000000"/>
          <w:sz w:val="20"/>
        </w:rPr>
        <w:t> </w:t>
      </w:r>
      <w:r w:rsidRPr="001775D9">
        <w:rPr>
          <w:rFonts w:eastAsia="Times New Roman"/>
          <w:color w:val="000000"/>
          <w:sz w:val="20"/>
        </w:rPr>
        <w:t xml:space="preserve">0.05, respectively, for all comparisons between </w:t>
      </w:r>
      <w:r w:rsidR="004267B0" w:rsidRPr="001775D9">
        <w:rPr>
          <w:rFonts w:eastAsia="Times New Roman"/>
          <w:color w:val="000000"/>
          <w:sz w:val="20"/>
        </w:rPr>
        <w:t>adalimumab</w:t>
      </w:r>
      <w:r w:rsidRPr="001775D9">
        <w:rPr>
          <w:rFonts w:eastAsia="Times New Roman"/>
          <w:color w:val="000000"/>
          <w:sz w:val="20"/>
        </w:rPr>
        <w:t xml:space="preserve"> and placebo</w:t>
      </w:r>
    </w:p>
    <w:p w14:paraId="364ABC71"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6C2C1B7B" w14:textId="77777777" w:rsidR="00E81EC5" w:rsidRPr="001775D9" w:rsidRDefault="00E81EC5"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In the open-label extension, improvement in the signs and symptoms was maintained with </w:t>
      </w:r>
      <w:r w:rsidR="004267B0" w:rsidRPr="001775D9">
        <w:rPr>
          <w:rFonts w:eastAsia="Times New Roman"/>
          <w:color w:val="000000"/>
          <w:szCs w:val="22"/>
        </w:rPr>
        <w:t>adalimumab</w:t>
      </w:r>
      <w:r w:rsidRPr="001775D9">
        <w:rPr>
          <w:rFonts w:eastAsia="Times New Roman"/>
          <w:color w:val="000000"/>
          <w:szCs w:val="22"/>
        </w:rPr>
        <w:t xml:space="preserve"> therapy through </w:t>
      </w:r>
      <w:r w:rsidR="0027224F" w:rsidRPr="001775D9">
        <w:rPr>
          <w:szCs w:val="22"/>
          <w:lang w:eastAsia="en-GB"/>
        </w:rPr>
        <w:t>week</w:t>
      </w:r>
      <w:r w:rsidRPr="001775D9">
        <w:rPr>
          <w:rFonts w:eastAsia="Times New Roman"/>
          <w:color w:val="000000"/>
          <w:szCs w:val="22"/>
        </w:rPr>
        <w:t xml:space="preserve"> 156.</w:t>
      </w:r>
    </w:p>
    <w:p w14:paraId="7327351E" w14:textId="77777777" w:rsidR="00E81EC5" w:rsidRPr="001775D9" w:rsidRDefault="00E81EC5" w:rsidP="00FB5458">
      <w:pPr>
        <w:shd w:val="clear" w:color="auto" w:fill="FFFFFF"/>
        <w:tabs>
          <w:tab w:val="clear" w:pos="567"/>
        </w:tabs>
        <w:spacing w:line="240" w:lineRule="auto"/>
        <w:rPr>
          <w:rFonts w:eastAsia="Times New Roman"/>
          <w:color w:val="000000"/>
          <w:szCs w:val="22"/>
        </w:rPr>
      </w:pPr>
    </w:p>
    <w:p w14:paraId="422DAE6B" w14:textId="77777777" w:rsidR="00E81EC5" w:rsidRPr="001775D9" w:rsidRDefault="00E81EC5" w:rsidP="00FB5458">
      <w:pPr>
        <w:keepNext/>
        <w:shd w:val="clear" w:color="auto" w:fill="FFFFFF"/>
        <w:tabs>
          <w:tab w:val="clear" w:pos="567"/>
        </w:tabs>
        <w:spacing w:line="240" w:lineRule="auto"/>
        <w:rPr>
          <w:rFonts w:eastAsia="Times New Roman"/>
          <w:color w:val="000000"/>
          <w:szCs w:val="22"/>
          <w:u w:val="single"/>
        </w:rPr>
      </w:pPr>
      <w:r w:rsidRPr="001775D9">
        <w:rPr>
          <w:rFonts w:eastAsia="Times New Roman"/>
          <w:color w:val="000000"/>
          <w:szCs w:val="22"/>
          <w:u w:val="single"/>
        </w:rPr>
        <w:t>Inhibition of inflammation</w:t>
      </w:r>
    </w:p>
    <w:p w14:paraId="6D8915B6" w14:textId="77777777" w:rsidR="00E81EC5" w:rsidRPr="001775D9" w:rsidRDefault="00E81EC5" w:rsidP="00FB5458">
      <w:pPr>
        <w:keepNext/>
        <w:shd w:val="clear" w:color="auto" w:fill="FFFFFF"/>
        <w:tabs>
          <w:tab w:val="clear" w:pos="567"/>
        </w:tabs>
        <w:spacing w:line="240" w:lineRule="auto"/>
        <w:rPr>
          <w:rFonts w:eastAsia="Times New Roman"/>
          <w:color w:val="000000"/>
          <w:szCs w:val="22"/>
        </w:rPr>
      </w:pPr>
    </w:p>
    <w:p w14:paraId="3F12D4F6" w14:textId="77777777" w:rsidR="00E81EC5" w:rsidRPr="001775D9" w:rsidRDefault="00E81EC5"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Significant improvement of signs of inflammation as measured by hs-CRP and MRI of both Sacroiliac Joints and the Spine was maintained in </w:t>
      </w:r>
      <w:r w:rsidR="004267B0" w:rsidRPr="001775D9">
        <w:rPr>
          <w:rFonts w:eastAsia="Times New Roman"/>
          <w:color w:val="000000"/>
          <w:szCs w:val="22"/>
        </w:rPr>
        <w:t>adalimumab</w:t>
      </w:r>
      <w:r w:rsidRPr="001775D9">
        <w:rPr>
          <w:rFonts w:eastAsia="Times New Roman"/>
          <w:color w:val="000000"/>
          <w:szCs w:val="22"/>
        </w:rPr>
        <w:t xml:space="preserve">-treated patients through </w:t>
      </w:r>
      <w:r w:rsidR="0027224F" w:rsidRPr="001775D9">
        <w:rPr>
          <w:szCs w:val="22"/>
          <w:lang w:eastAsia="en-GB"/>
        </w:rPr>
        <w:t>week</w:t>
      </w:r>
      <w:r w:rsidRPr="001775D9">
        <w:rPr>
          <w:rFonts w:eastAsia="Times New Roman"/>
          <w:color w:val="000000"/>
          <w:szCs w:val="22"/>
        </w:rPr>
        <w:t xml:space="preserve"> 156 and </w:t>
      </w:r>
      <w:r w:rsidR="0027224F" w:rsidRPr="001775D9">
        <w:rPr>
          <w:szCs w:val="22"/>
          <w:lang w:eastAsia="en-GB"/>
        </w:rPr>
        <w:t>week</w:t>
      </w:r>
      <w:r w:rsidRPr="001775D9">
        <w:rPr>
          <w:rFonts w:eastAsia="Times New Roman"/>
          <w:color w:val="000000"/>
          <w:szCs w:val="22"/>
        </w:rPr>
        <w:t xml:space="preserve"> 104, respectively.</w:t>
      </w:r>
    </w:p>
    <w:p w14:paraId="5080C64B" w14:textId="77777777" w:rsidR="00E81EC5" w:rsidRPr="001775D9" w:rsidRDefault="00E81EC5" w:rsidP="00FB5458">
      <w:pPr>
        <w:shd w:val="clear" w:color="auto" w:fill="FFFFFF"/>
        <w:tabs>
          <w:tab w:val="clear" w:pos="567"/>
        </w:tabs>
        <w:spacing w:line="240" w:lineRule="auto"/>
        <w:rPr>
          <w:rFonts w:eastAsia="Times New Roman"/>
          <w:color w:val="000000"/>
          <w:szCs w:val="22"/>
        </w:rPr>
      </w:pPr>
    </w:p>
    <w:p w14:paraId="77441EC8" w14:textId="77777777" w:rsidR="00E81EC5" w:rsidRPr="001775D9" w:rsidRDefault="00E81EC5" w:rsidP="00FB5458">
      <w:pPr>
        <w:keepNext/>
        <w:shd w:val="clear" w:color="auto" w:fill="FFFFFF"/>
        <w:tabs>
          <w:tab w:val="clear" w:pos="567"/>
        </w:tabs>
        <w:spacing w:line="240" w:lineRule="auto"/>
        <w:rPr>
          <w:rFonts w:eastAsia="Times New Roman"/>
          <w:color w:val="000000"/>
          <w:szCs w:val="22"/>
          <w:u w:val="single"/>
        </w:rPr>
      </w:pPr>
      <w:r w:rsidRPr="001775D9">
        <w:rPr>
          <w:rFonts w:eastAsia="Times New Roman"/>
          <w:color w:val="000000"/>
          <w:szCs w:val="22"/>
          <w:u w:val="single"/>
        </w:rPr>
        <w:t>Quality of life and physical function</w:t>
      </w:r>
    </w:p>
    <w:p w14:paraId="0B5DE24F" w14:textId="77777777" w:rsidR="00E81EC5" w:rsidRPr="001775D9" w:rsidRDefault="00E81EC5" w:rsidP="00FB5458">
      <w:pPr>
        <w:keepNext/>
        <w:tabs>
          <w:tab w:val="clear" w:pos="567"/>
        </w:tabs>
        <w:autoSpaceDE w:val="0"/>
        <w:autoSpaceDN w:val="0"/>
        <w:adjustRightInd w:val="0"/>
        <w:spacing w:line="240" w:lineRule="auto"/>
        <w:rPr>
          <w:szCs w:val="22"/>
        </w:rPr>
      </w:pPr>
    </w:p>
    <w:p w14:paraId="2BBFA9B9" w14:textId="77777777" w:rsidR="00C42229" w:rsidRPr="001775D9" w:rsidRDefault="00C42229" w:rsidP="00FB5458">
      <w:pPr>
        <w:tabs>
          <w:tab w:val="clear" w:pos="567"/>
        </w:tabs>
        <w:autoSpaceDE w:val="0"/>
        <w:autoSpaceDN w:val="0"/>
        <w:adjustRightInd w:val="0"/>
        <w:spacing w:line="240" w:lineRule="auto"/>
        <w:rPr>
          <w:color w:val="000000"/>
          <w:szCs w:val="22"/>
        </w:rPr>
      </w:pPr>
      <w:r w:rsidRPr="001775D9">
        <w:rPr>
          <w:szCs w:val="22"/>
        </w:rPr>
        <w:t>Health-related quality of life and physical function were assessed using the HAQ-S and the SF-36 questionnaires.</w:t>
      </w:r>
      <w:r w:rsidR="0027224F" w:rsidRPr="001775D9">
        <w:rPr>
          <w:szCs w:val="22"/>
        </w:rPr>
        <w:t xml:space="preserve"> </w:t>
      </w:r>
      <w:r w:rsidR="004267B0" w:rsidRPr="001775D9">
        <w:rPr>
          <w:szCs w:val="22"/>
        </w:rPr>
        <w:t>A</w:t>
      </w:r>
      <w:r w:rsidR="004267B0" w:rsidRPr="001775D9">
        <w:rPr>
          <w:rFonts w:eastAsia="Times New Roman"/>
          <w:color w:val="000000"/>
          <w:szCs w:val="22"/>
        </w:rPr>
        <w:t>dalimumab</w:t>
      </w:r>
      <w:r w:rsidRPr="001775D9">
        <w:rPr>
          <w:szCs w:val="22"/>
        </w:rPr>
        <w:t xml:space="preserve"> showed statistically significantly greater improvement in the HAQ-S total score and the SF-36 Physical Component Score (PCS) from baseline to week 12 compared to placebo.</w:t>
      </w:r>
      <w:r w:rsidR="00E81EC5" w:rsidRPr="001775D9">
        <w:rPr>
          <w:szCs w:val="22"/>
        </w:rPr>
        <w:t xml:space="preserve"> </w:t>
      </w:r>
      <w:r w:rsidR="00E81EC5" w:rsidRPr="001775D9">
        <w:rPr>
          <w:color w:val="000000"/>
          <w:szCs w:val="22"/>
        </w:rPr>
        <w:t xml:space="preserve">Improvement in health-related quality of life and physical function was maintained during the open-label extension through </w:t>
      </w:r>
      <w:r w:rsidR="0027224F" w:rsidRPr="001775D9">
        <w:rPr>
          <w:szCs w:val="22"/>
          <w:lang w:eastAsia="en-GB"/>
        </w:rPr>
        <w:t>week</w:t>
      </w:r>
      <w:r w:rsidR="00E81EC5" w:rsidRPr="001775D9">
        <w:rPr>
          <w:color w:val="000000"/>
          <w:szCs w:val="22"/>
        </w:rPr>
        <w:t xml:space="preserve"> 156.</w:t>
      </w:r>
    </w:p>
    <w:p w14:paraId="72DEDA72" w14:textId="77777777" w:rsidR="004C5D91" w:rsidRPr="001775D9" w:rsidRDefault="004C5D91" w:rsidP="00FB5458">
      <w:pPr>
        <w:tabs>
          <w:tab w:val="clear" w:pos="567"/>
        </w:tabs>
        <w:autoSpaceDE w:val="0"/>
        <w:autoSpaceDN w:val="0"/>
        <w:adjustRightInd w:val="0"/>
        <w:spacing w:line="240" w:lineRule="auto"/>
        <w:rPr>
          <w:color w:val="000000"/>
          <w:szCs w:val="22"/>
        </w:rPr>
      </w:pPr>
    </w:p>
    <w:p w14:paraId="6A6F491D" w14:textId="77777777" w:rsidR="004C5D91" w:rsidRPr="00D55B59" w:rsidRDefault="004C5D91" w:rsidP="00CF6F25">
      <w:pPr>
        <w:keepNext/>
        <w:suppressAutoHyphens/>
        <w:spacing w:line="240" w:lineRule="auto"/>
        <w:rPr>
          <w:rFonts w:eastAsia="Times New Roman"/>
          <w:szCs w:val="22"/>
          <w:rPrChange w:id="657" w:author="Author">
            <w:rPr>
              <w:rFonts w:eastAsia="Times New Roman"/>
              <w:szCs w:val="22"/>
              <w:lang w:val="en-US"/>
            </w:rPr>
          </w:rPrChange>
        </w:rPr>
      </w:pPr>
      <w:r w:rsidRPr="00D55B59">
        <w:rPr>
          <w:rFonts w:eastAsia="Times New Roman"/>
          <w:szCs w:val="22"/>
          <w:rPrChange w:id="658" w:author="Author">
            <w:rPr>
              <w:rFonts w:eastAsia="Times New Roman"/>
              <w:szCs w:val="22"/>
              <w:lang w:val="en-US"/>
            </w:rPr>
          </w:rPrChange>
        </w:rPr>
        <w:t>Study nr-axSpA II</w:t>
      </w:r>
    </w:p>
    <w:p w14:paraId="4A54C78F" w14:textId="77777777" w:rsidR="004C5D91" w:rsidRPr="00D55B59" w:rsidRDefault="004C5D91" w:rsidP="004C5D91">
      <w:pPr>
        <w:suppressAutoHyphens/>
        <w:spacing w:line="240" w:lineRule="auto"/>
        <w:rPr>
          <w:rFonts w:eastAsia="Times New Roman"/>
          <w:szCs w:val="22"/>
          <w:rPrChange w:id="659" w:author="Author">
            <w:rPr>
              <w:rFonts w:eastAsia="Times New Roman"/>
              <w:szCs w:val="22"/>
              <w:lang w:val="en-US"/>
            </w:rPr>
          </w:rPrChange>
        </w:rPr>
      </w:pPr>
    </w:p>
    <w:p w14:paraId="3178939D" w14:textId="1C2F2301" w:rsidR="004C5D91" w:rsidRPr="00D55B59" w:rsidRDefault="004C5D91" w:rsidP="004C5D91">
      <w:pPr>
        <w:suppressAutoHyphens/>
        <w:spacing w:line="240" w:lineRule="auto"/>
        <w:rPr>
          <w:rFonts w:eastAsia="Times New Roman"/>
          <w:szCs w:val="22"/>
          <w:rPrChange w:id="660" w:author="Author">
            <w:rPr>
              <w:rFonts w:eastAsia="Times New Roman"/>
              <w:szCs w:val="22"/>
              <w:lang w:val="en-US"/>
            </w:rPr>
          </w:rPrChange>
        </w:rPr>
      </w:pPr>
      <w:r w:rsidRPr="00D55B59">
        <w:rPr>
          <w:rFonts w:eastAsia="Times New Roman"/>
          <w:szCs w:val="22"/>
          <w:rPrChange w:id="661" w:author="Author">
            <w:rPr>
              <w:rFonts w:eastAsia="Times New Roman"/>
              <w:szCs w:val="22"/>
              <w:lang w:val="en-US"/>
            </w:rPr>
          </w:rPrChange>
        </w:rPr>
        <w:t xml:space="preserve">673 patients with active nr-axSpA (mean baseline disease activity [BASDAI] was 7.0) who had an inadequate response to </w:t>
      </w:r>
      <w:r w:rsidRPr="00D55B59">
        <w:rPr>
          <w:rFonts w:eastAsia="Times New Roman"/>
          <w:szCs w:val="22"/>
          <w:rPrChange w:id="662" w:author="Author">
            <w:rPr>
              <w:rFonts w:eastAsia="Times New Roman"/>
              <w:szCs w:val="22"/>
              <w:lang w:val="en-US"/>
            </w:rPr>
          </w:rPrChange>
        </w:rPr>
        <w:sym w:font="Symbol" w:char="F0B3"/>
      </w:r>
      <w:r w:rsidRPr="00D55B59">
        <w:rPr>
          <w:rFonts w:eastAsia="Times New Roman"/>
          <w:szCs w:val="22"/>
          <w:rPrChange w:id="663" w:author="Author">
            <w:rPr>
              <w:rFonts w:eastAsia="Times New Roman"/>
              <w:szCs w:val="22"/>
              <w:lang w:val="en-US"/>
            </w:rPr>
          </w:rPrChange>
        </w:rPr>
        <w:t xml:space="preserve"> 2 NSAIDs, or an intolerance to or a contraindication for NSAIDs enrolled into the open-label period of Study nr-axSpA II during which they received </w:t>
      </w:r>
      <w:r w:rsidR="00990C13" w:rsidRPr="00D55B59">
        <w:rPr>
          <w:rFonts w:eastAsia="Times New Roman"/>
          <w:szCs w:val="22"/>
          <w:rPrChange w:id="664" w:author="Author">
            <w:rPr>
              <w:rFonts w:eastAsia="Times New Roman"/>
              <w:szCs w:val="22"/>
              <w:lang w:val="en-US"/>
            </w:rPr>
          </w:rPrChange>
        </w:rPr>
        <w:t>a</w:t>
      </w:r>
      <w:r w:rsidR="00731332" w:rsidRPr="00D55B59">
        <w:rPr>
          <w:rFonts w:eastAsia="Times New Roman"/>
          <w:szCs w:val="22"/>
          <w:rPrChange w:id="665" w:author="Author">
            <w:rPr>
              <w:rFonts w:eastAsia="Times New Roman"/>
              <w:szCs w:val="22"/>
              <w:lang w:val="en-US"/>
            </w:rPr>
          </w:rPrChange>
        </w:rPr>
        <w:t>dalimumab</w:t>
      </w:r>
      <w:r w:rsidRPr="00D55B59">
        <w:rPr>
          <w:rFonts w:eastAsia="Times New Roman"/>
          <w:szCs w:val="22"/>
          <w:rPrChange w:id="666" w:author="Author">
            <w:rPr>
              <w:rFonts w:eastAsia="Times New Roman"/>
              <w:szCs w:val="22"/>
              <w:lang w:val="en-US"/>
            </w:rPr>
          </w:rPrChange>
        </w:rPr>
        <w:t xml:space="preserve"> 40 mg </w:t>
      </w:r>
      <w:r w:rsidR="00B837EB" w:rsidRPr="00D55B59">
        <w:rPr>
          <w:rFonts w:eastAsia="Times New Roman"/>
          <w:szCs w:val="22"/>
          <w:rPrChange w:id="667" w:author="Author">
            <w:rPr>
              <w:rFonts w:eastAsia="Times New Roman"/>
              <w:szCs w:val="22"/>
              <w:lang w:val="en-US"/>
            </w:rPr>
          </w:rPrChange>
        </w:rPr>
        <w:t>every other week</w:t>
      </w:r>
      <w:r w:rsidRPr="00D55B59">
        <w:rPr>
          <w:rFonts w:eastAsia="Times New Roman"/>
          <w:szCs w:val="22"/>
          <w:rPrChange w:id="668" w:author="Author">
            <w:rPr>
              <w:rFonts w:eastAsia="Times New Roman"/>
              <w:szCs w:val="22"/>
              <w:lang w:val="en-US"/>
            </w:rPr>
          </w:rPrChange>
        </w:rPr>
        <w:t xml:space="preserve"> for 28 weeks. These patients also had objective evidence of inflammation in the sacroiliac joints or spine on MRI or elevated hs-CRP. Patients who achieved sustained remission for at least 12 weeks (N=305) (ASDAS &lt; 1.3 at </w:t>
      </w:r>
      <w:r w:rsidR="005D2478" w:rsidRPr="00D55B59">
        <w:rPr>
          <w:rFonts w:eastAsia="Times New Roman"/>
          <w:szCs w:val="22"/>
          <w:rPrChange w:id="669" w:author="Author">
            <w:rPr>
              <w:rFonts w:eastAsia="Times New Roman"/>
              <w:szCs w:val="22"/>
              <w:lang w:val="en-US"/>
            </w:rPr>
          </w:rPrChange>
        </w:rPr>
        <w:t>w</w:t>
      </w:r>
      <w:r w:rsidRPr="00D55B59">
        <w:rPr>
          <w:rFonts w:eastAsia="Times New Roman"/>
          <w:szCs w:val="22"/>
          <w:rPrChange w:id="670" w:author="Author">
            <w:rPr>
              <w:rFonts w:eastAsia="Times New Roman"/>
              <w:szCs w:val="22"/>
              <w:lang w:val="en-US"/>
            </w:rPr>
          </w:rPrChange>
        </w:rPr>
        <w:t>eeks 16, 20, 24, and 28) during the open-label period were then randomi</w:t>
      </w:r>
      <w:r w:rsidR="00747B80" w:rsidRPr="00D55B59">
        <w:rPr>
          <w:rFonts w:eastAsia="Times New Roman"/>
          <w:szCs w:val="22"/>
          <w:rPrChange w:id="671" w:author="Author">
            <w:rPr>
              <w:rFonts w:eastAsia="Times New Roman"/>
              <w:szCs w:val="22"/>
              <w:lang w:val="en-US"/>
            </w:rPr>
          </w:rPrChange>
        </w:rPr>
        <w:t>s</w:t>
      </w:r>
      <w:r w:rsidRPr="00D55B59">
        <w:rPr>
          <w:rFonts w:eastAsia="Times New Roman"/>
          <w:szCs w:val="22"/>
          <w:rPrChange w:id="672" w:author="Author">
            <w:rPr>
              <w:rFonts w:eastAsia="Times New Roman"/>
              <w:szCs w:val="22"/>
              <w:lang w:val="en-US"/>
            </w:rPr>
          </w:rPrChange>
        </w:rPr>
        <w:t xml:space="preserve">ed to receive either continued treatment with </w:t>
      </w:r>
      <w:r w:rsidR="00990C13" w:rsidRPr="00D55B59">
        <w:rPr>
          <w:rFonts w:eastAsia="Times New Roman"/>
          <w:szCs w:val="22"/>
          <w:rPrChange w:id="673" w:author="Author">
            <w:rPr>
              <w:rFonts w:eastAsia="Times New Roman"/>
              <w:szCs w:val="22"/>
              <w:lang w:val="en-US"/>
            </w:rPr>
          </w:rPrChange>
        </w:rPr>
        <w:t>a</w:t>
      </w:r>
      <w:r w:rsidR="00731332" w:rsidRPr="00D55B59">
        <w:rPr>
          <w:rFonts w:eastAsia="Times New Roman"/>
          <w:szCs w:val="22"/>
          <w:rPrChange w:id="674" w:author="Author">
            <w:rPr>
              <w:rFonts w:eastAsia="Times New Roman"/>
              <w:szCs w:val="22"/>
              <w:lang w:val="en-US"/>
            </w:rPr>
          </w:rPrChange>
        </w:rPr>
        <w:t>dalimumab</w:t>
      </w:r>
      <w:r w:rsidRPr="00D55B59">
        <w:rPr>
          <w:rFonts w:eastAsia="Times New Roman"/>
          <w:szCs w:val="22"/>
          <w:rPrChange w:id="675" w:author="Author">
            <w:rPr>
              <w:rFonts w:eastAsia="Times New Roman"/>
              <w:szCs w:val="22"/>
              <w:lang w:val="en-US"/>
            </w:rPr>
          </w:rPrChange>
        </w:rPr>
        <w:t xml:space="preserve"> 40 mg </w:t>
      </w:r>
      <w:r w:rsidR="00B837EB" w:rsidRPr="00D55B59">
        <w:rPr>
          <w:rFonts w:eastAsia="Times New Roman"/>
          <w:szCs w:val="22"/>
          <w:rPrChange w:id="676" w:author="Author">
            <w:rPr>
              <w:rFonts w:eastAsia="Times New Roman"/>
              <w:szCs w:val="22"/>
              <w:lang w:val="en-US"/>
            </w:rPr>
          </w:rPrChange>
        </w:rPr>
        <w:t xml:space="preserve">every other week </w:t>
      </w:r>
      <w:r w:rsidRPr="00D55B59">
        <w:rPr>
          <w:rFonts w:eastAsia="Times New Roman"/>
          <w:szCs w:val="22"/>
          <w:rPrChange w:id="677" w:author="Author">
            <w:rPr>
              <w:rFonts w:eastAsia="Times New Roman"/>
              <w:szCs w:val="22"/>
              <w:lang w:val="en-US"/>
            </w:rPr>
          </w:rPrChange>
        </w:rPr>
        <w:t xml:space="preserve">(N=152) or placebo (N=153) for an additional 40 weeks in a double-blind, placebo-controlled period (total study duration 68 weeks). Subjects who flared during the double-blind period were allowed </w:t>
      </w:r>
      <w:r w:rsidR="00990C13" w:rsidRPr="00D55B59">
        <w:rPr>
          <w:rFonts w:eastAsia="Times New Roman"/>
          <w:szCs w:val="22"/>
          <w:rPrChange w:id="678" w:author="Author">
            <w:rPr>
              <w:rFonts w:eastAsia="Times New Roman"/>
              <w:szCs w:val="22"/>
              <w:lang w:val="en-US"/>
            </w:rPr>
          </w:rPrChange>
        </w:rPr>
        <w:t>a</w:t>
      </w:r>
      <w:r w:rsidR="00731332" w:rsidRPr="00D55B59">
        <w:rPr>
          <w:rFonts w:eastAsia="Times New Roman"/>
          <w:szCs w:val="22"/>
          <w:rPrChange w:id="679" w:author="Author">
            <w:rPr>
              <w:rFonts w:eastAsia="Times New Roman"/>
              <w:szCs w:val="22"/>
              <w:lang w:val="en-US"/>
            </w:rPr>
          </w:rPrChange>
        </w:rPr>
        <w:t>dalimumab</w:t>
      </w:r>
      <w:r w:rsidRPr="00D55B59">
        <w:rPr>
          <w:rFonts w:eastAsia="Times New Roman"/>
          <w:szCs w:val="22"/>
          <w:rPrChange w:id="680" w:author="Author">
            <w:rPr>
              <w:rFonts w:eastAsia="Times New Roman"/>
              <w:szCs w:val="22"/>
              <w:lang w:val="en-US"/>
            </w:rPr>
          </w:rPrChange>
        </w:rPr>
        <w:t xml:space="preserve"> 40 mg </w:t>
      </w:r>
      <w:r w:rsidR="00B837EB" w:rsidRPr="00D55B59">
        <w:rPr>
          <w:rFonts w:eastAsia="Times New Roman"/>
          <w:szCs w:val="22"/>
          <w:rPrChange w:id="681" w:author="Author">
            <w:rPr>
              <w:rFonts w:eastAsia="Times New Roman"/>
              <w:szCs w:val="22"/>
              <w:lang w:val="en-US"/>
            </w:rPr>
          </w:rPrChange>
        </w:rPr>
        <w:t>every other week</w:t>
      </w:r>
      <w:r w:rsidRPr="00D55B59">
        <w:rPr>
          <w:rFonts w:eastAsia="Times New Roman"/>
          <w:szCs w:val="22"/>
          <w:rPrChange w:id="682" w:author="Author">
            <w:rPr>
              <w:rFonts w:eastAsia="Times New Roman"/>
              <w:szCs w:val="22"/>
              <w:lang w:val="en-US"/>
            </w:rPr>
          </w:rPrChange>
        </w:rPr>
        <w:t xml:space="preserve"> rescue therapy for at least 12 weeks.</w:t>
      </w:r>
    </w:p>
    <w:p w14:paraId="79C3BFA1" w14:textId="77777777" w:rsidR="004C5D91" w:rsidRPr="00D55B59" w:rsidRDefault="004C5D91" w:rsidP="004C5D91">
      <w:pPr>
        <w:suppressAutoHyphens/>
        <w:spacing w:line="240" w:lineRule="auto"/>
        <w:rPr>
          <w:rFonts w:eastAsia="Times New Roman"/>
          <w:rPrChange w:id="683" w:author="Author">
            <w:rPr>
              <w:rFonts w:eastAsia="Times New Roman"/>
              <w:lang w:val="en-US"/>
            </w:rPr>
          </w:rPrChange>
        </w:rPr>
      </w:pPr>
    </w:p>
    <w:p w14:paraId="659B7C45" w14:textId="6568E8A0" w:rsidR="004C5D91" w:rsidRPr="001775D9" w:rsidRDefault="004C5D91" w:rsidP="004C5D91">
      <w:pPr>
        <w:suppressAutoHyphens/>
        <w:spacing w:line="240" w:lineRule="auto"/>
        <w:rPr>
          <w:rFonts w:eastAsia="Times New Roman"/>
        </w:rPr>
      </w:pPr>
      <w:r w:rsidRPr="00D55B59">
        <w:rPr>
          <w:rFonts w:eastAsia="Times New Roman"/>
          <w:rPrChange w:id="684" w:author="Author">
            <w:rPr>
              <w:rFonts w:eastAsia="Times New Roman"/>
              <w:lang w:val="en-US"/>
            </w:rPr>
          </w:rPrChange>
        </w:rPr>
        <w:t xml:space="preserve">The primary efficacy endpoint was the proportion of patients with no flare by </w:t>
      </w:r>
      <w:r w:rsidR="00A54A1A" w:rsidRPr="00D55B59">
        <w:rPr>
          <w:rFonts w:eastAsia="Times New Roman"/>
          <w:rPrChange w:id="685" w:author="Author">
            <w:rPr>
              <w:rFonts w:eastAsia="Times New Roman"/>
              <w:lang w:val="en-US"/>
            </w:rPr>
          </w:rPrChange>
        </w:rPr>
        <w:t>w</w:t>
      </w:r>
      <w:r w:rsidRPr="00D55B59">
        <w:rPr>
          <w:rFonts w:eastAsia="Times New Roman"/>
          <w:rPrChange w:id="686" w:author="Author">
            <w:rPr>
              <w:rFonts w:eastAsia="Times New Roman"/>
              <w:lang w:val="en-US"/>
            </w:rPr>
          </w:rPrChange>
        </w:rPr>
        <w:t xml:space="preserve">eek 68 of the study. Flare was defined as ASDAS ≥ 2.1 at two consecutive visits four weeks apart. A greater proportion of patients on </w:t>
      </w:r>
      <w:r w:rsidR="00990C13" w:rsidRPr="00D55B59">
        <w:rPr>
          <w:rFonts w:eastAsia="Times New Roman"/>
          <w:rPrChange w:id="687" w:author="Author">
            <w:rPr>
              <w:rFonts w:eastAsia="Times New Roman"/>
              <w:lang w:val="en-US"/>
            </w:rPr>
          </w:rPrChange>
        </w:rPr>
        <w:t>a</w:t>
      </w:r>
      <w:r w:rsidR="00731332" w:rsidRPr="00D55B59">
        <w:rPr>
          <w:rFonts w:eastAsia="Times New Roman"/>
          <w:rPrChange w:id="688" w:author="Author">
            <w:rPr>
              <w:rFonts w:eastAsia="Times New Roman"/>
              <w:lang w:val="en-US"/>
            </w:rPr>
          </w:rPrChange>
        </w:rPr>
        <w:t>dalimumab</w:t>
      </w:r>
      <w:r w:rsidRPr="00D55B59">
        <w:rPr>
          <w:rFonts w:eastAsia="Times New Roman"/>
          <w:rPrChange w:id="689" w:author="Author">
            <w:rPr>
              <w:rFonts w:eastAsia="Times New Roman"/>
              <w:lang w:val="en-US"/>
            </w:rPr>
          </w:rPrChange>
        </w:rPr>
        <w:t xml:space="preserve"> had no disease flare during the double-blind period, when compared with those on placebo (70.4% vs. 47.1%, p</w:t>
      </w:r>
      <w:r w:rsidR="006D2088" w:rsidRPr="001775D9">
        <w:rPr>
          <w:szCs w:val="22"/>
          <w:lang w:eastAsia="en-GB"/>
        </w:rPr>
        <w:t> </w:t>
      </w:r>
      <w:r w:rsidRPr="00D55B59">
        <w:rPr>
          <w:rFonts w:eastAsia="Times New Roman"/>
          <w:rPrChange w:id="690" w:author="Author">
            <w:rPr>
              <w:rFonts w:eastAsia="Times New Roman"/>
              <w:lang w:val="en-US"/>
            </w:rPr>
          </w:rPrChange>
        </w:rPr>
        <w:t>&lt;</w:t>
      </w:r>
      <w:r w:rsidR="006D2088" w:rsidRPr="001775D9">
        <w:rPr>
          <w:szCs w:val="22"/>
          <w:lang w:eastAsia="en-GB"/>
        </w:rPr>
        <w:t> </w:t>
      </w:r>
      <w:r w:rsidRPr="00D55B59">
        <w:rPr>
          <w:rFonts w:eastAsia="Times New Roman"/>
          <w:rPrChange w:id="691" w:author="Author">
            <w:rPr>
              <w:rFonts w:eastAsia="Times New Roman"/>
              <w:lang w:val="en-US"/>
            </w:rPr>
          </w:rPrChange>
        </w:rPr>
        <w:t>0.001) (</w:t>
      </w:r>
      <w:r w:rsidR="009E5C5C" w:rsidRPr="00D55B59">
        <w:rPr>
          <w:rFonts w:eastAsia="Times New Roman"/>
          <w:rPrChange w:id="692" w:author="Author">
            <w:rPr>
              <w:rFonts w:eastAsia="Times New Roman"/>
              <w:lang w:val="en-US"/>
            </w:rPr>
          </w:rPrChange>
        </w:rPr>
        <w:t>f</w:t>
      </w:r>
      <w:r w:rsidRPr="00D55B59">
        <w:rPr>
          <w:rFonts w:eastAsia="Times New Roman"/>
          <w:rPrChange w:id="693" w:author="Author">
            <w:rPr>
              <w:rFonts w:eastAsia="Times New Roman"/>
              <w:lang w:val="en-US"/>
            </w:rPr>
          </w:rPrChange>
        </w:rPr>
        <w:t xml:space="preserve">igure 1). </w:t>
      </w:r>
    </w:p>
    <w:p w14:paraId="18FB5BC7" w14:textId="77777777" w:rsidR="004C5D91" w:rsidRPr="00D55B59" w:rsidRDefault="004C5D91" w:rsidP="004C5D91">
      <w:pPr>
        <w:keepNext/>
        <w:suppressAutoHyphens/>
        <w:spacing w:line="240" w:lineRule="auto"/>
        <w:jc w:val="center"/>
        <w:rPr>
          <w:rFonts w:eastAsia="Times New Roman"/>
          <w:b/>
          <w:rPrChange w:id="694" w:author="Author">
            <w:rPr>
              <w:rFonts w:eastAsia="Times New Roman"/>
              <w:b/>
              <w:lang w:val="en-US"/>
            </w:rPr>
          </w:rPrChange>
        </w:rPr>
      </w:pPr>
    </w:p>
    <w:p w14:paraId="7DFCACAB" w14:textId="3A2AF290" w:rsidR="004C5D91" w:rsidRPr="00D55B59" w:rsidRDefault="004C5D91" w:rsidP="00CF6F25">
      <w:pPr>
        <w:keepNext/>
        <w:suppressAutoHyphens/>
        <w:spacing w:line="240" w:lineRule="auto"/>
        <w:rPr>
          <w:rFonts w:eastAsia="Times New Roman"/>
          <w:b/>
          <w:rPrChange w:id="695" w:author="Author">
            <w:rPr>
              <w:rFonts w:eastAsia="Times New Roman"/>
              <w:b/>
              <w:lang w:val="en-US"/>
            </w:rPr>
          </w:rPrChange>
        </w:rPr>
      </w:pPr>
      <w:r w:rsidRPr="00D55B59">
        <w:rPr>
          <w:rFonts w:eastAsia="Times New Roman"/>
          <w:b/>
          <w:rPrChange w:id="696" w:author="Author">
            <w:rPr>
              <w:rFonts w:eastAsia="Times New Roman"/>
              <w:b/>
              <w:lang w:val="en-US"/>
            </w:rPr>
          </w:rPrChange>
        </w:rPr>
        <w:t xml:space="preserve">Figure 1: Kaplan-Meier </w:t>
      </w:r>
      <w:r w:rsidR="004A03C4" w:rsidRPr="00D55B59">
        <w:rPr>
          <w:rFonts w:eastAsia="Times New Roman"/>
          <w:b/>
          <w:rPrChange w:id="697" w:author="Author">
            <w:rPr>
              <w:rFonts w:eastAsia="Times New Roman"/>
              <w:b/>
              <w:lang w:val="en-US"/>
            </w:rPr>
          </w:rPrChange>
        </w:rPr>
        <w:t>c</w:t>
      </w:r>
      <w:r w:rsidRPr="00D55B59">
        <w:rPr>
          <w:rFonts w:eastAsia="Times New Roman"/>
          <w:b/>
          <w:rPrChange w:id="698" w:author="Author">
            <w:rPr>
              <w:rFonts w:eastAsia="Times New Roman"/>
              <w:b/>
              <w:lang w:val="en-US"/>
            </w:rPr>
          </w:rPrChange>
        </w:rPr>
        <w:t xml:space="preserve">urves </w:t>
      </w:r>
      <w:r w:rsidR="004A03C4" w:rsidRPr="00D55B59">
        <w:rPr>
          <w:rFonts w:eastAsia="Times New Roman"/>
          <w:b/>
          <w:rPrChange w:id="699" w:author="Author">
            <w:rPr>
              <w:rFonts w:eastAsia="Times New Roman"/>
              <w:b/>
              <w:lang w:val="en-US"/>
            </w:rPr>
          </w:rPrChange>
        </w:rPr>
        <w:t>s</w:t>
      </w:r>
      <w:r w:rsidRPr="00D55B59">
        <w:rPr>
          <w:rFonts w:eastAsia="Times New Roman"/>
          <w:b/>
          <w:rPrChange w:id="700" w:author="Author">
            <w:rPr>
              <w:rFonts w:eastAsia="Times New Roman"/>
              <w:b/>
              <w:lang w:val="en-US"/>
            </w:rPr>
          </w:rPrChange>
        </w:rPr>
        <w:t>ummari</w:t>
      </w:r>
      <w:r w:rsidR="00747B80" w:rsidRPr="00D55B59">
        <w:rPr>
          <w:rFonts w:eastAsia="Times New Roman"/>
          <w:b/>
          <w:rPrChange w:id="701" w:author="Author">
            <w:rPr>
              <w:rFonts w:eastAsia="Times New Roman"/>
              <w:b/>
              <w:lang w:val="en-US"/>
            </w:rPr>
          </w:rPrChange>
        </w:rPr>
        <w:t>s</w:t>
      </w:r>
      <w:r w:rsidRPr="00D55B59">
        <w:rPr>
          <w:rFonts w:eastAsia="Times New Roman"/>
          <w:b/>
          <w:rPrChange w:id="702" w:author="Author">
            <w:rPr>
              <w:rFonts w:eastAsia="Times New Roman"/>
              <w:b/>
              <w:lang w:val="en-US"/>
            </w:rPr>
          </w:rPrChange>
        </w:rPr>
        <w:t xml:space="preserve">ing </w:t>
      </w:r>
      <w:r w:rsidR="004A03C4" w:rsidRPr="00D55B59">
        <w:rPr>
          <w:rFonts w:eastAsia="Times New Roman"/>
          <w:b/>
          <w:rPrChange w:id="703" w:author="Author">
            <w:rPr>
              <w:rFonts w:eastAsia="Times New Roman"/>
              <w:b/>
              <w:lang w:val="en-US"/>
            </w:rPr>
          </w:rPrChange>
        </w:rPr>
        <w:t>t</w:t>
      </w:r>
      <w:r w:rsidRPr="00D55B59">
        <w:rPr>
          <w:rFonts w:eastAsia="Times New Roman"/>
          <w:b/>
          <w:rPrChange w:id="704" w:author="Author">
            <w:rPr>
              <w:rFonts w:eastAsia="Times New Roman"/>
              <w:b/>
              <w:lang w:val="en-US"/>
            </w:rPr>
          </w:rPrChange>
        </w:rPr>
        <w:t xml:space="preserve">ime to </w:t>
      </w:r>
      <w:r w:rsidR="004A03C4" w:rsidRPr="00D55B59">
        <w:rPr>
          <w:rFonts w:eastAsia="Times New Roman"/>
          <w:b/>
          <w:rPrChange w:id="705" w:author="Author">
            <w:rPr>
              <w:rFonts w:eastAsia="Times New Roman"/>
              <w:b/>
              <w:lang w:val="en-US"/>
            </w:rPr>
          </w:rPrChange>
        </w:rPr>
        <w:t>f</w:t>
      </w:r>
      <w:r w:rsidRPr="00D55B59">
        <w:rPr>
          <w:rFonts w:eastAsia="Times New Roman"/>
          <w:b/>
          <w:rPrChange w:id="706" w:author="Author">
            <w:rPr>
              <w:rFonts w:eastAsia="Times New Roman"/>
              <w:b/>
              <w:lang w:val="en-US"/>
            </w:rPr>
          </w:rPrChange>
        </w:rPr>
        <w:t xml:space="preserve">lare in </w:t>
      </w:r>
      <w:r w:rsidR="004A03C4" w:rsidRPr="00D55B59">
        <w:rPr>
          <w:rFonts w:eastAsia="Times New Roman"/>
          <w:b/>
          <w:rPrChange w:id="707" w:author="Author">
            <w:rPr>
              <w:rFonts w:eastAsia="Times New Roman"/>
              <w:b/>
              <w:lang w:val="en-US"/>
            </w:rPr>
          </w:rPrChange>
        </w:rPr>
        <w:t>s</w:t>
      </w:r>
      <w:r w:rsidRPr="00D55B59">
        <w:rPr>
          <w:rFonts w:eastAsia="Times New Roman"/>
          <w:b/>
          <w:rPrChange w:id="708" w:author="Author">
            <w:rPr>
              <w:rFonts w:eastAsia="Times New Roman"/>
              <w:b/>
              <w:lang w:val="en-US"/>
            </w:rPr>
          </w:rPrChange>
        </w:rPr>
        <w:t>tudy nr-axSpA II</w:t>
      </w:r>
    </w:p>
    <w:p w14:paraId="617911FB" w14:textId="77777777" w:rsidR="00B42615" w:rsidRPr="00D55B59" w:rsidRDefault="00B42615" w:rsidP="00CF6F25">
      <w:pPr>
        <w:keepNext/>
        <w:suppressAutoHyphens/>
        <w:spacing w:line="240" w:lineRule="auto"/>
        <w:rPr>
          <w:rFonts w:eastAsia="Times New Roman"/>
          <w:b/>
          <w:rPrChange w:id="709" w:author="Author">
            <w:rPr>
              <w:rFonts w:eastAsia="Times New Roman"/>
              <w:b/>
              <w:lang w:val="en-US"/>
            </w:rPr>
          </w:rPrChange>
        </w:rPr>
      </w:pPr>
    </w:p>
    <w:tbl>
      <w:tblPr>
        <w:tblW w:w="0" w:type="auto"/>
        <w:tblLook w:val="04A0" w:firstRow="1" w:lastRow="0" w:firstColumn="1" w:lastColumn="0" w:noHBand="0" w:noVBand="1"/>
      </w:tblPr>
      <w:tblGrid>
        <w:gridCol w:w="480"/>
        <w:gridCol w:w="8807"/>
      </w:tblGrid>
      <w:tr w:rsidR="005579C4" w:rsidRPr="00F04F82" w14:paraId="3F37CF21" w14:textId="77777777" w:rsidTr="005579C4">
        <w:trPr>
          <w:cantSplit/>
          <w:trHeight w:val="1134"/>
        </w:trPr>
        <w:tc>
          <w:tcPr>
            <w:tcW w:w="930" w:type="dxa"/>
            <w:textDirection w:val="btLr"/>
            <w:vAlign w:val="center"/>
          </w:tcPr>
          <w:p w14:paraId="7CB3BFBE" w14:textId="77777777" w:rsidR="004C5D91" w:rsidRPr="00D55B59" w:rsidRDefault="004C5D91" w:rsidP="00CF6F25">
            <w:pPr>
              <w:keepNext/>
              <w:suppressAutoHyphens/>
              <w:spacing w:line="240" w:lineRule="auto"/>
              <w:ind w:left="113" w:right="113"/>
              <w:jc w:val="center"/>
              <w:rPr>
                <w:rFonts w:eastAsia="Times New Roman"/>
                <w:b/>
                <w:szCs w:val="24"/>
                <w:rPrChange w:id="710" w:author="Author">
                  <w:rPr>
                    <w:rFonts w:eastAsia="Times New Roman"/>
                    <w:b/>
                    <w:szCs w:val="24"/>
                    <w:lang w:val="en-US"/>
                  </w:rPr>
                </w:rPrChange>
              </w:rPr>
            </w:pPr>
            <w:r w:rsidRPr="00D55B59">
              <w:rPr>
                <w:rFonts w:eastAsia="Times New Roman"/>
                <w:b/>
                <w:szCs w:val="24"/>
                <w:rPrChange w:id="711" w:author="Author">
                  <w:rPr>
                    <w:rFonts w:eastAsia="Times New Roman"/>
                    <w:b/>
                    <w:szCs w:val="24"/>
                    <w:lang w:val="en-US"/>
                  </w:rPr>
                </w:rPrChange>
              </w:rPr>
              <w:t xml:space="preserve">                   PROBABILITY OF NO FLARE</w:t>
            </w:r>
          </w:p>
        </w:tc>
        <w:tc>
          <w:tcPr>
            <w:tcW w:w="8646" w:type="dxa"/>
          </w:tcPr>
          <w:p w14:paraId="16CFDC01" w14:textId="65ECEB34" w:rsidR="004C5D91" w:rsidRPr="00D55B59" w:rsidRDefault="00D96030" w:rsidP="00CF6F25">
            <w:pPr>
              <w:keepNext/>
              <w:suppressAutoHyphens/>
              <w:spacing w:line="240" w:lineRule="auto"/>
              <w:rPr>
                <w:rFonts w:eastAsia="Times New Roman"/>
                <w:szCs w:val="24"/>
                <w:rPrChange w:id="712" w:author="Author">
                  <w:rPr>
                    <w:rFonts w:eastAsia="Times New Roman"/>
                    <w:szCs w:val="24"/>
                    <w:lang w:val="en-US"/>
                  </w:rPr>
                </w:rPrChange>
              </w:rPr>
            </w:pPr>
            <w:r>
              <w:rPr>
                <w:rFonts w:eastAsia="Times New Roman"/>
                <w:szCs w:val="24"/>
                <w:lang w:eastAsia="ja-JP"/>
              </w:rPr>
              <w:pict w14:anchorId="2E8048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i1025" type="#_x0000_t75" style="width:6in;height:225pt;visibility:visible;mso-wrap-style:square">
                  <v:imagedata r:id="rId12" o:title=""/>
                </v:shape>
              </w:pict>
            </w:r>
          </w:p>
        </w:tc>
      </w:tr>
      <w:tr w:rsidR="005579C4" w:rsidRPr="00F04F82" w14:paraId="61FFE9F1" w14:textId="77777777" w:rsidTr="005579C4">
        <w:tc>
          <w:tcPr>
            <w:tcW w:w="930" w:type="dxa"/>
          </w:tcPr>
          <w:p w14:paraId="5B120ABD" w14:textId="77777777" w:rsidR="004C5D91" w:rsidRPr="00D55B59" w:rsidRDefault="004C5D91" w:rsidP="005579C4">
            <w:pPr>
              <w:suppressAutoHyphens/>
              <w:spacing w:line="240" w:lineRule="auto"/>
              <w:rPr>
                <w:rFonts w:eastAsia="Times New Roman"/>
                <w:szCs w:val="24"/>
                <w:rPrChange w:id="713" w:author="Author">
                  <w:rPr>
                    <w:rFonts w:eastAsia="Times New Roman"/>
                    <w:szCs w:val="24"/>
                    <w:lang w:val="en-US"/>
                  </w:rPr>
                </w:rPrChange>
              </w:rPr>
            </w:pPr>
          </w:p>
        </w:tc>
        <w:tc>
          <w:tcPr>
            <w:tcW w:w="8646" w:type="dxa"/>
            <w:vAlign w:val="center"/>
          </w:tcPr>
          <w:p w14:paraId="5E32E820" w14:textId="77777777" w:rsidR="004C5D91" w:rsidRPr="00D55B59" w:rsidRDefault="004C5D91" w:rsidP="005579C4">
            <w:pPr>
              <w:suppressAutoHyphens/>
              <w:spacing w:line="240" w:lineRule="auto"/>
              <w:jc w:val="center"/>
              <w:rPr>
                <w:rFonts w:eastAsia="Times New Roman"/>
                <w:b/>
                <w:szCs w:val="24"/>
                <w:rPrChange w:id="714" w:author="Author">
                  <w:rPr>
                    <w:rFonts w:eastAsia="Times New Roman"/>
                    <w:b/>
                    <w:szCs w:val="24"/>
                    <w:lang w:val="en-US"/>
                  </w:rPr>
                </w:rPrChange>
              </w:rPr>
            </w:pPr>
            <w:r w:rsidRPr="00D55B59">
              <w:rPr>
                <w:rFonts w:eastAsia="Times New Roman"/>
                <w:b/>
                <w:szCs w:val="24"/>
                <w:rPrChange w:id="715" w:author="Author">
                  <w:rPr>
                    <w:rFonts w:eastAsia="Times New Roman"/>
                    <w:b/>
                    <w:szCs w:val="24"/>
                    <w:lang w:val="en-US"/>
                  </w:rPr>
                </w:rPrChange>
              </w:rPr>
              <w:t>TIME (WEEKS)</w:t>
            </w:r>
          </w:p>
        </w:tc>
      </w:tr>
      <w:tr w:rsidR="005579C4" w:rsidRPr="00F04F82" w14:paraId="79F26971" w14:textId="77777777" w:rsidTr="005579C4">
        <w:tc>
          <w:tcPr>
            <w:tcW w:w="9576" w:type="dxa"/>
            <w:gridSpan w:val="2"/>
          </w:tcPr>
          <w:p w14:paraId="31BEA5FB" w14:textId="130707EF" w:rsidR="004C5D91" w:rsidRPr="00D55B59" w:rsidRDefault="004C5D91" w:rsidP="005579C4">
            <w:pPr>
              <w:suppressAutoHyphens/>
              <w:spacing w:line="240" w:lineRule="auto"/>
              <w:rPr>
                <w:rFonts w:eastAsia="Times New Roman"/>
                <w:szCs w:val="24"/>
                <w:rPrChange w:id="716" w:author="Author">
                  <w:rPr>
                    <w:rFonts w:eastAsia="Times New Roman"/>
                    <w:szCs w:val="24"/>
                    <w:lang w:val="en-US"/>
                  </w:rPr>
                </w:rPrChange>
              </w:rPr>
            </w:pPr>
            <w:r w:rsidRPr="00D55B59">
              <w:rPr>
                <w:rFonts w:eastAsia="Times New Roman"/>
                <w:szCs w:val="24"/>
                <w:rPrChange w:id="717" w:author="Author">
                  <w:rPr>
                    <w:rFonts w:eastAsia="Times New Roman"/>
                    <w:szCs w:val="24"/>
                    <w:lang w:val="en-US"/>
                  </w:rPr>
                </w:rPrChange>
              </w:rPr>
              <w:t xml:space="preserve">                                  Treatment      </w:t>
            </w:r>
            <w:r w:rsidRPr="00D55B59">
              <w:rPr>
                <w:rFonts w:eastAsia="Times New Roman"/>
                <w:szCs w:val="24"/>
                <w:rPrChange w:id="718" w:author="Author">
                  <w:rPr>
                    <w:rFonts w:eastAsia="Times New Roman"/>
                    <w:noProof/>
                    <w:szCs w:val="24"/>
                    <w:lang w:val="en-US"/>
                  </w:rPr>
                </w:rPrChange>
              </w:rPr>
              <w:t xml:space="preserve"> </w:t>
            </w:r>
            <w:r w:rsidR="00D96030">
              <w:pict w14:anchorId="4E9B78D1">
                <v:line id="Line 376" o:spid="_x0000_s2348" style="visibility:visible;mso-wrap-style:square;mso-left-percent:-10001;mso-top-percent:-10001;mso-position-horizontal:absolute;mso-position-horizontal-relative:char;mso-position-vertical:absolute;mso-position-vertical-relative:line;mso-left-percent:-10001;mso-top-percent:-10001" from="0,0" to="30pt,.05pt" strokecolor="#595959" strokeweight="2.25pt">
                  <v:stroke dashstyle="1 1"/>
                  <o:lock v:ext="edit" shapetype="f"/>
                  <w10:wrap type="none"/>
                  <w10:anchorlock/>
                </v:line>
              </w:pict>
            </w:r>
            <w:r w:rsidRPr="00D55B59">
              <w:rPr>
                <w:rFonts w:eastAsia="Times New Roman"/>
                <w:szCs w:val="24"/>
                <w:rPrChange w:id="719" w:author="Author">
                  <w:rPr>
                    <w:rFonts w:eastAsia="Times New Roman"/>
                    <w:noProof/>
                    <w:szCs w:val="24"/>
                    <w:lang w:val="en-US"/>
                  </w:rPr>
                </w:rPrChange>
              </w:rPr>
              <w:t xml:space="preserve"> </w:t>
            </w:r>
            <w:r w:rsidRPr="00D55B59">
              <w:rPr>
                <w:rFonts w:eastAsia="Times New Roman"/>
                <w:szCs w:val="24"/>
                <w:rPrChange w:id="720" w:author="Author">
                  <w:rPr>
                    <w:rFonts w:eastAsia="Times New Roman"/>
                    <w:szCs w:val="24"/>
                    <w:lang w:val="en-US"/>
                  </w:rPr>
                </w:rPrChange>
              </w:rPr>
              <w:t xml:space="preserve">Placebo     </w:t>
            </w:r>
            <w:r w:rsidR="00D96030">
              <w:pict w14:anchorId="628D4F97">
                <v:line id="Line 375" o:spid="_x0000_s2347" style="visibility:visible;mso-wrap-style:square;mso-left-percent:-10001;mso-top-percent:-10001;mso-position-horizontal:absolute;mso-position-horizontal-relative:char;mso-position-vertical:absolute;mso-position-vertical-relative:line;mso-left-percent:-10001;mso-top-percent:-10001" from="0,0" to="31.6pt,.05pt" strokecolor="#404040" strokeweight="1.5pt">
                  <o:lock v:ext="edit" shapetype="f"/>
                  <w10:wrap type="none"/>
                  <w10:anchorlock/>
                </v:line>
              </w:pict>
            </w:r>
            <w:r w:rsidRPr="00D55B59">
              <w:rPr>
                <w:rFonts w:eastAsia="Times New Roman"/>
                <w:szCs w:val="24"/>
                <w:rPrChange w:id="721" w:author="Author">
                  <w:rPr>
                    <w:rFonts w:eastAsia="Times New Roman"/>
                    <w:szCs w:val="24"/>
                    <w:lang w:val="en-US"/>
                  </w:rPr>
                </w:rPrChange>
              </w:rPr>
              <w:t xml:space="preserve"> </w:t>
            </w:r>
            <w:r w:rsidR="00731332" w:rsidRPr="00D55B59">
              <w:rPr>
                <w:rFonts w:eastAsia="Times New Roman"/>
                <w:szCs w:val="24"/>
                <w:rPrChange w:id="722" w:author="Author">
                  <w:rPr>
                    <w:rFonts w:eastAsia="Times New Roman"/>
                    <w:szCs w:val="24"/>
                    <w:lang w:val="en-US"/>
                  </w:rPr>
                </w:rPrChange>
              </w:rPr>
              <w:t>Adalimumab</w:t>
            </w:r>
            <w:r w:rsidRPr="00D55B59">
              <w:rPr>
                <w:rFonts w:eastAsia="Times New Roman"/>
                <w:szCs w:val="24"/>
                <w:rPrChange w:id="723" w:author="Author">
                  <w:rPr>
                    <w:rFonts w:eastAsia="Times New Roman"/>
                    <w:szCs w:val="24"/>
                    <w:lang w:val="en-US"/>
                  </w:rPr>
                </w:rPrChange>
              </w:rPr>
              <w:t xml:space="preserve">     ∆ Censored</w:t>
            </w:r>
          </w:p>
        </w:tc>
      </w:tr>
    </w:tbl>
    <w:p w14:paraId="63C41D64" w14:textId="77777777" w:rsidR="004C5D91" w:rsidRPr="00D55B59" w:rsidRDefault="004C5D91" w:rsidP="004C5D91">
      <w:pPr>
        <w:suppressAutoHyphens/>
        <w:spacing w:line="240" w:lineRule="auto"/>
        <w:rPr>
          <w:rFonts w:eastAsia="Times New Roman"/>
          <w:szCs w:val="24"/>
          <w:rPrChange w:id="724" w:author="Author">
            <w:rPr>
              <w:rFonts w:eastAsia="Times New Roman"/>
              <w:szCs w:val="24"/>
              <w:lang w:val="en-US"/>
            </w:rPr>
          </w:rPrChange>
        </w:rPr>
      </w:pPr>
    </w:p>
    <w:p w14:paraId="75A88394" w14:textId="01917F9C" w:rsidR="004C5D91" w:rsidRPr="00D55B59" w:rsidRDefault="004C5D91" w:rsidP="004C5D91">
      <w:pPr>
        <w:suppressAutoHyphens/>
        <w:spacing w:line="240" w:lineRule="auto"/>
        <w:rPr>
          <w:rFonts w:eastAsia="Times New Roman"/>
          <w:szCs w:val="24"/>
          <w:rPrChange w:id="725" w:author="Author">
            <w:rPr>
              <w:rFonts w:eastAsia="Times New Roman"/>
              <w:szCs w:val="24"/>
              <w:lang w:val="en-US"/>
            </w:rPr>
          </w:rPrChange>
        </w:rPr>
      </w:pPr>
      <w:r w:rsidRPr="00D55B59">
        <w:rPr>
          <w:rFonts w:eastAsia="Times New Roman"/>
          <w:szCs w:val="24"/>
          <w:rPrChange w:id="726" w:author="Author">
            <w:rPr>
              <w:rFonts w:eastAsia="Times New Roman"/>
              <w:szCs w:val="24"/>
              <w:lang w:val="en-US"/>
            </w:rPr>
          </w:rPrChange>
        </w:rPr>
        <w:t>Note: P = Placebo (</w:t>
      </w:r>
      <w:r w:rsidR="004A03C4" w:rsidRPr="00D55B59">
        <w:rPr>
          <w:rFonts w:eastAsia="Times New Roman"/>
          <w:szCs w:val="24"/>
          <w:rPrChange w:id="727" w:author="Author">
            <w:rPr>
              <w:rFonts w:eastAsia="Times New Roman"/>
              <w:szCs w:val="24"/>
              <w:lang w:val="en-US"/>
            </w:rPr>
          </w:rPrChange>
        </w:rPr>
        <w:t>n</w:t>
      </w:r>
      <w:r w:rsidRPr="00D55B59">
        <w:rPr>
          <w:rFonts w:eastAsia="Times New Roman"/>
          <w:szCs w:val="24"/>
          <w:rPrChange w:id="728" w:author="Author">
            <w:rPr>
              <w:rFonts w:eastAsia="Times New Roman"/>
              <w:szCs w:val="24"/>
              <w:lang w:val="en-US"/>
            </w:rPr>
          </w:rPrChange>
        </w:rPr>
        <w:t xml:space="preserve">umber at </w:t>
      </w:r>
      <w:r w:rsidR="004A03C4" w:rsidRPr="00D55B59">
        <w:rPr>
          <w:rFonts w:eastAsia="Times New Roman"/>
          <w:szCs w:val="24"/>
          <w:rPrChange w:id="729" w:author="Author">
            <w:rPr>
              <w:rFonts w:eastAsia="Times New Roman"/>
              <w:szCs w:val="24"/>
              <w:lang w:val="en-US"/>
            </w:rPr>
          </w:rPrChange>
        </w:rPr>
        <w:t>r</w:t>
      </w:r>
      <w:r w:rsidRPr="00D55B59">
        <w:rPr>
          <w:rFonts w:eastAsia="Times New Roman"/>
          <w:szCs w:val="24"/>
          <w:rPrChange w:id="730" w:author="Author">
            <w:rPr>
              <w:rFonts w:eastAsia="Times New Roman"/>
              <w:szCs w:val="24"/>
              <w:lang w:val="en-US"/>
            </w:rPr>
          </w:rPrChange>
        </w:rPr>
        <w:t xml:space="preserve">isk (flared)); A = </w:t>
      </w:r>
      <w:r w:rsidR="00731332" w:rsidRPr="00D55B59">
        <w:rPr>
          <w:rFonts w:eastAsia="Times New Roman"/>
          <w:szCs w:val="24"/>
          <w:rPrChange w:id="731" w:author="Author">
            <w:rPr>
              <w:rFonts w:eastAsia="Times New Roman"/>
              <w:szCs w:val="24"/>
              <w:lang w:val="en-US"/>
            </w:rPr>
          </w:rPrChange>
        </w:rPr>
        <w:t>A</w:t>
      </w:r>
      <w:r w:rsidR="00990C13" w:rsidRPr="00D55B59">
        <w:rPr>
          <w:rFonts w:eastAsia="Times New Roman"/>
          <w:szCs w:val="24"/>
          <w:rPrChange w:id="732" w:author="Author">
            <w:rPr>
              <w:rFonts w:eastAsia="Times New Roman"/>
              <w:szCs w:val="24"/>
              <w:lang w:val="en-US"/>
            </w:rPr>
          </w:rPrChange>
        </w:rPr>
        <w:t>dalimumab</w:t>
      </w:r>
      <w:r w:rsidRPr="00D55B59">
        <w:rPr>
          <w:rFonts w:eastAsia="Times New Roman"/>
          <w:szCs w:val="24"/>
          <w:rPrChange w:id="733" w:author="Author">
            <w:rPr>
              <w:rFonts w:eastAsia="Times New Roman"/>
              <w:szCs w:val="24"/>
              <w:lang w:val="en-US"/>
            </w:rPr>
          </w:rPrChange>
        </w:rPr>
        <w:t xml:space="preserve"> (</w:t>
      </w:r>
      <w:r w:rsidR="004A03C4" w:rsidRPr="00D55B59">
        <w:rPr>
          <w:rFonts w:eastAsia="Times New Roman"/>
          <w:szCs w:val="24"/>
          <w:rPrChange w:id="734" w:author="Author">
            <w:rPr>
              <w:rFonts w:eastAsia="Times New Roman"/>
              <w:szCs w:val="24"/>
              <w:lang w:val="en-US"/>
            </w:rPr>
          </w:rPrChange>
        </w:rPr>
        <w:t>n</w:t>
      </w:r>
      <w:r w:rsidRPr="00D55B59">
        <w:rPr>
          <w:rFonts w:eastAsia="Times New Roman"/>
          <w:szCs w:val="24"/>
          <w:rPrChange w:id="735" w:author="Author">
            <w:rPr>
              <w:rFonts w:eastAsia="Times New Roman"/>
              <w:szCs w:val="24"/>
              <w:lang w:val="en-US"/>
            </w:rPr>
          </w:rPrChange>
        </w:rPr>
        <w:t xml:space="preserve">umber at </w:t>
      </w:r>
      <w:r w:rsidR="004A03C4" w:rsidRPr="00D55B59">
        <w:rPr>
          <w:rFonts w:eastAsia="Times New Roman"/>
          <w:szCs w:val="24"/>
          <w:rPrChange w:id="736" w:author="Author">
            <w:rPr>
              <w:rFonts w:eastAsia="Times New Roman"/>
              <w:szCs w:val="24"/>
              <w:lang w:val="en-US"/>
            </w:rPr>
          </w:rPrChange>
        </w:rPr>
        <w:t>r</w:t>
      </w:r>
      <w:r w:rsidRPr="00D55B59">
        <w:rPr>
          <w:rFonts w:eastAsia="Times New Roman"/>
          <w:szCs w:val="24"/>
          <w:rPrChange w:id="737" w:author="Author">
            <w:rPr>
              <w:rFonts w:eastAsia="Times New Roman"/>
              <w:szCs w:val="24"/>
              <w:lang w:val="en-US"/>
            </w:rPr>
          </w:rPrChange>
        </w:rPr>
        <w:t>isk (flared)).</w:t>
      </w:r>
    </w:p>
    <w:p w14:paraId="5CCCC770" w14:textId="77777777" w:rsidR="004C5D91" w:rsidRPr="00D55B59" w:rsidRDefault="004C5D91" w:rsidP="004C5D91">
      <w:pPr>
        <w:suppressAutoHyphens/>
        <w:spacing w:line="240" w:lineRule="auto"/>
        <w:rPr>
          <w:rFonts w:eastAsia="Times New Roman"/>
          <w:szCs w:val="24"/>
          <w:rPrChange w:id="738" w:author="Author">
            <w:rPr>
              <w:rFonts w:eastAsia="Times New Roman"/>
              <w:szCs w:val="24"/>
              <w:lang w:val="en-US"/>
            </w:rPr>
          </w:rPrChange>
        </w:rPr>
      </w:pPr>
    </w:p>
    <w:p w14:paraId="370C0B80" w14:textId="0470F413" w:rsidR="004C5D91" w:rsidRPr="001775D9" w:rsidRDefault="004C5D91" w:rsidP="004C5D91">
      <w:pPr>
        <w:suppressAutoHyphens/>
        <w:spacing w:line="240" w:lineRule="auto"/>
        <w:rPr>
          <w:rFonts w:eastAsia="Times New Roman"/>
        </w:rPr>
      </w:pPr>
      <w:r w:rsidRPr="001775D9">
        <w:rPr>
          <w:rFonts w:eastAsia="Times New Roman"/>
        </w:rPr>
        <w:t xml:space="preserve">Among the 68 patients who flared in the group allocated to treatment withdrawal, 65 completed 12 weeks of rescue therapy with </w:t>
      </w:r>
      <w:r w:rsidR="00990C13" w:rsidRPr="001775D9">
        <w:rPr>
          <w:rFonts w:eastAsia="Times New Roman"/>
        </w:rPr>
        <w:t>a</w:t>
      </w:r>
      <w:r w:rsidR="00731332" w:rsidRPr="001775D9">
        <w:rPr>
          <w:rFonts w:eastAsia="Times New Roman"/>
        </w:rPr>
        <w:t>dalimumab</w:t>
      </w:r>
      <w:r w:rsidRPr="001775D9">
        <w:rPr>
          <w:rFonts w:eastAsia="Times New Roman"/>
        </w:rPr>
        <w:t xml:space="preserve">, out of which 37 (56.9%) had regained remission (ASDAS &lt; 1.3) after 12 weeks of restarting the open-label treatment. </w:t>
      </w:r>
    </w:p>
    <w:p w14:paraId="6421F1FC" w14:textId="77777777" w:rsidR="004C5D91" w:rsidRPr="00D55B59" w:rsidRDefault="004C5D91" w:rsidP="004C5D91">
      <w:pPr>
        <w:suppressAutoHyphens/>
        <w:spacing w:line="240" w:lineRule="auto"/>
        <w:rPr>
          <w:rFonts w:eastAsia="Times New Roman"/>
          <w:szCs w:val="24"/>
          <w:rPrChange w:id="739" w:author="Author">
            <w:rPr>
              <w:rFonts w:eastAsia="Times New Roman"/>
              <w:szCs w:val="24"/>
              <w:lang w:val="en-US"/>
            </w:rPr>
          </w:rPrChange>
        </w:rPr>
      </w:pPr>
    </w:p>
    <w:p w14:paraId="054D2B24" w14:textId="66A1D370" w:rsidR="004C5D91" w:rsidRPr="00D55B59" w:rsidRDefault="004C5D91" w:rsidP="004C5D91">
      <w:pPr>
        <w:suppressAutoHyphens/>
        <w:spacing w:line="240" w:lineRule="auto"/>
        <w:rPr>
          <w:rFonts w:eastAsia="Times New Roman"/>
          <w:szCs w:val="24"/>
          <w:rPrChange w:id="740" w:author="Author">
            <w:rPr>
              <w:rFonts w:eastAsia="Times New Roman"/>
              <w:szCs w:val="24"/>
              <w:lang w:val="en-US"/>
            </w:rPr>
          </w:rPrChange>
        </w:rPr>
      </w:pPr>
      <w:r w:rsidRPr="00D55B59">
        <w:rPr>
          <w:rFonts w:eastAsia="Times New Roman"/>
          <w:szCs w:val="24"/>
          <w:rPrChange w:id="741" w:author="Author">
            <w:rPr>
              <w:rFonts w:eastAsia="Times New Roman"/>
              <w:szCs w:val="24"/>
              <w:lang w:val="en-US"/>
            </w:rPr>
          </w:rPrChange>
        </w:rPr>
        <w:t xml:space="preserve">By </w:t>
      </w:r>
      <w:r w:rsidR="00A54A1A" w:rsidRPr="00D55B59">
        <w:rPr>
          <w:rFonts w:eastAsia="Times New Roman"/>
          <w:szCs w:val="24"/>
          <w:rPrChange w:id="742" w:author="Author">
            <w:rPr>
              <w:rFonts w:eastAsia="Times New Roman"/>
              <w:szCs w:val="24"/>
              <w:lang w:val="en-US"/>
            </w:rPr>
          </w:rPrChange>
        </w:rPr>
        <w:t>w</w:t>
      </w:r>
      <w:r w:rsidRPr="00D55B59">
        <w:rPr>
          <w:rFonts w:eastAsia="Times New Roman"/>
          <w:szCs w:val="24"/>
          <w:rPrChange w:id="743" w:author="Author">
            <w:rPr>
              <w:rFonts w:eastAsia="Times New Roman"/>
              <w:szCs w:val="24"/>
              <w:lang w:val="en-US"/>
            </w:rPr>
          </w:rPrChange>
        </w:rPr>
        <w:t>eek</w:t>
      </w:r>
      <w:r w:rsidRPr="001775D9">
        <w:rPr>
          <w:rFonts w:eastAsia="Times New Roman"/>
          <w:szCs w:val="24"/>
        </w:rPr>
        <w:t> 68,</w:t>
      </w:r>
      <w:r w:rsidRPr="00D55B59">
        <w:rPr>
          <w:rFonts w:eastAsia="Times New Roman"/>
          <w:szCs w:val="24"/>
          <w:rPrChange w:id="744" w:author="Author">
            <w:rPr>
              <w:rFonts w:eastAsia="Times New Roman"/>
              <w:szCs w:val="24"/>
              <w:lang w:val="en-US"/>
            </w:rPr>
          </w:rPrChange>
        </w:rPr>
        <w:t xml:space="preserve"> patients receiving continuous </w:t>
      </w:r>
      <w:r w:rsidR="00990C13" w:rsidRPr="00D55B59">
        <w:rPr>
          <w:rFonts w:eastAsia="Times New Roman"/>
          <w:szCs w:val="24"/>
          <w:rPrChange w:id="745" w:author="Author">
            <w:rPr>
              <w:rFonts w:eastAsia="Times New Roman"/>
              <w:szCs w:val="24"/>
              <w:lang w:val="en-US"/>
            </w:rPr>
          </w:rPrChange>
        </w:rPr>
        <w:t>a</w:t>
      </w:r>
      <w:r w:rsidR="00731332" w:rsidRPr="00D55B59">
        <w:rPr>
          <w:rFonts w:eastAsia="Times New Roman"/>
          <w:szCs w:val="24"/>
          <w:rPrChange w:id="746" w:author="Author">
            <w:rPr>
              <w:rFonts w:eastAsia="Times New Roman"/>
              <w:szCs w:val="24"/>
              <w:lang w:val="en-US"/>
            </w:rPr>
          </w:rPrChange>
        </w:rPr>
        <w:t>dalimumab</w:t>
      </w:r>
      <w:r w:rsidRPr="00D55B59">
        <w:rPr>
          <w:rFonts w:eastAsia="Times New Roman"/>
          <w:szCs w:val="24"/>
          <w:rPrChange w:id="747" w:author="Author">
            <w:rPr>
              <w:rFonts w:eastAsia="Times New Roman"/>
              <w:szCs w:val="24"/>
              <w:lang w:val="en-US"/>
            </w:rPr>
          </w:rPrChange>
        </w:rPr>
        <w:t xml:space="preserve"> treatment showed statistically significant greater improvement of the signs and symptoms of active nr-axSpA as compared to patients allocated to treatment withdrawal during the double-bli</w:t>
      </w:r>
      <w:r w:rsidR="009A09A7" w:rsidRPr="00D55B59">
        <w:rPr>
          <w:rFonts w:eastAsia="Times New Roman"/>
          <w:szCs w:val="24"/>
          <w:rPrChange w:id="748" w:author="Author">
            <w:rPr>
              <w:rFonts w:eastAsia="Times New Roman"/>
              <w:szCs w:val="24"/>
              <w:lang w:val="en-US"/>
            </w:rPr>
          </w:rPrChange>
        </w:rPr>
        <w:t xml:space="preserve">nd period of the study (table </w:t>
      </w:r>
      <w:r w:rsidR="004D7CC1" w:rsidRPr="00D55B59">
        <w:rPr>
          <w:rFonts w:eastAsia="Times New Roman"/>
          <w:szCs w:val="24"/>
          <w:rPrChange w:id="749" w:author="Author">
            <w:rPr>
              <w:rFonts w:eastAsia="Times New Roman"/>
              <w:szCs w:val="24"/>
              <w:lang w:val="en-US"/>
            </w:rPr>
          </w:rPrChange>
        </w:rPr>
        <w:t>14</w:t>
      </w:r>
      <w:r w:rsidRPr="00D55B59">
        <w:rPr>
          <w:rFonts w:eastAsia="Times New Roman"/>
          <w:szCs w:val="24"/>
          <w:rPrChange w:id="750" w:author="Author">
            <w:rPr>
              <w:rFonts w:eastAsia="Times New Roman"/>
              <w:szCs w:val="24"/>
              <w:lang w:val="en-US"/>
            </w:rPr>
          </w:rPrChange>
        </w:rPr>
        <w:t>).</w:t>
      </w:r>
    </w:p>
    <w:p w14:paraId="7C7CA857" w14:textId="77777777" w:rsidR="004C5D91" w:rsidRPr="00D55B59" w:rsidRDefault="004C5D91" w:rsidP="002F067A">
      <w:pPr>
        <w:suppressAutoHyphens/>
        <w:spacing w:line="240" w:lineRule="auto"/>
        <w:rPr>
          <w:rFonts w:eastAsia="Times New Roman"/>
          <w:szCs w:val="24"/>
          <w:rPrChange w:id="751" w:author="Author">
            <w:rPr>
              <w:rFonts w:eastAsia="Times New Roman"/>
              <w:szCs w:val="24"/>
              <w:lang w:val="en-US"/>
            </w:rPr>
          </w:rPrChange>
        </w:rPr>
      </w:pPr>
    </w:p>
    <w:p w14:paraId="55530E83" w14:textId="4C1B9739" w:rsidR="004C5D91" w:rsidRPr="00D55B59" w:rsidRDefault="002F067A" w:rsidP="004815ED">
      <w:pPr>
        <w:keepNext/>
        <w:suppressAutoHyphens/>
        <w:spacing w:line="240" w:lineRule="auto"/>
        <w:rPr>
          <w:rFonts w:eastAsia="Times New Roman"/>
          <w:b/>
          <w:rPrChange w:id="752" w:author="Author">
            <w:rPr>
              <w:rFonts w:eastAsia="Times New Roman"/>
              <w:b/>
              <w:lang w:val="en-US"/>
            </w:rPr>
          </w:rPrChange>
        </w:rPr>
      </w:pPr>
      <w:r w:rsidRPr="00D55B59">
        <w:rPr>
          <w:rFonts w:eastAsia="Times New Roman"/>
          <w:b/>
          <w:rPrChange w:id="753" w:author="Author">
            <w:rPr>
              <w:rFonts w:eastAsia="Times New Roman"/>
              <w:b/>
              <w:lang w:val="en-US"/>
            </w:rPr>
          </w:rPrChange>
        </w:rPr>
        <w:t xml:space="preserve">Table </w:t>
      </w:r>
      <w:r w:rsidR="004D7CC1" w:rsidRPr="00D55B59">
        <w:rPr>
          <w:rFonts w:eastAsia="Times New Roman"/>
          <w:b/>
          <w:rPrChange w:id="754" w:author="Author">
            <w:rPr>
              <w:rFonts w:eastAsia="Times New Roman"/>
              <w:b/>
              <w:lang w:val="en-US"/>
            </w:rPr>
          </w:rPrChange>
        </w:rPr>
        <w:t>14</w:t>
      </w:r>
      <w:r w:rsidR="004D3CCE" w:rsidRPr="00D55B59">
        <w:rPr>
          <w:rFonts w:eastAsia="Times New Roman"/>
          <w:b/>
          <w:rPrChange w:id="755" w:author="Author">
            <w:rPr>
              <w:rFonts w:eastAsia="Times New Roman"/>
              <w:b/>
              <w:lang w:val="en-US"/>
            </w:rPr>
          </w:rPrChange>
        </w:rPr>
        <w:t>.</w:t>
      </w:r>
      <w:r w:rsidRPr="00D55B59">
        <w:rPr>
          <w:rFonts w:eastAsia="Times New Roman"/>
          <w:b/>
          <w:rPrChange w:id="756" w:author="Author">
            <w:rPr>
              <w:rFonts w:eastAsia="Times New Roman"/>
              <w:b/>
              <w:lang w:val="en-US"/>
            </w:rPr>
          </w:rPrChange>
        </w:rPr>
        <w:t xml:space="preserve"> </w:t>
      </w:r>
      <w:r w:rsidR="004C5D91" w:rsidRPr="00D55B59">
        <w:rPr>
          <w:rFonts w:eastAsia="Times New Roman"/>
          <w:b/>
          <w:rPrChange w:id="757" w:author="Author">
            <w:rPr>
              <w:rFonts w:eastAsia="Times New Roman"/>
              <w:b/>
              <w:lang w:val="en-US"/>
            </w:rPr>
          </w:rPrChange>
        </w:rPr>
        <w:t xml:space="preserve">Efficacy </w:t>
      </w:r>
      <w:r w:rsidR="00EB2720" w:rsidRPr="00D55B59">
        <w:rPr>
          <w:rFonts w:eastAsia="Times New Roman"/>
          <w:b/>
          <w:rPrChange w:id="758" w:author="Author">
            <w:rPr>
              <w:rFonts w:eastAsia="Times New Roman"/>
              <w:b/>
              <w:lang w:val="en-US"/>
            </w:rPr>
          </w:rPrChange>
        </w:rPr>
        <w:t>r</w:t>
      </w:r>
      <w:r w:rsidR="004C5D91" w:rsidRPr="00D55B59">
        <w:rPr>
          <w:rFonts w:eastAsia="Times New Roman"/>
          <w:b/>
          <w:rPrChange w:id="759" w:author="Author">
            <w:rPr>
              <w:rFonts w:eastAsia="Times New Roman"/>
              <w:b/>
              <w:lang w:val="en-US"/>
            </w:rPr>
          </w:rPrChange>
        </w:rPr>
        <w:t xml:space="preserve">esponse in </w:t>
      </w:r>
      <w:r w:rsidR="00EB2720" w:rsidRPr="00D55B59">
        <w:rPr>
          <w:rFonts w:eastAsia="Times New Roman"/>
          <w:b/>
          <w:rPrChange w:id="760" w:author="Author">
            <w:rPr>
              <w:rFonts w:eastAsia="Times New Roman"/>
              <w:b/>
              <w:lang w:val="en-US"/>
            </w:rPr>
          </w:rPrChange>
        </w:rPr>
        <w:t>p</w:t>
      </w:r>
      <w:r w:rsidR="004C5D91" w:rsidRPr="00D55B59">
        <w:rPr>
          <w:rFonts w:eastAsia="Times New Roman"/>
          <w:b/>
          <w:rPrChange w:id="761" w:author="Author">
            <w:rPr>
              <w:rFonts w:eastAsia="Times New Roman"/>
              <w:b/>
              <w:lang w:val="en-US"/>
            </w:rPr>
          </w:rPrChange>
        </w:rPr>
        <w:t>lacebo-</w:t>
      </w:r>
      <w:r w:rsidR="00EB2720" w:rsidRPr="00D55B59">
        <w:rPr>
          <w:rFonts w:eastAsia="Times New Roman"/>
          <w:b/>
          <w:rPrChange w:id="762" w:author="Author">
            <w:rPr>
              <w:rFonts w:eastAsia="Times New Roman"/>
              <w:b/>
              <w:lang w:val="en-US"/>
            </w:rPr>
          </w:rPrChange>
        </w:rPr>
        <w:t>c</w:t>
      </w:r>
      <w:r w:rsidR="004C5D91" w:rsidRPr="00D55B59">
        <w:rPr>
          <w:rFonts w:eastAsia="Times New Roman"/>
          <w:b/>
          <w:rPrChange w:id="763" w:author="Author">
            <w:rPr>
              <w:rFonts w:eastAsia="Times New Roman"/>
              <w:b/>
              <w:lang w:val="en-US"/>
            </w:rPr>
          </w:rPrChange>
        </w:rPr>
        <w:t xml:space="preserve">ontrolled </w:t>
      </w:r>
      <w:r w:rsidR="00EB2720" w:rsidRPr="00D55B59">
        <w:rPr>
          <w:rFonts w:eastAsia="Times New Roman"/>
          <w:b/>
          <w:rPrChange w:id="764" w:author="Author">
            <w:rPr>
              <w:rFonts w:eastAsia="Times New Roman"/>
              <w:b/>
              <w:lang w:val="en-US"/>
            </w:rPr>
          </w:rPrChange>
        </w:rPr>
        <w:t>p</w:t>
      </w:r>
      <w:r w:rsidR="004C5D91" w:rsidRPr="00D55B59">
        <w:rPr>
          <w:rFonts w:eastAsia="Times New Roman"/>
          <w:b/>
          <w:rPrChange w:id="765" w:author="Author">
            <w:rPr>
              <w:rFonts w:eastAsia="Times New Roman"/>
              <w:b/>
              <w:lang w:val="en-US"/>
            </w:rPr>
          </w:rPrChange>
        </w:rPr>
        <w:t xml:space="preserve">eriod for </w:t>
      </w:r>
      <w:r w:rsidR="00EB2720" w:rsidRPr="00D55B59">
        <w:rPr>
          <w:rFonts w:eastAsia="Times New Roman"/>
          <w:b/>
          <w:rPrChange w:id="766" w:author="Author">
            <w:rPr>
              <w:rFonts w:eastAsia="Times New Roman"/>
              <w:b/>
              <w:lang w:val="en-US"/>
            </w:rPr>
          </w:rPrChange>
        </w:rPr>
        <w:t>s</w:t>
      </w:r>
      <w:r w:rsidR="004C5D91" w:rsidRPr="00D55B59">
        <w:rPr>
          <w:rFonts w:eastAsia="Times New Roman"/>
          <w:b/>
          <w:rPrChange w:id="767" w:author="Author">
            <w:rPr>
              <w:rFonts w:eastAsia="Times New Roman"/>
              <w:b/>
              <w:lang w:val="en-US"/>
            </w:rPr>
          </w:rPrChange>
        </w:rPr>
        <w:t>tudy nr-axSpA II</w:t>
      </w:r>
    </w:p>
    <w:p w14:paraId="6E6089A2" w14:textId="77777777" w:rsidR="004C5D91" w:rsidRPr="00D55B59" w:rsidRDefault="004C5D91" w:rsidP="004C5D91">
      <w:pPr>
        <w:keepNext/>
        <w:suppressAutoHyphens/>
        <w:spacing w:line="240" w:lineRule="auto"/>
        <w:ind w:left="720"/>
        <w:rPr>
          <w:rFonts w:eastAsia="Times New Roman"/>
          <w:b/>
          <w:rPrChange w:id="768" w:author="Author">
            <w:rPr>
              <w:rFonts w:eastAsia="Times New Roman"/>
              <w:b/>
              <w:lang w:val="en-US"/>
            </w:rPr>
          </w:rPrChang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50"/>
        <w:gridCol w:w="1710"/>
        <w:gridCol w:w="1851"/>
      </w:tblGrid>
      <w:tr w:rsidR="004C5D91" w:rsidRPr="00F04F82" w14:paraId="1C2B533E" w14:textId="77777777" w:rsidTr="005579C4">
        <w:trPr>
          <w:jc w:val="center"/>
        </w:trPr>
        <w:tc>
          <w:tcPr>
            <w:tcW w:w="3067" w:type="pct"/>
          </w:tcPr>
          <w:p w14:paraId="088D0816" w14:textId="59854E3B" w:rsidR="004C5D91" w:rsidRPr="001775D9" w:rsidRDefault="004C5D91" w:rsidP="004C5D91">
            <w:pPr>
              <w:keepNext/>
              <w:suppressAutoHyphens/>
              <w:spacing w:line="240" w:lineRule="auto"/>
              <w:rPr>
                <w:rFonts w:eastAsia="Times New Roman"/>
                <w:b/>
                <w:bCs/>
                <w:szCs w:val="24"/>
              </w:rPr>
            </w:pPr>
            <w:r w:rsidRPr="001775D9">
              <w:rPr>
                <w:rFonts w:eastAsia="Times New Roman"/>
                <w:b/>
                <w:bCs/>
                <w:szCs w:val="24"/>
              </w:rPr>
              <w:t>Double-</w:t>
            </w:r>
            <w:r w:rsidR="00EB2720" w:rsidRPr="001775D9">
              <w:rPr>
                <w:rFonts w:eastAsia="Times New Roman"/>
                <w:b/>
                <w:bCs/>
                <w:szCs w:val="24"/>
              </w:rPr>
              <w:t>b</w:t>
            </w:r>
            <w:r w:rsidRPr="001775D9">
              <w:rPr>
                <w:rFonts w:eastAsia="Times New Roman"/>
                <w:b/>
                <w:bCs/>
                <w:szCs w:val="24"/>
              </w:rPr>
              <w:t>lind</w:t>
            </w:r>
          </w:p>
          <w:p w14:paraId="257BEDC4" w14:textId="12BAE05E" w:rsidR="004C5D91" w:rsidRPr="001775D9" w:rsidRDefault="00EB2720" w:rsidP="004C5D91">
            <w:pPr>
              <w:keepNext/>
              <w:suppressAutoHyphens/>
              <w:spacing w:line="240" w:lineRule="auto"/>
              <w:rPr>
                <w:rFonts w:eastAsia="Times New Roman"/>
                <w:b/>
                <w:bCs/>
                <w:szCs w:val="24"/>
              </w:rPr>
            </w:pPr>
            <w:r w:rsidRPr="001775D9">
              <w:rPr>
                <w:rFonts w:eastAsia="Times New Roman"/>
                <w:b/>
                <w:bCs/>
                <w:szCs w:val="24"/>
              </w:rPr>
              <w:t>r</w:t>
            </w:r>
            <w:r w:rsidR="004C5D91" w:rsidRPr="001775D9">
              <w:rPr>
                <w:rFonts w:eastAsia="Times New Roman"/>
                <w:b/>
                <w:bCs/>
                <w:szCs w:val="24"/>
              </w:rPr>
              <w:t xml:space="preserve">esponse at </w:t>
            </w:r>
            <w:r w:rsidRPr="001775D9">
              <w:rPr>
                <w:rFonts w:eastAsia="Times New Roman"/>
                <w:b/>
                <w:bCs/>
                <w:szCs w:val="24"/>
              </w:rPr>
              <w:t>w</w:t>
            </w:r>
            <w:r w:rsidR="004C5D91" w:rsidRPr="001775D9">
              <w:rPr>
                <w:rFonts w:eastAsia="Times New Roman"/>
                <w:b/>
                <w:bCs/>
                <w:szCs w:val="24"/>
              </w:rPr>
              <w:t>eek 68</w:t>
            </w:r>
          </w:p>
        </w:tc>
        <w:tc>
          <w:tcPr>
            <w:tcW w:w="928" w:type="pct"/>
          </w:tcPr>
          <w:p w14:paraId="1E5D2D68" w14:textId="77777777" w:rsidR="004C5D91" w:rsidRPr="00D55B59" w:rsidRDefault="004C5D91" w:rsidP="004C5D91">
            <w:pPr>
              <w:keepNext/>
              <w:suppressAutoHyphens/>
              <w:spacing w:line="240" w:lineRule="auto"/>
              <w:jc w:val="center"/>
              <w:rPr>
                <w:rFonts w:eastAsia="Times New Roman"/>
                <w:b/>
                <w:bCs/>
                <w:szCs w:val="22"/>
                <w:rPrChange w:id="769" w:author="Author">
                  <w:rPr>
                    <w:rFonts w:eastAsia="Times New Roman"/>
                    <w:b/>
                    <w:bCs/>
                    <w:szCs w:val="22"/>
                    <w:lang w:val="fr-FR"/>
                  </w:rPr>
                </w:rPrChange>
              </w:rPr>
            </w:pPr>
            <w:r w:rsidRPr="00D55B59">
              <w:rPr>
                <w:rFonts w:eastAsia="Times New Roman"/>
                <w:b/>
                <w:bCs/>
                <w:szCs w:val="22"/>
                <w:rPrChange w:id="770" w:author="Author">
                  <w:rPr>
                    <w:rFonts w:eastAsia="Times New Roman"/>
                    <w:b/>
                    <w:bCs/>
                    <w:szCs w:val="22"/>
                    <w:lang w:val="fr-FR"/>
                  </w:rPr>
                </w:rPrChange>
              </w:rPr>
              <w:t>Placebo</w:t>
            </w:r>
          </w:p>
          <w:p w14:paraId="77A3A0E8" w14:textId="6E9E063A" w:rsidR="004C5D91" w:rsidRPr="00D55B59" w:rsidRDefault="004C5D91" w:rsidP="004C5D91">
            <w:pPr>
              <w:keepNext/>
              <w:suppressAutoHyphens/>
              <w:spacing w:line="240" w:lineRule="auto"/>
              <w:jc w:val="center"/>
              <w:rPr>
                <w:rFonts w:eastAsia="Times New Roman"/>
                <w:b/>
                <w:bCs/>
                <w:szCs w:val="22"/>
                <w:rPrChange w:id="771" w:author="Author">
                  <w:rPr>
                    <w:rFonts w:eastAsia="Times New Roman"/>
                    <w:b/>
                    <w:bCs/>
                    <w:szCs w:val="22"/>
                    <w:lang w:val="fr-FR"/>
                  </w:rPr>
                </w:rPrChange>
              </w:rPr>
            </w:pPr>
            <w:r w:rsidRPr="00D55B59">
              <w:rPr>
                <w:rFonts w:eastAsia="Times New Roman"/>
                <w:b/>
                <w:bCs/>
                <w:szCs w:val="22"/>
                <w:rPrChange w:id="772" w:author="Author">
                  <w:rPr>
                    <w:rFonts w:eastAsia="Times New Roman"/>
                    <w:b/>
                    <w:bCs/>
                    <w:szCs w:val="22"/>
                    <w:lang w:val="fr-FR"/>
                  </w:rPr>
                </w:rPrChange>
              </w:rPr>
              <w:t>N=153</w:t>
            </w:r>
          </w:p>
        </w:tc>
        <w:tc>
          <w:tcPr>
            <w:tcW w:w="1005" w:type="pct"/>
          </w:tcPr>
          <w:p w14:paraId="5B60D1FA" w14:textId="77777777" w:rsidR="004C5D91" w:rsidRPr="00D55B59" w:rsidRDefault="00731332" w:rsidP="004C5D91">
            <w:pPr>
              <w:keepNext/>
              <w:suppressAutoHyphens/>
              <w:spacing w:line="240" w:lineRule="auto"/>
              <w:jc w:val="center"/>
              <w:rPr>
                <w:rFonts w:eastAsia="Times New Roman"/>
                <w:b/>
                <w:bCs/>
                <w:szCs w:val="22"/>
                <w:rPrChange w:id="773" w:author="Author">
                  <w:rPr>
                    <w:rFonts w:eastAsia="Times New Roman"/>
                    <w:b/>
                    <w:bCs/>
                    <w:szCs w:val="22"/>
                    <w:lang w:val="fr-FR"/>
                  </w:rPr>
                </w:rPrChange>
              </w:rPr>
            </w:pPr>
            <w:r w:rsidRPr="00D55B59">
              <w:rPr>
                <w:rFonts w:eastAsia="Times New Roman"/>
                <w:b/>
                <w:bCs/>
                <w:szCs w:val="22"/>
                <w:rPrChange w:id="774" w:author="Author">
                  <w:rPr>
                    <w:rFonts w:eastAsia="Times New Roman"/>
                    <w:b/>
                    <w:bCs/>
                    <w:szCs w:val="22"/>
                    <w:lang w:val="fr-FR"/>
                  </w:rPr>
                </w:rPrChange>
              </w:rPr>
              <w:t>Adalimumab</w:t>
            </w:r>
          </w:p>
          <w:p w14:paraId="2C643AAA" w14:textId="6833170B" w:rsidR="004C5D91" w:rsidRPr="00D55B59" w:rsidRDefault="004C5D91" w:rsidP="004C5D91">
            <w:pPr>
              <w:keepNext/>
              <w:suppressAutoHyphens/>
              <w:spacing w:line="240" w:lineRule="auto"/>
              <w:jc w:val="center"/>
              <w:rPr>
                <w:rFonts w:eastAsia="Times New Roman"/>
                <w:b/>
                <w:bCs/>
                <w:szCs w:val="22"/>
                <w:rPrChange w:id="775" w:author="Author">
                  <w:rPr>
                    <w:rFonts w:eastAsia="Times New Roman"/>
                    <w:b/>
                    <w:bCs/>
                    <w:szCs w:val="22"/>
                    <w:lang w:val="fr-FR"/>
                  </w:rPr>
                </w:rPrChange>
              </w:rPr>
            </w:pPr>
            <w:r w:rsidRPr="001775D9">
              <w:rPr>
                <w:rFonts w:eastAsia="Times New Roman"/>
                <w:b/>
                <w:bCs/>
                <w:szCs w:val="22"/>
              </w:rPr>
              <w:t>N=152</w:t>
            </w:r>
          </w:p>
        </w:tc>
      </w:tr>
      <w:tr w:rsidR="004C5D91" w:rsidRPr="00F04F82" w14:paraId="1554B235" w14:textId="77777777" w:rsidTr="005579C4">
        <w:trPr>
          <w:jc w:val="center"/>
        </w:trPr>
        <w:tc>
          <w:tcPr>
            <w:tcW w:w="3067" w:type="pct"/>
          </w:tcPr>
          <w:p w14:paraId="45252FF0" w14:textId="77777777" w:rsidR="004C5D91" w:rsidRPr="001775D9" w:rsidRDefault="004C5D91" w:rsidP="004C5D91">
            <w:pPr>
              <w:keepNext/>
              <w:suppressAutoHyphens/>
              <w:spacing w:line="240" w:lineRule="auto"/>
              <w:rPr>
                <w:rFonts w:eastAsia="Times New Roman"/>
                <w:szCs w:val="24"/>
              </w:rPr>
            </w:pPr>
            <w:r w:rsidRPr="001775D9">
              <w:rPr>
                <w:rFonts w:eastAsia="Times New Roman"/>
                <w:szCs w:val="24"/>
              </w:rPr>
              <w:t>ASAS</w:t>
            </w:r>
            <w:r w:rsidRPr="001775D9">
              <w:rPr>
                <w:rFonts w:eastAsia="Times New Roman"/>
                <w:szCs w:val="24"/>
                <w:vertAlign w:val="superscript"/>
              </w:rPr>
              <w:t>a,b</w:t>
            </w:r>
            <w:r w:rsidRPr="001775D9">
              <w:rPr>
                <w:rFonts w:eastAsia="Times New Roman"/>
                <w:szCs w:val="24"/>
              </w:rPr>
              <w:t xml:space="preserve"> 20</w:t>
            </w:r>
          </w:p>
        </w:tc>
        <w:tc>
          <w:tcPr>
            <w:tcW w:w="928" w:type="pct"/>
          </w:tcPr>
          <w:p w14:paraId="3EACEFCA"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47.1%</w:t>
            </w:r>
          </w:p>
        </w:tc>
        <w:tc>
          <w:tcPr>
            <w:tcW w:w="1005" w:type="pct"/>
          </w:tcPr>
          <w:p w14:paraId="0B77FDEA"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70.4%***</w:t>
            </w:r>
          </w:p>
        </w:tc>
      </w:tr>
      <w:tr w:rsidR="004C5D91" w:rsidRPr="00F04F82" w14:paraId="4B57D52E" w14:textId="77777777" w:rsidTr="005579C4">
        <w:trPr>
          <w:jc w:val="center"/>
        </w:trPr>
        <w:tc>
          <w:tcPr>
            <w:tcW w:w="3067" w:type="pct"/>
          </w:tcPr>
          <w:p w14:paraId="6D455792" w14:textId="77777777" w:rsidR="004C5D91" w:rsidRPr="001775D9" w:rsidRDefault="004C5D91" w:rsidP="004C5D91">
            <w:pPr>
              <w:keepNext/>
              <w:suppressAutoHyphens/>
              <w:spacing w:line="240" w:lineRule="auto"/>
              <w:rPr>
                <w:rFonts w:eastAsia="Times New Roman"/>
                <w:szCs w:val="24"/>
              </w:rPr>
            </w:pPr>
            <w:r w:rsidRPr="001775D9">
              <w:rPr>
                <w:rFonts w:eastAsia="Times New Roman"/>
                <w:szCs w:val="24"/>
              </w:rPr>
              <w:t>ASAS</w:t>
            </w:r>
            <w:r w:rsidRPr="001775D9">
              <w:rPr>
                <w:rFonts w:eastAsia="Times New Roman"/>
                <w:szCs w:val="24"/>
                <w:vertAlign w:val="superscript"/>
              </w:rPr>
              <w:t>a,b</w:t>
            </w:r>
            <w:r w:rsidRPr="001775D9">
              <w:rPr>
                <w:rFonts w:eastAsia="Times New Roman"/>
                <w:szCs w:val="24"/>
              </w:rPr>
              <w:t xml:space="preserve"> 40</w:t>
            </w:r>
          </w:p>
        </w:tc>
        <w:tc>
          <w:tcPr>
            <w:tcW w:w="928" w:type="pct"/>
          </w:tcPr>
          <w:p w14:paraId="183D5E59"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45.8%</w:t>
            </w:r>
          </w:p>
        </w:tc>
        <w:tc>
          <w:tcPr>
            <w:tcW w:w="1005" w:type="pct"/>
          </w:tcPr>
          <w:p w14:paraId="05593BCD"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65.8%***</w:t>
            </w:r>
          </w:p>
        </w:tc>
      </w:tr>
      <w:tr w:rsidR="004C5D91" w:rsidRPr="00F04F82" w14:paraId="1DA50CAD" w14:textId="77777777" w:rsidTr="005579C4">
        <w:trPr>
          <w:jc w:val="center"/>
        </w:trPr>
        <w:tc>
          <w:tcPr>
            <w:tcW w:w="3067" w:type="pct"/>
          </w:tcPr>
          <w:p w14:paraId="039A17E9" w14:textId="77777777" w:rsidR="004C5D91" w:rsidRPr="001775D9" w:rsidRDefault="004C5D91" w:rsidP="004C5D91">
            <w:pPr>
              <w:keepNext/>
              <w:suppressAutoHyphens/>
              <w:spacing w:line="240" w:lineRule="auto"/>
              <w:rPr>
                <w:rFonts w:eastAsia="Times New Roman"/>
                <w:szCs w:val="24"/>
              </w:rPr>
            </w:pPr>
            <w:r w:rsidRPr="001775D9">
              <w:rPr>
                <w:rFonts w:eastAsia="Times New Roman"/>
                <w:szCs w:val="24"/>
              </w:rPr>
              <w:t>ASAS</w:t>
            </w:r>
            <w:r w:rsidRPr="001775D9">
              <w:rPr>
                <w:rFonts w:eastAsia="Times New Roman"/>
                <w:szCs w:val="24"/>
                <w:vertAlign w:val="superscript"/>
              </w:rPr>
              <w:t>a</w:t>
            </w:r>
            <w:r w:rsidRPr="001775D9">
              <w:rPr>
                <w:rFonts w:eastAsia="Times New Roman"/>
                <w:szCs w:val="24"/>
              </w:rPr>
              <w:t xml:space="preserve"> Partial Remission</w:t>
            </w:r>
          </w:p>
        </w:tc>
        <w:tc>
          <w:tcPr>
            <w:tcW w:w="928" w:type="pct"/>
          </w:tcPr>
          <w:p w14:paraId="49940316"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26.8%</w:t>
            </w:r>
          </w:p>
        </w:tc>
        <w:tc>
          <w:tcPr>
            <w:tcW w:w="1005" w:type="pct"/>
          </w:tcPr>
          <w:p w14:paraId="4E473ABC"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42.1%**</w:t>
            </w:r>
          </w:p>
        </w:tc>
      </w:tr>
      <w:tr w:rsidR="004C5D91" w:rsidRPr="00F04F82" w14:paraId="289260D1" w14:textId="77777777" w:rsidTr="005579C4">
        <w:trPr>
          <w:jc w:val="center"/>
        </w:trPr>
        <w:tc>
          <w:tcPr>
            <w:tcW w:w="3067" w:type="pct"/>
          </w:tcPr>
          <w:p w14:paraId="5FE3FC2C" w14:textId="77777777" w:rsidR="004C5D91" w:rsidRPr="001775D9" w:rsidRDefault="004C5D91" w:rsidP="004C5D91">
            <w:pPr>
              <w:keepNext/>
              <w:suppressAutoHyphens/>
              <w:spacing w:line="240" w:lineRule="auto"/>
              <w:rPr>
                <w:rFonts w:eastAsia="Times New Roman"/>
                <w:szCs w:val="24"/>
              </w:rPr>
            </w:pPr>
            <w:r w:rsidRPr="001775D9">
              <w:rPr>
                <w:rFonts w:eastAsia="Times New Roman"/>
                <w:szCs w:val="24"/>
              </w:rPr>
              <w:t>ASDAS</w:t>
            </w:r>
            <w:r w:rsidRPr="001775D9">
              <w:rPr>
                <w:rFonts w:eastAsia="Times New Roman"/>
                <w:szCs w:val="24"/>
                <w:vertAlign w:val="superscript"/>
              </w:rPr>
              <w:t>c</w:t>
            </w:r>
            <w:r w:rsidRPr="001775D9">
              <w:rPr>
                <w:rFonts w:eastAsia="Times New Roman"/>
                <w:szCs w:val="24"/>
              </w:rPr>
              <w:t xml:space="preserve"> Inactive Disease</w:t>
            </w:r>
          </w:p>
        </w:tc>
        <w:tc>
          <w:tcPr>
            <w:tcW w:w="928" w:type="pct"/>
          </w:tcPr>
          <w:p w14:paraId="484E0E15"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33.3%</w:t>
            </w:r>
          </w:p>
        </w:tc>
        <w:tc>
          <w:tcPr>
            <w:tcW w:w="1005" w:type="pct"/>
          </w:tcPr>
          <w:p w14:paraId="757F1D42"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57.2%***</w:t>
            </w:r>
          </w:p>
        </w:tc>
      </w:tr>
      <w:tr w:rsidR="004C5D91" w:rsidRPr="00F04F82" w14:paraId="777AC3C5" w14:textId="77777777" w:rsidTr="005579C4">
        <w:trPr>
          <w:jc w:val="center"/>
        </w:trPr>
        <w:tc>
          <w:tcPr>
            <w:tcW w:w="3067" w:type="pct"/>
          </w:tcPr>
          <w:p w14:paraId="129904E0" w14:textId="77777777" w:rsidR="004C5D91" w:rsidRPr="001775D9" w:rsidRDefault="004C5D91" w:rsidP="004C5D91">
            <w:pPr>
              <w:keepNext/>
              <w:suppressAutoHyphens/>
              <w:spacing w:line="240" w:lineRule="auto"/>
              <w:rPr>
                <w:rFonts w:eastAsia="Times New Roman"/>
                <w:szCs w:val="24"/>
              </w:rPr>
            </w:pPr>
            <w:r w:rsidRPr="001775D9">
              <w:rPr>
                <w:rFonts w:eastAsia="Times New Roman"/>
                <w:szCs w:val="24"/>
              </w:rPr>
              <w:t>Partial Flare</w:t>
            </w:r>
            <w:r w:rsidRPr="001775D9">
              <w:rPr>
                <w:rFonts w:eastAsia="Times New Roman"/>
                <w:szCs w:val="22"/>
                <w:vertAlign w:val="superscript"/>
              </w:rPr>
              <w:t>d</w:t>
            </w:r>
          </w:p>
        </w:tc>
        <w:tc>
          <w:tcPr>
            <w:tcW w:w="928" w:type="pct"/>
          </w:tcPr>
          <w:p w14:paraId="135CBBC7"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64.1%</w:t>
            </w:r>
          </w:p>
        </w:tc>
        <w:tc>
          <w:tcPr>
            <w:tcW w:w="1005" w:type="pct"/>
          </w:tcPr>
          <w:p w14:paraId="679C6FD2" w14:textId="77777777" w:rsidR="004C5D91" w:rsidRPr="001775D9" w:rsidRDefault="004C5D91" w:rsidP="004C5D91">
            <w:pPr>
              <w:keepNext/>
              <w:suppressAutoHyphens/>
              <w:spacing w:line="240" w:lineRule="auto"/>
              <w:jc w:val="center"/>
              <w:rPr>
                <w:rFonts w:eastAsia="Times New Roman"/>
                <w:szCs w:val="24"/>
              </w:rPr>
            </w:pPr>
            <w:r w:rsidRPr="001775D9">
              <w:rPr>
                <w:rFonts w:eastAsia="Times New Roman"/>
                <w:szCs w:val="24"/>
              </w:rPr>
              <w:t>40.8%***</w:t>
            </w:r>
          </w:p>
        </w:tc>
      </w:tr>
      <w:tr w:rsidR="004C5D91" w:rsidRPr="00F04F82" w14:paraId="3DE4CF03" w14:textId="77777777" w:rsidTr="005579C4">
        <w:trPr>
          <w:jc w:val="center"/>
        </w:trPr>
        <w:tc>
          <w:tcPr>
            <w:tcW w:w="5000" w:type="pct"/>
            <w:gridSpan w:val="3"/>
            <w:tcBorders>
              <w:left w:val="nil"/>
              <w:bottom w:val="nil"/>
              <w:right w:val="nil"/>
            </w:tcBorders>
          </w:tcPr>
          <w:p w14:paraId="3BB55FC4" w14:textId="41502E86" w:rsidR="004C5D91" w:rsidRPr="001775D9" w:rsidRDefault="004C5D91" w:rsidP="004C5D91">
            <w:pPr>
              <w:keepNext/>
              <w:tabs>
                <w:tab w:val="clear" w:pos="567"/>
              </w:tabs>
              <w:autoSpaceDE w:val="0"/>
              <w:autoSpaceDN w:val="0"/>
              <w:adjustRightInd w:val="0"/>
              <w:spacing w:line="240" w:lineRule="auto"/>
              <w:rPr>
                <w:rFonts w:eastAsia="Times New Roman"/>
                <w:sz w:val="20"/>
              </w:rPr>
            </w:pPr>
            <w:r w:rsidRPr="001775D9">
              <w:rPr>
                <w:rFonts w:eastAsia="Times New Roman"/>
                <w:sz w:val="20"/>
                <w:vertAlign w:val="superscript"/>
              </w:rPr>
              <w:t>a</w:t>
            </w:r>
            <w:r w:rsidRPr="001775D9">
              <w:rPr>
                <w:rFonts w:eastAsia="Times New Roman"/>
                <w:sz w:val="20"/>
              </w:rPr>
              <w:t xml:space="preserve"> Assessment of SpondyloArthritis international Society</w:t>
            </w:r>
          </w:p>
          <w:p w14:paraId="3827BE24" w14:textId="77777777" w:rsidR="004C5D91" w:rsidRPr="001775D9" w:rsidRDefault="004C5D91" w:rsidP="004C5D91">
            <w:pPr>
              <w:keepNext/>
              <w:suppressAutoHyphens/>
              <w:spacing w:line="240" w:lineRule="auto"/>
              <w:ind w:left="20"/>
              <w:rPr>
                <w:rFonts w:eastAsia="Times New Roman"/>
                <w:sz w:val="20"/>
                <w:vertAlign w:val="superscript"/>
              </w:rPr>
            </w:pPr>
            <w:r w:rsidRPr="001775D9">
              <w:rPr>
                <w:rFonts w:eastAsia="Times New Roman"/>
                <w:sz w:val="20"/>
                <w:vertAlign w:val="superscript"/>
              </w:rPr>
              <w:t>b</w:t>
            </w:r>
            <w:r w:rsidRPr="001775D9">
              <w:rPr>
                <w:rFonts w:eastAsia="Times New Roman"/>
                <w:sz w:val="20"/>
              </w:rPr>
              <w:t xml:space="preserve"> Baseline is defined as open label baseline when patients have active disease.</w:t>
            </w:r>
          </w:p>
          <w:p w14:paraId="67B6400B" w14:textId="4933D2F9" w:rsidR="004C5D91" w:rsidRPr="001775D9" w:rsidRDefault="004C5D91" w:rsidP="004C5D91">
            <w:pPr>
              <w:keepNext/>
              <w:suppressAutoHyphens/>
              <w:spacing w:line="240" w:lineRule="auto"/>
              <w:ind w:left="20"/>
              <w:rPr>
                <w:rFonts w:eastAsia="Times New Roman"/>
                <w:sz w:val="20"/>
                <w:vertAlign w:val="superscript"/>
              </w:rPr>
            </w:pPr>
            <w:r w:rsidRPr="001775D9">
              <w:rPr>
                <w:rFonts w:eastAsia="Times New Roman"/>
                <w:sz w:val="20"/>
                <w:vertAlign w:val="superscript"/>
              </w:rPr>
              <w:t>c</w:t>
            </w:r>
            <w:r w:rsidRPr="001775D9">
              <w:rPr>
                <w:rFonts w:eastAsia="Times New Roman"/>
                <w:sz w:val="20"/>
              </w:rPr>
              <w:t xml:space="preserve"> Ankylosing Spondylitis Disease Activity Score</w:t>
            </w:r>
          </w:p>
          <w:p w14:paraId="55C3E573" w14:textId="77777777" w:rsidR="004C5D91" w:rsidRPr="001775D9" w:rsidRDefault="004C5D91" w:rsidP="004C5D91">
            <w:pPr>
              <w:keepNext/>
              <w:tabs>
                <w:tab w:val="clear" w:pos="567"/>
              </w:tabs>
              <w:autoSpaceDE w:val="0"/>
              <w:autoSpaceDN w:val="0"/>
              <w:adjustRightInd w:val="0"/>
              <w:spacing w:line="240" w:lineRule="auto"/>
              <w:rPr>
                <w:rFonts w:eastAsia="Times New Roman"/>
                <w:sz w:val="20"/>
              </w:rPr>
            </w:pPr>
            <w:r w:rsidRPr="001775D9">
              <w:rPr>
                <w:rFonts w:eastAsia="Times New Roman"/>
                <w:sz w:val="20"/>
                <w:vertAlign w:val="superscript"/>
              </w:rPr>
              <w:t>d</w:t>
            </w:r>
            <w:r w:rsidRPr="001775D9">
              <w:rPr>
                <w:rFonts w:eastAsia="Times New Roman"/>
                <w:sz w:val="20"/>
              </w:rPr>
              <w:t xml:space="preserve"> Partial flare is defined as </w:t>
            </w:r>
            <w:r w:rsidRPr="00D55B59">
              <w:rPr>
                <w:rFonts w:eastAsia="Calibri"/>
                <w:sz w:val="20"/>
                <w:rPrChange w:id="776" w:author="Author">
                  <w:rPr>
                    <w:rFonts w:eastAsia="Calibri"/>
                    <w:sz w:val="20"/>
                    <w:lang w:val="en-US"/>
                  </w:rPr>
                </w:rPrChange>
              </w:rPr>
              <w:t>ASDAS ≥ 1.3 but &lt; 2.1 at 2 consecutive visits.</w:t>
            </w:r>
          </w:p>
          <w:p w14:paraId="5746457E" w14:textId="77777777" w:rsidR="004C5D91" w:rsidRPr="001775D9" w:rsidRDefault="004C5D91" w:rsidP="004C5D91">
            <w:pPr>
              <w:keepNext/>
              <w:suppressAutoHyphens/>
              <w:spacing w:line="240" w:lineRule="auto"/>
              <w:ind w:left="20"/>
              <w:rPr>
                <w:rFonts w:eastAsia="Times New Roman"/>
              </w:rPr>
            </w:pPr>
            <w:r w:rsidRPr="00D55B59">
              <w:rPr>
                <w:rFonts w:eastAsia="Times New Roman"/>
                <w:sz w:val="20"/>
                <w:rPrChange w:id="777" w:author="Author">
                  <w:rPr>
                    <w:rFonts w:eastAsia="Times New Roman"/>
                    <w:sz w:val="20"/>
                    <w:lang w:val="en-US"/>
                  </w:rPr>
                </w:rPrChange>
              </w:rPr>
              <w:t>***, ** Statistically significant at p &lt;</w:t>
            </w:r>
            <w:r w:rsidRPr="001775D9">
              <w:rPr>
                <w:rFonts w:eastAsia="Times New Roman"/>
                <w:sz w:val="20"/>
              </w:rPr>
              <w:t> </w:t>
            </w:r>
            <w:r w:rsidRPr="00D55B59">
              <w:rPr>
                <w:rFonts w:eastAsia="Times New Roman"/>
                <w:sz w:val="20"/>
                <w:rPrChange w:id="778" w:author="Author">
                  <w:rPr>
                    <w:rFonts w:eastAsia="Times New Roman"/>
                    <w:sz w:val="20"/>
                    <w:lang w:val="en-US"/>
                  </w:rPr>
                </w:rPrChange>
              </w:rPr>
              <w:t>0.001 and &lt;</w:t>
            </w:r>
            <w:r w:rsidRPr="001775D9">
              <w:rPr>
                <w:rFonts w:eastAsia="Times New Roman"/>
                <w:sz w:val="20"/>
              </w:rPr>
              <w:t> </w:t>
            </w:r>
            <w:r w:rsidRPr="00D55B59">
              <w:rPr>
                <w:rFonts w:eastAsia="Times New Roman"/>
                <w:sz w:val="20"/>
                <w:rPrChange w:id="779" w:author="Author">
                  <w:rPr>
                    <w:rFonts w:eastAsia="Times New Roman"/>
                    <w:sz w:val="20"/>
                    <w:lang w:val="en-US"/>
                  </w:rPr>
                </w:rPrChange>
              </w:rPr>
              <w:t xml:space="preserve">0.01, respectively, for all comparisons between </w:t>
            </w:r>
            <w:r w:rsidR="00990C13" w:rsidRPr="00D55B59">
              <w:rPr>
                <w:rFonts w:eastAsia="Times New Roman"/>
                <w:sz w:val="20"/>
                <w:rPrChange w:id="780" w:author="Author">
                  <w:rPr>
                    <w:rFonts w:eastAsia="Times New Roman"/>
                    <w:sz w:val="20"/>
                    <w:lang w:val="en-US"/>
                  </w:rPr>
                </w:rPrChange>
              </w:rPr>
              <w:t>a</w:t>
            </w:r>
            <w:r w:rsidR="00731332" w:rsidRPr="00D55B59">
              <w:rPr>
                <w:rFonts w:eastAsia="Times New Roman"/>
                <w:sz w:val="20"/>
                <w:rPrChange w:id="781" w:author="Author">
                  <w:rPr>
                    <w:rFonts w:eastAsia="Times New Roman"/>
                    <w:sz w:val="20"/>
                    <w:lang w:val="en-US"/>
                  </w:rPr>
                </w:rPrChange>
              </w:rPr>
              <w:t>dalimumab</w:t>
            </w:r>
            <w:r w:rsidRPr="00D55B59">
              <w:rPr>
                <w:rFonts w:eastAsia="Times New Roman"/>
                <w:sz w:val="20"/>
                <w:rPrChange w:id="782" w:author="Author">
                  <w:rPr>
                    <w:rFonts w:eastAsia="Times New Roman"/>
                    <w:sz w:val="20"/>
                    <w:lang w:val="en-US"/>
                  </w:rPr>
                </w:rPrChange>
              </w:rPr>
              <w:t xml:space="preserve"> and placebo.</w:t>
            </w:r>
          </w:p>
        </w:tc>
      </w:tr>
    </w:tbl>
    <w:p w14:paraId="0DE67092" w14:textId="77777777" w:rsidR="00C42229" w:rsidRPr="001775D9" w:rsidRDefault="00C42229" w:rsidP="00FB5458">
      <w:pPr>
        <w:tabs>
          <w:tab w:val="clear" w:pos="567"/>
        </w:tabs>
        <w:autoSpaceDE w:val="0"/>
        <w:autoSpaceDN w:val="0"/>
        <w:adjustRightInd w:val="0"/>
        <w:spacing w:line="240" w:lineRule="auto"/>
        <w:rPr>
          <w:szCs w:val="22"/>
        </w:rPr>
      </w:pPr>
    </w:p>
    <w:p w14:paraId="5C7959A5" w14:textId="77777777" w:rsidR="00C42229" w:rsidRPr="001775D9" w:rsidRDefault="00C42229" w:rsidP="00A66CE9">
      <w:pPr>
        <w:keepNext/>
        <w:tabs>
          <w:tab w:val="clear" w:pos="567"/>
        </w:tabs>
        <w:autoSpaceDE w:val="0"/>
        <w:autoSpaceDN w:val="0"/>
        <w:adjustRightInd w:val="0"/>
        <w:spacing w:line="240" w:lineRule="auto"/>
        <w:rPr>
          <w:i/>
          <w:szCs w:val="22"/>
          <w:lang w:eastAsia="en-GB"/>
        </w:rPr>
      </w:pPr>
      <w:r w:rsidRPr="001775D9">
        <w:rPr>
          <w:i/>
          <w:szCs w:val="22"/>
          <w:lang w:eastAsia="en-GB"/>
        </w:rPr>
        <w:t xml:space="preserve">Psoriatic arthritis </w:t>
      </w:r>
    </w:p>
    <w:p w14:paraId="3670E928" w14:textId="77777777" w:rsidR="00C42229" w:rsidRPr="001775D9" w:rsidRDefault="00C42229" w:rsidP="00A66CE9">
      <w:pPr>
        <w:keepNext/>
        <w:tabs>
          <w:tab w:val="clear" w:pos="567"/>
        </w:tabs>
        <w:autoSpaceDE w:val="0"/>
        <w:autoSpaceDN w:val="0"/>
        <w:adjustRightInd w:val="0"/>
        <w:spacing w:line="240" w:lineRule="auto"/>
        <w:rPr>
          <w:szCs w:val="22"/>
          <w:lang w:eastAsia="en-GB"/>
        </w:rPr>
      </w:pPr>
    </w:p>
    <w:p w14:paraId="24AD71AF" w14:textId="707C15F9" w:rsidR="00C42229" w:rsidRPr="001775D9" w:rsidRDefault="004267B0" w:rsidP="00FB5458">
      <w:pPr>
        <w:tabs>
          <w:tab w:val="clear" w:pos="567"/>
        </w:tabs>
        <w:autoSpaceDE w:val="0"/>
        <w:autoSpaceDN w:val="0"/>
        <w:adjustRightInd w:val="0"/>
        <w:spacing w:line="240" w:lineRule="auto"/>
        <w:rPr>
          <w:szCs w:val="22"/>
          <w:lang w:eastAsia="en-GB"/>
        </w:rPr>
      </w:pPr>
      <w:r w:rsidRPr="001775D9">
        <w:rPr>
          <w:rFonts w:eastAsia="Times New Roman"/>
          <w:color w:val="000000"/>
          <w:szCs w:val="22"/>
        </w:rPr>
        <w:t>Adalimumab</w:t>
      </w:r>
      <w:r w:rsidR="00C42229" w:rsidRPr="001775D9">
        <w:rPr>
          <w:szCs w:val="22"/>
          <w:lang w:eastAsia="en-GB"/>
        </w:rPr>
        <w:t>, 40</w:t>
      </w:r>
      <w:r w:rsidR="00C42229" w:rsidRPr="001775D9">
        <w:rPr>
          <w:szCs w:val="22"/>
        </w:rPr>
        <w:t> </w:t>
      </w:r>
      <w:r w:rsidR="00C42229" w:rsidRPr="001775D9">
        <w:rPr>
          <w:szCs w:val="22"/>
          <w:lang w:eastAsia="en-GB"/>
        </w:rPr>
        <w:t>mg every other week, was studied in patients with moderately to severely active psoriatic arthritis in two placebo-controlled studies, PsA studies I and II. PsA study I with 24 week duration, treated 313 adult patients who had an inadequate response to non-steroidal anti-inflammatory drug therapy and of these, approximately 50% were taking methotrexate. PsA study II with 12-week duration, treated 100 patients who had an inadequate response to DMARD therapy. Upon completion of both studies, 383 patients enrolled in an open-label extension study, in which 40</w:t>
      </w:r>
      <w:r w:rsidR="00C42229" w:rsidRPr="001775D9">
        <w:rPr>
          <w:szCs w:val="22"/>
        </w:rPr>
        <w:t> </w:t>
      </w:r>
      <w:r w:rsidR="00C42229" w:rsidRPr="001775D9">
        <w:rPr>
          <w:szCs w:val="22"/>
          <w:lang w:eastAsia="en-GB"/>
        </w:rPr>
        <w:t xml:space="preserve">mg </w:t>
      </w:r>
      <w:r w:rsidRPr="001775D9">
        <w:rPr>
          <w:rFonts w:eastAsia="Times New Roman"/>
          <w:color w:val="000000"/>
          <w:szCs w:val="22"/>
        </w:rPr>
        <w:t>adalimumab</w:t>
      </w:r>
      <w:r w:rsidR="00C42229" w:rsidRPr="001775D9">
        <w:rPr>
          <w:szCs w:val="22"/>
          <w:lang w:eastAsia="en-GB"/>
        </w:rPr>
        <w:t xml:space="preserve"> was administered </w:t>
      </w:r>
      <w:r w:rsidR="008D65D0" w:rsidRPr="001775D9">
        <w:rPr>
          <w:szCs w:val="22"/>
          <w:lang w:eastAsia="en-GB"/>
        </w:rPr>
        <w:t>every other week</w:t>
      </w:r>
      <w:r w:rsidR="00C42229" w:rsidRPr="001775D9">
        <w:rPr>
          <w:szCs w:val="22"/>
          <w:lang w:eastAsia="en-GB"/>
        </w:rPr>
        <w:t xml:space="preserve">. </w:t>
      </w:r>
    </w:p>
    <w:p w14:paraId="2CEF0B5C"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9939885" w14:textId="73A54E28" w:rsidR="00C42229" w:rsidRPr="001775D9" w:rsidRDefault="00C42229" w:rsidP="00FB5458">
      <w:pPr>
        <w:tabs>
          <w:tab w:val="clear" w:pos="567"/>
        </w:tabs>
        <w:autoSpaceDE w:val="0"/>
        <w:autoSpaceDN w:val="0"/>
        <w:adjustRightInd w:val="0"/>
        <w:spacing w:line="240" w:lineRule="auto"/>
        <w:rPr>
          <w:szCs w:val="22"/>
        </w:rPr>
      </w:pPr>
      <w:r w:rsidRPr="001775D9">
        <w:rPr>
          <w:szCs w:val="22"/>
          <w:lang w:eastAsia="en-GB"/>
        </w:rPr>
        <w:t xml:space="preserve">There is insufficient evidence of the efficacy of </w:t>
      </w:r>
      <w:r w:rsidR="004267B0" w:rsidRPr="001775D9">
        <w:rPr>
          <w:rFonts w:eastAsia="Times New Roman"/>
          <w:color w:val="000000"/>
          <w:szCs w:val="22"/>
        </w:rPr>
        <w:t>adalimumab</w:t>
      </w:r>
      <w:r w:rsidRPr="001775D9">
        <w:rPr>
          <w:szCs w:val="22"/>
          <w:lang w:eastAsia="en-GB"/>
        </w:rPr>
        <w:t xml:space="preserve"> in patients with ankylosing spondylitis-like psoriatic arthropathy due to the small number of patients studied.</w:t>
      </w:r>
    </w:p>
    <w:p w14:paraId="5E4F06D3" w14:textId="77777777" w:rsidR="00C42229" w:rsidRPr="001775D9" w:rsidRDefault="00C42229" w:rsidP="00FB5458">
      <w:pPr>
        <w:tabs>
          <w:tab w:val="clear" w:pos="567"/>
        </w:tabs>
        <w:autoSpaceDE w:val="0"/>
        <w:autoSpaceDN w:val="0"/>
        <w:adjustRightInd w:val="0"/>
        <w:spacing w:line="240" w:lineRule="auto"/>
        <w:rPr>
          <w:szCs w:val="22"/>
        </w:rPr>
      </w:pPr>
    </w:p>
    <w:p w14:paraId="18C5A4B2" w14:textId="6DF89733" w:rsidR="00C42229" w:rsidRPr="001775D9" w:rsidRDefault="00C42229" w:rsidP="00FB5458">
      <w:pPr>
        <w:keepNext/>
        <w:keepLines/>
        <w:tabs>
          <w:tab w:val="clear" w:pos="567"/>
        </w:tabs>
        <w:autoSpaceDE w:val="0"/>
        <w:autoSpaceDN w:val="0"/>
        <w:adjustRightInd w:val="0"/>
        <w:spacing w:line="240" w:lineRule="auto"/>
        <w:rPr>
          <w:szCs w:val="22"/>
        </w:rPr>
      </w:pPr>
      <w:r w:rsidRPr="001775D9">
        <w:rPr>
          <w:b/>
          <w:bCs/>
          <w:szCs w:val="22"/>
          <w:lang w:eastAsia="en-GB"/>
        </w:rPr>
        <w:t xml:space="preserve">Table </w:t>
      </w:r>
      <w:r w:rsidR="004D7CC1" w:rsidRPr="001775D9">
        <w:rPr>
          <w:b/>
          <w:bCs/>
          <w:szCs w:val="22"/>
          <w:lang w:eastAsia="en-GB"/>
        </w:rPr>
        <w:t>15</w:t>
      </w:r>
      <w:r w:rsidR="004D3CCE" w:rsidRPr="001775D9">
        <w:rPr>
          <w:b/>
          <w:bCs/>
          <w:szCs w:val="22"/>
          <w:lang w:eastAsia="en-GB"/>
        </w:rPr>
        <w:t>.</w:t>
      </w:r>
      <w:r w:rsidR="00110304" w:rsidRPr="001775D9">
        <w:rPr>
          <w:b/>
          <w:bCs/>
          <w:szCs w:val="22"/>
          <w:lang w:eastAsia="en-GB"/>
        </w:rPr>
        <w:t xml:space="preserve"> </w:t>
      </w:r>
      <w:r w:rsidRPr="001775D9">
        <w:rPr>
          <w:b/>
          <w:bCs/>
          <w:szCs w:val="22"/>
          <w:lang w:eastAsia="en-GB"/>
        </w:rPr>
        <w:t xml:space="preserve">ACR </w:t>
      </w:r>
      <w:r w:rsidR="0027224F" w:rsidRPr="001775D9">
        <w:rPr>
          <w:b/>
          <w:bCs/>
          <w:szCs w:val="22"/>
          <w:lang w:eastAsia="en-GB"/>
        </w:rPr>
        <w:t>r</w:t>
      </w:r>
      <w:r w:rsidRPr="001775D9">
        <w:rPr>
          <w:b/>
          <w:bCs/>
          <w:szCs w:val="22"/>
          <w:lang w:eastAsia="en-GB"/>
        </w:rPr>
        <w:t xml:space="preserve">esponse in </w:t>
      </w:r>
      <w:r w:rsidR="0027224F" w:rsidRPr="001775D9">
        <w:rPr>
          <w:b/>
          <w:bCs/>
          <w:szCs w:val="22"/>
          <w:lang w:eastAsia="en-GB"/>
        </w:rPr>
        <w:t>p</w:t>
      </w:r>
      <w:r w:rsidRPr="001775D9">
        <w:rPr>
          <w:b/>
          <w:bCs/>
          <w:szCs w:val="22"/>
          <w:lang w:eastAsia="en-GB"/>
        </w:rPr>
        <w:t>lacebo-</w:t>
      </w:r>
      <w:r w:rsidR="0027224F" w:rsidRPr="001775D9">
        <w:rPr>
          <w:b/>
          <w:bCs/>
          <w:szCs w:val="22"/>
          <w:lang w:eastAsia="en-GB"/>
        </w:rPr>
        <w:t>c</w:t>
      </w:r>
      <w:r w:rsidRPr="001775D9">
        <w:rPr>
          <w:b/>
          <w:bCs/>
          <w:szCs w:val="22"/>
          <w:lang w:eastAsia="en-GB"/>
        </w:rPr>
        <w:t xml:space="preserve">ontrolled </w:t>
      </w:r>
      <w:r w:rsidR="0027224F" w:rsidRPr="001775D9">
        <w:rPr>
          <w:b/>
          <w:bCs/>
          <w:szCs w:val="22"/>
          <w:lang w:eastAsia="en-GB"/>
        </w:rPr>
        <w:t>p</w:t>
      </w:r>
      <w:r w:rsidRPr="001775D9">
        <w:rPr>
          <w:b/>
          <w:bCs/>
          <w:szCs w:val="22"/>
          <w:lang w:eastAsia="en-GB"/>
        </w:rPr>
        <w:t xml:space="preserve">soriatic </w:t>
      </w:r>
      <w:r w:rsidR="0027224F" w:rsidRPr="001775D9">
        <w:rPr>
          <w:b/>
          <w:bCs/>
          <w:szCs w:val="22"/>
          <w:lang w:eastAsia="en-GB"/>
        </w:rPr>
        <w:t>a</w:t>
      </w:r>
      <w:r w:rsidRPr="001775D9">
        <w:rPr>
          <w:b/>
          <w:bCs/>
          <w:szCs w:val="22"/>
          <w:lang w:eastAsia="en-GB"/>
        </w:rPr>
        <w:t xml:space="preserve">rthritis </w:t>
      </w:r>
      <w:r w:rsidR="0027224F" w:rsidRPr="001775D9">
        <w:rPr>
          <w:b/>
          <w:bCs/>
          <w:szCs w:val="22"/>
          <w:lang w:eastAsia="en-GB"/>
        </w:rPr>
        <w:t>s</w:t>
      </w:r>
      <w:r w:rsidRPr="001775D9">
        <w:rPr>
          <w:b/>
          <w:bCs/>
          <w:szCs w:val="22"/>
          <w:lang w:eastAsia="en-GB"/>
        </w:rPr>
        <w:t>tudies (</w:t>
      </w:r>
      <w:r w:rsidR="0027224F" w:rsidRPr="001775D9">
        <w:rPr>
          <w:b/>
          <w:bCs/>
          <w:szCs w:val="22"/>
          <w:lang w:eastAsia="en-GB"/>
        </w:rPr>
        <w:t>p</w:t>
      </w:r>
      <w:r w:rsidRPr="001775D9">
        <w:rPr>
          <w:b/>
          <w:bCs/>
          <w:szCs w:val="22"/>
          <w:lang w:eastAsia="en-GB"/>
        </w:rPr>
        <w:t xml:space="preserve">ercent of </w:t>
      </w:r>
      <w:r w:rsidR="0027224F" w:rsidRPr="001775D9">
        <w:rPr>
          <w:b/>
          <w:bCs/>
          <w:szCs w:val="22"/>
          <w:lang w:eastAsia="en-GB"/>
        </w:rPr>
        <w:t>p</w:t>
      </w:r>
      <w:r w:rsidRPr="001775D9">
        <w:rPr>
          <w:b/>
          <w:bCs/>
          <w:szCs w:val="22"/>
          <w:lang w:eastAsia="en-GB"/>
        </w:rPr>
        <w:t>atients)</w:t>
      </w:r>
    </w:p>
    <w:p w14:paraId="714C048C" w14:textId="77777777" w:rsidR="00C42229" w:rsidRPr="001775D9" w:rsidRDefault="00C42229" w:rsidP="00FB5458">
      <w:pPr>
        <w:keepNext/>
        <w:keepLines/>
        <w:tabs>
          <w:tab w:val="clear" w:pos="567"/>
        </w:tabs>
        <w:autoSpaceDE w:val="0"/>
        <w:autoSpaceDN w:val="0"/>
        <w:adjustRightInd w:val="0"/>
        <w:spacing w:line="240" w:lineRule="auto"/>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701"/>
        <w:gridCol w:w="1701"/>
        <w:gridCol w:w="1701"/>
        <w:gridCol w:w="1559"/>
      </w:tblGrid>
      <w:tr w:rsidR="00C42229" w:rsidRPr="00F04F82" w14:paraId="6A51816C" w14:textId="77777777" w:rsidTr="00A66CE9">
        <w:trPr>
          <w:trHeight w:val="293"/>
        </w:trPr>
        <w:tc>
          <w:tcPr>
            <w:tcW w:w="2410" w:type="dxa"/>
          </w:tcPr>
          <w:p w14:paraId="0C575E6E" w14:textId="77777777" w:rsidR="00C42229" w:rsidRPr="001775D9" w:rsidRDefault="00C42229" w:rsidP="00FB5458">
            <w:pPr>
              <w:keepNext/>
              <w:keepLines/>
              <w:tabs>
                <w:tab w:val="clear" w:pos="567"/>
              </w:tabs>
              <w:autoSpaceDE w:val="0"/>
              <w:autoSpaceDN w:val="0"/>
              <w:adjustRightInd w:val="0"/>
              <w:spacing w:line="240" w:lineRule="auto"/>
              <w:rPr>
                <w:b/>
                <w:bCs/>
                <w:szCs w:val="22"/>
                <w:lang w:eastAsia="en-GB"/>
              </w:rPr>
            </w:pPr>
          </w:p>
        </w:tc>
        <w:tc>
          <w:tcPr>
            <w:tcW w:w="3402" w:type="dxa"/>
            <w:gridSpan w:val="2"/>
          </w:tcPr>
          <w:tbl>
            <w:tblPr>
              <w:tblW w:w="12097" w:type="dxa"/>
              <w:tblInd w:w="719" w:type="dxa"/>
              <w:tblBorders>
                <w:top w:val="nil"/>
                <w:left w:val="nil"/>
                <w:bottom w:val="nil"/>
                <w:right w:val="nil"/>
              </w:tblBorders>
              <w:tblLayout w:type="fixed"/>
              <w:tblLook w:val="0000" w:firstRow="0" w:lastRow="0" w:firstColumn="0" w:lastColumn="0" w:noHBand="0" w:noVBand="0"/>
            </w:tblPr>
            <w:tblGrid>
              <w:gridCol w:w="5977"/>
              <w:gridCol w:w="6120"/>
            </w:tblGrid>
            <w:tr w:rsidR="00C42229" w:rsidRPr="00F04F82" w14:paraId="3EEFC3CA" w14:textId="4D7C17F4" w:rsidTr="00B61D9D">
              <w:trPr>
                <w:trHeight w:val="295"/>
              </w:trPr>
              <w:tc>
                <w:tcPr>
                  <w:tcW w:w="5977" w:type="dxa"/>
                </w:tcPr>
                <w:p w14:paraId="0ECE6746" w14:textId="7E113AD6" w:rsidR="00C42229" w:rsidRPr="001775D9" w:rsidRDefault="00C42229" w:rsidP="00CF6F25">
                  <w:pPr>
                    <w:keepNext/>
                    <w:keepLines/>
                    <w:tabs>
                      <w:tab w:val="clear" w:pos="567"/>
                      <w:tab w:val="left" w:pos="1060"/>
                    </w:tabs>
                    <w:autoSpaceDE w:val="0"/>
                    <w:autoSpaceDN w:val="0"/>
                    <w:adjustRightInd w:val="0"/>
                    <w:spacing w:line="240" w:lineRule="auto"/>
                    <w:ind w:left="567" w:right="4419"/>
                    <w:jc w:val="center"/>
                    <w:rPr>
                      <w:b/>
                      <w:szCs w:val="22"/>
                      <w:lang w:eastAsia="en-GB"/>
                    </w:rPr>
                  </w:pPr>
                  <w:r w:rsidRPr="001775D9">
                    <w:rPr>
                      <w:b/>
                      <w:szCs w:val="22"/>
                      <w:lang w:eastAsia="en-GB"/>
                    </w:rPr>
                    <w:t xml:space="preserve">PsA </w:t>
                  </w:r>
                  <w:r w:rsidR="0027224F" w:rsidRPr="001775D9">
                    <w:rPr>
                      <w:b/>
                      <w:szCs w:val="22"/>
                      <w:lang w:eastAsia="en-GB"/>
                    </w:rPr>
                    <w:t>s</w:t>
                  </w:r>
                  <w:r w:rsidRPr="001775D9">
                    <w:rPr>
                      <w:b/>
                      <w:szCs w:val="22"/>
                      <w:lang w:eastAsia="en-GB"/>
                    </w:rPr>
                    <w:t>tudy I</w:t>
                  </w:r>
                </w:p>
              </w:tc>
              <w:tc>
                <w:tcPr>
                  <w:tcW w:w="6120" w:type="dxa"/>
                </w:tcPr>
                <w:p w14:paraId="1F5C9C95" w14:textId="253DC35A" w:rsidR="00C42229" w:rsidRPr="001775D9" w:rsidRDefault="00C42229" w:rsidP="00FB5458">
                  <w:pPr>
                    <w:keepNext/>
                    <w:keepLines/>
                    <w:tabs>
                      <w:tab w:val="clear" w:pos="567"/>
                    </w:tabs>
                    <w:autoSpaceDE w:val="0"/>
                    <w:autoSpaceDN w:val="0"/>
                    <w:adjustRightInd w:val="0"/>
                    <w:spacing w:line="240" w:lineRule="auto"/>
                    <w:jc w:val="center"/>
                    <w:rPr>
                      <w:b/>
                      <w:szCs w:val="22"/>
                      <w:lang w:eastAsia="en-GB"/>
                    </w:rPr>
                  </w:pPr>
                  <w:r w:rsidRPr="001775D9">
                    <w:rPr>
                      <w:b/>
                      <w:szCs w:val="22"/>
                      <w:lang w:eastAsia="en-GB"/>
                    </w:rPr>
                    <w:t>PsA Study II</w:t>
                  </w:r>
                </w:p>
              </w:tc>
            </w:tr>
          </w:tbl>
          <w:p w14:paraId="0F36F70D" w14:textId="0D0ADF9F" w:rsidR="00702A13" w:rsidRPr="00D55B59" w:rsidRDefault="00702A13" w:rsidP="00BE3D26">
            <w:pPr>
              <w:pStyle w:val="Default"/>
              <w:keepNext/>
              <w:keepLines/>
              <w:jc w:val="center"/>
              <w:rPr>
                <w:b/>
                <w:color w:val="auto"/>
                <w:sz w:val="22"/>
                <w:szCs w:val="22"/>
                <w:lang w:val="en-GB" w:eastAsia="en-GB"/>
                <w:rPrChange w:id="783" w:author="Author">
                  <w:rPr>
                    <w:b/>
                    <w:color w:val="auto"/>
                    <w:sz w:val="22"/>
                    <w:szCs w:val="22"/>
                    <w:lang w:eastAsia="en-GB"/>
                  </w:rPr>
                </w:rPrChange>
              </w:rPr>
            </w:pPr>
          </w:p>
        </w:tc>
        <w:tc>
          <w:tcPr>
            <w:tcW w:w="3260" w:type="dxa"/>
            <w:gridSpan w:val="2"/>
          </w:tcPr>
          <w:p w14:paraId="4AB058F5" w14:textId="77777777" w:rsidR="00C42229" w:rsidRPr="00D55B59" w:rsidRDefault="00C42229" w:rsidP="00FB5458">
            <w:pPr>
              <w:pStyle w:val="Default"/>
              <w:keepNext/>
              <w:keepLines/>
              <w:jc w:val="center"/>
              <w:rPr>
                <w:b/>
                <w:color w:val="auto"/>
                <w:sz w:val="22"/>
                <w:szCs w:val="22"/>
                <w:lang w:val="en-GB"/>
                <w:rPrChange w:id="784" w:author="Author">
                  <w:rPr>
                    <w:b/>
                    <w:color w:val="auto"/>
                    <w:sz w:val="22"/>
                    <w:szCs w:val="22"/>
                  </w:rPr>
                </w:rPrChange>
              </w:rPr>
            </w:pPr>
            <w:r w:rsidRPr="00D55B59">
              <w:rPr>
                <w:b/>
                <w:color w:val="auto"/>
                <w:sz w:val="22"/>
                <w:szCs w:val="22"/>
                <w:lang w:val="en-GB" w:eastAsia="en-GB"/>
                <w:rPrChange w:id="785" w:author="Author">
                  <w:rPr>
                    <w:b/>
                    <w:color w:val="auto"/>
                    <w:sz w:val="22"/>
                    <w:szCs w:val="22"/>
                    <w:lang w:eastAsia="en-GB"/>
                  </w:rPr>
                </w:rPrChange>
              </w:rPr>
              <w:t xml:space="preserve">PsA </w:t>
            </w:r>
            <w:r w:rsidR="0027224F" w:rsidRPr="00D55B59">
              <w:rPr>
                <w:b/>
                <w:color w:val="auto"/>
                <w:sz w:val="22"/>
                <w:szCs w:val="22"/>
                <w:lang w:val="en-GB" w:eastAsia="en-GB"/>
                <w:rPrChange w:id="786" w:author="Author">
                  <w:rPr>
                    <w:b/>
                    <w:color w:val="auto"/>
                    <w:sz w:val="22"/>
                    <w:szCs w:val="22"/>
                    <w:lang w:eastAsia="en-GB"/>
                  </w:rPr>
                </w:rPrChange>
              </w:rPr>
              <w:t>s</w:t>
            </w:r>
            <w:r w:rsidRPr="00D55B59">
              <w:rPr>
                <w:b/>
                <w:color w:val="auto"/>
                <w:sz w:val="22"/>
                <w:szCs w:val="22"/>
                <w:lang w:val="en-GB" w:eastAsia="en-GB"/>
                <w:rPrChange w:id="787" w:author="Author">
                  <w:rPr>
                    <w:b/>
                    <w:color w:val="auto"/>
                    <w:sz w:val="22"/>
                    <w:szCs w:val="22"/>
                    <w:lang w:eastAsia="en-GB"/>
                  </w:rPr>
                </w:rPrChange>
              </w:rPr>
              <w:t>tudy II</w:t>
            </w:r>
          </w:p>
        </w:tc>
      </w:tr>
      <w:tr w:rsidR="00C42229" w:rsidRPr="00F04F82" w14:paraId="41C86306" w14:textId="77777777" w:rsidTr="00A66CE9">
        <w:trPr>
          <w:trHeight w:val="293"/>
        </w:trPr>
        <w:tc>
          <w:tcPr>
            <w:tcW w:w="2410" w:type="dxa"/>
          </w:tcPr>
          <w:p w14:paraId="53DF04F1"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Response </w:t>
            </w:r>
          </w:p>
        </w:tc>
        <w:tc>
          <w:tcPr>
            <w:tcW w:w="1701" w:type="dxa"/>
          </w:tcPr>
          <w:p w14:paraId="2DCD834B" w14:textId="77777777" w:rsidR="00C42229" w:rsidRPr="00D55B59" w:rsidRDefault="00C42229" w:rsidP="00FB5458">
            <w:pPr>
              <w:pStyle w:val="Default"/>
              <w:keepNext/>
              <w:keepLines/>
              <w:jc w:val="center"/>
              <w:rPr>
                <w:b/>
                <w:color w:val="auto"/>
                <w:sz w:val="22"/>
                <w:szCs w:val="22"/>
                <w:lang w:val="en-GB"/>
                <w:rPrChange w:id="788" w:author="Author">
                  <w:rPr>
                    <w:b/>
                    <w:color w:val="auto"/>
                    <w:sz w:val="22"/>
                    <w:szCs w:val="22"/>
                  </w:rPr>
                </w:rPrChange>
              </w:rPr>
            </w:pPr>
            <w:r w:rsidRPr="00D55B59">
              <w:rPr>
                <w:b/>
                <w:color w:val="auto"/>
                <w:sz w:val="22"/>
                <w:szCs w:val="22"/>
                <w:lang w:val="en-GB"/>
                <w:rPrChange w:id="789" w:author="Author">
                  <w:rPr>
                    <w:b/>
                    <w:color w:val="auto"/>
                    <w:sz w:val="22"/>
                    <w:szCs w:val="22"/>
                  </w:rPr>
                </w:rPrChange>
              </w:rPr>
              <w:t>Placebo</w:t>
            </w:r>
          </w:p>
          <w:p w14:paraId="4032A3BF" w14:textId="77777777" w:rsidR="00C42229" w:rsidRPr="00D55B59" w:rsidRDefault="00C42229" w:rsidP="00FB5458">
            <w:pPr>
              <w:pStyle w:val="Default"/>
              <w:keepNext/>
              <w:keepLines/>
              <w:jc w:val="center"/>
              <w:rPr>
                <w:b/>
                <w:color w:val="auto"/>
                <w:sz w:val="22"/>
                <w:szCs w:val="22"/>
                <w:lang w:val="en-GB"/>
                <w:rPrChange w:id="790" w:author="Author">
                  <w:rPr>
                    <w:b/>
                    <w:color w:val="auto"/>
                    <w:sz w:val="22"/>
                    <w:szCs w:val="22"/>
                  </w:rPr>
                </w:rPrChange>
              </w:rPr>
            </w:pPr>
            <w:r w:rsidRPr="00D55B59">
              <w:rPr>
                <w:b/>
                <w:color w:val="auto"/>
                <w:sz w:val="22"/>
                <w:szCs w:val="22"/>
                <w:lang w:val="en-GB"/>
                <w:rPrChange w:id="791" w:author="Author">
                  <w:rPr>
                    <w:b/>
                    <w:color w:val="auto"/>
                    <w:sz w:val="22"/>
                    <w:szCs w:val="22"/>
                  </w:rPr>
                </w:rPrChange>
              </w:rPr>
              <w:t>N = 162</w:t>
            </w:r>
          </w:p>
        </w:tc>
        <w:tc>
          <w:tcPr>
            <w:tcW w:w="1701" w:type="dxa"/>
          </w:tcPr>
          <w:p w14:paraId="71C0A582" w14:textId="77777777" w:rsidR="00C42229" w:rsidRPr="00D55B59" w:rsidRDefault="004267B0" w:rsidP="00FB5458">
            <w:pPr>
              <w:pStyle w:val="Default"/>
              <w:keepNext/>
              <w:keepLines/>
              <w:jc w:val="center"/>
              <w:rPr>
                <w:b/>
                <w:color w:val="auto"/>
                <w:sz w:val="22"/>
                <w:szCs w:val="22"/>
                <w:lang w:val="en-GB"/>
                <w:rPrChange w:id="792" w:author="Author">
                  <w:rPr>
                    <w:b/>
                    <w:color w:val="auto"/>
                    <w:sz w:val="22"/>
                    <w:szCs w:val="22"/>
                  </w:rPr>
                </w:rPrChange>
              </w:rPr>
            </w:pPr>
            <w:r w:rsidRPr="00D55B59">
              <w:rPr>
                <w:rFonts w:eastAsia="Times New Roman"/>
                <w:b/>
                <w:sz w:val="22"/>
                <w:szCs w:val="22"/>
                <w:lang w:val="en-GB"/>
                <w:rPrChange w:id="793" w:author="Author">
                  <w:rPr>
                    <w:rFonts w:eastAsia="Times New Roman"/>
                    <w:b/>
                    <w:sz w:val="22"/>
                    <w:szCs w:val="22"/>
                  </w:rPr>
                </w:rPrChange>
              </w:rPr>
              <w:t>Adalimumab</w:t>
            </w:r>
            <w:r w:rsidRPr="00D55B59">
              <w:rPr>
                <w:b/>
                <w:szCs w:val="22"/>
                <w:lang w:val="en-GB" w:eastAsia="en-GB"/>
                <w:rPrChange w:id="794" w:author="Author">
                  <w:rPr>
                    <w:b/>
                    <w:szCs w:val="22"/>
                    <w:lang w:eastAsia="en-GB"/>
                  </w:rPr>
                </w:rPrChange>
              </w:rPr>
              <w:t xml:space="preserve"> </w:t>
            </w:r>
            <w:r w:rsidR="00C42229" w:rsidRPr="00D55B59">
              <w:rPr>
                <w:b/>
                <w:color w:val="auto"/>
                <w:sz w:val="22"/>
                <w:szCs w:val="22"/>
                <w:lang w:val="en-GB"/>
                <w:rPrChange w:id="795" w:author="Author">
                  <w:rPr>
                    <w:b/>
                    <w:color w:val="auto"/>
                    <w:sz w:val="22"/>
                    <w:szCs w:val="22"/>
                  </w:rPr>
                </w:rPrChange>
              </w:rPr>
              <w:t>N = 151</w:t>
            </w:r>
          </w:p>
        </w:tc>
        <w:tc>
          <w:tcPr>
            <w:tcW w:w="1701" w:type="dxa"/>
          </w:tcPr>
          <w:p w14:paraId="069A653D" w14:textId="77777777" w:rsidR="00C42229" w:rsidRPr="00D55B59" w:rsidRDefault="00C42229" w:rsidP="00FB5458">
            <w:pPr>
              <w:pStyle w:val="Default"/>
              <w:keepNext/>
              <w:keepLines/>
              <w:jc w:val="center"/>
              <w:rPr>
                <w:b/>
                <w:color w:val="auto"/>
                <w:sz w:val="22"/>
                <w:szCs w:val="22"/>
                <w:lang w:val="en-GB"/>
                <w:rPrChange w:id="796" w:author="Author">
                  <w:rPr>
                    <w:b/>
                    <w:color w:val="auto"/>
                    <w:sz w:val="22"/>
                    <w:szCs w:val="22"/>
                  </w:rPr>
                </w:rPrChange>
              </w:rPr>
            </w:pPr>
            <w:r w:rsidRPr="00D55B59">
              <w:rPr>
                <w:b/>
                <w:color w:val="auto"/>
                <w:sz w:val="22"/>
                <w:szCs w:val="22"/>
                <w:lang w:val="en-GB"/>
                <w:rPrChange w:id="797" w:author="Author">
                  <w:rPr>
                    <w:b/>
                    <w:color w:val="auto"/>
                    <w:sz w:val="22"/>
                    <w:szCs w:val="22"/>
                  </w:rPr>
                </w:rPrChange>
              </w:rPr>
              <w:t>Placebo</w:t>
            </w:r>
          </w:p>
          <w:p w14:paraId="6C2A961F" w14:textId="77777777" w:rsidR="00110C8F" w:rsidRPr="00D55B59" w:rsidRDefault="00110C8F" w:rsidP="00FB5458">
            <w:pPr>
              <w:pStyle w:val="Default"/>
              <w:keepNext/>
              <w:keepLines/>
              <w:jc w:val="center"/>
              <w:rPr>
                <w:b/>
                <w:color w:val="auto"/>
                <w:sz w:val="22"/>
                <w:szCs w:val="22"/>
                <w:lang w:val="en-GB"/>
                <w:rPrChange w:id="798" w:author="Author">
                  <w:rPr>
                    <w:b/>
                    <w:color w:val="auto"/>
                    <w:sz w:val="22"/>
                    <w:szCs w:val="22"/>
                  </w:rPr>
                </w:rPrChange>
              </w:rPr>
            </w:pPr>
            <w:r w:rsidRPr="00D55B59">
              <w:rPr>
                <w:b/>
                <w:color w:val="auto"/>
                <w:sz w:val="22"/>
                <w:szCs w:val="22"/>
                <w:lang w:val="en-GB"/>
                <w:rPrChange w:id="799" w:author="Author">
                  <w:rPr>
                    <w:b/>
                    <w:color w:val="auto"/>
                    <w:sz w:val="22"/>
                    <w:szCs w:val="22"/>
                  </w:rPr>
                </w:rPrChange>
              </w:rPr>
              <w:t>N</w:t>
            </w:r>
            <w:r w:rsidR="004435C9" w:rsidRPr="00D55B59">
              <w:rPr>
                <w:b/>
                <w:color w:val="auto"/>
                <w:sz w:val="22"/>
                <w:szCs w:val="22"/>
                <w:lang w:val="en-GB"/>
                <w:rPrChange w:id="800" w:author="Author">
                  <w:rPr>
                    <w:b/>
                    <w:color w:val="auto"/>
                    <w:sz w:val="22"/>
                    <w:szCs w:val="22"/>
                  </w:rPr>
                </w:rPrChange>
              </w:rPr>
              <w:t> </w:t>
            </w:r>
            <w:r w:rsidRPr="00D55B59">
              <w:rPr>
                <w:b/>
                <w:color w:val="auto"/>
                <w:sz w:val="22"/>
                <w:szCs w:val="22"/>
                <w:lang w:val="en-GB"/>
                <w:rPrChange w:id="801" w:author="Author">
                  <w:rPr>
                    <w:b/>
                    <w:color w:val="auto"/>
                    <w:sz w:val="22"/>
                    <w:szCs w:val="22"/>
                  </w:rPr>
                </w:rPrChange>
              </w:rPr>
              <w:t>=</w:t>
            </w:r>
            <w:r w:rsidR="004435C9" w:rsidRPr="00D55B59">
              <w:rPr>
                <w:b/>
                <w:color w:val="auto"/>
                <w:sz w:val="22"/>
                <w:szCs w:val="22"/>
                <w:lang w:val="en-GB"/>
                <w:rPrChange w:id="802" w:author="Author">
                  <w:rPr>
                    <w:b/>
                    <w:color w:val="auto"/>
                    <w:sz w:val="22"/>
                    <w:szCs w:val="22"/>
                  </w:rPr>
                </w:rPrChange>
              </w:rPr>
              <w:t> </w:t>
            </w:r>
            <w:r w:rsidRPr="00D55B59">
              <w:rPr>
                <w:b/>
                <w:color w:val="auto"/>
                <w:sz w:val="22"/>
                <w:szCs w:val="22"/>
                <w:lang w:val="en-GB"/>
                <w:rPrChange w:id="803" w:author="Author">
                  <w:rPr>
                    <w:b/>
                    <w:color w:val="auto"/>
                    <w:sz w:val="22"/>
                    <w:szCs w:val="22"/>
                  </w:rPr>
                </w:rPrChange>
              </w:rPr>
              <w:t>49</w:t>
            </w:r>
          </w:p>
        </w:tc>
        <w:tc>
          <w:tcPr>
            <w:tcW w:w="1559" w:type="dxa"/>
          </w:tcPr>
          <w:p w14:paraId="38CE0F9C" w14:textId="77777777" w:rsidR="00B03F12" w:rsidRPr="00D55B59" w:rsidRDefault="004267B0" w:rsidP="00FB5458">
            <w:pPr>
              <w:pStyle w:val="Default"/>
              <w:keepNext/>
              <w:keepLines/>
              <w:jc w:val="center"/>
              <w:rPr>
                <w:rFonts w:eastAsia="Times New Roman"/>
                <w:b/>
                <w:sz w:val="22"/>
                <w:szCs w:val="22"/>
                <w:lang w:val="en-GB"/>
                <w:rPrChange w:id="804" w:author="Author">
                  <w:rPr>
                    <w:rFonts w:eastAsia="Times New Roman"/>
                    <w:b/>
                    <w:sz w:val="22"/>
                    <w:szCs w:val="22"/>
                  </w:rPr>
                </w:rPrChange>
              </w:rPr>
            </w:pPr>
            <w:r w:rsidRPr="00D55B59">
              <w:rPr>
                <w:rFonts w:eastAsia="Times New Roman"/>
                <w:b/>
                <w:sz w:val="22"/>
                <w:szCs w:val="22"/>
                <w:lang w:val="en-GB"/>
                <w:rPrChange w:id="805" w:author="Author">
                  <w:rPr>
                    <w:rFonts w:eastAsia="Times New Roman"/>
                    <w:b/>
                    <w:sz w:val="22"/>
                    <w:szCs w:val="22"/>
                  </w:rPr>
                </w:rPrChange>
              </w:rPr>
              <w:t>Adalimumab</w:t>
            </w:r>
          </w:p>
          <w:p w14:paraId="5439A053" w14:textId="77777777" w:rsidR="00C42229" w:rsidRPr="00D55B59" w:rsidRDefault="00C42229" w:rsidP="00FB5458">
            <w:pPr>
              <w:pStyle w:val="Default"/>
              <w:keepNext/>
              <w:keepLines/>
              <w:jc w:val="center"/>
              <w:rPr>
                <w:b/>
                <w:color w:val="auto"/>
                <w:sz w:val="22"/>
                <w:szCs w:val="22"/>
                <w:lang w:val="en-GB"/>
                <w:rPrChange w:id="806" w:author="Author">
                  <w:rPr>
                    <w:b/>
                    <w:color w:val="auto"/>
                    <w:sz w:val="22"/>
                    <w:szCs w:val="22"/>
                  </w:rPr>
                </w:rPrChange>
              </w:rPr>
            </w:pPr>
            <w:r w:rsidRPr="00D55B59">
              <w:rPr>
                <w:b/>
                <w:color w:val="auto"/>
                <w:sz w:val="22"/>
                <w:szCs w:val="22"/>
                <w:lang w:val="en-GB"/>
                <w:rPrChange w:id="807" w:author="Author">
                  <w:rPr>
                    <w:b/>
                    <w:color w:val="auto"/>
                    <w:sz w:val="22"/>
                    <w:szCs w:val="22"/>
                  </w:rPr>
                </w:rPrChange>
              </w:rPr>
              <w:t>N = </w:t>
            </w:r>
            <w:r w:rsidR="00110C8F" w:rsidRPr="00D55B59">
              <w:rPr>
                <w:b/>
                <w:color w:val="auto"/>
                <w:sz w:val="22"/>
                <w:szCs w:val="22"/>
                <w:lang w:val="en-GB"/>
                <w:rPrChange w:id="808" w:author="Author">
                  <w:rPr>
                    <w:b/>
                    <w:color w:val="auto"/>
                    <w:sz w:val="22"/>
                    <w:szCs w:val="22"/>
                  </w:rPr>
                </w:rPrChange>
              </w:rPr>
              <w:t>51</w:t>
            </w:r>
          </w:p>
        </w:tc>
      </w:tr>
      <w:tr w:rsidR="00C42229" w:rsidRPr="00F04F82" w14:paraId="1F365D94" w14:textId="77777777" w:rsidTr="00A66CE9">
        <w:trPr>
          <w:trHeight w:val="147"/>
        </w:trPr>
        <w:tc>
          <w:tcPr>
            <w:tcW w:w="2410" w:type="dxa"/>
          </w:tcPr>
          <w:p w14:paraId="3F8BB2F9"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ACR 20 </w:t>
            </w:r>
          </w:p>
        </w:tc>
        <w:tc>
          <w:tcPr>
            <w:tcW w:w="1701" w:type="dxa"/>
          </w:tcPr>
          <w:p w14:paraId="6D5DD378"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p>
        </w:tc>
        <w:tc>
          <w:tcPr>
            <w:tcW w:w="1701" w:type="dxa"/>
          </w:tcPr>
          <w:p w14:paraId="43869AB4"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p>
        </w:tc>
        <w:tc>
          <w:tcPr>
            <w:tcW w:w="1701" w:type="dxa"/>
          </w:tcPr>
          <w:p w14:paraId="1DE9CBD3"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p>
        </w:tc>
        <w:tc>
          <w:tcPr>
            <w:tcW w:w="1559" w:type="dxa"/>
          </w:tcPr>
          <w:p w14:paraId="2D3D2EBA"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p>
        </w:tc>
      </w:tr>
      <w:tr w:rsidR="00C42229" w:rsidRPr="00F04F82" w14:paraId="12EB94BE" w14:textId="77777777" w:rsidTr="00A66CE9">
        <w:trPr>
          <w:trHeight w:val="147"/>
        </w:trPr>
        <w:tc>
          <w:tcPr>
            <w:tcW w:w="2410" w:type="dxa"/>
          </w:tcPr>
          <w:p w14:paraId="03B0BF9A"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Week 12 </w:t>
            </w:r>
          </w:p>
        </w:tc>
        <w:tc>
          <w:tcPr>
            <w:tcW w:w="1701" w:type="dxa"/>
          </w:tcPr>
          <w:p w14:paraId="2EB31957"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14%</w:t>
            </w:r>
          </w:p>
        </w:tc>
        <w:tc>
          <w:tcPr>
            <w:tcW w:w="1701" w:type="dxa"/>
          </w:tcPr>
          <w:p w14:paraId="27DFE065"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58%***</w:t>
            </w:r>
          </w:p>
        </w:tc>
        <w:tc>
          <w:tcPr>
            <w:tcW w:w="1701" w:type="dxa"/>
          </w:tcPr>
          <w:p w14:paraId="52B04899"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16%</w:t>
            </w:r>
          </w:p>
        </w:tc>
        <w:tc>
          <w:tcPr>
            <w:tcW w:w="1559" w:type="dxa"/>
          </w:tcPr>
          <w:p w14:paraId="4FDE017A"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39%*</w:t>
            </w:r>
          </w:p>
        </w:tc>
      </w:tr>
      <w:tr w:rsidR="00C42229" w:rsidRPr="00F04F82" w14:paraId="13153FF0" w14:textId="77777777" w:rsidTr="00A66CE9">
        <w:trPr>
          <w:trHeight w:val="147"/>
        </w:trPr>
        <w:tc>
          <w:tcPr>
            <w:tcW w:w="2410" w:type="dxa"/>
          </w:tcPr>
          <w:p w14:paraId="72B5F451"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Week 24 </w:t>
            </w:r>
          </w:p>
        </w:tc>
        <w:tc>
          <w:tcPr>
            <w:tcW w:w="1701" w:type="dxa"/>
          </w:tcPr>
          <w:p w14:paraId="496AC993"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15%</w:t>
            </w:r>
          </w:p>
        </w:tc>
        <w:tc>
          <w:tcPr>
            <w:tcW w:w="1701" w:type="dxa"/>
          </w:tcPr>
          <w:p w14:paraId="20C3F9E0"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57%***</w:t>
            </w:r>
          </w:p>
        </w:tc>
        <w:tc>
          <w:tcPr>
            <w:tcW w:w="1701" w:type="dxa"/>
          </w:tcPr>
          <w:p w14:paraId="1955C851"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559" w:type="dxa"/>
          </w:tcPr>
          <w:p w14:paraId="0AF278E9"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N/A</w:t>
            </w:r>
          </w:p>
        </w:tc>
      </w:tr>
      <w:tr w:rsidR="00C42229" w:rsidRPr="00F04F82" w14:paraId="1297D583" w14:textId="77777777" w:rsidTr="00A66CE9">
        <w:trPr>
          <w:trHeight w:val="147"/>
        </w:trPr>
        <w:tc>
          <w:tcPr>
            <w:tcW w:w="2410" w:type="dxa"/>
          </w:tcPr>
          <w:p w14:paraId="3142A3FE" w14:textId="77777777" w:rsidR="00C42229" w:rsidRPr="001775D9" w:rsidRDefault="00C42229" w:rsidP="00FB5458">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ACR 50 </w:t>
            </w:r>
          </w:p>
        </w:tc>
        <w:tc>
          <w:tcPr>
            <w:tcW w:w="1701" w:type="dxa"/>
          </w:tcPr>
          <w:p w14:paraId="649A1DE3"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07798CC6"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5D1A2C58"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p>
        </w:tc>
        <w:tc>
          <w:tcPr>
            <w:tcW w:w="1559" w:type="dxa"/>
          </w:tcPr>
          <w:p w14:paraId="50241072"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p>
        </w:tc>
      </w:tr>
      <w:tr w:rsidR="00C42229" w:rsidRPr="00F04F82" w14:paraId="3BE17378" w14:textId="77777777" w:rsidTr="00A66CE9">
        <w:trPr>
          <w:trHeight w:val="147"/>
        </w:trPr>
        <w:tc>
          <w:tcPr>
            <w:tcW w:w="2410" w:type="dxa"/>
          </w:tcPr>
          <w:p w14:paraId="65E6ABE0" w14:textId="77777777" w:rsidR="00C42229" w:rsidRPr="001775D9" w:rsidRDefault="00C42229" w:rsidP="00FB5458">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12 </w:t>
            </w:r>
          </w:p>
        </w:tc>
        <w:tc>
          <w:tcPr>
            <w:tcW w:w="1701" w:type="dxa"/>
          </w:tcPr>
          <w:p w14:paraId="5D5C8D6F"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w:t>
            </w:r>
          </w:p>
        </w:tc>
        <w:tc>
          <w:tcPr>
            <w:tcW w:w="1701" w:type="dxa"/>
          </w:tcPr>
          <w:p w14:paraId="42AACC17"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36%***</w:t>
            </w:r>
          </w:p>
        </w:tc>
        <w:tc>
          <w:tcPr>
            <w:tcW w:w="1701" w:type="dxa"/>
          </w:tcPr>
          <w:p w14:paraId="2D64765B"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w:t>
            </w:r>
          </w:p>
        </w:tc>
        <w:tc>
          <w:tcPr>
            <w:tcW w:w="1559" w:type="dxa"/>
          </w:tcPr>
          <w:p w14:paraId="021D5F66"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25%***</w:t>
            </w:r>
          </w:p>
        </w:tc>
      </w:tr>
      <w:tr w:rsidR="00C42229" w:rsidRPr="00F04F82" w14:paraId="68F469F0" w14:textId="77777777" w:rsidTr="00A66CE9">
        <w:trPr>
          <w:trHeight w:val="147"/>
        </w:trPr>
        <w:tc>
          <w:tcPr>
            <w:tcW w:w="2410" w:type="dxa"/>
          </w:tcPr>
          <w:p w14:paraId="53178AE7" w14:textId="77777777" w:rsidR="00C42229" w:rsidRPr="001775D9" w:rsidRDefault="00C42229" w:rsidP="00FB5458">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24 </w:t>
            </w:r>
          </w:p>
        </w:tc>
        <w:tc>
          <w:tcPr>
            <w:tcW w:w="1701" w:type="dxa"/>
          </w:tcPr>
          <w:p w14:paraId="49389543"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w:t>
            </w:r>
          </w:p>
        </w:tc>
        <w:tc>
          <w:tcPr>
            <w:tcW w:w="1701" w:type="dxa"/>
          </w:tcPr>
          <w:p w14:paraId="1AC300E9"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39%***</w:t>
            </w:r>
          </w:p>
        </w:tc>
        <w:tc>
          <w:tcPr>
            <w:tcW w:w="1701" w:type="dxa"/>
          </w:tcPr>
          <w:p w14:paraId="4606AEC1"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N/A</w:t>
            </w:r>
          </w:p>
        </w:tc>
        <w:tc>
          <w:tcPr>
            <w:tcW w:w="1559" w:type="dxa"/>
          </w:tcPr>
          <w:p w14:paraId="096B003A"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N/A</w:t>
            </w:r>
          </w:p>
        </w:tc>
      </w:tr>
      <w:tr w:rsidR="00C42229" w:rsidRPr="00F04F82" w14:paraId="67F4A530" w14:textId="77777777" w:rsidTr="00A66CE9">
        <w:trPr>
          <w:trHeight w:val="147"/>
        </w:trPr>
        <w:tc>
          <w:tcPr>
            <w:tcW w:w="2410" w:type="dxa"/>
          </w:tcPr>
          <w:p w14:paraId="03911739" w14:textId="77777777" w:rsidR="00C42229" w:rsidRPr="001775D9" w:rsidRDefault="00C42229" w:rsidP="00FB5458">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ACR 70 </w:t>
            </w:r>
          </w:p>
        </w:tc>
        <w:tc>
          <w:tcPr>
            <w:tcW w:w="1701" w:type="dxa"/>
          </w:tcPr>
          <w:p w14:paraId="7034A2EC"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2E5B20EF"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790B4B8F"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p>
        </w:tc>
        <w:tc>
          <w:tcPr>
            <w:tcW w:w="1559" w:type="dxa"/>
          </w:tcPr>
          <w:p w14:paraId="415EABE1"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p>
        </w:tc>
      </w:tr>
      <w:tr w:rsidR="00C42229" w:rsidRPr="00F04F82" w14:paraId="3AC26F39" w14:textId="77777777" w:rsidTr="00A66CE9">
        <w:trPr>
          <w:trHeight w:val="147"/>
        </w:trPr>
        <w:tc>
          <w:tcPr>
            <w:tcW w:w="2410" w:type="dxa"/>
          </w:tcPr>
          <w:p w14:paraId="2F720319" w14:textId="77777777" w:rsidR="00C42229" w:rsidRPr="001775D9" w:rsidRDefault="00C42229" w:rsidP="00FB5458">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12 </w:t>
            </w:r>
          </w:p>
        </w:tc>
        <w:tc>
          <w:tcPr>
            <w:tcW w:w="1701" w:type="dxa"/>
          </w:tcPr>
          <w:p w14:paraId="43ED95B2"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w:t>
            </w:r>
          </w:p>
        </w:tc>
        <w:tc>
          <w:tcPr>
            <w:tcW w:w="1701" w:type="dxa"/>
          </w:tcPr>
          <w:p w14:paraId="0C94AFAC"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20%***</w:t>
            </w:r>
          </w:p>
        </w:tc>
        <w:tc>
          <w:tcPr>
            <w:tcW w:w="1701" w:type="dxa"/>
          </w:tcPr>
          <w:p w14:paraId="3F242370"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w:t>
            </w:r>
          </w:p>
        </w:tc>
        <w:tc>
          <w:tcPr>
            <w:tcW w:w="1559" w:type="dxa"/>
          </w:tcPr>
          <w:p w14:paraId="6870643D"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14%*</w:t>
            </w:r>
          </w:p>
        </w:tc>
      </w:tr>
      <w:tr w:rsidR="00C42229" w:rsidRPr="00F04F82" w14:paraId="6709C67B" w14:textId="77777777" w:rsidTr="00A66CE9">
        <w:trPr>
          <w:trHeight w:val="147"/>
        </w:trPr>
        <w:tc>
          <w:tcPr>
            <w:tcW w:w="2410" w:type="dxa"/>
          </w:tcPr>
          <w:p w14:paraId="5031A93C" w14:textId="77777777" w:rsidR="00C42229" w:rsidRPr="001775D9" w:rsidRDefault="00C42229" w:rsidP="00FB5458">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24 </w:t>
            </w:r>
          </w:p>
        </w:tc>
        <w:tc>
          <w:tcPr>
            <w:tcW w:w="1701" w:type="dxa"/>
          </w:tcPr>
          <w:p w14:paraId="1C36403C"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w:t>
            </w:r>
          </w:p>
        </w:tc>
        <w:tc>
          <w:tcPr>
            <w:tcW w:w="1701" w:type="dxa"/>
          </w:tcPr>
          <w:p w14:paraId="684B04AD"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23%***</w:t>
            </w:r>
          </w:p>
        </w:tc>
        <w:tc>
          <w:tcPr>
            <w:tcW w:w="1701" w:type="dxa"/>
          </w:tcPr>
          <w:p w14:paraId="20FF5A9C"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N/A</w:t>
            </w:r>
          </w:p>
        </w:tc>
        <w:tc>
          <w:tcPr>
            <w:tcW w:w="1559" w:type="dxa"/>
          </w:tcPr>
          <w:p w14:paraId="7F43CC83" w14:textId="77777777" w:rsidR="00C42229" w:rsidRPr="001775D9" w:rsidRDefault="00C42229" w:rsidP="00FB5458">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N/A</w:t>
            </w:r>
          </w:p>
        </w:tc>
      </w:tr>
    </w:tbl>
    <w:p w14:paraId="7D10577D" w14:textId="77777777" w:rsidR="00C42229" w:rsidRPr="001775D9" w:rsidRDefault="00C42229" w:rsidP="00FB5458">
      <w:pPr>
        <w:keepNext/>
        <w:keepLines/>
        <w:tabs>
          <w:tab w:val="clear" w:pos="567"/>
        </w:tabs>
        <w:autoSpaceDE w:val="0"/>
        <w:autoSpaceDN w:val="0"/>
        <w:adjustRightInd w:val="0"/>
        <w:spacing w:line="240" w:lineRule="auto"/>
        <w:rPr>
          <w:sz w:val="20"/>
          <w:lang w:eastAsia="en-GB"/>
        </w:rPr>
      </w:pPr>
      <w:r w:rsidRPr="001775D9">
        <w:rPr>
          <w:color w:val="000000"/>
          <w:sz w:val="20"/>
          <w:lang w:eastAsia="en-GB"/>
        </w:rPr>
        <w:t>*** p</w:t>
      </w:r>
      <w:r w:rsidRPr="001775D9">
        <w:rPr>
          <w:sz w:val="20"/>
        </w:rPr>
        <w:t> </w:t>
      </w:r>
      <w:r w:rsidRPr="001775D9">
        <w:rPr>
          <w:color w:val="000000"/>
          <w:sz w:val="20"/>
          <w:lang w:eastAsia="en-GB"/>
        </w:rPr>
        <w:t>&lt;</w:t>
      </w:r>
      <w:r w:rsidRPr="001775D9">
        <w:rPr>
          <w:sz w:val="20"/>
        </w:rPr>
        <w:t> </w:t>
      </w:r>
      <w:r w:rsidRPr="001775D9">
        <w:rPr>
          <w:color w:val="000000"/>
          <w:sz w:val="20"/>
          <w:lang w:eastAsia="en-GB"/>
        </w:rPr>
        <w:t xml:space="preserve">0.001 for all comparisons </w:t>
      </w:r>
      <w:r w:rsidRPr="001775D9">
        <w:rPr>
          <w:sz w:val="20"/>
          <w:lang w:eastAsia="en-GB"/>
        </w:rPr>
        <w:t xml:space="preserve">between </w:t>
      </w:r>
      <w:r w:rsidR="004267B0" w:rsidRPr="001775D9">
        <w:rPr>
          <w:rFonts w:eastAsia="Times New Roman"/>
          <w:color w:val="000000"/>
          <w:sz w:val="20"/>
        </w:rPr>
        <w:t>adalimumab</w:t>
      </w:r>
      <w:r w:rsidRPr="001775D9">
        <w:rPr>
          <w:sz w:val="20"/>
          <w:lang w:eastAsia="en-GB"/>
        </w:rPr>
        <w:t xml:space="preserve"> and placebo </w:t>
      </w:r>
    </w:p>
    <w:p w14:paraId="76F94B72"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lang w:eastAsia="en-GB"/>
        </w:rPr>
        <w:t>* p</w:t>
      </w:r>
      <w:r w:rsidRPr="001775D9">
        <w:rPr>
          <w:sz w:val="20"/>
        </w:rPr>
        <w:t> </w:t>
      </w:r>
      <w:r w:rsidRPr="001775D9">
        <w:rPr>
          <w:sz w:val="20"/>
          <w:lang w:eastAsia="en-GB"/>
        </w:rPr>
        <w:t>&lt;</w:t>
      </w:r>
      <w:r w:rsidRPr="001775D9">
        <w:rPr>
          <w:sz w:val="20"/>
        </w:rPr>
        <w:t> </w:t>
      </w:r>
      <w:r w:rsidRPr="001775D9">
        <w:rPr>
          <w:sz w:val="20"/>
          <w:lang w:eastAsia="en-GB"/>
        </w:rPr>
        <w:t xml:space="preserve">0.05 for all comparisons between </w:t>
      </w:r>
      <w:r w:rsidR="004267B0" w:rsidRPr="001775D9">
        <w:rPr>
          <w:rFonts w:eastAsia="Times New Roman"/>
          <w:color w:val="000000"/>
          <w:sz w:val="20"/>
        </w:rPr>
        <w:t>adalimumab</w:t>
      </w:r>
      <w:r w:rsidRPr="001775D9">
        <w:rPr>
          <w:sz w:val="20"/>
          <w:lang w:eastAsia="en-GB"/>
        </w:rPr>
        <w:t xml:space="preserve"> and placebo </w:t>
      </w:r>
    </w:p>
    <w:p w14:paraId="54D04A20" w14:textId="77777777" w:rsidR="00C42229" w:rsidRPr="001775D9" w:rsidRDefault="00C42229" w:rsidP="00FB5458">
      <w:pPr>
        <w:tabs>
          <w:tab w:val="clear" w:pos="567"/>
        </w:tabs>
        <w:autoSpaceDE w:val="0"/>
        <w:autoSpaceDN w:val="0"/>
        <w:adjustRightInd w:val="0"/>
        <w:spacing w:line="240" w:lineRule="auto"/>
        <w:rPr>
          <w:sz w:val="20"/>
        </w:rPr>
      </w:pPr>
      <w:r w:rsidRPr="001775D9">
        <w:rPr>
          <w:sz w:val="20"/>
          <w:lang w:eastAsia="en-GB"/>
        </w:rPr>
        <w:t xml:space="preserve">N/A not applicable </w:t>
      </w:r>
    </w:p>
    <w:p w14:paraId="55B89540" w14:textId="77777777" w:rsidR="00C42229" w:rsidRPr="001775D9" w:rsidRDefault="00C42229" w:rsidP="00FB5458">
      <w:pPr>
        <w:tabs>
          <w:tab w:val="clear" w:pos="567"/>
        </w:tabs>
        <w:autoSpaceDE w:val="0"/>
        <w:autoSpaceDN w:val="0"/>
        <w:adjustRightInd w:val="0"/>
        <w:spacing w:line="240" w:lineRule="auto"/>
        <w:rPr>
          <w:szCs w:val="22"/>
        </w:rPr>
      </w:pPr>
    </w:p>
    <w:p w14:paraId="25429A1C"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ACR responses in PsA study I were similar with and without concomitant methotrexate therapy. ACR responses were maintained in the open-label extension study for up to 136 weeks. </w:t>
      </w:r>
    </w:p>
    <w:p w14:paraId="071EE03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68B7E3C"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Radiographic changes were assessed in the psoriatic arthritis studies. Radiographs of hands, wrists, and feet were obtained at baseline and </w:t>
      </w:r>
      <w:r w:rsidR="00420C90" w:rsidRPr="001775D9">
        <w:rPr>
          <w:szCs w:val="22"/>
          <w:lang w:eastAsia="en-GB"/>
        </w:rPr>
        <w:t>week</w:t>
      </w:r>
      <w:r w:rsidRPr="001775D9">
        <w:rPr>
          <w:szCs w:val="22"/>
          <w:lang w:eastAsia="en-GB"/>
        </w:rPr>
        <w:t xml:space="preserve"> 24 during the double-blind period when patients were on </w:t>
      </w:r>
      <w:r w:rsidR="004267B0" w:rsidRPr="001775D9">
        <w:rPr>
          <w:rFonts w:eastAsia="Times New Roman"/>
          <w:color w:val="000000"/>
          <w:szCs w:val="22"/>
        </w:rPr>
        <w:t>adalimumab</w:t>
      </w:r>
      <w:r w:rsidR="004267B0" w:rsidRPr="001775D9">
        <w:rPr>
          <w:szCs w:val="22"/>
          <w:lang w:eastAsia="en-GB"/>
        </w:rPr>
        <w:t xml:space="preserve"> </w:t>
      </w:r>
      <w:r w:rsidRPr="001775D9">
        <w:rPr>
          <w:szCs w:val="22"/>
          <w:lang w:eastAsia="en-GB"/>
        </w:rPr>
        <w:t xml:space="preserve">or placebo and at </w:t>
      </w:r>
      <w:r w:rsidR="00420C90" w:rsidRPr="001775D9">
        <w:rPr>
          <w:szCs w:val="22"/>
          <w:lang w:eastAsia="en-GB"/>
        </w:rPr>
        <w:t>week</w:t>
      </w:r>
      <w:r w:rsidRPr="001775D9">
        <w:rPr>
          <w:szCs w:val="22"/>
          <w:lang w:eastAsia="en-GB"/>
        </w:rPr>
        <w:t xml:space="preserve"> 48 when all patients were on open-label </w:t>
      </w:r>
      <w:r w:rsidR="004267B0" w:rsidRPr="001775D9">
        <w:rPr>
          <w:rFonts w:eastAsia="Times New Roman"/>
          <w:color w:val="000000"/>
          <w:szCs w:val="22"/>
        </w:rPr>
        <w:t>adalimumab</w:t>
      </w:r>
      <w:r w:rsidRPr="001775D9">
        <w:rPr>
          <w:szCs w:val="22"/>
          <w:lang w:eastAsia="en-GB"/>
        </w:rPr>
        <w:t xml:space="preserve">. A modified Total Sharp Score (mTSS), which included distal interphalangeal joints (i.e. not identical to the TSS used for rheumatoid arthritis), was used. </w:t>
      </w:r>
    </w:p>
    <w:p w14:paraId="707693BE"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00ED8F6" w14:textId="77777777" w:rsidR="00C42229" w:rsidRPr="001775D9" w:rsidRDefault="004267B0" w:rsidP="00FB5458">
      <w:pPr>
        <w:tabs>
          <w:tab w:val="clear" w:pos="567"/>
        </w:tabs>
        <w:autoSpaceDE w:val="0"/>
        <w:autoSpaceDN w:val="0"/>
        <w:adjustRightInd w:val="0"/>
        <w:spacing w:line="240" w:lineRule="auto"/>
        <w:rPr>
          <w:szCs w:val="22"/>
        </w:rPr>
      </w:pPr>
      <w:r w:rsidRPr="001775D9">
        <w:rPr>
          <w:rFonts w:eastAsia="Times New Roman"/>
          <w:color w:val="000000"/>
          <w:szCs w:val="22"/>
        </w:rPr>
        <w:t>Adalimumab</w:t>
      </w:r>
      <w:r w:rsidR="00C42229" w:rsidRPr="001775D9">
        <w:rPr>
          <w:szCs w:val="22"/>
          <w:lang w:eastAsia="en-GB"/>
        </w:rPr>
        <w:t xml:space="preserve"> treatment reduced the rate of progression of peripheral joint damage compared with placebo treatment as measured by change from baseline in mTSS (mean ± SD) 0.8 ± 2.5 in the placebo group (at </w:t>
      </w:r>
      <w:r w:rsidR="00420C90" w:rsidRPr="001775D9">
        <w:rPr>
          <w:szCs w:val="22"/>
          <w:lang w:eastAsia="en-GB"/>
        </w:rPr>
        <w:t>week</w:t>
      </w:r>
      <w:r w:rsidR="00C42229" w:rsidRPr="001775D9">
        <w:rPr>
          <w:szCs w:val="22"/>
          <w:lang w:eastAsia="en-GB"/>
        </w:rPr>
        <w:t xml:space="preserve"> 24) compared with 0.0 ± 1.9; (p</w:t>
      </w:r>
      <w:r w:rsidR="00C42229" w:rsidRPr="001775D9">
        <w:rPr>
          <w:szCs w:val="22"/>
        </w:rPr>
        <w:t> </w:t>
      </w:r>
      <w:r w:rsidR="00C42229" w:rsidRPr="001775D9">
        <w:rPr>
          <w:szCs w:val="22"/>
          <w:lang w:eastAsia="en-GB"/>
        </w:rPr>
        <w:t>&lt;</w:t>
      </w:r>
      <w:r w:rsidR="00C42229" w:rsidRPr="001775D9">
        <w:rPr>
          <w:szCs w:val="22"/>
        </w:rPr>
        <w:t> </w:t>
      </w:r>
      <w:r w:rsidR="00C42229" w:rsidRPr="001775D9">
        <w:rPr>
          <w:szCs w:val="22"/>
          <w:lang w:eastAsia="en-GB"/>
        </w:rPr>
        <w:t xml:space="preserve">0.001) in the </w:t>
      </w:r>
      <w:r w:rsidRPr="001775D9">
        <w:rPr>
          <w:rFonts w:eastAsia="Times New Roman"/>
          <w:color w:val="000000"/>
          <w:szCs w:val="22"/>
        </w:rPr>
        <w:t>adalimumab</w:t>
      </w:r>
      <w:r w:rsidR="00C42229" w:rsidRPr="001775D9">
        <w:rPr>
          <w:szCs w:val="22"/>
          <w:lang w:eastAsia="en-GB"/>
        </w:rPr>
        <w:t xml:space="preserve"> group (at </w:t>
      </w:r>
      <w:r w:rsidR="00420C90" w:rsidRPr="001775D9">
        <w:rPr>
          <w:szCs w:val="22"/>
          <w:lang w:eastAsia="en-GB"/>
        </w:rPr>
        <w:t xml:space="preserve">week </w:t>
      </w:r>
      <w:r w:rsidR="00C42229" w:rsidRPr="001775D9">
        <w:rPr>
          <w:szCs w:val="22"/>
          <w:lang w:eastAsia="en-GB"/>
        </w:rPr>
        <w:t>48).</w:t>
      </w:r>
    </w:p>
    <w:p w14:paraId="24A60F70"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11AB0CC3"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subjects treated with </w:t>
      </w:r>
      <w:r w:rsidR="004267B0" w:rsidRPr="001775D9">
        <w:rPr>
          <w:rFonts w:eastAsia="Times New Roman"/>
          <w:color w:val="000000"/>
          <w:szCs w:val="22"/>
        </w:rPr>
        <w:t>adalimumab</w:t>
      </w:r>
      <w:r w:rsidRPr="001775D9">
        <w:rPr>
          <w:szCs w:val="22"/>
          <w:lang w:eastAsia="en-GB"/>
        </w:rPr>
        <w:t xml:space="preserve"> with no radiographic progression from baseline to </w:t>
      </w:r>
      <w:r w:rsidR="00420C90" w:rsidRPr="001775D9">
        <w:rPr>
          <w:szCs w:val="22"/>
          <w:lang w:eastAsia="en-GB"/>
        </w:rPr>
        <w:t>week</w:t>
      </w:r>
      <w:r w:rsidRPr="001775D9">
        <w:rPr>
          <w:szCs w:val="22"/>
          <w:lang w:eastAsia="en-GB"/>
        </w:rPr>
        <w:t xml:space="preserve"> 48 (n</w:t>
      </w:r>
      <w:r w:rsidRPr="001775D9">
        <w:rPr>
          <w:szCs w:val="22"/>
        </w:rPr>
        <w:t> </w:t>
      </w:r>
      <w:r w:rsidRPr="001775D9">
        <w:rPr>
          <w:szCs w:val="22"/>
          <w:lang w:eastAsia="en-GB"/>
        </w:rPr>
        <w:t>=</w:t>
      </w:r>
      <w:r w:rsidRPr="001775D9">
        <w:rPr>
          <w:szCs w:val="22"/>
        </w:rPr>
        <w:t> </w:t>
      </w:r>
      <w:r w:rsidRPr="001775D9">
        <w:rPr>
          <w:szCs w:val="22"/>
          <w:lang w:eastAsia="en-GB"/>
        </w:rPr>
        <w:t xml:space="preserve">102), 84% continued to show no radiographic progression through 144 weeks of treatment. </w:t>
      </w:r>
      <w:r w:rsidR="004267B0" w:rsidRPr="001775D9">
        <w:rPr>
          <w:rFonts w:eastAsia="Times New Roman"/>
          <w:color w:val="000000"/>
          <w:szCs w:val="22"/>
        </w:rPr>
        <w:t>Adalimumab</w:t>
      </w:r>
      <w:r w:rsidR="00A515F5" w:rsidRPr="001775D9">
        <w:rPr>
          <w:szCs w:val="22"/>
          <w:lang w:eastAsia="en-GB"/>
        </w:rPr>
        <w:t>-</w:t>
      </w:r>
      <w:r w:rsidRPr="001775D9">
        <w:rPr>
          <w:szCs w:val="22"/>
          <w:lang w:eastAsia="en-GB"/>
        </w:rPr>
        <w:t xml:space="preserve">treated patients demonstrated statistically significant improvement in physical function as assessed by HAQ and Short Form Health Survey (SF 36) compared to placebo at </w:t>
      </w:r>
      <w:r w:rsidR="00420C90" w:rsidRPr="001775D9">
        <w:rPr>
          <w:szCs w:val="22"/>
          <w:lang w:eastAsia="en-GB"/>
        </w:rPr>
        <w:t>week</w:t>
      </w:r>
      <w:r w:rsidRPr="001775D9">
        <w:rPr>
          <w:szCs w:val="22"/>
          <w:lang w:eastAsia="en-GB"/>
        </w:rPr>
        <w:t xml:space="preserve"> 24. Improved physical function continued during the open</w:t>
      </w:r>
      <w:r w:rsidR="00E556D2" w:rsidRPr="001775D9">
        <w:rPr>
          <w:szCs w:val="22"/>
          <w:lang w:eastAsia="en-GB"/>
        </w:rPr>
        <w:t>-</w:t>
      </w:r>
      <w:r w:rsidRPr="001775D9">
        <w:rPr>
          <w:szCs w:val="22"/>
          <w:lang w:eastAsia="en-GB"/>
        </w:rPr>
        <w:t xml:space="preserve">label extension up to </w:t>
      </w:r>
      <w:r w:rsidR="00420C90" w:rsidRPr="001775D9">
        <w:rPr>
          <w:szCs w:val="22"/>
          <w:lang w:eastAsia="en-GB"/>
        </w:rPr>
        <w:t>week</w:t>
      </w:r>
      <w:r w:rsidRPr="001775D9">
        <w:rPr>
          <w:szCs w:val="22"/>
          <w:lang w:eastAsia="en-GB"/>
        </w:rPr>
        <w:t xml:space="preserve"> 136.</w:t>
      </w:r>
    </w:p>
    <w:p w14:paraId="6A155CD8"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5097B9A9" w14:textId="77777777" w:rsidR="00C42229" w:rsidRPr="001775D9" w:rsidRDefault="00C42229" w:rsidP="00F45F72">
      <w:pPr>
        <w:tabs>
          <w:tab w:val="clear" w:pos="567"/>
        </w:tabs>
        <w:autoSpaceDE w:val="0"/>
        <w:autoSpaceDN w:val="0"/>
        <w:adjustRightInd w:val="0"/>
        <w:spacing w:line="240" w:lineRule="auto"/>
        <w:rPr>
          <w:i/>
          <w:szCs w:val="22"/>
          <w:lang w:eastAsia="en-GB"/>
        </w:rPr>
      </w:pPr>
      <w:r w:rsidRPr="001775D9">
        <w:rPr>
          <w:i/>
          <w:szCs w:val="22"/>
          <w:lang w:eastAsia="en-GB"/>
        </w:rPr>
        <w:t xml:space="preserve">Psoriasis </w:t>
      </w:r>
    </w:p>
    <w:p w14:paraId="67BA7783" w14:textId="77777777" w:rsidR="00C42229" w:rsidRPr="001775D9" w:rsidRDefault="00C42229" w:rsidP="00F45F72">
      <w:pPr>
        <w:tabs>
          <w:tab w:val="clear" w:pos="567"/>
        </w:tabs>
        <w:autoSpaceDE w:val="0"/>
        <w:autoSpaceDN w:val="0"/>
        <w:adjustRightInd w:val="0"/>
        <w:spacing w:line="240" w:lineRule="auto"/>
        <w:rPr>
          <w:szCs w:val="22"/>
          <w:lang w:eastAsia="en-GB"/>
        </w:rPr>
      </w:pPr>
    </w:p>
    <w:p w14:paraId="7787C4BD" w14:textId="77777777" w:rsidR="00C42229" w:rsidRPr="001775D9" w:rsidRDefault="00C42229" w:rsidP="00F45F72">
      <w:pPr>
        <w:tabs>
          <w:tab w:val="clear" w:pos="567"/>
        </w:tabs>
        <w:autoSpaceDE w:val="0"/>
        <w:autoSpaceDN w:val="0"/>
        <w:adjustRightInd w:val="0"/>
        <w:spacing w:line="240" w:lineRule="auto"/>
        <w:rPr>
          <w:szCs w:val="22"/>
          <w:u w:val="single"/>
          <w:lang w:eastAsia="en-GB"/>
        </w:rPr>
      </w:pPr>
      <w:r w:rsidRPr="001775D9">
        <w:rPr>
          <w:color w:val="000000"/>
          <w:szCs w:val="22"/>
          <w:lang w:eastAsia="en-GB"/>
        </w:rPr>
        <w:t xml:space="preserve">The safety and efficacy of </w:t>
      </w:r>
      <w:r w:rsidR="004267B0" w:rsidRPr="001775D9">
        <w:rPr>
          <w:rFonts w:eastAsia="Times New Roman"/>
          <w:color w:val="000000"/>
          <w:szCs w:val="22"/>
        </w:rPr>
        <w:t>adalimumab</w:t>
      </w:r>
      <w:r w:rsidRPr="001775D9">
        <w:rPr>
          <w:szCs w:val="22"/>
          <w:lang w:eastAsia="en-GB"/>
        </w:rPr>
        <w:t xml:space="preserve"> were studied in adult patients with chronic plaque psoriasis (≥</w:t>
      </w:r>
      <w:r w:rsidRPr="001775D9">
        <w:rPr>
          <w:szCs w:val="22"/>
        </w:rPr>
        <w:t> </w:t>
      </w:r>
      <w:r w:rsidRPr="001775D9">
        <w:rPr>
          <w:szCs w:val="22"/>
          <w:lang w:eastAsia="en-GB"/>
        </w:rPr>
        <w:t>10% BSA involvement and Psoriasis Area and Severity Index (PASI) ≥</w:t>
      </w:r>
      <w:r w:rsidRPr="001775D9">
        <w:rPr>
          <w:szCs w:val="22"/>
        </w:rPr>
        <w:t> </w:t>
      </w:r>
      <w:r w:rsidRPr="001775D9">
        <w:rPr>
          <w:szCs w:val="22"/>
          <w:lang w:eastAsia="en-GB"/>
        </w:rPr>
        <w:t>12 or ≥</w:t>
      </w:r>
      <w:r w:rsidRPr="001775D9">
        <w:rPr>
          <w:szCs w:val="22"/>
        </w:rPr>
        <w:t> </w:t>
      </w:r>
      <w:r w:rsidRPr="001775D9">
        <w:rPr>
          <w:szCs w:val="22"/>
          <w:lang w:eastAsia="en-GB"/>
        </w:rPr>
        <w:t xml:space="preserve">10) who were candidates for systemic therapy or phototherapy in randomised, double-blind studies. 73% of patients enrolled in </w:t>
      </w:r>
      <w:r w:rsidR="004267B0" w:rsidRPr="001775D9">
        <w:rPr>
          <w:szCs w:val="22"/>
          <w:lang w:eastAsia="en-GB"/>
        </w:rPr>
        <w:t>p</w:t>
      </w:r>
      <w:r w:rsidRPr="001775D9">
        <w:rPr>
          <w:szCs w:val="22"/>
          <w:lang w:eastAsia="en-GB"/>
        </w:rPr>
        <w:t xml:space="preserve">soriasis </w:t>
      </w:r>
      <w:r w:rsidR="004267B0" w:rsidRPr="001775D9">
        <w:rPr>
          <w:szCs w:val="22"/>
          <w:lang w:eastAsia="en-GB"/>
        </w:rPr>
        <w:t>s</w:t>
      </w:r>
      <w:r w:rsidRPr="001775D9">
        <w:rPr>
          <w:szCs w:val="22"/>
          <w:lang w:eastAsia="en-GB"/>
        </w:rPr>
        <w:t xml:space="preserve">tudies I and II had received prior systemic therapy or phototherapy. The safety and efficacy of </w:t>
      </w:r>
      <w:r w:rsidR="004267B0" w:rsidRPr="001775D9">
        <w:rPr>
          <w:rFonts w:eastAsia="Times New Roman"/>
          <w:color w:val="000000"/>
          <w:szCs w:val="22"/>
        </w:rPr>
        <w:t>adalimumab</w:t>
      </w:r>
      <w:r w:rsidRPr="001775D9">
        <w:rPr>
          <w:szCs w:val="22"/>
          <w:lang w:eastAsia="en-GB"/>
        </w:rPr>
        <w:t xml:space="preserve"> were also studied in adult patients with moderate to severe chronic plaque psoriasis with concomitant hand and/or foot psoriasis who were candidates for systemic therapy in a randomi</w:t>
      </w:r>
      <w:r w:rsidR="004267B0" w:rsidRPr="001775D9">
        <w:rPr>
          <w:szCs w:val="22"/>
          <w:lang w:eastAsia="en-GB"/>
        </w:rPr>
        <w:t>s</w:t>
      </w:r>
      <w:r w:rsidRPr="001775D9">
        <w:rPr>
          <w:szCs w:val="22"/>
          <w:lang w:eastAsia="en-GB"/>
        </w:rPr>
        <w:t>ed double-blind study (</w:t>
      </w:r>
      <w:r w:rsidR="004267B0" w:rsidRPr="001775D9">
        <w:rPr>
          <w:szCs w:val="22"/>
          <w:lang w:eastAsia="en-GB"/>
        </w:rPr>
        <w:t>p</w:t>
      </w:r>
      <w:r w:rsidRPr="001775D9">
        <w:rPr>
          <w:szCs w:val="22"/>
          <w:lang w:eastAsia="en-GB"/>
        </w:rPr>
        <w:t xml:space="preserve">soriasis </w:t>
      </w:r>
      <w:r w:rsidR="004267B0" w:rsidRPr="001775D9">
        <w:rPr>
          <w:szCs w:val="22"/>
          <w:lang w:eastAsia="en-GB"/>
        </w:rPr>
        <w:t>s</w:t>
      </w:r>
      <w:r w:rsidRPr="001775D9">
        <w:rPr>
          <w:szCs w:val="22"/>
          <w:lang w:eastAsia="en-GB"/>
        </w:rPr>
        <w:t>tudy III).</w:t>
      </w:r>
    </w:p>
    <w:p w14:paraId="2E9372EF"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69AD006E" w14:textId="648A43B9" w:rsidR="00C42229" w:rsidRPr="001775D9" w:rsidRDefault="00C42229" w:rsidP="00FB5458">
      <w:pPr>
        <w:tabs>
          <w:tab w:val="clear" w:pos="567"/>
        </w:tabs>
        <w:autoSpaceDE w:val="0"/>
        <w:autoSpaceDN w:val="0"/>
        <w:adjustRightInd w:val="0"/>
        <w:spacing w:line="240" w:lineRule="auto"/>
        <w:rPr>
          <w:szCs w:val="22"/>
        </w:rPr>
      </w:pPr>
      <w:r w:rsidRPr="001775D9">
        <w:rPr>
          <w:szCs w:val="22"/>
        </w:rPr>
        <w:t xml:space="preserve">Psoriasis </w:t>
      </w:r>
      <w:r w:rsidR="004267B0" w:rsidRPr="001775D9">
        <w:rPr>
          <w:szCs w:val="22"/>
        </w:rPr>
        <w:t>s</w:t>
      </w:r>
      <w:r w:rsidRPr="001775D9">
        <w:rPr>
          <w:szCs w:val="22"/>
        </w:rPr>
        <w:t xml:space="preserve">tudy I (REVEAL) evaluated 1,212 patients within three treatment periods. In period A, patients received placebo or </w:t>
      </w:r>
      <w:r w:rsidR="004267B0" w:rsidRPr="001775D9">
        <w:rPr>
          <w:rFonts w:eastAsia="Times New Roman"/>
          <w:color w:val="000000"/>
          <w:szCs w:val="22"/>
        </w:rPr>
        <w:t>adalimumab</w:t>
      </w:r>
      <w:r w:rsidRPr="001775D9">
        <w:rPr>
          <w:szCs w:val="22"/>
        </w:rPr>
        <w:t xml:space="preserve"> at an initial dose of 80 mg followed by 40 mg every other week starting one week after the initial dose. After 16 weeks of therapy, patients who achieved at least a PASI 75 response (PASI score improvement of at least 75% relative to baseline), entered period B and received open-label 40 mg </w:t>
      </w:r>
      <w:r w:rsidR="00ED66EA" w:rsidRPr="001775D9">
        <w:rPr>
          <w:rFonts w:eastAsia="Times New Roman"/>
          <w:color w:val="000000"/>
          <w:szCs w:val="22"/>
        </w:rPr>
        <w:t>adalimumab</w:t>
      </w:r>
      <w:r w:rsidRPr="001775D9">
        <w:rPr>
          <w:szCs w:val="22"/>
        </w:rPr>
        <w:t xml:space="preserve"> every other week. Patients who maintained ≥ PASI 75 response at </w:t>
      </w:r>
      <w:r w:rsidR="00570C3D" w:rsidRPr="001775D9">
        <w:rPr>
          <w:szCs w:val="22"/>
          <w:lang w:eastAsia="en-GB"/>
        </w:rPr>
        <w:t>week</w:t>
      </w:r>
      <w:r w:rsidRPr="001775D9">
        <w:rPr>
          <w:szCs w:val="22"/>
        </w:rPr>
        <w:t xml:space="preserve"> 33 and were originally randomised to active therapy in </w:t>
      </w:r>
      <w:r w:rsidR="00570C3D" w:rsidRPr="001775D9">
        <w:rPr>
          <w:szCs w:val="22"/>
        </w:rPr>
        <w:t>p</w:t>
      </w:r>
      <w:r w:rsidRPr="001775D9">
        <w:rPr>
          <w:szCs w:val="22"/>
        </w:rPr>
        <w:t xml:space="preserve">eriod A, were re-randomised in period C to receive 40 mg </w:t>
      </w:r>
      <w:r w:rsidR="00ED66EA" w:rsidRPr="001775D9">
        <w:rPr>
          <w:rFonts w:eastAsia="Times New Roman"/>
          <w:color w:val="000000"/>
          <w:szCs w:val="22"/>
        </w:rPr>
        <w:t>adalimumab</w:t>
      </w:r>
      <w:r w:rsidRPr="001775D9">
        <w:rPr>
          <w:szCs w:val="22"/>
        </w:rPr>
        <w:t xml:space="preserve"> every other week or placebo for an additional 19 weeks. Across all treatment groups, the mean baseline PASI score was 18.9 and the baseline Physician’s Global Assessment (PGA) score ranged from “moderate” (53% of subjects included) to “severe” (41%) to “very severe” (6%).</w:t>
      </w:r>
    </w:p>
    <w:p w14:paraId="2CF67259" w14:textId="77777777" w:rsidR="00C42229" w:rsidRPr="001775D9" w:rsidRDefault="00C42229" w:rsidP="00FB5458">
      <w:pPr>
        <w:tabs>
          <w:tab w:val="clear" w:pos="567"/>
        </w:tabs>
        <w:autoSpaceDE w:val="0"/>
        <w:autoSpaceDN w:val="0"/>
        <w:adjustRightInd w:val="0"/>
        <w:spacing w:line="240" w:lineRule="auto"/>
        <w:rPr>
          <w:szCs w:val="22"/>
        </w:rPr>
      </w:pPr>
    </w:p>
    <w:p w14:paraId="058D99E0" w14:textId="77777777" w:rsidR="00C42229" w:rsidRPr="001775D9" w:rsidRDefault="00C42229" w:rsidP="00FB5458">
      <w:pPr>
        <w:tabs>
          <w:tab w:val="clear" w:pos="567"/>
        </w:tabs>
        <w:autoSpaceDE w:val="0"/>
        <w:autoSpaceDN w:val="0"/>
        <w:adjustRightInd w:val="0"/>
        <w:spacing w:line="240" w:lineRule="auto"/>
        <w:rPr>
          <w:szCs w:val="22"/>
        </w:rPr>
      </w:pPr>
      <w:r w:rsidRPr="001775D9">
        <w:rPr>
          <w:szCs w:val="22"/>
        </w:rPr>
        <w:t xml:space="preserve">Psoriasis </w:t>
      </w:r>
      <w:r w:rsidR="00570C3D" w:rsidRPr="001775D9">
        <w:rPr>
          <w:szCs w:val="22"/>
        </w:rPr>
        <w:t>s</w:t>
      </w:r>
      <w:r w:rsidR="00B334F7" w:rsidRPr="001775D9">
        <w:rPr>
          <w:szCs w:val="22"/>
        </w:rPr>
        <w:t xml:space="preserve">tudy </w:t>
      </w:r>
      <w:r w:rsidRPr="001775D9">
        <w:rPr>
          <w:szCs w:val="22"/>
        </w:rPr>
        <w:t xml:space="preserve">II (CHAMPION) compared the efficacy and safety of </w:t>
      </w:r>
      <w:r w:rsidR="00ED66EA" w:rsidRPr="001775D9">
        <w:rPr>
          <w:rFonts w:eastAsia="Times New Roman"/>
          <w:color w:val="000000"/>
          <w:szCs w:val="22"/>
        </w:rPr>
        <w:t>adalimumab</w:t>
      </w:r>
      <w:r w:rsidRPr="001775D9">
        <w:rPr>
          <w:i/>
          <w:iCs/>
          <w:szCs w:val="22"/>
        </w:rPr>
        <w:t xml:space="preserve"> </w:t>
      </w:r>
      <w:r w:rsidRPr="001775D9">
        <w:rPr>
          <w:iCs/>
          <w:szCs w:val="22"/>
        </w:rPr>
        <w:t xml:space="preserve">versus </w:t>
      </w:r>
      <w:r w:rsidRPr="001775D9">
        <w:rPr>
          <w:szCs w:val="22"/>
        </w:rPr>
        <w:t xml:space="preserve">methotrexate and placebo in 271 patients. Patients received placebo, an initial dose of MTX 7.5 mg and thereafter dose increases up to </w:t>
      </w:r>
      <w:r w:rsidR="00570C3D" w:rsidRPr="001775D9">
        <w:rPr>
          <w:szCs w:val="22"/>
          <w:lang w:eastAsia="en-GB"/>
        </w:rPr>
        <w:t>week</w:t>
      </w:r>
      <w:r w:rsidRPr="001775D9">
        <w:rPr>
          <w:szCs w:val="22"/>
        </w:rPr>
        <w:t xml:space="preserve"> 12, with a maximum dose of 25 mg or an initial dose of 80 mg </w:t>
      </w:r>
      <w:r w:rsidR="00ED66EA" w:rsidRPr="001775D9">
        <w:rPr>
          <w:rFonts w:eastAsia="Times New Roman"/>
          <w:color w:val="000000"/>
          <w:szCs w:val="22"/>
        </w:rPr>
        <w:t>adalimumab</w:t>
      </w:r>
      <w:r w:rsidR="00ED66EA" w:rsidRPr="001775D9">
        <w:rPr>
          <w:szCs w:val="22"/>
          <w:lang w:eastAsia="en-GB"/>
        </w:rPr>
        <w:t xml:space="preserve"> </w:t>
      </w:r>
      <w:r w:rsidRPr="001775D9">
        <w:rPr>
          <w:szCs w:val="22"/>
        </w:rPr>
        <w:t xml:space="preserve">followed by 40 mg every other week (starting one week after the initial dose) for 16 weeks. There are no data available comparing </w:t>
      </w:r>
      <w:r w:rsidR="00ED66EA" w:rsidRPr="001775D9">
        <w:rPr>
          <w:rFonts w:eastAsia="Times New Roman"/>
          <w:color w:val="000000"/>
          <w:szCs w:val="22"/>
        </w:rPr>
        <w:t>adalimumab</w:t>
      </w:r>
      <w:r w:rsidRPr="001775D9">
        <w:rPr>
          <w:szCs w:val="22"/>
        </w:rPr>
        <w:t xml:space="preserve"> and MTX beyond 16 weeks of therapy. Patients receiving MTX who achieved a ≥ PASI 50 response at </w:t>
      </w:r>
      <w:r w:rsidR="00570C3D" w:rsidRPr="001775D9">
        <w:rPr>
          <w:szCs w:val="22"/>
          <w:lang w:eastAsia="en-GB"/>
        </w:rPr>
        <w:t>week</w:t>
      </w:r>
      <w:r w:rsidRPr="001775D9">
        <w:rPr>
          <w:szCs w:val="22"/>
        </w:rPr>
        <w:t xml:space="preserve"> 8 and/or 12 did not receive further dose increases. Across all treatment groups, the mean baseline PASI score was 19.7 and the baseline PGA score ranged from “mild” (&lt; 1%) to “moderate” (48%) to “severe” (46%) to “very severe” (6%).</w:t>
      </w:r>
    </w:p>
    <w:p w14:paraId="2454DC2D" w14:textId="77777777" w:rsidR="00C42229" w:rsidRPr="001775D9" w:rsidRDefault="00C42229" w:rsidP="00FB5458">
      <w:pPr>
        <w:tabs>
          <w:tab w:val="clear" w:pos="567"/>
        </w:tabs>
        <w:autoSpaceDE w:val="0"/>
        <w:autoSpaceDN w:val="0"/>
        <w:adjustRightInd w:val="0"/>
        <w:spacing w:line="240" w:lineRule="auto"/>
        <w:rPr>
          <w:szCs w:val="22"/>
        </w:rPr>
      </w:pPr>
    </w:p>
    <w:p w14:paraId="668F6DDB" w14:textId="6CFD9F81"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Patients participating in all </w:t>
      </w:r>
      <w:r w:rsidR="00570C3D" w:rsidRPr="001775D9">
        <w:rPr>
          <w:szCs w:val="22"/>
          <w:lang w:eastAsia="en-GB"/>
        </w:rPr>
        <w:t>p</w:t>
      </w:r>
      <w:r w:rsidRPr="001775D9">
        <w:rPr>
          <w:szCs w:val="22"/>
          <w:lang w:eastAsia="en-GB"/>
        </w:rPr>
        <w:t xml:space="preserve">hase 2 and </w:t>
      </w:r>
      <w:r w:rsidR="00570C3D" w:rsidRPr="001775D9">
        <w:rPr>
          <w:szCs w:val="22"/>
          <w:lang w:eastAsia="en-GB"/>
        </w:rPr>
        <w:t>p</w:t>
      </w:r>
      <w:r w:rsidRPr="001775D9">
        <w:rPr>
          <w:szCs w:val="22"/>
          <w:lang w:eastAsia="en-GB"/>
        </w:rPr>
        <w:t xml:space="preserve">hase 3 psoriasis studies were eligible to enrol into an open-label extension trial, where </w:t>
      </w:r>
      <w:r w:rsidR="00ED66EA" w:rsidRPr="001775D9">
        <w:rPr>
          <w:rFonts w:eastAsia="Times New Roman"/>
          <w:color w:val="000000"/>
          <w:szCs w:val="22"/>
        </w:rPr>
        <w:t>adalimumab</w:t>
      </w:r>
      <w:r w:rsidRPr="001775D9">
        <w:rPr>
          <w:szCs w:val="22"/>
          <w:lang w:eastAsia="en-GB"/>
        </w:rPr>
        <w:t xml:space="preserve"> was given for at least an additional 108 weeks. </w:t>
      </w:r>
    </w:p>
    <w:p w14:paraId="27765DA6"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2F38326" w14:textId="3337DE8C"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lang w:eastAsia="en-GB"/>
        </w:rPr>
        <w:t xml:space="preserve">In </w:t>
      </w:r>
      <w:r w:rsidR="00570C3D" w:rsidRPr="001775D9">
        <w:rPr>
          <w:szCs w:val="22"/>
          <w:lang w:eastAsia="en-GB"/>
        </w:rPr>
        <w:t>p</w:t>
      </w:r>
      <w:r w:rsidRPr="001775D9">
        <w:rPr>
          <w:szCs w:val="22"/>
          <w:lang w:eastAsia="en-GB"/>
        </w:rPr>
        <w:t xml:space="preserve">soriasis </w:t>
      </w:r>
      <w:r w:rsidR="00570C3D" w:rsidRPr="001775D9">
        <w:rPr>
          <w:szCs w:val="22"/>
          <w:lang w:eastAsia="en-GB"/>
        </w:rPr>
        <w:t>s</w:t>
      </w:r>
      <w:r w:rsidRPr="001775D9">
        <w:rPr>
          <w:szCs w:val="22"/>
          <w:lang w:eastAsia="en-GB"/>
        </w:rPr>
        <w:t>tudies I and II, a primary endpoint was the proportion of patients</w:t>
      </w:r>
      <w:r w:rsidRPr="001775D9">
        <w:rPr>
          <w:color w:val="000000"/>
          <w:szCs w:val="22"/>
          <w:lang w:eastAsia="en-GB"/>
        </w:rPr>
        <w:t xml:space="preserve"> who achieved a PASI 75 response from baseline at </w:t>
      </w:r>
      <w:r w:rsidR="00570C3D" w:rsidRPr="001775D9">
        <w:rPr>
          <w:szCs w:val="22"/>
          <w:lang w:eastAsia="en-GB"/>
        </w:rPr>
        <w:t>week</w:t>
      </w:r>
      <w:r w:rsidRPr="001775D9">
        <w:rPr>
          <w:color w:val="000000"/>
          <w:szCs w:val="22"/>
          <w:lang w:eastAsia="en-GB"/>
        </w:rPr>
        <w:t xml:space="preserve"> 16 (see </w:t>
      </w:r>
      <w:r w:rsidR="00570C3D" w:rsidRPr="001775D9">
        <w:rPr>
          <w:color w:val="000000"/>
          <w:szCs w:val="22"/>
          <w:lang w:eastAsia="en-GB"/>
        </w:rPr>
        <w:t>t</w:t>
      </w:r>
      <w:r w:rsidRPr="001775D9">
        <w:rPr>
          <w:color w:val="000000"/>
          <w:szCs w:val="22"/>
          <w:lang w:eastAsia="en-GB"/>
        </w:rPr>
        <w:t xml:space="preserve">ables </w:t>
      </w:r>
      <w:r w:rsidR="004D7CC1" w:rsidRPr="001775D9">
        <w:rPr>
          <w:color w:val="000000"/>
          <w:szCs w:val="22"/>
          <w:lang w:eastAsia="en-GB"/>
        </w:rPr>
        <w:t>16</w:t>
      </w:r>
      <w:r w:rsidR="002C3017" w:rsidRPr="001775D9">
        <w:rPr>
          <w:color w:val="000000"/>
          <w:szCs w:val="22"/>
          <w:lang w:eastAsia="en-GB"/>
        </w:rPr>
        <w:t xml:space="preserve"> </w:t>
      </w:r>
      <w:r w:rsidRPr="001775D9">
        <w:rPr>
          <w:color w:val="000000"/>
          <w:szCs w:val="22"/>
          <w:lang w:eastAsia="en-GB"/>
        </w:rPr>
        <w:t xml:space="preserve">and </w:t>
      </w:r>
      <w:r w:rsidR="004D7CC1" w:rsidRPr="001775D9">
        <w:rPr>
          <w:color w:val="000000"/>
          <w:szCs w:val="22"/>
          <w:lang w:eastAsia="en-GB"/>
        </w:rPr>
        <w:t>17</w:t>
      </w:r>
      <w:r w:rsidRPr="001775D9">
        <w:rPr>
          <w:color w:val="000000"/>
          <w:szCs w:val="22"/>
          <w:lang w:eastAsia="en-GB"/>
        </w:rPr>
        <w:t>).</w:t>
      </w:r>
    </w:p>
    <w:p w14:paraId="52FAF41D" w14:textId="77777777" w:rsidR="00C42229" w:rsidRPr="001775D9" w:rsidRDefault="00C42229" w:rsidP="00FB5458">
      <w:pPr>
        <w:tabs>
          <w:tab w:val="clear" w:pos="567"/>
        </w:tabs>
        <w:autoSpaceDE w:val="0"/>
        <w:autoSpaceDN w:val="0"/>
        <w:adjustRightInd w:val="0"/>
        <w:spacing w:line="240" w:lineRule="auto"/>
        <w:rPr>
          <w:szCs w:val="22"/>
        </w:rPr>
      </w:pPr>
    </w:p>
    <w:p w14:paraId="0073D5EE" w14:textId="1398D79C" w:rsidR="00C42229" w:rsidRPr="001775D9" w:rsidRDefault="00C42229" w:rsidP="00FB5458">
      <w:pPr>
        <w:keepNext/>
        <w:tabs>
          <w:tab w:val="clear" w:pos="567"/>
        </w:tabs>
        <w:autoSpaceDE w:val="0"/>
        <w:autoSpaceDN w:val="0"/>
        <w:adjustRightInd w:val="0"/>
        <w:spacing w:line="240" w:lineRule="auto"/>
        <w:rPr>
          <w:b/>
          <w:bCs/>
          <w:color w:val="000000"/>
          <w:szCs w:val="22"/>
          <w:lang w:eastAsia="en-GB"/>
        </w:rPr>
      </w:pPr>
      <w:r w:rsidRPr="001775D9">
        <w:rPr>
          <w:b/>
          <w:bCs/>
          <w:color w:val="000000"/>
          <w:szCs w:val="22"/>
          <w:lang w:eastAsia="en-GB"/>
        </w:rPr>
        <w:t xml:space="preserve">Table </w:t>
      </w:r>
      <w:r w:rsidR="004D7CC1" w:rsidRPr="001775D9">
        <w:rPr>
          <w:b/>
          <w:bCs/>
          <w:color w:val="000000"/>
          <w:szCs w:val="22"/>
          <w:lang w:eastAsia="en-GB"/>
        </w:rPr>
        <w:t>16</w:t>
      </w:r>
      <w:r w:rsidR="00560AB5" w:rsidRPr="001775D9">
        <w:rPr>
          <w:b/>
          <w:bCs/>
          <w:color w:val="000000"/>
          <w:szCs w:val="22"/>
          <w:lang w:eastAsia="en-GB"/>
        </w:rPr>
        <w:t>.</w:t>
      </w:r>
      <w:r w:rsidR="00110304" w:rsidRPr="001775D9">
        <w:rPr>
          <w:b/>
          <w:bCs/>
          <w:color w:val="000000"/>
          <w:szCs w:val="22"/>
          <w:lang w:eastAsia="en-GB"/>
        </w:rPr>
        <w:t xml:space="preserve"> </w:t>
      </w:r>
      <w:r w:rsidRPr="001775D9">
        <w:rPr>
          <w:b/>
          <w:bCs/>
          <w:color w:val="000000"/>
          <w:szCs w:val="22"/>
          <w:lang w:eastAsia="en-GB"/>
        </w:rPr>
        <w:t xml:space="preserve">Ps </w:t>
      </w:r>
      <w:r w:rsidR="00570C3D" w:rsidRPr="001775D9">
        <w:rPr>
          <w:b/>
          <w:bCs/>
          <w:color w:val="000000"/>
          <w:szCs w:val="22"/>
          <w:lang w:eastAsia="en-GB"/>
        </w:rPr>
        <w:t>s</w:t>
      </w:r>
      <w:r w:rsidRPr="001775D9">
        <w:rPr>
          <w:b/>
          <w:bCs/>
          <w:color w:val="000000"/>
          <w:szCs w:val="22"/>
          <w:lang w:eastAsia="en-GB"/>
        </w:rPr>
        <w:t xml:space="preserve">tudy I (REVEAL) - </w:t>
      </w:r>
      <w:r w:rsidR="00570C3D" w:rsidRPr="001775D9">
        <w:rPr>
          <w:b/>
          <w:bCs/>
          <w:color w:val="000000"/>
          <w:szCs w:val="22"/>
          <w:lang w:eastAsia="en-GB"/>
        </w:rPr>
        <w:t>e</w:t>
      </w:r>
      <w:r w:rsidRPr="001775D9">
        <w:rPr>
          <w:b/>
          <w:bCs/>
          <w:color w:val="000000"/>
          <w:szCs w:val="22"/>
          <w:lang w:eastAsia="en-GB"/>
        </w:rPr>
        <w:t xml:space="preserve">fficacy </w:t>
      </w:r>
      <w:r w:rsidR="00570C3D" w:rsidRPr="001775D9">
        <w:rPr>
          <w:b/>
          <w:bCs/>
          <w:color w:val="000000"/>
          <w:szCs w:val="22"/>
          <w:lang w:eastAsia="en-GB"/>
        </w:rPr>
        <w:t>r</w:t>
      </w:r>
      <w:r w:rsidRPr="001775D9">
        <w:rPr>
          <w:b/>
          <w:bCs/>
          <w:color w:val="000000"/>
          <w:szCs w:val="22"/>
          <w:lang w:eastAsia="en-GB"/>
        </w:rPr>
        <w:t xml:space="preserve">esults at 16 </w:t>
      </w:r>
      <w:r w:rsidR="00570C3D" w:rsidRPr="001775D9">
        <w:rPr>
          <w:b/>
          <w:bCs/>
          <w:color w:val="000000"/>
          <w:szCs w:val="22"/>
          <w:lang w:eastAsia="en-GB"/>
        </w:rPr>
        <w:t>w</w:t>
      </w:r>
      <w:r w:rsidRPr="001775D9">
        <w:rPr>
          <w:b/>
          <w:bCs/>
          <w:color w:val="000000"/>
          <w:szCs w:val="22"/>
          <w:lang w:eastAsia="en-GB"/>
        </w:rPr>
        <w:t>eeks</w:t>
      </w:r>
    </w:p>
    <w:p w14:paraId="76E2CA53" w14:textId="77777777" w:rsidR="00C42229" w:rsidRPr="001775D9" w:rsidRDefault="00C42229" w:rsidP="00FB5458">
      <w:pPr>
        <w:keepNext/>
        <w:tabs>
          <w:tab w:val="clear" w:pos="567"/>
        </w:tabs>
        <w:autoSpaceDE w:val="0"/>
        <w:autoSpaceDN w:val="0"/>
        <w:adjustRightInd w:val="0"/>
        <w:spacing w:line="240" w:lineRule="auto"/>
        <w:rPr>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2834"/>
        <w:gridCol w:w="2836"/>
      </w:tblGrid>
      <w:tr w:rsidR="00C42229" w:rsidRPr="00F04F82" w14:paraId="3F39A553" w14:textId="77777777" w:rsidTr="00A66CE9">
        <w:trPr>
          <w:trHeight w:val="437"/>
        </w:trPr>
        <w:tc>
          <w:tcPr>
            <w:tcW w:w="3544" w:type="dxa"/>
          </w:tcPr>
          <w:p w14:paraId="7578BB33"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b/>
                <w:bCs/>
                <w:szCs w:val="22"/>
                <w:lang w:eastAsia="en-GB"/>
              </w:rPr>
              <w:t xml:space="preserve"> </w:t>
            </w:r>
          </w:p>
        </w:tc>
        <w:tc>
          <w:tcPr>
            <w:tcW w:w="2834" w:type="dxa"/>
          </w:tcPr>
          <w:p w14:paraId="33B2923B"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p w14:paraId="64A0C144" w14:textId="77777777" w:rsidR="00486166" w:rsidRPr="001775D9" w:rsidRDefault="00C42229" w:rsidP="00FB5458">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398</w:t>
            </w:r>
          </w:p>
          <w:p w14:paraId="062333C2"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c>
          <w:tcPr>
            <w:tcW w:w="2836" w:type="dxa"/>
          </w:tcPr>
          <w:p w14:paraId="0F855C17" w14:textId="3D536851" w:rsidR="00C42229" w:rsidRPr="001775D9" w:rsidRDefault="00ED66EA" w:rsidP="00FB5458">
            <w:pPr>
              <w:keepNext/>
              <w:tabs>
                <w:tab w:val="clear" w:pos="567"/>
              </w:tabs>
              <w:autoSpaceDE w:val="0"/>
              <w:autoSpaceDN w:val="0"/>
              <w:adjustRightInd w:val="0"/>
              <w:spacing w:line="240" w:lineRule="auto"/>
              <w:jc w:val="center"/>
              <w:rPr>
                <w:b/>
                <w:bCs/>
                <w:szCs w:val="22"/>
                <w:lang w:eastAsia="en-GB"/>
              </w:rPr>
            </w:pPr>
            <w:r w:rsidRPr="001775D9">
              <w:rPr>
                <w:rFonts w:eastAsia="Times New Roman"/>
                <w:b/>
                <w:color w:val="000000"/>
                <w:szCs w:val="22"/>
              </w:rPr>
              <w:t>Adalimumab</w:t>
            </w:r>
            <w:r w:rsidR="00C42229" w:rsidRPr="001775D9">
              <w:rPr>
                <w:b/>
                <w:bCs/>
                <w:szCs w:val="22"/>
                <w:lang w:eastAsia="en-GB"/>
              </w:rPr>
              <w:t xml:space="preserve"> 40</w:t>
            </w:r>
            <w:r w:rsidR="00C42229" w:rsidRPr="001775D9">
              <w:rPr>
                <w:b/>
                <w:szCs w:val="22"/>
              </w:rPr>
              <w:t> </w:t>
            </w:r>
            <w:r w:rsidR="00C42229" w:rsidRPr="001775D9">
              <w:rPr>
                <w:b/>
                <w:bCs/>
                <w:szCs w:val="22"/>
                <w:lang w:eastAsia="en-GB"/>
              </w:rPr>
              <w:t xml:space="preserve">mg </w:t>
            </w:r>
          </w:p>
          <w:p w14:paraId="5F5531B1" w14:textId="3FFBD6B3" w:rsidR="00B837EB" w:rsidRPr="001775D9" w:rsidRDefault="00B837EB" w:rsidP="00FB5458">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every other week</w:t>
            </w:r>
          </w:p>
          <w:p w14:paraId="0A2AA431" w14:textId="77777777" w:rsidR="00C42229" w:rsidRPr="001775D9" w:rsidRDefault="00C42229" w:rsidP="00FB5458">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N</w:t>
            </w:r>
            <w:r w:rsidRPr="001775D9">
              <w:rPr>
                <w:b/>
                <w:szCs w:val="22"/>
              </w:rPr>
              <w:t> </w:t>
            </w:r>
            <w:r w:rsidRPr="001775D9">
              <w:rPr>
                <w:b/>
                <w:bCs/>
                <w:szCs w:val="22"/>
                <w:lang w:eastAsia="en-GB"/>
              </w:rPr>
              <w:t>=</w:t>
            </w:r>
            <w:r w:rsidRPr="001775D9">
              <w:rPr>
                <w:b/>
                <w:szCs w:val="22"/>
              </w:rPr>
              <w:t> </w:t>
            </w:r>
            <w:r w:rsidRPr="001775D9">
              <w:rPr>
                <w:b/>
                <w:bCs/>
                <w:szCs w:val="22"/>
                <w:lang w:eastAsia="en-GB"/>
              </w:rPr>
              <w:t>814</w:t>
            </w:r>
          </w:p>
          <w:p w14:paraId="20E9AA5E"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r>
      <w:tr w:rsidR="00C42229" w:rsidRPr="00F04F82" w14:paraId="0AFD3BE5" w14:textId="77777777" w:rsidTr="00A66CE9">
        <w:trPr>
          <w:trHeight w:val="162"/>
        </w:trPr>
        <w:tc>
          <w:tcPr>
            <w:tcW w:w="3544" w:type="dxa"/>
          </w:tcPr>
          <w:p w14:paraId="21883E71" w14:textId="77777777" w:rsidR="00C42229" w:rsidRPr="001775D9" w:rsidRDefault="00C42229" w:rsidP="00FB5458">
            <w:pPr>
              <w:keepNext/>
              <w:tabs>
                <w:tab w:val="clear" w:pos="567"/>
              </w:tabs>
              <w:autoSpaceDE w:val="0"/>
              <w:autoSpaceDN w:val="0"/>
              <w:adjustRightInd w:val="0"/>
              <w:spacing w:line="240" w:lineRule="auto"/>
              <w:rPr>
                <w:b/>
                <w:szCs w:val="22"/>
                <w:lang w:eastAsia="en-GB"/>
              </w:rPr>
            </w:pPr>
            <w:r w:rsidRPr="001775D9">
              <w:rPr>
                <w:b/>
                <w:szCs w:val="22"/>
                <w:lang w:eastAsia="en-GB"/>
              </w:rPr>
              <w:t>≥</w:t>
            </w:r>
            <w:r w:rsidRPr="001775D9">
              <w:rPr>
                <w:b/>
                <w:szCs w:val="22"/>
              </w:rPr>
              <w:t> </w:t>
            </w:r>
            <w:r w:rsidRPr="001775D9">
              <w:rPr>
                <w:b/>
                <w:szCs w:val="22"/>
                <w:lang w:eastAsia="en-GB"/>
              </w:rPr>
              <w:t>PASI 75</w:t>
            </w:r>
            <w:r w:rsidRPr="001775D9">
              <w:rPr>
                <w:b/>
                <w:szCs w:val="22"/>
                <w:vertAlign w:val="superscript"/>
                <w:lang w:eastAsia="en-GB"/>
              </w:rPr>
              <w:t>a</w:t>
            </w:r>
            <w:r w:rsidRPr="001775D9">
              <w:rPr>
                <w:b/>
                <w:szCs w:val="22"/>
                <w:lang w:eastAsia="en-GB"/>
              </w:rPr>
              <w:t xml:space="preserve"> </w:t>
            </w:r>
          </w:p>
        </w:tc>
        <w:tc>
          <w:tcPr>
            <w:tcW w:w="2834" w:type="dxa"/>
          </w:tcPr>
          <w:p w14:paraId="02D02E00"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26 (6.5)</w:t>
            </w:r>
          </w:p>
        </w:tc>
        <w:tc>
          <w:tcPr>
            <w:tcW w:w="2836" w:type="dxa"/>
          </w:tcPr>
          <w:p w14:paraId="07816B47"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578 (70.9)</w:t>
            </w:r>
            <w:r w:rsidRPr="001775D9">
              <w:rPr>
                <w:szCs w:val="22"/>
                <w:vertAlign w:val="superscript"/>
                <w:lang w:eastAsia="en-GB"/>
              </w:rPr>
              <w:t>b</w:t>
            </w:r>
          </w:p>
        </w:tc>
      </w:tr>
      <w:tr w:rsidR="00C42229" w:rsidRPr="00F04F82" w14:paraId="723D78E9" w14:textId="77777777" w:rsidTr="00A66CE9">
        <w:trPr>
          <w:trHeight w:val="162"/>
        </w:trPr>
        <w:tc>
          <w:tcPr>
            <w:tcW w:w="3544" w:type="dxa"/>
          </w:tcPr>
          <w:p w14:paraId="2FEF7409" w14:textId="77777777" w:rsidR="00C42229" w:rsidRPr="001775D9" w:rsidRDefault="00C42229" w:rsidP="00FB5458">
            <w:pPr>
              <w:keepNext/>
              <w:tabs>
                <w:tab w:val="clear" w:pos="567"/>
              </w:tabs>
              <w:autoSpaceDE w:val="0"/>
              <w:autoSpaceDN w:val="0"/>
              <w:adjustRightInd w:val="0"/>
              <w:spacing w:line="240" w:lineRule="auto"/>
              <w:rPr>
                <w:b/>
                <w:szCs w:val="22"/>
                <w:lang w:eastAsia="en-GB"/>
              </w:rPr>
            </w:pPr>
            <w:r w:rsidRPr="001775D9">
              <w:rPr>
                <w:b/>
                <w:szCs w:val="22"/>
                <w:lang w:eastAsia="en-GB"/>
              </w:rPr>
              <w:t xml:space="preserve">PASI 100 </w:t>
            </w:r>
          </w:p>
        </w:tc>
        <w:tc>
          <w:tcPr>
            <w:tcW w:w="2834" w:type="dxa"/>
          </w:tcPr>
          <w:p w14:paraId="10433C2A"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3 (0.8)</w:t>
            </w:r>
          </w:p>
        </w:tc>
        <w:tc>
          <w:tcPr>
            <w:tcW w:w="2836" w:type="dxa"/>
          </w:tcPr>
          <w:p w14:paraId="7E67E15C"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163 (20.0)</w:t>
            </w:r>
            <w:r w:rsidRPr="001775D9">
              <w:rPr>
                <w:szCs w:val="22"/>
                <w:vertAlign w:val="superscript"/>
                <w:lang w:eastAsia="en-GB"/>
              </w:rPr>
              <w:t>b</w:t>
            </w:r>
          </w:p>
        </w:tc>
      </w:tr>
      <w:tr w:rsidR="00C42229" w:rsidRPr="00F04F82" w14:paraId="7B060CAF" w14:textId="77777777" w:rsidTr="00A66CE9">
        <w:trPr>
          <w:trHeight w:val="162"/>
        </w:trPr>
        <w:tc>
          <w:tcPr>
            <w:tcW w:w="3544" w:type="dxa"/>
            <w:tcBorders>
              <w:bottom w:val="single" w:sz="4" w:space="0" w:color="auto"/>
            </w:tcBorders>
          </w:tcPr>
          <w:p w14:paraId="3B547177" w14:textId="77777777" w:rsidR="00C42229" w:rsidRPr="001775D9" w:rsidRDefault="00C42229" w:rsidP="00FB5458">
            <w:pPr>
              <w:keepNext/>
              <w:tabs>
                <w:tab w:val="clear" w:pos="567"/>
              </w:tabs>
              <w:autoSpaceDE w:val="0"/>
              <w:autoSpaceDN w:val="0"/>
              <w:adjustRightInd w:val="0"/>
              <w:spacing w:line="240" w:lineRule="auto"/>
              <w:rPr>
                <w:b/>
                <w:szCs w:val="22"/>
                <w:lang w:eastAsia="en-GB"/>
              </w:rPr>
            </w:pPr>
            <w:r w:rsidRPr="001775D9">
              <w:rPr>
                <w:b/>
                <w:szCs w:val="22"/>
                <w:lang w:eastAsia="en-GB"/>
              </w:rPr>
              <w:t xml:space="preserve">PGA: Clear/minimal </w:t>
            </w:r>
          </w:p>
        </w:tc>
        <w:tc>
          <w:tcPr>
            <w:tcW w:w="2834" w:type="dxa"/>
            <w:tcBorders>
              <w:bottom w:val="single" w:sz="4" w:space="0" w:color="auto"/>
            </w:tcBorders>
          </w:tcPr>
          <w:p w14:paraId="3191AE95"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17 (4.3)</w:t>
            </w:r>
          </w:p>
        </w:tc>
        <w:tc>
          <w:tcPr>
            <w:tcW w:w="2836" w:type="dxa"/>
            <w:tcBorders>
              <w:bottom w:val="single" w:sz="4" w:space="0" w:color="auto"/>
            </w:tcBorders>
          </w:tcPr>
          <w:p w14:paraId="3CE3677D"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506 (62.2)</w:t>
            </w:r>
            <w:r w:rsidRPr="001775D9">
              <w:rPr>
                <w:szCs w:val="22"/>
                <w:vertAlign w:val="superscript"/>
                <w:lang w:eastAsia="en-GB"/>
              </w:rPr>
              <w:t>b</w:t>
            </w:r>
          </w:p>
        </w:tc>
      </w:tr>
      <w:tr w:rsidR="00C42229" w:rsidRPr="002323B5" w14:paraId="45B93E82" w14:textId="77777777" w:rsidTr="00A66CE9">
        <w:trPr>
          <w:trHeight w:val="426"/>
        </w:trPr>
        <w:tc>
          <w:tcPr>
            <w:tcW w:w="9214" w:type="dxa"/>
            <w:gridSpan w:val="3"/>
            <w:tcBorders>
              <w:top w:val="single" w:sz="4" w:space="0" w:color="auto"/>
              <w:left w:val="nil"/>
              <w:bottom w:val="nil"/>
              <w:right w:val="nil"/>
            </w:tcBorders>
          </w:tcPr>
          <w:p w14:paraId="32219374" w14:textId="0A21CCFC" w:rsidR="00C42229" w:rsidRPr="001775D9" w:rsidRDefault="00C42229" w:rsidP="00FB5458">
            <w:pPr>
              <w:keepNext/>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Percent of patients achieving PASI75 response was calculated as centr</w:t>
            </w:r>
            <w:r w:rsidR="00C31D7E" w:rsidRPr="001775D9">
              <w:rPr>
                <w:sz w:val="20"/>
                <w:lang w:eastAsia="en-GB"/>
              </w:rPr>
              <w:t>e</w:t>
            </w:r>
            <w:r w:rsidRPr="001775D9">
              <w:rPr>
                <w:sz w:val="20"/>
                <w:lang w:eastAsia="en-GB"/>
              </w:rPr>
              <w:t xml:space="preserve">-adjusted rate </w:t>
            </w:r>
          </w:p>
          <w:p w14:paraId="4D22A8F9" w14:textId="77777777" w:rsidR="00651B97" w:rsidRPr="00F70539" w:rsidRDefault="00C42229" w:rsidP="00FB5458">
            <w:pPr>
              <w:keepNext/>
              <w:tabs>
                <w:tab w:val="clear" w:pos="567"/>
              </w:tabs>
              <w:autoSpaceDE w:val="0"/>
              <w:autoSpaceDN w:val="0"/>
              <w:adjustRightInd w:val="0"/>
              <w:spacing w:line="240" w:lineRule="auto"/>
              <w:rPr>
                <w:sz w:val="20"/>
                <w:lang w:val="fr-FR" w:eastAsia="en-GB"/>
              </w:rPr>
            </w:pPr>
            <w:r w:rsidRPr="00F70539">
              <w:rPr>
                <w:sz w:val="20"/>
                <w:vertAlign w:val="superscript"/>
                <w:lang w:val="fr-FR" w:eastAsia="en-GB"/>
              </w:rPr>
              <w:t>b</w:t>
            </w:r>
            <w:r w:rsidRPr="00F70539">
              <w:rPr>
                <w:sz w:val="20"/>
                <w:lang w:val="fr-FR" w:eastAsia="en-GB"/>
              </w:rPr>
              <w:t xml:space="preserve"> p</w:t>
            </w:r>
            <w:r w:rsidRPr="00F70539">
              <w:rPr>
                <w:sz w:val="20"/>
                <w:lang w:val="fr-FR"/>
              </w:rPr>
              <w:t> </w:t>
            </w:r>
            <w:r w:rsidRPr="00F70539">
              <w:rPr>
                <w:sz w:val="20"/>
                <w:lang w:val="fr-FR" w:eastAsia="en-GB"/>
              </w:rPr>
              <w:t>&lt;</w:t>
            </w:r>
            <w:r w:rsidRPr="00F70539">
              <w:rPr>
                <w:sz w:val="20"/>
                <w:lang w:val="fr-FR"/>
              </w:rPr>
              <w:t> </w:t>
            </w:r>
            <w:r w:rsidRPr="00F70539">
              <w:rPr>
                <w:sz w:val="20"/>
                <w:lang w:val="fr-FR" w:eastAsia="en-GB"/>
              </w:rPr>
              <w:t xml:space="preserve">0.001, </w:t>
            </w:r>
            <w:r w:rsidR="00ED66EA" w:rsidRPr="00F70539">
              <w:rPr>
                <w:rFonts w:eastAsia="Times New Roman"/>
                <w:color w:val="000000"/>
                <w:sz w:val="20"/>
                <w:lang w:val="fr-FR"/>
              </w:rPr>
              <w:t>adalimumab</w:t>
            </w:r>
            <w:r w:rsidR="004C4044" w:rsidRPr="00F70539">
              <w:rPr>
                <w:rFonts w:eastAsia="Times New Roman"/>
                <w:color w:val="000000"/>
                <w:sz w:val="20"/>
                <w:lang w:val="fr-FR"/>
              </w:rPr>
              <w:t xml:space="preserve"> </w:t>
            </w:r>
            <w:r w:rsidR="0009128B" w:rsidRPr="00F70539">
              <w:rPr>
                <w:sz w:val="20"/>
                <w:lang w:val="fr-FR" w:eastAsia="en-GB"/>
              </w:rPr>
              <w:t>versus</w:t>
            </w:r>
            <w:r w:rsidRPr="00F70539">
              <w:rPr>
                <w:sz w:val="20"/>
                <w:lang w:val="fr-FR" w:eastAsia="en-GB"/>
              </w:rPr>
              <w:t xml:space="preserve"> placebo </w:t>
            </w:r>
          </w:p>
        </w:tc>
      </w:tr>
    </w:tbl>
    <w:p w14:paraId="6E9FEA33" w14:textId="77777777" w:rsidR="00C42229" w:rsidRPr="00F70539" w:rsidRDefault="00C42229" w:rsidP="00FB5458">
      <w:pPr>
        <w:tabs>
          <w:tab w:val="clear" w:pos="567"/>
        </w:tabs>
        <w:autoSpaceDE w:val="0"/>
        <w:autoSpaceDN w:val="0"/>
        <w:adjustRightInd w:val="0"/>
        <w:spacing w:line="240" w:lineRule="auto"/>
        <w:rPr>
          <w:szCs w:val="22"/>
          <w:lang w:val="fr-FR"/>
        </w:rPr>
      </w:pPr>
    </w:p>
    <w:p w14:paraId="07E892BA" w14:textId="7363532D" w:rsidR="00C42229" w:rsidRPr="001775D9" w:rsidRDefault="00C42229" w:rsidP="00A757C6">
      <w:pPr>
        <w:keepNext/>
        <w:tabs>
          <w:tab w:val="clear" w:pos="567"/>
        </w:tabs>
        <w:autoSpaceDE w:val="0"/>
        <w:autoSpaceDN w:val="0"/>
        <w:adjustRightInd w:val="0"/>
        <w:spacing w:line="240" w:lineRule="auto"/>
        <w:rPr>
          <w:szCs w:val="22"/>
        </w:rPr>
      </w:pPr>
      <w:r w:rsidRPr="001775D9">
        <w:rPr>
          <w:b/>
          <w:bCs/>
          <w:szCs w:val="22"/>
          <w:lang w:eastAsia="en-GB"/>
        </w:rPr>
        <w:t xml:space="preserve">Table </w:t>
      </w:r>
      <w:r w:rsidR="004D7CC1" w:rsidRPr="001775D9">
        <w:rPr>
          <w:b/>
          <w:bCs/>
          <w:szCs w:val="22"/>
          <w:lang w:eastAsia="en-GB"/>
        </w:rPr>
        <w:t>17</w:t>
      </w:r>
      <w:r w:rsidR="00560AB5" w:rsidRPr="001775D9">
        <w:rPr>
          <w:b/>
          <w:bCs/>
          <w:szCs w:val="22"/>
          <w:lang w:eastAsia="en-GB"/>
        </w:rPr>
        <w:t>.</w:t>
      </w:r>
      <w:r w:rsidR="00110304" w:rsidRPr="001775D9">
        <w:rPr>
          <w:b/>
          <w:bCs/>
          <w:szCs w:val="22"/>
          <w:lang w:eastAsia="en-GB"/>
        </w:rPr>
        <w:t xml:space="preserve"> </w:t>
      </w:r>
      <w:r w:rsidRPr="001775D9">
        <w:rPr>
          <w:b/>
          <w:bCs/>
          <w:szCs w:val="22"/>
          <w:lang w:eastAsia="en-GB"/>
        </w:rPr>
        <w:t xml:space="preserve">Ps </w:t>
      </w:r>
      <w:r w:rsidR="00570C3D" w:rsidRPr="001775D9">
        <w:rPr>
          <w:b/>
          <w:bCs/>
          <w:szCs w:val="22"/>
          <w:lang w:eastAsia="en-GB"/>
        </w:rPr>
        <w:t>s</w:t>
      </w:r>
      <w:r w:rsidRPr="001775D9">
        <w:rPr>
          <w:b/>
          <w:bCs/>
          <w:szCs w:val="22"/>
          <w:lang w:eastAsia="en-GB"/>
        </w:rPr>
        <w:t xml:space="preserve">tudy II (CHAMPION) </w:t>
      </w:r>
      <w:r w:rsidR="00570C3D" w:rsidRPr="001775D9">
        <w:rPr>
          <w:b/>
          <w:bCs/>
          <w:szCs w:val="22"/>
          <w:lang w:eastAsia="en-GB"/>
        </w:rPr>
        <w:t>e</w:t>
      </w:r>
      <w:r w:rsidRPr="001775D9">
        <w:rPr>
          <w:b/>
          <w:bCs/>
          <w:szCs w:val="22"/>
          <w:lang w:eastAsia="en-GB"/>
        </w:rPr>
        <w:t xml:space="preserve">fficacy </w:t>
      </w:r>
      <w:r w:rsidR="00570C3D" w:rsidRPr="001775D9">
        <w:rPr>
          <w:b/>
          <w:bCs/>
          <w:szCs w:val="22"/>
          <w:lang w:eastAsia="en-GB"/>
        </w:rPr>
        <w:t>r</w:t>
      </w:r>
      <w:r w:rsidRPr="001775D9">
        <w:rPr>
          <w:b/>
          <w:bCs/>
          <w:szCs w:val="22"/>
          <w:lang w:eastAsia="en-GB"/>
        </w:rPr>
        <w:t xml:space="preserve">esults at 16 </w:t>
      </w:r>
      <w:r w:rsidR="00570C3D" w:rsidRPr="001775D9">
        <w:rPr>
          <w:b/>
          <w:bCs/>
          <w:szCs w:val="22"/>
          <w:lang w:eastAsia="en-GB"/>
        </w:rPr>
        <w:t>w</w:t>
      </w:r>
      <w:r w:rsidRPr="001775D9">
        <w:rPr>
          <w:b/>
          <w:bCs/>
          <w:szCs w:val="22"/>
          <w:lang w:eastAsia="en-GB"/>
        </w:rPr>
        <w:t>eeks</w:t>
      </w:r>
    </w:p>
    <w:p w14:paraId="0051A824" w14:textId="77777777" w:rsidR="00C42229" w:rsidRPr="001775D9" w:rsidRDefault="00C42229" w:rsidP="005D2DCC">
      <w:pPr>
        <w:keepNext/>
        <w:tabs>
          <w:tab w:val="clear" w:pos="567"/>
        </w:tabs>
        <w:autoSpaceDE w:val="0"/>
        <w:autoSpaceDN w:val="0"/>
        <w:adjustRightInd w:val="0"/>
        <w:spacing w:line="240" w:lineRule="auto"/>
        <w:rPr>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831"/>
        <w:gridCol w:w="1710"/>
        <w:gridCol w:w="2554"/>
      </w:tblGrid>
      <w:tr w:rsidR="00C42229" w:rsidRPr="00F04F82" w14:paraId="76DDBD89" w14:textId="77777777" w:rsidTr="00A66CE9">
        <w:trPr>
          <w:trHeight w:val="437"/>
        </w:trPr>
        <w:tc>
          <w:tcPr>
            <w:tcW w:w="3119" w:type="dxa"/>
          </w:tcPr>
          <w:p w14:paraId="57AC13E4" w14:textId="77777777" w:rsidR="00C42229" w:rsidRPr="001775D9" w:rsidRDefault="00C42229" w:rsidP="00011A48">
            <w:pPr>
              <w:keepNext/>
              <w:tabs>
                <w:tab w:val="clear" w:pos="567"/>
              </w:tabs>
              <w:autoSpaceDE w:val="0"/>
              <w:autoSpaceDN w:val="0"/>
              <w:adjustRightInd w:val="0"/>
              <w:spacing w:line="240" w:lineRule="auto"/>
              <w:rPr>
                <w:szCs w:val="22"/>
                <w:lang w:eastAsia="en-GB"/>
              </w:rPr>
            </w:pPr>
            <w:r w:rsidRPr="001775D9">
              <w:rPr>
                <w:b/>
                <w:bCs/>
                <w:szCs w:val="22"/>
                <w:lang w:eastAsia="en-GB"/>
              </w:rPr>
              <w:t xml:space="preserve"> </w:t>
            </w:r>
          </w:p>
        </w:tc>
        <w:tc>
          <w:tcPr>
            <w:tcW w:w="1831" w:type="dxa"/>
          </w:tcPr>
          <w:p w14:paraId="7F83EF1D" w14:textId="77777777" w:rsidR="00C42229" w:rsidRPr="001775D9" w:rsidRDefault="00C42229" w:rsidP="00B56AE9">
            <w:pPr>
              <w:keepNext/>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p w14:paraId="0379193C" w14:textId="77777777" w:rsidR="00486166" w:rsidRPr="001775D9" w:rsidRDefault="00C42229" w:rsidP="0032302F">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53</w:t>
            </w:r>
          </w:p>
          <w:p w14:paraId="57C9C346" w14:textId="77777777" w:rsidR="00C42229" w:rsidRPr="001775D9" w:rsidRDefault="00C42229" w:rsidP="0084623C">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c>
          <w:tcPr>
            <w:tcW w:w="1710" w:type="dxa"/>
          </w:tcPr>
          <w:p w14:paraId="72554246" w14:textId="77777777" w:rsidR="00C42229" w:rsidRPr="001775D9" w:rsidRDefault="00C42229" w:rsidP="0056327A">
            <w:pPr>
              <w:keepNext/>
              <w:tabs>
                <w:tab w:val="clear" w:pos="567"/>
              </w:tabs>
              <w:autoSpaceDE w:val="0"/>
              <w:autoSpaceDN w:val="0"/>
              <w:adjustRightInd w:val="0"/>
              <w:spacing w:line="240" w:lineRule="auto"/>
              <w:jc w:val="center"/>
              <w:rPr>
                <w:szCs w:val="22"/>
                <w:lang w:eastAsia="en-GB"/>
              </w:rPr>
            </w:pPr>
            <w:r w:rsidRPr="001775D9">
              <w:rPr>
                <w:b/>
                <w:bCs/>
                <w:szCs w:val="22"/>
                <w:lang w:eastAsia="en-GB"/>
              </w:rPr>
              <w:t>MTX</w:t>
            </w:r>
          </w:p>
          <w:p w14:paraId="4BDC5C35" w14:textId="77777777" w:rsidR="00C42229" w:rsidRPr="001775D9" w:rsidRDefault="00C42229" w:rsidP="00937BB7">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110</w:t>
            </w:r>
          </w:p>
          <w:p w14:paraId="5FCA42EE" w14:textId="77777777" w:rsidR="00C42229" w:rsidRPr="001775D9" w:rsidRDefault="00C42229" w:rsidP="00DD0B8C">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c>
          <w:tcPr>
            <w:tcW w:w="2554" w:type="dxa"/>
          </w:tcPr>
          <w:p w14:paraId="6D7690F4" w14:textId="43D5D347" w:rsidR="00C42229" w:rsidRPr="001775D9" w:rsidRDefault="00ED66EA" w:rsidP="00302017">
            <w:pPr>
              <w:keepNext/>
              <w:tabs>
                <w:tab w:val="clear" w:pos="567"/>
              </w:tabs>
              <w:autoSpaceDE w:val="0"/>
              <w:autoSpaceDN w:val="0"/>
              <w:adjustRightInd w:val="0"/>
              <w:spacing w:line="240" w:lineRule="auto"/>
              <w:jc w:val="center"/>
              <w:rPr>
                <w:b/>
                <w:bCs/>
                <w:szCs w:val="22"/>
                <w:lang w:eastAsia="en-GB"/>
              </w:rPr>
            </w:pPr>
            <w:r w:rsidRPr="001775D9">
              <w:rPr>
                <w:rFonts w:eastAsia="Times New Roman"/>
                <w:b/>
                <w:color w:val="000000"/>
                <w:szCs w:val="22"/>
              </w:rPr>
              <w:t>Adalimumab</w:t>
            </w:r>
            <w:r w:rsidR="00C42229" w:rsidRPr="001775D9">
              <w:rPr>
                <w:b/>
                <w:bCs/>
                <w:szCs w:val="22"/>
                <w:lang w:eastAsia="en-GB"/>
              </w:rPr>
              <w:t xml:space="preserve"> 40</w:t>
            </w:r>
            <w:r w:rsidR="00C42229" w:rsidRPr="001775D9">
              <w:rPr>
                <w:szCs w:val="22"/>
              </w:rPr>
              <w:t> </w:t>
            </w:r>
            <w:r w:rsidR="00C42229" w:rsidRPr="001775D9">
              <w:rPr>
                <w:b/>
                <w:bCs/>
                <w:szCs w:val="22"/>
                <w:lang w:eastAsia="en-GB"/>
              </w:rPr>
              <w:t xml:space="preserve">mg </w:t>
            </w:r>
          </w:p>
          <w:p w14:paraId="6CB8C385" w14:textId="0731C0E1" w:rsidR="00B837EB" w:rsidRPr="001775D9" w:rsidRDefault="00B837EB" w:rsidP="00302017">
            <w:pPr>
              <w:keepNext/>
              <w:tabs>
                <w:tab w:val="clear" w:pos="567"/>
              </w:tabs>
              <w:autoSpaceDE w:val="0"/>
              <w:autoSpaceDN w:val="0"/>
              <w:adjustRightInd w:val="0"/>
              <w:spacing w:line="240" w:lineRule="auto"/>
              <w:jc w:val="center"/>
              <w:rPr>
                <w:b/>
                <w:bCs/>
                <w:szCs w:val="22"/>
                <w:lang w:eastAsia="en-GB"/>
              </w:rPr>
            </w:pPr>
            <w:r w:rsidRPr="00D55B59">
              <w:rPr>
                <w:rFonts w:eastAsia="Times New Roman"/>
                <w:b/>
                <w:bCs/>
                <w:szCs w:val="22"/>
                <w:rPrChange w:id="809" w:author="Author">
                  <w:rPr>
                    <w:rFonts w:eastAsia="Times New Roman"/>
                    <w:b/>
                    <w:bCs/>
                    <w:szCs w:val="22"/>
                    <w:lang w:val="en-US"/>
                  </w:rPr>
                </w:rPrChange>
              </w:rPr>
              <w:t>every other week</w:t>
            </w:r>
          </w:p>
          <w:p w14:paraId="78A3E170" w14:textId="77777777" w:rsidR="00C42229" w:rsidRPr="001775D9" w:rsidRDefault="00C42229" w:rsidP="005F1AA5">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108</w:t>
            </w:r>
          </w:p>
          <w:p w14:paraId="420C8F2E" w14:textId="77777777" w:rsidR="00C42229" w:rsidRPr="001775D9" w:rsidRDefault="00C42229" w:rsidP="00D66FB1">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r>
      <w:tr w:rsidR="00C42229" w:rsidRPr="00F04F82" w14:paraId="785B11B7" w14:textId="77777777" w:rsidTr="00A66CE9">
        <w:trPr>
          <w:trHeight w:val="162"/>
        </w:trPr>
        <w:tc>
          <w:tcPr>
            <w:tcW w:w="3119" w:type="dxa"/>
          </w:tcPr>
          <w:p w14:paraId="33BD2B34" w14:textId="77777777" w:rsidR="00C42229" w:rsidRPr="001775D9" w:rsidRDefault="00C42229" w:rsidP="00CF6F25">
            <w:pPr>
              <w:keepNext/>
              <w:tabs>
                <w:tab w:val="clear" w:pos="567"/>
              </w:tabs>
              <w:autoSpaceDE w:val="0"/>
              <w:autoSpaceDN w:val="0"/>
              <w:adjustRightInd w:val="0"/>
              <w:spacing w:line="240" w:lineRule="auto"/>
              <w:rPr>
                <w:b/>
                <w:szCs w:val="22"/>
                <w:lang w:eastAsia="en-GB"/>
              </w:rPr>
            </w:pPr>
            <w:r w:rsidRPr="001775D9">
              <w:rPr>
                <w:b/>
                <w:szCs w:val="22"/>
                <w:lang w:eastAsia="en-GB"/>
              </w:rPr>
              <w:t>≥</w:t>
            </w:r>
            <w:r w:rsidRPr="001775D9">
              <w:rPr>
                <w:szCs w:val="22"/>
              </w:rPr>
              <w:t> </w:t>
            </w:r>
            <w:r w:rsidRPr="001775D9">
              <w:rPr>
                <w:b/>
                <w:szCs w:val="22"/>
                <w:lang w:eastAsia="en-GB"/>
              </w:rPr>
              <w:t xml:space="preserve">PASI 75 </w:t>
            </w:r>
          </w:p>
        </w:tc>
        <w:tc>
          <w:tcPr>
            <w:tcW w:w="1831" w:type="dxa"/>
          </w:tcPr>
          <w:p w14:paraId="7B2F3C3C" w14:textId="77777777" w:rsidR="00C42229" w:rsidRPr="001775D9" w:rsidRDefault="00C42229" w:rsidP="00CF6F25">
            <w:pPr>
              <w:keepNext/>
              <w:tabs>
                <w:tab w:val="clear" w:pos="567"/>
              </w:tabs>
              <w:autoSpaceDE w:val="0"/>
              <w:autoSpaceDN w:val="0"/>
              <w:adjustRightInd w:val="0"/>
              <w:spacing w:line="240" w:lineRule="auto"/>
              <w:jc w:val="center"/>
              <w:rPr>
                <w:szCs w:val="22"/>
                <w:lang w:eastAsia="en-GB"/>
              </w:rPr>
            </w:pPr>
            <w:r w:rsidRPr="001775D9">
              <w:rPr>
                <w:szCs w:val="22"/>
                <w:lang w:eastAsia="en-GB"/>
              </w:rPr>
              <w:t>10 (18.9)</w:t>
            </w:r>
          </w:p>
        </w:tc>
        <w:tc>
          <w:tcPr>
            <w:tcW w:w="1710" w:type="dxa"/>
          </w:tcPr>
          <w:p w14:paraId="5E26BB89" w14:textId="77777777" w:rsidR="00C42229" w:rsidRPr="001775D9" w:rsidRDefault="00C42229" w:rsidP="00CF6F25">
            <w:pPr>
              <w:keepNext/>
              <w:tabs>
                <w:tab w:val="clear" w:pos="567"/>
              </w:tabs>
              <w:autoSpaceDE w:val="0"/>
              <w:autoSpaceDN w:val="0"/>
              <w:adjustRightInd w:val="0"/>
              <w:spacing w:line="240" w:lineRule="auto"/>
              <w:jc w:val="center"/>
              <w:rPr>
                <w:szCs w:val="22"/>
                <w:lang w:eastAsia="en-GB"/>
              </w:rPr>
            </w:pPr>
            <w:r w:rsidRPr="001775D9">
              <w:rPr>
                <w:szCs w:val="22"/>
                <w:lang w:eastAsia="en-GB"/>
              </w:rPr>
              <w:t>39 (35.5)</w:t>
            </w:r>
          </w:p>
        </w:tc>
        <w:tc>
          <w:tcPr>
            <w:tcW w:w="2554" w:type="dxa"/>
          </w:tcPr>
          <w:p w14:paraId="0EF56CC9" w14:textId="77777777" w:rsidR="00C42229" w:rsidRPr="001775D9" w:rsidRDefault="00C42229" w:rsidP="00CF6F25">
            <w:pPr>
              <w:keepNext/>
              <w:tabs>
                <w:tab w:val="clear" w:pos="567"/>
              </w:tabs>
              <w:autoSpaceDE w:val="0"/>
              <w:autoSpaceDN w:val="0"/>
              <w:adjustRightInd w:val="0"/>
              <w:spacing w:line="240" w:lineRule="auto"/>
              <w:jc w:val="center"/>
              <w:rPr>
                <w:szCs w:val="22"/>
                <w:lang w:eastAsia="en-GB"/>
              </w:rPr>
            </w:pPr>
            <w:r w:rsidRPr="001775D9">
              <w:rPr>
                <w:szCs w:val="22"/>
                <w:lang w:eastAsia="en-GB"/>
              </w:rPr>
              <w:t xml:space="preserve">86 (79.6) </w:t>
            </w:r>
            <w:r w:rsidRPr="001775D9">
              <w:rPr>
                <w:szCs w:val="22"/>
                <w:vertAlign w:val="superscript"/>
                <w:lang w:eastAsia="en-GB"/>
              </w:rPr>
              <w:t>a, b</w:t>
            </w:r>
          </w:p>
        </w:tc>
      </w:tr>
      <w:tr w:rsidR="00C42229" w:rsidRPr="00F04F82" w14:paraId="6E1931C2" w14:textId="77777777" w:rsidTr="00A66CE9">
        <w:trPr>
          <w:trHeight w:val="162"/>
        </w:trPr>
        <w:tc>
          <w:tcPr>
            <w:tcW w:w="3119" w:type="dxa"/>
          </w:tcPr>
          <w:p w14:paraId="58C38A3F" w14:textId="77777777" w:rsidR="00C42229" w:rsidRPr="001775D9" w:rsidRDefault="00C42229" w:rsidP="00CF6F25">
            <w:pPr>
              <w:keepNext/>
              <w:tabs>
                <w:tab w:val="clear" w:pos="567"/>
              </w:tabs>
              <w:autoSpaceDE w:val="0"/>
              <w:autoSpaceDN w:val="0"/>
              <w:adjustRightInd w:val="0"/>
              <w:spacing w:line="240" w:lineRule="auto"/>
              <w:rPr>
                <w:b/>
                <w:szCs w:val="22"/>
                <w:lang w:eastAsia="en-GB"/>
              </w:rPr>
            </w:pPr>
            <w:r w:rsidRPr="001775D9">
              <w:rPr>
                <w:b/>
                <w:szCs w:val="22"/>
                <w:lang w:eastAsia="en-GB"/>
              </w:rPr>
              <w:t xml:space="preserve">PASI 100 </w:t>
            </w:r>
          </w:p>
        </w:tc>
        <w:tc>
          <w:tcPr>
            <w:tcW w:w="1831" w:type="dxa"/>
          </w:tcPr>
          <w:p w14:paraId="609B7AF6" w14:textId="77777777" w:rsidR="00C42229" w:rsidRPr="001775D9" w:rsidRDefault="00C42229" w:rsidP="00CF6F25">
            <w:pPr>
              <w:keepNext/>
              <w:tabs>
                <w:tab w:val="clear" w:pos="567"/>
              </w:tabs>
              <w:autoSpaceDE w:val="0"/>
              <w:autoSpaceDN w:val="0"/>
              <w:adjustRightInd w:val="0"/>
              <w:spacing w:line="240" w:lineRule="auto"/>
              <w:jc w:val="center"/>
              <w:rPr>
                <w:szCs w:val="22"/>
                <w:lang w:eastAsia="en-GB"/>
              </w:rPr>
            </w:pPr>
            <w:r w:rsidRPr="001775D9">
              <w:rPr>
                <w:szCs w:val="22"/>
                <w:lang w:eastAsia="en-GB"/>
              </w:rPr>
              <w:t>1 (1.9)</w:t>
            </w:r>
          </w:p>
        </w:tc>
        <w:tc>
          <w:tcPr>
            <w:tcW w:w="1710" w:type="dxa"/>
          </w:tcPr>
          <w:p w14:paraId="47C914AC" w14:textId="77777777" w:rsidR="00C42229" w:rsidRPr="001775D9" w:rsidRDefault="00C42229" w:rsidP="00CF6F25">
            <w:pPr>
              <w:keepNext/>
              <w:tabs>
                <w:tab w:val="clear" w:pos="567"/>
              </w:tabs>
              <w:autoSpaceDE w:val="0"/>
              <w:autoSpaceDN w:val="0"/>
              <w:adjustRightInd w:val="0"/>
              <w:spacing w:line="240" w:lineRule="auto"/>
              <w:jc w:val="center"/>
              <w:rPr>
                <w:szCs w:val="22"/>
                <w:lang w:eastAsia="en-GB"/>
              </w:rPr>
            </w:pPr>
            <w:r w:rsidRPr="001775D9">
              <w:rPr>
                <w:szCs w:val="22"/>
                <w:lang w:eastAsia="en-GB"/>
              </w:rPr>
              <w:t>8 (7.3)</w:t>
            </w:r>
          </w:p>
        </w:tc>
        <w:tc>
          <w:tcPr>
            <w:tcW w:w="2554" w:type="dxa"/>
          </w:tcPr>
          <w:p w14:paraId="082AD425" w14:textId="77777777" w:rsidR="00C42229" w:rsidRPr="001775D9" w:rsidRDefault="00C42229" w:rsidP="00CF6F25">
            <w:pPr>
              <w:keepNext/>
              <w:tabs>
                <w:tab w:val="clear" w:pos="567"/>
              </w:tabs>
              <w:autoSpaceDE w:val="0"/>
              <w:autoSpaceDN w:val="0"/>
              <w:adjustRightInd w:val="0"/>
              <w:spacing w:line="240" w:lineRule="auto"/>
              <w:jc w:val="center"/>
              <w:rPr>
                <w:szCs w:val="22"/>
                <w:lang w:eastAsia="en-GB"/>
              </w:rPr>
            </w:pPr>
            <w:r w:rsidRPr="001775D9">
              <w:rPr>
                <w:szCs w:val="22"/>
                <w:lang w:eastAsia="en-GB"/>
              </w:rPr>
              <w:t xml:space="preserve">18 (16.7) </w:t>
            </w:r>
            <w:r w:rsidRPr="001775D9">
              <w:rPr>
                <w:szCs w:val="22"/>
                <w:vertAlign w:val="superscript"/>
                <w:lang w:eastAsia="en-GB"/>
              </w:rPr>
              <w:t>c, d</w:t>
            </w:r>
          </w:p>
        </w:tc>
      </w:tr>
      <w:tr w:rsidR="00C42229" w:rsidRPr="00F04F82" w14:paraId="3E6FF344" w14:textId="77777777" w:rsidTr="00A66CE9">
        <w:trPr>
          <w:trHeight w:val="306"/>
        </w:trPr>
        <w:tc>
          <w:tcPr>
            <w:tcW w:w="3119" w:type="dxa"/>
            <w:tcBorders>
              <w:bottom w:val="single" w:sz="4" w:space="0" w:color="auto"/>
            </w:tcBorders>
          </w:tcPr>
          <w:p w14:paraId="5796C0A8"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b/>
                <w:bCs/>
                <w:szCs w:val="22"/>
                <w:lang w:eastAsia="en-GB"/>
              </w:rPr>
              <w:t xml:space="preserve">PGA: Clear/minimal </w:t>
            </w:r>
          </w:p>
        </w:tc>
        <w:tc>
          <w:tcPr>
            <w:tcW w:w="1831" w:type="dxa"/>
            <w:tcBorders>
              <w:bottom w:val="single" w:sz="4" w:space="0" w:color="auto"/>
            </w:tcBorders>
          </w:tcPr>
          <w:p w14:paraId="4D69DD80"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6 (11.3)</w:t>
            </w:r>
          </w:p>
        </w:tc>
        <w:tc>
          <w:tcPr>
            <w:tcW w:w="1710" w:type="dxa"/>
            <w:tcBorders>
              <w:bottom w:val="single" w:sz="4" w:space="0" w:color="auto"/>
            </w:tcBorders>
          </w:tcPr>
          <w:p w14:paraId="716343A0"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33 (30.0)</w:t>
            </w:r>
          </w:p>
        </w:tc>
        <w:tc>
          <w:tcPr>
            <w:tcW w:w="2554" w:type="dxa"/>
            <w:tcBorders>
              <w:bottom w:val="single" w:sz="4" w:space="0" w:color="auto"/>
            </w:tcBorders>
          </w:tcPr>
          <w:p w14:paraId="08263FF3"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 xml:space="preserve">79 (73.1) </w:t>
            </w:r>
            <w:r w:rsidRPr="001775D9">
              <w:rPr>
                <w:szCs w:val="22"/>
                <w:vertAlign w:val="superscript"/>
                <w:lang w:eastAsia="en-GB"/>
              </w:rPr>
              <w:t>a, b</w:t>
            </w:r>
          </w:p>
        </w:tc>
      </w:tr>
      <w:tr w:rsidR="00C42229" w:rsidRPr="00F04F82" w14:paraId="07E15886" w14:textId="77777777" w:rsidTr="00A66CE9">
        <w:trPr>
          <w:trHeight w:val="562"/>
        </w:trPr>
        <w:tc>
          <w:tcPr>
            <w:tcW w:w="9214" w:type="dxa"/>
            <w:gridSpan w:val="4"/>
            <w:tcBorders>
              <w:top w:val="single" w:sz="4" w:space="0" w:color="auto"/>
              <w:left w:val="nil"/>
              <w:bottom w:val="nil"/>
              <w:right w:val="nil"/>
            </w:tcBorders>
          </w:tcPr>
          <w:p w14:paraId="67D45510"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p</w:t>
            </w:r>
            <w:r w:rsidRPr="001775D9">
              <w:rPr>
                <w:sz w:val="20"/>
              </w:rPr>
              <w:t> </w:t>
            </w:r>
            <w:r w:rsidRPr="001775D9">
              <w:rPr>
                <w:sz w:val="20"/>
                <w:lang w:eastAsia="en-GB"/>
              </w:rPr>
              <w:t>&lt;</w:t>
            </w:r>
            <w:r w:rsidRPr="001775D9">
              <w:rPr>
                <w:sz w:val="20"/>
              </w:rPr>
              <w:t> </w:t>
            </w:r>
            <w:r w:rsidRPr="001775D9">
              <w:rPr>
                <w:sz w:val="20"/>
                <w:lang w:eastAsia="en-GB"/>
              </w:rPr>
              <w:t xml:space="preserve">0.001 </w:t>
            </w:r>
            <w:r w:rsidR="00ED66EA" w:rsidRPr="001775D9">
              <w:rPr>
                <w:rFonts w:eastAsia="Times New Roman"/>
                <w:color w:val="000000"/>
                <w:sz w:val="20"/>
              </w:rPr>
              <w:t>adalimumab</w:t>
            </w:r>
            <w:r w:rsidRPr="001775D9">
              <w:rPr>
                <w:sz w:val="20"/>
                <w:lang w:eastAsia="en-GB"/>
              </w:rPr>
              <w:t xml:space="preserve"> </w:t>
            </w:r>
            <w:r w:rsidR="0009128B" w:rsidRPr="001775D9">
              <w:rPr>
                <w:sz w:val="20"/>
                <w:lang w:eastAsia="en-GB"/>
              </w:rPr>
              <w:t>versus</w:t>
            </w:r>
            <w:r w:rsidRPr="001775D9">
              <w:rPr>
                <w:sz w:val="20"/>
                <w:lang w:eastAsia="en-GB"/>
              </w:rPr>
              <w:t xml:space="preserve"> placebo </w:t>
            </w:r>
          </w:p>
          <w:p w14:paraId="57D02D17"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p</w:t>
            </w:r>
            <w:r w:rsidRPr="001775D9">
              <w:rPr>
                <w:sz w:val="20"/>
              </w:rPr>
              <w:t> </w:t>
            </w:r>
            <w:r w:rsidRPr="001775D9">
              <w:rPr>
                <w:sz w:val="20"/>
                <w:lang w:eastAsia="en-GB"/>
              </w:rPr>
              <w:t>&lt;</w:t>
            </w:r>
            <w:r w:rsidRPr="001775D9">
              <w:rPr>
                <w:sz w:val="20"/>
              </w:rPr>
              <w:t> </w:t>
            </w:r>
            <w:r w:rsidRPr="001775D9">
              <w:rPr>
                <w:sz w:val="20"/>
                <w:lang w:eastAsia="en-GB"/>
              </w:rPr>
              <w:t xml:space="preserve">0.001 </w:t>
            </w:r>
            <w:r w:rsidR="00ED66EA" w:rsidRPr="001775D9">
              <w:rPr>
                <w:rFonts w:eastAsia="Times New Roman"/>
                <w:color w:val="000000"/>
                <w:sz w:val="20"/>
              </w:rPr>
              <w:t>adalimumab</w:t>
            </w:r>
            <w:r w:rsidR="004C4044" w:rsidRPr="001775D9">
              <w:rPr>
                <w:rFonts w:eastAsia="Times New Roman"/>
                <w:color w:val="000000"/>
                <w:sz w:val="20"/>
              </w:rPr>
              <w:t xml:space="preserve"> </w:t>
            </w:r>
            <w:r w:rsidR="00426F1E" w:rsidRPr="001775D9">
              <w:rPr>
                <w:sz w:val="20"/>
                <w:lang w:eastAsia="en-GB"/>
              </w:rPr>
              <w:t>versus</w:t>
            </w:r>
            <w:r w:rsidRPr="001775D9">
              <w:rPr>
                <w:sz w:val="20"/>
                <w:lang w:eastAsia="en-GB"/>
              </w:rPr>
              <w:t xml:space="preserve"> methotrexate </w:t>
            </w:r>
          </w:p>
          <w:p w14:paraId="685EA2DF"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p</w:t>
            </w:r>
            <w:r w:rsidRPr="001775D9">
              <w:rPr>
                <w:sz w:val="20"/>
              </w:rPr>
              <w:t> </w:t>
            </w:r>
            <w:r w:rsidRPr="001775D9">
              <w:rPr>
                <w:sz w:val="20"/>
                <w:lang w:eastAsia="en-GB"/>
              </w:rPr>
              <w:t>&lt;</w:t>
            </w:r>
            <w:r w:rsidRPr="001775D9">
              <w:rPr>
                <w:sz w:val="20"/>
              </w:rPr>
              <w:t> </w:t>
            </w:r>
            <w:r w:rsidRPr="001775D9">
              <w:rPr>
                <w:sz w:val="20"/>
                <w:lang w:eastAsia="en-GB"/>
              </w:rPr>
              <w:t xml:space="preserve">0.01 </w:t>
            </w:r>
            <w:r w:rsidR="00ED66EA" w:rsidRPr="001775D9">
              <w:rPr>
                <w:rFonts w:eastAsia="Times New Roman"/>
                <w:color w:val="000000"/>
                <w:sz w:val="20"/>
              </w:rPr>
              <w:t>adalimumab</w:t>
            </w:r>
            <w:r w:rsidRPr="001775D9">
              <w:rPr>
                <w:sz w:val="20"/>
                <w:lang w:eastAsia="en-GB"/>
              </w:rPr>
              <w:t xml:space="preserve"> </w:t>
            </w:r>
            <w:r w:rsidR="0009128B" w:rsidRPr="001775D9">
              <w:rPr>
                <w:sz w:val="20"/>
                <w:lang w:eastAsia="en-GB"/>
              </w:rPr>
              <w:t>versus</w:t>
            </w:r>
            <w:r w:rsidRPr="001775D9">
              <w:rPr>
                <w:sz w:val="20"/>
                <w:lang w:eastAsia="en-GB"/>
              </w:rPr>
              <w:t xml:space="preserve"> placebo </w:t>
            </w:r>
          </w:p>
          <w:p w14:paraId="119B24D9"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d</w:t>
            </w:r>
            <w:r w:rsidRPr="001775D9">
              <w:rPr>
                <w:sz w:val="20"/>
                <w:lang w:eastAsia="en-GB"/>
              </w:rPr>
              <w:t xml:space="preserve"> p</w:t>
            </w:r>
            <w:r w:rsidRPr="001775D9">
              <w:rPr>
                <w:sz w:val="20"/>
              </w:rPr>
              <w:t> </w:t>
            </w:r>
            <w:r w:rsidRPr="001775D9">
              <w:rPr>
                <w:sz w:val="20"/>
                <w:lang w:eastAsia="en-GB"/>
              </w:rPr>
              <w:t>&lt;</w:t>
            </w:r>
            <w:r w:rsidRPr="001775D9">
              <w:rPr>
                <w:sz w:val="20"/>
              </w:rPr>
              <w:t> </w:t>
            </w:r>
            <w:r w:rsidRPr="001775D9">
              <w:rPr>
                <w:sz w:val="20"/>
                <w:lang w:eastAsia="en-GB"/>
              </w:rPr>
              <w:t xml:space="preserve">0.05 </w:t>
            </w:r>
            <w:r w:rsidR="00ED66EA" w:rsidRPr="001775D9">
              <w:rPr>
                <w:rFonts w:eastAsia="Times New Roman"/>
                <w:color w:val="000000"/>
                <w:sz w:val="20"/>
              </w:rPr>
              <w:t>adalimumab</w:t>
            </w:r>
            <w:r w:rsidRPr="001775D9">
              <w:rPr>
                <w:sz w:val="20"/>
                <w:lang w:eastAsia="en-GB"/>
              </w:rPr>
              <w:t xml:space="preserve"> </w:t>
            </w:r>
            <w:r w:rsidR="00426F1E" w:rsidRPr="001775D9">
              <w:rPr>
                <w:sz w:val="20"/>
                <w:lang w:eastAsia="en-GB"/>
              </w:rPr>
              <w:t xml:space="preserve">versus </w:t>
            </w:r>
            <w:r w:rsidRPr="001775D9">
              <w:rPr>
                <w:sz w:val="20"/>
                <w:lang w:eastAsia="en-GB"/>
              </w:rPr>
              <w:t xml:space="preserve">methotrexate </w:t>
            </w:r>
          </w:p>
        </w:tc>
      </w:tr>
    </w:tbl>
    <w:p w14:paraId="6B0DCF4A" w14:textId="77777777" w:rsidR="00C42229" w:rsidRPr="001775D9" w:rsidRDefault="00C42229" w:rsidP="00FB5458">
      <w:pPr>
        <w:tabs>
          <w:tab w:val="clear" w:pos="567"/>
        </w:tabs>
        <w:autoSpaceDE w:val="0"/>
        <w:autoSpaceDN w:val="0"/>
        <w:adjustRightInd w:val="0"/>
        <w:spacing w:line="240" w:lineRule="auto"/>
        <w:rPr>
          <w:szCs w:val="22"/>
        </w:rPr>
      </w:pPr>
    </w:p>
    <w:p w14:paraId="0BD63615" w14:textId="12354FC7" w:rsidR="00C42229" w:rsidRPr="001775D9" w:rsidRDefault="00C42229" w:rsidP="00F325F4">
      <w:pPr>
        <w:tabs>
          <w:tab w:val="clear" w:pos="567"/>
        </w:tabs>
        <w:autoSpaceDE w:val="0"/>
        <w:autoSpaceDN w:val="0"/>
        <w:adjustRightInd w:val="0"/>
        <w:spacing w:line="240" w:lineRule="auto"/>
        <w:rPr>
          <w:szCs w:val="22"/>
        </w:rPr>
      </w:pPr>
      <w:r w:rsidRPr="001775D9">
        <w:rPr>
          <w:szCs w:val="22"/>
        </w:rPr>
        <w:t xml:space="preserve">In </w:t>
      </w:r>
      <w:r w:rsidR="00570C3D" w:rsidRPr="001775D9">
        <w:rPr>
          <w:szCs w:val="22"/>
        </w:rPr>
        <w:t>ps</w:t>
      </w:r>
      <w:r w:rsidRPr="001775D9">
        <w:rPr>
          <w:szCs w:val="22"/>
        </w:rPr>
        <w:t xml:space="preserve">oriasis </w:t>
      </w:r>
      <w:r w:rsidR="00570C3D" w:rsidRPr="001775D9">
        <w:rPr>
          <w:szCs w:val="22"/>
        </w:rPr>
        <w:t>s</w:t>
      </w:r>
      <w:r w:rsidRPr="001775D9">
        <w:rPr>
          <w:szCs w:val="22"/>
        </w:rPr>
        <w:t xml:space="preserve">tudy I, 28% of patients who were PASI 75 responders and were re-randomised to placebo at </w:t>
      </w:r>
      <w:r w:rsidR="00570C3D" w:rsidRPr="001775D9">
        <w:rPr>
          <w:szCs w:val="22"/>
        </w:rPr>
        <w:t>w</w:t>
      </w:r>
      <w:r w:rsidRPr="001775D9">
        <w:rPr>
          <w:szCs w:val="22"/>
        </w:rPr>
        <w:t>eek 33 compared to 5% continuing on</w:t>
      </w:r>
      <w:r w:rsidRPr="001775D9">
        <w:rPr>
          <w:szCs w:val="22"/>
          <w:lang w:eastAsia="en-GB"/>
        </w:rPr>
        <w:t xml:space="preserve"> </w:t>
      </w:r>
      <w:r w:rsidR="00ED66EA" w:rsidRPr="001775D9">
        <w:rPr>
          <w:rFonts w:eastAsia="Times New Roman"/>
          <w:color w:val="000000"/>
          <w:szCs w:val="22"/>
        </w:rPr>
        <w:t>adalimumab</w:t>
      </w:r>
      <w:r w:rsidRPr="001775D9">
        <w:rPr>
          <w:szCs w:val="22"/>
        </w:rPr>
        <w:t xml:space="preserve">, p &lt; 0.001, experienced “loss of adequate response” (PASI score after </w:t>
      </w:r>
      <w:r w:rsidR="00570C3D" w:rsidRPr="001775D9">
        <w:rPr>
          <w:szCs w:val="22"/>
        </w:rPr>
        <w:t>week</w:t>
      </w:r>
      <w:r w:rsidRPr="001775D9">
        <w:rPr>
          <w:szCs w:val="22"/>
        </w:rPr>
        <w:t xml:space="preserve"> 33 and on or before </w:t>
      </w:r>
      <w:r w:rsidR="00570C3D" w:rsidRPr="001775D9">
        <w:rPr>
          <w:szCs w:val="22"/>
        </w:rPr>
        <w:t>week</w:t>
      </w:r>
      <w:r w:rsidRPr="001775D9">
        <w:rPr>
          <w:szCs w:val="22"/>
        </w:rPr>
        <w:t xml:space="preserve"> 52 that resulted in a &lt; PASI 50 response relative to baseline with a minimum of a 6-point increase in PASI score relative to </w:t>
      </w:r>
      <w:r w:rsidR="00570C3D" w:rsidRPr="001775D9">
        <w:rPr>
          <w:szCs w:val="22"/>
        </w:rPr>
        <w:t>week</w:t>
      </w:r>
      <w:r w:rsidRPr="001775D9">
        <w:rPr>
          <w:szCs w:val="22"/>
        </w:rPr>
        <w:t xml:space="preserve"> 33). Of the patients who lost adequate response after re-randomi</w:t>
      </w:r>
      <w:r w:rsidR="00620A12" w:rsidRPr="001775D9">
        <w:rPr>
          <w:szCs w:val="22"/>
        </w:rPr>
        <w:t>s</w:t>
      </w:r>
      <w:r w:rsidRPr="001775D9">
        <w:rPr>
          <w:szCs w:val="22"/>
        </w:rPr>
        <w:t>ation to placebo who then enrolled into the open-label extension trial, 38% (25/66) and 55% (36/66) regained PASI 75 response after 12 and 24 weeks of retreatment, respectively.</w:t>
      </w:r>
    </w:p>
    <w:p w14:paraId="33E58232" w14:textId="77777777" w:rsidR="00C42229" w:rsidRPr="001775D9" w:rsidRDefault="00C42229" w:rsidP="00FB5458">
      <w:pPr>
        <w:tabs>
          <w:tab w:val="clear" w:pos="567"/>
        </w:tabs>
        <w:autoSpaceDE w:val="0"/>
        <w:autoSpaceDN w:val="0"/>
        <w:adjustRightInd w:val="0"/>
        <w:spacing w:line="240" w:lineRule="auto"/>
        <w:rPr>
          <w:szCs w:val="22"/>
        </w:rPr>
      </w:pPr>
    </w:p>
    <w:p w14:paraId="06C08558"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lang w:eastAsia="en-GB"/>
        </w:rPr>
        <w:t xml:space="preserve">A total of 233 PASI 75 responders at </w:t>
      </w:r>
      <w:r w:rsidR="00570C3D" w:rsidRPr="001775D9">
        <w:rPr>
          <w:szCs w:val="22"/>
        </w:rPr>
        <w:t>week</w:t>
      </w:r>
      <w:r w:rsidRPr="001775D9">
        <w:rPr>
          <w:szCs w:val="22"/>
          <w:lang w:eastAsia="en-GB"/>
        </w:rPr>
        <w:t xml:space="preserve"> 16 and </w:t>
      </w:r>
      <w:r w:rsidR="00570C3D" w:rsidRPr="001775D9">
        <w:rPr>
          <w:szCs w:val="22"/>
        </w:rPr>
        <w:t>week</w:t>
      </w:r>
      <w:r w:rsidRPr="001775D9">
        <w:rPr>
          <w:szCs w:val="22"/>
          <w:lang w:eastAsia="en-GB"/>
        </w:rPr>
        <w:t xml:space="preserve"> 33 received continuous </w:t>
      </w:r>
      <w:r w:rsidR="00ED66EA" w:rsidRPr="001775D9">
        <w:rPr>
          <w:rFonts w:eastAsia="Times New Roman"/>
          <w:color w:val="000000"/>
          <w:szCs w:val="22"/>
        </w:rPr>
        <w:t>adalimumab</w:t>
      </w:r>
      <w:r w:rsidRPr="001775D9">
        <w:rPr>
          <w:szCs w:val="22"/>
          <w:lang w:eastAsia="en-GB"/>
        </w:rPr>
        <w:t xml:space="preserve"> therapy for 52</w:t>
      </w:r>
      <w:r w:rsidR="00414F11" w:rsidRPr="001775D9">
        <w:rPr>
          <w:szCs w:val="22"/>
          <w:lang w:eastAsia="en-GB"/>
        </w:rPr>
        <w:t> </w:t>
      </w:r>
      <w:r w:rsidRPr="001775D9">
        <w:rPr>
          <w:szCs w:val="22"/>
          <w:lang w:eastAsia="en-GB"/>
        </w:rPr>
        <w:t xml:space="preserve">weeks in </w:t>
      </w:r>
      <w:r w:rsidR="00570C3D" w:rsidRPr="001775D9">
        <w:rPr>
          <w:szCs w:val="22"/>
          <w:lang w:eastAsia="en-GB"/>
        </w:rPr>
        <w:t>p</w:t>
      </w:r>
      <w:r w:rsidR="00ED66EA" w:rsidRPr="001775D9">
        <w:rPr>
          <w:szCs w:val="22"/>
          <w:lang w:eastAsia="en-GB"/>
        </w:rPr>
        <w:t xml:space="preserve">soriasis </w:t>
      </w:r>
      <w:r w:rsidR="00570C3D" w:rsidRPr="001775D9">
        <w:rPr>
          <w:szCs w:val="22"/>
          <w:lang w:eastAsia="en-GB"/>
        </w:rPr>
        <w:t>s</w:t>
      </w:r>
      <w:r w:rsidRPr="001775D9">
        <w:rPr>
          <w:szCs w:val="22"/>
          <w:lang w:eastAsia="en-GB"/>
        </w:rPr>
        <w:t xml:space="preserve">tudy I, and continued </w:t>
      </w:r>
      <w:r w:rsidR="00ED66EA" w:rsidRPr="001775D9">
        <w:rPr>
          <w:rFonts w:eastAsia="Times New Roman"/>
          <w:color w:val="000000"/>
          <w:szCs w:val="22"/>
        </w:rPr>
        <w:t>adalimumab</w:t>
      </w:r>
      <w:r w:rsidRPr="001775D9">
        <w:rPr>
          <w:szCs w:val="22"/>
          <w:lang w:eastAsia="en-GB"/>
        </w:rPr>
        <w:t xml:space="preserve"> in the open-label extension trial. PASI 75 and PGA</w:t>
      </w:r>
      <w:r w:rsidRPr="001775D9">
        <w:rPr>
          <w:color w:val="000000"/>
          <w:szCs w:val="22"/>
          <w:lang w:eastAsia="en-GB"/>
        </w:rPr>
        <w:t xml:space="preserve"> of clear or minimal response rates in these patients were 74.7% and 59.0%, respectively, after an additional 108 weeks of open-label therapy (total of 160 weeks). In an analysis in which all patients who dropped out of the study for adverse events or lack of efficacy, or who dose-escalated, were considered non-responders, PASI 75 and PGA of clear or minimal response rates in these patients were 69.6% and 55.7%, respectively, after an additional 108 weeks of open-label therapy (total of 160 weeks). </w:t>
      </w:r>
    </w:p>
    <w:p w14:paraId="22C837E5"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76150522" w14:textId="5F7CD039" w:rsidR="00C42229" w:rsidRPr="00D55B59" w:rsidRDefault="00C42229" w:rsidP="00FB5458">
      <w:pPr>
        <w:pStyle w:val="Default"/>
        <w:rPr>
          <w:rFonts w:eastAsia="Times New Roman"/>
          <w:sz w:val="22"/>
          <w:szCs w:val="22"/>
          <w:lang w:val="en-GB" w:eastAsia="en-GB"/>
          <w:rPrChange w:id="810" w:author="Author">
            <w:rPr>
              <w:rFonts w:eastAsia="Times New Roman"/>
              <w:sz w:val="22"/>
              <w:szCs w:val="22"/>
              <w:lang w:eastAsia="en-GB"/>
            </w:rPr>
          </w:rPrChange>
        </w:rPr>
      </w:pPr>
      <w:r w:rsidRPr="00D55B59">
        <w:rPr>
          <w:sz w:val="22"/>
          <w:szCs w:val="22"/>
          <w:lang w:val="en-GB" w:eastAsia="en-GB"/>
          <w:rPrChange w:id="811" w:author="Author">
            <w:rPr>
              <w:sz w:val="22"/>
              <w:szCs w:val="22"/>
              <w:lang w:eastAsia="en-GB"/>
            </w:rPr>
          </w:rPrChange>
        </w:rPr>
        <w:t xml:space="preserve">A total of 347 stable responders participated in a withdrawal and retreatment evaluation in an open-label extension study. During the withdrawal period, symptoms of psoriasis returned over time with a median time to relapse (decline to PGA “moderate” or worse) of approximately 5 months. None of these patients experienced rebound during the withdrawal period. A total of 76.5% (218/285) of patients who entered the retreatment period had a response of PGA “clear” or “minimal” after 16 weeks of retreatment, irrespective of whether they relapsed during withdrawal (69.1%[123/178] and 88.8% [95/107] for patients who relapsed and who did not relapse during the withdrawal </w:t>
      </w:r>
      <w:r w:rsidRPr="00D55B59">
        <w:rPr>
          <w:rFonts w:eastAsia="Times New Roman"/>
          <w:sz w:val="22"/>
          <w:szCs w:val="22"/>
          <w:lang w:val="en-GB" w:eastAsia="en-GB"/>
          <w:rPrChange w:id="812" w:author="Author">
            <w:rPr>
              <w:rFonts w:eastAsia="Times New Roman"/>
              <w:sz w:val="22"/>
              <w:szCs w:val="22"/>
              <w:lang w:eastAsia="en-GB"/>
            </w:rPr>
          </w:rPrChange>
        </w:rPr>
        <w:t xml:space="preserve">period, respectively). A similar safety profile was observed during retreatment as before withdrawal. </w:t>
      </w:r>
    </w:p>
    <w:p w14:paraId="1F72EB5B"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16BBBB3B" w14:textId="77777777" w:rsidR="00C42229" w:rsidRPr="001775D9" w:rsidRDefault="00C42229" w:rsidP="00FB5458">
      <w:pPr>
        <w:tabs>
          <w:tab w:val="clear" w:pos="567"/>
        </w:tabs>
        <w:autoSpaceDE w:val="0"/>
        <w:autoSpaceDN w:val="0"/>
        <w:adjustRightInd w:val="0"/>
        <w:spacing w:line="240" w:lineRule="auto"/>
        <w:rPr>
          <w:szCs w:val="22"/>
        </w:rPr>
      </w:pPr>
      <w:r w:rsidRPr="001775D9">
        <w:rPr>
          <w:color w:val="000000"/>
          <w:szCs w:val="22"/>
          <w:lang w:eastAsia="en-GB"/>
        </w:rPr>
        <w:t xml:space="preserve">Significant improvements at </w:t>
      </w:r>
      <w:r w:rsidR="00570C3D" w:rsidRPr="001775D9">
        <w:rPr>
          <w:szCs w:val="22"/>
        </w:rPr>
        <w:t>week</w:t>
      </w:r>
      <w:r w:rsidRPr="001775D9">
        <w:rPr>
          <w:color w:val="000000"/>
          <w:szCs w:val="22"/>
          <w:lang w:eastAsia="en-GB"/>
        </w:rPr>
        <w:t xml:space="preserve"> 16 from baseline compared to placebo (</w:t>
      </w:r>
      <w:r w:rsidR="00570C3D" w:rsidRPr="001775D9">
        <w:rPr>
          <w:color w:val="000000"/>
          <w:szCs w:val="22"/>
          <w:lang w:eastAsia="en-GB"/>
        </w:rPr>
        <w:t>s</w:t>
      </w:r>
      <w:r w:rsidRPr="001775D9">
        <w:rPr>
          <w:color w:val="000000"/>
          <w:szCs w:val="22"/>
          <w:lang w:eastAsia="en-GB"/>
        </w:rPr>
        <w:t>tudies I and II) and MTX (</w:t>
      </w:r>
      <w:r w:rsidR="00570C3D" w:rsidRPr="001775D9">
        <w:rPr>
          <w:color w:val="000000"/>
          <w:szCs w:val="22"/>
          <w:lang w:eastAsia="en-GB"/>
        </w:rPr>
        <w:t>s</w:t>
      </w:r>
      <w:r w:rsidRPr="001775D9">
        <w:rPr>
          <w:color w:val="000000"/>
          <w:szCs w:val="22"/>
          <w:lang w:eastAsia="en-GB"/>
        </w:rPr>
        <w:t xml:space="preserve">tudy II) were demonstrated in the DLQI (Dermatology Life Quality Index). In </w:t>
      </w:r>
      <w:r w:rsidR="00570C3D" w:rsidRPr="001775D9">
        <w:rPr>
          <w:color w:val="000000"/>
          <w:szCs w:val="22"/>
          <w:lang w:eastAsia="en-GB"/>
        </w:rPr>
        <w:t>s</w:t>
      </w:r>
      <w:r w:rsidRPr="001775D9">
        <w:rPr>
          <w:color w:val="000000"/>
          <w:szCs w:val="22"/>
          <w:lang w:eastAsia="en-GB"/>
        </w:rPr>
        <w:t>tudy I, improvements in the physical and mental component summary scores of the SF-36 were also significant compared to placebo.</w:t>
      </w:r>
    </w:p>
    <w:p w14:paraId="3B0A909D" w14:textId="77777777" w:rsidR="00C42229" w:rsidRPr="001775D9" w:rsidRDefault="00C42229" w:rsidP="00FB5458">
      <w:pPr>
        <w:tabs>
          <w:tab w:val="clear" w:pos="567"/>
        </w:tabs>
        <w:autoSpaceDE w:val="0"/>
        <w:autoSpaceDN w:val="0"/>
        <w:adjustRightInd w:val="0"/>
        <w:spacing w:line="240" w:lineRule="auto"/>
        <w:rPr>
          <w:szCs w:val="22"/>
        </w:rPr>
      </w:pPr>
    </w:p>
    <w:p w14:paraId="1F5AAA22" w14:textId="77777777" w:rsidR="004B39B8" w:rsidRPr="001775D9" w:rsidRDefault="004B39B8"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In an open-label extension study, for patients who dose escalated from 40</w:t>
      </w:r>
      <w:r w:rsidR="0099329A" w:rsidRPr="001775D9">
        <w:rPr>
          <w:color w:val="000000"/>
          <w:szCs w:val="22"/>
          <w:lang w:eastAsia="en-GB"/>
        </w:rPr>
        <w:t> </w:t>
      </w:r>
      <w:r w:rsidRPr="001775D9">
        <w:rPr>
          <w:color w:val="000000"/>
          <w:szCs w:val="22"/>
          <w:lang w:eastAsia="en-GB"/>
        </w:rPr>
        <w:t>mg every other week to 40</w:t>
      </w:r>
      <w:r w:rsidR="0099329A" w:rsidRPr="001775D9">
        <w:rPr>
          <w:color w:val="000000"/>
          <w:szCs w:val="22"/>
          <w:lang w:eastAsia="en-GB"/>
        </w:rPr>
        <w:t> </w:t>
      </w:r>
      <w:r w:rsidRPr="001775D9">
        <w:rPr>
          <w:color w:val="000000"/>
          <w:szCs w:val="22"/>
          <w:lang w:eastAsia="en-GB"/>
        </w:rPr>
        <w:t>mg weekly due to a PASI response below 50%, 26.4% (92/349) and 37.8% (132/349) of patients</w:t>
      </w:r>
      <w:r w:rsidR="00623D03" w:rsidRPr="001775D9">
        <w:rPr>
          <w:color w:val="000000"/>
          <w:szCs w:val="22"/>
          <w:lang w:eastAsia="en-GB"/>
        </w:rPr>
        <w:t xml:space="preserve"> </w:t>
      </w:r>
      <w:r w:rsidRPr="001775D9">
        <w:rPr>
          <w:color w:val="000000"/>
          <w:szCs w:val="22"/>
          <w:lang w:eastAsia="en-GB"/>
        </w:rPr>
        <w:t xml:space="preserve">achieved PASI 75 response at </w:t>
      </w:r>
      <w:r w:rsidR="008F2598" w:rsidRPr="001775D9">
        <w:rPr>
          <w:color w:val="000000"/>
          <w:szCs w:val="22"/>
          <w:lang w:eastAsia="en-GB"/>
        </w:rPr>
        <w:t>w</w:t>
      </w:r>
      <w:r w:rsidRPr="001775D9">
        <w:rPr>
          <w:color w:val="000000"/>
          <w:szCs w:val="22"/>
          <w:lang w:eastAsia="en-GB"/>
        </w:rPr>
        <w:t>eek 12 and 24, respectively.</w:t>
      </w:r>
    </w:p>
    <w:p w14:paraId="743D9EAF" w14:textId="77777777" w:rsidR="004B39B8" w:rsidRPr="001775D9" w:rsidRDefault="004B39B8" w:rsidP="00FB5458">
      <w:pPr>
        <w:tabs>
          <w:tab w:val="clear" w:pos="567"/>
        </w:tabs>
        <w:autoSpaceDE w:val="0"/>
        <w:autoSpaceDN w:val="0"/>
        <w:adjustRightInd w:val="0"/>
        <w:spacing w:line="240" w:lineRule="auto"/>
        <w:rPr>
          <w:color w:val="000000"/>
          <w:szCs w:val="22"/>
          <w:lang w:eastAsia="en-GB"/>
        </w:rPr>
      </w:pPr>
    </w:p>
    <w:p w14:paraId="7AFD9296" w14:textId="6EE82B7B" w:rsidR="00C42229" w:rsidRPr="001775D9" w:rsidRDefault="00C42229" w:rsidP="00FB5458">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Psoriasis </w:t>
      </w:r>
      <w:r w:rsidR="00570C3D" w:rsidRPr="001775D9">
        <w:rPr>
          <w:color w:val="000000"/>
          <w:szCs w:val="22"/>
          <w:lang w:eastAsia="en-GB"/>
        </w:rPr>
        <w:t>s</w:t>
      </w:r>
      <w:r w:rsidRPr="001775D9">
        <w:rPr>
          <w:color w:val="000000"/>
          <w:szCs w:val="22"/>
          <w:lang w:eastAsia="en-GB"/>
        </w:rPr>
        <w:t>tudy III (</w:t>
      </w:r>
      <w:r w:rsidRPr="001775D9">
        <w:rPr>
          <w:szCs w:val="22"/>
          <w:lang w:eastAsia="en-GB"/>
        </w:rPr>
        <w:t xml:space="preserve">REACH) compared the efficacy and safety of </w:t>
      </w:r>
      <w:r w:rsidR="00ED66EA" w:rsidRPr="001775D9">
        <w:rPr>
          <w:rFonts w:eastAsia="Times New Roman"/>
          <w:color w:val="000000"/>
          <w:szCs w:val="22"/>
        </w:rPr>
        <w:t>adalimumab</w:t>
      </w:r>
      <w:r w:rsidRPr="001775D9">
        <w:rPr>
          <w:i/>
          <w:iCs/>
          <w:szCs w:val="22"/>
          <w:lang w:eastAsia="en-GB"/>
        </w:rPr>
        <w:t xml:space="preserve"> </w:t>
      </w:r>
      <w:r w:rsidRPr="001775D9">
        <w:rPr>
          <w:iCs/>
          <w:szCs w:val="22"/>
          <w:lang w:eastAsia="en-GB"/>
        </w:rPr>
        <w:t>versus</w:t>
      </w:r>
      <w:r w:rsidRPr="001775D9">
        <w:rPr>
          <w:i/>
          <w:iCs/>
          <w:szCs w:val="22"/>
          <w:lang w:eastAsia="en-GB"/>
        </w:rPr>
        <w:t xml:space="preserve"> </w:t>
      </w:r>
      <w:r w:rsidRPr="001775D9">
        <w:rPr>
          <w:szCs w:val="22"/>
          <w:lang w:eastAsia="en-GB"/>
        </w:rPr>
        <w:t>placebo in 7</w:t>
      </w:r>
      <w:r w:rsidR="00397168" w:rsidRPr="001775D9">
        <w:rPr>
          <w:szCs w:val="22"/>
          <w:lang w:eastAsia="en-GB"/>
        </w:rPr>
        <w:t>2</w:t>
      </w:r>
      <w:r w:rsidRPr="001775D9">
        <w:rPr>
          <w:szCs w:val="22"/>
          <w:lang w:eastAsia="en-GB"/>
        </w:rPr>
        <w:t xml:space="preserve"> patients with moderate to severe chronic plaque psoriasis and hand and/or foot psoriasis. Patients received an initial dose of 80</w:t>
      </w:r>
      <w:r w:rsidRPr="001775D9">
        <w:rPr>
          <w:szCs w:val="22"/>
        </w:rPr>
        <w:t> </w:t>
      </w:r>
      <w:r w:rsidRPr="001775D9">
        <w:rPr>
          <w:szCs w:val="22"/>
          <w:lang w:eastAsia="en-GB"/>
        </w:rPr>
        <w:t xml:space="preserve">mg </w:t>
      </w:r>
      <w:r w:rsidR="00ED66EA" w:rsidRPr="001775D9">
        <w:rPr>
          <w:rFonts w:eastAsia="Times New Roman"/>
          <w:color w:val="000000"/>
          <w:szCs w:val="22"/>
        </w:rPr>
        <w:t>adalimumab</w:t>
      </w:r>
      <w:r w:rsidRPr="001775D9">
        <w:rPr>
          <w:szCs w:val="22"/>
          <w:lang w:eastAsia="en-GB"/>
        </w:rPr>
        <w:t xml:space="preserve"> followed by 40</w:t>
      </w:r>
      <w:r w:rsidRPr="001775D9">
        <w:rPr>
          <w:szCs w:val="22"/>
        </w:rPr>
        <w:t> </w:t>
      </w:r>
      <w:r w:rsidRPr="001775D9">
        <w:rPr>
          <w:szCs w:val="22"/>
          <w:lang w:eastAsia="en-GB"/>
        </w:rPr>
        <w:t xml:space="preserve">mg every other week (starting one week after the initial dose) or placebo for 16 weeks. At </w:t>
      </w:r>
      <w:r w:rsidR="00570C3D" w:rsidRPr="001775D9">
        <w:rPr>
          <w:szCs w:val="22"/>
        </w:rPr>
        <w:t>week</w:t>
      </w:r>
      <w:r w:rsidRPr="001775D9">
        <w:rPr>
          <w:szCs w:val="22"/>
          <w:lang w:eastAsia="en-GB"/>
        </w:rPr>
        <w:t xml:space="preserve"> 16, a statistically significantly greater proportion of patients who received </w:t>
      </w:r>
      <w:r w:rsidR="00ED66EA" w:rsidRPr="001775D9">
        <w:rPr>
          <w:rFonts w:eastAsia="Times New Roman"/>
          <w:color w:val="000000"/>
          <w:szCs w:val="22"/>
        </w:rPr>
        <w:t>adalimumab</w:t>
      </w:r>
      <w:r w:rsidRPr="001775D9">
        <w:rPr>
          <w:szCs w:val="22"/>
          <w:lang w:eastAsia="en-GB"/>
        </w:rPr>
        <w:t xml:space="preserve"> achieved PGA of 'clear' or 'almost clear' for the hands and/or feet compared to patients who received placebo (30.6% versus 4.3%, respectively [P</w:t>
      </w:r>
      <w:r w:rsidRPr="001775D9">
        <w:rPr>
          <w:szCs w:val="22"/>
        </w:rPr>
        <w:t> </w:t>
      </w:r>
      <w:r w:rsidRPr="001775D9">
        <w:rPr>
          <w:szCs w:val="22"/>
          <w:lang w:eastAsia="en-GB"/>
        </w:rPr>
        <w:t>=</w:t>
      </w:r>
      <w:r w:rsidRPr="001775D9">
        <w:rPr>
          <w:szCs w:val="22"/>
        </w:rPr>
        <w:t> </w:t>
      </w:r>
      <w:r w:rsidRPr="001775D9">
        <w:rPr>
          <w:szCs w:val="22"/>
          <w:lang w:eastAsia="en-GB"/>
        </w:rPr>
        <w:t>0.014]).</w:t>
      </w:r>
    </w:p>
    <w:p w14:paraId="6CED7DCC" w14:textId="77777777" w:rsidR="00486166" w:rsidRPr="001775D9" w:rsidRDefault="00486166" w:rsidP="00FB5458">
      <w:pPr>
        <w:tabs>
          <w:tab w:val="clear" w:pos="567"/>
        </w:tabs>
        <w:autoSpaceDE w:val="0"/>
        <w:autoSpaceDN w:val="0"/>
        <w:adjustRightInd w:val="0"/>
        <w:spacing w:line="240" w:lineRule="auto"/>
        <w:rPr>
          <w:szCs w:val="22"/>
          <w:lang w:eastAsia="en-GB"/>
        </w:rPr>
      </w:pPr>
    </w:p>
    <w:p w14:paraId="6DFFFE4E" w14:textId="37CE1A87" w:rsidR="009508B0" w:rsidRPr="00D55B59" w:rsidRDefault="009508B0" w:rsidP="004815ED">
      <w:pPr>
        <w:pStyle w:val="gtctabletitleotherwise"/>
        <w:spacing w:before="0"/>
        <w:jc w:val="left"/>
        <w:rPr>
          <w:b w:val="0"/>
          <w:sz w:val="22"/>
          <w:szCs w:val="22"/>
          <w:lang w:val="en-GB"/>
          <w:rPrChange w:id="813" w:author="Author">
            <w:rPr>
              <w:b w:val="0"/>
              <w:sz w:val="22"/>
              <w:szCs w:val="22"/>
            </w:rPr>
          </w:rPrChange>
        </w:rPr>
      </w:pPr>
      <w:r w:rsidRPr="00D55B59">
        <w:rPr>
          <w:b w:val="0"/>
          <w:sz w:val="22"/>
          <w:szCs w:val="22"/>
          <w:lang w:val="en-GB"/>
          <w:rPrChange w:id="814" w:author="Author">
            <w:rPr>
              <w:b w:val="0"/>
              <w:sz w:val="22"/>
              <w:szCs w:val="22"/>
            </w:rPr>
          </w:rPrChange>
        </w:rPr>
        <w:t xml:space="preserve">Psoriasis study IV compared efficacy and safety of adalimumab versus placebo in 217 adult patients with moderate to severe nail psoriasis. Patients received an initial dose of 80 mg adalimumab followed by 40 mg every other week (starting one week after the initial dose) or placebo for 26 weeks followed by open-label adalimumab treatment for an additional 26 weeks. Nail psoriasis assessments included the Modified Nail Psoriasis Severity Index (mNAPSI), the Physician’s Global Assessment of Fingernail Psoriasis (PGA-F) and the Nail Psoriasis Severity Index (NAPSI) (see table </w:t>
      </w:r>
      <w:r w:rsidR="004D7CC1" w:rsidRPr="00D55B59">
        <w:rPr>
          <w:b w:val="0"/>
          <w:sz w:val="22"/>
          <w:szCs w:val="22"/>
          <w:lang w:val="en-GB"/>
          <w:rPrChange w:id="815" w:author="Author">
            <w:rPr>
              <w:b w:val="0"/>
              <w:sz w:val="22"/>
              <w:szCs w:val="22"/>
            </w:rPr>
          </w:rPrChange>
        </w:rPr>
        <w:t>18</w:t>
      </w:r>
      <w:r w:rsidRPr="00D55B59">
        <w:rPr>
          <w:b w:val="0"/>
          <w:sz w:val="22"/>
          <w:szCs w:val="22"/>
          <w:lang w:val="en-GB"/>
          <w:rPrChange w:id="816" w:author="Author">
            <w:rPr>
              <w:b w:val="0"/>
              <w:sz w:val="22"/>
              <w:szCs w:val="22"/>
            </w:rPr>
          </w:rPrChange>
        </w:rPr>
        <w:t xml:space="preserve">). </w:t>
      </w:r>
      <w:r w:rsidR="00FF1B4C" w:rsidRPr="00D55B59">
        <w:rPr>
          <w:b w:val="0"/>
          <w:sz w:val="22"/>
          <w:szCs w:val="22"/>
          <w:lang w:val="en-GB"/>
          <w:rPrChange w:id="817" w:author="Author">
            <w:rPr>
              <w:b w:val="0"/>
              <w:sz w:val="22"/>
              <w:szCs w:val="22"/>
            </w:rPr>
          </w:rPrChange>
        </w:rPr>
        <w:t>A</w:t>
      </w:r>
      <w:r w:rsidRPr="00D55B59">
        <w:rPr>
          <w:b w:val="0"/>
          <w:sz w:val="22"/>
          <w:szCs w:val="22"/>
          <w:lang w:val="en-GB"/>
          <w:rPrChange w:id="818" w:author="Author">
            <w:rPr>
              <w:b w:val="0"/>
              <w:sz w:val="22"/>
              <w:szCs w:val="22"/>
            </w:rPr>
          </w:rPrChange>
        </w:rPr>
        <w:t>dalimumab demonstrated a treatment benefit in nail psoriasis patients with different extents of skin involvement (BSA</w:t>
      </w:r>
      <w:r w:rsidR="001A604D" w:rsidRPr="00D55B59">
        <w:rPr>
          <w:b w:val="0"/>
          <w:sz w:val="22"/>
          <w:szCs w:val="22"/>
          <w:lang w:val="en-GB"/>
          <w:rPrChange w:id="819" w:author="Author">
            <w:rPr>
              <w:b w:val="0"/>
              <w:sz w:val="22"/>
              <w:szCs w:val="22"/>
            </w:rPr>
          </w:rPrChange>
        </w:rPr>
        <w:t> </w:t>
      </w:r>
      <w:r w:rsidRPr="00D55B59">
        <w:rPr>
          <w:b w:val="0"/>
          <w:sz w:val="22"/>
          <w:szCs w:val="22"/>
          <w:lang w:val="en-GB"/>
          <w:rPrChange w:id="820" w:author="Author">
            <w:rPr>
              <w:b w:val="0"/>
              <w:sz w:val="22"/>
              <w:szCs w:val="22"/>
            </w:rPr>
          </w:rPrChange>
        </w:rPr>
        <w:t>≥</w:t>
      </w:r>
      <w:r w:rsidR="001A604D" w:rsidRPr="00D55B59">
        <w:rPr>
          <w:b w:val="0"/>
          <w:sz w:val="22"/>
          <w:szCs w:val="22"/>
          <w:lang w:val="en-GB"/>
          <w:rPrChange w:id="821" w:author="Author">
            <w:rPr>
              <w:b w:val="0"/>
              <w:sz w:val="22"/>
              <w:szCs w:val="22"/>
            </w:rPr>
          </w:rPrChange>
        </w:rPr>
        <w:t> </w:t>
      </w:r>
      <w:r w:rsidRPr="00D55B59">
        <w:rPr>
          <w:b w:val="0"/>
          <w:sz w:val="22"/>
          <w:szCs w:val="22"/>
          <w:lang w:val="en-GB"/>
          <w:rPrChange w:id="822" w:author="Author">
            <w:rPr>
              <w:b w:val="0"/>
              <w:sz w:val="22"/>
              <w:szCs w:val="22"/>
            </w:rPr>
          </w:rPrChange>
        </w:rPr>
        <w:t xml:space="preserve">10% </w:t>
      </w:r>
      <w:r w:rsidRPr="001775D9">
        <w:rPr>
          <w:b w:val="0"/>
          <w:sz w:val="22"/>
          <w:szCs w:val="22"/>
          <w:lang w:val="en-GB"/>
        </w:rPr>
        <w:t xml:space="preserve">(60% of patients) </w:t>
      </w:r>
      <w:r w:rsidRPr="00D55B59">
        <w:rPr>
          <w:b w:val="0"/>
          <w:sz w:val="22"/>
          <w:szCs w:val="22"/>
          <w:lang w:val="en-GB"/>
          <w:rPrChange w:id="823" w:author="Author">
            <w:rPr>
              <w:b w:val="0"/>
              <w:sz w:val="22"/>
              <w:szCs w:val="22"/>
            </w:rPr>
          </w:rPrChange>
        </w:rPr>
        <w:t xml:space="preserve">and BSA &lt; 10% and ≥ 5% </w:t>
      </w:r>
      <w:r w:rsidRPr="001775D9">
        <w:rPr>
          <w:b w:val="0"/>
          <w:sz w:val="22"/>
          <w:szCs w:val="22"/>
          <w:lang w:val="en-GB"/>
        </w:rPr>
        <w:t>(40% of patients</w:t>
      </w:r>
      <w:r w:rsidRPr="001775D9">
        <w:rPr>
          <w:b w:val="0"/>
          <w:lang w:val="en-GB"/>
        </w:rPr>
        <w:t>)</w:t>
      </w:r>
      <w:r w:rsidRPr="00D55B59">
        <w:rPr>
          <w:b w:val="0"/>
          <w:sz w:val="22"/>
          <w:szCs w:val="22"/>
          <w:lang w:val="en-GB"/>
          <w:rPrChange w:id="824" w:author="Author">
            <w:rPr>
              <w:b w:val="0"/>
              <w:sz w:val="22"/>
              <w:szCs w:val="22"/>
            </w:rPr>
          </w:rPrChange>
        </w:rPr>
        <w:t>).</w:t>
      </w:r>
    </w:p>
    <w:p w14:paraId="10CBF8A4" w14:textId="77777777" w:rsidR="009508B0" w:rsidRPr="00D55B59" w:rsidRDefault="009508B0" w:rsidP="004815ED">
      <w:pPr>
        <w:pStyle w:val="gtctabletitleotherwise"/>
        <w:spacing w:before="0"/>
        <w:jc w:val="left"/>
        <w:rPr>
          <w:sz w:val="22"/>
          <w:szCs w:val="22"/>
          <w:lang w:val="en-GB"/>
          <w:rPrChange w:id="825" w:author="Author">
            <w:rPr>
              <w:sz w:val="22"/>
              <w:szCs w:val="22"/>
            </w:rPr>
          </w:rPrChange>
        </w:rPr>
      </w:pPr>
    </w:p>
    <w:p w14:paraId="7C0E5A41" w14:textId="3DF60BDF" w:rsidR="007E19C6" w:rsidRPr="00D55B59" w:rsidRDefault="007E19C6" w:rsidP="009D7132">
      <w:pPr>
        <w:pStyle w:val="gtctabletitleotherwise"/>
        <w:keepNext/>
        <w:spacing w:before="0"/>
        <w:jc w:val="left"/>
        <w:rPr>
          <w:bCs w:val="0"/>
          <w:sz w:val="22"/>
          <w:szCs w:val="22"/>
          <w:lang w:val="en-GB"/>
          <w:rPrChange w:id="826" w:author="Author">
            <w:rPr>
              <w:bCs w:val="0"/>
              <w:sz w:val="22"/>
              <w:szCs w:val="22"/>
            </w:rPr>
          </w:rPrChange>
        </w:rPr>
      </w:pPr>
      <w:r w:rsidRPr="00D55B59">
        <w:rPr>
          <w:bCs w:val="0"/>
          <w:sz w:val="22"/>
          <w:szCs w:val="22"/>
          <w:lang w:val="en-GB"/>
          <w:rPrChange w:id="827" w:author="Author">
            <w:rPr>
              <w:bCs w:val="0"/>
              <w:sz w:val="22"/>
              <w:szCs w:val="22"/>
            </w:rPr>
          </w:rPrChange>
        </w:rPr>
        <w:t xml:space="preserve">Table </w:t>
      </w:r>
      <w:r w:rsidR="004D7CC1" w:rsidRPr="00D55B59">
        <w:rPr>
          <w:bCs w:val="0"/>
          <w:sz w:val="22"/>
          <w:szCs w:val="22"/>
          <w:lang w:val="en-GB"/>
          <w:rPrChange w:id="828" w:author="Author">
            <w:rPr>
              <w:bCs w:val="0"/>
              <w:sz w:val="22"/>
              <w:szCs w:val="22"/>
            </w:rPr>
          </w:rPrChange>
        </w:rPr>
        <w:t>18</w:t>
      </w:r>
      <w:r w:rsidR="00560AB5" w:rsidRPr="00D55B59">
        <w:rPr>
          <w:bCs w:val="0"/>
          <w:sz w:val="22"/>
          <w:szCs w:val="22"/>
          <w:lang w:val="en-GB"/>
          <w:rPrChange w:id="829" w:author="Author">
            <w:rPr>
              <w:bCs w:val="0"/>
              <w:sz w:val="22"/>
              <w:szCs w:val="22"/>
            </w:rPr>
          </w:rPrChange>
        </w:rPr>
        <w:t>.</w:t>
      </w:r>
      <w:r w:rsidRPr="00D55B59">
        <w:rPr>
          <w:bCs w:val="0"/>
          <w:sz w:val="22"/>
          <w:szCs w:val="22"/>
          <w:lang w:val="en-GB"/>
          <w:rPrChange w:id="830" w:author="Author">
            <w:rPr>
              <w:bCs w:val="0"/>
              <w:sz w:val="22"/>
              <w:szCs w:val="22"/>
            </w:rPr>
          </w:rPrChange>
        </w:rPr>
        <w:t xml:space="preserve"> Ps study IV efficacy results at 16, 26 and 52 weeks</w:t>
      </w:r>
    </w:p>
    <w:p w14:paraId="4DA97609" w14:textId="77777777" w:rsidR="007E19C6" w:rsidRPr="00D55B59" w:rsidRDefault="007E19C6" w:rsidP="000A7AE9">
      <w:pPr>
        <w:pStyle w:val="gtctabletitleotherwise"/>
        <w:keepNext/>
        <w:spacing w:before="0"/>
        <w:jc w:val="left"/>
        <w:rPr>
          <w:sz w:val="22"/>
          <w:szCs w:val="22"/>
          <w:lang w:val="en-GB"/>
          <w:rPrChange w:id="831" w:author="Author">
            <w:rPr>
              <w:sz w:val="22"/>
              <w:szCs w:val="22"/>
            </w:rPr>
          </w:rPrChange>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134"/>
        <w:gridCol w:w="1559"/>
        <w:gridCol w:w="1134"/>
        <w:gridCol w:w="1560"/>
        <w:gridCol w:w="1671"/>
      </w:tblGrid>
      <w:tr w:rsidR="007E19C6" w:rsidRPr="00F04F82" w14:paraId="77A5CFBE" w14:textId="77777777" w:rsidTr="009A69F2">
        <w:trPr>
          <w:tblHeader/>
        </w:trPr>
        <w:tc>
          <w:tcPr>
            <w:tcW w:w="2518" w:type="dxa"/>
            <w:vMerge w:val="restart"/>
          </w:tcPr>
          <w:p w14:paraId="79220C03" w14:textId="77777777" w:rsidR="007E19C6" w:rsidRPr="00D55B59" w:rsidRDefault="007E19C6" w:rsidP="004815ED">
            <w:pPr>
              <w:pStyle w:val="gtctablespaceafter"/>
              <w:keepNext/>
              <w:spacing w:after="0"/>
              <w:rPr>
                <w:b/>
                <w:bCs/>
                <w:sz w:val="22"/>
                <w:szCs w:val="22"/>
                <w:lang w:val="en-GB"/>
                <w:rPrChange w:id="832" w:author="Author">
                  <w:rPr>
                    <w:b/>
                    <w:bCs/>
                    <w:sz w:val="22"/>
                    <w:szCs w:val="22"/>
                  </w:rPr>
                </w:rPrChange>
              </w:rPr>
            </w:pPr>
            <w:r w:rsidRPr="00D55B59">
              <w:rPr>
                <w:b/>
                <w:bCs/>
                <w:sz w:val="22"/>
                <w:szCs w:val="22"/>
                <w:lang w:val="en-GB"/>
                <w:rPrChange w:id="833" w:author="Author">
                  <w:rPr>
                    <w:b/>
                    <w:bCs/>
                    <w:sz w:val="22"/>
                    <w:szCs w:val="22"/>
                  </w:rPr>
                </w:rPrChange>
              </w:rPr>
              <w:t>Endpoint</w:t>
            </w:r>
          </w:p>
        </w:tc>
        <w:tc>
          <w:tcPr>
            <w:tcW w:w="2693" w:type="dxa"/>
            <w:gridSpan w:val="2"/>
          </w:tcPr>
          <w:p w14:paraId="2A33B9A4" w14:textId="77777777" w:rsidR="007E19C6" w:rsidRPr="00D55B59" w:rsidRDefault="007E19C6" w:rsidP="004815ED">
            <w:pPr>
              <w:pStyle w:val="gtctablespaceafter"/>
              <w:keepNext/>
              <w:spacing w:after="0"/>
              <w:jc w:val="center"/>
              <w:rPr>
                <w:b/>
                <w:sz w:val="22"/>
                <w:szCs w:val="22"/>
                <w:lang w:val="en-GB"/>
                <w:rPrChange w:id="834" w:author="Author">
                  <w:rPr>
                    <w:b/>
                    <w:sz w:val="22"/>
                    <w:szCs w:val="22"/>
                  </w:rPr>
                </w:rPrChange>
              </w:rPr>
            </w:pPr>
            <w:r w:rsidRPr="00D55B59">
              <w:rPr>
                <w:b/>
                <w:sz w:val="22"/>
                <w:szCs w:val="22"/>
                <w:lang w:val="en-GB"/>
                <w:rPrChange w:id="835" w:author="Author">
                  <w:rPr>
                    <w:b/>
                    <w:sz w:val="22"/>
                    <w:szCs w:val="22"/>
                  </w:rPr>
                </w:rPrChange>
              </w:rPr>
              <w:t>Week 16</w:t>
            </w:r>
          </w:p>
          <w:p w14:paraId="1D658772" w14:textId="77777777" w:rsidR="007E19C6" w:rsidRPr="00D55B59" w:rsidRDefault="007E19C6" w:rsidP="004815ED">
            <w:pPr>
              <w:pStyle w:val="gtctablespaceafter"/>
              <w:keepNext/>
              <w:spacing w:after="0"/>
              <w:jc w:val="center"/>
              <w:rPr>
                <w:b/>
                <w:sz w:val="22"/>
                <w:szCs w:val="22"/>
                <w:lang w:val="en-GB"/>
                <w:rPrChange w:id="836" w:author="Author">
                  <w:rPr>
                    <w:b/>
                    <w:sz w:val="22"/>
                    <w:szCs w:val="22"/>
                  </w:rPr>
                </w:rPrChange>
              </w:rPr>
            </w:pPr>
            <w:r w:rsidRPr="00D55B59">
              <w:rPr>
                <w:b/>
                <w:sz w:val="22"/>
                <w:szCs w:val="22"/>
                <w:lang w:val="en-GB"/>
                <w:rPrChange w:id="837" w:author="Author">
                  <w:rPr>
                    <w:b/>
                    <w:sz w:val="22"/>
                    <w:szCs w:val="22"/>
                  </w:rPr>
                </w:rPrChange>
              </w:rPr>
              <w:t>Placebo-controlled</w:t>
            </w:r>
          </w:p>
        </w:tc>
        <w:tc>
          <w:tcPr>
            <w:tcW w:w="2694" w:type="dxa"/>
            <w:gridSpan w:val="2"/>
          </w:tcPr>
          <w:p w14:paraId="5B09E319" w14:textId="77777777" w:rsidR="007E19C6" w:rsidRPr="00D55B59" w:rsidRDefault="007E19C6" w:rsidP="004815ED">
            <w:pPr>
              <w:pStyle w:val="gtctablespaceafter"/>
              <w:keepNext/>
              <w:spacing w:after="0"/>
              <w:jc w:val="center"/>
              <w:rPr>
                <w:b/>
                <w:sz w:val="22"/>
                <w:szCs w:val="22"/>
                <w:lang w:val="en-GB"/>
                <w:rPrChange w:id="838" w:author="Author">
                  <w:rPr>
                    <w:b/>
                    <w:sz w:val="22"/>
                    <w:szCs w:val="22"/>
                  </w:rPr>
                </w:rPrChange>
              </w:rPr>
            </w:pPr>
            <w:r w:rsidRPr="00D55B59">
              <w:rPr>
                <w:b/>
                <w:sz w:val="22"/>
                <w:szCs w:val="22"/>
                <w:lang w:val="en-GB"/>
                <w:rPrChange w:id="839" w:author="Author">
                  <w:rPr>
                    <w:b/>
                    <w:sz w:val="22"/>
                    <w:szCs w:val="22"/>
                  </w:rPr>
                </w:rPrChange>
              </w:rPr>
              <w:t>Week 26</w:t>
            </w:r>
          </w:p>
          <w:p w14:paraId="255A2940" w14:textId="77777777" w:rsidR="007E19C6" w:rsidRPr="00D55B59" w:rsidRDefault="007E19C6" w:rsidP="004815ED">
            <w:pPr>
              <w:pStyle w:val="gtctablespaceafter"/>
              <w:keepNext/>
              <w:spacing w:after="0"/>
              <w:jc w:val="center"/>
              <w:rPr>
                <w:b/>
                <w:sz w:val="22"/>
                <w:szCs w:val="22"/>
                <w:lang w:val="en-GB"/>
                <w:rPrChange w:id="840" w:author="Author">
                  <w:rPr>
                    <w:b/>
                    <w:sz w:val="22"/>
                    <w:szCs w:val="22"/>
                  </w:rPr>
                </w:rPrChange>
              </w:rPr>
            </w:pPr>
            <w:r w:rsidRPr="00D55B59">
              <w:rPr>
                <w:b/>
                <w:sz w:val="22"/>
                <w:szCs w:val="22"/>
                <w:lang w:val="en-GB"/>
                <w:rPrChange w:id="841" w:author="Author">
                  <w:rPr>
                    <w:b/>
                    <w:sz w:val="22"/>
                    <w:szCs w:val="22"/>
                  </w:rPr>
                </w:rPrChange>
              </w:rPr>
              <w:t>Placebo-controlled</w:t>
            </w:r>
          </w:p>
        </w:tc>
        <w:tc>
          <w:tcPr>
            <w:tcW w:w="1671" w:type="dxa"/>
          </w:tcPr>
          <w:p w14:paraId="0EED36B3" w14:textId="77777777" w:rsidR="007E19C6" w:rsidRPr="00D55B59" w:rsidRDefault="007E19C6" w:rsidP="004815ED">
            <w:pPr>
              <w:pStyle w:val="gtctablespaceafter"/>
              <w:keepNext/>
              <w:spacing w:after="0"/>
              <w:jc w:val="center"/>
              <w:rPr>
                <w:b/>
                <w:sz w:val="22"/>
                <w:szCs w:val="22"/>
                <w:lang w:val="en-GB"/>
                <w:rPrChange w:id="842" w:author="Author">
                  <w:rPr>
                    <w:b/>
                    <w:sz w:val="22"/>
                    <w:szCs w:val="22"/>
                  </w:rPr>
                </w:rPrChange>
              </w:rPr>
            </w:pPr>
            <w:r w:rsidRPr="00D55B59">
              <w:rPr>
                <w:b/>
                <w:sz w:val="22"/>
                <w:szCs w:val="22"/>
                <w:lang w:val="en-GB"/>
                <w:rPrChange w:id="843" w:author="Author">
                  <w:rPr>
                    <w:b/>
                    <w:sz w:val="22"/>
                    <w:szCs w:val="22"/>
                  </w:rPr>
                </w:rPrChange>
              </w:rPr>
              <w:t>Week 52</w:t>
            </w:r>
          </w:p>
          <w:p w14:paraId="3D581837" w14:textId="77777777" w:rsidR="007E19C6" w:rsidRPr="00D55B59" w:rsidRDefault="007E19C6" w:rsidP="004815ED">
            <w:pPr>
              <w:pStyle w:val="gtctablespaceafter"/>
              <w:keepNext/>
              <w:spacing w:after="0"/>
              <w:jc w:val="center"/>
              <w:rPr>
                <w:b/>
                <w:sz w:val="22"/>
                <w:szCs w:val="22"/>
                <w:lang w:val="en-GB"/>
                <w:rPrChange w:id="844" w:author="Author">
                  <w:rPr>
                    <w:b/>
                    <w:sz w:val="22"/>
                    <w:szCs w:val="22"/>
                  </w:rPr>
                </w:rPrChange>
              </w:rPr>
            </w:pPr>
            <w:r w:rsidRPr="00D55B59">
              <w:rPr>
                <w:b/>
                <w:sz w:val="22"/>
                <w:szCs w:val="22"/>
                <w:lang w:val="en-GB"/>
                <w:rPrChange w:id="845" w:author="Author">
                  <w:rPr>
                    <w:b/>
                    <w:sz w:val="22"/>
                    <w:szCs w:val="22"/>
                  </w:rPr>
                </w:rPrChange>
              </w:rPr>
              <w:t>Open-label</w:t>
            </w:r>
          </w:p>
        </w:tc>
      </w:tr>
      <w:tr w:rsidR="007E19C6" w:rsidRPr="00F04F82" w14:paraId="7702C9AB" w14:textId="77777777" w:rsidTr="009A69F2">
        <w:trPr>
          <w:tblHeader/>
        </w:trPr>
        <w:tc>
          <w:tcPr>
            <w:tcW w:w="2518" w:type="dxa"/>
            <w:vMerge/>
          </w:tcPr>
          <w:p w14:paraId="2F1F9D17" w14:textId="77777777" w:rsidR="007E19C6" w:rsidRPr="00D55B59" w:rsidRDefault="007E19C6" w:rsidP="00CF6F25">
            <w:pPr>
              <w:pStyle w:val="gtctablespaceafter"/>
              <w:keepNext/>
              <w:spacing w:after="0"/>
              <w:rPr>
                <w:sz w:val="22"/>
                <w:szCs w:val="22"/>
                <w:lang w:val="en-GB"/>
                <w:rPrChange w:id="846" w:author="Author">
                  <w:rPr>
                    <w:sz w:val="22"/>
                    <w:szCs w:val="22"/>
                  </w:rPr>
                </w:rPrChange>
              </w:rPr>
            </w:pPr>
          </w:p>
        </w:tc>
        <w:tc>
          <w:tcPr>
            <w:tcW w:w="1134" w:type="dxa"/>
          </w:tcPr>
          <w:p w14:paraId="6ADA58F0" w14:textId="77777777" w:rsidR="007E19C6" w:rsidRPr="00D55B59" w:rsidRDefault="007E19C6" w:rsidP="00CF6F25">
            <w:pPr>
              <w:pStyle w:val="gtctablespaceafter"/>
              <w:keepNext/>
              <w:spacing w:after="0"/>
              <w:jc w:val="center"/>
              <w:rPr>
                <w:b/>
                <w:bCs/>
                <w:sz w:val="22"/>
                <w:szCs w:val="22"/>
                <w:lang w:val="en-GB"/>
                <w:rPrChange w:id="847" w:author="Author">
                  <w:rPr>
                    <w:b/>
                    <w:bCs/>
                    <w:sz w:val="22"/>
                    <w:szCs w:val="22"/>
                  </w:rPr>
                </w:rPrChange>
              </w:rPr>
            </w:pPr>
            <w:r w:rsidRPr="00D55B59">
              <w:rPr>
                <w:b/>
                <w:bCs/>
                <w:sz w:val="22"/>
                <w:lang w:val="en-GB"/>
                <w:rPrChange w:id="848" w:author="Author">
                  <w:rPr>
                    <w:b/>
                    <w:bCs/>
                    <w:sz w:val="22"/>
                  </w:rPr>
                </w:rPrChange>
              </w:rPr>
              <w:t>Placebo</w:t>
            </w:r>
            <w:r w:rsidRPr="00D55B59">
              <w:rPr>
                <w:b/>
                <w:bCs/>
                <w:sz w:val="22"/>
                <w:lang w:val="en-GB"/>
                <w:rPrChange w:id="849" w:author="Author">
                  <w:rPr>
                    <w:b/>
                    <w:bCs/>
                    <w:sz w:val="22"/>
                  </w:rPr>
                </w:rPrChange>
              </w:rPr>
              <w:br/>
              <w:t>N = 108</w:t>
            </w:r>
          </w:p>
        </w:tc>
        <w:tc>
          <w:tcPr>
            <w:tcW w:w="1559" w:type="dxa"/>
          </w:tcPr>
          <w:p w14:paraId="134BEC72" w14:textId="7D171B30" w:rsidR="004E6F88" w:rsidRPr="00D55B59" w:rsidRDefault="007E19C6" w:rsidP="00072C59">
            <w:pPr>
              <w:pStyle w:val="gtctablespaceafter"/>
              <w:keepNext/>
              <w:spacing w:after="0"/>
              <w:jc w:val="center"/>
              <w:rPr>
                <w:b/>
                <w:bCs/>
                <w:sz w:val="22"/>
                <w:lang w:val="en-GB"/>
                <w:rPrChange w:id="850" w:author="Author">
                  <w:rPr>
                    <w:b/>
                    <w:bCs/>
                    <w:sz w:val="22"/>
                  </w:rPr>
                </w:rPrChange>
              </w:rPr>
            </w:pPr>
            <w:r w:rsidRPr="00D55B59">
              <w:rPr>
                <w:b/>
                <w:bCs/>
                <w:sz w:val="22"/>
                <w:szCs w:val="22"/>
                <w:lang w:val="en-GB"/>
                <w:rPrChange w:id="851" w:author="Author">
                  <w:rPr>
                    <w:b/>
                    <w:bCs/>
                    <w:sz w:val="22"/>
                    <w:szCs w:val="22"/>
                  </w:rPr>
                </w:rPrChange>
              </w:rPr>
              <w:t>Adalimumab</w:t>
            </w:r>
            <w:r w:rsidRPr="00D55B59">
              <w:rPr>
                <w:b/>
                <w:bCs/>
                <w:sz w:val="22"/>
                <w:lang w:val="en-GB"/>
                <w:rPrChange w:id="852" w:author="Author">
                  <w:rPr>
                    <w:b/>
                    <w:bCs/>
                    <w:sz w:val="22"/>
                  </w:rPr>
                </w:rPrChange>
              </w:rPr>
              <w:t xml:space="preserve">40 mg </w:t>
            </w:r>
          </w:p>
          <w:p w14:paraId="5592EA5E" w14:textId="7A7AFCD1" w:rsidR="007E19C6" w:rsidRPr="00D55B59" w:rsidRDefault="004E6F88" w:rsidP="00072C59">
            <w:pPr>
              <w:pStyle w:val="gtctablespaceafter"/>
              <w:keepNext/>
              <w:spacing w:after="0"/>
              <w:jc w:val="center"/>
              <w:rPr>
                <w:b/>
                <w:bCs/>
                <w:sz w:val="22"/>
                <w:lang w:val="en-GB"/>
                <w:rPrChange w:id="853" w:author="Author">
                  <w:rPr>
                    <w:b/>
                    <w:bCs/>
                    <w:sz w:val="22"/>
                  </w:rPr>
                </w:rPrChange>
              </w:rPr>
            </w:pPr>
            <w:r w:rsidRPr="00D55B59">
              <w:rPr>
                <w:b/>
                <w:bCs/>
                <w:sz w:val="22"/>
                <w:lang w:val="en-GB"/>
                <w:rPrChange w:id="854" w:author="Author">
                  <w:rPr>
                    <w:b/>
                    <w:bCs/>
                    <w:sz w:val="22"/>
                  </w:rPr>
                </w:rPrChange>
              </w:rPr>
              <w:t>every other week</w:t>
            </w:r>
            <w:r w:rsidR="007E19C6" w:rsidRPr="00D55B59">
              <w:rPr>
                <w:b/>
                <w:bCs/>
                <w:sz w:val="22"/>
                <w:lang w:val="en-GB"/>
                <w:rPrChange w:id="855" w:author="Author">
                  <w:rPr>
                    <w:b/>
                    <w:bCs/>
                    <w:sz w:val="22"/>
                  </w:rPr>
                </w:rPrChange>
              </w:rPr>
              <w:br/>
              <w:t>N = 109</w:t>
            </w:r>
          </w:p>
        </w:tc>
        <w:tc>
          <w:tcPr>
            <w:tcW w:w="1134" w:type="dxa"/>
          </w:tcPr>
          <w:p w14:paraId="003609AB" w14:textId="77777777" w:rsidR="007E19C6" w:rsidRPr="00D55B59" w:rsidRDefault="007E19C6" w:rsidP="00CF6F25">
            <w:pPr>
              <w:pStyle w:val="gtctablespaceafter"/>
              <w:keepNext/>
              <w:spacing w:after="0"/>
              <w:jc w:val="center"/>
              <w:rPr>
                <w:b/>
                <w:bCs/>
                <w:sz w:val="22"/>
                <w:szCs w:val="22"/>
                <w:lang w:val="en-GB"/>
                <w:rPrChange w:id="856" w:author="Author">
                  <w:rPr>
                    <w:b/>
                    <w:bCs/>
                    <w:sz w:val="22"/>
                    <w:szCs w:val="22"/>
                  </w:rPr>
                </w:rPrChange>
              </w:rPr>
            </w:pPr>
            <w:r w:rsidRPr="00D55B59">
              <w:rPr>
                <w:b/>
                <w:bCs/>
                <w:sz w:val="22"/>
                <w:lang w:val="en-GB"/>
                <w:rPrChange w:id="857" w:author="Author">
                  <w:rPr>
                    <w:b/>
                    <w:bCs/>
                    <w:sz w:val="22"/>
                  </w:rPr>
                </w:rPrChange>
              </w:rPr>
              <w:t>Placebo</w:t>
            </w:r>
            <w:r w:rsidRPr="00D55B59">
              <w:rPr>
                <w:b/>
                <w:bCs/>
                <w:sz w:val="22"/>
                <w:lang w:val="en-GB"/>
                <w:rPrChange w:id="858" w:author="Author">
                  <w:rPr>
                    <w:b/>
                    <w:bCs/>
                    <w:sz w:val="22"/>
                  </w:rPr>
                </w:rPrChange>
              </w:rPr>
              <w:br/>
              <w:t>N = 108</w:t>
            </w:r>
          </w:p>
        </w:tc>
        <w:tc>
          <w:tcPr>
            <w:tcW w:w="1560" w:type="dxa"/>
          </w:tcPr>
          <w:p w14:paraId="341D9FB7" w14:textId="77777777" w:rsidR="007E19C6" w:rsidRPr="00D55B59" w:rsidRDefault="007E19C6" w:rsidP="00CF6F25">
            <w:pPr>
              <w:pStyle w:val="In-texttable"/>
              <w:spacing w:line="240" w:lineRule="auto"/>
              <w:jc w:val="center"/>
              <w:rPr>
                <w:rFonts w:ascii="Times New Roman" w:hAnsi="Times New Roman"/>
                <w:b/>
                <w:bCs/>
                <w:sz w:val="22"/>
                <w:lang w:val="en-GB"/>
                <w:rPrChange w:id="859" w:author="Author">
                  <w:rPr>
                    <w:rFonts w:ascii="Times New Roman" w:hAnsi="Times New Roman"/>
                    <w:b/>
                    <w:bCs/>
                    <w:sz w:val="22"/>
                  </w:rPr>
                </w:rPrChange>
              </w:rPr>
            </w:pPr>
            <w:r w:rsidRPr="00D55B59">
              <w:rPr>
                <w:rFonts w:ascii="Times New Roman" w:hAnsi="Times New Roman"/>
                <w:b/>
                <w:bCs/>
                <w:sz w:val="22"/>
                <w:lang w:val="en-GB"/>
                <w:rPrChange w:id="860" w:author="Author">
                  <w:rPr>
                    <w:rFonts w:ascii="Times New Roman" w:hAnsi="Times New Roman"/>
                    <w:b/>
                    <w:bCs/>
                    <w:sz w:val="22"/>
                  </w:rPr>
                </w:rPrChange>
              </w:rPr>
              <w:t>Adalimumab</w:t>
            </w:r>
          </w:p>
          <w:p w14:paraId="1088DDB9" w14:textId="5B41CBD8" w:rsidR="004E6F88" w:rsidRPr="00D55B59" w:rsidRDefault="007E19C6" w:rsidP="00CF6F25">
            <w:pPr>
              <w:pStyle w:val="gtctablespaceafter"/>
              <w:keepNext/>
              <w:spacing w:after="0"/>
              <w:jc w:val="center"/>
              <w:rPr>
                <w:b/>
                <w:bCs/>
                <w:sz w:val="22"/>
                <w:lang w:val="en-GB"/>
                <w:rPrChange w:id="861" w:author="Author">
                  <w:rPr>
                    <w:b/>
                    <w:bCs/>
                    <w:sz w:val="22"/>
                  </w:rPr>
                </w:rPrChange>
              </w:rPr>
            </w:pPr>
            <w:r w:rsidRPr="00D55B59">
              <w:rPr>
                <w:b/>
                <w:bCs/>
                <w:sz w:val="22"/>
                <w:lang w:val="en-GB"/>
                <w:rPrChange w:id="862" w:author="Author">
                  <w:rPr>
                    <w:b/>
                    <w:bCs/>
                    <w:sz w:val="22"/>
                  </w:rPr>
                </w:rPrChange>
              </w:rPr>
              <w:t xml:space="preserve">40 mg  </w:t>
            </w:r>
          </w:p>
          <w:p w14:paraId="6F850AF8" w14:textId="7ED79F0C" w:rsidR="007E19C6" w:rsidRPr="00D55B59" w:rsidRDefault="004E6F88" w:rsidP="00CF6F25">
            <w:pPr>
              <w:pStyle w:val="gtctablespaceafter"/>
              <w:keepNext/>
              <w:spacing w:after="0"/>
              <w:jc w:val="center"/>
              <w:rPr>
                <w:b/>
                <w:bCs/>
                <w:sz w:val="22"/>
                <w:szCs w:val="22"/>
                <w:lang w:val="en-GB"/>
                <w:rPrChange w:id="863" w:author="Author">
                  <w:rPr>
                    <w:b/>
                    <w:bCs/>
                    <w:sz w:val="22"/>
                    <w:szCs w:val="22"/>
                  </w:rPr>
                </w:rPrChange>
              </w:rPr>
            </w:pPr>
            <w:r w:rsidRPr="00D55B59">
              <w:rPr>
                <w:b/>
                <w:bCs/>
                <w:sz w:val="22"/>
                <w:lang w:val="en-GB"/>
                <w:rPrChange w:id="864" w:author="Author">
                  <w:rPr>
                    <w:b/>
                    <w:bCs/>
                    <w:sz w:val="22"/>
                  </w:rPr>
                </w:rPrChange>
              </w:rPr>
              <w:t>every other week</w:t>
            </w:r>
            <w:r w:rsidR="007E19C6" w:rsidRPr="00D55B59">
              <w:rPr>
                <w:b/>
                <w:bCs/>
                <w:sz w:val="22"/>
                <w:lang w:val="en-GB"/>
                <w:rPrChange w:id="865" w:author="Author">
                  <w:rPr>
                    <w:b/>
                    <w:bCs/>
                    <w:sz w:val="22"/>
                  </w:rPr>
                </w:rPrChange>
              </w:rPr>
              <w:br/>
              <w:t>N = 109</w:t>
            </w:r>
          </w:p>
        </w:tc>
        <w:tc>
          <w:tcPr>
            <w:tcW w:w="1671" w:type="dxa"/>
          </w:tcPr>
          <w:p w14:paraId="5E02AC00" w14:textId="77777777" w:rsidR="007E19C6" w:rsidRPr="00D55B59" w:rsidRDefault="007E19C6" w:rsidP="00CF6F25">
            <w:pPr>
              <w:pStyle w:val="In-texttable"/>
              <w:spacing w:line="240" w:lineRule="auto"/>
              <w:jc w:val="center"/>
              <w:rPr>
                <w:rFonts w:ascii="Times New Roman" w:hAnsi="Times New Roman"/>
                <w:b/>
                <w:bCs/>
                <w:sz w:val="22"/>
                <w:lang w:val="en-GB"/>
                <w:rPrChange w:id="866" w:author="Author">
                  <w:rPr>
                    <w:rFonts w:ascii="Times New Roman" w:hAnsi="Times New Roman"/>
                    <w:b/>
                    <w:bCs/>
                    <w:sz w:val="22"/>
                  </w:rPr>
                </w:rPrChange>
              </w:rPr>
            </w:pPr>
            <w:r w:rsidRPr="00D55B59">
              <w:rPr>
                <w:rFonts w:ascii="Times New Roman" w:hAnsi="Times New Roman"/>
                <w:b/>
                <w:bCs/>
                <w:sz w:val="22"/>
                <w:lang w:val="en-GB"/>
                <w:rPrChange w:id="867" w:author="Author">
                  <w:rPr>
                    <w:rFonts w:ascii="Times New Roman" w:hAnsi="Times New Roman"/>
                    <w:b/>
                    <w:bCs/>
                    <w:sz w:val="22"/>
                  </w:rPr>
                </w:rPrChange>
              </w:rPr>
              <w:t>Adalimumab</w:t>
            </w:r>
          </w:p>
          <w:p w14:paraId="7A82C811" w14:textId="0636094B" w:rsidR="004E6F88" w:rsidRPr="00D55B59" w:rsidRDefault="007E19C6" w:rsidP="00CF6F25">
            <w:pPr>
              <w:pStyle w:val="gtctablespaceafter"/>
              <w:keepNext/>
              <w:spacing w:after="0"/>
              <w:jc w:val="center"/>
              <w:rPr>
                <w:b/>
                <w:bCs/>
                <w:sz w:val="22"/>
                <w:lang w:val="en-GB"/>
                <w:rPrChange w:id="868" w:author="Author">
                  <w:rPr>
                    <w:b/>
                    <w:bCs/>
                    <w:sz w:val="22"/>
                  </w:rPr>
                </w:rPrChange>
              </w:rPr>
            </w:pPr>
            <w:r w:rsidRPr="00D55B59">
              <w:rPr>
                <w:b/>
                <w:bCs/>
                <w:sz w:val="22"/>
                <w:lang w:val="en-GB"/>
                <w:rPrChange w:id="869" w:author="Author">
                  <w:rPr>
                    <w:b/>
                    <w:bCs/>
                    <w:sz w:val="22"/>
                  </w:rPr>
                </w:rPrChange>
              </w:rPr>
              <w:t xml:space="preserve">40 mg </w:t>
            </w:r>
          </w:p>
          <w:p w14:paraId="278D6906" w14:textId="78FB8719" w:rsidR="007E19C6" w:rsidRPr="00D55B59" w:rsidRDefault="004E6F88" w:rsidP="00CF6F25">
            <w:pPr>
              <w:pStyle w:val="gtctablespaceafter"/>
              <w:keepNext/>
              <w:spacing w:after="0"/>
              <w:jc w:val="center"/>
              <w:rPr>
                <w:b/>
                <w:bCs/>
                <w:sz w:val="22"/>
                <w:szCs w:val="22"/>
                <w:lang w:val="en-GB"/>
                <w:rPrChange w:id="870" w:author="Author">
                  <w:rPr>
                    <w:b/>
                    <w:bCs/>
                    <w:sz w:val="22"/>
                    <w:szCs w:val="22"/>
                  </w:rPr>
                </w:rPrChange>
              </w:rPr>
            </w:pPr>
            <w:r w:rsidRPr="00D55B59">
              <w:rPr>
                <w:b/>
                <w:bCs/>
                <w:sz w:val="22"/>
                <w:lang w:val="en-GB"/>
                <w:rPrChange w:id="871" w:author="Author">
                  <w:rPr>
                    <w:b/>
                    <w:bCs/>
                    <w:sz w:val="22"/>
                  </w:rPr>
                </w:rPrChange>
              </w:rPr>
              <w:t>every other week</w:t>
            </w:r>
            <w:r w:rsidR="007E19C6" w:rsidRPr="00D55B59">
              <w:rPr>
                <w:b/>
                <w:bCs/>
                <w:sz w:val="22"/>
                <w:lang w:val="en-GB"/>
                <w:rPrChange w:id="872" w:author="Author">
                  <w:rPr>
                    <w:b/>
                    <w:bCs/>
                    <w:sz w:val="22"/>
                  </w:rPr>
                </w:rPrChange>
              </w:rPr>
              <w:t xml:space="preserve"> </w:t>
            </w:r>
            <w:r w:rsidR="007E19C6" w:rsidRPr="00D55B59">
              <w:rPr>
                <w:b/>
                <w:bCs/>
                <w:sz w:val="22"/>
                <w:lang w:val="en-GB"/>
                <w:rPrChange w:id="873" w:author="Author">
                  <w:rPr>
                    <w:b/>
                    <w:bCs/>
                    <w:sz w:val="22"/>
                  </w:rPr>
                </w:rPrChange>
              </w:rPr>
              <w:br/>
              <w:t>N = 80</w:t>
            </w:r>
          </w:p>
        </w:tc>
      </w:tr>
      <w:tr w:rsidR="007E19C6" w:rsidRPr="00F04F82" w14:paraId="146637CB" w14:textId="77777777" w:rsidTr="009A69F2">
        <w:tc>
          <w:tcPr>
            <w:tcW w:w="2518" w:type="dxa"/>
          </w:tcPr>
          <w:p w14:paraId="40FF91B1" w14:textId="77777777" w:rsidR="007E19C6" w:rsidRPr="00D55B59" w:rsidRDefault="007E19C6" w:rsidP="00587BBA">
            <w:pPr>
              <w:pStyle w:val="gtctablespaceafter"/>
              <w:spacing w:after="0"/>
              <w:rPr>
                <w:sz w:val="22"/>
                <w:szCs w:val="22"/>
                <w:lang w:val="en-GB"/>
                <w:rPrChange w:id="874" w:author="Author">
                  <w:rPr>
                    <w:sz w:val="22"/>
                    <w:szCs w:val="22"/>
                  </w:rPr>
                </w:rPrChange>
              </w:rPr>
            </w:pPr>
            <w:r w:rsidRPr="00D55B59">
              <w:rPr>
                <w:sz w:val="22"/>
                <w:lang w:val="en-GB"/>
                <w:rPrChange w:id="875" w:author="Author">
                  <w:rPr>
                    <w:sz w:val="22"/>
                  </w:rPr>
                </w:rPrChange>
              </w:rPr>
              <w:t>≥ mNAPSI 75 (%)</w:t>
            </w:r>
          </w:p>
        </w:tc>
        <w:tc>
          <w:tcPr>
            <w:tcW w:w="1134" w:type="dxa"/>
          </w:tcPr>
          <w:p w14:paraId="278514C9" w14:textId="77777777" w:rsidR="007E19C6" w:rsidRPr="00D55B59" w:rsidRDefault="007E19C6" w:rsidP="00587BBA">
            <w:pPr>
              <w:pStyle w:val="gtctablespaceafter"/>
              <w:spacing w:after="0"/>
              <w:jc w:val="center"/>
              <w:rPr>
                <w:sz w:val="22"/>
                <w:szCs w:val="22"/>
                <w:lang w:val="en-GB"/>
                <w:rPrChange w:id="876" w:author="Author">
                  <w:rPr>
                    <w:sz w:val="22"/>
                    <w:szCs w:val="22"/>
                  </w:rPr>
                </w:rPrChange>
              </w:rPr>
            </w:pPr>
            <w:r w:rsidRPr="00D55B59">
              <w:rPr>
                <w:sz w:val="22"/>
                <w:szCs w:val="22"/>
                <w:lang w:val="en-GB"/>
                <w:rPrChange w:id="877" w:author="Author">
                  <w:rPr>
                    <w:sz w:val="22"/>
                    <w:szCs w:val="22"/>
                  </w:rPr>
                </w:rPrChange>
              </w:rPr>
              <w:t>2.9</w:t>
            </w:r>
          </w:p>
        </w:tc>
        <w:tc>
          <w:tcPr>
            <w:tcW w:w="1559" w:type="dxa"/>
          </w:tcPr>
          <w:p w14:paraId="377B228F" w14:textId="77777777" w:rsidR="007E19C6" w:rsidRPr="00D55B59" w:rsidRDefault="007E19C6" w:rsidP="00587BBA">
            <w:pPr>
              <w:pStyle w:val="gtctablespaceafter"/>
              <w:spacing w:after="0"/>
              <w:jc w:val="center"/>
              <w:rPr>
                <w:sz w:val="22"/>
                <w:szCs w:val="22"/>
                <w:lang w:val="en-GB"/>
                <w:rPrChange w:id="878" w:author="Author">
                  <w:rPr>
                    <w:sz w:val="22"/>
                    <w:szCs w:val="22"/>
                  </w:rPr>
                </w:rPrChange>
              </w:rPr>
            </w:pPr>
            <w:r w:rsidRPr="00D55B59">
              <w:rPr>
                <w:sz w:val="22"/>
                <w:szCs w:val="22"/>
                <w:lang w:val="en-GB"/>
                <w:rPrChange w:id="879" w:author="Author">
                  <w:rPr>
                    <w:sz w:val="22"/>
                    <w:szCs w:val="22"/>
                  </w:rPr>
                </w:rPrChange>
              </w:rPr>
              <w:t>26.0</w:t>
            </w:r>
            <w:r w:rsidRPr="00D55B59">
              <w:rPr>
                <w:sz w:val="22"/>
                <w:szCs w:val="22"/>
                <w:vertAlign w:val="superscript"/>
                <w:lang w:val="en-GB"/>
                <w:rPrChange w:id="880" w:author="Author">
                  <w:rPr>
                    <w:sz w:val="22"/>
                    <w:szCs w:val="22"/>
                    <w:vertAlign w:val="superscript"/>
                  </w:rPr>
                </w:rPrChange>
              </w:rPr>
              <w:t>a</w:t>
            </w:r>
          </w:p>
        </w:tc>
        <w:tc>
          <w:tcPr>
            <w:tcW w:w="1134" w:type="dxa"/>
          </w:tcPr>
          <w:p w14:paraId="09E9A2FE" w14:textId="77777777" w:rsidR="007E19C6" w:rsidRPr="001775D9" w:rsidRDefault="007E19C6" w:rsidP="00587BBA">
            <w:pPr>
              <w:keepNext/>
              <w:jc w:val="center"/>
              <w:rPr>
                <w:szCs w:val="22"/>
              </w:rPr>
            </w:pPr>
            <w:r w:rsidRPr="001775D9">
              <w:rPr>
                <w:szCs w:val="22"/>
              </w:rPr>
              <w:t>3.4</w:t>
            </w:r>
          </w:p>
        </w:tc>
        <w:tc>
          <w:tcPr>
            <w:tcW w:w="1560" w:type="dxa"/>
          </w:tcPr>
          <w:p w14:paraId="631E91FC" w14:textId="77777777" w:rsidR="007E19C6" w:rsidRPr="001775D9" w:rsidRDefault="007E19C6" w:rsidP="00587BBA">
            <w:pPr>
              <w:keepNext/>
              <w:jc w:val="center"/>
              <w:rPr>
                <w:szCs w:val="22"/>
              </w:rPr>
            </w:pPr>
            <w:r w:rsidRPr="001775D9">
              <w:rPr>
                <w:szCs w:val="22"/>
              </w:rPr>
              <w:t>46.6</w:t>
            </w:r>
            <w:r w:rsidRPr="001775D9">
              <w:rPr>
                <w:szCs w:val="22"/>
                <w:vertAlign w:val="superscript"/>
              </w:rPr>
              <w:t>a</w:t>
            </w:r>
          </w:p>
        </w:tc>
        <w:tc>
          <w:tcPr>
            <w:tcW w:w="1671" w:type="dxa"/>
          </w:tcPr>
          <w:p w14:paraId="26D354BA" w14:textId="77777777" w:rsidR="007E19C6" w:rsidRPr="00D55B59" w:rsidRDefault="007E19C6" w:rsidP="00587BBA">
            <w:pPr>
              <w:pStyle w:val="gtctablespaceafter"/>
              <w:spacing w:after="0"/>
              <w:jc w:val="center"/>
              <w:rPr>
                <w:sz w:val="22"/>
                <w:szCs w:val="22"/>
                <w:lang w:val="en-GB"/>
                <w:rPrChange w:id="881" w:author="Author">
                  <w:rPr>
                    <w:sz w:val="22"/>
                    <w:szCs w:val="22"/>
                  </w:rPr>
                </w:rPrChange>
              </w:rPr>
            </w:pPr>
            <w:r w:rsidRPr="00D55B59">
              <w:rPr>
                <w:sz w:val="22"/>
                <w:szCs w:val="22"/>
                <w:lang w:val="en-GB"/>
                <w:rPrChange w:id="882" w:author="Author">
                  <w:rPr>
                    <w:sz w:val="22"/>
                    <w:szCs w:val="22"/>
                  </w:rPr>
                </w:rPrChange>
              </w:rPr>
              <w:t>65.0</w:t>
            </w:r>
          </w:p>
        </w:tc>
      </w:tr>
      <w:tr w:rsidR="007E19C6" w:rsidRPr="00F04F82" w14:paraId="1B2EF4CA" w14:textId="77777777" w:rsidTr="009A69F2">
        <w:tc>
          <w:tcPr>
            <w:tcW w:w="2518" w:type="dxa"/>
          </w:tcPr>
          <w:p w14:paraId="30772084" w14:textId="77777777" w:rsidR="007E19C6" w:rsidRPr="00D55B59" w:rsidRDefault="007E19C6" w:rsidP="00587BBA">
            <w:pPr>
              <w:pStyle w:val="gtctablespaceafter"/>
              <w:spacing w:after="0"/>
              <w:rPr>
                <w:sz w:val="22"/>
                <w:szCs w:val="22"/>
                <w:lang w:val="en-GB"/>
                <w:rPrChange w:id="883" w:author="Author">
                  <w:rPr>
                    <w:sz w:val="22"/>
                    <w:szCs w:val="22"/>
                  </w:rPr>
                </w:rPrChange>
              </w:rPr>
            </w:pPr>
            <w:r w:rsidRPr="00D55B59">
              <w:rPr>
                <w:sz w:val="22"/>
                <w:szCs w:val="22"/>
                <w:lang w:val="en-GB"/>
                <w:rPrChange w:id="884" w:author="Author">
                  <w:rPr>
                    <w:sz w:val="22"/>
                    <w:szCs w:val="22"/>
                  </w:rPr>
                </w:rPrChange>
              </w:rPr>
              <w:t>PGA-F clear/minimal and ≥ 2-grade improvement (%)</w:t>
            </w:r>
          </w:p>
        </w:tc>
        <w:tc>
          <w:tcPr>
            <w:tcW w:w="1134" w:type="dxa"/>
          </w:tcPr>
          <w:p w14:paraId="65274383" w14:textId="77777777" w:rsidR="007E19C6" w:rsidRPr="00D55B59" w:rsidRDefault="007E19C6" w:rsidP="00587BBA">
            <w:pPr>
              <w:pStyle w:val="gtctablespaceafter"/>
              <w:spacing w:after="0"/>
              <w:jc w:val="center"/>
              <w:rPr>
                <w:sz w:val="22"/>
                <w:szCs w:val="22"/>
                <w:lang w:val="en-GB"/>
                <w:rPrChange w:id="885" w:author="Author">
                  <w:rPr>
                    <w:sz w:val="22"/>
                    <w:szCs w:val="22"/>
                  </w:rPr>
                </w:rPrChange>
              </w:rPr>
            </w:pPr>
            <w:r w:rsidRPr="00D55B59">
              <w:rPr>
                <w:sz w:val="22"/>
                <w:szCs w:val="22"/>
                <w:lang w:val="en-GB"/>
                <w:rPrChange w:id="886" w:author="Author">
                  <w:rPr>
                    <w:sz w:val="22"/>
                    <w:szCs w:val="22"/>
                  </w:rPr>
                </w:rPrChange>
              </w:rPr>
              <w:t>2.9</w:t>
            </w:r>
          </w:p>
        </w:tc>
        <w:tc>
          <w:tcPr>
            <w:tcW w:w="1559" w:type="dxa"/>
          </w:tcPr>
          <w:p w14:paraId="2E55F772" w14:textId="77777777" w:rsidR="007E19C6" w:rsidRPr="00D55B59" w:rsidRDefault="007E19C6" w:rsidP="00587BBA">
            <w:pPr>
              <w:pStyle w:val="gtctablespaceafter"/>
              <w:spacing w:after="0"/>
              <w:jc w:val="center"/>
              <w:rPr>
                <w:sz w:val="22"/>
                <w:szCs w:val="22"/>
                <w:lang w:val="en-GB"/>
                <w:rPrChange w:id="887" w:author="Author">
                  <w:rPr>
                    <w:sz w:val="22"/>
                    <w:szCs w:val="22"/>
                  </w:rPr>
                </w:rPrChange>
              </w:rPr>
            </w:pPr>
            <w:r w:rsidRPr="00D55B59">
              <w:rPr>
                <w:sz w:val="22"/>
                <w:szCs w:val="22"/>
                <w:lang w:val="en-GB"/>
                <w:rPrChange w:id="888" w:author="Author">
                  <w:rPr>
                    <w:sz w:val="22"/>
                    <w:szCs w:val="22"/>
                  </w:rPr>
                </w:rPrChange>
              </w:rPr>
              <w:t>29.7</w:t>
            </w:r>
            <w:r w:rsidRPr="00D55B59">
              <w:rPr>
                <w:sz w:val="22"/>
                <w:szCs w:val="22"/>
                <w:vertAlign w:val="superscript"/>
                <w:lang w:val="en-GB"/>
                <w:rPrChange w:id="889" w:author="Author">
                  <w:rPr>
                    <w:sz w:val="22"/>
                    <w:szCs w:val="22"/>
                    <w:vertAlign w:val="superscript"/>
                  </w:rPr>
                </w:rPrChange>
              </w:rPr>
              <w:t>a</w:t>
            </w:r>
          </w:p>
        </w:tc>
        <w:tc>
          <w:tcPr>
            <w:tcW w:w="1134" w:type="dxa"/>
          </w:tcPr>
          <w:p w14:paraId="330297BF" w14:textId="77777777" w:rsidR="007E19C6" w:rsidRPr="001775D9" w:rsidRDefault="007E19C6" w:rsidP="00587BBA">
            <w:pPr>
              <w:keepNext/>
              <w:jc w:val="center"/>
              <w:rPr>
                <w:szCs w:val="22"/>
              </w:rPr>
            </w:pPr>
            <w:r w:rsidRPr="001775D9">
              <w:rPr>
                <w:szCs w:val="22"/>
              </w:rPr>
              <w:t>6.9</w:t>
            </w:r>
          </w:p>
        </w:tc>
        <w:tc>
          <w:tcPr>
            <w:tcW w:w="1560" w:type="dxa"/>
          </w:tcPr>
          <w:p w14:paraId="0584513C" w14:textId="77777777" w:rsidR="007E19C6" w:rsidRPr="001775D9" w:rsidRDefault="007E19C6" w:rsidP="00587BBA">
            <w:pPr>
              <w:keepNext/>
              <w:jc w:val="center"/>
              <w:rPr>
                <w:szCs w:val="22"/>
              </w:rPr>
            </w:pPr>
            <w:r w:rsidRPr="001775D9">
              <w:rPr>
                <w:szCs w:val="22"/>
              </w:rPr>
              <w:t>48.9</w:t>
            </w:r>
            <w:r w:rsidRPr="001775D9">
              <w:rPr>
                <w:szCs w:val="22"/>
                <w:vertAlign w:val="superscript"/>
              </w:rPr>
              <w:t>a</w:t>
            </w:r>
          </w:p>
        </w:tc>
        <w:tc>
          <w:tcPr>
            <w:tcW w:w="1671" w:type="dxa"/>
          </w:tcPr>
          <w:p w14:paraId="402D0BEA" w14:textId="77777777" w:rsidR="007E19C6" w:rsidRPr="00D55B59" w:rsidRDefault="007E19C6" w:rsidP="00587BBA">
            <w:pPr>
              <w:pStyle w:val="gtctablespaceafter"/>
              <w:spacing w:after="0"/>
              <w:jc w:val="center"/>
              <w:rPr>
                <w:sz w:val="22"/>
                <w:szCs w:val="22"/>
                <w:lang w:val="en-GB"/>
                <w:rPrChange w:id="890" w:author="Author">
                  <w:rPr>
                    <w:sz w:val="22"/>
                    <w:szCs w:val="22"/>
                  </w:rPr>
                </w:rPrChange>
              </w:rPr>
            </w:pPr>
            <w:r w:rsidRPr="00D55B59">
              <w:rPr>
                <w:sz w:val="22"/>
                <w:szCs w:val="22"/>
                <w:lang w:val="en-GB"/>
                <w:rPrChange w:id="891" w:author="Author">
                  <w:rPr>
                    <w:sz w:val="22"/>
                    <w:szCs w:val="22"/>
                  </w:rPr>
                </w:rPrChange>
              </w:rPr>
              <w:t>61.3</w:t>
            </w:r>
          </w:p>
        </w:tc>
      </w:tr>
      <w:tr w:rsidR="007E19C6" w:rsidRPr="00F04F82" w14:paraId="1207A939" w14:textId="77777777" w:rsidTr="009A69F2">
        <w:tc>
          <w:tcPr>
            <w:tcW w:w="2518" w:type="dxa"/>
          </w:tcPr>
          <w:p w14:paraId="7371A89F" w14:textId="77777777" w:rsidR="007E19C6" w:rsidRPr="00D55B59" w:rsidRDefault="007E19C6" w:rsidP="001C2A6A">
            <w:pPr>
              <w:pStyle w:val="gtctablespaceafter"/>
              <w:keepNext/>
              <w:keepLines/>
              <w:spacing w:after="0"/>
              <w:rPr>
                <w:sz w:val="22"/>
                <w:szCs w:val="22"/>
                <w:lang w:val="en-GB"/>
                <w:rPrChange w:id="892" w:author="Author">
                  <w:rPr>
                    <w:sz w:val="22"/>
                    <w:szCs w:val="22"/>
                  </w:rPr>
                </w:rPrChange>
              </w:rPr>
            </w:pPr>
            <w:r w:rsidRPr="00D55B59">
              <w:rPr>
                <w:sz w:val="22"/>
                <w:szCs w:val="22"/>
                <w:lang w:val="en-GB"/>
                <w:rPrChange w:id="893" w:author="Author">
                  <w:rPr>
                    <w:sz w:val="22"/>
                    <w:szCs w:val="22"/>
                  </w:rPr>
                </w:rPrChange>
              </w:rPr>
              <w:t>Percent change in total fingernail NAPSI (%)</w:t>
            </w:r>
          </w:p>
        </w:tc>
        <w:tc>
          <w:tcPr>
            <w:tcW w:w="1134" w:type="dxa"/>
          </w:tcPr>
          <w:p w14:paraId="6A5EC14A" w14:textId="77777777" w:rsidR="007E19C6" w:rsidRPr="00D55B59" w:rsidRDefault="007E19C6" w:rsidP="001C2A6A">
            <w:pPr>
              <w:pStyle w:val="gtctablespaceafter"/>
              <w:keepNext/>
              <w:keepLines/>
              <w:spacing w:after="0"/>
              <w:jc w:val="center"/>
              <w:rPr>
                <w:sz w:val="22"/>
                <w:szCs w:val="22"/>
                <w:lang w:val="en-GB"/>
                <w:rPrChange w:id="894" w:author="Author">
                  <w:rPr>
                    <w:sz w:val="22"/>
                    <w:szCs w:val="22"/>
                  </w:rPr>
                </w:rPrChange>
              </w:rPr>
            </w:pPr>
            <w:r w:rsidRPr="00D55B59">
              <w:rPr>
                <w:sz w:val="22"/>
                <w:szCs w:val="22"/>
                <w:lang w:val="en-GB"/>
                <w:rPrChange w:id="895" w:author="Author">
                  <w:rPr>
                    <w:sz w:val="22"/>
                    <w:szCs w:val="22"/>
                  </w:rPr>
                </w:rPrChange>
              </w:rPr>
              <w:t>-7.8</w:t>
            </w:r>
          </w:p>
        </w:tc>
        <w:tc>
          <w:tcPr>
            <w:tcW w:w="1559" w:type="dxa"/>
          </w:tcPr>
          <w:p w14:paraId="502A1284" w14:textId="77777777" w:rsidR="007E19C6" w:rsidRPr="00D55B59" w:rsidRDefault="007E19C6" w:rsidP="001C2A6A">
            <w:pPr>
              <w:pStyle w:val="gtctablespaceafter"/>
              <w:keepNext/>
              <w:keepLines/>
              <w:spacing w:after="0"/>
              <w:jc w:val="center"/>
              <w:rPr>
                <w:sz w:val="22"/>
                <w:szCs w:val="22"/>
                <w:lang w:val="en-GB"/>
                <w:rPrChange w:id="896" w:author="Author">
                  <w:rPr>
                    <w:sz w:val="22"/>
                    <w:szCs w:val="22"/>
                  </w:rPr>
                </w:rPrChange>
              </w:rPr>
            </w:pPr>
            <w:r w:rsidRPr="00D55B59">
              <w:rPr>
                <w:sz w:val="22"/>
                <w:szCs w:val="22"/>
                <w:lang w:val="en-GB"/>
                <w:rPrChange w:id="897" w:author="Author">
                  <w:rPr>
                    <w:sz w:val="22"/>
                    <w:szCs w:val="22"/>
                  </w:rPr>
                </w:rPrChange>
              </w:rPr>
              <w:t>-44.2</w:t>
            </w:r>
            <w:r w:rsidRPr="00D55B59">
              <w:rPr>
                <w:sz w:val="22"/>
                <w:szCs w:val="22"/>
                <w:vertAlign w:val="superscript"/>
                <w:lang w:val="en-GB"/>
                <w:rPrChange w:id="898" w:author="Author">
                  <w:rPr>
                    <w:sz w:val="22"/>
                    <w:szCs w:val="22"/>
                    <w:vertAlign w:val="superscript"/>
                  </w:rPr>
                </w:rPrChange>
              </w:rPr>
              <w:t xml:space="preserve"> a</w:t>
            </w:r>
          </w:p>
        </w:tc>
        <w:tc>
          <w:tcPr>
            <w:tcW w:w="1134" w:type="dxa"/>
          </w:tcPr>
          <w:p w14:paraId="79153B99" w14:textId="77777777" w:rsidR="007E19C6" w:rsidRPr="001775D9" w:rsidRDefault="007E19C6" w:rsidP="001C2A6A">
            <w:pPr>
              <w:keepNext/>
              <w:keepLines/>
              <w:jc w:val="center"/>
              <w:rPr>
                <w:szCs w:val="22"/>
              </w:rPr>
            </w:pPr>
            <w:r w:rsidRPr="001775D9">
              <w:rPr>
                <w:szCs w:val="22"/>
              </w:rPr>
              <w:t>-11.5</w:t>
            </w:r>
          </w:p>
        </w:tc>
        <w:tc>
          <w:tcPr>
            <w:tcW w:w="1560" w:type="dxa"/>
          </w:tcPr>
          <w:p w14:paraId="3E9C6121" w14:textId="77777777" w:rsidR="007E19C6" w:rsidRPr="001775D9" w:rsidRDefault="007E19C6" w:rsidP="001C2A6A">
            <w:pPr>
              <w:keepNext/>
              <w:keepLines/>
              <w:jc w:val="center"/>
              <w:rPr>
                <w:szCs w:val="22"/>
              </w:rPr>
            </w:pPr>
            <w:r w:rsidRPr="001775D9">
              <w:rPr>
                <w:szCs w:val="22"/>
              </w:rPr>
              <w:t>-56.2</w:t>
            </w:r>
            <w:r w:rsidRPr="001775D9">
              <w:rPr>
                <w:szCs w:val="22"/>
                <w:vertAlign w:val="superscript"/>
              </w:rPr>
              <w:t>a</w:t>
            </w:r>
          </w:p>
        </w:tc>
        <w:tc>
          <w:tcPr>
            <w:tcW w:w="1671" w:type="dxa"/>
          </w:tcPr>
          <w:p w14:paraId="10471545" w14:textId="77777777" w:rsidR="007E19C6" w:rsidRPr="00D55B59" w:rsidRDefault="007E19C6" w:rsidP="001C2A6A">
            <w:pPr>
              <w:pStyle w:val="gtctablespaceafter"/>
              <w:keepNext/>
              <w:keepLines/>
              <w:spacing w:after="0"/>
              <w:jc w:val="center"/>
              <w:rPr>
                <w:sz w:val="22"/>
                <w:szCs w:val="22"/>
                <w:lang w:val="en-GB"/>
                <w:rPrChange w:id="899" w:author="Author">
                  <w:rPr>
                    <w:sz w:val="22"/>
                    <w:szCs w:val="22"/>
                  </w:rPr>
                </w:rPrChange>
              </w:rPr>
            </w:pPr>
            <w:r w:rsidRPr="00D55B59">
              <w:rPr>
                <w:sz w:val="22"/>
                <w:szCs w:val="22"/>
                <w:lang w:val="en-GB"/>
                <w:rPrChange w:id="900" w:author="Author">
                  <w:rPr>
                    <w:sz w:val="22"/>
                    <w:szCs w:val="22"/>
                  </w:rPr>
                </w:rPrChange>
              </w:rPr>
              <w:t>-72.2</w:t>
            </w:r>
          </w:p>
        </w:tc>
      </w:tr>
      <w:tr w:rsidR="007E19C6" w:rsidRPr="00F04F82" w14:paraId="00AE0967" w14:textId="77777777" w:rsidTr="00587BBA">
        <w:tc>
          <w:tcPr>
            <w:tcW w:w="9576" w:type="dxa"/>
            <w:gridSpan w:val="6"/>
          </w:tcPr>
          <w:p w14:paraId="4AF3A92D" w14:textId="77777777" w:rsidR="007E19C6" w:rsidRPr="00D55B59" w:rsidRDefault="007E19C6" w:rsidP="00587BBA">
            <w:pPr>
              <w:pStyle w:val="gtctablespaceafter"/>
              <w:spacing w:after="0"/>
              <w:rPr>
                <w:sz w:val="22"/>
                <w:szCs w:val="22"/>
                <w:lang w:val="en-GB"/>
                <w:rPrChange w:id="901" w:author="Author">
                  <w:rPr>
                    <w:sz w:val="22"/>
                    <w:szCs w:val="22"/>
                  </w:rPr>
                </w:rPrChange>
              </w:rPr>
            </w:pPr>
            <w:r w:rsidRPr="00D55B59">
              <w:rPr>
                <w:sz w:val="20"/>
                <w:szCs w:val="20"/>
                <w:vertAlign w:val="superscript"/>
                <w:lang w:val="en-GB"/>
                <w:rPrChange w:id="902" w:author="Author">
                  <w:rPr>
                    <w:sz w:val="20"/>
                    <w:szCs w:val="20"/>
                    <w:vertAlign w:val="superscript"/>
                  </w:rPr>
                </w:rPrChange>
              </w:rPr>
              <w:t>a</w:t>
            </w:r>
            <w:r w:rsidRPr="00D55B59">
              <w:rPr>
                <w:sz w:val="20"/>
                <w:szCs w:val="20"/>
                <w:lang w:val="en-GB"/>
                <w:rPrChange w:id="903" w:author="Author">
                  <w:rPr>
                    <w:sz w:val="20"/>
                    <w:szCs w:val="20"/>
                  </w:rPr>
                </w:rPrChange>
              </w:rPr>
              <w:t xml:space="preserve"> p &lt; 0.001, </w:t>
            </w:r>
            <w:r w:rsidR="00990C13" w:rsidRPr="00D55B59">
              <w:rPr>
                <w:sz w:val="20"/>
                <w:szCs w:val="20"/>
                <w:lang w:val="en-GB"/>
                <w:rPrChange w:id="904" w:author="Author">
                  <w:rPr>
                    <w:sz w:val="20"/>
                    <w:szCs w:val="20"/>
                  </w:rPr>
                </w:rPrChange>
              </w:rPr>
              <w:t>a</w:t>
            </w:r>
            <w:r w:rsidRPr="00D55B59">
              <w:rPr>
                <w:sz w:val="20"/>
                <w:szCs w:val="20"/>
                <w:lang w:val="en-GB"/>
                <w:rPrChange w:id="905" w:author="Author">
                  <w:rPr>
                    <w:sz w:val="20"/>
                    <w:szCs w:val="20"/>
                  </w:rPr>
                </w:rPrChange>
              </w:rPr>
              <w:t xml:space="preserve">dalimumab versus placebo </w:t>
            </w:r>
          </w:p>
        </w:tc>
      </w:tr>
    </w:tbl>
    <w:p w14:paraId="2FAB7708" w14:textId="77777777" w:rsidR="007E19C6" w:rsidRPr="00D55B59" w:rsidRDefault="007E19C6" w:rsidP="007E19C6">
      <w:pPr>
        <w:pStyle w:val="gtctablespaceafter"/>
        <w:spacing w:after="0"/>
        <w:rPr>
          <w:sz w:val="22"/>
          <w:szCs w:val="22"/>
          <w:lang w:val="en-GB"/>
          <w:rPrChange w:id="906" w:author="Author">
            <w:rPr>
              <w:sz w:val="22"/>
              <w:szCs w:val="22"/>
            </w:rPr>
          </w:rPrChange>
        </w:rPr>
      </w:pPr>
    </w:p>
    <w:p w14:paraId="600233BD" w14:textId="38D8EC13" w:rsidR="007E19C6" w:rsidRPr="00D55B59" w:rsidRDefault="007E19C6" w:rsidP="007E19C6">
      <w:pPr>
        <w:pStyle w:val="EMEANormal"/>
        <w:rPr>
          <w:szCs w:val="22"/>
          <w:lang w:val="en-GB"/>
          <w:rPrChange w:id="907" w:author="Author">
            <w:rPr>
              <w:szCs w:val="22"/>
            </w:rPr>
          </w:rPrChange>
        </w:rPr>
      </w:pPr>
      <w:r w:rsidRPr="00D55B59">
        <w:rPr>
          <w:szCs w:val="22"/>
          <w:lang w:val="en-GB"/>
          <w:rPrChange w:id="908" w:author="Author">
            <w:rPr>
              <w:szCs w:val="22"/>
            </w:rPr>
          </w:rPrChange>
        </w:rPr>
        <w:t>A</w:t>
      </w:r>
      <w:r w:rsidRPr="00D55B59">
        <w:rPr>
          <w:color w:val="000000"/>
          <w:szCs w:val="22"/>
          <w:lang w:val="en-GB"/>
          <w:rPrChange w:id="909" w:author="Author">
            <w:rPr>
              <w:color w:val="000000"/>
              <w:szCs w:val="22"/>
            </w:rPr>
          </w:rPrChange>
        </w:rPr>
        <w:t>dalimumab</w:t>
      </w:r>
      <w:r w:rsidRPr="00D55B59">
        <w:rPr>
          <w:szCs w:val="22"/>
          <w:lang w:val="en-GB"/>
          <w:rPrChange w:id="910" w:author="Author">
            <w:rPr>
              <w:szCs w:val="22"/>
            </w:rPr>
          </w:rPrChange>
        </w:rPr>
        <w:t xml:space="preserve"> treated patients showed statistically significant improvements at week 26 compared with placebo in the DLQI. </w:t>
      </w:r>
    </w:p>
    <w:p w14:paraId="4F87CA17" w14:textId="77777777" w:rsidR="007E19C6" w:rsidRPr="00D55B59" w:rsidRDefault="007E19C6" w:rsidP="00FB5458">
      <w:pPr>
        <w:tabs>
          <w:tab w:val="clear" w:pos="567"/>
        </w:tabs>
        <w:autoSpaceDE w:val="0"/>
        <w:autoSpaceDN w:val="0"/>
        <w:adjustRightInd w:val="0"/>
        <w:spacing w:line="240" w:lineRule="auto"/>
        <w:rPr>
          <w:i/>
          <w:color w:val="000000"/>
          <w:szCs w:val="22"/>
          <w:rPrChange w:id="911" w:author="Author">
            <w:rPr>
              <w:i/>
              <w:color w:val="000000"/>
              <w:szCs w:val="22"/>
              <w:lang w:val="en-US"/>
            </w:rPr>
          </w:rPrChange>
        </w:rPr>
      </w:pPr>
    </w:p>
    <w:p w14:paraId="7AE0F38A" w14:textId="77777777" w:rsidR="00B334F7" w:rsidRPr="001775D9" w:rsidRDefault="00B334F7" w:rsidP="00FB5458">
      <w:pPr>
        <w:shd w:val="clear" w:color="auto" w:fill="FFFFFF"/>
        <w:tabs>
          <w:tab w:val="clear" w:pos="567"/>
        </w:tabs>
        <w:spacing w:line="240" w:lineRule="auto"/>
        <w:rPr>
          <w:rFonts w:eastAsia="Times New Roman"/>
          <w:i/>
          <w:iCs/>
          <w:color w:val="000000"/>
          <w:szCs w:val="22"/>
        </w:rPr>
      </w:pPr>
      <w:r w:rsidRPr="001775D9">
        <w:rPr>
          <w:rFonts w:eastAsia="Times New Roman"/>
          <w:i/>
          <w:iCs/>
          <w:color w:val="000000"/>
          <w:szCs w:val="22"/>
        </w:rPr>
        <w:t>Hidradenitis suppurativa</w:t>
      </w:r>
    </w:p>
    <w:p w14:paraId="22EBEFDE" w14:textId="77777777" w:rsidR="005918B3" w:rsidRPr="001775D9" w:rsidRDefault="005918B3" w:rsidP="00FB5458">
      <w:pPr>
        <w:shd w:val="clear" w:color="auto" w:fill="FFFFFF"/>
        <w:tabs>
          <w:tab w:val="clear" w:pos="567"/>
        </w:tabs>
        <w:spacing w:line="240" w:lineRule="auto"/>
        <w:rPr>
          <w:rFonts w:eastAsia="Times New Roman"/>
          <w:color w:val="000000"/>
          <w:szCs w:val="22"/>
        </w:rPr>
      </w:pPr>
    </w:p>
    <w:p w14:paraId="505DDF81" w14:textId="5044BCFF"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The safety and efficacy of </w:t>
      </w:r>
      <w:r w:rsidR="00ED66EA" w:rsidRPr="001775D9">
        <w:rPr>
          <w:rFonts w:eastAsia="Times New Roman"/>
          <w:color w:val="000000"/>
          <w:szCs w:val="22"/>
        </w:rPr>
        <w:t>adalimumab</w:t>
      </w:r>
      <w:r w:rsidRPr="001775D9">
        <w:rPr>
          <w:rFonts w:eastAsia="Times New Roman"/>
          <w:color w:val="000000"/>
          <w:szCs w:val="22"/>
        </w:rPr>
        <w:t xml:space="preserve"> were assessed in randomised, double-blind, placebo-controlled studies and an open-label extension study in adult patients with moderate to severe hidradenitis suppurativa (HS) who were intolerant, had a contraindication or an inadequate response to at least a 3-month trial of systemic antibiotic therapy. The patients in HS-I and HS-II had Hurley Stage II or III disease with at least 3 abscesses or inflammatory nodules.</w:t>
      </w:r>
    </w:p>
    <w:p w14:paraId="3C54391F" w14:textId="77777777" w:rsidR="005918B3" w:rsidRPr="001775D9" w:rsidRDefault="005918B3" w:rsidP="00FB5458">
      <w:pPr>
        <w:shd w:val="clear" w:color="auto" w:fill="FFFFFF"/>
        <w:tabs>
          <w:tab w:val="clear" w:pos="567"/>
        </w:tabs>
        <w:spacing w:line="240" w:lineRule="auto"/>
        <w:rPr>
          <w:rFonts w:eastAsia="Times New Roman"/>
          <w:color w:val="000000"/>
          <w:szCs w:val="22"/>
        </w:rPr>
      </w:pPr>
    </w:p>
    <w:p w14:paraId="06202B43" w14:textId="3BF39F30"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Study HS-I (PIONEER I) evaluated 307 patients with 2 treatment periods. In Period A, patients received placebo or </w:t>
      </w:r>
      <w:r w:rsidR="00ED66EA" w:rsidRPr="001775D9">
        <w:rPr>
          <w:rFonts w:eastAsia="Times New Roman"/>
          <w:color w:val="000000"/>
          <w:szCs w:val="22"/>
        </w:rPr>
        <w:t>adalimumab</w:t>
      </w:r>
      <w:r w:rsidRPr="001775D9">
        <w:rPr>
          <w:rFonts w:eastAsia="Times New Roman"/>
          <w:color w:val="000000"/>
          <w:szCs w:val="22"/>
        </w:rPr>
        <w:t xml:space="preserve"> at an initial dose of 160</w:t>
      </w:r>
      <w:r w:rsidR="00163215" w:rsidRPr="001775D9">
        <w:rPr>
          <w:color w:val="000000"/>
          <w:szCs w:val="22"/>
        </w:rPr>
        <w:t> </w:t>
      </w:r>
      <w:r w:rsidRPr="001775D9">
        <w:rPr>
          <w:rFonts w:eastAsia="Times New Roman"/>
          <w:color w:val="000000"/>
          <w:szCs w:val="22"/>
        </w:rPr>
        <w:t xml:space="preserve">mg at </w:t>
      </w:r>
      <w:r w:rsidR="00570C3D" w:rsidRPr="001775D9">
        <w:rPr>
          <w:szCs w:val="22"/>
        </w:rPr>
        <w:t>week</w:t>
      </w:r>
      <w:r w:rsidRPr="001775D9">
        <w:rPr>
          <w:rFonts w:eastAsia="Times New Roman"/>
          <w:color w:val="000000"/>
          <w:szCs w:val="22"/>
        </w:rPr>
        <w:t xml:space="preserve"> 0, 80</w:t>
      </w:r>
      <w:r w:rsidR="00163215" w:rsidRPr="001775D9">
        <w:rPr>
          <w:color w:val="000000"/>
          <w:szCs w:val="22"/>
        </w:rPr>
        <w:t> </w:t>
      </w:r>
      <w:r w:rsidRPr="001775D9">
        <w:rPr>
          <w:rFonts w:eastAsia="Times New Roman"/>
          <w:color w:val="000000"/>
          <w:szCs w:val="22"/>
        </w:rPr>
        <w:t xml:space="preserve">mg at </w:t>
      </w:r>
      <w:r w:rsidR="00570C3D" w:rsidRPr="001775D9">
        <w:rPr>
          <w:szCs w:val="22"/>
        </w:rPr>
        <w:t>week</w:t>
      </w:r>
      <w:r w:rsidRPr="001775D9">
        <w:rPr>
          <w:rFonts w:eastAsia="Times New Roman"/>
          <w:color w:val="000000"/>
          <w:szCs w:val="22"/>
        </w:rPr>
        <w:t xml:space="preserve"> 2, and 40</w:t>
      </w:r>
      <w:r w:rsidR="00163215" w:rsidRPr="001775D9">
        <w:rPr>
          <w:color w:val="000000"/>
          <w:szCs w:val="22"/>
        </w:rPr>
        <w:t> </w:t>
      </w:r>
      <w:r w:rsidRPr="001775D9">
        <w:rPr>
          <w:rFonts w:eastAsia="Times New Roman"/>
          <w:color w:val="000000"/>
          <w:szCs w:val="22"/>
        </w:rPr>
        <w:t xml:space="preserve">mg every week starting at </w:t>
      </w:r>
      <w:r w:rsidR="00570C3D" w:rsidRPr="001775D9">
        <w:rPr>
          <w:szCs w:val="22"/>
        </w:rPr>
        <w:t>week</w:t>
      </w:r>
      <w:r w:rsidRPr="001775D9">
        <w:rPr>
          <w:rFonts w:eastAsia="Times New Roman"/>
          <w:color w:val="000000"/>
          <w:szCs w:val="22"/>
        </w:rPr>
        <w:t xml:space="preserve"> 4 to </w:t>
      </w:r>
      <w:r w:rsidR="00570C3D" w:rsidRPr="001775D9">
        <w:rPr>
          <w:szCs w:val="22"/>
        </w:rPr>
        <w:t>week</w:t>
      </w:r>
      <w:r w:rsidRPr="001775D9">
        <w:rPr>
          <w:rFonts w:eastAsia="Times New Roman"/>
          <w:color w:val="000000"/>
          <w:szCs w:val="22"/>
        </w:rPr>
        <w:t xml:space="preserve"> 11. Concomitant antibiotic use was not allowed during the study. After 12 weeks of therapy, patients who had received </w:t>
      </w:r>
      <w:r w:rsidR="00ED66EA" w:rsidRPr="001775D9">
        <w:rPr>
          <w:rFonts w:eastAsia="Times New Roman"/>
          <w:color w:val="000000"/>
          <w:szCs w:val="22"/>
        </w:rPr>
        <w:t>adalimumab</w:t>
      </w:r>
      <w:r w:rsidRPr="001775D9">
        <w:rPr>
          <w:rFonts w:eastAsia="Times New Roman"/>
          <w:color w:val="000000"/>
          <w:szCs w:val="22"/>
        </w:rPr>
        <w:t xml:space="preserve"> in Period A were re-randomised in Period B to 1 of 3 treatment groups (</w:t>
      </w:r>
      <w:r w:rsidR="00ED66EA" w:rsidRPr="001775D9">
        <w:rPr>
          <w:rFonts w:eastAsia="Times New Roman"/>
          <w:color w:val="000000"/>
          <w:szCs w:val="22"/>
        </w:rPr>
        <w:t>adalimumab</w:t>
      </w:r>
      <w:r w:rsidRPr="001775D9">
        <w:rPr>
          <w:rFonts w:eastAsia="Times New Roman"/>
          <w:color w:val="000000"/>
          <w:szCs w:val="22"/>
        </w:rPr>
        <w:t xml:space="preserve"> 40</w:t>
      </w:r>
      <w:r w:rsidR="00163215" w:rsidRPr="001775D9">
        <w:rPr>
          <w:color w:val="000000"/>
          <w:szCs w:val="22"/>
        </w:rPr>
        <w:t> </w:t>
      </w:r>
      <w:r w:rsidRPr="001775D9">
        <w:rPr>
          <w:rFonts w:eastAsia="Times New Roman"/>
          <w:color w:val="000000"/>
          <w:szCs w:val="22"/>
        </w:rPr>
        <w:t xml:space="preserve">mg every week, </w:t>
      </w:r>
      <w:r w:rsidR="00ED66EA" w:rsidRPr="001775D9">
        <w:rPr>
          <w:rFonts w:eastAsia="Times New Roman"/>
          <w:color w:val="000000"/>
          <w:szCs w:val="22"/>
        </w:rPr>
        <w:t>adalimumab</w:t>
      </w:r>
      <w:r w:rsidRPr="001775D9">
        <w:rPr>
          <w:rFonts w:eastAsia="Times New Roman"/>
          <w:color w:val="000000"/>
          <w:szCs w:val="22"/>
        </w:rPr>
        <w:t xml:space="preserve"> 40</w:t>
      </w:r>
      <w:r w:rsidR="00163215" w:rsidRPr="001775D9">
        <w:rPr>
          <w:color w:val="000000"/>
          <w:szCs w:val="22"/>
        </w:rPr>
        <w:t> </w:t>
      </w:r>
      <w:r w:rsidRPr="001775D9">
        <w:rPr>
          <w:rFonts w:eastAsia="Times New Roman"/>
          <w:color w:val="000000"/>
          <w:szCs w:val="22"/>
        </w:rPr>
        <w:t xml:space="preserve">mg every other week, or placebo from </w:t>
      </w:r>
      <w:r w:rsidR="00570C3D" w:rsidRPr="001775D9">
        <w:rPr>
          <w:szCs w:val="22"/>
        </w:rPr>
        <w:t>week</w:t>
      </w:r>
      <w:r w:rsidRPr="001775D9">
        <w:rPr>
          <w:rFonts w:eastAsia="Times New Roman"/>
          <w:color w:val="000000"/>
          <w:szCs w:val="22"/>
        </w:rPr>
        <w:t xml:space="preserve"> 12 to </w:t>
      </w:r>
      <w:r w:rsidR="00570C3D" w:rsidRPr="001775D9">
        <w:rPr>
          <w:szCs w:val="22"/>
        </w:rPr>
        <w:t>week</w:t>
      </w:r>
      <w:r w:rsidRPr="001775D9">
        <w:rPr>
          <w:rFonts w:eastAsia="Times New Roman"/>
          <w:color w:val="000000"/>
          <w:szCs w:val="22"/>
        </w:rPr>
        <w:t xml:space="preserve"> 35). Patients who had been randomised to placebo in Period A were assigned to receive </w:t>
      </w:r>
      <w:r w:rsidR="00570C3D" w:rsidRPr="001775D9">
        <w:rPr>
          <w:rFonts w:eastAsia="Times New Roman"/>
          <w:color w:val="000000"/>
          <w:szCs w:val="22"/>
        </w:rPr>
        <w:t>adalimumab</w:t>
      </w:r>
      <w:r w:rsidRPr="001775D9">
        <w:rPr>
          <w:rFonts w:eastAsia="Times New Roman"/>
          <w:color w:val="000000"/>
          <w:szCs w:val="22"/>
        </w:rPr>
        <w:t xml:space="preserve"> 40</w:t>
      </w:r>
      <w:r w:rsidR="00163215" w:rsidRPr="001775D9">
        <w:rPr>
          <w:color w:val="000000"/>
          <w:szCs w:val="22"/>
        </w:rPr>
        <w:t> </w:t>
      </w:r>
      <w:r w:rsidRPr="001775D9">
        <w:rPr>
          <w:rFonts w:eastAsia="Times New Roman"/>
          <w:color w:val="000000"/>
          <w:szCs w:val="22"/>
        </w:rPr>
        <w:t>mg every week in Period B.</w:t>
      </w:r>
    </w:p>
    <w:p w14:paraId="1B286A61" w14:textId="77777777" w:rsidR="005918B3" w:rsidRPr="001775D9" w:rsidRDefault="005918B3" w:rsidP="00FB5458">
      <w:pPr>
        <w:shd w:val="clear" w:color="auto" w:fill="FFFFFF"/>
        <w:tabs>
          <w:tab w:val="clear" w:pos="567"/>
        </w:tabs>
        <w:spacing w:line="240" w:lineRule="auto"/>
        <w:rPr>
          <w:rFonts w:eastAsia="Times New Roman"/>
          <w:color w:val="000000"/>
          <w:szCs w:val="22"/>
        </w:rPr>
      </w:pPr>
    </w:p>
    <w:p w14:paraId="7885D830" w14:textId="77777777"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Study HS-II (PIONEER II) evaluated 326 patients with 2 treatment periods. In Period A, patients received placebo or </w:t>
      </w:r>
      <w:r w:rsidR="00ED66EA" w:rsidRPr="001775D9">
        <w:rPr>
          <w:rFonts w:eastAsia="Times New Roman"/>
          <w:color w:val="000000"/>
          <w:szCs w:val="22"/>
        </w:rPr>
        <w:t>adalimumab</w:t>
      </w:r>
      <w:r w:rsidRPr="001775D9">
        <w:rPr>
          <w:rFonts w:eastAsia="Times New Roman"/>
          <w:color w:val="000000"/>
          <w:szCs w:val="22"/>
        </w:rPr>
        <w:t xml:space="preserve"> at an initial dose of 160</w:t>
      </w:r>
      <w:r w:rsidR="00163215" w:rsidRPr="001775D9">
        <w:rPr>
          <w:color w:val="000000"/>
          <w:szCs w:val="22"/>
        </w:rPr>
        <w:t> </w:t>
      </w:r>
      <w:r w:rsidRPr="001775D9">
        <w:rPr>
          <w:rFonts w:eastAsia="Times New Roman"/>
          <w:color w:val="000000"/>
          <w:szCs w:val="22"/>
        </w:rPr>
        <w:t xml:space="preserve">mg at </w:t>
      </w:r>
      <w:r w:rsidR="00570C3D" w:rsidRPr="001775D9">
        <w:rPr>
          <w:szCs w:val="22"/>
        </w:rPr>
        <w:t>week</w:t>
      </w:r>
      <w:r w:rsidRPr="001775D9">
        <w:rPr>
          <w:rFonts w:eastAsia="Times New Roman"/>
          <w:color w:val="000000"/>
          <w:szCs w:val="22"/>
        </w:rPr>
        <w:t xml:space="preserve"> 0 and 80</w:t>
      </w:r>
      <w:r w:rsidR="00163215" w:rsidRPr="001775D9">
        <w:rPr>
          <w:color w:val="000000"/>
          <w:szCs w:val="22"/>
        </w:rPr>
        <w:t> </w:t>
      </w:r>
      <w:r w:rsidRPr="001775D9">
        <w:rPr>
          <w:rFonts w:eastAsia="Times New Roman"/>
          <w:color w:val="000000"/>
          <w:szCs w:val="22"/>
        </w:rPr>
        <w:t xml:space="preserve">mg at </w:t>
      </w:r>
      <w:r w:rsidR="00570C3D" w:rsidRPr="001775D9">
        <w:rPr>
          <w:szCs w:val="22"/>
        </w:rPr>
        <w:t>week</w:t>
      </w:r>
      <w:r w:rsidRPr="001775D9">
        <w:rPr>
          <w:rFonts w:eastAsia="Times New Roman"/>
          <w:color w:val="000000"/>
          <w:szCs w:val="22"/>
        </w:rPr>
        <w:t xml:space="preserve"> 2 and 40</w:t>
      </w:r>
      <w:r w:rsidR="00163215" w:rsidRPr="001775D9">
        <w:rPr>
          <w:color w:val="000000"/>
          <w:szCs w:val="22"/>
        </w:rPr>
        <w:t> </w:t>
      </w:r>
      <w:r w:rsidRPr="001775D9">
        <w:rPr>
          <w:rFonts w:eastAsia="Times New Roman"/>
          <w:color w:val="000000"/>
          <w:szCs w:val="22"/>
        </w:rPr>
        <w:t xml:space="preserve">mg every week starting at </w:t>
      </w:r>
      <w:r w:rsidR="00570C3D" w:rsidRPr="001775D9">
        <w:rPr>
          <w:szCs w:val="22"/>
        </w:rPr>
        <w:t>week</w:t>
      </w:r>
      <w:r w:rsidRPr="001775D9">
        <w:rPr>
          <w:rFonts w:eastAsia="Times New Roman"/>
          <w:color w:val="000000"/>
          <w:szCs w:val="22"/>
        </w:rPr>
        <w:t xml:space="preserve"> 4 to </w:t>
      </w:r>
      <w:r w:rsidR="00570C3D" w:rsidRPr="001775D9">
        <w:rPr>
          <w:szCs w:val="22"/>
        </w:rPr>
        <w:t>week</w:t>
      </w:r>
      <w:r w:rsidRPr="001775D9">
        <w:rPr>
          <w:rFonts w:eastAsia="Times New Roman"/>
          <w:color w:val="000000"/>
          <w:szCs w:val="22"/>
        </w:rPr>
        <w:t xml:space="preserve"> 11. 19.3% of patients had continued baseline oral antibiotic therapy during the study. After 12 weeks of therapy, patients who had received </w:t>
      </w:r>
      <w:r w:rsidR="00ED66EA" w:rsidRPr="001775D9">
        <w:rPr>
          <w:rFonts w:eastAsia="Times New Roman"/>
          <w:color w:val="000000"/>
          <w:szCs w:val="22"/>
        </w:rPr>
        <w:t>adalimumab</w:t>
      </w:r>
      <w:r w:rsidRPr="001775D9">
        <w:rPr>
          <w:rFonts w:eastAsia="Times New Roman"/>
          <w:color w:val="000000"/>
          <w:szCs w:val="22"/>
        </w:rPr>
        <w:t xml:space="preserve"> in Period A were re-randomised in Period B to 1 of 3 treatment groups (</w:t>
      </w:r>
      <w:r w:rsidR="00ED66EA" w:rsidRPr="001775D9">
        <w:rPr>
          <w:rFonts w:eastAsia="Times New Roman"/>
          <w:color w:val="000000"/>
          <w:szCs w:val="22"/>
        </w:rPr>
        <w:t>adalimumab</w:t>
      </w:r>
      <w:r w:rsidRPr="001775D9">
        <w:rPr>
          <w:rFonts w:eastAsia="Times New Roman"/>
          <w:color w:val="000000"/>
          <w:szCs w:val="22"/>
        </w:rPr>
        <w:t xml:space="preserve"> 40</w:t>
      </w:r>
      <w:r w:rsidR="00163215" w:rsidRPr="001775D9">
        <w:rPr>
          <w:color w:val="000000"/>
          <w:szCs w:val="22"/>
        </w:rPr>
        <w:t> </w:t>
      </w:r>
      <w:r w:rsidRPr="001775D9">
        <w:rPr>
          <w:rFonts w:eastAsia="Times New Roman"/>
          <w:color w:val="000000"/>
          <w:szCs w:val="22"/>
        </w:rPr>
        <w:t xml:space="preserve">mg every week, </w:t>
      </w:r>
      <w:r w:rsidR="00ED66EA" w:rsidRPr="001775D9">
        <w:rPr>
          <w:rFonts w:eastAsia="Times New Roman"/>
          <w:color w:val="000000"/>
          <w:szCs w:val="22"/>
        </w:rPr>
        <w:t>adalimumab</w:t>
      </w:r>
      <w:r w:rsidRPr="001775D9">
        <w:rPr>
          <w:rFonts w:eastAsia="Times New Roman"/>
          <w:color w:val="000000"/>
          <w:szCs w:val="22"/>
        </w:rPr>
        <w:t xml:space="preserve"> 40</w:t>
      </w:r>
      <w:r w:rsidR="00163215" w:rsidRPr="001775D9">
        <w:rPr>
          <w:color w:val="000000"/>
          <w:szCs w:val="22"/>
        </w:rPr>
        <w:t> </w:t>
      </w:r>
      <w:r w:rsidRPr="001775D9">
        <w:rPr>
          <w:rFonts w:eastAsia="Times New Roman"/>
          <w:color w:val="000000"/>
          <w:szCs w:val="22"/>
        </w:rPr>
        <w:t xml:space="preserve">mg every other week, or placebo from </w:t>
      </w:r>
      <w:r w:rsidR="00570C3D" w:rsidRPr="001775D9">
        <w:rPr>
          <w:szCs w:val="22"/>
        </w:rPr>
        <w:t>week</w:t>
      </w:r>
      <w:r w:rsidRPr="001775D9">
        <w:rPr>
          <w:rFonts w:eastAsia="Times New Roman"/>
          <w:color w:val="000000"/>
          <w:szCs w:val="22"/>
        </w:rPr>
        <w:t xml:space="preserve"> 12 to </w:t>
      </w:r>
      <w:r w:rsidR="00570C3D" w:rsidRPr="001775D9">
        <w:rPr>
          <w:szCs w:val="22"/>
        </w:rPr>
        <w:t>week</w:t>
      </w:r>
      <w:r w:rsidRPr="001775D9">
        <w:rPr>
          <w:rFonts w:eastAsia="Times New Roman"/>
          <w:color w:val="000000"/>
          <w:szCs w:val="22"/>
        </w:rPr>
        <w:t xml:space="preserve"> 35). Patients who had been randomised to placebo in Period A were assigned to receive placebo in Period B.</w:t>
      </w:r>
    </w:p>
    <w:p w14:paraId="41C3982F" w14:textId="77777777" w:rsidR="005918B3" w:rsidRPr="001775D9" w:rsidRDefault="005918B3" w:rsidP="00FB5458">
      <w:pPr>
        <w:shd w:val="clear" w:color="auto" w:fill="FFFFFF"/>
        <w:tabs>
          <w:tab w:val="clear" w:pos="567"/>
        </w:tabs>
        <w:spacing w:line="240" w:lineRule="auto"/>
        <w:rPr>
          <w:rFonts w:eastAsia="Times New Roman"/>
          <w:color w:val="000000"/>
          <w:szCs w:val="22"/>
        </w:rPr>
      </w:pPr>
    </w:p>
    <w:p w14:paraId="07B20889" w14:textId="77777777"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Patients participating in Studies HS-I and HS-II were eligible to enrol into an open-label extension study in which </w:t>
      </w:r>
      <w:r w:rsidR="00ED66EA" w:rsidRPr="001775D9">
        <w:rPr>
          <w:rFonts w:eastAsia="Times New Roman"/>
          <w:color w:val="000000"/>
          <w:szCs w:val="22"/>
        </w:rPr>
        <w:t>adalimumab</w:t>
      </w:r>
      <w:r w:rsidRPr="001775D9">
        <w:rPr>
          <w:rFonts w:eastAsia="Times New Roman"/>
          <w:color w:val="000000"/>
          <w:szCs w:val="22"/>
        </w:rPr>
        <w:t xml:space="preserve"> 40</w:t>
      </w:r>
      <w:r w:rsidR="00163215" w:rsidRPr="001775D9">
        <w:rPr>
          <w:color w:val="000000"/>
          <w:szCs w:val="22"/>
        </w:rPr>
        <w:t> </w:t>
      </w:r>
      <w:r w:rsidRPr="001775D9">
        <w:rPr>
          <w:rFonts w:eastAsia="Times New Roman"/>
          <w:color w:val="000000"/>
          <w:szCs w:val="22"/>
        </w:rPr>
        <w:t xml:space="preserve">mg was administered every week. </w:t>
      </w:r>
      <w:r w:rsidR="007E19C6" w:rsidRPr="001775D9">
        <w:rPr>
          <w:lang w:eastAsia="ja-JP"/>
        </w:rPr>
        <w:t xml:space="preserve">Mean exposure in all adalimumab population was 762 days. </w:t>
      </w:r>
      <w:r w:rsidRPr="001775D9">
        <w:rPr>
          <w:rFonts w:eastAsia="Times New Roman"/>
          <w:color w:val="000000"/>
          <w:szCs w:val="22"/>
        </w:rPr>
        <w:t>Throughout all 3 studies patients used topical antiseptic wash daily.</w:t>
      </w:r>
    </w:p>
    <w:p w14:paraId="53FE31DB" w14:textId="77777777" w:rsidR="005918B3" w:rsidRPr="001775D9" w:rsidRDefault="005918B3" w:rsidP="00FB5458">
      <w:pPr>
        <w:shd w:val="clear" w:color="auto" w:fill="FFFFFF"/>
        <w:tabs>
          <w:tab w:val="clear" w:pos="567"/>
        </w:tabs>
        <w:spacing w:line="240" w:lineRule="auto"/>
        <w:rPr>
          <w:rFonts w:eastAsia="Times New Roman"/>
          <w:color w:val="000000"/>
          <w:szCs w:val="22"/>
        </w:rPr>
      </w:pPr>
    </w:p>
    <w:p w14:paraId="59CB8057" w14:textId="77777777" w:rsidR="00B334F7" w:rsidRPr="001775D9" w:rsidRDefault="00B334F7" w:rsidP="00FB5458">
      <w:pPr>
        <w:shd w:val="clear" w:color="auto" w:fill="FFFFFF"/>
        <w:tabs>
          <w:tab w:val="clear" w:pos="567"/>
        </w:tabs>
        <w:spacing w:line="240" w:lineRule="auto"/>
        <w:rPr>
          <w:rFonts w:eastAsia="Times New Roman"/>
          <w:i/>
          <w:iCs/>
          <w:color w:val="000000"/>
          <w:szCs w:val="22"/>
          <w:u w:val="single"/>
        </w:rPr>
      </w:pPr>
      <w:r w:rsidRPr="001775D9">
        <w:rPr>
          <w:rFonts w:eastAsia="Times New Roman"/>
          <w:i/>
          <w:iCs/>
          <w:color w:val="000000"/>
          <w:szCs w:val="22"/>
          <w:u w:val="single"/>
        </w:rPr>
        <w:t xml:space="preserve">Clinical </w:t>
      </w:r>
      <w:r w:rsidR="00FD3EBD" w:rsidRPr="001775D9">
        <w:rPr>
          <w:rFonts w:eastAsia="Times New Roman"/>
          <w:i/>
          <w:iCs/>
          <w:color w:val="000000"/>
          <w:szCs w:val="22"/>
          <w:u w:val="single"/>
        </w:rPr>
        <w:t>r</w:t>
      </w:r>
      <w:r w:rsidRPr="001775D9">
        <w:rPr>
          <w:rFonts w:eastAsia="Times New Roman"/>
          <w:i/>
          <w:iCs/>
          <w:color w:val="000000"/>
          <w:szCs w:val="22"/>
          <w:u w:val="single"/>
        </w:rPr>
        <w:t>esponse</w:t>
      </w:r>
    </w:p>
    <w:p w14:paraId="6F076504" w14:textId="77777777" w:rsidR="005918B3" w:rsidRPr="001775D9" w:rsidRDefault="005918B3" w:rsidP="00FB5458">
      <w:pPr>
        <w:shd w:val="clear" w:color="auto" w:fill="FFFFFF"/>
        <w:tabs>
          <w:tab w:val="clear" w:pos="567"/>
        </w:tabs>
        <w:spacing w:line="240" w:lineRule="auto"/>
        <w:rPr>
          <w:rFonts w:eastAsia="Times New Roman"/>
          <w:color w:val="000000"/>
          <w:szCs w:val="22"/>
        </w:rPr>
      </w:pPr>
    </w:p>
    <w:p w14:paraId="09BB3B60" w14:textId="35EDF7C7"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Reduction of inflammatory lesions and prevention of worsening of abscesses and draining fistulas was assessed using Hidradenitis Suppurativa </w:t>
      </w:r>
      <w:r w:rsidR="00FD3EBD" w:rsidRPr="001775D9">
        <w:rPr>
          <w:rFonts w:eastAsia="Times New Roman"/>
          <w:color w:val="000000"/>
          <w:szCs w:val="22"/>
        </w:rPr>
        <w:t>c</w:t>
      </w:r>
      <w:r w:rsidRPr="001775D9">
        <w:rPr>
          <w:rFonts w:eastAsia="Times New Roman"/>
          <w:color w:val="000000"/>
          <w:szCs w:val="22"/>
        </w:rPr>
        <w:t xml:space="preserve">linical </w:t>
      </w:r>
      <w:r w:rsidR="00FD3EBD" w:rsidRPr="001775D9">
        <w:rPr>
          <w:rFonts w:eastAsia="Times New Roman"/>
          <w:color w:val="000000"/>
          <w:szCs w:val="22"/>
        </w:rPr>
        <w:t>r</w:t>
      </w:r>
      <w:r w:rsidRPr="001775D9">
        <w:rPr>
          <w:rFonts w:eastAsia="Times New Roman"/>
          <w:color w:val="000000"/>
          <w:szCs w:val="22"/>
        </w:rPr>
        <w:t xml:space="preserve">esponse (HiSCR; </w:t>
      </w:r>
      <w:r w:rsidR="005D4942" w:rsidRPr="001775D9">
        <w:rPr>
          <w:rFonts w:eastAsia="Times New Roman"/>
          <w:color w:val="000000"/>
          <w:szCs w:val="22"/>
        </w:rPr>
        <w:t xml:space="preserve">at least a </w:t>
      </w:r>
      <w:r w:rsidRPr="001775D9">
        <w:rPr>
          <w:rFonts w:eastAsia="Times New Roman"/>
          <w:color w:val="000000"/>
          <w:szCs w:val="22"/>
        </w:rPr>
        <w:t xml:space="preserve">50% reduction in total abscess and inflammatory nodule count with no increase in abscess count and no increase in draining fistula count relative to Baseline). Reduction in HS-related skin pain was assessed using a Numeric Rating Scale in patients who entered the study with an initial baseline score of 3 or greater on a 11 point scale. </w:t>
      </w:r>
    </w:p>
    <w:p w14:paraId="6EE17B28" w14:textId="77777777" w:rsidR="00570C3D" w:rsidRPr="001775D9" w:rsidRDefault="00570C3D" w:rsidP="00FB5458">
      <w:pPr>
        <w:shd w:val="clear" w:color="auto" w:fill="FFFFFF"/>
        <w:tabs>
          <w:tab w:val="clear" w:pos="567"/>
        </w:tabs>
        <w:spacing w:line="240" w:lineRule="auto"/>
        <w:rPr>
          <w:rFonts w:eastAsia="Times New Roman"/>
          <w:color w:val="000000"/>
          <w:szCs w:val="22"/>
        </w:rPr>
      </w:pPr>
    </w:p>
    <w:p w14:paraId="5B3EB0F4" w14:textId="6E13C835"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At </w:t>
      </w:r>
      <w:r w:rsidR="00570C3D" w:rsidRPr="001775D9">
        <w:rPr>
          <w:szCs w:val="22"/>
        </w:rPr>
        <w:t>week</w:t>
      </w:r>
      <w:r w:rsidRPr="001775D9">
        <w:rPr>
          <w:rFonts w:eastAsia="Times New Roman"/>
          <w:color w:val="000000"/>
          <w:szCs w:val="22"/>
        </w:rPr>
        <w:t xml:space="preserve"> 12, a significantly higher proportion of patients treated with </w:t>
      </w:r>
      <w:r w:rsidR="00ED66EA" w:rsidRPr="001775D9">
        <w:rPr>
          <w:rFonts w:eastAsia="Times New Roman"/>
          <w:color w:val="000000"/>
          <w:szCs w:val="22"/>
        </w:rPr>
        <w:t>adalimumab</w:t>
      </w:r>
      <w:r w:rsidRPr="001775D9">
        <w:rPr>
          <w:rFonts w:eastAsia="Times New Roman"/>
          <w:color w:val="000000"/>
          <w:szCs w:val="22"/>
        </w:rPr>
        <w:t xml:space="preserve"> versus placebo achieved HiSCR. At </w:t>
      </w:r>
      <w:r w:rsidR="00570C3D" w:rsidRPr="001775D9">
        <w:rPr>
          <w:szCs w:val="22"/>
        </w:rPr>
        <w:t>week</w:t>
      </w:r>
      <w:r w:rsidRPr="001775D9">
        <w:rPr>
          <w:rFonts w:eastAsia="Times New Roman"/>
          <w:color w:val="000000"/>
          <w:szCs w:val="22"/>
        </w:rPr>
        <w:t xml:space="preserve"> 12, a significantly higher proportion of patients in </w:t>
      </w:r>
      <w:r w:rsidR="00570C3D" w:rsidRPr="001775D9">
        <w:rPr>
          <w:rFonts w:eastAsia="Times New Roman"/>
          <w:color w:val="000000"/>
          <w:szCs w:val="22"/>
        </w:rPr>
        <w:t>s</w:t>
      </w:r>
      <w:r w:rsidRPr="001775D9">
        <w:rPr>
          <w:rFonts w:eastAsia="Times New Roman"/>
          <w:color w:val="000000"/>
          <w:szCs w:val="22"/>
        </w:rPr>
        <w:t xml:space="preserve">tudy HS-II experienced a clinically relevant decrease in HS-related skin pain (see </w:t>
      </w:r>
      <w:r w:rsidR="00570C3D" w:rsidRPr="001775D9">
        <w:rPr>
          <w:rFonts w:eastAsia="Times New Roman"/>
          <w:color w:val="000000"/>
          <w:szCs w:val="22"/>
        </w:rPr>
        <w:t>t</w:t>
      </w:r>
      <w:r w:rsidRPr="001775D9">
        <w:rPr>
          <w:rFonts w:eastAsia="Times New Roman"/>
          <w:color w:val="000000"/>
          <w:szCs w:val="22"/>
        </w:rPr>
        <w:t xml:space="preserve">able </w:t>
      </w:r>
      <w:r w:rsidR="004D7CC1" w:rsidRPr="001775D9">
        <w:rPr>
          <w:rFonts w:eastAsia="Times New Roman"/>
          <w:color w:val="000000"/>
          <w:szCs w:val="22"/>
        </w:rPr>
        <w:t>19</w:t>
      </w:r>
      <w:r w:rsidRPr="001775D9">
        <w:rPr>
          <w:rFonts w:eastAsia="Times New Roman"/>
          <w:color w:val="000000"/>
          <w:szCs w:val="22"/>
        </w:rPr>
        <w:t xml:space="preserve">). Patients treated with </w:t>
      </w:r>
      <w:r w:rsidR="00ED66EA" w:rsidRPr="001775D9">
        <w:rPr>
          <w:rFonts w:eastAsia="Times New Roman"/>
          <w:color w:val="000000"/>
          <w:szCs w:val="22"/>
        </w:rPr>
        <w:t>adalimumab</w:t>
      </w:r>
      <w:r w:rsidRPr="001775D9">
        <w:rPr>
          <w:rFonts w:eastAsia="Times New Roman"/>
          <w:color w:val="000000"/>
          <w:szCs w:val="22"/>
        </w:rPr>
        <w:t xml:space="preserve"> had significantly reduced risk of disease flare during the initial 12 weeks of treatment. </w:t>
      </w:r>
    </w:p>
    <w:p w14:paraId="0F177190" w14:textId="77777777" w:rsidR="005918B3" w:rsidRPr="001775D9" w:rsidRDefault="005918B3" w:rsidP="00FB5458">
      <w:pPr>
        <w:shd w:val="clear" w:color="auto" w:fill="FFFFFF"/>
        <w:tabs>
          <w:tab w:val="clear" w:pos="567"/>
        </w:tabs>
        <w:spacing w:line="240" w:lineRule="auto"/>
        <w:rPr>
          <w:rFonts w:eastAsia="Times New Roman"/>
          <w:b/>
          <w:bCs/>
          <w:color w:val="000000"/>
          <w:szCs w:val="22"/>
        </w:rPr>
      </w:pPr>
    </w:p>
    <w:p w14:paraId="116C4A87" w14:textId="4A9692F2" w:rsidR="00B334F7" w:rsidRPr="001775D9" w:rsidRDefault="00B334F7" w:rsidP="00A757C6">
      <w:pPr>
        <w:keepNext/>
        <w:shd w:val="clear" w:color="auto" w:fill="FFFFFF"/>
        <w:tabs>
          <w:tab w:val="clear" w:pos="567"/>
        </w:tabs>
        <w:spacing w:line="240" w:lineRule="auto"/>
        <w:rPr>
          <w:rFonts w:eastAsia="Times New Roman"/>
          <w:b/>
          <w:bCs/>
          <w:color w:val="000000"/>
          <w:szCs w:val="22"/>
        </w:rPr>
      </w:pPr>
      <w:r w:rsidRPr="001775D9">
        <w:rPr>
          <w:rFonts w:eastAsia="Times New Roman"/>
          <w:b/>
          <w:bCs/>
          <w:color w:val="000000"/>
          <w:szCs w:val="22"/>
        </w:rPr>
        <w:t xml:space="preserve">Table </w:t>
      </w:r>
      <w:r w:rsidR="004D7CC1" w:rsidRPr="001775D9">
        <w:rPr>
          <w:rFonts w:eastAsia="Times New Roman"/>
          <w:b/>
          <w:bCs/>
          <w:color w:val="000000"/>
          <w:szCs w:val="22"/>
        </w:rPr>
        <w:t>19</w:t>
      </w:r>
      <w:r w:rsidR="00560AB5" w:rsidRPr="001775D9">
        <w:rPr>
          <w:rFonts w:eastAsia="Times New Roman"/>
          <w:b/>
          <w:bCs/>
          <w:color w:val="000000"/>
          <w:szCs w:val="22"/>
        </w:rPr>
        <w:t>.</w:t>
      </w:r>
      <w:r w:rsidR="00110304" w:rsidRPr="001775D9">
        <w:rPr>
          <w:rFonts w:eastAsia="Times New Roman"/>
          <w:b/>
          <w:bCs/>
          <w:color w:val="000000"/>
          <w:szCs w:val="22"/>
        </w:rPr>
        <w:t xml:space="preserve"> </w:t>
      </w:r>
      <w:r w:rsidRPr="001775D9">
        <w:rPr>
          <w:rFonts w:eastAsia="Times New Roman"/>
          <w:b/>
          <w:bCs/>
          <w:color w:val="000000"/>
          <w:szCs w:val="22"/>
        </w:rPr>
        <w:t xml:space="preserve">Efficacy </w:t>
      </w:r>
      <w:r w:rsidR="00570C3D" w:rsidRPr="001775D9">
        <w:rPr>
          <w:rFonts w:eastAsia="Times New Roman"/>
          <w:b/>
          <w:bCs/>
          <w:color w:val="000000"/>
          <w:szCs w:val="22"/>
        </w:rPr>
        <w:t>r</w:t>
      </w:r>
      <w:r w:rsidRPr="001775D9">
        <w:rPr>
          <w:rFonts w:eastAsia="Times New Roman"/>
          <w:b/>
          <w:bCs/>
          <w:color w:val="000000"/>
          <w:szCs w:val="22"/>
        </w:rPr>
        <w:t xml:space="preserve">esults at 12 </w:t>
      </w:r>
      <w:r w:rsidR="00570C3D" w:rsidRPr="001775D9">
        <w:rPr>
          <w:rFonts w:eastAsia="Times New Roman"/>
          <w:b/>
          <w:bCs/>
          <w:color w:val="000000"/>
          <w:szCs w:val="22"/>
        </w:rPr>
        <w:t>w</w:t>
      </w:r>
      <w:r w:rsidRPr="001775D9">
        <w:rPr>
          <w:rFonts w:eastAsia="Times New Roman"/>
          <w:b/>
          <w:bCs/>
          <w:color w:val="000000"/>
          <w:szCs w:val="22"/>
        </w:rPr>
        <w:t>eeks, HS</w:t>
      </w:r>
      <w:r w:rsidR="00763225" w:rsidRPr="001775D9">
        <w:rPr>
          <w:rFonts w:eastAsia="Times New Roman"/>
          <w:b/>
          <w:bCs/>
          <w:color w:val="000000"/>
          <w:szCs w:val="22"/>
        </w:rPr>
        <w:t xml:space="preserve"> </w:t>
      </w:r>
      <w:r w:rsidR="00570C3D" w:rsidRPr="001775D9">
        <w:rPr>
          <w:rFonts w:eastAsia="Times New Roman"/>
          <w:b/>
          <w:bCs/>
          <w:color w:val="000000"/>
          <w:szCs w:val="22"/>
        </w:rPr>
        <w:t>s</w:t>
      </w:r>
      <w:r w:rsidRPr="001775D9">
        <w:rPr>
          <w:rFonts w:eastAsia="Times New Roman"/>
          <w:b/>
          <w:bCs/>
          <w:color w:val="000000"/>
          <w:szCs w:val="22"/>
        </w:rPr>
        <w:t xml:space="preserve">tudies I and II </w:t>
      </w:r>
    </w:p>
    <w:p w14:paraId="0273CCC7" w14:textId="77777777" w:rsidR="00CD086B" w:rsidRPr="001775D9" w:rsidRDefault="00CD086B" w:rsidP="005D2DCC">
      <w:pPr>
        <w:keepNext/>
        <w:shd w:val="clear" w:color="auto" w:fill="FFFFFF"/>
        <w:tabs>
          <w:tab w:val="clear" w:pos="567"/>
        </w:tabs>
        <w:spacing w:line="240" w:lineRule="auto"/>
        <w:rPr>
          <w:rFonts w:eastAsia="Times New Roman"/>
          <w:color w:val="000000"/>
          <w:szCs w:val="22"/>
        </w:rPr>
      </w:pPr>
    </w:p>
    <w:tbl>
      <w:tblPr>
        <w:tblW w:w="9102"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2158"/>
        <w:gridCol w:w="1700"/>
        <w:gridCol w:w="1702"/>
        <w:gridCol w:w="1700"/>
        <w:gridCol w:w="1842"/>
      </w:tblGrid>
      <w:tr w:rsidR="00B334F7" w:rsidRPr="00F04F82" w14:paraId="3CEF7621" w14:textId="77777777" w:rsidTr="00533832">
        <w:tc>
          <w:tcPr>
            <w:tcW w:w="1185" w:type="pct"/>
            <w:vMerge w:val="restart"/>
            <w:tcBorders>
              <w:top w:val="outset" w:sz="6" w:space="0" w:color="auto"/>
              <w:left w:val="outset" w:sz="6" w:space="0" w:color="auto"/>
              <w:bottom w:val="outset" w:sz="6" w:space="0" w:color="auto"/>
              <w:right w:val="outset" w:sz="6" w:space="0" w:color="auto"/>
            </w:tcBorders>
            <w:hideMark/>
          </w:tcPr>
          <w:p w14:paraId="2F839675" w14:textId="77777777" w:rsidR="00B334F7" w:rsidRPr="001775D9" w:rsidRDefault="00B334F7" w:rsidP="00011A48">
            <w:pPr>
              <w:keepNext/>
              <w:tabs>
                <w:tab w:val="clear" w:pos="567"/>
              </w:tabs>
              <w:spacing w:line="240" w:lineRule="auto"/>
              <w:rPr>
                <w:rFonts w:eastAsia="Times New Roman"/>
                <w:color w:val="000000"/>
                <w:szCs w:val="22"/>
              </w:rPr>
            </w:pPr>
          </w:p>
        </w:tc>
        <w:tc>
          <w:tcPr>
            <w:tcW w:w="1869" w:type="pct"/>
            <w:gridSpan w:val="2"/>
            <w:tcBorders>
              <w:top w:val="outset" w:sz="6" w:space="0" w:color="auto"/>
              <w:left w:val="outset" w:sz="6" w:space="0" w:color="auto"/>
              <w:bottom w:val="outset" w:sz="6" w:space="0" w:color="auto"/>
              <w:right w:val="outset" w:sz="6" w:space="0" w:color="auto"/>
            </w:tcBorders>
            <w:hideMark/>
          </w:tcPr>
          <w:p w14:paraId="662FC7C4" w14:textId="77777777" w:rsidR="00B334F7" w:rsidRPr="001775D9" w:rsidRDefault="00B334F7" w:rsidP="00B56AE9">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 xml:space="preserve">HS </w:t>
            </w:r>
            <w:r w:rsidR="00570C3D" w:rsidRPr="001775D9">
              <w:rPr>
                <w:rFonts w:eastAsia="Times New Roman"/>
                <w:b/>
                <w:bCs/>
                <w:color w:val="000000"/>
                <w:szCs w:val="22"/>
              </w:rPr>
              <w:t>s</w:t>
            </w:r>
            <w:r w:rsidRPr="001775D9">
              <w:rPr>
                <w:rFonts w:eastAsia="Times New Roman"/>
                <w:b/>
                <w:bCs/>
                <w:color w:val="000000"/>
                <w:szCs w:val="22"/>
              </w:rPr>
              <w:t>tudy I</w:t>
            </w:r>
          </w:p>
        </w:tc>
        <w:tc>
          <w:tcPr>
            <w:tcW w:w="1946" w:type="pct"/>
            <w:gridSpan w:val="2"/>
            <w:tcBorders>
              <w:top w:val="outset" w:sz="6" w:space="0" w:color="auto"/>
              <w:left w:val="outset" w:sz="6" w:space="0" w:color="auto"/>
              <w:bottom w:val="outset" w:sz="6" w:space="0" w:color="auto"/>
              <w:right w:val="outset" w:sz="6" w:space="0" w:color="auto"/>
            </w:tcBorders>
            <w:hideMark/>
          </w:tcPr>
          <w:p w14:paraId="520FA310" w14:textId="77777777" w:rsidR="00B334F7" w:rsidRPr="001775D9" w:rsidRDefault="00B334F7" w:rsidP="0032302F">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 xml:space="preserve">HS </w:t>
            </w:r>
            <w:r w:rsidR="00570C3D" w:rsidRPr="001775D9">
              <w:rPr>
                <w:rFonts w:eastAsia="Times New Roman"/>
                <w:b/>
                <w:bCs/>
                <w:color w:val="000000"/>
                <w:szCs w:val="22"/>
              </w:rPr>
              <w:t>s</w:t>
            </w:r>
            <w:r w:rsidRPr="001775D9">
              <w:rPr>
                <w:rFonts w:eastAsia="Times New Roman"/>
                <w:b/>
                <w:bCs/>
                <w:color w:val="000000"/>
                <w:szCs w:val="22"/>
              </w:rPr>
              <w:t>tudy II</w:t>
            </w:r>
          </w:p>
        </w:tc>
      </w:tr>
      <w:tr w:rsidR="00B334F7" w:rsidRPr="00F04F82" w14:paraId="0ACF0D7A" w14:textId="77777777" w:rsidTr="00533832">
        <w:tc>
          <w:tcPr>
            <w:tcW w:w="1185" w:type="pct"/>
            <w:vMerge/>
            <w:tcBorders>
              <w:top w:val="outset" w:sz="6" w:space="0" w:color="auto"/>
              <w:left w:val="outset" w:sz="6" w:space="0" w:color="auto"/>
              <w:bottom w:val="outset" w:sz="6" w:space="0" w:color="auto"/>
              <w:right w:val="outset" w:sz="6" w:space="0" w:color="auto"/>
            </w:tcBorders>
            <w:vAlign w:val="center"/>
            <w:hideMark/>
          </w:tcPr>
          <w:p w14:paraId="4993973F" w14:textId="77777777" w:rsidR="00B334F7" w:rsidRPr="00F04F82" w:rsidRDefault="00B334F7" w:rsidP="006D7681">
            <w:pPr>
              <w:keepNext/>
              <w:tabs>
                <w:tab w:val="clear" w:pos="567"/>
              </w:tabs>
              <w:spacing w:line="240" w:lineRule="auto"/>
              <w:rPr>
                <w:rFonts w:eastAsia="Times New Roman"/>
                <w:color w:val="000000"/>
                <w:szCs w:val="22"/>
              </w:rPr>
            </w:pPr>
          </w:p>
        </w:tc>
        <w:tc>
          <w:tcPr>
            <w:tcW w:w="934" w:type="pct"/>
            <w:tcBorders>
              <w:top w:val="outset" w:sz="6" w:space="0" w:color="auto"/>
              <w:left w:val="outset" w:sz="6" w:space="0" w:color="auto"/>
              <w:bottom w:val="outset" w:sz="6" w:space="0" w:color="auto"/>
              <w:right w:val="outset" w:sz="6" w:space="0" w:color="auto"/>
            </w:tcBorders>
            <w:hideMark/>
          </w:tcPr>
          <w:p w14:paraId="3E1E1BC3"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Placebo</w:t>
            </w:r>
          </w:p>
        </w:tc>
        <w:tc>
          <w:tcPr>
            <w:tcW w:w="935" w:type="pct"/>
            <w:tcBorders>
              <w:top w:val="outset" w:sz="6" w:space="0" w:color="auto"/>
              <w:left w:val="outset" w:sz="6" w:space="0" w:color="auto"/>
              <w:bottom w:val="outset" w:sz="6" w:space="0" w:color="auto"/>
              <w:right w:val="outset" w:sz="6" w:space="0" w:color="auto"/>
            </w:tcBorders>
            <w:hideMark/>
          </w:tcPr>
          <w:p w14:paraId="241BD372" w14:textId="77777777" w:rsidR="00B334F7" w:rsidRPr="001775D9" w:rsidRDefault="00ED66EA" w:rsidP="00CF6F25">
            <w:pPr>
              <w:keepNext/>
              <w:tabs>
                <w:tab w:val="clear" w:pos="567"/>
              </w:tabs>
              <w:spacing w:line="240" w:lineRule="auto"/>
              <w:jc w:val="center"/>
              <w:rPr>
                <w:rFonts w:eastAsia="Times New Roman"/>
                <w:b/>
                <w:color w:val="000000"/>
                <w:szCs w:val="22"/>
              </w:rPr>
            </w:pPr>
            <w:r w:rsidRPr="001775D9">
              <w:rPr>
                <w:rFonts w:eastAsia="Times New Roman"/>
                <w:b/>
                <w:color w:val="000000"/>
                <w:szCs w:val="22"/>
              </w:rPr>
              <w:t>Adalimumab</w:t>
            </w:r>
            <w:r w:rsidRPr="001775D9">
              <w:rPr>
                <w:b/>
                <w:szCs w:val="22"/>
                <w:lang w:eastAsia="en-GB"/>
              </w:rPr>
              <w:t xml:space="preserve"> </w:t>
            </w:r>
            <w:r w:rsidR="00B334F7" w:rsidRPr="001775D9">
              <w:rPr>
                <w:rFonts w:eastAsia="Times New Roman"/>
                <w:b/>
                <w:bCs/>
                <w:color w:val="000000"/>
                <w:szCs w:val="22"/>
              </w:rPr>
              <w:t>40</w:t>
            </w:r>
            <w:r w:rsidR="00163215" w:rsidRPr="001775D9">
              <w:rPr>
                <w:b/>
                <w:color w:val="000000"/>
                <w:szCs w:val="22"/>
              </w:rPr>
              <w:t> </w:t>
            </w:r>
            <w:r w:rsidR="00B334F7" w:rsidRPr="001775D9">
              <w:rPr>
                <w:rFonts w:eastAsia="Times New Roman"/>
                <w:b/>
                <w:bCs/>
                <w:color w:val="000000"/>
                <w:szCs w:val="22"/>
              </w:rPr>
              <w:t xml:space="preserve">mg </w:t>
            </w:r>
            <w:r w:rsidR="00570C3D" w:rsidRPr="001775D9">
              <w:rPr>
                <w:rFonts w:eastAsia="Times New Roman"/>
                <w:b/>
                <w:bCs/>
                <w:color w:val="000000"/>
                <w:szCs w:val="22"/>
              </w:rPr>
              <w:t>w</w:t>
            </w:r>
            <w:r w:rsidR="00B334F7" w:rsidRPr="001775D9">
              <w:rPr>
                <w:rFonts w:eastAsia="Times New Roman"/>
                <w:b/>
                <w:bCs/>
                <w:color w:val="000000"/>
                <w:szCs w:val="22"/>
              </w:rPr>
              <w:t>eekly</w:t>
            </w:r>
          </w:p>
        </w:tc>
        <w:tc>
          <w:tcPr>
            <w:tcW w:w="934" w:type="pct"/>
            <w:tcBorders>
              <w:top w:val="outset" w:sz="6" w:space="0" w:color="auto"/>
              <w:left w:val="outset" w:sz="6" w:space="0" w:color="auto"/>
              <w:bottom w:val="outset" w:sz="6" w:space="0" w:color="auto"/>
              <w:right w:val="outset" w:sz="6" w:space="0" w:color="auto"/>
            </w:tcBorders>
            <w:hideMark/>
          </w:tcPr>
          <w:p w14:paraId="5A8B7A74" w14:textId="77777777" w:rsidR="00B334F7" w:rsidRPr="001775D9" w:rsidRDefault="00B334F7" w:rsidP="00CF6F25">
            <w:pPr>
              <w:keepNext/>
              <w:tabs>
                <w:tab w:val="clear" w:pos="567"/>
              </w:tabs>
              <w:spacing w:line="240" w:lineRule="auto"/>
              <w:jc w:val="center"/>
              <w:rPr>
                <w:rFonts w:eastAsia="Times New Roman"/>
                <w:b/>
                <w:color w:val="000000"/>
                <w:szCs w:val="22"/>
              </w:rPr>
            </w:pPr>
            <w:r w:rsidRPr="001775D9">
              <w:rPr>
                <w:rFonts w:eastAsia="Times New Roman"/>
                <w:b/>
                <w:bCs/>
                <w:color w:val="000000"/>
                <w:szCs w:val="22"/>
              </w:rPr>
              <w:t>Placebo</w:t>
            </w:r>
          </w:p>
        </w:tc>
        <w:tc>
          <w:tcPr>
            <w:tcW w:w="1012" w:type="pct"/>
            <w:tcBorders>
              <w:top w:val="outset" w:sz="6" w:space="0" w:color="auto"/>
              <w:left w:val="outset" w:sz="6" w:space="0" w:color="auto"/>
              <w:bottom w:val="outset" w:sz="6" w:space="0" w:color="auto"/>
              <w:right w:val="outset" w:sz="6" w:space="0" w:color="auto"/>
            </w:tcBorders>
            <w:hideMark/>
          </w:tcPr>
          <w:p w14:paraId="33E59D44" w14:textId="77777777" w:rsidR="00B334F7" w:rsidRPr="001775D9" w:rsidRDefault="00ED66EA" w:rsidP="00CF6F25">
            <w:pPr>
              <w:keepNext/>
              <w:tabs>
                <w:tab w:val="clear" w:pos="567"/>
              </w:tabs>
              <w:spacing w:line="240" w:lineRule="auto"/>
              <w:jc w:val="center"/>
              <w:rPr>
                <w:rFonts w:eastAsia="Times New Roman"/>
                <w:b/>
                <w:color w:val="000000"/>
                <w:szCs w:val="22"/>
              </w:rPr>
            </w:pPr>
            <w:r w:rsidRPr="001775D9">
              <w:rPr>
                <w:rFonts w:eastAsia="Times New Roman"/>
                <w:b/>
                <w:color w:val="000000"/>
                <w:szCs w:val="22"/>
              </w:rPr>
              <w:t>Adalimumab</w:t>
            </w:r>
            <w:r w:rsidRPr="001775D9">
              <w:rPr>
                <w:b/>
                <w:szCs w:val="22"/>
                <w:lang w:eastAsia="en-GB"/>
              </w:rPr>
              <w:t xml:space="preserve"> </w:t>
            </w:r>
            <w:r w:rsidR="00B334F7" w:rsidRPr="001775D9">
              <w:rPr>
                <w:rFonts w:eastAsia="Times New Roman"/>
                <w:b/>
                <w:bCs/>
                <w:color w:val="000000"/>
                <w:szCs w:val="22"/>
              </w:rPr>
              <w:t>40</w:t>
            </w:r>
            <w:r w:rsidR="001266BC" w:rsidRPr="001775D9">
              <w:rPr>
                <w:rFonts w:eastAsia="Times New Roman"/>
                <w:b/>
                <w:bCs/>
                <w:color w:val="000000"/>
                <w:szCs w:val="22"/>
              </w:rPr>
              <w:t> </w:t>
            </w:r>
            <w:r w:rsidR="00B334F7" w:rsidRPr="001775D9">
              <w:rPr>
                <w:rFonts w:eastAsia="Times New Roman"/>
                <w:b/>
                <w:bCs/>
                <w:color w:val="000000"/>
                <w:szCs w:val="22"/>
              </w:rPr>
              <w:t xml:space="preserve">mg </w:t>
            </w:r>
            <w:r w:rsidR="00570C3D" w:rsidRPr="001775D9">
              <w:rPr>
                <w:rFonts w:eastAsia="Times New Roman"/>
                <w:b/>
                <w:bCs/>
                <w:color w:val="000000"/>
                <w:szCs w:val="22"/>
              </w:rPr>
              <w:t>w</w:t>
            </w:r>
            <w:r w:rsidR="00B334F7" w:rsidRPr="001775D9">
              <w:rPr>
                <w:rFonts w:eastAsia="Times New Roman"/>
                <w:b/>
                <w:bCs/>
                <w:color w:val="000000"/>
                <w:szCs w:val="22"/>
              </w:rPr>
              <w:t>eekly</w:t>
            </w:r>
          </w:p>
        </w:tc>
      </w:tr>
      <w:tr w:rsidR="00B334F7" w:rsidRPr="00F04F82" w14:paraId="59B1601C" w14:textId="77777777" w:rsidTr="00533832">
        <w:tc>
          <w:tcPr>
            <w:tcW w:w="1185" w:type="pct"/>
            <w:tcBorders>
              <w:top w:val="outset" w:sz="6" w:space="0" w:color="auto"/>
              <w:left w:val="outset" w:sz="6" w:space="0" w:color="auto"/>
              <w:bottom w:val="outset" w:sz="6" w:space="0" w:color="auto"/>
              <w:right w:val="outset" w:sz="6" w:space="0" w:color="auto"/>
            </w:tcBorders>
            <w:hideMark/>
          </w:tcPr>
          <w:p w14:paraId="4444B7A5" w14:textId="77777777" w:rsidR="00B334F7" w:rsidRPr="001775D9" w:rsidRDefault="00B334F7" w:rsidP="00CF6F25">
            <w:pPr>
              <w:keepNext/>
              <w:tabs>
                <w:tab w:val="clear" w:pos="567"/>
              </w:tabs>
              <w:spacing w:line="240" w:lineRule="auto"/>
              <w:rPr>
                <w:rFonts w:eastAsia="Times New Roman"/>
                <w:color w:val="000000"/>
                <w:szCs w:val="22"/>
              </w:rPr>
            </w:pPr>
            <w:r w:rsidRPr="001775D9">
              <w:rPr>
                <w:rFonts w:eastAsia="Times New Roman"/>
                <w:color w:val="000000"/>
                <w:szCs w:val="22"/>
              </w:rPr>
              <w:t>Hidradenitis Suppurativa Clinical Response (HiSCR)</w:t>
            </w:r>
            <w:r w:rsidRPr="001775D9">
              <w:rPr>
                <w:rFonts w:eastAsia="Times New Roman"/>
                <w:color w:val="000000"/>
                <w:szCs w:val="22"/>
                <w:vertAlign w:val="superscript"/>
              </w:rPr>
              <w:t>a</w:t>
            </w:r>
          </w:p>
        </w:tc>
        <w:tc>
          <w:tcPr>
            <w:tcW w:w="934" w:type="pct"/>
            <w:tcBorders>
              <w:top w:val="outset" w:sz="6" w:space="0" w:color="auto"/>
              <w:left w:val="outset" w:sz="6" w:space="0" w:color="auto"/>
              <w:bottom w:val="outset" w:sz="6" w:space="0" w:color="auto"/>
              <w:right w:val="outset" w:sz="6" w:space="0" w:color="auto"/>
            </w:tcBorders>
            <w:hideMark/>
          </w:tcPr>
          <w:p w14:paraId="1B4602DF"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color w:val="000000"/>
                <w:szCs w:val="22"/>
              </w:rPr>
              <w:t>N = 154</w:t>
            </w:r>
          </w:p>
          <w:p w14:paraId="67E8D4E4"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color w:val="000000"/>
                <w:szCs w:val="22"/>
              </w:rPr>
              <w:t>40 (26.0%)</w:t>
            </w:r>
          </w:p>
        </w:tc>
        <w:tc>
          <w:tcPr>
            <w:tcW w:w="935" w:type="pct"/>
            <w:tcBorders>
              <w:top w:val="outset" w:sz="6" w:space="0" w:color="auto"/>
              <w:left w:val="outset" w:sz="6" w:space="0" w:color="auto"/>
              <w:bottom w:val="outset" w:sz="6" w:space="0" w:color="auto"/>
              <w:right w:val="outset" w:sz="6" w:space="0" w:color="auto"/>
            </w:tcBorders>
            <w:hideMark/>
          </w:tcPr>
          <w:p w14:paraId="6A3C0B4A"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color w:val="000000"/>
                <w:szCs w:val="22"/>
              </w:rPr>
              <w:t>N = 153</w:t>
            </w:r>
          </w:p>
          <w:p w14:paraId="1C89F545"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color w:val="000000"/>
                <w:szCs w:val="22"/>
              </w:rPr>
              <w:t xml:space="preserve">64 (41.8%) </w:t>
            </w:r>
            <w:r w:rsidRPr="001775D9">
              <w:rPr>
                <w:rFonts w:eastAsia="Times New Roman"/>
                <w:color w:val="000000"/>
                <w:szCs w:val="22"/>
                <w:vertAlign w:val="superscript"/>
              </w:rPr>
              <w:t>*</w:t>
            </w:r>
          </w:p>
        </w:tc>
        <w:tc>
          <w:tcPr>
            <w:tcW w:w="934" w:type="pct"/>
            <w:tcBorders>
              <w:top w:val="outset" w:sz="6" w:space="0" w:color="auto"/>
              <w:left w:val="outset" w:sz="6" w:space="0" w:color="auto"/>
              <w:bottom w:val="outset" w:sz="6" w:space="0" w:color="auto"/>
              <w:right w:val="outset" w:sz="6" w:space="0" w:color="auto"/>
            </w:tcBorders>
            <w:hideMark/>
          </w:tcPr>
          <w:p w14:paraId="7393144E"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color w:val="000000"/>
                <w:szCs w:val="22"/>
              </w:rPr>
              <w:t>N</w:t>
            </w:r>
            <w:r w:rsidR="004435C9" w:rsidRPr="001775D9">
              <w:rPr>
                <w:rFonts w:eastAsia="Times New Roman"/>
                <w:color w:val="000000"/>
                <w:szCs w:val="22"/>
              </w:rPr>
              <w:t> </w:t>
            </w:r>
            <w:r w:rsidRPr="001775D9">
              <w:rPr>
                <w:rFonts w:eastAsia="Times New Roman"/>
                <w:color w:val="000000"/>
                <w:szCs w:val="22"/>
              </w:rPr>
              <w:t>=</w:t>
            </w:r>
            <w:r w:rsidR="004435C9" w:rsidRPr="001775D9">
              <w:rPr>
                <w:rFonts w:eastAsia="Times New Roman"/>
                <w:color w:val="000000"/>
                <w:szCs w:val="22"/>
              </w:rPr>
              <w:t> </w:t>
            </w:r>
            <w:r w:rsidRPr="001775D9">
              <w:rPr>
                <w:rFonts w:eastAsia="Times New Roman"/>
                <w:color w:val="000000"/>
                <w:szCs w:val="22"/>
              </w:rPr>
              <w:t>163</w:t>
            </w:r>
          </w:p>
          <w:p w14:paraId="6C7EF609"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color w:val="000000"/>
                <w:szCs w:val="22"/>
              </w:rPr>
              <w:t>45 (27.6%)</w:t>
            </w:r>
          </w:p>
        </w:tc>
        <w:tc>
          <w:tcPr>
            <w:tcW w:w="1012" w:type="pct"/>
            <w:tcBorders>
              <w:top w:val="outset" w:sz="6" w:space="0" w:color="auto"/>
              <w:left w:val="outset" w:sz="6" w:space="0" w:color="auto"/>
              <w:bottom w:val="outset" w:sz="6" w:space="0" w:color="auto"/>
              <w:right w:val="outset" w:sz="6" w:space="0" w:color="auto"/>
            </w:tcBorders>
            <w:hideMark/>
          </w:tcPr>
          <w:p w14:paraId="5DB1A14B"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color w:val="000000"/>
                <w:szCs w:val="22"/>
              </w:rPr>
              <w:t>N</w:t>
            </w:r>
            <w:r w:rsidR="004435C9" w:rsidRPr="001775D9">
              <w:rPr>
                <w:rFonts w:eastAsia="Times New Roman"/>
                <w:color w:val="000000"/>
                <w:szCs w:val="22"/>
              </w:rPr>
              <w:t> </w:t>
            </w:r>
            <w:r w:rsidRPr="001775D9">
              <w:rPr>
                <w:rFonts w:eastAsia="Times New Roman"/>
                <w:color w:val="000000"/>
                <w:szCs w:val="22"/>
              </w:rPr>
              <w:t>=</w:t>
            </w:r>
            <w:r w:rsidR="004435C9" w:rsidRPr="001775D9">
              <w:rPr>
                <w:rFonts w:eastAsia="Times New Roman"/>
                <w:color w:val="000000"/>
                <w:szCs w:val="22"/>
              </w:rPr>
              <w:t> </w:t>
            </w:r>
            <w:r w:rsidRPr="001775D9">
              <w:rPr>
                <w:rFonts w:eastAsia="Times New Roman"/>
                <w:color w:val="000000"/>
                <w:szCs w:val="22"/>
              </w:rPr>
              <w:t>163</w:t>
            </w:r>
          </w:p>
          <w:p w14:paraId="028594FD"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color w:val="000000"/>
                <w:szCs w:val="22"/>
              </w:rPr>
              <w:t>96 (58.9%)</w:t>
            </w:r>
            <w:r w:rsidRPr="001775D9">
              <w:rPr>
                <w:rFonts w:eastAsia="Times New Roman"/>
                <w:color w:val="000000"/>
                <w:szCs w:val="22"/>
                <w:vertAlign w:val="superscript"/>
              </w:rPr>
              <w:t>***</w:t>
            </w:r>
          </w:p>
        </w:tc>
      </w:tr>
      <w:tr w:rsidR="00B334F7" w:rsidRPr="00F04F82" w14:paraId="30C56095" w14:textId="77777777" w:rsidTr="00533832">
        <w:tc>
          <w:tcPr>
            <w:tcW w:w="1185" w:type="pct"/>
            <w:tcBorders>
              <w:top w:val="outset" w:sz="6" w:space="0" w:color="auto"/>
              <w:left w:val="outset" w:sz="6" w:space="0" w:color="auto"/>
              <w:bottom w:val="outset" w:sz="6" w:space="0" w:color="auto"/>
              <w:right w:val="outset" w:sz="6" w:space="0" w:color="auto"/>
            </w:tcBorders>
            <w:hideMark/>
          </w:tcPr>
          <w:p w14:paraId="04C106D7" w14:textId="5E9CBD15" w:rsidR="00B334F7" w:rsidRPr="001775D9" w:rsidRDefault="00B334F7" w:rsidP="00FB5458">
            <w:pPr>
              <w:tabs>
                <w:tab w:val="clear" w:pos="567"/>
              </w:tabs>
              <w:spacing w:line="240" w:lineRule="auto"/>
              <w:rPr>
                <w:rFonts w:eastAsia="Times New Roman"/>
                <w:color w:val="000000"/>
                <w:szCs w:val="22"/>
              </w:rPr>
            </w:pPr>
            <w:r w:rsidRPr="001775D9">
              <w:rPr>
                <w:rFonts w:eastAsia="Times New Roman"/>
                <w:color w:val="000000"/>
                <w:szCs w:val="22"/>
              </w:rPr>
              <w:t>≥30% Reduction in Skin Pain</w:t>
            </w:r>
            <w:r w:rsidRPr="001775D9">
              <w:rPr>
                <w:rFonts w:eastAsia="Times New Roman"/>
                <w:color w:val="000000"/>
                <w:szCs w:val="22"/>
                <w:vertAlign w:val="superscript"/>
              </w:rPr>
              <w:t>b</w:t>
            </w:r>
          </w:p>
        </w:tc>
        <w:tc>
          <w:tcPr>
            <w:tcW w:w="934" w:type="pct"/>
            <w:tcBorders>
              <w:top w:val="outset" w:sz="6" w:space="0" w:color="auto"/>
              <w:left w:val="outset" w:sz="6" w:space="0" w:color="auto"/>
              <w:bottom w:val="outset" w:sz="6" w:space="0" w:color="auto"/>
              <w:right w:val="outset" w:sz="6" w:space="0" w:color="auto"/>
            </w:tcBorders>
            <w:hideMark/>
          </w:tcPr>
          <w:p w14:paraId="7C302976"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N = 109</w:t>
            </w:r>
          </w:p>
          <w:p w14:paraId="5EB39F62"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27 (24.8%)</w:t>
            </w:r>
          </w:p>
        </w:tc>
        <w:tc>
          <w:tcPr>
            <w:tcW w:w="935" w:type="pct"/>
            <w:tcBorders>
              <w:top w:val="outset" w:sz="6" w:space="0" w:color="auto"/>
              <w:left w:val="outset" w:sz="6" w:space="0" w:color="auto"/>
              <w:bottom w:val="outset" w:sz="6" w:space="0" w:color="auto"/>
              <w:right w:val="outset" w:sz="6" w:space="0" w:color="auto"/>
            </w:tcBorders>
            <w:hideMark/>
          </w:tcPr>
          <w:p w14:paraId="2BF654D6"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N = 122</w:t>
            </w:r>
          </w:p>
          <w:p w14:paraId="24214E3D"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34 (27.9%)</w:t>
            </w:r>
          </w:p>
        </w:tc>
        <w:tc>
          <w:tcPr>
            <w:tcW w:w="934" w:type="pct"/>
            <w:tcBorders>
              <w:top w:val="outset" w:sz="6" w:space="0" w:color="auto"/>
              <w:left w:val="outset" w:sz="6" w:space="0" w:color="auto"/>
              <w:bottom w:val="outset" w:sz="6" w:space="0" w:color="auto"/>
              <w:right w:val="outset" w:sz="6" w:space="0" w:color="auto"/>
            </w:tcBorders>
            <w:hideMark/>
          </w:tcPr>
          <w:p w14:paraId="2CC3525A"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N</w:t>
            </w:r>
            <w:r w:rsidR="004435C9" w:rsidRPr="001775D9">
              <w:rPr>
                <w:rFonts w:eastAsia="Times New Roman"/>
                <w:color w:val="000000"/>
                <w:szCs w:val="22"/>
              </w:rPr>
              <w:t> </w:t>
            </w:r>
            <w:r w:rsidRPr="001775D9">
              <w:rPr>
                <w:rFonts w:eastAsia="Times New Roman"/>
                <w:color w:val="000000"/>
                <w:szCs w:val="22"/>
              </w:rPr>
              <w:t>=</w:t>
            </w:r>
            <w:r w:rsidR="004435C9" w:rsidRPr="001775D9">
              <w:rPr>
                <w:rFonts w:eastAsia="Times New Roman"/>
                <w:color w:val="000000"/>
                <w:szCs w:val="22"/>
              </w:rPr>
              <w:t> </w:t>
            </w:r>
            <w:r w:rsidRPr="001775D9">
              <w:rPr>
                <w:rFonts w:eastAsia="Times New Roman"/>
                <w:color w:val="000000"/>
                <w:szCs w:val="22"/>
              </w:rPr>
              <w:t>111</w:t>
            </w:r>
          </w:p>
          <w:p w14:paraId="5C3B1884"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23 (20.7%)</w:t>
            </w:r>
          </w:p>
        </w:tc>
        <w:tc>
          <w:tcPr>
            <w:tcW w:w="1012" w:type="pct"/>
            <w:tcBorders>
              <w:top w:val="outset" w:sz="6" w:space="0" w:color="auto"/>
              <w:left w:val="outset" w:sz="6" w:space="0" w:color="auto"/>
              <w:bottom w:val="outset" w:sz="6" w:space="0" w:color="auto"/>
              <w:right w:val="outset" w:sz="6" w:space="0" w:color="auto"/>
            </w:tcBorders>
            <w:hideMark/>
          </w:tcPr>
          <w:p w14:paraId="62286747"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N</w:t>
            </w:r>
            <w:r w:rsidR="004435C9" w:rsidRPr="001775D9">
              <w:rPr>
                <w:rFonts w:eastAsia="Times New Roman"/>
                <w:color w:val="000000"/>
                <w:szCs w:val="22"/>
              </w:rPr>
              <w:t> </w:t>
            </w:r>
            <w:r w:rsidRPr="001775D9">
              <w:rPr>
                <w:rFonts w:eastAsia="Times New Roman"/>
                <w:color w:val="000000"/>
                <w:szCs w:val="22"/>
              </w:rPr>
              <w:t>=</w:t>
            </w:r>
            <w:r w:rsidR="004435C9" w:rsidRPr="001775D9">
              <w:rPr>
                <w:rFonts w:eastAsia="Times New Roman"/>
                <w:color w:val="000000"/>
                <w:szCs w:val="22"/>
              </w:rPr>
              <w:t> </w:t>
            </w:r>
            <w:r w:rsidRPr="001775D9">
              <w:rPr>
                <w:rFonts w:eastAsia="Times New Roman"/>
                <w:color w:val="000000"/>
                <w:szCs w:val="22"/>
              </w:rPr>
              <w:t>105</w:t>
            </w:r>
          </w:p>
          <w:p w14:paraId="430EFB24"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48 (45.7%)</w:t>
            </w:r>
            <w:r w:rsidRPr="001775D9">
              <w:rPr>
                <w:rFonts w:eastAsia="Times New Roman"/>
                <w:color w:val="000000"/>
                <w:szCs w:val="22"/>
                <w:vertAlign w:val="superscript"/>
              </w:rPr>
              <w:t>***</w:t>
            </w:r>
          </w:p>
        </w:tc>
      </w:tr>
      <w:tr w:rsidR="00B334F7" w:rsidRPr="00F04F82" w14:paraId="7FC6D8DE" w14:textId="77777777" w:rsidTr="00B83C76">
        <w:tc>
          <w:tcPr>
            <w:tcW w:w="5000" w:type="pct"/>
            <w:gridSpan w:val="5"/>
            <w:tcBorders>
              <w:top w:val="outset" w:sz="6" w:space="0" w:color="auto"/>
              <w:left w:val="nil"/>
              <w:bottom w:val="nil"/>
              <w:right w:val="nil"/>
            </w:tcBorders>
            <w:hideMark/>
          </w:tcPr>
          <w:p w14:paraId="1F16F911" w14:textId="77777777" w:rsidR="00B334F7" w:rsidRPr="001775D9" w:rsidRDefault="00B334F7" w:rsidP="00FB5458">
            <w:pPr>
              <w:tabs>
                <w:tab w:val="clear" w:pos="567"/>
              </w:tabs>
              <w:spacing w:line="240" w:lineRule="auto"/>
              <w:rPr>
                <w:rFonts w:eastAsia="Times New Roman"/>
                <w:color w:val="000000"/>
                <w:sz w:val="20"/>
              </w:rPr>
            </w:pPr>
            <w:r w:rsidRPr="001775D9">
              <w:rPr>
                <w:rFonts w:eastAsia="Times New Roman"/>
                <w:color w:val="000000"/>
                <w:sz w:val="20"/>
              </w:rPr>
              <w:t>*</w:t>
            </w:r>
            <w:r w:rsidRPr="001775D9">
              <w:rPr>
                <w:rFonts w:eastAsia="Times New Roman"/>
                <w:iCs/>
                <w:color w:val="000000"/>
                <w:sz w:val="20"/>
              </w:rPr>
              <w:t>P</w:t>
            </w:r>
            <w:r w:rsidRPr="001775D9">
              <w:rPr>
                <w:rFonts w:eastAsia="Times New Roman"/>
                <w:color w:val="000000"/>
                <w:sz w:val="20"/>
              </w:rPr>
              <w:t xml:space="preserve"> &lt; 0.05, ***</w:t>
            </w:r>
            <w:r w:rsidRPr="001775D9">
              <w:rPr>
                <w:rFonts w:eastAsia="Times New Roman"/>
                <w:iCs/>
                <w:color w:val="000000"/>
                <w:sz w:val="20"/>
              </w:rPr>
              <w:t>P</w:t>
            </w:r>
            <w:r w:rsidRPr="001775D9">
              <w:rPr>
                <w:rFonts w:eastAsia="Times New Roman"/>
                <w:i/>
                <w:iCs/>
                <w:color w:val="000000"/>
                <w:sz w:val="20"/>
              </w:rPr>
              <w:t xml:space="preserve"> </w:t>
            </w:r>
            <w:r w:rsidRPr="001775D9">
              <w:rPr>
                <w:rFonts w:eastAsia="Times New Roman"/>
                <w:color w:val="000000"/>
                <w:sz w:val="20"/>
              </w:rPr>
              <w:t xml:space="preserve">&lt; 0.001, </w:t>
            </w:r>
            <w:r w:rsidR="00A12F4F" w:rsidRPr="001775D9">
              <w:rPr>
                <w:rFonts w:eastAsia="Times New Roman"/>
                <w:color w:val="000000"/>
                <w:sz w:val="20"/>
              </w:rPr>
              <w:t>adalimumab</w:t>
            </w:r>
            <w:r w:rsidR="005918B3" w:rsidRPr="001775D9">
              <w:rPr>
                <w:rFonts w:eastAsia="Times New Roman"/>
                <w:color w:val="000000"/>
                <w:sz w:val="20"/>
              </w:rPr>
              <w:t xml:space="preserve"> </w:t>
            </w:r>
            <w:r w:rsidRPr="001775D9">
              <w:rPr>
                <w:rFonts w:eastAsia="Times New Roman"/>
                <w:color w:val="000000"/>
                <w:sz w:val="20"/>
              </w:rPr>
              <w:t xml:space="preserve">versus placebo </w:t>
            </w:r>
          </w:p>
          <w:p w14:paraId="4F5DB8D9" w14:textId="77777777" w:rsidR="00B334F7" w:rsidRPr="001775D9" w:rsidRDefault="00B334F7"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 xml:space="preserve">a </w:t>
            </w:r>
            <w:r w:rsidRPr="001775D9">
              <w:rPr>
                <w:rFonts w:eastAsia="Times New Roman"/>
                <w:color w:val="000000"/>
                <w:sz w:val="20"/>
              </w:rPr>
              <w:t xml:space="preserve">Among all randomised patients </w:t>
            </w:r>
          </w:p>
          <w:p w14:paraId="59893519" w14:textId="387BF73A" w:rsidR="00B334F7" w:rsidRPr="001775D9" w:rsidRDefault="00B334F7" w:rsidP="00D468B7">
            <w:pPr>
              <w:tabs>
                <w:tab w:val="clear" w:pos="567"/>
              </w:tabs>
              <w:spacing w:line="240" w:lineRule="auto"/>
              <w:rPr>
                <w:rFonts w:eastAsia="Times New Roman"/>
                <w:color w:val="000000"/>
                <w:szCs w:val="22"/>
              </w:rPr>
            </w:pPr>
            <w:r w:rsidRPr="001775D9">
              <w:rPr>
                <w:rFonts w:eastAsia="Times New Roman"/>
                <w:color w:val="000000"/>
                <w:sz w:val="20"/>
                <w:vertAlign w:val="superscript"/>
              </w:rPr>
              <w:t xml:space="preserve">b </w:t>
            </w:r>
            <w:r w:rsidRPr="001775D9">
              <w:rPr>
                <w:rFonts w:eastAsia="Times New Roman"/>
                <w:color w:val="000000"/>
                <w:sz w:val="20"/>
              </w:rPr>
              <w:t>Among patients with baseline HS-related skin pain assessment ≥ 3, based on Numeric Rating Scale 0 – 10; 0</w:t>
            </w:r>
            <w:r w:rsidR="00533832" w:rsidRPr="001775D9">
              <w:rPr>
                <w:rFonts w:eastAsia="Times New Roman"/>
                <w:color w:val="000000"/>
                <w:sz w:val="20"/>
              </w:rPr>
              <w:t> </w:t>
            </w:r>
            <w:r w:rsidRPr="001775D9">
              <w:rPr>
                <w:rFonts w:eastAsia="Times New Roman"/>
                <w:color w:val="000000"/>
                <w:sz w:val="20"/>
              </w:rPr>
              <w:t>=</w:t>
            </w:r>
            <w:r w:rsidR="00533832" w:rsidRPr="001775D9">
              <w:rPr>
                <w:rFonts w:eastAsia="Times New Roman"/>
                <w:color w:val="000000"/>
                <w:sz w:val="20"/>
              </w:rPr>
              <w:t> </w:t>
            </w:r>
            <w:r w:rsidRPr="001775D9">
              <w:rPr>
                <w:rFonts w:eastAsia="Times New Roman"/>
                <w:color w:val="000000"/>
                <w:sz w:val="20"/>
              </w:rPr>
              <w:t>no skin pain, 10 = skin pain as bad as you can imagine</w:t>
            </w:r>
            <w:r w:rsidRPr="001775D9">
              <w:rPr>
                <w:rFonts w:eastAsia="Times New Roman"/>
                <w:color w:val="000000"/>
                <w:szCs w:val="22"/>
              </w:rPr>
              <w:t xml:space="preserve"> </w:t>
            </w:r>
          </w:p>
        </w:tc>
      </w:tr>
    </w:tbl>
    <w:p w14:paraId="0A7AC638" w14:textId="77777777" w:rsidR="00A12F4F" w:rsidRPr="001775D9" w:rsidRDefault="00A12F4F" w:rsidP="00FB5458">
      <w:pPr>
        <w:shd w:val="clear" w:color="auto" w:fill="FFFFFF"/>
        <w:tabs>
          <w:tab w:val="clear" w:pos="567"/>
        </w:tabs>
        <w:spacing w:line="240" w:lineRule="auto"/>
        <w:rPr>
          <w:rFonts w:eastAsia="Times New Roman"/>
          <w:color w:val="000000"/>
          <w:szCs w:val="22"/>
        </w:rPr>
      </w:pPr>
    </w:p>
    <w:p w14:paraId="231318B4" w14:textId="77777777"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Treatment with </w:t>
      </w:r>
      <w:r w:rsidR="00A12F4F" w:rsidRPr="001775D9">
        <w:rPr>
          <w:rFonts w:eastAsia="Times New Roman"/>
          <w:color w:val="000000"/>
          <w:szCs w:val="22"/>
        </w:rPr>
        <w:t>adalimumab</w:t>
      </w:r>
      <w:r w:rsidRPr="001775D9">
        <w:rPr>
          <w:rFonts w:eastAsia="Times New Roman"/>
          <w:color w:val="000000"/>
          <w:szCs w:val="22"/>
        </w:rPr>
        <w:t xml:space="preserve"> 40</w:t>
      </w:r>
      <w:r w:rsidR="00163215" w:rsidRPr="001775D9">
        <w:rPr>
          <w:color w:val="000000"/>
          <w:szCs w:val="22"/>
        </w:rPr>
        <w:t> </w:t>
      </w:r>
      <w:r w:rsidRPr="001775D9">
        <w:rPr>
          <w:rFonts w:eastAsia="Times New Roman"/>
          <w:color w:val="000000"/>
          <w:szCs w:val="22"/>
        </w:rPr>
        <w:t xml:space="preserve">mg every week significantly reduced the risk of worsening of abscesses and draining fistulas. Approximately twice the proportion of patients in the placebo group in the first 12 weeks of Studies HS-I and HS-II, compared with those in the </w:t>
      </w:r>
      <w:r w:rsidR="00A12F4F" w:rsidRPr="001775D9">
        <w:rPr>
          <w:rFonts w:eastAsia="Times New Roman"/>
          <w:color w:val="000000"/>
          <w:szCs w:val="22"/>
        </w:rPr>
        <w:t>adalimumab</w:t>
      </w:r>
      <w:r w:rsidR="00DE59BD" w:rsidRPr="001775D9">
        <w:rPr>
          <w:rFonts w:eastAsia="Times New Roman"/>
          <w:color w:val="000000"/>
          <w:szCs w:val="22"/>
        </w:rPr>
        <w:t xml:space="preserve"> </w:t>
      </w:r>
      <w:r w:rsidRPr="001775D9">
        <w:rPr>
          <w:rFonts w:eastAsia="Times New Roman"/>
          <w:color w:val="000000"/>
          <w:szCs w:val="22"/>
        </w:rPr>
        <w:t xml:space="preserve">group experienced worsening of abscesses (23.0% </w:t>
      </w:r>
      <w:r w:rsidR="0009128B" w:rsidRPr="001775D9">
        <w:rPr>
          <w:rFonts w:eastAsia="Times New Roman"/>
          <w:color w:val="000000"/>
          <w:szCs w:val="22"/>
        </w:rPr>
        <w:t>versus</w:t>
      </w:r>
      <w:r w:rsidR="00C67A1C" w:rsidRPr="001775D9">
        <w:rPr>
          <w:rFonts w:eastAsia="Times New Roman"/>
          <w:color w:val="000000"/>
          <w:szCs w:val="22"/>
        </w:rPr>
        <w:t xml:space="preserve"> </w:t>
      </w:r>
      <w:r w:rsidRPr="001775D9">
        <w:rPr>
          <w:rFonts w:eastAsia="Times New Roman"/>
          <w:color w:val="000000"/>
          <w:szCs w:val="22"/>
        </w:rPr>
        <w:t xml:space="preserve">11.4%, respectively) and draining fistulas (30.0% </w:t>
      </w:r>
      <w:r w:rsidR="0009128B" w:rsidRPr="001775D9">
        <w:rPr>
          <w:rFonts w:eastAsia="Times New Roman"/>
          <w:color w:val="000000"/>
          <w:szCs w:val="22"/>
        </w:rPr>
        <w:t>versus</w:t>
      </w:r>
      <w:r w:rsidRPr="001775D9">
        <w:rPr>
          <w:rFonts w:eastAsia="Times New Roman"/>
          <w:color w:val="000000"/>
          <w:szCs w:val="22"/>
        </w:rPr>
        <w:t xml:space="preserve"> 13.9%, respectively).</w:t>
      </w:r>
    </w:p>
    <w:p w14:paraId="2EA77A5F" w14:textId="77777777" w:rsidR="00DE59BD" w:rsidRPr="001775D9" w:rsidRDefault="00DE59BD" w:rsidP="00FB5458">
      <w:pPr>
        <w:shd w:val="clear" w:color="auto" w:fill="FFFFFF"/>
        <w:tabs>
          <w:tab w:val="clear" w:pos="567"/>
        </w:tabs>
        <w:spacing w:line="240" w:lineRule="auto"/>
        <w:rPr>
          <w:rFonts w:eastAsia="Times New Roman"/>
          <w:color w:val="000000"/>
          <w:szCs w:val="22"/>
        </w:rPr>
      </w:pPr>
    </w:p>
    <w:p w14:paraId="6A0E6534" w14:textId="77777777"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Greater improvements at </w:t>
      </w:r>
      <w:r w:rsidR="00570C3D" w:rsidRPr="001775D9">
        <w:rPr>
          <w:szCs w:val="22"/>
        </w:rPr>
        <w:t>week</w:t>
      </w:r>
      <w:r w:rsidRPr="001775D9">
        <w:rPr>
          <w:rFonts w:eastAsia="Times New Roman"/>
          <w:color w:val="000000"/>
          <w:szCs w:val="22"/>
        </w:rPr>
        <w:t xml:space="preserve"> 12 from baseline compared to placebo were demonstrated in skin-specific health-related quality of life, as measured by the Dermatology Life Quality Index (DLQI; Studies HS-I and HS-II), patient global satisfaction with medication treatment as measured by the Treatment Satisfaction Questionnaire-medication (TSQM; Studies HS-I and HS-II), and physical health as measured by the physical component summary score of the SF-36 (</w:t>
      </w:r>
      <w:r w:rsidR="00570C3D" w:rsidRPr="001775D9">
        <w:rPr>
          <w:rFonts w:eastAsia="Times New Roman"/>
          <w:color w:val="000000"/>
          <w:szCs w:val="22"/>
        </w:rPr>
        <w:t>s</w:t>
      </w:r>
      <w:r w:rsidRPr="001775D9">
        <w:rPr>
          <w:rFonts w:eastAsia="Times New Roman"/>
          <w:color w:val="000000"/>
          <w:szCs w:val="22"/>
        </w:rPr>
        <w:t>tudy HS-I).</w:t>
      </w:r>
    </w:p>
    <w:p w14:paraId="454D5BCD" w14:textId="77777777" w:rsidR="00FF3096" w:rsidRPr="001775D9" w:rsidRDefault="00FF3096" w:rsidP="00FB5458">
      <w:pPr>
        <w:shd w:val="clear" w:color="auto" w:fill="FFFFFF"/>
        <w:tabs>
          <w:tab w:val="clear" w:pos="567"/>
        </w:tabs>
        <w:spacing w:line="240" w:lineRule="auto"/>
        <w:rPr>
          <w:rFonts w:eastAsia="Times New Roman"/>
          <w:color w:val="000000"/>
          <w:szCs w:val="22"/>
        </w:rPr>
      </w:pPr>
    </w:p>
    <w:p w14:paraId="43C78E21" w14:textId="6D4694CF"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In patients with at least a partial response to </w:t>
      </w:r>
      <w:r w:rsidR="00A12F4F" w:rsidRPr="001775D9">
        <w:rPr>
          <w:rFonts w:eastAsia="Times New Roman"/>
          <w:color w:val="000000"/>
          <w:szCs w:val="22"/>
        </w:rPr>
        <w:t>adalimumab</w:t>
      </w:r>
      <w:r w:rsidRPr="001775D9">
        <w:rPr>
          <w:rFonts w:eastAsia="Times New Roman"/>
          <w:color w:val="000000"/>
          <w:szCs w:val="22"/>
        </w:rPr>
        <w:t xml:space="preserve"> 40</w:t>
      </w:r>
      <w:r w:rsidR="00163215" w:rsidRPr="001775D9">
        <w:rPr>
          <w:color w:val="000000"/>
          <w:szCs w:val="22"/>
        </w:rPr>
        <w:t> </w:t>
      </w:r>
      <w:r w:rsidRPr="001775D9">
        <w:rPr>
          <w:rFonts w:eastAsia="Times New Roman"/>
          <w:color w:val="000000"/>
          <w:szCs w:val="22"/>
        </w:rPr>
        <w:t xml:space="preserve">mg weekly at </w:t>
      </w:r>
      <w:r w:rsidR="00570C3D" w:rsidRPr="001775D9">
        <w:rPr>
          <w:szCs w:val="22"/>
        </w:rPr>
        <w:t>week</w:t>
      </w:r>
      <w:r w:rsidRPr="001775D9">
        <w:rPr>
          <w:rFonts w:eastAsia="Times New Roman"/>
          <w:color w:val="000000"/>
          <w:szCs w:val="22"/>
        </w:rPr>
        <w:t xml:space="preserve"> 12, the HiSCR rate at </w:t>
      </w:r>
      <w:r w:rsidR="00570C3D" w:rsidRPr="001775D9">
        <w:rPr>
          <w:szCs w:val="22"/>
        </w:rPr>
        <w:t>week</w:t>
      </w:r>
      <w:r w:rsidRPr="001775D9">
        <w:rPr>
          <w:rFonts w:eastAsia="Times New Roman"/>
          <w:color w:val="000000"/>
          <w:szCs w:val="22"/>
        </w:rPr>
        <w:t xml:space="preserve"> 36 was higher in patients who continued weekly </w:t>
      </w:r>
      <w:r w:rsidR="00A12F4F" w:rsidRPr="001775D9">
        <w:rPr>
          <w:rFonts w:eastAsia="Times New Roman"/>
          <w:color w:val="000000"/>
          <w:szCs w:val="22"/>
        </w:rPr>
        <w:t>adalimumab</w:t>
      </w:r>
      <w:r w:rsidRPr="001775D9">
        <w:rPr>
          <w:rFonts w:eastAsia="Times New Roman"/>
          <w:color w:val="000000"/>
          <w:szCs w:val="22"/>
        </w:rPr>
        <w:t xml:space="preserve"> than in patients in whom dosing frequency was reduced to every other week, or in whom treatment was withdrawn (see </w:t>
      </w:r>
      <w:r w:rsidR="00CB7003" w:rsidRPr="001775D9">
        <w:rPr>
          <w:szCs w:val="22"/>
          <w:lang w:eastAsia="en-GB"/>
        </w:rPr>
        <w:t xml:space="preserve">table </w:t>
      </w:r>
      <w:r w:rsidR="004D7CC1" w:rsidRPr="001775D9">
        <w:rPr>
          <w:rFonts w:eastAsia="Times New Roman"/>
          <w:color w:val="000000"/>
          <w:szCs w:val="22"/>
        </w:rPr>
        <w:t>20</w:t>
      </w:r>
      <w:r w:rsidRPr="001775D9">
        <w:rPr>
          <w:rFonts w:eastAsia="Times New Roman"/>
          <w:color w:val="000000"/>
          <w:szCs w:val="22"/>
        </w:rPr>
        <w:t xml:space="preserve">). </w:t>
      </w:r>
    </w:p>
    <w:p w14:paraId="59A46CD7" w14:textId="77777777" w:rsidR="00DE59BD" w:rsidRPr="001775D9" w:rsidRDefault="00DE59BD" w:rsidP="00FB5458">
      <w:pPr>
        <w:shd w:val="clear" w:color="auto" w:fill="FFFFFF"/>
        <w:tabs>
          <w:tab w:val="clear" w:pos="567"/>
        </w:tabs>
        <w:spacing w:line="240" w:lineRule="auto"/>
        <w:rPr>
          <w:rFonts w:eastAsia="Times New Roman"/>
          <w:b/>
          <w:bCs/>
          <w:color w:val="000000"/>
          <w:szCs w:val="22"/>
        </w:rPr>
      </w:pPr>
    </w:p>
    <w:p w14:paraId="13F060AE" w14:textId="5666A783" w:rsidR="00B334F7" w:rsidRPr="001775D9" w:rsidRDefault="00B334F7" w:rsidP="00FB5458">
      <w:pPr>
        <w:keepNext/>
        <w:shd w:val="clear" w:color="auto" w:fill="FFFFFF"/>
        <w:tabs>
          <w:tab w:val="clear" w:pos="567"/>
        </w:tabs>
        <w:spacing w:line="240" w:lineRule="auto"/>
        <w:rPr>
          <w:rFonts w:eastAsia="Times New Roman"/>
          <w:b/>
          <w:bCs/>
          <w:color w:val="000000"/>
          <w:szCs w:val="22"/>
        </w:rPr>
      </w:pPr>
      <w:r w:rsidRPr="001775D9">
        <w:rPr>
          <w:rFonts w:eastAsia="Times New Roman"/>
          <w:b/>
          <w:bCs/>
          <w:color w:val="000000"/>
          <w:szCs w:val="22"/>
        </w:rPr>
        <w:t xml:space="preserve">Table </w:t>
      </w:r>
      <w:r w:rsidR="004D7CC1" w:rsidRPr="001775D9">
        <w:rPr>
          <w:rFonts w:eastAsia="Times New Roman"/>
          <w:b/>
          <w:bCs/>
          <w:color w:val="000000"/>
          <w:szCs w:val="22"/>
        </w:rPr>
        <w:t>20</w:t>
      </w:r>
      <w:r w:rsidR="00560AB5" w:rsidRPr="001775D9">
        <w:rPr>
          <w:rFonts w:eastAsia="Times New Roman"/>
          <w:b/>
          <w:bCs/>
          <w:color w:val="000000"/>
          <w:szCs w:val="22"/>
        </w:rPr>
        <w:t>.</w:t>
      </w:r>
      <w:r w:rsidR="00110304" w:rsidRPr="001775D9">
        <w:rPr>
          <w:rFonts w:eastAsia="Times New Roman"/>
          <w:b/>
          <w:bCs/>
          <w:color w:val="000000"/>
          <w:szCs w:val="22"/>
        </w:rPr>
        <w:t xml:space="preserve"> </w:t>
      </w:r>
      <w:r w:rsidRPr="001775D9">
        <w:rPr>
          <w:rFonts w:eastAsia="Times New Roman"/>
          <w:b/>
          <w:bCs/>
          <w:color w:val="000000"/>
          <w:szCs w:val="22"/>
        </w:rPr>
        <w:t xml:space="preserve">Proportion of </w:t>
      </w:r>
      <w:r w:rsidR="0045606D" w:rsidRPr="001775D9">
        <w:rPr>
          <w:rFonts w:eastAsia="Times New Roman"/>
          <w:b/>
          <w:bCs/>
          <w:color w:val="000000"/>
          <w:szCs w:val="22"/>
        </w:rPr>
        <w:t>p</w:t>
      </w:r>
      <w:r w:rsidRPr="001775D9">
        <w:rPr>
          <w:rFonts w:eastAsia="Times New Roman"/>
          <w:b/>
          <w:bCs/>
          <w:color w:val="000000"/>
          <w:szCs w:val="22"/>
        </w:rPr>
        <w:t>atients</w:t>
      </w:r>
      <w:r w:rsidRPr="001775D9">
        <w:rPr>
          <w:rFonts w:eastAsia="Times New Roman"/>
          <w:b/>
          <w:bCs/>
          <w:color w:val="000000"/>
          <w:szCs w:val="22"/>
          <w:vertAlign w:val="superscript"/>
        </w:rPr>
        <w:t>a</w:t>
      </w:r>
      <w:r w:rsidRPr="001775D9">
        <w:rPr>
          <w:rFonts w:eastAsia="Times New Roman"/>
          <w:b/>
          <w:bCs/>
          <w:color w:val="000000"/>
          <w:szCs w:val="22"/>
        </w:rPr>
        <w:t xml:space="preserve"> </w:t>
      </w:r>
      <w:r w:rsidR="0045606D" w:rsidRPr="001775D9">
        <w:rPr>
          <w:rFonts w:eastAsia="Times New Roman"/>
          <w:b/>
          <w:bCs/>
          <w:color w:val="000000"/>
          <w:szCs w:val="22"/>
        </w:rPr>
        <w:t>a</w:t>
      </w:r>
      <w:r w:rsidRPr="001775D9">
        <w:rPr>
          <w:rFonts w:eastAsia="Times New Roman"/>
          <w:b/>
          <w:bCs/>
          <w:color w:val="000000"/>
          <w:szCs w:val="22"/>
        </w:rPr>
        <w:t>chieving HiSCR</w:t>
      </w:r>
      <w:r w:rsidRPr="001775D9">
        <w:rPr>
          <w:rFonts w:eastAsia="Times New Roman"/>
          <w:b/>
          <w:bCs/>
          <w:color w:val="000000"/>
          <w:szCs w:val="22"/>
          <w:vertAlign w:val="superscript"/>
        </w:rPr>
        <w:t>b</w:t>
      </w:r>
      <w:r w:rsidRPr="001775D9">
        <w:rPr>
          <w:rFonts w:eastAsia="Times New Roman"/>
          <w:b/>
          <w:bCs/>
          <w:color w:val="000000"/>
          <w:szCs w:val="22"/>
        </w:rPr>
        <w:t xml:space="preserve"> at </w:t>
      </w:r>
      <w:r w:rsidR="0045606D" w:rsidRPr="001775D9">
        <w:rPr>
          <w:rFonts w:eastAsia="Times New Roman"/>
          <w:b/>
          <w:bCs/>
          <w:color w:val="000000"/>
          <w:szCs w:val="22"/>
        </w:rPr>
        <w:t>w</w:t>
      </w:r>
      <w:r w:rsidRPr="001775D9">
        <w:rPr>
          <w:rFonts w:eastAsia="Times New Roman"/>
          <w:b/>
          <w:bCs/>
          <w:color w:val="000000"/>
          <w:szCs w:val="22"/>
        </w:rPr>
        <w:t xml:space="preserve">eeks 24 and 36 </w:t>
      </w:r>
      <w:r w:rsidR="0045606D" w:rsidRPr="001775D9">
        <w:rPr>
          <w:rFonts w:eastAsia="Times New Roman"/>
          <w:b/>
          <w:bCs/>
          <w:color w:val="000000"/>
          <w:szCs w:val="22"/>
        </w:rPr>
        <w:t>a</w:t>
      </w:r>
      <w:r w:rsidRPr="001775D9">
        <w:rPr>
          <w:rFonts w:eastAsia="Times New Roman"/>
          <w:b/>
          <w:bCs/>
          <w:color w:val="000000"/>
          <w:szCs w:val="22"/>
        </w:rPr>
        <w:t xml:space="preserve">fter </w:t>
      </w:r>
      <w:r w:rsidR="0045606D" w:rsidRPr="001775D9">
        <w:rPr>
          <w:rFonts w:eastAsia="Times New Roman"/>
          <w:b/>
          <w:bCs/>
          <w:color w:val="000000"/>
          <w:szCs w:val="22"/>
        </w:rPr>
        <w:t>t</w:t>
      </w:r>
      <w:r w:rsidRPr="001775D9">
        <w:rPr>
          <w:rFonts w:eastAsia="Times New Roman"/>
          <w:b/>
          <w:bCs/>
          <w:color w:val="000000"/>
          <w:szCs w:val="22"/>
        </w:rPr>
        <w:t xml:space="preserve">reatment </w:t>
      </w:r>
      <w:r w:rsidR="0045606D" w:rsidRPr="001775D9">
        <w:rPr>
          <w:rFonts w:eastAsia="Times New Roman"/>
          <w:b/>
          <w:bCs/>
          <w:color w:val="000000"/>
          <w:szCs w:val="22"/>
        </w:rPr>
        <w:t>r</w:t>
      </w:r>
      <w:r w:rsidRPr="001775D9">
        <w:rPr>
          <w:rFonts w:eastAsia="Times New Roman"/>
          <w:b/>
          <w:bCs/>
          <w:color w:val="000000"/>
          <w:szCs w:val="22"/>
        </w:rPr>
        <w:t xml:space="preserve">eassignment from </w:t>
      </w:r>
      <w:r w:rsidR="0045606D" w:rsidRPr="001775D9">
        <w:rPr>
          <w:rFonts w:eastAsia="Times New Roman"/>
          <w:b/>
          <w:bCs/>
          <w:color w:val="000000"/>
          <w:szCs w:val="22"/>
        </w:rPr>
        <w:t>w</w:t>
      </w:r>
      <w:r w:rsidRPr="001775D9">
        <w:rPr>
          <w:rFonts w:eastAsia="Times New Roman"/>
          <w:b/>
          <w:bCs/>
          <w:color w:val="000000"/>
          <w:szCs w:val="22"/>
        </w:rPr>
        <w:t xml:space="preserve">eekly </w:t>
      </w:r>
      <w:r w:rsidR="00A12F4F" w:rsidRPr="001775D9">
        <w:rPr>
          <w:rFonts w:eastAsia="Times New Roman"/>
          <w:b/>
          <w:color w:val="000000"/>
          <w:szCs w:val="22"/>
        </w:rPr>
        <w:t>adalimumab</w:t>
      </w:r>
      <w:r w:rsidRPr="001775D9">
        <w:rPr>
          <w:rFonts w:eastAsia="Times New Roman"/>
          <w:b/>
          <w:bCs/>
          <w:color w:val="000000"/>
          <w:szCs w:val="22"/>
        </w:rPr>
        <w:t xml:space="preserve"> at </w:t>
      </w:r>
      <w:r w:rsidR="0045606D" w:rsidRPr="001775D9">
        <w:rPr>
          <w:rFonts w:eastAsia="Times New Roman"/>
          <w:b/>
          <w:bCs/>
          <w:color w:val="000000"/>
          <w:szCs w:val="22"/>
        </w:rPr>
        <w:t>w</w:t>
      </w:r>
      <w:r w:rsidRPr="001775D9">
        <w:rPr>
          <w:rFonts w:eastAsia="Times New Roman"/>
          <w:b/>
          <w:bCs/>
          <w:color w:val="000000"/>
          <w:szCs w:val="22"/>
        </w:rPr>
        <w:t>eek 12</w:t>
      </w:r>
    </w:p>
    <w:p w14:paraId="07B9AE42" w14:textId="77777777" w:rsidR="00CD086B" w:rsidRPr="001775D9" w:rsidRDefault="00CD086B" w:rsidP="00FB5458">
      <w:pPr>
        <w:keepNext/>
        <w:shd w:val="clear" w:color="auto" w:fill="FFFFFF"/>
        <w:tabs>
          <w:tab w:val="clear" w:pos="567"/>
        </w:tabs>
        <w:spacing w:line="240" w:lineRule="auto"/>
        <w:jc w:val="center"/>
        <w:rPr>
          <w:rFonts w:eastAsia="Times New Roman"/>
          <w:color w:val="000000"/>
          <w:szCs w:val="22"/>
        </w:rPr>
      </w:pPr>
    </w:p>
    <w:tbl>
      <w:tblPr>
        <w:tblW w:w="9102"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2158"/>
        <w:gridCol w:w="2408"/>
        <w:gridCol w:w="2266"/>
        <w:gridCol w:w="2270"/>
      </w:tblGrid>
      <w:tr w:rsidR="00B334F7" w:rsidRPr="00F04F82" w14:paraId="53F352CD" w14:textId="77777777" w:rsidTr="00A12F4F">
        <w:tc>
          <w:tcPr>
            <w:tcW w:w="1185" w:type="pct"/>
            <w:tcBorders>
              <w:top w:val="outset" w:sz="6" w:space="0" w:color="auto"/>
              <w:left w:val="outset" w:sz="6" w:space="0" w:color="auto"/>
              <w:bottom w:val="outset" w:sz="6" w:space="0" w:color="auto"/>
              <w:right w:val="outset" w:sz="6" w:space="0" w:color="auto"/>
            </w:tcBorders>
            <w:hideMark/>
          </w:tcPr>
          <w:p w14:paraId="795ED28B" w14:textId="77777777" w:rsidR="00B334F7" w:rsidRPr="001775D9" w:rsidRDefault="00B334F7" w:rsidP="00FB5458">
            <w:pPr>
              <w:keepNext/>
              <w:tabs>
                <w:tab w:val="clear" w:pos="567"/>
              </w:tabs>
              <w:spacing w:line="240" w:lineRule="auto"/>
              <w:rPr>
                <w:rFonts w:eastAsia="Times New Roman"/>
                <w:color w:val="000000"/>
                <w:szCs w:val="22"/>
              </w:rPr>
            </w:pPr>
          </w:p>
        </w:tc>
        <w:tc>
          <w:tcPr>
            <w:tcW w:w="1323" w:type="pct"/>
            <w:tcBorders>
              <w:top w:val="outset" w:sz="6" w:space="0" w:color="auto"/>
              <w:left w:val="outset" w:sz="6" w:space="0" w:color="auto"/>
              <w:bottom w:val="outset" w:sz="6" w:space="0" w:color="auto"/>
              <w:right w:val="outset" w:sz="6" w:space="0" w:color="auto"/>
            </w:tcBorders>
            <w:hideMark/>
          </w:tcPr>
          <w:p w14:paraId="45C02405"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Placebo (treatment withdrawal)</w:t>
            </w:r>
          </w:p>
          <w:p w14:paraId="7732A1AA" w14:textId="77777777" w:rsidR="00B334F7" w:rsidRPr="001775D9" w:rsidRDefault="00B334F7" w:rsidP="00CF6F25">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N</w:t>
            </w:r>
            <w:r w:rsidR="00163215" w:rsidRPr="001775D9">
              <w:rPr>
                <w:color w:val="000000"/>
                <w:szCs w:val="22"/>
              </w:rPr>
              <w:t> </w:t>
            </w:r>
            <w:r w:rsidRPr="001775D9">
              <w:rPr>
                <w:rFonts w:eastAsia="Times New Roman"/>
                <w:b/>
                <w:bCs/>
                <w:color w:val="000000"/>
                <w:szCs w:val="22"/>
              </w:rPr>
              <w:t>=</w:t>
            </w:r>
            <w:r w:rsidR="00163215" w:rsidRPr="001775D9">
              <w:rPr>
                <w:color w:val="000000"/>
                <w:szCs w:val="22"/>
              </w:rPr>
              <w:t> </w:t>
            </w:r>
            <w:r w:rsidRPr="001775D9">
              <w:rPr>
                <w:rFonts w:eastAsia="Times New Roman"/>
                <w:b/>
                <w:bCs/>
                <w:color w:val="000000"/>
                <w:szCs w:val="22"/>
              </w:rPr>
              <w:t>73</w:t>
            </w:r>
          </w:p>
        </w:tc>
        <w:tc>
          <w:tcPr>
            <w:tcW w:w="1245" w:type="pct"/>
            <w:tcBorders>
              <w:top w:val="outset" w:sz="6" w:space="0" w:color="auto"/>
              <w:left w:val="outset" w:sz="6" w:space="0" w:color="auto"/>
              <w:bottom w:val="outset" w:sz="6" w:space="0" w:color="auto"/>
              <w:right w:val="outset" w:sz="6" w:space="0" w:color="auto"/>
            </w:tcBorders>
            <w:hideMark/>
          </w:tcPr>
          <w:p w14:paraId="6C70EC65" w14:textId="77777777" w:rsidR="00B334F7" w:rsidRPr="001775D9" w:rsidRDefault="00A12F4F" w:rsidP="00CF6F25">
            <w:pPr>
              <w:keepNext/>
              <w:tabs>
                <w:tab w:val="clear" w:pos="567"/>
              </w:tabs>
              <w:spacing w:line="240" w:lineRule="auto"/>
              <w:jc w:val="center"/>
              <w:rPr>
                <w:rFonts w:eastAsia="Times New Roman"/>
                <w:b/>
                <w:color w:val="000000"/>
                <w:szCs w:val="22"/>
              </w:rPr>
            </w:pPr>
            <w:r w:rsidRPr="001775D9">
              <w:rPr>
                <w:rFonts w:eastAsia="Times New Roman"/>
                <w:b/>
                <w:color w:val="000000"/>
                <w:szCs w:val="22"/>
              </w:rPr>
              <w:t>Adalimumab</w:t>
            </w:r>
            <w:r w:rsidR="00B334F7" w:rsidRPr="001775D9">
              <w:rPr>
                <w:rFonts w:eastAsia="Times New Roman"/>
                <w:b/>
                <w:bCs/>
                <w:color w:val="000000"/>
                <w:szCs w:val="22"/>
              </w:rPr>
              <w:t xml:space="preserve"> 40</w:t>
            </w:r>
            <w:r w:rsidR="00163215" w:rsidRPr="001775D9">
              <w:rPr>
                <w:b/>
                <w:color w:val="000000"/>
                <w:szCs w:val="22"/>
              </w:rPr>
              <w:t> </w:t>
            </w:r>
            <w:r w:rsidR="00B334F7" w:rsidRPr="001775D9">
              <w:rPr>
                <w:rFonts w:eastAsia="Times New Roman"/>
                <w:b/>
                <w:bCs/>
                <w:color w:val="000000"/>
                <w:szCs w:val="22"/>
              </w:rPr>
              <w:t>mg every other week</w:t>
            </w:r>
          </w:p>
          <w:p w14:paraId="4329BF6D" w14:textId="77777777" w:rsidR="00B334F7" w:rsidRPr="001775D9" w:rsidRDefault="00B334F7" w:rsidP="00CF6F25">
            <w:pPr>
              <w:keepNext/>
              <w:tabs>
                <w:tab w:val="clear" w:pos="567"/>
              </w:tabs>
              <w:spacing w:line="240" w:lineRule="auto"/>
              <w:jc w:val="center"/>
              <w:rPr>
                <w:rFonts w:eastAsia="Times New Roman"/>
                <w:b/>
                <w:color w:val="000000"/>
                <w:szCs w:val="22"/>
              </w:rPr>
            </w:pPr>
            <w:r w:rsidRPr="001775D9">
              <w:rPr>
                <w:rFonts w:eastAsia="Times New Roman"/>
                <w:b/>
                <w:bCs/>
                <w:color w:val="000000"/>
                <w:szCs w:val="22"/>
              </w:rPr>
              <w:t>N</w:t>
            </w:r>
            <w:r w:rsidR="00163215" w:rsidRPr="001775D9">
              <w:rPr>
                <w:b/>
                <w:color w:val="000000"/>
                <w:szCs w:val="22"/>
              </w:rPr>
              <w:t> </w:t>
            </w:r>
            <w:r w:rsidRPr="001775D9">
              <w:rPr>
                <w:rFonts w:eastAsia="Times New Roman"/>
                <w:b/>
                <w:bCs/>
                <w:color w:val="000000"/>
                <w:szCs w:val="22"/>
              </w:rPr>
              <w:t>=</w:t>
            </w:r>
            <w:r w:rsidR="00163215" w:rsidRPr="001775D9">
              <w:rPr>
                <w:b/>
                <w:color w:val="000000"/>
                <w:szCs w:val="22"/>
              </w:rPr>
              <w:t> </w:t>
            </w:r>
            <w:r w:rsidRPr="001775D9">
              <w:rPr>
                <w:rFonts w:eastAsia="Times New Roman"/>
                <w:b/>
                <w:bCs/>
                <w:color w:val="000000"/>
                <w:szCs w:val="22"/>
              </w:rPr>
              <w:t>70</w:t>
            </w:r>
          </w:p>
        </w:tc>
        <w:tc>
          <w:tcPr>
            <w:tcW w:w="1246" w:type="pct"/>
            <w:tcBorders>
              <w:top w:val="outset" w:sz="6" w:space="0" w:color="auto"/>
              <w:left w:val="outset" w:sz="6" w:space="0" w:color="auto"/>
              <w:bottom w:val="outset" w:sz="6" w:space="0" w:color="auto"/>
              <w:right w:val="outset" w:sz="6" w:space="0" w:color="auto"/>
            </w:tcBorders>
            <w:hideMark/>
          </w:tcPr>
          <w:p w14:paraId="33A17F42" w14:textId="77777777" w:rsidR="00B334F7" w:rsidRPr="001775D9" w:rsidRDefault="00A12F4F" w:rsidP="00CF6F25">
            <w:pPr>
              <w:keepNext/>
              <w:tabs>
                <w:tab w:val="clear" w:pos="567"/>
              </w:tabs>
              <w:spacing w:line="240" w:lineRule="auto"/>
              <w:jc w:val="center"/>
              <w:rPr>
                <w:rFonts w:eastAsia="Times New Roman"/>
                <w:b/>
                <w:color w:val="000000"/>
                <w:szCs w:val="22"/>
              </w:rPr>
            </w:pPr>
            <w:r w:rsidRPr="001775D9">
              <w:rPr>
                <w:rFonts w:eastAsia="Times New Roman"/>
                <w:b/>
                <w:color w:val="000000"/>
                <w:szCs w:val="22"/>
              </w:rPr>
              <w:t>Adalimumab</w:t>
            </w:r>
            <w:r w:rsidR="00B334F7" w:rsidRPr="001775D9">
              <w:rPr>
                <w:rFonts w:eastAsia="Times New Roman"/>
                <w:b/>
                <w:bCs/>
                <w:color w:val="000000"/>
                <w:szCs w:val="22"/>
              </w:rPr>
              <w:t xml:space="preserve"> 40</w:t>
            </w:r>
            <w:r w:rsidR="00163215" w:rsidRPr="001775D9">
              <w:rPr>
                <w:b/>
                <w:color w:val="000000"/>
                <w:szCs w:val="22"/>
              </w:rPr>
              <w:t> </w:t>
            </w:r>
            <w:r w:rsidR="00B334F7" w:rsidRPr="001775D9">
              <w:rPr>
                <w:rFonts w:eastAsia="Times New Roman"/>
                <w:b/>
                <w:bCs/>
                <w:color w:val="000000"/>
                <w:szCs w:val="22"/>
              </w:rPr>
              <w:t>mg weekly</w:t>
            </w:r>
          </w:p>
          <w:p w14:paraId="559BC577" w14:textId="77777777" w:rsidR="00B334F7" w:rsidRPr="001775D9" w:rsidRDefault="00B334F7" w:rsidP="00CF6F25">
            <w:pPr>
              <w:keepNext/>
              <w:tabs>
                <w:tab w:val="clear" w:pos="567"/>
              </w:tabs>
              <w:spacing w:line="240" w:lineRule="auto"/>
              <w:jc w:val="center"/>
              <w:rPr>
                <w:rFonts w:eastAsia="Times New Roman"/>
                <w:b/>
                <w:color w:val="000000"/>
                <w:szCs w:val="22"/>
              </w:rPr>
            </w:pPr>
            <w:r w:rsidRPr="001775D9">
              <w:rPr>
                <w:rFonts w:eastAsia="Times New Roman"/>
                <w:b/>
                <w:bCs/>
                <w:color w:val="000000"/>
                <w:szCs w:val="22"/>
              </w:rPr>
              <w:t>N</w:t>
            </w:r>
            <w:r w:rsidR="00163215" w:rsidRPr="001775D9">
              <w:rPr>
                <w:b/>
                <w:color w:val="000000"/>
                <w:szCs w:val="22"/>
              </w:rPr>
              <w:t> </w:t>
            </w:r>
            <w:r w:rsidRPr="001775D9">
              <w:rPr>
                <w:rFonts w:eastAsia="Times New Roman"/>
                <w:b/>
                <w:bCs/>
                <w:color w:val="000000"/>
                <w:szCs w:val="22"/>
              </w:rPr>
              <w:t>=</w:t>
            </w:r>
            <w:r w:rsidR="00163215" w:rsidRPr="001775D9">
              <w:rPr>
                <w:b/>
                <w:color w:val="000000"/>
                <w:szCs w:val="22"/>
              </w:rPr>
              <w:t> </w:t>
            </w:r>
            <w:r w:rsidRPr="001775D9">
              <w:rPr>
                <w:rFonts w:eastAsia="Times New Roman"/>
                <w:b/>
                <w:bCs/>
                <w:color w:val="000000"/>
                <w:szCs w:val="22"/>
              </w:rPr>
              <w:t>70</w:t>
            </w:r>
          </w:p>
        </w:tc>
      </w:tr>
      <w:tr w:rsidR="00B334F7" w:rsidRPr="00F04F82" w14:paraId="0AB4D448" w14:textId="77777777" w:rsidTr="00A12F4F">
        <w:tc>
          <w:tcPr>
            <w:tcW w:w="1185" w:type="pct"/>
            <w:tcBorders>
              <w:top w:val="outset" w:sz="6" w:space="0" w:color="auto"/>
              <w:left w:val="outset" w:sz="6" w:space="0" w:color="auto"/>
              <w:bottom w:val="outset" w:sz="6" w:space="0" w:color="auto"/>
              <w:right w:val="outset" w:sz="6" w:space="0" w:color="auto"/>
            </w:tcBorders>
            <w:hideMark/>
          </w:tcPr>
          <w:p w14:paraId="38BC63E1" w14:textId="77777777" w:rsidR="00B334F7" w:rsidRPr="001775D9" w:rsidRDefault="00B334F7" w:rsidP="00FB5458">
            <w:pPr>
              <w:tabs>
                <w:tab w:val="clear" w:pos="567"/>
              </w:tabs>
              <w:spacing w:line="240" w:lineRule="auto"/>
              <w:rPr>
                <w:rFonts w:eastAsia="Times New Roman"/>
                <w:color w:val="000000"/>
                <w:szCs w:val="22"/>
              </w:rPr>
            </w:pPr>
            <w:r w:rsidRPr="001775D9">
              <w:rPr>
                <w:rFonts w:eastAsia="Times New Roman"/>
                <w:color w:val="000000"/>
                <w:szCs w:val="22"/>
              </w:rPr>
              <w:t xml:space="preserve">Week 24 </w:t>
            </w:r>
          </w:p>
        </w:tc>
        <w:tc>
          <w:tcPr>
            <w:tcW w:w="1323" w:type="pct"/>
            <w:tcBorders>
              <w:top w:val="outset" w:sz="6" w:space="0" w:color="auto"/>
              <w:left w:val="outset" w:sz="6" w:space="0" w:color="auto"/>
              <w:bottom w:val="outset" w:sz="6" w:space="0" w:color="auto"/>
              <w:right w:val="outset" w:sz="6" w:space="0" w:color="auto"/>
            </w:tcBorders>
            <w:hideMark/>
          </w:tcPr>
          <w:p w14:paraId="2E508DAD"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24 (32.9%)</w:t>
            </w:r>
          </w:p>
        </w:tc>
        <w:tc>
          <w:tcPr>
            <w:tcW w:w="1245" w:type="pct"/>
            <w:tcBorders>
              <w:top w:val="outset" w:sz="6" w:space="0" w:color="auto"/>
              <w:left w:val="outset" w:sz="6" w:space="0" w:color="auto"/>
              <w:bottom w:val="outset" w:sz="6" w:space="0" w:color="auto"/>
              <w:right w:val="outset" w:sz="6" w:space="0" w:color="auto"/>
            </w:tcBorders>
            <w:hideMark/>
          </w:tcPr>
          <w:p w14:paraId="6357DEA4"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36 (51.4%)</w:t>
            </w:r>
          </w:p>
        </w:tc>
        <w:tc>
          <w:tcPr>
            <w:tcW w:w="1246" w:type="pct"/>
            <w:tcBorders>
              <w:top w:val="outset" w:sz="6" w:space="0" w:color="auto"/>
              <w:left w:val="outset" w:sz="6" w:space="0" w:color="auto"/>
              <w:bottom w:val="outset" w:sz="6" w:space="0" w:color="auto"/>
              <w:right w:val="outset" w:sz="6" w:space="0" w:color="auto"/>
            </w:tcBorders>
            <w:hideMark/>
          </w:tcPr>
          <w:p w14:paraId="3D052DA4"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40 (57.1%)</w:t>
            </w:r>
          </w:p>
        </w:tc>
      </w:tr>
      <w:tr w:rsidR="00B334F7" w:rsidRPr="00F04F82" w14:paraId="620E93C1" w14:textId="77777777" w:rsidTr="009E089E">
        <w:tc>
          <w:tcPr>
            <w:tcW w:w="1185" w:type="pct"/>
            <w:tcBorders>
              <w:top w:val="outset" w:sz="6" w:space="0" w:color="auto"/>
              <w:left w:val="outset" w:sz="6" w:space="0" w:color="auto"/>
              <w:bottom w:val="single" w:sz="4" w:space="0" w:color="auto"/>
              <w:right w:val="outset" w:sz="6" w:space="0" w:color="auto"/>
            </w:tcBorders>
            <w:hideMark/>
          </w:tcPr>
          <w:p w14:paraId="5640909E" w14:textId="77777777" w:rsidR="00B334F7" w:rsidRPr="001775D9" w:rsidRDefault="00B334F7" w:rsidP="00FB5458">
            <w:pPr>
              <w:tabs>
                <w:tab w:val="clear" w:pos="567"/>
              </w:tabs>
              <w:spacing w:line="240" w:lineRule="auto"/>
              <w:rPr>
                <w:rFonts w:eastAsia="Times New Roman"/>
                <w:color w:val="000000"/>
                <w:szCs w:val="22"/>
              </w:rPr>
            </w:pPr>
            <w:r w:rsidRPr="001775D9">
              <w:rPr>
                <w:rFonts w:eastAsia="Times New Roman"/>
                <w:color w:val="000000"/>
                <w:szCs w:val="22"/>
              </w:rPr>
              <w:t xml:space="preserve">Week 36 </w:t>
            </w:r>
          </w:p>
        </w:tc>
        <w:tc>
          <w:tcPr>
            <w:tcW w:w="1323" w:type="pct"/>
            <w:tcBorders>
              <w:top w:val="outset" w:sz="6" w:space="0" w:color="auto"/>
              <w:left w:val="outset" w:sz="6" w:space="0" w:color="auto"/>
              <w:bottom w:val="single" w:sz="4" w:space="0" w:color="auto"/>
              <w:right w:val="outset" w:sz="6" w:space="0" w:color="auto"/>
            </w:tcBorders>
            <w:hideMark/>
          </w:tcPr>
          <w:p w14:paraId="05F8DBA9"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22 (30.1%)</w:t>
            </w:r>
          </w:p>
        </w:tc>
        <w:tc>
          <w:tcPr>
            <w:tcW w:w="1245" w:type="pct"/>
            <w:tcBorders>
              <w:top w:val="outset" w:sz="6" w:space="0" w:color="auto"/>
              <w:left w:val="outset" w:sz="6" w:space="0" w:color="auto"/>
              <w:bottom w:val="single" w:sz="4" w:space="0" w:color="auto"/>
              <w:right w:val="outset" w:sz="6" w:space="0" w:color="auto"/>
            </w:tcBorders>
            <w:hideMark/>
          </w:tcPr>
          <w:p w14:paraId="370FA934"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28 (40.0%)</w:t>
            </w:r>
          </w:p>
        </w:tc>
        <w:tc>
          <w:tcPr>
            <w:tcW w:w="1246" w:type="pct"/>
            <w:tcBorders>
              <w:top w:val="outset" w:sz="6" w:space="0" w:color="auto"/>
              <w:left w:val="outset" w:sz="6" w:space="0" w:color="auto"/>
              <w:bottom w:val="single" w:sz="4" w:space="0" w:color="auto"/>
              <w:right w:val="outset" w:sz="6" w:space="0" w:color="auto"/>
            </w:tcBorders>
            <w:hideMark/>
          </w:tcPr>
          <w:p w14:paraId="6EDAFC51" w14:textId="77777777" w:rsidR="00B334F7" w:rsidRPr="001775D9" w:rsidRDefault="00B334F7" w:rsidP="00CF6F25">
            <w:pPr>
              <w:tabs>
                <w:tab w:val="clear" w:pos="567"/>
              </w:tabs>
              <w:spacing w:line="240" w:lineRule="auto"/>
              <w:jc w:val="center"/>
              <w:rPr>
                <w:rFonts w:eastAsia="Times New Roman"/>
                <w:color w:val="000000"/>
                <w:szCs w:val="22"/>
              </w:rPr>
            </w:pPr>
            <w:r w:rsidRPr="001775D9">
              <w:rPr>
                <w:rFonts w:eastAsia="Times New Roman"/>
                <w:color w:val="000000"/>
                <w:szCs w:val="22"/>
              </w:rPr>
              <w:t>39 (55.7%)</w:t>
            </w:r>
          </w:p>
        </w:tc>
      </w:tr>
      <w:tr w:rsidR="00B334F7" w:rsidRPr="00F04F82" w14:paraId="2AC15035" w14:textId="77777777" w:rsidTr="009E089E">
        <w:tc>
          <w:tcPr>
            <w:tcW w:w="5000" w:type="pct"/>
            <w:gridSpan w:val="4"/>
            <w:tcBorders>
              <w:top w:val="single" w:sz="4" w:space="0" w:color="auto"/>
              <w:left w:val="nil"/>
              <w:bottom w:val="nil"/>
              <w:right w:val="nil"/>
            </w:tcBorders>
            <w:hideMark/>
          </w:tcPr>
          <w:p w14:paraId="64473558" w14:textId="77777777" w:rsidR="00B334F7" w:rsidRPr="001775D9" w:rsidRDefault="00B334F7" w:rsidP="00FB5458">
            <w:pPr>
              <w:tabs>
                <w:tab w:val="clear" w:pos="567"/>
              </w:tabs>
              <w:spacing w:line="240" w:lineRule="auto"/>
              <w:rPr>
                <w:rFonts w:eastAsia="Times New Roman"/>
                <w:color w:val="000000"/>
                <w:sz w:val="20"/>
              </w:rPr>
            </w:pPr>
            <w:r w:rsidRPr="001775D9">
              <w:rPr>
                <w:rFonts w:eastAsia="Times New Roman"/>
                <w:color w:val="000000"/>
                <w:sz w:val="20"/>
                <w:vertAlign w:val="superscript"/>
              </w:rPr>
              <w:t xml:space="preserve">a </w:t>
            </w:r>
            <w:r w:rsidRPr="001775D9">
              <w:rPr>
                <w:rFonts w:eastAsia="Times New Roman"/>
                <w:color w:val="000000"/>
                <w:sz w:val="20"/>
              </w:rPr>
              <w:t xml:space="preserve">Patients with at least a partial response to </w:t>
            </w:r>
            <w:r w:rsidR="00A12F4F" w:rsidRPr="001775D9">
              <w:rPr>
                <w:rFonts w:eastAsia="Times New Roman"/>
                <w:color w:val="000000"/>
                <w:sz w:val="20"/>
              </w:rPr>
              <w:t>adalimumab</w:t>
            </w:r>
            <w:r w:rsidRPr="001775D9">
              <w:rPr>
                <w:rFonts w:eastAsia="Times New Roman"/>
                <w:color w:val="000000"/>
                <w:sz w:val="20"/>
              </w:rPr>
              <w:t xml:space="preserve"> 40</w:t>
            </w:r>
            <w:r w:rsidR="00163215" w:rsidRPr="001775D9">
              <w:rPr>
                <w:color w:val="000000"/>
                <w:szCs w:val="22"/>
              </w:rPr>
              <w:t> </w:t>
            </w:r>
            <w:r w:rsidRPr="001775D9">
              <w:rPr>
                <w:rFonts w:eastAsia="Times New Roman"/>
                <w:color w:val="000000"/>
                <w:sz w:val="20"/>
              </w:rPr>
              <w:t xml:space="preserve">mg weekly after 12 weeks of treatment </w:t>
            </w:r>
          </w:p>
          <w:p w14:paraId="1AD64FD5" w14:textId="77777777" w:rsidR="00B334F7" w:rsidRPr="001775D9" w:rsidRDefault="00B334F7" w:rsidP="00FB5458">
            <w:pPr>
              <w:tabs>
                <w:tab w:val="clear" w:pos="567"/>
              </w:tabs>
              <w:spacing w:line="240" w:lineRule="auto"/>
              <w:rPr>
                <w:rFonts w:eastAsia="Times New Roman"/>
                <w:color w:val="000000"/>
                <w:szCs w:val="22"/>
              </w:rPr>
            </w:pPr>
            <w:r w:rsidRPr="001775D9">
              <w:rPr>
                <w:rFonts w:eastAsia="Times New Roman"/>
                <w:color w:val="000000"/>
                <w:sz w:val="20"/>
                <w:vertAlign w:val="superscript"/>
              </w:rPr>
              <w:t xml:space="preserve">b </w:t>
            </w:r>
            <w:r w:rsidRPr="001775D9">
              <w:rPr>
                <w:rFonts w:eastAsia="Times New Roman"/>
                <w:color w:val="000000"/>
                <w:sz w:val="20"/>
              </w:rPr>
              <w:t>Patients meeting protocol-specified criteria for loss of response or no improvement were required to discontinue from the studies and were counted as non</w:t>
            </w:r>
            <w:r w:rsidR="00D766F8" w:rsidRPr="001775D9">
              <w:rPr>
                <w:rFonts w:eastAsia="Times New Roman"/>
                <w:color w:val="000000"/>
                <w:sz w:val="20"/>
              </w:rPr>
              <w:t>-</w:t>
            </w:r>
            <w:r w:rsidRPr="001775D9">
              <w:rPr>
                <w:rFonts w:eastAsia="Times New Roman"/>
                <w:color w:val="000000"/>
                <w:sz w:val="20"/>
              </w:rPr>
              <w:t>responders</w:t>
            </w:r>
            <w:r w:rsidRPr="001775D9">
              <w:rPr>
                <w:rFonts w:eastAsia="Times New Roman"/>
                <w:color w:val="000000"/>
                <w:szCs w:val="22"/>
              </w:rPr>
              <w:t xml:space="preserve"> </w:t>
            </w:r>
          </w:p>
        </w:tc>
      </w:tr>
    </w:tbl>
    <w:p w14:paraId="552ED313" w14:textId="77777777" w:rsidR="00DE59BD" w:rsidRPr="001775D9" w:rsidRDefault="00DE59BD" w:rsidP="00FB5458">
      <w:pPr>
        <w:shd w:val="clear" w:color="auto" w:fill="FFFFFF"/>
        <w:tabs>
          <w:tab w:val="clear" w:pos="567"/>
        </w:tabs>
        <w:spacing w:line="240" w:lineRule="auto"/>
        <w:rPr>
          <w:rFonts w:eastAsia="Times New Roman"/>
          <w:color w:val="000000"/>
          <w:szCs w:val="22"/>
        </w:rPr>
      </w:pPr>
    </w:p>
    <w:p w14:paraId="0064673C" w14:textId="77777777"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Among patients who were at least partial responders at </w:t>
      </w:r>
      <w:r w:rsidR="0045606D" w:rsidRPr="001775D9">
        <w:rPr>
          <w:szCs w:val="22"/>
        </w:rPr>
        <w:t>week</w:t>
      </w:r>
      <w:r w:rsidRPr="001775D9">
        <w:rPr>
          <w:rFonts w:eastAsia="Times New Roman"/>
          <w:color w:val="000000"/>
          <w:szCs w:val="22"/>
        </w:rPr>
        <w:t xml:space="preserve"> 12, and who received continuous weekly </w:t>
      </w:r>
      <w:r w:rsidR="00A12F4F" w:rsidRPr="001775D9">
        <w:rPr>
          <w:rFonts w:eastAsia="Times New Roman"/>
          <w:color w:val="000000"/>
          <w:szCs w:val="22"/>
        </w:rPr>
        <w:t>adalimumab</w:t>
      </w:r>
      <w:r w:rsidRPr="001775D9">
        <w:rPr>
          <w:rFonts w:eastAsia="Times New Roman"/>
          <w:color w:val="000000"/>
          <w:szCs w:val="22"/>
        </w:rPr>
        <w:t xml:space="preserve"> therapy, the HiSCR rate at </w:t>
      </w:r>
      <w:r w:rsidR="0045606D" w:rsidRPr="001775D9">
        <w:rPr>
          <w:szCs w:val="22"/>
        </w:rPr>
        <w:t>week</w:t>
      </w:r>
      <w:r w:rsidRPr="001775D9">
        <w:rPr>
          <w:rFonts w:eastAsia="Times New Roman"/>
          <w:color w:val="000000"/>
          <w:szCs w:val="22"/>
        </w:rPr>
        <w:t xml:space="preserve"> 48 was </w:t>
      </w:r>
      <w:r w:rsidR="007E19C6" w:rsidRPr="001775D9">
        <w:rPr>
          <w:szCs w:val="22"/>
        </w:rPr>
        <w:t xml:space="preserve">68.3% and at week 96 was 65.1%. Longer term treatment with </w:t>
      </w:r>
      <w:r w:rsidR="007E19C6" w:rsidRPr="001775D9">
        <w:rPr>
          <w:rFonts w:eastAsia="Times New Roman"/>
          <w:color w:val="000000"/>
          <w:szCs w:val="22"/>
        </w:rPr>
        <w:t>adalimumab</w:t>
      </w:r>
      <w:r w:rsidR="007E19C6" w:rsidRPr="001775D9">
        <w:rPr>
          <w:szCs w:val="22"/>
        </w:rPr>
        <w:t xml:space="preserve"> 40 mg weekly for 96 weeks identified no new safety findings</w:t>
      </w:r>
      <w:r w:rsidRPr="001775D9">
        <w:rPr>
          <w:rFonts w:eastAsia="Times New Roman"/>
          <w:color w:val="000000"/>
          <w:szCs w:val="22"/>
        </w:rPr>
        <w:t>.</w:t>
      </w:r>
    </w:p>
    <w:p w14:paraId="26D9086B" w14:textId="77777777" w:rsidR="00DE59BD" w:rsidRPr="001775D9" w:rsidRDefault="00DE59BD" w:rsidP="00FB5458">
      <w:pPr>
        <w:shd w:val="clear" w:color="auto" w:fill="FFFFFF"/>
        <w:tabs>
          <w:tab w:val="clear" w:pos="567"/>
        </w:tabs>
        <w:spacing w:line="240" w:lineRule="auto"/>
        <w:rPr>
          <w:rFonts w:eastAsia="Times New Roman"/>
          <w:color w:val="000000"/>
          <w:szCs w:val="22"/>
        </w:rPr>
      </w:pPr>
    </w:p>
    <w:p w14:paraId="6F24BD5F" w14:textId="77777777" w:rsidR="00B334F7" w:rsidRPr="001775D9" w:rsidRDefault="00B334F7" w:rsidP="00FB5458">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Among patients whose </w:t>
      </w:r>
      <w:r w:rsidR="00A12F4F" w:rsidRPr="001775D9">
        <w:rPr>
          <w:rFonts w:eastAsia="Times New Roman"/>
          <w:color w:val="000000"/>
          <w:szCs w:val="22"/>
        </w:rPr>
        <w:t>adalimumab</w:t>
      </w:r>
      <w:r w:rsidRPr="001775D9">
        <w:rPr>
          <w:rFonts w:eastAsia="Times New Roman"/>
          <w:color w:val="000000"/>
          <w:szCs w:val="22"/>
        </w:rPr>
        <w:t xml:space="preserve"> treatment was withdrawn at </w:t>
      </w:r>
      <w:r w:rsidR="0045606D" w:rsidRPr="001775D9">
        <w:rPr>
          <w:szCs w:val="22"/>
        </w:rPr>
        <w:t>week</w:t>
      </w:r>
      <w:r w:rsidRPr="001775D9">
        <w:rPr>
          <w:rFonts w:eastAsia="Times New Roman"/>
          <w:color w:val="000000"/>
          <w:szCs w:val="22"/>
        </w:rPr>
        <w:t xml:space="preserve"> 12 in Studies HS-I and HS-II, the HiSCR rate 12 weeks after re-introduction of </w:t>
      </w:r>
      <w:r w:rsidR="00A12F4F" w:rsidRPr="001775D9">
        <w:rPr>
          <w:rFonts w:eastAsia="Times New Roman"/>
          <w:color w:val="000000"/>
          <w:szCs w:val="22"/>
        </w:rPr>
        <w:t>adalimumab</w:t>
      </w:r>
      <w:r w:rsidR="00DE59BD" w:rsidRPr="001775D9">
        <w:rPr>
          <w:rFonts w:eastAsia="Times New Roman"/>
          <w:color w:val="000000"/>
          <w:szCs w:val="22"/>
        </w:rPr>
        <w:t xml:space="preserve"> </w:t>
      </w:r>
      <w:r w:rsidRPr="001775D9">
        <w:rPr>
          <w:rFonts w:eastAsia="Times New Roman"/>
          <w:color w:val="000000"/>
          <w:szCs w:val="22"/>
        </w:rPr>
        <w:t>40</w:t>
      </w:r>
      <w:r w:rsidR="00163215" w:rsidRPr="001775D9">
        <w:rPr>
          <w:color w:val="000000"/>
          <w:szCs w:val="22"/>
        </w:rPr>
        <w:t> </w:t>
      </w:r>
      <w:r w:rsidRPr="001775D9">
        <w:rPr>
          <w:rFonts w:eastAsia="Times New Roman"/>
          <w:color w:val="000000"/>
          <w:szCs w:val="22"/>
        </w:rPr>
        <w:t>mg weekly returned to levels similar to that observed before withdrawal (56.0%).</w:t>
      </w:r>
    </w:p>
    <w:p w14:paraId="6F81DF31" w14:textId="77777777" w:rsidR="00F62574" w:rsidRPr="001775D9" w:rsidRDefault="00F62574" w:rsidP="00F62574">
      <w:pPr>
        <w:shd w:val="clear" w:color="auto" w:fill="FFFFFF"/>
        <w:tabs>
          <w:tab w:val="clear" w:pos="567"/>
        </w:tabs>
        <w:spacing w:line="240" w:lineRule="auto"/>
        <w:rPr>
          <w:rFonts w:eastAsia="Times New Roman"/>
          <w:color w:val="000000"/>
          <w:szCs w:val="22"/>
        </w:rPr>
      </w:pPr>
    </w:p>
    <w:p w14:paraId="7F3D96C3" w14:textId="77777777" w:rsidR="00C42229" w:rsidRPr="001775D9" w:rsidRDefault="00C42229" w:rsidP="001A604D">
      <w:pPr>
        <w:keepNext/>
        <w:tabs>
          <w:tab w:val="clear" w:pos="567"/>
        </w:tabs>
        <w:autoSpaceDE w:val="0"/>
        <w:autoSpaceDN w:val="0"/>
        <w:adjustRightInd w:val="0"/>
        <w:spacing w:line="240" w:lineRule="auto"/>
        <w:rPr>
          <w:i/>
          <w:szCs w:val="22"/>
          <w:lang w:eastAsia="en-GB"/>
        </w:rPr>
      </w:pPr>
      <w:r w:rsidRPr="001775D9">
        <w:rPr>
          <w:i/>
          <w:color w:val="000000"/>
          <w:szCs w:val="22"/>
          <w:lang w:eastAsia="en-GB"/>
        </w:rPr>
        <w:t xml:space="preserve">Crohn’s disease </w:t>
      </w:r>
    </w:p>
    <w:p w14:paraId="78CDB10B" w14:textId="77777777" w:rsidR="00F8106E" w:rsidRPr="001775D9" w:rsidRDefault="00F8106E" w:rsidP="001A604D">
      <w:pPr>
        <w:keepNext/>
        <w:tabs>
          <w:tab w:val="clear" w:pos="567"/>
        </w:tabs>
        <w:autoSpaceDE w:val="0"/>
        <w:autoSpaceDN w:val="0"/>
        <w:adjustRightInd w:val="0"/>
        <w:spacing w:line="240" w:lineRule="auto"/>
        <w:rPr>
          <w:szCs w:val="22"/>
          <w:lang w:eastAsia="en-GB"/>
        </w:rPr>
      </w:pPr>
    </w:p>
    <w:p w14:paraId="060DFD18" w14:textId="64D31B6E"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The safety and efficacy of </w:t>
      </w:r>
      <w:r w:rsidR="00A12F4F" w:rsidRPr="001775D9">
        <w:rPr>
          <w:rFonts w:eastAsia="Times New Roman"/>
          <w:color w:val="000000"/>
          <w:szCs w:val="22"/>
        </w:rPr>
        <w:t>adalimumab</w:t>
      </w:r>
      <w:r w:rsidRPr="001775D9">
        <w:rPr>
          <w:szCs w:val="22"/>
          <w:lang w:eastAsia="en-GB"/>
        </w:rPr>
        <w:t xml:space="preserve"> were assessed in over 1</w:t>
      </w:r>
      <w:r w:rsidR="00D766F8" w:rsidRPr="001775D9">
        <w:rPr>
          <w:szCs w:val="22"/>
          <w:lang w:eastAsia="en-GB"/>
        </w:rPr>
        <w:t>,</w:t>
      </w:r>
      <w:r w:rsidRPr="001775D9">
        <w:rPr>
          <w:szCs w:val="22"/>
          <w:lang w:eastAsia="en-GB"/>
        </w:rPr>
        <w:t>500 patients with moderately to severely active Crohn’s disease (Crohn’s Disease Activity Index (CDAI) ≥</w:t>
      </w:r>
      <w:r w:rsidRPr="001775D9">
        <w:rPr>
          <w:szCs w:val="22"/>
        </w:rPr>
        <w:t> </w:t>
      </w:r>
      <w:r w:rsidRPr="001775D9">
        <w:rPr>
          <w:szCs w:val="22"/>
          <w:lang w:eastAsia="en-GB"/>
        </w:rPr>
        <w:t>220 and ≤</w:t>
      </w:r>
      <w:r w:rsidRPr="001775D9">
        <w:rPr>
          <w:szCs w:val="22"/>
        </w:rPr>
        <w:t> </w:t>
      </w:r>
      <w:r w:rsidRPr="001775D9">
        <w:rPr>
          <w:szCs w:val="22"/>
          <w:lang w:eastAsia="en-GB"/>
        </w:rPr>
        <w:t xml:space="preserve">450) in randomised, double-blind, placebo-controlled studies. Concomitant stable doses of aminosalicylates, corticosteroids, and/or immunomodulatory agents were permitted and 80% of patients continued to receive at least one of these medications. </w:t>
      </w:r>
    </w:p>
    <w:p w14:paraId="61B32C3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1B3A05B" w14:textId="30D27D81"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lang w:eastAsia="en-GB"/>
        </w:rPr>
        <w:t>Induction of clinical remission (defined as CDAI &lt;</w:t>
      </w:r>
      <w:r w:rsidRPr="001775D9">
        <w:rPr>
          <w:szCs w:val="22"/>
        </w:rPr>
        <w:t> </w:t>
      </w:r>
      <w:r w:rsidRPr="001775D9">
        <w:rPr>
          <w:szCs w:val="22"/>
          <w:lang w:eastAsia="en-GB"/>
        </w:rPr>
        <w:t xml:space="preserve">150) was evaluated in two studies, CD </w:t>
      </w:r>
      <w:r w:rsidR="0045606D" w:rsidRPr="001775D9">
        <w:rPr>
          <w:szCs w:val="22"/>
          <w:lang w:eastAsia="en-GB"/>
        </w:rPr>
        <w:t>s</w:t>
      </w:r>
      <w:r w:rsidRPr="001775D9">
        <w:rPr>
          <w:szCs w:val="22"/>
          <w:lang w:eastAsia="en-GB"/>
        </w:rPr>
        <w:t xml:space="preserve">tudy I (CLASSIC I) and CD </w:t>
      </w:r>
      <w:r w:rsidR="0045606D" w:rsidRPr="001775D9">
        <w:rPr>
          <w:szCs w:val="22"/>
          <w:lang w:eastAsia="en-GB"/>
        </w:rPr>
        <w:t>study</w:t>
      </w:r>
      <w:r w:rsidRPr="001775D9">
        <w:rPr>
          <w:szCs w:val="22"/>
          <w:lang w:eastAsia="en-GB"/>
        </w:rPr>
        <w:t xml:space="preserve"> II (GAIN). In CD </w:t>
      </w:r>
      <w:r w:rsidR="0045606D" w:rsidRPr="001775D9">
        <w:rPr>
          <w:szCs w:val="22"/>
          <w:lang w:eastAsia="en-GB"/>
        </w:rPr>
        <w:t>study</w:t>
      </w:r>
      <w:r w:rsidRPr="001775D9">
        <w:rPr>
          <w:szCs w:val="22"/>
          <w:lang w:eastAsia="en-GB"/>
        </w:rPr>
        <w:t xml:space="preserve"> I, 299 TNF-antagonist </w:t>
      </w:r>
      <w:r w:rsidR="004F0D18" w:rsidRPr="001775D9">
        <w:rPr>
          <w:szCs w:val="22"/>
          <w:lang w:eastAsia="en-GB"/>
        </w:rPr>
        <w:t>naïve</w:t>
      </w:r>
      <w:r w:rsidR="004F0D18" w:rsidRPr="001775D9" w:rsidDel="004F0D18">
        <w:rPr>
          <w:szCs w:val="22"/>
          <w:lang w:eastAsia="en-GB"/>
        </w:rPr>
        <w:t xml:space="preserve"> </w:t>
      </w:r>
      <w:r w:rsidRPr="001775D9">
        <w:rPr>
          <w:szCs w:val="22"/>
          <w:lang w:eastAsia="en-GB"/>
        </w:rPr>
        <w:t xml:space="preserve">patients were randomised to one of four treatment groups; placebo at </w:t>
      </w:r>
      <w:r w:rsidR="0045606D" w:rsidRPr="001775D9">
        <w:rPr>
          <w:szCs w:val="22"/>
        </w:rPr>
        <w:t>week</w:t>
      </w:r>
      <w:r w:rsidRPr="001775D9">
        <w:rPr>
          <w:szCs w:val="22"/>
          <w:lang w:eastAsia="en-GB"/>
        </w:rPr>
        <w:t>s 0 and 2, 160</w:t>
      </w:r>
      <w:r w:rsidRPr="001775D9">
        <w:rPr>
          <w:szCs w:val="22"/>
        </w:rPr>
        <w:t> </w:t>
      </w:r>
      <w:r w:rsidRPr="001775D9">
        <w:rPr>
          <w:szCs w:val="22"/>
          <w:lang w:eastAsia="en-GB"/>
        </w:rPr>
        <w:t xml:space="preserve">mg </w:t>
      </w:r>
      <w:r w:rsidR="00A12F4F" w:rsidRPr="001775D9">
        <w:rPr>
          <w:rFonts w:eastAsia="Times New Roman"/>
          <w:color w:val="000000"/>
          <w:szCs w:val="22"/>
        </w:rPr>
        <w:t>adalimumab</w:t>
      </w:r>
      <w:r w:rsidRPr="001775D9">
        <w:rPr>
          <w:szCs w:val="22"/>
          <w:lang w:eastAsia="en-GB"/>
        </w:rPr>
        <w:t xml:space="preserve"> at </w:t>
      </w:r>
      <w:r w:rsidR="0045606D" w:rsidRPr="001775D9">
        <w:rPr>
          <w:szCs w:val="22"/>
        </w:rPr>
        <w:t>week</w:t>
      </w:r>
      <w:r w:rsidR="007E7870" w:rsidRPr="001775D9">
        <w:rPr>
          <w:szCs w:val="22"/>
          <w:lang w:eastAsia="en-GB"/>
        </w:rPr>
        <w:t> </w:t>
      </w:r>
      <w:r w:rsidRPr="001775D9">
        <w:rPr>
          <w:szCs w:val="22"/>
          <w:lang w:eastAsia="en-GB"/>
        </w:rPr>
        <w:t>0 and 80</w:t>
      </w:r>
      <w:r w:rsidRPr="001775D9">
        <w:rPr>
          <w:szCs w:val="22"/>
        </w:rPr>
        <w:t> </w:t>
      </w:r>
      <w:r w:rsidRPr="001775D9">
        <w:rPr>
          <w:szCs w:val="22"/>
          <w:lang w:eastAsia="en-GB"/>
        </w:rPr>
        <w:t xml:space="preserve">mg at </w:t>
      </w:r>
      <w:r w:rsidR="0045606D" w:rsidRPr="001775D9">
        <w:rPr>
          <w:szCs w:val="22"/>
        </w:rPr>
        <w:t>week</w:t>
      </w:r>
      <w:r w:rsidRPr="001775D9">
        <w:rPr>
          <w:szCs w:val="22"/>
          <w:lang w:eastAsia="en-GB"/>
        </w:rPr>
        <w:t xml:space="preserve"> 2, 80</w:t>
      </w:r>
      <w:r w:rsidRPr="001775D9">
        <w:rPr>
          <w:szCs w:val="22"/>
        </w:rPr>
        <w:t> </w:t>
      </w:r>
      <w:r w:rsidRPr="001775D9">
        <w:rPr>
          <w:szCs w:val="22"/>
          <w:lang w:eastAsia="en-GB"/>
        </w:rPr>
        <w:t xml:space="preserve">mg at </w:t>
      </w:r>
      <w:r w:rsidR="0045606D" w:rsidRPr="001775D9">
        <w:rPr>
          <w:szCs w:val="22"/>
        </w:rPr>
        <w:t>week</w:t>
      </w:r>
      <w:r w:rsidRPr="001775D9">
        <w:rPr>
          <w:szCs w:val="22"/>
          <w:lang w:eastAsia="en-GB"/>
        </w:rPr>
        <w:t xml:space="preserve"> 0 and 40</w:t>
      </w:r>
      <w:r w:rsidRPr="001775D9">
        <w:rPr>
          <w:szCs w:val="22"/>
        </w:rPr>
        <w:t> </w:t>
      </w:r>
      <w:r w:rsidRPr="001775D9">
        <w:rPr>
          <w:szCs w:val="22"/>
          <w:lang w:eastAsia="en-GB"/>
        </w:rPr>
        <w:t xml:space="preserve">mg at </w:t>
      </w:r>
      <w:r w:rsidR="0045606D" w:rsidRPr="001775D9">
        <w:rPr>
          <w:szCs w:val="22"/>
        </w:rPr>
        <w:t>week</w:t>
      </w:r>
      <w:r w:rsidRPr="001775D9">
        <w:rPr>
          <w:szCs w:val="22"/>
          <w:lang w:eastAsia="en-GB"/>
        </w:rPr>
        <w:t xml:space="preserve"> 2, and 40</w:t>
      </w:r>
      <w:r w:rsidRPr="001775D9">
        <w:rPr>
          <w:szCs w:val="22"/>
        </w:rPr>
        <w:t> </w:t>
      </w:r>
      <w:r w:rsidRPr="001775D9">
        <w:rPr>
          <w:szCs w:val="22"/>
          <w:lang w:eastAsia="en-GB"/>
        </w:rPr>
        <w:t xml:space="preserve">mg at </w:t>
      </w:r>
      <w:r w:rsidR="0045606D" w:rsidRPr="001775D9">
        <w:rPr>
          <w:szCs w:val="22"/>
        </w:rPr>
        <w:t>week</w:t>
      </w:r>
      <w:r w:rsidRPr="001775D9">
        <w:rPr>
          <w:szCs w:val="22"/>
          <w:lang w:eastAsia="en-GB"/>
        </w:rPr>
        <w:t xml:space="preserve"> 0 and 20</w:t>
      </w:r>
      <w:r w:rsidRPr="001775D9">
        <w:rPr>
          <w:szCs w:val="22"/>
        </w:rPr>
        <w:t> </w:t>
      </w:r>
      <w:r w:rsidRPr="001775D9">
        <w:rPr>
          <w:szCs w:val="22"/>
          <w:lang w:eastAsia="en-GB"/>
        </w:rPr>
        <w:t xml:space="preserve">mg at </w:t>
      </w:r>
      <w:r w:rsidR="0045606D" w:rsidRPr="001775D9">
        <w:rPr>
          <w:szCs w:val="22"/>
        </w:rPr>
        <w:t>week</w:t>
      </w:r>
      <w:r w:rsidRPr="001775D9">
        <w:rPr>
          <w:szCs w:val="22"/>
          <w:lang w:eastAsia="en-GB"/>
        </w:rPr>
        <w:t xml:space="preserve"> 2. In CD </w:t>
      </w:r>
      <w:r w:rsidR="0045606D" w:rsidRPr="001775D9">
        <w:rPr>
          <w:szCs w:val="22"/>
          <w:lang w:eastAsia="en-GB"/>
        </w:rPr>
        <w:t>study</w:t>
      </w:r>
      <w:r w:rsidRPr="001775D9">
        <w:rPr>
          <w:szCs w:val="22"/>
          <w:lang w:eastAsia="en-GB"/>
        </w:rPr>
        <w:t xml:space="preserve"> II, 325 patients who had lost response or were intolerant to infliximab were randomised to receive either 160</w:t>
      </w:r>
      <w:r w:rsidRPr="001775D9">
        <w:rPr>
          <w:szCs w:val="22"/>
        </w:rPr>
        <w:t> </w:t>
      </w:r>
      <w:r w:rsidRPr="001775D9">
        <w:rPr>
          <w:szCs w:val="22"/>
          <w:lang w:eastAsia="en-GB"/>
        </w:rPr>
        <w:t xml:space="preserve">mg </w:t>
      </w:r>
      <w:r w:rsidR="00A12F4F" w:rsidRPr="001775D9">
        <w:rPr>
          <w:rFonts w:eastAsia="Times New Roman"/>
          <w:color w:val="000000"/>
          <w:szCs w:val="22"/>
        </w:rPr>
        <w:t>adalimumab</w:t>
      </w:r>
      <w:r w:rsidRPr="001775D9">
        <w:rPr>
          <w:szCs w:val="22"/>
          <w:lang w:eastAsia="en-GB"/>
        </w:rPr>
        <w:t xml:space="preserve"> at </w:t>
      </w:r>
      <w:r w:rsidR="0045606D" w:rsidRPr="001775D9">
        <w:rPr>
          <w:szCs w:val="22"/>
        </w:rPr>
        <w:t>week</w:t>
      </w:r>
      <w:r w:rsidRPr="001775D9">
        <w:rPr>
          <w:szCs w:val="22"/>
          <w:lang w:eastAsia="en-GB"/>
        </w:rPr>
        <w:t xml:space="preserve"> 0 and 80</w:t>
      </w:r>
      <w:r w:rsidRPr="001775D9">
        <w:rPr>
          <w:szCs w:val="22"/>
        </w:rPr>
        <w:t> </w:t>
      </w:r>
      <w:r w:rsidRPr="001775D9">
        <w:rPr>
          <w:szCs w:val="22"/>
          <w:lang w:eastAsia="en-GB"/>
        </w:rPr>
        <w:t xml:space="preserve">mg at </w:t>
      </w:r>
      <w:r w:rsidR="0045606D" w:rsidRPr="001775D9">
        <w:rPr>
          <w:szCs w:val="22"/>
        </w:rPr>
        <w:t>week</w:t>
      </w:r>
      <w:r w:rsidRPr="001775D9">
        <w:rPr>
          <w:szCs w:val="22"/>
          <w:lang w:eastAsia="en-GB"/>
        </w:rPr>
        <w:t xml:space="preserve"> 2 or placebo at </w:t>
      </w:r>
      <w:r w:rsidR="0045606D" w:rsidRPr="001775D9">
        <w:rPr>
          <w:szCs w:val="22"/>
        </w:rPr>
        <w:t>week</w:t>
      </w:r>
      <w:r w:rsidRPr="001775D9">
        <w:rPr>
          <w:szCs w:val="22"/>
          <w:lang w:eastAsia="en-GB"/>
        </w:rPr>
        <w:t>s</w:t>
      </w:r>
      <w:r w:rsidR="007E7870" w:rsidRPr="001775D9">
        <w:rPr>
          <w:szCs w:val="22"/>
          <w:lang w:eastAsia="en-GB"/>
        </w:rPr>
        <w:t> </w:t>
      </w:r>
      <w:r w:rsidRPr="001775D9">
        <w:rPr>
          <w:szCs w:val="22"/>
          <w:lang w:eastAsia="en-GB"/>
        </w:rPr>
        <w:t>0 and 2. The primary non-responders were excluded from the studies and therefore these patients were not further evaluated.</w:t>
      </w:r>
    </w:p>
    <w:p w14:paraId="531B9840"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64ACBD3E" w14:textId="3DF717D1"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Maintenance of clinical remission was evaluated in CD study III (CHARM). In CD </w:t>
      </w:r>
      <w:r w:rsidR="0045606D" w:rsidRPr="001775D9">
        <w:rPr>
          <w:szCs w:val="22"/>
          <w:lang w:eastAsia="en-GB"/>
        </w:rPr>
        <w:t>study</w:t>
      </w:r>
      <w:r w:rsidRPr="001775D9">
        <w:rPr>
          <w:szCs w:val="22"/>
          <w:lang w:eastAsia="en-GB"/>
        </w:rPr>
        <w:t xml:space="preserve"> III, 854 patients received open-label 80</w:t>
      </w:r>
      <w:r w:rsidRPr="001775D9">
        <w:rPr>
          <w:szCs w:val="22"/>
        </w:rPr>
        <w:t> </w:t>
      </w:r>
      <w:r w:rsidRPr="001775D9">
        <w:rPr>
          <w:szCs w:val="22"/>
          <w:lang w:eastAsia="en-GB"/>
        </w:rPr>
        <w:t xml:space="preserve">mg at </w:t>
      </w:r>
      <w:r w:rsidR="0045606D" w:rsidRPr="001775D9">
        <w:rPr>
          <w:szCs w:val="22"/>
        </w:rPr>
        <w:t>week</w:t>
      </w:r>
      <w:r w:rsidRPr="001775D9">
        <w:rPr>
          <w:szCs w:val="22"/>
          <w:lang w:eastAsia="en-GB"/>
        </w:rPr>
        <w:t xml:space="preserve"> 0 and 40</w:t>
      </w:r>
      <w:r w:rsidRPr="001775D9">
        <w:rPr>
          <w:szCs w:val="22"/>
        </w:rPr>
        <w:t> </w:t>
      </w:r>
      <w:r w:rsidRPr="001775D9">
        <w:rPr>
          <w:szCs w:val="22"/>
          <w:lang w:eastAsia="en-GB"/>
        </w:rPr>
        <w:t xml:space="preserve">mg at </w:t>
      </w:r>
      <w:r w:rsidR="0045606D" w:rsidRPr="001775D9">
        <w:rPr>
          <w:szCs w:val="22"/>
        </w:rPr>
        <w:t>week</w:t>
      </w:r>
      <w:r w:rsidRPr="001775D9">
        <w:rPr>
          <w:szCs w:val="22"/>
          <w:lang w:eastAsia="en-GB"/>
        </w:rPr>
        <w:t xml:space="preserve"> 2. At </w:t>
      </w:r>
      <w:r w:rsidR="0045606D" w:rsidRPr="001775D9">
        <w:rPr>
          <w:szCs w:val="22"/>
        </w:rPr>
        <w:t>week</w:t>
      </w:r>
      <w:r w:rsidRPr="001775D9">
        <w:rPr>
          <w:szCs w:val="22"/>
          <w:lang w:eastAsia="en-GB"/>
        </w:rPr>
        <w:t xml:space="preserve"> 4 patients were randomised to 40</w:t>
      </w:r>
      <w:r w:rsidRPr="001775D9">
        <w:rPr>
          <w:szCs w:val="22"/>
        </w:rPr>
        <w:t> </w:t>
      </w:r>
      <w:r w:rsidRPr="001775D9">
        <w:rPr>
          <w:szCs w:val="22"/>
          <w:lang w:eastAsia="en-GB"/>
        </w:rPr>
        <w:t xml:space="preserve">mg every other </w:t>
      </w:r>
      <w:r w:rsidR="0045606D" w:rsidRPr="001775D9">
        <w:rPr>
          <w:szCs w:val="22"/>
        </w:rPr>
        <w:t>week</w:t>
      </w:r>
      <w:r w:rsidRPr="001775D9">
        <w:rPr>
          <w:szCs w:val="22"/>
          <w:lang w:eastAsia="en-GB"/>
        </w:rPr>
        <w:t>, 40</w:t>
      </w:r>
      <w:r w:rsidRPr="001775D9">
        <w:rPr>
          <w:szCs w:val="22"/>
        </w:rPr>
        <w:t> </w:t>
      </w:r>
      <w:r w:rsidRPr="001775D9">
        <w:rPr>
          <w:szCs w:val="22"/>
          <w:lang w:eastAsia="en-GB"/>
        </w:rPr>
        <w:t xml:space="preserve">mg every </w:t>
      </w:r>
      <w:r w:rsidR="0045606D" w:rsidRPr="001775D9">
        <w:rPr>
          <w:szCs w:val="22"/>
        </w:rPr>
        <w:t>week</w:t>
      </w:r>
      <w:r w:rsidRPr="001775D9">
        <w:rPr>
          <w:szCs w:val="22"/>
          <w:lang w:eastAsia="en-GB"/>
        </w:rPr>
        <w:t xml:space="preserve">, or placebo with a total study duration of 56 </w:t>
      </w:r>
      <w:r w:rsidR="0045606D" w:rsidRPr="001775D9">
        <w:rPr>
          <w:szCs w:val="22"/>
        </w:rPr>
        <w:t>week</w:t>
      </w:r>
      <w:r w:rsidR="0045606D" w:rsidRPr="001775D9">
        <w:rPr>
          <w:szCs w:val="22"/>
          <w:lang w:eastAsia="en-GB"/>
        </w:rPr>
        <w:t>s</w:t>
      </w:r>
      <w:r w:rsidRPr="001775D9">
        <w:rPr>
          <w:szCs w:val="22"/>
          <w:lang w:eastAsia="en-GB"/>
        </w:rPr>
        <w:t>. Patients in clinical response (decrease in CDAI</w:t>
      </w:r>
      <w:r w:rsidR="00ED47F9" w:rsidRPr="001775D9">
        <w:rPr>
          <w:szCs w:val="22"/>
        </w:rPr>
        <w:t> </w:t>
      </w:r>
      <w:r w:rsidRPr="001775D9">
        <w:rPr>
          <w:szCs w:val="22"/>
          <w:lang w:eastAsia="en-GB"/>
        </w:rPr>
        <w:t>≥</w:t>
      </w:r>
      <w:r w:rsidRPr="001775D9">
        <w:rPr>
          <w:szCs w:val="22"/>
        </w:rPr>
        <w:t> </w:t>
      </w:r>
      <w:r w:rsidRPr="001775D9">
        <w:rPr>
          <w:szCs w:val="22"/>
          <w:lang w:eastAsia="en-GB"/>
        </w:rPr>
        <w:t xml:space="preserve">70) at </w:t>
      </w:r>
      <w:r w:rsidR="0045606D" w:rsidRPr="001775D9">
        <w:rPr>
          <w:szCs w:val="22"/>
        </w:rPr>
        <w:t>week</w:t>
      </w:r>
      <w:r w:rsidRPr="001775D9">
        <w:rPr>
          <w:szCs w:val="22"/>
          <w:lang w:eastAsia="en-GB"/>
        </w:rPr>
        <w:t xml:space="preserve"> 4 were stratified and analysed separately from those not in clinical response at </w:t>
      </w:r>
      <w:r w:rsidR="0045606D" w:rsidRPr="001775D9">
        <w:rPr>
          <w:szCs w:val="22"/>
        </w:rPr>
        <w:t>week</w:t>
      </w:r>
      <w:r w:rsidRPr="001775D9">
        <w:rPr>
          <w:szCs w:val="22"/>
          <w:lang w:eastAsia="en-GB"/>
        </w:rPr>
        <w:t xml:space="preserve"> 4. Corticosteroid taper was permitted after </w:t>
      </w:r>
      <w:r w:rsidR="0045606D" w:rsidRPr="001775D9">
        <w:rPr>
          <w:szCs w:val="22"/>
        </w:rPr>
        <w:t>week</w:t>
      </w:r>
      <w:r w:rsidRPr="001775D9">
        <w:rPr>
          <w:szCs w:val="22"/>
          <w:lang w:eastAsia="en-GB"/>
        </w:rPr>
        <w:t xml:space="preserve"> 8. </w:t>
      </w:r>
    </w:p>
    <w:p w14:paraId="51E4E63D"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5618F85" w14:textId="30D1ACB5"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lang w:eastAsia="en-GB"/>
        </w:rPr>
        <w:t xml:space="preserve">CD study I and CD study II induction of remission and response rates are presented in </w:t>
      </w:r>
      <w:r w:rsidR="0045606D" w:rsidRPr="001775D9">
        <w:rPr>
          <w:szCs w:val="22"/>
          <w:lang w:eastAsia="en-GB"/>
        </w:rPr>
        <w:t>t</w:t>
      </w:r>
      <w:r w:rsidR="00123D73" w:rsidRPr="001775D9">
        <w:rPr>
          <w:szCs w:val="22"/>
          <w:lang w:eastAsia="en-GB"/>
        </w:rPr>
        <w:t>able</w:t>
      </w:r>
      <w:r w:rsidR="00FA60E3" w:rsidRPr="001775D9">
        <w:rPr>
          <w:szCs w:val="22"/>
          <w:lang w:eastAsia="en-GB"/>
        </w:rPr>
        <w:t xml:space="preserve"> </w:t>
      </w:r>
      <w:r w:rsidR="004D7CC1" w:rsidRPr="001775D9">
        <w:rPr>
          <w:szCs w:val="22"/>
          <w:lang w:eastAsia="en-GB"/>
        </w:rPr>
        <w:t>21</w:t>
      </w:r>
      <w:r w:rsidRPr="001775D9">
        <w:rPr>
          <w:szCs w:val="22"/>
          <w:lang w:eastAsia="en-GB"/>
        </w:rPr>
        <w:t>.</w:t>
      </w:r>
    </w:p>
    <w:p w14:paraId="1ACBC799"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16B4E9BD" w14:textId="76DB6EEC" w:rsidR="00C42229" w:rsidRPr="001775D9" w:rsidRDefault="00C42229" w:rsidP="00FB5458">
      <w:pPr>
        <w:keepNext/>
        <w:keepLines/>
        <w:tabs>
          <w:tab w:val="clear" w:pos="567"/>
        </w:tabs>
        <w:autoSpaceDE w:val="0"/>
        <w:autoSpaceDN w:val="0"/>
        <w:adjustRightInd w:val="0"/>
        <w:spacing w:line="240" w:lineRule="auto"/>
        <w:rPr>
          <w:b/>
          <w:bCs/>
          <w:szCs w:val="22"/>
          <w:lang w:eastAsia="en-GB"/>
        </w:rPr>
      </w:pPr>
      <w:r w:rsidRPr="001775D9">
        <w:rPr>
          <w:b/>
          <w:bCs/>
          <w:szCs w:val="22"/>
          <w:lang w:eastAsia="en-GB"/>
        </w:rPr>
        <w:t xml:space="preserve">Table </w:t>
      </w:r>
      <w:r w:rsidR="004D7CC1" w:rsidRPr="001775D9">
        <w:rPr>
          <w:b/>
          <w:bCs/>
          <w:szCs w:val="22"/>
          <w:lang w:eastAsia="en-GB"/>
        </w:rPr>
        <w:t>21</w:t>
      </w:r>
      <w:r w:rsidR="00560AB5" w:rsidRPr="001775D9">
        <w:rPr>
          <w:b/>
          <w:bCs/>
          <w:szCs w:val="22"/>
          <w:lang w:eastAsia="en-GB"/>
        </w:rPr>
        <w:t>.</w:t>
      </w:r>
      <w:r w:rsidR="00110304" w:rsidRPr="001775D9">
        <w:rPr>
          <w:b/>
          <w:bCs/>
          <w:szCs w:val="22"/>
          <w:lang w:eastAsia="en-GB"/>
        </w:rPr>
        <w:t xml:space="preserve"> </w:t>
      </w:r>
      <w:r w:rsidRPr="001775D9">
        <w:rPr>
          <w:b/>
          <w:bCs/>
          <w:szCs w:val="22"/>
          <w:lang w:eastAsia="en-GB"/>
        </w:rPr>
        <w:t xml:space="preserve">Induction of </w:t>
      </w:r>
      <w:r w:rsidR="0045606D" w:rsidRPr="001775D9">
        <w:rPr>
          <w:b/>
          <w:bCs/>
          <w:szCs w:val="22"/>
          <w:lang w:eastAsia="en-GB"/>
        </w:rPr>
        <w:t>c</w:t>
      </w:r>
      <w:r w:rsidRPr="001775D9">
        <w:rPr>
          <w:b/>
          <w:bCs/>
          <w:szCs w:val="22"/>
          <w:lang w:eastAsia="en-GB"/>
        </w:rPr>
        <w:t xml:space="preserve">linical </w:t>
      </w:r>
      <w:r w:rsidR="0045606D" w:rsidRPr="001775D9">
        <w:rPr>
          <w:b/>
          <w:bCs/>
          <w:szCs w:val="22"/>
          <w:lang w:eastAsia="en-GB"/>
        </w:rPr>
        <w:t>r</w:t>
      </w:r>
      <w:r w:rsidRPr="001775D9">
        <w:rPr>
          <w:b/>
          <w:bCs/>
          <w:szCs w:val="22"/>
          <w:lang w:eastAsia="en-GB"/>
        </w:rPr>
        <w:t xml:space="preserve">emission and </w:t>
      </w:r>
      <w:r w:rsidR="0045606D" w:rsidRPr="001775D9">
        <w:rPr>
          <w:b/>
          <w:bCs/>
          <w:szCs w:val="22"/>
          <w:lang w:eastAsia="en-GB"/>
        </w:rPr>
        <w:t>r</w:t>
      </w:r>
      <w:r w:rsidRPr="001775D9">
        <w:rPr>
          <w:b/>
          <w:bCs/>
          <w:szCs w:val="22"/>
          <w:lang w:eastAsia="en-GB"/>
        </w:rPr>
        <w:t>esponse (</w:t>
      </w:r>
      <w:r w:rsidR="0045606D" w:rsidRPr="001775D9">
        <w:rPr>
          <w:b/>
          <w:bCs/>
          <w:szCs w:val="22"/>
          <w:lang w:eastAsia="en-GB"/>
        </w:rPr>
        <w:t>p</w:t>
      </w:r>
      <w:r w:rsidRPr="001775D9">
        <w:rPr>
          <w:b/>
          <w:bCs/>
          <w:szCs w:val="22"/>
          <w:lang w:eastAsia="en-GB"/>
        </w:rPr>
        <w:t xml:space="preserve">ercent of </w:t>
      </w:r>
      <w:r w:rsidR="0045606D" w:rsidRPr="001775D9">
        <w:rPr>
          <w:b/>
          <w:bCs/>
          <w:szCs w:val="22"/>
          <w:lang w:eastAsia="en-GB"/>
        </w:rPr>
        <w:t>p</w:t>
      </w:r>
      <w:r w:rsidRPr="001775D9">
        <w:rPr>
          <w:b/>
          <w:bCs/>
          <w:szCs w:val="22"/>
          <w:lang w:eastAsia="en-GB"/>
        </w:rPr>
        <w:t>atients)</w:t>
      </w:r>
    </w:p>
    <w:p w14:paraId="3577B122" w14:textId="77777777" w:rsidR="00C42229" w:rsidRPr="001775D9" w:rsidRDefault="00C42229" w:rsidP="00FB5458">
      <w:pPr>
        <w:keepNext/>
        <w:keepLines/>
        <w:spacing w:line="240" w:lineRule="auto"/>
        <w:rPr>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134"/>
        <w:gridCol w:w="1559"/>
        <w:gridCol w:w="1559"/>
        <w:gridCol w:w="1134"/>
        <w:gridCol w:w="1559"/>
      </w:tblGrid>
      <w:tr w:rsidR="00C42229" w:rsidRPr="00F04F82" w14:paraId="3D0568CB" w14:textId="77777777" w:rsidTr="004E495E">
        <w:trPr>
          <w:trHeight w:val="269"/>
        </w:trPr>
        <w:tc>
          <w:tcPr>
            <w:tcW w:w="2127" w:type="dxa"/>
          </w:tcPr>
          <w:p w14:paraId="4BD3250A"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p>
        </w:tc>
        <w:tc>
          <w:tcPr>
            <w:tcW w:w="4252" w:type="dxa"/>
            <w:gridSpan w:val="3"/>
          </w:tcPr>
          <w:p w14:paraId="7E40D99B"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CD </w:t>
            </w:r>
            <w:r w:rsidR="0045606D" w:rsidRPr="001775D9">
              <w:rPr>
                <w:b/>
                <w:bCs/>
                <w:szCs w:val="22"/>
                <w:lang w:eastAsia="en-GB"/>
              </w:rPr>
              <w:t>s</w:t>
            </w:r>
            <w:r w:rsidRPr="001775D9">
              <w:rPr>
                <w:b/>
                <w:bCs/>
                <w:szCs w:val="22"/>
                <w:lang w:eastAsia="en-GB"/>
              </w:rPr>
              <w:t xml:space="preserve">tudy I: </w:t>
            </w:r>
            <w:r w:rsidR="0045606D" w:rsidRPr="001775D9">
              <w:rPr>
                <w:b/>
                <w:bCs/>
                <w:szCs w:val="22"/>
                <w:lang w:eastAsia="en-GB"/>
              </w:rPr>
              <w:t>i</w:t>
            </w:r>
            <w:r w:rsidRPr="001775D9">
              <w:rPr>
                <w:b/>
                <w:bCs/>
                <w:szCs w:val="22"/>
                <w:lang w:eastAsia="en-GB"/>
              </w:rPr>
              <w:t xml:space="preserve">nfliximab </w:t>
            </w:r>
            <w:r w:rsidR="004F0D18" w:rsidRPr="001775D9">
              <w:rPr>
                <w:b/>
                <w:szCs w:val="22"/>
                <w:lang w:eastAsia="en-GB"/>
              </w:rPr>
              <w:t>naïve</w:t>
            </w:r>
            <w:r w:rsidRPr="001775D9">
              <w:rPr>
                <w:b/>
                <w:bCs/>
                <w:szCs w:val="22"/>
                <w:lang w:eastAsia="en-GB"/>
              </w:rPr>
              <w:t xml:space="preserve"> </w:t>
            </w:r>
            <w:r w:rsidR="0045606D" w:rsidRPr="001775D9">
              <w:rPr>
                <w:b/>
                <w:bCs/>
                <w:szCs w:val="22"/>
                <w:lang w:eastAsia="en-GB"/>
              </w:rPr>
              <w:t>p</w:t>
            </w:r>
            <w:r w:rsidRPr="001775D9">
              <w:rPr>
                <w:b/>
                <w:bCs/>
                <w:szCs w:val="22"/>
                <w:lang w:eastAsia="en-GB"/>
              </w:rPr>
              <w:t>atients</w:t>
            </w:r>
          </w:p>
        </w:tc>
        <w:tc>
          <w:tcPr>
            <w:tcW w:w="2693" w:type="dxa"/>
            <w:gridSpan w:val="2"/>
          </w:tcPr>
          <w:p w14:paraId="18E8FB82"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CD </w:t>
            </w:r>
            <w:r w:rsidR="0045606D" w:rsidRPr="001775D9">
              <w:rPr>
                <w:b/>
                <w:bCs/>
                <w:szCs w:val="22"/>
                <w:lang w:eastAsia="en-GB"/>
              </w:rPr>
              <w:t>s</w:t>
            </w:r>
            <w:r w:rsidRPr="001775D9">
              <w:rPr>
                <w:b/>
                <w:bCs/>
                <w:szCs w:val="22"/>
                <w:lang w:eastAsia="en-GB"/>
              </w:rPr>
              <w:t xml:space="preserve">tudy II: </w:t>
            </w:r>
            <w:r w:rsidR="0045606D" w:rsidRPr="001775D9">
              <w:rPr>
                <w:b/>
                <w:bCs/>
                <w:szCs w:val="22"/>
                <w:lang w:eastAsia="en-GB"/>
              </w:rPr>
              <w:t>i</w:t>
            </w:r>
            <w:r w:rsidRPr="001775D9">
              <w:rPr>
                <w:b/>
                <w:bCs/>
                <w:szCs w:val="22"/>
                <w:lang w:eastAsia="en-GB"/>
              </w:rPr>
              <w:t xml:space="preserve">nfliximab </w:t>
            </w:r>
            <w:r w:rsidR="0045606D" w:rsidRPr="001775D9">
              <w:rPr>
                <w:b/>
                <w:bCs/>
                <w:szCs w:val="22"/>
                <w:lang w:eastAsia="en-GB"/>
              </w:rPr>
              <w:t>e</w:t>
            </w:r>
            <w:r w:rsidRPr="001775D9">
              <w:rPr>
                <w:b/>
                <w:bCs/>
                <w:szCs w:val="22"/>
                <w:lang w:eastAsia="en-GB"/>
              </w:rPr>
              <w:t xml:space="preserve">xperienced </w:t>
            </w:r>
            <w:r w:rsidR="0045606D" w:rsidRPr="001775D9">
              <w:rPr>
                <w:b/>
                <w:bCs/>
                <w:szCs w:val="22"/>
                <w:lang w:eastAsia="en-GB"/>
              </w:rPr>
              <w:t>p</w:t>
            </w:r>
            <w:r w:rsidRPr="001775D9">
              <w:rPr>
                <w:b/>
                <w:bCs/>
                <w:szCs w:val="22"/>
                <w:lang w:eastAsia="en-GB"/>
              </w:rPr>
              <w:t xml:space="preserve">atients </w:t>
            </w:r>
          </w:p>
        </w:tc>
      </w:tr>
      <w:tr w:rsidR="00C42229" w:rsidRPr="00F04F82" w14:paraId="74580A92" w14:textId="77777777" w:rsidTr="004E495E">
        <w:trPr>
          <w:trHeight w:val="485"/>
        </w:trPr>
        <w:tc>
          <w:tcPr>
            <w:tcW w:w="2127" w:type="dxa"/>
          </w:tcPr>
          <w:p w14:paraId="139200ED"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p>
        </w:tc>
        <w:tc>
          <w:tcPr>
            <w:tcW w:w="1134" w:type="dxa"/>
          </w:tcPr>
          <w:p w14:paraId="633A3B05"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p w14:paraId="4BF70E20"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74</w:t>
            </w:r>
          </w:p>
        </w:tc>
        <w:tc>
          <w:tcPr>
            <w:tcW w:w="1559" w:type="dxa"/>
          </w:tcPr>
          <w:p w14:paraId="5FE5BD43" w14:textId="77777777" w:rsidR="00C42229" w:rsidRPr="001775D9" w:rsidRDefault="00A12F4F" w:rsidP="00FB5458">
            <w:pPr>
              <w:keepNext/>
              <w:keepLines/>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Pr="001775D9">
              <w:rPr>
                <w:b/>
                <w:szCs w:val="22"/>
                <w:lang w:eastAsia="en-GB"/>
              </w:rPr>
              <w:t xml:space="preserve"> </w:t>
            </w:r>
            <w:r w:rsidR="00C42229" w:rsidRPr="001775D9">
              <w:rPr>
                <w:b/>
                <w:bCs/>
                <w:szCs w:val="22"/>
                <w:lang w:eastAsia="en-GB"/>
              </w:rPr>
              <w:t>80/40</w:t>
            </w:r>
            <w:r w:rsidR="00C42229" w:rsidRPr="001775D9">
              <w:rPr>
                <w:b/>
                <w:szCs w:val="22"/>
              </w:rPr>
              <w:t> </w:t>
            </w:r>
            <w:r w:rsidR="00C42229" w:rsidRPr="001775D9">
              <w:rPr>
                <w:b/>
                <w:bCs/>
                <w:szCs w:val="22"/>
                <w:lang w:eastAsia="en-GB"/>
              </w:rPr>
              <w:t>mg</w:t>
            </w:r>
          </w:p>
          <w:p w14:paraId="0B9A92CD" w14:textId="77777777" w:rsidR="00C42229" w:rsidRPr="001775D9" w:rsidRDefault="00C42229" w:rsidP="00FB5458">
            <w:pPr>
              <w:keepNext/>
              <w:keepLines/>
              <w:tabs>
                <w:tab w:val="clear" w:pos="567"/>
              </w:tabs>
              <w:autoSpaceDE w:val="0"/>
              <w:autoSpaceDN w:val="0"/>
              <w:adjustRightInd w:val="0"/>
              <w:spacing w:line="240" w:lineRule="auto"/>
              <w:jc w:val="center"/>
              <w:rPr>
                <w:b/>
                <w:szCs w:val="22"/>
                <w:lang w:eastAsia="en-GB"/>
              </w:rPr>
            </w:pPr>
            <w:r w:rsidRPr="001775D9">
              <w:rPr>
                <w:b/>
                <w:bCs/>
                <w:szCs w:val="22"/>
                <w:lang w:eastAsia="en-GB"/>
              </w:rPr>
              <w:t>N</w:t>
            </w:r>
            <w:r w:rsidRPr="001775D9">
              <w:rPr>
                <w:b/>
                <w:szCs w:val="22"/>
              </w:rPr>
              <w:t> </w:t>
            </w:r>
            <w:r w:rsidRPr="001775D9">
              <w:rPr>
                <w:b/>
                <w:bCs/>
                <w:szCs w:val="22"/>
                <w:lang w:eastAsia="en-GB"/>
              </w:rPr>
              <w:t>=</w:t>
            </w:r>
            <w:r w:rsidRPr="001775D9">
              <w:rPr>
                <w:b/>
                <w:szCs w:val="22"/>
              </w:rPr>
              <w:t> </w:t>
            </w:r>
            <w:r w:rsidRPr="001775D9">
              <w:rPr>
                <w:b/>
                <w:bCs/>
                <w:szCs w:val="22"/>
                <w:lang w:eastAsia="en-GB"/>
              </w:rPr>
              <w:t>75</w:t>
            </w:r>
          </w:p>
        </w:tc>
        <w:tc>
          <w:tcPr>
            <w:tcW w:w="1559" w:type="dxa"/>
          </w:tcPr>
          <w:p w14:paraId="43FE85AF" w14:textId="77777777" w:rsidR="00C42229" w:rsidRPr="001775D9" w:rsidRDefault="00A12F4F" w:rsidP="00FB5458">
            <w:pPr>
              <w:keepNext/>
              <w:keepLines/>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Pr="001775D9">
              <w:rPr>
                <w:b/>
                <w:szCs w:val="22"/>
                <w:lang w:eastAsia="en-GB"/>
              </w:rPr>
              <w:t xml:space="preserve"> </w:t>
            </w:r>
            <w:r w:rsidR="00C42229" w:rsidRPr="001775D9">
              <w:rPr>
                <w:b/>
                <w:bCs/>
                <w:szCs w:val="22"/>
                <w:lang w:eastAsia="en-GB"/>
              </w:rPr>
              <w:t>160/80</w:t>
            </w:r>
            <w:r w:rsidR="00C42229" w:rsidRPr="001775D9">
              <w:rPr>
                <w:b/>
                <w:szCs w:val="22"/>
              </w:rPr>
              <w:t> </w:t>
            </w:r>
            <w:r w:rsidR="00C42229" w:rsidRPr="001775D9">
              <w:rPr>
                <w:b/>
                <w:bCs/>
                <w:szCs w:val="22"/>
                <w:lang w:eastAsia="en-GB"/>
              </w:rPr>
              <w:t>mg N</w:t>
            </w:r>
            <w:r w:rsidR="00C42229" w:rsidRPr="001775D9">
              <w:rPr>
                <w:b/>
                <w:szCs w:val="22"/>
              </w:rPr>
              <w:t> </w:t>
            </w:r>
            <w:r w:rsidR="00C42229" w:rsidRPr="001775D9">
              <w:rPr>
                <w:b/>
                <w:bCs/>
                <w:szCs w:val="22"/>
                <w:lang w:eastAsia="en-GB"/>
              </w:rPr>
              <w:t>=</w:t>
            </w:r>
            <w:r w:rsidR="00C42229" w:rsidRPr="001775D9">
              <w:rPr>
                <w:b/>
                <w:szCs w:val="22"/>
              </w:rPr>
              <w:t> </w:t>
            </w:r>
            <w:r w:rsidR="00C42229" w:rsidRPr="001775D9">
              <w:rPr>
                <w:b/>
                <w:bCs/>
                <w:szCs w:val="22"/>
                <w:lang w:eastAsia="en-GB"/>
              </w:rPr>
              <w:t>76</w:t>
            </w:r>
          </w:p>
        </w:tc>
        <w:tc>
          <w:tcPr>
            <w:tcW w:w="1134" w:type="dxa"/>
          </w:tcPr>
          <w:p w14:paraId="165B61CB" w14:textId="77777777" w:rsidR="00C42229" w:rsidRPr="001775D9" w:rsidRDefault="00C42229" w:rsidP="00FB5458">
            <w:pPr>
              <w:keepNext/>
              <w:keepLines/>
              <w:tabs>
                <w:tab w:val="clear" w:pos="567"/>
              </w:tabs>
              <w:autoSpaceDE w:val="0"/>
              <w:autoSpaceDN w:val="0"/>
              <w:adjustRightInd w:val="0"/>
              <w:spacing w:line="240" w:lineRule="auto"/>
              <w:jc w:val="center"/>
              <w:rPr>
                <w:b/>
                <w:szCs w:val="22"/>
                <w:lang w:eastAsia="en-GB"/>
              </w:rPr>
            </w:pPr>
            <w:r w:rsidRPr="001775D9">
              <w:rPr>
                <w:b/>
                <w:bCs/>
                <w:szCs w:val="22"/>
                <w:lang w:eastAsia="en-GB"/>
              </w:rPr>
              <w:t>Placebo N</w:t>
            </w:r>
            <w:r w:rsidRPr="001775D9">
              <w:rPr>
                <w:b/>
                <w:szCs w:val="22"/>
              </w:rPr>
              <w:t> </w:t>
            </w:r>
            <w:r w:rsidRPr="001775D9">
              <w:rPr>
                <w:b/>
                <w:bCs/>
                <w:szCs w:val="22"/>
                <w:lang w:eastAsia="en-GB"/>
              </w:rPr>
              <w:t>=</w:t>
            </w:r>
            <w:r w:rsidRPr="001775D9">
              <w:rPr>
                <w:b/>
                <w:szCs w:val="22"/>
              </w:rPr>
              <w:t> </w:t>
            </w:r>
            <w:r w:rsidRPr="001775D9">
              <w:rPr>
                <w:b/>
                <w:bCs/>
                <w:szCs w:val="22"/>
                <w:lang w:eastAsia="en-GB"/>
              </w:rPr>
              <w:t>166</w:t>
            </w:r>
          </w:p>
        </w:tc>
        <w:tc>
          <w:tcPr>
            <w:tcW w:w="1559" w:type="dxa"/>
          </w:tcPr>
          <w:p w14:paraId="4AC36CB5" w14:textId="77777777" w:rsidR="00C42229" w:rsidRPr="001775D9" w:rsidRDefault="00A12F4F" w:rsidP="00FB5458">
            <w:pPr>
              <w:keepNext/>
              <w:keepLines/>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Pr="001775D9">
              <w:rPr>
                <w:b/>
                <w:szCs w:val="22"/>
                <w:lang w:eastAsia="en-GB"/>
              </w:rPr>
              <w:t xml:space="preserve"> </w:t>
            </w:r>
            <w:r w:rsidR="00C42229" w:rsidRPr="001775D9">
              <w:rPr>
                <w:b/>
                <w:bCs/>
                <w:szCs w:val="22"/>
                <w:lang w:eastAsia="en-GB"/>
              </w:rPr>
              <w:t>160/80</w:t>
            </w:r>
            <w:r w:rsidR="00C42229" w:rsidRPr="001775D9">
              <w:rPr>
                <w:b/>
                <w:szCs w:val="22"/>
              </w:rPr>
              <w:t> </w:t>
            </w:r>
            <w:r w:rsidR="00C42229" w:rsidRPr="001775D9">
              <w:rPr>
                <w:b/>
                <w:bCs/>
                <w:szCs w:val="22"/>
                <w:lang w:eastAsia="en-GB"/>
              </w:rPr>
              <w:t>mg</w:t>
            </w:r>
          </w:p>
          <w:p w14:paraId="462E2BED" w14:textId="77777777" w:rsidR="00C42229" w:rsidRPr="001775D9" w:rsidRDefault="00C42229" w:rsidP="00FB5458">
            <w:pPr>
              <w:keepNext/>
              <w:keepLines/>
              <w:tabs>
                <w:tab w:val="clear" w:pos="567"/>
              </w:tabs>
              <w:autoSpaceDE w:val="0"/>
              <w:autoSpaceDN w:val="0"/>
              <w:adjustRightInd w:val="0"/>
              <w:spacing w:line="240" w:lineRule="auto"/>
              <w:jc w:val="center"/>
              <w:rPr>
                <w:b/>
                <w:szCs w:val="22"/>
                <w:lang w:eastAsia="en-GB"/>
              </w:rPr>
            </w:pPr>
            <w:r w:rsidRPr="001775D9">
              <w:rPr>
                <w:b/>
                <w:bCs/>
                <w:szCs w:val="22"/>
                <w:lang w:eastAsia="en-GB"/>
              </w:rPr>
              <w:t>N</w:t>
            </w:r>
            <w:r w:rsidRPr="001775D9">
              <w:rPr>
                <w:b/>
                <w:szCs w:val="22"/>
              </w:rPr>
              <w:t> </w:t>
            </w:r>
            <w:r w:rsidRPr="001775D9">
              <w:rPr>
                <w:b/>
                <w:bCs/>
                <w:szCs w:val="22"/>
                <w:lang w:eastAsia="en-GB"/>
              </w:rPr>
              <w:t>=</w:t>
            </w:r>
            <w:r w:rsidRPr="001775D9">
              <w:rPr>
                <w:b/>
                <w:szCs w:val="22"/>
              </w:rPr>
              <w:t> </w:t>
            </w:r>
            <w:r w:rsidRPr="001775D9">
              <w:rPr>
                <w:b/>
                <w:bCs/>
                <w:szCs w:val="22"/>
                <w:lang w:eastAsia="en-GB"/>
              </w:rPr>
              <w:t>159</w:t>
            </w:r>
          </w:p>
        </w:tc>
      </w:tr>
      <w:tr w:rsidR="00C42229" w:rsidRPr="00F04F82" w14:paraId="71C69D69" w14:textId="77777777" w:rsidTr="004E495E">
        <w:trPr>
          <w:trHeight w:val="147"/>
        </w:trPr>
        <w:tc>
          <w:tcPr>
            <w:tcW w:w="9072" w:type="dxa"/>
            <w:gridSpan w:val="6"/>
          </w:tcPr>
          <w:p w14:paraId="709A7D52"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Week 4 </w:t>
            </w:r>
          </w:p>
        </w:tc>
      </w:tr>
      <w:tr w:rsidR="00C42229" w:rsidRPr="00F04F82" w14:paraId="627F6299" w14:textId="77777777" w:rsidTr="004E495E">
        <w:trPr>
          <w:trHeight w:val="154"/>
        </w:trPr>
        <w:tc>
          <w:tcPr>
            <w:tcW w:w="2127" w:type="dxa"/>
          </w:tcPr>
          <w:p w14:paraId="6B91B144"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Clinical remission </w:t>
            </w:r>
          </w:p>
        </w:tc>
        <w:tc>
          <w:tcPr>
            <w:tcW w:w="1134" w:type="dxa"/>
          </w:tcPr>
          <w:p w14:paraId="4F4A5BBD"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12%</w:t>
            </w:r>
          </w:p>
        </w:tc>
        <w:tc>
          <w:tcPr>
            <w:tcW w:w="1559" w:type="dxa"/>
          </w:tcPr>
          <w:p w14:paraId="72AE39FF"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24%</w:t>
            </w:r>
          </w:p>
        </w:tc>
        <w:tc>
          <w:tcPr>
            <w:tcW w:w="1559" w:type="dxa"/>
          </w:tcPr>
          <w:p w14:paraId="20F3F1C3"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36%*</w:t>
            </w:r>
          </w:p>
        </w:tc>
        <w:tc>
          <w:tcPr>
            <w:tcW w:w="1134" w:type="dxa"/>
          </w:tcPr>
          <w:p w14:paraId="498E7EB6"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7%</w:t>
            </w:r>
          </w:p>
        </w:tc>
        <w:tc>
          <w:tcPr>
            <w:tcW w:w="1559" w:type="dxa"/>
          </w:tcPr>
          <w:p w14:paraId="7A9FE0C8"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21%*</w:t>
            </w:r>
          </w:p>
        </w:tc>
      </w:tr>
      <w:tr w:rsidR="00C42229" w:rsidRPr="00F04F82" w14:paraId="7DD8EB9B" w14:textId="77777777" w:rsidTr="004E495E">
        <w:trPr>
          <w:trHeight w:val="274"/>
        </w:trPr>
        <w:tc>
          <w:tcPr>
            <w:tcW w:w="2127" w:type="dxa"/>
          </w:tcPr>
          <w:p w14:paraId="4BF670DB" w14:textId="77777777" w:rsidR="00C42229" w:rsidRPr="001775D9" w:rsidRDefault="00C42229"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Clinical response (CR-100) </w:t>
            </w:r>
          </w:p>
        </w:tc>
        <w:tc>
          <w:tcPr>
            <w:tcW w:w="1134" w:type="dxa"/>
          </w:tcPr>
          <w:p w14:paraId="48546344"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24%</w:t>
            </w:r>
          </w:p>
        </w:tc>
        <w:tc>
          <w:tcPr>
            <w:tcW w:w="1559" w:type="dxa"/>
          </w:tcPr>
          <w:p w14:paraId="6870FC25"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37%</w:t>
            </w:r>
          </w:p>
        </w:tc>
        <w:tc>
          <w:tcPr>
            <w:tcW w:w="1559" w:type="dxa"/>
          </w:tcPr>
          <w:p w14:paraId="51860C7B"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49%**</w:t>
            </w:r>
          </w:p>
        </w:tc>
        <w:tc>
          <w:tcPr>
            <w:tcW w:w="1134" w:type="dxa"/>
          </w:tcPr>
          <w:p w14:paraId="1E9999E3"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25%</w:t>
            </w:r>
          </w:p>
        </w:tc>
        <w:tc>
          <w:tcPr>
            <w:tcW w:w="1559" w:type="dxa"/>
          </w:tcPr>
          <w:p w14:paraId="05B14CB8" w14:textId="77777777" w:rsidR="00C42229" w:rsidRPr="001775D9" w:rsidRDefault="00C42229" w:rsidP="00FB5458">
            <w:pPr>
              <w:keepNext/>
              <w:tabs>
                <w:tab w:val="clear" w:pos="567"/>
              </w:tabs>
              <w:autoSpaceDE w:val="0"/>
              <w:autoSpaceDN w:val="0"/>
              <w:adjustRightInd w:val="0"/>
              <w:spacing w:line="240" w:lineRule="auto"/>
              <w:jc w:val="center"/>
              <w:rPr>
                <w:szCs w:val="22"/>
                <w:lang w:eastAsia="en-GB"/>
              </w:rPr>
            </w:pPr>
            <w:r w:rsidRPr="001775D9">
              <w:rPr>
                <w:szCs w:val="22"/>
                <w:lang w:eastAsia="en-GB"/>
              </w:rPr>
              <w:t>38%**</w:t>
            </w:r>
          </w:p>
        </w:tc>
      </w:tr>
    </w:tbl>
    <w:p w14:paraId="05D3A56E"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lang w:eastAsia="en-GB"/>
        </w:rPr>
        <w:t xml:space="preserve">All p-values are pairwise comparisons of proportions for </w:t>
      </w:r>
      <w:r w:rsidR="00A12F4F" w:rsidRPr="001775D9">
        <w:rPr>
          <w:rFonts w:eastAsia="Times New Roman"/>
          <w:color w:val="000000"/>
          <w:sz w:val="20"/>
        </w:rPr>
        <w:t>adalimumab</w:t>
      </w:r>
      <w:r w:rsidRPr="001775D9">
        <w:rPr>
          <w:i/>
          <w:iCs/>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w:t>
      </w:r>
    </w:p>
    <w:p w14:paraId="237E13DA" w14:textId="77777777" w:rsidR="00C42229" w:rsidRPr="001775D9" w:rsidRDefault="00C42229" w:rsidP="00FB5458">
      <w:pPr>
        <w:tabs>
          <w:tab w:val="clear" w:pos="567"/>
        </w:tabs>
        <w:autoSpaceDE w:val="0"/>
        <w:autoSpaceDN w:val="0"/>
        <w:adjustRightInd w:val="0"/>
        <w:spacing w:line="240" w:lineRule="auto"/>
        <w:rPr>
          <w:color w:val="000000"/>
          <w:sz w:val="20"/>
          <w:lang w:eastAsia="en-GB"/>
        </w:rPr>
      </w:pPr>
      <w:r w:rsidRPr="001775D9">
        <w:rPr>
          <w:color w:val="000000"/>
          <w:sz w:val="20"/>
          <w:lang w:eastAsia="en-GB"/>
        </w:rPr>
        <w:t>* p</w:t>
      </w:r>
      <w:r w:rsidRPr="001775D9">
        <w:rPr>
          <w:sz w:val="20"/>
        </w:rPr>
        <w:t> </w:t>
      </w:r>
      <w:r w:rsidRPr="001775D9">
        <w:rPr>
          <w:color w:val="000000"/>
          <w:sz w:val="20"/>
          <w:lang w:eastAsia="en-GB"/>
        </w:rPr>
        <w:t>&lt;</w:t>
      </w:r>
      <w:r w:rsidRPr="001775D9">
        <w:rPr>
          <w:sz w:val="20"/>
        </w:rPr>
        <w:t> </w:t>
      </w:r>
      <w:r w:rsidRPr="001775D9">
        <w:rPr>
          <w:color w:val="000000"/>
          <w:sz w:val="20"/>
          <w:lang w:eastAsia="en-GB"/>
        </w:rPr>
        <w:t xml:space="preserve">0.001 </w:t>
      </w:r>
    </w:p>
    <w:p w14:paraId="36CC5016" w14:textId="77777777" w:rsidR="00C42229" w:rsidRPr="001775D9" w:rsidRDefault="00C42229" w:rsidP="00FB5458">
      <w:pPr>
        <w:spacing w:line="240" w:lineRule="auto"/>
        <w:rPr>
          <w:sz w:val="20"/>
        </w:rPr>
      </w:pPr>
      <w:r w:rsidRPr="001775D9">
        <w:rPr>
          <w:color w:val="000000"/>
          <w:sz w:val="20"/>
          <w:lang w:eastAsia="en-GB"/>
        </w:rPr>
        <w:t>** p</w:t>
      </w:r>
      <w:r w:rsidRPr="001775D9">
        <w:rPr>
          <w:sz w:val="20"/>
        </w:rPr>
        <w:t> </w:t>
      </w:r>
      <w:r w:rsidRPr="001775D9">
        <w:rPr>
          <w:color w:val="000000"/>
          <w:sz w:val="20"/>
          <w:lang w:eastAsia="en-GB"/>
        </w:rPr>
        <w:t>&lt;</w:t>
      </w:r>
      <w:r w:rsidRPr="001775D9">
        <w:rPr>
          <w:sz w:val="20"/>
        </w:rPr>
        <w:t> </w:t>
      </w:r>
      <w:r w:rsidRPr="001775D9">
        <w:rPr>
          <w:color w:val="000000"/>
          <w:sz w:val="20"/>
          <w:lang w:eastAsia="en-GB"/>
        </w:rPr>
        <w:t xml:space="preserve">0.01 </w:t>
      </w:r>
    </w:p>
    <w:p w14:paraId="5729372E" w14:textId="77777777" w:rsidR="00C42229" w:rsidRPr="001775D9" w:rsidRDefault="00C42229" w:rsidP="00FB5458">
      <w:pPr>
        <w:tabs>
          <w:tab w:val="clear" w:pos="567"/>
        </w:tabs>
        <w:autoSpaceDE w:val="0"/>
        <w:autoSpaceDN w:val="0"/>
        <w:adjustRightInd w:val="0"/>
        <w:spacing w:line="240" w:lineRule="auto"/>
        <w:rPr>
          <w:color w:val="000000"/>
          <w:szCs w:val="22"/>
          <w:u w:val="single"/>
          <w:lang w:eastAsia="en-GB"/>
        </w:rPr>
      </w:pPr>
    </w:p>
    <w:p w14:paraId="6336BBB9"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Similar remission rates were observed for the 160/80</w:t>
      </w:r>
      <w:r w:rsidRPr="001775D9">
        <w:rPr>
          <w:szCs w:val="22"/>
        </w:rPr>
        <w:t> </w:t>
      </w:r>
      <w:r w:rsidRPr="001775D9">
        <w:rPr>
          <w:color w:val="000000"/>
          <w:szCs w:val="22"/>
          <w:lang w:eastAsia="en-GB"/>
        </w:rPr>
        <w:t>mg and 80/40</w:t>
      </w:r>
      <w:r w:rsidRPr="001775D9">
        <w:rPr>
          <w:szCs w:val="22"/>
        </w:rPr>
        <w:t> </w:t>
      </w:r>
      <w:r w:rsidRPr="001775D9">
        <w:rPr>
          <w:color w:val="000000"/>
          <w:szCs w:val="22"/>
          <w:lang w:eastAsia="en-GB"/>
        </w:rPr>
        <w:t xml:space="preserve">mg induction regimens by </w:t>
      </w:r>
      <w:r w:rsidR="0045606D" w:rsidRPr="001775D9">
        <w:rPr>
          <w:szCs w:val="22"/>
        </w:rPr>
        <w:t>week</w:t>
      </w:r>
      <w:r w:rsidRPr="001775D9">
        <w:rPr>
          <w:color w:val="000000"/>
          <w:szCs w:val="22"/>
          <w:lang w:eastAsia="en-GB"/>
        </w:rPr>
        <w:t xml:space="preserve"> 8 and adverse events were more frequently noted in the 160/80</w:t>
      </w:r>
      <w:r w:rsidRPr="001775D9">
        <w:rPr>
          <w:szCs w:val="22"/>
        </w:rPr>
        <w:t> </w:t>
      </w:r>
      <w:r w:rsidRPr="001775D9">
        <w:rPr>
          <w:color w:val="000000"/>
          <w:szCs w:val="22"/>
          <w:lang w:eastAsia="en-GB"/>
        </w:rPr>
        <w:t xml:space="preserve">mg group. </w:t>
      </w:r>
    </w:p>
    <w:p w14:paraId="45CC8425"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51F65469" w14:textId="0BE2490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 CD </w:t>
      </w:r>
      <w:r w:rsidR="0045606D" w:rsidRPr="001775D9">
        <w:rPr>
          <w:color w:val="000000"/>
          <w:szCs w:val="22"/>
          <w:lang w:eastAsia="en-GB"/>
        </w:rPr>
        <w:t>s</w:t>
      </w:r>
      <w:r w:rsidRPr="001775D9">
        <w:rPr>
          <w:color w:val="000000"/>
          <w:szCs w:val="22"/>
          <w:lang w:eastAsia="en-GB"/>
        </w:rPr>
        <w:t xml:space="preserve">tudy III, at </w:t>
      </w:r>
      <w:r w:rsidR="0045606D" w:rsidRPr="001775D9">
        <w:rPr>
          <w:szCs w:val="22"/>
        </w:rPr>
        <w:t>week</w:t>
      </w:r>
      <w:r w:rsidRPr="001775D9">
        <w:rPr>
          <w:color w:val="000000"/>
          <w:szCs w:val="22"/>
          <w:lang w:eastAsia="en-GB"/>
        </w:rPr>
        <w:t xml:space="preserve"> 4, 58% (499/854) of patients were in clinical response and were assessed in the primary analysis. Of those in clinical response at </w:t>
      </w:r>
      <w:r w:rsidR="0045606D" w:rsidRPr="001775D9">
        <w:rPr>
          <w:szCs w:val="22"/>
        </w:rPr>
        <w:t>week</w:t>
      </w:r>
      <w:r w:rsidRPr="001775D9">
        <w:rPr>
          <w:color w:val="000000"/>
          <w:szCs w:val="22"/>
          <w:lang w:eastAsia="en-GB"/>
        </w:rPr>
        <w:t xml:space="preserve"> 4, 48% had been previously exposed to other TNF-antagonists. Maintenance of remission and response rates are presented in </w:t>
      </w:r>
      <w:r w:rsidR="00425FD5" w:rsidRPr="001775D9">
        <w:rPr>
          <w:color w:val="000000"/>
          <w:szCs w:val="22"/>
          <w:lang w:eastAsia="en-GB"/>
        </w:rPr>
        <w:t>t</w:t>
      </w:r>
      <w:r w:rsidR="00123D73" w:rsidRPr="001775D9">
        <w:rPr>
          <w:color w:val="000000"/>
          <w:szCs w:val="22"/>
          <w:lang w:eastAsia="en-GB"/>
        </w:rPr>
        <w:t xml:space="preserve">able </w:t>
      </w:r>
      <w:r w:rsidR="004D7CC1" w:rsidRPr="001775D9">
        <w:rPr>
          <w:color w:val="000000"/>
          <w:szCs w:val="22"/>
          <w:lang w:eastAsia="en-GB"/>
        </w:rPr>
        <w:t>22</w:t>
      </w:r>
      <w:r w:rsidRPr="001775D9">
        <w:rPr>
          <w:color w:val="000000"/>
          <w:szCs w:val="22"/>
          <w:lang w:eastAsia="en-GB"/>
        </w:rPr>
        <w:t xml:space="preserve">. Clinical remission results remained relatively constant irrespective of previous TNF-antagonist exposure. </w:t>
      </w:r>
    </w:p>
    <w:p w14:paraId="7211193B"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1501EB84"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Disease-related hospitalisations and surgeries were statistically significantly reduced with adalimumab compared with placebo at </w:t>
      </w:r>
      <w:r w:rsidR="00425FD5" w:rsidRPr="001775D9">
        <w:rPr>
          <w:szCs w:val="22"/>
        </w:rPr>
        <w:t>week</w:t>
      </w:r>
      <w:r w:rsidRPr="001775D9">
        <w:rPr>
          <w:color w:val="000000"/>
          <w:szCs w:val="22"/>
          <w:lang w:eastAsia="en-GB"/>
        </w:rPr>
        <w:t xml:space="preserve"> 56.</w:t>
      </w:r>
    </w:p>
    <w:p w14:paraId="05B4DCD5" w14:textId="77777777" w:rsidR="004E495E" w:rsidRPr="001775D9" w:rsidRDefault="004E495E" w:rsidP="00FB5458">
      <w:pPr>
        <w:tabs>
          <w:tab w:val="clear" w:pos="567"/>
        </w:tabs>
        <w:autoSpaceDE w:val="0"/>
        <w:autoSpaceDN w:val="0"/>
        <w:adjustRightInd w:val="0"/>
        <w:spacing w:line="240" w:lineRule="auto"/>
        <w:rPr>
          <w:color w:val="000000"/>
          <w:szCs w:val="22"/>
          <w:lang w:eastAsia="en-GB"/>
        </w:rPr>
      </w:pPr>
    </w:p>
    <w:p w14:paraId="06887B80" w14:textId="552B01D7" w:rsidR="00C42229" w:rsidRPr="001775D9" w:rsidRDefault="00C42229" w:rsidP="00502E68">
      <w:pPr>
        <w:keepNext/>
        <w:tabs>
          <w:tab w:val="clear" w:pos="567"/>
        </w:tabs>
        <w:autoSpaceDE w:val="0"/>
        <w:autoSpaceDN w:val="0"/>
        <w:adjustRightInd w:val="0"/>
        <w:spacing w:line="240" w:lineRule="auto"/>
        <w:rPr>
          <w:szCs w:val="22"/>
          <w:u w:val="single"/>
          <w:lang w:eastAsia="en-GB"/>
        </w:rPr>
      </w:pPr>
      <w:r w:rsidRPr="001775D9">
        <w:rPr>
          <w:b/>
          <w:bCs/>
          <w:color w:val="000000"/>
          <w:szCs w:val="22"/>
          <w:lang w:eastAsia="en-GB"/>
        </w:rPr>
        <w:t xml:space="preserve">Table </w:t>
      </w:r>
      <w:r w:rsidR="004D7CC1" w:rsidRPr="001775D9">
        <w:rPr>
          <w:b/>
          <w:bCs/>
          <w:color w:val="000000"/>
          <w:szCs w:val="22"/>
          <w:lang w:eastAsia="en-GB"/>
        </w:rPr>
        <w:t>22</w:t>
      </w:r>
      <w:r w:rsidR="00560AB5" w:rsidRPr="001775D9">
        <w:rPr>
          <w:b/>
          <w:bCs/>
          <w:color w:val="000000"/>
          <w:szCs w:val="22"/>
          <w:lang w:eastAsia="en-GB"/>
        </w:rPr>
        <w:t>.</w:t>
      </w:r>
      <w:r w:rsidR="00110304" w:rsidRPr="001775D9">
        <w:rPr>
          <w:b/>
          <w:bCs/>
          <w:color w:val="000000"/>
          <w:szCs w:val="22"/>
          <w:lang w:eastAsia="en-GB"/>
        </w:rPr>
        <w:t xml:space="preserve"> </w:t>
      </w:r>
      <w:r w:rsidRPr="001775D9">
        <w:rPr>
          <w:b/>
          <w:bCs/>
          <w:color w:val="000000"/>
          <w:szCs w:val="22"/>
          <w:lang w:eastAsia="en-GB"/>
        </w:rPr>
        <w:t xml:space="preserve">Maintenance of </w:t>
      </w:r>
      <w:r w:rsidR="00425FD5" w:rsidRPr="001775D9">
        <w:rPr>
          <w:b/>
          <w:bCs/>
          <w:color w:val="000000"/>
          <w:szCs w:val="22"/>
          <w:lang w:eastAsia="en-GB"/>
        </w:rPr>
        <w:t>c</w:t>
      </w:r>
      <w:r w:rsidRPr="001775D9">
        <w:rPr>
          <w:b/>
          <w:bCs/>
          <w:color w:val="000000"/>
          <w:szCs w:val="22"/>
          <w:lang w:eastAsia="en-GB"/>
        </w:rPr>
        <w:t xml:space="preserve">linical </w:t>
      </w:r>
      <w:r w:rsidR="00425FD5" w:rsidRPr="001775D9">
        <w:rPr>
          <w:b/>
          <w:bCs/>
          <w:szCs w:val="22"/>
          <w:lang w:eastAsia="en-GB"/>
        </w:rPr>
        <w:t>r</w:t>
      </w:r>
      <w:r w:rsidRPr="001775D9">
        <w:rPr>
          <w:b/>
          <w:bCs/>
          <w:szCs w:val="22"/>
          <w:lang w:eastAsia="en-GB"/>
        </w:rPr>
        <w:t xml:space="preserve">emission and </w:t>
      </w:r>
      <w:r w:rsidR="00425FD5" w:rsidRPr="001775D9">
        <w:rPr>
          <w:b/>
          <w:bCs/>
          <w:szCs w:val="22"/>
          <w:lang w:eastAsia="en-GB"/>
        </w:rPr>
        <w:t>r</w:t>
      </w:r>
      <w:r w:rsidRPr="001775D9">
        <w:rPr>
          <w:b/>
          <w:bCs/>
          <w:szCs w:val="22"/>
          <w:lang w:eastAsia="en-GB"/>
        </w:rPr>
        <w:t>esponse (</w:t>
      </w:r>
      <w:r w:rsidR="00425FD5" w:rsidRPr="001775D9">
        <w:rPr>
          <w:b/>
          <w:bCs/>
          <w:szCs w:val="22"/>
          <w:lang w:eastAsia="en-GB"/>
        </w:rPr>
        <w:t>p</w:t>
      </w:r>
      <w:r w:rsidRPr="001775D9">
        <w:rPr>
          <w:b/>
          <w:bCs/>
          <w:szCs w:val="22"/>
          <w:lang w:eastAsia="en-GB"/>
        </w:rPr>
        <w:t xml:space="preserve">ercent of </w:t>
      </w:r>
      <w:r w:rsidR="00425FD5" w:rsidRPr="001775D9">
        <w:rPr>
          <w:b/>
          <w:bCs/>
          <w:szCs w:val="22"/>
          <w:lang w:eastAsia="en-GB"/>
        </w:rPr>
        <w:t>p</w:t>
      </w:r>
      <w:r w:rsidRPr="001775D9">
        <w:rPr>
          <w:b/>
          <w:bCs/>
          <w:szCs w:val="22"/>
          <w:lang w:eastAsia="en-GB"/>
        </w:rPr>
        <w:t>atients)</w:t>
      </w:r>
    </w:p>
    <w:p w14:paraId="3CF67FBE" w14:textId="77777777" w:rsidR="00C42229" w:rsidRPr="001775D9" w:rsidRDefault="00C42229" w:rsidP="00502E68">
      <w:pPr>
        <w:keepNext/>
        <w:spacing w:line="240" w:lineRule="auto"/>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667"/>
        <w:gridCol w:w="2551"/>
        <w:gridCol w:w="2160"/>
      </w:tblGrid>
      <w:tr w:rsidR="00C42229" w:rsidRPr="00F04F82" w14:paraId="5823A7F8" w14:textId="77777777" w:rsidTr="00AC7E38">
        <w:trPr>
          <w:trHeight w:val="437"/>
          <w:tblHeader/>
        </w:trPr>
        <w:tc>
          <w:tcPr>
            <w:tcW w:w="2694" w:type="dxa"/>
          </w:tcPr>
          <w:p w14:paraId="578F763C" w14:textId="77777777" w:rsidR="00C42229" w:rsidRPr="001775D9" w:rsidRDefault="00C42229" w:rsidP="00502E68">
            <w:pPr>
              <w:keepNext/>
              <w:tabs>
                <w:tab w:val="clear" w:pos="567"/>
              </w:tabs>
              <w:autoSpaceDE w:val="0"/>
              <w:autoSpaceDN w:val="0"/>
              <w:adjustRightInd w:val="0"/>
              <w:spacing w:line="240" w:lineRule="auto"/>
              <w:jc w:val="center"/>
              <w:rPr>
                <w:szCs w:val="22"/>
                <w:lang w:eastAsia="en-GB"/>
              </w:rPr>
            </w:pPr>
          </w:p>
        </w:tc>
        <w:tc>
          <w:tcPr>
            <w:tcW w:w="1667" w:type="dxa"/>
          </w:tcPr>
          <w:p w14:paraId="35B7D050" w14:textId="77777777" w:rsidR="00C42229" w:rsidRPr="001775D9" w:rsidRDefault="00C42229" w:rsidP="00502E68">
            <w:pPr>
              <w:keepNext/>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tc>
        <w:tc>
          <w:tcPr>
            <w:tcW w:w="2551" w:type="dxa"/>
          </w:tcPr>
          <w:p w14:paraId="67BF51D8" w14:textId="77777777" w:rsidR="00C42229" w:rsidRPr="001775D9" w:rsidRDefault="00C42229" w:rsidP="00502E68">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40</w:t>
            </w:r>
            <w:r w:rsidRPr="001775D9">
              <w:rPr>
                <w:b/>
                <w:szCs w:val="22"/>
              </w:rPr>
              <w:t> </w:t>
            </w:r>
            <w:r w:rsidRPr="001775D9">
              <w:rPr>
                <w:b/>
                <w:bCs/>
                <w:szCs w:val="22"/>
                <w:lang w:eastAsia="en-GB"/>
              </w:rPr>
              <w:t xml:space="preserve">mg </w:t>
            </w:r>
            <w:r w:rsidR="00A12F4F" w:rsidRPr="001775D9">
              <w:rPr>
                <w:rFonts w:eastAsia="Times New Roman"/>
                <w:b/>
                <w:color w:val="000000"/>
                <w:szCs w:val="22"/>
              </w:rPr>
              <w:t>adalimumab</w:t>
            </w:r>
            <w:r w:rsidRPr="001775D9">
              <w:rPr>
                <w:b/>
                <w:bCs/>
                <w:szCs w:val="22"/>
                <w:lang w:eastAsia="en-GB"/>
              </w:rPr>
              <w:t xml:space="preserve"> every other week</w:t>
            </w:r>
          </w:p>
        </w:tc>
        <w:tc>
          <w:tcPr>
            <w:tcW w:w="2160" w:type="dxa"/>
          </w:tcPr>
          <w:p w14:paraId="31B3C1EE" w14:textId="77777777" w:rsidR="00C42229" w:rsidRPr="001775D9" w:rsidRDefault="00C42229" w:rsidP="00502E68">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40</w:t>
            </w:r>
            <w:r w:rsidRPr="001775D9">
              <w:rPr>
                <w:b/>
                <w:szCs w:val="22"/>
              </w:rPr>
              <w:t> </w:t>
            </w:r>
            <w:r w:rsidRPr="001775D9">
              <w:rPr>
                <w:b/>
                <w:bCs/>
                <w:szCs w:val="22"/>
                <w:lang w:eastAsia="en-GB"/>
              </w:rPr>
              <w:t xml:space="preserve">mg </w:t>
            </w:r>
            <w:r w:rsidR="00A12F4F" w:rsidRPr="001775D9">
              <w:rPr>
                <w:rFonts w:eastAsia="Times New Roman"/>
                <w:b/>
                <w:color w:val="000000"/>
                <w:szCs w:val="22"/>
              </w:rPr>
              <w:t>adalimumab</w:t>
            </w:r>
            <w:r w:rsidRPr="001775D9">
              <w:rPr>
                <w:b/>
                <w:bCs/>
                <w:szCs w:val="22"/>
                <w:lang w:eastAsia="en-GB"/>
              </w:rPr>
              <w:t xml:space="preserve"> every week</w:t>
            </w:r>
          </w:p>
        </w:tc>
      </w:tr>
      <w:tr w:rsidR="00C42229" w:rsidRPr="00F04F82" w14:paraId="583CEBBE" w14:textId="77777777" w:rsidTr="00AC7E38">
        <w:trPr>
          <w:trHeight w:val="147"/>
        </w:trPr>
        <w:tc>
          <w:tcPr>
            <w:tcW w:w="2694" w:type="dxa"/>
          </w:tcPr>
          <w:p w14:paraId="6AEFAD22"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b/>
                <w:bCs/>
                <w:szCs w:val="22"/>
                <w:lang w:eastAsia="en-GB"/>
              </w:rPr>
              <w:t>Week 26</w:t>
            </w:r>
          </w:p>
        </w:tc>
        <w:tc>
          <w:tcPr>
            <w:tcW w:w="1667" w:type="dxa"/>
          </w:tcPr>
          <w:p w14:paraId="07D1DB9B" w14:textId="77777777" w:rsidR="00C42229" w:rsidRPr="001775D9" w:rsidRDefault="00C42229" w:rsidP="00FB5458">
            <w:pPr>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170</w:t>
            </w:r>
          </w:p>
        </w:tc>
        <w:tc>
          <w:tcPr>
            <w:tcW w:w="2551" w:type="dxa"/>
          </w:tcPr>
          <w:p w14:paraId="18E26C4E"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172</w:t>
            </w:r>
          </w:p>
        </w:tc>
        <w:tc>
          <w:tcPr>
            <w:tcW w:w="2160" w:type="dxa"/>
          </w:tcPr>
          <w:p w14:paraId="41619925"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157</w:t>
            </w:r>
          </w:p>
        </w:tc>
      </w:tr>
      <w:tr w:rsidR="00C42229" w:rsidRPr="00F04F82" w14:paraId="5D0DD5CF" w14:textId="77777777" w:rsidTr="00AC7E38">
        <w:trPr>
          <w:trHeight w:val="147"/>
        </w:trPr>
        <w:tc>
          <w:tcPr>
            <w:tcW w:w="2694" w:type="dxa"/>
          </w:tcPr>
          <w:p w14:paraId="342CC6EB"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Clinical remission </w:t>
            </w:r>
          </w:p>
        </w:tc>
        <w:tc>
          <w:tcPr>
            <w:tcW w:w="1667" w:type="dxa"/>
          </w:tcPr>
          <w:p w14:paraId="34D7F89E"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17%</w:t>
            </w:r>
          </w:p>
        </w:tc>
        <w:tc>
          <w:tcPr>
            <w:tcW w:w="2551" w:type="dxa"/>
          </w:tcPr>
          <w:p w14:paraId="5C6997AB"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40%*</w:t>
            </w:r>
          </w:p>
        </w:tc>
        <w:tc>
          <w:tcPr>
            <w:tcW w:w="2160" w:type="dxa"/>
          </w:tcPr>
          <w:p w14:paraId="59EC65E5"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47%*</w:t>
            </w:r>
          </w:p>
        </w:tc>
      </w:tr>
      <w:tr w:rsidR="00C42229" w:rsidRPr="00F04F82" w14:paraId="299BAAF6" w14:textId="77777777" w:rsidTr="00AC7E38">
        <w:trPr>
          <w:trHeight w:val="147"/>
        </w:trPr>
        <w:tc>
          <w:tcPr>
            <w:tcW w:w="2694" w:type="dxa"/>
            <w:tcBorders>
              <w:bottom w:val="single" w:sz="4" w:space="0" w:color="auto"/>
            </w:tcBorders>
          </w:tcPr>
          <w:p w14:paraId="76D05B4F"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Clinical response (CR-100) </w:t>
            </w:r>
          </w:p>
        </w:tc>
        <w:tc>
          <w:tcPr>
            <w:tcW w:w="1667" w:type="dxa"/>
            <w:tcBorders>
              <w:bottom w:val="single" w:sz="4" w:space="0" w:color="auto"/>
            </w:tcBorders>
          </w:tcPr>
          <w:p w14:paraId="324BE23B"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27%</w:t>
            </w:r>
          </w:p>
        </w:tc>
        <w:tc>
          <w:tcPr>
            <w:tcW w:w="2551" w:type="dxa"/>
            <w:tcBorders>
              <w:bottom w:val="single" w:sz="4" w:space="0" w:color="auto"/>
            </w:tcBorders>
          </w:tcPr>
          <w:p w14:paraId="2432C714"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52%*</w:t>
            </w:r>
          </w:p>
        </w:tc>
        <w:tc>
          <w:tcPr>
            <w:tcW w:w="2160" w:type="dxa"/>
            <w:tcBorders>
              <w:bottom w:val="single" w:sz="4" w:space="0" w:color="auto"/>
            </w:tcBorders>
          </w:tcPr>
          <w:p w14:paraId="4B0C1558"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52%*</w:t>
            </w:r>
          </w:p>
        </w:tc>
      </w:tr>
      <w:tr w:rsidR="00C42229" w:rsidRPr="00F04F82" w14:paraId="6C67A074" w14:textId="77777777" w:rsidTr="00AC7E38">
        <w:trPr>
          <w:trHeight w:val="147"/>
        </w:trPr>
        <w:tc>
          <w:tcPr>
            <w:tcW w:w="2694" w:type="dxa"/>
            <w:tcBorders>
              <w:top w:val="single" w:sz="4" w:space="0" w:color="auto"/>
              <w:left w:val="single" w:sz="4" w:space="0" w:color="auto"/>
              <w:bottom w:val="single" w:sz="4" w:space="0" w:color="auto"/>
              <w:right w:val="single" w:sz="4" w:space="0" w:color="auto"/>
            </w:tcBorders>
          </w:tcPr>
          <w:p w14:paraId="53FA589D" w14:textId="6DD4F41D" w:rsidR="00C42229" w:rsidRPr="001775D9" w:rsidRDefault="00C42229" w:rsidP="00CF6F25">
            <w:pPr>
              <w:tabs>
                <w:tab w:val="clear" w:pos="567"/>
              </w:tabs>
              <w:autoSpaceDE w:val="0"/>
              <w:autoSpaceDN w:val="0"/>
              <w:adjustRightInd w:val="0"/>
              <w:spacing w:line="240" w:lineRule="auto"/>
              <w:rPr>
                <w:szCs w:val="22"/>
                <w:lang w:eastAsia="en-GB"/>
              </w:rPr>
            </w:pPr>
            <w:r w:rsidRPr="001775D9">
              <w:rPr>
                <w:szCs w:val="22"/>
                <w:lang w:eastAsia="en-GB"/>
              </w:rPr>
              <w:t>Patients in steroid-free remission for &gt;</w:t>
            </w:r>
            <w:r w:rsidRPr="001775D9">
              <w:rPr>
                <w:szCs w:val="22"/>
              </w:rPr>
              <w:t> </w:t>
            </w:r>
            <w:r w:rsidRPr="001775D9">
              <w:rPr>
                <w:szCs w:val="22"/>
                <w:lang w:eastAsia="en-GB"/>
              </w:rPr>
              <w:t>=</w:t>
            </w:r>
            <w:r w:rsidRPr="001775D9">
              <w:rPr>
                <w:szCs w:val="22"/>
              </w:rPr>
              <w:t> </w:t>
            </w:r>
            <w:r w:rsidRPr="001775D9">
              <w:rPr>
                <w:szCs w:val="22"/>
                <w:lang w:eastAsia="en-GB"/>
              </w:rPr>
              <w:t>90 days</w:t>
            </w:r>
            <w:r w:rsidRPr="001775D9">
              <w:rPr>
                <w:szCs w:val="22"/>
                <w:vertAlign w:val="superscript"/>
                <w:lang w:eastAsia="en-GB"/>
              </w:rPr>
              <w:t>a</w:t>
            </w:r>
          </w:p>
        </w:tc>
        <w:tc>
          <w:tcPr>
            <w:tcW w:w="1667" w:type="dxa"/>
            <w:tcBorders>
              <w:top w:val="single" w:sz="4" w:space="0" w:color="auto"/>
              <w:left w:val="single" w:sz="4" w:space="0" w:color="auto"/>
              <w:bottom w:val="single" w:sz="4" w:space="0" w:color="auto"/>
              <w:right w:val="single" w:sz="4" w:space="0" w:color="auto"/>
            </w:tcBorders>
          </w:tcPr>
          <w:p w14:paraId="4626502F" w14:textId="77777777" w:rsidR="00C42229" w:rsidRPr="001775D9" w:rsidRDefault="00A12F4F" w:rsidP="00FB5458">
            <w:pPr>
              <w:tabs>
                <w:tab w:val="clear" w:pos="567"/>
              </w:tabs>
              <w:autoSpaceDE w:val="0"/>
              <w:autoSpaceDN w:val="0"/>
              <w:adjustRightInd w:val="0"/>
              <w:spacing w:line="240" w:lineRule="auto"/>
              <w:jc w:val="center"/>
              <w:rPr>
                <w:szCs w:val="22"/>
                <w:lang w:eastAsia="en-GB"/>
              </w:rPr>
            </w:pPr>
            <w:r w:rsidRPr="001775D9">
              <w:rPr>
                <w:szCs w:val="22"/>
                <w:lang w:eastAsia="en-GB"/>
              </w:rPr>
              <w:t>3% (2/66)</w:t>
            </w:r>
          </w:p>
        </w:tc>
        <w:tc>
          <w:tcPr>
            <w:tcW w:w="2551" w:type="dxa"/>
            <w:tcBorders>
              <w:top w:val="single" w:sz="4" w:space="0" w:color="auto"/>
              <w:left w:val="single" w:sz="4" w:space="0" w:color="auto"/>
              <w:bottom w:val="single" w:sz="4" w:space="0" w:color="auto"/>
              <w:right w:val="single" w:sz="4" w:space="0" w:color="auto"/>
            </w:tcBorders>
          </w:tcPr>
          <w:p w14:paraId="46DEEA0C" w14:textId="77777777" w:rsidR="00C42229" w:rsidRPr="001775D9" w:rsidRDefault="00A12F4F" w:rsidP="00FB5458">
            <w:pPr>
              <w:tabs>
                <w:tab w:val="clear" w:pos="567"/>
              </w:tabs>
              <w:autoSpaceDE w:val="0"/>
              <w:autoSpaceDN w:val="0"/>
              <w:adjustRightInd w:val="0"/>
              <w:spacing w:line="240" w:lineRule="auto"/>
              <w:jc w:val="center"/>
              <w:rPr>
                <w:szCs w:val="22"/>
                <w:lang w:eastAsia="en-GB"/>
              </w:rPr>
            </w:pPr>
            <w:r w:rsidRPr="001775D9">
              <w:rPr>
                <w:szCs w:val="22"/>
                <w:lang w:eastAsia="en-GB"/>
              </w:rPr>
              <w:t>19% (11/58)**</w:t>
            </w:r>
          </w:p>
        </w:tc>
        <w:tc>
          <w:tcPr>
            <w:tcW w:w="2160" w:type="dxa"/>
            <w:tcBorders>
              <w:top w:val="single" w:sz="4" w:space="0" w:color="auto"/>
              <w:left w:val="single" w:sz="4" w:space="0" w:color="auto"/>
              <w:bottom w:val="single" w:sz="4" w:space="0" w:color="auto"/>
              <w:right w:val="single" w:sz="4" w:space="0" w:color="auto"/>
            </w:tcBorders>
          </w:tcPr>
          <w:p w14:paraId="70C5B96E" w14:textId="77777777" w:rsidR="00C42229" w:rsidRPr="001775D9" w:rsidRDefault="00A12F4F" w:rsidP="00FB5458">
            <w:pPr>
              <w:tabs>
                <w:tab w:val="clear" w:pos="567"/>
              </w:tabs>
              <w:autoSpaceDE w:val="0"/>
              <w:autoSpaceDN w:val="0"/>
              <w:adjustRightInd w:val="0"/>
              <w:spacing w:line="240" w:lineRule="auto"/>
              <w:jc w:val="center"/>
              <w:rPr>
                <w:szCs w:val="22"/>
                <w:lang w:eastAsia="en-GB"/>
              </w:rPr>
            </w:pPr>
            <w:r w:rsidRPr="001775D9">
              <w:rPr>
                <w:szCs w:val="22"/>
                <w:lang w:eastAsia="en-GB"/>
              </w:rPr>
              <w:t>15% (11/74)**</w:t>
            </w:r>
          </w:p>
        </w:tc>
      </w:tr>
      <w:tr w:rsidR="00C42229" w:rsidRPr="00F04F82" w14:paraId="663F98B1" w14:textId="77777777" w:rsidTr="00AC7E38">
        <w:trPr>
          <w:trHeight w:val="147"/>
        </w:trPr>
        <w:tc>
          <w:tcPr>
            <w:tcW w:w="2694" w:type="dxa"/>
            <w:tcBorders>
              <w:top w:val="single" w:sz="4" w:space="0" w:color="auto"/>
            </w:tcBorders>
          </w:tcPr>
          <w:p w14:paraId="5E8366C5"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b/>
                <w:bCs/>
                <w:szCs w:val="22"/>
                <w:lang w:eastAsia="en-GB"/>
              </w:rPr>
              <w:t xml:space="preserve">Week 56 </w:t>
            </w:r>
          </w:p>
        </w:tc>
        <w:tc>
          <w:tcPr>
            <w:tcW w:w="1667" w:type="dxa"/>
            <w:tcBorders>
              <w:top w:val="single" w:sz="4" w:space="0" w:color="auto"/>
            </w:tcBorders>
          </w:tcPr>
          <w:p w14:paraId="720A6B4E"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170</w:t>
            </w:r>
          </w:p>
        </w:tc>
        <w:tc>
          <w:tcPr>
            <w:tcW w:w="2551" w:type="dxa"/>
            <w:tcBorders>
              <w:top w:val="single" w:sz="4" w:space="0" w:color="auto"/>
            </w:tcBorders>
          </w:tcPr>
          <w:p w14:paraId="14C38414"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172</w:t>
            </w:r>
          </w:p>
        </w:tc>
        <w:tc>
          <w:tcPr>
            <w:tcW w:w="2160" w:type="dxa"/>
            <w:tcBorders>
              <w:top w:val="single" w:sz="4" w:space="0" w:color="auto"/>
            </w:tcBorders>
          </w:tcPr>
          <w:p w14:paraId="2BAEA6BE"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157</w:t>
            </w:r>
          </w:p>
        </w:tc>
      </w:tr>
      <w:tr w:rsidR="00C42229" w:rsidRPr="00F04F82" w14:paraId="601490AB" w14:textId="77777777" w:rsidTr="00AC7E38">
        <w:trPr>
          <w:trHeight w:val="147"/>
        </w:trPr>
        <w:tc>
          <w:tcPr>
            <w:tcW w:w="2694" w:type="dxa"/>
          </w:tcPr>
          <w:p w14:paraId="30D1BE0E"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Clinical remission </w:t>
            </w:r>
          </w:p>
        </w:tc>
        <w:tc>
          <w:tcPr>
            <w:tcW w:w="1667" w:type="dxa"/>
          </w:tcPr>
          <w:p w14:paraId="7974ED4F"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12%</w:t>
            </w:r>
          </w:p>
        </w:tc>
        <w:tc>
          <w:tcPr>
            <w:tcW w:w="2551" w:type="dxa"/>
          </w:tcPr>
          <w:p w14:paraId="15C0E1D1"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36%*</w:t>
            </w:r>
          </w:p>
        </w:tc>
        <w:tc>
          <w:tcPr>
            <w:tcW w:w="2160" w:type="dxa"/>
          </w:tcPr>
          <w:p w14:paraId="23A3DAFB"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41%*</w:t>
            </w:r>
          </w:p>
        </w:tc>
      </w:tr>
      <w:tr w:rsidR="00C42229" w:rsidRPr="00F04F82" w14:paraId="7ADDE6F6" w14:textId="77777777" w:rsidTr="00AC7E38">
        <w:trPr>
          <w:trHeight w:val="147"/>
        </w:trPr>
        <w:tc>
          <w:tcPr>
            <w:tcW w:w="2694" w:type="dxa"/>
          </w:tcPr>
          <w:p w14:paraId="0FFEE6E3"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Clinical response (CR-100) </w:t>
            </w:r>
          </w:p>
        </w:tc>
        <w:tc>
          <w:tcPr>
            <w:tcW w:w="1667" w:type="dxa"/>
          </w:tcPr>
          <w:p w14:paraId="40EC421F"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17%</w:t>
            </w:r>
          </w:p>
        </w:tc>
        <w:tc>
          <w:tcPr>
            <w:tcW w:w="2551" w:type="dxa"/>
          </w:tcPr>
          <w:p w14:paraId="42B166D2"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41%*</w:t>
            </w:r>
          </w:p>
        </w:tc>
        <w:tc>
          <w:tcPr>
            <w:tcW w:w="2160" w:type="dxa"/>
          </w:tcPr>
          <w:p w14:paraId="2AC24BAD"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48%*</w:t>
            </w:r>
          </w:p>
        </w:tc>
      </w:tr>
      <w:tr w:rsidR="00C42229" w:rsidRPr="00F04F82" w14:paraId="42ED514D" w14:textId="77777777" w:rsidTr="00AC7E38">
        <w:trPr>
          <w:trHeight w:val="147"/>
        </w:trPr>
        <w:tc>
          <w:tcPr>
            <w:tcW w:w="2694" w:type="dxa"/>
          </w:tcPr>
          <w:p w14:paraId="2DF277A2" w14:textId="23C1A97E" w:rsidR="00C42229" w:rsidRPr="001775D9" w:rsidRDefault="00C42229" w:rsidP="00CF6F25">
            <w:pPr>
              <w:tabs>
                <w:tab w:val="clear" w:pos="567"/>
              </w:tabs>
              <w:autoSpaceDE w:val="0"/>
              <w:autoSpaceDN w:val="0"/>
              <w:adjustRightInd w:val="0"/>
              <w:spacing w:line="240" w:lineRule="auto"/>
              <w:rPr>
                <w:szCs w:val="22"/>
                <w:lang w:eastAsia="en-GB"/>
              </w:rPr>
            </w:pPr>
            <w:r w:rsidRPr="001775D9">
              <w:rPr>
                <w:szCs w:val="22"/>
                <w:lang w:eastAsia="en-GB"/>
              </w:rPr>
              <w:t>Patients in steroid-free remission for &gt;</w:t>
            </w:r>
            <w:r w:rsidRPr="001775D9">
              <w:rPr>
                <w:szCs w:val="22"/>
              </w:rPr>
              <w:t> </w:t>
            </w:r>
            <w:r w:rsidRPr="001775D9">
              <w:rPr>
                <w:szCs w:val="22"/>
                <w:lang w:eastAsia="en-GB"/>
              </w:rPr>
              <w:t>=</w:t>
            </w:r>
            <w:r w:rsidRPr="001775D9">
              <w:rPr>
                <w:szCs w:val="22"/>
              </w:rPr>
              <w:t> </w:t>
            </w:r>
            <w:r w:rsidRPr="001775D9">
              <w:rPr>
                <w:szCs w:val="22"/>
                <w:lang w:eastAsia="en-GB"/>
              </w:rPr>
              <w:t>90 days</w:t>
            </w:r>
            <w:r w:rsidRPr="001775D9">
              <w:rPr>
                <w:szCs w:val="22"/>
                <w:vertAlign w:val="superscript"/>
                <w:lang w:eastAsia="en-GB"/>
              </w:rPr>
              <w:t>a</w:t>
            </w:r>
            <w:r w:rsidRPr="001775D9">
              <w:rPr>
                <w:szCs w:val="22"/>
                <w:lang w:eastAsia="en-GB"/>
              </w:rPr>
              <w:t xml:space="preserve"> </w:t>
            </w:r>
          </w:p>
        </w:tc>
        <w:tc>
          <w:tcPr>
            <w:tcW w:w="1667" w:type="dxa"/>
          </w:tcPr>
          <w:p w14:paraId="49E45CE4"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5% (3/66)</w:t>
            </w:r>
          </w:p>
        </w:tc>
        <w:tc>
          <w:tcPr>
            <w:tcW w:w="2551" w:type="dxa"/>
          </w:tcPr>
          <w:p w14:paraId="58CC64E7"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29% (17/58)*</w:t>
            </w:r>
          </w:p>
        </w:tc>
        <w:tc>
          <w:tcPr>
            <w:tcW w:w="2160" w:type="dxa"/>
          </w:tcPr>
          <w:p w14:paraId="3447D619" w14:textId="77777777" w:rsidR="00C42229" w:rsidRPr="001775D9" w:rsidRDefault="00C42229" w:rsidP="00FB5458">
            <w:pPr>
              <w:tabs>
                <w:tab w:val="clear" w:pos="567"/>
              </w:tabs>
              <w:autoSpaceDE w:val="0"/>
              <w:autoSpaceDN w:val="0"/>
              <w:adjustRightInd w:val="0"/>
              <w:spacing w:line="240" w:lineRule="auto"/>
              <w:jc w:val="center"/>
              <w:rPr>
                <w:szCs w:val="22"/>
                <w:lang w:eastAsia="en-GB"/>
              </w:rPr>
            </w:pPr>
            <w:r w:rsidRPr="001775D9">
              <w:rPr>
                <w:szCs w:val="22"/>
                <w:lang w:eastAsia="en-GB"/>
              </w:rPr>
              <w:t>20% (15/74)**</w:t>
            </w:r>
          </w:p>
        </w:tc>
      </w:tr>
    </w:tbl>
    <w:p w14:paraId="2554D71C"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lang w:eastAsia="en-GB"/>
        </w:rPr>
        <w:t>* p</w:t>
      </w:r>
      <w:r w:rsidRPr="001775D9">
        <w:rPr>
          <w:sz w:val="20"/>
        </w:rPr>
        <w:t> </w:t>
      </w:r>
      <w:r w:rsidRPr="001775D9">
        <w:rPr>
          <w:sz w:val="20"/>
          <w:lang w:eastAsia="en-GB"/>
        </w:rPr>
        <w:t>&lt;</w:t>
      </w:r>
      <w:r w:rsidRPr="001775D9">
        <w:rPr>
          <w:sz w:val="20"/>
        </w:rPr>
        <w:t> </w:t>
      </w:r>
      <w:r w:rsidRPr="001775D9">
        <w:rPr>
          <w:sz w:val="20"/>
          <w:lang w:eastAsia="en-GB"/>
        </w:rPr>
        <w:t xml:space="preserve">0.001 for </w:t>
      </w:r>
      <w:r w:rsidR="00A12F4F" w:rsidRPr="001775D9">
        <w:rPr>
          <w:rFonts w:eastAsia="Times New Roman"/>
          <w:color w:val="000000"/>
          <w:sz w:val="20"/>
        </w:rPr>
        <w:t>adalimumab</w:t>
      </w:r>
      <w:r w:rsidRPr="001775D9">
        <w:rPr>
          <w:i/>
          <w:iCs/>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pairwise comparisons of proportions </w:t>
      </w:r>
    </w:p>
    <w:p w14:paraId="42CD025F"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lang w:eastAsia="en-GB"/>
        </w:rPr>
        <w:t>** p</w:t>
      </w:r>
      <w:r w:rsidRPr="001775D9">
        <w:rPr>
          <w:sz w:val="20"/>
        </w:rPr>
        <w:t> </w:t>
      </w:r>
      <w:r w:rsidRPr="001775D9">
        <w:rPr>
          <w:sz w:val="20"/>
          <w:lang w:eastAsia="en-GB"/>
        </w:rPr>
        <w:t>&lt;</w:t>
      </w:r>
      <w:r w:rsidRPr="001775D9">
        <w:rPr>
          <w:sz w:val="20"/>
        </w:rPr>
        <w:t> </w:t>
      </w:r>
      <w:r w:rsidRPr="001775D9">
        <w:rPr>
          <w:sz w:val="20"/>
          <w:lang w:eastAsia="en-GB"/>
        </w:rPr>
        <w:t xml:space="preserve">0.02 for </w:t>
      </w:r>
      <w:r w:rsidR="00A12F4F" w:rsidRPr="001775D9">
        <w:rPr>
          <w:rFonts w:eastAsia="Times New Roman"/>
          <w:color w:val="000000"/>
          <w:sz w:val="20"/>
        </w:rPr>
        <w:t>adalimumab</w:t>
      </w:r>
      <w:r w:rsidRPr="001775D9">
        <w:rPr>
          <w:i/>
          <w:iCs/>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pairwise comparisons of proportions </w:t>
      </w:r>
    </w:p>
    <w:p w14:paraId="4DE0CF00" w14:textId="77777777" w:rsidR="00C42229" w:rsidRPr="001775D9" w:rsidRDefault="00C42229" w:rsidP="00FB5458">
      <w:pPr>
        <w:tabs>
          <w:tab w:val="clear" w:pos="567"/>
        </w:tabs>
        <w:autoSpaceDE w:val="0"/>
        <w:autoSpaceDN w:val="0"/>
        <w:adjustRightInd w:val="0"/>
        <w:spacing w:line="240" w:lineRule="auto"/>
        <w:rPr>
          <w:sz w:val="20"/>
          <w:u w:val="single"/>
          <w:lang w:eastAsia="en-GB"/>
        </w:rPr>
      </w:pPr>
      <w:r w:rsidRPr="001775D9">
        <w:rPr>
          <w:sz w:val="20"/>
          <w:vertAlign w:val="superscript"/>
          <w:lang w:eastAsia="en-GB"/>
        </w:rPr>
        <w:t>a</w:t>
      </w:r>
      <w:r w:rsidR="0098482D" w:rsidRPr="001775D9">
        <w:rPr>
          <w:sz w:val="20"/>
          <w:lang w:eastAsia="en-GB"/>
        </w:rPr>
        <w:t xml:space="preserve"> </w:t>
      </w:r>
      <w:r w:rsidRPr="001775D9">
        <w:rPr>
          <w:sz w:val="20"/>
          <w:lang w:eastAsia="en-GB"/>
        </w:rPr>
        <w:t xml:space="preserve">Of those receiving corticosteroids at baseline </w:t>
      </w:r>
    </w:p>
    <w:p w14:paraId="447220B2"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695D2381"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Among patients who were not in response at </w:t>
      </w:r>
      <w:r w:rsidR="00425FD5" w:rsidRPr="001775D9">
        <w:rPr>
          <w:szCs w:val="22"/>
        </w:rPr>
        <w:t>week</w:t>
      </w:r>
      <w:r w:rsidRPr="001775D9">
        <w:rPr>
          <w:szCs w:val="22"/>
          <w:lang w:eastAsia="en-GB"/>
        </w:rPr>
        <w:t xml:space="preserve"> 4, 43% of </w:t>
      </w:r>
      <w:r w:rsidR="00A12F4F" w:rsidRPr="001775D9">
        <w:rPr>
          <w:rFonts w:eastAsia="Times New Roman"/>
          <w:color w:val="000000"/>
          <w:szCs w:val="22"/>
        </w:rPr>
        <w:t>adalimumab</w:t>
      </w:r>
      <w:r w:rsidRPr="001775D9">
        <w:rPr>
          <w:szCs w:val="22"/>
          <w:lang w:eastAsia="en-GB"/>
        </w:rPr>
        <w:t xml:space="preserve"> maintenance patients responded by </w:t>
      </w:r>
      <w:r w:rsidR="00425FD5" w:rsidRPr="001775D9">
        <w:rPr>
          <w:szCs w:val="22"/>
        </w:rPr>
        <w:t>week</w:t>
      </w:r>
      <w:r w:rsidRPr="001775D9">
        <w:rPr>
          <w:szCs w:val="22"/>
          <w:lang w:eastAsia="en-GB"/>
        </w:rPr>
        <w:t xml:space="preserve"> 12 compared to 30% of placebo maintenance patients. These results suggest that some patients who have not responded by </w:t>
      </w:r>
      <w:r w:rsidR="00425FD5" w:rsidRPr="001775D9">
        <w:rPr>
          <w:szCs w:val="22"/>
        </w:rPr>
        <w:t>week</w:t>
      </w:r>
      <w:r w:rsidRPr="001775D9">
        <w:rPr>
          <w:szCs w:val="22"/>
          <w:lang w:eastAsia="en-GB"/>
        </w:rPr>
        <w:t xml:space="preserve"> 4 benefit from continued maintenance therapy through </w:t>
      </w:r>
      <w:r w:rsidR="00425FD5" w:rsidRPr="001775D9">
        <w:rPr>
          <w:szCs w:val="22"/>
        </w:rPr>
        <w:t>week</w:t>
      </w:r>
      <w:r w:rsidRPr="001775D9">
        <w:rPr>
          <w:szCs w:val="22"/>
          <w:lang w:eastAsia="en-GB"/>
        </w:rPr>
        <w:t xml:space="preserve"> 12. Therapy continued beyond 12 </w:t>
      </w:r>
      <w:r w:rsidR="00425FD5" w:rsidRPr="001775D9">
        <w:rPr>
          <w:szCs w:val="22"/>
        </w:rPr>
        <w:t>week</w:t>
      </w:r>
      <w:r w:rsidRPr="001775D9">
        <w:rPr>
          <w:szCs w:val="22"/>
          <w:lang w:eastAsia="en-GB"/>
        </w:rPr>
        <w:t xml:space="preserve">s did not result in significantly more responses (see section 4.2). </w:t>
      </w:r>
    </w:p>
    <w:p w14:paraId="3527F9B6"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9A37988"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lang w:eastAsia="en-GB"/>
        </w:rPr>
        <w:t xml:space="preserve">117/276 patients from CD study I and 272/777 patients from CD studies II and III were followed through at least 3 years of open-label </w:t>
      </w:r>
      <w:r w:rsidR="00A12F4F" w:rsidRPr="001775D9">
        <w:rPr>
          <w:rFonts w:eastAsia="Times New Roman"/>
          <w:color w:val="000000"/>
          <w:szCs w:val="22"/>
        </w:rPr>
        <w:t>adalimumab</w:t>
      </w:r>
      <w:r w:rsidRPr="001775D9">
        <w:rPr>
          <w:szCs w:val="22"/>
          <w:lang w:eastAsia="en-GB"/>
        </w:rPr>
        <w:t xml:space="preserve"> therapy. 88 and 189 patients, respectively, continued to be in clinical remission. Clinical response (CR-100) was maintained in 102 and 233</w:t>
      </w:r>
      <w:r w:rsidR="007E7870" w:rsidRPr="001775D9">
        <w:rPr>
          <w:szCs w:val="22"/>
          <w:lang w:eastAsia="en-GB"/>
        </w:rPr>
        <w:t> </w:t>
      </w:r>
      <w:r w:rsidRPr="001775D9">
        <w:rPr>
          <w:szCs w:val="22"/>
          <w:lang w:eastAsia="en-GB"/>
        </w:rPr>
        <w:t>patients, respectively.</w:t>
      </w:r>
    </w:p>
    <w:p w14:paraId="6F7A3C02"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3F5CFE41" w14:textId="77777777" w:rsidR="00C42229" w:rsidRPr="001775D9" w:rsidRDefault="00C42229" w:rsidP="009F3EC6">
      <w:pPr>
        <w:keepNext/>
        <w:keepLines/>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Quality of </w:t>
      </w:r>
      <w:r w:rsidR="00194600" w:rsidRPr="001775D9">
        <w:rPr>
          <w:i/>
          <w:szCs w:val="22"/>
          <w:u w:val="single"/>
          <w:lang w:eastAsia="en-GB"/>
        </w:rPr>
        <w:t>l</w:t>
      </w:r>
      <w:r w:rsidRPr="001775D9">
        <w:rPr>
          <w:i/>
          <w:szCs w:val="22"/>
          <w:u w:val="single"/>
          <w:lang w:eastAsia="en-GB"/>
        </w:rPr>
        <w:t xml:space="preserve">ife </w:t>
      </w:r>
    </w:p>
    <w:p w14:paraId="6D92E23F"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6FE7489"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lang w:eastAsia="en-GB"/>
        </w:rPr>
        <w:t xml:space="preserve">In CD </w:t>
      </w:r>
      <w:r w:rsidR="00425FD5" w:rsidRPr="001775D9">
        <w:rPr>
          <w:szCs w:val="22"/>
          <w:lang w:eastAsia="en-GB"/>
        </w:rPr>
        <w:t>study</w:t>
      </w:r>
      <w:r w:rsidRPr="001775D9">
        <w:rPr>
          <w:szCs w:val="22"/>
          <w:lang w:eastAsia="en-GB"/>
        </w:rPr>
        <w:t xml:space="preserve"> I and CD </w:t>
      </w:r>
      <w:r w:rsidR="00425FD5" w:rsidRPr="001775D9">
        <w:rPr>
          <w:szCs w:val="22"/>
          <w:lang w:eastAsia="en-GB"/>
        </w:rPr>
        <w:t>study</w:t>
      </w:r>
      <w:r w:rsidRPr="001775D9">
        <w:rPr>
          <w:szCs w:val="22"/>
          <w:lang w:eastAsia="en-GB"/>
        </w:rPr>
        <w:t xml:space="preserve"> II, statistically significant improvement in the disease-specific inflammatory bowel disease questionnaire (IBDQ) total score was achieved at </w:t>
      </w:r>
      <w:r w:rsidR="00425FD5" w:rsidRPr="001775D9">
        <w:rPr>
          <w:szCs w:val="22"/>
        </w:rPr>
        <w:t>week</w:t>
      </w:r>
      <w:r w:rsidRPr="001775D9">
        <w:rPr>
          <w:szCs w:val="22"/>
          <w:lang w:eastAsia="en-GB"/>
        </w:rPr>
        <w:t xml:space="preserve"> 4 in patients randomised to </w:t>
      </w:r>
      <w:r w:rsidR="00A12F4F" w:rsidRPr="001775D9">
        <w:rPr>
          <w:rFonts w:eastAsia="Times New Roman"/>
          <w:color w:val="000000"/>
          <w:szCs w:val="22"/>
        </w:rPr>
        <w:t>adalimumab</w:t>
      </w:r>
      <w:r w:rsidRPr="001775D9">
        <w:rPr>
          <w:szCs w:val="22"/>
          <w:lang w:eastAsia="en-GB"/>
        </w:rPr>
        <w:t xml:space="preserve"> 80/40</w:t>
      </w:r>
      <w:r w:rsidRPr="001775D9">
        <w:rPr>
          <w:szCs w:val="22"/>
        </w:rPr>
        <w:t> </w:t>
      </w:r>
      <w:r w:rsidRPr="001775D9">
        <w:rPr>
          <w:szCs w:val="22"/>
          <w:lang w:eastAsia="en-GB"/>
        </w:rPr>
        <w:t>mg and 160/80</w:t>
      </w:r>
      <w:r w:rsidRPr="001775D9">
        <w:rPr>
          <w:szCs w:val="22"/>
        </w:rPr>
        <w:t> </w:t>
      </w:r>
      <w:r w:rsidRPr="001775D9">
        <w:rPr>
          <w:szCs w:val="22"/>
          <w:lang w:eastAsia="en-GB"/>
        </w:rPr>
        <w:t xml:space="preserve">mg compared to placebo and was seen at </w:t>
      </w:r>
      <w:r w:rsidR="00425FD5" w:rsidRPr="001775D9">
        <w:rPr>
          <w:szCs w:val="22"/>
        </w:rPr>
        <w:t>week</w:t>
      </w:r>
      <w:r w:rsidRPr="001775D9">
        <w:rPr>
          <w:szCs w:val="22"/>
          <w:lang w:eastAsia="en-GB"/>
        </w:rPr>
        <w:t xml:space="preserve">s 26 and 56 in CD </w:t>
      </w:r>
      <w:r w:rsidR="00425FD5" w:rsidRPr="001775D9">
        <w:rPr>
          <w:szCs w:val="22"/>
          <w:lang w:eastAsia="en-GB"/>
        </w:rPr>
        <w:t>study</w:t>
      </w:r>
      <w:r w:rsidRPr="001775D9">
        <w:rPr>
          <w:szCs w:val="22"/>
          <w:lang w:eastAsia="en-GB"/>
        </w:rPr>
        <w:t xml:space="preserve"> III as well among the adalimumab treatment groups compared to the placebo group.</w:t>
      </w:r>
    </w:p>
    <w:p w14:paraId="5AC98A1A"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p>
    <w:p w14:paraId="4B804F2F" w14:textId="77777777" w:rsidR="00C42229" w:rsidRPr="001775D9" w:rsidRDefault="00C42229" w:rsidP="00FB5458">
      <w:pPr>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Ulcerative </w:t>
      </w:r>
      <w:r w:rsidR="00194600" w:rsidRPr="001775D9">
        <w:rPr>
          <w:i/>
          <w:color w:val="000000"/>
          <w:szCs w:val="22"/>
          <w:lang w:eastAsia="en-GB"/>
        </w:rPr>
        <w:t>c</w:t>
      </w:r>
      <w:r w:rsidRPr="001775D9">
        <w:rPr>
          <w:i/>
          <w:color w:val="000000"/>
          <w:szCs w:val="22"/>
          <w:lang w:eastAsia="en-GB"/>
        </w:rPr>
        <w:t xml:space="preserve">olitis </w:t>
      </w:r>
    </w:p>
    <w:p w14:paraId="146AAA46"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5B12FDFE"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The safety and efficacy of </w:t>
      </w:r>
      <w:r w:rsidRPr="001775D9">
        <w:rPr>
          <w:szCs w:val="22"/>
          <w:lang w:eastAsia="en-GB"/>
        </w:rPr>
        <w:t xml:space="preserve">multiple doses of </w:t>
      </w:r>
      <w:r w:rsidR="006C03DB" w:rsidRPr="001775D9">
        <w:rPr>
          <w:rFonts w:eastAsia="Times New Roman"/>
          <w:color w:val="000000"/>
          <w:szCs w:val="22"/>
        </w:rPr>
        <w:t>adalimumab</w:t>
      </w:r>
      <w:r w:rsidRPr="001775D9">
        <w:rPr>
          <w:szCs w:val="22"/>
          <w:lang w:eastAsia="en-GB"/>
        </w:rPr>
        <w:t xml:space="preserve"> were assessed in adult patients with moderately to severely active ulcerative colitis (Mayo score 6 to 12 with endoscopy subscore of 2 to 3) in randomised, double-blind, placebo-controlled studies. </w:t>
      </w:r>
    </w:p>
    <w:p w14:paraId="02A6ECD1"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58D7C4D9" w14:textId="026826CD"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study UC-I, 390 TNF-antagonist naïve patients were randomised to receive either placebo at </w:t>
      </w:r>
      <w:r w:rsidR="00B12E05" w:rsidRPr="001775D9">
        <w:rPr>
          <w:color w:val="000000"/>
          <w:szCs w:val="22"/>
          <w:lang w:eastAsia="en-GB"/>
        </w:rPr>
        <w:t>week</w:t>
      </w:r>
      <w:r w:rsidRPr="001775D9">
        <w:rPr>
          <w:szCs w:val="22"/>
          <w:lang w:eastAsia="en-GB"/>
        </w:rPr>
        <w:t>s 0 and 2, 160</w:t>
      </w:r>
      <w:r w:rsidRPr="001775D9">
        <w:rPr>
          <w:szCs w:val="22"/>
        </w:rPr>
        <w:t> </w:t>
      </w:r>
      <w:r w:rsidRPr="001775D9">
        <w:rPr>
          <w:szCs w:val="22"/>
          <w:lang w:eastAsia="en-GB"/>
        </w:rPr>
        <w:t xml:space="preserve">mg </w:t>
      </w:r>
      <w:r w:rsidR="006C03DB" w:rsidRPr="001775D9">
        <w:rPr>
          <w:rFonts w:eastAsia="Times New Roman"/>
          <w:color w:val="000000"/>
          <w:szCs w:val="22"/>
        </w:rPr>
        <w:t>adalimumab</w:t>
      </w:r>
      <w:r w:rsidRPr="001775D9">
        <w:rPr>
          <w:szCs w:val="22"/>
          <w:lang w:eastAsia="en-GB"/>
        </w:rPr>
        <w:t xml:space="preserve"> at </w:t>
      </w:r>
      <w:r w:rsidR="00B12E05" w:rsidRPr="001775D9">
        <w:rPr>
          <w:color w:val="000000"/>
          <w:szCs w:val="22"/>
          <w:lang w:eastAsia="en-GB"/>
        </w:rPr>
        <w:t>week</w:t>
      </w:r>
      <w:r w:rsidRPr="001775D9">
        <w:rPr>
          <w:szCs w:val="22"/>
          <w:lang w:eastAsia="en-GB"/>
        </w:rPr>
        <w:t xml:space="preserve"> 0 followed by 80</w:t>
      </w:r>
      <w:r w:rsidRPr="001775D9">
        <w:rPr>
          <w:szCs w:val="22"/>
        </w:rPr>
        <w:t> </w:t>
      </w:r>
      <w:r w:rsidRPr="001775D9">
        <w:rPr>
          <w:szCs w:val="22"/>
          <w:lang w:eastAsia="en-GB"/>
        </w:rPr>
        <w:t xml:space="preserve">mg at </w:t>
      </w:r>
      <w:r w:rsidR="00B12E05" w:rsidRPr="001775D9">
        <w:rPr>
          <w:color w:val="000000"/>
          <w:szCs w:val="22"/>
          <w:lang w:eastAsia="en-GB"/>
        </w:rPr>
        <w:t>week</w:t>
      </w:r>
      <w:r w:rsidRPr="001775D9">
        <w:rPr>
          <w:szCs w:val="22"/>
          <w:lang w:eastAsia="en-GB"/>
        </w:rPr>
        <w:t xml:space="preserve"> 2, or 80</w:t>
      </w:r>
      <w:r w:rsidRPr="001775D9">
        <w:rPr>
          <w:szCs w:val="22"/>
        </w:rPr>
        <w:t> </w:t>
      </w:r>
      <w:r w:rsidRPr="001775D9">
        <w:rPr>
          <w:szCs w:val="22"/>
          <w:lang w:eastAsia="en-GB"/>
        </w:rPr>
        <w:t xml:space="preserve">mg </w:t>
      </w:r>
      <w:r w:rsidR="006C03DB" w:rsidRPr="001775D9">
        <w:rPr>
          <w:rFonts w:eastAsia="Times New Roman"/>
          <w:color w:val="000000"/>
          <w:szCs w:val="22"/>
        </w:rPr>
        <w:t>adalimumab</w:t>
      </w:r>
      <w:r w:rsidRPr="001775D9">
        <w:rPr>
          <w:szCs w:val="22"/>
          <w:lang w:eastAsia="en-GB"/>
        </w:rPr>
        <w:t xml:space="preserve"> at </w:t>
      </w:r>
      <w:r w:rsidR="00B12E05" w:rsidRPr="001775D9">
        <w:rPr>
          <w:color w:val="000000"/>
          <w:szCs w:val="22"/>
          <w:lang w:eastAsia="en-GB"/>
        </w:rPr>
        <w:t>week</w:t>
      </w:r>
      <w:r w:rsidRPr="001775D9">
        <w:rPr>
          <w:szCs w:val="22"/>
          <w:lang w:eastAsia="en-GB"/>
        </w:rPr>
        <w:t xml:space="preserve"> 0 followed by 40</w:t>
      </w:r>
      <w:r w:rsidRPr="001775D9">
        <w:rPr>
          <w:szCs w:val="22"/>
        </w:rPr>
        <w:t> </w:t>
      </w:r>
      <w:r w:rsidRPr="001775D9">
        <w:rPr>
          <w:szCs w:val="22"/>
          <w:lang w:eastAsia="en-GB"/>
        </w:rPr>
        <w:t xml:space="preserve">mg at </w:t>
      </w:r>
      <w:r w:rsidR="00B12E05" w:rsidRPr="001775D9">
        <w:rPr>
          <w:color w:val="000000"/>
          <w:szCs w:val="22"/>
          <w:lang w:eastAsia="en-GB"/>
        </w:rPr>
        <w:t>week</w:t>
      </w:r>
      <w:r w:rsidRPr="001775D9">
        <w:rPr>
          <w:szCs w:val="22"/>
          <w:lang w:eastAsia="en-GB"/>
        </w:rPr>
        <w:t xml:space="preserve"> 2. After </w:t>
      </w:r>
      <w:r w:rsidR="00B12E05" w:rsidRPr="001775D9">
        <w:rPr>
          <w:color w:val="000000"/>
          <w:szCs w:val="22"/>
          <w:lang w:eastAsia="en-GB"/>
        </w:rPr>
        <w:t>week</w:t>
      </w:r>
      <w:r w:rsidRPr="001775D9">
        <w:rPr>
          <w:szCs w:val="22"/>
          <w:lang w:eastAsia="en-GB"/>
        </w:rPr>
        <w:t xml:space="preserve"> 2, patients in both adalimumab arms received 40</w:t>
      </w:r>
      <w:r w:rsidRPr="001775D9">
        <w:rPr>
          <w:szCs w:val="22"/>
        </w:rPr>
        <w:t> </w:t>
      </w:r>
      <w:r w:rsidRPr="001775D9">
        <w:rPr>
          <w:szCs w:val="22"/>
          <w:lang w:eastAsia="en-GB"/>
        </w:rPr>
        <w:t xml:space="preserve">mg </w:t>
      </w:r>
      <w:r w:rsidR="008D65D0" w:rsidRPr="001775D9">
        <w:rPr>
          <w:szCs w:val="22"/>
        </w:rPr>
        <w:t>every other week</w:t>
      </w:r>
      <w:r w:rsidRPr="001775D9">
        <w:rPr>
          <w:szCs w:val="22"/>
          <w:lang w:eastAsia="en-GB"/>
        </w:rPr>
        <w:t>. Clinical remission (defined as Mayo score ≤</w:t>
      </w:r>
      <w:r w:rsidRPr="001775D9">
        <w:rPr>
          <w:szCs w:val="22"/>
        </w:rPr>
        <w:t> </w:t>
      </w:r>
      <w:r w:rsidRPr="001775D9">
        <w:rPr>
          <w:szCs w:val="22"/>
          <w:lang w:eastAsia="en-GB"/>
        </w:rPr>
        <w:t>2 with no subscore &gt;</w:t>
      </w:r>
      <w:r w:rsidRPr="001775D9">
        <w:rPr>
          <w:szCs w:val="22"/>
        </w:rPr>
        <w:t> </w:t>
      </w:r>
      <w:r w:rsidRPr="001775D9">
        <w:rPr>
          <w:szCs w:val="22"/>
          <w:lang w:eastAsia="en-GB"/>
        </w:rPr>
        <w:t xml:space="preserve">1) was assessed at </w:t>
      </w:r>
      <w:r w:rsidR="00B12E05" w:rsidRPr="001775D9">
        <w:rPr>
          <w:color w:val="000000"/>
          <w:szCs w:val="22"/>
          <w:lang w:eastAsia="en-GB"/>
        </w:rPr>
        <w:t>week</w:t>
      </w:r>
      <w:r w:rsidRPr="001775D9">
        <w:rPr>
          <w:szCs w:val="22"/>
          <w:lang w:eastAsia="en-GB"/>
        </w:rPr>
        <w:t xml:space="preserve"> 8. </w:t>
      </w:r>
    </w:p>
    <w:p w14:paraId="68A79824"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0848FB9"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In study UC-II, 248 patients received 160</w:t>
      </w:r>
      <w:r w:rsidRPr="001775D9">
        <w:rPr>
          <w:szCs w:val="22"/>
        </w:rPr>
        <w:t> </w:t>
      </w:r>
      <w:r w:rsidRPr="001775D9">
        <w:rPr>
          <w:szCs w:val="22"/>
          <w:lang w:eastAsia="en-GB"/>
        </w:rPr>
        <w:t xml:space="preserve">mg of </w:t>
      </w:r>
      <w:r w:rsidR="006C03DB" w:rsidRPr="001775D9">
        <w:rPr>
          <w:rFonts w:eastAsia="Times New Roman"/>
          <w:color w:val="000000"/>
          <w:szCs w:val="22"/>
        </w:rPr>
        <w:t>adalimumab</w:t>
      </w:r>
      <w:r w:rsidRPr="001775D9">
        <w:rPr>
          <w:szCs w:val="22"/>
          <w:lang w:eastAsia="en-GB"/>
        </w:rPr>
        <w:t xml:space="preserve"> at </w:t>
      </w:r>
      <w:r w:rsidR="00B12E05" w:rsidRPr="001775D9">
        <w:rPr>
          <w:color w:val="000000"/>
          <w:szCs w:val="22"/>
          <w:lang w:eastAsia="en-GB"/>
        </w:rPr>
        <w:t>week</w:t>
      </w:r>
      <w:r w:rsidRPr="001775D9">
        <w:rPr>
          <w:szCs w:val="22"/>
          <w:lang w:eastAsia="en-GB"/>
        </w:rPr>
        <w:t xml:space="preserve"> 0, 80</w:t>
      </w:r>
      <w:r w:rsidRPr="001775D9">
        <w:rPr>
          <w:szCs w:val="22"/>
        </w:rPr>
        <w:t> </w:t>
      </w:r>
      <w:r w:rsidRPr="001775D9">
        <w:rPr>
          <w:szCs w:val="22"/>
          <w:lang w:eastAsia="en-GB"/>
        </w:rPr>
        <w:t xml:space="preserve">mg at </w:t>
      </w:r>
      <w:r w:rsidR="00B12E05" w:rsidRPr="001775D9">
        <w:rPr>
          <w:color w:val="000000"/>
          <w:szCs w:val="22"/>
          <w:lang w:eastAsia="en-GB"/>
        </w:rPr>
        <w:t>week</w:t>
      </w:r>
      <w:r w:rsidRPr="001775D9">
        <w:rPr>
          <w:szCs w:val="22"/>
          <w:lang w:eastAsia="en-GB"/>
        </w:rPr>
        <w:t xml:space="preserve"> 2 and 40</w:t>
      </w:r>
      <w:r w:rsidRPr="001775D9">
        <w:rPr>
          <w:szCs w:val="22"/>
        </w:rPr>
        <w:t> </w:t>
      </w:r>
      <w:r w:rsidRPr="001775D9">
        <w:rPr>
          <w:szCs w:val="22"/>
          <w:lang w:eastAsia="en-GB"/>
        </w:rPr>
        <w:t xml:space="preserve">mg </w:t>
      </w:r>
      <w:r w:rsidR="008D65D0" w:rsidRPr="001775D9">
        <w:rPr>
          <w:szCs w:val="22"/>
        </w:rPr>
        <w:t>every other week</w:t>
      </w:r>
      <w:r w:rsidRPr="001775D9">
        <w:rPr>
          <w:szCs w:val="22"/>
          <w:lang w:eastAsia="en-GB"/>
        </w:rPr>
        <w:t xml:space="preserve"> thereafter, and 246 patients received placebo. Clinical results were assessed for induction of remission at </w:t>
      </w:r>
      <w:r w:rsidR="00B12E05" w:rsidRPr="001775D9">
        <w:rPr>
          <w:color w:val="000000"/>
          <w:szCs w:val="22"/>
          <w:lang w:eastAsia="en-GB"/>
        </w:rPr>
        <w:t>week</w:t>
      </w:r>
      <w:r w:rsidRPr="001775D9">
        <w:rPr>
          <w:szCs w:val="22"/>
          <w:lang w:eastAsia="en-GB"/>
        </w:rPr>
        <w:t xml:space="preserve"> 8 and for maintenance of remission at </w:t>
      </w:r>
      <w:r w:rsidR="00B12E05" w:rsidRPr="001775D9">
        <w:rPr>
          <w:color w:val="000000"/>
          <w:szCs w:val="22"/>
          <w:lang w:eastAsia="en-GB"/>
        </w:rPr>
        <w:t>week</w:t>
      </w:r>
      <w:r w:rsidRPr="001775D9">
        <w:rPr>
          <w:szCs w:val="22"/>
          <w:lang w:eastAsia="en-GB"/>
        </w:rPr>
        <w:t xml:space="preserve"> 52. </w:t>
      </w:r>
    </w:p>
    <w:p w14:paraId="788A5C3C"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6F015432"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Patients induced with 160/80</w:t>
      </w:r>
      <w:r w:rsidRPr="001775D9">
        <w:rPr>
          <w:szCs w:val="22"/>
        </w:rPr>
        <w:t> </w:t>
      </w:r>
      <w:r w:rsidRPr="001775D9">
        <w:rPr>
          <w:szCs w:val="22"/>
          <w:lang w:eastAsia="en-GB"/>
        </w:rPr>
        <w:t xml:space="preserve">mg </w:t>
      </w:r>
      <w:r w:rsidR="006C03DB" w:rsidRPr="001775D9">
        <w:rPr>
          <w:rFonts w:eastAsia="Times New Roman"/>
          <w:color w:val="000000"/>
          <w:szCs w:val="22"/>
        </w:rPr>
        <w:t>adalimumab</w:t>
      </w:r>
      <w:r w:rsidRPr="001775D9">
        <w:rPr>
          <w:szCs w:val="22"/>
          <w:lang w:eastAsia="en-GB"/>
        </w:rPr>
        <w:t xml:space="preserve"> achieved clinical remission versus placebo at </w:t>
      </w:r>
      <w:r w:rsidR="00B12E05" w:rsidRPr="001775D9">
        <w:rPr>
          <w:color w:val="000000"/>
          <w:szCs w:val="22"/>
          <w:lang w:eastAsia="en-GB"/>
        </w:rPr>
        <w:t>week</w:t>
      </w:r>
      <w:r w:rsidRPr="001775D9">
        <w:rPr>
          <w:szCs w:val="22"/>
          <w:lang w:eastAsia="en-GB"/>
        </w:rPr>
        <w:t xml:space="preserve"> 8 in statistically significantly greater percentages in study UC-I (18% </w:t>
      </w:r>
      <w:r w:rsidR="0009128B" w:rsidRPr="001775D9">
        <w:rPr>
          <w:szCs w:val="22"/>
          <w:lang w:eastAsia="en-GB"/>
        </w:rPr>
        <w:t>versus</w:t>
      </w:r>
      <w:r w:rsidRPr="001775D9">
        <w:rPr>
          <w:szCs w:val="22"/>
          <w:lang w:eastAsia="en-GB"/>
        </w:rPr>
        <w:t xml:space="preserve"> 9% respectively, p</w:t>
      </w:r>
      <w:r w:rsidRPr="001775D9">
        <w:rPr>
          <w:szCs w:val="22"/>
        </w:rPr>
        <w:t> </w:t>
      </w:r>
      <w:r w:rsidRPr="001775D9">
        <w:rPr>
          <w:szCs w:val="22"/>
          <w:lang w:eastAsia="en-GB"/>
        </w:rPr>
        <w:t>=</w:t>
      </w:r>
      <w:r w:rsidRPr="001775D9">
        <w:rPr>
          <w:szCs w:val="22"/>
        </w:rPr>
        <w:t> </w:t>
      </w:r>
      <w:r w:rsidRPr="001775D9">
        <w:rPr>
          <w:szCs w:val="22"/>
          <w:lang w:eastAsia="en-GB"/>
        </w:rPr>
        <w:t xml:space="preserve">0.031) and study UC-II (17% </w:t>
      </w:r>
      <w:r w:rsidR="0009128B" w:rsidRPr="001775D9">
        <w:rPr>
          <w:szCs w:val="22"/>
          <w:lang w:eastAsia="en-GB"/>
        </w:rPr>
        <w:t>versus</w:t>
      </w:r>
      <w:r w:rsidRPr="001775D9">
        <w:rPr>
          <w:szCs w:val="22"/>
          <w:lang w:eastAsia="en-GB"/>
        </w:rPr>
        <w:t xml:space="preserve"> 9% respectively, p</w:t>
      </w:r>
      <w:r w:rsidRPr="001775D9">
        <w:rPr>
          <w:szCs w:val="22"/>
        </w:rPr>
        <w:t> </w:t>
      </w:r>
      <w:r w:rsidRPr="001775D9">
        <w:rPr>
          <w:szCs w:val="22"/>
          <w:lang w:eastAsia="en-GB"/>
        </w:rPr>
        <w:t>=</w:t>
      </w:r>
      <w:r w:rsidRPr="001775D9">
        <w:rPr>
          <w:szCs w:val="22"/>
        </w:rPr>
        <w:t> </w:t>
      </w:r>
      <w:r w:rsidRPr="001775D9">
        <w:rPr>
          <w:szCs w:val="22"/>
          <w:lang w:eastAsia="en-GB"/>
        </w:rPr>
        <w:t xml:space="preserve">0.019). In study UC-II, among those treated with </w:t>
      </w:r>
      <w:r w:rsidR="006C03DB" w:rsidRPr="001775D9">
        <w:rPr>
          <w:rFonts w:eastAsia="Times New Roman"/>
          <w:color w:val="000000"/>
          <w:szCs w:val="22"/>
        </w:rPr>
        <w:t>adalimumab</w:t>
      </w:r>
      <w:r w:rsidRPr="001775D9">
        <w:rPr>
          <w:szCs w:val="22"/>
          <w:lang w:eastAsia="en-GB"/>
        </w:rPr>
        <w:t xml:space="preserve"> who were in remission at </w:t>
      </w:r>
      <w:r w:rsidR="00B12E05" w:rsidRPr="001775D9">
        <w:rPr>
          <w:color w:val="000000"/>
          <w:szCs w:val="22"/>
          <w:lang w:eastAsia="en-GB"/>
        </w:rPr>
        <w:t>week</w:t>
      </w:r>
      <w:r w:rsidRPr="001775D9">
        <w:rPr>
          <w:szCs w:val="22"/>
          <w:lang w:eastAsia="en-GB"/>
        </w:rPr>
        <w:t xml:space="preserve"> 8, 21/41 (51%) were in remission at </w:t>
      </w:r>
      <w:r w:rsidR="00B12E05" w:rsidRPr="001775D9">
        <w:rPr>
          <w:color w:val="000000"/>
          <w:szCs w:val="22"/>
          <w:lang w:eastAsia="en-GB"/>
        </w:rPr>
        <w:t>week</w:t>
      </w:r>
      <w:r w:rsidRPr="001775D9">
        <w:rPr>
          <w:szCs w:val="22"/>
          <w:lang w:eastAsia="en-GB"/>
        </w:rPr>
        <w:t xml:space="preserve"> 52. </w:t>
      </w:r>
    </w:p>
    <w:p w14:paraId="2107E4D9" w14:textId="77777777" w:rsidR="00C42229" w:rsidRPr="001775D9" w:rsidRDefault="00C42229" w:rsidP="00FB5458">
      <w:pPr>
        <w:spacing w:line="240" w:lineRule="auto"/>
        <w:rPr>
          <w:szCs w:val="22"/>
          <w:lang w:eastAsia="en-GB"/>
        </w:rPr>
      </w:pPr>
    </w:p>
    <w:p w14:paraId="46E314D9" w14:textId="15445410" w:rsidR="00C42229" w:rsidRPr="001775D9" w:rsidRDefault="00C42229" w:rsidP="00FB5458">
      <w:pPr>
        <w:spacing w:line="240" w:lineRule="auto"/>
        <w:rPr>
          <w:szCs w:val="22"/>
        </w:rPr>
      </w:pPr>
      <w:r w:rsidRPr="001775D9">
        <w:rPr>
          <w:szCs w:val="22"/>
          <w:lang w:eastAsia="en-GB"/>
        </w:rPr>
        <w:t xml:space="preserve">Results from the overall UC-II study population are shown in </w:t>
      </w:r>
      <w:r w:rsidR="00B12E05" w:rsidRPr="001775D9">
        <w:rPr>
          <w:szCs w:val="22"/>
          <w:lang w:eastAsia="en-GB"/>
        </w:rPr>
        <w:t>t</w:t>
      </w:r>
      <w:r w:rsidRPr="001775D9">
        <w:rPr>
          <w:szCs w:val="22"/>
          <w:lang w:eastAsia="en-GB"/>
        </w:rPr>
        <w:t xml:space="preserve">able </w:t>
      </w:r>
      <w:r w:rsidR="004D7CC1" w:rsidRPr="001775D9">
        <w:rPr>
          <w:szCs w:val="22"/>
          <w:lang w:eastAsia="en-GB"/>
        </w:rPr>
        <w:t>23</w:t>
      </w:r>
      <w:r w:rsidRPr="001775D9">
        <w:rPr>
          <w:szCs w:val="22"/>
          <w:lang w:eastAsia="en-GB"/>
        </w:rPr>
        <w:t>.</w:t>
      </w:r>
    </w:p>
    <w:p w14:paraId="10A3B5A2" w14:textId="77777777" w:rsidR="00C42229" w:rsidRPr="001775D9" w:rsidRDefault="00C42229" w:rsidP="00FB5458">
      <w:pPr>
        <w:spacing w:line="240" w:lineRule="auto"/>
        <w:rPr>
          <w:szCs w:val="22"/>
        </w:rPr>
      </w:pPr>
    </w:p>
    <w:p w14:paraId="737BB16F" w14:textId="7DA3752C" w:rsidR="00C42229" w:rsidRPr="001775D9" w:rsidRDefault="00C42229" w:rsidP="00FB5458">
      <w:pPr>
        <w:keepNext/>
        <w:keepLines/>
        <w:tabs>
          <w:tab w:val="clear" w:pos="567"/>
        </w:tabs>
        <w:autoSpaceDE w:val="0"/>
        <w:autoSpaceDN w:val="0"/>
        <w:adjustRightInd w:val="0"/>
        <w:spacing w:line="240" w:lineRule="auto"/>
        <w:rPr>
          <w:szCs w:val="22"/>
        </w:rPr>
      </w:pPr>
      <w:r w:rsidRPr="001775D9">
        <w:rPr>
          <w:b/>
          <w:bCs/>
          <w:szCs w:val="22"/>
          <w:lang w:eastAsia="en-GB"/>
        </w:rPr>
        <w:t xml:space="preserve">Table </w:t>
      </w:r>
      <w:r w:rsidR="004D7CC1" w:rsidRPr="001775D9">
        <w:rPr>
          <w:b/>
          <w:bCs/>
          <w:szCs w:val="22"/>
          <w:lang w:eastAsia="en-GB"/>
        </w:rPr>
        <w:t>23</w:t>
      </w:r>
      <w:r w:rsidR="00560AB5" w:rsidRPr="001775D9">
        <w:rPr>
          <w:b/>
          <w:bCs/>
          <w:szCs w:val="22"/>
          <w:lang w:eastAsia="en-GB"/>
        </w:rPr>
        <w:t>.</w:t>
      </w:r>
      <w:r w:rsidR="00110304" w:rsidRPr="001775D9">
        <w:rPr>
          <w:b/>
          <w:bCs/>
          <w:szCs w:val="22"/>
          <w:lang w:eastAsia="en-GB"/>
        </w:rPr>
        <w:t xml:space="preserve"> </w:t>
      </w:r>
      <w:r w:rsidRPr="001775D9">
        <w:rPr>
          <w:b/>
          <w:bCs/>
          <w:szCs w:val="22"/>
          <w:lang w:eastAsia="en-GB"/>
        </w:rPr>
        <w:t xml:space="preserve">Response, </w:t>
      </w:r>
      <w:r w:rsidR="00B12E05" w:rsidRPr="001775D9">
        <w:rPr>
          <w:b/>
          <w:bCs/>
          <w:szCs w:val="22"/>
          <w:lang w:eastAsia="en-GB"/>
        </w:rPr>
        <w:t>r</w:t>
      </w:r>
      <w:r w:rsidRPr="001775D9">
        <w:rPr>
          <w:b/>
          <w:bCs/>
          <w:szCs w:val="22"/>
          <w:lang w:eastAsia="en-GB"/>
        </w:rPr>
        <w:t xml:space="preserve">emission and </w:t>
      </w:r>
      <w:r w:rsidR="00B12E05" w:rsidRPr="001775D9">
        <w:rPr>
          <w:b/>
          <w:bCs/>
          <w:szCs w:val="22"/>
          <w:lang w:eastAsia="en-GB"/>
        </w:rPr>
        <w:t>m</w:t>
      </w:r>
      <w:r w:rsidRPr="001775D9">
        <w:rPr>
          <w:b/>
          <w:bCs/>
          <w:szCs w:val="22"/>
          <w:lang w:eastAsia="en-GB"/>
        </w:rPr>
        <w:t xml:space="preserve">ucosal </w:t>
      </w:r>
      <w:r w:rsidR="00B12E05" w:rsidRPr="001775D9">
        <w:rPr>
          <w:b/>
          <w:bCs/>
          <w:szCs w:val="22"/>
          <w:lang w:eastAsia="en-GB"/>
        </w:rPr>
        <w:t>h</w:t>
      </w:r>
      <w:r w:rsidRPr="001775D9">
        <w:rPr>
          <w:b/>
          <w:bCs/>
          <w:szCs w:val="22"/>
          <w:lang w:eastAsia="en-GB"/>
        </w:rPr>
        <w:t xml:space="preserve">ealing in </w:t>
      </w:r>
      <w:r w:rsidR="00B12E05" w:rsidRPr="001775D9">
        <w:rPr>
          <w:b/>
          <w:bCs/>
          <w:szCs w:val="22"/>
          <w:lang w:eastAsia="en-GB"/>
        </w:rPr>
        <w:t>s</w:t>
      </w:r>
      <w:r w:rsidRPr="001775D9">
        <w:rPr>
          <w:b/>
          <w:bCs/>
          <w:szCs w:val="22"/>
          <w:lang w:eastAsia="en-GB"/>
        </w:rPr>
        <w:t>tudy UC-II (</w:t>
      </w:r>
      <w:r w:rsidR="00B12E05" w:rsidRPr="001775D9">
        <w:rPr>
          <w:b/>
          <w:bCs/>
          <w:szCs w:val="22"/>
          <w:lang w:eastAsia="en-GB"/>
        </w:rPr>
        <w:t>p</w:t>
      </w:r>
      <w:r w:rsidRPr="001775D9">
        <w:rPr>
          <w:b/>
          <w:bCs/>
          <w:szCs w:val="22"/>
          <w:lang w:eastAsia="en-GB"/>
        </w:rPr>
        <w:t xml:space="preserve">ercent of </w:t>
      </w:r>
      <w:r w:rsidR="00B12E05" w:rsidRPr="001775D9">
        <w:rPr>
          <w:b/>
          <w:bCs/>
          <w:szCs w:val="22"/>
          <w:lang w:eastAsia="en-GB"/>
        </w:rPr>
        <w:t>p</w:t>
      </w:r>
      <w:r w:rsidR="00194600" w:rsidRPr="001775D9">
        <w:rPr>
          <w:b/>
          <w:bCs/>
          <w:szCs w:val="22"/>
          <w:lang w:eastAsia="en-GB"/>
        </w:rPr>
        <w:t>atients</w:t>
      </w:r>
      <w:r w:rsidRPr="001775D9">
        <w:rPr>
          <w:b/>
          <w:bCs/>
          <w:szCs w:val="22"/>
          <w:lang w:eastAsia="en-GB"/>
        </w:rPr>
        <w:t>)</w:t>
      </w:r>
    </w:p>
    <w:p w14:paraId="6B52E842" w14:textId="77777777" w:rsidR="00C42229" w:rsidRPr="001775D9" w:rsidRDefault="00C42229" w:rsidP="00FB5458">
      <w:pPr>
        <w:keepNext/>
        <w:keepLines/>
        <w:spacing w:line="240" w:lineRule="auto"/>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2693"/>
        <w:gridCol w:w="2551"/>
      </w:tblGrid>
      <w:tr w:rsidR="00C42229" w:rsidRPr="00F04F82" w14:paraId="579B7E00" w14:textId="77777777" w:rsidTr="00A66CE9">
        <w:trPr>
          <w:trHeight w:val="269"/>
        </w:trPr>
        <w:tc>
          <w:tcPr>
            <w:tcW w:w="3828" w:type="dxa"/>
          </w:tcPr>
          <w:p w14:paraId="66A50C68"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p>
        </w:tc>
        <w:tc>
          <w:tcPr>
            <w:tcW w:w="2693" w:type="dxa"/>
          </w:tcPr>
          <w:p w14:paraId="64D9E94A"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tc>
        <w:tc>
          <w:tcPr>
            <w:tcW w:w="2551" w:type="dxa"/>
          </w:tcPr>
          <w:p w14:paraId="16D7B139" w14:textId="77777777" w:rsidR="00423501" w:rsidRPr="001775D9" w:rsidRDefault="00423501" w:rsidP="00423501">
            <w:pPr>
              <w:keepNext/>
              <w:keepLines/>
              <w:tabs>
                <w:tab w:val="clear" w:pos="567"/>
              </w:tabs>
              <w:autoSpaceDE w:val="0"/>
              <w:autoSpaceDN w:val="0"/>
              <w:adjustRightInd w:val="0"/>
              <w:spacing w:line="240" w:lineRule="auto"/>
              <w:jc w:val="center"/>
              <w:rPr>
                <w:szCs w:val="22"/>
                <w:lang w:eastAsia="en-GB"/>
              </w:rPr>
            </w:pPr>
            <w:r w:rsidRPr="001775D9">
              <w:rPr>
                <w:rFonts w:eastAsia="Times New Roman"/>
                <w:b/>
                <w:color w:val="000000"/>
                <w:szCs w:val="22"/>
              </w:rPr>
              <w:t>Adalimumab</w:t>
            </w:r>
            <w:r w:rsidRPr="001775D9">
              <w:rPr>
                <w:b/>
                <w:bCs/>
                <w:szCs w:val="22"/>
                <w:lang w:eastAsia="en-GB"/>
              </w:rPr>
              <w:t xml:space="preserve"> 40</w:t>
            </w:r>
            <w:r w:rsidRPr="001775D9">
              <w:rPr>
                <w:szCs w:val="22"/>
              </w:rPr>
              <w:t> </w:t>
            </w:r>
            <w:r w:rsidRPr="001775D9">
              <w:rPr>
                <w:b/>
                <w:bCs/>
                <w:szCs w:val="22"/>
                <w:lang w:eastAsia="en-GB"/>
              </w:rPr>
              <w:t>mg</w:t>
            </w:r>
          </w:p>
          <w:p w14:paraId="6BB69C6A" w14:textId="620F4455" w:rsidR="00C42229" w:rsidRPr="001775D9" w:rsidRDefault="004E6F88" w:rsidP="00423501">
            <w:pPr>
              <w:keepNext/>
              <w:keepLines/>
              <w:tabs>
                <w:tab w:val="clear" w:pos="567"/>
              </w:tabs>
              <w:autoSpaceDE w:val="0"/>
              <w:autoSpaceDN w:val="0"/>
              <w:adjustRightInd w:val="0"/>
              <w:spacing w:line="240" w:lineRule="auto"/>
              <w:jc w:val="center"/>
              <w:rPr>
                <w:szCs w:val="22"/>
                <w:lang w:eastAsia="en-GB"/>
              </w:rPr>
            </w:pPr>
            <w:r w:rsidRPr="001775D9">
              <w:t xml:space="preserve"> </w:t>
            </w:r>
            <w:r w:rsidRPr="001775D9">
              <w:rPr>
                <w:b/>
                <w:bCs/>
                <w:szCs w:val="22"/>
                <w:lang w:eastAsia="en-GB"/>
              </w:rPr>
              <w:t>every other week</w:t>
            </w:r>
          </w:p>
        </w:tc>
      </w:tr>
      <w:tr w:rsidR="00C42229" w:rsidRPr="00F04F82" w14:paraId="38638700" w14:textId="77777777" w:rsidTr="00A66CE9">
        <w:trPr>
          <w:trHeight w:val="149"/>
        </w:trPr>
        <w:tc>
          <w:tcPr>
            <w:tcW w:w="3828" w:type="dxa"/>
          </w:tcPr>
          <w:p w14:paraId="033DAAA2" w14:textId="77777777" w:rsidR="00C42229" w:rsidRPr="001775D9" w:rsidRDefault="00423501"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Week 52</w:t>
            </w:r>
          </w:p>
        </w:tc>
        <w:tc>
          <w:tcPr>
            <w:tcW w:w="2693" w:type="dxa"/>
          </w:tcPr>
          <w:p w14:paraId="6FC7BA27" w14:textId="77777777" w:rsidR="00C42229" w:rsidRPr="001775D9" w:rsidRDefault="00423501" w:rsidP="00FB5458">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246</w:t>
            </w:r>
          </w:p>
        </w:tc>
        <w:tc>
          <w:tcPr>
            <w:tcW w:w="2551" w:type="dxa"/>
          </w:tcPr>
          <w:p w14:paraId="5C3D57F0" w14:textId="77777777" w:rsidR="00C42229" w:rsidRPr="00D55B59" w:rsidRDefault="00E83D19" w:rsidP="00FB5458">
            <w:pPr>
              <w:pStyle w:val="Default"/>
              <w:keepNext/>
              <w:keepLines/>
              <w:jc w:val="center"/>
              <w:rPr>
                <w:color w:val="auto"/>
                <w:sz w:val="22"/>
                <w:szCs w:val="22"/>
                <w:lang w:val="en-GB"/>
                <w:rPrChange w:id="912" w:author="Author">
                  <w:rPr>
                    <w:color w:val="auto"/>
                    <w:sz w:val="22"/>
                    <w:szCs w:val="22"/>
                  </w:rPr>
                </w:rPrChange>
              </w:rPr>
            </w:pPr>
            <w:r w:rsidRPr="00D55B59">
              <w:rPr>
                <w:b/>
                <w:bCs/>
                <w:color w:val="auto"/>
                <w:sz w:val="22"/>
                <w:szCs w:val="22"/>
                <w:lang w:val="en-GB"/>
                <w:rPrChange w:id="913" w:author="Author">
                  <w:rPr>
                    <w:b/>
                    <w:bCs/>
                    <w:color w:val="auto"/>
                    <w:sz w:val="22"/>
                    <w:szCs w:val="22"/>
                  </w:rPr>
                </w:rPrChange>
              </w:rPr>
              <w:t>N</w:t>
            </w:r>
            <w:r w:rsidR="004435C9" w:rsidRPr="00D55B59">
              <w:rPr>
                <w:b/>
                <w:bCs/>
                <w:color w:val="auto"/>
                <w:sz w:val="22"/>
                <w:szCs w:val="22"/>
                <w:lang w:val="en-GB"/>
                <w:rPrChange w:id="914" w:author="Author">
                  <w:rPr>
                    <w:b/>
                    <w:bCs/>
                    <w:color w:val="auto"/>
                    <w:sz w:val="22"/>
                    <w:szCs w:val="22"/>
                  </w:rPr>
                </w:rPrChange>
              </w:rPr>
              <w:t> </w:t>
            </w:r>
            <w:r w:rsidRPr="00D55B59">
              <w:rPr>
                <w:b/>
                <w:bCs/>
                <w:color w:val="auto"/>
                <w:sz w:val="22"/>
                <w:szCs w:val="22"/>
                <w:lang w:val="en-GB"/>
                <w:rPrChange w:id="915" w:author="Author">
                  <w:rPr>
                    <w:b/>
                    <w:bCs/>
                    <w:color w:val="auto"/>
                    <w:sz w:val="22"/>
                    <w:szCs w:val="22"/>
                  </w:rPr>
                </w:rPrChange>
              </w:rPr>
              <w:t>=</w:t>
            </w:r>
            <w:r w:rsidR="004435C9" w:rsidRPr="00D55B59">
              <w:rPr>
                <w:b/>
                <w:bCs/>
                <w:color w:val="auto"/>
                <w:sz w:val="22"/>
                <w:szCs w:val="22"/>
                <w:lang w:val="en-GB"/>
                <w:rPrChange w:id="916" w:author="Author">
                  <w:rPr>
                    <w:b/>
                    <w:bCs/>
                    <w:color w:val="auto"/>
                    <w:sz w:val="22"/>
                    <w:szCs w:val="22"/>
                  </w:rPr>
                </w:rPrChange>
              </w:rPr>
              <w:t> </w:t>
            </w:r>
            <w:r w:rsidRPr="00D55B59">
              <w:rPr>
                <w:b/>
                <w:bCs/>
                <w:color w:val="auto"/>
                <w:sz w:val="22"/>
                <w:szCs w:val="22"/>
                <w:lang w:val="en-GB"/>
                <w:rPrChange w:id="917" w:author="Author">
                  <w:rPr>
                    <w:b/>
                    <w:bCs/>
                    <w:color w:val="auto"/>
                    <w:sz w:val="22"/>
                    <w:szCs w:val="22"/>
                  </w:rPr>
                </w:rPrChange>
              </w:rPr>
              <w:t>248</w:t>
            </w:r>
          </w:p>
        </w:tc>
      </w:tr>
      <w:tr w:rsidR="00C42229" w:rsidRPr="00F04F82" w14:paraId="28852E41" w14:textId="77777777" w:rsidTr="00A66CE9">
        <w:trPr>
          <w:trHeight w:val="147"/>
        </w:trPr>
        <w:tc>
          <w:tcPr>
            <w:tcW w:w="3828" w:type="dxa"/>
          </w:tcPr>
          <w:p w14:paraId="5D3EEBA8"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Clinical </w:t>
            </w:r>
            <w:r w:rsidR="00B12E05" w:rsidRPr="001775D9">
              <w:rPr>
                <w:szCs w:val="22"/>
                <w:lang w:eastAsia="en-GB"/>
              </w:rPr>
              <w:t>r</w:t>
            </w:r>
            <w:r w:rsidRPr="001775D9">
              <w:rPr>
                <w:szCs w:val="22"/>
                <w:lang w:eastAsia="en-GB"/>
              </w:rPr>
              <w:t xml:space="preserve">esponse </w:t>
            </w:r>
          </w:p>
        </w:tc>
        <w:tc>
          <w:tcPr>
            <w:tcW w:w="2693" w:type="dxa"/>
          </w:tcPr>
          <w:p w14:paraId="51E37202"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18%</w:t>
            </w:r>
          </w:p>
        </w:tc>
        <w:tc>
          <w:tcPr>
            <w:tcW w:w="2551" w:type="dxa"/>
          </w:tcPr>
          <w:p w14:paraId="1D9998BC"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30%*</w:t>
            </w:r>
          </w:p>
        </w:tc>
      </w:tr>
      <w:tr w:rsidR="00C42229" w:rsidRPr="00F04F82" w14:paraId="71C9C40B" w14:textId="77777777" w:rsidTr="00A66CE9">
        <w:trPr>
          <w:trHeight w:val="147"/>
        </w:trPr>
        <w:tc>
          <w:tcPr>
            <w:tcW w:w="3828" w:type="dxa"/>
          </w:tcPr>
          <w:p w14:paraId="184C31CE"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Clinical </w:t>
            </w:r>
            <w:r w:rsidR="00B12E05" w:rsidRPr="001775D9">
              <w:rPr>
                <w:szCs w:val="22"/>
                <w:lang w:eastAsia="en-GB"/>
              </w:rPr>
              <w:t>r</w:t>
            </w:r>
            <w:r w:rsidRPr="001775D9">
              <w:rPr>
                <w:szCs w:val="22"/>
                <w:lang w:eastAsia="en-GB"/>
              </w:rPr>
              <w:t xml:space="preserve">emission </w:t>
            </w:r>
          </w:p>
        </w:tc>
        <w:tc>
          <w:tcPr>
            <w:tcW w:w="2693" w:type="dxa"/>
          </w:tcPr>
          <w:p w14:paraId="3E1F7C89"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9%</w:t>
            </w:r>
          </w:p>
        </w:tc>
        <w:tc>
          <w:tcPr>
            <w:tcW w:w="2551" w:type="dxa"/>
          </w:tcPr>
          <w:p w14:paraId="58F95F4C"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17%*</w:t>
            </w:r>
          </w:p>
        </w:tc>
      </w:tr>
      <w:tr w:rsidR="00C42229" w:rsidRPr="00F04F82" w14:paraId="5D0DE714" w14:textId="77777777" w:rsidTr="00A66CE9">
        <w:trPr>
          <w:trHeight w:val="267"/>
        </w:trPr>
        <w:tc>
          <w:tcPr>
            <w:tcW w:w="3828" w:type="dxa"/>
          </w:tcPr>
          <w:p w14:paraId="6472C73D"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Mucosal </w:t>
            </w:r>
            <w:r w:rsidR="00B12E05" w:rsidRPr="001775D9">
              <w:rPr>
                <w:szCs w:val="22"/>
                <w:lang w:eastAsia="en-GB"/>
              </w:rPr>
              <w:t>h</w:t>
            </w:r>
            <w:r w:rsidRPr="001775D9">
              <w:rPr>
                <w:szCs w:val="22"/>
                <w:lang w:eastAsia="en-GB"/>
              </w:rPr>
              <w:t xml:space="preserve">ealing </w:t>
            </w:r>
          </w:p>
        </w:tc>
        <w:tc>
          <w:tcPr>
            <w:tcW w:w="2693" w:type="dxa"/>
          </w:tcPr>
          <w:p w14:paraId="22526912"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15%</w:t>
            </w:r>
          </w:p>
        </w:tc>
        <w:tc>
          <w:tcPr>
            <w:tcW w:w="2551" w:type="dxa"/>
          </w:tcPr>
          <w:p w14:paraId="4E959F52"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25%*</w:t>
            </w:r>
          </w:p>
        </w:tc>
      </w:tr>
      <w:tr w:rsidR="00C42229" w:rsidRPr="00F04F82" w14:paraId="7F4598FC" w14:textId="77777777" w:rsidTr="00A66CE9">
        <w:trPr>
          <w:trHeight w:val="149"/>
        </w:trPr>
        <w:tc>
          <w:tcPr>
            <w:tcW w:w="3828" w:type="dxa"/>
          </w:tcPr>
          <w:p w14:paraId="7966BF62"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Steroid-free remission for ≥</w:t>
            </w:r>
            <w:r w:rsidRPr="001775D9">
              <w:rPr>
                <w:szCs w:val="22"/>
              </w:rPr>
              <w:t> </w:t>
            </w:r>
            <w:r w:rsidRPr="001775D9">
              <w:rPr>
                <w:szCs w:val="22"/>
                <w:lang w:eastAsia="en-GB"/>
              </w:rPr>
              <w:t>90 days</w:t>
            </w:r>
            <w:r w:rsidRPr="001775D9">
              <w:rPr>
                <w:szCs w:val="22"/>
                <w:vertAlign w:val="superscript"/>
                <w:lang w:eastAsia="en-GB"/>
              </w:rPr>
              <w:t>a</w:t>
            </w:r>
            <w:r w:rsidRPr="001775D9">
              <w:rPr>
                <w:szCs w:val="22"/>
                <w:lang w:eastAsia="en-GB"/>
              </w:rPr>
              <w:t xml:space="preserve"> </w:t>
            </w:r>
          </w:p>
        </w:tc>
        <w:tc>
          <w:tcPr>
            <w:tcW w:w="2693" w:type="dxa"/>
          </w:tcPr>
          <w:p w14:paraId="75C8F9A0"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6%</w:t>
            </w:r>
          </w:p>
          <w:p w14:paraId="3A1D6609"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140)</w:t>
            </w:r>
          </w:p>
        </w:tc>
        <w:tc>
          <w:tcPr>
            <w:tcW w:w="2551" w:type="dxa"/>
          </w:tcPr>
          <w:p w14:paraId="14E04B4D"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13%*</w:t>
            </w:r>
          </w:p>
          <w:p w14:paraId="7BB58F41"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150)</w:t>
            </w:r>
          </w:p>
        </w:tc>
      </w:tr>
      <w:tr w:rsidR="00C42229" w:rsidRPr="00F04F82" w14:paraId="62C4F314" w14:textId="77777777" w:rsidTr="00A66CE9">
        <w:trPr>
          <w:trHeight w:val="147"/>
        </w:trPr>
        <w:tc>
          <w:tcPr>
            <w:tcW w:w="3828" w:type="dxa"/>
          </w:tcPr>
          <w:p w14:paraId="2C0AFCCD"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Week 8 and 52 </w:t>
            </w:r>
          </w:p>
        </w:tc>
        <w:tc>
          <w:tcPr>
            <w:tcW w:w="2693" w:type="dxa"/>
          </w:tcPr>
          <w:p w14:paraId="3C9104B0"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p>
        </w:tc>
        <w:tc>
          <w:tcPr>
            <w:tcW w:w="2551" w:type="dxa"/>
          </w:tcPr>
          <w:p w14:paraId="226DA0F7"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p>
        </w:tc>
      </w:tr>
      <w:tr w:rsidR="00C42229" w:rsidRPr="00F04F82" w14:paraId="1077493D" w14:textId="77777777" w:rsidTr="00A66CE9">
        <w:trPr>
          <w:trHeight w:val="147"/>
        </w:trPr>
        <w:tc>
          <w:tcPr>
            <w:tcW w:w="3828" w:type="dxa"/>
          </w:tcPr>
          <w:p w14:paraId="38AE2DD1"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Sustained </w:t>
            </w:r>
            <w:r w:rsidR="00B12E05" w:rsidRPr="001775D9">
              <w:rPr>
                <w:szCs w:val="22"/>
                <w:lang w:eastAsia="en-GB"/>
              </w:rPr>
              <w:t>r</w:t>
            </w:r>
            <w:r w:rsidRPr="001775D9">
              <w:rPr>
                <w:szCs w:val="22"/>
                <w:lang w:eastAsia="en-GB"/>
              </w:rPr>
              <w:t xml:space="preserve">esponse </w:t>
            </w:r>
          </w:p>
        </w:tc>
        <w:tc>
          <w:tcPr>
            <w:tcW w:w="2693" w:type="dxa"/>
          </w:tcPr>
          <w:p w14:paraId="0D2085D1"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12%</w:t>
            </w:r>
          </w:p>
        </w:tc>
        <w:tc>
          <w:tcPr>
            <w:tcW w:w="2551" w:type="dxa"/>
          </w:tcPr>
          <w:p w14:paraId="33BA6311"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24%**</w:t>
            </w:r>
          </w:p>
        </w:tc>
      </w:tr>
      <w:tr w:rsidR="00C42229" w:rsidRPr="00F04F82" w14:paraId="44D5C18C" w14:textId="77777777" w:rsidTr="00A66CE9">
        <w:trPr>
          <w:trHeight w:val="147"/>
        </w:trPr>
        <w:tc>
          <w:tcPr>
            <w:tcW w:w="3828" w:type="dxa"/>
          </w:tcPr>
          <w:p w14:paraId="4B415644"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Sustained </w:t>
            </w:r>
            <w:r w:rsidR="00B12E05" w:rsidRPr="001775D9">
              <w:rPr>
                <w:szCs w:val="22"/>
                <w:lang w:eastAsia="en-GB"/>
              </w:rPr>
              <w:t>r</w:t>
            </w:r>
            <w:r w:rsidRPr="001775D9">
              <w:rPr>
                <w:szCs w:val="22"/>
                <w:lang w:eastAsia="en-GB"/>
              </w:rPr>
              <w:t xml:space="preserve">emission </w:t>
            </w:r>
          </w:p>
        </w:tc>
        <w:tc>
          <w:tcPr>
            <w:tcW w:w="2693" w:type="dxa"/>
          </w:tcPr>
          <w:p w14:paraId="249755E2"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4%</w:t>
            </w:r>
          </w:p>
        </w:tc>
        <w:tc>
          <w:tcPr>
            <w:tcW w:w="2551" w:type="dxa"/>
          </w:tcPr>
          <w:p w14:paraId="5CC67726"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8%*</w:t>
            </w:r>
          </w:p>
        </w:tc>
      </w:tr>
      <w:tr w:rsidR="00C42229" w:rsidRPr="00F04F82" w14:paraId="322EA950" w14:textId="77777777" w:rsidTr="00A66CE9">
        <w:trPr>
          <w:trHeight w:val="267"/>
        </w:trPr>
        <w:tc>
          <w:tcPr>
            <w:tcW w:w="3828" w:type="dxa"/>
          </w:tcPr>
          <w:p w14:paraId="576F0268" w14:textId="77777777" w:rsidR="00C42229" w:rsidRPr="001775D9" w:rsidRDefault="00C42229" w:rsidP="00FB5458">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Sustained </w:t>
            </w:r>
            <w:r w:rsidR="00B12E05" w:rsidRPr="001775D9">
              <w:rPr>
                <w:szCs w:val="22"/>
                <w:lang w:eastAsia="en-GB"/>
              </w:rPr>
              <w:t>m</w:t>
            </w:r>
            <w:r w:rsidRPr="001775D9">
              <w:rPr>
                <w:szCs w:val="22"/>
                <w:lang w:eastAsia="en-GB"/>
              </w:rPr>
              <w:t xml:space="preserve">ucosal </w:t>
            </w:r>
            <w:r w:rsidR="00B12E05" w:rsidRPr="001775D9">
              <w:rPr>
                <w:szCs w:val="22"/>
                <w:lang w:eastAsia="en-GB"/>
              </w:rPr>
              <w:t>h</w:t>
            </w:r>
            <w:r w:rsidRPr="001775D9">
              <w:rPr>
                <w:szCs w:val="22"/>
                <w:lang w:eastAsia="en-GB"/>
              </w:rPr>
              <w:t xml:space="preserve">ealing </w:t>
            </w:r>
          </w:p>
        </w:tc>
        <w:tc>
          <w:tcPr>
            <w:tcW w:w="2693" w:type="dxa"/>
          </w:tcPr>
          <w:p w14:paraId="58BC34DC"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11%</w:t>
            </w:r>
          </w:p>
        </w:tc>
        <w:tc>
          <w:tcPr>
            <w:tcW w:w="2551" w:type="dxa"/>
          </w:tcPr>
          <w:p w14:paraId="4744B709" w14:textId="77777777" w:rsidR="00C42229" w:rsidRPr="001775D9" w:rsidRDefault="00C42229" w:rsidP="00FB5458">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19%*</w:t>
            </w:r>
          </w:p>
        </w:tc>
      </w:tr>
    </w:tbl>
    <w:p w14:paraId="4322421F"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lang w:eastAsia="en-GB"/>
        </w:rPr>
        <w:t>Clinical remission is Mayo score ≤</w:t>
      </w:r>
      <w:r w:rsidRPr="001775D9">
        <w:rPr>
          <w:sz w:val="20"/>
        </w:rPr>
        <w:t> </w:t>
      </w:r>
      <w:r w:rsidRPr="001775D9">
        <w:rPr>
          <w:sz w:val="20"/>
          <w:lang w:eastAsia="en-GB"/>
        </w:rPr>
        <w:t>2 with no subscore &gt;</w:t>
      </w:r>
      <w:r w:rsidRPr="001775D9">
        <w:rPr>
          <w:sz w:val="20"/>
        </w:rPr>
        <w:t> </w:t>
      </w:r>
      <w:r w:rsidRPr="001775D9">
        <w:rPr>
          <w:sz w:val="20"/>
          <w:lang w:eastAsia="en-GB"/>
        </w:rPr>
        <w:t xml:space="preserve">1; </w:t>
      </w:r>
    </w:p>
    <w:p w14:paraId="144F73DC"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lang w:eastAsia="en-GB"/>
        </w:rPr>
        <w:t>Clinical response is decrease from baseline in Mayo score ≥</w:t>
      </w:r>
      <w:r w:rsidRPr="001775D9">
        <w:rPr>
          <w:sz w:val="20"/>
        </w:rPr>
        <w:t> </w:t>
      </w:r>
      <w:r w:rsidRPr="001775D9">
        <w:rPr>
          <w:sz w:val="20"/>
          <w:lang w:eastAsia="en-GB"/>
        </w:rPr>
        <w:t>3 points and ≥</w:t>
      </w:r>
      <w:r w:rsidRPr="001775D9">
        <w:rPr>
          <w:sz w:val="20"/>
        </w:rPr>
        <w:t> </w:t>
      </w:r>
      <w:r w:rsidRPr="001775D9">
        <w:rPr>
          <w:sz w:val="20"/>
          <w:lang w:eastAsia="en-GB"/>
        </w:rPr>
        <w:t>30% plus a decrease in the rectal bleeding subscore [RBS] ≥</w:t>
      </w:r>
      <w:r w:rsidRPr="001775D9">
        <w:rPr>
          <w:sz w:val="20"/>
        </w:rPr>
        <w:t> </w:t>
      </w:r>
      <w:r w:rsidRPr="001775D9">
        <w:rPr>
          <w:sz w:val="20"/>
          <w:lang w:eastAsia="en-GB"/>
        </w:rPr>
        <w:t xml:space="preserve">1 or an absolute RBS of 0 or 1; </w:t>
      </w:r>
    </w:p>
    <w:p w14:paraId="471C752B"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lang w:eastAsia="en-GB"/>
        </w:rPr>
        <w:t>*</w:t>
      </w:r>
      <w:r w:rsidR="00F1597E" w:rsidRPr="001775D9">
        <w:rPr>
          <w:sz w:val="20"/>
          <w:lang w:eastAsia="en-GB"/>
        </w:rPr>
        <w:t xml:space="preserve"> </w:t>
      </w:r>
      <w:r w:rsidRPr="001775D9">
        <w:rPr>
          <w:sz w:val="20"/>
          <w:lang w:eastAsia="en-GB"/>
        </w:rPr>
        <w:t>p</w:t>
      </w:r>
      <w:r w:rsidRPr="001775D9">
        <w:rPr>
          <w:sz w:val="20"/>
        </w:rPr>
        <w:t> </w:t>
      </w:r>
      <w:r w:rsidRPr="001775D9">
        <w:rPr>
          <w:sz w:val="20"/>
          <w:lang w:eastAsia="en-GB"/>
        </w:rPr>
        <w:t>&lt;</w:t>
      </w:r>
      <w:r w:rsidRPr="001775D9">
        <w:rPr>
          <w:sz w:val="20"/>
        </w:rPr>
        <w:t> </w:t>
      </w:r>
      <w:r w:rsidRPr="001775D9">
        <w:rPr>
          <w:sz w:val="20"/>
          <w:lang w:eastAsia="en-GB"/>
        </w:rPr>
        <w:t xml:space="preserve">0.05 for </w:t>
      </w:r>
      <w:r w:rsidR="006C03DB" w:rsidRPr="001775D9">
        <w:rPr>
          <w:rFonts w:eastAsia="Times New Roman"/>
          <w:color w:val="000000"/>
          <w:sz w:val="20"/>
        </w:rPr>
        <w:t>adalimumab</w:t>
      </w:r>
      <w:r w:rsidRPr="001775D9">
        <w:rPr>
          <w:i/>
          <w:iCs/>
          <w:sz w:val="20"/>
          <w:lang w:eastAsia="en-GB"/>
        </w:rPr>
        <w:t xml:space="preserve"> </w:t>
      </w:r>
      <w:r w:rsidR="0009128B" w:rsidRPr="001775D9">
        <w:rPr>
          <w:iCs/>
          <w:sz w:val="20"/>
          <w:lang w:eastAsia="en-GB"/>
        </w:rPr>
        <w:t>versus</w:t>
      </w:r>
      <w:r w:rsidRPr="001775D9">
        <w:rPr>
          <w:i/>
          <w:iCs/>
          <w:sz w:val="20"/>
          <w:lang w:eastAsia="en-GB"/>
        </w:rPr>
        <w:t xml:space="preserve"> </w:t>
      </w:r>
      <w:r w:rsidRPr="001775D9">
        <w:rPr>
          <w:sz w:val="20"/>
          <w:lang w:eastAsia="en-GB"/>
        </w:rPr>
        <w:t xml:space="preserve">placebo pairwise comparison of proportions </w:t>
      </w:r>
    </w:p>
    <w:p w14:paraId="29C7DFF1" w14:textId="77777777" w:rsidR="00C42229" w:rsidRPr="001775D9" w:rsidRDefault="00C42229" w:rsidP="00FB5458">
      <w:pPr>
        <w:tabs>
          <w:tab w:val="clear" w:pos="567"/>
        </w:tabs>
        <w:autoSpaceDE w:val="0"/>
        <w:autoSpaceDN w:val="0"/>
        <w:adjustRightInd w:val="0"/>
        <w:spacing w:line="240" w:lineRule="auto"/>
        <w:rPr>
          <w:sz w:val="20"/>
          <w:lang w:eastAsia="en-GB"/>
        </w:rPr>
      </w:pPr>
      <w:r w:rsidRPr="001775D9">
        <w:rPr>
          <w:sz w:val="20"/>
          <w:lang w:eastAsia="en-GB"/>
        </w:rPr>
        <w:t>**</w:t>
      </w:r>
      <w:r w:rsidR="00F1597E" w:rsidRPr="001775D9">
        <w:rPr>
          <w:sz w:val="20"/>
          <w:lang w:eastAsia="en-GB"/>
        </w:rPr>
        <w:t xml:space="preserve"> </w:t>
      </w:r>
      <w:r w:rsidRPr="001775D9">
        <w:rPr>
          <w:sz w:val="20"/>
          <w:lang w:eastAsia="en-GB"/>
        </w:rPr>
        <w:t>p</w:t>
      </w:r>
      <w:r w:rsidRPr="001775D9">
        <w:rPr>
          <w:sz w:val="20"/>
        </w:rPr>
        <w:t> </w:t>
      </w:r>
      <w:r w:rsidRPr="001775D9">
        <w:rPr>
          <w:sz w:val="20"/>
          <w:lang w:eastAsia="en-GB"/>
        </w:rPr>
        <w:t>&lt;</w:t>
      </w:r>
      <w:r w:rsidRPr="001775D9">
        <w:rPr>
          <w:sz w:val="20"/>
        </w:rPr>
        <w:t> </w:t>
      </w:r>
      <w:r w:rsidRPr="001775D9">
        <w:rPr>
          <w:sz w:val="20"/>
          <w:lang w:eastAsia="en-GB"/>
        </w:rPr>
        <w:t xml:space="preserve">0.001 for </w:t>
      </w:r>
      <w:r w:rsidR="006C03DB" w:rsidRPr="001775D9">
        <w:rPr>
          <w:rFonts w:eastAsia="Times New Roman"/>
          <w:color w:val="000000"/>
          <w:sz w:val="20"/>
        </w:rPr>
        <w:t>adalimumab</w:t>
      </w:r>
      <w:r w:rsidRPr="001775D9">
        <w:rPr>
          <w:sz w:val="20"/>
          <w:lang w:eastAsia="en-GB"/>
        </w:rPr>
        <w:t xml:space="preserve"> </w:t>
      </w:r>
      <w:r w:rsidR="0009128B" w:rsidRPr="001775D9">
        <w:rPr>
          <w:iCs/>
          <w:sz w:val="20"/>
          <w:lang w:eastAsia="en-GB"/>
        </w:rPr>
        <w:t>versus</w:t>
      </w:r>
      <w:r w:rsidRPr="001775D9">
        <w:rPr>
          <w:i/>
          <w:iCs/>
          <w:sz w:val="20"/>
          <w:lang w:eastAsia="en-GB"/>
        </w:rPr>
        <w:t xml:space="preserve"> </w:t>
      </w:r>
      <w:r w:rsidRPr="001775D9">
        <w:rPr>
          <w:sz w:val="20"/>
          <w:lang w:eastAsia="en-GB"/>
        </w:rPr>
        <w:t xml:space="preserve">placebo pairwise comparison of proportions </w:t>
      </w:r>
    </w:p>
    <w:p w14:paraId="73E6FAE9" w14:textId="77777777" w:rsidR="00C42229" w:rsidRPr="001775D9" w:rsidRDefault="00C42229" w:rsidP="00FB5458">
      <w:pPr>
        <w:spacing w:line="240" w:lineRule="auto"/>
        <w:rPr>
          <w:sz w:val="20"/>
        </w:rPr>
      </w:pPr>
      <w:r w:rsidRPr="001775D9">
        <w:rPr>
          <w:sz w:val="20"/>
          <w:vertAlign w:val="superscript"/>
          <w:lang w:eastAsia="en-GB"/>
        </w:rPr>
        <w:t>a</w:t>
      </w:r>
      <w:r w:rsidRPr="001775D9">
        <w:rPr>
          <w:sz w:val="20"/>
          <w:lang w:eastAsia="en-GB"/>
        </w:rPr>
        <w:t xml:space="preserve"> Of those receiving corticosteroids at baseline </w:t>
      </w:r>
    </w:p>
    <w:p w14:paraId="7F34BF17" w14:textId="77777777" w:rsidR="00C42229" w:rsidRPr="001775D9" w:rsidRDefault="00C42229" w:rsidP="00FB5458">
      <w:pPr>
        <w:spacing w:line="240" w:lineRule="auto"/>
        <w:rPr>
          <w:szCs w:val="22"/>
        </w:rPr>
      </w:pPr>
    </w:p>
    <w:p w14:paraId="2593DEB3"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rPr>
        <w:t xml:space="preserve">Of those patients who had a response at </w:t>
      </w:r>
      <w:r w:rsidR="00B12E05" w:rsidRPr="001775D9">
        <w:rPr>
          <w:color w:val="000000"/>
          <w:szCs w:val="22"/>
          <w:lang w:eastAsia="en-GB"/>
        </w:rPr>
        <w:t>week</w:t>
      </w:r>
      <w:r w:rsidRPr="001775D9">
        <w:rPr>
          <w:szCs w:val="22"/>
        </w:rPr>
        <w:t xml:space="preserve"> 8, 47% were in response, 29% were in remission, </w:t>
      </w:r>
      <w:r w:rsidRPr="001775D9">
        <w:rPr>
          <w:color w:val="000000"/>
          <w:szCs w:val="22"/>
          <w:lang w:eastAsia="en-GB"/>
        </w:rPr>
        <w:t>41% had mucosal healing, and 20% were in steroid-free remission for ≥</w:t>
      </w:r>
      <w:r w:rsidRPr="001775D9">
        <w:rPr>
          <w:szCs w:val="22"/>
        </w:rPr>
        <w:t> </w:t>
      </w:r>
      <w:r w:rsidRPr="001775D9">
        <w:rPr>
          <w:color w:val="000000"/>
          <w:szCs w:val="22"/>
          <w:lang w:eastAsia="en-GB"/>
        </w:rPr>
        <w:t xml:space="preserve">90 days at </w:t>
      </w:r>
      <w:r w:rsidR="00B12E05" w:rsidRPr="001775D9">
        <w:rPr>
          <w:color w:val="000000"/>
          <w:szCs w:val="22"/>
          <w:lang w:eastAsia="en-GB"/>
        </w:rPr>
        <w:t>week</w:t>
      </w:r>
      <w:r w:rsidRPr="001775D9">
        <w:rPr>
          <w:color w:val="000000"/>
          <w:szCs w:val="22"/>
          <w:lang w:eastAsia="en-GB"/>
        </w:rPr>
        <w:t xml:space="preserve"> 52. </w:t>
      </w:r>
    </w:p>
    <w:p w14:paraId="34D350EB"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29D423AF"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Approximately 40% of patients in study UC-II had failed prior anti-TNF treatment with infliximab. The efficacy of adalimumab in those patients was reduced compared to that in anti-TNF naïve patients. Among patients who had failed prior anti-TNF treatment, </w:t>
      </w:r>
      <w:r w:rsidR="00B12E05" w:rsidRPr="001775D9">
        <w:rPr>
          <w:color w:val="000000"/>
          <w:szCs w:val="22"/>
          <w:lang w:eastAsia="en-GB"/>
        </w:rPr>
        <w:t>week</w:t>
      </w:r>
      <w:r w:rsidRPr="001775D9">
        <w:rPr>
          <w:color w:val="000000"/>
          <w:szCs w:val="22"/>
          <w:lang w:eastAsia="en-GB"/>
        </w:rPr>
        <w:t xml:space="preserve"> 52 remission was achieved by 3% on placebo and 10% on adalimumab. </w:t>
      </w:r>
    </w:p>
    <w:p w14:paraId="4A69C205" w14:textId="77777777" w:rsidR="00C42229" w:rsidRPr="001775D9" w:rsidRDefault="00C42229" w:rsidP="00FB5458">
      <w:pPr>
        <w:spacing w:line="240" w:lineRule="auto"/>
        <w:rPr>
          <w:color w:val="000000"/>
          <w:szCs w:val="22"/>
          <w:lang w:eastAsia="en-GB"/>
        </w:rPr>
      </w:pPr>
    </w:p>
    <w:p w14:paraId="564524AA" w14:textId="77777777" w:rsidR="00C42229" w:rsidRPr="001775D9" w:rsidRDefault="00C42229" w:rsidP="00FB5458">
      <w:pPr>
        <w:spacing w:line="240" w:lineRule="auto"/>
        <w:rPr>
          <w:color w:val="000000"/>
          <w:szCs w:val="22"/>
          <w:lang w:eastAsia="en-GB"/>
        </w:rPr>
      </w:pPr>
      <w:r w:rsidRPr="001775D9">
        <w:rPr>
          <w:color w:val="000000"/>
          <w:szCs w:val="22"/>
          <w:lang w:eastAsia="en-GB"/>
        </w:rPr>
        <w:t>Patients from studies UC-I and UC-II had the option to roll over into an open-label long-term extension study (UC III). Following 3 years of adalimumab therapy, 75% (301/402) continued to be in clinical remission per partial Mayo score.</w:t>
      </w:r>
    </w:p>
    <w:p w14:paraId="359C6859" w14:textId="77777777" w:rsidR="00C42229" w:rsidRPr="001775D9" w:rsidRDefault="00C42229" w:rsidP="00FB5458">
      <w:pPr>
        <w:spacing w:line="240" w:lineRule="auto"/>
        <w:rPr>
          <w:color w:val="000000"/>
          <w:szCs w:val="22"/>
          <w:lang w:eastAsia="en-GB"/>
        </w:rPr>
      </w:pPr>
    </w:p>
    <w:p w14:paraId="4C5BE8F6" w14:textId="77777777" w:rsidR="00C42229" w:rsidRPr="001775D9" w:rsidRDefault="00C42229" w:rsidP="00FB5458">
      <w:pPr>
        <w:keepNext/>
        <w:tabs>
          <w:tab w:val="clear" w:pos="567"/>
        </w:tabs>
        <w:autoSpaceDE w:val="0"/>
        <w:autoSpaceDN w:val="0"/>
        <w:adjustRightInd w:val="0"/>
        <w:spacing w:line="240" w:lineRule="auto"/>
        <w:rPr>
          <w:color w:val="000000"/>
          <w:szCs w:val="22"/>
          <w:u w:val="single"/>
          <w:lang w:eastAsia="en-GB"/>
        </w:rPr>
      </w:pPr>
      <w:r w:rsidRPr="001775D9">
        <w:rPr>
          <w:i/>
          <w:iCs/>
          <w:color w:val="000000"/>
          <w:szCs w:val="22"/>
          <w:u w:val="single"/>
          <w:lang w:eastAsia="en-GB"/>
        </w:rPr>
        <w:t xml:space="preserve">Hospitalisation rates </w:t>
      </w:r>
    </w:p>
    <w:p w14:paraId="7D04FBE8" w14:textId="77777777" w:rsidR="00C42229" w:rsidRPr="001775D9" w:rsidRDefault="00C42229" w:rsidP="00FB5458">
      <w:pPr>
        <w:keepNext/>
        <w:spacing w:line="240" w:lineRule="auto"/>
        <w:rPr>
          <w:color w:val="000000"/>
          <w:szCs w:val="22"/>
          <w:lang w:eastAsia="en-GB"/>
        </w:rPr>
      </w:pPr>
    </w:p>
    <w:p w14:paraId="4340EB9E" w14:textId="77777777" w:rsidR="00C42229" w:rsidRPr="001775D9" w:rsidRDefault="00C42229" w:rsidP="00FB5458">
      <w:pPr>
        <w:spacing w:line="240" w:lineRule="auto"/>
        <w:rPr>
          <w:szCs w:val="22"/>
        </w:rPr>
      </w:pPr>
      <w:r w:rsidRPr="001775D9">
        <w:rPr>
          <w:color w:val="000000"/>
          <w:szCs w:val="22"/>
          <w:lang w:eastAsia="en-GB"/>
        </w:rPr>
        <w:t xml:space="preserve">During 52 weeks of studies UC-I and UC-II, lower rates of all-cause hospitalisations and UC-related hospitalisations were observed for the adalimumab-treated arm compared to the placebo arm. The number of all cause hospitalisations in the adalimumab treatment group was 0.18 per patient year </w:t>
      </w:r>
      <w:r w:rsidR="0009128B" w:rsidRPr="001775D9">
        <w:rPr>
          <w:iCs/>
          <w:color w:val="000000"/>
          <w:szCs w:val="22"/>
          <w:lang w:eastAsia="en-GB"/>
        </w:rPr>
        <w:t>versus</w:t>
      </w:r>
      <w:r w:rsidRPr="001775D9">
        <w:rPr>
          <w:color w:val="000000"/>
          <w:szCs w:val="22"/>
          <w:lang w:eastAsia="en-GB"/>
        </w:rPr>
        <w:t xml:space="preserve"> 0.26 per patient year in the placebo group and the corresponding figures for UC-related hospitalisations were 0.12 per patient year </w:t>
      </w:r>
      <w:r w:rsidR="0009128B" w:rsidRPr="001775D9">
        <w:rPr>
          <w:iCs/>
          <w:color w:val="000000"/>
          <w:szCs w:val="22"/>
          <w:lang w:eastAsia="en-GB"/>
        </w:rPr>
        <w:t>versus</w:t>
      </w:r>
      <w:r w:rsidRPr="001775D9">
        <w:rPr>
          <w:i/>
          <w:iCs/>
          <w:color w:val="000000"/>
          <w:szCs w:val="22"/>
          <w:lang w:eastAsia="en-GB"/>
        </w:rPr>
        <w:t xml:space="preserve"> </w:t>
      </w:r>
      <w:r w:rsidRPr="001775D9">
        <w:rPr>
          <w:color w:val="000000"/>
          <w:szCs w:val="22"/>
          <w:lang w:eastAsia="en-GB"/>
        </w:rPr>
        <w:t>0.22 per patient year.</w:t>
      </w:r>
    </w:p>
    <w:p w14:paraId="2C9BDB73" w14:textId="77777777" w:rsidR="00C42229" w:rsidRPr="001775D9" w:rsidRDefault="00C42229" w:rsidP="00FB5458">
      <w:pPr>
        <w:spacing w:line="240" w:lineRule="auto"/>
        <w:rPr>
          <w:szCs w:val="22"/>
        </w:rPr>
      </w:pPr>
    </w:p>
    <w:p w14:paraId="723E9674" w14:textId="77777777" w:rsidR="00C42229" w:rsidRPr="001775D9" w:rsidRDefault="00C42229" w:rsidP="00FB5458">
      <w:pPr>
        <w:tabs>
          <w:tab w:val="clear" w:pos="567"/>
        </w:tabs>
        <w:autoSpaceDE w:val="0"/>
        <w:autoSpaceDN w:val="0"/>
        <w:adjustRightInd w:val="0"/>
        <w:spacing w:line="240" w:lineRule="auto"/>
        <w:rPr>
          <w:i/>
          <w:iCs/>
          <w:color w:val="000000"/>
          <w:szCs w:val="22"/>
          <w:u w:val="single"/>
          <w:lang w:eastAsia="en-GB"/>
        </w:rPr>
      </w:pPr>
      <w:r w:rsidRPr="001775D9">
        <w:rPr>
          <w:i/>
          <w:iCs/>
          <w:color w:val="000000"/>
          <w:szCs w:val="22"/>
          <w:u w:val="single"/>
          <w:lang w:eastAsia="en-GB"/>
        </w:rPr>
        <w:t xml:space="preserve">Quality of </w:t>
      </w:r>
      <w:r w:rsidR="006F7870" w:rsidRPr="001775D9">
        <w:rPr>
          <w:i/>
          <w:iCs/>
          <w:color w:val="000000"/>
          <w:szCs w:val="22"/>
          <w:u w:val="single"/>
          <w:lang w:eastAsia="en-GB"/>
        </w:rPr>
        <w:t>l</w:t>
      </w:r>
      <w:r w:rsidRPr="001775D9">
        <w:rPr>
          <w:i/>
          <w:iCs/>
          <w:color w:val="000000"/>
          <w:szCs w:val="22"/>
          <w:u w:val="single"/>
          <w:lang w:eastAsia="en-GB"/>
        </w:rPr>
        <w:t xml:space="preserve">ife </w:t>
      </w:r>
    </w:p>
    <w:p w14:paraId="661ECB83" w14:textId="77777777" w:rsidR="00C42229" w:rsidRPr="001775D9" w:rsidRDefault="00C42229" w:rsidP="00FB5458">
      <w:pPr>
        <w:tabs>
          <w:tab w:val="clear" w:pos="567"/>
        </w:tabs>
        <w:autoSpaceDE w:val="0"/>
        <w:autoSpaceDN w:val="0"/>
        <w:adjustRightInd w:val="0"/>
        <w:spacing w:line="240" w:lineRule="auto"/>
        <w:rPr>
          <w:color w:val="000000"/>
          <w:szCs w:val="22"/>
          <w:u w:val="single"/>
          <w:lang w:eastAsia="en-GB"/>
        </w:rPr>
      </w:pPr>
    </w:p>
    <w:p w14:paraId="467245AB" w14:textId="77777777" w:rsidR="00C42229" w:rsidRPr="001775D9" w:rsidRDefault="00C42229" w:rsidP="00FB5458">
      <w:pPr>
        <w:spacing w:line="240" w:lineRule="auto"/>
        <w:rPr>
          <w:szCs w:val="22"/>
        </w:rPr>
      </w:pPr>
      <w:r w:rsidRPr="001775D9">
        <w:rPr>
          <w:color w:val="000000"/>
          <w:szCs w:val="22"/>
          <w:lang w:eastAsia="en-GB"/>
        </w:rPr>
        <w:t>In study UC-II, treatment with adalimumab resulted in improvements in the Inflammatory Bowel Disease Questionnaire (IBDQ) score.</w:t>
      </w:r>
    </w:p>
    <w:p w14:paraId="28E78C3C" w14:textId="77777777" w:rsidR="008F22E1" w:rsidRPr="001775D9" w:rsidRDefault="008F22E1" w:rsidP="00FB5458">
      <w:pPr>
        <w:spacing w:line="240" w:lineRule="auto"/>
        <w:rPr>
          <w:szCs w:val="22"/>
        </w:rPr>
      </w:pPr>
    </w:p>
    <w:p w14:paraId="55FBAED7" w14:textId="7FB980C9" w:rsidR="00F73294" w:rsidRPr="001775D9" w:rsidRDefault="00F73294" w:rsidP="00BD685C">
      <w:pPr>
        <w:tabs>
          <w:tab w:val="clear" w:pos="567"/>
        </w:tabs>
        <w:autoSpaceDE w:val="0"/>
        <w:autoSpaceDN w:val="0"/>
        <w:adjustRightInd w:val="0"/>
        <w:spacing w:line="240" w:lineRule="auto"/>
        <w:rPr>
          <w:i/>
          <w:iCs/>
          <w:szCs w:val="22"/>
          <w:lang w:eastAsia="en-GB"/>
        </w:rPr>
      </w:pPr>
      <w:r w:rsidRPr="001775D9">
        <w:rPr>
          <w:i/>
          <w:iCs/>
          <w:szCs w:val="22"/>
          <w:lang w:eastAsia="en-GB"/>
        </w:rPr>
        <w:t>Uveitis</w:t>
      </w:r>
    </w:p>
    <w:p w14:paraId="336F4E2A" w14:textId="77777777" w:rsidR="00F73294" w:rsidRPr="001775D9" w:rsidRDefault="00F73294" w:rsidP="00FB5458">
      <w:pPr>
        <w:tabs>
          <w:tab w:val="clear" w:pos="567"/>
        </w:tabs>
        <w:autoSpaceDE w:val="0"/>
        <w:autoSpaceDN w:val="0"/>
        <w:adjustRightInd w:val="0"/>
        <w:spacing w:line="240" w:lineRule="auto"/>
        <w:rPr>
          <w:i/>
          <w:iCs/>
          <w:szCs w:val="22"/>
          <w:lang w:eastAsia="en-GB"/>
        </w:rPr>
      </w:pPr>
    </w:p>
    <w:p w14:paraId="501675DA" w14:textId="053687B2"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The safety and efficacy of adalimumab were assessed in adult patients with non-infectious intermediate, posterior, and panuveitis, excluding patients with isolated anterior uveitis, in two randomised, double</w:t>
      </w:r>
      <w:r w:rsidR="00EB2720" w:rsidRPr="001775D9">
        <w:rPr>
          <w:szCs w:val="22"/>
          <w:lang w:eastAsia="en-GB"/>
        </w:rPr>
        <w:t>-</w:t>
      </w:r>
      <w:r w:rsidRPr="001775D9">
        <w:rPr>
          <w:szCs w:val="22"/>
          <w:lang w:eastAsia="en-GB"/>
        </w:rPr>
        <w:t>masked, placebo-controlled studies (UV I and II). Patients received placebo or adalimumab at an initial dose of 80 mg followed by 40 mg every other week starting one week after the initial dose. Concomitant stable doses of one non-biologic immunosuppressant were permitted.</w:t>
      </w:r>
    </w:p>
    <w:p w14:paraId="08B408CF" w14:textId="77777777" w:rsidR="00F73294" w:rsidRPr="001775D9" w:rsidRDefault="00F73294" w:rsidP="00FB5458">
      <w:pPr>
        <w:tabs>
          <w:tab w:val="clear" w:pos="567"/>
        </w:tabs>
        <w:autoSpaceDE w:val="0"/>
        <w:autoSpaceDN w:val="0"/>
        <w:adjustRightInd w:val="0"/>
        <w:spacing w:line="240" w:lineRule="auto"/>
        <w:rPr>
          <w:szCs w:val="22"/>
          <w:lang w:eastAsia="en-GB"/>
        </w:rPr>
      </w:pPr>
    </w:p>
    <w:p w14:paraId="7DC2B427" w14:textId="0A51292F"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Study UV I evaluated 217 patients with active uveitis despite treatment with corticosteroids (oral prednisone at a dose of 10 to 60 mg/day). All patients received a 2 week standardised dose of prednisone 60 mg/day at study entry followed by a mandatory taper schedule, with complete corticosteroid discontinuation by week 15.</w:t>
      </w:r>
    </w:p>
    <w:p w14:paraId="31863CE5" w14:textId="77777777" w:rsidR="00F73294" w:rsidRPr="001775D9" w:rsidRDefault="00F73294" w:rsidP="00FB5458">
      <w:pPr>
        <w:tabs>
          <w:tab w:val="clear" w:pos="567"/>
        </w:tabs>
        <w:autoSpaceDE w:val="0"/>
        <w:autoSpaceDN w:val="0"/>
        <w:adjustRightInd w:val="0"/>
        <w:spacing w:line="240" w:lineRule="auto"/>
        <w:rPr>
          <w:szCs w:val="22"/>
          <w:lang w:eastAsia="en-GB"/>
        </w:rPr>
      </w:pPr>
    </w:p>
    <w:p w14:paraId="05DAF96F" w14:textId="77777777"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Study UV II evaluated 226 patients with inactive uveitis requiring chronic corticosteroid treatment (oral prednisone 10 to 35 mg/day) at baseline to control their disease. Patients subsequently underwent a mandatory taper schedule, with complete corticosteroid discontinuation by week 19.</w:t>
      </w:r>
    </w:p>
    <w:p w14:paraId="3C9FBB71" w14:textId="77777777" w:rsidR="00F73294" w:rsidRPr="001775D9" w:rsidRDefault="00F73294" w:rsidP="00FB5458">
      <w:pPr>
        <w:tabs>
          <w:tab w:val="clear" w:pos="567"/>
        </w:tabs>
        <w:autoSpaceDE w:val="0"/>
        <w:autoSpaceDN w:val="0"/>
        <w:adjustRightInd w:val="0"/>
        <w:spacing w:line="240" w:lineRule="auto"/>
        <w:rPr>
          <w:szCs w:val="22"/>
          <w:lang w:eastAsia="en-GB"/>
        </w:rPr>
      </w:pPr>
    </w:p>
    <w:p w14:paraId="56E6A6A8" w14:textId="77777777"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The primary efficacy endpoint in both studies was ‘time to treatment failure’. Treatment failure was defined by a multi-component outcome based on inflammatory chorioretinal and/or inflammatory retinal vascular lesions, anterior chamber (AC) cell grade, vitreous haze (VH) grade and best corrected visual acuity (BCVA).</w:t>
      </w:r>
    </w:p>
    <w:p w14:paraId="6994553E" w14:textId="77777777" w:rsidR="00F73294" w:rsidRPr="001775D9" w:rsidRDefault="00F73294" w:rsidP="00FB5458">
      <w:pPr>
        <w:tabs>
          <w:tab w:val="clear" w:pos="567"/>
        </w:tabs>
        <w:autoSpaceDE w:val="0"/>
        <w:autoSpaceDN w:val="0"/>
        <w:adjustRightInd w:val="0"/>
        <w:spacing w:line="240" w:lineRule="auto"/>
        <w:rPr>
          <w:szCs w:val="22"/>
          <w:lang w:eastAsia="en-GB"/>
        </w:rPr>
      </w:pPr>
    </w:p>
    <w:p w14:paraId="7A972009" w14:textId="2CD346E4" w:rsidR="00482B3A" w:rsidRPr="001775D9" w:rsidRDefault="00482B3A" w:rsidP="00482B3A">
      <w:pPr>
        <w:tabs>
          <w:tab w:val="clear" w:pos="567"/>
        </w:tabs>
        <w:autoSpaceDE w:val="0"/>
        <w:autoSpaceDN w:val="0"/>
        <w:adjustRightInd w:val="0"/>
        <w:spacing w:line="240" w:lineRule="auto"/>
        <w:rPr>
          <w:szCs w:val="22"/>
          <w:lang w:eastAsia="en-GB"/>
        </w:rPr>
      </w:pPr>
      <w:r w:rsidRPr="001775D9">
        <w:rPr>
          <w:szCs w:val="22"/>
          <w:lang w:eastAsia="en-GB"/>
        </w:rPr>
        <w:t>Patients who completed Studies UV I and UV II were eligible to enroll in an uncontrolled long-term</w:t>
      </w:r>
    </w:p>
    <w:p w14:paraId="12B4E46C" w14:textId="3A85DEF4" w:rsidR="00482B3A" w:rsidRPr="001775D9" w:rsidRDefault="00482B3A" w:rsidP="00482B3A">
      <w:pPr>
        <w:tabs>
          <w:tab w:val="clear" w:pos="567"/>
        </w:tabs>
        <w:autoSpaceDE w:val="0"/>
        <w:autoSpaceDN w:val="0"/>
        <w:adjustRightInd w:val="0"/>
        <w:spacing w:line="240" w:lineRule="auto"/>
        <w:rPr>
          <w:szCs w:val="22"/>
          <w:lang w:eastAsia="en-GB"/>
        </w:rPr>
      </w:pPr>
      <w:r w:rsidRPr="001775D9">
        <w:rPr>
          <w:szCs w:val="22"/>
          <w:lang w:eastAsia="en-GB"/>
        </w:rPr>
        <w:t>extension study with an originally planned duration of 78 weeks. Patients were allowed to continue on</w:t>
      </w:r>
    </w:p>
    <w:p w14:paraId="40ABAD1F" w14:textId="08DEB648" w:rsidR="00482B3A" w:rsidRPr="001775D9" w:rsidRDefault="00482B3A" w:rsidP="00482B3A">
      <w:pPr>
        <w:tabs>
          <w:tab w:val="clear" w:pos="567"/>
        </w:tabs>
        <w:autoSpaceDE w:val="0"/>
        <w:autoSpaceDN w:val="0"/>
        <w:adjustRightInd w:val="0"/>
        <w:spacing w:line="240" w:lineRule="auto"/>
        <w:rPr>
          <w:szCs w:val="22"/>
          <w:lang w:eastAsia="en-GB"/>
        </w:rPr>
      </w:pPr>
      <w:r w:rsidRPr="001775D9">
        <w:rPr>
          <w:szCs w:val="22"/>
          <w:lang w:eastAsia="en-GB"/>
        </w:rPr>
        <w:t xml:space="preserve">study medication beyond </w:t>
      </w:r>
      <w:r w:rsidR="005D2478" w:rsidRPr="001775D9">
        <w:rPr>
          <w:szCs w:val="22"/>
          <w:lang w:eastAsia="en-GB"/>
        </w:rPr>
        <w:t>w</w:t>
      </w:r>
      <w:r w:rsidRPr="001775D9">
        <w:rPr>
          <w:szCs w:val="22"/>
          <w:lang w:eastAsia="en-GB"/>
        </w:rPr>
        <w:t xml:space="preserve">eek 78 until they had access to </w:t>
      </w:r>
      <w:r w:rsidR="00867BCC" w:rsidRPr="001775D9">
        <w:rPr>
          <w:szCs w:val="22"/>
          <w:lang w:eastAsia="en-GB"/>
        </w:rPr>
        <w:t>adalimumab</w:t>
      </w:r>
      <w:r w:rsidRPr="001775D9">
        <w:rPr>
          <w:szCs w:val="22"/>
          <w:lang w:eastAsia="en-GB"/>
        </w:rPr>
        <w:t>.</w:t>
      </w:r>
    </w:p>
    <w:p w14:paraId="151D4658" w14:textId="77777777" w:rsidR="00482B3A" w:rsidRPr="001775D9" w:rsidRDefault="00482B3A" w:rsidP="00482B3A">
      <w:pPr>
        <w:tabs>
          <w:tab w:val="clear" w:pos="567"/>
        </w:tabs>
        <w:autoSpaceDE w:val="0"/>
        <w:autoSpaceDN w:val="0"/>
        <w:adjustRightInd w:val="0"/>
        <w:spacing w:line="240" w:lineRule="auto"/>
        <w:rPr>
          <w:szCs w:val="22"/>
          <w:lang w:eastAsia="en-GB"/>
        </w:rPr>
      </w:pPr>
    </w:p>
    <w:p w14:paraId="1F206DC5" w14:textId="77777777" w:rsidR="00F73294" w:rsidRPr="001775D9" w:rsidRDefault="00F73294" w:rsidP="00FB5458">
      <w:pPr>
        <w:tabs>
          <w:tab w:val="clear" w:pos="567"/>
        </w:tabs>
        <w:autoSpaceDE w:val="0"/>
        <w:autoSpaceDN w:val="0"/>
        <w:adjustRightInd w:val="0"/>
        <w:spacing w:line="240" w:lineRule="auto"/>
        <w:rPr>
          <w:i/>
          <w:iCs/>
          <w:szCs w:val="22"/>
          <w:u w:val="single"/>
          <w:lang w:eastAsia="en-GB"/>
        </w:rPr>
      </w:pPr>
      <w:r w:rsidRPr="001775D9">
        <w:rPr>
          <w:i/>
          <w:iCs/>
          <w:szCs w:val="22"/>
          <w:u w:val="single"/>
          <w:lang w:eastAsia="en-GB"/>
        </w:rPr>
        <w:t>Clinical response</w:t>
      </w:r>
    </w:p>
    <w:p w14:paraId="3A1FE334" w14:textId="77777777" w:rsidR="00F73294" w:rsidRPr="001775D9" w:rsidRDefault="00F73294" w:rsidP="00FB5458">
      <w:pPr>
        <w:tabs>
          <w:tab w:val="clear" w:pos="567"/>
        </w:tabs>
        <w:autoSpaceDE w:val="0"/>
        <w:autoSpaceDN w:val="0"/>
        <w:adjustRightInd w:val="0"/>
        <w:spacing w:line="240" w:lineRule="auto"/>
        <w:rPr>
          <w:i/>
          <w:iCs/>
          <w:szCs w:val="22"/>
          <w:u w:val="single"/>
          <w:lang w:eastAsia="en-GB"/>
        </w:rPr>
      </w:pPr>
    </w:p>
    <w:p w14:paraId="745C040D" w14:textId="777A182E"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Results from both studies demonstrated statistically significant reduction of the risk of treatment failure in patients treated with adalimumab versus patients receiving placebo (</w:t>
      </w:r>
      <w:r w:rsidR="00747B80" w:rsidRPr="001775D9">
        <w:rPr>
          <w:szCs w:val="22"/>
          <w:lang w:eastAsia="en-GB"/>
        </w:rPr>
        <w:t>s</w:t>
      </w:r>
      <w:r w:rsidRPr="001775D9">
        <w:rPr>
          <w:szCs w:val="22"/>
          <w:lang w:eastAsia="en-GB"/>
        </w:rPr>
        <w:t xml:space="preserve">ee table </w:t>
      </w:r>
      <w:r w:rsidR="004D7CC1" w:rsidRPr="001775D9">
        <w:rPr>
          <w:szCs w:val="22"/>
          <w:lang w:eastAsia="en-GB"/>
        </w:rPr>
        <w:t>24</w:t>
      </w:r>
      <w:r w:rsidRPr="001775D9">
        <w:rPr>
          <w:szCs w:val="22"/>
          <w:lang w:eastAsia="en-GB"/>
        </w:rPr>
        <w:t xml:space="preserve">). Both studies demonstrated an early and sustained effect of adalimumab on the treatment failure rate versus placebo (see figure </w:t>
      </w:r>
      <w:r w:rsidR="00B37798" w:rsidRPr="001775D9">
        <w:rPr>
          <w:szCs w:val="22"/>
          <w:lang w:eastAsia="en-GB"/>
        </w:rPr>
        <w:t>2</w:t>
      </w:r>
      <w:r w:rsidRPr="001775D9">
        <w:rPr>
          <w:szCs w:val="22"/>
          <w:lang w:eastAsia="en-GB"/>
        </w:rPr>
        <w:t>).</w:t>
      </w:r>
    </w:p>
    <w:p w14:paraId="09144F7A" w14:textId="77777777" w:rsidR="00F73294" w:rsidRPr="001775D9" w:rsidRDefault="00F73294" w:rsidP="00FB5458">
      <w:pPr>
        <w:tabs>
          <w:tab w:val="clear" w:pos="567"/>
        </w:tabs>
        <w:autoSpaceDE w:val="0"/>
        <w:autoSpaceDN w:val="0"/>
        <w:adjustRightInd w:val="0"/>
        <w:spacing w:line="240" w:lineRule="auto"/>
        <w:rPr>
          <w:szCs w:val="22"/>
          <w:lang w:eastAsia="en-GB"/>
        </w:rPr>
      </w:pPr>
    </w:p>
    <w:p w14:paraId="6B39AC65" w14:textId="40D0BA82" w:rsidR="00F73294" w:rsidRPr="001775D9" w:rsidRDefault="00F73294" w:rsidP="00502E68">
      <w:pPr>
        <w:keepNext/>
        <w:tabs>
          <w:tab w:val="clear" w:pos="567"/>
        </w:tabs>
        <w:autoSpaceDE w:val="0"/>
        <w:autoSpaceDN w:val="0"/>
        <w:adjustRightInd w:val="0"/>
        <w:spacing w:line="240" w:lineRule="auto"/>
        <w:rPr>
          <w:b/>
          <w:bCs/>
          <w:szCs w:val="22"/>
          <w:lang w:eastAsia="en-GB"/>
        </w:rPr>
      </w:pPr>
      <w:r w:rsidRPr="001775D9">
        <w:rPr>
          <w:b/>
          <w:bCs/>
          <w:szCs w:val="22"/>
          <w:lang w:eastAsia="en-GB"/>
        </w:rPr>
        <w:t xml:space="preserve">Table </w:t>
      </w:r>
      <w:r w:rsidR="004D7CC1" w:rsidRPr="001775D9">
        <w:rPr>
          <w:b/>
          <w:bCs/>
          <w:szCs w:val="22"/>
          <w:lang w:eastAsia="en-GB"/>
        </w:rPr>
        <w:t>24</w:t>
      </w:r>
      <w:r w:rsidR="00560AB5" w:rsidRPr="001775D9">
        <w:rPr>
          <w:b/>
          <w:bCs/>
          <w:szCs w:val="22"/>
          <w:lang w:eastAsia="en-GB"/>
        </w:rPr>
        <w:t>.</w:t>
      </w:r>
      <w:r w:rsidRPr="001775D9">
        <w:rPr>
          <w:b/>
          <w:bCs/>
          <w:szCs w:val="22"/>
          <w:lang w:eastAsia="en-GB"/>
        </w:rPr>
        <w:t xml:space="preserve"> Time to treatment failure in studies UV I and UV II</w:t>
      </w:r>
    </w:p>
    <w:p w14:paraId="1E979DEC"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134"/>
        <w:gridCol w:w="233"/>
        <w:gridCol w:w="1326"/>
        <w:gridCol w:w="1276"/>
        <w:gridCol w:w="1134"/>
        <w:gridCol w:w="1134"/>
        <w:gridCol w:w="1134"/>
      </w:tblGrid>
      <w:tr w:rsidR="00F73294" w:rsidRPr="00F04F82" w14:paraId="6D6A18D6" w14:textId="77777777" w:rsidTr="00BB322B">
        <w:tc>
          <w:tcPr>
            <w:tcW w:w="1951" w:type="dxa"/>
          </w:tcPr>
          <w:p w14:paraId="39922AB2" w14:textId="77777777" w:rsidR="00F73294" w:rsidRPr="001775D9" w:rsidRDefault="00F73294" w:rsidP="00903EAA">
            <w:pPr>
              <w:keepNext/>
              <w:tabs>
                <w:tab w:val="clear" w:pos="567"/>
              </w:tabs>
              <w:autoSpaceDE w:val="0"/>
              <w:autoSpaceDN w:val="0"/>
              <w:adjustRightInd w:val="0"/>
              <w:spacing w:line="240" w:lineRule="auto"/>
              <w:rPr>
                <w:b/>
                <w:bCs/>
                <w:szCs w:val="22"/>
                <w:lang w:eastAsia="en-GB"/>
              </w:rPr>
            </w:pPr>
            <w:r w:rsidRPr="001775D9">
              <w:rPr>
                <w:b/>
                <w:bCs/>
                <w:szCs w:val="22"/>
                <w:lang w:eastAsia="en-GB"/>
              </w:rPr>
              <w:t>Analysis</w:t>
            </w:r>
          </w:p>
          <w:p w14:paraId="377CBED7" w14:textId="77777777" w:rsidR="00F73294" w:rsidRPr="001775D9" w:rsidRDefault="00F73294" w:rsidP="00DB1101">
            <w:pPr>
              <w:keepNext/>
              <w:tabs>
                <w:tab w:val="clear" w:pos="567"/>
              </w:tabs>
              <w:autoSpaceDE w:val="0"/>
              <w:autoSpaceDN w:val="0"/>
              <w:adjustRightInd w:val="0"/>
              <w:spacing w:line="240" w:lineRule="auto"/>
              <w:rPr>
                <w:b/>
                <w:bCs/>
                <w:szCs w:val="22"/>
                <w:lang w:eastAsia="en-GB"/>
              </w:rPr>
            </w:pPr>
            <w:r w:rsidRPr="001775D9">
              <w:rPr>
                <w:b/>
                <w:bCs/>
                <w:szCs w:val="22"/>
                <w:lang w:eastAsia="en-GB"/>
              </w:rPr>
              <w:t>Treatment</w:t>
            </w:r>
          </w:p>
          <w:p w14:paraId="47B1FF38" w14:textId="77777777" w:rsidR="00F73294" w:rsidRPr="001775D9" w:rsidRDefault="00F73294" w:rsidP="00130649">
            <w:pPr>
              <w:keepNext/>
              <w:tabs>
                <w:tab w:val="clear" w:pos="567"/>
              </w:tabs>
              <w:autoSpaceDE w:val="0"/>
              <w:autoSpaceDN w:val="0"/>
              <w:adjustRightInd w:val="0"/>
              <w:spacing w:line="240" w:lineRule="auto"/>
              <w:rPr>
                <w:b/>
                <w:bCs/>
                <w:szCs w:val="22"/>
                <w:lang w:eastAsia="en-GB"/>
              </w:rPr>
            </w:pPr>
          </w:p>
        </w:tc>
        <w:tc>
          <w:tcPr>
            <w:tcW w:w="1134" w:type="dxa"/>
          </w:tcPr>
          <w:p w14:paraId="1298DB44"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r w:rsidRPr="001775D9">
              <w:rPr>
                <w:b/>
                <w:bCs/>
                <w:szCs w:val="22"/>
                <w:lang w:eastAsia="en-GB"/>
              </w:rPr>
              <w:t>N</w:t>
            </w:r>
          </w:p>
        </w:tc>
        <w:tc>
          <w:tcPr>
            <w:tcW w:w="1559" w:type="dxa"/>
            <w:gridSpan w:val="2"/>
          </w:tcPr>
          <w:p w14:paraId="0D2083F7"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r w:rsidRPr="001775D9">
              <w:rPr>
                <w:b/>
                <w:bCs/>
                <w:szCs w:val="22"/>
                <w:lang w:eastAsia="en-GB"/>
              </w:rPr>
              <w:t>Failure</w:t>
            </w:r>
          </w:p>
          <w:p w14:paraId="3373606A"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r w:rsidRPr="001775D9">
              <w:rPr>
                <w:b/>
                <w:bCs/>
                <w:szCs w:val="22"/>
                <w:lang w:eastAsia="en-GB"/>
              </w:rPr>
              <w:t>N (%)</w:t>
            </w:r>
          </w:p>
          <w:p w14:paraId="6C46997F"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p>
        </w:tc>
        <w:tc>
          <w:tcPr>
            <w:tcW w:w="1276" w:type="dxa"/>
          </w:tcPr>
          <w:p w14:paraId="6B7B98EA"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r w:rsidRPr="001775D9">
              <w:rPr>
                <w:b/>
                <w:bCs/>
                <w:szCs w:val="22"/>
                <w:lang w:eastAsia="en-GB"/>
              </w:rPr>
              <w:t>Median time to failure (months)</w:t>
            </w:r>
          </w:p>
          <w:p w14:paraId="7FA64BE7"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p>
        </w:tc>
        <w:tc>
          <w:tcPr>
            <w:tcW w:w="1134" w:type="dxa"/>
          </w:tcPr>
          <w:p w14:paraId="29BAE9B6"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r w:rsidRPr="001775D9">
              <w:rPr>
                <w:b/>
                <w:bCs/>
                <w:szCs w:val="22"/>
                <w:lang w:eastAsia="en-GB"/>
              </w:rPr>
              <w:t>HR</w:t>
            </w:r>
            <w:r w:rsidRPr="001775D9">
              <w:rPr>
                <w:b/>
                <w:bCs/>
                <w:szCs w:val="22"/>
                <w:vertAlign w:val="superscript"/>
                <w:lang w:eastAsia="en-GB"/>
              </w:rPr>
              <w:t>a</w:t>
            </w:r>
          </w:p>
        </w:tc>
        <w:tc>
          <w:tcPr>
            <w:tcW w:w="1134" w:type="dxa"/>
          </w:tcPr>
          <w:p w14:paraId="02A4AA49" w14:textId="16CD63C7" w:rsidR="00F73294" w:rsidRPr="001775D9" w:rsidRDefault="00F73294" w:rsidP="00502E68">
            <w:pPr>
              <w:keepNext/>
              <w:tabs>
                <w:tab w:val="clear" w:pos="567"/>
              </w:tabs>
              <w:autoSpaceDE w:val="0"/>
              <w:autoSpaceDN w:val="0"/>
              <w:adjustRightInd w:val="0"/>
              <w:spacing w:line="240" w:lineRule="auto"/>
              <w:rPr>
                <w:b/>
                <w:bCs/>
                <w:szCs w:val="22"/>
                <w:lang w:eastAsia="en-GB"/>
              </w:rPr>
            </w:pPr>
            <w:r w:rsidRPr="001775D9">
              <w:rPr>
                <w:b/>
                <w:bCs/>
                <w:szCs w:val="22"/>
                <w:lang w:eastAsia="en-GB"/>
              </w:rPr>
              <w:t>CI 95%</w:t>
            </w:r>
          </w:p>
          <w:p w14:paraId="02256AB8" w14:textId="77777777" w:rsidR="00F73294" w:rsidRPr="001775D9" w:rsidRDefault="00F73294" w:rsidP="00502E68">
            <w:pPr>
              <w:keepNext/>
              <w:tabs>
                <w:tab w:val="clear" w:pos="567"/>
              </w:tabs>
              <w:autoSpaceDE w:val="0"/>
              <w:autoSpaceDN w:val="0"/>
              <w:adjustRightInd w:val="0"/>
              <w:spacing w:line="240" w:lineRule="auto"/>
              <w:rPr>
                <w:b/>
                <w:bCs/>
                <w:sz w:val="14"/>
                <w:szCs w:val="14"/>
                <w:lang w:eastAsia="en-GB"/>
              </w:rPr>
            </w:pPr>
            <w:r w:rsidRPr="001775D9">
              <w:rPr>
                <w:b/>
                <w:bCs/>
                <w:szCs w:val="22"/>
                <w:lang w:eastAsia="en-GB"/>
              </w:rPr>
              <w:t>for HR</w:t>
            </w:r>
            <w:r w:rsidRPr="001775D9">
              <w:rPr>
                <w:b/>
                <w:bCs/>
                <w:szCs w:val="22"/>
                <w:vertAlign w:val="superscript"/>
                <w:lang w:eastAsia="en-GB"/>
              </w:rPr>
              <w:t>a</w:t>
            </w:r>
          </w:p>
          <w:p w14:paraId="707BD129"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p>
        </w:tc>
        <w:tc>
          <w:tcPr>
            <w:tcW w:w="1134" w:type="dxa"/>
          </w:tcPr>
          <w:p w14:paraId="59140B33" w14:textId="02BE347D" w:rsidR="00F73294" w:rsidRPr="001775D9" w:rsidRDefault="00F73294" w:rsidP="00502E68">
            <w:pPr>
              <w:keepNext/>
              <w:tabs>
                <w:tab w:val="clear" w:pos="567"/>
              </w:tabs>
              <w:autoSpaceDE w:val="0"/>
              <w:autoSpaceDN w:val="0"/>
              <w:adjustRightInd w:val="0"/>
              <w:spacing w:line="240" w:lineRule="auto"/>
              <w:rPr>
                <w:b/>
                <w:bCs/>
                <w:sz w:val="14"/>
                <w:szCs w:val="14"/>
                <w:lang w:eastAsia="en-GB"/>
              </w:rPr>
            </w:pPr>
            <w:r w:rsidRPr="001775D9">
              <w:rPr>
                <w:b/>
                <w:bCs/>
                <w:i/>
                <w:iCs/>
                <w:szCs w:val="22"/>
                <w:lang w:eastAsia="en-GB"/>
              </w:rPr>
              <w:t xml:space="preserve">P </w:t>
            </w:r>
            <w:r w:rsidRPr="001775D9">
              <w:rPr>
                <w:b/>
                <w:bCs/>
                <w:szCs w:val="22"/>
                <w:lang w:eastAsia="en-GB"/>
              </w:rPr>
              <w:t xml:space="preserve">Value </w:t>
            </w:r>
            <w:r w:rsidRPr="001775D9">
              <w:rPr>
                <w:b/>
                <w:bCs/>
                <w:szCs w:val="22"/>
                <w:vertAlign w:val="superscript"/>
                <w:lang w:eastAsia="en-GB"/>
              </w:rPr>
              <w:t>b</w:t>
            </w:r>
          </w:p>
          <w:p w14:paraId="70FE78B8"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p>
        </w:tc>
      </w:tr>
      <w:tr w:rsidR="00F73294" w:rsidRPr="00F04F82" w14:paraId="566D42B8" w14:textId="77777777" w:rsidTr="00BB322B">
        <w:tc>
          <w:tcPr>
            <w:tcW w:w="9322" w:type="dxa"/>
            <w:gridSpan w:val="8"/>
          </w:tcPr>
          <w:p w14:paraId="1A47BC76"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r w:rsidRPr="001775D9">
              <w:rPr>
                <w:b/>
                <w:bCs/>
                <w:szCs w:val="22"/>
                <w:lang w:eastAsia="en-GB"/>
              </w:rPr>
              <w:t>Time to treatment failure at or after week 6 in study UV I</w:t>
            </w:r>
          </w:p>
          <w:p w14:paraId="4D15B1F0" w14:textId="77777777" w:rsidR="00F73294" w:rsidRPr="001775D9" w:rsidRDefault="00F73294" w:rsidP="00502E68">
            <w:pPr>
              <w:keepNext/>
              <w:tabs>
                <w:tab w:val="clear" w:pos="567"/>
              </w:tabs>
              <w:autoSpaceDE w:val="0"/>
              <w:autoSpaceDN w:val="0"/>
              <w:adjustRightInd w:val="0"/>
              <w:spacing w:line="240" w:lineRule="auto"/>
              <w:rPr>
                <w:szCs w:val="22"/>
                <w:lang w:eastAsia="en-GB"/>
              </w:rPr>
            </w:pPr>
            <w:r w:rsidRPr="001775D9">
              <w:rPr>
                <w:szCs w:val="22"/>
                <w:lang w:eastAsia="en-GB"/>
              </w:rPr>
              <w:t>Primary analysis (ITT)</w:t>
            </w:r>
          </w:p>
          <w:p w14:paraId="5458316F" w14:textId="77777777" w:rsidR="00F73294" w:rsidRPr="001775D9" w:rsidRDefault="00F73294" w:rsidP="00502E68">
            <w:pPr>
              <w:keepNext/>
              <w:tabs>
                <w:tab w:val="clear" w:pos="567"/>
              </w:tabs>
              <w:autoSpaceDE w:val="0"/>
              <w:autoSpaceDN w:val="0"/>
              <w:adjustRightInd w:val="0"/>
              <w:spacing w:line="240" w:lineRule="auto"/>
              <w:rPr>
                <w:b/>
                <w:bCs/>
                <w:szCs w:val="22"/>
                <w:lang w:eastAsia="en-GB"/>
              </w:rPr>
            </w:pPr>
          </w:p>
        </w:tc>
      </w:tr>
      <w:tr w:rsidR="00F73294" w:rsidRPr="00F04F82" w14:paraId="54E60539" w14:textId="77777777" w:rsidTr="00BB322B">
        <w:tc>
          <w:tcPr>
            <w:tcW w:w="1951" w:type="dxa"/>
          </w:tcPr>
          <w:p w14:paraId="38A56D0D" w14:textId="77777777" w:rsidR="00F73294" w:rsidRPr="001775D9" w:rsidRDefault="00F73294" w:rsidP="00246733">
            <w:pPr>
              <w:tabs>
                <w:tab w:val="clear" w:pos="567"/>
              </w:tabs>
              <w:autoSpaceDE w:val="0"/>
              <w:autoSpaceDN w:val="0"/>
              <w:adjustRightInd w:val="0"/>
              <w:spacing w:line="240" w:lineRule="auto"/>
              <w:rPr>
                <w:b/>
                <w:bCs/>
                <w:szCs w:val="22"/>
                <w:lang w:eastAsia="en-GB"/>
              </w:rPr>
            </w:pPr>
            <w:r w:rsidRPr="001775D9">
              <w:rPr>
                <w:szCs w:val="22"/>
                <w:lang w:eastAsia="en-GB"/>
              </w:rPr>
              <w:t>Placebo</w:t>
            </w:r>
          </w:p>
        </w:tc>
        <w:tc>
          <w:tcPr>
            <w:tcW w:w="1367" w:type="dxa"/>
            <w:gridSpan w:val="2"/>
          </w:tcPr>
          <w:p w14:paraId="3D556E41"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107</w:t>
            </w:r>
          </w:p>
        </w:tc>
        <w:tc>
          <w:tcPr>
            <w:tcW w:w="1326" w:type="dxa"/>
          </w:tcPr>
          <w:p w14:paraId="117387FC"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84 (78.5)</w:t>
            </w:r>
          </w:p>
        </w:tc>
        <w:tc>
          <w:tcPr>
            <w:tcW w:w="1276" w:type="dxa"/>
          </w:tcPr>
          <w:p w14:paraId="18349642"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3.0</w:t>
            </w:r>
          </w:p>
        </w:tc>
        <w:tc>
          <w:tcPr>
            <w:tcW w:w="1134" w:type="dxa"/>
          </w:tcPr>
          <w:p w14:paraId="34750EEF"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b/>
                <w:bCs/>
                <w:szCs w:val="22"/>
                <w:lang w:eastAsia="en-GB"/>
              </w:rPr>
              <w:t>--</w:t>
            </w:r>
          </w:p>
        </w:tc>
        <w:tc>
          <w:tcPr>
            <w:tcW w:w="1134" w:type="dxa"/>
          </w:tcPr>
          <w:p w14:paraId="09CAC011"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b/>
                <w:bCs/>
                <w:szCs w:val="22"/>
                <w:lang w:eastAsia="en-GB"/>
              </w:rPr>
              <w:t>--</w:t>
            </w:r>
          </w:p>
        </w:tc>
        <w:tc>
          <w:tcPr>
            <w:tcW w:w="1134" w:type="dxa"/>
          </w:tcPr>
          <w:p w14:paraId="42370C77"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b/>
                <w:bCs/>
                <w:szCs w:val="22"/>
                <w:lang w:eastAsia="en-GB"/>
              </w:rPr>
              <w:t>--</w:t>
            </w:r>
          </w:p>
        </w:tc>
      </w:tr>
      <w:tr w:rsidR="00F73294" w:rsidRPr="00F04F82" w14:paraId="0705C677" w14:textId="77777777" w:rsidTr="00BB322B">
        <w:tc>
          <w:tcPr>
            <w:tcW w:w="1951" w:type="dxa"/>
          </w:tcPr>
          <w:p w14:paraId="17634D4D" w14:textId="77777777" w:rsidR="00F73294" w:rsidRPr="001775D9" w:rsidRDefault="00F73294" w:rsidP="00246733">
            <w:pPr>
              <w:tabs>
                <w:tab w:val="clear" w:pos="567"/>
              </w:tabs>
              <w:autoSpaceDE w:val="0"/>
              <w:autoSpaceDN w:val="0"/>
              <w:adjustRightInd w:val="0"/>
              <w:spacing w:line="240" w:lineRule="auto"/>
              <w:rPr>
                <w:b/>
                <w:bCs/>
                <w:szCs w:val="22"/>
                <w:lang w:eastAsia="en-GB"/>
              </w:rPr>
            </w:pPr>
            <w:r w:rsidRPr="001775D9">
              <w:rPr>
                <w:szCs w:val="22"/>
                <w:lang w:eastAsia="en-GB"/>
              </w:rPr>
              <w:t>Adalimumab</w:t>
            </w:r>
          </w:p>
        </w:tc>
        <w:tc>
          <w:tcPr>
            <w:tcW w:w="1367" w:type="dxa"/>
            <w:gridSpan w:val="2"/>
          </w:tcPr>
          <w:p w14:paraId="57994489"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110</w:t>
            </w:r>
          </w:p>
        </w:tc>
        <w:tc>
          <w:tcPr>
            <w:tcW w:w="1326" w:type="dxa"/>
          </w:tcPr>
          <w:p w14:paraId="2DE71323"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60 (54.5)</w:t>
            </w:r>
          </w:p>
        </w:tc>
        <w:tc>
          <w:tcPr>
            <w:tcW w:w="1276" w:type="dxa"/>
          </w:tcPr>
          <w:p w14:paraId="14D5F79D"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5.6</w:t>
            </w:r>
          </w:p>
        </w:tc>
        <w:tc>
          <w:tcPr>
            <w:tcW w:w="1134" w:type="dxa"/>
          </w:tcPr>
          <w:p w14:paraId="6F8909F7"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0.50</w:t>
            </w:r>
          </w:p>
        </w:tc>
        <w:tc>
          <w:tcPr>
            <w:tcW w:w="1134" w:type="dxa"/>
          </w:tcPr>
          <w:p w14:paraId="775030F4"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0.36, 0.70</w:t>
            </w:r>
          </w:p>
        </w:tc>
        <w:tc>
          <w:tcPr>
            <w:tcW w:w="1134" w:type="dxa"/>
          </w:tcPr>
          <w:p w14:paraId="5A72F3F4"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&lt; 0.001</w:t>
            </w:r>
          </w:p>
        </w:tc>
      </w:tr>
      <w:tr w:rsidR="00F73294" w:rsidRPr="00F04F82" w14:paraId="5B2E406F" w14:textId="77777777" w:rsidTr="00BB322B">
        <w:tc>
          <w:tcPr>
            <w:tcW w:w="9322" w:type="dxa"/>
            <w:gridSpan w:val="8"/>
          </w:tcPr>
          <w:p w14:paraId="039B6926"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b/>
                <w:bCs/>
                <w:szCs w:val="22"/>
                <w:lang w:eastAsia="en-GB"/>
              </w:rPr>
              <w:t>Time to treatment failure at or after week 2 in study UV II</w:t>
            </w:r>
          </w:p>
          <w:p w14:paraId="7C1D86D5" w14:textId="77777777"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Primary analysis (ITT)</w:t>
            </w:r>
          </w:p>
          <w:p w14:paraId="13CA83C8" w14:textId="77777777" w:rsidR="00F73294" w:rsidRPr="001775D9" w:rsidRDefault="00F73294" w:rsidP="00FB5458">
            <w:pPr>
              <w:tabs>
                <w:tab w:val="clear" w:pos="567"/>
              </w:tabs>
              <w:autoSpaceDE w:val="0"/>
              <w:autoSpaceDN w:val="0"/>
              <w:adjustRightInd w:val="0"/>
              <w:spacing w:line="240" w:lineRule="auto"/>
              <w:rPr>
                <w:b/>
                <w:bCs/>
                <w:szCs w:val="22"/>
                <w:lang w:eastAsia="en-GB"/>
              </w:rPr>
            </w:pPr>
          </w:p>
        </w:tc>
      </w:tr>
      <w:tr w:rsidR="00F73294" w:rsidRPr="00F04F82" w14:paraId="56895C16" w14:textId="77777777" w:rsidTr="00BB322B">
        <w:tc>
          <w:tcPr>
            <w:tcW w:w="1951" w:type="dxa"/>
          </w:tcPr>
          <w:p w14:paraId="186AC5AF"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Placebo</w:t>
            </w:r>
          </w:p>
        </w:tc>
        <w:tc>
          <w:tcPr>
            <w:tcW w:w="1134" w:type="dxa"/>
          </w:tcPr>
          <w:p w14:paraId="532E7881"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111</w:t>
            </w:r>
          </w:p>
        </w:tc>
        <w:tc>
          <w:tcPr>
            <w:tcW w:w="1559" w:type="dxa"/>
            <w:gridSpan w:val="2"/>
          </w:tcPr>
          <w:p w14:paraId="38D1D3F7"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61 (55.0)</w:t>
            </w:r>
          </w:p>
        </w:tc>
        <w:tc>
          <w:tcPr>
            <w:tcW w:w="1276" w:type="dxa"/>
          </w:tcPr>
          <w:p w14:paraId="64BD822B"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8.3</w:t>
            </w:r>
          </w:p>
        </w:tc>
        <w:tc>
          <w:tcPr>
            <w:tcW w:w="1134" w:type="dxa"/>
          </w:tcPr>
          <w:p w14:paraId="5537AAD9"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b/>
                <w:bCs/>
                <w:szCs w:val="22"/>
                <w:lang w:eastAsia="en-GB"/>
              </w:rPr>
              <w:t>--</w:t>
            </w:r>
          </w:p>
        </w:tc>
        <w:tc>
          <w:tcPr>
            <w:tcW w:w="1134" w:type="dxa"/>
          </w:tcPr>
          <w:p w14:paraId="53A23101"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b/>
                <w:bCs/>
                <w:szCs w:val="22"/>
                <w:lang w:eastAsia="en-GB"/>
              </w:rPr>
              <w:t>--</w:t>
            </w:r>
          </w:p>
        </w:tc>
        <w:tc>
          <w:tcPr>
            <w:tcW w:w="1134" w:type="dxa"/>
          </w:tcPr>
          <w:p w14:paraId="103EDBF7"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b/>
                <w:bCs/>
                <w:szCs w:val="22"/>
                <w:lang w:eastAsia="en-GB"/>
              </w:rPr>
              <w:t>--</w:t>
            </w:r>
          </w:p>
        </w:tc>
      </w:tr>
      <w:tr w:rsidR="00F73294" w:rsidRPr="00F04F82" w14:paraId="2832E350" w14:textId="77777777" w:rsidTr="00BB322B">
        <w:tc>
          <w:tcPr>
            <w:tcW w:w="1951" w:type="dxa"/>
          </w:tcPr>
          <w:p w14:paraId="6E9E8B29"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Adalimumab</w:t>
            </w:r>
          </w:p>
        </w:tc>
        <w:tc>
          <w:tcPr>
            <w:tcW w:w="1134" w:type="dxa"/>
          </w:tcPr>
          <w:p w14:paraId="534D958F"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115</w:t>
            </w:r>
          </w:p>
        </w:tc>
        <w:tc>
          <w:tcPr>
            <w:tcW w:w="1559" w:type="dxa"/>
            <w:gridSpan w:val="2"/>
          </w:tcPr>
          <w:p w14:paraId="626F7DEB"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45 (39.1)</w:t>
            </w:r>
          </w:p>
        </w:tc>
        <w:tc>
          <w:tcPr>
            <w:tcW w:w="1276" w:type="dxa"/>
          </w:tcPr>
          <w:p w14:paraId="6A3E7A95"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NE</w:t>
            </w:r>
            <w:r w:rsidRPr="001775D9">
              <w:rPr>
                <w:szCs w:val="22"/>
                <w:vertAlign w:val="superscript"/>
                <w:lang w:eastAsia="en-GB"/>
              </w:rPr>
              <w:t>c</w:t>
            </w:r>
          </w:p>
        </w:tc>
        <w:tc>
          <w:tcPr>
            <w:tcW w:w="1134" w:type="dxa"/>
          </w:tcPr>
          <w:p w14:paraId="79F19AA4"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0.57</w:t>
            </w:r>
          </w:p>
        </w:tc>
        <w:tc>
          <w:tcPr>
            <w:tcW w:w="1134" w:type="dxa"/>
          </w:tcPr>
          <w:p w14:paraId="44C670BA" w14:textId="77777777" w:rsidR="00F73294" w:rsidRPr="001775D9" w:rsidRDefault="00F73294" w:rsidP="00FB5458">
            <w:pPr>
              <w:tabs>
                <w:tab w:val="clear" w:pos="567"/>
              </w:tabs>
              <w:autoSpaceDE w:val="0"/>
              <w:autoSpaceDN w:val="0"/>
              <w:adjustRightInd w:val="0"/>
              <w:spacing w:line="240" w:lineRule="auto"/>
              <w:rPr>
                <w:b/>
                <w:bCs/>
                <w:szCs w:val="22"/>
                <w:lang w:eastAsia="en-GB"/>
              </w:rPr>
            </w:pPr>
            <w:r w:rsidRPr="001775D9">
              <w:rPr>
                <w:szCs w:val="22"/>
                <w:lang w:eastAsia="en-GB"/>
              </w:rPr>
              <w:t>0.39, 0.84</w:t>
            </w:r>
          </w:p>
        </w:tc>
        <w:tc>
          <w:tcPr>
            <w:tcW w:w="1134" w:type="dxa"/>
          </w:tcPr>
          <w:p w14:paraId="0BDF5FD2" w14:textId="77777777"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0.004</w:t>
            </w:r>
          </w:p>
          <w:p w14:paraId="136BC360" w14:textId="77777777" w:rsidR="00F73294" w:rsidRPr="001775D9" w:rsidRDefault="00F73294" w:rsidP="00FB5458">
            <w:pPr>
              <w:tabs>
                <w:tab w:val="clear" w:pos="567"/>
              </w:tabs>
              <w:autoSpaceDE w:val="0"/>
              <w:autoSpaceDN w:val="0"/>
              <w:adjustRightInd w:val="0"/>
              <w:spacing w:line="240" w:lineRule="auto"/>
              <w:rPr>
                <w:b/>
                <w:bCs/>
                <w:szCs w:val="22"/>
                <w:lang w:eastAsia="en-GB"/>
              </w:rPr>
            </w:pPr>
          </w:p>
        </w:tc>
      </w:tr>
    </w:tbl>
    <w:p w14:paraId="434738B2" w14:textId="77777777" w:rsidR="00F73294" w:rsidRPr="001775D9" w:rsidRDefault="00F73294" w:rsidP="00FB5458">
      <w:pPr>
        <w:tabs>
          <w:tab w:val="clear" w:pos="567"/>
        </w:tabs>
        <w:autoSpaceDE w:val="0"/>
        <w:autoSpaceDN w:val="0"/>
        <w:adjustRightInd w:val="0"/>
        <w:spacing w:line="240" w:lineRule="auto"/>
        <w:rPr>
          <w:sz w:val="20"/>
          <w:lang w:eastAsia="en-GB"/>
        </w:rPr>
      </w:pPr>
      <w:r w:rsidRPr="001775D9">
        <w:rPr>
          <w:sz w:val="20"/>
          <w:lang w:eastAsia="en-GB"/>
        </w:rPr>
        <w:t>Note: Treatment failure at or after week 6 (study UV I), or at or after week 2 (study UV II), was counted as event. Drop outs due to reasons other than treatment failure were censored at the time of dropping out.</w:t>
      </w:r>
    </w:p>
    <w:p w14:paraId="1E56ED31" w14:textId="77777777" w:rsidR="00F73294" w:rsidRPr="001775D9" w:rsidRDefault="00F73294"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HR of adalimumab versus placebo from proportional hazards regression with treatment as factor.</w:t>
      </w:r>
    </w:p>
    <w:p w14:paraId="07D63331" w14:textId="77777777" w:rsidR="00F73294" w:rsidRPr="001775D9" w:rsidRDefault="00F73294" w:rsidP="00FB5458">
      <w:pPr>
        <w:tabs>
          <w:tab w:val="clear" w:pos="567"/>
        </w:tabs>
        <w:autoSpaceDE w:val="0"/>
        <w:autoSpaceDN w:val="0"/>
        <w:adjustRightInd w:val="0"/>
        <w:spacing w:line="240" w:lineRule="auto"/>
        <w:rPr>
          <w:sz w:val="20"/>
          <w:lang w:eastAsia="en-GB"/>
        </w:rPr>
      </w:pPr>
      <w:r w:rsidRPr="001775D9">
        <w:rPr>
          <w:sz w:val="20"/>
          <w:vertAlign w:val="superscript"/>
          <w:lang w:eastAsia="en-GB"/>
        </w:rPr>
        <w:t xml:space="preserve">b </w:t>
      </w:r>
      <w:r w:rsidRPr="001775D9">
        <w:rPr>
          <w:sz w:val="20"/>
          <w:lang w:eastAsia="en-GB"/>
        </w:rPr>
        <w:t xml:space="preserve">2-sided </w:t>
      </w:r>
      <w:r w:rsidRPr="001775D9">
        <w:rPr>
          <w:i/>
          <w:iCs/>
          <w:sz w:val="20"/>
          <w:lang w:eastAsia="en-GB"/>
        </w:rPr>
        <w:t xml:space="preserve">P </w:t>
      </w:r>
      <w:r w:rsidRPr="001775D9">
        <w:rPr>
          <w:sz w:val="20"/>
          <w:lang w:eastAsia="en-GB"/>
        </w:rPr>
        <w:t>value from log rank test.</w:t>
      </w:r>
    </w:p>
    <w:p w14:paraId="3F768FBB" w14:textId="77777777" w:rsidR="00F73294" w:rsidRPr="001775D9" w:rsidRDefault="00F73294" w:rsidP="00FB5458">
      <w:pPr>
        <w:spacing w:line="240" w:lineRule="auto"/>
        <w:rPr>
          <w:sz w:val="20"/>
          <w:lang w:eastAsia="en-GB"/>
        </w:rPr>
      </w:pPr>
      <w:r w:rsidRPr="001775D9">
        <w:rPr>
          <w:sz w:val="20"/>
          <w:vertAlign w:val="superscript"/>
          <w:lang w:eastAsia="en-GB"/>
        </w:rPr>
        <w:t xml:space="preserve">c </w:t>
      </w:r>
      <w:r w:rsidRPr="001775D9">
        <w:rPr>
          <w:sz w:val="20"/>
          <w:lang w:eastAsia="en-GB"/>
        </w:rPr>
        <w:t>NE = not estimable. Fewer than half of at-risk subjects had an event.</w:t>
      </w:r>
    </w:p>
    <w:p w14:paraId="4274C3DD" w14:textId="77777777" w:rsidR="00F73294" w:rsidRPr="001775D9" w:rsidRDefault="00F73294" w:rsidP="00FB5458">
      <w:pPr>
        <w:spacing w:line="240" w:lineRule="auto"/>
        <w:rPr>
          <w:sz w:val="20"/>
          <w:lang w:eastAsia="en-GB"/>
        </w:rPr>
      </w:pPr>
    </w:p>
    <w:p w14:paraId="148AC157" w14:textId="228FD742" w:rsidR="00F73294" w:rsidRPr="001775D9" w:rsidRDefault="00F73294" w:rsidP="00FB5458">
      <w:pPr>
        <w:keepNext/>
        <w:tabs>
          <w:tab w:val="clear" w:pos="567"/>
        </w:tabs>
        <w:autoSpaceDE w:val="0"/>
        <w:autoSpaceDN w:val="0"/>
        <w:adjustRightInd w:val="0"/>
        <w:spacing w:line="240" w:lineRule="auto"/>
        <w:rPr>
          <w:b/>
          <w:bCs/>
          <w:szCs w:val="22"/>
          <w:lang w:eastAsia="ja-JP"/>
        </w:rPr>
      </w:pPr>
      <w:r w:rsidRPr="001775D9">
        <w:rPr>
          <w:b/>
          <w:bCs/>
          <w:szCs w:val="22"/>
          <w:lang w:eastAsia="ja-JP"/>
        </w:rPr>
        <w:t xml:space="preserve">Figure </w:t>
      </w:r>
      <w:r w:rsidR="00B37798" w:rsidRPr="001775D9">
        <w:rPr>
          <w:b/>
          <w:bCs/>
          <w:szCs w:val="22"/>
          <w:lang w:eastAsia="ja-JP"/>
        </w:rPr>
        <w:t>2</w:t>
      </w:r>
      <w:r w:rsidR="009E5C5C" w:rsidRPr="001775D9">
        <w:rPr>
          <w:b/>
          <w:bCs/>
          <w:szCs w:val="22"/>
          <w:lang w:eastAsia="ja-JP"/>
        </w:rPr>
        <w:t>.</w:t>
      </w:r>
      <w:r w:rsidRPr="001775D9">
        <w:rPr>
          <w:b/>
          <w:bCs/>
          <w:szCs w:val="22"/>
          <w:lang w:eastAsia="ja-JP"/>
        </w:rPr>
        <w:t xml:space="preserve"> Kaplan-Meier curves summarising time to treatment failure on or after week 6 (study UV I) or week 2 (study UV II)</w:t>
      </w:r>
    </w:p>
    <w:p w14:paraId="2A27E818" w14:textId="77777777" w:rsidR="00F73294" w:rsidRPr="001775D9" w:rsidRDefault="00F73294" w:rsidP="00FB5458">
      <w:pPr>
        <w:keepNext/>
        <w:spacing w:line="240" w:lineRule="auto"/>
        <w:rPr>
          <w:sz w:val="20"/>
          <w:lang w:eastAsia="en-GB"/>
        </w:rPr>
      </w:pPr>
    </w:p>
    <w:p w14:paraId="1FD0724C" w14:textId="6021D169" w:rsidR="005B06F4" w:rsidRPr="001775D9" w:rsidRDefault="00D96030" w:rsidP="00FB5458">
      <w:pPr>
        <w:tabs>
          <w:tab w:val="left" w:pos="6379"/>
        </w:tabs>
        <w:spacing w:line="240" w:lineRule="auto"/>
        <w:rPr>
          <w:sz w:val="20"/>
          <w:lang w:eastAsia="en-GB"/>
        </w:rPr>
      </w:pPr>
      <w:r>
        <w:rPr>
          <w:sz w:val="20"/>
          <w:lang w:eastAsia="en-GB"/>
        </w:rPr>
        <w:pict w14:anchorId="1D0E9FED">
          <v:shape id="Picture 17" o:spid="_x0000_i1028" type="#_x0000_t75" alt="test 18 1" style="width:451.5pt;height:210.5pt;visibility:visible;mso-wrap-style:square">
            <v:imagedata r:id="rId13" o:title="test 18 1"/>
          </v:shape>
        </w:pict>
      </w:r>
    </w:p>
    <w:p w14:paraId="073AA1EB" w14:textId="6FF0612A" w:rsidR="00F73294" w:rsidRPr="001775D9" w:rsidRDefault="00D96030" w:rsidP="00FB5458">
      <w:pPr>
        <w:tabs>
          <w:tab w:val="clear" w:pos="567"/>
        </w:tabs>
        <w:autoSpaceDE w:val="0"/>
        <w:autoSpaceDN w:val="0"/>
        <w:adjustRightInd w:val="0"/>
        <w:spacing w:line="240" w:lineRule="auto"/>
        <w:rPr>
          <w:sz w:val="20"/>
          <w:lang w:eastAsia="ja-JP"/>
        </w:rPr>
      </w:pPr>
      <w:r>
        <w:rPr>
          <w:sz w:val="20"/>
          <w:lang w:eastAsia="ja-JP"/>
        </w:rPr>
        <w:pict w14:anchorId="67EC2A3A">
          <v:shape id="Picture 18" o:spid="_x0000_i1029" type="#_x0000_t75" alt="test18 2" style="width:452.5pt;height:211pt;visibility:visible;mso-wrap-style:square">
            <v:imagedata r:id="rId14" o:title="test18 2"/>
          </v:shape>
        </w:pict>
      </w:r>
      <w:r w:rsidR="00F73294" w:rsidRPr="001775D9">
        <w:rPr>
          <w:sz w:val="20"/>
          <w:lang w:eastAsia="ja-JP"/>
        </w:rPr>
        <w:t>Note: P# = Placebo (number of events/number at risk); A# = Adalimumab (number of events/number at risk).</w:t>
      </w:r>
    </w:p>
    <w:p w14:paraId="6F627BED" w14:textId="77777777" w:rsidR="00F73294" w:rsidRPr="001775D9" w:rsidRDefault="00F73294" w:rsidP="00FB5458">
      <w:pPr>
        <w:spacing w:line="240" w:lineRule="auto"/>
        <w:rPr>
          <w:sz w:val="20"/>
          <w:lang w:eastAsia="en-GB"/>
        </w:rPr>
      </w:pPr>
    </w:p>
    <w:p w14:paraId="30391ED9" w14:textId="77777777"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In study UV I statistically significant differences in favour of adalimumab versus placebo were observed for each component of treatment failure. In study UV II, statistically significant differences were observed for visual acuity only, but the other components were numerically in favour of adalimumab.</w:t>
      </w:r>
    </w:p>
    <w:p w14:paraId="1A61261A" w14:textId="77777777" w:rsidR="00F73294" w:rsidRPr="001775D9" w:rsidRDefault="00F73294" w:rsidP="00FB5458">
      <w:pPr>
        <w:tabs>
          <w:tab w:val="clear" w:pos="567"/>
        </w:tabs>
        <w:autoSpaceDE w:val="0"/>
        <w:autoSpaceDN w:val="0"/>
        <w:adjustRightInd w:val="0"/>
        <w:spacing w:line="240" w:lineRule="auto"/>
        <w:rPr>
          <w:i/>
          <w:iCs/>
          <w:szCs w:val="22"/>
          <w:lang w:eastAsia="en-GB"/>
        </w:rPr>
      </w:pPr>
    </w:p>
    <w:p w14:paraId="1BFF80EC" w14:textId="77777777" w:rsidR="00EF0A7E" w:rsidRPr="001775D9" w:rsidRDefault="00EF0A7E" w:rsidP="00B61D9D">
      <w:pPr>
        <w:spacing w:line="240" w:lineRule="auto"/>
      </w:pPr>
      <w:r w:rsidRPr="001775D9">
        <w:t xml:space="preserve">Of the </w:t>
      </w:r>
      <w:r w:rsidR="009F3094" w:rsidRPr="001775D9">
        <w:t xml:space="preserve">424 </w:t>
      </w:r>
      <w:r w:rsidRPr="001775D9">
        <w:t xml:space="preserve">subjects included in the uncontrolled long-term extension of Studies UV I and UV II, </w:t>
      </w:r>
      <w:r w:rsidR="009F3094" w:rsidRPr="001775D9">
        <w:t>60</w:t>
      </w:r>
      <w:r w:rsidRPr="001775D9">
        <w:t xml:space="preserve"> subjects were regarded ineligible (e.g. </w:t>
      </w:r>
      <w:r w:rsidR="009F3094" w:rsidRPr="001775D9">
        <w:t>due to deviations or due to</w:t>
      </w:r>
      <w:r w:rsidRPr="001775D9">
        <w:t xml:space="preserve"> complications secondary to diabetic retinopathy, due to cataract surgery or vitrectomy) and were excluded from the primary analysis of efficacy. Of the </w:t>
      </w:r>
      <w:r w:rsidR="009F3094" w:rsidRPr="001775D9">
        <w:t>364</w:t>
      </w:r>
      <w:r w:rsidRPr="001775D9">
        <w:t xml:space="preserve"> remaining patients, </w:t>
      </w:r>
      <w:r w:rsidR="009F3094" w:rsidRPr="001775D9">
        <w:t>269</w:t>
      </w:r>
      <w:r w:rsidRPr="001775D9">
        <w:t xml:space="preserve"> evaluable patients</w:t>
      </w:r>
      <w:r w:rsidR="009F3094" w:rsidRPr="001775D9">
        <w:t xml:space="preserve"> (74%)</w:t>
      </w:r>
      <w:r w:rsidRPr="001775D9">
        <w:t xml:space="preserve"> reached 78</w:t>
      </w:r>
      <w:r w:rsidR="0002740D" w:rsidRPr="001775D9">
        <w:rPr>
          <w:szCs w:val="22"/>
          <w:lang w:eastAsia="en-GB"/>
        </w:rPr>
        <w:t> </w:t>
      </w:r>
      <w:r w:rsidRPr="001775D9">
        <w:t xml:space="preserve">weeks of open-label adalimumab treatment. Based on the observed data approach, </w:t>
      </w:r>
      <w:r w:rsidR="009F3094" w:rsidRPr="001775D9">
        <w:t>216</w:t>
      </w:r>
      <w:r w:rsidR="0002740D" w:rsidRPr="001775D9">
        <w:rPr>
          <w:szCs w:val="22"/>
          <w:lang w:eastAsia="en-GB"/>
        </w:rPr>
        <w:t> </w:t>
      </w:r>
      <w:r w:rsidRPr="001775D9">
        <w:t>(</w:t>
      </w:r>
      <w:r w:rsidR="009F3094" w:rsidRPr="001775D9">
        <w:t>80.3</w:t>
      </w:r>
      <w:r w:rsidRPr="001775D9">
        <w:t>%) were in quiescence (no active inflammatory lesions, AC cell grade ≤</w:t>
      </w:r>
      <w:r w:rsidR="0002740D" w:rsidRPr="001775D9">
        <w:rPr>
          <w:szCs w:val="22"/>
          <w:lang w:eastAsia="en-GB"/>
        </w:rPr>
        <w:t> </w:t>
      </w:r>
      <w:r w:rsidRPr="001775D9">
        <w:t>0.5+, VH grade ≤</w:t>
      </w:r>
      <w:r w:rsidR="0002740D" w:rsidRPr="001775D9">
        <w:rPr>
          <w:szCs w:val="22"/>
          <w:lang w:eastAsia="en-GB"/>
        </w:rPr>
        <w:t> </w:t>
      </w:r>
      <w:r w:rsidRPr="001775D9">
        <w:t>0.5+) with a concomitant steroid dose ≤</w:t>
      </w:r>
      <w:r w:rsidR="0002740D" w:rsidRPr="001775D9">
        <w:rPr>
          <w:szCs w:val="22"/>
          <w:lang w:eastAsia="en-GB"/>
        </w:rPr>
        <w:t> </w:t>
      </w:r>
      <w:r w:rsidRPr="001775D9">
        <w:t>7.5</w:t>
      </w:r>
      <w:r w:rsidR="0002740D" w:rsidRPr="001775D9">
        <w:rPr>
          <w:szCs w:val="22"/>
          <w:lang w:eastAsia="en-GB"/>
        </w:rPr>
        <w:t> </w:t>
      </w:r>
      <w:r w:rsidRPr="001775D9">
        <w:t xml:space="preserve">mg per day, and </w:t>
      </w:r>
      <w:r w:rsidR="009F3094" w:rsidRPr="001775D9">
        <w:t>178</w:t>
      </w:r>
      <w:r w:rsidR="0002740D" w:rsidRPr="001775D9">
        <w:rPr>
          <w:szCs w:val="22"/>
          <w:lang w:eastAsia="en-GB"/>
        </w:rPr>
        <w:t> </w:t>
      </w:r>
      <w:r w:rsidR="0002740D" w:rsidRPr="001775D9">
        <w:t>(</w:t>
      </w:r>
      <w:r w:rsidR="009F3094" w:rsidRPr="001775D9">
        <w:t>66.2</w:t>
      </w:r>
      <w:r w:rsidRPr="001775D9">
        <w:t>%) were in steroid-free quiescence. BCVA was either improved or maintained (&lt;</w:t>
      </w:r>
      <w:r w:rsidR="0002740D" w:rsidRPr="001775D9">
        <w:rPr>
          <w:szCs w:val="22"/>
          <w:lang w:eastAsia="en-GB"/>
        </w:rPr>
        <w:t> </w:t>
      </w:r>
      <w:r w:rsidRPr="001775D9">
        <w:t xml:space="preserve">5 letters deterioration) in </w:t>
      </w:r>
      <w:r w:rsidR="009F3094" w:rsidRPr="001775D9">
        <w:t>88.6</w:t>
      </w:r>
      <w:r w:rsidRPr="001775D9">
        <w:t xml:space="preserve">% of the eyes at week 78. </w:t>
      </w:r>
      <w:r w:rsidR="008D521F" w:rsidRPr="001775D9">
        <w:t>Data beyond week 78 were generally consistent with these results but the number of enrolled subjects declined after this time. Overall, a</w:t>
      </w:r>
      <w:r w:rsidRPr="001775D9">
        <w:t xml:space="preserve">mong the patients who discontinued the study, </w:t>
      </w:r>
      <w:r w:rsidR="008D521F" w:rsidRPr="001775D9">
        <w:t>18</w:t>
      </w:r>
      <w:r w:rsidRPr="001775D9">
        <w:t xml:space="preserve">% discontinued due to adverse events, and </w:t>
      </w:r>
      <w:r w:rsidR="008D521F" w:rsidRPr="001775D9">
        <w:t>8</w:t>
      </w:r>
      <w:r w:rsidRPr="001775D9">
        <w:t>% due to insufficient response to adalimumab treatment.</w:t>
      </w:r>
    </w:p>
    <w:p w14:paraId="3401B088" w14:textId="77777777" w:rsidR="00EF0A7E" w:rsidRPr="001775D9" w:rsidRDefault="00EF0A7E" w:rsidP="00FB5458">
      <w:pPr>
        <w:tabs>
          <w:tab w:val="clear" w:pos="567"/>
        </w:tabs>
        <w:autoSpaceDE w:val="0"/>
        <w:autoSpaceDN w:val="0"/>
        <w:adjustRightInd w:val="0"/>
        <w:spacing w:line="240" w:lineRule="auto"/>
        <w:rPr>
          <w:i/>
          <w:iCs/>
          <w:szCs w:val="22"/>
          <w:u w:val="single"/>
          <w:lang w:eastAsia="en-GB"/>
        </w:rPr>
      </w:pPr>
    </w:p>
    <w:p w14:paraId="3FDE203B" w14:textId="77777777" w:rsidR="00F73294" w:rsidRPr="001775D9" w:rsidRDefault="00F73294" w:rsidP="004815ED">
      <w:pPr>
        <w:keepNext/>
        <w:tabs>
          <w:tab w:val="clear" w:pos="567"/>
        </w:tabs>
        <w:autoSpaceDE w:val="0"/>
        <w:autoSpaceDN w:val="0"/>
        <w:adjustRightInd w:val="0"/>
        <w:spacing w:line="240" w:lineRule="auto"/>
        <w:rPr>
          <w:i/>
          <w:iCs/>
          <w:szCs w:val="22"/>
          <w:u w:val="single"/>
          <w:lang w:eastAsia="en-GB"/>
        </w:rPr>
      </w:pPr>
      <w:r w:rsidRPr="001775D9">
        <w:rPr>
          <w:i/>
          <w:iCs/>
          <w:szCs w:val="22"/>
          <w:u w:val="single"/>
          <w:lang w:eastAsia="en-GB"/>
        </w:rPr>
        <w:t>Quality of life</w:t>
      </w:r>
    </w:p>
    <w:p w14:paraId="47875492" w14:textId="77777777" w:rsidR="00F73294" w:rsidRPr="001775D9" w:rsidRDefault="00F73294" w:rsidP="004815ED">
      <w:pPr>
        <w:keepNext/>
        <w:tabs>
          <w:tab w:val="clear" w:pos="567"/>
        </w:tabs>
        <w:autoSpaceDE w:val="0"/>
        <w:autoSpaceDN w:val="0"/>
        <w:adjustRightInd w:val="0"/>
        <w:spacing w:line="240" w:lineRule="auto"/>
        <w:rPr>
          <w:i/>
          <w:iCs/>
          <w:szCs w:val="22"/>
          <w:u w:val="single"/>
          <w:lang w:eastAsia="en-GB"/>
        </w:rPr>
      </w:pPr>
    </w:p>
    <w:p w14:paraId="2DC4366A" w14:textId="3034ED5C"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Patient reported outcomes regarding vision-related functioning were measured in both clinical studies, using the NEI VFQ-25. Adalimumab was numerically favoured for the majority of subscores with statistically significant mean differences for general vision, ocular pain, near vision, mental health, and total score in study UV I, and for general vision and mental health in study UV II. vision related effects were not numerically in favour of adalimumab for colour vision in study UVI and for colour vision, peripheral vision and near vision in study UV II.</w:t>
      </w:r>
    </w:p>
    <w:p w14:paraId="66A5870B" w14:textId="77777777" w:rsidR="00AA5A98" w:rsidRPr="001775D9" w:rsidRDefault="00AA5A98" w:rsidP="009F3EC6">
      <w:pPr>
        <w:pStyle w:val="EMEANormal"/>
        <w:suppressAutoHyphens w:val="0"/>
        <w:rPr>
          <w:bCs/>
          <w:szCs w:val="22"/>
          <w:lang w:val="en-GB"/>
        </w:rPr>
      </w:pPr>
    </w:p>
    <w:p w14:paraId="607EED75" w14:textId="77777777" w:rsidR="00AE5FD6" w:rsidRPr="001775D9" w:rsidRDefault="00AE5FD6" w:rsidP="009F3EC6">
      <w:pPr>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Immunogenicity </w:t>
      </w:r>
    </w:p>
    <w:p w14:paraId="00687919" w14:textId="77777777" w:rsidR="00AE5FD6" w:rsidRPr="001775D9" w:rsidRDefault="00AE5FD6" w:rsidP="009F3EC6">
      <w:pPr>
        <w:spacing w:line="240" w:lineRule="auto"/>
        <w:rPr>
          <w:b/>
          <w:i/>
          <w:caps/>
          <w:szCs w:val="22"/>
        </w:rPr>
      </w:pPr>
    </w:p>
    <w:p w14:paraId="42FA7485" w14:textId="5041C0B9" w:rsidR="00AE5FD6" w:rsidRPr="001775D9" w:rsidRDefault="00AE5FD6" w:rsidP="009F3EC6">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Anti-adalimumab antibodies may develop during adalimumab treatment. Formation of anti-adalimumab antibodies is associated with increased clearance and reduced efficacy of adalimumab. There is no apparent correlation between the presence of anti-adalimumab antibodies and the occurrence of adverse events. </w:t>
      </w:r>
    </w:p>
    <w:p w14:paraId="4FC8C931" w14:textId="77777777" w:rsidR="00E5603E" w:rsidRPr="001775D9" w:rsidRDefault="00E5603E" w:rsidP="009F3EC6">
      <w:pPr>
        <w:tabs>
          <w:tab w:val="clear" w:pos="567"/>
        </w:tabs>
        <w:autoSpaceDE w:val="0"/>
        <w:autoSpaceDN w:val="0"/>
        <w:adjustRightInd w:val="0"/>
        <w:spacing w:line="240" w:lineRule="auto"/>
        <w:rPr>
          <w:i/>
          <w:szCs w:val="22"/>
          <w:lang w:eastAsia="en-GB"/>
        </w:rPr>
      </w:pPr>
    </w:p>
    <w:p w14:paraId="484AA912" w14:textId="122CB4DB" w:rsidR="00E5603E" w:rsidRPr="001775D9" w:rsidRDefault="00E5603E" w:rsidP="009F3EC6">
      <w:pPr>
        <w:keepNext/>
        <w:keepLines/>
        <w:tabs>
          <w:tab w:val="clear" w:pos="567"/>
        </w:tabs>
        <w:autoSpaceDE w:val="0"/>
        <w:autoSpaceDN w:val="0"/>
        <w:adjustRightInd w:val="0"/>
        <w:spacing w:line="240" w:lineRule="auto"/>
        <w:rPr>
          <w:iCs/>
          <w:szCs w:val="22"/>
          <w:u w:val="single"/>
          <w:lang w:eastAsia="en-GB"/>
        </w:rPr>
      </w:pPr>
      <w:r w:rsidRPr="001775D9">
        <w:rPr>
          <w:iCs/>
          <w:szCs w:val="22"/>
          <w:u w:val="single"/>
          <w:lang w:eastAsia="en-GB"/>
        </w:rPr>
        <w:t>Paediatric population</w:t>
      </w:r>
    </w:p>
    <w:p w14:paraId="35E753AE" w14:textId="77777777" w:rsidR="00E5603E" w:rsidRPr="001775D9" w:rsidRDefault="00E5603E" w:rsidP="009F3EC6">
      <w:pPr>
        <w:keepNext/>
        <w:keepLines/>
        <w:tabs>
          <w:tab w:val="clear" w:pos="567"/>
        </w:tabs>
        <w:autoSpaceDE w:val="0"/>
        <w:autoSpaceDN w:val="0"/>
        <w:adjustRightInd w:val="0"/>
        <w:spacing w:line="240" w:lineRule="auto"/>
        <w:rPr>
          <w:i/>
          <w:szCs w:val="22"/>
          <w:lang w:eastAsia="en-GB"/>
        </w:rPr>
      </w:pPr>
    </w:p>
    <w:p w14:paraId="164FF9B3" w14:textId="7344EA8F" w:rsidR="00E5603E" w:rsidRPr="001775D9" w:rsidRDefault="00E5603E" w:rsidP="009F3EC6">
      <w:pPr>
        <w:keepNext/>
        <w:keepLines/>
        <w:tabs>
          <w:tab w:val="clear" w:pos="567"/>
        </w:tabs>
        <w:autoSpaceDE w:val="0"/>
        <w:autoSpaceDN w:val="0"/>
        <w:adjustRightInd w:val="0"/>
        <w:spacing w:line="240" w:lineRule="auto"/>
        <w:rPr>
          <w:i/>
          <w:szCs w:val="22"/>
          <w:lang w:eastAsia="en-GB"/>
        </w:rPr>
      </w:pPr>
      <w:r w:rsidRPr="001775D9">
        <w:rPr>
          <w:i/>
          <w:szCs w:val="22"/>
          <w:lang w:eastAsia="en-GB"/>
        </w:rPr>
        <w:t xml:space="preserve">Juvenile idiopathic arthritis (JIA) </w:t>
      </w:r>
    </w:p>
    <w:p w14:paraId="152AF463" w14:textId="77777777" w:rsidR="00E5603E" w:rsidRPr="001775D9" w:rsidRDefault="00E5603E" w:rsidP="009F3EC6">
      <w:pPr>
        <w:keepNext/>
        <w:keepLines/>
        <w:tabs>
          <w:tab w:val="clear" w:pos="567"/>
        </w:tabs>
        <w:autoSpaceDE w:val="0"/>
        <w:autoSpaceDN w:val="0"/>
        <w:adjustRightInd w:val="0"/>
        <w:spacing w:line="240" w:lineRule="auto"/>
        <w:rPr>
          <w:szCs w:val="22"/>
          <w:lang w:eastAsia="en-GB"/>
        </w:rPr>
      </w:pPr>
    </w:p>
    <w:p w14:paraId="2BEE41D3" w14:textId="77777777" w:rsidR="00E5603E" w:rsidRPr="001775D9" w:rsidRDefault="00E5603E" w:rsidP="009F3EC6">
      <w:pPr>
        <w:keepNext/>
        <w:keepLines/>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Polyarticular juvenile idiopathic arthritis (pJIA) </w:t>
      </w:r>
    </w:p>
    <w:p w14:paraId="6E5FF68B" w14:textId="77777777" w:rsidR="00E5603E" w:rsidRPr="001775D9" w:rsidRDefault="00E5603E" w:rsidP="009F3EC6">
      <w:pPr>
        <w:keepNext/>
        <w:keepLines/>
        <w:tabs>
          <w:tab w:val="clear" w:pos="567"/>
        </w:tabs>
        <w:autoSpaceDE w:val="0"/>
        <w:autoSpaceDN w:val="0"/>
        <w:adjustRightInd w:val="0"/>
        <w:spacing w:line="240" w:lineRule="auto"/>
        <w:rPr>
          <w:szCs w:val="22"/>
          <w:lang w:eastAsia="en-GB"/>
        </w:rPr>
      </w:pPr>
    </w:p>
    <w:p w14:paraId="728229DB" w14:textId="77777777" w:rsidR="00E5603E" w:rsidRPr="001775D9" w:rsidRDefault="00E5603E" w:rsidP="00E5603E">
      <w:pPr>
        <w:tabs>
          <w:tab w:val="clear" w:pos="567"/>
        </w:tabs>
        <w:autoSpaceDE w:val="0"/>
        <w:autoSpaceDN w:val="0"/>
        <w:adjustRightInd w:val="0"/>
        <w:spacing w:line="240" w:lineRule="auto"/>
        <w:rPr>
          <w:szCs w:val="22"/>
          <w:lang w:eastAsia="en-GB"/>
        </w:rPr>
      </w:pPr>
      <w:r w:rsidRPr="001775D9">
        <w:rPr>
          <w:szCs w:val="22"/>
          <w:lang w:eastAsia="en-GB"/>
        </w:rPr>
        <w:t xml:space="preserve">The safety and efficacy of </w:t>
      </w:r>
      <w:r w:rsidRPr="001775D9">
        <w:rPr>
          <w:rFonts w:eastAsia="Times New Roman"/>
          <w:color w:val="000000"/>
          <w:szCs w:val="22"/>
        </w:rPr>
        <w:t>adalimumab</w:t>
      </w:r>
      <w:r w:rsidRPr="001775D9">
        <w:rPr>
          <w:szCs w:val="22"/>
          <w:lang w:eastAsia="en-GB"/>
        </w:rPr>
        <w:t xml:space="preserve"> was assessed in two studies (pJIA I and II) in children with active polyarticular or polyarticular course juvenile idiopathic arthritis, who had a variety of JIA onset types (most frequently rheumatoid-factor negative or positive polyarthritis and extended oligoarthritis). </w:t>
      </w:r>
    </w:p>
    <w:p w14:paraId="068C9E0A" w14:textId="77777777" w:rsidR="00E5603E" w:rsidRPr="001775D9" w:rsidRDefault="00E5603E" w:rsidP="00E5603E">
      <w:pPr>
        <w:tabs>
          <w:tab w:val="clear" w:pos="567"/>
        </w:tabs>
        <w:autoSpaceDE w:val="0"/>
        <w:autoSpaceDN w:val="0"/>
        <w:adjustRightInd w:val="0"/>
        <w:spacing w:line="240" w:lineRule="auto"/>
        <w:rPr>
          <w:szCs w:val="22"/>
          <w:lang w:eastAsia="en-GB"/>
        </w:rPr>
      </w:pPr>
    </w:p>
    <w:p w14:paraId="5B979343" w14:textId="77777777" w:rsidR="00E5603E" w:rsidRPr="001775D9" w:rsidRDefault="00E5603E" w:rsidP="00E5603E">
      <w:pPr>
        <w:tabs>
          <w:tab w:val="clear" w:pos="567"/>
        </w:tabs>
        <w:autoSpaceDE w:val="0"/>
        <w:autoSpaceDN w:val="0"/>
        <w:adjustRightInd w:val="0"/>
        <w:spacing w:line="240" w:lineRule="auto"/>
        <w:rPr>
          <w:szCs w:val="22"/>
          <w:lang w:eastAsia="en-GB"/>
        </w:rPr>
      </w:pPr>
      <w:r w:rsidRPr="001775D9">
        <w:rPr>
          <w:szCs w:val="22"/>
          <w:lang w:eastAsia="en-GB"/>
        </w:rPr>
        <w:t xml:space="preserve">pJIA-I </w:t>
      </w:r>
    </w:p>
    <w:p w14:paraId="60F962EE" w14:textId="77777777" w:rsidR="00E5603E" w:rsidRPr="001775D9" w:rsidRDefault="00E5603E" w:rsidP="00E5603E">
      <w:pPr>
        <w:spacing w:line="240" w:lineRule="auto"/>
        <w:rPr>
          <w:szCs w:val="22"/>
          <w:lang w:eastAsia="en-GB"/>
        </w:rPr>
      </w:pPr>
    </w:p>
    <w:p w14:paraId="5A552C63" w14:textId="3B4EDBD4" w:rsidR="00E5603E" w:rsidRPr="001775D9" w:rsidRDefault="00E5603E" w:rsidP="002912F4">
      <w:pPr>
        <w:spacing w:line="240" w:lineRule="auto"/>
        <w:rPr>
          <w:szCs w:val="22"/>
        </w:rPr>
      </w:pPr>
      <w:r w:rsidRPr="001775D9">
        <w:rPr>
          <w:szCs w:val="22"/>
          <w:lang w:eastAsia="en-GB"/>
        </w:rPr>
        <w:t xml:space="preserve">The safety and efficacy of </w:t>
      </w:r>
      <w:r w:rsidRPr="001775D9">
        <w:rPr>
          <w:rFonts w:eastAsia="Times New Roman"/>
          <w:color w:val="000000"/>
          <w:szCs w:val="22"/>
        </w:rPr>
        <w:t>adalimumab</w:t>
      </w:r>
      <w:r w:rsidRPr="001775D9">
        <w:rPr>
          <w:szCs w:val="22"/>
          <w:lang w:eastAsia="en-GB"/>
        </w:rPr>
        <w:t xml:space="preserve"> were assessed in a multicentre, randomised, double-blind, parallel-group study in 171 children (4-17</w:t>
      </w:r>
      <w:r w:rsidRPr="001775D9">
        <w:rPr>
          <w:szCs w:val="22"/>
        </w:rPr>
        <w:t> </w:t>
      </w:r>
      <w:r w:rsidRPr="001775D9">
        <w:rPr>
          <w:szCs w:val="22"/>
          <w:lang w:eastAsia="en-GB"/>
        </w:rPr>
        <w:t>years old) with polyarticular JIA. In the open-label lead in phase (OL LI) patients were stratified into two groups, MTX (methotrexate)-treated or non-</w:t>
      </w:r>
      <w:r w:rsidRPr="001775D9">
        <w:rPr>
          <w:szCs w:val="22"/>
        </w:rPr>
        <w:t>MTX-treated. Patients who were in the non-MTX stratum were either naïve to or had been withdrawn from MTX at least two weeks prior to study drug administration. Patients remained on stable doses of</w:t>
      </w:r>
      <w:r w:rsidR="0033792E" w:rsidRPr="001775D9">
        <w:rPr>
          <w:szCs w:val="22"/>
        </w:rPr>
        <w:t xml:space="preserve"> </w:t>
      </w:r>
      <w:r w:rsidR="002912F4" w:rsidRPr="001775D9">
        <w:rPr>
          <w:szCs w:val="22"/>
        </w:rPr>
        <w:t>non-steroidal anti-inflammatory drugs (</w:t>
      </w:r>
      <w:r w:rsidRPr="001775D9">
        <w:rPr>
          <w:szCs w:val="22"/>
        </w:rPr>
        <w:t>NSAIDs</w:t>
      </w:r>
      <w:r w:rsidR="002912F4" w:rsidRPr="001775D9">
        <w:rPr>
          <w:szCs w:val="22"/>
        </w:rPr>
        <w:t>)</w:t>
      </w:r>
      <w:r w:rsidRPr="001775D9">
        <w:rPr>
          <w:szCs w:val="22"/>
        </w:rPr>
        <w:t xml:space="preserve"> and or prednisone (≤ 0.2 mg/kg/day or 10 mg/day maximum). In the OL LI phase all patients received 24 mg/m</w:t>
      </w:r>
      <w:r w:rsidRPr="001775D9">
        <w:rPr>
          <w:szCs w:val="22"/>
          <w:vertAlign w:val="superscript"/>
        </w:rPr>
        <w:t>2</w:t>
      </w:r>
      <w:r w:rsidRPr="001775D9">
        <w:rPr>
          <w:szCs w:val="22"/>
        </w:rPr>
        <w:t xml:space="preserve"> up to a maximum of 40 mg </w:t>
      </w:r>
      <w:r w:rsidRPr="001775D9">
        <w:rPr>
          <w:rFonts w:eastAsia="Times New Roman"/>
          <w:color w:val="000000"/>
          <w:szCs w:val="22"/>
        </w:rPr>
        <w:t>adalimumab</w:t>
      </w:r>
      <w:r w:rsidRPr="001775D9">
        <w:rPr>
          <w:szCs w:val="22"/>
        </w:rPr>
        <w:t xml:space="preserve"> every other week for 16 weeks. The distribution of patients by age and minimum, median and maximum dose received during the OL LI phase is presented in </w:t>
      </w:r>
      <w:r w:rsidRPr="001775D9">
        <w:rPr>
          <w:szCs w:val="22"/>
          <w:lang w:eastAsia="en-GB"/>
        </w:rPr>
        <w:t>table</w:t>
      </w:r>
      <w:r w:rsidRPr="001775D9">
        <w:rPr>
          <w:szCs w:val="22"/>
        </w:rPr>
        <w:t xml:space="preserve"> </w:t>
      </w:r>
      <w:r w:rsidR="004D7CC1" w:rsidRPr="001775D9">
        <w:rPr>
          <w:szCs w:val="22"/>
        </w:rPr>
        <w:t>25</w:t>
      </w:r>
      <w:r w:rsidRPr="001775D9">
        <w:rPr>
          <w:szCs w:val="22"/>
        </w:rPr>
        <w:t>.</w:t>
      </w:r>
    </w:p>
    <w:p w14:paraId="1094A956" w14:textId="77777777" w:rsidR="00E5603E" w:rsidRPr="001775D9" w:rsidRDefault="00E5603E" w:rsidP="00E5603E">
      <w:pPr>
        <w:spacing w:line="240" w:lineRule="auto"/>
        <w:rPr>
          <w:szCs w:val="22"/>
        </w:rPr>
      </w:pPr>
    </w:p>
    <w:p w14:paraId="3230F3C7" w14:textId="5B7F3200" w:rsidR="00E5603E" w:rsidRPr="001775D9" w:rsidRDefault="00E5603E" w:rsidP="00E5603E">
      <w:pPr>
        <w:keepNext/>
        <w:tabs>
          <w:tab w:val="clear" w:pos="567"/>
        </w:tabs>
        <w:autoSpaceDE w:val="0"/>
        <w:autoSpaceDN w:val="0"/>
        <w:adjustRightInd w:val="0"/>
        <w:spacing w:line="240" w:lineRule="auto"/>
        <w:rPr>
          <w:b/>
          <w:szCs w:val="22"/>
          <w:lang w:eastAsia="en-GB"/>
        </w:rPr>
      </w:pPr>
      <w:r w:rsidRPr="001775D9">
        <w:rPr>
          <w:b/>
          <w:szCs w:val="22"/>
          <w:lang w:eastAsia="en-GB"/>
        </w:rPr>
        <w:t xml:space="preserve">Table </w:t>
      </w:r>
      <w:r w:rsidR="004D7CC1" w:rsidRPr="001775D9">
        <w:rPr>
          <w:b/>
          <w:szCs w:val="22"/>
          <w:lang w:eastAsia="en-GB"/>
        </w:rPr>
        <w:t>25</w:t>
      </w:r>
      <w:r w:rsidRPr="001775D9">
        <w:rPr>
          <w:b/>
          <w:szCs w:val="22"/>
          <w:lang w:eastAsia="en-GB"/>
        </w:rPr>
        <w:t>. Distribution of patients by age and adalimumab dose received during the OL LI phase</w:t>
      </w:r>
    </w:p>
    <w:p w14:paraId="1B04E13A" w14:textId="77777777" w:rsidR="00E5603E" w:rsidRPr="001775D9" w:rsidRDefault="00E5603E" w:rsidP="00E5603E">
      <w:pPr>
        <w:keepNext/>
        <w:tabs>
          <w:tab w:val="clear" w:pos="567"/>
        </w:tabs>
        <w:autoSpaceDE w:val="0"/>
        <w:autoSpaceDN w:val="0"/>
        <w:adjustRightInd w:val="0"/>
        <w:spacing w:line="240" w:lineRule="auto"/>
        <w:rPr>
          <w:szCs w:val="22"/>
          <w:lang w:eastAsia="en-GB"/>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4"/>
        <w:gridCol w:w="3024"/>
        <w:gridCol w:w="3024"/>
      </w:tblGrid>
      <w:tr w:rsidR="00E5603E" w:rsidRPr="00F04F82" w14:paraId="22486A45" w14:textId="77777777" w:rsidTr="00486A05">
        <w:trPr>
          <w:trHeight w:val="293"/>
        </w:trPr>
        <w:tc>
          <w:tcPr>
            <w:tcW w:w="3024" w:type="dxa"/>
          </w:tcPr>
          <w:p w14:paraId="25412FEF" w14:textId="77777777" w:rsidR="00E5603E" w:rsidRPr="001775D9" w:rsidRDefault="00E5603E" w:rsidP="00486A05">
            <w:pPr>
              <w:keepNext/>
              <w:tabs>
                <w:tab w:val="clear" w:pos="567"/>
              </w:tabs>
              <w:autoSpaceDE w:val="0"/>
              <w:autoSpaceDN w:val="0"/>
              <w:adjustRightInd w:val="0"/>
              <w:spacing w:line="240" w:lineRule="auto"/>
              <w:rPr>
                <w:szCs w:val="22"/>
                <w:lang w:eastAsia="en-GB"/>
              </w:rPr>
            </w:pPr>
            <w:r w:rsidRPr="001775D9">
              <w:rPr>
                <w:b/>
                <w:bCs/>
                <w:szCs w:val="22"/>
                <w:lang w:eastAsia="en-GB"/>
              </w:rPr>
              <w:t xml:space="preserve">Age Group </w:t>
            </w:r>
          </w:p>
        </w:tc>
        <w:tc>
          <w:tcPr>
            <w:tcW w:w="3024" w:type="dxa"/>
          </w:tcPr>
          <w:p w14:paraId="50D8B0B3" w14:textId="77777777" w:rsidR="00E5603E" w:rsidRPr="001775D9" w:rsidRDefault="00E5603E" w:rsidP="00486A05">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Number of patients at baseline n (%)</w:t>
            </w:r>
          </w:p>
        </w:tc>
        <w:tc>
          <w:tcPr>
            <w:tcW w:w="3024" w:type="dxa"/>
          </w:tcPr>
          <w:p w14:paraId="23FFAACE" w14:textId="77777777" w:rsidR="00E5603E" w:rsidRPr="001775D9" w:rsidRDefault="00E5603E" w:rsidP="00486A05">
            <w:pPr>
              <w:keepNext/>
              <w:tabs>
                <w:tab w:val="clear" w:pos="567"/>
              </w:tabs>
              <w:autoSpaceDE w:val="0"/>
              <w:autoSpaceDN w:val="0"/>
              <w:adjustRightInd w:val="0"/>
              <w:spacing w:line="240" w:lineRule="auto"/>
              <w:jc w:val="center"/>
              <w:rPr>
                <w:szCs w:val="22"/>
                <w:lang w:eastAsia="en-GB"/>
              </w:rPr>
            </w:pPr>
            <w:r w:rsidRPr="001775D9">
              <w:rPr>
                <w:b/>
                <w:bCs/>
                <w:szCs w:val="22"/>
                <w:lang w:eastAsia="en-GB"/>
              </w:rPr>
              <w:t>Minimum, median and maximum dose</w:t>
            </w:r>
          </w:p>
        </w:tc>
      </w:tr>
      <w:tr w:rsidR="00E5603E" w:rsidRPr="00F04F82" w14:paraId="7F63D31F" w14:textId="77777777" w:rsidTr="00486A05">
        <w:trPr>
          <w:trHeight w:val="147"/>
        </w:trPr>
        <w:tc>
          <w:tcPr>
            <w:tcW w:w="3024" w:type="dxa"/>
          </w:tcPr>
          <w:p w14:paraId="4F218CD7" w14:textId="77777777" w:rsidR="00E5603E" w:rsidRPr="001775D9" w:rsidRDefault="00E5603E" w:rsidP="00486A05">
            <w:pPr>
              <w:keepNext/>
              <w:tabs>
                <w:tab w:val="clear" w:pos="567"/>
              </w:tabs>
              <w:autoSpaceDE w:val="0"/>
              <w:autoSpaceDN w:val="0"/>
              <w:adjustRightInd w:val="0"/>
              <w:spacing w:line="240" w:lineRule="auto"/>
              <w:rPr>
                <w:szCs w:val="22"/>
                <w:lang w:eastAsia="en-GB"/>
              </w:rPr>
            </w:pPr>
            <w:r w:rsidRPr="001775D9">
              <w:rPr>
                <w:szCs w:val="22"/>
                <w:lang w:eastAsia="en-GB"/>
              </w:rPr>
              <w:t xml:space="preserve">4 to 7 years </w:t>
            </w:r>
          </w:p>
        </w:tc>
        <w:tc>
          <w:tcPr>
            <w:tcW w:w="3024" w:type="dxa"/>
          </w:tcPr>
          <w:p w14:paraId="552501A6" w14:textId="77777777" w:rsidR="00E5603E" w:rsidRPr="001775D9" w:rsidRDefault="00E5603E" w:rsidP="00486A05">
            <w:pPr>
              <w:keepNext/>
              <w:tabs>
                <w:tab w:val="clear" w:pos="567"/>
              </w:tabs>
              <w:autoSpaceDE w:val="0"/>
              <w:autoSpaceDN w:val="0"/>
              <w:adjustRightInd w:val="0"/>
              <w:spacing w:line="240" w:lineRule="auto"/>
              <w:jc w:val="center"/>
              <w:rPr>
                <w:szCs w:val="22"/>
                <w:lang w:eastAsia="en-GB"/>
              </w:rPr>
            </w:pPr>
            <w:r w:rsidRPr="001775D9">
              <w:rPr>
                <w:szCs w:val="22"/>
                <w:lang w:eastAsia="en-GB"/>
              </w:rPr>
              <w:t>31 (18.1)</w:t>
            </w:r>
          </w:p>
        </w:tc>
        <w:tc>
          <w:tcPr>
            <w:tcW w:w="3024" w:type="dxa"/>
          </w:tcPr>
          <w:p w14:paraId="07BD2C94" w14:textId="77777777" w:rsidR="00E5603E" w:rsidRPr="001775D9" w:rsidRDefault="00E5603E" w:rsidP="00486A05">
            <w:pPr>
              <w:keepNext/>
              <w:tabs>
                <w:tab w:val="clear" w:pos="567"/>
              </w:tabs>
              <w:autoSpaceDE w:val="0"/>
              <w:autoSpaceDN w:val="0"/>
              <w:adjustRightInd w:val="0"/>
              <w:spacing w:line="240" w:lineRule="auto"/>
              <w:jc w:val="center"/>
              <w:rPr>
                <w:szCs w:val="22"/>
                <w:lang w:eastAsia="en-GB"/>
              </w:rPr>
            </w:pPr>
            <w:r w:rsidRPr="001775D9">
              <w:rPr>
                <w:szCs w:val="22"/>
                <w:lang w:eastAsia="en-GB"/>
              </w:rPr>
              <w:t>10, 20 and 25</w:t>
            </w:r>
            <w:r w:rsidRPr="001775D9">
              <w:rPr>
                <w:szCs w:val="22"/>
              </w:rPr>
              <w:t> </w:t>
            </w:r>
            <w:r w:rsidRPr="001775D9">
              <w:rPr>
                <w:szCs w:val="22"/>
                <w:lang w:eastAsia="en-GB"/>
              </w:rPr>
              <w:t>mg</w:t>
            </w:r>
          </w:p>
        </w:tc>
      </w:tr>
      <w:tr w:rsidR="00E5603E" w:rsidRPr="00F04F82" w14:paraId="5514B764" w14:textId="77777777" w:rsidTr="00486A05">
        <w:trPr>
          <w:trHeight w:val="147"/>
        </w:trPr>
        <w:tc>
          <w:tcPr>
            <w:tcW w:w="3024" w:type="dxa"/>
          </w:tcPr>
          <w:p w14:paraId="33A756A8" w14:textId="77777777" w:rsidR="00E5603E" w:rsidRPr="001775D9" w:rsidRDefault="00E5603E" w:rsidP="00486A05">
            <w:pPr>
              <w:tabs>
                <w:tab w:val="clear" w:pos="567"/>
              </w:tabs>
              <w:autoSpaceDE w:val="0"/>
              <w:autoSpaceDN w:val="0"/>
              <w:adjustRightInd w:val="0"/>
              <w:spacing w:line="240" w:lineRule="auto"/>
              <w:rPr>
                <w:szCs w:val="22"/>
                <w:lang w:eastAsia="en-GB"/>
              </w:rPr>
            </w:pPr>
            <w:r w:rsidRPr="001775D9">
              <w:rPr>
                <w:szCs w:val="22"/>
                <w:lang w:eastAsia="en-GB"/>
              </w:rPr>
              <w:t xml:space="preserve">8 to 12 years </w:t>
            </w:r>
          </w:p>
        </w:tc>
        <w:tc>
          <w:tcPr>
            <w:tcW w:w="3024" w:type="dxa"/>
          </w:tcPr>
          <w:p w14:paraId="35B43164" w14:textId="77777777" w:rsidR="00E5603E" w:rsidRPr="001775D9" w:rsidRDefault="00E5603E" w:rsidP="00486A05">
            <w:pPr>
              <w:tabs>
                <w:tab w:val="clear" w:pos="567"/>
              </w:tabs>
              <w:autoSpaceDE w:val="0"/>
              <w:autoSpaceDN w:val="0"/>
              <w:adjustRightInd w:val="0"/>
              <w:spacing w:line="240" w:lineRule="auto"/>
              <w:jc w:val="center"/>
              <w:rPr>
                <w:szCs w:val="22"/>
                <w:lang w:eastAsia="en-GB"/>
              </w:rPr>
            </w:pPr>
            <w:r w:rsidRPr="001775D9">
              <w:rPr>
                <w:szCs w:val="22"/>
                <w:lang w:eastAsia="en-GB"/>
              </w:rPr>
              <w:t>71 (41.5)</w:t>
            </w:r>
          </w:p>
        </w:tc>
        <w:tc>
          <w:tcPr>
            <w:tcW w:w="3024" w:type="dxa"/>
          </w:tcPr>
          <w:p w14:paraId="5CD7924F" w14:textId="77777777" w:rsidR="00E5603E" w:rsidRPr="001775D9" w:rsidRDefault="00E5603E" w:rsidP="00486A05">
            <w:pPr>
              <w:tabs>
                <w:tab w:val="clear" w:pos="567"/>
              </w:tabs>
              <w:autoSpaceDE w:val="0"/>
              <w:autoSpaceDN w:val="0"/>
              <w:adjustRightInd w:val="0"/>
              <w:spacing w:line="240" w:lineRule="auto"/>
              <w:jc w:val="center"/>
              <w:rPr>
                <w:szCs w:val="22"/>
                <w:lang w:eastAsia="en-GB"/>
              </w:rPr>
            </w:pPr>
            <w:r w:rsidRPr="001775D9">
              <w:rPr>
                <w:szCs w:val="22"/>
                <w:lang w:eastAsia="en-GB"/>
              </w:rPr>
              <w:t>20, 25 and 40</w:t>
            </w:r>
            <w:r w:rsidRPr="001775D9">
              <w:rPr>
                <w:szCs w:val="22"/>
              </w:rPr>
              <w:t> </w:t>
            </w:r>
            <w:r w:rsidRPr="001775D9">
              <w:rPr>
                <w:szCs w:val="22"/>
                <w:lang w:eastAsia="en-GB"/>
              </w:rPr>
              <w:t>mg</w:t>
            </w:r>
          </w:p>
        </w:tc>
      </w:tr>
      <w:tr w:rsidR="00E5603E" w:rsidRPr="00F04F82" w14:paraId="5D2AC9DD" w14:textId="77777777" w:rsidTr="00486A05">
        <w:trPr>
          <w:trHeight w:val="147"/>
        </w:trPr>
        <w:tc>
          <w:tcPr>
            <w:tcW w:w="3024" w:type="dxa"/>
          </w:tcPr>
          <w:p w14:paraId="16CC573D" w14:textId="77777777" w:rsidR="00E5603E" w:rsidRPr="001775D9" w:rsidRDefault="00E5603E" w:rsidP="00486A05">
            <w:pPr>
              <w:tabs>
                <w:tab w:val="clear" w:pos="567"/>
              </w:tabs>
              <w:autoSpaceDE w:val="0"/>
              <w:autoSpaceDN w:val="0"/>
              <w:adjustRightInd w:val="0"/>
              <w:spacing w:line="240" w:lineRule="auto"/>
              <w:rPr>
                <w:szCs w:val="22"/>
                <w:lang w:eastAsia="en-GB"/>
              </w:rPr>
            </w:pPr>
            <w:r w:rsidRPr="001775D9">
              <w:rPr>
                <w:szCs w:val="22"/>
                <w:lang w:eastAsia="en-GB"/>
              </w:rPr>
              <w:t xml:space="preserve">13 to 17 years </w:t>
            </w:r>
          </w:p>
        </w:tc>
        <w:tc>
          <w:tcPr>
            <w:tcW w:w="3024" w:type="dxa"/>
          </w:tcPr>
          <w:p w14:paraId="383B85D1" w14:textId="77777777" w:rsidR="00E5603E" w:rsidRPr="001775D9" w:rsidRDefault="00E5603E" w:rsidP="00486A05">
            <w:pPr>
              <w:tabs>
                <w:tab w:val="clear" w:pos="567"/>
              </w:tabs>
              <w:autoSpaceDE w:val="0"/>
              <w:autoSpaceDN w:val="0"/>
              <w:adjustRightInd w:val="0"/>
              <w:spacing w:line="240" w:lineRule="auto"/>
              <w:jc w:val="center"/>
              <w:rPr>
                <w:szCs w:val="22"/>
                <w:lang w:eastAsia="en-GB"/>
              </w:rPr>
            </w:pPr>
            <w:r w:rsidRPr="001775D9">
              <w:rPr>
                <w:szCs w:val="22"/>
                <w:lang w:eastAsia="en-GB"/>
              </w:rPr>
              <w:t>69 (40.4)</w:t>
            </w:r>
          </w:p>
        </w:tc>
        <w:tc>
          <w:tcPr>
            <w:tcW w:w="3024" w:type="dxa"/>
          </w:tcPr>
          <w:p w14:paraId="5E8987C7" w14:textId="77777777" w:rsidR="00E5603E" w:rsidRPr="001775D9" w:rsidRDefault="00E5603E" w:rsidP="00486A05">
            <w:pPr>
              <w:tabs>
                <w:tab w:val="clear" w:pos="567"/>
              </w:tabs>
              <w:autoSpaceDE w:val="0"/>
              <w:autoSpaceDN w:val="0"/>
              <w:adjustRightInd w:val="0"/>
              <w:spacing w:line="240" w:lineRule="auto"/>
              <w:jc w:val="center"/>
              <w:rPr>
                <w:szCs w:val="22"/>
                <w:lang w:eastAsia="en-GB"/>
              </w:rPr>
            </w:pPr>
            <w:r w:rsidRPr="001775D9">
              <w:rPr>
                <w:szCs w:val="22"/>
                <w:lang w:eastAsia="en-GB"/>
              </w:rPr>
              <w:t>25, 40 and 40</w:t>
            </w:r>
            <w:r w:rsidRPr="001775D9">
              <w:rPr>
                <w:szCs w:val="22"/>
              </w:rPr>
              <w:t> </w:t>
            </w:r>
            <w:r w:rsidRPr="001775D9">
              <w:rPr>
                <w:szCs w:val="22"/>
                <w:lang w:eastAsia="en-GB"/>
              </w:rPr>
              <w:t>mg</w:t>
            </w:r>
          </w:p>
        </w:tc>
      </w:tr>
    </w:tbl>
    <w:p w14:paraId="4D8F04B1" w14:textId="77777777" w:rsidR="00E5603E" w:rsidRPr="001775D9" w:rsidRDefault="00E5603E" w:rsidP="00E5603E">
      <w:pPr>
        <w:spacing w:line="240" w:lineRule="auto"/>
        <w:rPr>
          <w:szCs w:val="22"/>
        </w:rPr>
      </w:pPr>
    </w:p>
    <w:p w14:paraId="02B3D93D" w14:textId="1A17DF2A" w:rsidR="00E5603E" w:rsidRPr="001775D9" w:rsidRDefault="00E5603E" w:rsidP="00E5603E">
      <w:pPr>
        <w:spacing w:line="240" w:lineRule="auto"/>
        <w:rPr>
          <w:szCs w:val="22"/>
        </w:rPr>
      </w:pPr>
      <w:r w:rsidRPr="001775D9">
        <w:rPr>
          <w:szCs w:val="22"/>
        </w:rPr>
        <w:t xml:space="preserve">Patients demonstrating a paediatric ACR 30 response at </w:t>
      </w:r>
      <w:r w:rsidRPr="001775D9">
        <w:rPr>
          <w:szCs w:val="22"/>
          <w:lang w:eastAsia="en-GB"/>
        </w:rPr>
        <w:t>week</w:t>
      </w:r>
      <w:r w:rsidRPr="001775D9">
        <w:rPr>
          <w:szCs w:val="22"/>
        </w:rPr>
        <w:t xml:space="preserve"> 16 were eligible to be randomised into the double blind (DB) phase and received either </w:t>
      </w:r>
      <w:r w:rsidRPr="001775D9">
        <w:rPr>
          <w:rFonts w:eastAsia="Times New Roman"/>
          <w:color w:val="000000"/>
          <w:szCs w:val="22"/>
        </w:rPr>
        <w:t>adalimumab</w:t>
      </w:r>
      <w:r w:rsidRPr="001775D9">
        <w:rPr>
          <w:szCs w:val="22"/>
        </w:rPr>
        <w:t xml:space="preserve"> 24 mg/m</w:t>
      </w:r>
      <w:r w:rsidRPr="001775D9">
        <w:rPr>
          <w:szCs w:val="22"/>
          <w:vertAlign w:val="superscript"/>
        </w:rPr>
        <w:t>2</w:t>
      </w:r>
      <w:r w:rsidRPr="001775D9">
        <w:rPr>
          <w:szCs w:val="22"/>
        </w:rPr>
        <w:t xml:space="preserve"> up to a maximum of 40 mg, or placebo every other week for an additional 32 weeks or until disease flare. Disease flare criteria were defined as a worsening of ≥ 30% from baseline in ≥ 3 of 6 paediatric ACR core criteria, ≥ 2 active joints, and improvement of &gt; 30% in no more than 1 of the 6 criteria. After 32 weeks or at disease flare, patients were eligible to enrol into the open-label extension phase.</w:t>
      </w:r>
    </w:p>
    <w:p w14:paraId="48A1B1F5" w14:textId="3FAA3809" w:rsidR="00E5603E" w:rsidRPr="001775D9" w:rsidRDefault="00E5603E" w:rsidP="00E5603E">
      <w:pPr>
        <w:spacing w:line="240" w:lineRule="auto"/>
        <w:rPr>
          <w:szCs w:val="22"/>
        </w:rPr>
      </w:pPr>
    </w:p>
    <w:p w14:paraId="7E34D1B4" w14:textId="26CD679F" w:rsidR="00E5603E" w:rsidRPr="001775D9" w:rsidRDefault="00E5603E" w:rsidP="00E5603E">
      <w:pPr>
        <w:keepNext/>
        <w:keepLines/>
        <w:tabs>
          <w:tab w:val="clear" w:pos="567"/>
        </w:tabs>
        <w:autoSpaceDE w:val="0"/>
        <w:autoSpaceDN w:val="0"/>
        <w:adjustRightInd w:val="0"/>
        <w:spacing w:line="240" w:lineRule="auto"/>
        <w:rPr>
          <w:b/>
          <w:color w:val="000000"/>
          <w:szCs w:val="22"/>
          <w:lang w:eastAsia="en-GB"/>
        </w:rPr>
      </w:pPr>
      <w:r w:rsidRPr="001775D9">
        <w:rPr>
          <w:b/>
          <w:color w:val="000000"/>
          <w:szCs w:val="22"/>
          <w:lang w:eastAsia="en-GB"/>
        </w:rPr>
        <w:t xml:space="preserve">Table </w:t>
      </w:r>
      <w:r w:rsidR="004D7CC1" w:rsidRPr="001775D9">
        <w:rPr>
          <w:b/>
          <w:color w:val="000000"/>
          <w:szCs w:val="22"/>
          <w:lang w:eastAsia="en-GB"/>
        </w:rPr>
        <w:t>26</w:t>
      </w:r>
      <w:r w:rsidRPr="001775D9">
        <w:rPr>
          <w:b/>
          <w:color w:val="000000"/>
          <w:szCs w:val="22"/>
          <w:lang w:eastAsia="en-GB"/>
        </w:rPr>
        <w:t>. Paediatric ACR 30 responses in the JIA study</w:t>
      </w:r>
    </w:p>
    <w:p w14:paraId="4B5DE518" w14:textId="77777777" w:rsidR="00E5603E" w:rsidRPr="001775D9" w:rsidRDefault="00E5603E" w:rsidP="00E5603E">
      <w:pPr>
        <w:keepNext/>
        <w:keepLines/>
        <w:tabs>
          <w:tab w:val="clear" w:pos="567"/>
        </w:tabs>
        <w:autoSpaceDE w:val="0"/>
        <w:autoSpaceDN w:val="0"/>
        <w:adjustRightInd w:val="0"/>
        <w:spacing w:line="240" w:lineRule="auto"/>
        <w:rPr>
          <w:color w:val="000000"/>
          <w:szCs w:val="22"/>
          <w:lang w:eastAsia="en-GB"/>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701"/>
        <w:gridCol w:w="1701"/>
        <w:gridCol w:w="1701"/>
        <w:gridCol w:w="1701"/>
      </w:tblGrid>
      <w:tr w:rsidR="00E5603E" w:rsidRPr="00F04F82" w14:paraId="4D85F55B" w14:textId="77777777" w:rsidTr="00486A05">
        <w:trPr>
          <w:trHeight w:val="149"/>
        </w:trPr>
        <w:tc>
          <w:tcPr>
            <w:tcW w:w="2268" w:type="dxa"/>
          </w:tcPr>
          <w:p w14:paraId="6C2AA98D" w14:textId="77777777" w:rsidR="00E5603E" w:rsidRPr="001775D9" w:rsidRDefault="00E5603E" w:rsidP="00486A05">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Stratum </w:t>
            </w:r>
          </w:p>
        </w:tc>
        <w:tc>
          <w:tcPr>
            <w:tcW w:w="3402" w:type="dxa"/>
            <w:gridSpan w:val="2"/>
          </w:tcPr>
          <w:p w14:paraId="3BB76C47" w14:textId="77777777" w:rsidR="00E5603E" w:rsidRPr="001775D9" w:rsidRDefault="00E5603E"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MTX</w:t>
            </w:r>
          </w:p>
        </w:tc>
        <w:tc>
          <w:tcPr>
            <w:tcW w:w="3402" w:type="dxa"/>
            <w:gridSpan w:val="2"/>
          </w:tcPr>
          <w:p w14:paraId="06C1A28F" w14:textId="77777777" w:rsidR="00E5603E" w:rsidRPr="001775D9" w:rsidRDefault="00E5603E"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Without MTX</w:t>
            </w:r>
          </w:p>
        </w:tc>
      </w:tr>
      <w:tr w:rsidR="00E5603E" w:rsidRPr="00F04F82" w14:paraId="71B1ED4F" w14:textId="77777777" w:rsidTr="00486A05">
        <w:trPr>
          <w:trHeight w:val="149"/>
        </w:trPr>
        <w:tc>
          <w:tcPr>
            <w:tcW w:w="9072" w:type="dxa"/>
            <w:gridSpan w:val="5"/>
          </w:tcPr>
          <w:p w14:paraId="272280BF" w14:textId="77777777" w:rsidR="00E5603E" w:rsidRPr="001775D9" w:rsidRDefault="00E5603E" w:rsidP="00486A05">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Phase </w:t>
            </w:r>
          </w:p>
        </w:tc>
      </w:tr>
      <w:tr w:rsidR="00E5603E" w:rsidRPr="00F04F82" w14:paraId="1287C346" w14:textId="77777777" w:rsidTr="00486A05">
        <w:trPr>
          <w:trHeight w:val="147"/>
        </w:trPr>
        <w:tc>
          <w:tcPr>
            <w:tcW w:w="2268" w:type="dxa"/>
          </w:tcPr>
          <w:p w14:paraId="51E9EC4E" w14:textId="77777777" w:rsidR="00E5603E" w:rsidRPr="001775D9" w:rsidRDefault="00E5603E" w:rsidP="00486A05">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OL-LI 16 weeks </w:t>
            </w:r>
          </w:p>
        </w:tc>
        <w:tc>
          <w:tcPr>
            <w:tcW w:w="3402" w:type="dxa"/>
            <w:gridSpan w:val="2"/>
          </w:tcPr>
          <w:p w14:paraId="161B48E0" w14:textId="77777777" w:rsidR="00E5603E" w:rsidRPr="001775D9" w:rsidRDefault="00E5603E" w:rsidP="00486A05">
            <w:pPr>
              <w:keepNext/>
              <w:keepLines/>
              <w:tabs>
                <w:tab w:val="clear" w:pos="567"/>
              </w:tabs>
              <w:autoSpaceDE w:val="0"/>
              <w:autoSpaceDN w:val="0"/>
              <w:adjustRightInd w:val="0"/>
              <w:spacing w:line="240" w:lineRule="auto"/>
              <w:rPr>
                <w:color w:val="000000"/>
                <w:szCs w:val="22"/>
                <w:lang w:eastAsia="en-GB"/>
              </w:rPr>
            </w:pPr>
          </w:p>
        </w:tc>
        <w:tc>
          <w:tcPr>
            <w:tcW w:w="3402" w:type="dxa"/>
            <w:gridSpan w:val="2"/>
          </w:tcPr>
          <w:p w14:paraId="2FC7795D" w14:textId="77777777" w:rsidR="00E5603E" w:rsidRPr="001775D9" w:rsidRDefault="00E5603E" w:rsidP="00486A05">
            <w:pPr>
              <w:keepNext/>
              <w:keepLines/>
              <w:tabs>
                <w:tab w:val="clear" w:pos="567"/>
              </w:tabs>
              <w:autoSpaceDE w:val="0"/>
              <w:autoSpaceDN w:val="0"/>
              <w:adjustRightInd w:val="0"/>
              <w:spacing w:line="240" w:lineRule="auto"/>
              <w:rPr>
                <w:color w:val="000000"/>
                <w:szCs w:val="22"/>
                <w:lang w:eastAsia="en-GB"/>
              </w:rPr>
            </w:pPr>
          </w:p>
        </w:tc>
      </w:tr>
      <w:tr w:rsidR="00E5603E" w:rsidRPr="00F04F82" w14:paraId="1DD05813" w14:textId="77777777" w:rsidTr="00486A05">
        <w:trPr>
          <w:trHeight w:val="283"/>
        </w:trPr>
        <w:tc>
          <w:tcPr>
            <w:tcW w:w="2268" w:type="dxa"/>
          </w:tcPr>
          <w:p w14:paraId="7D5B09C6" w14:textId="77777777" w:rsidR="00E5603E" w:rsidRPr="00D55B59" w:rsidRDefault="00E5603E" w:rsidP="00486A05">
            <w:pPr>
              <w:keepNext/>
              <w:keepLines/>
              <w:tabs>
                <w:tab w:val="clear" w:pos="567"/>
              </w:tabs>
              <w:autoSpaceDE w:val="0"/>
              <w:autoSpaceDN w:val="0"/>
              <w:adjustRightInd w:val="0"/>
              <w:spacing w:line="240" w:lineRule="auto"/>
              <w:rPr>
                <w:szCs w:val="22"/>
                <w:lang w:eastAsia="en-GB"/>
                <w:rPrChange w:id="918" w:author="Author">
                  <w:rPr>
                    <w:szCs w:val="22"/>
                    <w:lang w:val="pt-PT" w:eastAsia="en-GB"/>
                  </w:rPr>
                </w:rPrChange>
              </w:rPr>
            </w:pPr>
            <w:r w:rsidRPr="00D55B59">
              <w:rPr>
                <w:color w:val="000000"/>
                <w:szCs w:val="22"/>
                <w:lang w:eastAsia="en-GB"/>
                <w:rPrChange w:id="919" w:author="Author">
                  <w:rPr>
                    <w:color w:val="000000"/>
                    <w:szCs w:val="22"/>
                    <w:lang w:val="pt-PT" w:eastAsia="en-GB"/>
                  </w:rPr>
                </w:rPrChange>
              </w:rPr>
              <w:t>Paediatric</w:t>
            </w:r>
            <w:r w:rsidRPr="00D55B59">
              <w:rPr>
                <w:szCs w:val="22"/>
                <w:lang w:eastAsia="en-GB"/>
                <w:rPrChange w:id="920" w:author="Author">
                  <w:rPr>
                    <w:szCs w:val="22"/>
                    <w:lang w:val="pt-PT" w:eastAsia="en-GB"/>
                  </w:rPr>
                </w:rPrChange>
              </w:rPr>
              <w:t xml:space="preserve"> ACR 30 response (n/N)</w:t>
            </w:r>
          </w:p>
        </w:tc>
        <w:tc>
          <w:tcPr>
            <w:tcW w:w="3402" w:type="dxa"/>
            <w:gridSpan w:val="2"/>
          </w:tcPr>
          <w:p w14:paraId="2892FDB9"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94.1% (80/85)</w:t>
            </w:r>
          </w:p>
        </w:tc>
        <w:tc>
          <w:tcPr>
            <w:tcW w:w="3402" w:type="dxa"/>
            <w:gridSpan w:val="2"/>
          </w:tcPr>
          <w:p w14:paraId="2A1C6160"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74.4% (64/86)</w:t>
            </w:r>
          </w:p>
        </w:tc>
      </w:tr>
      <w:tr w:rsidR="00E5603E" w:rsidRPr="00F04F82" w14:paraId="21697FA7" w14:textId="77777777" w:rsidTr="00486A05">
        <w:trPr>
          <w:trHeight w:val="147"/>
        </w:trPr>
        <w:tc>
          <w:tcPr>
            <w:tcW w:w="9072" w:type="dxa"/>
            <w:gridSpan w:val="5"/>
          </w:tcPr>
          <w:p w14:paraId="5CCF8D38" w14:textId="77777777" w:rsidR="00E5603E" w:rsidRPr="001775D9" w:rsidRDefault="00E5603E" w:rsidP="00486A05">
            <w:pPr>
              <w:keepNext/>
              <w:keepLines/>
              <w:tabs>
                <w:tab w:val="clear" w:pos="567"/>
              </w:tabs>
              <w:autoSpaceDE w:val="0"/>
              <w:autoSpaceDN w:val="0"/>
              <w:adjustRightInd w:val="0"/>
              <w:spacing w:line="240" w:lineRule="auto"/>
              <w:rPr>
                <w:szCs w:val="22"/>
                <w:lang w:eastAsia="en-GB"/>
              </w:rPr>
            </w:pPr>
            <w:r w:rsidRPr="001775D9">
              <w:rPr>
                <w:szCs w:val="22"/>
                <w:lang w:eastAsia="en-GB"/>
              </w:rPr>
              <w:t>Efficacy Outcomes</w:t>
            </w:r>
          </w:p>
        </w:tc>
      </w:tr>
      <w:tr w:rsidR="00E5603E" w:rsidRPr="00F04F82" w14:paraId="3311F341" w14:textId="77777777" w:rsidTr="00486A05">
        <w:trPr>
          <w:trHeight w:val="283"/>
        </w:trPr>
        <w:tc>
          <w:tcPr>
            <w:tcW w:w="2268" w:type="dxa"/>
          </w:tcPr>
          <w:p w14:paraId="6752E921" w14:textId="087F6097" w:rsidR="00E5603E" w:rsidRPr="001775D9" w:rsidRDefault="00E5603E" w:rsidP="00486A05">
            <w:pPr>
              <w:keepNext/>
              <w:keepLines/>
              <w:tabs>
                <w:tab w:val="clear" w:pos="567"/>
              </w:tabs>
              <w:autoSpaceDE w:val="0"/>
              <w:autoSpaceDN w:val="0"/>
              <w:adjustRightInd w:val="0"/>
              <w:spacing w:line="240" w:lineRule="auto"/>
              <w:rPr>
                <w:szCs w:val="22"/>
                <w:lang w:eastAsia="en-GB"/>
              </w:rPr>
            </w:pPr>
            <w:r w:rsidRPr="001775D9">
              <w:rPr>
                <w:szCs w:val="22"/>
                <w:lang w:eastAsia="en-GB"/>
              </w:rPr>
              <w:t>Double blind 32</w:t>
            </w:r>
            <w:r w:rsidRPr="001775D9">
              <w:rPr>
                <w:szCs w:val="22"/>
              </w:rPr>
              <w:t> </w:t>
            </w:r>
            <w:r w:rsidRPr="001775D9">
              <w:rPr>
                <w:szCs w:val="22"/>
                <w:lang w:eastAsia="en-GB"/>
              </w:rPr>
              <w:t xml:space="preserve">weeks </w:t>
            </w:r>
          </w:p>
        </w:tc>
        <w:tc>
          <w:tcPr>
            <w:tcW w:w="1701" w:type="dxa"/>
          </w:tcPr>
          <w:p w14:paraId="72C6916B"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rFonts w:eastAsia="Times New Roman"/>
                <w:color w:val="000000"/>
                <w:szCs w:val="22"/>
              </w:rPr>
              <w:t>Adalimumab</w:t>
            </w:r>
            <w:r w:rsidRPr="001775D9">
              <w:rPr>
                <w:szCs w:val="22"/>
                <w:lang w:eastAsia="en-GB"/>
              </w:rPr>
              <w:t xml:space="preserve"> / MTX</w:t>
            </w:r>
          </w:p>
          <w:p w14:paraId="46C5AE6E"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38)</w:t>
            </w:r>
          </w:p>
        </w:tc>
        <w:tc>
          <w:tcPr>
            <w:tcW w:w="1701" w:type="dxa"/>
          </w:tcPr>
          <w:p w14:paraId="28C195D8"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Placebo / MTX</w:t>
            </w:r>
          </w:p>
          <w:p w14:paraId="259E37D1"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37)</w:t>
            </w:r>
          </w:p>
        </w:tc>
        <w:tc>
          <w:tcPr>
            <w:tcW w:w="1701" w:type="dxa"/>
          </w:tcPr>
          <w:p w14:paraId="41D0172E"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rFonts w:eastAsia="Times New Roman"/>
                <w:color w:val="000000"/>
                <w:szCs w:val="22"/>
              </w:rPr>
              <w:t>Adalimumab</w:t>
            </w:r>
            <w:r w:rsidRPr="001775D9">
              <w:rPr>
                <w:szCs w:val="22"/>
              </w:rPr>
              <w:t xml:space="preserve"> </w:t>
            </w: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30)</w:t>
            </w:r>
          </w:p>
        </w:tc>
        <w:tc>
          <w:tcPr>
            <w:tcW w:w="1701" w:type="dxa"/>
          </w:tcPr>
          <w:p w14:paraId="671619C6"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Placebo</w:t>
            </w:r>
          </w:p>
          <w:p w14:paraId="55E7A781"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28)</w:t>
            </w:r>
          </w:p>
        </w:tc>
      </w:tr>
      <w:tr w:rsidR="00E5603E" w:rsidRPr="00F04F82" w14:paraId="14E1E963" w14:textId="77777777" w:rsidTr="00486A05">
        <w:trPr>
          <w:trHeight w:val="426"/>
        </w:trPr>
        <w:tc>
          <w:tcPr>
            <w:tcW w:w="2268" w:type="dxa"/>
          </w:tcPr>
          <w:p w14:paraId="52ADD3F6" w14:textId="77777777" w:rsidR="00E5603E" w:rsidRPr="001775D9" w:rsidRDefault="00E5603E" w:rsidP="00486A05">
            <w:pPr>
              <w:keepNext/>
              <w:keepLines/>
              <w:tabs>
                <w:tab w:val="clear" w:pos="567"/>
              </w:tabs>
              <w:autoSpaceDE w:val="0"/>
              <w:autoSpaceDN w:val="0"/>
              <w:adjustRightInd w:val="0"/>
              <w:spacing w:line="240" w:lineRule="auto"/>
              <w:rPr>
                <w:szCs w:val="22"/>
                <w:lang w:eastAsia="en-GB"/>
              </w:rPr>
            </w:pPr>
            <w:r w:rsidRPr="001775D9">
              <w:rPr>
                <w:szCs w:val="22"/>
                <w:lang w:eastAsia="en-GB"/>
              </w:rPr>
              <w:t>Disease flares at the end of 32</w:t>
            </w:r>
            <w:r w:rsidRPr="001775D9">
              <w:rPr>
                <w:szCs w:val="22"/>
              </w:rPr>
              <w:t> </w:t>
            </w:r>
            <w:r w:rsidRPr="001775D9">
              <w:rPr>
                <w:szCs w:val="22"/>
                <w:lang w:eastAsia="en-GB"/>
              </w:rPr>
              <w:t>weeks</w:t>
            </w:r>
            <w:r w:rsidRPr="001775D9">
              <w:rPr>
                <w:szCs w:val="22"/>
                <w:vertAlign w:val="superscript"/>
                <w:lang w:eastAsia="en-GB"/>
              </w:rPr>
              <w:t>a</w:t>
            </w:r>
            <w:r w:rsidRPr="001775D9">
              <w:rPr>
                <w:szCs w:val="22"/>
                <w:lang w:eastAsia="en-GB"/>
              </w:rPr>
              <w:t xml:space="preserve"> (n/N) </w:t>
            </w:r>
          </w:p>
        </w:tc>
        <w:tc>
          <w:tcPr>
            <w:tcW w:w="1701" w:type="dxa"/>
          </w:tcPr>
          <w:p w14:paraId="71A96BEA"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36.8% (14/38)</w:t>
            </w:r>
          </w:p>
        </w:tc>
        <w:tc>
          <w:tcPr>
            <w:tcW w:w="1701" w:type="dxa"/>
          </w:tcPr>
          <w:p w14:paraId="0B9DF143"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64.9% (24/37)</w:t>
            </w:r>
            <w:r w:rsidRPr="001775D9">
              <w:rPr>
                <w:szCs w:val="22"/>
                <w:vertAlign w:val="superscript"/>
                <w:lang w:eastAsia="en-GB"/>
              </w:rPr>
              <w:t>b</w:t>
            </w:r>
          </w:p>
        </w:tc>
        <w:tc>
          <w:tcPr>
            <w:tcW w:w="1701" w:type="dxa"/>
          </w:tcPr>
          <w:p w14:paraId="453D578E"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43.3% (13/30)</w:t>
            </w:r>
          </w:p>
        </w:tc>
        <w:tc>
          <w:tcPr>
            <w:tcW w:w="1701" w:type="dxa"/>
          </w:tcPr>
          <w:p w14:paraId="5D54AF9C"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71.4% (20/28)</w:t>
            </w:r>
            <w:r w:rsidRPr="001775D9">
              <w:rPr>
                <w:szCs w:val="22"/>
                <w:vertAlign w:val="superscript"/>
                <w:lang w:eastAsia="en-GB"/>
              </w:rPr>
              <w:t>c</w:t>
            </w:r>
          </w:p>
        </w:tc>
      </w:tr>
      <w:tr w:rsidR="00E5603E" w:rsidRPr="00F04F82" w14:paraId="3013A35E" w14:textId="77777777" w:rsidTr="00486A05">
        <w:trPr>
          <w:trHeight w:val="70"/>
        </w:trPr>
        <w:tc>
          <w:tcPr>
            <w:tcW w:w="2268" w:type="dxa"/>
          </w:tcPr>
          <w:p w14:paraId="39C33C27" w14:textId="77777777" w:rsidR="00E5603E" w:rsidRPr="001775D9" w:rsidRDefault="00E5603E" w:rsidP="00486A05">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Median time to disease flare </w:t>
            </w:r>
          </w:p>
        </w:tc>
        <w:tc>
          <w:tcPr>
            <w:tcW w:w="1701" w:type="dxa"/>
          </w:tcPr>
          <w:p w14:paraId="11E77F0F"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&gt;</w:t>
            </w:r>
            <w:r w:rsidRPr="001775D9">
              <w:rPr>
                <w:szCs w:val="22"/>
              </w:rPr>
              <w:t> </w:t>
            </w:r>
            <w:r w:rsidRPr="001775D9">
              <w:rPr>
                <w:szCs w:val="22"/>
                <w:lang w:eastAsia="en-GB"/>
              </w:rPr>
              <w:t>32</w:t>
            </w:r>
            <w:r w:rsidRPr="001775D9">
              <w:rPr>
                <w:szCs w:val="22"/>
              </w:rPr>
              <w:t> </w:t>
            </w:r>
            <w:r w:rsidRPr="001775D9">
              <w:rPr>
                <w:szCs w:val="22"/>
                <w:lang w:eastAsia="en-GB"/>
              </w:rPr>
              <w:t>weeks</w:t>
            </w:r>
          </w:p>
        </w:tc>
        <w:tc>
          <w:tcPr>
            <w:tcW w:w="1701" w:type="dxa"/>
          </w:tcPr>
          <w:p w14:paraId="79022296"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20</w:t>
            </w:r>
            <w:r w:rsidRPr="001775D9">
              <w:rPr>
                <w:szCs w:val="22"/>
              </w:rPr>
              <w:t> </w:t>
            </w:r>
            <w:r w:rsidRPr="001775D9">
              <w:rPr>
                <w:szCs w:val="22"/>
                <w:lang w:eastAsia="en-GB"/>
              </w:rPr>
              <w:t>weeks</w:t>
            </w:r>
          </w:p>
        </w:tc>
        <w:tc>
          <w:tcPr>
            <w:tcW w:w="1701" w:type="dxa"/>
          </w:tcPr>
          <w:p w14:paraId="61F5C0E9"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&gt;</w:t>
            </w:r>
            <w:r w:rsidRPr="001775D9">
              <w:rPr>
                <w:szCs w:val="22"/>
              </w:rPr>
              <w:t> </w:t>
            </w:r>
            <w:r w:rsidRPr="001775D9">
              <w:rPr>
                <w:szCs w:val="22"/>
                <w:lang w:eastAsia="en-GB"/>
              </w:rPr>
              <w:t>32</w:t>
            </w:r>
            <w:r w:rsidRPr="001775D9">
              <w:rPr>
                <w:szCs w:val="22"/>
              </w:rPr>
              <w:t> </w:t>
            </w:r>
            <w:r w:rsidRPr="001775D9">
              <w:rPr>
                <w:szCs w:val="22"/>
                <w:lang w:eastAsia="en-GB"/>
              </w:rPr>
              <w:t>weeks</w:t>
            </w:r>
          </w:p>
        </w:tc>
        <w:tc>
          <w:tcPr>
            <w:tcW w:w="1701" w:type="dxa"/>
          </w:tcPr>
          <w:p w14:paraId="2BF6A48E" w14:textId="77777777" w:rsidR="00E5603E" w:rsidRPr="001775D9" w:rsidRDefault="00E5603E" w:rsidP="00486A05">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14</w:t>
            </w:r>
            <w:r w:rsidRPr="001775D9">
              <w:rPr>
                <w:szCs w:val="22"/>
              </w:rPr>
              <w:t> </w:t>
            </w:r>
            <w:r w:rsidRPr="001775D9">
              <w:rPr>
                <w:szCs w:val="22"/>
                <w:lang w:eastAsia="en-GB"/>
              </w:rPr>
              <w:t>weeks</w:t>
            </w:r>
          </w:p>
        </w:tc>
      </w:tr>
    </w:tbl>
    <w:p w14:paraId="7C6F276F" w14:textId="77777777" w:rsidR="00E5603E" w:rsidRPr="001775D9" w:rsidRDefault="00E5603E" w:rsidP="00E5603E">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w:t>
      </w:r>
      <w:r w:rsidRPr="001775D9">
        <w:rPr>
          <w:color w:val="000000"/>
          <w:szCs w:val="22"/>
          <w:lang w:eastAsia="en-GB"/>
        </w:rPr>
        <w:t>Paediatric</w:t>
      </w:r>
      <w:r w:rsidRPr="001775D9">
        <w:rPr>
          <w:sz w:val="20"/>
          <w:lang w:eastAsia="en-GB"/>
        </w:rPr>
        <w:t xml:space="preserve"> ACR 30/50/70 responses week 48 significantly greater than those of placebo treated patients </w:t>
      </w:r>
    </w:p>
    <w:p w14:paraId="4F48C8CE" w14:textId="77777777" w:rsidR="00E5603E" w:rsidRPr="001775D9" w:rsidRDefault="00E5603E" w:rsidP="00E5603E">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p</w:t>
      </w:r>
      <w:r w:rsidRPr="001775D9">
        <w:rPr>
          <w:sz w:val="20"/>
        </w:rPr>
        <w:t> </w:t>
      </w:r>
      <w:r w:rsidRPr="001775D9">
        <w:rPr>
          <w:sz w:val="20"/>
          <w:lang w:eastAsia="en-GB"/>
        </w:rPr>
        <w:t>=</w:t>
      </w:r>
      <w:r w:rsidRPr="001775D9">
        <w:rPr>
          <w:sz w:val="20"/>
        </w:rPr>
        <w:t> </w:t>
      </w:r>
      <w:r w:rsidRPr="001775D9">
        <w:rPr>
          <w:sz w:val="20"/>
          <w:lang w:eastAsia="en-GB"/>
        </w:rPr>
        <w:t xml:space="preserve">0.015 </w:t>
      </w:r>
    </w:p>
    <w:p w14:paraId="364C6DDD" w14:textId="77777777" w:rsidR="00E5603E" w:rsidRPr="001775D9" w:rsidRDefault="00E5603E" w:rsidP="00E5603E">
      <w:pPr>
        <w:spacing w:line="240" w:lineRule="auto"/>
        <w:rPr>
          <w:sz w:val="20"/>
        </w:rPr>
      </w:pPr>
      <w:r w:rsidRPr="001775D9">
        <w:rPr>
          <w:sz w:val="20"/>
          <w:vertAlign w:val="superscript"/>
          <w:lang w:eastAsia="en-GB"/>
        </w:rPr>
        <w:t>c</w:t>
      </w:r>
      <w:r w:rsidRPr="001775D9">
        <w:rPr>
          <w:sz w:val="20"/>
          <w:lang w:eastAsia="en-GB"/>
        </w:rPr>
        <w:t xml:space="preserve"> p</w:t>
      </w:r>
      <w:r w:rsidRPr="001775D9">
        <w:rPr>
          <w:sz w:val="20"/>
        </w:rPr>
        <w:t> </w:t>
      </w:r>
      <w:r w:rsidRPr="001775D9">
        <w:rPr>
          <w:sz w:val="20"/>
          <w:lang w:eastAsia="en-GB"/>
        </w:rPr>
        <w:t>=</w:t>
      </w:r>
      <w:r w:rsidRPr="001775D9">
        <w:rPr>
          <w:sz w:val="20"/>
        </w:rPr>
        <w:t> </w:t>
      </w:r>
      <w:r w:rsidRPr="001775D9">
        <w:rPr>
          <w:sz w:val="20"/>
          <w:lang w:eastAsia="en-GB"/>
        </w:rPr>
        <w:t>0.031</w:t>
      </w:r>
    </w:p>
    <w:p w14:paraId="2D1F87C2" w14:textId="77777777" w:rsidR="00E5603E" w:rsidRPr="001775D9" w:rsidRDefault="00E5603E" w:rsidP="00E5603E">
      <w:pPr>
        <w:tabs>
          <w:tab w:val="clear" w:pos="567"/>
        </w:tabs>
        <w:autoSpaceDE w:val="0"/>
        <w:autoSpaceDN w:val="0"/>
        <w:adjustRightInd w:val="0"/>
        <w:spacing w:line="240" w:lineRule="auto"/>
        <w:rPr>
          <w:szCs w:val="22"/>
          <w:lang w:eastAsia="en-GB"/>
        </w:rPr>
      </w:pPr>
    </w:p>
    <w:p w14:paraId="2DA7FA77" w14:textId="77777777" w:rsidR="00E5603E" w:rsidRPr="001775D9" w:rsidRDefault="00E5603E" w:rsidP="00E5603E">
      <w:pPr>
        <w:tabs>
          <w:tab w:val="clear" w:pos="567"/>
        </w:tabs>
        <w:autoSpaceDE w:val="0"/>
        <w:autoSpaceDN w:val="0"/>
        <w:adjustRightInd w:val="0"/>
        <w:spacing w:line="240" w:lineRule="auto"/>
        <w:rPr>
          <w:szCs w:val="22"/>
          <w:lang w:eastAsia="en-GB"/>
        </w:rPr>
      </w:pPr>
      <w:r w:rsidRPr="001775D9">
        <w:rPr>
          <w:szCs w:val="22"/>
          <w:lang w:eastAsia="en-GB"/>
        </w:rPr>
        <w:t>Amongst those who responded at week 16 (n</w:t>
      </w:r>
      <w:r w:rsidRPr="001775D9">
        <w:rPr>
          <w:szCs w:val="22"/>
        </w:rPr>
        <w:t> </w:t>
      </w:r>
      <w:r w:rsidRPr="001775D9">
        <w:rPr>
          <w:szCs w:val="22"/>
          <w:lang w:eastAsia="en-GB"/>
        </w:rPr>
        <w:t>=</w:t>
      </w:r>
      <w:r w:rsidRPr="001775D9">
        <w:rPr>
          <w:szCs w:val="22"/>
        </w:rPr>
        <w:t> </w:t>
      </w:r>
      <w:r w:rsidRPr="001775D9">
        <w:rPr>
          <w:szCs w:val="22"/>
          <w:lang w:eastAsia="en-GB"/>
        </w:rPr>
        <w:t xml:space="preserve">144), the paediatric ACR 30/50/70/90 responses were maintained for up to six years in the OLE phase in patients who received </w:t>
      </w:r>
      <w:r w:rsidRPr="001775D9">
        <w:rPr>
          <w:rFonts w:eastAsia="Times New Roman"/>
          <w:color w:val="000000"/>
          <w:szCs w:val="22"/>
        </w:rPr>
        <w:t>adalimumab</w:t>
      </w:r>
      <w:r w:rsidRPr="001775D9">
        <w:rPr>
          <w:szCs w:val="22"/>
          <w:lang w:eastAsia="en-GB"/>
        </w:rPr>
        <w:t xml:space="preserve"> throughout the study. Over all 19 subjects, of which 11 of the baseline age group 4 to 12 and 8 of the baseline age group 13 to 17</w:t>
      </w:r>
      <w:r w:rsidRPr="001775D9">
        <w:rPr>
          <w:szCs w:val="22"/>
        </w:rPr>
        <w:t> </w:t>
      </w:r>
      <w:r w:rsidRPr="001775D9">
        <w:rPr>
          <w:szCs w:val="22"/>
          <w:lang w:eastAsia="en-GB"/>
        </w:rPr>
        <w:t xml:space="preserve">years were treated 6 years or longer. </w:t>
      </w:r>
    </w:p>
    <w:p w14:paraId="20406AAB" w14:textId="77777777" w:rsidR="00E5603E" w:rsidRPr="001775D9" w:rsidRDefault="00E5603E" w:rsidP="00E5603E">
      <w:pPr>
        <w:spacing w:line="240" w:lineRule="auto"/>
        <w:rPr>
          <w:szCs w:val="22"/>
          <w:lang w:eastAsia="en-GB"/>
        </w:rPr>
      </w:pPr>
    </w:p>
    <w:p w14:paraId="6248E7E1" w14:textId="77777777" w:rsidR="00E5603E" w:rsidRPr="001775D9" w:rsidRDefault="00E5603E" w:rsidP="00E5603E">
      <w:pPr>
        <w:spacing w:line="240" w:lineRule="auto"/>
        <w:rPr>
          <w:szCs w:val="22"/>
          <w:lang w:eastAsia="en-GB"/>
        </w:rPr>
      </w:pPr>
      <w:r w:rsidRPr="001775D9">
        <w:rPr>
          <w:szCs w:val="22"/>
          <w:lang w:eastAsia="en-GB"/>
        </w:rPr>
        <w:t xml:space="preserve">Overall responses were generally better and, fewer patients developed antibodies when treated with the combination of </w:t>
      </w:r>
      <w:r w:rsidRPr="001775D9">
        <w:rPr>
          <w:rFonts w:eastAsia="Times New Roman"/>
          <w:color w:val="000000"/>
          <w:szCs w:val="22"/>
        </w:rPr>
        <w:t>adalimumab</w:t>
      </w:r>
      <w:r w:rsidRPr="001775D9">
        <w:rPr>
          <w:szCs w:val="22"/>
          <w:lang w:eastAsia="en-GB"/>
        </w:rPr>
        <w:t xml:space="preserve"> and MTX compared to </w:t>
      </w:r>
      <w:r w:rsidRPr="001775D9">
        <w:rPr>
          <w:rFonts w:eastAsia="Times New Roman"/>
          <w:color w:val="000000"/>
          <w:szCs w:val="22"/>
        </w:rPr>
        <w:t>adalimumab</w:t>
      </w:r>
      <w:r w:rsidRPr="001775D9">
        <w:rPr>
          <w:szCs w:val="22"/>
          <w:lang w:eastAsia="en-GB"/>
        </w:rPr>
        <w:t xml:space="preserve"> alone. Taking these results into consideration, </w:t>
      </w:r>
      <w:r w:rsidRPr="001775D9">
        <w:rPr>
          <w:rFonts w:eastAsia="Times New Roman"/>
          <w:color w:val="000000"/>
          <w:szCs w:val="22"/>
        </w:rPr>
        <w:t>adalimumab</w:t>
      </w:r>
      <w:r w:rsidRPr="001775D9">
        <w:rPr>
          <w:szCs w:val="22"/>
          <w:lang w:eastAsia="en-GB"/>
        </w:rPr>
        <w:t xml:space="preserve"> is recommended for use in combination with MTX and for use as monotherapy in patients for whom MTX use is not appropriate (see section 4.2).</w:t>
      </w:r>
    </w:p>
    <w:p w14:paraId="21F480B3" w14:textId="77777777" w:rsidR="00E5603E" w:rsidRPr="001775D9" w:rsidRDefault="00E5603E" w:rsidP="00E5603E">
      <w:pPr>
        <w:spacing w:line="240" w:lineRule="auto"/>
        <w:rPr>
          <w:szCs w:val="22"/>
          <w:lang w:eastAsia="en-GB"/>
        </w:rPr>
      </w:pPr>
    </w:p>
    <w:p w14:paraId="3BFA2453" w14:textId="77777777" w:rsidR="00E5603E" w:rsidRPr="001775D9" w:rsidRDefault="00E5603E" w:rsidP="00E5603E">
      <w:pPr>
        <w:spacing w:line="240" w:lineRule="auto"/>
        <w:rPr>
          <w:szCs w:val="22"/>
          <w:lang w:eastAsia="en-GB"/>
        </w:rPr>
      </w:pPr>
      <w:r w:rsidRPr="001775D9">
        <w:rPr>
          <w:szCs w:val="22"/>
          <w:lang w:eastAsia="en-GB"/>
        </w:rPr>
        <w:t>pJIA II</w:t>
      </w:r>
    </w:p>
    <w:p w14:paraId="06506111" w14:textId="77777777" w:rsidR="00E5603E" w:rsidRPr="001775D9" w:rsidRDefault="00E5603E" w:rsidP="00E5603E">
      <w:pPr>
        <w:spacing w:line="240" w:lineRule="auto"/>
        <w:rPr>
          <w:szCs w:val="22"/>
          <w:lang w:eastAsia="en-GB"/>
        </w:rPr>
      </w:pPr>
    </w:p>
    <w:p w14:paraId="54A885A4" w14:textId="77777777" w:rsidR="00E5603E" w:rsidRPr="001775D9" w:rsidRDefault="00E5603E" w:rsidP="00E5603E">
      <w:pPr>
        <w:spacing w:line="240" w:lineRule="auto"/>
        <w:rPr>
          <w:szCs w:val="22"/>
          <w:lang w:eastAsia="en-GB"/>
        </w:rPr>
      </w:pPr>
      <w:r w:rsidRPr="001775D9">
        <w:rPr>
          <w:szCs w:val="22"/>
          <w:lang w:eastAsia="en-GB"/>
        </w:rPr>
        <w:t>The safety and efficacy of adalimumab was assessed in an open-label, multicentre study in 32 children (2 </w:t>
      </w:r>
      <w:r w:rsidRPr="001775D9">
        <w:rPr>
          <w:szCs w:val="22"/>
          <w:lang w:eastAsia="en-GB"/>
        </w:rPr>
        <w:noBreakHyphen/>
        <w:t> &lt; 4 years old or aged 4 and above weighing &lt; 15</w:t>
      </w:r>
      <w:r w:rsidRPr="001775D9">
        <w:rPr>
          <w:color w:val="000000"/>
          <w:szCs w:val="22"/>
        </w:rPr>
        <w:t> </w:t>
      </w:r>
      <w:r w:rsidRPr="001775D9">
        <w:rPr>
          <w:szCs w:val="22"/>
          <w:lang w:eastAsia="en-GB"/>
        </w:rPr>
        <w:t>kg) with moderately to severely active polyarticular JIA. The patients received 24 mg/m</w:t>
      </w:r>
      <w:r w:rsidRPr="001775D9">
        <w:rPr>
          <w:szCs w:val="22"/>
          <w:vertAlign w:val="superscript"/>
          <w:lang w:eastAsia="en-GB"/>
        </w:rPr>
        <w:t>2</w:t>
      </w:r>
      <w:r w:rsidRPr="001775D9">
        <w:rPr>
          <w:szCs w:val="22"/>
          <w:lang w:eastAsia="en-GB"/>
        </w:rPr>
        <w:t xml:space="preserve"> body surface area (BSA) of adalimumab up to a maximum of 20 mg every other week as a single dose via SC injection for at least 24 weeks. During the study, most subjects used concomitant MTX, with fewer reporting use of corticosteroids or NSAIDs.</w:t>
      </w:r>
    </w:p>
    <w:p w14:paraId="601BD4D2" w14:textId="77777777" w:rsidR="00E5603E" w:rsidRPr="001775D9" w:rsidRDefault="00E5603E" w:rsidP="00E5603E">
      <w:pPr>
        <w:spacing w:line="240" w:lineRule="auto"/>
        <w:rPr>
          <w:szCs w:val="22"/>
          <w:lang w:eastAsia="en-GB"/>
        </w:rPr>
      </w:pPr>
    </w:p>
    <w:p w14:paraId="26C059E0" w14:textId="77777777" w:rsidR="00E5603E" w:rsidRPr="001775D9" w:rsidRDefault="00E5603E" w:rsidP="00E5603E">
      <w:pPr>
        <w:spacing w:line="240" w:lineRule="auto"/>
        <w:rPr>
          <w:szCs w:val="22"/>
          <w:lang w:eastAsia="en-GB"/>
        </w:rPr>
      </w:pPr>
      <w:r w:rsidRPr="001775D9">
        <w:rPr>
          <w:szCs w:val="22"/>
          <w:lang w:eastAsia="en-GB"/>
        </w:rPr>
        <w:t>At week 12 and week 24, PedACR30 response was 93.5% and 90.0%, respectively, using the observed data approach. The proportions of subjects with PedACR50/70/90 at week 12 and week 24 were 90.3%/61.3%/38.7% and 83.3%/73.3%/36.7%, respectively. Amongst those who responded (paediatric ACR 30) at week 24 (n = 27 out of 30 patients), the paediatric ACR 30 responses were maintained for up to 60 weeks in the OLE phase in patients who received adalimumab throughout this time period. Overall, 20 subjects were treated for 60 weeks or longer.</w:t>
      </w:r>
    </w:p>
    <w:p w14:paraId="3C44BB32" w14:textId="77777777" w:rsidR="00E5603E" w:rsidRPr="001775D9" w:rsidRDefault="00E5603E" w:rsidP="00E5603E">
      <w:pPr>
        <w:spacing w:line="240" w:lineRule="auto"/>
        <w:rPr>
          <w:szCs w:val="22"/>
          <w:lang w:eastAsia="en-GB"/>
        </w:rPr>
      </w:pPr>
    </w:p>
    <w:p w14:paraId="33CE3851" w14:textId="77777777" w:rsidR="00E5603E" w:rsidRPr="001775D9" w:rsidRDefault="00E5603E" w:rsidP="00E5603E">
      <w:pPr>
        <w:keepNext/>
        <w:spacing w:line="240" w:lineRule="auto"/>
        <w:rPr>
          <w:i/>
          <w:szCs w:val="22"/>
          <w:u w:val="single"/>
          <w:lang w:eastAsia="en-GB"/>
        </w:rPr>
      </w:pPr>
      <w:r w:rsidRPr="001775D9">
        <w:rPr>
          <w:i/>
          <w:szCs w:val="22"/>
          <w:u w:val="single"/>
          <w:lang w:eastAsia="en-GB"/>
        </w:rPr>
        <w:t>Enthesitis-related arthritis</w:t>
      </w:r>
    </w:p>
    <w:p w14:paraId="09535C63" w14:textId="77777777" w:rsidR="00E5603E" w:rsidRPr="001775D9" w:rsidRDefault="00E5603E" w:rsidP="00E5603E">
      <w:pPr>
        <w:keepNext/>
        <w:spacing w:line="240" w:lineRule="auto"/>
        <w:rPr>
          <w:szCs w:val="22"/>
          <w:lang w:eastAsia="en-GB"/>
        </w:rPr>
      </w:pPr>
    </w:p>
    <w:p w14:paraId="5E0BF716" w14:textId="509E07B5" w:rsidR="00E5603E" w:rsidRPr="001775D9" w:rsidRDefault="00E5603E" w:rsidP="00E5603E">
      <w:pPr>
        <w:keepNext/>
        <w:spacing w:line="240" w:lineRule="auto"/>
        <w:rPr>
          <w:szCs w:val="22"/>
          <w:lang w:eastAsia="en-GB"/>
        </w:rPr>
      </w:pPr>
      <w:r w:rsidRPr="001775D9">
        <w:rPr>
          <w:szCs w:val="22"/>
          <w:lang w:eastAsia="en-GB"/>
        </w:rPr>
        <w:t>The safety and efficacy of adalimumab were assessed in a multicentre, randomised, double-blind study in 46 paediatric patients (6 to 17 years old) with moderate enthesitis-related arthritis. Patients were randomised to receive either 24 mg/m</w:t>
      </w:r>
      <w:r w:rsidRPr="001775D9">
        <w:rPr>
          <w:szCs w:val="22"/>
          <w:vertAlign w:val="superscript"/>
          <w:lang w:eastAsia="en-GB"/>
        </w:rPr>
        <w:t>2</w:t>
      </w:r>
      <w:r w:rsidRPr="001775D9">
        <w:rPr>
          <w:szCs w:val="22"/>
          <w:lang w:eastAsia="en-GB"/>
        </w:rPr>
        <w:t xml:space="preserve"> body surface area (BSA) of adalimumab up to a maximum of 40 mg, or placebo every other week for 12 weeks. The double-blind period is followed by an open-label (OL) period during which patients received 24 mg/m</w:t>
      </w:r>
      <w:r w:rsidRPr="001775D9">
        <w:rPr>
          <w:szCs w:val="22"/>
          <w:vertAlign w:val="superscript"/>
          <w:lang w:eastAsia="en-GB"/>
        </w:rPr>
        <w:t>2</w:t>
      </w:r>
      <w:r w:rsidRPr="001775D9">
        <w:rPr>
          <w:szCs w:val="22"/>
          <w:lang w:eastAsia="en-GB"/>
        </w:rPr>
        <w:t xml:space="preserve"> BSA of adalimumab up to a maximum of 40 mg every other week subcutaneously for up to an additional 192 weeks. The primary endpoint was the percent change from baseline to week 12 in the number of active joints with arthritis (swelling not due to deformity or joints with loss of motion plus pain and/or tenderness), which was achieved with mean percent decrease of -62.6% (median percent change -88.9%) in patients in the adalimumab group compared to -11.6% (median percent change -50.0%) in patients in the placebo group. Improvement in number of active joints with arthritis was maintained during the OL period through week </w:t>
      </w:r>
      <w:r w:rsidRPr="001775D9">
        <w:rPr>
          <w:szCs w:val="22"/>
        </w:rPr>
        <w:t>156 for the 26</w:t>
      </w:r>
      <w:r w:rsidRPr="001775D9">
        <w:rPr>
          <w:szCs w:val="22"/>
          <w:lang w:eastAsia="en-GB"/>
        </w:rPr>
        <w:t xml:space="preserve"> of </w:t>
      </w:r>
      <w:r w:rsidRPr="001775D9">
        <w:rPr>
          <w:szCs w:val="22"/>
        </w:rPr>
        <w:t xml:space="preserve">31 (84%) patients in the </w:t>
      </w:r>
      <w:r w:rsidRPr="001775D9">
        <w:rPr>
          <w:szCs w:val="22"/>
          <w:lang w:eastAsia="en-GB"/>
        </w:rPr>
        <w:t>adalimumab</w:t>
      </w:r>
      <w:r w:rsidRPr="001775D9">
        <w:rPr>
          <w:szCs w:val="22"/>
        </w:rPr>
        <w:t xml:space="preserve"> group who remained in </w:t>
      </w:r>
      <w:r w:rsidRPr="001775D9">
        <w:rPr>
          <w:szCs w:val="22"/>
          <w:lang w:eastAsia="en-GB"/>
        </w:rPr>
        <w:t>the study. Although not statistically significant, the majority of patients demonstrated clinical improvement in secondary endpoints such as number of sites of enthesitis, tender joint count (TJC), swollen joint count (SJC), paediatric ACR 50 response, and paediatric ACR 70 response.</w:t>
      </w:r>
    </w:p>
    <w:p w14:paraId="14298015" w14:textId="77777777" w:rsidR="00E5603E" w:rsidRPr="001775D9" w:rsidRDefault="00E5603E" w:rsidP="00E7046A">
      <w:pPr>
        <w:keepNext/>
        <w:tabs>
          <w:tab w:val="clear" w:pos="567"/>
        </w:tabs>
        <w:autoSpaceDE w:val="0"/>
        <w:autoSpaceDN w:val="0"/>
        <w:adjustRightInd w:val="0"/>
        <w:spacing w:line="240" w:lineRule="auto"/>
        <w:rPr>
          <w:color w:val="000000"/>
          <w:szCs w:val="22"/>
          <w:u w:val="single"/>
          <w:lang w:eastAsia="en-GB"/>
        </w:rPr>
      </w:pPr>
    </w:p>
    <w:p w14:paraId="5494FEEA" w14:textId="77777777" w:rsidR="00E5603E" w:rsidRPr="001775D9" w:rsidRDefault="00E5603E" w:rsidP="00E5603E">
      <w:pPr>
        <w:tabs>
          <w:tab w:val="clear" w:pos="567"/>
        </w:tabs>
        <w:autoSpaceDE w:val="0"/>
        <w:autoSpaceDN w:val="0"/>
        <w:adjustRightInd w:val="0"/>
        <w:spacing w:line="240" w:lineRule="auto"/>
        <w:rPr>
          <w:i/>
          <w:color w:val="000000"/>
          <w:szCs w:val="22"/>
        </w:rPr>
      </w:pPr>
      <w:r w:rsidRPr="001775D9">
        <w:rPr>
          <w:i/>
          <w:color w:val="000000"/>
          <w:szCs w:val="22"/>
        </w:rPr>
        <w:t xml:space="preserve">Paediatric plaque psoriasis </w:t>
      </w:r>
    </w:p>
    <w:p w14:paraId="73042BD3" w14:textId="77777777" w:rsidR="00E5603E" w:rsidRPr="001775D9" w:rsidRDefault="00E5603E" w:rsidP="00E5603E">
      <w:pPr>
        <w:tabs>
          <w:tab w:val="clear" w:pos="567"/>
        </w:tabs>
        <w:autoSpaceDE w:val="0"/>
        <w:autoSpaceDN w:val="0"/>
        <w:adjustRightInd w:val="0"/>
        <w:spacing w:line="240" w:lineRule="auto"/>
        <w:rPr>
          <w:color w:val="000000"/>
          <w:szCs w:val="22"/>
        </w:rPr>
      </w:pPr>
    </w:p>
    <w:p w14:paraId="02122F2C" w14:textId="6F9BC713" w:rsidR="00E5603E" w:rsidRPr="001775D9" w:rsidRDefault="00E5603E" w:rsidP="00E5603E">
      <w:pPr>
        <w:tabs>
          <w:tab w:val="clear" w:pos="567"/>
        </w:tabs>
        <w:autoSpaceDE w:val="0"/>
        <w:autoSpaceDN w:val="0"/>
        <w:adjustRightInd w:val="0"/>
        <w:spacing w:line="240" w:lineRule="auto"/>
        <w:rPr>
          <w:color w:val="000000"/>
          <w:szCs w:val="22"/>
        </w:rPr>
      </w:pPr>
      <w:r w:rsidRPr="001775D9">
        <w:rPr>
          <w:color w:val="000000"/>
          <w:szCs w:val="22"/>
        </w:rPr>
        <w:t xml:space="preserve">The efficacy of </w:t>
      </w:r>
      <w:r w:rsidRPr="001775D9">
        <w:rPr>
          <w:rFonts w:eastAsia="Times New Roman"/>
          <w:color w:val="000000"/>
          <w:szCs w:val="22"/>
        </w:rPr>
        <w:t>adalimumab</w:t>
      </w:r>
      <w:r w:rsidRPr="001775D9">
        <w:rPr>
          <w:color w:val="000000"/>
          <w:szCs w:val="22"/>
        </w:rPr>
        <w:t xml:space="preserve"> was assessed in a randomised, double-blind, controlled study of 114 paediatric patients from 4 years of age with severe chronic plaque psoriasis (as defined by a PGA ≥</w:t>
      </w:r>
      <w:r w:rsidR="003277C3" w:rsidRPr="001775D9">
        <w:rPr>
          <w:color w:val="000000"/>
          <w:szCs w:val="22"/>
        </w:rPr>
        <w:t> </w:t>
      </w:r>
      <w:r w:rsidRPr="001775D9">
        <w:rPr>
          <w:color w:val="000000"/>
          <w:szCs w:val="22"/>
        </w:rPr>
        <w:t>4 or</w:t>
      </w:r>
      <w:r w:rsidR="003277C3" w:rsidRPr="001775D9">
        <w:rPr>
          <w:color w:val="000000"/>
          <w:szCs w:val="22"/>
        </w:rPr>
        <w:t> </w:t>
      </w:r>
      <w:r w:rsidRPr="001775D9">
        <w:rPr>
          <w:color w:val="000000"/>
          <w:szCs w:val="22"/>
        </w:rPr>
        <w:t>&gt;</w:t>
      </w:r>
      <w:r w:rsidR="003277C3" w:rsidRPr="001775D9">
        <w:rPr>
          <w:color w:val="000000"/>
          <w:szCs w:val="22"/>
        </w:rPr>
        <w:t> </w:t>
      </w:r>
      <w:r w:rsidRPr="001775D9">
        <w:rPr>
          <w:color w:val="000000"/>
          <w:szCs w:val="22"/>
        </w:rPr>
        <w:t>20% BSA involvement or</w:t>
      </w:r>
      <w:r w:rsidR="003277C3" w:rsidRPr="001775D9">
        <w:rPr>
          <w:color w:val="000000"/>
          <w:szCs w:val="22"/>
        </w:rPr>
        <w:t> </w:t>
      </w:r>
      <w:r w:rsidRPr="001775D9">
        <w:rPr>
          <w:color w:val="000000"/>
          <w:szCs w:val="22"/>
        </w:rPr>
        <w:t>&gt;</w:t>
      </w:r>
      <w:r w:rsidR="003277C3" w:rsidRPr="001775D9">
        <w:rPr>
          <w:color w:val="000000"/>
          <w:szCs w:val="22"/>
        </w:rPr>
        <w:t> </w:t>
      </w:r>
      <w:r w:rsidRPr="001775D9">
        <w:rPr>
          <w:color w:val="000000"/>
          <w:szCs w:val="22"/>
        </w:rPr>
        <w:t>10% BSA involvement with very thick lesions or PASI</w:t>
      </w:r>
      <w:r w:rsidR="003277C3" w:rsidRPr="001775D9">
        <w:rPr>
          <w:color w:val="000000"/>
          <w:szCs w:val="22"/>
        </w:rPr>
        <w:t> </w:t>
      </w:r>
      <w:r w:rsidRPr="001775D9">
        <w:rPr>
          <w:color w:val="000000"/>
          <w:szCs w:val="22"/>
        </w:rPr>
        <w:t>≥</w:t>
      </w:r>
      <w:r w:rsidR="003277C3" w:rsidRPr="001775D9">
        <w:rPr>
          <w:color w:val="000000"/>
          <w:szCs w:val="22"/>
        </w:rPr>
        <w:t> </w:t>
      </w:r>
      <w:r w:rsidRPr="001775D9">
        <w:rPr>
          <w:color w:val="000000"/>
          <w:szCs w:val="22"/>
        </w:rPr>
        <w:t>20 or ≥ 10 with clinically relevant facial, genital, or hand/foot involvement) who were inadequately controlled with topical therapy and heliotherapy or phototherapy.</w:t>
      </w:r>
    </w:p>
    <w:p w14:paraId="0EA865A8" w14:textId="77777777" w:rsidR="00E5603E" w:rsidRPr="001775D9" w:rsidRDefault="00E5603E" w:rsidP="00E5603E">
      <w:pPr>
        <w:tabs>
          <w:tab w:val="clear" w:pos="567"/>
        </w:tabs>
        <w:autoSpaceDE w:val="0"/>
        <w:autoSpaceDN w:val="0"/>
        <w:adjustRightInd w:val="0"/>
        <w:spacing w:line="240" w:lineRule="auto"/>
        <w:rPr>
          <w:color w:val="000000"/>
          <w:szCs w:val="22"/>
        </w:rPr>
      </w:pPr>
    </w:p>
    <w:p w14:paraId="6D509A20" w14:textId="77777777" w:rsidR="00E5603E" w:rsidRPr="001775D9" w:rsidRDefault="00E5603E" w:rsidP="00E5603E">
      <w:pPr>
        <w:tabs>
          <w:tab w:val="clear" w:pos="567"/>
        </w:tabs>
        <w:autoSpaceDE w:val="0"/>
        <w:autoSpaceDN w:val="0"/>
        <w:adjustRightInd w:val="0"/>
        <w:spacing w:line="240" w:lineRule="auto"/>
        <w:rPr>
          <w:szCs w:val="22"/>
        </w:rPr>
      </w:pPr>
      <w:r w:rsidRPr="001775D9">
        <w:rPr>
          <w:szCs w:val="22"/>
        </w:rPr>
        <w:t xml:space="preserve">Patients received </w:t>
      </w:r>
      <w:r w:rsidRPr="001775D9">
        <w:rPr>
          <w:rFonts w:eastAsia="Times New Roman"/>
          <w:color w:val="000000"/>
          <w:szCs w:val="22"/>
        </w:rPr>
        <w:t>adalimumab</w:t>
      </w:r>
      <w:r w:rsidRPr="001775D9">
        <w:rPr>
          <w:szCs w:val="22"/>
        </w:rPr>
        <w:t xml:space="preserve"> 0.8</w:t>
      </w:r>
      <w:r w:rsidRPr="001775D9">
        <w:rPr>
          <w:color w:val="000000"/>
          <w:szCs w:val="22"/>
        </w:rPr>
        <w:t> </w:t>
      </w:r>
      <w:r w:rsidRPr="001775D9">
        <w:rPr>
          <w:szCs w:val="22"/>
        </w:rPr>
        <w:t>mg/kg every other week (up to 40</w:t>
      </w:r>
      <w:r w:rsidRPr="001775D9">
        <w:rPr>
          <w:color w:val="000000"/>
          <w:szCs w:val="22"/>
        </w:rPr>
        <w:t> </w:t>
      </w:r>
      <w:r w:rsidRPr="001775D9">
        <w:rPr>
          <w:szCs w:val="22"/>
        </w:rPr>
        <w:t>mg), 0.4</w:t>
      </w:r>
      <w:r w:rsidRPr="001775D9">
        <w:rPr>
          <w:color w:val="000000"/>
          <w:szCs w:val="22"/>
        </w:rPr>
        <w:t> </w:t>
      </w:r>
      <w:r w:rsidRPr="001775D9">
        <w:rPr>
          <w:szCs w:val="22"/>
        </w:rPr>
        <w:t>mg/kg every other week (up to 20</w:t>
      </w:r>
      <w:r w:rsidRPr="001775D9">
        <w:rPr>
          <w:color w:val="000000"/>
          <w:szCs w:val="22"/>
        </w:rPr>
        <w:t> </w:t>
      </w:r>
      <w:r w:rsidRPr="001775D9">
        <w:rPr>
          <w:szCs w:val="22"/>
        </w:rPr>
        <w:t>mg), or methotrexate 0.1–0.4</w:t>
      </w:r>
      <w:r w:rsidRPr="001775D9">
        <w:rPr>
          <w:color w:val="000000"/>
          <w:szCs w:val="22"/>
        </w:rPr>
        <w:t> </w:t>
      </w:r>
      <w:r w:rsidRPr="001775D9">
        <w:rPr>
          <w:szCs w:val="22"/>
        </w:rPr>
        <w:t>mg/kg weekly (up to 25</w:t>
      </w:r>
      <w:r w:rsidRPr="001775D9">
        <w:rPr>
          <w:color w:val="000000"/>
          <w:szCs w:val="22"/>
        </w:rPr>
        <w:t> </w:t>
      </w:r>
      <w:r w:rsidRPr="001775D9">
        <w:rPr>
          <w:szCs w:val="22"/>
        </w:rPr>
        <w:t xml:space="preserve">mg). At week 16, more patients randomised to </w:t>
      </w:r>
      <w:r w:rsidRPr="001775D9">
        <w:rPr>
          <w:rFonts w:eastAsia="Times New Roman"/>
          <w:color w:val="000000"/>
          <w:szCs w:val="22"/>
        </w:rPr>
        <w:t>adalimumab</w:t>
      </w:r>
      <w:r w:rsidRPr="001775D9">
        <w:rPr>
          <w:szCs w:val="22"/>
        </w:rPr>
        <w:t xml:space="preserve"> 0.8</w:t>
      </w:r>
      <w:r w:rsidRPr="001775D9">
        <w:rPr>
          <w:color w:val="000000"/>
          <w:szCs w:val="22"/>
        </w:rPr>
        <w:t> </w:t>
      </w:r>
      <w:r w:rsidRPr="001775D9">
        <w:rPr>
          <w:szCs w:val="22"/>
        </w:rPr>
        <w:t>mg/kg had positive efficacy responses (e.g. PASI 75) than those randomised to 0.4 mg/kg every other week or MTX.</w:t>
      </w:r>
    </w:p>
    <w:p w14:paraId="4835A207" w14:textId="77777777" w:rsidR="00E5603E" w:rsidRPr="001775D9" w:rsidRDefault="00E5603E" w:rsidP="00E5603E">
      <w:pPr>
        <w:tabs>
          <w:tab w:val="clear" w:pos="567"/>
        </w:tabs>
        <w:autoSpaceDE w:val="0"/>
        <w:autoSpaceDN w:val="0"/>
        <w:adjustRightInd w:val="0"/>
        <w:spacing w:line="240" w:lineRule="auto"/>
        <w:rPr>
          <w:szCs w:val="22"/>
          <w:u w:val="single"/>
          <w:lang w:eastAsia="en-GB"/>
        </w:rPr>
      </w:pPr>
    </w:p>
    <w:p w14:paraId="4C95CFAB" w14:textId="1307FE6B" w:rsidR="00E5603E" w:rsidRPr="00D55B59" w:rsidRDefault="00E5603E" w:rsidP="00E5603E">
      <w:pPr>
        <w:pStyle w:val="Default"/>
        <w:keepNext/>
        <w:rPr>
          <w:rFonts w:eastAsia="Times New Roman"/>
          <w:b/>
          <w:sz w:val="22"/>
          <w:szCs w:val="22"/>
          <w:lang w:val="en-GB" w:eastAsia="en-US"/>
          <w:rPrChange w:id="921" w:author="Author">
            <w:rPr>
              <w:rFonts w:eastAsia="Times New Roman"/>
              <w:b/>
              <w:sz w:val="22"/>
              <w:szCs w:val="22"/>
              <w:lang w:eastAsia="en-US"/>
            </w:rPr>
          </w:rPrChange>
        </w:rPr>
      </w:pPr>
      <w:r w:rsidRPr="00D55B59">
        <w:rPr>
          <w:b/>
          <w:bCs/>
          <w:sz w:val="22"/>
          <w:szCs w:val="22"/>
          <w:lang w:val="en-GB" w:eastAsia="en-GB"/>
          <w:rPrChange w:id="922" w:author="Author">
            <w:rPr>
              <w:b/>
              <w:bCs/>
              <w:sz w:val="22"/>
              <w:szCs w:val="22"/>
              <w:lang w:eastAsia="en-GB"/>
            </w:rPr>
          </w:rPrChange>
        </w:rPr>
        <w:t xml:space="preserve">Table </w:t>
      </w:r>
      <w:r w:rsidR="004D7CC1" w:rsidRPr="00D55B59">
        <w:rPr>
          <w:b/>
          <w:bCs/>
          <w:sz w:val="22"/>
          <w:szCs w:val="22"/>
          <w:lang w:val="en-GB" w:eastAsia="en-GB"/>
          <w:rPrChange w:id="923" w:author="Author">
            <w:rPr>
              <w:b/>
              <w:bCs/>
              <w:sz w:val="22"/>
              <w:szCs w:val="22"/>
              <w:lang w:eastAsia="en-GB"/>
            </w:rPr>
          </w:rPrChange>
        </w:rPr>
        <w:t>27</w:t>
      </w:r>
      <w:r w:rsidRPr="00D55B59">
        <w:rPr>
          <w:b/>
          <w:bCs/>
          <w:sz w:val="22"/>
          <w:szCs w:val="22"/>
          <w:lang w:val="en-GB" w:eastAsia="en-GB"/>
          <w:rPrChange w:id="924" w:author="Author">
            <w:rPr>
              <w:b/>
              <w:bCs/>
              <w:sz w:val="22"/>
              <w:szCs w:val="22"/>
              <w:lang w:eastAsia="en-GB"/>
            </w:rPr>
          </w:rPrChange>
        </w:rPr>
        <w:t xml:space="preserve">. </w:t>
      </w:r>
      <w:r w:rsidRPr="00D55B59">
        <w:rPr>
          <w:rFonts w:eastAsia="Times New Roman"/>
          <w:b/>
          <w:sz w:val="22"/>
          <w:szCs w:val="22"/>
          <w:lang w:val="en-GB" w:eastAsia="en-US"/>
          <w:rPrChange w:id="925" w:author="Author">
            <w:rPr>
              <w:rFonts w:eastAsia="Times New Roman"/>
              <w:b/>
              <w:sz w:val="22"/>
              <w:szCs w:val="22"/>
              <w:lang w:eastAsia="en-US"/>
            </w:rPr>
          </w:rPrChange>
        </w:rPr>
        <w:t xml:space="preserve">Paediatric plaque psoriasis efficacy results at 16 weeks </w:t>
      </w:r>
    </w:p>
    <w:p w14:paraId="2A4CA6E4" w14:textId="77777777" w:rsidR="00E5603E" w:rsidRPr="001775D9" w:rsidRDefault="00E5603E" w:rsidP="00E5603E">
      <w:pPr>
        <w:keepNext/>
        <w:tabs>
          <w:tab w:val="clear" w:pos="567"/>
        </w:tabs>
        <w:autoSpaceDE w:val="0"/>
        <w:autoSpaceDN w:val="0"/>
        <w:adjustRightInd w:val="0"/>
        <w:spacing w:line="240" w:lineRule="auto"/>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2694"/>
        <w:gridCol w:w="2976"/>
      </w:tblGrid>
      <w:tr w:rsidR="00E5603E" w:rsidRPr="00F04F82" w14:paraId="0C14FFC3" w14:textId="77777777" w:rsidTr="00486A05">
        <w:trPr>
          <w:trHeight w:val="437"/>
        </w:trPr>
        <w:tc>
          <w:tcPr>
            <w:tcW w:w="3402" w:type="dxa"/>
          </w:tcPr>
          <w:p w14:paraId="59AB5583" w14:textId="77777777" w:rsidR="00E5603E" w:rsidRPr="001775D9" w:rsidRDefault="00E5603E" w:rsidP="00486A05">
            <w:pPr>
              <w:keepNext/>
              <w:tabs>
                <w:tab w:val="clear" w:pos="567"/>
              </w:tabs>
              <w:autoSpaceDE w:val="0"/>
              <w:autoSpaceDN w:val="0"/>
              <w:adjustRightInd w:val="0"/>
              <w:spacing w:line="240" w:lineRule="auto"/>
              <w:rPr>
                <w:szCs w:val="22"/>
                <w:lang w:eastAsia="en-GB"/>
              </w:rPr>
            </w:pPr>
            <w:r w:rsidRPr="001775D9">
              <w:rPr>
                <w:bCs/>
                <w:szCs w:val="22"/>
                <w:lang w:eastAsia="en-GB"/>
              </w:rPr>
              <w:t xml:space="preserve"> </w:t>
            </w:r>
          </w:p>
        </w:tc>
        <w:tc>
          <w:tcPr>
            <w:tcW w:w="2694" w:type="dxa"/>
          </w:tcPr>
          <w:p w14:paraId="1CFC76E2" w14:textId="77777777" w:rsidR="00E5603E" w:rsidRPr="001775D9" w:rsidRDefault="00E5603E" w:rsidP="00486A05">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MTX</w:t>
            </w:r>
            <w:r w:rsidRPr="001775D9">
              <w:rPr>
                <w:b/>
                <w:bCs/>
                <w:szCs w:val="22"/>
                <w:vertAlign w:val="superscript"/>
                <w:lang w:eastAsia="en-GB"/>
              </w:rPr>
              <w:t>a</w:t>
            </w:r>
          </w:p>
          <w:p w14:paraId="1C696BFC" w14:textId="77777777" w:rsidR="00E5603E" w:rsidRPr="001775D9" w:rsidRDefault="00E5603E" w:rsidP="00486A05">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N = 37</w:t>
            </w:r>
          </w:p>
        </w:tc>
        <w:tc>
          <w:tcPr>
            <w:tcW w:w="2976" w:type="dxa"/>
          </w:tcPr>
          <w:p w14:paraId="136058A6" w14:textId="4018F8CF" w:rsidR="00E5603E" w:rsidRPr="001775D9" w:rsidRDefault="00E5603E" w:rsidP="00486A05">
            <w:pPr>
              <w:keepNext/>
              <w:tabs>
                <w:tab w:val="clear" w:pos="567"/>
              </w:tabs>
              <w:autoSpaceDE w:val="0"/>
              <w:autoSpaceDN w:val="0"/>
              <w:adjustRightInd w:val="0"/>
              <w:spacing w:line="240" w:lineRule="auto"/>
              <w:jc w:val="center"/>
              <w:rPr>
                <w:b/>
                <w:bCs/>
                <w:szCs w:val="22"/>
                <w:lang w:eastAsia="en-GB"/>
              </w:rPr>
            </w:pPr>
            <w:r w:rsidRPr="001775D9">
              <w:rPr>
                <w:rFonts w:eastAsia="Times New Roman"/>
                <w:b/>
                <w:color w:val="000000"/>
                <w:szCs w:val="22"/>
              </w:rPr>
              <w:t>Adalimumab</w:t>
            </w:r>
            <w:r w:rsidRPr="001775D9">
              <w:rPr>
                <w:b/>
                <w:bCs/>
                <w:szCs w:val="22"/>
                <w:lang w:eastAsia="en-GB"/>
              </w:rPr>
              <w:t xml:space="preserve"> 0.8</w:t>
            </w:r>
            <w:r w:rsidRPr="001775D9">
              <w:rPr>
                <w:color w:val="000000"/>
                <w:szCs w:val="22"/>
              </w:rPr>
              <w:t> </w:t>
            </w:r>
            <w:r w:rsidRPr="001775D9">
              <w:rPr>
                <w:b/>
                <w:bCs/>
                <w:szCs w:val="22"/>
                <w:lang w:eastAsia="en-GB"/>
              </w:rPr>
              <w:t xml:space="preserve">mg/kg </w:t>
            </w:r>
          </w:p>
          <w:p w14:paraId="052E0E55" w14:textId="72CE4D1D" w:rsidR="004E6F88" w:rsidRPr="001775D9" w:rsidRDefault="004E6F88" w:rsidP="00486A05">
            <w:pPr>
              <w:keepNext/>
              <w:tabs>
                <w:tab w:val="clear" w:pos="567"/>
              </w:tabs>
              <w:autoSpaceDE w:val="0"/>
              <w:autoSpaceDN w:val="0"/>
              <w:adjustRightInd w:val="0"/>
              <w:spacing w:line="240" w:lineRule="auto"/>
              <w:jc w:val="center"/>
              <w:rPr>
                <w:b/>
                <w:szCs w:val="22"/>
                <w:lang w:eastAsia="en-GB"/>
              </w:rPr>
            </w:pPr>
            <w:r w:rsidRPr="001775D9">
              <w:rPr>
                <w:b/>
                <w:szCs w:val="22"/>
                <w:lang w:eastAsia="en-GB"/>
              </w:rPr>
              <w:t>every other week</w:t>
            </w:r>
          </w:p>
          <w:p w14:paraId="72359153" w14:textId="77777777" w:rsidR="00E5603E" w:rsidRPr="001775D9" w:rsidRDefault="00E5603E" w:rsidP="00486A05">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N</w:t>
            </w:r>
            <w:r w:rsidRPr="001775D9">
              <w:rPr>
                <w:b/>
                <w:szCs w:val="22"/>
              </w:rPr>
              <w:t> </w:t>
            </w:r>
            <w:r w:rsidRPr="001775D9">
              <w:rPr>
                <w:b/>
                <w:bCs/>
                <w:szCs w:val="22"/>
                <w:lang w:eastAsia="en-GB"/>
              </w:rPr>
              <w:t>=</w:t>
            </w:r>
            <w:r w:rsidRPr="001775D9">
              <w:rPr>
                <w:b/>
                <w:szCs w:val="22"/>
              </w:rPr>
              <w:t> </w:t>
            </w:r>
            <w:r w:rsidRPr="001775D9">
              <w:rPr>
                <w:b/>
                <w:bCs/>
                <w:szCs w:val="22"/>
                <w:lang w:eastAsia="en-GB"/>
              </w:rPr>
              <w:t>38</w:t>
            </w:r>
          </w:p>
        </w:tc>
      </w:tr>
      <w:tr w:rsidR="00E5603E" w:rsidRPr="00F04F82" w14:paraId="23149451" w14:textId="77777777" w:rsidTr="00486A05">
        <w:trPr>
          <w:trHeight w:val="162"/>
        </w:trPr>
        <w:tc>
          <w:tcPr>
            <w:tcW w:w="3402" w:type="dxa"/>
          </w:tcPr>
          <w:p w14:paraId="1CA490D1" w14:textId="77777777" w:rsidR="00E5603E" w:rsidRPr="001775D9" w:rsidRDefault="00E5603E" w:rsidP="00486A05">
            <w:pPr>
              <w:keepNext/>
              <w:tabs>
                <w:tab w:val="clear" w:pos="567"/>
              </w:tabs>
              <w:autoSpaceDE w:val="0"/>
              <w:autoSpaceDN w:val="0"/>
              <w:adjustRightInd w:val="0"/>
              <w:spacing w:line="240" w:lineRule="auto"/>
              <w:rPr>
                <w:szCs w:val="22"/>
                <w:lang w:eastAsia="en-GB"/>
              </w:rPr>
            </w:pPr>
            <w:r w:rsidRPr="001775D9">
              <w:rPr>
                <w:szCs w:val="22"/>
                <w:lang w:eastAsia="en-GB"/>
              </w:rPr>
              <w:t>PASI 75</w:t>
            </w:r>
            <w:r w:rsidRPr="001775D9">
              <w:rPr>
                <w:szCs w:val="22"/>
                <w:vertAlign w:val="superscript"/>
                <w:lang w:eastAsia="en-GB"/>
              </w:rPr>
              <w:t>b</w:t>
            </w:r>
            <w:r w:rsidRPr="001775D9">
              <w:rPr>
                <w:szCs w:val="22"/>
                <w:lang w:eastAsia="en-GB"/>
              </w:rPr>
              <w:t xml:space="preserve"> </w:t>
            </w:r>
          </w:p>
        </w:tc>
        <w:tc>
          <w:tcPr>
            <w:tcW w:w="2694" w:type="dxa"/>
          </w:tcPr>
          <w:p w14:paraId="70546582" w14:textId="77777777" w:rsidR="00E5603E" w:rsidRPr="001775D9" w:rsidRDefault="00E5603E" w:rsidP="00486A05">
            <w:pPr>
              <w:keepNext/>
              <w:tabs>
                <w:tab w:val="clear" w:pos="567"/>
              </w:tabs>
              <w:autoSpaceDE w:val="0"/>
              <w:autoSpaceDN w:val="0"/>
              <w:adjustRightInd w:val="0"/>
              <w:spacing w:line="240" w:lineRule="auto"/>
              <w:jc w:val="center"/>
              <w:rPr>
                <w:szCs w:val="22"/>
                <w:lang w:eastAsia="en-GB"/>
              </w:rPr>
            </w:pPr>
            <w:r w:rsidRPr="001775D9">
              <w:rPr>
                <w:szCs w:val="22"/>
              </w:rPr>
              <w:t xml:space="preserve">12 (32.4%) </w:t>
            </w:r>
          </w:p>
        </w:tc>
        <w:tc>
          <w:tcPr>
            <w:tcW w:w="2976" w:type="dxa"/>
          </w:tcPr>
          <w:p w14:paraId="70C72648" w14:textId="77777777" w:rsidR="00E5603E" w:rsidRPr="001775D9" w:rsidRDefault="00E5603E" w:rsidP="00486A05">
            <w:pPr>
              <w:keepNext/>
              <w:tabs>
                <w:tab w:val="clear" w:pos="567"/>
              </w:tabs>
              <w:autoSpaceDE w:val="0"/>
              <w:autoSpaceDN w:val="0"/>
              <w:adjustRightInd w:val="0"/>
              <w:spacing w:line="240" w:lineRule="auto"/>
              <w:jc w:val="center"/>
              <w:rPr>
                <w:szCs w:val="22"/>
                <w:lang w:eastAsia="en-GB"/>
              </w:rPr>
            </w:pPr>
            <w:r w:rsidRPr="001775D9">
              <w:rPr>
                <w:szCs w:val="22"/>
              </w:rPr>
              <w:t xml:space="preserve">22 (57.9%) </w:t>
            </w:r>
          </w:p>
        </w:tc>
      </w:tr>
      <w:tr w:rsidR="00E5603E" w:rsidRPr="00F04F82" w14:paraId="04509817" w14:textId="77777777" w:rsidTr="00486A05">
        <w:trPr>
          <w:trHeight w:val="162"/>
        </w:trPr>
        <w:tc>
          <w:tcPr>
            <w:tcW w:w="3402" w:type="dxa"/>
            <w:tcBorders>
              <w:bottom w:val="single" w:sz="4" w:space="0" w:color="auto"/>
            </w:tcBorders>
          </w:tcPr>
          <w:p w14:paraId="678A9A26" w14:textId="77777777" w:rsidR="00E5603E" w:rsidRPr="001775D9" w:rsidRDefault="00E5603E" w:rsidP="00486A05">
            <w:pPr>
              <w:keepNext/>
              <w:tabs>
                <w:tab w:val="clear" w:pos="567"/>
              </w:tabs>
              <w:autoSpaceDE w:val="0"/>
              <w:autoSpaceDN w:val="0"/>
              <w:adjustRightInd w:val="0"/>
              <w:spacing w:line="240" w:lineRule="auto"/>
              <w:rPr>
                <w:szCs w:val="22"/>
                <w:lang w:eastAsia="en-GB"/>
              </w:rPr>
            </w:pPr>
            <w:r w:rsidRPr="001775D9">
              <w:rPr>
                <w:bCs/>
                <w:szCs w:val="22"/>
                <w:lang w:eastAsia="en-GB"/>
              </w:rPr>
              <w:t>PGA: Clear/minimal</w:t>
            </w:r>
            <w:r w:rsidRPr="001775D9">
              <w:rPr>
                <w:szCs w:val="22"/>
                <w:vertAlign w:val="superscript"/>
                <w:lang w:eastAsia="en-GB"/>
              </w:rPr>
              <w:t>c</w:t>
            </w:r>
          </w:p>
        </w:tc>
        <w:tc>
          <w:tcPr>
            <w:tcW w:w="2694" w:type="dxa"/>
            <w:tcBorders>
              <w:bottom w:val="single" w:sz="4" w:space="0" w:color="auto"/>
            </w:tcBorders>
          </w:tcPr>
          <w:p w14:paraId="4B48A2E2" w14:textId="77777777" w:rsidR="00E5603E" w:rsidRPr="001775D9" w:rsidRDefault="00E5603E" w:rsidP="00486A05">
            <w:pPr>
              <w:keepNext/>
              <w:tabs>
                <w:tab w:val="clear" w:pos="567"/>
              </w:tabs>
              <w:autoSpaceDE w:val="0"/>
              <w:autoSpaceDN w:val="0"/>
              <w:adjustRightInd w:val="0"/>
              <w:spacing w:line="240" w:lineRule="auto"/>
              <w:jc w:val="center"/>
              <w:rPr>
                <w:szCs w:val="22"/>
                <w:lang w:eastAsia="en-GB"/>
              </w:rPr>
            </w:pPr>
            <w:r w:rsidRPr="001775D9">
              <w:rPr>
                <w:szCs w:val="22"/>
              </w:rPr>
              <w:t xml:space="preserve">15 (40.5%) </w:t>
            </w:r>
          </w:p>
        </w:tc>
        <w:tc>
          <w:tcPr>
            <w:tcW w:w="2976" w:type="dxa"/>
            <w:tcBorders>
              <w:bottom w:val="single" w:sz="4" w:space="0" w:color="auto"/>
            </w:tcBorders>
          </w:tcPr>
          <w:p w14:paraId="3C9D9457" w14:textId="77777777" w:rsidR="00E5603E" w:rsidRPr="001775D9" w:rsidRDefault="00E5603E" w:rsidP="00486A05">
            <w:pPr>
              <w:keepNext/>
              <w:tabs>
                <w:tab w:val="clear" w:pos="567"/>
              </w:tabs>
              <w:autoSpaceDE w:val="0"/>
              <w:autoSpaceDN w:val="0"/>
              <w:adjustRightInd w:val="0"/>
              <w:spacing w:line="240" w:lineRule="auto"/>
              <w:jc w:val="center"/>
              <w:rPr>
                <w:szCs w:val="22"/>
                <w:lang w:eastAsia="en-GB"/>
              </w:rPr>
            </w:pPr>
            <w:r w:rsidRPr="001775D9">
              <w:rPr>
                <w:szCs w:val="22"/>
              </w:rPr>
              <w:t xml:space="preserve">23 (60.5%) </w:t>
            </w:r>
          </w:p>
        </w:tc>
      </w:tr>
      <w:tr w:rsidR="00E5603E" w:rsidRPr="00F04F82" w14:paraId="21FF6A20" w14:textId="77777777" w:rsidTr="00486A05">
        <w:trPr>
          <w:trHeight w:val="306"/>
        </w:trPr>
        <w:tc>
          <w:tcPr>
            <w:tcW w:w="9072" w:type="dxa"/>
            <w:gridSpan w:val="3"/>
            <w:tcBorders>
              <w:top w:val="single" w:sz="4" w:space="0" w:color="auto"/>
              <w:left w:val="nil"/>
              <w:bottom w:val="nil"/>
              <w:right w:val="nil"/>
            </w:tcBorders>
          </w:tcPr>
          <w:p w14:paraId="22E74C9A" w14:textId="77777777" w:rsidR="00E5603E" w:rsidRPr="00D55B59" w:rsidRDefault="00E5603E" w:rsidP="00486A05">
            <w:pPr>
              <w:pStyle w:val="Default"/>
              <w:keepNext/>
              <w:rPr>
                <w:sz w:val="20"/>
                <w:szCs w:val="20"/>
                <w:lang w:val="en-GB"/>
                <w:rPrChange w:id="926" w:author="Author">
                  <w:rPr>
                    <w:sz w:val="20"/>
                    <w:szCs w:val="20"/>
                  </w:rPr>
                </w:rPrChange>
              </w:rPr>
            </w:pPr>
            <w:r w:rsidRPr="00D55B59">
              <w:rPr>
                <w:sz w:val="20"/>
                <w:szCs w:val="20"/>
                <w:vertAlign w:val="superscript"/>
                <w:lang w:val="en-GB"/>
                <w:rPrChange w:id="927" w:author="Author">
                  <w:rPr>
                    <w:sz w:val="20"/>
                    <w:szCs w:val="20"/>
                    <w:vertAlign w:val="superscript"/>
                  </w:rPr>
                </w:rPrChange>
              </w:rPr>
              <w:t xml:space="preserve">a </w:t>
            </w:r>
            <w:r w:rsidRPr="00D55B59">
              <w:rPr>
                <w:sz w:val="20"/>
                <w:szCs w:val="20"/>
                <w:lang w:val="en-GB"/>
                <w:rPrChange w:id="928" w:author="Author">
                  <w:rPr>
                    <w:sz w:val="20"/>
                    <w:szCs w:val="20"/>
                  </w:rPr>
                </w:rPrChange>
              </w:rPr>
              <w:t xml:space="preserve">MTX = methotrexate </w:t>
            </w:r>
          </w:p>
          <w:p w14:paraId="1E7263CC" w14:textId="77777777" w:rsidR="00E5603E" w:rsidRPr="00D55B59" w:rsidRDefault="00E5603E" w:rsidP="00486A05">
            <w:pPr>
              <w:pStyle w:val="Default"/>
              <w:keepNext/>
              <w:rPr>
                <w:sz w:val="20"/>
                <w:szCs w:val="20"/>
                <w:lang w:val="en-GB"/>
                <w:rPrChange w:id="929" w:author="Author">
                  <w:rPr>
                    <w:sz w:val="20"/>
                    <w:szCs w:val="20"/>
                  </w:rPr>
                </w:rPrChange>
              </w:rPr>
            </w:pPr>
            <w:r w:rsidRPr="00D55B59">
              <w:rPr>
                <w:sz w:val="20"/>
                <w:szCs w:val="20"/>
                <w:vertAlign w:val="superscript"/>
                <w:lang w:val="en-GB"/>
                <w:rPrChange w:id="930" w:author="Author">
                  <w:rPr>
                    <w:sz w:val="20"/>
                    <w:szCs w:val="20"/>
                    <w:vertAlign w:val="superscript"/>
                  </w:rPr>
                </w:rPrChange>
              </w:rPr>
              <w:t xml:space="preserve">b </w:t>
            </w:r>
            <w:r w:rsidRPr="00D55B59">
              <w:rPr>
                <w:sz w:val="20"/>
                <w:szCs w:val="20"/>
                <w:lang w:val="en-GB"/>
                <w:rPrChange w:id="931" w:author="Author">
                  <w:rPr>
                    <w:sz w:val="20"/>
                    <w:szCs w:val="20"/>
                  </w:rPr>
                </w:rPrChange>
              </w:rPr>
              <w:t xml:space="preserve">P = 0.027, </w:t>
            </w:r>
            <w:r w:rsidRPr="00D55B59">
              <w:rPr>
                <w:rFonts w:eastAsia="Times New Roman"/>
                <w:sz w:val="20"/>
                <w:szCs w:val="20"/>
                <w:lang w:val="en-GB"/>
                <w:rPrChange w:id="932" w:author="Author">
                  <w:rPr>
                    <w:rFonts w:eastAsia="Times New Roman"/>
                    <w:sz w:val="20"/>
                    <w:szCs w:val="20"/>
                  </w:rPr>
                </w:rPrChange>
              </w:rPr>
              <w:t>adalimumab</w:t>
            </w:r>
            <w:r w:rsidRPr="00D55B59">
              <w:rPr>
                <w:sz w:val="20"/>
                <w:szCs w:val="20"/>
                <w:lang w:val="en-GB"/>
                <w:rPrChange w:id="933" w:author="Author">
                  <w:rPr>
                    <w:sz w:val="20"/>
                    <w:szCs w:val="20"/>
                  </w:rPr>
                </w:rPrChange>
              </w:rPr>
              <w:t xml:space="preserve"> 0.8 mg/kg versus MTX </w:t>
            </w:r>
          </w:p>
          <w:p w14:paraId="256B5743" w14:textId="77777777" w:rsidR="00E5603E" w:rsidRPr="00D55B59" w:rsidRDefault="00E5603E" w:rsidP="00486A05">
            <w:pPr>
              <w:keepNext/>
              <w:tabs>
                <w:tab w:val="clear" w:pos="567"/>
              </w:tabs>
              <w:autoSpaceDE w:val="0"/>
              <w:autoSpaceDN w:val="0"/>
              <w:adjustRightInd w:val="0"/>
              <w:spacing w:line="240" w:lineRule="auto"/>
              <w:rPr>
                <w:sz w:val="20"/>
                <w:lang w:eastAsia="en-GB"/>
                <w:rPrChange w:id="934" w:author="Author">
                  <w:rPr>
                    <w:sz w:val="20"/>
                    <w:lang w:val="de-DE" w:eastAsia="en-GB"/>
                  </w:rPr>
                </w:rPrChange>
              </w:rPr>
            </w:pPr>
            <w:r w:rsidRPr="00D55B59">
              <w:rPr>
                <w:sz w:val="20"/>
                <w:vertAlign w:val="superscript"/>
                <w:rPrChange w:id="935" w:author="Author">
                  <w:rPr>
                    <w:sz w:val="20"/>
                    <w:vertAlign w:val="superscript"/>
                    <w:lang w:val="de-DE"/>
                  </w:rPr>
                </w:rPrChange>
              </w:rPr>
              <w:t xml:space="preserve">c </w:t>
            </w:r>
            <w:r w:rsidRPr="00D55B59">
              <w:rPr>
                <w:sz w:val="20"/>
                <w:rPrChange w:id="936" w:author="Author">
                  <w:rPr>
                    <w:sz w:val="20"/>
                    <w:lang w:val="de-DE"/>
                  </w:rPr>
                </w:rPrChange>
              </w:rPr>
              <w:t xml:space="preserve">P = 0.083, </w:t>
            </w:r>
            <w:r w:rsidRPr="00D55B59">
              <w:rPr>
                <w:rFonts w:eastAsia="Times New Roman"/>
                <w:color w:val="000000"/>
                <w:sz w:val="20"/>
                <w:rPrChange w:id="937" w:author="Author">
                  <w:rPr>
                    <w:rFonts w:eastAsia="Times New Roman"/>
                    <w:color w:val="000000"/>
                    <w:sz w:val="20"/>
                    <w:lang w:val="de-DE"/>
                  </w:rPr>
                </w:rPrChange>
              </w:rPr>
              <w:t>adalimumab</w:t>
            </w:r>
            <w:r w:rsidRPr="00D55B59">
              <w:rPr>
                <w:sz w:val="20"/>
                <w:rPrChange w:id="938" w:author="Author">
                  <w:rPr>
                    <w:sz w:val="20"/>
                    <w:lang w:val="de-DE"/>
                  </w:rPr>
                </w:rPrChange>
              </w:rPr>
              <w:t xml:space="preserve"> 0.8</w:t>
            </w:r>
            <w:r w:rsidRPr="00D55B59">
              <w:rPr>
                <w:color w:val="000000"/>
                <w:szCs w:val="22"/>
                <w:rPrChange w:id="939" w:author="Author">
                  <w:rPr>
                    <w:color w:val="000000"/>
                    <w:szCs w:val="22"/>
                    <w:lang w:val="de-DE"/>
                  </w:rPr>
                </w:rPrChange>
              </w:rPr>
              <w:t> </w:t>
            </w:r>
            <w:r w:rsidRPr="00D55B59">
              <w:rPr>
                <w:sz w:val="20"/>
                <w:rPrChange w:id="940" w:author="Author">
                  <w:rPr>
                    <w:sz w:val="20"/>
                    <w:lang w:val="de-DE"/>
                  </w:rPr>
                </w:rPrChange>
              </w:rPr>
              <w:t xml:space="preserve">mg/kg versus MTX </w:t>
            </w:r>
          </w:p>
        </w:tc>
      </w:tr>
    </w:tbl>
    <w:p w14:paraId="5E971DB9" w14:textId="77777777" w:rsidR="00E5603E" w:rsidRPr="00D55B59" w:rsidRDefault="00E5603E" w:rsidP="00E5603E">
      <w:pPr>
        <w:tabs>
          <w:tab w:val="clear" w:pos="567"/>
        </w:tabs>
        <w:autoSpaceDE w:val="0"/>
        <w:autoSpaceDN w:val="0"/>
        <w:adjustRightInd w:val="0"/>
        <w:spacing w:line="240" w:lineRule="auto"/>
        <w:rPr>
          <w:szCs w:val="22"/>
          <w:rPrChange w:id="941" w:author="Author">
            <w:rPr>
              <w:szCs w:val="22"/>
              <w:lang w:val="de-DE"/>
            </w:rPr>
          </w:rPrChange>
        </w:rPr>
      </w:pPr>
    </w:p>
    <w:p w14:paraId="665C22B6" w14:textId="77777777" w:rsidR="00E5603E" w:rsidRPr="001775D9" w:rsidRDefault="00E5603E" w:rsidP="00E5603E">
      <w:pPr>
        <w:tabs>
          <w:tab w:val="clear" w:pos="567"/>
        </w:tabs>
        <w:autoSpaceDE w:val="0"/>
        <w:autoSpaceDN w:val="0"/>
        <w:adjustRightInd w:val="0"/>
        <w:spacing w:line="240" w:lineRule="auto"/>
        <w:rPr>
          <w:color w:val="000000"/>
          <w:szCs w:val="22"/>
        </w:rPr>
      </w:pPr>
      <w:r w:rsidRPr="001775D9">
        <w:rPr>
          <w:color w:val="000000"/>
          <w:szCs w:val="22"/>
        </w:rPr>
        <w:t xml:space="preserve">Patients who achieved PASI 75 and PGA clear or minimal were withdrawn from treatment for up to 36 weeks and monitored for loss of disease control (i.e. a worsening of PGA by at least 2 grades). Patients were then retreated with adalimumab 0.8 mg/kg </w:t>
      </w:r>
      <w:r w:rsidRPr="001775D9">
        <w:rPr>
          <w:szCs w:val="22"/>
        </w:rPr>
        <w:t xml:space="preserve">every other week </w:t>
      </w:r>
      <w:r w:rsidRPr="001775D9">
        <w:rPr>
          <w:color w:val="000000"/>
          <w:szCs w:val="22"/>
        </w:rPr>
        <w:t xml:space="preserve">for an additional 16 weeks and response rates observed during retreatment were similar to the previous double-blind period: PASI 75 response of 78.9% (15 of 19 subjects) and PGA clear or minimal of 52.6% (10 of 19 subjects). </w:t>
      </w:r>
    </w:p>
    <w:p w14:paraId="77AC9E85" w14:textId="77777777" w:rsidR="00E5603E" w:rsidRPr="001775D9" w:rsidRDefault="00E5603E" w:rsidP="00E5603E">
      <w:pPr>
        <w:tabs>
          <w:tab w:val="clear" w:pos="567"/>
        </w:tabs>
        <w:autoSpaceDE w:val="0"/>
        <w:autoSpaceDN w:val="0"/>
        <w:adjustRightInd w:val="0"/>
        <w:spacing w:line="240" w:lineRule="auto"/>
        <w:rPr>
          <w:color w:val="000000"/>
          <w:szCs w:val="22"/>
        </w:rPr>
      </w:pPr>
    </w:p>
    <w:p w14:paraId="344A3E91" w14:textId="4883DE67" w:rsidR="00E5603E" w:rsidRPr="001775D9" w:rsidRDefault="00E5603E" w:rsidP="00E5603E">
      <w:pPr>
        <w:tabs>
          <w:tab w:val="clear" w:pos="567"/>
        </w:tabs>
        <w:autoSpaceDE w:val="0"/>
        <w:autoSpaceDN w:val="0"/>
        <w:adjustRightInd w:val="0"/>
        <w:spacing w:line="240" w:lineRule="auto"/>
        <w:rPr>
          <w:color w:val="000000"/>
          <w:szCs w:val="22"/>
        </w:rPr>
      </w:pPr>
      <w:r w:rsidRPr="001775D9">
        <w:rPr>
          <w:color w:val="000000"/>
          <w:szCs w:val="22"/>
        </w:rPr>
        <w:t>In the open-label period of the study, PASI 75 and PGA clear or minimal responses were maintained for up to an additional 52 weeks with no new safety findings.</w:t>
      </w:r>
    </w:p>
    <w:p w14:paraId="05F7E452" w14:textId="11FEDB88" w:rsidR="00375960" w:rsidRPr="001775D9" w:rsidRDefault="00375960" w:rsidP="00E5603E">
      <w:pPr>
        <w:tabs>
          <w:tab w:val="clear" w:pos="567"/>
        </w:tabs>
        <w:autoSpaceDE w:val="0"/>
        <w:autoSpaceDN w:val="0"/>
        <w:adjustRightInd w:val="0"/>
        <w:spacing w:line="240" w:lineRule="auto"/>
        <w:rPr>
          <w:color w:val="000000"/>
          <w:szCs w:val="22"/>
        </w:rPr>
      </w:pPr>
    </w:p>
    <w:p w14:paraId="10D0BA4A" w14:textId="77777777" w:rsidR="00375960" w:rsidRPr="001775D9" w:rsidRDefault="00375960" w:rsidP="00375960">
      <w:pPr>
        <w:shd w:val="clear" w:color="auto" w:fill="FFFFFF"/>
        <w:tabs>
          <w:tab w:val="clear" w:pos="567"/>
        </w:tabs>
        <w:spacing w:line="240" w:lineRule="auto"/>
        <w:rPr>
          <w:rFonts w:eastAsia="Times New Roman"/>
          <w:i/>
          <w:color w:val="000000"/>
          <w:szCs w:val="22"/>
        </w:rPr>
      </w:pPr>
      <w:r w:rsidRPr="001775D9">
        <w:rPr>
          <w:rFonts w:eastAsia="Times New Roman"/>
          <w:i/>
          <w:color w:val="000000"/>
          <w:szCs w:val="22"/>
        </w:rPr>
        <w:t>Adolescent hidradenitis suppurativa</w:t>
      </w:r>
    </w:p>
    <w:p w14:paraId="32875DDC" w14:textId="77777777" w:rsidR="00375960" w:rsidRPr="001775D9" w:rsidRDefault="00375960" w:rsidP="00375960">
      <w:pPr>
        <w:shd w:val="clear" w:color="auto" w:fill="FFFFFF"/>
        <w:tabs>
          <w:tab w:val="clear" w:pos="567"/>
        </w:tabs>
        <w:spacing w:line="240" w:lineRule="auto"/>
        <w:rPr>
          <w:rFonts w:eastAsia="Times New Roman"/>
          <w:color w:val="000000"/>
          <w:szCs w:val="22"/>
        </w:rPr>
      </w:pPr>
    </w:p>
    <w:p w14:paraId="0E288483" w14:textId="77777777" w:rsidR="00375960" w:rsidRPr="001775D9" w:rsidRDefault="00375960" w:rsidP="00375960">
      <w:pPr>
        <w:tabs>
          <w:tab w:val="clear" w:pos="567"/>
        </w:tabs>
        <w:autoSpaceDE w:val="0"/>
        <w:autoSpaceDN w:val="0"/>
        <w:adjustRightInd w:val="0"/>
        <w:spacing w:line="240" w:lineRule="auto"/>
        <w:rPr>
          <w:rFonts w:eastAsia="TimesNewRoman,Bold"/>
          <w:bCs/>
          <w:szCs w:val="22"/>
        </w:rPr>
      </w:pPr>
      <w:r w:rsidRPr="001775D9">
        <w:rPr>
          <w:rFonts w:eastAsia="Times New Roman"/>
          <w:color w:val="000000"/>
          <w:szCs w:val="22"/>
        </w:rPr>
        <w:t>There are no clinical trials with adalimumab in adolescent patients with HS. Efficacy of adalimumab for the treatment of adolescent patients with HS is predicted based on the demonstrated efficacy and exposure-response relationship in adult HS patients and the likelihood that the disease course, pathophysiology, and drug effects are substantially similar to that of adults at the same exposure levels. Safety of the recommended adalimumab dose in the adolescent HS population is based on cross-indication safety profile of adalimumab in both adults and paediatric patients at similar or more frequent doses (see section 5.2).</w:t>
      </w:r>
    </w:p>
    <w:p w14:paraId="7938BDA7" w14:textId="437042EC" w:rsidR="00375960" w:rsidRPr="001775D9" w:rsidRDefault="00375960" w:rsidP="00E5603E">
      <w:pPr>
        <w:tabs>
          <w:tab w:val="clear" w:pos="567"/>
        </w:tabs>
        <w:autoSpaceDE w:val="0"/>
        <w:autoSpaceDN w:val="0"/>
        <w:adjustRightInd w:val="0"/>
        <w:spacing w:line="240" w:lineRule="auto"/>
        <w:rPr>
          <w:color w:val="000000"/>
          <w:szCs w:val="22"/>
        </w:rPr>
      </w:pPr>
    </w:p>
    <w:p w14:paraId="708B2B47" w14:textId="77777777" w:rsidR="00317748" w:rsidRPr="001775D9" w:rsidRDefault="00317748" w:rsidP="00317748">
      <w:pPr>
        <w:tabs>
          <w:tab w:val="clear" w:pos="567"/>
        </w:tabs>
        <w:autoSpaceDE w:val="0"/>
        <w:autoSpaceDN w:val="0"/>
        <w:adjustRightInd w:val="0"/>
        <w:spacing w:line="240" w:lineRule="auto"/>
        <w:rPr>
          <w:i/>
          <w:szCs w:val="22"/>
          <w:lang w:eastAsia="en-GB"/>
        </w:rPr>
      </w:pPr>
      <w:r w:rsidRPr="001775D9">
        <w:rPr>
          <w:i/>
          <w:szCs w:val="22"/>
          <w:lang w:eastAsia="en-GB"/>
        </w:rPr>
        <w:t xml:space="preserve">Paediatric Crohn’s disease </w:t>
      </w:r>
    </w:p>
    <w:p w14:paraId="260839DB"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24A0522A" w14:textId="77777777" w:rsidR="00317748" w:rsidRPr="001775D9" w:rsidRDefault="00317748" w:rsidP="00317748">
      <w:pPr>
        <w:tabs>
          <w:tab w:val="clear" w:pos="567"/>
        </w:tabs>
        <w:autoSpaceDE w:val="0"/>
        <w:autoSpaceDN w:val="0"/>
        <w:adjustRightInd w:val="0"/>
        <w:spacing w:line="240" w:lineRule="auto"/>
        <w:rPr>
          <w:color w:val="000000"/>
          <w:szCs w:val="22"/>
          <w:lang w:eastAsia="en-GB"/>
        </w:rPr>
      </w:pPr>
      <w:r w:rsidRPr="001775D9">
        <w:rPr>
          <w:rFonts w:eastAsia="Times New Roman"/>
          <w:color w:val="000000"/>
          <w:szCs w:val="22"/>
        </w:rPr>
        <w:t>Adalimumab</w:t>
      </w:r>
      <w:r w:rsidRPr="001775D9">
        <w:rPr>
          <w:szCs w:val="22"/>
          <w:lang w:eastAsia="en-GB"/>
        </w:rPr>
        <w:t xml:space="preserve"> was assessed in a multicentre, randomised, double-blind clinical trial designed to evaluate the efficacy and safety of induction and maintenance treatment with doses dependent on body weight (&lt;</w:t>
      </w:r>
      <w:r w:rsidRPr="001775D9">
        <w:rPr>
          <w:szCs w:val="22"/>
        </w:rPr>
        <w:t> </w:t>
      </w:r>
      <w:r w:rsidRPr="001775D9">
        <w:rPr>
          <w:szCs w:val="22"/>
          <w:lang w:eastAsia="en-GB"/>
        </w:rPr>
        <w:t>40</w:t>
      </w:r>
      <w:r w:rsidRPr="001775D9">
        <w:rPr>
          <w:szCs w:val="22"/>
        </w:rPr>
        <w:t> </w:t>
      </w:r>
      <w:r w:rsidRPr="001775D9">
        <w:rPr>
          <w:szCs w:val="22"/>
          <w:lang w:eastAsia="en-GB"/>
        </w:rPr>
        <w:t>kg or ≥</w:t>
      </w:r>
      <w:r w:rsidRPr="001775D9">
        <w:rPr>
          <w:szCs w:val="22"/>
        </w:rPr>
        <w:t> </w:t>
      </w:r>
      <w:r w:rsidRPr="001775D9">
        <w:rPr>
          <w:szCs w:val="22"/>
          <w:lang w:eastAsia="en-GB"/>
        </w:rPr>
        <w:t>40</w:t>
      </w:r>
      <w:r w:rsidRPr="001775D9">
        <w:rPr>
          <w:szCs w:val="22"/>
        </w:rPr>
        <w:t> </w:t>
      </w:r>
      <w:r w:rsidRPr="001775D9">
        <w:rPr>
          <w:szCs w:val="22"/>
          <w:lang w:eastAsia="en-GB"/>
        </w:rPr>
        <w:t>kg) in 192 paediatric subjects between the ages of 6 and 17 (inclusive) years, with moderate to severe Crohn´s disease (CD) defined as Paediatric Crohn's Disease Activity Index (PCDAI) score &gt;</w:t>
      </w:r>
      <w:r w:rsidRPr="001775D9">
        <w:rPr>
          <w:szCs w:val="22"/>
        </w:rPr>
        <w:t> </w:t>
      </w:r>
      <w:r w:rsidRPr="001775D9">
        <w:rPr>
          <w:szCs w:val="22"/>
          <w:lang w:eastAsia="en-GB"/>
        </w:rPr>
        <w:t>30.</w:t>
      </w:r>
      <w:r w:rsidRPr="001775D9">
        <w:rPr>
          <w:color w:val="000000"/>
          <w:szCs w:val="22"/>
          <w:lang w:eastAsia="en-GB"/>
        </w:rPr>
        <w:t xml:space="preserve"> Subjects had to have failed conventional therapy (including a corticosteroid and/or an immunomodulator) for CD. Subjects may also have previously lost response or been intolerant to infliximab. </w:t>
      </w:r>
    </w:p>
    <w:p w14:paraId="357CD34D" w14:textId="77777777" w:rsidR="00317748" w:rsidRPr="001775D9" w:rsidRDefault="00317748" w:rsidP="00317748">
      <w:pPr>
        <w:tabs>
          <w:tab w:val="clear" w:pos="567"/>
        </w:tabs>
        <w:autoSpaceDE w:val="0"/>
        <w:autoSpaceDN w:val="0"/>
        <w:adjustRightInd w:val="0"/>
        <w:spacing w:line="240" w:lineRule="auto"/>
        <w:rPr>
          <w:color w:val="000000"/>
          <w:szCs w:val="22"/>
          <w:lang w:eastAsia="en-GB"/>
        </w:rPr>
      </w:pPr>
    </w:p>
    <w:p w14:paraId="10C2F3BD" w14:textId="77777777" w:rsidR="00317748" w:rsidRPr="001775D9" w:rsidRDefault="00317748" w:rsidP="0031774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All subjects received open-label induction therapy at a dose based on their baseline body weight: 160</w:t>
      </w:r>
      <w:r w:rsidRPr="001775D9">
        <w:rPr>
          <w:szCs w:val="22"/>
        </w:rPr>
        <w:t> </w:t>
      </w:r>
      <w:r w:rsidRPr="001775D9">
        <w:rPr>
          <w:color w:val="000000"/>
          <w:szCs w:val="22"/>
          <w:lang w:eastAsia="en-GB"/>
        </w:rPr>
        <w:t xml:space="preserve">mg at </w:t>
      </w:r>
      <w:r w:rsidRPr="001775D9">
        <w:rPr>
          <w:szCs w:val="22"/>
        </w:rPr>
        <w:t>week</w:t>
      </w:r>
      <w:r w:rsidRPr="001775D9">
        <w:rPr>
          <w:color w:val="000000"/>
          <w:szCs w:val="22"/>
          <w:lang w:eastAsia="en-GB"/>
        </w:rPr>
        <w:t xml:space="preserve"> 0 and 80</w:t>
      </w:r>
      <w:r w:rsidRPr="001775D9">
        <w:rPr>
          <w:szCs w:val="22"/>
        </w:rPr>
        <w:t> </w:t>
      </w:r>
      <w:r w:rsidRPr="001775D9">
        <w:rPr>
          <w:color w:val="000000"/>
          <w:szCs w:val="22"/>
          <w:lang w:eastAsia="en-GB"/>
        </w:rPr>
        <w:t xml:space="preserve">mg at </w:t>
      </w:r>
      <w:r w:rsidRPr="001775D9">
        <w:rPr>
          <w:szCs w:val="22"/>
        </w:rPr>
        <w:t>week</w:t>
      </w:r>
      <w:r w:rsidRPr="001775D9">
        <w:rPr>
          <w:color w:val="000000"/>
          <w:szCs w:val="22"/>
          <w:lang w:eastAsia="en-GB"/>
        </w:rPr>
        <w:t xml:space="preserve"> 2 for subjects ≥</w:t>
      </w:r>
      <w:r w:rsidRPr="001775D9">
        <w:rPr>
          <w:szCs w:val="22"/>
        </w:rPr>
        <w:t> </w:t>
      </w:r>
      <w:r w:rsidRPr="001775D9">
        <w:rPr>
          <w:color w:val="000000"/>
          <w:szCs w:val="22"/>
          <w:lang w:eastAsia="en-GB"/>
        </w:rPr>
        <w:t>40</w:t>
      </w:r>
      <w:r w:rsidRPr="001775D9">
        <w:rPr>
          <w:szCs w:val="22"/>
        </w:rPr>
        <w:t> </w:t>
      </w:r>
      <w:r w:rsidRPr="001775D9">
        <w:rPr>
          <w:color w:val="000000"/>
          <w:szCs w:val="22"/>
          <w:lang w:eastAsia="en-GB"/>
        </w:rPr>
        <w:t>kg, and 80</w:t>
      </w:r>
      <w:r w:rsidRPr="001775D9">
        <w:rPr>
          <w:szCs w:val="22"/>
        </w:rPr>
        <w:t> </w:t>
      </w:r>
      <w:r w:rsidRPr="001775D9">
        <w:rPr>
          <w:color w:val="000000"/>
          <w:szCs w:val="22"/>
          <w:lang w:eastAsia="en-GB"/>
        </w:rPr>
        <w:t>mg and 40</w:t>
      </w:r>
      <w:r w:rsidRPr="001775D9">
        <w:rPr>
          <w:szCs w:val="22"/>
        </w:rPr>
        <w:t> </w:t>
      </w:r>
      <w:r w:rsidRPr="001775D9">
        <w:rPr>
          <w:color w:val="000000"/>
          <w:szCs w:val="22"/>
          <w:lang w:eastAsia="en-GB"/>
        </w:rPr>
        <w:t>mg, respectively, for subjects &lt;</w:t>
      </w:r>
      <w:r w:rsidRPr="001775D9">
        <w:rPr>
          <w:szCs w:val="22"/>
        </w:rPr>
        <w:t> </w:t>
      </w:r>
      <w:r w:rsidRPr="001775D9">
        <w:rPr>
          <w:color w:val="000000"/>
          <w:szCs w:val="22"/>
          <w:lang w:eastAsia="en-GB"/>
        </w:rPr>
        <w:t>40</w:t>
      </w:r>
      <w:r w:rsidRPr="001775D9">
        <w:rPr>
          <w:szCs w:val="22"/>
        </w:rPr>
        <w:t> </w:t>
      </w:r>
      <w:r w:rsidRPr="001775D9">
        <w:rPr>
          <w:color w:val="000000"/>
          <w:szCs w:val="22"/>
          <w:lang w:eastAsia="en-GB"/>
        </w:rPr>
        <w:t xml:space="preserve">kg. </w:t>
      </w:r>
    </w:p>
    <w:p w14:paraId="220D4712" w14:textId="77777777" w:rsidR="00317748" w:rsidRPr="001775D9" w:rsidRDefault="00317748" w:rsidP="00317748">
      <w:pPr>
        <w:spacing w:line="240" w:lineRule="auto"/>
        <w:rPr>
          <w:color w:val="000000"/>
          <w:szCs w:val="22"/>
          <w:lang w:eastAsia="en-GB"/>
        </w:rPr>
      </w:pPr>
    </w:p>
    <w:p w14:paraId="726C33DC" w14:textId="796745EA" w:rsidR="00317748" w:rsidRPr="001775D9" w:rsidRDefault="00317748" w:rsidP="00317748">
      <w:pPr>
        <w:spacing w:line="240" w:lineRule="auto"/>
        <w:rPr>
          <w:color w:val="000000"/>
          <w:szCs w:val="22"/>
          <w:lang w:eastAsia="en-GB"/>
        </w:rPr>
      </w:pPr>
      <w:r w:rsidRPr="001775D9">
        <w:rPr>
          <w:color w:val="000000"/>
          <w:szCs w:val="22"/>
          <w:lang w:eastAsia="en-GB"/>
        </w:rPr>
        <w:t xml:space="preserve">At </w:t>
      </w:r>
      <w:r w:rsidRPr="001775D9">
        <w:rPr>
          <w:szCs w:val="22"/>
        </w:rPr>
        <w:t>week</w:t>
      </w:r>
      <w:r w:rsidRPr="001775D9">
        <w:rPr>
          <w:color w:val="000000"/>
          <w:szCs w:val="22"/>
          <w:lang w:eastAsia="en-GB"/>
        </w:rPr>
        <w:t xml:space="preserve"> 4, subjects were randomised 1:1 based on their body weight at the time to either the low dose or standard dose maintenance regimens as shown in table </w:t>
      </w:r>
      <w:r w:rsidR="004D7CC1" w:rsidRPr="001775D9">
        <w:rPr>
          <w:color w:val="000000"/>
          <w:szCs w:val="22"/>
          <w:lang w:eastAsia="en-GB"/>
        </w:rPr>
        <w:t>28</w:t>
      </w:r>
      <w:r w:rsidRPr="001775D9">
        <w:rPr>
          <w:color w:val="000000"/>
          <w:szCs w:val="22"/>
          <w:lang w:eastAsia="en-GB"/>
        </w:rPr>
        <w:t>.</w:t>
      </w:r>
    </w:p>
    <w:p w14:paraId="3C0E7336" w14:textId="77777777" w:rsidR="00317748" w:rsidRPr="001775D9" w:rsidRDefault="00317748" w:rsidP="00317748">
      <w:pPr>
        <w:tabs>
          <w:tab w:val="clear" w:pos="567"/>
        </w:tabs>
        <w:autoSpaceDE w:val="0"/>
        <w:autoSpaceDN w:val="0"/>
        <w:adjustRightInd w:val="0"/>
        <w:spacing w:line="240" w:lineRule="auto"/>
        <w:rPr>
          <w:b/>
          <w:bCs/>
          <w:color w:val="000000"/>
          <w:szCs w:val="22"/>
          <w:lang w:eastAsia="en-GB"/>
        </w:rPr>
      </w:pPr>
    </w:p>
    <w:p w14:paraId="1166B4DD" w14:textId="28176EF3" w:rsidR="00317748" w:rsidRPr="001775D9" w:rsidRDefault="00317748" w:rsidP="00317748">
      <w:pPr>
        <w:keepNext/>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Table 2</w:t>
      </w:r>
      <w:r w:rsidR="004D7CC1" w:rsidRPr="001775D9">
        <w:rPr>
          <w:b/>
          <w:bCs/>
          <w:color w:val="000000"/>
          <w:szCs w:val="22"/>
          <w:lang w:eastAsia="en-GB"/>
        </w:rPr>
        <w:t>8</w:t>
      </w:r>
      <w:r w:rsidRPr="001775D9">
        <w:rPr>
          <w:b/>
          <w:bCs/>
          <w:color w:val="000000"/>
          <w:szCs w:val="22"/>
          <w:lang w:eastAsia="en-GB"/>
        </w:rPr>
        <w:t>. Maintenance regimen</w:t>
      </w:r>
    </w:p>
    <w:p w14:paraId="2C353863" w14:textId="77777777" w:rsidR="00317748" w:rsidRPr="001775D9" w:rsidRDefault="00317748" w:rsidP="00317748">
      <w:pPr>
        <w:keepNext/>
        <w:spacing w:line="240" w:lineRule="auto"/>
        <w:rPr>
          <w:szCs w:val="22"/>
        </w:rPr>
      </w:pP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59"/>
        <w:gridCol w:w="3060"/>
        <w:gridCol w:w="3060"/>
      </w:tblGrid>
      <w:tr w:rsidR="00317748" w:rsidRPr="00F04F82" w14:paraId="6A4419CF" w14:textId="77777777" w:rsidTr="00486A05">
        <w:trPr>
          <w:trHeight w:val="293"/>
          <w:jc w:val="center"/>
        </w:trPr>
        <w:tc>
          <w:tcPr>
            <w:tcW w:w="1666" w:type="pct"/>
          </w:tcPr>
          <w:p w14:paraId="10C0E6FD"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Patient weight </w:t>
            </w:r>
          </w:p>
        </w:tc>
        <w:tc>
          <w:tcPr>
            <w:tcW w:w="1667" w:type="pct"/>
          </w:tcPr>
          <w:p w14:paraId="536A3427"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Low dose </w:t>
            </w:r>
          </w:p>
        </w:tc>
        <w:tc>
          <w:tcPr>
            <w:tcW w:w="1667" w:type="pct"/>
          </w:tcPr>
          <w:p w14:paraId="2C5F9782"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Standard dose </w:t>
            </w:r>
          </w:p>
        </w:tc>
      </w:tr>
      <w:tr w:rsidR="00317748" w:rsidRPr="00F04F82" w14:paraId="435C86FC" w14:textId="77777777" w:rsidTr="00486A05">
        <w:trPr>
          <w:trHeight w:val="283"/>
          <w:jc w:val="center"/>
        </w:trPr>
        <w:tc>
          <w:tcPr>
            <w:tcW w:w="1666" w:type="pct"/>
          </w:tcPr>
          <w:p w14:paraId="519F1442"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40</w:t>
            </w:r>
            <w:r w:rsidRPr="001775D9">
              <w:rPr>
                <w:szCs w:val="22"/>
              </w:rPr>
              <w:t> </w:t>
            </w:r>
            <w:r w:rsidRPr="001775D9">
              <w:rPr>
                <w:color w:val="000000"/>
                <w:szCs w:val="22"/>
                <w:lang w:eastAsia="en-GB"/>
              </w:rPr>
              <w:t xml:space="preserve">kg </w:t>
            </w:r>
          </w:p>
        </w:tc>
        <w:tc>
          <w:tcPr>
            <w:tcW w:w="1667" w:type="pct"/>
          </w:tcPr>
          <w:p w14:paraId="5ED8FDB1" w14:textId="190DE7C1"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10</w:t>
            </w:r>
            <w:r w:rsidRPr="001775D9">
              <w:rPr>
                <w:szCs w:val="22"/>
              </w:rPr>
              <w:t> </w:t>
            </w:r>
            <w:r w:rsidRPr="001775D9">
              <w:rPr>
                <w:color w:val="000000"/>
                <w:szCs w:val="22"/>
                <w:lang w:eastAsia="en-GB"/>
              </w:rPr>
              <w:t xml:space="preserve">mg </w:t>
            </w:r>
            <w:r w:rsidR="004E6F88" w:rsidRPr="00D55B59">
              <w:rPr>
                <w:rFonts w:eastAsia="Times New Roman"/>
                <w:szCs w:val="22"/>
                <w:rPrChange w:id="942" w:author="Author">
                  <w:rPr>
                    <w:rFonts w:eastAsia="Times New Roman"/>
                    <w:szCs w:val="22"/>
                    <w:lang w:val="en-US"/>
                  </w:rPr>
                </w:rPrChange>
              </w:rPr>
              <w:t>every other week</w:t>
            </w:r>
          </w:p>
        </w:tc>
        <w:tc>
          <w:tcPr>
            <w:tcW w:w="1667" w:type="pct"/>
          </w:tcPr>
          <w:p w14:paraId="458967B6" w14:textId="4580A6B0"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20</w:t>
            </w:r>
            <w:r w:rsidRPr="001775D9">
              <w:rPr>
                <w:szCs w:val="22"/>
              </w:rPr>
              <w:t> </w:t>
            </w:r>
            <w:r w:rsidRPr="001775D9">
              <w:rPr>
                <w:color w:val="000000"/>
                <w:szCs w:val="22"/>
                <w:lang w:eastAsia="en-GB"/>
              </w:rPr>
              <w:t xml:space="preserve">mg </w:t>
            </w:r>
            <w:r w:rsidR="004E6F88" w:rsidRPr="00D55B59">
              <w:rPr>
                <w:rFonts w:eastAsia="Times New Roman"/>
                <w:szCs w:val="22"/>
                <w:rPrChange w:id="943" w:author="Author">
                  <w:rPr>
                    <w:rFonts w:eastAsia="Times New Roman"/>
                    <w:szCs w:val="22"/>
                    <w:lang w:val="en-US"/>
                  </w:rPr>
                </w:rPrChange>
              </w:rPr>
              <w:t>every other week</w:t>
            </w:r>
          </w:p>
        </w:tc>
      </w:tr>
      <w:tr w:rsidR="00317748" w:rsidRPr="00F04F82" w14:paraId="4C9DBD29" w14:textId="77777777" w:rsidTr="00486A05">
        <w:trPr>
          <w:trHeight w:val="283"/>
          <w:jc w:val="center"/>
        </w:trPr>
        <w:tc>
          <w:tcPr>
            <w:tcW w:w="1666" w:type="pct"/>
          </w:tcPr>
          <w:p w14:paraId="4FB35188"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w:t>
            </w:r>
            <w:r w:rsidRPr="001775D9">
              <w:rPr>
                <w:szCs w:val="22"/>
              </w:rPr>
              <w:t> </w:t>
            </w:r>
            <w:r w:rsidRPr="001775D9">
              <w:rPr>
                <w:color w:val="000000"/>
                <w:szCs w:val="22"/>
                <w:lang w:eastAsia="en-GB"/>
              </w:rPr>
              <w:t>40</w:t>
            </w:r>
            <w:r w:rsidRPr="001775D9">
              <w:rPr>
                <w:szCs w:val="22"/>
              </w:rPr>
              <w:t> </w:t>
            </w:r>
            <w:r w:rsidRPr="001775D9">
              <w:rPr>
                <w:color w:val="000000"/>
                <w:szCs w:val="22"/>
                <w:lang w:eastAsia="en-GB"/>
              </w:rPr>
              <w:t xml:space="preserve">kg </w:t>
            </w:r>
          </w:p>
        </w:tc>
        <w:tc>
          <w:tcPr>
            <w:tcW w:w="1667" w:type="pct"/>
          </w:tcPr>
          <w:p w14:paraId="2D4B9C09" w14:textId="7387840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20</w:t>
            </w:r>
            <w:r w:rsidRPr="001775D9">
              <w:rPr>
                <w:szCs w:val="22"/>
              </w:rPr>
              <w:t> </w:t>
            </w:r>
            <w:r w:rsidRPr="001775D9">
              <w:rPr>
                <w:color w:val="000000"/>
                <w:szCs w:val="22"/>
                <w:lang w:eastAsia="en-GB"/>
              </w:rPr>
              <w:t xml:space="preserve">mg </w:t>
            </w:r>
            <w:r w:rsidR="004E6F88" w:rsidRPr="00D55B59">
              <w:rPr>
                <w:rFonts w:eastAsia="Times New Roman"/>
                <w:szCs w:val="22"/>
                <w:rPrChange w:id="944" w:author="Author">
                  <w:rPr>
                    <w:rFonts w:eastAsia="Times New Roman"/>
                    <w:szCs w:val="22"/>
                    <w:lang w:val="en-US"/>
                  </w:rPr>
                </w:rPrChange>
              </w:rPr>
              <w:t>every other week</w:t>
            </w:r>
          </w:p>
        </w:tc>
        <w:tc>
          <w:tcPr>
            <w:tcW w:w="1667" w:type="pct"/>
          </w:tcPr>
          <w:p w14:paraId="48ADBFA3" w14:textId="30E0F56F"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40</w:t>
            </w:r>
            <w:r w:rsidRPr="001775D9">
              <w:rPr>
                <w:szCs w:val="22"/>
              </w:rPr>
              <w:t> </w:t>
            </w:r>
            <w:r w:rsidRPr="001775D9">
              <w:rPr>
                <w:color w:val="000000"/>
                <w:szCs w:val="22"/>
                <w:lang w:eastAsia="en-GB"/>
              </w:rPr>
              <w:t xml:space="preserve">mg </w:t>
            </w:r>
            <w:r w:rsidR="004E6F88" w:rsidRPr="00D55B59">
              <w:rPr>
                <w:rFonts w:eastAsia="Times New Roman"/>
                <w:szCs w:val="22"/>
                <w:rPrChange w:id="945" w:author="Author">
                  <w:rPr>
                    <w:rFonts w:eastAsia="Times New Roman"/>
                    <w:szCs w:val="22"/>
                    <w:lang w:val="en-US"/>
                  </w:rPr>
                </w:rPrChange>
              </w:rPr>
              <w:t>every other week</w:t>
            </w:r>
          </w:p>
        </w:tc>
      </w:tr>
    </w:tbl>
    <w:p w14:paraId="5A6EABC7" w14:textId="77777777" w:rsidR="00317748" w:rsidRPr="001775D9" w:rsidRDefault="00317748" w:rsidP="00317748">
      <w:pPr>
        <w:spacing w:line="240" w:lineRule="auto"/>
        <w:rPr>
          <w:szCs w:val="22"/>
        </w:rPr>
      </w:pPr>
    </w:p>
    <w:p w14:paraId="62C0E1FC" w14:textId="77777777" w:rsidR="00317748" w:rsidRPr="001775D9" w:rsidRDefault="00317748" w:rsidP="00317748">
      <w:pPr>
        <w:tabs>
          <w:tab w:val="clear" w:pos="567"/>
        </w:tabs>
        <w:autoSpaceDE w:val="0"/>
        <w:autoSpaceDN w:val="0"/>
        <w:adjustRightInd w:val="0"/>
        <w:spacing w:line="240" w:lineRule="auto"/>
        <w:rPr>
          <w:color w:val="000000"/>
          <w:szCs w:val="22"/>
          <w:u w:val="single"/>
          <w:lang w:eastAsia="en-GB"/>
        </w:rPr>
      </w:pPr>
      <w:r w:rsidRPr="001775D9">
        <w:rPr>
          <w:i/>
          <w:iCs/>
          <w:color w:val="000000"/>
          <w:szCs w:val="22"/>
          <w:u w:val="single"/>
          <w:lang w:eastAsia="en-GB"/>
        </w:rPr>
        <w:t xml:space="preserve">Efficacy results </w:t>
      </w:r>
    </w:p>
    <w:p w14:paraId="1CAA6195" w14:textId="77777777" w:rsidR="00317748" w:rsidRPr="001775D9" w:rsidRDefault="00317748" w:rsidP="00317748">
      <w:pPr>
        <w:tabs>
          <w:tab w:val="clear" w:pos="567"/>
        </w:tabs>
        <w:autoSpaceDE w:val="0"/>
        <w:autoSpaceDN w:val="0"/>
        <w:adjustRightInd w:val="0"/>
        <w:spacing w:line="240" w:lineRule="auto"/>
        <w:rPr>
          <w:color w:val="000000"/>
          <w:szCs w:val="22"/>
          <w:lang w:eastAsia="en-GB"/>
        </w:rPr>
      </w:pPr>
    </w:p>
    <w:p w14:paraId="4F6E4D39" w14:textId="77777777" w:rsidR="00317748" w:rsidRPr="001775D9" w:rsidRDefault="00317748" w:rsidP="0031774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The primary endpoint of the study was clinical remission at </w:t>
      </w:r>
      <w:r w:rsidRPr="001775D9">
        <w:rPr>
          <w:szCs w:val="22"/>
        </w:rPr>
        <w:t>week</w:t>
      </w:r>
      <w:r w:rsidRPr="001775D9">
        <w:rPr>
          <w:color w:val="000000"/>
          <w:szCs w:val="22"/>
          <w:lang w:eastAsia="en-GB"/>
        </w:rPr>
        <w:t xml:space="preserve"> 26, defined as PCDAI score ≤</w:t>
      </w:r>
      <w:r w:rsidRPr="001775D9">
        <w:rPr>
          <w:szCs w:val="22"/>
        </w:rPr>
        <w:t> </w:t>
      </w:r>
      <w:r w:rsidRPr="001775D9">
        <w:rPr>
          <w:color w:val="000000"/>
          <w:szCs w:val="22"/>
          <w:lang w:eastAsia="en-GB"/>
        </w:rPr>
        <w:t xml:space="preserve">10. </w:t>
      </w:r>
    </w:p>
    <w:p w14:paraId="5595511B" w14:textId="77777777" w:rsidR="00317748" w:rsidRPr="001775D9" w:rsidRDefault="00317748" w:rsidP="00317748">
      <w:pPr>
        <w:spacing w:line="240" w:lineRule="auto"/>
        <w:rPr>
          <w:color w:val="000000"/>
          <w:szCs w:val="22"/>
          <w:lang w:eastAsia="en-GB"/>
        </w:rPr>
      </w:pPr>
    </w:p>
    <w:p w14:paraId="5C556AFF" w14:textId="08C94E4E" w:rsidR="00317748" w:rsidRPr="001775D9" w:rsidRDefault="00317748" w:rsidP="00317748">
      <w:pPr>
        <w:spacing w:line="240" w:lineRule="auto"/>
        <w:rPr>
          <w:color w:val="000000"/>
          <w:szCs w:val="22"/>
          <w:lang w:eastAsia="en-GB"/>
        </w:rPr>
      </w:pPr>
      <w:r w:rsidRPr="001775D9">
        <w:rPr>
          <w:color w:val="000000"/>
          <w:szCs w:val="22"/>
          <w:lang w:eastAsia="en-GB"/>
        </w:rPr>
        <w:t xml:space="preserve">Clinical remission and clinical response (defined as reduction in PCDAI score of at least 15 points from baseline) rates are presented in table </w:t>
      </w:r>
      <w:r w:rsidR="004D7CC1" w:rsidRPr="001775D9">
        <w:rPr>
          <w:color w:val="000000"/>
          <w:szCs w:val="22"/>
          <w:lang w:eastAsia="en-GB"/>
        </w:rPr>
        <w:t>29</w:t>
      </w:r>
      <w:r w:rsidRPr="001775D9">
        <w:rPr>
          <w:color w:val="000000"/>
          <w:szCs w:val="22"/>
          <w:lang w:eastAsia="en-GB"/>
        </w:rPr>
        <w:t xml:space="preserve">. Rates of discontinuation of corticosteroids or immunomodulators are presented in table </w:t>
      </w:r>
      <w:r w:rsidR="004D7CC1" w:rsidRPr="001775D9">
        <w:rPr>
          <w:color w:val="000000"/>
          <w:szCs w:val="22"/>
          <w:lang w:eastAsia="en-GB"/>
        </w:rPr>
        <w:t>30</w:t>
      </w:r>
      <w:r w:rsidRPr="001775D9">
        <w:rPr>
          <w:color w:val="000000"/>
          <w:szCs w:val="22"/>
          <w:lang w:eastAsia="en-GB"/>
        </w:rPr>
        <w:t>.</w:t>
      </w:r>
    </w:p>
    <w:p w14:paraId="53F6B1F2" w14:textId="77777777" w:rsidR="00317748" w:rsidRPr="001775D9" w:rsidRDefault="00317748" w:rsidP="00317748">
      <w:pPr>
        <w:spacing w:line="240" w:lineRule="auto"/>
        <w:rPr>
          <w:szCs w:val="22"/>
        </w:rPr>
      </w:pPr>
    </w:p>
    <w:p w14:paraId="3A156DAD" w14:textId="46A0BD46" w:rsidR="00317748" w:rsidRPr="001775D9" w:rsidRDefault="00317748" w:rsidP="00317748">
      <w:pPr>
        <w:keepNext/>
        <w:keepLines/>
        <w:tabs>
          <w:tab w:val="clear" w:pos="567"/>
        </w:tabs>
        <w:autoSpaceDE w:val="0"/>
        <w:autoSpaceDN w:val="0"/>
        <w:adjustRightInd w:val="0"/>
        <w:spacing w:line="240" w:lineRule="auto"/>
        <w:rPr>
          <w:b/>
          <w:bCs/>
          <w:color w:val="000000"/>
          <w:szCs w:val="22"/>
          <w:lang w:eastAsia="en-GB"/>
        </w:rPr>
      </w:pPr>
      <w:r w:rsidRPr="001775D9">
        <w:rPr>
          <w:b/>
          <w:bCs/>
          <w:color w:val="000000"/>
          <w:szCs w:val="22"/>
          <w:lang w:eastAsia="en-GB"/>
        </w:rPr>
        <w:t>Table 2</w:t>
      </w:r>
      <w:r w:rsidR="004D7CC1" w:rsidRPr="001775D9">
        <w:rPr>
          <w:b/>
          <w:bCs/>
          <w:color w:val="000000"/>
          <w:szCs w:val="22"/>
          <w:lang w:eastAsia="en-GB"/>
        </w:rPr>
        <w:t>9</w:t>
      </w:r>
      <w:r w:rsidRPr="001775D9">
        <w:rPr>
          <w:b/>
          <w:bCs/>
          <w:color w:val="000000"/>
          <w:szCs w:val="22"/>
          <w:lang w:eastAsia="en-GB"/>
        </w:rPr>
        <w:t>. Paediatric CD study PCDAI clinical remission and response</w:t>
      </w:r>
    </w:p>
    <w:p w14:paraId="631D5ABD" w14:textId="77777777" w:rsidR="00317748" w:rsidRPr="001775D9" w:rsidRDefault="00317748" w:rsidP="00317748">
      <w:pPr>
        <w:keepNext/>
        <w:keepLines/>
        <w:tabs>
          <w:tab w:val="clear" w:pos="567"/>
        </w:tabs>
        <w:autoSpaceDE w:val="0"/>
        <w:autoSpaceDN w:val="0"/>
        <w:adjustRightInd w:val="0"/>
        <w:spacing w:line="240" w:lineRule="auto"/>
        <w:rPr>
          <w:color w:val="000000"/>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2268"/>
        <w:gridCol w:w="2268"/>
        <w:gridCol w:w="1842"/>
      </w:tblGrid>
      <w:tr w:rsidR="00317748" w:rsidRPr="00F04F82" w14:paraId="15C280CF" w14:textId="77777777" w:rsidTr="00486A05">
        <w:trPr>
          <w:trHeight w:val="437"/>
        </w:trPr>
        <w:tc>
          <w:tcPr>
            <w:tcW w:w="2694" w:type="dxa"/>
          </w:tcPr>
          <w:p w14:paraId="782EFD24"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p>
        </w:tc>
        <w:tc>
          <w:tcPr>
            <w:tcW w:w="2268" w:type="dxa"/>
          </w:tcPr>
          <w:p w14:paraId="3DB25147"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Standard dose</w:t>
            </w:r>
          </w:p>
          <w:p w14:paraId="500A972E" w14:textId="41346496" w:rsidR="004E6F88" w:rsidRPr="001775D9" w:rsidRDefault="00317748" w:rsidP="00486A05">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40/20</w:t>
            </w:r>
            <w:r w:rsidRPr="001775D9">
              <w:rPr>
                <w:szCs w:val="22"/>
              </w:rPr>
              <w:t> </w:t>
            </w:r>
            <w:r w:rsidRPr="001775D9">
              <w:rPr>
                <w:b/>
                <w:bCs/>
                <w:color w:val="000000"/>
                <w:szCs w:val="22"/>
                <w:lang w:eastAsia="en-GB"/>
              </w:rPr>
              <w:t xml:space="preserve">mg </w:t>
            </w:r>
          </w:p>
          <w:p w14:paraId="20BCDFE3" w14:textId="0D1A7514" w:rsidR="004E6F88" w:rsidRPr="001775D9" w:rsidRDefault="004E6F88" w:rsidP="00486A05">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every other week</w:t>
            </w:r>
            <w:r w:rsidR="00317748" w:rsidRPr="001775D9">
              <w:rPr>
                <w:b/>
                <w:bCs/>
                <w:color w:val="000000"/>
                <w:szCs w:val="22"/>
                <w:lang w:eastAsia="en-GB"/>
              </w:rPr>
              <w:t xml:space="preserve"> </w:t>
            </w:r>
          </w:p>
          <w:p w14:paraId="7CE4ECBA" w14:textId="6A6ADD68"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93</w:t>
            </w:r>
          </w:p>
        </w:tc>
        <w:tc>
          <w:tcPr>
            <w:tcW w:w="2268" w:type="dxa"/>
          </w:tcPr>
          <w:p w14:paraId="755A96E6"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Low dose</w:t>
            </w:r>
          </w:p>
          <w:p w14:paraId="2F5BF529" w14:textId="1203B05A" w:rsidR="00317748" w:rsidRPr="001775D9" w:rsidRDefault="00317748" w:rsidP="00486A05">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20/10</w:t>
            </w:r>
            <w:r w:rsidRPr="001775D9">
              <w:rPr>
                <w:szCs w:val="22"/>
              </w:rPr>
              <w:t> </w:t>
            </w:r>
            <w:r w:rsidRPr="001775D9">
              <w:rPr>
                <w:b/>
                <w:bCs/>
                <w:color w:val="000000"/>
                <w:szCs w:val="22"/>
                <w:lang w:eastAsia="en-GB"/>
              </w:rPr>
              <w:t xml:space="preserve">mg </w:t>
            </w:r>
          </w:p>
          <w:p w14:paraId="5C50BDC1" w14:textId="4230E274" w:rsidR="004E6F88" w:rsidRPr="001775D9" w:rsidRDefault="004E6F88" w:rsidP="00486A05">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every other week</w:t>
            </w:r>
          </w:p>
          <w:p w14:paraId="75D8E641"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95</w:t>
            </w:r>
          </w:p>
        </w:tc>
        <w:tc>
          <w:tcPr>
            <w:tcW w:w="1842" w:type="dxa"/>
          </w:tcPr>
          <w:p w14:paraId="1D064CF1"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P value*</w:t>
            </w:r>
          </w:p>
        </w:tc>
      </w:tr>
      <w:tr w:rsidR="00317748" w:rsidRPr="00F04F82" w14:paraId="29D08582" w14:textId="77777777" w:rsidTr="00486A05">
        <w:trPr>
          <w:trHeight w:val="149"/>
        </w:trPr>
        <w:tc>
          <w:tcPr>
            <w:tcW w:w="9072" w:type="dxa"/>
            <w:gridSpan w:val="4"/>
          </w:tcPr>
          <w:p w14:paraId="61D45512" w14:textId="77777777" w:rsidR="00317748" w:rsidRPr="001775D9" w:rsidRDefault="00317748" w:rsidP="00486A05">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Week 26</w:t>
            </w:r>
          </w:p>
        </w:tc>
      </w:tr>
      <w:tr w:rsidR="00317748" w:rsidRPr="00F04F82" w14:paraId="2D329BAE" w14:textId="77777777" w:rsidTr="00486A05">
        <w:trPr>
          <w:trHeight w:val="147"/>
        </w:trPr>
        <w:tc>
          <w:tcPr>
            <w:tcW w:w="2694" w:type="dxa"/>
          </w:tcPr>
          <w:p w14:paraId="3F9E8A44"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Clinical remission</w:t>
            </w:r>
          </w:p>
        </w:tc>
        <w:tc>
          <w:tcPr>
            <w:tcW w:w="2268" w:type="dxa"/>
          </w:tcPr>
          <w:p w14:paraId="402B3BD4"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38.7%</w:t>
            </w:r>
          </w:p>
        </w:tc>
        <w:tc>
          <w:tcPr>
            <w:tcW w:w="2268" w:type="dxa"/>
          </w:tcPr>
          <w:p w14:paraId="55A307C9"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28.4%</w:t>
            </w:r>
          </w:p>
        </w:tc>
        <w:tc>
          <w:tcPr>
            <w:tcW w:w="1842" w:type="dxa"/>
          </w:tcPr>
          <w:p w14:paraId="6A6E86B4"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0.075</w:t>
            </w:r>
          </w:p>
        </w:tc>
      </w:tr>
      <w:tr w:rsidR="00317748" w:rsidRPr="00F04F82" w14:paraId="72212E99" w14:textId="77777777" w:rsidTr="00486A05">
        <w:trPr>
          <w:trHeight w:val="147"/>
        </w:trPr>
        <w:tc>
          <w:tcPr>
            <w:tcW w:w="2694" w:type="dxa"/>
          </w:tcPr>
          <w:p w14:paraId="098B3875"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Clinical response</w:t>
            </w:r>
          </w:p>
        </w:tc>
        <w:tc>
          <w:tcPr>
            <w:tcW w:w="2268" w:type="dxa"/>
          </w:tcPr>
          <w:p w14:paraId="3D01969A"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59.1%</w:t>
            </w:r>
          </w:p>
        </w:tc>
        <w:tc>
          <w:tcPr>
            <w:tcW w:w="2268" w:type="dxa"/>
          </w:tcPr>
          <w:p w14:paraId="00FB7155"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48.4%</w:t>
            </w:r>
          </w:p>
        </w:tc>
        <w:tc>
          <w:tcPr>
            <w:tcW w:w="1842" w:type="dxa"/>
          </w:tcPr>
          <w:p w14:paraId="4937861F"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0.073</w:t>
            </w:r>
          </w:p>
        </w:tc>
      </w:tr>
      <w:tr w:rsidR="00317748" w:rsidRPr="00F04F82" w14:paraId="37CB3A64" w14:textId="77777777" w:rsidTr="00486A05">
        <w:trPr>
          <w:trHeight w:val="149"/>
        </w:trPr>
        <w:tc>
          <w:tcPr>
            <w:tcW w:w="9072" w:type="dxa"/>
            <w:gridSpan w:val="4"/>
          </w:tcPr>
          <w:p w14:paraId="7E0598FE" w14:textId="77777777" w:rsidR="00317748" w:rsidRPr="001775D9" w:rsidRDefault="00317748" w:rsidP="00486A05">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Week 52</w:t>
            </w:r>
          </w:p>
        </w:tc>
      </w:tr>
      <w:tr w:rsidR="00317748" w:rsidRPr="00F04F82" w14:paraId="663B5AE8" w14:textId="77777777" w:rsidTr="00486A05">
        <w:trPr>
          <w:trHeight w:val="147"/>
        </w:trPr>
        <w:tc>
          <w:tcPr>
            <w:tcW w:w="2694" w:type="dxa"/>
          </w:tcPr>
          <w:p w14:paraId="0A8BDA62"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Clinical remission</w:t>
            </w:r>
          </w:p>
        </w:tc>
        <w:tc>
          <w:tcPr>
            <w:tcW w:w="2268" w:type="dxa"/>
          </w:tcPr>
          <w:p w14:paraId="3245A317"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33.3%</w:t>
            </w:r>
          </w:p>
        </w:tc>
        <w:tc>
          <w:tcPr>
            <w:tcW w:w="2268" w:type="dxa"/>
          </w:tcPr>
          <w:p w14:paraId="348E79C1"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23.2%</w:t>
            </w:r>
          </w:p>
        </w:tc>
        <w:tc>
          <w:tcPr>
            <w:tcW w:w="1842" w:type="dxa"/>
          </w:tcPr>
          <w:p w14:paraId="58E1B721"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0.100</w:t>
            </w:r>
          </w:p>
        </w:tc>
      </w:tr>
      <w:tr w:rsidR="00317748" w:rsidRPr="00F04F82" w14:paraId="4D664232" w14:textId="77777777" w:rsidTr="00486A05">
        <w:trPr>
          <w:trHeight w:val="147"/>
        </w:trPr>
        <w:tc>
          <w:tcPr>
            <w:tcW w:w="2694" w:type="dxa"/>
            <w:tcBorders>
              <w:bottom w:val="single" w:sz="4" w:space="0" w:color="auto"/>
            </w:tcBorders>
          </w:tcPr>
          <w:p w14:paraId="0E1B6208"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Clinical response</w:t>
            </w:r>
          </w:p>
        </w:tc>
        <w:tc>
          <w:tcPr>
            <w:tcW w:w="2268" w:type="dxa"/>
            <w:tcBorders>
              <w:bottom w:val="single" w:sz="4" w:space="0" w:color="auto"/>
            </w:tcBorders>
          </w:tcPr>
          <w:p w14:paraId="4B8C8806"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41.9%</w:t>
            </w:r>
          </w:p>
        </w:tc>
        <w:tc>
          <w:tcPr>
            <w:tcW w:w="2268" w:type="dxa"/>
            <w:tcBorders>
              <w:bottom w:val="single" w:sz="4" w:space="0" w:color="auto"/>
            </w:tcBorders>
          </w:tcPr>
          <w:p w14:paraId="694B3414"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28.4%</w:t>
            </w:r>
          </w:p>
        </w:tc>
        <w:tc>
          <w:tcPr>
            <w:tcW w:w="1842" w:type="dxa"/>
            <w:tcBorders>
              <w:bottom w:val="single" w:sz="4" w:space="0" w:color="auto"/>
            </w:tcBorders>
          </w:tcPr>
          <w:p w14:paraId="0519E4AC"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0.038</w:t>
            </w:r>
          </w:p>
        </w:tc>
      </w:tr>
      <w:tr w:rsidR="00317748" w:rsidRPr="00F04F82" w14:paraId="7A11702F" w14:textId="77777777" w:rsidTr="00486A05">
        <w:trPr>
          <w:trHeight w:val="148"/>
        </w:trPr>
        <w:tc>
          <w:tcPr>
            <w:tcW w:w="9072" w:type="dxa"/>
            <w:gridSpan w:val="4"/>
            <w:tcBorders>
              <w:top w:val="single" w:sz="4" w:space="0" w:color="auto"/>
              <w:left w:val="nil"/>
              <w:bottom w:val="nil"/>
              <w:right w:val="nil"/>
            </w:tcBorders>
          </w:tcPr>
          <w:p w14:paraId="67065C57" w14:textId="77777777" w:rsidR="00317748" w:rsidRPr="001775D9" w:rsidRDefault="00317748" w:rsidP="00486A05">
            <w:pPr>
              <w:keepNext/>
              <w:keepLines/>
              <w:tabs>
                <w:tab w:val="clear" w:pos="567"/>
              </w:tabs>
              <w:autoSpaceDE w:val="0"/>
              <w:autoSpaceDN w:val="0"/>
              <w:adjustRightInd w:val="0"/>
              <w:spacing w:line="240" w:lineRule="auto"/>
              <w:rPr>
                <w:color w:val="000000"/>
                <w:szCs w:val="22"/>
                <w:lang w:eastAsia="en-GB"/>
              </w:rPr>
            </w:pPr>
            <w:r w:rsidRPr="001775D9">
              <w:rPr>
                <w:color w:val="000000"/>
                <w:sz w:val="20"/>
                <w:lang w:eastAsia="en-GB"/>
              </w:rPr>
              <w:t xml:space="preserve">* p value for standard dose </w:t>
            </w:r>
            <w:r w:rsidRPr="001775D9">
              <w:rPr>
                <w:iCs/>
                <w:color w:val="000000"/>
                <w:sz w:val="20"/>
                <w:lang w:eastAsia="en-GB"/>
              </w:rPr>
              <w:t>versus</w:t>
            </w:r>
            <w:r w:rsidRPr="001775D9">
              <w:rPr>
                <w:i/>
                <w:iCs/>
                <w:color w:val="000000"/>
                <w:sz w:val="20"/>
                <w:lang w:eastAsia="en-GB"/>
              </w:rPr>
              <w:t xml:space="preserve"> </w:t>
            </w:r>
            <w:r w:rsidRPr="001775D9">
              <w:rPr>
                <w:color w:val="000000"/>
                <w:sz w:val="20"/>
                <w:lang w:eastAsia="en-GB"/>
              </w:rPr>
              <w:t>low dose comparison</w:t>
            </w:r>
          </w:p>
        </w:tc>
      </w:tr>
    </w:tbl>
    <w:p w14:paraId="0A09C193" w14:textId="5FCCC287" w:rsidR="00317748" w:rsidRPr="001775D9" w:rsidRDefault="00317748" w:rsidP="00317748">
      <w:pPr>
        <w:spacing w:line="240" w:lineRule="auto"/>
        <w:rPr>
          <w:szCs w:val="22"/>
        </w:rPr>
      </w:pPr>
    </w:p>
    <w:p w14:paraId="24632809" w14:textId="77777777" w:rsidR="00FF002B" w:rsidRPr="001775D9" w:rsidRDefault="00FF002B" w:rsidP="00FF002B">
      <w:pPr>
        <w:keepNext/>
        <w:keepLines/>
        <w:tabs>
          <w:tab w:val="clear" w:pos="567"/>
        </w:tabs>
        <w:autoSpaceDE w:val="0"/>
        <w:autoSpaceDN w:val="0"/>
        <w:adjustRightInd w:val="0"/>
        <w:spacing w:line="240" w:lineRule="auto"/>
        <w:rPr>
          <w:b/>
          <w:bCs/>
          <w:color w:val="000000"/>
          <w:szCs w:val="22"/>
          <w:lang w:eastAsia="en-GB"/>
        </w:rPr>
      </w:pPr>
      <w:r w:rsidRPr="001775D9">
        <w:rPr>
          <w:b/>
          <w:bCs/>
          <w:color w:val="000000"/>
          <w:szCs w:val="22"/>
          <w:lang w:eastAsia="en-GB"/>
        </w:rPr>
        <w:t xml:space="preserve">Table 30. Paediatric CD study discontinuation of corticosteroids or immunomodulators and fistula remission </w:t>
      </w:r>
    </w:p>
    <w:p w14:paraId="4D4F9746" w14:textId="77777777" w:rsidR="00FF002B" w:rsidRPr="001775D9" w:rsidRDefault="00FF002B" w:rsidP="00317748">
      <w:pPr>
        <w:spacing w:line="240" w:lineRule="auto"/>
        <w:rPr>
          <w:szCs w:val="22"/>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2126"/>
        <w:gridCol w:w="2126"/>
        <w:gridCol w:w="1701"/>
      </w:tblGrid>
      <w:tr w:rsidR="00317748" w:rsidRPr="00F04F82" w14:paraId="08D9EC14" w14:textId="77777777" w:rsidTr="00FF002B">
        <w:trPr>
          <w:trHeight w:val="300"/>
        </w:trPr>
        <w:tc>
          <w:tcPr>
            <w:tcW w:w="3119" w:type="dxa"/>
            <w:tcBorders>
              <w:top w:val="single" w:sz="4" w:space="0" w:color="auto"/>
            </w:tcBorders>
          </w:tcPr>
          <w:p w14:paraId="2112BFDD" w14:textId="77777777" w:rsidR="00317748" w:rsidRPr="001775D9" w:rsidRDefault="00317748" w:rsidP="00486A05">
            <w:pPr>
              <w:keepNext/>
              <w:keepLines/>
              <w:tabs>
                <w:tab w:val="clear" w:pos="567"/>
              </w:tabs>
              <w:autoSpaceDE w:val="0"/>
              <w:autoSpaceDN w:val="0"/>
              <w:adjustRightInd w:val="0"/>
              <w:spacing w:line="240" w:lineRule="auto"/>
              <w:rPr>
                <w:color w:val="000000"/>
                <w:szCs w:val="22"/>
                <w:lang w:eastAsia="en-GB"/>
              </w:rPr>
            </w:pPr>
          </w:p>
        </w:tc>
        <w:tc>
          <w:tcPr>
            <w:tcW w:w="2126" w:type="dxa"/>
            <w:tcBorders>
              <w:top w:val="single" w:sz="4" w:space="0" w:color="auto"/>
            </w:tcBorders>
          </w:tcPr>
          <w:p w14:paraId="16BABE69" w14:textId="329128B7" w:rsidR="00317748" w:rsidRPr="001775D9" w:rsidRDefault="00317748" w:rsidP="00486A05">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Standard dose 40/20</w:t>
            </w:r>
            <w:r w:rsidRPr="001775D9">
              <w:rPr>
                <w:szCs w:val="22"/>
              </w:rPr>
              <w:t> </w:t>
            </w:r>
            <w:r w:rsidRPr="001775D9">
              <w:rPr>
                <w:b/>
                <w:bCs/>
                <w:color w:val="000000"/>
                <w:szCs w:val="22"/>
                <w:lang w:eastAsia="en-GB"/>
              </w:rPr>
              <w:t xml:space="preserve">mg </w:t>
            </w:r>
          </w:p>
          <w:p w14:paraId="6757453E" w14:textId="281CCC50" w:rsidR="004E6F88" w:rsidRPr="001775D9" w:rsidRDefault="004E6F88" w:rsidP="004E6F88">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every other week</w:t>
            </w:r>
          </w:p>
        </w:tc>
        <w:tc>
          <w:tcPr>
            <w:tcW w:w="2126" w:type="dxa"/>
            <w:tcBorders>
              <w:top w:val="single" w:sz="4" w:space="0" w:color="auto"/>
            </w:tcBorders>
          </w:tcPr>
          <w:p w14:paraId="1A085210"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Low dose</w:t>
            </w:r>
          </w:p>
          <w:p w14:paraId="16C627E8" w14:textId="05D3BAEB" w:rsidR="00317748" w:rsidRPr="001775D9" w:rsidRDefault="00317748" w:rsidP="00486A05">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20/10</w:t>
            </w:r>
            <w:r w:rsidRPr="001775D9">
              <w:rPr>
                <w:szCs w:val="22"/>
              </w:rPr>
              <w:t> </w:t>
            </w:r>
            <w:r w:rsidRPr="001775D9">
              <w:rPr>
                <w:b/>
                <w:bCs/>
                <w:color w:val="000000"/>
                <w:szCs w:val="22"/>
                <w:lang w:eastAsia="en-GB"/>
              </w:rPr>
              <w:t xml:space="preserve">mg </w:t>
            </w:r>
          </w:p>
          <w:p w14:paraId="4C40F0ED" w14:textId="4F7CBB1A" w:rsidR="004E6F88" w:rsidRPr="001775D9" w:rsidRDefault="004E6F88" w:rsidP="004E6F88">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every other week</w:t>
            </w:r>
          </w:p>
        </w:tc>
        <w:tc>
          <w:tcPr>
            <w:tcW w:w="1701" w:type="dxa"/>
            <w:tcBorders>
              <w:top w:val="single" w:sz="4" w:space="0" w:color="auto"/>
            </w:tcBorders>
          </w:tcPr>
          <w:p w14:paraId="72678804"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P value</w:t>
            </w:r>
            <w:r w:rsidRPr="001775D9">
              <w:rPr>
                <w:b/>
                <w:bCs/>
                <w:color w:val="000000"/>
                <w:szCs w:val="22"/>
                <w:vertAlign w:val="superscript"/>
                <w:lang w:eastAsia="en-GB"/>
              </w:rPr>
              <w:t>1</w:t>
            </w:r>
          </w:p>
        </w:tc>
      </w:tr>
      <w:tr w:rsidR="00317748" w:rsidRPr="00F04F82" w14:paraId="042C6FDB" w14:textId="77777777" w:rsidTr="00FF002B">
        <w:trPr>
          <w:trHeight w:val="149"/>
        </w:trPr>
        <w:tc>
          <w:tcPr>
            <w:tcW w:w="3119" w:type="dxa"/>
          </w:tcPr>
          <w:p w14:paraId="2B428107" w14:textId="77777777" w:rsidR="00317748" w:rsidRPr="001775D9" w:rsidRDefault="00317748" w:rsidP="00486A05">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Discontinued corticosteroids </w:t>
            </w:r>
          </w:p>
        </w:tc>
        <w:tc>
          <w:tcPr>
            <w:tcW w:w="2126" w:type="dxa"/>
          </w:tcPr>
          <w:p w14:paraId="315CA124"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33</w:t>
            </w:r>
          </w:p>
        </w:tc>
        <w:tc>
          <w:tcPr>
            <w:tcW w:w="2126" w:type="dxa"/>
          </w:tcPr>
          <w:p w14:paraId="499EB360"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38</w:t>
            </w:r>
          </w:p>
        </w:tc>
        <w:tc>
          <w:tcPr>
            <w:tcW w:w="1701" w:type="dxa"/>
          </w:tcPr>
          <w:p w14:paraId="685446C9"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p>
        </w:tc>
      </w:tr>
      <w:tr w:rsidR="00317748" w:rsidRPr="00F04F82" w14:paraId="0B781B74" w14:textId="77777777" w:rsidTr="00FF002B">
        <w:trPr>
          <w:trHeight w:val="147"/>
        </w:trPr>
        <w:tc>
          <w:tcPr>
            <w:tcW w:w="3119" w:type="dxa"/>
          </w:tcPr>
          <w:p w14:paraId="37CBC813" w14:textId="77777777" w:rsidR="00317748" w:rsidRPr="001775D9" w:rsidRDefault="00317748" w:rsidP="00486A05">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26 </w:t>
            </w:r>
          </w:p>
        </w:tc>
        <w:tc>
          <w:tcPr>
            <w:tcW w:w="2126" w:type="dxa"/>
          </w:tcPr>
          <w:p w14:paraId="1FC75E7D"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84.8%</w:t>
            </w:r>
          </w:p>
        </w:tc>
        <w:tc>
          <w:tcPr>
            <w:tcW w:w="2126" w:type="dxa"/>
          </w:tcPr>
          <w:p w14:paraId="3E80B63B"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65.8%</w:t>
            </w:r>
          </w:p>
        </w:tc>
        <w:tc>
          <w:tcPr>
            <w:tcW w:w="1701" w:type="dxa"/>
          </w:tcPr>
          <w:p w14:paraId="6ADBC096"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0.066</w:t>
            </w:r>
          </w:p>
        </w:tc>
      </w:tr>
      <w:tr w:rsidR="00317748" w:rsidRPr="00F04F82" w14:paraId="7C6FB68B" w14:textId="77777777" w:rsidTr="00FF002B">
        <w:trPr>
          <w:trHeight w:val="147"/>
        </w:trPr>
        <w:tc>
          <w:tcPr>
            <w:tcW w:w="3119" w:type="dxa"/>
          </w:tcPr>
          <w:p w14:paraId="19C1E66B" w14:textId="77777777" w:rsidR="00317748" w:rsidRPr="001775D9" w:rsidRDefault="00317748" w:rsidP="00486A05">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52 </w:t>
            </w:r>
          </w:p>
        </w:tc>
        <w:tc>
          <w:tcPr>
            <w:tcW w:w="2126" w:type="dxa"/>
          </w:tcPr>
          <w:p w14:paraId="3EB14FF8"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69.7%</w:t>
            </w:r>
          </w:p>
        </w:tc>
        <w:tc>
          <w:tcPr>
            <w:tcW w:w="2126" w:type="dxa"/>
          </w:tcPr>
          <w:p w14:paraId="3355A04E" w14:textId="77777777" w:rsidR="00317748" w:rsidRPr="001775D9" w:rsidRDefault="00317748" w:rsidP="00486A05">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60.5%</w:t>
            </w:r>
          </w:p>
        </w:tc>
        <w:tc>
          <w:tcPr>
            <w:tcW w:w="1701" w:type="dxa"/>
          </w:tcPr>
          <w:p w14:paraId="76F3A78D"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0.420</w:t>
            </w:r>
          </w:p>
        </w:tc>
      </w:tr>
      <w:tr w:rsidR="00317748" w:rsidRPr="00F04F82" w14:paraId="3F60D88C" w14:textId="77777777" w:rsidTr="00FF002B">
        <w:trPr>
          <w:trHeight w:val="156"/>
        </w:trPr>
        <w:tc>
          <w:tcPr>
            <w:tcW w:w="3119" w:type="dxa"/>
          </w:tcPr>
          <w:p w14:paraId="64BAE91B"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Discontinuation of Immunomodulators</w:t>
            </w:r>
            <w:r w:rsidRPr="001775D9">
              <w:rPr>
                <w:b/>
                <w:bCs/>
                <w:color w:val="000000"/>
                <w:szCs w:val="22"/>
                <w:vertAlign w:val="superscript"/>
                <w:lang w:eastAsia="en-GB"/>
              </w:rPr>
              <w:t>2</w:t>
            </w:r>
            <w:r w:rsidRPr="001775D9">
              <w:rPr>
                <w:b/>
                <w:bCs/>
                <w:color w:val="000000"/>
                <w:szCs w:val="22"/>
                <w:lang w:eastAsia="en-GB"/>
              </w:rPr>
              <w:t xml:space="preserve"> </w:t>
            </w:r>
          </w:p>
        </w:tc>
        <w:tc>
          <w:tcPr>
            <w:tcW w:w="2126" w:type="dxa"/>
          </w:tcPr>
          <w:p w14:paraId="718D9F53"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60</w:t>
            </w:r>
          </w:p>
        </w:tc>
        <w:tc>
          <w:tcPr>
            <w:tcW w:w="2126" w:type="dxa"/>
          </w:tcPr>
          <w:p w14:paraId="61263048"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57</w:t>
            </w:r>
          </w:p>
        </w:tc>
        <w:tc>
          <w:tcPr>
            <w:tcW w:w="1701" w:type="dxa"/>
          </w:tcPr>
          <w:p w14:paraId="11172130"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p>
        </w:tc>
      </w:tr>
      <w:tr w:rsidR="00317748" w:rsidRPr="00F04F82" w14:paraId="4ECA138B" w14:textId="77777777" w:rsidTr="00FF002B">
        <w:trPr>
          <w:trHeight w:val="147"/>
        </w:trPr>
        <w:tc>
          <w:tcPr>
            <w:tcW w:w="3119" w:type="dxa"/>
          </w:tcPr>
          <w:p w14:paraId="01604FD9"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52 </w:t>
            </w:r>
          </w:p>
        </w:tc>
        <w:tc>
          <w:tcPr>
            <w:tcW w:w="2126" w:type="dxa"/>
          </w:tcPr>
          <w:p w14:paraId="66E3FB44"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30.0%</w:t>
            </w:r>
          </w:p>
        </w:tc>
        <w:tc>
          <w:tcPr>
            <w:tcW w:w="2126" w:type="dxa"/>
          </w:tcPr>
          <w:p w14:paraId="532B4BD3"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29.8%</w:t>
            </w:r>
          </w:p>
        </w:tc>
        <w:tc>
          <w:tcPr>
            <w:tcW w:w="1701" w:type="dxa"/>
          </w:tcPr>
          <w:p w14:paraId="3F08C714"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0.983</w:t>
            </w:r>
          </w:p>
        </w:tc>
      </w:tr>
      <w:tr w:rsidR="00317748" w:rsidRPr="00F04F82" w14:paraId="261573D4" w14:textId="77777777" w:rsidTr="00FF002B">
        <w:trPr>
          <w:trHeight w:val="156"/>
        </w:trPr>
        <w:tc>
          <w:tcPr>
            <w:tcW w:w="3119" w:type="dxa"/>
          </w:tcPr>
          <w:p w14:paraId="395CAE10"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Fistula remission</w:t>
            </w:r>
            <w:r w:rsidRPr="001775D9">
              <w:rPr>
                <w:b/>
                <w:bCs/>
                <w:color w:val="000000"/>
                <w:szCs w:val="22"/>
                <w:vertAlign w:val="superscript"/>
                <w:lang w:eastAsia="en-GB"/>
              </w:rPr>
              <w:t>3</w:t>
            </w:r>
            <w:r w:rsidRPr="001775D9">
              <w:rPr>
                <w:b/>
                <w:bCs/>
                <w:color w:val="000000"/>
                <w:szCs w:val="22"/>
                <w:lang w:eastAsia="en-GB"/>
              </w:rPr>
              <w:t xml:space="preserve"> </w:t>
            </w:r>
          </w:p>
        </w:tc>
        <w:tc>
          <w:tcPr>
            <w:tcW w:w="2126" w:type="dxa"/>
          </w:tcPr>
          <w:p w14:paraId="338E6B3D"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15</w:t>
            </w:r>
          </w:p>
        </w:tc>
        <w:tc>
          <w:tcPr>
            <w:tcW w:w="2126" w:type="dxa"/>
          </w:tcPr>
          <w:p w14:paraId="79B4CB50"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21</w:t>
            </w:r>
          </w:p>
        </w:tc>
        <w:tc>
          <w:tcPr>
            <w:tcW w:w="1701" w:type="dxa"/>
          </w:tcPr>
          <w:p w14:paraId="27E8B932"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p>
        </w:tc>
      </w:tr>
      <w:tr w:rsidR="00317748" w:rsidRPr="00F04F82" w14:paraId="04526A5F" w14:textId="77777777" w:rsidTr="00FF002B">
        <w:trPr>
          <w:trHeight w:val="147"/>
        </w:trPr>
        <w:tc>
          <w:tcPr>
            <w:tcW w:w="3119" w:type="dxa"/>
          </w:tcPr>
          <w:p w14:paraId="20095C7E"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26 </w:t>
            </w:r>
          </w:p>
        </w:tc>
        <w:tc>
          <w:tcPr>
            <w:tcW w:w="2126" w:type="dxa"/>
          </w:tcPr>
          <w:p w14:paraId="222E0466"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46.7%</w:t>
            </w:r>
          </w:p>
        </w:tc>
        <w:tc>
          <w:tcPr>
            <w:tcW w:w="2126" w:type="dxa"/>
          </w:tcPr>
          <w:p w14:paraId="5A6B807D"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38.1%</w:t>
            </w:r>
          </w:p>
        </w:tc>
        <w:tc>
          <w:tcPr>
            <w:tcW w:w="1701" w:type="dxa"/>
          </w:tcPr>
          <w:p w14:paraId="692D2788"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0.608</w:t>
            </w:r>
          </w:p>
        </w:tc>
      </w:tr>
      <w:tr w:rsidR="00317748" w:rsidRPr="00F04F82" w14:paraId="6C85412E" w14:textId="77777777" w:rsidTr="00FF002B">
        <w:trPr>
          <w:trHeight w:val="147"/>
        </w:trPr>
        <w:tc>
          <w:tcPr>
            <w:tcW w:w="3119" w:type="dxa"/>
          </w:tcPr>
          <w:p w14:paraId="68C76972" w14:textId="77777777" w:rsidR="00317748" w:rsidRPr="001775D9" w:rsidRDefault="00317748" w:rsidP="00486A05">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Week 52</w:t>
            </w:r>
          </w:p>
        </w:tc>
        <w:tc>
          <w:tcPr>
            <w:tcW w:w="2126" w:type="dxa"/>
          </w:tcPr>
          <w:p w14:paraId="45251753"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40.0%</w:t>
            </w:r>
          </w:p>
        </w:tc>
        <w:tc>
          <w:tcPr>
            <w:tcW w:w="2126" w:type="dxa"/>
          </w:tcPr>
          <w:p w14:paraId="3AFCADFC"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23.8%</w:t>
            </w:r>
          </w:p>
        </w:tc>
        <w:tc>
          <w:tcPr>
            <w:tcW w:w="1701" w:type="dxa"/>
          </w:tcPr>
          <w:p w14:paraId="0AAB666E" w14:textId="77777777" w:rsidR="00317748" w:rsidRPr="001775D9" w:rsidRDefault="00317748" w:rsidP="00486A05">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0.303</w:t>
            </w:r>
          </w:p>
        </w:tc>
      </w:tr>
    </w:tbl>
    <w:p w14:paraId="4F227CE4" w14:textId="77777777" w:rsidR="00317748" w:rsidRPr="001775D9" w:rsidRDefault="00317748" w:rsidP="00317748">
      <w:pPr>
        <w:tabs>
          <w:tab w:val="clear" w:pos="567"/>
        </w:tabs>
        <w:autoSpaceDE w:val="0"/>
        <w:autoSpaceDN w:val="0"/>
        <w:adjustRightInd w:val="0"/>
        <w:spacing w:line="240" w:lineRule="auto"/>
        <w:rPr>
          <w:color w:val="000000"/>
          <w:sz w:val="20"/>
          <w:lang w:eastAsia="en-GB"/>
        </w:rPr>
      </w:pPr>
      <w:r w:rsidRPr="001775D9">
        <w:rPr>
          <w:color w:val="000000"/>
          <w:sz w:val="20"/>
          <w:vertAlign w:val="superscript"/>
          <w:lang w:eastAsia="en-GB"/>
        </w:rPr>
        <w:t>1</w:t>
      </w:r>
      <w:r w:rsidRPr="001775D9">
        <w:rPr>
          <w:color w:val="000000"/>
          <w:sz w:val="20"/>
          <w:lang w:eastAsia="en-GB"/>
        </w:rPr>
        <w:t xml:space="preserve"> p value for standard dose </w:t>
      </w:r>
      <w:r w:rsidRPr="001775D9">
        <w:rPr>
          <w:iCs/>
          <w:color w:val="000000"/>
          <w:sz w:val="20"/>
          <w:lang w:eastAsia="en-GB"/>
        </w:rPr>
        <w:t>versus</w:t>
      </w:r>
      <w:r w:rsidRPr="001775D9">
        <w:rPr>
          <w:i/>
          <w:iCs/>
          <w:color w:val="000000"/>
          <w:sz w:val="20"/>
          <w:lang w:eastAsia="en-GB"/>
        </w:rPr>
        <w:t xml:space="preserve"> </w:t>
      </w:r>
      <w:r w:rsidRPr="001775D9">
        <w:rPr>
          <w:color w:val="000000"/>
          <w:sz w:val="20"/>
          <w:lang w:eastAsia="en-GB"/>
        </w:rPr>
        <w:t xml:space="preserve">low dose comparison </w:t>
      </w:r>
    </w:p>
    <w:p w14:paraId="791E2857" w14:textId="77777777" w:rsidR="00317748" w:rsidRPr="001775D9" w:rsidRDefault="00317748" w:rsidP="00317748">
      <w:pPr>
        <w:tabs>
          <w:tab w:val="clear" w:pos="567"/>
        </w:tabs>
        <w:autoSpaceDE w:val="0"/>
        <w:autoSpaceDN w:val="0"/>
        <w:adjustRightInd w:val="0"/>
        <w:spacing w:line="240" w:lineRule="auto"/>
        <w:rPr>
          <w:color w:val="000000"/>
          <w:sz w:val="20"/>
          <w:lang w:eastAsia="en-GB"/>
        </w:rPr>
      </w:pPr>
      <w:r w:rsidRPr="001775D9">
        <w:rPr>
          <w:color w:val="000000"/>
          <w:sz w:val="20"/>
          <w:vertAlign w:val="superscript"/>
          <w:lang w:eastAsia="en-GB"/>
        </w:rPr>
        <w:t>2</w:t>
      </w:r>
      <w:r w:rsidRPr="001775D9">
        <w:rPr>
          <w:color w:val="000000"/>
          <w:sz w:val="20"/>
          <w:lang w:eastAsia="en-GB"/>
        </w:rPr>
        <w:t xml:space="preserve"> Immunosuppressant therapy could only be discontinued at or after week 26 at the investigator's discretion if the subject met the clinical response criterion </w:t>
      </w:r>
    </w:p>
    <w:p w14:paraId="14FE98EE" w14:textId="77777777" w:rsidR="00317748" w:rsidRPr="001775D9" w:rsidRDefault="00317748" w:rsidP="00317748">
      <w:pPr>
        <w:spacing w:line="240" w:lineRule="auto"/>
        <w:rPr>
          <w:sz w:val="20"/>
        </w:rPr>
      </w:pPr>
      <w:r w:rsidRPr="001775D9">
        <w:rPr>
          <w:color w:val="000000"/>
          <w:sz w:val="20"/>
          <w:vertAlign w:val="superscript"/>
          <w:lang w:eastAsia="en-GB"/>
        </w:rPr>
        <w:t>3</w:t>
      </w:r>
      <w:r w:rsidRPr="001775D9">
        <w:rPr>
          <w:color w:val="000000"/>
          <w:sz w:val="20"/>
          <w:lang w:eastAsia="en-GB"/>
        </w:rPr>
        <w:t xml:space="preserve"> defined as a closure of all fistulas that were draining at baseline for at least 2 consecutive post-baseline visits </w:t>
      </w:r>
    </w:p>
    <w:p w14:paraId="063D97BD" w14:textId="77777777" w:rsidR="00317748" w:rsidRPr="001775D9" w:rsidRDefault="00317748" w:rsidP="00317748">
      <w:pPr>
        <w:spacing w:line="240" w:lineRule="auto"/>
        <w:rPr>
          <w:szCs w:val="22"/>
        </w:rPr>
      </w:pPr>
    </w:p>
    <w:p w14:paraId="03F2E6C2" w14:textId="77777777" w:rsidR="00317748" w:rsidRPr="001775D9" w:rsidRDefault="00317748" w:rsidP="0031774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Statistically significant increases (improvement) from baseline to week 26 and 52 in body mass index and height velocity were observed for both treatment groups. </w:t>
      </w:r>
    </w:p>
    <w:p w14:paraId="188B63B1" w14:textId="77777777" w:rsidR="00317748" w:rsidRPr="001775D9" w:rsidRDefault="00317748" w:rsidP="00317748">
      <w:pPr>
        <w:spacing w:line="240" w:lineRule="auto"/>
        <w:rPr>
          <w:color w:val="000000"/>
          <w:szCs w:val="22"/>
          <w:lang w:eastAsia="en-GB"/>
        </w:rPr>
      </w:pPr>
    </w:p>
    <w:p w14:paraId="367C2E28" w14:textId="77777777" w:rsidR="00317748" w:rsidRPr="001775D9" w:rsidRDefault="00317748" w:rsidP="00317748">
      <w:pPr>
        <w:spacing w:line="240" w:lineRule="auto"/>
        <w:rPr>
          <w:color w:val="000000"/>
          <w:szCs w:val="22"/>
          <w:lang w:eastAsia="en-GB"/>
        </w:rPr>
      </w:pPr>
      <w:r w:rsidRPr="001775D9">
        <w:rPr>
          <w:color w:val="000000"/>
          <w:szCs w:val="22"/>
          <w:lang w:eastAsia="en-GB"/>
        </w:rPr>
        <w:t>Statistically and clinically significant improvements from baseline were also observed in both treatment groups for quality of life parameters (including IMPACT III).</w:t>
      </w:r>
    </w:p>
    <w:p w14:paraId="5503787E" w14:textId="77777777" w:rsidR="00317748" w:rsidRPr="001775D9" w:rsidRDefault="00317748" w:rsidP="00317748">
      <w:pPr>
        <w:spacing w:line="240" w:lineRule="auto"/>
        <w:rPr>
          <w:color w:val="000000"/>
          <w:szCs w:val="22"/>
          <w:lang w:eastAsia="en-GB"/>
        </w:rPr>
      </w:pPr>
    </w:p>
    <w:p w14:paraId="013249F3" w14:textId="77777777" w:rsidR="00317748" w:rsidRPr="001775D9" w:rsidRDefault="00317748" w:rsidP="00317748">
      <w:pPr>
        <w:tabs>
          <w:tab w:val="clear" w:pos="567"/>
        </w:tabs>
        <w:autoSpaceDE w:val="0"/>
        <w:autoSpaceDN w:val="0"/>
        <w:adjustRightInd w:val="0"/>
        <w:spacing w:line="240" w:lineRule="auto"/>
        <w:rPr>
          <w:szCs w:val="22"/>
        </w:rPr>
      </w:pPr>
      <w:r w:rsidRPr="00D55B59">
        <w:rPr>
          <w:szCs w:val="22"/>
          <w:rPrChange w:id="946" w:author="Author">
            <w:rPr>
              <w:szCs w:val="22"/>
              <w:lang w:val="en-US"/>
            </w:rPr>
          </w:rPrChange>
        </w:rPr>
        <w:t>One hundred patients (n = 100) from the Paediatric CD Study continued in an open-label long-term extension study. After 5 years of adalimumab therapy, 74.0% (37/50) of the 50 patients remaining in the study continued to be in clinical remission, and 92.0% (46/50) of patients continued to be in clinical response per PCDAI.</w:t>
      </w:r>
    </w:p>
    <w:p w14:paraId="44C42D74" w14:textId="77777777" w:rsidR="00375960" w:rsidRPr="001775D9" w:rsidRDefault="00375960" w:rsidP="00E5603E">
      <w:pPr>
        <w:tabs>
          <w:tab w:val="clear" w:pos="567"/>
        </w:tabs>
        <w:autoSpaceDE w:val="0"/>
        <w:autoSpaceDN w:val="0"/>
        <w:adjustRightInd w:val="0"/>
        <w:spacing w:line="240" w:lineRule="auto"/>
        <w:rPr>
          <w:color w:val="000000"/>
          <w:szCs w:val="22"/>
        </w:rPr>
      </w:pPr>
    </w:p>
    <w:p w14:paraId="54E88C9F" w14:textId="77777777" w:rsidR="00317748" w:rsidRPr="001775D9" w:rsidRDefault="00317748" w:rsidP="00317748">
      <w:pPr>
        <w:tabs>
          <w:tab w:val="clear" w:pos="567"/>
        </w:tabs>
        <w:autoSpaceDE w:val="0"/>
        <w:autoSpaceDN w:val="0"/>
        <w:adjustRightInd w:val="0"/>
        <w:spacing w:line="240" w:lineRule="auto"/>
        <w:rPr>
          <w:i/>
          <w:iCs/>
          <w:szCs w:val="22"/>
          <w:lang w:eastAsia="en-GB"/>
        </w:rPr>
      </w:pPr>
      <w:r w:rsidRPr="001775D9">
        <w:rPr>
          <w:i/>
          <w:iCs/>
          <w:szCs w:val="22"/>
          <w:lang w:eastAsia="en-GB"/>
        </w:rPr>
        <w:t>Paediatric ulcerative colitis</w:t>
      </w:r>
    </w:p>
    <w:p w14:paraId="78679EC4" w14:textId="77777777" w:rsidR="00317748" w:rsidRPr="001775D9" w:rsidRDefault="00317748" w:rsidP="00317748">
      <w:pPr>
        <w:tabs>
          <w:tab w:val="clear" w:pos="567"/>
        </w:tabs>
        <w:autoSpaceDE w:val="0"/>
        <w:autoSpaceDN w:val="0"/>
        <w:adjustRightInd w:val="0"/>
        <w:spacing w:line="240" w:lineRule="auto"/>
        <w:rPr>
          <w:i/>
          <w:iCs/>
          <w:szCs w:val="22"/>
          <w:lang w:eastAsia="en-GB"/>
        </w:rPr>
      </w:pPr>
    </w:p>
    <w:p w14:paraId="3A42B60C" w14:textId="73D0A682"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The safety and efficacy of adalimumab was assessed in a multicenter, randomi</w:t>
      </w:r>
      <w:r w:rsidR="00F8385D" w:rsidRPr="001775D9">
        <w:rPr>
          <w:szCs w:val="22"/>
          <w:lang w:eastAsia="en-GB"/>
        </w:rPr>
        <w:t>s</w:t>
      </w:r>
      <w:r w:rsidRPr="001775D9">
        <w:rPr>
          <w:szCs w:val="22"/>
          <w:lang w:eastAsia="en-GB"/>
        </w:rPr>
        <w:t xml:space="preserve">ed, double-blind, trial in 93 paediatric patients from 5 to 17 years of age with moderate to severe ulcerative colitis (Mayo score 6 to 12 with endoscopy subscore of 2 to 3 points, confirmed by centrally read endoscopy) who had an inadequate response or intolerance to conventional therapy. Approximately 16% of patients in the study had failed prior anti-TNF treatment. Patients who received corticosteroids at enrollment were allowed to taper their corticosteroid therapy after </w:t>
      </w:r>
      <w:r w:rsidR="00A54A1A" w:rsidRPr="001775D9">
        <w:rPr>
          <w:szCs w:val="22"/>
          <w:lang w:eastAsia="en-GB"/>
        </w:rPr>
        <w:t>w</w:t>
      </w:r>
      <w:r w:rsidRPr="001775D9">
        <w:rPr>
          <w:szCs w:val="22"/>
          <w:lang w:eastAsia="en-GB"/>
        </w:rPr>
        <w:t>eek 4.</w:t>
      </w:r>
    </w:p>
    <w:p w14:paraId="2C4EB31E"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623A47AF" w14:textId="70CD7AD2"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In the induction period of the study, 77 patients were randomi</w:t>
      </w:r>
      <w:r w:rsidR="00F8385D" w:rsidRPr="001775D9">
        <w:rPr>
          <w:szCs w:val="22"/>
          <w:lang w:eastAsia="en-GB"/>
        </w:rPr>
        <w:t>s</w:t>
      </w:r>
      <w:r w:rsidRPr="001775D9">
        <w:rPr>
          <w:szCs w:val="22"/>
          <w:lang w:eastAsia="en-GB"/>
        </w:rPr>
        <w:t>ed 3:2 to receive double-blind treatment</w:t>
      </w:r>
    </w:p>
    <w:p w14:paraId="70DCF0D8" w14:textId="277DFB05"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 xml:space="preserve">with </w:t>
      </w:r>
      <w:r w:rsidRPr="001775D9">
        <w:rPr>
          <w:color w:val="000000"/>
          <w:szCs w:val="22"/>
          <w:lang w:eastAsia="en-GB"/>
        </w:rPr>
        <w:t>adalimumab</w:t>
      </w:r>
      <w:r w:rsidRPr="001775D9">
        <w:rPr>
          <w:szCs w:val="22"/>
          <w:lang w:eastAsia="en-GB"/>
        </w:rPr>
        <w:t xml:space="preserve"> at an induction dose of 2.4 mg/kg (maximum of 160 mg) at </w:t>
      </w:r>
      <w:r w:rsidR="001427A9" w:rsidRPr="001775D9">
        <w:rPr>
          <w:szCs w:val="22"/>
          <w:lang w:eastAsia="en-GB"/>
        </w:rPr>
        <w:t>w</w:t>
      </w:r>
      <w:r w:rsidRPr="001775D9">
        <w:rPr>
          <w:szCs w:val="22"/>
          <w:lang w:eastAsia="en-GB"/>
        </w:rPr>
        <w:t xml:space="preserve">eek 0 and </w:t>
      </w:r>
      <w:r w:rsidR="001427A9" w:rsidRPr="001775D9">
        <w:rPr>
          <w:szCs w:val="22"/>
          <w:lang w:eastAsia="en-GB"/>
        </w:rPr>
        <w:t>w</w:t>
      </w:r>
      <w:r w:rsidRPr="001775D9">
        <w:rPr>
          <w:szCs w:val="22"/>
          <w:lang w:eastAsia="en-GB"/>
        </w:rPr>
        <w:t xml:space="preserve">eek 1, and 1.2 mg/kg (maximum of 80 mg) at </w:t>
      </w:r>
      <w:r w:rsidR="001427A9" w:rsidRPr="001775D9">
        <w:rPr>
          <w:szCs w:val="22"/>
          <w:lang w:eastAsia="en-GB"/>
        </w:rPr>
        <w:t>w</w:t>
      </w:r>
      <w:r w:rsidRPr="001775D9">
        <w:rPr>
          <w:szCs w:val="22"/>
          <w:lang w:eastAsia="en-GB"/>
        </w:rPr>
        <w:t xml:space="preserve">eek 2; or an induction dose of 2.4 mg/kg (maximum of 160 mg) at </w:t>
      </w:r>
      <w:r w:rsidR="001427A9" w:rsidRPr="001775D9">
        <w:rPr>
          <w:szCs w:val="22"/>
          <w:lang w:eastAsia="en-GB"/>
        </w:rPr>
        <w:t>w</w:t>
      </w:r>
      <w:r w:rsidRPr="001775D9">
        <w:rPr>
          <w:szCs w:val="22"/>
          <w:lang w:eastAsia="en-GB"/>
        </w:rPr>
        <w:t xml:space="preserve">eek 0, placebo at </w:t>
      </w:r>
      <w:r w:rsidR="001427A9" w:rsidRPr="001775D9">
        <w:rPr>
          <w:szCs w:val="22"/>
          <w:lang w:eastAsia="en-GB"/>
        </w:rPr>
        <w:t>w</w:t>
      </w:r>
      <w:r w:rsidRPr="001775D9">
        <w:rPr>
          <w:szCs w:val="22"/>
          <w:lang w:eastAsia="en-GB"/>
        </w:rPr>
        <w:t xml:space="preserve">eek 1, and 1.2 mg/kg (maximum of 80 mg) at </w:t>
      </w:r>
      <w:r w:rsidR="001427A9" w:rsidRPr="001775D9">
        <w:rPr>
          <w:szCs w:val="22"/>
          <w:lang w:eastAsia="en-GB"/>
        </w:rPr>
        <w:t>w</w:t>
      </w:r>
      <w:r w:rsidRPr="001775D9">
        <w:rPr>
          <w:szCs w:val="22"/>
          <w:lang w:eastAsia="en-GB"/>
        </w:rPr>
        <w:t xml:space="preserve">eek 2. Both groups received 0.6 mg/kg (maximum of 40 mg) at </w:t>
      </w:r>
      <w:r w:rsidR="001427A9" w:rsidRPr="001775D9">
        <w:rPr>
          <w:szCs w:val="22"/>
          <w:lang w:eastAsia="en-GB"/>
        </w:rPr>
        <w:t>w</w:t>
      </w:r>
      <w:r w:rsidRPr="001775D9">
        <w:rPr>
          <w:szCs w:val="22"/>
          <w:lang w:eastAsia="en-GB"/>
        </w:rPr>
        <w:t xml:space="preserve">eek 4 and </w:t>
      </w:r>
      <w:r w:rsidR="001427A9" w:rsidRPr="001775D9">
        <w:rPr>
          <w:szCs w:val="22"/>
          <w:lang w:eastAsia="en-GB"/>
        </w:rPr>
        <w:t>w</w:t>
      </w:r>
      <w:r w:rsidRPr="001775D9">
        <w:rPr>
          <w:szCs w:val="22"/>
          <w:lang w:eastAsia="en-GB"/>
        </w:rPr>
        <w:t xml:space="preserve">eek 6. Following an amendment to the study design, the remaining 16 patients who enrolled in the induction period received open-label treatment with </w:t>
      </w:r>
      <w:r w:rsidRPr="001775D9">
        <w:rPr>
          <w:color w:val="000000"/>
          <w:szCs w:val="22"/>
          <w:lang w:eastAsia="en-GB"/>
        </w:rPr>
        <w:t>adalimumab</w:t>
      </w:r>
      <w:r w:rsidRPr="001775D9">
        <w:rPr>
          <w:szCs w:val="22"/>
          <w:lang w:eastAsia="en-GB"/>
        </w:rPr>
        <w:t xml:space="preserve"> at the induction dose of 2.4 mg/kg (maximum of 160 mg) at </w:t>
      </w:r>
      <w:r w:rsidR="001427A9" w:rsidRPr="001775D9">
        <w:rPr>
          <w:szCs w:val="22"/>
          <w:lang w:eastAsia="en-GB"/>
        </w:rPr>
        <w:t>w</w:t>
      </w:r>
      <w:r w:rsidRPr="001775D9">
        <w:rPr>
          <w:szCs w:val="22"/>
          <w:lang w:eastAsia="en-GB"/>
        </w:rPr>
        <w:t xml:space="preserve">eek 0 and </w:t>
      </w:r>
      <w:r w:rsidR="001427A9" w:rsidRPr="001775D9">
        <w:rPr>
          <w:szCs w:val="22"/>
          <w:lang w:eastAsia="en-GB"/>
        </w:rPr>
        <w:t>w</w:t>
      </w:r>
      <w:r w:rsidRPr="001775D9">
        <w:rPr>
          <w:szCs w:val="22"/>
          <w:lang w:eastAsia="en-GB"/>
        </w:rPr>
        <w:t xml:space="preserve">eek 1, and 1.2 mg/kg (maximum of 80 mg) at </w:t>
      </w:r>
      <w:r w:rsidR="001427A9" w:rsidRPr="001775D9">
        <w:rPr>
          <w:szCs w:val="22"/>
          <w:lang w:eastAsia="en-GB"/>
        </w:rPr>
        <w:t>w</w:t>
      </w:r>
      <w:r w:rsidRPr="001775D9">
        <w:rPr>
          <w:szCs w:val="22"/>
          <w:lang w:eastAsia="en-GB"/>
        </w:rPr>
        <w:t>eek 2.</w:t>
      </w:r>
    </w:p>
    <w:p w14:paraId="67107A5D"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7E333133" w14:textId="70E1FF7E"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 xml:space="preserve">At </w:t>
      </w:r>
      <w:r w:rsidR="001427A9" w:rsidRPr="001775D9">
        <w:rPr>
          <w:szCs w:val="22"/>
          <w:lang w:eastAsia="en-GB"/>
        </w:rPr>
        <w:t>w</w:t>
      </w:r>
      <w:r w:rsidRPr="001775D9">
        <w:rPr>
          <w:szCs w:val="22"/>
          <w:lang w:eastAsia="en-GB"/>
        </w:rPr>
        <w:t>eek 8, 62 patients who demonstrated clinical response per Partial Mayo Score (PMS; defined as a</w:t>
      </w:r>
    </w:p>
    <w:p w14:paraId="0CF3758E" w14:textId="74110F1A"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decrease in PMS</w:t>
      </w:r>
      <w:r w:rsidR="001427A9" w:rsidRPr="00D55B59">
        <w:rPr>
          <w:szCs w:val="22"/>
          <w:rPrChange w:id="947" w:author="Author">
            <w:rPr>
              <w:szCs w:val="22"/>
              <w:lang w:val="en-US"/>
            </w:rPr>
          </w:rPrChange>
        </w:rPr>
        <w:t> </w:t>
      </w:r>
      <w:r w:rsidRPr="001775D9">
        <w:rPr>
          <w:szCs w:val="22"/>
          <w:lang w:eastAsia="en-GB"/>
        </w:rPr>
        <w:t>≥</w:t>
      </w:r>
      <w:r w:rsidR="001427A9" w:rsidRPr="00D55B59">
        <w:rPr>
          <w:szCs w:val="22"/>
          <w:rPrChange w:id="948" w:author="Author">
            <w:rPr>
              <w:szCs w:val="22"/>
              <w:lang w:val="en-US"/>
            </w:rPr>
          </w:rPrChange>
        </w:rPr>
        <w:t> </w:t>
      </w:r>
      <w:r w:rsidRPr="001775D9">
        <w:rPr>
          <w:szCs w:val="22"/>
          <w:lang w:eastAsia="en-GB"/>
        </w:rPr>
        <w:t>2 points and</w:t>
      </w:r>
      <w:r w:rsidR="001427A9" w:rsidRPr="00D55B59">
        <w:rPr>
          <w:szCs w:val="22"/>
          <w:rPrChange w:id="949" w:author="Author">
            <w:rPr>
              <w:szCs w:val="22"/>
              <w:lang w:val="en-US"/>
            </w:rPr>
          </w:rPrChange>
        </w:rPr>
        <w:t> </w:t>
      </w:r>
      <w:r w:rsidRPr="001775D9">
        <w:rPr>
          <w:szCs w:val="22"/>
          <w:lang w:eastAsia="en-GB"/>
        </w:rPr>
        <w:t>≥</w:t>
      </w:r>
      <w:r w:rsidR="001427A9" w:rsidRPr="00D55B59">
        <w:rPr>
          <w:szCs w:val="22"/>
          <w:rPrChange w:id="950" w:author="Author">
            <w:rPr>
              <w:szCs w:val="22"/>
              <w:lang w:val="en-US"/>
            </w:rPr>
          </w:rPrChange>
        </w:rPr>
        <w:t> </w:t>
      </w:r>
      <w:r w:rsidRPr="001775D9">
        <w:rPr>
          <w:szCs w:val="22"/>
          <w:lang w:eastAsia="en-GB"/>
        </w:rPr>
        <w:t>30% from Baseline) were randomi</w:t>
      </w:r>
      <w:r w:rsidR="00F8385D" w:rsidRPr="001775D9">
        <w:rPr>
          <w:szCs w:val="22"/>
          <w:lang w:eastAsia="en-GB"/>
        </w:rPr>
        <w:t>s</w:t>
      </w:r>
      <w:r w:rsidRPr="001775D9">
        <w:rPr>
          <w:szCs w:val="22"/>
          <w:lang w:eastAsia="en-GB"/>
        </w:rPr>
        <w:t xml:space="preserve">ed equally to receive double-blind maintenance treatment with </w:t>
      </w:r>
      <w:r w:rsidRPr="001775D9">
        <w:rPr>
          <w:color w:val="000000"/>
          <w:szCs w:val="22"/>
          <w:lang w:eastAsia="en-GB"/>
        </w:rPr>
        <w:t>adalimumab</w:t>
      </w:r>
      <w:r w:rsidRPr="001775D9">
        <w:rPr>
          <w:szCs w:val="22"/>
          <w:lang w:eastAsia="en-GB"/>
        </w:rPr>
        <w:t xml:space="preserve"> at a dose of 0.6</w:t>
      </w:r>
      <w:r w:rsidR="001427A9" w:rsidRPr="00D55B59">
        <w:rPr>
          <w:szCs w:val="22"/>
          <w:rPrChange w:id="951" w:author="Author">
            <w:rPr>
              <w:szCs w:val="22"/>
              <w:lang w:val="en-US"/>
            </w:rPr>
          </w:rPrChange>
        </w:rPr>
        <w:t> </w:t>
      </w:r>
      <w:r w:rsidRPr="001775D9">
        <w:rPr>
          <w:szCs w:val="22"/>
          <w:lang w:eastAsia="en-GB"/>
        </w:rPr>
        <w:t>mg/kg (maximum of 40</w:t>
      </w:r>
      <w:r w:rsidR="001427A9" w:rsidRPr="00D55B59">
        <w:rPr>
          <w:szCs w:val="22"/>
          <w:rPrChange w:id="952" w:author="Author">
            <w:rPr>
              <w:szCs w:val="22"/>
              <w:lang w:val="en-US"/>
            </w:rPr>
          </w:rPrChange>
        </w:rPr>
        <w:t> </w:t>
      </w:r>
      <w:r w:rsidRPr="001775D9">
        <w:rPr>
          <w:szCs w:val="22"/>
          <w:lang w:eastAsia="en-GB"/>
        </w:rPr>
        <w:t>mg) every week, or a maintenance dose of 0.6 mg/kg (maximum of 40</w:t>
      </w:r>
      <w:r w:rsidR="001427A9" w:rsidRPr="00D55B59">
        <w:rPr>
          <w:szCs w:val="22"/>
          <w:rPrChange w:id="953" w:author="Author">
            <w:rPr>
              <w:szCs w:val="22"/>
              <w:lang w:val="en-US"/>
            </w:rPr>
          </w:rPrChange>
        </w:rPr>
        <w:t> </w:t>
      </w:r>
      <w:r w:rsidRPr="001775D9">
        <w:rPr>
          <w:szCs w:val="22"/>
          <w:lang w:eastAsia="en-GB"/>
        </w:rPr>
        <w:t>mg) every other week. Prior to an amendment to the study design, 12 additional patients who demonstrated clinical response per PMS were randomi</w:t>
      </w:r>
      <w:r w:rsidR="00F8385D" w:rsidRPr="001775D9">
        <w:rPr>
          <w:szCs w:val="22"/>
          <w:lang w:eastAsia="en-GB"/>
        </w:rPr>
        <w:t>s</w:t>
      </w:r>
      <w:r w:rsidRPr="001775D9">
        <w:rPr>
          <w:szCs w:val="22"/>
          <w:lang w:eastAsia="en-GB"/>
        </w:rPr>
        <w:t>ed to receive placebo but were not included in the confirmatory analysis of efficacy.</w:t>
      </w:r>
    </w:p>
    <w:p w14:paraId="72F17E28"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3581BFDD" w14:textId="696624A8"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Disease flare was defined as an increase in PMS of at least 3 points (for patients with PMS of 0 to 2 at</w:t>
      </w:r>
    </w:p>
    <w:p w14:paraId="4DAA5A86" w14:textId="65495BB9" w:rsidR="00317748" w:rsidRPr="001775D9" w:rsidRDefault="001427A9" w:rsidP="00317748">
      <w:pPr>
        <w:tabs>
          <w:tab w:val="clear" w:pos="567"/>
        </w:tabs>
        <w:autoSpaceDE w:val="0"/>
        <w:autoSpaceDN w:val="0"/>
        <w:adjustRightInd w:val="0"/>
        <w:spacing w:line="240" w:lineRule="auto"/>
        <w:rPr>
          <w:szCs w:val="22"/>
          <w:lang w:eastAsia="en-GB"/>
        </w:rPr>
      </w:pPr>
      <w:r w:rsidRPr="001775D9">
        <w:rPr>
          <w:szCs w:val="22"/>
          <w:lang w:eastAsia="en-GB"/>
        </w:rPr>
        <w:t>w</w:t>
      </w:r>
      <w:r w:rsidR="00317748" w:rsidRPr="001775D9">
        <w:rPr>
          <w:szCs w:val="22"/>
          <w:lang w:eastAsia="en-GB"/>
        </w:rPr>
        <w:t xml:space="preserve">eek 8), at least 2 points (for patients with PMS of 3 to 4 at </w:t>
      </w:r>
      <w:r w:rsidRPr="001775D9">
        <w:rPr>
          <w:szCs w:val="22"/>
          <w:lang w:eastAsia="en-GB"/>
        </w:rPr>
        <w:t>w</w:t>
      </w:r>
      <w:r w:rsidR="00317748" w:rsidRPr="001775D9">
        <w:rPr>
          <w:szCs w:val="22"/>
          <w:lang w:eastAsia="en-GB"/>
        </w:rPr>
        <w:t xml:space="preserve">eek 8), or at least 1 point (for patients with PMS of 5 to 6 at </w:t>
      </w:r>
      <w:r w:rsidRPr="001775D9">
        <w:rPr>
          <w:szCs w:val="22"/>
          <w:lang w:eastAsia="en-GB"/>
        </w:rPr>
        <w:t>w</w:t>
      </w:r>
      <w:r w:rsidR="00317748" w:rsidRPr="001775D9">
        <w:rPr>
          <w:szCs w:val="22"/>
          <w:lang w:eastAsia="en-GB"/>
        </w:rPr>
        <w:t>eek 8).</w:t>
      </w:r>
    </w:p>
    <w:p w14:paraId="1B5FAD56"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408969E0" w14:textId="2960235F"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 xml:space="preserve">Patients who met criteria for disease flare at or after </w:t>
      </w:r>
      <w:r w:rsidR="001427A9" w:rsidRPr="001775D9">
        <w:rPr>
          <w:szCs w:val="22"/>
          <w:lang w:eastAsia="en-GB"/>
        </w:rPr>
        <w:t>w</w:t>
      </w:r>
      <w:r w:rsidRPr="001775D9">
        <w:rPr>
          <w:szCs w:val="22"/>
          <w:lang w:eastAsia="en-GB"/>
        </w:rPr>
        <w:t>eek 12 were randomi</w:t>
      </w:r>
      <w:r w:rsidR="00F8385D" w:rsidRPr="001775D9">
        <w:rPr>
          <w:szCs w:val="22"/>
          <w:lang w:eastAsia="en-GB"/>
        </w:rPr>
        <w:t>s</w:t>
      </w:r>
      <w:r w:rsidRPr="001775D9">
        <w:rPr>
          <w:szCs w:val="22"/>
          <w:lang w:eastAsia="en-GB"/>
        </w:rPr>
        <w:t>ed to receive a re-induction dose of 2.4</w:t>
      </w:r>
      <w:r w:rsidR="001427A9" w:rsidRPr="00D55B59">
        <w:rPr>
          <w:szCs w:val="22"/>
          <w:rPrChange w:id="954" w:author="Author">
            <w:rPr>
              <w:szCs w:val="22"/>
              <w:lang w:val="en-US"/>
            </w:rPr>
          </w:rPrChange>
        </w:rPr>
        <w:t> </w:t>
      </w:r>
      <w:r w:rsidRPr="001775D9">
        <w:rPr>
          <w:szCs w:val="22"/>
          <w:lang w:eastAsia="en-GB"/>
        </w:rPr>
        <w:t>mg/kg (maximum of 160</w:t>
      </w:r>
      <w:r w:rsidR="001427A9" w:rsidRPr="00D55B59">
        <w:rPr>
          <w:szCs w:val="22"/>
          <w:rPrChange w:id="955" w:author="Author">
            <w:rPr>
              <w:szCs w:val="22"/>
              <w:lang w:val="en-US"/>
            </w:rPr>
          </w:rPrChange>
        </w:rPr>
        <w:t> </w:t>
      </w:r>
      <w:r w:rsidRPr="001775D9">
        <w:rPr>
          <w:szCs w:val="22"/>
          <w:lang w:eastAsia="en-GB"/>
        </w:rPr>
        <w:t>mg) or a dose of 0.6</w:t>
      </w:r>
      <w:r w:rsidR="001427A9" w:rsidRPr="00D55B59">
        <w:rPr>
          <w:szCs w:val="22"/>
          <w:rPrChange w:id="956" w:author="Author">
            <w:rPr>
              <w:szCs w:val="22"/>
              <w:lang w:val="en-US"/>
            </w:rPr>
          </w:rPrChange>
        </w:rPr>
        <w:t> </w:t>
      </w:r>
      <w:r w:rsidRPr="001775D9">
        <w:rPr>
          <w:szCs w:val="22"/>
          <w:lang w:eastAsia="en-GB"/>
        </w:rPr>
        <w:t>mg/kg (maximum of 40</w:t>
      </w:r>
      <w:r w:rsidR="001427A9" w:rsidRPr="00D55B59">
        <w:rPr>
          <w:szCs w:val="22"/>
          <w:rPrChange w:id="957" w:author="Author">
            <w:rPr>
              <w:szCs w:val="22"/>
              <w:lang w:val="en-US"/>
            </w:rPr>
          </w:rPrChange>
        </w:rPr>
        <w:t> </w:t>
      </w:r>
      <w:r w:rsidRPr="001775D9">
        <w:rPr>
          <w:szCs w:val="22"/>
          <w:lang w:eastAsia="en-GB"/>
        </w:rPr>
        <w:t>mg) and continued to receive their respective maintenance dose regimen afterwards.</w:t>
      </w:r>
    </w:p>
    <w:p w14:paraId="33378669" w14:textId="77777777" w:rsidR="00AE5FD6" w:rsidRPr="001775D9" w:rsidRDefault="00AE5FD6" w:rsidP="00317748">
      <w:pPr>
        <w:tabs>
          <w:tab w:val="clear" w:pos="567"/>
        </w:tabs>
        <w:autoSpaceDE w:val="0"/>
        <w:autoSpaceDN w:val="0"/>
        <w:adjustRightInd w:val="0"/>
        <w:spacing w:line="240" w:lineRule="auto"/>
        <w:rPr>
          <w:i/>
          <w:iCs/>
          <w:szCs w:val="22"/>
          <w:lang w:eastAsia="en-GB"/>
        </w:rPr>
      </w:pPr>
    </w:p>
    <w:p w14:paraId="72AF819A" w14:textId="7E919CC1" w:rsidR="00317748" w:rsidRPr="001775D9" w:rsidRDefault="00317748" w:rsidP="00317748">
      <w:pPr>
        <w:tabs>
          <w:tab w:val="clear" w:pos="567"/>
        </w:tabs>
        <w:autoSpaceDE w:val="0"/>
        <w:autoSpaceDN w:val="0"/>
        <w:adjustRightInd w:val="0"/>
        <w:spacing w:line="240" w:lineRule="auto"/>
        <w:rPr>
          <w:i/>
          <w:iCs/>
          <w:szCs w:val="22"/>
          <w:lang w:eastAsia="en-GB"/>
        </w:rPr>
      </w:pPr>
      <w:r w:rsidRPr="001775D9">
        <w:rPr>
          <w:i/>
          <w:iCs/>
          <w:szCs w:val="22"/>
          <w:lang w:eastAsia="en-GB"/>
        </w:rPr>
        <w:t>Efficacy Results</w:t>
      </w:r>
    </w:p>
    <w:p w14:paraId="520BD8DF"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2B8BBA74" w14:textId="255D6F85"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The co-primary endpoints of the study were clinical remission per PMS (defined as PMS</w:t>
      </w:r>
      <w:r w:rsidR="001427A9" w:rsidRPr="00D55B59">
        <w:rPr>
          <w:szCs w:val="22"/>
          <w:rPrChange w:id="958" w:author="Author">
            <w:rPr>
              <w:szCs w:val="22"/>
              <w:lang w:val="en-US"/>
            </w:rPr>
          </w:rPrChange>
        </w:rPr>
        <w:t> </w:t>
      </w:r>
      <w:r w:rsidRPr="001775D9">
        <w:rPr>
          <w:szCs w:val="22"/>
          <w:lang w:eastAsia="en-GB"/>
        </w:rPr>
        <w:t>≤</w:t>
      </w:r>
      <w:r w:rsidR="001427A9" w:rsidRPr="00D55B59">
        <w:rPr>
          <w:szCs w:val="22"/>
          <w:rPrChange w:id="959" w:author="Author">
            <w:rPr>
              <w:szCs w:val="22"/>
              <w:lang w:val="en-US"/>
            </w:rPr>
          </w:rPrChange>
        </w:rPr>
        <w:t> </w:t>
      </w:r>
      <w:r w:rsidRPr="001775D9">
        <w:rPr>
          <w:szCs w:val="22"/>
          <w:lang w:eastAsia="en-GB"/>
        </w:rPr>
        <w:t>2 and no</w:t>
      </w:r>
    </w:p>
    <w:p w14:paraId="2A7CCD02" w14:textId="4BC95273"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individual subscore</w:t>
      </w:r>
      <w:r w:rsidR="001427A9" w:rsidRPr="00D55B59">
        <w:rPr>
          <w:szCs w:val="22"/>
          <w:rPrChange w:id="960" w:author="Author">
            <w:rPr>
              <w:szCs w:val="22"/>
              <w:lang w:val="en-US"/>
            </w:rPr>
          </w:rPrChange>
        </w:rPr>
        <w:t> </w:t>
      </w:r>
      <w:r w:rsidRPr="001775D9">
        <w:rPr>
          <w:szCs w:val="22"/>
          <w:lang w:eastAsia="en-GB"/>
        </w:rPr>
        <w:t>&gt;</w:t>
      </w:r>
      <w:r w:rsidR="001427A9" w:rsidRPr="00D55B59">
        <w:rPr>
          <w:szCs w:val="22"/>
          <w:rPrChange w:id="961" w:author="Author">
            <w:rPr>
              <w:szCs w:val="22"/>
              <w:lang w:val="en-US"/>
            </w:rPr>
          </w:rPrChange>
        </w:rPr>
        <w:t> </w:t>
      </w:r>
      <w:r w:rsidRPr="001775D9">
        <w:rPr>
          <w:szCs w:val="22"/>
          <w:lang w:eastAsia="en-GB"/>
        </w:rPr>
        <w:t xml:space="preserve">1) at </w:t>
      </w:r>
      <w:r w:rsidR="001427A9" w:rsidRPr="001775D9">
        <w:rPr>
          <w:szCs w:val="22"/>
          <w:lang w:eastAsia="en-GB"/>
        </w:rPr>
        <w:t>w</w:t>
      </w:r>
      <w:r w:rsidRPr="001775D9">
        <w:rPr>
          <w:szCs w:val="22"/>
          <w:lang w:eastAsia="en-GB"/>
        </w:rPr>
        <w:t>eek 8, and clinical remission per FMS (Full Mayo Score) (defined as a Mayo Score</w:t>
      </w:r>
      <w:r w:rsidR="001427A9" w:rsidRPr="00D55B59">
        <w:rPr>
          <w:szCs w:val="22"/>
          <w:rPrChange w:id="962" w:author="Author">
            <w:rPr>
              <w:szCs w:val="22"/>
              <w:lang w:val="en-US"/>
            </w:rPr>
          </w:rPrChange>
        </w:rPr>
        <w:t> </w:t>
      </w:r>
      <w:r w:rsidRPr="001775D9">
        <w:rPr>
          <w:szCs w:val="22"/>
          <w:lang w:eastAsia="en-GB"/>
        </w:rPr>
        <w:t>≤</w:t>
      </w:r>
      <w:r w:rsidR="001427A9" w:rsidRPr="00D55B59">
        <w:rPr>
          <w:szCs w:val="22"/>
          <w:rPrChange w:id="963" w:author="Author">
            <w:rPr>
              <w:szCs w:val="22"/>
              <w:lang w:val="en-US"/>
            </w:rPr>
          </w:rPrChange>
        </w:rPr>
        <w:t> </w:t>
      </w:r>
      <w:r w:rsidRPr="001775D9">
        <w:rPr>
          <w:szCs w:val="22"/>
          <w:lang w:eastAsia="en-GB"/>
        </w:rPr>
        <w:t>2 and no individual subscore</w:t>
      </w:r>
      <w:r w:rsidR="001427A9" w:rsidRPr="00D55B59">
        <w:rPr>
          <w:szCs w:val="22"/>
          <w:rPrChange w:id="964" w:author="Author">
            <w:rPr>
              <w:szCs w:val="22"/>
              <w:lang w:val="en-US"/>
            </w:rPr>
          </w:rPrChange>
        </w:rPr>
        <w:t> </w:t>
      </w:r>
      <w:r w:rsidRPr="001775D9">
        <w:rPr>
          <w:szCs w:val="22"/>
          <w:lang w:eastAsia="en-GB"/>
        </w:rPr>
        <w:t>&gt;</w:t>
      </w:r>
      <w:r w:rsidR="001427A9" w:rsidRPr="00D55B59">
        <w:rPr>
          <w:szCs w:val="22"/>
          <w:rPrChange w:id="965" w:author="Author">
            <w:rPr>
              <w:szCs w:val="22"/>
              <w:lang w:val="en-US"/>
            </w:rPr>
          </w:rPrChange>
        </w:rPr>
        <w:t> </w:t>
      </w:r>
      <w:r w:rsidRPr="001775D9">
        <w:rPr>
          <w:szCs w:val="22"/>
          <w:lang w:eastAsia="en-GB"/>
        </w:rPr>
        <w:t xml:space="preserve">1) at </w:t>
      </w:r>
      <w:r w:rsidR="001427A9" w:rsidRPr="001775D9">
        <w:rPr>
          <w:szCs w:val="22"/>
          <w:lang w:eastAsia="en-GB"/>
        </w:rPr>
        <w:t>w</w:t>
      </w:r>
      <w:r w:rsidRPr="001775D9">
        <w:rPr>
          <w:szCs w:val="22"/>
          <w:lang w:eastAsia="en-GB"/>
        </w:rPr>
        <w:t>eek 52 in patients who achieved clinical response per PMS at Week 8.</w:t>
      </w:r>
    </w:p>
    <w:p w14:paraId="10D1898A"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5196355E" w14:textId="4BA4039F"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 xml:space="preserve">Clinical remission rates per PMS at </w:t>
      </w:r>
      <w:r w:rsidR="001427A9" w:rsidRPr="001775D9">
        <w:rPr>
          <w:szCs w:val="22"/>
          <w:lang w:eastAsia="en-GB"/>
        </w:rPr>
        <w:t>w</w:t>
      </w:r>
      <w:r w:rsidRPr="001775D9">
        <w:rPr>
          <w:szCs w:val="22"/>
          <w:lang w:eastAsia="en-GB"/>
        </w:rPr>
        <w:t xml:space="preserve">eek 8 for patients in each of the </w:t>
      </w:r>
      <w:r w:rsidRPr="001775D9">
        <w:rPr>
          <w:color w:val="000000"/>
          <w:szCs w:val="22"/>
          <w:lang w:eastAsia="en-GB"/>
        </w:rPr>
        <w:t>adalimumab</w:t>
      </w:r>
      <w:r w:rsidRPr="001775D9">
        <w:rPr>
          <w:szCs w:val="22"/>
          <w:lang w:eastAsia="en-GB"/>
        </w:rPr>
        <w:t xml:space="preserve"> double-blind induction groups are presented in table 3</w:t>
      </w:r>
      <w:r w:rsidR="004D7CC1" w:rsidRPr="001775D9">
        <w:rPr>
          <w:szCs w:val="22"/>
          <w:lang w:eastAsia="en-GB"/>
        </w:rPr>
        <w:t>1</w:t>
      </w:r>
      <w:r w:rsidRPr="001775D9">
        <w:rPr>
          <w:szCs w:val="22"/>
          <w:lang w:eastAsia="en-GB"/>
        </w:rPr>
        <w:t>.</w:t>
      </w:r>
    </w:p>
    <w:p w14:paraId="0A8A46DF" w14:textId="77777777" w:rsidR="00317748" w:rsidRPr="001775D9" w:rsidRDefault="00317748" w:rsidP="00AB372A">
      <w:pPr>
        <w:keepNext/>
        <w:tabs>
          <w:tab w:val="clear" w:pos="567"/>
        </w:tabs>
        <w:autoSpaceDE w:val="0"/>
        <w:autoSpaceDN w:val="0"/>
        <w:adjustRightInd w:val="0"/>
        <w:spacing w:line="240" w:lineRule="auto"/>
        <w:rPr>
          <w:szCs w:val="22"/>
          <w:lang w:eastAsia="en-GB"/>
        </w:rPr>
      </w:pPr>
    </w:p>
    <w:p w14:paraId="75CD85D1" w14:textId="08C8D914" w:rsidR="00317748" w:rsidRPr="001775D9" w:rsidRDefault="00317748" w:rsidP="008A1D74">
      <w:pPr>
        <w:keepNext/>
        <w:tabs>
          <w:tab w:val="clear" w:pos="567"/>
        </w:tabs>
        <w:autoSpaceDE w:val="0"/>
        <w:autoSpaceDN w:val="0"/>
        <w:adjustRightInd w:val="0"/>
        <w:spacing w:line="240" w:lineRule="auto"/>
        <w:rPr>
          <w:b/>
          <w:bCs/>
          <w:szCs w:val="22"/>
          <w:lang w:eastAsia="en-GB"/>
        </w:rPr>
      </w:pPr>
      <w:r w:rsidRPr="001775D9">
        <w:rPr>
          <w:b/>
          <w:bCs/>
          <w:szCs w:val="22"/>
          <w:lang w:eastAsia="en-GB"/>
        </w:rPr>
        <w:t>Table 3</w:t>
      </w:r>
      <w:r w:rsidR="004D7CC1" w:rsidRPr="001775D9">
        <w:rPr>
          <w:b/>
          <w:bCs/>
          <w:szCs w:val="22"/>
          <w:lang w:eastAsia="en-GB"/>
        </w:rPr>
        <w:t>1</w:t>
      </w:r>
      <w:r w:rsidR="001427A9" w:rsidRPr="001775D9">
        <w:rPr>
          <w:b/>
          <w:bCs/>
          <w:szCs w:val="22"/>
          <w:lang w:eastAsia="en-GB"/>
        </w:rPr>
        <w:t>.</w:t>
      </w:r>
      <w:r w:rsidRPr="001775D9">
        <w:rPr>
          <w:b/>
          <w:bCs/>
          <w:szCs w:val="22"/>
          <w:lang w:eastAsia="en-GB"/>
        </w:rPr>
        <w:t xml:space="preserve"> Clinical </w:t>
      </w:r>
      <w:r w:rsidR="00126D41" w:rsidRPr="001775D9">
        <w:rPr>
          <w:b/>
          <w:bCs/>
          <w:szCs w:val="22"/>
          <w:lang w:eastAsia="en-GB"/>
        </w:rPr>
        <w:t>r</w:t>
      </w:r>
      <w:r w:rsidRPr="001775D9">
        <w:rPr>
          <w:b/>
          <w:bCs/>
          <w:szCs w:val="22"/>
          <w:lang w:eastAsia="en-GB"/>
        </w:rPr>
        <w:t xml:space="preserve">emission per PMS at 8 </w:t>
      </w:r>
      <w:r w:rsidR="00126D41" w:rsidRPr="001775D9">
        <w:rPr>
          <w:b/>
          <w:bCs/>
          <w:szCs w:val="22"/>
          <w:lang w:eastAsia="en-GB"/>
        </w:rPr>
        <w:t>w</w:t>
      </w:r>
      <w:r w:rsidRPr="001775D9">
        <w:rPr>
          <w:b/>
          <w:bCs/>
          <w:szCs w:val="22"/>
          <w:lang w:eastAsia="en-GB"/>
        </w:rPr>
        <w:t>eeks</w:t>
      </w:r>
    </w:p>
    <w:p w14:paraId="68939497" w14:textId="77777777" w:rsidR="00317748" w:rsidRPr="001775D9" w:rsidRDefault="00317748" w:rsidP="008A1D74">
      <w:pPr>
        <w:keepNext/>
        <w:tabs>
          <w:tab w:val="clear" w:pos="567"/>
        </w:tabs>
        <w:autoSpaceDE w:val="0"/>
        <w:autoSpaceDN w:val="0"/>
        <w:adjustRightInd w:val="0"/>
        <w:spacing w:line="240" w:lineRule="auto"/>
        <w:rPr>
          <w:i/>
          <w:iCs/>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1"/>
      </w:tblGrid>
      <w:tr w:rsidR="00317748" w:rsidRPr="00F04F82" w14:paraId="21584790" w14:textId="77777777" w:rsidTr="007B0EB2">
        <w:trPr>
          <w:cantSplit/>
        </w:trPr>
        <w:tc>
          <w:tcPr>
            <w:tcW w:w="3020" w:type="dxa"/>
          </w:tcPr>
          <w:p w14:paraId="00B853D4" w14:textId="77777777" w:rsidR="00317748" w:rsidRPr="001775D9" w:rsidRDefault="00317748" w:rsidP="007B0EB2">
            <w:pPr>
              <w:keepNext/>
              <w:tabs>
                <w:tab w:val="clear" w:pos="567"/>
              </w:tabs>
              <w:autoSpaceDE w:val="0"/>
              <w:autoSpaceDN w:val="0"/>
              <w:adjustRightInd w:val="0"/>
              <w:spacing w:line="240" w:lineRule="auto"/>
              <w:rPr>
                <w:szCs w:val="22"/>
                <w:lang w:eastAsia="en-GB"/>
              </w:rPr>
            </w:pPr>
          </w:p>
        </w:tc>
        <w:tc>
          <w:tcPr>
            <w:tcW w:w="3020" w:type="dxa"/>
          </w:tcPr>
          <w:p w14:paraId="3A749FDE" w14:textId="77777777" w:rsidR="00317748" w:rsidRPr="001775D9" w:rsidRDefault="00317748" w:rsidP="007B0EB2">
            <w:pPr>
              <w:keepNext/>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a</w:t>
            </w:r>
          </w:p>
          <w:p w14:paraId="2725D5CD" w14:textId="16ED01DB" w:rsidR="00317748" w:rsidRPr="001775D9" w:rsidRDefault="00317748" w:rsidP="007B0EB2">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 xml:space="preserve">Maximum of 160 mg at </w:t>
            </w:r>
            <w:r w:rsidR="00187ACF" w:rsidRPr="001775D9">
              <w:rPr>
                <w:b/>
                <w:bCs/>
                <w:szCs w:val="22"/>
                <w:lang w:eastAsia="en-GB"/>
              </w:rPr>
              <w:t>w</w:t>
            </w:r>
            <w:r w:rsidRPr="001775D9">
              <w:rPr>
                <w:b/>
                <w:bCs/>
                <w:szCs w:val="22"/>
                <w:lang w:eastAsia="en-GB"/>
              </w:rPr>
              <w:t xml:space="preserve">eek 0 / Placebo at </w:t>
            </w:r>
            <w:r w:rsidR="00187ACF" w:rsidRPr="001775D9">
              <w:rPr>
                <w:b/>
                <w:bCs/>
                <w:szCs w:val="22"/>
                <w:lang w:eastAsia="en-GB"/>
              </w:rPr>
              <w:t>w</w:t>
            </w:r>
            <w:r w:rsidRPr="001775D9">
              <w:rPr>
                <w:b/>
                <w:bCs/>
                <w:szCs w:val="22"/>
                <w:lang w:eastAsia="en-GB"/>
              </w:rPr>
              <w:t>eek 1</w:t>
            </w:r>
          </w:p>
          <w:p w14:paraId="7187E9B8" w14:textId="6C355724" w:rsidR="00317748" w:rsidRPr="001775D9" w:rsidRDefault="00317748" w:rsidP="007B0EB2">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N=30</w:t>
            </w:r>
          </w:p>
        </w:tc>
        <w:tc>
          <w:tcPr>
            <w:tcW w:w="3021" w:type="dxa"/>
          </w:tcPr>
          <w:p w14:paraId="061E264B" w14:textId="77777777" w:rsidR="00317748" w:rsidRPr="001775D9" w:rsidRDefault="00317748" w:rsidP="007B0EB2">
            <w:pPr>
              <w:keepNext/>
              <w:tabs>
                <w:tab w:val="clear" w:pos="567"/>
              </w:tabs>
              <w:autoSpaceDE w:val="0"/>
              <w:autoSpaceDN w:val="0"/>
              <w:adjustRightInd w:val="0"/>
              <w:spacing w:line="240" w:lineRule="auto"/>
              <w:jc w:val="center"/>
              <w:rPr>
                <w:b/>
                <w:bCs/>
                <w:szCs w:val="22"/>
                <w:vertAlign w:val="superscript"/>
                <w:lang w:eastAsia="en-GB"/>
              </w:rPr>
            </w:pPr>
            <w:r w:rsidRPr="001775D9">
              <w:rPr>
                <w:b/>
                <w:bCs/>
                <w:color w:val="000000"/>
                <w:szCs w:val="22"/>
                <w:lang w:eastAsia="en-GB"/>
              </w:rPr>
              <w:t>Adalimumab</w:t>
            </w:r>
            <w:r w:rsidRPr="001775D9">
              <w:rPr>
                <w:b/>
                <w:bCs/>
                <w:szCs w:val="22"/>
                <w:vertAlign w:val="superscript"/>
                <w:lang w:eastAsia="en-GB"/>
              </w:rPr>
              <w:t>b, c</w:t>
            </w:r>
          </w:p>
          <w:p w14:paraId="4DAFB4D5" w14:textId="0C61BF4E" w:rsidR="00317748" w:rsidRPr="001775D9" w:rsidRDefault="00317748" w:rsidP="007B0EB2">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 xml:space="preserve">Maximum of 160 mg at </w:t>
            </w:r>
            <w:r w:rsidR="00187ACF" w:rsidRPr="001775D9">
              <w:rPr>
                <w:b/>
                <w:bCs/>
                <w:szCs w:val="22"/>
                <w:lang w:eastAsia="en-GB"/>
              </w:rPr>
              <w:t>w</w:t>
            </w:r>
            <w:r w:rsidRPr="001775D9">
              <w:rPr>
                <w:b/>
                <w:bCs/>
                <w:szCs w:val="22"/>
                <w:lang w:eastAsia="en-GB"/>
              </w:rPr>
              <w:t xml:space="preserve">eek 0 and </w:t>
            </w:r>
            <w:r w:rsidR="00187ACF" w:rsidRPr="001775D9">
              <w:rPr>
                <w:b/>
                <w:bCs/>
                <w:szCs w:val="22"/>
                <w:lang w:eastAsia="en-GB"/>
              </w:rPr>
              <w:t>w</w:t>
            </w:r>
            <w:r w:rsidRPr="001775D9">
              <w:rPr>
                <w:b/>
                <w:bCs/>
                <w:szCs w:val="22"/>
                <w:lang w:eastAsia="en-GB"/>
              </w:rPr>
              <w:t>eek 1</w:t>
            </w:r>
          </w:p>
          <w:p w14:paraId="68B921F3" w14:textId="24755519" w:rsidR="00317748" w:rsidRPr="001775D9" w:rsidRDefault="00317748" w:rsidP="007B0EB2">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N=47</w:t>
            </w:r>
          </w:p>
        </w:tc>
      </w:tr>
      <w:tr w:rsidR="00317748" w:rsidRPr="00F04F82" w14:paraId="185CE3ED" w14:textId="77777777" w:rsidTr="007B0EB2">
        <w:tc>
          <w:tcPr>
            <w:tcW w:w="3020" w:type="dxa"/>
          </w:tcPr>
          <w:p w14:paraId="52BE2273" w14:textId="77777777"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Clinical remission</w:t>
            </w:r>
          </w:p>
        </w:tc>
        <w:tc>
          <w:tcPr>
            <w:tcW w:w="3020" w:type="dxa"/>
          </w:tcPr>
          <w:p w14:paraId="633C6606"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13/30 (43.3%)</w:t>
            </w:r>
          </w:p>
        </w:tc>
        <w:tc>
          <w:tcPr>
            <w:tcW w:w="3021" w:type="dxa"/>
          </w:tcPr>
          <w:p w14:paraId="1F22E2A0"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28/47 (59.6%)</w:t>
            </w:r>
          </w:p>
        </w:tc>
      </w:tr>
      <w:tr w:rsidR="00317748" w:rsidRPr="00F04F82" w14:paraId="16B560AC" w14:textId="77777777" w:rsidTr="007B0EB2">
        <w:tc>
          <w:tcPr>
            <w:tcW w:w="9061" w:type="dxa"/>
            <w:gridSpan w:val="3"/>
          </w:tcPr>
          <w:p w14:paraId="3EA0BFBB" w14:textId="357D488B"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 xml:space="preserve">a </w:t>
            </w:r>
            <w:r w:rsidRPr="001775D9">
              <w:rPr>
                <w:sz w:val="20"/>
                <w:lang w:eastAsia="en-GB"/>
              </w:rPr>
              <w:t>A</w:t>
            </w:r>
            <w:r w:rsidRPr="001775D9">
              <w:rPr>
                <w:color w:val="000000"/>
                <w:sz w:val="20"/>
                <w:lang w:eastAsia="en-GB"/>
              </w:rPr>
              <w:t>dalimumab</w:t>
            </w:r>
            <w:r w:rsidRPr="001775D9">
              <w:rPr>
                <w:sz w:val="20"/>
                <w:lang w:eastAsia="en-GB"/>
              </w:rPr>
              <w:t xml:space="preserve"> 2.4 mg/kg (maximum of 160 mg) at </w:t>
            </w:r>
            <w:r w:rsidR="00B11EEA" w:rsidRPr="001775D9">
              <w:rPr>
                <w:sz w:val="20"/>
                <w:lang w:eastAsia="en-GB"/>
              </w:rPr>
              <w:t>w</w:t>
            </w:r>
            <w:r w:rsidRPr="001775D9">
              <w:rPr>
                <w:sz w:val="20"/>
                <w:lang w:eastAsia="en-GB"/>
              </w:rPr>
              <w:t xml:space="preserve">eek 0, placebo at </w:t>
            </w:r>
            <w:r w:rsidR="00B11EEA" w:rsidRPr="001775D9">
              <w:rPr>
                <w:sz w:val="20"/>
                <w:lang w:eastAsia="en-GB"/>
              </w:rPr>
              <w:t>w</w:t>
            </w:r>
            <w:r w:rsidRPr="001775D9">
              <w:rPr>
                <w:sz w:val="20"/>
                <w:lang w:eastAsia="en-GB"/>
              </w:rPr>
              <w:t xml:space="preserve">eek 1, and 1.2 mg/kg (maximum of 80 mg) at </w:t>
            </w:r>
            <w:r w:rsidR="00B11EEA" w:rsidRPr="001775D9">
              <w:rPr>
                <w:sz w:val="20"/>
                <w:lang w:eastAsia="en-GB"/>
              </w:rPr>
              <w:t>w</w:t>
            </w:r>
            <w:r w:rsidRPr="001775D9">
              <w:rPr>
                <w:sz w:val="20"/>
                <w:lang w:eastAsia="en-GB"/>
              </w:rPr>
              <w:t>eek 2</w:t>
            </w:r>
          </w:p>
          <w:p w14:paraId="37E85176" w14:textId="2A303490"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A</w:t>
            </w:r>
            <w:r w:rsidRPr="001775D9">
              <w:rPr>
                <w:color w:val="000000"/>
                <w:sz w:val="20"/>
                <w:lang w:eastAsia="en-GB"/>
              </w:rPr>
              <w:t>dalimumab</w:t>
            </w:r>
            <w:r w:rsidRPr="001775D9">
              <w:rPr>
                <w:sz w:val="20"/>
                <w:lang w:eastAsia="en-GB"/>
              </w:rPr>
              <w:t xml:space="preserve"> 2.4 mg/kg (maximum of 160 mg) at </w:t>
            </w:r>
            <w:r w:rsidR="00B11EEA" w:rsidRPr="001775D9">
              <w:rPr>
                <w:sz w:val="20"/>
                <w:lang w:eastAsia="en-GB"/>
              </w:rPr>
              <w:t>w</w:t>
            </w:r>
            <w:r w:rsidRPr="001775D9">
              <w:rPr>
                <w:sz w:val="20"/>
                <w:lang w:eastAsia="en-GB"/>
              </w:rPr>
              <w:t xml:space="preserve">eek 0 and </w:t>
            </w:r>
            <w:r w:rsidR="00B11EEA" w:rsidRPr="001775D9">
              <w:rPr>
                <w:sz w:val="20"/>
                <w:lang w:eastAsia="en-GB"/>
              </w:rPr>
              <w:t>w</w:t>
            </w:r>
            <w:r w:rsidRPr="001775D9">
              <w:rPr>
                <w:sz w:val="20"/>
                <w:lang w:eastAsia="en-GB"/>
              </w:rPr>
              <w:t xml:space="preserve">eek 1, and 1.2 mg/kg (maximum of 80 mg) at </w:t>
            </w:r>
            <w:r w:rsidR="00B11EEA" w:rsidRPr="001775D9">
              <w:rPr>
                <w:sz w:val="20"/>
                <w:lang w:eastAsia="en-GB"/>
              </w:rPr>
              <w:t>w</w:t>
            </w:r>
            <w:r w:rsidRPr="001775D9">
              <w:rPr>
                <w:sz w:val="20"/>
                <w:lang w:eastAsia="en-GB"/>
              </w:rPr>
              <w:t>eek 2</w:t>
            </w:r>
          </w:p>
          <w:p w14:paraId="6689DE40" w14:textId="53566C15"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Not including open-label Induction dose of </w:t>
            </w:r>
            <w:r w:rsidRPr="001775D9">
              <w:rPr>
                <w:color w:val="000000"/>
                <w:sz w:val="20"/>
                <w:lang w:eastAsia="en-GB"/>
              </w:rPr>
              <w:t>adalimumab</w:t>
            </w:r>
            <w:r w:rsidRPr="001775D9">
              <w:rPr>
                <w:sz w:val="20"/>
                <w:lang w:eastAsia="en-GB"/>
              </w:rPr>
              <w:t xml:space="preserve"> 2.4 mg/kg (maximum of 160 mg) at </w:t>
            </w:r>
            <w:r w:rsidR="00B11EEA" w:rsidRPr="001775D9">
              <w:rPr>
                <w:sz w:val="20"/>
                <w:lang w:eastAsia="en-GB"/>
              </w:rPr>
              <w:t>w</w:t>
            </w:r>
            <w:r w:rsidRPr="001775D9">
              <w:rPr>
                <w:sz w:val="20"/>
                <w:lang w:eastAsia="en-GB"/>
              </w:rPr>
              <w:t xml:space="preserve">eek 0 and </w:t>
            </w:r>
            <w:r w:rsidR="00B11EEA" w:rsidRPr="001775D9">
              <w:rPr>
                <w:sz w:val="20"/>
                <w:lang w:eastAsia="en-GB"/>
              </w:rPr>
              <w:t>w</w:t>
            </w:r>
            <w:r w:rsidRPr="001775D9">
              <w:rPr>
                <w:sz w:val="20"/>
                <w:lang w:eastAsia="en-GB"/>
              </w:rPr>
              <w:t xml:space="preserve">eek 1, and 1.2 mg/kg (maximum of 80 mg) at </w:t>
            </w:r>
            <w:r w:rsidR="00B11EEA" w:rsidRPr="001775D9">
              <w:rPr>
                <w:sz w:val="20"/>
                <w:lang w:eastAsia="en-GB"/>
              </w:rPr>
              <w:t>w</w:t>
            </w:r>
            <w:r w:rsidRPr="001775D9">
              <w:rPr>
                <w:sz w:val="20"/>
                <w:lang w:eastAsia="en-GB"/>
              </w:rPr>
              <w:t>eek 2</w:t>
            </w:r>
          </w:p>
          <w:p w14:paraId="52203AE7" w14:textId="0DB18FB4"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lang w:eastAsia="en-GB"/>
              </w:rPr>
              <w:t xml:space="preserve">Note 1: Both induction groups received 0.6 mg/kg (maximum of 40 mg) at </w:t>
            </w:r>
            <w:r w:rsidR="00B11EEA" w:rsidRPr="001775D9">
              <w:rPr>
                <w:sz w:val="20"/>
                <w:lang w:eastAsia="en-GB"/>
              </w:rPr>
              <w:t>w</w:t>
            </w:r>
            <w:r w:rsidRPr="001775D9">
              <w:rPr>
                <w:sz w:val="20"/>
                <w:lang w:eastAsia="en-GB"/>
              </w:rPr>
              <w:t xml:space="preserve">eek 4 and </w:t>
            </w:r>
            <w:r w:rsidR="00B11EEA" w:rsidRPr="001775D9">
              <w:rPr>
                <w:sz w:val="20"/>
                <w:lang w:eastAsia="en-GB"/>
              </w:rPr>
              <w:t>w</w:t>
            </w:r>
            <w:r w:rsidRPr="001775D9">
              <w:rPr>
                <w:sz w:val="20"/>
                <w:lang w:eastAsia="en-GB"/>
              </w:rPr>
              <w:t>eek 6</w:t>
            </w:r>
          </w:p>
          <w:p w14:paraId="3980A136" w14:textId="38071E29" w:rsidR="00317748" w:rsidRPr="001775D9" w:rsidRDefault="00317748" w:rsidP="007B0EB2">
            <w:pPr>
              <w:tabs>
                <w:tab w:val="clear" w:pos="567"/>
              </w:tabs>
              <w:autoSpaceDE w:val="0"/>
              <w:autoSpaceDN w:val="0"/>
              <w:adjustRightInd w:val="0"/>
              <w:spacing w:line="240" w:lineRule="auto"/>
              <w:rPr>
                <w:szCs w:val="22"/>
                <w:lang w:eastAsia="en-GB"/>
              </w:rPr>
            </w:pPr>
            <w:r w:rsidRPr="001775D9">
              <w:rPr>
                <w:sz w:val="20"/>
                <w:lang w:eastAsia="en-GB"/>
              </w:rPr>
              <w:t xml:space="preserve">Note 2: Patients with missing values at </w:t>
            </w:r>
            <w:r w:rsidR="00B11EEA" w:rsidRPr="001775D9">
              <w:rPr>
                <w:sz w:val="20"/>
                <w:lang w:eastAsia="en-GB"/>
              </w:rPr>
              <w:t>w</w:t>
            </w:r>
            <w:r w:rsidRPr="001775D9">
              <w:rPr>
                <w:sz w:val="20"/>
                <w:lang w:eastAsia="en-GB"/>
              </w:rPr>
              <w:t>eek 8 were considered as not having met the endpoint</w:t>
            </w:r>
          </w:p>
        </w:tc>
      </w:tr>
    </w:tbl>
    <w:p w14:paraId="474A67F9"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0C838BDC" w14:textId="177A2FFD" w:rsidR="00317748" w:rsidRPr="001775D9" w:rsidRDefault="00317748" w:rsidP="00317748">
      <w:pPr>
        <w:tabs>
          <w:tab w:val="clear" w:pos="567"/>
        </w:tabs>
        <w:autoSpaceDE w:val="0"/>
        <w:autoSpaceDN w:val="0"/>
        <w:adjustRightInd w:val="0"/>
        <w:spacing w:line="240" w:lineRule="auto"/>
        <w:rPr>
          <w:i/>
          <w:iCs/>
          <w:szCs w:val="22"/>
          <w:lang w:eastAsia="en-GB"/>
        </w:rPr>
      </w:pPr>
      <w:r w:rsidRPr="001775D9">
        <w:rPr>
          <w:szCs w:val="22"/>
          <w:lang w:eastAsia="en-GB"/>
        </w:rPr>
        <w:t xml:space="preserve">At </w:t>
      </w:r>
      <w:r w:rsidR="00B11EEA" w:rsidRPr="001775D9">
        <w:rPr>
          <w:szCs w:val="22"/>
          <w:lang w:eastAsia="en-GB"/>
        </w:rPr>
        <w:t>w</w:t>
      </w:r>
      <w:r w:rsidRPr="001775D9">
        <w:rPr>
          <w:szCs w:val="22"/>
          <w:lang w:eastAsia="en-GB"/>
        </w:rPr>
        <w:t xml:space="preserve">eek 52, clinical remission per FMS in </w:t>
      </w:r>
      <w:r w:rsidR="00B11EEA" w:rsidRPr="001775D9">
        <w:rPr>
          <w:szCs w:val="22"/>
          <w:lang w:eastAsia="en-GB"/>
        </w:rPr>
        <w:t>w</w:t>
      </w:r>
      <w:r w:rsidRPr="001775D9">
        <w:rPr>
          <w:szCs w:val="22"/>
          <w:lang w:eastAsia="en-GB"/>
        </w:rPr>
        <w:t>eek 8 responders, clinical response per FMS (defined as a decrease in Mayo Score</w:t>
      </w:r>
      <w:r w:rsidR="00B11EEA" w:rsidRPr="001775D9">
        <w:rPr>
          <w:szCs w:val="22"/>
          <w:lang w:eastAsia="en-GB"/>
        </w:rPr>
        <w:t> </w:t>
      </w:r>
      <w:r w:rsidRPr="001775D9">
        <w:rPr>
          <w:szCs w:val="22"/>
          <w:lang w:eastAsia="en-GB"/>
        </w:rPr>
        <w:t>≥</w:t>
      </w:r>
      <w:r w:rsidR="00B11EEA" w:rsidRPr="001775D9">
        <w:rPr>
          <w:szCs w:val="22"/>
          <w:lang w:eastAsia="en-GB"/>
        </w:rPr>
        <w:t> </w:t>
      </w:r>
      <w:r w:rsidRPr="001775D9">
        <w:rPr>
          <w:szCs w:val="22"/>
          <w:lang w:eastAsia="en-GB"/>
        </w:rPr>
        <w:t>3 points and</w:t>
      </w:r>
      <w:r w:rsidR="00B11EEA" w:rsidRPr="001775D9">
        <w:rPr>
          <w:szCs w:val="22"/>
          <w:lang w:eastAsia="en-GB"/>
        </w:rPr>
        <w:t> </w:t>
      </w:r>
      <w:r w:rsidRPr="001775D9">
        <w:rPr>
          <w:szCs w:val="22"/>
          <w:lang w:eastAsia="en-GB"/>
        </w:rPr>
        <w:t>≥</w:t>
      </w:r>
      <w:r w:rsidR="00B11EEA" w:rsidRPr="001775D9">
        <w:rPr>
          <w:szCs w:val="22"/>
          <w:lang w:eastAsia="en-GB"/>
        </w:rPr>
        <w:t> </w:t>
      </w:r>
      <w:r w:rsidRPr="001775D9">
        <w:rPr>
          <w:szCs w:val="22"/>
          <w:lang w:eastAsia="en-GB"/>
        </w:rPr>
        <w:t xml:space="preserve">30% from Baseline) in </w:t>
      </w:r>
      <w:r w:rsidR="00B11EEA" w:rsidRPr="001775D9">
        <w:rPr>
          <w:szCs w:val="22"/>
          <w:lang w:eastAsia="en-GB"/>
        </w:rPr>
        <w:t>w</w:t>
      </w:r>
      <w:r w:rsidRPr="001775D9">
        <w:rPr>
          <w:szCs w:val="22"/>
          <w:lang w:eastAsia="en-GB"/>
        </w:rPr>
        <w:t>eek 8 responders, mucosal healing</w:t>
      </w:r>
      <w:r w:rsidR="00677C6E" w:rsidRPr="001775D9">
        <w:rPr>
          <w:szCs w:val="22"/>
          <w:lang w:eastAsia="en-GB"/>
        </w:rPr>
        <w:t xml:space="preserve"> per FMS</w:t>
      </w:r>
      <w:r w:rsidRPr="001775D9">
        <w:rPr>
          <w:szCs w:val="22"/>
          <w:lang w:eastAsia="en-GB"/>
        </w:rPr>
        <w:t xml:space="preserve"> (defined as Mayo endoscopy score ≤ 1) in </w:t>
      </w:r>
      <w:r w:rsidR="00B11EEA" w:rsidRPr="001775D9">
        <w:rPr>
          <w:szCs w:val="22"/>
          <w:lang w:eastAsia="en-GB"/>
        </w:rPr>
        <w:t>w</w:t>
      </w:r>
      <w:r w:rsidRPr="001775D9">
        <w:rPr>
          <w:szCs w:val="22"/>
          <w:lang w:eastAsia="en-GB"/>
        </w:rPr>
        <w:t xml:space="preserve">eek 8 responders, clinical remission per FMS in </w:t>
      </w:r>
      <w:r w:rsidR="00B11EEA" w:rsidRPr="001775D9">
        <w:rPr>
          <w:szCs w:val="22"/>
          <w:lang w:eastAsia="en-GB"/>
        </w:rPr>
        <w:t>w</w:t>
      </w:r>
      <w:r w:rsidRPr="001775D9">
        <w:rPr>
          <w:szCs w:val="22"/>
          <w:lang w:eastAsia="en-GB"/>
        </w:rPr>
        <w:t xml:space="preserve">eek 8 remitters, and the proportion of subjects in corticosteroid-free remission per FMS in </w:t>
      </w:r>
      <w:r w:rsidR="00B11EEA" w:rsidRPr="001775D9">
        <w:rPr>
          <w:szCs w:val="22"/>
          <w:lang w:eastAsia="en-GB"/>
        </w:rPr>
        <w:t>w</w:t>
      </w:r>
      <w:r w:rsidRPr="001775D9">
        <w:rPr>
          <w:szCs w:val="22"/>
          <w:lang w:eastAsia="en-GB"/>
        </w:rPr>
        <w:t xml:space="preserve">eek 8 responders were assessed in patients who received </w:t>
      </w:r>
      <w:r w:rsidRPr="001775D9">
        <w:rPr>
          <w:color w:val="000000"/>
          <w:szCs w:val="22"/>
          <w:lang w:eastAsia="en-GB"/>
        </w:rPr>
        <w:t>adalimumab</w:t>
      </w:r>
      <w:r w:rsidRPr="001775D9">
        <w:rPr>
          <w:szCs w:val="22"/>
          <w:lang w:eastAsia="en-GB"/>
        </w:rPr>
        <w:t xml:space="preserve"> at the double-blind maximum 40 mg </w:t>
      </w:r>
      <w:r w:rsidR="0074652E" w:rsidRPr="001775D9">
        <w:rPr>
          <w:szCs w:val="22"/>
          <w:lang w:eastAsia="en-GB"/>
        </w:rPr>
        <w:t xml:space="preserve">every other week </w:t>
      </w:r>
      <w:r w:rsidRPr="001775D9">
        <w:rPr>
          <w:szCs w:val="22"/>
          <w:lang w:eastAsia="en-GB"/>
        </w:rPr>
        <w:t>(0.6</w:t>
      </w:r>
      <w:r w:rsidR="00B11EEA" w:rsidRPr="001775D9">
        <w:rPr>
          <w:szCs w:val="22"/>
          <w:lang w:eastAsia="en-GB"/>
        </w:rPr>
        <w:t> </w:t>
      </w:r>
      <w:r w:rsidRPr="001775D9">
        <w:rPr>
          <w:szCs w:val="22"/>
          <w:lang w:eastAsia="en-GB"/>
        </w:rPr>
        <w:t>mg/kg) and maximum 40</w:t>
      </w:r>
      <w:r w:rsidR="00B11EEA" w:rsidRPr="001775D9">
        <w:rPr>
          <w:szCs w:val="22"/>
          <w:lang w:eastAsia="en-GB"/>
        </w:rPr>
        <w:t> </w:t>
      </w:r>
      <w:r w:rsidRPr="001775D9">
        <w:rPr>
          <w:szCs w:val="22"/>
          <w:lang w:eastAsia="en-GB"/>
        </w:rPr>
        <w:t xml:space="preserve">mg </w:t>
      </w:r>
      <w:r w:rsidR="00D362AA" w:rsidRPr="001775D9">
        <w:rPr>
          <w:szCs w:val="22"/>
          <w:lang w:eastAsia="en-GB"/>
        </w:rPr>
        <w:t>every week</w:t>
      </w:r>
      <w:r w:rsidRPr="001775D9">
        <w:rPr>
          <w:szCs w:val="22"/>
          <w:lang w:eastAsia="en-GB"/>
        </w:rPr>
        <w:t xml:space="preserve"> (0.6</w:t>
      </w:r>
      <w:r w:rsidR="00B11EEA" w:rsidRPr="001775D9">
        <w:rPr>
          <w:szCs w:val="22"/>
          <w:lang w:eastAsia="en-GB"/>
        </w:rPr>
        <w:t> </w:t>
      </w:r>
      <w:r w:rsidRPr="001775D9">
        <w:rPr>
          <w:szCs w:val="22"/>
          <w:lang w:eastAsia="en-GB"/>
        </w:rPr>
        <w:t>mg/kg) maintenance doses (table 3</w:t>
      </w:r>
      <w:r w:rsidR="004D7CC1" w:rsidRPr="001775D9">
        <w:rPr>
          <w:szCs w:val="22"/>
          <w:lang w:eastAsia="en-GB"/>
        </w:rPr>
        <w:t>2</w:t>
      </w:r>
      <w:r w:rsidRPr="001775D9">
        <w:rPr>
          <w:szCs w:val="22"/>
          <w:lang w:eastAsia="en-GB"/>
        </w:rPr>
        <w:t>).</w:t>
      </w:r>
    </w:p>
    <w:p w14:paraId="2D992694" w14:textId="77777777" w:rsidR="00317748" w:rsidRPr="001775D9" w:rsidRDefault="00317748" w:rsidP="00317748">
      <w:pPr>
        <w:tabs>
          <w:tab w:val="clear" w:pos="567"/>
        </w:tabs>
        <w:autoSpaceDE w:val="0"/>
        <w:autoSpaceDN w:val="0"/>
        <w:adjustRightInd w:val="0"/>
        <w:spacing w:line="240" w:lineRule="auto"/>
        <w:rPr>
          <w:i/>
          <w:iCs/>
          <w:szCs w:val="22"/>
          <w:lang w:eastAsia="en-GB"/>
        </w:rPr>
      </w:pPr>
    </w:p>
    <w:p w14:paraId="6769C352" w14:textId="5EB0E395" w:rsidR="00317748" w:rsidRPr="001775D9" w:rsidRDefault="00317748" w:rsidP="00317748">
      <w:pPr>
        <w:tabs>
          <w:tab w:val="clear" w:pos="567"/>
        </w:tabs>
        <w:autoSpaceDE w:val="0"/>
        <w:autoSpaceDN w:val="0"/>
        <w:adjustRightInd w:val="0"/>
        <w:spacing w:line="240" w:lineRule="auto"/>
        <w:rPr>
          <w:b/>
          <w:bCs/>
          <w:szCs w:val="22"/>
          <w:lang w:eastAsia="en-GB"/>
        </w:rPr>
      </w:pPr>
      <w:r w:rsidRPr="001775D9">
        <w:rPr>
          <w:b/>
          <w:bCs/>
          <w:szCs w:val="22"/>
          <w:lang w:eastAsia="en-GB"/>
        </w:rPr>
        <w:t>Table 3</w:t>
      </w:r>
      <w:r w:rsidR="004D7CC1" w:rsidRPr="001775D9">
        <w:rPr>
          <w:b/>
          <w:bCs/>
          <w:szCs w:val="22"/>
          <w:lang w:eastAsia="en-GB"/>
        </w:rPr>
        <w:t>2</w:t>
      </w:r>
      <w:r w:rsidR="00B11EEA" w:rsidRPr="001775D9">
        <w:rPr>
          <w:b/>
          <w:bCs/>
          <w:szCs w:val="22"/>
          <w:lang w:eastAsia="en-GB"/>
        </w:rPr>
        <w:t>.</w:t>
      </w:r>
      <w:r w:rsidRPr="001775D9">
        <w:rPr>
          <w:b/>
          <w:bCs/>
          <w:szCs w:val="22"/>
          <w:lang w:eastAsia="en-GB"/>
        </w:rPr>
        <w:t xml:space="preserve"> Efficacy </w:t>
      </w:r>
      <w:r w:rsidR="00126D41" w:rsidRPr="001775D9">
        <w:rPr>
          <w:b/>
          <w:bCs/>
          <w:szCs w:val="22"/>
          <w:lang w:eastAsia="en-GB"/>
        </w:rPr>
        <w:t>r</w:t>
      </w:r>
      <w:r w:rsidRPr="001775D9">
        <w:rPr>
          <w:b/>
          <w:bCs/>
          <w:szCs w:val="22"/>
          <w:lang w:eastAsia="en-GB"/>
        </w:rPr>
        <w:t xml:space="preserve">esults at 52 </w:t>
      </w:r>
      <w:r w:rsidR="00126D41" w:rsidRPr="001775D9">
        <w:rPr>
          <w:b/>
          <w:bCs/>
          <w:szCs w:val="22"/>
          <w:lang w:eastAsia="en-GB"/>
        </w:rPr>
        <w:t>w</w:t>
      </w:r>
      <w:r w:rsidRPr="001775D9">
        <w:rPr>
          <w:b/>
          <w:bCs/>
          <w:szCs w:val="22"/>
          <w:lang w:eastAsia="en-GB"/>
        </w:rPr>
        <w:t>eeks</w:t>
      </w:r>
    </w:p>
    <w:p w14:paraId="5F770C89" w14:textId="77777777" w:rsidR="00317748" w:rsidRPr="001775D9" w:rsidRDefault="00317748" w:rsidP="00317748">
      <w:pPr>
        <w:tabs>
          <w:tab w:val="clear" w:pos="567"/>
        </w:tabs>
        <w:autoSpaceDE w:val="0"/>
        <w:autoSpaceDN w:val="0"/>
        <w:adjustRightInd w:val="0"/>
        <w:spacing w:line="240" w:lineRule="auto"/>
        <w:rPr>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1"/>
      </w:tblGrid>
      <w:tr w:rsidR="00317748" w:rsidRPr="00F04F82" w14:paraId="3B09C55C" w14:textId="77777777" w:rsidTr="007B0EB2">
        <w:tc>
          <w:tcPr>
            <w:tcW w:w="3020" w:type="dxa"/>
          </w:tcPr>
          <w:p w14:paraId="7528C540" w14:textId="77777777" w:rsidR="00317748" w:rsidRPr="001775D9" w:rsidRDefault="00317748" w:rsidP="007B0EB2">
            <w:pPr>
              <w:tabs>
                <w:tab w:val="clear" w:pos="567"/>
              </w:tabs>
              <w:autoSpaceDE w:val="0"/>
              <w:autoSpaceDN w:val="0"/>
              <w:adjustRightInd w:val="0"/>
              <w:spacing w:line="240" w:lineRule="auto"/>
              <w:rPr>
                <w:szCs w:val="22"/>
                <w:lang w:eastAsia="en-GB"/>
              </w:rPr>
            </w:pPr>
          </w:p>
        </w:tc>
        <w:tc>
          <w:tcPr>
            <w:tcW w:w="3020" w:type="dxa"/>
          </w:tcPr>
          <w:p w14:paraId="38240E27" w14:textId="77777777"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a</w:t>
            </w:r>
          </w:p>
          <w:p w14:paraId="5A3FC934" w14:textId="02A933EA"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 xml:space="preserve">Maximum of 40 mg </w:t>
            </w:r>
          </w:p>
          <w:p w14:paraId="12418766" w14:textId="76F4116B" w:rsidR="0074652E" w:rsidRPr="001775D9" w:rsidRDefault="0074652E"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every other week</w:t>
            </w:r>
          </w:p>
          <w:p w14:paraId="5C16C454" w14:textId="2926DC2F"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N=31</w:t>
            </w:r>
          </w:p>
        </w:tc>
        <w:tc>
          <w:tcPr>
            <w:tcW w:w="3021" w:type="dxa"/>
          </w:tcPr>
          <w:p w14:paraId="7076AEB1" w14:textId="77777777"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Adalimumab</w:t>
            </w:r>
            <w:r w:rsidRPr="001775D9">
              <w:rPr>
                <w:b/>
                <w:bCs/>
                <w:szCs w:val="22"/>
                <w:vertAlign w:val="superscript"/>
                <w:lang w:eastAsia="en-GB"/>
              </w:rPr>
              <w:t>b</w:t>
            </w:r>
          </w:p>
          <w:p w14:paraId="1418B6E3" w14:textId="71B8DCDF"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 xml:space="preserve">Maximum of 40 mg </w:t>
            </w:r>
          </w:p>
          <w:p w14:paraId="29120D38" w14:textId="722272BF" w:rsidR="0074652E" w:rsidRPr="001775D9" w:rsidRDefault="0074652E"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every week</w:t>
            </w:r>
          </w:p>
          <w:p w14:paraId="132CDC3D" w14:textId="47AD4A12"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N=31</w:t>
            </w:r>
          </w:p>
        </w:tc>
      </w:tr>
      <w:tr w:rsidR="00317748" w:rsidRPr="00F04F82" w14:paraId="675700DF" w14:textId="77777777" w:rsidTr="007B0EB2">
        <w:tc>
          <w:tcPr>
            <w:tcW w:w="3020" w:type="dxa"/>
          </w:tcPr>
          <w:p w14:paraId="00E532EB" w14:textId="657B580B"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 xml:space="preserve">Clinical remission in </w:t>
            </w:r>
            <w:r w:rsidR="00EC0A23" w:rsidRPr="001775D9">
              <w:rPr>
                <w:szCs w:val="22"/>
                <w:lang w:eastAsia="en-GB"/>
              </w:rPr>
              <w:t>w</w:t>
            </w:r>
            <w:r w:rsidRPr="001775D9">
              <w:rPr>
                <w:szCs w:val="22"/>
                <w:lang w:eastAsia="en-GB"/>
              </w:rPr>
              <w:t>eek 8 PMS responders</w:t>
            </w:r>
          </w:p>
        </w:tc>
        <w:tc>
          <w:tcPr>
            <w:tcW w:w="3020" w:type="dxa"/>
          </w:tcPr>
          <w:p w14:paraId="73DF0256"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9/31 (29.0%)</w:t>
            </w:r>
          </w:p>
        </w:tc>
        <w:tc>
          <w:tcPr>
            <w:tcW w:w="3021" w:type="dxa"/>
          </w:tcPr>
          <w:p w14:paraId="4D699A73"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14/31 (45.2%)</w:t>
            </w:r>
          </w:p>
        </w:tc>
      </w:tr>
      <w:tr w:rsidR="00317748" w:rsidRPr="00F04F82" w14:paraId="40A6617B" w14:textId="77777777" w:rsidTr="007B0EB2">
        <w:tc>
          <w:tcPr>
            <w:tcW w:w="3020" w:type="dxa"/>
          </w:tcPr>
          <w:p w14:paraId="0FC955B6" w14:textId="42AF2552"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 xml:space="preserve">Clinical response in </w:t>
            </w:r>
            <w:r w:rsidR="00EC0A23" w:rsidRPr="001775D9">
              <w:rPr>
                <w:szCs w:val="22"/>
                <w:lang w:eastAsia="en-GB"/>
              </w:rPr>
              <w:t>w</w:t>
            </w:r>
            <w:r w:rsidRPr="001775D9">
              <w:rPr>
                <w:szCs w:val="22"/>
                <w:lang w:eastAsia="en-GB"/>
              </w:rPr>
              <w:t>eek 8 PMS responders</w:t>
            </w:r>
          </w:p>
        </w:tc>
        <w:tc>
          <w:tcPr>
            <w:tcW w:w="3020" w:type="dxa"/>
          </w:tcPr>
          <w:p w14:paraId="39E9F3C5"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19/31 (61.3%)</w:t>
            </w:r>
          </w:p>
        </w:tc>
        <w:tc>
          <w:tcPr>
            <w:tcW w:w="3021" w:type="dxa"/>
          </w:tcPr>
          <w:p w14:paraId="5F399F6F"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21/31 (67.7%)</w:t>
            </w:r>
          </w:p>
        </w:tc>
      </w:tr>
      <w:tr w:rsidR="00317748" w:rsidRPr="00F04F82" w14:paraId="117914FD" w14:textId="77777777" w:rsidTr="007B0EB2">
        <w:tc>
          <w:tcPr>
            <w:tcW w:w="3020" w:type="dxa"/>
          </w:tcPr>
          <w:p w14:paraId="49F684B3" w14:textId="0BCEB5BF"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 xml:space="preserve">Mucosal healing in </w:t>
            </w:r>
            <w:r w:rsidR="00EC0A23" w:rsidRPr="001775D9">
              <w:rPr>
                <w:szCs w:val="22"/>
                <w:lang w:eastAsia="en-GB"/>
              </w:rPr>
              <w:t>w</w:t>
            </w:r>
            <w:r w:rsidRPr="001775D9">
              <w:rPr>
                <w:szCs w:val="22"/>
                <w:lang w:eastAsia="en-GB"/>
              </w:rPr>
              <w:t>eek 8 PMS responders</w:t>
            </w:r>
          </w:p>
        </w:tc>
        <w:tc>
          <w:tcPr>
            <w:tcW w:w="3020" w:type="dxa"/>
          </w:tcPr>
          <w:p w14:paraId="114D98C7"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12/31 (38.7%)</w:t>
            </w:r>
          </w:p>
        </w:tc>
        <w:tc>
          <w:tcPr>
            <w:tcW w:w="3021" w:type="dxa"/>
          </w:tcPr>
          <w:p w14:paraId="68EAC449"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16/31 (51.6%)</w:t>
            </w:r>
          </w:p>
        </w:tc>
      </w:tr>
      <w:tr w:rsidR="00317748" w:rsidRPr="00F04F82" w14:paraId="7DB3ED1C" w14:textId="77777777" w:rsidTr="007B0EB2">
        <w:tc>
          <w:tcPr>
            <w:tcW w:w="3020" w:type="dxa"/>
          </w:tcPr>
          <w:p w14:paraId="6D26FA09" w14:textId="7FFE6F08"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 xml:space="preserve">Clinical remission in </w:t>
            </w:r>
            <w:r w:rsidR="007B222F" w:rsidRPr="001775D9">
              <w:rPr>
                <w:szCs w:val="22"/>
                <w:lang w:eastAsia="en-GB"/>
              </w:rPr>
              <w:t>w</w:t>
            </w:r>
            <w:r w:rsidRPr="001775D9">
              <w:rPr>
                <w:szCs w:val="22"/>
                <w:lang w:eastAsia="en-GB"/>
              </w:rPr>
              <w:t>eek 8 PMS remitters</w:t>
            </w:r>
          </w:p>
        </w:tc>
        <w:tc>
          <w:tcPr>
            <w:tcW w:w="3020" w:type="dxa"/>
          </w:tcPr>
          <w:p w14:paraId="0B531A18"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9/21 (42.9%)</w:t>
            </w:r>
          </w:p>
        </w:tc>
        <w:tc>
          <w:tcPr>
            <w:tcW w:w="3021" w:type="dxa"/>
          </w:tcPr>
          <w:p w14:paraId="0E1CB0B6"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10/22 (45.5%)</w:t>
            </w:r>
          </w:p>
        </w:tc>
      </w:tr>
      <w:tr w:rsidR="00317748" w:rsidRPr="00F04F82" w14:paraId="0802FFE6" w14:textId="77777777" w:rsidTr="007B0EB2">
        <w:tc>
          <w:tcPr>
            <w:tcW w:w="3020" w:type="dxa"/>
          </w:tcPr>
          <w:p w14:paraId="7A9C57CF" w14:textId="7879F811"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 xml:space="preserve">Corticosteroid-free remission in </w:t>
            </w:r>
            <w:r w:rsidR="007B222F" w:rsidRPr="001775D9">
              <w:rPr>
                <w:szCs w:val="22"/>
                <w:lang w:eastAsia="en-GB"/>
              </w:rPr>
              <w:t>w</w:t>
            </w:r>
            <w:r w:rsidRPr="001775D9">
              <w:rPr>
                <w:szCs w:val="22"/>
                <w:lang w:eastAsia="en-GB"/>
              </w:rPr>
              <w:t>eek 8 PMS responders</w:t>
            </w:r>
            <w:r w:rsidRPr="001775D9">
              <w:rPr>
                <w:szCs w:val="22"/>
                <w:vertAlign w:val="superscript"/>
                <w:lang w:eastAsia="en-GB"/>
              </w:rPr>
              <w:t>c</w:t>
            </w:r>
          </w:p>
        </w:tc>
        <w:tc>
          <w:tcPr>
            <w:tcW w:w="3020" w:type="dxa"/>
          </w:tcPr>
          <w:p w14:paraId="5AE19E27"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4/13 (30.8%)</w:t>
            </w:r>
          </w:p>
        </w:tc>
        <w:tc>
          <w:tcPr>
            <w:tcW w:w="3021" w:type="dxa"/>
          </w:tcPr>
          <w:p w14:paraId="1C7D250C"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5/16 (31.3%)</w:t>
            </w:r>
          </w:p>
        </w:tc>
      </w:tr>
      <w:tr w:rsidR="00317748" w:rsidRPr="00F04F82" w14:paraId="2D3D6F19" w14:textId="77777777" w:rsidTr="009F3EC6">
        <w:trPr>
          <w:trHeight w:val="1191"/>
        </w:trPr>
        <w:tc>
          <w:tcPr>
            <w:tcW w:w="9061" w:type="dxa"/>
            <w:gridSpan w:val="3"/>
          </w:tcPr>
          <w:p w14:paraId="761FD96B" w14:textId="31FC8DAB"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A</w:t>
            </w:r>
            <w:r w:rsidRPr="001775D9">
              <w:rPr>
                <w:color w:val="000000"/>
                <w:sz w:val="20"/>
                <w:lang w:eastAsia="en-GB"/>
              </w:rPr>
              <w:t>dalimumab</w:t>
            </w:r>
            <w:r w:rsidRPr="001775D9">
              <w:rPr>
                <w:sz w:val="20"/>
                <w:lang w:eastAsia="en-GB"/>
              </w:rPr>
              <w:t xml:space="preserve"> 0.6</w:t>
            </w:r>
            <w:r w:rsidR="007B222F" w:rsidRPr="001775D9">
              <w:rPr>
                <w:sz w:val="20"/>
                <w:lang w:eastAsia="en-GB"/>
              </w:rPr>
              <w:t> </w:t>
            </w:r>
            <w:r w:rsidRPr="001775D9">
              <w:rPr>
                <w:sz w:val="20"/>
                <w:lang w:eastAsia="en-GB"/>
              </w:rPr>
              <w:t>mg/kg (maximum of 40</w:t>
            </w:r>
            <w:r w:rsidR="007B222F" w:rsidRPr="001775D9">
              <w:rPr>
                <w:sz w:val="20"/>
                <w:lang w:eastAsia="en-GB"/>
              </w:rPr>
              <w:t> </w:t>
            </w:r>
            <w:r w:rsidRPr="001775D9">
              <w:rPr>
                <w:sz w:val="20"/>
                <w:lang w:eastAsia="en-GB"/>
              </w:rPr>
              <w:t>mg) every other week</w:t>
            </w:r>
          </w:p>
          <w:p w14:paraId="3EE4C6EC" w14:textId="081F5802"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A</w:t>
            </w:r>
            <w:r w:rsidRPr="001775D9">
              <w:rPr>
                <w:color w:val="000000"/>
                <w:sz w:val="20"/>
                <w:lang w:eastAsia="en-GB"/>
              </w:rPr>
              <w:t>dalimumab</w:t>
            </w:r>
            <w:r w:rsidRPr="001775D9">
              <w:rPr>
                <w:sz w:val="20"/>
                <w:lang w:eastAsia="en-GB"/>
              </w:rPr>
              <w:t xml:space="preserve"> 0.6</w:t>
            </w:r>
            <w:r w:rsidR="007B222F" w:rsidRPr="001775D9">
              <w:rPr>
                <w:sz w:val="20"/>
                <w:lang w:eastAsia="en-GB"/>
              </w:rPr>
              <w:t> </w:t>
            </w:r>
            <w:r w:rsidRPr="001775D9">
              <w:rPr>
                <w:sz w:val="20"/>
                <w:lang w:eastAsia="en-GB"/>
              </w:rPr>
              <w:t>mg/kg (maximum of 40</w:t>
            </w:r>
            <w:r w:rsidR="007B222F" w:rsidRPr="001775D9">
              <w:rPr>
                <w:sz w:val="20"/>
                <w:lang w:eastAsia="en-GB"/>
              </w:rPr>
              <w:t> </w:t>
            </w:r>
            <w:r w:rsidRPr="001775D9">
              <w:rPr>
                <w:sz w:val="20"/>
                <w:lang w:eastAsia="en-GB"/>
              </w:rPr>
              <w:t>mg) every week</w:t>
            </w:r>
          </w:p>
          <w:p w14:paraId="69B018AF" w14:textId="77777777"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In patients receiving concomitant corticosteroids at baseline</w:t>
            </w:r>
          </w:p>
          <w:p w14:paraId="23AFE052" w14:textId="473F8CCB" w:rsidR="00317748" w:rsidRPr="001775D9" w:rsidRDefault="00317748" w:rsidP="007B0EB2">
            <w:pPr>
              <w:tabs>
                <w:tab w:val="clear" w:pos="567"/>
              </w:tabs>
              <w:autoSpaceDE w:val="0"/>
              <w:autoSpaceDN w:val="0"/>
              <w:adjustRightInd w:val="0"/>
              <w:spacing w:line="240" w:lineRule="auto"/>
              <w:rPr>
                <w:szCs w:val="22"/>
                <w:lang w:eastAsia="en-GB"/>
              </w:rPr>
            </w:pPr>
            <w:r w:rsidRPr="001775D9">
              <w:rPr>
                <w:sz w:val="20"/>
                <w:lang w:eastAsia="en-GB"/>
              </w:rPr>
              <w:t xml:space="preserve">Note: Patients with missing values at </w:t>
            </w:r>
            <w:r w:rsidR="005D2478" w:rsidRPr="001775D9">
              <w:rPr>
                <w:sz w:val="20"/>
                <w:lang w:eastAsia="en-GB"/>
              </w:rPr>
              <w:t>w</w:t>
            </w:r>
            <w:r w:rsidRPr="001775D9">
              <w:rPr>
                <w:sz w:val="20"/>
                <w:lang w:eastAsia="en-GB"/>
              </w:rPr>
              <w:t>eek 52 or who were randomi</w:t>
            </w:r>
            <w:r w:rsidR="00F8385D" w:rsidRPr="001775D9">
              <w:rPr>
                <w:sz w:val="20"/>
                <w:lang w:eastAsia="en-GB"/>
              </w:rPr>
              <w:t>s</w:t>
            </w:r>
            <w:r w:rsidRPr="001775D9">
              <w:rPr>
                <w:sz w:val="20"/>
                <w:lang w:eastAsia="en-GB"/>
              </w:rPr>
              <w:t xml:space="preserve">ed to receive re-induction or maintenance treatment were considered non-responders for </w:t>
            </w:r>
            <w:r w:rsidR="005D2478" w:rsidRPr="001775D9">
              <w:rPr>
                <w:sz w:val="20"/>
                <w:lang w:eastAsia="en-GB"/>
              </w:rPr>
              <w:t>w</w:t>
            </w:r>
            <w:r w:rsidRPr="001775D9">
              <w:rPr>
                <w:sz w:val="20"/>
                <w:lang w:eastAsia="en-GB"/>
              </w:rPr>
              <w:t>eek 52 endpoints</w:t>
            </w:r>
          </w:p>
        </w:tc>
      </w:tr>
    </w:tbl>
    <w:p w14:paraId="28DBEC99"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18106D3F" w14:textId="48383944"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Additional exploratory efficacy endpoints included clinical response per the Paediatric Ulcerative Colitis Activity Index (PUCAI) (defined as a decrease in PUCAI</w:t>
      </w:r>
      <w:r w:rsidR="00B11EEA" w:rsidRPr="001775D9">
        <w:rPr>
          <w:szCs w:val="22"/>
          <w:lang w:eastAsia="en-GB"/>
        </w:rPr>
        <w:t> </w:t>
      </w:r>
      <w:r w:rsidRPr="001775D9">
        <w:rPr>
          <w:szCs w:val="22"/>
          <w:lang w:eastAsia="en-GB"/>
        </w:rPr>
        <w:t>≥</w:t>
      </w:r>
      <w:r w:rsidR="00B11EEA" w:rsidRPr="001775D9">
        <w:rPr>
          <w:szCs w:val="22"/>
          <w:lang w:eastAsia="en-GB"/>
        </w:rPr>
        <w:t> </w:t>
      </w:r>
      <w:r w:rsidRPr="001775D9">
        <w:rPr>
          <w:szCs w:val="22"/>
          <w:lang w:eastAsia="en-GB"/>
        </w:rPr>
        <w:t>20 points from Baseline) and clinical remission per PUCAI (defined as PUCAI</w:t>
      </w:r>
      <w:r w:rsidR="00B11EEA" w:rsidRPr="001775D9">
        <w:rPr>
          <w:szCs w:val="22"/>
          <w:lang w:eastAsia="en-GB"/>
        </w:rPr>
        <w:t> </w:t>
      </w:r>
      <w:r w:rsidRPr="001775D9">
        <w:rPr>
          <w:szCs w:val="22"/>
          <w:lang w:eastAsia="en-GB"/>
        </w:rPr>
        <w:t>&lt;</w:t>
      </w:r>
      <w:r w:rsidR="00B11EEA" w:rsidRPr="001775D9">
        <w:rPr>
          <w:szCs w:val="22"/>
          <w:lang w:eastAsia="en-GB"/>
        </w:rPr>
        <w:t> </w:t>
      </w:r>
      <w:r w:rsidRPr="001775D9">
        <w:rPr>
          <w:szCs w:val="22"/>
          <w:lang w:eastAsia="en-GB"/>
        </w:rPr>
        <w:t xml:space="preserve">10) at </w:t>
      </w:r>
      <w:r w:rsidR="00B11EEA" w:rsidRPr="001775D9">
        <w:rPr>
          <w:szCs w:val="22"/>
          <w:lang w:eastAsia="en-GB"/>
        </w:rPr>
        <w:t>w</w:t>
      </w:r>
      <w:r w:rsidRPr="001775D9">
        <w:rPr>
          <w:szCs w:val="22"/>
          <w:lang w:eastAsia="en-GB"/>
        </w:rPr>
        <w:t xml:space="preserve">eek 8 and </w:t>
      </w:r>
      <w:r w:rsidR="00B11EEA" w:rsidRPr="001775D9">
        <w:rPr>
          <w:szCs w:val="22"/>
          <w:lang w:eastAsia="en-GB"/>
        </w:rPr>
        <w:t>w</w:t>
      </w:r>
      <w:r w:rsidRPr="001775D9">
        <w:rPr>
          <w:szCs w:val="22"/>
          <w:lang w:eastAsia="en-GB"/>
        </w:rPr>
        <w:t>eek 52 (table 3</w:t>
      </w:r>
      <w:r w:rsidR="004D7CC1" w:rsidRPr="001775D9">
        <w:rPr>
          <w:szCs w:val="22"/>
          <w:lang w:eastAsia="en-GB"/>
        </w:rPr>
        <w:t>3</w:t>
      </w:r>
      <w:r w:rsidRPr="001775D9">
        <w:rPr>
          <w:szCs w:val="22"/>
          <w:lang w:eastAsia="en-GB"/>
        </w:rPr>
        <w:t>).</w:t>
      </w:r>
    </w:p>
    <w:p w14:paraId="5F5BC1AF" w14:textId="77777777" w:rsidR="00AE5FD6" w:rsidRPr="001775D9" w:rsidRDefault="00AE5FD6" w:rsidP="00317748">
      <w:pPr>
        <w:tabs>
          <w:tab w:val="clear" w:pos="567"/>
        </w:tabs>
        <w:autoSpaceDE w:val="0"/>
        <w:autoSpaceDN w:val="0"/>
        <w:adjustRightInd w:val="0"/>
        <w:spacing w:line="240" w:lineRule="auto"/>
        <w:rPr>
          <w:b/>
          <w:bCs/>
          <w:szCs w:val="22"/>
          <w:lang w:eastAsia="en-GB"/>
        </w:rPr>
      </w:pPr>
    </w:p>
    <w:p w14:paraId="493BBE30" w14:textId="3773D0FB" w:rsidR="00317748" w:rsidRPr="001775D9" w:rsidRDefault="00317748" w:rsidP="001C2A6A">
      <w:pPr>
        <w:keepNext/>
        <w:keepLines/>
        <w:tabs>
          <w:tab w:val="clear" w:pos="567"/>
        </w:tabs>
        <w:autoSpaceDE w:val="0"/>
        <w:autoSpaceDN w:val="0"/>
        <w:adjustRightInd w:val="0"/>
        <w:spacing w:line="240" w:lineRule="auto"/>
        <w:rPr>
          <w:b/>
          <w:bCs/>
          <w:szCs w:val="22"/>
          <w:lang w:eastAsia="en-GB"/>
        </w:rPr>
      </w:pPr>
      <w:r w:rsidRPr="001775D9">
        <w:rPr>
          <w:b/>
          <w:bCs/>
          <w:szCs w:val="22"/>
          <w:lang w:eastAsia="en-GB"/>
        </w:rPr>
        <w:t>Table 3</w:t>
      </w:r>
      <w:r w:rsidR="004D7CC1" w:rsidRPr="001775D9">
        <w:rPr>
          <w:b/>
          <w:bCs/>
          <w:szCs w:val="22"/>
          <w:lang w:eastAsia="en-GB"/>
        </w:rPr>
        <w:t>3</w:t>
      </w:r>
      <w:r w:rsidR="00B11EEA" w:rsidRPr="001775D9">
        <w:rPr>
          <w:b/>
          <w:bCs/>
          <w:szCs w:val="22"/>
          <w:lang w:eastAsia="en-GB"/>
        </w:rPr>
        <w:t>.</w:t>
      </w:r>
      <w:r w:rsidRPr="001775D9">
        <w:rPr>
          <w:b/>
          <w:bCs/>
          <w:szCs w:val="22"/>
          <w:lang w:eastAsia="en-GB"/>
        </w:rPr>
        <w:t xml:space="preserve"> Exploratory </w:t>
      </w:r>
      <w:r w:rsidR="00126D41" w:rsidRPr="001775D9">
        <w:rPr>
          <w:b/>
          <w:bCs/>
          <w:szCs w:val="22"/>
          <w:lang w:eastAsia="en-GB"/>
        </w:rPr>
        <w:t>e</w:t>
      </w:r>
      <w:r w:rsidRPr="001775D9">
        <w:rPr>
          <w:b/>
          <w:bCs/>
          <w:szCs w:val="22"/>
          <w:lang w:eastAsia="en-GB"/>
        </w:rPr>
        <w:t xml:space="preserve">ndpoints </w:t>
      </w:r>
      <w:r w:rsidR="00126D41" w:rsidRPr="001775D9">
        <w:rPr>
          <w:b/>
          <w:bCs/>
          <w:szCs w:val="22"/>
          <w:lang w:eastAsia="en-GB"/>
        </w:rPr>
        <w:t>r</w:t>
      </w:r>
      <w:r w:rsidRPr="001775D9">
        <w:rPr>
          <w:b/>
          <w:bCs/>
          <w:szCs w:val="22"/>
          <w:lang w:eastAsia="en-GB"/>
        </w:rPr>
        <w:t>esults per PUCAI</w:t>
      </w:r>
    </w:p>
    <w:p w14:paraId="13FC090A" w14:textId="77777777" w:rsidR="00317748" w:rsidRPr="001775D9" w:rsidRDefault="00317748" w:rsidP="001C2A6A">
      <w:pPr>
        <w:keepNext/>
        <w:keepLines/>
        <w:tabs>
          <w:tab w:val="clear" w:pos="567"/>
        </w:tabs>
        <w:autoSpaceDE w:val="0"/>
        <w:autoSpaceDN w:val="0"/>
        <w:adjustRightInd w:val="0"/>
        <w:spacing w:line="240" w:lineRule="auto"/>
        <w:rPr>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1"/>
      </w:tblGrid>
      <w:tr w:rsidR="00317748" w:rsidRPr="00F04F82" w14:paraId="4E5393AF" w14:textId="77777777" w:rsidTr="007B0EB2">
        <w:tc>
          <w:tcPr>
            <w:tcW w:w="3020" w:type="dxa"/>
          </w:tcPr>
          <w:p w14:paraId="46F370B1" w14:textId="77777777" w:rsidR="00317748" w:rsidRPr="001775D9" w:rsidRDefault="00317748" w:rsidP="001C2A6A">
            <w:pPr>
              <w:keepNext/>
              <w:keepLines/>
              <w:tabs>
                <w:tab w:val="clear" w:pos="567"/>
              </w:tabs>
              <w:autoSpaceDE w:val="0"/>
              <w:autoSpaceDN w:val="0"/>
              <w:adjustRightInd w:val="0"/>
              <w:spacing w:line="240" w:lineRule="auto"/>
              <w:rPr>
                <w:szCs w:val="22"/>
                <w:lang w:eastAsia="en-GB"/>
              </w:rPr>
            </w:pPr>
          </w:p>
        </w:tc>
        <w:tc>
          <w:tcPr>
            <w:tcW w:w="6041" w:type="dxa"/>
            <w:gridSpan w:val="2"/>
          </w:tcPr>
          <w:p w14:paraId="043708A7" w14:textId="77777777" w:rsidR="00317748" w:rsidRPr="001775D9" w:rsidRDefault="00317748" w:rsidP="001C2A6A">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Week 8</w:t>
            </w:r>
          </w:p>
        </w:tc>
      </w:tr>
      <w:tr w:rsidR="00317748" w:rsidRPr="00F04F82" w14:paraId="0B219092" w14:textId="77777777" w:rsidTr="007B0EB2">
        <w:tc>
          <w:tcPr>
            <w:tcW w:w="3020" w:type="dxa"/>
          </w:tcPr>
          <w:p w14:paraId="77557012" w14:textId="77777777" w:rsidR="00317748" w:rsidRPr="001775D9" w:rsidRDefault="00317748" w:rsidP="001C2A6A">
            <w:pPr>
              <w:keepNext/>
              <w:keepLines/>
              <w:tabs>
                <w:tab w:val="clear" w:pos="567"/>
              </w:tabs>
              <w:autoSpaceDE w:val="0"/>
              <w:autoSpaceDN w:val="0"/>
              <w:adjustRightInd w:val="0"/>
              <w:spacing w:line="240" w:lineRule="auto"/>
              <w:rPr>
                <w:szCs w:val="22"/>
                <w:lang w:eastAsia="en-GB"/>
              </w:rPr>
            </w:pPr>
          </w:p>
        </w:tc>
        <w:tc>
          <w:tcPr>
            <w:tcW w:w="3020" w:type="dxa"/>
          </w:tcPr>
          <w:p w14:paraId="23B95807" w14:textId="77777777" w:rsidR="00317748" w:rsidRPr="001775D9" w:rsidRDefault="00317748" w:rsidP="001C2A6A">
            <w:pPr>
              <w:keepNext/>
              <w:keepLines/>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a</w:t>
            </w:r>
          </w:p>
          <w:p w14:paraId="1872D731" w14:textId="23D109F1" w:rsidR="00317748" w:rsidRPr="001775D9" w:rsidRDefault="00317748" w:rsidP="001C2A6A">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160 mg at</w:t>
            </w:r>
          </w:p>
          <w:p w14:paraId="08B633B1" w14:textId="189A93E3" w:rsidR="00317748" w:rsidRPr="001775D9" w:rsidRDefault="007B222F" w:rsidP="001C2A6A">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w</w:t>
            </w:r>
            <w:r w:rsidR="00317748" w:rsidRPr="001775D9">
              <w:rPr>
                <w:b/>
                <w:bCs/>
                <w:szCs w:val="22"/>
                <w:lang w:eastAsia="en-GB"/>
              </w:rPr>
              <w:t xml:space="preserve">eek 0 / Placebo at </w:t>
            </w:r>
            <w:r w:rsidRPr="001775D9">
              <w:rPr>
                <w:b/>
                <w:bCs/>
                <w:szCs w:val="22"/>
                <w:lang w:eastAsia="en-GB"/>
              </w:rPr>
              <w:t>w</w:t>
            </w:r>
            <w:r w:rsidR="00317748" w:rsidRPr="001775D9">
              <w:rPr>
                <w:b/>
                <w:bCs/>
                <w:szCs w:val="22"/>
                <w:lang w:eastAsia="en-GB"/>
              </w:rPr>
              <w:t>eek 1</w:t>
            </w:r>
          </w:p>
          <w:p w14:paraId="50E9CC51" w14:textId="2C96445C" w:rsidR="00317748" w:rsidRPr="001775D9" w:rsidRDefault="00317748" w:rsidP="001C2A6A">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N=30</w:t>
            </w:r>
          </w:p>
        </w:tc>
        <w:tc>
          <w:tcPr>
            <w:tcW w:w="3021" w:type="dxa"/>
          </w:tcPr>
          <w:p w14:paraId="3450100D" w14:textId="77777777" w:rsidR="00317748" w:rsidRPr="001775D9" w:rsidRDefault="00317748" w:rsidP="001C2A6A">
            <w:pPr>
              <w:keepNext/>
              <w:keepLines/>
              <w:tabs>
                <w:tab w:val="clear" w:pos="567"/>
              </w:tabs>
              <w:autoSpaceDE w:val="0"/>
              <w:autoSpaceDN w:val="0"/>
              <w:adjustRightInd w:val="0"/>
              <w:spacing w:line="240" w:lineRule="auto"/>
              <w:jc w:val="center"/>
              <w:rPr>
                <w:b/>
                <w:bCs/>
                <w:szCs w:val="22"/>
                <w:vertAlign w:val="superscript"/>
                <w:lang w:eastAsia="en-GB"/>
              </w:rPr>
            </w:pPr>
            <w:r w:rsidRPr="001775D9">
              <w:rPr>
                <w:b/>
                <w:bCs/>
                <w:color w:val="000000"/>
                <w:szCs w:val="22"/>
                <w:lang w:eastAsia="en-GB"/>
              </w:rPr>
              <w:t>Adalimumab</w:t>
            </w:r>
            <w:r w:rsidRPr="001775D9">
              <w:rPr>
                <w:b/>
                <w:bCs/>
                <w:szCs w:val="22"/>
                <w:vertAlign w:val="superscript"/>
                <w:lang w:eastAsia="en-GB"/>
              </w:rPr>
              <w:t>b,c</w:t>
            </w:r>
          </w:p>
          <w:p w14:paraId="7E848747" w14:textId="2A216F37" w:rsidR="00317748" w:rsidRPr="001775D9" w:rsidRDefault="00317748" w:rsidP="001C2A6A">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160 mg at</w:t>
            </w:r>
          </w:p>
          <w:p w14:paraId="3D46B6B7" w14:textId="231F0E37" w:rsidR="00317748" w:rsidRPr="001775D9" w:rsidRDefault="007B222F" w:rsidP="001C2A6A">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w</w:t>
            </w:r>
            <w:r w:rsidR="00317748" w:rsidRPr="001775D9">
              <w:rPr>
                <w:b/>
                <w:bCs/>
                <w:szCs w:val="22"/>
                <w:lang w:eastAsia="en-GB"/>
              </w:rPr>
              <w:t xml:space="preserve">eek 0 and </w:t>
            </w:r>
            <w:r w:rsidRPr="001775D9">
              <w:rPr>
                <w:b/>
                <w:bCs/>
                <w:szCs w:val="22"/>
                <w:lang w:eastAsia="en-GB"/>
              </w:rPr>
              <w:t>w</w:t>
            </w:r>
            <w:r w:rsidR="00317748" w:rsidRPr="001775D9">
              <w:rPr>
                <w:b/>
                <w:bCs/>
                <w:szCs w:val="22"/>
                <w:lang w:eastAsia="en-GB"/>
              </w:rPr>
              <w:t>eek 1</w:t>
            </w:r>
          </w:p>
          <w:p w14:paraId="5CDC5123" w14:textId="2303B21F" w:rsidR="00317748" w:rsidRPr="001775D9" w:rsidRDefault="00317748" w:rsidP="001C2A6A">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N=47</w:t>
            </w:r>
          </w:p>
        </w:tc>
      </w:tr>
      <w:tr w:rsidR="00317748" w:rsidRPr="00F04F82" w14:paraId="4A8A24DF" w14:textId="77777777" w:rsidTr="007B0EB2">
        <w:tc>
          <w:tcPr>
            <w:tcW w:w="3020" w:type="dxa"/>
          </w:tcPr>
          <w:p w14:paraId="21B3F740" w14:textId="77777777" w:rsidR="00317748" w:rsidRPr="001775D9" w:rsidRDefault="00317748" w:rsidP="001C2A6A">
            <w:pPr>
              <w:keepNext/>
              <w:keepLines/>
              <w:tabs>
                <w:tab w:val="clear" w:pos="567"/>
              </w:tabs>
              <w:autoSpaceDE w:val="0"/>
              <w:autoSpaceDN w:val="0"/>
              <w:adjustRightInd w:val="0"/>
              <w:spacing w:line="240" w:lineRule="auto"/>
              <w:rPr>
                <w:szCs w:val="22"/>
                <w:lang w:eastAsia="en-GB"/>
              </w:rPr>
            </w:pPr>
            <w:r w:rsidRPr="001775D9">
              <w:rPr>
                <w:szCs w:val="22"/>
                <w:lang w:eastAsia="en-GB"/>
              </w:rPr>
              <w:t>Clinical remission per PUCAI</w:t>
            </w:r>
          </w:p>
        </w:tc>
        <w:tc>
          <w:tcPr>
            <w:tcW w:w="3020" w:type="dxa"/>
          </w:tcPr>
          <w:p w14:paraId="10210D4C" w14:textId="77777777" w:rsidR="00317748" w:rsidRPr="001775D9" w:rsidRDefault="00317748" w:rsidP="001C2A6A">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10/30 (33.3%)</w:t>
            </w:r>
          </w:p>
        </w:tc>
        <w:tc>
          <w:tcPr>
            <w:tcW w:w="3021" w:type="dxa"/>
          </w:tcPr>
          <w:p w14:paraId="5F07D52E" w14:textId="77777777" w:rsidR="00317748" w:rsidRPr="001775D9" w:rsidRDefault="00317748" w:rsidP="001C2A6A">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22/47 (46.8%)</w:t>
            </w:r>
          </w:p>
        </w:tc>
      </w:tr>
      <w:tr w:rsidR="00317748" w:rsidRPr="00F04F82" w14:paraId="54858702" w14:textId="77777777" w:rsidTr="007B0EB2">
        <w:tc>
          <w:tcPr>
            <w:tcW w:w="3020" w:type="dxa"/>
          </w:tcPr>
          <w:p w14:paraId="30B54CB7" w14:textId="77777777"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Clinical response per PUCAI</w:t>
            </w:r>
          </w:p>
        </w:tc>
        <w:tc>
          <w:tcPr>
            <w:tcW w:w="3020" w:type="dxa"/>
          </w:tcPr>
          <w:p w14:paraId="364CC9D2"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15/30 (50.0%)</w:t>
            </w:r>
          </w:p>
        </w:tc>
        <w:tc>
          <w:tcPr>
            <w:tcW w:w="3021" w:type="dxa"/>
          </w:tcPr>
          <w:p w14:paraId="3AE73FC0"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32/47 (68.1%)</w:t>
            </w:r>
          </w:p>
        </w:tc>
      </w:tr>
      <w:tr w:rsidR="00317748" w:rsidRPr="00F04F82" w14:paraId="43DA3C83" w14:textId="77777777" w:rsidTr="007B0EB2">
        <w:tc>
          <w:tcPr>
            <w:tcW w:w="3020" w:type="dxa"/>
          </w:tcPr>
          <w:p w14:paraId="219944E6" w14:textId="77777777" w:rsidR="00317748" w:rsidRPr="001775D9" w:rsidRDefault="00317748" w:rsidP="007B0EB2">
            <w:pPr>
              <w:tabs>
                <w:tab w:val="clear" w:pos="567"/>
              </w:tabs>
              <w:autoSpaceDE w:val="0"/>
              <w:autoSpaceDN w:val="0"/>
              <w:adjustRightInd w:val="0"/>
              <w:spacing w:line="240" w:lineRule="auto"/>
              <w:rPr>
                <w:szCs w:val="22"/>
                <w:lang w:eastAsia="en-GB"/>
              </w:rPr>
            </w:pPr>
          </w:p>
        </w:tc>
        <w:tc>
          <w:tcPr>
            <w:tcW w:w="6041" w:type="dxa"/>
            <w:gridSpan w:val="2"/>
          </w:tcPr>
          <w:p w14:paraId="0FF4F7FC"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b/>
                <w:bCs/>
                <w:szCs w:val="22"/>
                <w:lang w:eastAsia="en-IN"/>
              </w:rPr>
              <w:t>Week 52</w:t>
            </w:r>
          </w:p>
        </w:tc>
      </w:tr>
      <w:tr w:rsidR="00317748" w:rsidRPr="00F04F82" w14:paraId="28A94619" w14:textId="77777777" w:rsidTr="007B0EB2">
        <w:tc>
          <w:tcPr>
            <w:tcW w:w="3020" w:type="dxa"/>
          </w:tcPr>
          <w:p w14:paraId="26504FBF" w14:textId="77777777" w:rsidR="00317748" w:rsidRPr="001775D9" w:rsidRDefault="00317748" w:rsidP="007B0EB2">
            <w:pPr>
              <w:tabs>
                <w:tab w:val="clear" w:pos="567"/>
              </w:tabs>
              <w:autoSpaceDE w:val="0"/>
              <w:autoSpaceDN w:val="0"/>
              <w:adjustRightInd w:val="0"/>
              <w:spacing w:line="240" w:lineRule="auto"/>
              <w:rPr>
                <w:szCs w:val="22"/>
                <w:lang w:eastAsia="en-GB"/>
              </w:rPr>
            </w:pPr>
          </w:p>
        </w:tc>
        <w:tc>
          <w:tcPr>
            <w:tcW w:w="3020" w:type="dxa"/>
          </w:tcPr>
          <w:p w14:paraId="72102A46" w14:textId="77777777"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d</w:t>
            </w:r>
          </w:p>
          <w:p w14:paraId="7132C21A" w14:textId="71250346"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 xml:space="preserve">Maximum of 40 mg </w:t>
            </w:r>
          </w:p>
          <w:p w14:paraId="5ADC848E" w14:textId="58D62529" w:rsidR="00126D41" w:rsidRPr="001775D9" w:rsidRDefault="00126D41"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every other week</w:t>
            </w:r>
          </w:p>
          <w:p w14:paraId="434D5741" w14:textId="3F12E888"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N=31</w:t>
            </w:r>
          </w:p>
        </w:tc>
        <w:tc>
          <w:tcPr>
            <w:tcW w:w="3021" w:type="dxa"/>
          </w:tcPr>
          <w:p w14:paraId="0919438A" w14:textId="77777777"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e</w:t>
            </w:r>
          </w:p>
          <w:p w14:paraId="2940C054" w14:textId="33FB8952"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 xml:space="preserve">Maximum of 40 mg </w:t>
            </w:r>
          </w:p>
          <w:p w14:paraId="55CB532D" w14:textId="3D6512E2" w:rsidR="00126D41" w:rsidRPr="001775D9" w:rsidRDefault="00126D41"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every week</w:t>
            </w:r>
          </w:p>
          <w:p w14:paraId="341F1D06" w14:textId="4A0E1F20" w:rsidR="00317748" w:rsidRPr="001775D9" w:rsidRDefault="00317748" w:rsidP="007B0EB2">
            <w:pPr>
              <w:tabs>
                <w:tab w:val="clear" w:pos="567"/>
              </w:tabs>
              <w:autoSpaceDE w:val="0"/>
              <w:autoSpaceDN w:val="0"/>
              <w:adjustRightInd w:val="0"/>
              <w:spacing w:line="240" w:lineRule="auto"/>
              <w:jc w:val="center"/>
              <w:rPr>
                <w:b/>
                <w:bCs/>
                <w:szCs w:val="22"/>
                <w:lang w:eastAsia="en-GB"/>
              </w:rPr>
            </w:pPr>
            <w:r w:rsidRPr="001775D9">
              <w:rPr>
                <w:b/>
                <w:bCs/>
                <w:szCs w:val="22"/>
                <w:lang w:eastAsia="en-GB"/>
              </w:rPr>
              <w:t>N=31</w:t>
            </w:r>
          </w:p>
        </w:tc>
      </w:tr>
      <w:tr w:rsidR="00317748" w:rsidRPr="00F04F82" w14:paraId="07892AE4" w14:textId="77777777" w:rsidTr="007B0EB2">
        <w:tc>
          <w:tcPr>
            <w:tcW w:w="3020" w:type="dxa"/>
          </w:tcPr>
          <w:p w14:paraId="00F2FB89" w14:textId="0931452B"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 xml:space="preserve">Clinical remission per PUCAI in </w:t>
            </w:r>
            <w:r w:rsidR="00647F81" w:rsidRPr="001775D9">
              <w:rPr>
                <w:szCs w:val="22"/>
                <w:lang w:eastAsia="en-GB"/>
              </w:rPr>
              <w:t>w</w:t>
            </w:r>
            <w:r w:rsidRPr="001775D9">
              <w:rPr>
                <w:szCs w:val="22"/>
                <w:lang w:eastAsia="en-GB"/>
              </w:rPr>
              <w:t>eek 8 PMS responders</w:t>
            </w:r>
          </w:p>
        </w:tc>
        <w:tc>
          <w:tcPr>
            <w:tcW w:w="3020" w:type="dxa"/>
          </w:tcPr>
          <w:p w14:paraId="04A87111"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14/31 (45.2%)</w:t>
            </w:r>
          </w:p>
        </w:tc>
        <w:tc>
          <w:tcPr>
            <w:tcW w:w="3021" w:type="dxa"/>
          </w:tcPr>
          <w:p w14:paraId="4D0658CA"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18/31 (58.1%)</w:t>
            </w:r>
          </w:p>
        </w:tc>
      </w:tr>
      <w:tr w:rsidR="00317748" w:rsidRPr="00F04F82" w14:paraId="207CAAB5" w14:textId="77777777" w:rsidTr="007B0EB2">
        <w:tc>
          <w:tcPr>
            <w:tcW w:w="3020" w:type="dxa"/>
          </w:tcPr>
          <w:p w14:paraId="343F1777" w14:textId="77777777"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Clinical response per PUCAI</w:t>
            </w:r>
          </w:p>
          <w:p w14:paraId="7373F144" w14:textId="647B4391" w:rsidR="00317748" w:rsidRPr="001775D9" w:rsidRDefault="00317748" w:rsidP="007B0EB2">
            <w:pPr>
              <w:tabs>
                <w:tab w:val="clear" w:pos="567"/>
              </w:tabs>
              <w:autoSpaceDE w:val="0"/>
              <w:autoSpaceDN w:val="0"/>
              <w:adjustRightInd w:val="0"/>
              <w:spacing w:line="240" w:lineRule="auto"/>
              <w:rPr>
                <w:szCs w:val="22"/>
                <w:lang w:eastAsia="en-GB"/>
              </w:rPr>
            </w:pPr>
            <w:r w:rsidRPr="001775D9">
              <w:rPr>
                <w:szCs w:val="22"/>
                <w:lang w:eastAsia="en-GB"/>
              </w:rPr>
              <w:t xml:space="preserve">in </w:t>
            </w:r>
            <w:r w:rsidR="00647F81" w:rsidRPr="001775D9">
              <w:rPr>
                <w:szCs w:val="22"/>
                <w:lang w:eastAsia="en-GB"/>
              </w:rPr>
              <w:t>w</w:t>
            </w:r>
            <w:r w:rsidRPr="001775D9">
              <w:rPr>
                <w:szCs w:val="22"/>
                <w:lang w:eastAsia="en-GB"/>
              </w:rPr>
              <w:t>eek 8 PMS responders</w:t>
            </w:r>
          </w:p>
        </w:tc>
        <w:tc>
          <w:tcPr>
            <w:tcW w:w="3020" w:type="dxa"/>
          </w:tcPr>
          <w:p w14:paraId="41FBB105"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18/31 (58.1%)</w:t>
            </w:r>
          </w:p>
        </w:tc>
        <w:tc>
          <w:tcPr>
            <w:tcW w:w="3021" w:type="dxa"/>
          </w:tcPr>
          <w:p w14:paraId="6FC2D545" w14:textId="77777777" w:rsidR="00317748" w:rsidRPr="001775D9" w:rsidRDefault="00317748" w:rsidP="007B0EB2">
            <w:pPr>
              <w:tabs>
                <w:tab w:val="clear" w:pos="567"/>
              </w:tabs>
              <w:autoSpaceDE w:val="0"/>
              <w:autoSpaceDN w:val="0"/>
              <w:adjustRightInd w:val="0"/>
              <w:spacing w:line="240" w:lineRule="auto"/>
              <w:jc w:val="center"/>
              <w:rPr>
                <w:szCs w:val="22"/>
                <w:lang w:eastAsia="en-GB"/>
              </w:rPr>
            </w:pPr>
            <w:r w:rsidRPr="001775D9">
              <w:rPr>
                <w:szCs w:val="22"/>
                <w:lang w:eastAsia="en-GB"/>
              </w:rPr>
              <w:t>16/31 (51.6%)</w:t>
            </w:r>
          </w:p>
        </w:tc>
      </w:tr>
      <w:tr w:rsidR="00317748" w:rsidRPr="00F04F82" w14:paraId="6EAF881C" w14:textId="77777777" w:rsidTr="007B0EB2">
        <w:tc>
          <w:tcPr>
            <w:tcW w:w="9061" w:type="dxa"/>
            <w:gridSpan w:val="3"/>
          </w:tcPr>
          <w:p w14:paraId="69ADB84B" w14:textId="66704D29"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A</w:t>
            </w:r>
            <w:r w:rsidRPr="001775D9">
              <w:rPr>
                <w:color w:val="000000"/>
                <w:sz w:val="20"/>
                <w:lang w:eastAsia="en-GB"/>
              </w:rPr>
              <w:t>dalimumab</w:t>
            </w:r>
            <w:r w:rsidRPr="001775D9">
              <w:rPr>
                <w:sz w:val="20"/>
                <w:lang w:eastAsia="en-GB"/>
              </w:rPr>
              <w:t xml:space="preserve"> 2.4</w:t>
            </w:r>
            <w:r w:rsidR="00F65039" w:rsidRPr="001775D9">
              <w:rPr>
                <w:sz w:val="20"/>
                <w:lang w:eastAsia="en-GB"/>
              </w:rPr>
              <w:t> </w:t>
            </w:r>
            <w:r w:rsidRPr="001775D9">
              <w:rPr>
                <w:sz w:val="20"/>
                <w:lang w:eastAsia="en-GB"/>
              </w:rPr>
              <w:t>mg/kg (maximum of 160</w:t>
            </w:r>
            <w:r w:rsidR="00F65039" w:rsidRPr="001775D9">
              <w:rPr>
                <w:sz w:val="20"/>
                <w:lang w:eastAsia="en-GB"/>
              </w:rPr>
              <w:t> </w:t>
            </w:r>
            <w:r w:rsidRPr="001775D9">
              <w:rPr>
                <w:sz w:val="20"/>
                <w:lang w:eastAsia="en-GB"/>
              </w:rPr>
              <w:t xml:space="preserve">mg) at </w:t>
            </w:r>
            <w:r w:rsidR="00F65039" w:rsidRPr="001775D9">
              <w:rPr>
                <w:sz w:val="20"/>
                <w:lang w:eastAsia="en-GB"/>
              </w:rPr>
              <w:t>w</w:t>
            </w:r>
            <w:r w:rsidRPr="001775D9">
              <w:rPr>
                <w:sz w:val="20"/>
                <w:lang w:eastAsia="en-GB"/>
              </w:rPr>
              <w:t xml:space="preserve">eek 0, placebo at </w:t>
            </w:r>
            <w:r w:rsidR="00F65039" w:rsidRPr="001775D9">
              <w:rPr>
                <w:sz w:val="20"/>
                <w:lang w:eastAsia="en-GB"/>
              </w:rPr>
              <w:t>w</w:t>
            </w:r>
            <w:r w:rsidRPr="001775D9">
              <w:rPr>
                <w:sz w:val="20"/>
                <w:lang w:eastAsia="en-GB"/>
              </w:rPr>
              <w:t>eek 1, and 1.2</w:t>
            </w:r>
            <w:r w:rsidR="00F65039" w:rsidRPr="001775D9">
              <w:rPr>
                <w:sz w:val="20"/>
                <w:lang w:eastAsia="en-GB"/>
              </w:rPr>
              <w:t> </w:t>
            </w:r>
            <w:r w:rsidRPr="001775D9">
              <w:rPr>
                <w:sz w:val="20"/>
                <w:lang w:eastAsia="en-GB"/>
              </w:rPr>
              <w:t>mg/kg (maximum of 80</w:t>
            </w:r>
            <w:r w:rsidR="00F65039" w:rsidRPr="001775D9">
              <w:rPr>
                <w:sz w:val="20"/>
                <w:lang w:eastAsia="en-GB"/>
              </w:rPr>
              <w:t> </w:t>
            </w:r>
            <w:r w:rsidRPr="001775D9">
              <w:rPr>
                <w:sz w:val="20"/>
                <w:lang w:eastAsia="en-GB"/>
              </w:rPr>
              <w:t xml:space="preserve">mg) at </w:t>
            </w:r>
            <w:r w:rsidR="00F65039" w:rsidRPr="001775D9">
              <w:rPr>
                <w:sz w:val="20"/>
                <w:lang w:eastAsia="en-GB"/>
              </w:rPr>
              <w:t>w</w:t>
            </w:r>
            <w:r w:rsidRPr="001775D9">
              <w:rPr>
                <w:sz w:val="20"/>
                <w:lang w:eastAsia="en-GB"/>
              </w:rPr>
              <w:t>eek 2</w:t>
            </w:r>
          </w:p>
          <w:p w14:paraId="48840D95" w14:textId="78E5951E"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A</w:t>
            </w:r>
            <w:r w:rsidRPr="001775D9">
              <w:rPr>
                <w:color w:val="000000"/>
                <w:sz w:val="20"/>
                <w:lang w:eastAsia="en-GB"/>
              </w:rPr>
              <w:t>dalimumab</w:t>
            </w:r>
            <w:r w:rsidRPr="001775D9">
              <w:rPr>
                <w:sz w:val="20"/>
                <w:lang w:eastAsia="en-GB"/>
              </w:rPr>
              <w:t xml:space="preserve"> 2.4</w:t>
            </w:r>
            <w:r w:rsidR="00F65039" w:rsidRPr="001775D9">
              <w:rPr>
                <w:sz w:val="20"/>
                <w:lang w:eastAsia="en-GB"/>
              </w:rPr>
              <w:t> </w:t>
            </w:r>
            <w:r w:rsidRPr="001775D9">
              <w:rPr>
                <w:sz w:val="20"/>
                <w:lang w:eastAsia="en-GB"/>
              </w:rPr>
              <w:t>mg/kg (maximum of 160</w:t>
            </w:r>
            <w:r w:rsidR="00F65039" w:rsidRPr="001775D9">
              <w:rPr>
                <w:sz w:val="20"/>
                <w:lang w:eastAsia="en-GB"/>
              </w:rPr>
              <w:t> </w:t>
            </w:r>
            <w:r w:rsidRPr="001775D9">
              <w:rPr>
                <w:sz w:val="20"/>
                <w:lang w:eastAsia="en-GB"/>
              </w:rPr>
              <w:t xml:space="preserve">mg) at </w:t>
            </w:r>
            <w:r w:rsidR="00F65039" w:rsidRPr="001775D9">
              <w:rPr>
                <w:sz w:val="20"/>
                <w:lang w:eastAsia="en-GB"/>
              </w:rPr>
              <w:t>w</w:t>
            </w:r>
            <w:r w:rsidRPr="001775D9">
              <w:rPr>
                <w:sz w:val="20"/>
                <w:lang w:eastAsia="en-GB"/>
              </w:rPr>
              <w:t xml:space="preserve">eek 0 and </w:t>
            </w:r>
            <w:r w:rsidR="00F65039" w:rsidRPr="001775D9">
              <w:rPr>
                <w:sz w:val="20"/>
                <w:lang w:eastAsia="en-GB"/>
              </w:rPr>
              <w:t>w</w:t>
            </w:r>
            <w:r w:rsidRPr="001775D9">
              <w:rPr>
                <w:sz w:val="20"/>
                <w:lang w:eastAsia="en-GB"/>
              </w:rPr>
              <w:t xml:space="preserve">eek 1, and 1.2 mg/kg (maximum of 80 mg) at </w:t>
            </w:r>
            <w:r w:rsidR="00F65039" w:rsidRPr="001775D9">
              <w:rPr>
                <w:sz w:val="20"/>
                <w:lang w:eastAsia="en-GB"/>
              </w:rPr>
              <w:t>w</w:t>
            </w:r>
            <w:r w:rsidRPr="001775D9">
              <w:rPr>
                <w:sz w:val="20"/>
                <w:lang w:eastAsia="en-GB"/>
              </w:rPr>
              <w:t>eek 2</w:t>
            </w:r>
          </w:p>
          <w:p w14:paraId="0D09DC08" w14:textId="6101BD6D"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Not including open-label Induction dose of </w:t>
            </w:r>
            <w:r w:rsidRPr="001775D9">
              <w:rPr>
                <w:color w:val="000000"/>
                <w:sz w:val="20"/>
                <w:lang w:eastAsia="en-GB"/>
              </w:rPr>
              <w:t>adalimumab</w:t>
            </w:r>
            <w:r w:rsidRPr="001775D9">
              <w:rPr>
                <w:sz w:val="20"/>
                <w:lang w:eastAsia="en-GB"/>
              </w:rPr>
              <w:t xml:space="preserve"> 2.4 mg/kg (maximum of 160 mg) at</w:t>
            </w:r>
          </w:p>
          <w:p w14:paraId="4E4ADCA6" w14:textId="63417920" w:rsidR="00317748" w:rsidRPr="001775D9" w:rsidRDefault="00F65039" w:rsidP="007B0EB2">
            <w:pPr>
              <w:tabs>
                <w:tab w:val="clear" w:pos="567"/>
              </w:tabs>
              <w:autoSpaceDE w:val="0"/>
              <w:autoSpaceDN w:val="0"/>
              <w:adjustRightInd w:val="0"/>
              <w:spacing w:line="240" w:lineRule="auto"/>
              <w:rPr>
                <w:sz w:val="20"/>
                <w:lang w:eastAsia="en-GB"/>
              </w:rPr>
            </w:pPr>
            <w:r w:rsidRPr="001775D9">
              <w:rPr>
                <w:sz w:val="20"/>
                <w:lang w:eastAsia="en-GB"/>
              </w:rPr>
              <w:t>w</w:t>
            </w:r>
            <w:r w:rsidR="00317748" w:rsidRPr="001775D9">
              <w:rPr>
                <w:sz w:val="20"/>
                <w:lang w:eastAsia="en-GB"/>
              </w:rPr>
              <w:t xml:space="preserve">eek 0 and </w:t>
            </w:r>
            <w:r w:rsidRPr="001775D9">
              <w:rPr>
                <w:sz w:val="20"/>
                <w:lang w:eastAsia="en-GB"/>
              </w:rPr>
              <w:t>w</w:t>
            </w:r>
            <w:r w:rsidR="00317748" w:rsidRPr="001775D9">
              <w:rPr>
                <w:sz w:val="20"/>
                <w:lang w:eastAsia="en-GB"/>
              </w:rPr>
              <w:t>eek 1, and 1.2 mg/kg (maximum of 80</w:t>
            </w:r>
            <w:r w:rsidRPr="001775D9">
              <w:rPr>
                <w:sz w:val="20"/>
                <w:lang w:eastAsia="en-GB"/>
              </w:rPr>
              <w:t> </w:t>
            </w:r>
            <w:r w:rsidR="00317748" w:rsidRPr="001775D9">
              <w:rPr>
                <w:sz w:val="20"/>
                <w:lang w:eastAsia="en-GB"/>
              </w:rPr>
              <w:t xml:space="preserve">mg) at </w:t>
            </w:r>
            <w:r w:rsidRPr="001775D9">
              <w:rPr>
                <w:sz w:val="20"/>
                <w:lang w:eastAsia="en-GB"/>
              </w:rPr>
              <w:t>w</w:t>
            </w:r>
            <w:r w:rsidR="00317748" w:rsidRPr="001775D9">
              <w:rPr>
                <w:sz w:val="20"/>
                <w:lang w:eastAsia="en-GB"/>
              </w:rPr>
              <w:t>eek 2</w:t>
            </w:r>
          </w:p>
          <w:p w14:paraId="28FF998F" w14:textId="3B617A29"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d</w:t>
            </w:r>
            <w:r w:rsidRPr="001775D9">
              <w:rPr>
                <w:sz w:val="20"/>
                <w:lang w:eastAsia="en-GB"/>
              </w:rPr>
              <w:t xml:space="preserve"> A</w:t>
            </w:r>
            <w:r w:rsidRPr="001775D9">
              <w:rPr>
                <w:color w:val="000000"/>
                <w:sz w:val="20"/>
                <w:lang w:eastAsia="en-GB"/>
              </w:rPr>
              <w:t>dalimumab</w:t>
            </w:r>
            <w:r w:rsidRPr="001775D9">
              <w:rPr>
                <w:sz w:val="20"/>
                <w:lang w:eastAsia="en-GB"/>
              </w:rPr>
              <w:t xml:space="preserve"> 0.6</w:t>
            </w:r>
            <w:r w:rsidR="00F65039" w:rsidRPr="001775D9">
              <w:rPr>
                <w:sz w:val="20"/>
                <w:lang w:eastAsia="en-GB"/>
              </w:rPr>
              <w:t> </w:t>
            </w:r>
            <w:r w:rsidRPr="001775D9">
              <w:rPr>
                <w:sz w:val="20"/>
                <w:lang w:eastAsia="en-GB"/>
              </w:rPr>
              <w:t>mg/kg (maximum of 40</w:t>
            </w:r>
            <w:r w:rsidR="00F65039" w:rsidRPr="001775D9">
              <w:rPr>
                <w:sz w:val="20"/>
                <w:lang w:eastAsia="en-GB"/>
              </w:rPr>
              <w:t> </w:t>
            </w:r>
            <w:r w:rsidRPr="001775D9">
              <w:rPr>
                <w:sz w:val="20"/>
                <w:lang w:eastAsia="en-GB"/>
              </w:rPr>
              <w:t>mg) every other week</w:t>
            </w:r>
          </w:p>
          <w:p w14:paraId="70B2C0D6" w14:textId="5C36524F"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vertAlign w:val="superscript"/>
                <w:lang w:eastAsia="en-GB"/>
              </w:rPr>
              <w:t>e</w:t>
            </w:r>
            <w:r w:rsidRPr="001775D9">
              <w:rPr>
                <w:sz w:val="20"/>
                <w:lang w:eastAsia="en-GB"/>
              </w:rPr>
              <w:t xml:space="preserve"> A</w:t>
            </w:r>
            <w:r w:rsidRPr="001775D9">
              <w:rPr>
                <w:color w:val="000000"/>
                <w:sz w:val="20"/>
                <w:lang w:eastAsia="en-GB"/>
              </w:rPr>
              <w:t>dalimumab</w:t>
            </w:r>
            <w:r w:rsidRPr="001775D9">
              <w:rPr>
                <w:sz w:val="20"/>
                <w:lang w:eastAsia="en-GB"/>
              </w:rPr>
              <w:t xml:space="preserve"> 0.6</w:t>
            </w:r>
            <w:r w:rsidR="00F65039" w:rsidRPr="001775D9">
              <w:rPr>
                <w:sz w:val="20"/>
                <w:lang w:eastAsia="en-GB"/>
              </w:rPr>
              <w:t> </w:t>
            </w:r>
            <w:r w:rsidRPr="001775D9">
              <w:rPr>
                <w:sz w:val="20"/>
                <w:lang w:eastAsia="en-GB"/>
              </w:rPr>
              <w:t>mg/kg (maximum of 40</w:t>
            </w:r>
            <w:r w:rsidR="00F65039" w:rsidRPr="001775D9">
              <w:rPr>
                <w:sz w:val="20"/>
                <w:lang w:eastAsia="en-GB"/>
              </w:rPr>
              <w:t> </w:t>
            </w:r>
            <w:r w:rsidRPr="001775D9">
              <w:rPr>
                <w:sz w:val="20"/>
                <w:lang w:eastAsia="en-GB"/>
              </w:rPr>
              <w:t>mg) every week</w:t>
            </w:r>
          </w:p>
          <w:p w14:paraId="149CD34C" w14:textId="666E2C43" w:rsidR="00317748" w:rsidRPr="001775D9" w:rsidRDefault="00317748" w:rsidP="00EE323F">
            <w:pPr>
              <w:tabs>
                <w:tab w:val="clear" w:pos="567"/>
              </w:tabs>
              <w:autoSpaceDE w:val="0"/>
              <w:autoSpaceDN w:val="0"/>
              <w:adjustRightInd w:val="0"/>
              <w:spacing w:line="240" w:lineRule="auto"/>
              <w:rPr>
                <w:sz w:val="20"/>
                <w:lang w:eastAsia="en-GB"/>
              </w:rPr>
            </w:pPr>
            <w:r w:rsidRPr="001775D9">
              <w:rPr>
                <w:sz w:val="20"/>
                <w:lang w:eastAsia="en-GB"/>
              </w:rPr>
              <w:t xml:space="preserve">Note 1: Both induction groups received 0.6 mg/kg (maximum of 40 mg) at </w:t>
            </w:r>
            <w:r w:rsidR="00F65039" w:rsidRPr="001775D9">
              <w:rPr>
                <w:sz w:val="20"/>
                <w:lang w:eastAsia="en-GB"/>
              </w:rPr>
              <w:t>w</w:t>
            </w:r>
            <w:r w:rsidRPr="001775D9">
              <w:rPr>
                <w:sz w:val="20"/>
                <w:lang w:eastAsia="en-GB"/>
              </w:rPr>
              <w:t xml:space="preserve">eek 4 and </w:t>
            </w:r>
            <w:r w:rsidR="00F65039" w:rsidRPr="001775D9">
              <w:rPr>
                <w:sz w:val="20"/>
                <w:lang w:eastAsia="en-GB"/>
              </w:rPr>
              <w:t>w</w:t>
            </w:r>
            <w:r w:rsidRPr="001775D9">
              <w:rPr>
                <w:sz w:val="20"/>
                <w:lang w:eastAsia="en-GB"/>
              </w:rPr>
              <w:t>eek 6</w:t>
            </w:r>
          </w:p>
          <w:p w14:paraId="5F62C055" w14:textId="7B047689" w:rsidR="00317748" w:rsidRPr="001775D9" w:rsidRDefault="00317748" w:rsidP="007B0EB2">
            <w:pPr>
              <w:tabs>
                <w:tab w:val="clear" w:pos="567"/>
              </w:tabs>
              <w:autoSpaceDE w:val="0"/>
              <w:autoSpaceDN w:val="0"/>
              <w:adjustRightInd w:val="0"/>
              <w:spacing w:line="240" w:lineRule="auto"/>
              <w:rPr>
                <w:sz w:val="20"/>
                <w:lang w:eastAsia="en-GB"/>
              </w:rPr>
            </w:pPr>
            <w:r w:rsidRPr="001775D9">
              <w:rPr>
                <w:sz w:val="20"/>
                <w:lang w:eastAsia="en-GB"/>
              </w:rPr>
              <w:t xml:space="preserve">Note 2: Patients with missing values at </w:t>
            </w:r>
            <w:r w:rsidR="00F65039" w:rsidRPr="001775D9">
              <w:rPr>
                <w:sz w:val="20"/>
                <w:lang w:eastAsia="en-GB"/>
              </w:rPr>
              <w:t>w</w:t>
            </w:r>
            <w:r w:rsidRPr="001775D9">
              <w:rPr>
                <w:sz w:val="20"/>
                <w:lang w:eastAsia="en-GB"/>
              </w:rPr>
              <w:t>eek 8 were considered as not having met the endpoints</w:t>
            </w:r>
          </w:p>
          <w:p w14:paraId="6A795FC8" w14:textId="5C902031" w:rsidR="00317748" w:rsidRPr="001775D9" w:rsidRDefault="00317748">
            <w:pPr>
              <w:tabs>
                <w:tab w:val="clear" w:pos="567"/>
              </w:tabs>
              <w:autoSpaceDE w:val="0"/>
              <w:autoSpaceDN w:val="0"/>
              <w:adjustRightInd w:val="0"/>
              <w:spacing w:line="240" w:lineRule="auto"/>
              <w:rPr>
                <w:sz w:val="20"/>
                <w:lang w:eastAsia="en-GB"/>
              </w:rPr>
            </w:pPr>
            <w:r w:rsidRPr="001775D9">
              <w:rPr>
                <w:sz w:val="20"/>
                <w:lang w:eastAsia="en-GB"/>
              </w:rPr>
              <w:t xml:space="preserve">Note 3: Patients with missing values at </w:t>
            </w:r>
            <w:r w:rsidR="00F65039" w:rsidRPr="001775D9">
              <w:rPr>
                <w:sz w:val="20"/>
                <w:lang w:eastAsia="en-GB"/>
              </w:rPr>
              <w:t>w</w:t>
            </w:r>
            <w:r w:rsidRPr="001775D9">
              <w:rPr>
                <w:sz w:val="20"/>
                <w:lang w:eastAsia="en-GB"/>
              </w:rPr>
              <w:t>eek 52 or who were randomi</w:t>
            </w:r>
            <w:r w:rsidR="00F8385D" w:rsidRPr="001775D9">
              <w:rPr>
                <w:sz w:val="20"/>
                <w:lang w:eastAsia="en-GB"/>
              </w:rPr>
              <w:t>s</w:t>
            </w:r>
            <w:r w:rsidRPr="001775D9">
              <w:rPr>
                <w:sz w:val="20"/>
                <w:lang w:eastAsia="en-GB"/>
              </w:rPr>
              <w:t>ed to receive re-induction</w:t>
            </w:r>
          </w:p>
          <w:p w14:paraId="4D5C72DE" w14:textId="4198D15E" w:rsidR="00317748" w:rsidRPr="001775D9" w:rsidRDefault="00317748" w:rsidP="007B0EB2">
            <w:pPr>
              <w:tabs>
                <w:tab w:val="clear" w:pos="567"/>
              </w:tabs>
              <w:autoSpaceDE w:val="0"/>
              <w:autoSpaceDN w:val="0"/>
              <w:adjustRightInd w:val="0"/>
              <w:spacing w:line="240" w:lineRule="auto"/>
              <w:rPr>
                <w:szCs w:val="22"/>
                <w:lang w:eastAsia="en-GB"/>
              </w:rPr>
            </w:pPr>
            <w:r w:rsidRPr="001775D9">
              <w:rPr>
                <w:sz w:val="20"/>
                <w:lang w:eastAsia="en-GB"/>
              </w:rPr>
              <w:t xml:space="preserve">or maintenance treatment were considered non-responders for </w:t>
            </w:r>
            <w:r w:rsidR="00F65039" w:rsidRPr="001775D9">
              <w:rPr>
                <w:sz w:val="20"/>
                <w:lang w:eastAsia="en-GB"/>
              </w:rPr>
              <w:t>w</w:t>
            </w:r>
            <w:r w:rsidRPr="001775D9">
              <w:rPr>
                <w:sz w:val="20"/>
                <w:lang w:eastAsia="en-GB"/>
              </w:rPr>
              <w:t>eek 52 endpoints</w:t>
            </w:r>
          </w:p>
        </w:tc>
      </w:tr>
    </w:tbl>
    <w:p w14:paraId="5F0595BA"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744DEEA3" w14:textId="51BC3283"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 xml:space="preserve">Of the </w:t>
      </w:r>
      <w:r w:rsidRPr="001775D9">
        <w:rPr>
          <w:color w:val="000000"/>
          <w:szCs w:val="22"/>
          <w:lang w:eastAsia="en-GB"/>
        </w:rPr>
        <w:t>adalimumab</w:t>
      </w:r>
      <w:r w:rsidRPr="001775D9">
        <w:rPr>
          <w:szCs w:val="22"/>
          <w:lang w:eastAsia="en-GB"/>
        </w:rPr>
        <w:t xml:space="preserve">-treated patients who received re-induction treatment during the maintenance period, 2/6 (33%) achieved clinical response per FMS at </w:t>
      </w:r>
      <w:r w:rsidR="00F65039" w:rsidRPr="001775D9">
        <w:rPr>
          <w:szCs w:val="22"/>
          <w:lang w:eastAsia="en-GB"/>
        </w:rPr>
        <w:t>w</w:t>
      </w:r>
      <w:r w:rsidRPr="001775D9">
        <w:rPr>
          <w:szCs w:val="22"/>
          <w:lang w:eastAsia="en-GB"/>
        </w:rPr>
        <w:t>eek 52.</w:t>
      </w:r>
    </w:p>
    <w:p w14:paraId="6CC8DCE5"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70CF3CCB" w14:textId="77777777" w:rsidR="00317748" w:rsidRPr="001775D9" w:rsidRDefault="00317748" w:rsidP="00317748">
      <w:pPr>
        <w:tabs>
          <w:tab w:val="clear" w:pos="567"/>
        </w:tabs>
        <w:autoSpaceDE w:val="0"/>
        <w:autoSpaceDN w:val="0"/>
        <w:adjustRightInd w:val="0"/>
        <w:spacing w:line="240" w:lineRule="auto"/>
        <w:rPr>
          <w:i/>
          <w:iCs/>
          <w:szCs w:val="22"/>
          <w:u w:val="single"/>
          <w:lang w:eastAsia="en-GB"/>
        </w:rPr>
      </w:pPr>
      <w:r w:rsidRPr="001775D9">
        <w:rPr>
          <w:i/>
          <w:iCs/>
          <w:szCs w:val="22"/>
          <w:u w:val="single"/>
          <w:lang w:eastAsia="en-GB"/>
        </w:rPr>
        <w:t>Quality of life</w:t>
      </w:r>
    </w:p>
    <w:p w14:paraId="595C1E79"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3E09E2FF" w14:textId="77777777"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 xml:space="preserve">Clinically meaningful improvements from Baseline were observed in IMPACT III and the caregiver Work Productivity and Activity Impairment (WPAI) scores for the groups treated with </w:t>
      </w:r>
      <w:r w:rsidRPr="001775D9">
        <w:rPr>
          <w:color w:val="000000"/>
          <w:szCs w:val="22"/>
          <w:lang w:eastAsia="en-GB"/>
        </w:rPr>
        <w:t>adalimumab</w:t>
      </w:r>
      <w:r w:rsidRPr="001775D9">
        <w:rPr>
          <w:szCs w:val="22"/>
          <w:lang w:eastAsia="en-GB"/>
        </w:rPr>
        <w:t>.</w:t>
      </w:r>
    </w:p>
    <w:p w14:paraId="1C561EB7" w14:textId="77777777" w:rsidR="00317748" w:rsidRPr="001775D9" w:rsidRDefault="00317748" w:rsidP="00317748">
      <w:pPr>
        <w:tabs>
          <w:tab w:val="clear" w:pos="567"/>
        </w:tabs>
        <w:autoSpaceDE w:val="0"/>
        <w:autoSpaceDN w:val="0"/>
        <w:adjustRightInd w:val="0"/>
        <w:spacing w:line="240" w:lineRule="auto"/>
        <w:rPr>
          <w:szCs w:val="22"/>
          <w:lang w:eastAsia="en-GB"/>
        </w:rPr>
      </w:pPr>
    </w:p>
    <w:p w14:paraId="2EE5104C" w14:textId="676D3C85"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Clinically meaningful increases (improvement) from Baseline in height velocity were observed for the</w:t>
      </w:r>
    </w:p>
    <w:p w14:paraId="24AF07D5" w14:textId="1ACAC93D"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groups treated with adalimumab, and clinically meaningful increases (improvement) from Baseline in</w:t>
      </w:r>
    </w:p>
    <w:p w14:paraId="69CC3025" w14:textId="247AFC8B" w:rsidR="00317748" w:rsidRPr="001775D9" w:rsidRDefault="00317748" w:rsidP="00317748">
      <w:pPr>
        <w:tabs>
          <w:tab w:val="clear" w:pos="567"/>
        </w:tabs>
        <w:autoSpaceDE w:val="0"/>
        <w:autoSpaceDN w:val="0"/>
        <w:adjustRightInd w:val="0"/>
        <w:spacing w:line="240" w:lineRule="auto"/>
        <w:rPr>
          <w:szCs w:val="22"/>
          <w:lang w:eastAsia="en-GB"/>
        </w:rPr>
      </w:pPr>
      <w:r w:rsidRPr="001775D9">
        <w:rPr>
          <w:szCs w:val="22"/>
          <w:lang w:eastAsia="en-GB"/>
        </w:rPr>
        <w:t>Body Mass Index were observed for subjects on the high maintenance dose of maximum 40</w:t>
      </w:r>
      <w:r w:rsidR="00F65039" w:rsidRPr="001775D9">
        <w:rPr>
          <w:szCs w:val="22"/>
          <w:lang w:eastAsia="en-GB"/>
        </w:rPr>
        <w:t> </w:t>
      </w:r>
      <w:r w:rsidRPr="001775D9">
        <w:rPr>
          <w:szCs w:val="22"/>
          <w:lang w:eastAsia="en-GB"/>
        </w:rPr>
        <w:t>mg (0.6 mg/kg) e</w:t>
      </w:r>
      <w:r w:rsidR="00D362AA" w:rsidRPr="001775D9">
        <w:rPr>
          <w:szCs w:val="22"/>
          <w:lang w:eastAsia="en-GB"/>
        </w:rPr>
        <w:t xml:space="preserve">very </w:t>
      </w:r>
      <w:r w:rsidRPr="001775D9">
        <w:rPr>
          <w:szCs w:val="22"/>
          <w:lang w:eastAsia="en-GB"/>
        </w:rPr>
        <w:t>w</w:t>
      </w:r>
      <w:r w:rsidR="00D362AA" w:rsidRPr="001775D9">
        <w:rPr>
          <w:szCs w:val="22"/>
          <w:lang w:eastAsia="en-GB"/>
        </w:rPr>
        <w:t>eek</w:t>
      </w:r>
      <w:r w:rsidRPr="001775D9">
        <w:rPr>
          <w:szCs w:val="22"/>
          <w:lang w:eastAsia="en-GB"/>
        </w:rPr>
        <w:t>.</w:t>
      </w:r>
    </w:p>
    <w:p w14:paraId="41663AC2" w14:textId="595FFD5E" w:rsidR="00E5603E" w:rsidRPr="001775D9" w:rsidRDefault="00E5603E" w:rsidP="00E7046A">
      <w:pPr>
        <w:keepNext/>
        <w:tabs>
          <w:tab w:val="clear" w:pos="567"/>
        </w:tabs>
        <w:autoSpaceDE w:val="0"/>
        <w:autoSpaceDN w:val="0"/>
        <w:adjustRightInd w:val="0"/>
        <w:spacing w:line="240" w:lineRule="auto"/>
        <w:rPr>
          <w:color w:val="000000"/>
          <w:szCs w:val="22"/>
          <w:u w:val="single"/>
          <w:lang w:eastAsia="en-GB"/>
        </w:rPr>
      </w:pPr>
    </w:p>
    <w:p w14:paraId="576E4BDF" w14:textId="77777777" w:rsidR="00652406" w:rsidRPr="001775D9" w:rsidRDefault="00652406" w:rsidP="00B61D9D">
      <w:pPr>
        <w:spacing w:line="240" w:lineRule="auto"/>
        <w:rPr>
          <w:i/>
        </w:rPr>
      </w:pPr>
      <w:r w:rsidRPr="001775D9">
        <w:rPr>
          <w:i/>
        </w:rPr>
        <w:t>Paediatric uveitis</w:t>
      </w:r>
    </w:p>
    <w:p w14:paraId="3D618E57" w14:textId="77777777" w:rsidR="00652406" w:rsidRPr="001775D9" w:rsidRDefault="00652406" w:rsidP="00B61D9D">
      <w:pPr>
        <w:spacing w:line="240" w:lineRule="auto"/>
        <w:rPr>
          <w:i/>
        </w:rPr>
      </w:pPr>
    </w:p>
    <w:p w14:paraId="629E81C2" w14:textId="24DC5954" w:rsidR="00652406" w:rsidRPr="001775D9" w:rsidRDefault="00652406" w:rsidP="00B61D9D">
      <w:pPr>
        <w:spacing w:line="240" w:lineRule="auto"/>
      </w:pPr>
      <w:r w:rsidRPr="001775D9">
        <w:t>The safety and efficacy of adalimumab was assessed in a randomised, double-masked, controlled study of 90 paediatric patients from 2 to &lt;</w:t>
      </w:r>
      <w:r w:rsidRPr="001775D9">
        <w:rPr>
          <w:szCs w:val="22"/>
          <w:lang w:eastAsia="en-GB"/>
        </w:rPr>
        <w:t> </w:t>
      </w:r>
      <w:r w:rsidRPr="001775D9">
        <w:t>18 years of age with active JIA-associated noninfectious anterior uveitis who were refractory to at least 12 weeks of methotrexate treatment. Patients received either placebo or 20</w:t>
      </w:r>
      <w:r w:rsidRPr="001775D9">
        <w:rPr>
          <w:szCs w:val="22"/>
          <w:lang w:eastAsia="en-GB"/>
        </w:rPr>
        <w:t> </w:t>
      </w:r>
      <w:r w:rsidRPr="001775D9">
        <w:t>mg adalimumab (if &lt;</w:t>
      </w:r>
      <w:r w:rsidRPr="001775D9">
        <w:rPr>
          <w:szCs w:val="22"/>
          <w:lang w:eastAsia="en-GB"/>
        </w:rPr>
        <w:t> </w:t>
      </w:r>
      <w:r w:rsidRPr="001775D9">
        <w:t>30</w:t>
      </w:r>
      <w:r w:rsidRPr="001775D9">
        <w:rPr>
          <w:color w:val="000000"/>
          <w:szCs w:val="22"/>
        </w:rPr>
        <w:t> </w:t>
      </w:r>
      <w:r w:rsidRPr="001775D9">
        <w:t>kg) or 40</w:t>
      </w:r>
      <w:r w:rsidRPr="001775D9">
        <w:rPr>
          <w:szCs w:val="22"/>
        </w:rPr>
        <w:t> </w:t>
      </w:r>
      <w:r w:rsidRPr="001775D9">
        <w:t>mg adalimumab (if ≥</w:t>
      </w:r>
      <w:r w:rsidRPr="001775D9">
        <w:rPr>
          <w:szCs w:val="22"/>
          <w:lang w:eastAsia="en-GB"/>
        </w:rPr>
        <w:t> </w:t>
      </w:r>
      <w:r w:rsidRPr="001775D9">
        <w:t>30</w:t>
      </w:r>
      <w:r w:rsidRPr="001775D9">
        <w:rPr>
          <w:color w:val="000000"/>
          <w:szCs w:val="22"/>
        </w:rPr>
        <w:t> </w:t>
      </w:r>
      <w:r w:rsidRPr="001775D9">
        <w:t>kg) every other week in combination with their baseline dose of methotrexate.</w:t>
      </w:r>
    </w:p>
    <w:p w14:paraId="75E4EDBA" w14:textId="77777777" w:rsidR="00652406" w:rsidRPr="001775D9" w:rsidRDefault="00652406" w:rsidP="00B61D9D">
      <w:pPr>
        <w:spacing w:line="240" w:lineRule="auto"/>
      </w:pPr>
    </w:p>
    <w:p w14:paraId="6A80FB3E" w14:textId="4B9ED83F" w:rsidR="00652406" w:rsidRPr="001775D9" w:rsidRDefault="00652406" w:rsidP="00B61D9D">
      <w:pPr>
        <w:spacing w:line="240" w:lineRule="auto"/>
      </w:pPr>
      <w:r w:rsidRPr="001775D9">
        <w:t>The primary endpoint was ‘time to treatment failure’. The criteria determining treatment failure were</w:t>
      </w:r>
    </w:p>
    <w:p w14:paraId="71337155" w14:textId="7E01793E" w:rsidR="00652406" w:rsidRPr="001775D9" w:rsidRDefault="00652406" w:rsidP="00B61D9D">
      <w:pPr>
        <w:spacing w:line="240" w:lineRule="auto"/>
      </w:pPr>
      <w:r w:rsidRPr="001775D9">
        <w:t>worsening or sustained non-improvement in ocular inflammation, partial improvement with development of sustained ocular co-morbidities or worsening of ocular co-morbidities, non-permitted use of concomitant medications, and suspension of treatment for an extended period of time.</w:t>
      </w:r>
    </w:p>
    <w:p w14:paraId="5D8FB4BA" w14:textId="77777777" w:rsidR="00652406" w:rsidRPr="001775D9" w:rsidRDefault="00652406" w:rsidP="00B61D9D">
      <w:pPr>
        <w:spacing w:line="240" w:lineRule="auto"/>
      </w:pPr>
    </w:p>
    <w:p w14:paraId="6D151E4E" w14:textId="77777777" w:rsidR="00652406" w:rsidRPr="001775D9" w:rsidRDefault="00652406" w:rsidP="00AB372A">
      <w:pPr>
        <w:keepNext/>
        <w:spacing w:line="240" w:lineRule="auto"/>
        <w:rPr>
          <w:i/>
        </w:rPr>
      </w:pPr>
      <w:r w:rsidRPr="001775D9">
        <w:rPr>
          <w:i/>
        </w:rPr>
        <w:t>Clinical Response</w:t>
      </w:r>
    </w:p>
    <w:p w14:paraId="5E389543" w14:textId="77777777" w:rsidR="00652406" w:rsidRPr="001775D9" w:rsidRDefault="00652406" w:rsidP="00B61D9D">
      <w:pPr>
        <w:tabs>
          <w:tab w:val="clear" w:pos="567"/>
        </w:tabs>
        <w:spacing w:line="240" w:lineRule="auto"/>
        <w:rPr>
          <w:i/>
          <w:sz w:val="24"/>
          <w:u w:val="single"/>
        </w:rPr>
      </w:pPr>
    </w:p>
    <w:p w14:paraId="3BC32027" w14:textId="77777777" w:rsidR="00652406" w:rsidRPr="001775D9" w:rsidRDefault="00652406" w:rsidP="00B61D9D">
      <w:pPr>
        <w:tabs>
          <w:tab w:val="clear" w:pos="567"/>
        </w:tabs>
        <w:spacing w:line="240" w:lineRule="auto"/>
        <w:rPr>
          <w:bCs/>
        </w:rPr>
      </w:pPr>
      <w:r w:rsidRPr="001775D9">
        <w:rPr>
          <w:bCs/>
        </w:rPr>
        <w:t>Adalimumab significantly delayed the time to treatment failure, as compared to placebo (see figure 3, P &lt; 0.0001 from log rank test). The median time to treatment failure was 24.1 weeks for subjects treated with placebo, whereas the median time to treatment failure was not estimable for subjects treated with adalimumab because less than one-half of these subjects experienced treatment failure. Adalimumab significantly decreased the risk of treatment failure by 75% relative to placebo, as shown by the hazard ratio (HR</w:t>
      </w:r>
      <w:r w:rsidRPr="001775D9">
        <w:rPr>
          <w:szCs w:val="22"/>
        </w:rPr>
        <w:t> </w:t>
      </w:r>
      <w:r w:rsidRPr="001775D9">
        <w:rPr>
          <w:bCs/>
        </w:rPr>
        <w:t>=</w:t>
      </w:r>
      <w:r w:rsidRPr="001775D9">
        <w:rPr>
          <w:szCs w:val="22"/>
        </w:rPr>
        <w:t> </w:t>
      </w:r>
      <w:r w:rsidRPr="001775D9">
        <w:rPr>
          <w:bCs/>
        </w:rPr>
        <w:t>0.25 [95% CI: 0.12, 0.49]).</w:t>
      </w:r>
    </w:p>
    <w:p w14:paraId="47B558D3" w14:textId="77777777" w:rsidR="00652406" w:rsidRPr="001775D9" w:rsidRDefault="00652406" w:rsidP="00B61D9D">
      <w:pPr>
        <w:tabs>
          <w:tab w:val="clear" w:pos="567"/>
        </w:tabs>
        <w:spacing w:line="240" w:lineRule="auto"/>
        <w:rPr>
          <w:bCs/>
        </w:rPr>
      </w:pPr>
    </w:p>
    <w:p w14:paraId="131D7CA2" w14:textId="25E8DB6A" w:rsidR="00652406" w:rsidRPr="001775D9" w:rsidRDefault="00652406" w:rsidP="00B61D9D">
      <w:pPr>
        <w:keepNext/>
        <w:tabs>
          <w:tab w:val="clear" w:pos="567"/>
        </w:tabs>
        <w:spacing w:line="240" w:lineRule="auto"/>
        <w:rPr>
          <w:szCs w:val="22"/>
        </w:rPr>
      </w:pPr>
      <w:r w:rsidRPr="001775D9">
        <w:rPr>
          <w:b/>
          <w:szCs w:val="22"/>
        </w:rPr>
        <w:t>Figure 3</w:t>
      </w:r>
      <w:r w:rsidR="00D623AD" w:rsidRPr="001775D9">
        <w:rPr>
          <w:b/>
          <w:szCs w:val="22"/>
        </w:rPr>
        <w:t>.</w:t>
      </w:r>
      <w:r w:rsidRPr="001775D9">
        <w:rPr>
          <w:b/>
          <w:szCs w:val="22"/>
        </w:rPr>
        <w:t xml:space="preserve"> Kaplan-Meier curves summarising time to treatment failure in the paediatric uveitis study</w:t>
      </w:r>
    </w:p>
    <w:p w14:paraId="6D430E7E" w14:textId="77777777" w:rsidR="00652406" w:rsidRPr="001775D9" w:rsidRDefault="00652406" w:rsidP="003F70EF">
      <w:pPr>
        <w:keepNext/>
        <w:tabs>
          <w:tab w:val="clear" w:pos="567"/>
        </w:tabs>
        <w:autoSpaceDE w:val="0"/>
        <w:autoSpaceDN w:val="0"/>
        <w:adjustRightInd w:val="0"/>
        <w:spacing w:line="240" w:lineRule="auto"/>
        <w:rPr>
          <w:b/>
          <w:szCs w:val="22"/>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652406" w:rsidRPr="00F04F82" w14:paraId="642B0136" w14:textId="77777777" w:rsidTr="00486A05">
        <w:trPr>
          <w:cantSplit/>
          <w:trHeight w:val="3806"/>
        </w:trPr>
        <w:tc>
          <w:tcPr>
            <w:tcW w:w="468" w:type="dxa"/>
            <w:textDirection w:val="btLr"/>
            <w:vAlign w:val="bottom"/>
          </w:tcPr>
          <w:p w14:paraId="408FE817" w14:textId="77777777" w:rsidR="00652406" w:rsidRPr="00D55B59" w:rsidRDefault="00652406" w:rsidP="00486A05">
            <w:pPr>
              <w:pStyle w:val="EMEANormal"/>
              <w:keepNext/>
              <w:ind w:left="113" w:right="113"/>
              <w:jc w:val="center"/>
              <w:rPr>
                <w:b/>
                <w:szCs w:val="22"/>
                <w:lang w:val="en-GB"/>
                <w:rPrChange w:id="966" w:author="Author">
                  <w:rPr>
                    <w:b/>
                    <w:szCs w:val="22"/>
                  </w:rPr>
                </w:rPrChange>
              </w:rPr>
            </w:pPr>
            <w:r w:rsidRPr="00D55B59">
              <w:rPr>
                <w:b/>
                <w:szCs w:val="22"/>
                <w:lang w:val="en-GB"/>
                <w:rPrChange w:id="967" w:author="Author">
                  <w:rPr>
                    <w:b/>
                    <w:szCs w:val="22"/>
                  </w:rPr>
                </w:rPrChange>
              </w:rPr>
              <w:t>PROBABILITY OF FAILING TREATMENT</w:t>
            </w:r>
          </w:p>
        </w:tc>
        <w:tc>
          <w:tcPr>
            <w:tcW w:w="8820" w:type="dxa"/>
            <w:gridSpan w:val="5"/>
            <w:vAlign w:val="bottom"/>
          </w:tcPr>
          <w:p w14:paraId="6BC79EFB" w14:textId="4B72870C" w:rsidR="00652406" w:rsidRPr="00D55B59" w:rsidRDefault="00D96030" w:rsidP="00486A05">
            <w:pPr>
              <w:pStyle w:val="EMEANormal"/>
              <w:keepNext/>
              <w:rPr>
                <w:szCs w:val="22"/>
                <w:lang w:val="en-GB"/>
                <w:rPrChange w:id="968" w:author="Author">
                  <w:rPr>
                    <w:szCs w:val="22"/>
                  </w:rPr>
                </w:rPrChange>
              </w:rPr>
            </w:pPr>
            <w:r>
              <w:rPr>
                <w:szCs w:val="22"/>
                <w:lang w:val="en-GB"/>
              </w:rPr>
              <w:pict w14:anchorId="78DEE453">
                <v:shape id="Picture 9" o:spid="_x0000_i1030" type="#_x0000_t75" alt="Humira PED UV KM Curve REVISED 3" style="width:6in;height:5in;visibility:visible;mso-wrap-style:square">
                  <v:imagedata r:id="rId15" o:title="Humira PED UV KM Curve REVISED 3"/>
                </v:shape>
              </w:pict>
            </w:r>
          </w:p>
        </w:tc>
      </w:tr>
      <w:tr w:rsidR="00652406" w:rsidRPr="00F04F82" w14:paraId="512A626F" w14:textId="77777777" w:rsidTr="00486A05">
        <w:tc>
          <w:tcPr>
            <w:tcW w:w="468" w:type="dxa"/>
          </w:tcPr>
          <w:p w14:paraId="60DA6289" w14:textId="77777777" w:rsidR="00652406" w:rsidRPr="00D55B59" w:rsidRDefault="00652406" w:rsidP="00486A05">
            <w:pPr>
              <w:pStyle w:val="EMEANormal"/>
              <w:keepNext/>
              <w:rPr>
                <w:szCs w:val="22"/>
                <w:lang w:val="en-GB"/>
                <w:rPrChange w:id="969" w:author="Author">
                  <w:rPr>
                    <w:szCs w:val="22"/>
                  </w:rPr>
                </w:rPrChange>
              </w:rPr>
            </w:pPr>
          </w:p>
        </w:tc>
        <w:tc>
          <w:tcPr>
            <w:tcW w:w="8820" w:type="dxa"/>
            <w:gridSpan w:val="5"/>
          </w:tcPr>
          <w:p w14:paraId="35030D84" w14:textId="77777777" w:rsidR="00652406" w:rsidRPr="00D55B59" w:rsidRDefault="00652406" w:rsidP="00486A05">
            <w:pPr>
              <w:pStyle w:val="EMEANormal"/>
              <w:keepNext/>
              <w:jc w:val="center"/>
              <w:rPr>
                <w:b/>
                <w:szCs w:val="22"/>
                <w:lang w:val="en-GB"/>
                <w:rPrChange w:id="970" w:author="Author">
                  <w:rPr>
                    <w:b/>
                    <w:szCs w:val="22"/>
                  </w:rPr>
                </w:rPrChange>
              </w:rPr>
            </w:pPr>
            <w:r w:rsidRPr="00D55B59">
              <w:rPr>
                <w:b/>
                <w:szCs w:val="22"/>
                <w:lang w:val="en-GB"/>
                <w:rPrChange w:id="971" w:author="Author">
                  <w:rPr>
                    <w:b/>
                    <w:szCs w:val="22"/>
                  </w:rPr>
                </w:rPrChange>
              </w:rPr>
              <w:t>TIME (WEEKS)</w:t>
            </w:r>
          </w:p>
        </w:tc>
      </w:tr>
      <w:tr w:rsidR="00652406" w:rsidRPr="00F04F82" w14:paraId="6BC5CB9E" w14:textId="77777777" w:rsidTr="00486A05">
        <w:tc>
          <w:tcPr>
            <w:tcW w:w="468" w:type="dxa"/>
          </w:tcPr>
          <w:p w14:paraId="620F223A" w14:textId="77777777" w:rsidR="00652406" w:rsidRPr="00D55B59" w:rsidRDefault="00652406" w:rsidP="00486A05">
            <w:pPr>
              <w:pStyle w:val="EMEANormal"/>
              <w:keepNext/>
              <w:rPr>
                <w:szCs w:val="22"/>
                <w:lang w:val="en-GB"/>
                <w:rPrChange w:id="972" w:author="Author">
                  <w:rPr>
                    <w:szCs w:val="22"/>
                  </w:rPr>
                </w:rPrChange>
              </w:rPr>
            </w:pPr>
          </w:p>
        </w:tc>
        <w:tc>
          <w:tcPr>
            <w:tcW w:w="3510" w:type="dxa"/>
          </w:tcPr>
          <w:p w14:paraId="79A0E61B" w14:textId="77777777" w:rsidR="00652406" w:rsidRPr="00D55B59" w:rsidRDefault="00652406" w:rsidP="00486A05">
            <w:pPr>
              <w:pStyle w:val="EMEANormal"/>
              <w:keepNext/>
              <w:rPr>
                <w:szCs w:val="22"/>
                <w:lang w:val="en-GB"/>
                <w:rPrChange w:id="973" w:author="Author">
                  <w:rPr>
                    <w:szCs w:val="22"/>
                  </w:rPr>
                </w:rPrChange>
              </w:rPr>
            </w:pPr>
            <w:r w:rsidRPr="00D55B59">
              <w:rPr>
                <w:szCs w:val="22"/>
                <w:lang w:val="en-GB"/>
                <w:rPrChange w:id="974" w:author="Author">
                  <w:rPr>
                    <w:szCs w:val="22"/>
                  </w:rPr>
                </w:rPrChange>
              </w:rPr>
              <w:t>Treatment</w:t>
            </w:r>
          </w:p>
        </w:tc>
        <w:tc>
          <w:tcPr>
            <w:tcW w:w="1170" w:type="dxa"/>
            <w:vAlign w:val="bottom"/>
          </w:tcPr>
          <w:p w14:paraId="2CA88E40" w14:textId="6F1BA5FD" w:rsidR="00652406" w:rsidRPr="00D55B59" w:rsidRDefault="00D96030" w:rsidP="00486A05">
            <w:pPr>
              <w:pStyle w:val="EMEANormal"/>
              <w:keepNext/>
              <w:jc w:val="center"/>
              <w:rPr>
                <w:szCs w:val="22"/>
                <w:lang w:val="en-GB"/>
                <w:rPrChange w:id="975" w:author="Author">
                  <w:rPr>
                    <w:szCs w:val="22"/>
                  </w:rPr>
                </w:rPrChange>
              </w:rPr>
            </w:pPr>
            <w:r>
              <w:rPr>
                <w:szCs w:val="22"/>
                <w:lang w:val="en-GB"/>
              </w:rPr>
              <w:pict w14:anchorId="6B161BF7">
                <v:shape id="Picture 8" o:spid="_x0000_i1031" type="#_x0000_t75" alt="Humira PED UV KM Curve 11" style="width:36.5pt;height:10.5pt;visibility:visible;mso-wrap-style:square">
                  <v:imagedata r:id="rId16" o:title="Humira PED UV KM Curve 11"/>
                </v:shape>
              </w:pict>
            </w:r>
          </w:p>
        </w:tc>
        <w:tc>
          <w:tcPr>
            <w:tcW w:w="1350" w:type="dxa"/>
          </w:tcPr>
          <w:p w14:paraId="5965EB37" w14:textId="77777777" w:rsidR="00652406" w:rsidRPr="00D55B59" w:rsidRDefault="00652406" w:rsidP="00486A05">
            <w:pPr>
              <w:pStyle w:val="EMEANormal"/>
              <w:keepNext/>
              <w:rPr>
                <w:szCs w:val="22"/>
                <w:lang w:val="en-GB"/>
                <w:rPrChange w:id="976" w:author="Author">
                  <w:rPr>
                    <w:szCs w:val="22"/>
                  </w:rPr>
                </w:rPrChange>
              </w:rPr>
            </w:pPr>
            <w:r w:rsidRPr="00D55B59">
              <w:rPr>
                <w:szCs w:val="22"/>
                <w:lang w:val="en-GB"/>
                <w:rPrChange w:id="977" w:author="Author">
                  <w:rPr>
                    <w:szCs w:val="22"/>
                  </w:rPr>
                </w:rPrChange>
              </w:rPr>
              <w:t>Placebo</w:t>
            </w:r>
          </w:p>
        </w:tc>
        <w:tc>
          <w:tcPr>
            <w:tcW w:w="900" w:type="dxa"/>
            <w:vAlign w:val="center"/>
          </w:tcPr>
          <w:p w14:paraId="35FD7F23" w14:textId="7DBDF813" w:rsidR="00652406" w:rsidRPr="00D55B59" w:rsidRDefault="00D96030" w:rsidP="00486A05">
            <w:pPr>
              <w:pStyle w:val="EMEANormal"/>
              <w:keepNext/>
              <w:rPr>
                <w:szCs w:val="22"/>
                <w:lang w:val="en-GB"/>
                <w:rPrChange w:id="978" w:author="Author">
                  <w:rPr>
                    <w:szCs w:val="22"/>
                  </w:rPr>
                </w:rPrChange>
              </w:rPr>
            </w:pPr>
            <w:r>
              <w:rPr>
                <w:szCs w:val="22"/>
                <w:lang w:val="en-GB"/>
              </w:rPr>
              <w:pict w14:anchorId="23700912">
                <v:shape id="Picture 7" o:spid="_x0000_i1032" type="#_x0000_t75" alt="Humira PED UV KM Curve 11" style="width:35.5pt;height:5.5pt;visibility:visible;mso-wrap-style:square">
                  <v:imagedata r:id="rId17" o:title="Humira PED UV KM Curve 11"/>
                </v:shape>
              </w:pict>
            </w:r>
          </w:p>
        </w:tc>
        <w:tc>
          <w:tcPr>
            <w:tcW w:w="1890" w:type="dxa"/>
          </w:tcPr>
          <w:p w14:paraId="5903399B" w14:textId="77777777" w:rsidR="00652406" w:rsidRPr="00D55B59" w:rsidRDefault="00652406" w:rsidP="00486A05">
            <w:pPr>
              <w:pStyle w:val="EMEANormal"/>
              <w:keepNext/>
              <w:rPr>
                <w:szCs w:val="22"/>
                <w:lang w:val="en-GB"/>
                <w:rPrChange w:id="979" w:author="Author">
                  <w:rPr>
                    <w:szCs w:val="22"/>
                  </w:rPr>
                </w:rPrChange>
              </w:rPr>
            </w:pPr>
            <w:r w:rsidRPr="00D55B59">
              <w:rPr>
                <w:szCs w:val="22"/>
                <w:lang w:val="en-GB"/>
                <w:rPrChange w:id="980" w:author="Author">
                  <w:rPr>
                    <w:szCs w:val="22"/>
                  </w:rPr>
                </w:rPrChange>
              </w:rPr>
              <w:t>Adalimumab</w:t>
            </w:r>
          </w:p>
        </w:tc>
      </w:tr>
      <w:tr w:rsidR="00652406" w:rsidRPr="00F04F82" w14:paraId="755B0FE7" w14:textId="77777777" w:rsidTr="00486A05">
        <w:tc>
          <w:tcPr>
            <w:tcW w:w="468" w:type="dxa"/>
          </w:tcPr>
          <w:p w14:paraId="1E216436" w14:textId="77777777" w:rsidR="00652406" w:rsidRPr="00D55B59" w:rsidRDefault="00652406" w:rsidP="00486A05">
            <w:pPr>
              <w:pStyle w:val="EMEANormal"/>
              <w:rPr>
                <w:szCs w:val="22"/>
                <w:lang w:val="en-GB"/>
                <w:rPrChange w:id="981" w:author="Author">
                  <w:rPr>
                    <w:szCs w:val="22"/>
                  </w:rPr>
                </w:rPrChange>
              </w:rPr>
            </w:pPr>
          </w:p>
        </w:tc>
        <w:tc>
          <w:tcPr>
            <w:tcW w:w="8820" w:type="dxa"/>
            <w:gridSpan w:val="5"/>
          </w:tcPr>
          <w:p w14:paraId="020E302E" w14:textId="77777777" w:rsidR="00652406" w:rsidRPr="00D55B59" w:rsidRDefault="00652406" w:rsidP="00486A05">
            <w:pPr>
              <w:pStyle w:val="EMEANormal"/>
              <w:rPr>
                <w:szCs w:val="22"/>
                <w:lang w:val="en-GB"/>
                <w:rPrChange w:id="982" w:author="Author">
                  <w:rPr>
                    <w:szCs w:val="22"/>
                  </w:rPr>
                </w:rPrChange>
              </w:rPr>
            </w:pPr>
            <w:r w:rsidRPr="00D55B59">
              <w:rPr>
                <w:szCs w:val="22"/>
                <w:lang w:val="en-GB"/>
                <w:rPrChange w:id="983" w:author="Author">
                  <w:rPr>
                    <w:szCs w:val="22"/>
                  </w:rPr>
                </w:rPrChange>
              </w:rPr>
              <w:t>Note: P = Placebo (Number at Risk); H = Adalimumab (Number at Risk).</w:t>
            </w:r>
          </w:p>
        </w:tc>
      </w:tr>
    </w:tbl>
    <w:p w14:paraId="5683B8A8" w14:textId="77777777" w:rsidR="00E5603E" w:rsidRPr="001775D9" w:rsidRDefault="00E5603E" w:rsidP="00AB372A">
      <w:pPr>
        <w:tabs>
          <w:tab w:val="clear" w:pos="567"/>
        </w:tabs>
        <w:autoSpaceDE w:val="0"/>
        <w:autoSpaceDN w:val="0"/>
        <w:adjustRightInd w:val="0"/>
        <w:spacing w:line="240" w:lineRule="auto"/>
        <w:rPr>
          <w:color w:val="000000"/>
          <w:szCs w:val="22"/>
          <w:u w:val="single"/>
          <w:lang w:eastAsia="en-GB"/>
        </w:rPr>
      </w:pPr>
    </w:p>
    <w:p w14:paraId="00E94C06" w14:textId="653D5BC2" w:rsidR="00C42229" w:rsidRPr="001775D9" w:rsidRDefault="00C42229" w:rsidP="00AB372A">
      <w:pPr>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5.2</w:t>
      </w:r>
      <w:r w:rsidRPr="001775D9">
        <w:rPr>
          <w:b/>
          <w:bCs/>
          <w:szCs w:val="22"/>
          <w:lang w:eastAsia="en-GB"/>
        </w:rPr>
        <w:tab/>
        <w:t xml:space="preserve">Pharmacokinetic properties </w:t>
      </w:r>
    </w:p>
    <w:p w14:paraId="111631D6" w14:textId="77777777" w:rsidR="00C42229" w:rsidRPr="001775D9" w:rsidRDefault="00C42229" w:rsidP="00AB372A">
      <w:pPr>
        <w:tabs>
          <w:tab w:val="clear" w:pos="567"/>
        </w:tabs>
        <w:autoSpaceDE w:val="0"/>
        <w:autoSpaceDN w:val="0"/>
        <w:adjustRightInd w:val="0"/>
        <w:spacing w:line="240" w:lineRule="auto"/>
        <w:rPr>
          <w:szCs w:val="22"/>
          <w:lang w:eastAsia="en-GB"/>
        </w:rPr>
      </w:pPr>
    </w:p>
    <w:p w14:paraId="1B82A64D" w14:textId="77777777" w:rsidR="00C42229" w:rsidRPr="001775D9" w:rsidRDefault="00C42229" w:rsidP="00AB372A">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Absorption and distribution </w:t>
      </w:r>
    </w:p>
    <w:p w14:paraId="7E32A8DB" w14:textId="77777777" w:rsidR="00C42229" w:rsidRPr="001775D9" w:rsidRDefault="00C42229" w:rsidP="00AB372A">
      <w:pPr>
        <w:tabs>
          <w:tab w:val="clear" w:pos="567"/>
        </w:tabs>
        <w:autoSpaceDE w:val="0"/>
        <w:autoSpaceDN w:val="0"/>
        <w:adjustRightInd w:val="0"/>
        <w:spacing w:line="240" w:lineRule="auto"/>
        <w:rPr>
          <w:szCs w:val="22"/>
          <w:lang w:eastAsia="en-GB"/>
        </w:rPr>
      </w:pPr>
    </w:p>
    <w:p w14:paraId="7884C9B0" w14:textId="2A3EB490" w:rsidR="00C42229" w:rsidRPr="001775D9" w:rsidRDefault="00C42229" w:rsidP="00AB372A">
      <w:pPr>
        <w:tabs>
          <w:tab w:val="clear" w:pos="567"/>
        </w:tabs>
        <w:autoSpaceDE w:val="0"/>
        <w:autoSpaceDN w:val="0"/>
        <w:adjustRightInd w:val="0"/>
        <w:spacing w:line="240" w:lineRule="auto"/>
        <w:rPr>
          <w:color w:val="000000"/>
          <w:szCs w:val="22"/>
          <w:lang w:eastAsia="en-GB"/>
        </w:rPr>
      </w:pPr>
      <w:r w:rsidRPr="001775D9">
        <w:rPr>
          <w:szCs w:val="22"/>
          <w:lang w:eastAsia="en-GB"/>
        </w:rPr>
        <w:t>After subcutaneous administration of a single 40</w:t>
      </w:r>
      <w:r w:rsidRPr="001775D9">
        <w:rPr>
          <w:szCs w:val="22"/>
        </w:rPr>
        <w:t> </w:t>
      </w:r>
      <w:r w:rsidRPr="001775D9">
        <w:rPr>
          <w:szCs w:val="22"/>
          <w:lang w:eastAsia="en-GB"/>
        </w:rPr>
        <w:t>mg dose, absorption and distribution of adalimumab was slow, with peak serum concentrations being reached about 5 days after</w:t>
      </w:r>
      <w:r w:rsidRPr="001775D9">
        <w:rPr>
          <w:color w:val="000000"/>
          <w:szCs w:val="22"/>
          <w:lang w:eastAsia="en-GB"/>
        </w:rPr>
        <w:t xml:space="preserve"> administration. The average absolute bioavailability of adalimumab estimated from three studies </w:t>
      </w:r>
      <w:r w:rsidR="00503B55" w:rsidRPr="001775D9">
        <w:rPr>
          <w:color w:val="000000"/>
          <w:szCs w:val="22"/>
          <w:lang w:eastAsia="en-GB"/>
        </w:rPr>
        <w:t xml:space="preserve">conducted with the reference product </w:t>
      </w:r>
      <w:r w:rsidRPr="001775D9">
        <w:rPr>
          <w:color w:val="000000"/>
          <w:szCs w:val="22"/>
          <w:lang w:eastAsia="en-GB"/>
        </w:rPr>
        <w:t>following a single 40</w:t>
      </w:r>
      <w:r w:rsidRPr="001775D9">
        <w:rPr>
          <w:szCs w:val="22"/>
        </w:rPr>
        <w:t> </w:t>
      </w:r>
      <w:r w:rsidRPr="001775D9">
        <w:rPr>
          <w:color w:val="000000"/>
          <w:szCs w:val="22"/>
          <w:lang w:eastAsia="en-GB"/>
        </w:rPr>
        <w:t>mg subcutaneous dose was 64%. After single intravenous doses ranging from 0.25 to 10</w:t>
      </w:r>
      <w:r w:rsidRPr="001775D9">
        <w:rPr>
          <w:szCs w:val="22"/>
        </w:rPr>
        <w:t> </w:t>
      </w:r>
      <w:r w:rsidRPr="001775D9">
        <w:rPr>
          <w:color w:val="000000"/>
          <w:szCs w:val="22"/>
          <w:lang w:eastAsia="en-GB"/>
        </w:rPr>
        <w:t>mg/kg, concentrations were dose proportional. After doses of 0.5</w:t>
      </w:r>
      <w:r w:rsidRPr="001775D9">
        <w:rPr>
          <w:szCs w:val="22"/>
        </w:rPr>
        <w:t> </w:t>
      </w:r>
      <w:r w:rsidRPr="001775D9">
        <w:rPr>
          <w:color w:val="000000"/>
          <w:szCs w:val="22"/>
          <w:lang w:eastAsia="en-GB"/>
        </w:rPr>
        <w:t>mg/kg (~40</w:t>
      </w:r>
      <w:r w:rsidRPr="001775D9">
        <w:rPr>
          <w:szCs w:val="22"/>
        </w:rPr>
        <w:t> </w:t>
      </w:r>
      <w:r w:rsidRPr="001775D9">
        <w:rPr>
          <w:color w:val="000000"/>
          <w:szCs w:val="22"/>
          <w:lang w:eastAsia="en-GB"/>
        </w:rPr>
        <w:t>mg), clearances ranged from 11</w:t>
      </w:r>
      <w:r w:rsidR="006F7870" w:rsidRPr="001775D9">
        <w:rPr>
          <w:color w:val="000000"/>
          <w:szCs w:val="22"/>
          <w:lang w:eastAsia="en-GB"/>
        </w:rPr>
        <w:t> </w:t>
      </w:r>
      <w:r w:rsidRPr="001775D9">
        <w:rPr>
          <w:color w:val="000000"/>
          <w:szCs w:val="22"/>
          <w:lang w:eastAsia="en-GB"/>
        </w:rPr>
        <w:t>to 15</w:t>
      </w:r>
      <w:r w:rsidRPr="001775D9">
        <w:rPr>
          <w:szCs w:val="22"/>
        </w:rPr>
        <w:t> </w:t>
      </w:r>
      <w:r w:rsidRPr="001775D9">
        <w:rPr>
          <w:color w:val="000000"/>
          <w:szCs w:val="22"/>
          <w:lang w:eastAsia="en-GB"/>
        </w:rPr>
        <w:t>m</w:t>
      </w:r>
      <w:r w:rsidR="00B95AC9" w:rsidRPr="001775D9">
        <w:rPr>
          <w:color w:val="000000"/>
          <w:szCs w:val="22"/>
          <w:lang w:eastAsia="en-GB"/>
        </w:rPr>
        <w:t>L</w:t>
      </w:r>
      <w:r w:rsidRPr="001775D9">
        <w:rPr>
          <w:color w:val="000000"/>
          <w:szCs w:val="22"/>
          <w:lang w:eastAsia="en-GB"/>
        </w:rPr>
        <w:t>/hour, the distribution volume (V</w:t>
      </w:r>
      <w:r w:rsidRPr="001775D9">
        <w:rPr>
          <w:color w:val="000000"/>
          <w:szCs w:val="22"/>
          <w:vertAlign w:val="subscript"/>
          <w:lang w:eastAsia="en-GB"/>
        </w:rPr>
        <w:t>ss</w:t>
      </w:r>
      <w:r w:rsidRPr="001775D9">
        <w:rPr>
          <w:color w:val="000000"/>
          <w:szCs w:val="22"/>
          <w:lang w:eastAsia="en-GB"/>
        </w:rPr>
        <w:t>) ranged from 5 to 6</w:t>
      </w:r>
      <w:r w:rsidR="00B376BE" w:rsidRPr="001775D9">
        <w:rPr>
          <w:color w:val="000000"/>
          <w:szCs w:val="22"/>
          <w:lang w:eastAsia="en-GB"/>
        </w:rPr>
        <w:t> </w:t>
      </w:r>
      <w:r w:rsidRPr="001775D9">
        <w:rPr>
          <w:color w:val="000000"/>
          <w:szCs w:val="22"/>
          <w:lang w:eastAsia="en-GB"/>
        </w:rPr>
        <w:t xml:space="preserve">litres and the mean terminal phase half-life was approximately two weeks. Adalimumab concentrations in the synovial fluid from several rheumatoid arthritis patients ranged from 31-96% of those in serum. </w:t>
      </w:r>
    </w:p>
    <w:p w14:paraId="193A4B5E"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6C6A1450" w14:textId="7963AD8E"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Following subcutaneous administration of 40</w:t>
      </w:r>
      <w:r w:rsidRPr="001775D9">
        <w:rPr>
          <w:szCs w:val="22"/>
        </w:rPr>
        <w:t> </w:t>
      </w:r>
      <w:r w:rsidRPr="001775D9">
        <w:rPr>
          <w:color w:val="000000"/>
          <w:szCs w:val="22"/>
          <w:lang w:eastAsia="en-GB"/>
        </w:rPr>
        <w:t>mg of adalimumab every other week in adult rheumatoid arthritis (RA) patients the mean steady-state trough concentrations were approximately 5</w:t>
      </w:r>
      <w:r w:rsidRPr="001775D9">
        <w:rPr>
          <w:szCs w:val="22"/>
        </w:rPr>
        <w:t> </w:t>
      </w:r>
      <w:r w:rsidRPr="001775D9">
        <w:rPr>
          <w:color w:val="000000"/>
          <w:szCs w:val="22"/>
          <w:lang w:eastAsia="en-GB"/>
        </w:rPr>
        <w:t>μg/m</w:t>
      </w:r>
      <w:r w:rsidR="004435C9" w:rsidRPr="001775D9">
        <w:rPr>
          <w:color w:val="000000"/>
          <w:szCs w:val="22"/>
          <w:lang w:eastAsia="en-GB"/>
        </w:rPr>
        <w:t>L</w:t>
      </w:r>
      <w:r w:rsidRPr="001775D9">
        <w:rPr>
          <w:color w:val="000000"/>
          <w:szCs w:val="22"/>
          <w:lang w:eastAsia="en-GB"/>
        </w:rPr>
        <w:t xml:space="preserve"> (without concomitant methotrexate) and 8 to 9</w:t>
      </w:r>
      <w:r w:rsidRPr="001775D9">
        <w:rPr>
          <w:szCs w:val="22"/>
        </w:rPr>
        <w:t> </w:t>
      </w:r>
      <w:r w:rsidRPr="001775D9">
        <w:rPr>
          <w:color w:val="000000"/>
          <w:szCs w:val="22"/>
          <w:lang w:eastAsia="en-GB"/>
        </w:rPr>
        <w:t>μg/m</w:t>
      </w:r>
      <w:r w:rsidR="004435C9" w:rsidRPr="001775D9">
        <w:rPr>
          <w:color w:val="000000"/>
          <w:szCs w:val="22"/>
          <w:lang w:eastAsia="en-GB"/>
        </w:rPr>
        <w:t>L</w:t>
      </w:r>
      <w:r w:rsidRPr="001775D9">
        <w:rPr>
          <w:color w:val="000000"/>
          <w:szCs w:val="22"/>
          <w:lang w:eastAsia="en-GB"/>
        </w:rPr>
        <w:t xml:space="preserve"> (with concomitant methotrexate), respectively. The serum adalimumab trough levels at steady-state increased roughly proportionally with dose following 20, 40 and 80</w:t>
      </w:r>
      <w:r w:rsidRPr="001775D9">
        <w:rPr>
          <w:szCs w:val="22"/>
        </w:rPr>
        <w:t> </w:t>
      </w:r>
      <w:r w:rsidRPr="001775D9">
        <w:rPr>
          <w:color w:val="000000"/>
          <w:szCs w:val="22"/>
          <w:lang w:eastAsia="en-GB"/>
        </w:rPr>
        <w:t xml:space="preserve">mg subcutaneous dosing every other week and every week. </w:t>
      </w:r>
    </w:p>
    <w:p w14:paraId="3C9A1F9F"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7FBBF997" w14:textId="0BF7D888" w:rsidR="002E094B"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Following the administration of 24</w:t>
      </w:r>
      <w:r w:rsidRPr="001775D9">
        <w:rPr>
          <w:szCs w:val="22"/>
        </w:rPr>
        <w:t> </w:t>
      </w:r>
      <w:r w:rsidRPr="001775D9">
        <w:rPr>
          <w:color w:val="000000"/>
          <w:szCs w:val="22"/>
          <w:lang w:eastAsia="en-GB"/>
        </w:rPr>
        <w:t>mg/m</w:t>
      </w:r>
      <w:r w:rsidRPr="001775D9">
        <w:rPr>
          <w:color w:val="000000"/>
          <w:szCs w:val="22"/>
          <w:vertAlign w:val="superscript"/>
          <w:lang w:eastAsia="en-GB"/>
        </w:rPr>
        <w:t>2</w:t>
      </w:r>
      <w:r w:rsidRPr="001775D9">
        <w:rPr>
          <w:color w:val="000000"/>
          <w:szCs w:val="22"/>
          <w:lang w:eastAsia="en-GB"/>
        </w:rPr>
        <w:t xml:space="preserve"> (maximum of 40</w:t>
      </w:r>
      <w:r w:rsidRPr="001775D9">
        <w:rPr>
          <w:szCs w:val="22"/>
        </w:rPr>
        <w:t> </w:t>
      </w:r>
      <w:r w:rsidRPr="001775D9">
        <w:rPr>
          <w:color w:val="000000"/>
          <w:szCs w:val="22"/>
          <w:lang w:eastAsia="en-GB"/>
        </w:rPr>
        <w:t xml:space="preserve">mg) subcutaneously every other week to patients with polyarticular juvenile idiopathic arthritis (JIA) who were 4 to 17 years the mean trough steady-state (values measured from </w:t>
      </w:r>
      <w:r w:rsidR="00B12E05" w:rsidRPr="001775D9">
        <w:rPr>
          <w:color w:val="000000"/>
          <w:szCs w:val="22"/>
          <w:lang w:eastAsia="en-GB"/>
        </w:rPr>
        <w:t>week</w:t>
      </w:r>
      <w:r w:rsidRPr="001775D9">
        <w:rPr>
          <w:color w:val="000000"/>
          <w:szCs w:val="22"/>
          <w:lang w:eastAsia="en-GB"/>
        </w:rPr>
        <w:t xml:space="preserve"> 20 to 48) serum adalimumab concentration was 5.6</w:t>
      </w:r>
      <w:r w:rsidR="00E618E4" w:rsidRPr="001775D9">
        <w:rPr>
          <w:color w:val="000000"/>
          <w:szCs w:val="22"/>
          <w:lang w:eastAsia="en-GB"/>
        </w:rPr>
        <w:t> </w:t>
      </w:r>
      <w:r w:rsidRPr="001775D9">
        <w:rPr>
          <w:color w:val="000000"/>
          <w:szCs w:val="22"/>
          <w:lang w:eastAsia="en-GB"/>
        </w:rPr>
        <w:t>±</w:t>
      </w:r>
      <w:r w:rsidR="00E618E4" w:rsidRPr="001775D9">
        <w:rPr>
          <w:color w:val="000000"/>
          <w:szCs w:val="22"/>
          <w:lang w:eastAsia="en-GB"/>
        </w:rPr>
        <w:t> </w:t>
      </w:r>
      <w:r w:rsidRPr="001775D9">
        <w:rPr>
          <w:color w:val="000000"/>
          <w:szCs w:val="22"/>
          <w:lang w:eastAsia="en-GB"/>
        </w:rPr>
        <w:t>5.6</w:t>
      </w:r>
      <w:r w:rsidRPr="001775D9">
        <w:rPr>
          <w:szCs w:val="22"/>
        </w:rPr>
        <w:t> </w:t>
      </w:r>
      <w:r w:rsidRPr="001775D9">
        <w:rPr>
          <w:color w:val="000000"/>
          <w:szCs w:val="22"/>
          <w:lang w:eastAsia="en-GB"/>
        </w:rPr>
        <w:t>μg/mL (102% CV) for adalimumab without concomitant methotrexate and 10.9</w:t>
      </w:r>
      <w:r w:rsidR="00204DDC" w:rsidRPr="001775D9">
        <w:rPr>
          <w:szCs w:val="22"/>
          <w:lang w:eastAsia="en-GB"/>
        </w:rPr>
        <w:t> </w:t>
      </w:r>
      <w:r w:rsidRPr="001775D9">
        <w:rPr>
          <w:color w:val="000000"/>
          <w:szCs w:val="22"/>
          <w:lang w:eastAsia="en-GB"/>
        </w:rPr>
        <w:t>±</w:t>
      </w:r>
      <w:r w:rsidR="00204DDC" w:rsidRPr="001775D9">
        <w:rPr>
          <w:szCs w:val="22"/>
          <w:lang w:eastAsia="en-GB"/>
        </w:rPr>
        <w:t> </w:t>
      </w:r>
      <w:r w:rsidRPr="001775D9">
        <w:rPr>
          <w:color w:val="000000"/>
          <w:szCs w:val="22"/>
          <w:lang w:eastAsia="en-GB"/>
        </w:rPr>
        <w:t>5.2</w:t>
      </w:r>
      <w:r w:rsidRPr="001775D9">
        <w:rPr>
          <w:szCs w:val="22"/>
        </w:rPr>
        <w:t> </w:t>
      </w:r>
      <w:r w:rsidRPr="001775D9">
        <w:rPr>
          <w:color w:val="000000"/>
          <w:szCs w:val="22"/>
          <w:lang w:eastAsia="en-GB"/>
        </w:rPr>
        <w:t xml:space="preserve">μg/mL (47.7% CV) with concomitant methotrexate. </w:t>
      </w:r>
    </w:p>
    <w:p w14:paraId="69630619" w14:textId="77777777" w:rsidR="00E72FCD" w:rsidRPr="001775D9" w:rsidRDefault="00E72FCD" w:rsidP="00FB5458">
      <w:pPr>
        <w:tabs>
          <w:tab w:val="clear" w:pos="567"/>
        </w:tabs>
        <w:autoSpaceDE w:val="0"/>
        <w:autoSpaceDN w:val="0"/>
        <w:adjustRightInd w:val="0"/>
        <w:spacing w:line="240" w:lineRule="auto"/>
        <w:rPr>
          <w:color w:val="000000"/>
          <w:szCs w:val="22"/>
          <w:lang w:eastAsia="en-GB"/>
        </w:rPr>
      </w:pPr>
    </w:p>
    <w:p w14:paraId="16EDCAD2" w14:textId="592AB6A2" w:rsidR="002555C9" w:rsidRPr="001775D9" w:rsidRDefault="002555C9" w:rsidP="00FB5458">
      <w:pPr>
        <w:tabs>
          <w:tab w:val="clear" w:pos="567"/>
        </w:tabs>
        <w:autoSpaceDE w:val="0"/>
        <w:autoSpaceDN w:val="0"/>
        <w:adjustRightInd w:val="0"/>
        <w:spacing w:line="240" w:lineRule="auto"/>
        <w:rPr>
          <w:szCs w:val="22"/>
          <w:lang w:eastAsia="en-GB"/>
        </w:rPr>
      </w:pPr>
      <w:r w:rsidRPr="001775D9">
        <w:rPr>
          <w:szCs w:val="22"/>
          <w:lang w:eastAsia="en-GB"/>
        </w:rPr>
        <w:t>In patients with polyarticular JIA who were 2 to &lt;</w:t>
      </w:r>
      <w:r w:rsidR="00335E8B" w:rsidRPr="001775D9">
        <w:rPr>
          <w:szCs w:val="22"/>
          <w:lang w:eastAsia="en-GB"/>
        </w:rPr>
        <w:t> </w:t>
      </w:r>
      <w:r w:rsidRPr="001775D9">
        <w:rPr>
          <w:szCs w:val="22"/>
          <w:lang w:eastAsia="en-GB"/>
        </w:rPr>
        <w:t>4 years old or aged 4 and above weighing &lt;</w:t>
      </w:r>
      <w:r w:rsidR="00335E8B" w:rsidRPr="001775D9">
        <w:rPr>
          <w:szCs w:val="22"/>
          <w:lang w:eastAsia="en-GB"/>
        </w:rPr>
        <w:t> </w:t>
      </w:r>
      <w:r w:rsidRPr="001775D9">
        <w:rPr>
          <w:szCs w:val="22"/>
          <w:lang w:eastAsia="en-GB"/>
        </w:rPr>
        <w:t>15</w:t>
      </w:r>
      <w:r w:rsidR="00335E8B" w:rsidRPr="001775D9">
        <w:rPr>
          <w:szCs w:val="22"/>
          <w:lang w:eastAsia="en-GB"/>
        </w:rPr>
        <w:t> </w:t>
      </w:r>
      <w:r w:rsidRPr="001775D9">
        <w:rPr>
          <w:szCs w:val="22"/>
          <w:lang w:eastAsia="en-GB"/>
        </w:rPr>
        <w:t>kg dosed with adalimumab 24</w:t>
      </w:r>
      <w:r w:rsidR="00335E8B" w:rsidRPr="001775D9">
        <w:rPr>
          <w:szCs w:val="22"/>
          <w:lang w:eastAsia="en-GB"/>
        </w:rPr>
        <w:t> </w:t>
      </w:r>
      <w:r w:rsidRPr="001775D9">
        <w:rPr>
          <w:szCs w:val="22"/>
          <w:lang w:eastAsia="en-GB"/>
        </w:rPr>
        <w:t>mg/m</w:t>
      </w:r>
      <w:r w:rsidRPr="001775D9">
        <w:rPr>
          <w:szCs w:val="22"/>
          <w:vertAlign w:val="superscript"/>
          <w:lang w:eastAsia="en-GB"/>
        </w:rPr>
        <w:t>2</w:t>
      </w:r>
      <w:r w:rsidRPr="001775D9">
        <w:rPr>
          <w:szCs w:val="22"/>
          <w:lang w:eastAsia="en-GB"/>
        </w:rPr>
        <w:t>, the mean trough steady-state serum adalimumab concentrations was 6.0</w:t>
      </w:r>
      <w:r w:rsidR="00204DDC" w:rsidRPr="001775D9">
        <w:rPr>
          <w:szCs w:val="22"/>
          <w:lang w:eastAsia="en-GB"/>
        </w:rPr>
        <w:t> </w:t>
      </w:r>
      <w:r w:rsidRPr="001775D9">
        <w:rPr>
          <w:szCs w:val="22"/>
          <w:lang w:eastAsia="en-GB"/>
        </w:rPr>
        <w:t>±</w:t>
      </w:r>
      <w:r w:rsidR="00204DDC" w:rsidRPr="001775D9">
        <w:rPr>
          <w:szCs w:val="22"/>
          <w:lang w:eastAsia="en-GB"/>
        </w:rPr>
        <w:t> </w:t>
      </w:r>
      <w:r w:rsidRPr="001775D9">
        <w:rPr>
          <w:szCs w:val="22"/>
          <w:lang w:eastAsia="en-GB"/>
        </w:rPr>
        <w:t>6.1</w:t>
      </w:r>
      <w:r w:rsidR="00335E8B" w:rsidRPr="001775D9">
        <w:rPr>
          <w:szCs w:val="22"/>
          <w:lang w:eastAsia="en-GB"/>
        </w:rPr>
        <w:t> </w:t>
      </w:r>
      <w:r w:rsidRPr="001775D9">
        <w:rPr>
          <w:szCs w:val="22"/>
          <w:lang w:eastAsia="en-GB"/>
        </w:rPr>
        <w:t>µg/mL (101% CV) for adalimumab without concomitant methotrexate and 7.9</w:t>
      </w:r>
      <w:r w:rsidR="00204DDC" w:rsidRPr="001775D9">
        <w:rPr>
          <w:szCs w:val="22"/>
          <w:lang w:eastAsia="en-GB"/>
        </w:rPr>
        <w:t> </w:t>
      </w:r>
      <w:r w:rsidRPr="001775D9">
        <w:rPr>
          <w:szCs w:val="22"/>
          <w:lang w:eastAsia="en-GB"/>
        </w:rPr>
        <w:t>±</w:t>
      </w:r>
      <w:r w:rsidR="00204DDC" w:rsidRPr="001775D9">
        <w:rPr>
          <w:szCs w:val="22"/>
          <w:lang w:eastAsia="en-GB"/>
        </w:rPr>
        <w:t> </w:t>
      </w:r>
      <w:r w:rsidRPr="001775D9">
        <w:rPr>
          <w:szCs w:val="22"/>
          <w:lang w:eastAsia="en-GB"/>
        </w:rPr>
        <w:t>5.6 µg/mL (71.2% CV) with concomitant methotrexate.</w:t>
      </w:r>
    </w:p>
    <w:p w14:paraId="3B8A96AF" w14:textId="77777777" w:rsidR="00793E92" w:rsidRPr="001775D9" w:rsidRDefault="00793E92" w:rsidP="00FB5458">
      <w:pPr>
        <w:tabs>
          <w:tab w:val="clear" w:pos="567"/>
        </w:tabs>
        <w:autoSpaceDE w:val="0"/>
        <w:autoSpaceDN w:val="0"/>
        <w:adjustRightInd w:val="0"/>
        <w:spacing w:line="240" w:lineRule="auto"/>
        <w:rPr>
          <w:szCs w:val="22"/>
          <w:lang w:eastAsia="en-GB"/>
        </w:rPr>
      </w:pPr>
    </w:p>
    <w:p w14:paraId="4EC37A7C" w14:textId="7FBF2788" w:rsidR="00C42229" w:rsidRPr="001775D9" w:rsidRDefault="00793E92" w:rsidP="00FB5458">
      <w:pPr>
        <w:tabs>
          <w:tab w:val="clear" w:pos="567"/>
        </w:tabs>
        <w:autoSpaceDE w:val="0"/>
        <w:autoSpaceDN w:val="0"/>
        <w:adjustRightInd w:val="0"/>
        <w:spacing w:line="240" w:lineRule="auto"/>
        <w:rPr>
          <w:szCs w:val="22"/>
          <w:lang w:eastAsia="en-GB"/>
        </w:rPr>
      </w:pPr>
      <w:r w:rsidRPr="001775D9">
        <w:rPr>
          <w:szCs w:val="22"/>
          <w:lang w:eastAsia="en-GB"/>
        </w:rPr>
        <w:t>Following the administration of 24 mg/m</w:t>
      </w:r>
      <w:r w:rsidRPr="001775D9">
        <w:rPr>
          <w:szCs w:val="22"/>
          <w:vertAlign w:val="superscript"/>
          <w:lang w:eastAsia="en-GB"/>
        </w:rPr>
        <w:t>2</w:t>
      </w:r>
      <w:r w:rsidRPr="001775D9">
        <w:rPr>
          <w:szCs w:val="22"/>
          <w:lang w:eastAsia="en-GB"/>
        </w:rPr>
        <w:t xml:space="preserve"> (maximum of 40 mg) subcutaneously every other week to patients with enthesitis-related arthritis who were 6 to 17 years, the mean trough steady-state (values measured at week 24) serum adalimumab concentrations were 8.8</w:t>
      </w:r>
      <w:r w:rsidR="00204DDC" w:rsidRPr="001775D9">
        <w:rPr>
          <w:szCs w:val="22"/>
          <w:lang w:eastAsia="en-GB"/>
        </w:rPr>
        <w:t> </w:t>
      </w:r>
      <w:r w:rsidRPr="001775D9">
        <w:rPr>
          <w:szCs w:val="22"/>
          <w:lang w:eastAsia="en-GB"/>
        </w:rPr>
        <w:t>±</w:t>
      </w:r>
      <w:r w:rsidR="00204DDC" w:rsidRPr="001775D9">
        <w:rPr>
          <w:szCs w:val="22"/>
          <w:lang w:eastAsia="en-GB"/>
        </w:rPr>
        <w:t> </w:t>
      </w:r>
      <w:r w:rsidRPr="001775D9">
        <w:rPr>
          <w:szCs w:val="22"/>
          <w:lang w:eastAsia="en-GB"/>
        </w:rPr>
        <w:t>6.6 µg/mL for adalimumab without concomitant methotrexate and 11.8</w:t>
      </w:r>
      <w:r w:rsidR="00204DDC" w:rsidRPr="001775D9">
        <w:rPr>
          <w:szCs w:val="22"/>
          <w:lang w:eastAsia="en-GB"/>
        </w:rPr>
        <w:t> </w:t>
      </w:r>
      <w:r w:rsidRPr="001775D9">
        <w:rPr>
          <w:szCs w:val="22"/>
          <w:lang w:eastAsia="en-GB"/>
        </w:rPr>
        <w:t>±</w:t>
      </w:r>
      <w:r w:rsidR="00204DDC" w:rsidRPr="001775D9">
        <w:rPr>
          <w:szCs w:val="22"/>
          <w:lang w:eastAsia="en-GB"/>
        </w:rPr>
        <w:t> </w:t>
      </w:r>
      <w:r w:rsidRPr="001775D9">
        <w:rPr>
          <w:szCs w:val="22"/>
          <w:lang w:eastAsia="en-GB"/>
        </w:rPr>
        <w:t>4.3</w:t>
      </w:r>
      <w:r w:rsidR="006D2088" w:rsidRPr="001775D9">
        <w:rPr>
          <w:color w:val="000000"/>
          <w:szCs w:val="22"/>
        </w:rPr>
        <w:t> </w:t>
      </w:r>
      <w:r w:rsidRPr="001775D9">
        <w:rPr>
          <w:szCs w:val="22"/>
          <w:lang w:eastAsia="en-GB"/>
        </w:rPr>
        <w:t>µg/mL with concomitant methotrexate.</w:t>
      </w:r>
    </w:p>
    <w:p w14:paraId="3C3EC8C1" w14:textId="77777777" w:rsidR="00731332" w:rsidRPr="001775D9" w:rsidRDefault="00731332" w:rsidP="00FB5458">
      <w:pPr>
        <w:tabs>
          <w:tab w:val="clear" w:pos="567"/>
        </w:tabs>
        <w:autoSpaceDE w:val="0"/>
        <w:autoSpaceDN w:val="0"/>
        <w:adjustRightInd w:val="0"/>
        <w:spacing w:line="240" w:lineRule="auto"/>
        <w:rPr>
          <w:szCs w:val="22"/>
          <w:lang w:eastAsia="en-GB"/>
        </w:rPr>
      </w:pPr>
    </w:p>
    <w:p w14:paraId="4FA8688F" w14:textId="73E71209" w:rsidR="00731332" w:rsidRPr="001775D9" w:rsidRDefault="00731332" w:rsidP="00731332">
      <w:pPr>
        <w:suppressAutoHyphens/>
        <w:autoSpaceDE w:val="0"/>
        <w:autoSpaceDN w:val="0"/>
        <w:adjustRightInd w:val="0"/>
        <w:spacing w:line="240" w:lineRule="auto"/>
        <w:rPr>
          <w:rFonts w:eastAsia="Times New Roman"/>
          <w:szCs w:val="24"/>
        </w:rPr>
      </w:pPr>
      <w:r w:rsidRPr="001775D9">
        <w:rPr>
          <w:rFonts w:eastAsia="Times New Roman"/>
          <w:szCs w:val="24"/>
        </w:rPr>
        <w:t xml:space="preserve">Following subcutaneous administration of 40 mg of adalimumab every other week in adult non-radiographic </w:t>
      </w:r>
      <w:r w:rsidRPr="00D55B59">
        <w:rPr>
          <w:rFonts w:eastAsia="Times New Roman"/>
          <w:szCs w:val="24"/>
          <w:rPrChange w:id="984" w:author="Author">
            <w:rPr>
              <w:rFonts w:eastAsia="Times New Roman"/>
              <w:szCs w:val="24"/>
              <w:lang w:val="en-US"/>
            </w:rPr>
          </w:rPrChange>
        </w:rPr>
        <w:t>axial spondyloarthritis</w:t>
      </w:r>
      <w:r w:rsidRPr="001775D9">
        <w:rPr>
          <w:rFonts w:eastAsia="Times New Roman"/>
          <w:szCs w:val="24"/>
        </w:rPr>
        <w:t xml:space="preserve"> patients, the mean (±SD) trough steady-state concentration at </w:t>
      </w:r>
      <w:r w:rsidR="00647F81" w:rsidRPr="001775D9">
        <w:rPr>
          <w:rFonts w:eastAsia="Times New Roman"/>
          <w:szCs w:val="24"/>
        </w:rPr>
        <w:t>w</w:t>
      </w:r>
      <w:r w:rsidRPr="001775D9">
        <w:rPr>
          <w:rFonts w:eastAsia="Times New Roman"/>
          <w:szCs w:val="24"/>
        </w:rPr>
        <w:t>eek 68 was 8.0 </w:t>
      </w:r>
      <w:r w:rsidRPr="00D55B59">
        <w:rPr>
          <w:rFonts w:eastAsia="Times New Roman"/>
          <w:szCs w:val="24"/>
          <w:rPrChange w:id="985" w:author="Author">
            <w:rPr>
              <w:rFonts w:eastAsia="Times New Roman"/>
              <w:szCs w:val="24"/>
              <w:lang w:val="en-US"/>
            </w:rPr>
          </w:rPrChange>
        </w:rPr>
        <w:t>±</w:t>
      </w:r>
      <w:r w:rsidR="00486A05" w:rsidRPr="001775D9">
        <w:rPr>
          <w:rFonts w:eastAsia="Times New Roman"/>
          <w:szCs w:val="24"/>
        </w:rPr>
        <w:t> </w:t>
      </w:r>
      <w:r w:rsidRPr="00D55B59">
        <w:rPr>
          <w:rFonts w:eastAsia="Times New Roman"/>
          <w:szCs w:val="24"/>
          <w:rPrChange w:id="986" w:author="Author">
            <w:rPr>
              <w:rFonts w:eastAsia="Times New Roman"/>
              <w:szCs w:val="24"/>
              <w:lang w:val="en-US"/>
            </w:rPr>
          </w:rPrChange>
        </w:rPr>
        <w:t>4.6 </w:t>
      </w:r>
      <w:r w:rsidRPr="001775D9">
        <w:rPr>
          <w:rFonts w:ascii="Symbol" w:eastAsia="Times New Roman" w:hAnsi="Symbol"/>
          <w:szCs w:val="24"/>
        </w:rPr>
        <w:t></w:t>
      </w:r>
      <w:r w:rsidRPr="001775D9">
        <w:rPr>
          <w:rFonts w:eastAsia="Times New Roman"/>
          <w:szCs w:val="24"/>
        </w:rPr>
        <w:t>g/ml.</w:t>
      </w:r>
    </w:p>
    <w:p w14:paraId="0AC004A1" w14:textId="77777777" w:rsidR="00793E92" w:rsidRPr="001775D9" w:rsidRDefault="00793E92" w:rsidP="00FB5458">
      <w:pPr>
        <w:tabs>
          <w:tab w:val="clear" w:pos="567"/>
        </w:tabs>
        <w:autoSpaceDE w:val="0"/>
        <w:autoSpaceDN w:val="0"/>
        <w:adjustRightInd w:val="0"/>
        <w:spacing w:line="240" w:lineRule="auto"/>
        <w:rPr>
          <w:color w:val="000000"/>
          <w:szCs w:val="22"/>
          <w:lang w:eastAsia="en-GB"/>
        </w:rPr>
      </w:pPr>
    </w:p>
    <w:p w14:paraId="037E3D54" w14:textId="618CF8D2"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 </w:t>
      </w:r>
      <w:r w:rsidR="004970E7" w:rsidRPr="001775D9">
        <w:rPr>
          <w:color w:val="000000"/>
          <w:szCs w:val="22"/>
          <w:lang w:eastAsia="en-GB"/>
        </w:rPr>
        <w:t xml:space="preserve">adult </w:t>
      </w:r>
      <w:r w:rsidRPr="001775D9">
        <w:rPr>
          <w:color w:val="000000"/>
          <w:szCs w:val="22"/>
          <w:lang w:eastAsia="en-GB"/>
        </w:rPr>
        <w:t>patients with psoriasis, the mean steady-state trough concentration was 5</w:t>
      </w:r>
      <w:r w:rsidRPr="001775D9">
        <w:rPr>
          <w:szCs w:val="22"/>
        </w:rPr>
        <w:t> </w:t>
      </w:r>
      <w:r w:rsidRPr="001775D9">
        <w:rPr>
          <w:color w:val="000000"/>
          <w:szCs w:val="22"/>
          <w:lang w:eastAsia="en-GB"/>
        </w:rPr>
        <w:t>μg/mL during adalimumab 40</w:t>
      </w:r>
      <w:r w:rsidRPr="001775D9">
        <w:rPr>
          <w:szCs w:val="22"/>
        </w:rPr>
        <w:t> </w:t>
      </w:r>
      <w:r w:rsidRPr="001775D9">
        <w:rPr>
          <w:color w:val="000000"/>
          <w:szCs w:val="22"/>
          <w:lang w:eastAsia="en-GB"/>
        </w:rPr>
        <w:t xml:space="preserve">mg every other week monotherapy treatment. </w:t>
      </w:r>
    </w:p>
    <w:p w14:paraId="1D0372C5"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2856AC56" w14:textId="30DF41F4" w:rsidR="004970E7" w:rsidRPr="001775D9" w:rsidRDefault="004970E7" w:rsidP="00FB5458">
      <w:pPr>
        <w:tabs>
          <w:tab w:val="clear" w:pos="567"/>
        </w:tabs>
        <w:autoSpaceDE w:val="0"/>
        <w:autoSpaceDN w:val="0"/>
        <w:adjustRightInd w:val="0"/>
        <w:spacing w:line="240" w:lineRule="auto"/>
        <w:rPr>
          <w:szCs w:val="22"/>
        </w:rPr>
      </w:pPr>
      <w:r w:rsidRPr="001775D9">
        <w:rPr>
          <w:szCs w:val="22"/>
        </w:rPr>
        <w:t>Following the administration of 0.8</w:t>
      </w:r>
      <w:r w:rsidR="006C03DB" w:rsidRPr="001775D9">
        <w:rPr>
          <w:szCs w:val="22"/>
        </w:rPr>
        <w:t> </w:t>
      </w:r>
      <w:r w:rsidRPr="001775D9">
        <w:rPr>
          <w:szCs w:val="22"/>
        </w:rPr>
        <w:t>mg/kg (maximum of 40</w:t>
      </w:r>
      <w:r w:rsidR="006C03DB" w:rsidRPr="001775D9">
        <w:rPr>
          <w:szCs w:val="22"/>
        </w:rPr>
        <w:t> </w:t>
      </w:r>
      <w:r w:rsidRPr="001775D9">
        <w:rPr>
          <w:szCs w:val="22"/>
        </w:rPr>
        <w:t>mg) subcutaneously every other week to paediatric patients with chronic plaque psoriasis, the mean ± SD steady-state adalimumab trough concentration was approximately 7.4</w:t>
      </w:r>
      <w:r w:rsidR="006C03DB" w:rsidRPr="001775D9">
        <w:rPr>
          <w:szCs w:val="22"/>
        </w:rPr>
        <w:t> </w:t>
      </w:r>
      <w:r w:rsidRPr="001775D9">
        <w:rPr>
          <w:szCs w:val="22"/>
        </w:rPr>
        <w:t>±</w:t>
      </w:r>
      <w:r w:rsidR="006C03DB" w:rsidRPr="001775D9">
        <w:rPr>
          <w:szCs w:val="22"/>
        </w:rPr>
        <w:t> </w:t>
      </w:r>
      <w:r w:rsidRPr="001775D9">
        <w:rPr>
          <w:szCs w:val="22"/>
        </w:rPr>
        <w:t>5.8</w:t>
      </w:r>
      <w:r w:rsidR="006C03DB" w:rsidRPr="001775D9">
        <w:rPr>
          <w:szCs w:val="22"/>
        </w:rPr>
        <w:t> </w:t>
      </w:r>
      <w:r w:rsidRPr="001775D9">
        <w:rPr>
          <w:szCs w:val="22"/>
        </w:rPr>
        <w:t>μg/mL (79% CV).</w:t>
      </w:r>
    </w:p>
    <w:p w14:paraId="201E1EA2" w14:textId="77777777" w:rsidR="004970E7" w:rsidRPr="001775D9" w:rsidRDefault="004970E7" w:rsidP="00FB5458">
      <w:pPr>
        <w:tabs>
          <w:tab w:val="clear" w:pos="567"/>
        </w:tabs>
        <w:autoSpaceDE w:val="0"/>
        <w:autoSpaceDN w:val="0"/>
        <w:adjustRightInd w:val="0"/>
        <w:spacing w:line="240" w:lineRule="auto"/>
        <w:rPr>
          <w:color w:val="000000"/>
          <w:szCs w:val="22"/>
          <w:lang w:eastAsia="en-GB"/>
        </w:rPr>
      </w:pPr>
    </w:p>
    <w:p w14:paraId="3E89F9F4" w14:textId="5C33E730" w:rsidR="00CE145E" w:rsidRPr="001775D9" w:rsidRDefault="00CE145E" w:rsidP="00FB5458">
      <w:pPr>
        <w:tabs>
          <w:tab w:val="clear" w:pos="567"/>
        </w:tabs>
        <w:autoSpaceDE w:val="0"/>
        <w:autoSpaceDN w:val="0"/>
        <w:adjustRightInd w:val="0"/>
        <w:spacing w:line="240" w:lineRule="auto"/>
        <w:rPr>
          <w:color w:val="000000"/>
          <w:szCs w:val="22"/>
        </w:rPr>
      </w:pPr>
      <w:r w:rsidRPr="001775D9">
        <w:rPr>
          <w:color w:val="000000"/>
          <w:szCs w:val="22"/>
        </w:rPr>
        <w:t xml:space="preserve">In </w:t>
      </w:r>
      <w:r w:rsidR="00E00D06" w:rsidRPr="001775D9">
        <w:rPr>
          <w:color w:val="000000"/>
          <w:szCs w:val="22"/>
        </w:rPr>
        <w:t xml:space="preserve">adult </w:t>
      </w:r>
      <w:r w:rsidRPr="001775D9">
        <w:rPr>
          <w:color w:val="000000"/>
          <w:szCs w:val="22"/>
        </w:rPr>
        <w:t>patients with hidradenitis suppurativa, a dose of 160</w:t>
      </w:r>
      <w:r w:rsidR="00620696" w:rsidRPr="001775D9">
        <w:rPr>
          <w:color w:val="000000"/>
          <w:szCs w:val="22"/>
        </w:rPr>
        <w:t> </w:t>
      </w:r>
      <w:r w:rsidRPr="001775D9">
        <w:rPr>
          <w:color w:val="000000"/>
          <w:szCs w:val="22"/>
        </w:rPr>
        <w:t xml:space="preserve">mg </w:t>
      </w:r>
      <w:r w:rsidR="006C03DB" w:rsidRPr="001775D9">
        <w:rPr>
          <w:rFonts w:eastAsia="Times New Roman"/>
          <w:color w:val="000000"/>
          <w:szCs w:val="22"/>
        </w:rPr>
        <w:t>adalimumab</w:t>
      </w:r>
      <w:r w:rsidRPr="001775D9">
        <w:rPr>
          <w:color w:val="000000"/>
          <w:szCs w:val="22"/>
        </w:rPr>
        <w:t xml:space="preserve"> on </w:t>
      </w:r>
      <w:r w:rsidR="00B12E05" w:rsidRPr="001775D9">
        <w:rPr>
          <w:color w:val="000000"/>
          <w:szCs w:val="22"/>
          <w:lang w:eastAsia="en-GB"/>
        </w:rPr>
        <w:t>week</w:t>
      </w:r>
      <w:r w:rsidRPr="001775D9">
        <w:rPr>
          <w:color w:val="000000"/>
          <w:szCs w:val="22"/>
        </w:rPr>
        <w:t xml:space="preserve"> 0 followed by 80</w:t>
      </w:r>
      <w:r w:rsidR="00620696" w:rsidRPr="001775D9">
        <w:rPr>
          <w:color w:val="000000"/>
          <w:szCs w:val="22"/>
        </w:rPr>
        <w:t> </w:t>
      </w:r>
      <w:r w:rsidRPr="001775D9">
        <w:rPr>
          <w:color w:val="000000"/>
          <w:szCs w:val="22"/>
        </w:rPr>
        <w:t xml:space="preserve">mg on </w:t>
      </w:r>
      <w:r w:rsidR="00B12E05" w:rsidRPr="001775D9">
        <w:rPr>
          <w:color w:val="000000"/>
          <w:szCs w:val="22"/>
          <w:lang w:eastAsia="en-GB"/>
        </w:rPr>
        <w:t>week</w:t>
      </w:r>
      <w:r w:rsidRPr="001775D9">
        <w:rPr>
          <w:color w:val="000000"/>
          <w:szCs w:val="22"/>
        </w:rPr>
        <w:t xml:space="preserve"> 2 achieved serum adalimumab trough concentrations of approximately 7 to 8</w:t>
      </w:r>
      <w:r w:rsidR="00620696" w:rsidRPr="001775D9">
        <w:rPr>
          <w:color w:val="000000"/>
          <w:szCs w:val="22"/>
        </w:rPr>
        <w:t> </w:t>
      </w:r>
      <w:r w:rsidRPr="001775D9">
        <w:rPr>
          <w:color w:val="000000"/>
          <w:szCs w:val="22"/>
        </w:rPr>
        <w:t>μg/m</w:t>
      </w:r>
      <w:r w:rsidR="004435C9" w:rsidRPr="001775D9">
        <w:rPr>
          <w:color w:val="000000"/>
          <w:szCs w:val="22"/>
        </w:rPr>
        <w:t>L</w:t>
      </w:r>
      <w:r w:rsidRPr="001775D9">
        <w:rPr>
          <w:color w:val="000000"/>
          <w:szCs w:val="22"/>
        </w:rPr>
        <w:t xml:space="preserve"> at </w:t>
      </w:r>
      <w:r w:rsidR="00B12E05" w:rsidRPr="001775D9">
        <w:rPr>
          <w:color w:val="000000"/>
          <w:szCs w:val="22"/>
          <w:lang w:eastAsia="en-GB"/>
        </w:rPr>
        <w:t>week</w:t>
      </w:r>
      <w:r w:rsidRPr="001775D9">
        <w:rPr>
          <w:color w:val="000000"/>
          <w:szCs w:val="22"/>
        </w:rPr>
        <w:t xml:space="preserve"> 2 and </w:t>
      </w:r>
      <w:r w:rsidR="00B12E05" w:rsidRPr="001775D9">
        <w:rPr>
          <w:color w:val="000000"/>
          <w:szCs w:val="22"/>
          <w:lang w:eastAsia="en-GB"/>
        </w:rPr>
        <w:t>week</w:t>
      </w:r>
      <w:r w:rsidRPr="001775D9">
        <w:rPr>
          <w:color w:val="000000"/>
          <w:szCs w:val="22"/>
        </w:rPr>
        <w:t xml:space="preserve"> 4. The mean steady-state trough concentration at </w:t>
      </w:r>
      <w:r w:rsidR="00B12E05" w:rsidRPr="001775D9">
        <w:rPr>
          <w:color w:val="000000"/>
          <w:szCs w:val="22"/>
          <w:lang w:eastAsia="en-GB"/>
        </w:rPr>
        <w:t>week</w:t>
      </w:r>
      <w:r w:rsidRPr="001775D9">
        <w:rPr>
          <w:color w:val="000000"/>
          <w:szCs w:val="22"/>
        </w:rPr>
        <w:t xml:space="preserve"> 12 through </w:t>
      </w:r>
      <w:r w:rsidR="00B12E05" w:rsidRPr="001775D9">
        <w:rPr>
          <w:color w:val="000000"/>
          <w:szCs w:val="22"/>
          <w:lang w:eastAsia="en-GB"/>
        </w:rPr>
        <w:t>week</w:t>
      </w:r>
      <w:r w:rsidRPr="001775D9">
        <w:rPr>
          <w:color w:val="000000"/>
          <w:szCs w:val="22"/>
        </w:rPr>
        <w:t xml:space="preserve"> 36 were approximately 8 to 10</w:t>
      </w:r>
      <w:r w:rsidR="00620696" w:rsidRPr="001775D9">
        <w:rPr>
          <w:color w:val="000000"/>
          <w:szCs w:val="22"/>
        </w:rPr>
        <w:t> </w:t>
      </w:r>
      <w:r w:rsidRPr="001775D9">
        <w:rPr>
          <w:color w:val="000000"/>
          <w:szCs w:val="22"/>
        </w:rPr>
        <w:t>μg/m</w:t>
      </w:r>
      <w:r w:rsidR="004435C9" w:rsidRPr="001775D9">
        <w:rPr>
          <w:color w:val="000000"/>
          <w:szCs w:val="22"/>
        </w:rPr>
        <w:t>L</w:t>
      </w:r>
      <w:r w:rsidRPr="001775D9">
        <w:rPr>
          <w:color w:val="000000"/>
          <w:szCs w:val="22"/>
        </w:rPr>
        <w:t xml:space="preserve"> during adalimumab 40</w:t>
      </w:r>
      <w:r w:rsidR="00620696" w:rsidRPr="001775D9">
        <w:rPr>
          <w:color w:val="000000"/>
          <w:szCs w:val="22"/>
        </w:rPr>
        <w:t> </w:t>
      </w:r>
      <w:r w:rsidRPr="001775D9">
        <w:rPr>
          <w:color w:val="000000"/>
          <w:szCs w:val="22"/>
        </w:rPr>
        <w:t xml:space="preserve">mg every week treatment. </w:t>
      </w:r>
    </w:p>
    <w:p w14:paraId="4E46DBF5" w14:textId="77777777" w:rsidR="00F62574" w:rsidRPr="001775D9" w:rsidRDefault="00F62574" w:rsidP="00F62574">
      <w:pPr>
        <w:tabs>
          <w:tab w:val="clear" w:pos="567"/>
        </w:tabs>
        <w:autoSpaceDE w:val="0"/>
        <w:autoSpaceDN w:val="0"/>
        <w:adjustRightInd w:val="0"/>
        <w:spacing w:line="240" w:lineRule="auto"/>
        <w:rPr>
          <w:color w:val="000000"/>
          <w:szCs w:val="22"/>
        </w:rPr>
      </w:pPr>
    </w:p>
    <w:p w14:paraId="0F712970" w14:textId="77777777" w:rsidR="00CE145E" w:rsidRPr="001775D9" w:rsidRDefault="00F62574" w:rsidP="00F62574">
      <w:pPr>
        <w:tabs>
          <w:tab w:val="clear" w:pos="567"/>
        </w:tabs>
        <w:autoSpaceDE w:val="0"/>
        <w:autoSpaceDN w:val="0"/>
        <w:adjustRightInd w:val="0"/>
        <w:spacing w:line="240" w:lineRule="auto"/>
        <w:rPr>
          <w:color w:val="000000"/>
          <w:szCs w:val="22"/>
        </w:rPr>
      </w:pPr>
      <w:r w:rsidRPr="001775D9">
        <w:rPr>
          <w:color w:val="000000"/>
          <w:szCs w:val="22"/>
        </w:rPr>
        <w:t>Adalimumab exposure in adolescent HS patients was predicted using population pharmacokinetic</w:t>
      </w:r>
      <w:r w:rsidR="00CF6790" w:rsidRPr="001775D9">
        <w:rPr>
          <w:color w:val="000000"/>
          <w:szCs w:val="22"/>
        </w:rPr>
        <w:t xml:space="preserve"> </w:t>
      </w:r>
      <w:r w:rsidRPr="001775D9">
        <w:rPr>
          <w:color w:val="000000"/>
          <w:szCs w:val="22"/>
        </w:rPr>
        <w:t>modelling and simulation based on cross-indication pharmacokinetics in other paediatric patients</w:t>
      </w:r>
      <w:r w:rsidR="00CF6790" w:rsidRPr="001775D9">
        <w:rPr>
          <w:color w:val="000000"/>
          <w:szCs w:val="22"/>
        </w:rPr>
        <w:t xml:space="preserve"> </w:t>
      </w:r>
      <w:r w:rsidRPr="001775D9">
        <w:rPr>
          <w:color w:val="000000"/>
          <w:szCs w:val="22"/>
        </w:rPr>
        <w:t>(paediatric psoriasis, juvenile idiopathic arthritis, paediatric Crohn’s disease, and enthesitis-related</w:t>
      </w:r>
      <w:r w:rsidR="00CF6790" w:rsidRPr="001775D9">
        <w:rPr>
          <w:color w:val="000000"/>
          <w:szCs w:val="22"/>
        </w:rPr>
        <w:t xml:space="preserve"> </w:t>
      </w:r>
      <w:r w:rsidRPr="001775D9">
        <w:rPr>
          <w:color w:val="000000"/>
          <w:szCs w:val="22"/>
        </w:rPr>
        <w:t>arthritis). The recommended adolescent HS dosing schedule is 40</w:t>
      </w:r>
      <w:r w:rsidR="00F3748B" w:rsidRPr="001775D9">
        <w:rPr>
          <w:szCs w:val="22"/>
          <w:lang w:eastAsia="en-GB"/>
        </w:rPr>
        <w:t> </w:t>
      </w:r>
      <w:r w:rsidRPr="001775D9">
        <w:rPr>
          <w:color w:val="000000"/>
          <w:szCs w:val="22"/>
        </w:rPr>
        <w:t>mg every other week. Since exposure to adalimumab can be affected by body size, adolescents with higher body weight and inadequate response may benefit from receiving the recommended adult dose of 40</w:t>
      </w:r>
      <w:r w:rsidR="00F3748B" w:rsidRPr="001775D9">
        <w:rPr>
          <w:szCs w:val="22"/>
          <w:lang w:eastAsia="en-GB"/>
        </w:rPr>
        <w:t> </w:t>
      </w:r>
      <w:r w:rsidRPr="001775D9">
        <w:rPr>
          <w:color w:val="000000"/>
          <w:szCs w:val="22"/>
        </w:rPr>
        <w:t>mg every week.</w:t>
      </w:r>
    </w:p>
    <w:p w14:paraId="034F6297" w14:textId="77777777" w:rsidR="00F62574" w:rsidRPr="001775D9" w:rsidRDefault="00F62574" w:rsidP="00F62574">
      <w:pPr>
        <w:tabs>
          <w:tab w:val="clear" w:pos="567"/>
        </w:tabs>
        <w:autoSpaceDE w:val="0"/>
        <w:autoSpaceDN w:val="0"/>
        <w:adjustRightInd w:val="0"/>
        <w:spacing w:line="240" w:lineRule="auto"/>
        <w:rPr>
          <w:color w:val="000000"/>
        </w:rPr>
      </w:pPr>
    </w:p>
    <w:p w14:paraId="1785F77A" w14:textId="7701EFBA" w:rsidR="00C42229" w:rsidRPr="001775D9" w:rsidRDefault="00C42229" w:rsidP="00FB5458">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In patients with </w:t>
      </w:r>
      <w:r w:rsidRPr="001775D9">
        <w:rPr>
          <w:szCs w:val="22"/>
          <w:lang w:eastAsia="en-GB"/>
        </w:rPr>
        <w:t>Crohn’s disease, the loading dose of 80</w:t>
      </w:r>
      <w:r w:rsidRPr="001775D9">
        <w:rPr>
          <w:szCs w:val="22"/>
        </w:rPr>
        <w:t> </w:t>
      </w:r>
      <w:r w:rsidRPr="001775D9">
        <w:rPr>
          <w:szCs w:val="22"/>
          <w:lang w:eastAsia="en-GB"/>
        </w:rPr>
        <w:t xml:space="preserve">mg </w:t>
      </w:r>
      <w:r w:rsidR="006C03DB" w:rsidRPr="001775D9">
        <w:rPr>
          <w:rFonts w:eastAsia="Times New Roman"/>
          <w:color w:val="000000"/>
          <w:szCs w:val="22"/>
        </w:rPr>
        <w:t>adalimumab</w:t>
      </w:r>
      <w:r w:rsidRPr="001775D9">
        <w:rPr>
          <w:szCs w:val="22"/>
          <w:lang w:eastAsia="en-GB"/>
        </w:rPr>
        <w:t xml:space="preserve"> on </w:t>
      </w:r>
      <w:r w:rsidR="00B12E05" w:rsidRPr="001775D9">
        <w:rPr>
          <w:color w:val="000000"/>
          <w:szCs w:val="22"/>
          <w:lang w:eastAsia="en-GB"/>
        </w:rPr>
        <w:t>week</w:t>
      </w:r>
      <w:r w:rsidRPr="001775D9">
        <w:rPr>
          <w:szCs w:val="22"/>
          <w:lang w:eastAsia="en-GB"/>
        </w:rPr>
        <w:t xml:space="preserve"> 0 followed by 40</w:t>
      </w:r>
      <w:r w:rsidRPr="001775D9">
        <w:rPr>
          <w:szCs w:val="22"/>
        </w:rPr>
        <w:t> </w:t>
      </w:r>
      <w:r w:rsidRPr="001775D9">
        <w:rPr>
          <w:szCs w:val="22"/>
          <w:lang w:eastAsia="en-GB"/>
        </w:rPr>
        <w:t xml:space="preserve">mg </w:t>
      </w:r>
      <w:r w:rsidR="006C03DB" w:rsidRPr="001775D9">
        <w:rPr>
          <w:rFonts w:eastAsia="Times New Roman"/>
          <w:color w:val="000000"/>
          <w:szCs w:val="22"/>
        </w:rPr>
        <w:t>adalimumab</w:t>
      </w:r>
      <w:r w:rsidRPr="001775D9">
        <w:rPr>
          <w:szCs w:val="22"/>
          <w:lang w:eastAsia="en-GB"/>
        </w:rPr>
        <w:t xml:space="preserve"> on </w:t>
      </w:r>
      <w:r w:rsidR="00B12E05" w:rsidRPr="001775D9">
        <w:rPr>
          <w:color w:val="000000"/>
          <w:szCs w:val="22"/>
          <w:lang w:eastAsia="en-GB"/>
        </w:rPr>
        <w:t>week</w:t>
      </w:r>
      <w:r w:rsidR="00B12E05" w:rsidRPr="001775D9">
        <w:rPr>
          <w:szCs w:val="22"/>
          <w:lang w:eastAsia="en-GB"/>
        </w:rPr>
        <w:t xml:space="preserve"> </w:t>
      </w:r>
      <w:r w:rsidRPr="001775D9">
        <w:rPr>
          <w:szCs w:val="22"/>
          <w:lang w:eastAsia="en-GB"/>
        </w:rPr>
        <w:t>2 achieves serum adalimumab trough concentrations of approximately 5.5</w:t>
      </w:r>
      <w:r w:rsidRPr="001775D9">
        <w:rPr>
          <w:szCs w:val="22"/>
        </w:rPr>
        <w:t> </w:t>
      </w:r>
      <w:r w:rsidRPr="001775D9">
        <w:rPr>
          <w:szCs w:val="22"/>
          <w:lang w:eastAsia="en-GB"/>
        </w:rPr>
        <w:t>μg/m</w:t>
      </w:r>
      <w:r w:rsidR="004435C9" w:rsidRPr="001775D9">
        <w:rPr>
          <w:szCs w:val="22"/>
          <w:lang w:eastAsia="en-GB"/>
        </w:rPr>
        <w:t>L</w:t>
      </w:r>
      <w:r w:rsidRPr="001775D9">
        <w:rPr>
          <w:szCs w:val="22"/>
          <w:lang w:eastAsia="en-GB"/>
        </w:rPr>
        <w:t xml:space="preserve"> during the induction period. A loading dose of 160</w:t>
      </w:r>
      <w:r w:rsidRPr="001775D9">
        <w:rPr>
          <w:szCs w:val="22"/>
        </w:rPr>
        <w:t> </w:t>
      </w:r>
      <w:r w:rsidRPr="001775D9">
        <w:rPr>
          <w:szCs w:val="22"/>
          <w:lang w:eastAsia="en-GB"/>
        </w:rPr>
        <w:t xml:space="preserve">mg </w:t>
      </w:r>
      <w:r w:rsidR="005B7D32" w:rsidRPr="001775D9">
        <w:rPr>
          <w:rFonts w:eastAsia="Times New Roman"/>
          <w:color w:val="000000"/>
          <w:szCs w:val="22"/>
        </w:rPr>
        <w:t>adalimumab</w:t>
      </w:r>
      <w:r w:rsidRPr="001775D9">
        <w:rPr>
          <w:szCs w:val="22"/>
          <w:lang w:eastAsia="en-GB"/>
        </w:rPr>
        <w:t xml:space="preserve"> on </w:t>
      </w:r>
      <w:r w:rsidR="00B12E05" w:rsidRPr="001775D9">
        <w:rPr>
          <w:color w:val="000000"/>
          <w:szCs w:val="22"/>
          <w:lang w:eastAsia="en-GB"/>
        </w:rPr>
        <w:t>week</w:t>
      </w:r>
      <w:r w:rsidRPr="001775D9">
        <w:rPr>
          <w:szCs w:val="22"/>
          <w:lang w:eastAsia="en-GB"/>
        </w:rPr>
        <w:t xml:space="preserve"> 0 followed by 80</w:t>
      </w:r>
      <w:r w:rsidRPr="001775D9">
        <w:rPr>
          <w:szCs w:val="22"/>
        </w:rPr>
        <w:t> </w:t>
      </w:r>
      <w:r w:rsidRPr="001775D9">
        <w:rPr>
          <w:szCs w:val="22"/>
          <w:lang w:eastAsia="en-GB"/>
        </w:rPr>
        <w:t xml:space="preserve">mg </w:t>
      </w:r>
      <w:r w:rsidR="005B7D32" w:rsidRPr="001775D9">
        <w:rPr>
          <w:rFonts w:eastAsia="Times New Roman"/>
          <w:color w:val="000000"/>
          <w:szCs w:val="22"/>
        </w:rPr>
        <w:t>adalimumab</w:t>
      </w:r>
      <w:r w:rsidRPr="001775D9">
        <w:rPr>
          <w:szCs w:val="22"/>
          <w:lang w:eastAsia="en-GB"/>
        </w:rPr>
        <w:t xml:space="preserve"> on </w:t>
      </w:r>
      <w:r w:rsidR="00B12E05" w:rsidRPr="001775D9">
        <w:rPr>
          <w:color w:val="000000"/>
          <w:szCs w:val="22"/>
          <w:lang w:eastAsia="en-GB"/>
        </w:rPr>
        <w:t>week</w:t>
      </w:r>
      <w:r w:rsidRPr="001775D9">
        <w:rPr>
          <w:szCs w:val="22"/>
          <w:lang w:eastAsia="en-GB"/>
        </w:rPr>
        <w:t xml:space="preserve"> 2 achieves serum adalimumab trough concentrations of approximately 12</w:t>
      </w:r>
      <w:r w:rsidRPr="001775D9">
        <w:rPr>
          <w:szCs w:val="22"/>
        </w:rPr>
        <w:t> </w:t>
      </w:r>
      <w:r w:rsidRPr="001775D9">
        <w:rPr>
          <w:szCs w:val="22"/>
          <w:lang w:eastAsia="en-GB"/>
        </w:rPr>
        <w:t>μg/m</w:t>
      </w:r>
      <w:r w:rsidR="004435C9" w:rsidRPr="001775D9">
        <w:rPr>
          <w:szCs w:val="22"/>
          <w:lang w:eastAsia="en-GB"/>
        </w:rPr>
        <w:t>L</w:t>
      </w:r>
      <w:r w:rsidRPr="001775D9">
        <w:rPr>
          <w:szCs w:val="22"/>
          <w:lang w:eastAsia="en-GB"/>
        </w:rPr>
        <w:t xml:space="preserve"> during the induction period. Mean steady-state trough levels of approximately 7</w:t>
      </w:r>
      <w:r w:rsidRPr="001775D9">
        <w:rPr>
          <w:szCs w:val="22"/>
        </w:rPr>
        <w:t> </w:t>
      </w:r>
      <w:r w:rsidRPr="001775D9">
        <w:rPr>
          <w:szCs w:val="22"/>
          <w:lang w:eastAsia="en-GB"/>
        </w:rPr>
        <w:t>μg/m</w:t>
      </w:r>
      <w:r w:rsidR="004435C9" w:rsidRPr="001775D9">
        <w:rPr>
          <w:szCs w:val="22"/>
          <w:lang w:eastAsia="en-GB"/>
        </w:rPr>
        <w:t>L</w:t>
      </w:r>
      <w:r w:rsidRPr="001775D9">
        <w:rPr>
          <w:szCs w:val="22"/>
          <w:lang w:eastAsia="en-GB"/>
        </w:rPr>
        <w:t xml:space="preserve"> were observed in Crohn’s disease patients who received a maintenance dose of 40</w:t>
      </w:r>
      <w:r w:rsidRPr="001775D9">
        <w:rPr>
          <w:szCs w:val="22"/>
        </w:rPr>
        <w:t> </w:t>
      </w:r>
      <w:r w:rsidRPr="001775D9">
        <w:rPr>
          <w:szCs w:val="22"/>
          <w:lang w:eastAsia="en-GB"/>
        </w:rPr>
        <w:t xml:space="preserve">mg </w:t>
      </w:r>
      <w:r w:rsidR="005B7D32" w:rsidRPr="001775D9">
        <w:rPr>
          <w:rFonts w:eastAsia="Times New Roman"/>
          <w:color w:val="000000"/>
          <w:szCs w:val="22"/>
        </w:rPr>
        <w:t>adalimumab</w:t>
      </w:r>
      <w:r w:rsidRPr="001775D9">
        <w:rPr>
          <w:szCs w:val="22"/>
          <w:lang w:eastAsia="en-GB"/>
        </w:rPr>
        <w:t xml:space="preserve"> every other week.</w:t>
      </w:r>
    </w:p>
    <w:p w14:paraId="0973B4C7"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6EAFC47" w14:textId="2809383A"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In paediatric patients with moderate to severe CD, the open-label adalimumab induction dose was 160/80</w:t>
      </w:r>
      <w:r w:rsidRPr="001775D9">
        <w:rPr>
          <w:szCs w:val="22"/>
        </w:rPr>
        <w:t> </w:t>
      </w:r>
      <w:r w:rsidRPr="001775D9">
        <w:rPr>
          <w:szCs w:val="22"/>
          <w:lang w:eastAsia="en-GB"/>
        </w:rPr>
        <w:t>mg or 80/40</w:t>
      </w:r>
      <w:r w:rsidRPr="001775D9">
        <w:rPr>
          <w:szCs w:val="22"/>
        </w:rPr>
        <w:t> </w:t>
      </w:r>
      <w:r w:rsidRPr="001775D9">
        <w:rPr>
          <w:szCs w:val="22"/>
          <w:lang w:eastAsia="en-GB"/>
        </w:rPr>
        <w:t xml:space="preserve">mg at </w:t>
      </w:r>
      <w:r w:rsidR="00B12E05" w:rsidRPr="001775D9">
        <w:rPr>
          <w:color w:val="000000"/>
          <w:szCs w:val="22"/>
          <w:lang w:eastAsia="en-GB"/>
        </w:rPr>
        <w:t>week</w:t>
      </w:r>
      <w:r w:rsidRPr="001775D9">
        <w:rPr>
          <w:szCs w:val="22"/>
          <w:lang w:eastAsia="en-GB"/>
        </w:rPr>
        <w:t>s 0 and 2, respectively, dependent on a body weight cut-off of 40</w:t>
      </w:r>
      <w:r w:rsidRPr="001775D9">
        <w:rPr>
          <w:szCs w:val="22"/>
        </w:rPr>
        <w:t> </w:t>
      </w:r>
      <w:r w:rsidRPr="001775D9">
        <w:rPr>
          <w:szCs w:val="22"/>
          <w:lang w:eastAsia="en-GB"/>
        </w:rPr>
        <w:t xml:space="preserve">kg. At </w:t>
      </w:r>
      <w:r w:rsidR="00B12E05" w:rsidRPr="001775D9">
        <w:rPr>
          <w:color w:val="000000"/>
          <w:szCs w:val="22"/>
          <w:lang w:eastAsia="en-GB"/>
        </w:rPr>
        <w:t>week</w:t>
      </w:r>
      <w:r w:rsidRPr="001775D9">
        <w:rPr>
          <w:szCs w:val="22"/>
          <w:lang w:eastAsia="en-GB"/>
        </w:rPr>
        <w:t xml:space="preserve"> 4, patients were randomised 1:1 to either the Standard Dose (40/20</w:t>
      </w:r>
      <w:r w:rsidRPr="001775D9">
        <w:rPr>
          <w:szCs w:val="22"/>
        </w:rPr>
        <w:t> </w:t>
      </w:r>
      <w:r w:rsidRPr="001775D9">
        <w:rPr>
          <w:szCs w:val="22"/>
          <w:lang w:eastAsia="en-GB"/>
        </w:rPr>
        <w:t xml:space="preserve">mg </w:t>
      </w:r>
      <w:r w:rsidR="00126D41" w:rsidRPr="001775D9">
        <w:rPr>
          <w:szCs w:val="22"/>
          <w:lang w:eastAsia="en-GB"/>
        </w:rPr>
        <w:t>every other week</w:t>
      </w:r>
      <w:r w:rsidRPr="001775D9">
        <w:rPr>
          <w:szCs w:val="22"/>
          <w:lang w:eastAsia="en-GB"/>
        </w:rPr>
        <w:t>) or Low Dose (20/10</w:t>
      </w:r>
      <w:r w:rsidRPr="001775D9">
        <w:rPr>
          <w:szCs w:val="22"/>
        </w:rPr>
        <w:t> </w:t>
      </w:r>
      <w:r w:rsidRPr="001775D9">
        <w:rPr>
          <w:szCs w:val="22"/>
          <w:lang w:eastAsia="en-GB"/>
        </w:rPr>
        <w:t xml:space="preserve">mg </w:t>
      </w:r>
      <w:r w:rsidR="00126D41" w:rsidRPr="001775D9">
        <w:rPr>
          <w:szCs w:val="22"/>
          <w:lang w:eastAsia="en-GB"/>
        </w:rPr>
        <w:t>every other week</w:t>
      </w:r>
      <w:r w:rsidRPr="001775D9">
        <w:rPr>
          <w:szCs w:val="22"/>
          <w:lang w:eastAsia="en-GB"/>
        </w:rPr>
        <w:t xml:space="preserve">) maintenance treatment groups based on their body weight. The mean (±SD) serum adalimumab trough concentrations achieved at </w:t>
      </w:r>
      <w:r w:rsidR="00B12E05" w:rsidRPr="001775D9">
        <w:rPr>
          <w:color w:val="000000"/>
          <w:szCs w:val="22"/>
          <w:lang w:eastAsia="en-GB"/>
        </w:rPr>
        <w:t>week</w:t>
      </w:r>
      <w:r w:rsidRPr="001775D9">
        <w:rPr>
          <w:szCs w:val="22"/>
          <w:lang w:eastAsia="en-GB"/>
        </w:rPr>
        <w:t xml:space="preserve"> 4 were 15.7</w:t>
      </w:r>
      <w:r w:rsidR="006F7870" w:rsidRPr="001775D9">
        <w:rPr>
          <w:szCs w:val="22"/>
          <w:lang w:eastAsia="en-GB"/>
        </w:rPr>
        <w:t> </w:t>
      </w:r>
      <w:r w:rsidRPr="001775D9">
        <w:rPr>
          <w:szCs w:val="22"/>
          <w:lang w:eastAsia="en-GB"/>
        </w:rPr>
        <w:t>±</w:t>
      </w:r>
      <w:r w:rsidR="006F7870" w:rsidRPr="001775D9">
        <w:rPr>
          <w:szCs w:val="22"/>
          <w:lang w:eastAsia="en-GB"/>
        </w:rPr>
        <w:t> </w:t>
      </w:r>
      <w:r w:rsidRPr="001775D9">
        <w:rPr>
          <w:szCs w:val="22"/>
          <w:lang w:eastAsia="en-GB"/>
        </w:rPr>
        <w:t>6.6</w:t>
      </w:r>
      <w:r w:rsidRPr="001775D9">
        <w:rPr>
          <w:szCs w:val="22"/>
        </w:rPr>
        <w:t> </w:t>
      </w:r>
      <w:r w:rsidRPr="001775D9">
        <w:rPr>
          <w:szCs w:val="22"/>
          <w:lang w:eastAsia="en-GB"/>
        </w:rPr>
        <w:t>μg/mL for patients ≥</w:t>
      </w:r>
      <w:r w:rsidRPr="001775D9">
        <w:rPr>
          <w:szCs w:val="22"/>
        </w:rPr>
        <w:t> </w:t>
      </w:r>
      <w:r w:rsidRPr="001775D9">
        <w:rPr>
          <w:szCs w:val="22"/>
          <w:lang w:eastAsia="en-GB"/>
        </w:rPr>
        <w:t>40</w:t>
      </w:r>
      <w:r w:rsidRPr="001775D9">
        <w:rPr>
          <w:szCs w:val="22"/>
        </w:rPr>
        <w:t> </w:t>
      </w:r>
      <w:r w:rsidRPr="001775D9">
        <w:rPr>
          <w:szCs w:val="22"/>
          <w:lang w:eastAsia="en-GB"/>
        </w:rPr>
        <w:t>kg (160/80</w:t>
      </w:r>
      <w:r w:rsidRPr="001775D9">
        <w:rPr>
          <w:szCs w:val="22"/>
        </w:rPr>
        <w:t> </w:t>
      </w:r>
      <w:r w:rsidRPr="001775D9">
        <w:rPr>
          <w:szCs w:val="22"/>
          <w:lang w:eastAsia="en-GB"/>
        </w:rPr>
        <w:t>mg) and 10.6</w:t>
      </w:r>
      <w:r w:rsidR="006F7870" w:rsidRPr="001775D9">
        <w:rPr>
          <w:szCs w:val="22"/>
          <w:lang w:eastAsia="en-GB"/>
        </w:rPr>
        <w:t> </w:t>
      </w:r>
      <w:r w:rsidRPr="001775D9">
        <w:rPr>
          <w:szCs w:val="22"/>
          <w:lang w:eastAsia="en-GB"/>
        </w:rPr>
        <w:t>±</w:t>
      </w:r>
      <w:r w:rsidR="006F7870" w:rsidRPr="001775D9">
        <w:rPr>
          <w:szCs w:val="22"/>
          <w:lang w:eastAsia="en-GB"/>
        </w:rPr>
        <w:t> </w:t>
      </w:r>
      <w:r w:rsidRPr="001775D9">
        <w:rPr>
          <w:szCs w:val="22"/>
          <w:lang w:eastAsia="en-GB"/>
        </w:rPr>
        <w:t>6.1</w:t>
      </w:r>
      <w:r w:rsidRPr="001775D9">
        <w:rPr>
          <w:szCs w:val="22"/>
        </w:rPr>
        <w:t> </w:t>
      </w:r>
      <w:r w:rsidRPr="001775D9">
        <w:rPr>
          <w:szCs w:val="22"/>
          <w:lang w:eastAsia="en-GB"/>
        </w:rPr>
        <w:t>μg/mL for patients &lt;</w:t>
      </w:r>
      <w:r w:rsidRPr="001775D9">
        <w:rPr>
          <w:szCs w:val="22"/>
        </w:rPr>
        <w:t> </w:t>
      </w:r>
      <w:r w:rsidRPr="001775D9">
        <w:rPr>
          <w:szCs w:val="22"/>
          <w:lang w:eastAsia="en-GB"/>
        </w:rPr>
        <w:t>40</w:t>
      </w:r>
      <w:r w:rsidRPr="001775D9">
        <w:rPr>
          <w:szCs w:val="22"/>
        </w:rPr>
        <w:t> </w:t>
      </w:r>
      <w:r w:rsidRPr="001775D9">
        <w:rPr>
          <w:szCs w:val="22"/>
          <w:lang w:eastAsia="en-GB"/>
        </w:rPr>
        <w:t>kg (80/40</w:t>
      </w:r>
      <w:r w:rsidRPr="001775D9">
        <w:rPr>
          <w:szCs w:val="22"/>
        </w:rPr>
        <w:t> </w:t>
      </w:r>
      <w:r w:rsidRPr="001775D9">
        <w:rPr>
          <w:szCs w:val="22"/>
          <w:lang w:eastAsia="en-GB"/>
        </w:rPr>
        <w:t xml:space="preserve">mg). </w:t>
      </w:r>
    </w:p>
    <w:p w14:paraId="6FDCFC4B"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BC7B48C" w14:textId="20390851"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For patients who stayed on their randomised therapy, the mean (±SD) adalimumab trough concentrations at </w:t>
      </w:r>
      <w:r w:rsidR="00B12E05" w:rsidRPr="001775D9">
        <w:rPr>
          <w:color w:val="000000"/>
          <w:szCs w:val="22"/>
          <w:lang w:eastAsia="en-GB"/>
        </w:rPr>
        <w:t>week</w:t>
      </w:r>
      <w:r w:rsidRPr="001775D9">
        <w:rPr>
          <w:szCs w:val="22"/>
          <w:lang w:eastAsia="en-GB"/>
        </w:rPr>
        <w:t xml:space="preserve"> 52 were 9.5</w:t>
      </w:r>
      <w:r w:rsidR="006F7870" w:rsidRPr="001775D9">
        <w:rPr>
          <w:szCs w:val="22"/>
          <w:lang w:eastAsia="en-GB"/>
        </w:rPr>
        <w:t> </w:t>
      </w:r>
      <w:r w:rsidRPr="001775D9">
        <w:rPr>
          <w:szCs w:val="22"/>
          <w:lang w:eastAsia="en-GB"/>
        </w:rPr>
        <w:t>±</w:t>
      </w:r>
      <w:r w:rsidR="006F7870" w:rsidRPr="001775D9">
        <w:rPr>
          <w:szCs w:val="22"/>
          <w:lang w:eastAsia="en-GB"/>
        </w:rPr>
        <w:t> </w:t>
      </w:r>
      <w:r w:rsidRPr="001775D9">
        <w:rPr>
          <w:szCs w:val="22"/>
          <w:lang w:eastAsia="en-GB"/>
        </w:rPr>
        <w:t>5.6</w:t>
      </w:r>
      <w:r w:rsidRPr="001775D9">
        <w:rPr>
          <w:szCs w:val="22"/>
        </w:rPr>
        <w:t> </w:t>
      </w:r>
      <w:r w:rsidRPr="001775D9">
        <w:rPr>
          <w:szCs w:val="22"/>
          <w:lang w:eastAsia="en-GB"/>
        </w:rPr>
        <w:t xml:space="preserve">μg/mL for the </w:t>
      </w:r>
      <w:r w:rsidR="00B12E05" w:rsidRPr="001775D9">
        <w:rPr>
          <w:szCs w:val="22"/>
          <w:lang w:eastAsia="en-GB"/>
        </w:rPr>
        <w:t>s</w:t>
      </w:r>
      <w:r w:rsidRPr="001775D9">
        <w:rPr>
          <w:szCs w:val="22"/>
          <w:lang w:eastAsia="en-GB"/>
        </w:rPr>
        <w:t xml:space="preserve">tandard </w:t>
      </w:r>
      <w:r w:rsidR="00B12E05" w:rsidRPr="001775D9">
        <w:rPr>
          <w:szCs w:val="22"/>
          <w:lang w:eastAsia="en-GB"/>
        </w:rPr>
        <w:t>d</w:t>
      </w:r>
      <w:r w:rsidRPr="001775D9">
        <w:rPr>
          <w:szCs w:val="22"/>
          <w:lang w:eastAsia="en-GB"/>
        </w:rPr>
        <w:t>ose group and 3.5</w:t>
      </w:r>
      <w:r w:rsidR="006F7870" w:rsidRPr="001775D9">
        <w:rPr>
          <w:szCs w:val="22"/>
          <w:lang w:eastAsia="en-GB"/>
        </w:rPr>
        <w:t> </w:t>
      </w:r>
      <w:r w:rsidRPr="001775D9">
        <w:rPr>
          <w:szCs w:val="22"/>
          <w:lang w:eastAsia="en-GB"/>
        </w:rPr>
        <w:t>±</w:t>
      </w:r>
      <w:r w:rsidR="006F7870" w:rsidRPr="001775D9">
        <w:rPr>
          <w:szCs w:val="22"/>
          <w:lang w:eastAsia="en-GB"/>
        </w:rPr>
        <w:t> </w:t>
      </w:r>
      <w:r w:rsidRPr="001775D9">
        <w:rPr>
          <w:szCs w:val="22"/>
          <w:lang w:eastAsia="en-GB"/>
        </w:rPr>
        <w:t>2.2</w:t>
      </w:r>
      <w:r w:rsidRPr="001775D9">
        <w:rPr>
          <w:szCs w:val="22"/>
        </w:rPr>
        <w:t> </w:t>
      </w:r>
      <w:r w:rsidRPr="001775D9">
        <w:rPr>
          <w:szCs w:val="22"/>
          <w:lang w:eastAsia="en-GB"/>
        </w:rPr>
        <w:t xml:space="preserve">μg/mL for the </w:t>
      </w:r>
      <w:r w:rsidR="00B12E05" w:rsidRPr="001775D9">
        <w:rPr>
          <w:szCs w:val="22"/>
          <w:lang w:eastAsia="zh-TW"/>
        </w:rPr>
        <w:t>l</w:t>
      </w:r>
      <w:r w:rsidRPr="001775D9">
        <w:rPr>
          <w:szCs w:val="22"/>
          <w:lang w:eastAsia="en-GB"/>
        </w:rPr>
        <w:t xml:space="preserve">ow </w:t>
      </w:r>
      <w:r w:rsidR="00B12E05" w:rsidRPr="001775D9">
        <w:rPr>
          <w:szCs w:val="22"/>
          <w:lang w:eastAsia="zh-TW"/>
        </w:rPr>
        <w:t>d</w:t>
      </w:r>
      <w:r w:rsidRPr="001775D9">
        <w:rPr>
          <w:szCs w:val="22"/>
          <w:lang w:eastAsia="en-GB"/>
        </w:rPr>
        <w:t xml:space="preserve">ose group. The mean trough concentrations were maintained in patients who continued to receive adalimumab treatment </w:t>
      </w:r>
      <w:r w:rsidR="008D65D0" w:rsidRPr="001775D9">
        <w:rPr>
          <w:szCs w:val="22"/>
        </w:rPr>
        <w:t>every other week</w:t>
      </w:r>
      <w:r w:rsidRPr="001775D9">
        <w:rPr>
          <w:szCs w:val="22"/>
          <w:lang w:eastAsia="en-GB"/>
        </w:rPr>
        <w:t xml:space="preserve"> for 52 weeks. For patients who dose escalated from </w:t>
      </w:r>
      <w:r w:rsidR="008D65D0" w:rsidRPr="001775D9">
        <w:rPr>
          <w:szCs w:val="22"/>
        </w:rPr>
        <w:t>every other week</w:t>
      </w:r>
      <w:r w:rsidRPr="001775D9">
        <w:rPr>
          <w:szCs w:val="22"/>
          <w:lang w:eastAsia="en-GB"/>
        </w:rPr>
        <w:t xml:space="preserve"> to weekly regimen, the mean (±SD) serum concentrations of adalimumab at </w:t>
      </w:r>
      <w:r w:rsidR="00B12E05" w:rsidRPr="001775D9">
        <w:rPr>
          <w:color w:val="000000"/>
          <w:szCs w:val="22"/>
          <w:lang w:eastAsia="en-GB"/>
        </w:rPr>
        <w:t>week</w:t>
      </w:r>
      <w:r w:rsidRPr="001775D9">
        <w:rPr>
          <w:szCs w:val="22"/>
          <w:lang w:eastAsia="en-GB"/>
        </w:rPr>
        <w:t xml:space="preserve"> 52 were 15.3</w:t>
      </w:r>
      <w:r w:rsidR="006F7870" w:rsidRPr="001775D9">
        <w:rPr>
          <w:szCs w:val="22"/>
          <w:lang w:eastAsia="en-GB"/>
        </w:rPr>
        <w:t> </w:t>
      </w:r>
      <w:r w:rsidRPr="001775D9">
        <w:rPr>
          <w:szCs w:val="22"/>
          <w:lang w:eastAsia="en-GB"/>
        </w:rPr>
        <w:t>±</w:t>
      </w:r>
      <w:r w:rsidR="006F7870" w:rsidRPr="001775D9">
        <w:rPr>
          <w:szCs w:val="22"/>
          <w:lang w:eastAsia="en-GB"/>
        </w:rPr>
        <w:t> </w:t>
      </w:r>
      <w:r w:rsidRPr="001775D9">
        <w:rPr>
          <w:szCs w:val="22"/>
          <w:lang w:eastAsia="en-GB"/>
        </w:rPr>
        <w:t>11.4</w:t>
      </w:r>
      <w:r w:rsidRPr="001775D9">
        <w:rPr>
          <w:szCs w:val="22"/>
        </w:rPr>
        <w:t> </w:t>
      </w:r>
      <w:r w:rsidRPr="001775D9">
        <w:rPr>
          <w:szCs w:val="22"/>
          <w:lang w:eastAsia="en-GB"/>
        </w:rPr>
        <w:t>μg/mL (40/20</w:t>
      </w:r>
      <w:r w:rsidRPr="001775D9">
        <w:rPr>
          <w:szCs w:val="22"/>
        </w:rPr>
        <w:t> </w:t>
      </w:r>
      <w:r w:rsidRPr="001775D9">
        <w:rPr>
          <w:szCs w:val="22"/>
          <w:lang w:eastAsia="en-GB"/>
        </w:rPr>
        <w:t>mg, weekly) and 6.7</w:t>
      </w:r>
      <w:r w:rsidR="006F7870" w:rsidRPr="001775D9">
        <w:rPr>
          <w:szCs w:val="22"/>
          <w:lang w:eastAsia="en-GB"/>
        </w:rPr>
        <w:t> </w:t>
      </w:r>
      <w:r w:rsidRPr="001775D9">
        <w:rPr>
          <w:szCs w:val="22"/>
          <w:lang w:eastAsia="en-GB"/>
        </w:rPr>
        <w:t>±</w:t>
      </w:r>
      <w:r w:rsidR="006F7870" w:rsidRPr="001775D9">
        <w:rPr>
          <w:szCs w:val="22"/>
          <w:lang w:eastAsia="en-GB"/>
        </w:rPr>
        <w:t> </w:t>
      </w:r>
      <w:r w:rsidRPr="001775D9">
        <w:rPr>
          <w:szCs w:val="22"/>
          <w:lang w:eastAsia="en-GB"/>
        </w:rPr>
        <w:t>3.5</w:t>
      </w:r>
      <w:r w:rsidRPr="001775D9">
        <w:rPr>
          <w:szCs w:val="22"/>
        </w:rPr>
        <w:t> </w:t>
      </w:r>
      <w:r w:rsidRPr="001775D9">
        <w:rPr>
          <w:szCs w:val="22"/>
          <w:lang w:eastAsia="en-GB"/>
        </w:rPr>
        <w:t>μg/mL (20/10</w:t>
      </w:r>
      <w:r w:rsidRPr="001775D9">
        <w:rPr>
          <w:szCs w:val="22"/>
        </w:rPr>
        <w:t> </w:t>
      </w:r>
      <w:r w:rsidRPr="001775D9">
        <w:rPr>
          <w:szCs w:val="22"/>
          <w:lang w:eastAsia="en-GB"/>
        </w:rPr>
        <w:t xml:space="preserve">mg, weekly). </w:t>
      </w:r>
    </w:p>
    <w:p w14:paraId="07661689"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727B37AB" w14:textId="66321569" w:rsidR="008F22E1"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In patients with ulcerative colitis, a loading dose of 160</w:t>
      </w:r>
      <w:r w:rsidRPr="001775D9">
        <w:rPr>
          <w:szCs w:val="22"/>
        </w:rPr>
        <w:t> </w:t>
      </w:r>
      <w:r w:rsidRPr="001775D9">
        <w:rPr>
          <w:szCs w:val="22"/>
          <w:lang w:eastAsia="en-GB"/>
        </w:rPr>
        <w:t xml:space="preserve">mg </w:t>
      </w:r>
      <w:r w:rsidR="005B7D32" w:rsidRPr="001775D9">
        <w:rPr>
          <w:rFonts w:eastAsia="Times New Roman"/>
          <w:color w:val="000000"/>
          <w:szCs w:val="22"/>
        </w:rPr>
        <w:t>adalimumab</w:t>
      </w:r>
      <w:r w:rsidRPr="001775D9">
        <w:rPr>
          <w:szCs w:val="22"/>
          <w:lang w:eastAsia="en-GB"/>
        </w:rPr>
        <w:t xml:space="preserve"> on </w:t>
      </w:r>
      <w:r w:rsidR="00B12E05" w:rsidRPr="001775D9">
        <w:rPr>
          <w:color w:val="000000"/>
          <w:szCs w:val="22"/>
          <w:lang w:eastAsia="en-GB"/>
        </w:rPr>
        <w:t>week</w:t>
      </w:r>
      <w:r w:rsidRPr="001775D9">
        <w:rPr>
          <w:szCs w:val="22"/>
          <w:lang w:eastAsia="en-GB"/>
        </w:rPr>
        <w:t xml:space="preserve"> 0 followed by 80</w:t>
      </w:r>
      <w:r w:rsidRPr="001775D9">
        <w:rPr>
          <w:szCs w:val="22"/>
        </w:rPr>
        <w:t> </w:t>
      </w:r>
      <w:r w:rsidRPr="001775D9">
        <w:rPr>
          <w:szCs w:val="22"/>
          <w:lang w:eastAsia="en-GB"/>
        </w:rPr>
        <w:t xml:space="preserve">mg </w:t>
      </w:r>
      <w:r w:rsidR="005B7D32" w:rsidRPr="001775D9">
        <w:rPr>
          <w:rFonts w:eastAsia="Times New Roman"/>
          <w:color w:val="000000"/>
          <w:szCs w:val="22"/>
        </w:rPr>
        <w:t>adalimumab</w:t>
      </w:r>
      <w:r w:rsidRPr="001775D9">
        <w:rPr>
          <w:szCs w:val="22"/>
          <w:lang w:eastAsia="en-GB"/>
        </w:rPr>
        <w:t xml:space="preserve"> on </w:t>
      </w:r>
      <w:r w:rsidR="00B12E05" w:rsidRPr="001775D9">
        <w:rPr>
          <w:color w:val="000000"/>
          <w:szCs w:val="22"/>
          <w:lang w:eastAsia="en-GB"/>
        </w:rPr>
        <w:t>week</w:t>
      </w:r>
      <w:r w:rsidRPr="001775D9">
        <w:rPr>
          <w:szCs w:val="22"/>
          <w:lang w:eastAsia="en-GB"/>
        </w:rPr>
        <w:t xml:space="preserve"> 2 achieves serum adalimumab trough concentrations of approximately 12</w:t>
      </w:r>
      <w:r w:rsidRPr="001775D9">
        <w:rPr>
          <w:szCs w:val="22"/>
        </w:rPr>
        <w:t> </w:t>
      </w:r>
      <w:r w:rsidRPr="001775D9">
        <w:rPr>
          <w:szCs w:val="22"/>
          <w:lang w:eastAsia="en-GB"/>
        </w:rPr>
        <w:t>μg/m</w:t>
      </w:r>
      <w:r w:rsidR="004435C9" w:rsidRPr="001775D9">
        <w:rPr>
          <w:szCs w:val="22"/>
          <w:lang w:eastAsia="en-GB"/>
        </w:rPr>
        <w:t>L</w:t>
      </w:r>
      <w:r w:rsidRPr="001775D9">
        <w:rPr>
          <w:szCs w:val="22"/>
          <w:lang w:eastAsia="en-GB"/>
        </w:rPr>
        <w:t xml:space="preserve"> during the induction period. Mean steady-state trough levels of approximately 8</w:t>
      </w:r>
      <w:bookmarkStart w:id="987" w:name="_Hlk68164986"/>
      <w:r w:rsidRPr="001775D9">
        <w:rPr>
          <w:szCs w:val="22"/>
        </w:rPr>
        <w:t> </w:t>
      </w:r>
      <w:bookmarkEnd w:id="987"/>
      <w:r w:rsidRPr="001775D9">
        <w:rPr>
          <w:szCs w:val="22"/>
          <w:lang w:eastAsia="en-GB"/>
        </w:rPr>
        <w:t>μg/m</w:t>
      </w:r>
      <w:r w:rsidR="004435C9" w:rsidRPr="001775D9">
        <w:rPr>
          <w:szCs w:val="22"/>
          <w:lang w:eastAsia="en-GB"/>
        </w:rPr>
        <w:t>L</w:t>
      </w:r>
      <w:r w:rsidRPr="001775D9">
        <w:rPr>
          <w:szCs w:val="22"/>
          <w:lang w:eastAsia="en-GB"/>
        </w:rPr>
        <w:t xml:space="preserve"> were observed in ulcerative colitis patients who received a maintenance dose of 40</w:t>
      </w:r>
      <w:r w:rsidRPr="001775D9">
        <w:rPr>
          <w:szCs w:val="22"/>
        </w:rPr>
        <w:t> </w:t>
      </w:r>
      <w:r w:rsidRPr="001775D9">
        <w:rPr>
          <w:szCs w:val="22"/>
          <w:lang w:eastAsia="en-GB"/>
        </w:rPr>
        <w:t xml:space="preserve">mg </w:t>
      </w:r>
      <w:r w:rsidR="005B7D32" w:rsidRPr="001775D9">
        <w:rPr>
          <w:rFonts w:eastAsia="Times New Roman"/>
          <w:color w:val="000000"/>
          <w:szCs w:val="22"/>
        </w:rPr>
        <w:t>adalimumab</w:t>
      </w:r>
      <w:r w:rsidRPr="001775D9">
        <w:rPr>
          <w:szCs w:val="22"/>
          <w:lang w:eastAsia="en-GB"/>
        </w:rPr>
        <w:t xml:space="preserve"> every other week.</w:t>
      </w:r>
    </w:p>
    <w:p w14:paraId="7C139A45" w14:textId="083C127D" w:rsidR="00F73294" w:rsidRPr="001775D9" w:rsidRDefault="00F73294" w:rsidP="00FB5458">
      <w:pPr>
        <w:tabs>
          <w:tab w:val="clear" w:pos="567"/>
        </w:tabs>
        <w:autoSpaceDE w:val="0"/>
        <w:autoSpaceDN w:val="0"/>
        <w:adjustRightInd w:val="0"/>
        <w:spacing w:line="240" w:lineRule="auto"/>
        <w:rPr>
          <w:szCs w:val="22"/>
          <w:lang w:eastAsia="en-GB"/>
        </w:rPr>
      </w:pPr>
    </w:p>
    <w:p w14:paraId="568EE4F4" w14:textId="421B1084" w:rsidR="00B6329F" w:rsidRPr="001775D9" w:rsidRDefault="00B6329F" w:rsidP="00B6329F">
      <w:pPr>
        <w:tabs>
          <w:tab w:val="clear" w:pos="567"/>
        </w:tabs>
        <w:autoSpaceDE w:val="0"/>
        <w:autoSpaceDN w:val="0"/>
        <w:adjustRightInd w:val="0"/>
        <w:spacing w:line="240" w:lineRule="auto"/>
        <w:rPr>
          <w:szCs w:val="22"/>
          <w:lang w:eastAsia="en-GB"/>
        </w:rPr>
      </w:pPr>
      <w:r w:rsidRPr="001775D9">
        <w:rPr>
          <w:szCs w:val="22"/>
          <w:lang w:eastAsia="en-GB"/>
        </w:rPr>
        <w:t>Following the subcutaneous administration of body weight-based dosing of 0.6</w:t>
      </w:r>
      <w:r w:rsidR="00647F81" w:rsidRPr="001775D9">
        <w:rPr>
          <w:szCs w:val="22"/>
        </w:rPr>
        <w:t> </w:t>
      </w:r>
      <w:r w:rsidRPr="001775D9">
        <w:rPr>
          <w:szCs w:val="22"/>
          <w:lang w:eastAsia="en-GB"/>
        </w:rPr>
        <w:t>mg/kg (maximum of</w:t>
      </w:r>
    </w:p>
    <w:p w14:paraId="039DF152" w14:textId="51EF8542" w:rsidR="00B6329F" w:rsidRPr="001775D9" w:rsidRDefault="00B6329F" w:rsidP="00B6329F">
      <w:pPr>
        <w:tabs>
          <w:tab w:val="clear" w:pos="567"/>
        </w:tabs>
        <w:autoSpaceDE w:val="0"/>
        <w:autoSpaceDN w:val="0"/>
        <w:adjustRightInd w:val="0"/>
        <w:spacing w:line="240" w:lineRule="auto"/>
        <w:rPr>
          <w:szCs w:val="22"/>
          <w:lang w:eastAsia="en-GB"/>
        </w:rPr>
      </w:pPr>
      <w:r w:rsidRPr="001775D9">
        <w:rPr>
          <w:szCs w:val="22"/>
          <w:lang w:eastAsia="en-GB"/>
        </w:rPr>
        <w:t>40</w:t>
      </w:r>
      <w:r w:rsidR="00647F81" w:rsidRPr="001775D9">
        <w:rPr>
          <w:szCs w:val="22"/>
        </w:rPr>
        <w:t> </w:t>
      </w:r>
      <w:r w:rsidRPr="001775D9">
        <w:rPr>
          <w:szCs w:val="22"/>
          <w:lang w:eastAsia="en-GB"/>
        </w:rPr>
        <w:t>mg) every other week to paediatric patients with ulcerative colitis, the mean trough steady-state serum adalimumab concentration was 5.01</w:t>
      </w:r>
      <w:r w:rsidR="00647F81" w:rsidRPr="001775D9">
        <w:rPr>
          <w:szCs w:val="22"/>
        </w:rPr>
        <w:t> </w:t>
      </w:r>
      <w:r w:rsidRPr="001775D9">
        <w:rPr>
          <w:szCs w:val="22"/>
          <w:lang w:eastAsia="en-GB"/>
        </w:rPr>
        <w:t>±</w:t>
      </w:r>
      <w:r w:rsidR="00647F81" w:rsidRPr="001775D9">
        <w:rPr>
          <w:szCs w:val="22"/>
        </w:rPr>
        <w:t> </w:t>
      </w:r>
      <w:r w:rsidRPr="001775D9">
        <w:rPr>
          <w:szCs w:val="22"/>
          <w:lang w:eastAsia="en-GB"/>
        </w:rPr>
        <w:t>3.28</w:t>
      </w:r>
      <w:r w:rsidR="00647F81" w:rsidRPr="001775D9">
        <w:rPr>
          <w:szCs w:val="22"/>
        </w:rPr>
        <w:t> </w:t>
      </w:r>
      <w:r w:rsidRPr="001775D9">
        <w:rPr>
          <w:szCs w:val="22"/>
          <w:lang w:eastAsia="en-GB"/>
        </w:rPr>
        <w:t xml:space="preserve">μg/ml at </w:t>
      </w:r>
      <w:r w:rsidR="00647F81" w:rsidRPr="001775D9">
        <w:rPr>
          <w:szCs w:val="22"/>
          <w:lang w:eastAsia="en-GB"/>
        </w:rPr>
        <w:t>w</w:t>
      </w:r>
      <w:r w:rsidRPr="001775D9">
        <w:rPr>
          <w:szCs w:val="22"/>
          <w:lang w:eastAsia="en-GB"/>
        </w:rPr>
        <w:t>eek 52. For patients who received 0.6</w:t>
      </w:r>
      <w:r w:rsidR="00326A4F" w:rsidRPr="001775D9">
        <w:rPr>
          <w:szCs w:val="22"/>
          <w:lang w:eastAsia="en-GB"/>
        </w:rPr>
        <w:t> </w:t>
      </w:r>
      <w:r w:rsidRPr="001775D9">
        <w:rPr>
          <w:szCs w:val="22"/>
          <w:lang w:eastAsia="en-GB"/>
        </w:rPr>
        <w:t>mg/kg (maximum of 40</w:t>
      </w:r>
      <w:r w:rsidR="00647F81" w:rsidRPr="001775D9">
        <w:rPr>
          <w:szCs w:val="22"/>
        </w:rPr>
        <w:t> </w:t>
      </w:r>
      <w:r w:rsidRPr="001775D9">
        <w:rPr>
          <w:szCs w:val="22"/>
          <w:lang w:eastAsia="en-GB"/>
        </w:rPr>
        <w:t>mg) every week, the mean (±SD) trough steady-state serum adalimumab concentration was 15.7</w:t>
      </w:r>
      <w:r w:rsidR="00647F81" w:rsidRPr="001775D9">
        <w:rPr>
          <w:szCs w:val="22"/>
        </w:rPr>
        <w:t> </w:t>
      </w:r>
      <w:r w:rsidRPr="001775D9">
        <w:rPr>
          <w:szCs w:val="22"/>
          <w:lang w:eastAsia="en-GB"/>
        </w:rPr>
        <w:t>±</w:t>
      </w:r>
      <w:r w:rsidR="00647F81" w:rsidRPr="001775D9">
        <w:rPr>
          <w:szCs w:val="22"/>
        </w:rPr>
        <w:t> </w:t>
      </w:r>
      <w:r w:rsidRPr="001775D9">
        <w:rPr>
          <w:szCs w:val="22"/>
          <w:lang w:eastAsia="en-GB"/>
        </w:rPr>
        <w:t>5.60</w:t>
      </w:r>
      <w:r w:rsidR="00647F81" w:rsidRPr="001775D9">
        <w:rPr>
          <w:szCs w:val="22"/>
        </w:rPr>
        <w:t> </w:t>
      </w:r>
      <w:r w:rsidRPr="001775D9">
        <w:rPr>
          <w:szCs w:val="22"/>
          <w:lang w:eastAsia="en-GB"/>
        </w:rPr>
        <w:t xml:space="preserve">μg/ml at </w:t>
      </w:r>
      <w:r w:rsidR="00647F81" w:rsidRPr="001775D9">
        <w:rPr>
          <w:szCs w:val="22"/>
          <w:lang w:eastAsia="en-GB"/>
        </w:rPr>
        <w:t>w</w:t>
      </w:r>
      <w:r w:rsidRPr="001775D9">
        <w:rPr>
          <w:szCs w:val="22"/>
          <w:lang w:eastAsia="en-GB"/>
        </w:rPr>
        <w:t>eek 52.</w:t>
      </w:r>
    </w:p>
    <w:p w14:paraId="236C2E61" w14:textId="77777777" w:rsidR="00B6329F" w:rsidRPr="001775D9" w:rsidRDefault="00B6329F" w:rsidP="00FB5458">
      <w:pPr>
        <w:tabs>
          <w:tab w:val="clear" w:pos="567"/>
        </w:tabs>
        <w:autoSpaceDE w:val="0"/>
        <w:autoSpaceDN w:val="0"/>
        <w:adjustRightInd w:val="0"/>
        <w:spacing w:line="240" w:lineRule="auto"/>
        <w:rPr>
          <w:szCs w:val="22"/>
          <w:lang w:eastAsia="en-GB"/>
        </w:rPr>
      </w:pPr>
    </w:p>
    <w:p w14:paraId="171252B6" w14:textId="23F956D3" w:rsidR="00F73294" w:rsidRPr="001775D9" w:rsidRDefault="00F73294" w:rsidP="00FB5458">
      <w:pPr>
        <w:tabs>
          <w:tab w:val="clear" w:pos="567"/>
        </w:tabs>
        <w:autoSpaceDE w:val="0"/>
        <w:autoSpaceDN w:val="0"/>
        <w:adjustRightInd w:val="0"/>
        <w:spacing w:line="240" w:lineRule="auto"/>
        <w:rPr>
          <w:szCs w:val="22"/>
          <w:lang w:eastAsia="en-GB"/>
        </w:rPr>
      </w:pPr>
      <w:r w:rsidRPr="001775D9">
        <w:rPr>
          <w:szCs w:val="22"/>
          <w:lang w:eastAsia="en-GB"/>
        </w:rPr>
        <w:t xml:space="preserve">In </w:t>
      </w:r>
      <w:r w:rsidR="0073045F" w:rsidRPr="001775D9">
        <w:rPr>
          <w:szCs w:val="22"/>
          <w:lang w:eastAsia="en-GB"/>
        </w:rPr>
        <w:t xml:space="preserve">adult </w:t>
      </w:r>
      <w:r w:rsidRPr="001775D9">
        <w:rPr>
          <w:szCs w:val="22"/>
          <w:lang w:eastAsia="en-GB"/>
        </w:rPr>
        <w:t>patients with uveitis, a loading dose of 80 mg adalimumab on week 0 followed by 40 mg adalimumab every other week starting at week 1, resulted in mean steady-state concentrations of approximately 8 to 10 μg/mL.</w:t>
      </w:r>
    </w:p>
    <w:p w14:paraId="34FBDD85"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3D6E0325" w14:textId="77777777" w:rsidR="00216FB9" w:rsidRPr="001775D9" w:rsidRDefault="00F62574" w:rsidP="00F62574">
      <w:pPr>
        <w:tabs>
          <w:tab w:val="clear" w:pos="567"/>
        </w:tabs>
        <w:autoSpaceDE w:val="0"/>
        <w:autoSpaceDN w:val="0"/>
        <w:adjustRightInd w:val="0"/>
        <w:spacing w:line="240" w:lineRule="auto"/>
        <w:rPr>
          <w:szCs w:val="22"/>
          <w:lang w:eastAsia="en-GB"/>
        </w:rPr>
      </w:pPr>
      <w:r w:rsidRPr="001775D9">
        <w:rPr>
          <w:szCs w:val="22"/>
          <w:lang w:eastAsia="en-GB"/>
        </w:rPr>
        <w:t>Adalimumab exposure in paediatric uveitis patients was predicted using population pharmacokinetic</w:t>
      </w:r>
      <w:r w:rsidR="00CF6790" w:rsidRPr="001775D9">
        <w:rPr>
          <w:szCs w:val="22"/>
          <w:lang w:eastAsia="en-GB"/>
        </w:rPr>
        <w:t xml:space="preserve"> </w:t>
      </w:r>
      <w:r w:rsidRPr="001775D9">
        <w:rPr>
          <w:szCs w:val="22"/>
          <w:lang w:eastAsia="en-GB"/>
        </w:rPr>
        <w:t>modelling and simulation based on cross-indication pharmacokinetics in other paediatric patients</w:t>
      </w:r>
      <w:r w:rsidR="00CF6790" w:rsidRPr="001775D9">
        <w:rPr>
          <w:szCs w:val="22"/>
          <w:lang w:eastAsia="en-GB"/>
        </w:rPr>
        <w:t xml:space="preserve"> </w:t>
      </w:r>
      <w:r w:rsidRPr="001775D9">
        <w:rPr>
          <w:szCs w:val="22"/>
          <w:lang w:eastAsia="en-GB"/>
        </w:rPr>
        <w:t>(paediatric psoriasis, juvenile idiopathic arthritis, paediatric Crohn’s disease, and enthesitis-related arthritis). No clinical exposure data are available on the use of a loading dose in children &lt;</w:t>
      </w:r>
      <w:r w:rsidR="00F3748B" w:rsidRPr="001775D9">
        <w:rPr>
          <w:szCs w:val="22"/>
          <w:lang w:eastAsia="en-GB"/>
        </w:rPr>
        <w:t> </w:t>
      </w:r>
      <w:r w:rsidRPr="001775D9">
        <w:rPr>
          <w:szCs w:val="22"/>
          <w:lang w:eastAsia="en-GB"/>
        </w:rPr>
        <w:t>6 years. The predicted exposures indicate that in the absence of methotrexate, a loading dose may lead to an initial increase in systemic exposure.</w:t>
      </w:r>
    </w:p>
    <w:p w14:paraId="407B7563"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5B5333BA" w14:textId="66D49DCA" w:rsidR="00216FB9" w:rsidRPr="001775D9" w:rsidRDefault="00216FB9" w:rsidP="00FB5458">
      <w:pPr>
        <w:tabs>
          <w:tab w:val="clear" w:pos="567"/>
        </w:tabs>
        <w:autoSpaceDE w:val="0"/>
        <w:autoSpaceDN w:val="0"/>
        <w:adjustRightInd w:val="0"/>
        <w:spacing w:line="240" w:lineRule="auto"/>
        <w:rPr>
          <w:szCs w:val="22"/>
          <w:lang w:eastAsia="en-GB"/>
        </w:rPr>
      </w:pPr>
      <w:r w:rsidRPr="001775D9">
        <w:rPr>
          <w:szCs w:val="22"/>
          <w:lang w:eastAsia="en-GB"/>
        </w:rPr>
        <w:t>Population pharmacokinetic and pharmacokinetic/pharmacodynamic modelling and simulation predicted comparable adalimumab exposure and efficacy in patients treated with 80 mg every other week when compared with 40 mg every week (including adult patients with RA, HS, UC, CD or Ps, patients with adolescent HS, and paediatric patients ≥ 40 kg with CD</w:t>
      </w:r>
      <w:r w:rsidR="00B6329F" w:rsidRPr="001775D9">
        <w:rPr>
          <w:szCs w:val="22"/>
          <w:lang w:eastAsia="en-GB"/>
        </w:rPr>
        <w:t xml:space="preserve"> and UC</w:t>
      </w:r>
      <w:r w:rsidRPr="001775D9">
        <w:rPr>
          <w:szCs w:val="22"/>
          <w:lang w:eastAsia="en-GB"/>
        </w:rPr>
        <w:t>).</w:t>
      </w:r>
    </w:p>
    <w:p w14:paraId="21F43B77"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319A165A" w14:textId="77777777" w:rsidR="00F62574" w:rsidRPr="001775D9" w:rsidRDefault="00F62574" w:rsidP="00F62574">
      <w:pPr>
        <w:tabs>
          <w:tab w:val="clear" w:pos="567"/>
        </w:tabs>
        <w:autoSpaceDE w:val="0"/>
        <w:autoSpaceDN w:val="0"/>
        <w:adjustRightInd w:val="0"/>
        <w:spacing w:line="240" w:lineRule="auto"/>
        <w:rPr>
          <w:szCs w:val="22"/>
          <w:u w:val="single"/>
          <w:lang w:eastAsia="en-GB"/>
        </w:rPr>
      </w:pPr>
      <w:r w:rsidRPr="001775D9">
        <w:rPr>
          <w:szCs w:val="22"/>
          <w:u w:val="single"/>
          <w:lang w:eastAsia="en-GB"/>
        </w:rPr>
        <w:t>Exposure-response relationship in paediatric population</w:t>
      </w:r>
    </w:p>
    <w:p w14:paraId="7F585787"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7B22D844" w14:textId="34CE5F10" w:rsidR="00F62574" w:rsidRPr="001775D9" w:rsidRDefault="00F62574" w:rsidP="00F62574">
      <w:pPr>
        <w:tabs>
          <w:tab w:val="clear" w:pos="567"/>
        </w:tabs>
        <w:autoSpaceDE w:val="0"/>
        <w:autoSpaceDN w:val="0"/>
        <w:adjustRightInd w:val="0"/>
        <w:spacing w:line="240" w:lineRule="auto"/>
        <w:rPr>
          <w:szCs w:val="22"/>
          <w:lang w:eastAsia="en-GB"/>
        </w:rPr>
      </w:pPr>
      <w:r w:rsidRPr="001775D9">
        <w:rPr>
          <w:szCs w:val="22"/>
          <w:lang w:eastAsia="en-GB"/>
        </w:rPr>
        <w:t>On the basis of clinical trial data in patients with JIA (pJIA and ERA), an exposure-response relationship was established between plasma concentrations and PedACR 50 response. The apparent adalimumab plasma concentration that produces half the maximum probability of PedACR 50 response (EC50) was 3</w:t>
      </w:r>
      <w:r w:rsidR="00F3748B" w:rsidRPr="001775D9">
        <w:rPr>
          <w:szCs w:val="22"/>
          <w:lang w:eastAsia="en-GB"/>
        </w:rPr>
        <w:t> </w:t>
      </w:r>
      <w:r w:rsidRPr="001775D9">
        <w:rPr>
          <w:szCs w:val="22"/>
          <w:lang w:eastAsia="en-GB"/>
        </w:rPr>
        <w:t>μg/ml (95% CI: 1-6</w:t>
      </w:r>
      <w:r w:rsidR="00CF6790" w:rsidRPr="001775D9">
        <w:rPr>
          <w:szCs w:val="22"/>
        </w:rPr>
        <w:t> </w:t>
      </w:r>
      <w:r w:rsidRPr="001775D9">
        <w:rPr>
          <w:szCs w:val="22"/>
          <w:lang w:eastAsia="en-GB"/>
        </w:rPr>
        <w:t>μg/ml).</w:t>
      </w:r>
    </w:p>
    <w:p w14:paraId="02CF9D38"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71CF3233" w14:textId="60D50B23" w:rsidR="00F62574" w:rsidRPr="001775D9" w:rsidRDefault="00F62574" w:rsidP="00DE5FB8">
      <w:pPr>
        <w:tabs>
          <w:tab w:val="clear" w:pos="567"/>
        </w:tabs>
        <w:autoSpaceDE w:val="0"/>
        <w:autoSpaceDN w:val="0"/>
        <w:adjustRightInd w:val="0"/>
        <w:spacing w:line="240" w:lineRule="auto"/>
        <w:rPr>
          <w:szCs w:val="22"/>
          <w:lang w:eastAsia="en-GB"/>
        </w:rPr>
      </w:pPr>
      <w:r w:rsidRPr="001775D9">
        <w:rPr>
          <w:szCs w:val="22"/>
          <w:lang w:eastAsia="en-GB"/>
        </w:rPr>
        <w:t>Exposure-response relationships between adalimumab concentration and efficacy in paediatric patients with severe chronic plaque psoriasis were established for PASI 75 and PGA clear or minimal,</w:t>
      </w:r>
      <w:r w:rsidR="00CF6790" w:rsidRPr="001775D9">
        <w:rPr>
          <w:szCs w:val="22"/>
          <w:lang w:eastAsia="en-GB"/>
        </w:rPr>
        <w:t xml:space="preserve"> </w:t>
      </w:r>
      <w:r w:rsidRPr="001775D9">
        <w:rPr>
          <w:szCs w:val="22"/>
          <w:lang w:eastAsia="en-GB"/>
        </w:rPr>
        <w:t>respectively. PASI 75 and PGA clear or minimal increased with increasing adalimumab concentrations, both with a similar apparent EC50 of approximately 4.5</w:t>
      </w:r>
      <w:r w:rsidR="00F3748B" w:rsidRPr="001775D9">
        <w:rPr>
          <w:szCs w:val="22"/>
          <w:lang w:eastAsia="en-GB"/>
        </w:rPr>
        <w:t> </w:t>
      </w:r>
      <w:r w:rsidRPr="001775D9">
        <w:rPr>
          <w:szCs w:val="22"/>
          <w:lang w:eastAsia="en-GB"/>
        </w:rPr>
        <w:t>μg/mL (95% CI 0.4-47.6 and 1.9-10.5, respectively).</w:t>
      </w:r>
    </w:p>
    <w:p w14:paraId="34C5CBF6" w14:textId="77777777" w:rsidR="00F62574" w:rsidRPr="001775D9" w:rsidRDefault="00F62574" w:rsidP="00F62574">
      <w:pPr>
        <w:keepNext/>
        <w:tabs>
          <w:tab w:val="clear" w:pos="567"/>
        </w:tabs>
        <w:autoSpaceDE w:val="0"/>
        <w:autoSpaceDN w:val="0"/>
        <w:adjustRightInd w:val="0"/>
        <w:spacing w:line="240" w:lineRule="auto"/>
        <w:rPr>
          <w:szCs w:val="22"/>
          <w:lang w:eastAsia="en-GB"/>
        </w:rPr>
      </w:pPr>
    </w:p>
    <w:p w14:paraId="232E6978" w14:textId="77777777" w:rsidR="00C42229" w:rsidRPr="001775D9" w:rsidRDefault="00C42229" w:rsidP="00F62574">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Elimination </w:t>
      </w:r>
    </w:p>
    <w:p w14:paraId="4690F6E9"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425D2C13" w14:textId="546479C0"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Population pharmacokinetic analyses with data from over 1,300 RA patients revealed a trend toward higher apparent clearance of adalimumab with increasing body weight. After adjustment for weight differences, gender and age appeared to have a minimal effect on adalimumab clearance. The serum levels of free adalimumab (not bound to anti-adalimumab antibodies, AAA) were observed to be lower in patients with measurable AAA. </w:t>
      </w:r>
    </w:p>
    <w:p w14:paraId="0B70B02B" w14:textId="77777777" w:rsidR="005B7D32" w:rsidRPr="001775D9" w:rsidRDefault="005B7D32" w:rsidP="00FB5458">
      <w:pPr>
        <w:tabs>
          <w:tab w:val="clear" w:pos="567"/>
        </w:tabs>
        <w:autoSpaceDE w:val="0"/>
        <w:autoSpaceDN w:val="0"/>
        <w:adjustRightInd w:val="0"/>
        <w:spacing w:line="240" w:lineRule="auto"/>
        <w:rPr>
          <w:szCs w:val="22"/>
          <w:u w:val="single"/>
          <w:lang w:eastAsia="en-GB"/>
        </w:rPr>
      </w:pPr>
    </w:p>
    <w:p w14:paraId="7D231E3C" w14:textId="77777777" w:rsidR="00C42229" w:rsidRPr="001775D9" w:rsidRDefault="00C42229"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Hepatic or renal impairment </w:t>
      </w:r>
    </w:p>
    <w:p w14:paraId="474BE1F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4529092A" w14:textId="77777777" w:rsidR="00C42229" w:rsidRPr="001775D9" w:rsidRDefault="004C1415" w:rsidP="00FB5458">
      <w:pPr>
        <w:tabs>
          <w:tab w:val="clear" w:pos="567"/>
        </w:tabs>
        <w:autoSpaceDE w:val="0"/>
        <w:autoSpaceDN w:val="0"/>
        <w:adjustRightInd w:val="0"/>
        <w:spacing w:line="240" w:lineRule="auto"/>
        <w:rPr>
          <w:szCs w:val="22"/>
          <w:lang w:eastAsia="en-GB"/>
        </w:rPr>
      </w:pPr>
      <w:r w:rsidRPr="001775D9">
        <w:rPr>
          <w:szCs w:val="22"/>
          <w:lang w:eastAsia="en-GB"/>
        </w:rPr>
        <w:t>Adalimum</w:t>
      </w:r>
      <w:r w:rsidR="00BC4286" w:rsidRPr="001775D9">
        <w:rPr>
          <w:szCs w:val="22"/>
          <w:lang w:eastAsia="en-GB"/>
        </w:rPr>
        <w:t>ab</w:t>
      </w:r>
      <w:r w:rsidR="00C42229" w:rsidRPr="001775D9">
        <w:rPr>
          <w:szCs w:val="22"/>
          <w:lang w:eastAsia="en-GB"/>
        </w:rPr>
        <w:t xml:space="preserve"> </w:t>
      </w:r>
      <w:r w:rsidR="00F80CD8" w:rsidRPr="001775D9">
        <w:rPr>
          <w:szCs w:val="22"/>
          <w:lang w:eastAsia="en-GB"/>
        </w:rPr>
        <w:t xml:space="preserve">has </w:t>
      </w:r>
      <w:r w:rsidR="00C42229" w:rsidRPr="001775D9">
        <w:rPr>
          <w:szCs w:val="22"/>
          <w:lang w:eastAsia="en-GB"/>
        </w:rPr>
        <w:t xml:space="preserve">not been </w:t>
      </w:r>
      <w:r w:rsidR="002D5BA6" w:rsidRPr="001775D9">
        <w:rPr>
          <w:szCs w:val="22"/>
          <w:lang w:eastAsia="en-GB"/>
        </w:rPr>
        <w:t>studied in</w:t>
      </w:r>
      <w:r w:rsidR="00C42229" w:rsidRPr="001775D9">
        <w:rPr>
          <w:szCs w:val="22"/>
          <w:lang w:eastAsia="en-GB"/>
        </w:rPr>
        <w:t xml:space="preserve"> patients with hepatic or renal impairment</w:t>
      </w:r>
      <w:r w:rsidR="00B12E05" w:rsidRPr="001775D9">
        <w:rPr>
          <w:szCs w:val="22"/>
          <w:lang w:eastAsia="en-GB"/>
        </w:rPr>
        <w:t>.</w:t>
      </w:r>
      <w:r w:rsidR="00C42229" w:rsidRPr="001775D9">
        <w:rPr>
          <w:szCs w:val="22"/>
          <w:lang w:eastAsia="en-GB"/>
        </w:rPr>
        <w:t xml:space="preserve"> </w:t>
      </w:r>
    </w:p>
    <w:p w14:paraId="525165D3" w14:textId="77777777" w:rsidR="00BC4286" w:rsidRPr="001775D9" w:rsidRDefault="00BC4286" w:rsidP="00FB5458">
      <w:pPr>
        <w:tabs>
          <w:tab w:val="clear" w:pos="567"/>
        </w:tabs>
        <w:autoSpaceDE w:val="0"/>
        <w:autoSpaceDN w:val="0"/>
        <w:adjustRightInd w:val="0"/>
        <w:spacing w:line="240" w:lineRule="auto"/>
        <w:rPr>
          <w:szCs w:val="22"/>
          <w:lang w:eastAsia="en-GB"/>
        </w:rPr>
      </w:pPr>
    </w:p>
    <w:p w14:paraId="17BC3A21" w14:textId="372D655D" w:rsidR="00C42229" w:rsidRPr="001775D9" w:rsidRDefault="00C42229" w:rsidP="00B61D9D">
      <w:pPr>
        <w:keepNext/>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5.3</w:t>
      </w:r>
      <w:r w:rsidRPr="001775D9">
        <w:rPr>
          <w:b/>
          <w:bCs/>
          <w:szCs w:val="22"/>
          <w:lang w:eastAsia="en-GB"/>
        </w:rPr>
        <w:tab/>
        <w:t xml:space="preserve">Preclinical safety data </w:t>
      </w:r>
    </w:p>
    <w:p w14:paraId="2B0EBBBD" w14:textId="77777777" w:rsidR="00C42229" w:rsidRPr="001775D9" w:rsidRDefault="00C42229" w:rsidP="008024E2">
      <w:pPr>
        <w:keepNext/>
        <w:suppressLineNumbers/>
        <w:spacing w:line="240" w:lineRule="auto"/>
        <w:rPr>
          <w:b/>
          <w:i/>
          <w:caps/>
          <w:szCs w:val="22"/>
        </w:rPr>
      </w:pPr>
    </w:p>
    <w:p w14:paraId="6F44FA87" w14:textId="77777777" w:rsidR="00C42229" w:rsidRPr="001775D9" w:rsidRDefault="00C42229" w:rsidP="008024E2">
      <w:pPr>
        <w:keepNext/>
        <w:tabs>
          <w:tab w:val="clear" w:pos="567"/>
        </w:tabs>
        <w:autoSpaceDE w:val="0"/>
        <w:autoSpaceDN w:val="0"/>
        <w:adjustRightInd w:val="0"/>
        <w:spacing w:line="240" w:lineRule="auto"/>
        <w:rPr>
          <w:szCs w:val="22"/>
          <w:lang w:eastAsia="en-GB"/>
        </w:rPr>
      </w:pPr>
      <w:r w:rsidRPr="001775D9">
        <w:rPr>
          <w:szCs w:val="22"/>
          <w:lang w:eastAsia="en-GB"/>
        </w:rPr>
        <w:t xml:space="preserve">Non-clinical data reveal no special hazard for humans based on studies of single dose toxicity, repeated dose toxicity, and genotoxicity. </w:t>
      </w:r>
    </w:p>
    <w:p w14:paraId="444C0813"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33DEA4A2" w14:textId="77777777" w:rsidR="00C42229" w:rsidRPr="001775D9" w:rsidRDefault="00C42229" w:rsidP="00FB5458">
      <w:pPr>
        <w:tabs>
          <w:tab w:val="clear" w:pos="567"/>
        </w:tabs>
        <w:autoSpaceDE w:val="0"/>
        <w:autoSpaceDN w:val="0"/>
        <w:adjustRightInd w:val="0"/>
        <w:spacing w:line="240" w:lineRule="auto"/>
        <w:rPr>
          <w:szCs w:val="22"/>
          <w:lang w:eastAsia="en-GB"/>
        </w:rPr>
      </w:pPr>
      <w:r w:rsidRPr="001775D9">
        <w:rPr>
          <w:szCs w:val="22"/>
          <w:lang w:eastAsia="en-GB"/>
        </w:rPr>
        <w:t xml:space="preserve">An embryo-foetal developmental toxicity/perinatal developmental study has been performed in </w:t>
      </w:r>
      <w:r w:rsidR="009C697E" w:rsidRPr="001775D9">
        <w:rPr>
          <w:szCs w:val="22"/>
          <w:lang w:eastAsia="en-GB"/>
        </w:rPr>
        <w:t>C</w:t>
      </w:r>
      <w:r w:rsidRPr="001775D9">
        <w:rPr>
          <w:szCs w:val="22"/>
          <w:lang w:eastAsia="en-GB"/>
        </w:rPr>
        <w:t>ynomolgus monkeys at 0, 30 and 100</w:t>
      </w:r>
      <w:r w:rsidRPr="001775D9">
        <w:rPr>
          <w:szCs w:val="22"/>
        </w:rPr>
        <w:t> </w:t>
      </w:r>
      <w:r w:rsidRPr="001775D9">
        <w:rPr>
          <w:szCs w:val="22"/>
          <w:lang w:eastAsia="en-GB"/>
        </w:rPr>
        <w:t>mg/kg (9-17</w:t>
      </w:r>
      <w:r w:rsidRPr="001775D9">
        <w:rPr>
          <w:szCs w:val="22"/>
        </w:rPr>
        <w:t> </w:t>
      </w:r>
      <w:r w:rsidRPr="001775D9">
        <w:rPr>
          <w:szCs w:val="22"/>
          <w:lang w:eastAsia="en-GB"/>
        </w:rPr>
        <w:t>monkeys/group) and has revealed no evidence of harm to the foetuses due to adalimumab. Neither carcinogenicity studies, nor a standard assessment of fertility and postnatal toxicity, were performed with adalimumab due to the lack of appropriate models for an antibody with limited cross-reactivity to rodent TNF and to the development of neutrali</w:t>
      </w:r>
      <w:r w:rsidR="00B12E05" w:rsidRPr="001775D9">
        <w:rPr>
          <w:szCs w:val="22"/>
          <w:lang w:eastAsia="en-GB"/>
        </w:rPr>
        <w:t>s</w:t>
      </w:r>
      <w:r w:rsidRPr="001775D9">
        <w:rPr>
          <w:szCs w:val="22"/>
          <w:lang w:eastAsia="en-GB"/>
        </w:rPr>
        <w:t xml:space="preserve">ing antibodies in rodents. </w:t>
      </w:r>
    </w:p>
    <w:p w14:paraId="7F5EAB9F" w14:textId="77777777" w:rsidR="00E618E4" w:rsidRPr="001775D9" w:rsidRDefault="00E618E4" w:rsidP="00FB5458">
      <w:pPr>
        <w:tabs>
          <w:tab w:val="clear" w:pos="567"/>
        </w:tabs>
        <w:autoSpaceDE w:val="0"/>
        <w:autoSpaceDN w:val="0"/>
        <w:adjustRightInd w:val="0"/>
        <w:spacing w:line="240" w:lineRule="auto"/>
        <w:rPr>
          <w:b/>
          <w:bCs/>
          <w:szCs w:val="22"/>
          <w:lang w:eastAsia="zh-TW"/>
        </w:rPr>
      </w:pPr>
    </w:p>
    <w:p w14:paraId="6DEAEB9E" w14:textId="77777777" w:rsidR="006F7870" w:rsidRPr="001775D9" w:rsidRDefault="006F7870" w:rsidP="00FB5458">
      <w:pPr>
        <w:tabs>
          <w:tab w:val="clear" w:pos="567"/>
        </w:tabs>
        <w:autoSpaceDE w:val="0"/>
        <w:autoSpaceDN w:val="0"/>
        <w:adjustRightInd w:val="0"/>
        <w:spacing w:line="240" w:lineRule="auto"/>
        <w:rPr>
          <w:b/>
          <w:bCs/>
          <w:szCs w:val="22"/>
          <w:lang w:eastAsia="zh-TW"/>
        </w:rPr>
      </w:pPr>
    </w:p>
    <w:p w14:paraId="685E0C26" w14:textId="31DC48DA" w:rsidR="00C42229" w:rsidRPr="001775D9" w:rsidRDefault="00C42229" w:rsidP="00B61D9D">
      <w:pPr>
        <w:keepNext/>
        <w:tabs>
          <w:tab w:val="clear" w:pos="567"/>
        </w:tabs>
        <w:autoSpaceDE w:val="0"/>
        <w:autoSpaceDN w:val="0"/>
        <w:adjustRightInd w:val="0"/>
        <w:spacing w:line="240" w:lineRule="auto"/>
        <w:ind w:left="567" w:hanging="567"/>
        <w:rPr>
          <w:szCs w:val="22"/>
          <w:lang w:eastAsia="en-GB"/>
        </w:rPr>
      </w:pPr>
      <w:r w:rsidRPr="001775D9">
        <w:rPr>
          <w:b/>
          <w:bCs/>
          <w:szCs w:val="22"/>
          <w:lang w:eastAsia="en-GB"/>
        </w:rPr>
        <w:t>6.</w:t>
      </w:r>
      <w:r w:rsidRPr="001775D9">
        <w:rPr>
          <w:b/>
          <w:bCs/>
          <w:szCs w:val="22"/>
          <w:lang w:eastAsia="en-GB"/>
        </w:rPr>
        <w:tab/>
        <w:t xml:space="preserve">PHARMACEUTICAL PARTICULARS </w:t>
      </w:r>
    </w:p>
    <w:p w14:paraId="7B050277" w14:textId="77777777" w:rsidR="00C42229" w:rsidRPr="001775D9" w:rsidRDefault="00C42229" w:rsidP="00FB5458">
      <w:pPr>
        <w:keepNext/>
        <w:tabs>
          <w:tab w:val="clear" w:pos="567"/>
        </w:tabs>
        <w:autoSpaceDE w:val="0"/>
        <w:autoSpaceDN w:val="0"/>
        <w:adjustRightInd w:val="0"/>
        <w:spacing w:line="240" w:lineRule="auto"/>
        <w:rPr>
          <w:b/>
          <w:bCs/>
          <w:szCs w:val="22"/>
          <w:lang w:eastAsia="en-GB"/>
        </w:rPr>
      </w:pPr>
    </w:p>
    <w:p w14:paraId="0A3C8851" w14:textId="2B596E3F" w:rsidR="00C42229" w:rsidRPr="001775D9" w:rsidRDefault="00C42229" w:rsidP="00B61D9D">
      <w:pPr>
        <w:keepNext/>
        <w:tabs>
          <w:tab w:val="clear" w:pos="567"/>
        </w:tabs>
        <w:autoSpaceDE w:val="0"/>
        <w:autoSpaceDN w:val="0"/>
        <w:adjustRightInd w:val="0"/>
        <w:spacing w:line="240" w:lineRule="auto"/>
        <w:ind w:left="567" w:hanging="567"/>
        <w:rPr>
          <w:szCs w:val="22"/>
          <w:lang w:eastAsia="en-GB"/>
        </w:rPr>
      </w:pPr>
      <w:r w:rsidRPr="001775D9">
        <w:rPr>
          <w:b/>
          <w:bCs/>
          <w:szCs w:val="22"/>
          <w:lang w:eastAsia="en-GB"/>
        </w:rPr>
        <w:t>6.1</w:t>
      </w:r>
      <w:r w:rsidRPr="001775D9">
        <w:rPr>
          <w:b/>
          <w:bCs/>
          <w:szCs w:val="22"/>
          <w:lang w:eastAsia="en-GB"/>
        </w:rPr>
        <w:tab/>
        <w:t xml:space="preserve">List of excipients </w:t>
      </w:r>
    </w:p>
    <w:p w14:paraId="4F465348"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57F5D269" w14:textId="77777777" w:rsidR="005B7D32" w:rsidRPr="001775D9" w:rsidRDefault="005B7D32"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Glacial acetic acid </w:t>
      </w:r>
    </w:p>
    <w:p w14:paraId="0C95FD82" w14:textId="77777777" w:rsidR="005B7D32" w:rsidRPr="001775D9" w:rsidRDefault="005B7D32" w:rsidP="00FB5458">
      <w:pPr>
        <w:keepNext/>
        <w:tabs>
          <w:tab w:val="clear" w:pos="567"/>
        </w:tabs>
        <w:autoSpaceDE w:val="0"/>
        <w:autoSpaceDN w:val="0"/>
        <w:adjustRightInd w:val="0"/>
        <w:spacing w:line="240" w:lineRule="auto"/>
        <w:rPr>
          <w:szCs w:val="22"/>
          <w:lang w:eastAsia="en-GB"/>
        </w:rPr>
      </w:pPr>
      <w:r w:rsidRPr="001775D9">
        <w:rPr>
          <w:szCs w:val="22"/>
          <w:lang w:eastAsia="en-GB"/>
        </w:rPr>
        <w:t xml:space="preserve">Sucrose </w:t>
      </w:r>
    </w:p>
    <w:p w14:paraId="712B2543" w14:textId="77777777" w:rsidR="005B7D32" w:rsidRPr="001775D9" w:rsidRDefault="005B7D32" w:rsidP="00FB5458">
      <w:pPr>
        <w:keepNext/>
        <w:tabs>
          <w:tab w:val="clear" w:pos="567"/>
        </w:tabs>
        <w:autoSpaceDE w:val="0"/>
        <w:autoSpaceDN w:val="0"/>
        <w:adjustRightInd w:val="0"/>
        <w:spacing w:line="240" w:lineRule="auto"/>
        <w:rPr>
          <w:szCs w:val="22"/>
          <w:lang w:eastAsia="en-GB"/>
        </w:rPr>
      </w:pPr>
      <w:r w:rsidRPr="001775D9">
        <w:rPr>
          <w:szCs w:val="22"/>
          <w:lang w:eastAsia="en-GB"/>
        </w:rPr>
        <w:t>Polysorbate 80</w:t>
      </w:r>
    </w:p>
    <w:p w14:paraId="1F416EA8" w14:textId="77777777" w:rsidR="005B7D32" w:rsidRPr="001775D9" w:rsidRDefault="005B7D32" w:rsidP="00FB5458">
      <w:pPr>
        <w:keepNext/>
        <w:tabs>
          <w:tab w:val="clear" w:pos="567"/>
        </w:tabs>
        <w:autoSpaceDE w:val="0"/>
        <w:autoSpaceDN w:val="0"/>
        <w:adjustRightInd w:val="0"/>
        <w:spacing w:line="240" w:lineRule="auto"/>
        <w:rPr>
          <w:szCs w:val="22"/>
          <w:lang w:eastAsia="en-GB"/>
        </w:rPr>
      </w:pPr>
      <w:r w:rsidRPr="001775D9">
        <w:rPr>
          <w:szCs w:val="22"/>
          <w:lang w:eastAsia="en-GB"/>
        </w:rPr>
        <w:t>Sodium hydroxide</w:t>
      </w:r>
      <w:r w:rsidR="005420A9" w:rsidRPr="001775D9">
        <w:rPr>
          <w:szCs w:val="22"/>
          <w:lang w:eastAsia="en-GB"/>
        </w:rPr>
        <w:t xml:space="preserve"> (for pH adjustment)</w:t>
      </w:r>
    </w:p>
    <w:p w14:paraId="2C3EEB7D" w14:textId="77777777" w:rsidR="005B7D32" w:rsidRPr="001775D9" w:rsidRDefault="005B7D32" w:rsidP="00FB5458">
      <w:pPr>
        <w:keepNext/>
        <w:tabs>
          <w:tab w:val="clear" w:pos="567"/>
        </w:tabs>
        <w:autoSpaceDE w:val="0"/>
        <w:autoSpaceDN w:val="0"/>
        <w:adjustRightInd w:val="0"/>
        <w:spacing w:line="240" w:lineRule="auto"/>
        <w:rPr>
          <w:szCs w:val="22"/>
          <w:lang w:eastAsia="en-GB"/>
        </w:rPr>
      </w:pPr>
      <w:r w:rsidRPr="001775D9">
        <w:rPr>
          <w:szCs w:val="22"/>
          <w:lang w:eastAsia="en-GB"/>
        </w:rPr>
        <w:t>Water for injections</w:t>
      </w:r>
    </w:p>
    <w:p w14:paraId="04DCE6B1" w14:textId="77777777" w:rsidR="004970E7" w:rsidRPr="001775D9" w:rsidRDefault="004970E7" w:rsidP="00FB5458">
      <w:pPr>
        <w:tabs>
          <w:tab w:val="clear" w:pos="567"/>
        </w:tabs>
        <w:autoSpaceDE w:val="0"/>
        <w:autoSpaceDN w:val="0"/>
        <w:adjustRightInd w:val="0"/>
        <w:spacing w:line="240" w:lineRule="auto"/>
        <w:rPr>
          <w:b/>
          <w:bCs/>
          <w:szCs w:val="22"/>
          <w:lang w:eastAsia="en-GB"/>
        </w:rPr>
      </w:pPr>
    </w:p>
    <w:p w14:paraId="298AC455" w14:textId="33617FDE" w:rsidR="00C42229" w:rsidRPr="001775D9" w:rsidRDefault="00C42229" w:rsidP="00B61D9D">
      <w:pPr>
        <w:tabs>
          <w:tab w:val="clear" w:pos="567"/>
        </w:tabs>
        <w:autoSpaceDE w:val="0"/>
        <w:autoSpaceDN w:val="0"/>
        <w:adjustRightInd w:val="0"/>
        <w:spacing w:line="240" w:lineRule="auto"/>
        <w:ind w:left="567" w:hanging="567"/>
        <w:rPr>
          <w:szCs w:val="22"/>
          <w:lang w:eastAsia="en-GB"/>
        </w:rPr>
      </w:pPr>
      <w:r w:rsidRPr="001775D9">
        <w:rPr>
          <w:b/>
          <w:bCs/>
          <w:szCs w:val="22"/>
          <w:lang w:eastAsia="en-GB"/>
        </w:rPr>
        <w:t>6.2</w:t>
      </w:r>
      <w:r w:rsidRPr="001775D9">
        <w:rPr>
          <w:b/>
          <w:bCs/>
          <w:szCs w:val="22"/>
          <w:lang w:eastAsia="en-GB"/>
        </w:rPr>
        <w:tab/>
        <w:t xml:space="preserve">Incompatibilities </w:t>
      </w:r>
    </w:p>
    <w:p w14:paraId="4B9AB4EA" w14:textId="77777777" w:rsidR="00C42229" w:rsidRPr="001775D9" w:rsidRDefault="00C42229" w:rsidP="00FB5458">
      <w:pPr>
        <w:tabs>
          <w:tab w:val="clear" w:pos="567"/>
        </w:tabs>
        <w:autoSpaceDE w:val="0"/>
        <w:autoSpaceDN w:val="0"/>
        <w:adjustRightInd w:val="0"/>
        <w:spacing w:line="240" w:lineRule="auto"/>
        <w:rPr>
          <w:szCs w:val="22"/>
          <w:lang w:eastAsia="en-GB"/>
        </w:rPr>
      </w:pPr>
    </w:p>
    <w:p w14:paraId="091B4C27"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szCs w:val="22"/>
          <w:lang w:eastAsia="en-GB"/>
        </w:rPr>
        <w:t>In the absence of compatibility</w:t>
      </w:r>
      <w:r w:rsidRPr="001775D9">
        <w:rPr>
          <w:color w:val="000000"/>
          <w:szCs w:val="22"/>
          <w:lang w:eastAsia="en-GB"/>
        </w:rPr>
        <w:t xml:space="preserve"> studies, this medicinal product must not be mixed with other medicinal products. </w:t>
      </w:r>
    </w:p>
    <w:p w14:paraId="77453128" w14:textId="77777777" w:rsidR="00C42229" w:rsidRPr="001775D9" w:rsidRDefault="00C42229" w:rsidP="00FB5458">
      <w:pPr>
        <w:tabs>
          <w:tab w:val="clear" w:pos="567"/>
        </w:tabs>
        <w:autoSpaceDE w:val="0"/>
        <w:autoSpaceDN w:val="0"/>
        <w:adjustRightInd w:val="0"/>
        <w:spacing w:line="240" w:lineRule="auto"/>
        <w:rPr>
          <w:b/>
          <w:bCs/>
          <w:color w:val="000000"/>
          <w:szCs w:val="22"/>
          <w:lang w:eastAsia="en-GB"/>
        </w:rPr>
      </w:pPr>
    </w:p>
    <w:p w14:paraId="347BC631" w14:textId="46035ABD" w:rsidR="00C42229" w:rsidRPr="001775D9" w:rsidRDefault="00C42229"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6.3</w:t>
      </w:r>
      <w:r w:rsidRPr="001775D9">
        <w:rPr>
          <w:b/>
          <w:bCs/>
          <w:color w:val="000000"/>
          <w:szCs w:val="22"/>
          <w:lang w:eastAsia="en-GB"/>
        </w:rPr>
        <w:tab/>
        <w:t xml:space="preserve">Shelf life </w:t>
      </w:r>
    </w:p>
    <w:p w14:paraId="0B6F069E"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p>
    <w:p w14:paraId="3D5D9372" w14:textId="53B9F4CD" w:rsidR="009D6F2C" w:rsidRPr="001775D9" w:rsidRDefault="00BD5261"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3</w:t>
      </w:r>
      <w:r w:rsidR="009D6F2C" w:rsidRPr="001775D9">
        <w:rPr>
          <w:color w:val="000000"/>
          <w:szCs w:val="22"/>
          <w:lang w:eastAsia="en-GB"/>
        </w:rPr>
        <w:t xml:space="preserve"> years</w:t>
      </w:r>
    </w:p>
    <w:p w14:paraId="49EE5128" w14:textId="77777777" w:rsidR="00C42229" w:rsidRPr="001775D9" w:rsidRDefault="00C42229" w:rsidP="00FB5458">
      <w:pPr>
        <w:tabs>
          <w:tab w:val="clear" w:pos="567"/>
        </w:tabs>
        <w:autoSpaceDE w:val="0"/>
        <w:autoSpaceDN w:val="0"/>
        <w:adjustRightInd w:val="0"/>
        <w:spacing w:line="240" w:lineRule="auto"/>
        <w:rPr>
          <w:b/>
          <w:bCs/>
          <w:color w:val="000000"/>
          <w:szCs w:val="22"/>
          <w:lang w:eastAsia="en-GB"/>
        </w:rPr>
      </w:pPr>
    </w:p>
    <w:p w14:paraId="56AC5614" w14:textId="56A3AF68" w:rsidR="00C42229" w:rsidRPr="001775D9" w:rsidRDefault="00C42229"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6.4</w:t>
      </w:r>
      <w:r w:rsidRPr="001775D9">
        <w:rPr>
          <w:b/>
          <w:bCs/>
          <w:color w:val="000000"/>
          <w:szCs w:val="22"/>
          <w:lang w:eastAsia="en-GB"/>
        </w:rPr>
        <w:tab/>
        <w:t xml:space="preserve">Special precautions for storage </w:t>
      </w:r>
    </w:p>
    <w:p w14:paraId="2C6F2258" w14:textId="77777777" w:rsidR="00C42229" w:rsidRPr="001775D9" w:rsidRDefault="00C42229" w:rsidP="00747B80">
      <w:pPr>
        <w:keepNext/>
        <w:tabs>
          <w:tab w:val="clear" w:pos="567"/>
        </w:tabs>
        <w:autoSpaceDE w:val="0"/>
        <w:autoSpaceDN w:val="0"/>
        <w:adjustRightInd w:val="0"/>
        <w:spacing w:line="240" w:lineRule="auto"/>
        <w:rPr>
          <w:szCs w:val="22"/>
          <w:lang w:eastAsia="en-GB"/>
        </w:rPr>
      </w:pPr>
    </w:p>
    <w:p w14:paraId="3E856515" w14:textId="77777777" w:rsidR="00274A0F" w:rsidRPr="001775D9" w:rsidRDefault="00C42229" w:rsidP="00747B80">
      <w:pPr>
        <w:keepNext/>
        <w:suppressLineNumbers/>
        <w:spacing w:line="240" w:lineRule="auto"/>
        <w:rPr>
          <w:szCs w:val="22"/>
          <w:lang w:eastAsia="en-GB"/>
        </w:rPr>
      </w:pPr>
      <w:r w:rsidRPr="001775D9">
        <w:rPr>
          <w:szCs w:val="22"/>
          <w:lang w:eastAsia="en-GB"/>
        </w:rPr>
        <w:t xml:space="preserve">Store in a refrigerator (2°C – 8°C). </w:t>
      </w:r>
    </w:p>
    <w:p w14:paraId="1E83ABAD" w14:textId="77777777" w:rsidR="00274A0F" w:rsidRPr="001775D9" w:rsidRDefault="00C42229" w:rsidP="00FB5458">
      <w:pPr>
        <w:keepNext/>
        <w:suppressLineNumbers/>
        <w:spacing w:line="240" w:lineRule="auto"/>
        <w:rPr>
          <w:szCs w:val="22"/>
          <w:lang w:eastAsia="en-GB"/>
        </w:rPr>
      </w:pPr>
      <w:r w:rsidRPr="001775D9">
        <w:rPr>
          <w:szCs w:val="22"/>
          <w:lang w:eastAsia="en-GB"/>
        </w:rPr>
        <w:t xml:space="preserve">Do not freeze. </w:t>
      </w:r>
    </w:p>
    <w:p w14:paraId="3C5DC58B" w14:textId="0DB86426" w:rsidR="00C42229" w:rsidRPr="001775D9" w:rsidRDefault="00C42229" w:rsidP="00FB5458">
      <w:pPr>
        <w:keepNext/>
        <w:suppressLineNumbers/>
        <w:spacing w:line="240" w:lineRule="auto"/>
        <w:rPr>
          <w:szCs w:val="22"/>
        </w:rPr>
      </w:pPr>
      <w:r w:rsidRPr="001775D9">
        <w:rPr>
          <w:szCs w:val="22"/>
        </w:rPr>
        <w:t xml:space="preserve">Keep </w:t>
      </w:r>
      <w:r w:rsidR="00503B55" w:rsidRPr="001775D9">
        <w:rPr>
          <w:szCs w:val="22"/>
        </w:rPr>
        <w:t>the pre-filled syringe or pre-filled pen</w:t>
      </w:r>
      <w:r w:rsidR="00503B55" w:rsidRPr="001775D9" w:rsidDel="005B7D32">
        <w:rPr>
          <w:szCs w:val="22"/>
        </w:rPr>
        <w:t xml:space="preserve"> </w:t>
      </w:r>
      <w:r w:rsidRPr="001775D9">
        <w:rPr>
          <w:szCs w:val="22"/>
        </w:rPr>
        <w:t>in the outer carton in order to protect from light.</w:t>
      </w:r>
    </w:p>
    <w:p w14:paraId="74703A16" w14:textId="77777777" w:rsidR="00B12E05" w:rsidRPr="001775D9" w:rsidRDefault="00B12E05" w:rsidP="00FB5458">
      <w:pPr>
        <w:tabs>
          <w:tab w:val="clear" w:pos="567"/>
        </w:tabs>
        <w:autoSpaceDE w:val="0"/>
        <w:autoSpaceDN w:val="0"/>
        <w:adjustRightInd w:val="0"/>
        <w:spacing w:line="240" w:lineRule="auto"/>
        <w:rPr>
          <w:szCs w:val="22"/>
          <w:lang w:eastAsia="en-GB"/>
        </w:rPr>
      </w:pPr>
    </w:p>
    <w:p w14:paraId="107160F8" w14:textId="77777777" w:rsidR="00C42229" w:rsidRPr="001775D9" w:rsidRDefault="000F7B7C" w:rsidP="00FB5458">
      <w:pPr>
        <w:tabs>
          <w:tab w:val="clear" w:pos="567"/>
        </w:tabs>
        <w:autoSpaceDE w:val="0"/>
        <w:autoSpaceDN w:val="0"/>
        <w:adjustRightInd w:val="0"/>
        <w:spacing w:line="240" w:lineRule="auto"/>
        <w:rPr>
          <w:szCs w:val="22"/>
          <w:lang w:eastAsia="en-GB"/>
        </w:rPr>
      </w:pPr>
      <w:r w:rsidRPr="001775D9">
        <w:rPr>
          <w:szCs w:val="22"/>
          <w:lang w:eastAsia="en-GB"/>
        </w:rPr>
        <w:t>The</w:t>
      </w:r>
      <w:r w:rsidR="002E7203" w:rsidRPr="001775D9">
        <w:rPr>
          <w:szCs w:val="22"/>
          <w:lang w:eastAsia="en-GB"/>
        </w:rPr>
        <w:t xml:space="preserve"> pre-filled syringe </w:t>
      </w:r>
      <w:r w:rsidR="00B12E05" w:rsidRPr="001775D9">
        <w:rPr>
          <w:szCs w:val="22"/>
          <w:lang w:eastAsia="en-GB"/>
        </w:rPr>
        <w:t xml:space="preserve">or pre-filled pen </w:t>
      </w:r>
      <w:r w:rsidR="002E7203" w:rsidRPr="001775D9">
        <w:rPr>
          <w:szCs w:val="22"/>
          <w:lang w:eastAsia="en-GB"/>
        </w:rPr>
        <w:t xml:space="preserve">may be stored at temperatures up to a maximum of 25°C for a period of up to 14 days. The </w:t>
      </w:r>
      <w:r w:rsidR="00764F4D" w:rsidRPr="001775D9">
        <w:rPr>
          <w:szCs w:val="22"/>
          <w:lang w:eastAsia="en-GB"/>
        </w:rPr>
        <w:t xml:space="preserve">pre-filled </w:t>
      </w:r>
      <w:r w:rsidR="002E7203" w:rsidRPr="001775D9">
        <w:rPr>
          <w:szCs w:val="22"/>
          <w:lang w:eastAsia="en-GB"/>
        </w:rPr>
        <w:t xml:space="preserve">syringe </w:t>
      </w:r>
      <w:r w:rsidR="00764F4D" w:rsidRPr="001775D9">
        <w:rPr>
          <w:szCs w:val="22"/>
          <w:lang w:eastAsia="en-GB"/>
        </w:rPr>
        <w:t xml:space="preserve">or pre-filled pen </w:t>
      </w:r>
      <w:r w:rsidR="002E7203" w:rsidRPr="001775D9">
        <w:rPr>
          <w:szCs w:val="22"/>
          <w:lang w:eastAsia="en-GB"/>
        </w:rPr>
        <w:t>must be protected from light, and discarded if not used within the 14-day period.</w:t>
      </w:r>
    </w:p>
    <w:p w14:paraId="68A1D10C"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22DDBA17" w14:textId="2FB6BFFE" w:rsidR="00B03F12" w:rsidRPr="001775D9" w:rsidRDefault="00C42229" w:rsidP="00B61D9D">
      <w:pPr>
        <w:keepNext/>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6.5</w:t>
      </w:r>
      <w:r w:rsidRPr="001775D9">
        <w:rPr>
          <w:b/>
          <w:bCs/>
          <w:szCs w:val="22"/>
          <w:lang w:eastAsia="en-GB"/>
        </w:rPr>
        <w:tab/>
        <w:t xml:space="preserve">Nature and contents of container </w:t>
      </w:r>
    </w:p>
    <w:p w14:paraId="2F38BA15" w14:textId="77777777" w:rsidR="00B03F12" w:rsidRPr="001775D9" w:rsidRDefault="00B03F12" w:rsidP="00CF6F25">
      <w:pPr>
        <w:keepNext/>
        <w:tabs>
          <w:tab w:val="clear" w:pos="567"/>
        </w:tabs>
        <w:autoSpaceDE w:val="0"/>
        <w:autoSpaceDN w:val="0"/>
        <w:adjustRightInd w:val="0"/>
        <w:spacing w:line="240" w:lineRule="auto"/>
        <w:rPr>
          <w:bCs/>
          <w:szCs w:val="22"/>
          <w:lang w:eastAsia="en-GB"/>
        </w:rPr>
      </w:pPr>
    </w:p>
    <w:p w14:paraId="2E47742C" w14:textId="176B4B96" w:rsidR="00BE390E" w:rsidRPr="00D55B59" w:rsidRDefault="00BE390E" w:rsidP="00FB5458">
      <w:pPr>
        <w:pStyle w:val="Default"/>
        <w:rPr>
          <w:sz w:val="22"/>
          <w:szCs w:val="22"/>
          <w:u w:val="single"/>
          <w:lang w:val="en-GB" w:eastAsia="en-GB"/>
          <w:rPrChange w:id="988" w:author="Author">
            <w:rPr>
              <w:sz w:val="22"/>
              <w:szCs w:val="22"/>
              <w:u w:val="single"/>
              <w:lang w:eastAsia="en-GB"/>
            </w:rPr>
          </w:rPrChange>
        </w:rPr>
      </w:pPr>
      <w:r w:rsidRPr="00D55B59">
        <w:rPr>
          <w:sz w:val="22"/>
          <w:szCs w:val="22"/>
          <w:u w:val="single"/>
          <w:lang w:val="en-GB" w:eastAsia="en-GB"/>
          <w:rPrChange w:id="989" w:author="Author">
            <w:rPr>
              <w:sz w:val="22"/>
              <w:szCs w:val="22"/>
              <w:u w:val="single"/>
              <w:lang w:eastAsia="en-GB"/>
            </w:rPr>
          </w:rPrChange>
        </w:rPr>
        <w:t>AMGEVITA 20 mg solution for injection in pre-filled syringe</w:t>
      </w:r>
    </w:p>
    <w:p w14:paraId="0A3F681A" w14:textId="77777777" w:rsidR="00452BC6" w:rsidRPr="00D55B59" w:rsidRDefault="00452BC6" w:rsidP="00FB5458">
      <w:pPr>
        <w:pStyle w:val="Default"/>
        <w:rPr>
          <w:sz w:val="22"/>
          <w:szCs w:val="22"/>
          <w:u w:val="single"/>
          <w:lang w:val="en-GB" w:eastAsia="en-GB"/>
          <w:rPrChange w:id="990" w:author="Author">
            <w:rPr>
              <w:sz w:val="22"/>
              <w:szCs w:val="22"/>
              <w:u w:val="single"/>
              <w:lang w:eastAsia="en-GB"/>
            </w:rPr>
          </w:rPrChange>
        </w:rPr>
      </w:pPr>
    </w:p>
    <w:p w14:paraId="06408CD6" w14:textId="1FF14440" w:rsidR="00764F4D" w:rsidRPr="001775D9" w:rsidRDefault="009D6F2C" w:rsidP="00FB5458">
      <w:pPr>
        <w:spacing w:line="240" w:lineRule="auto"/>
      </w:pPr>
      <w:r w:rsidRPr="001775D9">
        <w:t>0.4</w:t>
      </w:r>
      <w:r w:rsidR="00D42A00" w:rsidRPr="001775D9">
        <w:t> </w:t>
      </w:r>
      <w:r w:rsidRPr="001775D9">
        <w:t xml:space="preserve">mL </w:t>
      </w:r>
      <w:r w:rsidR="00764F4D" w:rsidRPr="001775D9">
        <w:t xml:space="preserve">solution in pre-filled syringe (type I glass) with a plunger stopper (bromobutyl rubber) and a </w:t>
      </w:r>
      <w:r w:rsidR="00D839A4" w:rsidRPr="001775D9">
        <w:t>stainless</w:t>
      </w:r>
      <w:r w:rsidR="009E040A" w:rsidRPr="001775D9">
        <w:t>-</w:t>
      </w:r>
      <w:r w:rsidR="004E70A8" w:rsidRPr="001775D9">
        <w:t xml:space="preserve">steel </w:t>
      </w:r>
      <w:r w:rsidR="00764F4D" w:rsidRPr="001775D9">
        <w:t>needle with a needle shield (thermoplastic elastomer).</w:t>
      </w:r>
      <w:r w:rsidR="001634B8" w:rsidRPr="001775D9">
        <w:t xml:space="preserve"> </w:t>
      </w:r>
    </w:p>
    <w:p w14:paraId="7567A0D7" w14:textId="77777777" w:rsidR="006F2BDE" w:rsidRPr="00D55B59" w:rsidRDefault="006F2BDE" w:rsidP="00FB5458">
      <w:pPr>
        <w:pStyle w:val="Default"/>
        <w:rPr>
          <w:color w:val="auto"/>
          <w:sz w:val="22"/>
          <w:szCs w:val="22"/>
          <w:lang w:val="en-GB"/>
          <w:rPrChange w:id="991" w:author="Author">
            <w:rPr>
              <w:color w:val="auto"/>
              <w:sz w:val="22"/>
              <w:szCs w:val="22"/>
            </w:rPr>
          </w:rPrChange>
        </w:rPr>
      </w:pPr>
    </w:p>
    <w:p w14:paraId="239253AA" w14:textId="05D414AF" w:rsidR="00BE390E" w:rsidRPr="00D55B59" w:rsidRDefault="00BE390E" w:rsidP="00FB5458">
      <w:pPr>
        <w:pStyle w:val="Default"/>
        <w:rPr>
          <w:color w:val="auto"/>
          <w:sz w:val="22"/>
          <w:szCs w:val="22"/>
          <w:lang w:val="en-GB"/>
          <w:rPrChange w:id="992" w:author="Author">
            <w:rPr>
              <w:color w:val="auto"/>
              <w:sz w:val="22"/>
              <w:szCs w:val="22"/>
            </w:rPr>
          </w:rPrChange>
        </w:rPr>
      </w:pPr>
      <w:r w:rsidRPr="00D55B59">
        <w:rPr>
          <w:color w:val="auto"/>
          <w:sz w:val="22"/>
          <w:szCs w:val="22"/>
          <w:lang w:val="en-GB"/>
          <w:rPrChange w:id="993" w:author="Author">
            <w:rPr>
              <w:color w:val="auto"/>
              <w:sz w:val="22"/>
              <w:szCs w:val="22"/>
            </w:rPr>
          </w:rPrChange>
        </w:rPr>
        <w:t xml:space="preserve">Pack size of </w:t>
      </w:r>
      <w:r w:rsidR="009E040A" w:rsidRPr="00D55B59">
        <w:rPr>
          <w:color w:val="auto"/>
          <w:sz w:val="22"/>
          <w:szCs w:val="22"/>
          <w:lang w:val="en-GB"/>
          <w:rPrChange w:id="994" w:author="Author">
            <w:rPr>
              <w:color w:val="auto"/>
              <w:sz w:val="22"/>
              <w:szCs w:val="22"/>
            </w:rPr>
          </w:rPrChange>
        </w:rPr>
        <w:t>1</w:t>
      </w:r>
      <w:r w:rsidRPr="00D55B59">
        <w:rPr>
          <w:color w:val="auto"/>
          <w:sz w:val="22"/>
          <w:szCs w:val="22"/>
          <w:lang w:val="en-GB"/>
          <w:rPrChange w:id="995" w:author="Author">
            <w:rPr>
              <w:color w:val="auto"/>
              <w:sz w:val="22"/>
              <w:szCs w:val="22"/>
            </w:rPr>
          </w:rPrChange>
        </w:rPr>
        <w:t xml:space="preserve"> pre</w:t>
      </w:r>
      <w:r w:rsidRPr="00D55B59">
        <w:rPr>
          <w:rFonts w:eastAsia="PMingLiU"/>
          <w:color w:val="auto"/>
          <w:sz w:val="22"/>
          <w:szCs w:val="22"/>
          <w:lang w:val="en-GB" w:eastAsia="zh-TW"/>
          <w:rPrChange w:id="996" w:author="Author">
            <w:rPr>
              <w:rFonts w:eastAsia="PMingLiU"/>
              <w:color w:val="auto"/>
              <w:sz w:val="22"/>
              <w:szCs w:val="22"/>
              <w:lang w:eastAsia="zh-TW"/>
            </w:rPr>
          </w:rPrChange>
        </w:rPr>
        <w:t>-</w:t>
      </w:r>
      <w:r w:rsidRPr="00D55B59">
        <w:rPr>
          <w:color w:val="auto"/>
          <w:sz w:val="22"/>
          <w:szCs w:val="22"/>
          <w:lang w:val="en-GB"/>
          <w:rPrChange w:id="997" w:author="Author">
            <w:rPr>
              <w:color w:val="auto"/>
              <w:sz w:val="22"/>
              <w:szCs w:val="22"/>
            </w:rPr>
          </w:rPrChange>
        </w:rPr>
        <w:t>filled syringe.</w:t>
      </w:r>
    </w:p>
    <w:p w14:paraId="3FA06877" w14:textId="77777777" w:rsidR="00BE390E" w:rsidRPr="001775D9" w:rsidRDefault="00BE390E" w:rsidP="00FB5458">
      <w:pPr>
        <w:spacing w:line="240" w:lineRule="auto"/>
      </w:pPr>
    </w:p>
    <w:p w14:paraId="07D4708E" w14:textId="14B2F9AF" w:rsidR="00BE390E" w:rsidRPr="00D55B59" w:rsidRDefault="00BE390E" w:rsidP="009F3EC6">
      <w:pPr>
        <w:pStyle w:val="Default"/>
        <w:rPr>
          <w:color w:val="auto"/>
          <w:sz w:val="22"/>
          <w:szCs w:val="22"/>
          <w:u w:val="single"/>
          <w:lang w:val="en-GB" w:eastAsia="en-GB"/>
          <w:rPrChange w:id="998" w:author="Author">
            <w:rPr>
              <w:color w:val="auto"/>
              <w:sz w:val="22"/>
              <w:szCs w:val="22"/>
              <w:u w:val="single"/>
              <w:lang w:eastAsia="en-GB"/>
            </w:rPr>
          </w:rPrChange>
        </w:rPr>
      </w:pPr>
      <w:r w:rsidRPr="00D55B59">
        <w:rPr>
          <w:color w:val="auto"/>
          <w:sz w:val="22"/>
          <w:szCs w:val="22"/>
          <w:u w:val="single"/>
          <w:lang w:val="en-GB" w:eastAsia="en-GB"/>
          <w:rPrChange w:id="999" w:author="Author">
            <w:rPr>
              <w:color w:val="auto"/>
              <w:sz w:val="22"/>
              <w:szCs w:val="22"/>
              <w:u w:val="single"/>
              <w:lang w:eastAsia="en-GB"/>
            </w:rPr>
          </w:rPrChange>
        </w:rPr>
        <w:t>AMGEVITA 40</w:t>
      </w:r>
      <w:r w:rsidRPr="00D55B59">
        <w:rPr>
          <w:color w:val="auto"/>
          <w:sz w:val="22"/>
          <w:szCs w:val="22"/>
          <w:u w:val="single"/>
          <w:lang w:val="en-GB"/>
          <w:rPrChange w:id="1000" w:author="Author">
            <w:rPr>
              <w:color w:val="auto"/>
              <w:sz w:val="22"/>
              <w:szCs w:val="22"/>
              <w:u w:val="single"/>
            </w:rPr>
          </w:rPrChange>
        </w:rPr>
        <w:t> </w:t>
      </w:r>
      <w:r w:rsidRPr="00D55B59">
        <w:rPr>
          <w:color w:val="auto"/>
          <w:sz w:val="22"/>
          <w:szCs w:val="22"/>
          <w:u w:val="single"/>
          <w:lang w:val="en-GB" w:eastAsia="en-GB"/>
          <w:rPrChange w:id="1001" w:author="Author">
            <w:rPr>
              <w:color w:val="auto"/>
              <w:sz w:val="22"/>
              <w:szCs w:val="22"/>
              <w:u w:val="single"/>
              <w:lang w:eastAsia="en-GB"/>
            </w:rPr>
          </w:rPrChange>
        </w:rPr>
        <w:t>mg solution for injection in pre-filled syringe</w:t>
      </w:r>
    </w:p>
    <w:p w14:paraId="3121626D" w14:textId="77777777" w:rsidR="00452BC6" w:rsidRPr="00D55B59" w:rsidRDefault="00452BC6" w:rsidP="009F3EC6">
      <w:pPr>
        <w:pStyle w:val="Default"/>
        <w:rPr>
          <w:color w:val="auto"/>
          <w:sz w:val="22"/>
          <w:szCs w:val="22"/>
          <w:u w:val="single"/>
          <w:lang w:val="en-GB" w:eastAsia="en-GB"/>
          <w:rPrChange w:id="1002" w:author="Author">
            <w:rPr>
              <w:color w:val="auto"/>
              <w:sz w:val="22"/>
              <w:szCs w:val="22"/>
              <w:u w:val="single"/>
              <w:lang w:eastAsia="en-GB"/>
            </w:rPr>
          </w:rPrChange>
        </w:rPr>
      </w:pPr>
    </w:p>
    <w:p w14:paraId="7BEEAA75" w14:textId="342A315A" w:rsidR="00BE390E" w:rsidRPr="00D55B59" w:rsidRDefault="00D42A00" w:rsidP="009F3EC6">
      <w:pPr>
        <w:pStyle w:val="Default"/>
        <w:rPr>
          <w:color w:val="auto"/>
          <w:sz w:val="22"/>
          <w:szCs w:val="22"/>
          <w:lang w:val="en-GB"/>
          <w:rPrChange w:id="1003" w:author="Author">
            <w:rPr>
              <w:color w:val="auto"/>
              <w:sz w:val="22"/>
              <w:szCs w:val="22"/>
            </w:rPr>
          </w:rPrChange>
        </w:rPr>
      </w:pPr>
      <w:r w:rsidRPr="00D55B59">
        <w:rPr>
          <w:sz w:val="22"/>
          <w:szCs w:val="22"/>
          <w:lang w:val="en-GB" w:eastAsia="en-GB"/>
          <w:rPrChange w:id="1004" w:author="Author">
            <w:rPr>
              <w:sz w:val="22"/>
              <w:szCs w:val="22"/>
              <w:lang w:eastAsia="en-GB"/>
            </w:rPr>
          </w:rPrChange>
        </w:rPr>
        <w:t xml:space="preserve">0.8 mL </w:t>
      </w:r>
      <w:r w:rsidR="00764F4D" w:rsidRPr="00D55B59">
        <w:rPr>
          <w:sz w:val="22"/>
          <w:szCs w:val="22"/>
          <w:lang w:val="en-GB" w:eastAsia="en-GB"/>
          <w:rPrChange w:id="1005" w:author="Author">
            <w:rPr>
              <w:sz w:val="22"/>
              <w:szCs w:val="22"/>
              <w:lang w:eastAsia="en-GB"/>
            </w:rPr>
          </w:rPrChange>
        </w:rPr>
        <w:t xml:space="preserve">solution in pre-filled syringe (type I glass) with a </w:t>
      </w:r>
      <w:r w:rsidR="004C6997" w:rsidRPr="00D55B59">
        <w:rPr>
          <w:sz w:val="22"/>
          <w:szCs w:val="22"/>
          <w:lang w:val="en-GB"/>
          <w:rPrChange w:id="1006" w:author="Author">
            <w:rPr>
              <w:sz w:val="22"/>
              <w:szCs w:val="22"/>
            </w:rPr>
          </w:rPrChange>
        </w:rPr>
        <w:t>plunger stopper (bromobutyl rubber) and a</w:t>
      </w:r>
      <w:r w:rsidR="00005AAA" w:rsidRPr="00D55B59">
        <w:rPr>
          <w:sz w:val="22"/>
          <w:szCs w:val="22"/>
          <w:lang w:val="en-GB"/>
          <w:rPrChange w:id="1007" w:author="Author">
            <w:rPr>
              <w:sz w:val="22"/>
              <w:szCs w:val="22"/>
            </w:rPr>
          </w:rPrChange>
        </w:rPr>
        <w:t xml:space="preserve"> </w:t>
      </w:r>
      <w:r w:rsidR="00D839A4" w:rsidRPr="00D55B59">
        <w:rPr>
          <w:sz w:val="22"/>
          <w:szCs w:val="22"/>
          <w:lang w:val="en-GB"/>
          <w:rPrChange w:id="1008" w:author="Author">
            <w:rPr>
              <w:sz w:val="22"/>
              <w:szCs w:val="22"/>
            </w:rPr>
          </w:rPrChange>
        </w:rPr>
        <w:t>stainless</w:t>
      </w:r>
      <w:r w:rsidR="009E040A" w:rsidRPr="00D55B59">
        <w:rPr>
          <w:sz w:val="22"/>
          <w:szCs w:val="22"/>
          <w:lang w:val="en-GB"/>
          <w:rPrChange w:id="1009" w:author="Author">
            <w:rPr>
              <w:sz w:val="22"/>
              <w:szCs w:val="22"/>
            </w:rPr>
          </w:rPrChange>
        </w:rPr>
        <w:t>-</w:t>
      </w:r>
      <w:r w:rsidR="004E70A8" w:rsidRPr="00D55B59">
        <w:rPr>
          <w:sz w:val="22"/>
          <w:szCs w:val="22"/>
          <w:lang w:val="en-GB"/>
          <w:rPrChange w:id="1010" w:author="Author">
            <w:rPr>
              <w:sz w:val="22"/>
              <w:szCs w:val="22"/>
            </w:rPr>
          </w:rPrChange>
        </w:rPr>
        <w:t xml:space="preserve">steel </w:t>
      </w:r>
      <w:r w:rsidR="004C6997" w:rsidRPr="00D55B59">
        <w:rPr>
          <w:sz w:val="22"/>
          <w:szCs w:val="22"/>
          <w:lang w:val="en-GB"/>
          <w:rPrChange w:id="1011" w:author="Author">
            <w:rPr>
              <w:sz w:val="22"/>
              <w:szCs w:val="22"/>
            </w:rPr>
          </w:rPrChange>
        </w:rPr>
        <w:t>needle with a needle shield (thermoplastic elastomer).</w:t>
      </w:r>
      <w:r w:rsidR="001634B8" w:rsidRPr="00D55B59">
        <w:rPr>
          <w:sz w:val="22"/>
          <w:szCs w:val="22"/>
          <w:lang w:val="en-GB"/>
          <w:rPrChange w:id="1012" w:author="Author">
            <w:rPr>
              <w:sz w:val="22"/>
              <w:szCs w:val="22"/>
            </w:rPr>
          </w:rPrChange>
        </w:rPr>
        <w:t xml:space="preserve"> </w:t>
      </w:r>
    </w:p>
    <w:p w14:paraId="0E0E5786" w14:textId="77777777" w:rsidR="007608A7" w:rsidRPr="00D55B59" w:rsidRDefault="007608A7" w:rsidP="009F3EC6">
      <w:pPr>
        <w:pStyle w:val="Default"/>
        <w:keepNext/>
        <w:rPr>
          <w:color w:val="auto"/>
          <w:sz w:val="22"/>
          <w:szCs w:val="22"/>
          <w:lang w:val="en-GB"/>
          <w:rPrChange w:id="1013" w:author="Author">
            <w:rPr>
              <w:color w:val="auto"/>
              <w:sz w:val="22"/>
              <w:szCs w:val="22"/>
            </w:rPr>
          </w:rPrChange>
        </w:rPr>
      </w:pPr>
    </w:p>
    <w:p w14:paraId="57405D76" w14:textId="69DFF5AA" w:rsidR="00BE390E" w:rsidRPr="00D55B59" w:rsidRDefault="00BE390E" w:rsidP="009F3EC6">
      <w:pPr>
        <w:pStyle w:val="Default"/>
        <w:keepNext/>
        <w:rPr>
          <w:color w:val="auto"/>
          <w:sz w:val="22"/>
          <w:szCs w:val="22"/>
          <w:lang w:val="en-GB"/>
          <w:rPrChange w:id="1014" w:author="Author">
            <w:rPr>
              <w:color w:val="auto"/>
              <w:sz w:val="22"/>
              <w:szCs w:val="22"/>
            </w:rPr>
          </w:rPrChange>
        </w:rPr>
      </w:pPr>
      <w:r w:rsidRPr="00D55B59">
        <w:rPr>
          <w:color w:val="auto"/>
          <w:sz w:val="22"/>
          <w:szCs w:val="22"/>
          <w:lang w:val="en-GB"/>
          <w:rPrChange w:id="1015" w:author="Author">
            <w:rPr>
              <w:color w:val="auto"/>
              <w:sz w:val="22"/>
              <w:szCs w:val="22"/>
            </w:rPr>
          </w:rPrChange>
        </w:rPr>
        <w:t xml:space="preserve">Pack sizes of </w:t>
      </w:r>
      <w:r w:rsidR="009E040A" w:rsidRPr="00D55B59">
        <w:rPr>
          <w:color w:val="auto"/>
          <w:sz w:val="22"/>
          <w:szCs w:val="22"/>
          <w:lang w:val="en-GB"/>
          <w:rPrChange w:id="1016" w:author="Author">
            <w:rPr>
              <w:color w:val="auto"/>
              <w:sz w:val="22"/>
              <w:szCs w:val="22"/>
            </w:rPr>
          </w:rPrChange>
        </w:rPr>
        <w:t>1</w:t>
      </w:r>
      <w:r w:rsidRPr="00D55B59">
        <w:rPr>
          <w:color w:val="auto"/>
          <w:sz w:val="22"/>
          <w:szCs w:val="22"/>
          <w:lang w:val="en-GB"/>
          <w:rPrChange w:id="1017" w:author="Author">
            <w:rPr>
              <w:color w:val="auto"/>
              <w:sz w:val="22"/>
              <w:szCs w:val="22"/>
            </w:rPr>
          </w:rPrChange>
        </w:rPr>
        <w:t xml:space="preserve">, </w:t>
      </w:r>
      <w:r w:rsidR="009E040A" w:rsidRPr="00D55B59">
        <w:rPr>
          <w:color w:val="auto"/>
          <w:sz w:val="22"/>
          <w:szCs w:val="22"/>
          <w:lang w:val="en-GB"/>
          <w:rPrChange w:id="1018" w:author="Author">
            <w:rPr>
              <w:color w:val="auto"/>
              <w:sz w:val="22"/>
              <w:szCs w:val="22"/>
            </w:rPr>
          </w:rPrChange>
        </w:rPr>
        <w:t>2</w:t>
      </w:r>
      <w:r w:rsidRPr="00D55B59">
        <w:rPr>
          <w:color w:val="auto"/>
          <w:sz w:val="22"/>
          <w:szCs w:val="22"/>
          <w:lang w:val="en-GB"/>
          <w:rPrChange w:id="1019" w:author="Author">
            <w:rPr>
              <w:color w:val="auto"/>
              <w:sz w:val="22"/>
              <w:szCs w:val="22"/>
            </w:rPr>
          </w:rPrChange>
        </w:rPr>
        <w:t xml:space="preserve">, </w:t>
      </w:r>
      <w:r w:rsidR="009E040A" w:rsidRPr="00D55B59">
        <w:rPr>
          <w:color w:val="auto"/>
          <w:sz w:val="22"/>
          <w:szCs w:val="22"/>
          <w:lang w:val="en-GB"/>
          <w:rPrChange w:id="1020" w:author="Author">
            <w:rPr>
              <w:color w:val="auto"/>
              <w:sz w:val="22"/>
              <w:szCs w:val="22"/>
            </w:rPr>
          </w:rPrChange>
        </w:rPr>
        <w:t>4</w:t>
      </w:r>
      <w:r w:rsidRPr="00D55B59">
        <w:rPr>
          <w:color w:val="auto"/>
          <w:sz w:val="22"/>
          <w:szCs w:val="22"/>
          <w:lang w:val="en-GB"/>
          <w:rPrChange w:id="1021" w:author="Author">
            <w:rPr>
              <w:color w:val="auto"/>
              <w:sz w:val="22"/>
              <w:szCs w:val="22"/>
            </w:rPr>
          </w:rPrChange>
        </w:rPr>
        <w:t xml:space="preserve"> </w:t>
      </w:r>
      <w:r w:rsidR="0084623C" w:rsidRPr="00D55B59">
        <w:rPr>
          <w:color w:val="auto"/>
          <w:sz w:val="22"/>
          <w:szCs w:val="22"/>
          <w:lang w:val="en-GB"/>
          <w:rPrChange w:id="1022" w:author="Author">
            <w:rPr>
              <w:color w:val="auto"/>
              <w:sz w:val="22"/>
              <w:szCs w:val="22"/>
            </w:rPr>
          </w:rPrChange>
        </w:rPr>
        <w:t>or multipack of</w:t>
      </w:r>
      <w:r w:rsidRPr="00D55B59">
        <w:rPr>
          <w:color w:val="auto"/>
          <w:sz w:val="22"/>
          <w:szCs w:val="22"/>
          <w:lang w:val="en-GB"/>
          <w:rPrChange w:id="1023" w:author="Author">
            <w:rPr>
              <w:color w:val="auto"/>
              <w:sz w:val="22"/>
              <w:szCs w:val="22"/>
            </w:rPr>
          </w:rPrChange>
        </w:rPr>
        <w:t xml:space="preserve"> </w:t>
      </w:r>
      <w:r w:rsidR="009E040A" w:rsidRPr="00D55B59">
        <w:rPr>
          <w:color w:val="auto"/>
          <w:sz w:val="22"/>
          <w:szCs w:val="22"/>
          <w:lang w:val="en-GB"/>
          <w:rPrChange w:id="1024" w:author="Author">
            <w:rPr>
              <w:color w:val="auto"/>
              <w:sz w:val="22"/>
              <w:szCs w:val="22"/>
            </w:rPr>
          </w:rPrChange>
        </w:rPr>
        <w:t>6</w:t>
      </w:r>
      <w:r w:rsidRPr="00D55B59">
        <w:rPr>
          <w:color w:val="auto"/>
          <w:sz w:val="22"/>
          <w:szCs w:val="22"/>
          <w:lang w:val="en-GB"/>
          <w:rPrChange w:id="1025" w:author="Author">
            <w:rPr>
              <w:color w:val="auto"/>
              <w:sz w:val="22"/>
              <w:szCs w:val="22"/>
            </w:rPr>
          </w:rPrChange>
        </w:rPr>
        <w:t xml:space="preserve"> </w:t>
      </w:r>
      <w:r w:rsidR="0084623C" w:rsidRPr="00D55B59">
        <w:rPr>
          <w:color w:val="auto"/>
          <w:sz w:val="22"/>
          <w:szCs w:val="22"/>
          <w:lang w:val="en-GB"/>
          <w:rPrChange w:id="1026" w:author="Author">
            <w:rPr>
              <w:color w:val="auto"/>
              <w:sz w:val="22"/>
              <w:szCs w:val="22"/>
            </w:rPr>
          </w:rPrChange>
        </w:rPr>
        <w:t>(3</w:t>
      </w:r>
      <w:r w:rsidR="009E040A" w:rsidRPr="00D55B59">
        <w:rPr>
          <w:color w:val="auto"/>
          <w:sz w:val="22"/>
          <w:szCs w:val="22"/>
          <w:lang w:val="en-GB"/>
          <w:rPrChange w:id="1027" w:author="Author">
            <w:rPr>
              <w:color w:val="auto"/>
              <w:sz w:val="22"/>
              <w:szCs w:val="22"/>
            </w:rPr>
          </w:rPrChange>
        </w:rPr>
        <w:t xml:space="preserve"> packs of </w:t>
      </w:r>
      <w:r w:rsidR="0084623C" w:rsidRPr="00D55B59">
        <w:rPr>
          <w:color w:val="auto"/>
          <w:sz w:val="22"/>
          <w:szCs w:val="22"/>
          <w:lang w:val="en-GB"/>
          <w:rPrChange w:id="1028" w:author="Author">
            <w:rPr>
              <w:color w:val="auto"/>
              <w:sz w:val="22"/>
              <w:szCs w:val="22"/>
            </w:rPr>
          </w:rPrChange>
        </w:rPr>
        <w:t xml:space="preserve">2) </w:t>
      </w:r>
      <w:r w:rsidRPr="00D55B59">
        <w:rPr>
          <w:color w:val="auto"/>
          <w:sz w:val="22"/>
          <w:szCs w:val="22"/>
          <w:lang w:val="en-GB"/>
          <w:rPrChange w:id="1029" w:author="Author">
            <w:rPr>
              <w:color w:val="auto"/>
              <w:sz w:val="22"/>
              <w:szCs w:val="22"/>
            </w:rPr>
          </w:rPrChange>
        </w:rPr>
        <w:t>pre</w:t>
      </w:r>
      <w:r w:rsidRPr="00D55B59">
        <w:rPr>
          <w:rFonts w:eastAsia="PMingLiU"/>
          <w:color w:val="auto"/>
          <w:sz w:val="22"/>
          <w:szCs w:val="22"/>
          <w:lang w:val="en-GB" w:eastAsia="zh-TW"/>
          <w:rPrChange w:id="1030" w:author="Author">
            <w:rPr>
              <w:rFonts w:eastAsia="PMingLiU"/>
              <w:color w:val="auto"/>
              <w:sz w:val="22"/>
              <w:szCs w:val="22"/>
              <w:lang w:eastAsia="zh-TW"/>
            </w:rPr>
          </w:rPrChange>
        </w:rPr>
        <w:t>-</w:t>
      </w:r>
      <w:r w:rsidRPr="00D55B59">
        <w:rPr>
          <w:color w:val="auto"/>
          <w:sz w:val="22"/>
          <w:szCs w:val="22"/>
          <w:lang w:val="en-GB"/>
          <w:rPrChange w:id="1031" w:author="Author">
            <w:rPr>
              <w:color w:val="auto"/>
              <w:sz w:val="22"/>
              <w:szCs w:val="22"/>
            </w:rPr>
          </w:rPrChange>
        </w:rPr>
        <w:t>filled syringes.</w:t>
      </w:r>
    </w:p>
    <w:p w14:paraId="5B4E5108" w14:textId="77777777" w:rsidR="00BE390E" w:rsidRPr="001775D9" w:rsidRDefault="00BE390E" w:rsidP="009F3EC6">
      <w:pPr>
        <w:spacing w:line="240" w:lineRule="auto"/>
        <w:rPr>
          <w:szCs w:val="22"/>
        </w:rPr>
      </w:pPr>
      <w:r w:rsidRPr="001775D9">
        <w:t>Not all pack sizes may be marketed.</w:t>
      </w:r>
    </w:p>
    <w:p w14:paraId="66877F96" w14:textId="77777777" w:rsidR="00BE390E" w:rsidRPr="001775D9" w:rsidRDefault="00BE390E" w:rsidP="00FB5458">
      <w:pPr>
        <w:spacing w:line="240" w:lineRule="auto"/>
      </w:pPr>
    </w:p>
    <w:p w14:paraId="77369BF8" w14:textId="68C9BDBF" w:rsidR="00BE390E" w:rsidRPr="00D55B59" w:rsidRDefault="00BE390E" w:rsidP="00FB5458">
      <w:pPr>
        <w:pStyle w:val="Default"/>
        <w:keepNext/>
        <w:rPr>
          <w:color w:val="auto"/>
          <w:sz w:val="22"/>
          <w:szCs w:val="22"/>
          <w:u w:val="single"/>
          <w:lang w:val="en-GB" w:eastAsia="en-GB"/>
          <w:rPrChange w:id="1032" w:author="Author">
            <w:rPr>
              <w:color w:val="auto"/>
              <w:sz w:val="22"/>
              <w:szCs w:val="22"/>
              <w:u w:val="single"/>
              <w:lang w:eastAsia="en-GB"/>
            </w:rPr>
          </w:rPrChange>
        </w:rPr>
      </w:pPr>
      <w:r w:rsidRPr="00D55B59">
        <w:rPr>
          <w:color w:val="auto"/>
          <w:sz w:val="22"/>
          <w:szCs w:val="22"/>
          <w:u w:val="single"/>
          <w:lang w:val="en-GB" w:eastAsia="en-GB"/>
          <w:rPrChange w:id="1033" w:author="Author">
            <w:rPr>
              <w:color w:val="auto"/>
              <w:sz w:val="22"/>
              <w:szCs w:val="22"/>
              <w:u w:val="single"/>
              <w:lang w:eastAsia="en-GB"/>
            </w:rPr>
          </w:rPrChange>
        </w:rPr>
        <w:t>AMGEVITA 40</w:t>
      </w:r>
      <w:r w:rsidRPr="00D55B59">
        <w:rPr>
          <w:color w:val="auto"/>
          <w:sz w:val="22"/>
          <w:szCs w:val="22"/>
          <w:u w:val="single"/>
          <w:lang w:val="en-GB"/>
          <w:rPrChange w:id="1034" w:author="Author">
            <w:rPr>
              <w:color w:val="auto"/>
              <w:sz w:val="22"/>
              <w:szCs w:val="22"/>
              <w:u w:val="single"/>
            </w:rPr>
          </w:rPrChange>
        </w:rPr>
        <w:t> </w:t>
      </w:r>
      <w:r w:rsidRPr="00D55B59">
        <w:rPr>
          <w:color w:val="auto"/>
          <w:sz w:val="22"/>
          <w:szCs w:val="22"/>
          <w:u w:val="single"/>
          <w:lang w:val="en-GB" w:eastAsia="en-GB"/>
          <w:rPrChange w:id="1035" w:author="Author">
            <w:rPr>
              <w:color w:val="auto"/>
              <w:sz w:val="22"/>
              <w:szCs w:val="22"/>
              <w:u w:val="single"/>
              <w:lang w:eastAsia="en-GB"/>
            </w:rPr>
          </w:rPrChange>
        </w:rPr>
        <w:t>mg solution for injection in pre-filled pen</w:t>
      </w:r>
    </w:p>
    <w:p w14:paraId="1E813389" w14:textId="77777777" w:rsidR="00452BC6" w:rsidRPr="00D55B59" w:rsidRDefault="00452BC6" w:rsidP="00FB5458">
      <w:pPr>
        <w:pStyle w:val="Default"/>
        <w:keepNext/>
        <w:rPr>
          <w:color w:val="auto"/>
          <w:sz w:val="22"/>
          <w:szCs w:val="22"/>
          <w:u w:val="single"/>
          <w:lang w:val="en-GB" w:eastAsia="en-GB"/>
          <w:rPrChange w:id="1036" w:author="Author">
            <w:rPr>
              <w:color w:val="auto"/>
              <w:sz w:val="22"/>
              <w:szCs w:val="22"/>
              <w:u w:val="single"/>
              <w:lang w:eastAsia="en-GB"/>
            </w:rPr>
          </w:rPrChange>
        </w:rPr>
      </w:pPr>
    </w:p>
    <w:p w14:paraId="050A6A50" w14:textId="4D5AAFDF" w:rsidR="00BE390E" w:rsidRPr="001775D9" w:rsidRDefault="00D42A00" w:rsidP="00B61D9D">
      <w:pPr>
        <w:spacing w:line="240" w:lineRule="auto"/>
      </w:pPr>
      <w:r w:rsidRPr="001775D9">
        <w:rPr>
          <w:szCs w:val="22"/>
          <w:lang w:eastAsia="en-GB"/>
        </w:rPr>
        <w:t xml:space="preserve">0.8 mL </w:t>
      </w:r>
      <w:r w:rsidR="00764F4D" w:rsidRPr="001775D9">
        <w:rPr>
          <w:szCs w:val="22"/>
          <w:lang w:eastAsia="en-GB"/>
        </w:rPr>
        <w:t xml:space="preserve">solution for injection in pre-filled pen for patient use containing a pre-filled syringe (type I glass). </w:t>
      </w:r>
      <w:r w:rsidR="00764F4D" w:rsidRPr="001775D9">
        <w:t xml:space="preserve">The </w:t>
      </w:r>
      <w:r w:rsidR="00764F4D" w:rsidRPr="001775D9">
        <w:rPr>
          <w:szCs w:val="22"/>
        </w:rPr>
        <w:t>pen</w:t>
      </w:r>
      <w:r w:rsidR="00764F4D" w:rsidRPr="001775D9">
        <w:t xml:space="preserve"> is a single use, disposable, handheld, mechanical injec</w:t>
      </w:r>
      <w:r w:rsidR="00DD5232" w:rsidRPr="001775D9">
        <w:t>tion</w:t>
      </w:r>
      <w:r w:rsidR="00D53D10" w:rsidRPr="001775D9">
        <w:t xml:space="preserve"> device</w:t>
      </w:r>
      <w:r w:rsidR="00DD5232" w:rsidRPr="001775D9">
        <w:t>.</w:t>
      </w:r>
      <w:r w:rsidR="001634B8" w:rsidRPr="001775D9">
        <w:t xml:space="preserve"> </w:t>
      </w:r>
      <w:r w:rsidR="001634B8" w:rsidRPr="001775D9">
        <w:rPr>
          <w:szCs w:val="22"/>
          <w:lang w:eastAsia="en-GB"/>
        </w:rPr>
        <w:t xml:space="preserve">The needle cover of the pre-filled pen is made from </w:t>
      </w:r>
      <w:r w:rsidR="001F5FB4" w:rsidRPr="001775D9">
        <w:rPr>
          <w:szCs w:val="22"/>
          <w:lang w:eastAsia="en-GB"/>
        </w:rPr>
        <w:t xml:space="preserve">synthetic </w:t>
      </w:r>
      <w:r w:rsidR="001634B8" w:rsidRPr="001775D9">
        <w:rPr>
          <w:szCs w:val="22"/>
          <w:lang w:eastAsia="en-GB"/>
        </w:rPr>
        <w:t>rubber.</w:t>
      </w:r>
    </w:p>
    <w:p w14:paraId="7B9D4438" w14:textId="77777777" w:rsidR="00A81D5B" w:rsidRPr="00D55B59" w:rsidRDefault="00A81D5B" w:rsidP="00FB5458">
      <w:pPr>
        <w:pStyle w:val="Default"/>
        <w:rPr>
          <w:color w:val="auto"/>
          <w:sz w:val="22"/>
          <w:szCs w:val="22"/>
          <w:lang w:val="en-GB"/>
          <w:rPrChange w:id="1037" w:author="Author">
            <w:rPr>
              <w:color w:val="auto"/>
              <w:sz w:val="22"/>
              <w:szCs w:val="22"/>
            </w:rPr>
          </w:rPrChange>
        </w:rPr>
      </w:pPr>
    </w:p>
    <w:p w14:paraId="5B4F0B48" w14:textId="56090410" w:rsidR="00764F4D" w:rsidRPr="00D55B59" w:rsidRDefault="00764F4D" w:rsidP="00FB5458">
      <w:pPr>
        <w:pStyle w:val="Default"/>
        <w:rPr>
          <w:color w:val="auto"/>
          <w:sz w:val="22"/>
          <w:szCs w:val="22"/>
          <w:lang w:val="en-GB"/>
          <w:rPrChange w:id="1038" w:author="Author">
            <w:rPr>
              <w:color w:val="auto"/>
              <w:sz w:val="22"/>
              <w:szCs w:val="22"/>
            </w:rPr>
          </w:rPrChange>
        </w:rPr>
      </w:pPr>
      <w:r w:rsidRPr="00D55B59">
        <w:rPr>
          <w:color w:val="auto"/>
          <w:sz w:val="22"/>
          <w:szCs w:val="22"/>
          <w:lang w:val="en-GB"/>
          <w:rPrChange w:id="1039" w:author="Author">
            <w:rPr>
              <w:color w:val="auto"/>
              <w:sz w:val="22"/>
              <w:szCs w:val="22"/>
            </w:rPr>
          </w:rPrChange>
        </w:rPr>
        <w:t xml:space="preserve">Pack sizes of </w:t>
      </w:r>
      <w:r w:rsidR="009E040A" w:rsidRPr="00D55B59">
        <w:rPr>
          <w:color w:val="auto"/>
          <w:sz w:val="22"/>
          <w:szCs w:val="22"/>
          <w:lang w:val="en-GB"/>
          <w:rPrChange w:id="1040" w:author="Author">
            <w:rPr>
              <w:color w:val="auto"/>
              <w:sz w:val="22"/>
              <w:szCs w:val="22"/>
            </w:rPr>
          </w:rPrChange>
        </w:rPr>
        <w:t>1</w:t>
      </w:r>
      <w:r w:rsidRPr="00D55B59">
        <w:rPr>
          <w:color w:val="auto"/>
          <w:sz w:val="22"/>
          <w:szCs w:val="22"/>
          <w:lang w:val="en-GB"/>
          <w:rPrChange w:id="1041" w:author="Author">
            <w:rPr>
              <w:color w:val="auto"/>
              <w:sz w:val="22"/>
              <w:szCs w:val="22"/>
            </w:rPr>
          </w:rPrChange>
        </w:rPr>
        <w:t xml:space="preserve">, </w:t>
      </w:r>
      <w:r w:rsidR="009E040A" w:rsidRPr="00D55B59">
        <w:rPr>
          <w:color w:val="auto"/>
          <w:sz w:val="22"/>
          <w:szCs w:val="22"/>
          <w:lang w:val="en-GB"/>
          <w:rPrChange w:id="1042" w:author="Author">
            <w:rPr>
              <w:color w:val="auto"/>
              <w:sz w:val="22"/>
              <w:szCs w:val="22"/>
            </w:rPr>
          </w:rPrChange>
        </w:rPr>
        <w:t>2</w:t>
      </w:r>
      <w:r w:rsidRPr="00D55B59">
        <w:rPr>
          <w:color w:val="auto"/>
          <w:sz w:val="22"/>
          <w:szCs w:val="22"/>
          <w:lang w:val="en-GB"/>
          <w:rPrChange w:id="1043" w:author="Author">
            <w:rPr>
              <w:color w:val="auto"/>
              <w:sz w:val="22"/>
              <w:szCs w:val="22"/>
            </w:rPr>
          </w:rPrChange>
        </w:rPr>
        <w:t xml:space="preserve">, </w:t>
      </w:r>
      <w:r w:rsidR="009E040A" w:rsidRPr="00D55B59">
        <w:rPr>
          <w:color w:val="auto"/>
          <w:sz w:val="22"/>
          <w:szCs w:val="22"/>
          <w:lang w:val="en-GB"/>
          <w:rPrChange w:id="1044" w:author="Author">
            <w:rPr>
              <w:color w:val="auto"/>
              <w:sz w:val="22"/>
              <w:szCs w:val="22"/>
            </w:rPr>
          </w:rPrChange>
        </w:rPr>
        <w:t>4</w:t>
      </w:r>
      <w:r w:rsidRPr="00D55B59">
        <w:rPr>
          <w:color w:val="auto"/>
          <w:sz w:val="22"/>
          <w:szCs w:val="22"/>
          <w:lang w:val="en-GB"/>
          <w:rPrChange w:id="1045" w:author="Author">
            <w:rPr>
              <w:color w:val="auto"/>
              <w:sz w:val="22"/>
              <w:szCs w:val="22"/>
            </w:rPr>
          </w:rPrChange>
        </w:rPr>
        <w:t xml:space="preserve"> </w:t>
      </w:r>
      <w:r w:rsidR="0084623C" w:rsidRPr="00D55B59">
        <w:rPr>
          <w:color w:val="auto"/>
          <w:sz w:val="22"/>
          <w:szCs w:val="22"/>
          <w:lang w:val="en-GB"/>
          <w:rPrChange w:id="1046" w:author="Author">
            <w:rPr>
              <w:color w:val="auto"/>
              <w:sz w:val="22"/>
              <w:szCs w:val="22"/>
            </w:rPr>
          </w:rPrChange>
        </w:rPr>
        <w:t xml:space="preserve">or multipack of </w:t>
      </w:r>
      <w:r w:rsidR="009E040A" w:rsidRPr="00D55B59">
        <w:rPr>
          <w:color w:val="auto"/>
          <w:sz w:val="22"/>
          <w:szCs w:val="22"/>
          <w:lang w:val="en-GB"/>
          <w:rPrChange w:id="1047" w:author="Author">
            <w:rPr>
              <w:color w:val="auto"/>
              <w:sz w:val="22"/>
              <w:szCs w:val="22"/>
            </w:rPr>
          </w:rPrChange>
        </w:rPr>
        <w:t>6</w:t>
      </w:r>
      <w:r w:rsidR="0084623C" w:rsidRPr="00D55B59">
        <w:rPr>
          <w:color w:val="auto"/>
          <w:sz w:val="22"/>
          <w:szCs w:val="22"/>
          <w:lang w:val="en-GB"/>
          <w:rPrChange w:id="1048" w:author="Author">
            <w:rPr>
              <w:color w:val="auto"/>
              <w:sz w:val="22"/>
              <w:szCs w:val="22"/>
            </w:rPr>
          </w:rPrChange>
        </w:rPr>
        <w:t xml:space="preserve"> (3</w:t>
      </w:r>
      <w:r w:rsidR="009E040A" w:rsidRPr="00D55B59">
        <w:rPr>
          <w:color w:val="auto"/>
          <w:sz w:val="22"/>
          <w:szCs w:val="22"/>
          <w:lang w:val="en-GB"/>
          <w:rPrChange w:id="1049" w:author="Author">
            <w:rPr>
              <w:color w:val="auto"/>
              <w:sz w:val="22"/>
              <w:szCs w:val="22"/>
            </w:rPr>
          </w:rPrChange>
        </w:rPr>
        <w:t xml:space="preserve">packs of </w:t>
      </w:r>
      <w:r w:rsidR="0084623C" w:rsidRPr="00D55B59">
        <w:rPr>
          <w:color w:val="auto"/>
          <w:sz w:val="22"/>
          <w:szCs w:val="22"/>
          <w:lang w:val="en-GB"/>
          <w:rPrChange w:id="1050" w:author="Author">
            <w:rPr>
              <w:color w:val="auto"/>
              <w:sz w:val="22"/>
              <w:szCs w:val="22"/>
            </w:rPr>
          </w:rPrChange>
        </w:rPr>
        <w:t xml:space="preserve">2) </w:t>
      </w:r>
      <w:r w:rsidRPr="00D55B59">
        <w:rPr>
          <w:color w:val="auto"/>
          <w:sz w:val="22"/>
          <w:szCs w:val="22"/>
          <w:lang w:val="en-GB"/>
          <w:rPrChange w:id="1051" w:author="Author">
            <w:rPr>
              <w:color w:val="auto"/>
              <w:sz w:val="22"/>
              <w:szCs w:val="22"/>
            </w:rPr>
          </w:rPrChange>
        </w:rPr>
        <w:t>pre</w:t>
      </w:r>
      <w:r w:rsidRPr="00D55B59">
        <w:rPr>
          <w:rFonts w:eastAsia="PMingLiU"/>
          <w:color w:val="auto"/>
          <w:sz w:val="22"/>
          <w:szCs w:val="22"/>
          <w:lang w:val="en-GB" w:eastAsia="zh-TW"/>
          <w:rPrChange w:id="1052" w:author="Author">
            <w:rPr>
              <w:rFonts w:eastAsia="PMingLiU"/>
              <w:color w:val="auto"/>
              <w:sz w:val="22"/>
              <w:szCs w:val="22"/>
              <w:lang w:eastAsia="zh-TW"/>
            </w:rPr>
          </w:rPrChange>
        </w:rPr>
        <w:t>-</w:t>
      </w:r>
      <w:r w:rsidRPr="00D55B59">
        <w:rPr>
          <w:color w:val="auto"/>
          <w:sz w:val="22"/>
          <w:szCs w:val="22"/>
          <w:lang w:val="en-GB"/>
          <w:rPrChange w:id="1053" w:author="Author">
            <w:rPr>
              <w:color w:val="auto"/>
              <w:sz w:val="22"/>
              <w:szCs w:val="22"/>
            </w:rPr>
          </w:rPrChange>
        </w:rPr>
        <w:t>filled pens.</w:t>
      </w:r>
    </w:p>
    <w:p w14:paraId="0270BB93" w14:textId="77777777" w:rsidR="00E618E4" w:rsidRPr="001775D9" w:rsidRDefault="00BE390E" w:rsidP="00FB5458">
      <w:pPr>
        <w:tabs>
          <w:tab w:val="clear" w:pos="567"/>
        </w:tabs>
        <w:autoSpaceDE w:val="0"/>
        <w:autoSpaceDN w:val="0"/>
        <w:adjustRightInd w:val="0"/>
        <w:spacing w:line="240" w:lineRule="auto"/>
      </w:pPr>
      <w:r w:rsidRPr="001775D9">
        <w:t>Not all pack sizes may be marketed.</w:t>
      </w:r>
    </w:p>
    <w:p w14:paraId="39D8B7E4" w14:textId="77777777" w:rsidR="00430918" w:rsidRPr="001775D9" w:rsidRDefault="00430918" w:rsidP="00FB5458">
      <w:pPr>
        <w:tabs>
          <w:tab w:val="clear" w:pos="567"/>
        </w:tabs>
        <w:autoSpaceDE w:val="0"/>
        <w:autoSpaceDN w:val="0"/>
        <w:adjustRightInd w:val="0"/>
        <w:spacing w:line="240" w:lineRule="auto"/>
      </w:pPr>
    </w:p>
    <w:p w14:paraId="4A13763A" w14:textId="62DE173C" w:rsidR="00C42229" w:rsidRPr="001775D9" w:rsidRDefault="00C42229" w:rsidP="00B61D9D">
      <w:pPr>
        <w:keepNext/>
        <w:keepLines/>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6.6</w:t>
      </w:r>
      <w:r w:rsidRPr="001775D9">
        <w:rPr>
          <w:b/>
          <w:bCs/>
          <w:color w:val="000000"/>
          <w:szCs w:val="22"/>
          <w:lang w:eastAsia="en-GB"/>
        </w:rPr>
        <w:tab/>
        <w:t xml:space="preserve">Special precautions for disposal </w:t>
      </w:r>
      <w:r w:rsidR="00D53D10" w:rsidRPr="001775D9">
        <w:rPr>
          <w:b/>
          <w:bCs/>
          <w:color w:val="000000"/>
          <w:szCs w:val="22"/>
          <w:lang w:eastAsia="en-GB"/>
        </w:rPr>
        <w:t>and other handling</w:t>
      </w:r>
    </w:p>
    <w:p w14:paraId="67AB7C17" w14:textId="77777777" w:rsidR="00C42229" w:rsidRPr="001775D9" w:rsidRDefault="00C42229" w:rsidP="0002740D">
      <w:pPr>
        <w:keepNext/>
        <w:keepLines/>
        <w:tabs>
          <w:tab w:val="clear" w:pos="567"/>
        </w:tabs>
        <w:autoSpaceDE w:val="0"/>
        <w:autoSpaceDN w:val="0"/>
        <w:adjustRightInd w:val="0"/>
        <w:spacing w:line="240" w:lineRule="auto"/>
        <w:rPr>
          <w:color w:val="000000"/>
          <w:szCs w:val="22"/>
          <w:lang w:eastAsia="en-GB"/>
        </w:rPr>
      </w:pPr>
    </w:p>
    <w:p w14:paraId="76D7840E"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Any unused medicinal product or waste material should be disposed of in accordance with local requirements. </w:t>
      </w:r>
    </w:p>
    <w:p w14:paraId="44F21262" w14:textId="77777777" w:rsidR="00C42229" w:rsidRPr="001775D9" w:rsidRDefault="00C42229" w:rsidP="00FB5458">
      <w:pPr>
        <w:tabs>
          <w:tab w:val="clear" w:pos="567"/>
        </w:tabs>
        <w:autoSpaceDE w:val="0"/>
        <w:autoSpaceDN w:val="0"/>
        <w:adjustRightInd w:val="0"/>
        <w:spacing w:line="240" w:lineRule="auto"/>
        <w:rPr>
          <w:b/>
          <w:bCs/>
          <w:color w:val="000000"/>
          <w:szCs w:val="22"/>
          <w:lang w:eastAsia="en-GB"/>
        </w:rPr>
      </w:pPr>
    </w:p>
    <w:p w14:paraId="15B818D7" w14:textId="77777777" w:rsidR="006E658A" w:rsidRPr="001775D9" w:rsidRDefault="006E658A" w:rsidP="00FB5458">
      <w:pPr>
        <w:tabs>
          <w:tab w:val="clear" w:pos="567"/>
        </w:tabs>
        <w:autoSpaceDE w:val="0"/>
        <w:autoSpaceDN w:val="0"/>
        <w:adjustRightInd w:val="0"/>
        <w:spacing w:line="240" w:lineRule="auto"/>
        <w:rPr>
          <w:b/>
          <w:bCs/>
          <w:color w:val="000000"/>
          <w:szCs w:val="22"/>
          <w:lang w:eastAsia="en-GB"/>
        </w:rPr>
      </w:pPr>
    </w:p>
    <w:p w14:paraId="529D9E69" w14:textId="31DE61AA" w:rsidR="00C42229" w:rsidRPr="001775D9" w:rsidRDefault="00C42229"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7.</w:t>
      </w:r>
      <w:r w:rsidRPr="001775D9">
        <w:rPr>
          <w:b/>
          <w:bCs/>
          <w:color w:val="000000"/>
          <w:szCs w:val="22"/>
          <w:lang w:eastAsia="en-GB"/>
        </w:rPr>
        <w:tab/>
        <w:t xml:space="preserve">MARKETING AUTHORISATION HOLDER </w:t>
      </w:r>
    </w:p>
    <w:p w14:paraId="03D305BA" w14:textId="77777777" w:rsidR="00C42229" w:rsidRPr="001775D9" w:rsidRDefault="00C42229" w:rsidP="00FB5458">
      <w:pPr>
        <w:keepNext/>
        <w:tabs>
          <w:tab w:val="clear" w:pos="567"/>
        </w:tabs>
        <w:autoSpaceDE w:val="0"/>
        <w:autoSpaceDN w:val="0"/>
        <w:adjustRightInd w:val="0"/>
        <w:spacing w:line="240" w:lineRule="auto"/>
        <w:rPr>
          <w:szCs w:val="22"/>
          <w:lang w:eastAsia="en-GB"/>
        </w:rPr>
      </w:pPr>
    </w:p>
    <w:p w14:paraId="518F7368" w14:textId="77777777" w:rsidR="00764F4D" w:rsidRPr="00D55B59" w:rsidRDefault="00764F4D" w:rsidP="00B61D9D">
      <w:pPr>
        <w:keepNext/>
        <w:keepLines/>
        <w:spacing w:line="240" w:lineRule="auto"/>
        <w:rPr>
          <w:szCs w:val="22"/>
          <w:rPrChange w:id="1054" w:author="Author">
            <w:rPr>
              <w:szCs w:val="22"/>
              <w:lang w:val="en-US"/>
            </w:rPr>
          </w:rPrChange>
        </w:rPr>
      </w:pPr>
      <w:r w:rsidRPr="00D55B59">
        <w:rPr>
          <w:szCs w:val="22"/>
          <w:rPrChange w:id="1055" w:author="Author">
            <w:rPr>
              <w:szCs w:val="22"/>
              <w:lang w:val="en-US"/>
            </w:rPr>
          </w:rPrChange>
        </w:rPr>
        <w:t>Amgen Europe B.V.</w:t>
      </w:r>
    </w:p>
    <w:p w14:paraId="074B3786" w14:textId="77777777" w:rsidR="00764F4D" w:rsidRPr="00D55B59" w:rsidRDefault="00764F4D" w:rsidP="00B61D9D">
      <w:pPr>
        <w:keepNext/>
        <w:keepLines/>
        <w:spacing w:line="240" w:lineRule="auto"/>
        <w:rPr>
          <w:szCs w:val="22"/>
          <w:rPrChange w:id="1056" w:author="Author">
            <w:rPr>
              <w:szCs w:val="22"/>
              <w:lang w:val="en-US"/>
            </w:rPr>
          </w:rPrChange>
        </w:rPr>
      </w:pPr>
      <w:r w:rsidRPr="00D55B59">
        <w:rPr>
          <w:szCs w:val="22"/>
          <w:rPrChange w:id="1057" w:author="Author">
            <w:rPr>
              <w:szCs w:val="22"/>
              <w:lang w:val="en-US"/>
            </w:rPr>
          </w:rPrChange>
        </w:rPr>
        <w:t>Minervum 7061</w:t>
      </w:r>
    </w:p>
    <w:p w14:paraId="6B9DC1E1" w14:textId="5F14D4D1" w:rsidR="00764F4D" w:rsidRPr="001775D9" w:rsidRDefault="00764F4D" w:rsidP="00B61D9D">
      <w:pPr>
        <w:keepNext/>
        <w:keepLines/>
        <w:spacing w:line="240" w:lineRule="auto"/>
        <w:rPr>
          <w:szCs w:val="22"/>
        </w:rPr>
      </w:pPr>
      <w:r w:rsidRPr="001775D9">
        <w:rPr>
          <w:szCs w:val="22"/>
        </w:rPr>
        <w:t>4817 ZK Breda</w:t>
      </w:r>
    </w:p>
    <w:p w14:paraId="1E23C967" w14:textId="77777777" w:rsidR="00764F4D" w:rsidRPr="001775D9" w:rsidRDefault="00764F4D" w:rsidP="00B61D9D">
      <w:pPr>
        <w:keepNext/>
        <w:keepLines/>
        <w:spacing w:line="240" w:lineRule="auto"/>
        <w:rPr>
          <w:szCs w:val="22"/>
        </w:rPr>
      </w:pPr>
      <w:r w:rsidRPr="001775D9">
        <w:rPr>
          <w:szCs w:val="22"/>
        </w:rPr>
        <w:t>The Netherlands</w:t>
      </w:r>
    </w:p>
    <w:p w14:paraId="5DF24736" w14:textId="77777777" w:rsidR="00C42229" w:rsidRPr="001775D9" w:rsidRDefault="00C42229" w:rsidP="00FB5458">
      <w:pPr>
        <w:tabs>
          <w:tab w:val="clear" w:pos="567"/>
        </w:tabs>
        <w:autoSpaceDE w:val="0"/>
        <w:autoSpaceDN w:val="0"/>
        <w:adjustRightInd w:val="0"/>
        <w:spacing w:line="240" w:lineRule="auto"/>
        <w:rPr>
          <w:b/>
          <w:bCs/>
          <w:szCs w:val="22"/>
          <w:lang w:eastAsia="en-GB"/>
        </w:rPr>
      </w:pPr>
    </w:p>
    <w:p w14:paraId="32A2D7CE" w14:textId="77777777" w:rsidR="00C42229" w:rsidRPr="001775D9" w:rsidRDefault="00C42229" w:rsidP="00FB5458">
      <w:pPr>
        <w:tabs>
          <w:tab w:val="clear" w:pos="567"/>
        </w:tabs>
        <w:autoSpaceDE w:val="0"/>
        <w:autoSpaceDN w:val="0"/>
        <w:adjustRightInd w:val="0"/>
        <w:spacing w:line="240" w:lineRule="auto"/>
        <w:rPr>
          <w:b/>
          <w:bCs/>
          <w:color w:val="000000"/>
          <w:szCs w:val="22"/>
          <w:lang w:eastAsia="en-GB"/>
        </w:rPr>
      </w:pPr>
    </w:p>
    <w:p w14:paraId="2C3DD6F9" w14:textId="5C3E7691" w:rsidR="00FF5E57" w:rsidRPr="001775D9" w:rsidRDefault="00C42229" w:rsidP="00B61D9D">
      <w:pPr>
        <w:keepNext/>
        <w:tabs>
          <w:tab w:val="clear" w:pos="567"/>
        </w:tabs>
        <w:autoSpaceDE w:val="0"/>
        <w:autoSpaceDN w:val="0"/>
        <w:adjustRightInd w:val="0"/>
        <w:spacing w:line="240" w:lineRule="auto"/>
        <w:ind w:left="567" w:hanging="567"/>
        <w:rPr>
          <w:b/>
          <w:bCs/>
          <w:color w:val="000000"/>
          <w:szCs w:val="22"/>
          <w:lang w:eastAsia="en-GB"/>
        </w:rPr>
      </w:pPr>
      <w:r w:rsidRPr="001775D9">
        <w:rPr>
          <w:b/>
          <w:bCs/>
          <w:color w:val="000000"/>
          <w:szCs w:val="22"/>
          <w:lang w:eastAsia="en-GB"/>
        </w:rPr>
        <w:t>8.</w:t>
      </w:r>
      <w:r w:rsidRPr="001775D9">
        <w:rPr>
          <w:b/>
          <w:bCs/>
          <w:color w:val="000000"/>
          <w:szCs w:val="22"/>
          <w:lang w:eastAsia="en-GB"/>
        </w:rPr>
        <w:tab/>
        <w:t>MARKETING AUTHORISATION NUMBER(S)</w:t>
      </w:r>
    </w:p>
    <w:p w14:paraId="5B6CDFD4" w14:textId="77777777" w:rsidR="00FF5E57" w:rsidRPr="001775D9" w:rsidRDefault="00FF5E57" w:rsidP="00747B80">
      <w:pPr>
        <w:keepNext/>
        <w:tabs>
          <w:tab w:val="clear" w:pos="567"/>
        </w:tabs>
        <w:autoSpaceDE w:val="0"/>
        <w:autoSpaceDN w:val="0"/>
        <w:adjustRightInd w:val="0"/>
        <w:spacing w:line="240" w:lineRule="auto"/>
        <w:rPr>
          <w:b/>
          <w:bCs/>
          <w:color w:val="000000"/>
          <w:szCs w:val="22"/>
          <w:lang w:eastAsia="en-GB"/>
        </w:rPr>
      </w:pPr>
    </w:p>
    <w:p w14:paraId="7AD3ABE4" w14:textId="6ED6974D" w:rsidR="00FF5E57" w:rsidRPr="00D55B59" w:rsidRDefault="00FF5E57" w:rsidP="00747B80">
      <w:pPr>
        <w:pStyle w:val="Default"/>
        <w:keepNext/>
        <w:rPr>
          <w:sz w:val="22"/>
          <w:szCs w:val="22"/>
          <w:u w:val="single"/>
          <w:lang w:val="en-GB" w:eastAsia="en-GB"/>
          <w:rPrChange w:id="1058" w:author="Author">
            <w:rPr>
              <w:sz w:val="22"/>
              <w:szCs w:val="22"/>
              <w:u w:val="single"/>
              <w:lang w:eastAsia="en-GB"/>
            </w:rPr>
          </w:rPrChange>
        </w:rPr>
      </w:pPr>
      <w:r w:rsidRPr="00D55B59">
        <w:rPr>
          <w:sz w:val="22"/>
          <w:szCs w:val="22"/>
          <w:u w:val="single"/>
          <w:lang w:val="en-GB" w:eastAsia="en-GB"/>
          <w:rPrChange w:id="1059" w:author="Author">
            <w:rPr>
              <w:sz w:val="22"/>
              <w:szCs w:val="22"/>
              <w:u w:val="single"/>
              <w:lang w:eastAsia="en-GB"/>
            </w:rPr>
          </w:rPrChange>
        </w:rPr>
        <w:t>AMGEVITA 20 mg solution for injection in pre-filled syringe</w:t>
      </w:r>
    </w:p>
    <w:p w14:paraId="3977695F" w14:textId="77777777" w:rsidR="00503B55" w:rsidRPr="00D55B59" w:rsidRDefault="00503B55" w:rsidP="00747B80">
      <w:pPr>
        <w:pStyle w:val="Default"/>
        <w:keepNext/>
        <w:rPr>
          <w:sz w:val="22"/>
          <w:szCs w:val="22"/>
          <w:u w:val="single"/>
          <w:lang w:val="en-GB" w:eastAsia="en-GB"/>
          <w:rPrChange w:id="1060" w:author="Author">
            <w:rPr>
              <w:sz w:val="22"/>
              <w:szCs w:val="22"/>
              <w:u w:val="single"/>
              <w:lang w:eastAsia="en-GB"/>
            </w:rPr>
          </w:rPrChange>
        </w:rPr>
      </w:pPr>
    </w:p>
    <w:p w14:paraId="25764EE7" w14:textId="351239DA" w:rsidR="00FF5E57" w:rsidRPr="00D55B59" w:rsidRDefault="00FF5E57" w:rsidP="00B61D9D">
      <w:pPr>
        <w:keepNext/>
        <w:spacing w:line="240" w:lineRule="auto"/>
        <w:rPr>
          <w:color w:val="000000"/>
          <w:rPrChange w:id="1061" w:author="Author">
            <w:rPr>
              <w:color w:val="000000"/>
              <w:lang w:val="sv-SE"/>
            </w:rPr>
          </w:rPrChange>
        </w:rPr>
      </w:pPr>
      <w:r w:rsidRPr="00D55B59">
        <w:rPr>
          <w:color w:val="000000"/>
          <w:rPrChange w:id="1062" w:author="Author">
            <w:rPr>
              <w:color w:val="000000"/>
              <w:lang w:val="sv-SE"/>
            </w:rPr>
          </w:rPrChange>
        </w:rPr>
        <w:t>EU/1/16/1164/001</w:t>
      </w:r>
      <w:r w:rsidR="00F95476" w:rsidRPr="00D55B59">
        <w:rPr>
          <w:color w:val="000000"/>
          <w:rPrChange w:id="1063" w:author="Author">
            <w:rPr>
              <w:color w:val="000000"/>
              <w:lang w:val="sv-SE"/>
            </w:rPr>
          </w:rPrChange>
        </w:rPr>
        <w:t xml:space="preserve"> – 1 </w:t>
      </w:r>
      <w:r w:rsidR="00FA2F76" w:rsidRPr="00D55B59">
        <w:rPr>
          <w:color w:val="000000"/>
          <w:rPrChange w:id="1064" w:author="Author">
            <w:rPr>
              <w:color w:val="000000"/>
              <w:lang w:val="sv-SE"/>
            </w:rPr>
          </w:rPrChange>
        </w:rPr>
        <w:t>pack</w:t>
      </w:r>
    </w:p>
    <w:p w14:paraId="17423FF5" w14:textId="77777777" w:rsidR="00503B55" w:rsidRPr="00D55B59" w:rsidRDefault="00503B55" w:rsidP="00B61D9D">
      <w:pPr>
        <w:keepNext/>
        <w:spacing w:line="240" w:lineRule="auto"/>
        <w:rPr>
          <w:color w:val="000000"/>
          <w:rPrChange w:id="1065" w:author="Author">
            <w:rPr>
              <w:color w:val="000000"/>
              <w:lang w:val="sv-SE"/>
            </w:rPr>
          </w:rPrChange>
        </w:rPr>
      </w:pPr>
    </w:p>
    <w:p w14:paraId="46BDBE2C" w14:textId="639C52B9" w:rsidR="00FF5E57" w:rsidRPr="00D55B59" w:rsidRDefault="00FF5E57" w:rsidP="00747B80">
      <w:pPr>
        <w:pStyle w:val="Default"/>
        <w:keepNext/>
        <w:rPr>
          <w:sz w:val="22"/>
          <w:szCs w:val="22"/>
          <w:u w:val="single"/>
          <w:lang w:val="en-GB" w:eastAsia="en-GB"/>
          <w:rPrChange w:id="1066" w:author="Author">
            <w:rPr>
              <w:sz w:val="22"/>
              <w:szCs w:val="22"/>
              <w:u w:val="single"/>
              <w:lang w:val="sv-SE" w:eastAsia="en-GB"/>
            </w:rPr>
          </w:rPrChange>
        </w:rPr>
      </w:pPr>
      <w:r w:rsidRPr="00D55B59">
        <w:rPr>
          <w:sz w:val="22"/>
          <w:szCs w:val="22"/>
          <w:u w:val="single"/>
          <w:lang w:val="en-GB" w:eastAsia="en-GB"/>
          <w:rPrChange w:id="1067" w:author="Author">
            <w:rPr>
              <w:sz w:val="22"/>
              <w:szCs w:val="22"/>
              <w:u w:val="single"/>
              <w:lang w:val="sv-SE" w:eastAsia="en-GB"/>
            </w:rPr>
          </w:rPrChange>
        </w:rPr>
        <w:t>AMGEVITA 40 mg solution for injection in pre-filled syringe</w:t>
      </w:r>
    </w:p>
    <w:p w14:paraId="7F1E704D" w14:textId="77777777" w:rsidR="00503B55" w:rsidRPr="00D55B59" w:rsidRDefault="00503B55" w:rsidP="00747B80">
      <w:pPr>
        <w:pStyle w:val="Default"/>
        <w:keepNext/>
        <w:rPr>
          <w:sz w:val="22"/>
          <w:szCs w:val="22"/>
          <w:u w:val="single"/>
          <w:lang w:val="en-GB" w:eastAsia="en-GB"/>
          <w:rPrChange w:id="1068" w:author="Author">
            <w:rPr>
              <w:sz w:val="22"/>
              <w:szCs w:val="22"/>
              <w:u w:val="single"/>
              <w:lang w:val="sv-SE" w:eastAsia="en-GB"/>
            </w:rPr>
          </w:rPrChange>
        </w:rPr>
      </w:pPr>
    </w:p>
    <w:p w14:paraId="7835780C" w14:textId="77777777" w:rsidR="00FF5E57" w:rsidRPr="00D55B59" w:rsidRDefault="00FF5E57" w:rsidP="00B61D9D">
      <w:pPr>
        <w:keepNext/>
        <w:spacing w:line="240" w:lineRule="auto"/>
        <w:rPr>
          <w:color w:val="000000"/>
          <w:lang w:val="fr-FR"/>
          <w:rPrChange w:id="1069" w:author="Author">
            <w:rPr>
              <w:color w:val="000000"/>
              <w:lang w:val="sv-SE"/>
            </w:rPr>
          </w:rPrChange>
        </w:rPr>
      </w:pPr>
      <w:r w:rsidRPr="00D55B59">
        <w:rPr>
          <w:color w:val="000000"/>
          <w:lang w:val="fr-FR"/>
          <w:rPrChange w:id="1070" w:author="Author">
            <w:rPr>
              <w:color w:val="000000"/>
              <w:lang w:val="sv-SE"/>
            </w:rPr>
          </w:rPrChange>
        </w:rPr>
        <w:t>EU/1/16/1164/002</w:t>
      </w:r>
      <w:r w:rsidR="00F95476" w:rsidRPr="00D55B59">
        <w:rPr>
          <w:color w:val="000000"/>
          <w:lang w:val="fr-FR"/>
          <w:rPrChange w:id="1071" w:author="Author">
            <w:rPr>
              <w:color w:val="000000"/>
              <w:lang w:val="sv-SE"/>
            </w:rPr>
          </w:rPrChange>
        </w:rPr>
        <w:t xml:space="preserve"> – 1 </w:t>
      </w:r>
      <w:r w:rsidR="00FA2F76" w:rsidRPr="00D55B59">
        <w:rPr>
          <w:color w:val="000000"/>
          <w:lang w:val="fr-FR"/>
          <w:rPrChange w:id="1072" w:author="Author">
            <w:rPr>
              <w:color w:val="000000"/>
              <w:lang w:val="sv-SE"/>
            </w:rPr>
          </w:rPrChange>
        </w:rPr>
        <w:t>pack</w:t>
      </w:r>
    </w:p>
    <w:p w14:paraId="364B4AF0" w14:textId="77777777" w:rsidR="00FF5E57" w:rsidRPr="00D55B59" w:rsidRDefault="00FF5E57" w:rsidP="00B61D9D">
      <w:pPr>
        <w:spacing w:line="240" w:lineRule="auto"/>
        <w:rPr>
          <w:color w:val="000000"/>
          <w:lang w:val="fr-FR"/>
          <w:rPrChange w:id="1073" w:author="Author">
            <w:rPr>
              <w:color w:val="000000"/>
              <w:lang w:val="sv-SE"/>
            </w:rPr>
          </w:rPrChange>
        </w:rPr>
      </w:pPr>
      <w:r w:rsidRPr="00D55B59">
        <w:rPr>
          <w:color w:val="000000"/>
          <w:lang w:val="fr-FR"/>
          <w:rPrChange w:id="1074" w:author="Author">
            <w:rPr>
              <w:color w:val="000000"/>
              <w:lang w:val="sv-SE"/>
            </w:rPr>
          </w:rPrChange>
        </w:rPr>
        <w:t>EU/1/16/1164/003</w:t>
      </w:r>
      <w:r w:rsidR="00F95476" w:rsidRPr="00D55B59">
        <w:rPr>
          <w:color w:val="000000"/>
          <w:lang w:val="fr-FR"/>
          <w:rPrChange w:id="1075" w:author="Author">
            <w:rPr>
              <w:color w:val="000000"/>
              <w:lang w:val="sv-SE"/>
            </w:rPr>
          </w:rPrChange>
        </w:rPr>
        <w:t xml:space="preserve"> – 2 </w:t>
      </w:r>
      <w:r w:rsidR="00FA2F76" w:rsidRPr="00D55B59">
        <w:rPr>
          <w:color w:val="000000"/>
          <w:lang w:val="fr-FR"/>
          <w:rPrChange w:id="1076" w:author="Author">
            <w:rPr>
              <w:color w:val="000000"/>
              <w:lang w:val="sv-SE"/>
            </w:rPr>
          </w:rPrChange>
        </w:rPr>
        <w:t>pack</w:t>
      </w:r>
    </w:p>
    <w:p w14:paraId="0186A64B" w14:textId="77777777" w:rsidR="00FF5E57" w:rsidRPr="00D55B59" w:rsidRDefault="00FF5E57" w:rsidP="00B61D9D">
      <w:pPr>
        <w:spacing w:line="240" w:lineRule="auto"/>
        <w:rPr>
          <w:color w:val="000000"/>
          <w:lang w:val="fr-FR"/>
          <w:rPrChange w:id="1077" w:author="Author">
            <w:rPr>
              <w:color w:val="000000"/>
              <w:lang w:val="sv-SE"/>
            </w:rPr>
          </w:rPrChange>
        </w:rPr>
      </w:pPr>
      <w:r w:rsidRPr="00D55B59">
        <w:rPr>
          <w:color w:val="000000"/>
          <w:lang w:val="fr-FR"/>
          <w:rPrChange w:id="1078" w:author="Author">
            <w:rPr>
              <w:color w:val="000000"/>
              <w:lang w:val="sv-SE"/>
            </w:rPr>
          </w:rPrChange>
        </w:rPr>
        <w:t>EU/1/16/1164/004</w:t>
      </w:r>
      <w:r w:rsidR="00F95476" w:rsidRPr="00D55B59">
        <w:rPr>
          <w:color w:val="000000"/>
          <w:lang w:val="fr-FR"/>
          <w:rPrChange w:id="1079" w:author="Author">
            <w:rPr>
              <w:color w:val="000000"/>
              <w:lang w:val="sv-SE"/>
            </w:rPr>
          </w:rPrChange>
        </w:rPr>
        <w:t xml:space="preserve"> – 4 </w:t>
      </w:r>
      <w:r w:rsidR="00FA2F76" w:rsidRPr="00D55B59">
        <w:rPr>
          <w:color w:val="000000"/>
          <w:lang w:val="fr-FR"/>
          <w:rPrChange w:id="1080" w:author="Author">
            <w:rPr>
              <w:color w:val="000000"/>
              <w:lang w:val="sv-SE"/>
            </w:rPr>
          </w:rPrChange>
        </w:rPr>
        <w:t>pack</w:t>
      </w:r>
    </w:p>
    <w:p w14:paraId="25A63B34" w14:textId="06345248" w:rsidR="00FF5E57" w:rsidRPr="00D55B59" w:rsidRDefault="00FF5E57" w:rsidP="00B61D9D">
      <w:pPr>
        <w:spacing w:line="240" w:lineRule="auto"/>
        <w:rPr>
          <w:color w:val="000000"/>
          <w:lang w:val="en-US"/>
          <w:rPrChange w:id="1081" w:author="Author">
            <w:rPr>
              <w:color w:val="000000"/>
            </w:rPr>
          </w:rPrChange>
        </w:rPr>
      </w:pPr>
      <w:r w:rsidRPr="00D55B59">
        <w:rPr>
          <w:color w:val="000000"/>
          <w:lang w:val="en-US"/>
          <w:rPrChange w:id="1082" w:author="Author">
            <w:rPr>
              <w:color w:val="000000"/>
            </w:rPr>
          </w:rPrChange>
        </w:rPr>
        <w:t>EU/1/16/1164/005</w:t>
      </w:r>
      <w:r w:rsidR="00F95476" w:rsidRPr="00D55B59">
        <w:rPr>
          <w:color w:val="000000"/>
          <w:lang w:val="en-US"/>
          <w:rPrChange w:id="1083" w:author="Author">
            <w:rPr>
              <w:color w:val="000000"/>
            </w:rPr>
          </w:rPrChange>
        </w:rPr>
        <w:t xml:space="preserve"> – 6 </w:t>
      </w:r>
      <w:r w:rsidR="0056327A" w:rsidRPr="00D55B59">
        <w:rPr>
          <w:color w:val="000000"/>
          <w:lang w:val="en-US"/>
          <w:rPrChange w:id="1084" w:author="Author">
            <w:rPr>
              <w:color w:val="000000"/>
            </w:rPr>
          </w:rPrChange>
        </w:rPr>
        <w:t>(3x2) multi</w:t>
      </w:r>
      <w:r w:rsidR="00633CE4" w:rsidRPr="00D55B59">
        <w:rPr>
          <w:color w:val="000000"/>
          <w:lang w:val="en-US"/>
          <w:rPrChange w:id="1085" w:author="Author">
            <w:rPr>
              <w:color w:val="000000"/>
            </w:rPr>
          </w:rPrChange>
        </w:rPr>
        <w:t>pack</w:t>
      </w:r>
    </w:p>
    <w:p w14:paraId="6C01C545" w14:textId="77777777" w:rsidR="00503B55" w:rsidRPr="00D55B59" w:rsidRDefault="00503B55" w:rsidP="00B61D9D">
      <w:pPr>
        <w:spacing w:line="240" w:lineRule="auto"/>
        <w:rPr>
          <w:color w:val="000000"/>
          <w:lang w:val="en-US"/>
          <w:rPrChange w:id="1086" w:author="Author">
            <w:rPr>
              <w:color w:val="000000"/>
            </w:rPr>
          </w:rPrChange>
        </w:rPr>
      </w:pPr>
    </w:p>
    <w:p w14:paraId="7539F6F5" w14:textId="1AF9D0D2" w:rsidR="00FF5E57" w:rsidRPr="00D55B59" w:rsidRDefault="00FF5E57" w:rsidP="001C2A6A">
      <w:pPr>
        <w:pStyle w:val="Default"/>
        <w:keepNext/>
        <w:keepLines/>
        <w:rPr>
          <w:color w:val="auto"/>
          <w:sz w:val="22"/>
          <w:szCs w:val="22"/>
          <w:u w:val="single"/>
          <w:lang w:val="en-GB" w:eastAsia="en-GB"/>
          <w:rPrChange w:id="1087" w:author="Author">
            <w:rPr>
              <w:color w:val="auto"/>
              <w:sz w:val="22"/>
              <w:szCs w:val="22"/>
              <w:u w:val="single"/>
              <w:lang w:eastAsia="en-GB"/>
            </w:rPr>
          </w:rPrChange>
        </w:rPr>
      </w:pPr>
      <w:r w:rsidRPr="00D55B59">
        <w:rPr>
          <w:sz w:val="22"/>
          <w:szCs w:val="22"/>
          <w:u w:val="single"/>
          <w:lang w:val="en-GB" w:eastAsia="en-GB"/>
          <w:rPrChange w:id="1088" w:author="Author">
            <w:rPr>
              <w:sz w:val="22"/>
              <w:szCs w:val="22"/>
              <w:u w:val="single"/>
              <w:lang w:eastAsia="en-GB"/>
            </w:rPr>
          </w:rPrChange>
        </w:rPr>
        <w:t>AMGEVITA</w:t>
      </w:r>
      <w:r w:rsidRPr="00D55B59">
        <w:rPr>
          <w:color w:val="auto"/>
          <w:sz w:val="22"/>
          <w:szCs w:val="22"/>
          <w:u w:val="single"/>
          <w:lang w:val="en-GB" w:eastAsia="en-GB"/>
          <w:rPrChange w:id="1089" w:author="Author">
            <w:rPr>
              <w:color w:val="auto"/>
              <w:sz w:val="22"/>
              <w:szCs w:val="22"/>
              <w:u w:val="single"/>
              <w:lang w:eastAsia="en-GB"/>
            </w:rPr>
          </w:rPrChange>
        </w:rPr>
        <w:t xml:space="preserve"> 40</w:t>
      </w:r>
      <w:r w:rsidRPr="00D55B59">
        <w:rPr>
          <w:color w:val="auto"/>
          <w:sz w:val="22"/>
          <w:szCs w:val="22"/>
          <w:u w:val="single"/>
          <w:lang w:val="en-GB"/>
          <w:rPrChange w:id="1090" w:author="Author">
            <w:rPr>
              <w:color w:val="auto"/>
              <w:sz w:val="22"/>
              <w:szCs w:val="22"/>
              <w:u w:val="single"/>
            </w:rPr>
          </w:rPrChange>
        </w:rPr>
        <w:t> </w:t>
      </w:r>
      <w:r w:rsidRPr="00D55B59">
        <w:rPr>
          <w:color w:val="auto"/>
          <w:sz w:val="22"/>
          <w:szCs w:val="22"/>
          <w:u w:val="single"/>
          <w:lang w:val="en-GB" w:eastAsia="en-GB"/>
          <w:rPrChange w:id="1091" w:author="Author">
            <w:rPr>
              <w:color w:val="auto"/>
              <w:sz w:val="22"/>
              <w:szCs w:val="22"/>
              <w:u w:val="single"/>
              <w:lang w:eastAsia="en-GB"/>
            </w:rPr>
          </w:rPrChange>
        </w:rPr>
        <w:t xml:space="preserve">mg solution for injection in pre-filled pen </w:t>
      </w:r>
    </w:p>
    <w:p w14:paraId="7CCCB95D" w14:textId="77777777" w:rsidR="00503B55" w:rsidRPr="00D55B59" w:rsidRDefault="00503B55" w:rsidP="001C2A6A">
      <w:pPr>
        <w:pStyle w:val="Default"/>
        <w:keepNext/>
        <w:keepLines/>
        <w:rPr>
          <w:color w:val="auto"/>
          <w:sz w:val="22"/>
          <w:szCs w:val="22"/>
          <w:u w:val="single"/>
          <w:lang w:val="en-GB" w:eastAsia="en-GB"/>
          <w:rPrChange w:id="1092" w:author="Author">
            <w:rPr>
              <w:color w:val="auto"/>
              <w:sz w:val="22"/>
              <w:szCs w:val="22"/>
              <w:u w:val="single"/>
              <w:lang w:eastAsia="en-GB"/>
            </w:rPr>
          </w:rPrChange>
        </w:rPr>
      </w:pPr>
    </w:p>
    <w:p w14:paraId="4BC3FBC5" w14:textId="77777777" w:rsidR="00FF5E57" w:rsidRPr="00D55B59" w:rsidRDefault="00FF5E57" w:rsidP="00B61D9D">
      <w:pPr>
        <w:keepNext/>
        <w:keepLines/>
        <w:spacing w:line="240" w:lineRule="auto"/>
        <w:rPr>
          <w:color w:val="000000"/>
          <w:lang w:val="fr-FR"/>
          <w:rPrChange w:id="1093" w:author="Author">
            <w:rPr>
              <w:color w:val="000000"/>
              <w:lang w:val="pt-PT"/>
            </w:rPr>
          </w:rPrChange>
        </w:rPr>
      </w:pPr>
      <w:r w:rsidRPr="00D55B59">
        <w:rPr>
          <w:color w:val="000000"/>
          <w:lang w:val="fr-FR"/>
          <w:rPrChange w:id="1094" w:author="Author">
            <w:rPr>
              <w:color w:val="000000"/>
              <w:lang w:val="pt-PT"/>
            </w:rPr>
          </w:rPrChange>
        </w:rPr>
        <w:t>EU/1/16/1164/006</w:t>
      </w:r>
      <w:r w:rsidR="00F95476" w:rsidRPr="00D55B59">
        <w:rPr>
          <w:color w:val="000000"/>
          <w:lang w:val="fr-FR"/>
          <w:rPrChange w:id="1095" w:author="Author">
            <w:rPr>
              <w:color w:val="000000"/>
              <w:lang w:val="pt-PT"/>
            </w:rPr>
          </w:rPrChange>
        </w:rPr>
        <w:t xml:space="preserve"> – 1 </w:t>
      </w:r>
      <w:r w:rsidR="00FA2F76" w:rsidRPr="00D55B59">
        <w:rPr>
          <w:color w:val="000000"/>
          <w:lang w:val="fr-FR"/>
          <w:rPrChange w:id="1096" w:author="Author">
            <w:rPr>
              <w:color w:val="000000"/>
              <w:lang w:val="pt-PT"/>
            </w:rPr>
          </w:rPrChange>
        </w:rPr>
        <w:t>pack</w:t>
      </w:r>
    </w:p>
    <w:p w14:paraId="389E7FDF" w14:textId="77777777" w:rsidR="00FF5E57" w:rsidRPr="00D55B59" w:rsidRDefault="00FF5E57" w:rsidP="00B61D9D">
      <w:pPr>
        <w:keepNext/>
        <w:keepLines/>
        <w:spacing w:line="240" w:lineRule="auto"/>
        <w:rPr>
          <w:color w:val="000000"/>
          <w:lang w:val="fr-FR"/>
          <w:rPrChange w:id="1097" w:author="Author">
            <w:rPr>
              <w:color w:val="000000"/>
              <w:lang w:val="pt-PT"/>
            </w:rPr>
          </w:rPrChange>
        </w:rPr>
      </w:pPr>
      <w:r w:rsidRPr="00D55B59">
        <w:rPr>
          <w:color w:val="000000"/>
          <w:lang w:val="fr-FR"/>
          <w:rPrChange w:id="1098" w:author="Author">
            <w:rPr>
              <w:color w:val="000000"/>
              <w:lang w:val="pt-PT"/>
            </w:rPr>
          </w:rPrChange>
        </w:rPr>
        <w:t>EU/1/16/1164/007</w:t>
      </w:r>
      <w:r w:rsidR="00F95476" w:rsidRPr="00D55B59">
        <w:rPr>
          <w:color w:val="000000"/>
          <w:lang w:val="fr-FR"/>
          <w:rPrChange w:id="1099" w:author="Author">
            <w:rPr>
              <w:color w:val="000000"/>
              <w:lang w:val="pt-PT"/>
            </w:rPr>
          </w:rPrChange>
        </w:rPr>
        <w:t xml:space="preserve"> – 2 </w:t>
      </w:r>
      <w:r w:rsidR="00FA2F76" w:rsidRPr="00D55B59">
        <w:rPr>
          <w:color w:val="000000"/>
          <w:lang w:val="fr-FR"/>
          <w:rPrChange w:id="1100" w:author="Author">
            <w:rPr>
              <w:color w:val="000000"/>
              <w:lang w:val="pt-PT"/>
            </w:rPr>
          </w:rPrChange>
        </w:rPr>
        <w:t>pack</w:t>
      </w:r>
    </w:p>
    <w:p w14:paraId="339C568B" w14:textId="77777777" w:rsidR="00FA2F76" w:rsidRPr="00D55B59" w:rsidRDefault="00FF5E57" w:rsidP="00B61D9D">
      <w:pPr>
        <w:spacing w:line="240" w:lineRule="auto"/>
        <w:rPr>
          <w:color w:val="000000"/>
          <w:lang w:val="fr-FR"/>
          <w:rPrChange w:id="1101" w:author="Author">
            <w:rPr>
              <w:color w:val="000000"/>
              <w:lang w:val="pt-PT"/>
            </w:rPr>
          </w:rPrChange>
        </w:rPr>
      </w:pPr>
      <w:r w:rsidRPr="00D55B59">
        <w:rPr>
          <w:color w:val="000000"/>
          <w:lang w:val="fr-FR"/>
          <w:rPrChange w:id="1102" w:author="Author">
            <w:rPr>
              <w:color w:val="000000"/>
              <w:lang w:val="pt-PT"/>
            </w:rPr>
          </w:rPrChange>
        </w:rPr>
        <w:t>EU/1/16/1164/008</w:t>
      </w:r>
      <w:r w:rsidR="00F95476" w:rsidRPr="00D55B59">
        <w:rPr>
          <w:color w:val="000000"/>
          <w:lang w:val="fr-FR"/>
          <w:rPrChange w:id="1103" w:author="Author">
            <w:rPr>
              <w:color w:val="000000"/>
              <w:lang w:val="pt-PT"/>
            </w:rPr>
          </w:rPrChange>
        </w:rPr>
        <w:t xml:space="preserve"> – 4 </w:t>
      </w:r>
      <w:r w:rsidR="00FA2F76" w:rsidRPr="00D55B59">
        <w:rPr>
          <w:color w:val="000000"/>
          <w:lang w:val="fr-FR"/>
          <w:rPrChange w:id="1104" w:author="Author">
            <w:rPr>
              <w:color w:val="000000"/>
              <w:lang w:val="pt-PT"/>
            </w:rPr>
          </w:rPrChange>
        </w:rPr>
        <w:t xml:space="preserve">pack </w:t>
      </w:r>
    </w:p>
    <w:p w14:paraId="0FB0E5BF" w14:textId="1D431758" w:rsidR="00FF5E57" w:rsidRPr="001775D9" w:rsidRDefault="00FF5E57" w:rsidP="00B61D9D">
      <w:pPr>
        <w:spacing w:line="240" w:lineRule="auto"/>
        <w:rPr>
          <w:color w:val="000000"/>
        </w:rPr>
      </w:pPr>
      <w:r w:rsidRPr="001775D9">
        <w:rPr>
          <w:color w:val="000000"/>
        </w:rPr>
        <w:t>EU/1/16/1164/009</w:t>
      </w:r>
      <w:r w:rsidR="00F95476" w:rsidRPr="001775D9">
        <w:rPr>
          <w:color w:val="000000"/>
        </w:rPr>
        <w:t xml:space="preserve"> – 6 </w:t>
      </w:r>
      <w:r w:rsidR="0056327A" w:rsidRPr="001775D9">
        <w:rPr>
          <w:color w:val="000000"/>
        </w:rPr>
        <w:t>(3x2) multi</w:t>
      </w:r>
      <w:r w:rsidR="00FA2F76" w:rsidRPr="001775D9">
        <w:rPr>
          <w:color w:val="000000"/>
        </w:rPr>
        <w:t>pack</w:t>
      </w:r>
    </w:p>
    <w:p w14:paraId="106A7C4C" w14:textId="77777777" w:rsidR="00C42229" w:rsidRPr="001775D9" w:rsidRDefault="00C42229" w:rsidP="00FB5458">
      <w:pPr>
        <w:tabs>
          <w:tab w:val="clear" w:pos="567"/>
        </w:tabs>
        <w:autoSpaceDE w:val="0"/>
        <w:autoSpaceDN w:val="0"/>
        <w:adjustRightInd w:val="0"/>
        <w:spacing w:line="240" w:lineRule="auto"/>
        <w:rPr>
          <w:color w:val="000000"/>
          <w:szCs w:val="22"/>
          <w:lang w:eastAsia="en-GB"/>
        </w:rPr>
      </w:pPr>
    </w:p>
    <w:p w14:paraId="602F3404" w14:textId="77777777" w:rsidR="000F4F21" w:rsidRPr="001775D9" w:rsidRDefault="000F4F21" w:rsidP="00FB5458">
      <w:pPr>
        <w:tabs>
          <w:tab w:val="clear" w:pos="567"/>
        </w:tabs>
        <w:autoSpaceDE w:val="0"/>
        <w:autoSpaceDN w:val="0"/>
        <w:adjustRightInd w:val="0"/>
        <w:spacing w:line="240" w:lineRule="auto"/>
        <w:rPr>
          <w:bCs/>
          <w:color w:val="000000"/>
          <w:szCs w:val="22"/>
          <w:lang w:eastAsia="en-GB"/>
        </w:rPr>
      </w:pPr>
    </w:p>
    <w:p w14:paraId="0DEB7771" w14:textId="15E35CF0" w:rsidR="00C42229" w:rsidRPr="001775D9" w:rsidRDefault="00C42229"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9.</w:t>
      </w:r>
      <w:r w:rsidRPr="001775D9">
        <w:rPr>
          <w:b/>
          <w:bCs/>
          <w:color w:val="000000"/>
          <w:szCs w:val="22"/>
          <w:lang w:eastAsia="en-GB"/>
        </w:rPr>
        <w:tab/>
        <w:t xml:space="preserve">DATE OF FIRST AUTHORISATION/RENEWAL OF THE AUTHORISATION </w:t>
      </w:r>
    </w:p>
    <w:p w14:paraId="1D51D271"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p>
    <w:p w14:paraId="6702E8DA" w14:textId="77777777" w:rsidR="00C42229" w:rsidRPr="001775D9" w:rsidRDefault="00C42229" w:rsidP="00FB5458">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Date of first authorisation: </w:t>
      </w:r>
      <w:r w:rsidR="004B0C5C" w:rsidRPr="001775D9">
        <w:rPr>
          <w:color w:val="000000"/>
          <w:szCs w:val="22"/>
          <w:lang w:eastAsia="en-GB"/>
        </w:rPr>
        <w:t>22 March 2017</w:t>
      </w:r>
    </w:p>
    <w:p w14:paraId="1BA2716A" w14:textId="20704FD6" w:rsidR="00503B55" w:rsidRPr="001775D9" w:rsidRDefault="00503B55" w:rsidP="00503B55">
      <w:pPr>
        <w:spacing w:line="240" w:lineRule="auto"/>
        <w:rPr>
          <w:color w:val="000000"/>
          <w:szCs w:val="22"/>
          <w:lang w:eastAsia="en-GB"/>
        </w:rPr>
      </w:pPr>
      <w:r w:rsidRPr="001775D9">
        <w:rPr>
          <w:color w:val="000000"/>
          <w:szCs w:val="22"/>
          <w:lang w:eastAsia="en-GB"/>
        </w:rPr>
        <w:t xml:space="preserve">Date of latest renewal: </w:t>
      </w:r>
      <w:r w:rsidR="004807CF" w:rsidRPr="001775D9">
        <w:rPr>
          <w:color w:val="000000"/>
          <w:szCs w:val="22"/>
          <w:lang w:eastAsia="en-GB"/>
        </w:rPr>
        <w:t>09 December 2021</w:t>
      </w:r>
    </w:p>
    <w:p w14:paraId="75ABEF0C" w14:textId="77777777" w:rsidR="00C42229" w:rsidRPr="001775D9" w:rsidRDefault="00C42229" w:rsidP="00FB5458">
      <w:pPr>
        <w:spacing w:line="240" w:lineRule="auto"/>
        <w:rPr>
          <w:color w:val="000000"/>
          <w:szCs w:val="22"/>
          <w:lang w:eastAsia="en-GB"/>
        </w:rPr>
      </w:pPr>
    </w:p>
    <w:p w14:paraId="5FFEA93A" w14:textId="77777777" w:rsidR="00764F4D" w:rsidRPr="001775D9" w:rsidRDefault="00764F4D" w:rsidP="00FB5458">
      <w:pPr>
        <w:spacing w:line="240" w:lineRule="auto"/>
        <w:rPr>
          <w:color w:val="000000"/>
          <w:szCs w:val="22"/>
          <w:lang w:eastAsia="en-GB"/>
        </w:rPr>
      </w:pPr>
    </w:p>
    <w:p w14:paraId="47AEF84D" w14:textId="156FE1B6" w:rsidR="00C42229" w:rsidRPr="001775D9" w:rsidRDefault="00C42229"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10.</w:t>
      </w:r>
      <w:r w:rsidRPr="001775D9">
        <w:rPr>
          <w:b/>
          <w:bCs/>
          <w:color w:val="000000"/>
          <w:szCs w:val="22"/>
          <w:lang w:eastAsia="en-GB"/>
        </w:rPr>
        <w:tab/>
        <w:t xml:space="preserve">DATE OF REVISION OF THE TEXT </w:t>
      </w:r>
    </w:p>
    <w:p w14:paraId="1E7880D6" w14:textId="77777777" w:rsidR="00C42229" w:rsidRPr="001775D9" w:rsidRDefault="00C42229" w:rsidP="003E0A49">
      <w:pPr>
        <w:keepNext/>
        <w:tabs>
          <w:tab w:val="clear" w:pos="567"/>
        </w:tabs>
        <w:autoSpaceDE w:val="0"/>
        <w:autoSpaceDN w:val="0"/>
        <w:adjustRightInd w:val="0"/>
        <w:spacing w:line="240" w:lineRule="auto"/>
        <w:rPr>
          <w:color w:val="000000"/>
          <w:szCs w:val="22"/>
          <w:lang w:eastAsia="en-GB"/>
        </w:rPr>
      </w:pPr>
    </w:p>
    <w:p w14:paraId="0FF34393" w14:textId="77777777" w:rsidR="00C42229" w:rsidRPr="001775D9" w:rsidRDefault="00C42229" w:rsidP="003E0A49">
      <w:pPr>
        <w:keepNext/>
        <w:tabs>
          <w:tab w:val="clear" w:pos="567"/>
        </w:tabs>
        <w:autoSpaceDE w:val="0"/>
        <w:autoSpaceDN w:val="0"/>
        <w:adjustRightInd w:val="0"/>
        <w:spacing w:line="240" w:lineRule="auto"/>
        <w:rPr>
          <w:color w:val="000000"/>
          <w:szCs w:val="22"/>
          <w:lang w:eastAsia="en-GB"/>
        </w:rPr>
      </w:pPr>
    </w:p>
    <w:p w14:paraId="027409DD" w14:textId="77777777" w:rsidR="00C42229" w:rsidRPr="001775D9" w:rsidRDefault="00C42229" w:rsidP="003E0A49">
      <w:pPr>
        <w:keepNext/>
        <w:spacing w:line="240" w:lineRule="auto"/>
        <w:rPr>
          <w:color w:val="000000"/>
          <w:szCs w:val="22"/>
          <w:lang w:eastAsia="en-GB"/>
        </w:rPr>
      </w:pPr>
    </w:p>
    <w:p w14:paraId="38AB2440" w14:textId="04C31884" w:rsidR="00C42229" w:rsidRPr="001775D9" w:rsidRDefault="00C42229" w:rsidP="003E0A49">
      <w:pPr>
        <w:keepNext/>
        <w:spacing w:line="240" w:lineRule="auto"/>
        <w:rPr>
          <w:szCs w:val="22"/>
        </w:rPr>
      </w:pPr>
      <w:r w:rsidRPr="001775D9">
        <w:rPr>
          <w:color w:val="000000"/>
          <w:szCs w:val="22"/>
          <w:lang w:eastAsia="en-GB"/>
        </w:rPr>
        <w:t xml:space="preserve">Detailed information on this medicinal product is available on the website of the European Medicines Agency </w:t>
      </w:r>
      <w:hyperlink r:id="rId18" w:history="1">
        <w:r w:rsidR="004F0D18" w:rsidRPr="001775D9">
          <w:rPr>
            <w:rStyle w:val="Hyperlink"/>
            <w:szCs w:val="22"/>
          </w:rPr>
          <w:t>http://www.ema.europa.eu</w:t>
        </w:r>
      </w:hyperlink>
      <w:r w:rsidR="00EC2B65" w:rsidRPr="001775D9">
        <w:rPr>
          <w:rStyle w:val="Hyperlink"/>
          <w:color w:val="auto"/>
          <w:szCs w:val="22"/>
          <w:u w:val="none"/>
        </w:rPr>
        <w:t>.</w:t>
      </w:r>
    </w:p>
    <w:p w14:paraId="52298CC0" w14:textId="77777777" w:rsidR="001778AA" w:rsidRPr="001775D9" w:rsidRDefault="00C42229" w:rsidP="00B61D9D">
      <w:pPr>
        <w:autoSpaceDE w:val="0"/>
        <w:autoSpaceDN w:val="0"/>
        <w:adjustRightInd w:val="0"/>
        <w:spacing w:line="240" w:lineRule="auto"/>
        <w:ind w:left="567" w:hanging="567"/>
        <w:rPr>
          <w:b/>
          <w:bCs/>
          <w:color w:val="000000"/>
          <w:szCs w:val="22"/>
          <w:lang w:eastAsia="en-GB"/>
        </w:rPr>
      </w:pPr>
      <w:r w:rsidRPr="001775D9">
        <w:rPr>
          <w:b/>
          <w:color w:val="000000"/>
          <w:szCs w:val="22"/>
        </w:rPr>
        <w:br w:type="page"/>
      </w:r>
      <w:r w:rsidR="001778AA" w:rsidRPr="001775D9">
        <w:rPr>
          <w:b/>
          <w:bCs/>
          <w:color w:val="000000"/>
          <w:szCs w:val="22"/>
          <w:lang w:eastAsia="en-GB"/>
        </w:rPr>
        <w:t>1.</w:t>
      </w:r>
      <w:r w:rsidR="001778AA" w:rsidRPr="001775D9">
        <w:rPr>
          <w:b/>
          <w:bCs/>
          <w:color w:val="000000"/>
          <w:szCs w:val="22"/>
          <w:lang w:eastAsia="en-GB"/>
        </w:rPr>
        <w:tab/>
        <w:t xml:space="preserve">NAME OF THE MEDICINAL PRODUCT </w:t>
      </w:r>
    </w:p>
    <w:p w14:paraId="1F098602" w14:textId="77777777" w:rsidR="001778AA" w:rsidRPr="00D55B59" w:rsidRDefault="001778AA" w:rsidP="001778AA">
      <w:pPr>
        <w:pStyle w:val="Default"/>
        <w:rPr>
          <w:b/>
          <w:bCs/>
          <w:sz w:val="22"/>
          <w:szCs w:val="22"/>
          <w:lang w:val="en-GB" w:eastAsia="en-GB"/>
          <w:rPrChange w:id="1105" w:author="Author">
            <w:rPr>
              <w:b/>
              <w:bCs/>
              <w:sz w:val="22"/>
              <w:szCs w:val="22"/>
              <w:lang w:eastAsia="en-GB"/>
            </w:rPr>
          </w:rPrChange>
        </w:rPr>
      </w:pPr>
    </w:p>
    <w:p w14:paraId="4B66AF8D" w14:textId="04CAF426" w:rsidR="001778AA" w:rsidRPr="00D55B59" w:rsidRDefault="001778AA" w:rsidP="001778AA">
      <w:pPr>
        <w:pStyle w:val="Default"/>
        <w:rPr>
          <w:sz w:val="22"/>
          <w:szCs w:val="22"/>
          <w:lang w:val="en-GB" w:eastAsia="en-GB"/>
          <w:rPrChange w:id="1106" w:author="Author">
            <w:rPr>
              <w:sz w:val="22"/>
              <w:szCs w:val="22"/>
              <w:lang w:eastAsia="en-GB"/>
            </w:rPr>
          </w:rPrChange>
        </w:rPr>
      </w:pPr>
      <w:r w:rsidRPr="00D55B59">
        <w:rPr>
          <w:sz w:val="22"/>
          <w:szCs w:val="22"/>
          <w:lang w:val="en-GB" w:eastAsia="en-GB"/>
          <w:rPrChange w:id="1107" w:author="Author">
            <w:rPr>
              <w:sz w:val="22"/>
              <w:szCs w:val="22"/>
              <w:lang w:eastAsia="en-GB"/>
            </w:rPr>
          </w:rPrChange>
        </w:rPr>
        <w:t>AMGEVITA 20 mg solution for injection in pre-filled syringe</w:t>
      </w:r>
    </w:p>
    <w:p w14:paraId="3D69903C" w14:textId="4455318C" w:rsidR="001778AA" w:rsidRPr="00D55B59" w:rsidRDefault="001778AA" w:rsidP="001778AA">
      <w:pPr>
        <w:pStyle w:val="Default"/>
        <w:rPr>
          <w:color w:val="auto"/>
          <w:sz w:val="22"/>
          <w:szCs w:val="22"/>
          <w:lang w:val="en-GB" w:eastAsia="en-GB"/>
          <w:rPrChange w:id="1108" w:author="Author">
            <w:rPr>
              <w:color w:val="auto"/>
              <w:sz w:val="22"/>
              <w:szCs w:val="22"/>
              <w:lang w:eastAsia="en-GB"/>
            </w:rPr>
          </w:rPrChange>
        </w:rPr>
      </w:pPr>
      <w:r w:rsidRPr="00D55B59">
        <w:rPr>
          <w:sz w:val="22"/>
          <w:szCs w:val="22"/>
          <w:lang w:val="en-GB" w:eastAsia="en-GB"/>
          <w:rPrChange w:id="1109" w:author="Author">
            <w:rPr>
              <w:sz w:val="22"/>
              <w:szCs w:val="22"/>
              <w:lang w:eastAsia="en-GB"/>
            </w:rPr>
          </w:rPrChange>
        </w:rPr>
        <w:t>AMGEVITA</w:t>
      </w:r>
      <w:r w:rsidRPr="00D55B59">
        <w:rPr>
          <w:color w:val="auto"/>
          <w:sz w:val="22"/>
          <w:szCs w:val="22"/>
          <w:lang w:val="en-GB" w:eastAsia="en-GB"/>
          <w:rPrChange w:id="1110" w:author="Author">
            <w:rPr>
              <w:color w:val="auto"/>
              <w:sz w:val="22"/>
              <w:szCs w:val="22"/>
              <w:lang w:eastAsia="en-GB"/>
            </w:rPr>
          </w:rPrChange>
        </w:rPr>
        <w:t xml:space="preserve"> 40</w:t>
      </w:r>
      <w:r w:rsidRPr="00D55B59">
        <w:rPr>
          <w:color w:val="auto"/>
          <w:sz w:val="22"/>
          <w:szCs w:val="22"/>
          <w:lang w:val="en-GB"/>
          <w:rPrChange w:id="1111" w:author="Author">
            <w:rPr>
              <w:color w:val="auto"/>
              <w:sz w:val="22"/>
              <w:szCs w:val="22"/>
            </w:rPr>
          </w:rPrChange>
        </w:rPr>
        <w:t> </w:t>
      </w:r>
      <w:r w:rsidRPr="00D55B59">
        <w:rPr>
          <w:color w:val="auto"/>
          <w:sz w:val="22"/>
          <w:szCs w:val="22"/>
          <w:lang w:val="en-GB" w:eastAsia="en-GB"/>
          <w:rPrChange w:id="1112" w:author="Author">
            <w:rPr>
              <w:color w:val="auto"/>
              <w:sz w:val="22"/>
              <w:szCs w:val="22"/>
              <w:lang w:eastAsia="en-GB"/>
            </w:rPr>
          </w:rPrChange>
        </w:rPr>
        <w:t>mg solution for injection in pre-filled syringe</w:t>
      </w:r>
    </w:p>
    <w:p w14:paraId="15CF29BD" w14:textId="13855C4E" w:rsidR="001778AA" w:rsidRPr="00D55B59" w:rsidRDefault="001778AA" w:rsidP="001778AA">
      <w:pPr>
        <w:pStyle w:val="Default"/>
        <w:rPr>
          <w:color w:val="auto"/>
          <w:sz w:val="22"/>
          <w:szCs w:val="22"/>
          <w:lang w:val="en-GB" w:eastAsia="en-GB"/>
          <w:rPrChange w:id="1113" w:author="Author">
            <w:rPr>
              <w:color w:val="auto"/>
              <w:sz w:val="22"/>
              <w:szCs w:val="22"/>
              <w:lang w:eastAsia="en-GB"/>
            </w:rPr>
          </w:rPrChange>
        </w:rPr>
      </w:pPr>
      <w:r w:rsidRPr="00D55B59">
        <w:rPr>
          <w:sz w:val="22"/>
          <w:szCs w:val="22"/>
          <w:lang w:val="en-GB" w:eastAsia="en-GB"/>
          <w:rPrChange w:id="1114" w:author="Author">
            <w:rPr>
              <w:sz w:val="22"/>
              <w:szCs w:val="22"/>
              <w:lang w:eastAsia="en-GB"/>
            </w:rPr>
          </w:rPrChange>
        </w:rPr>
        <w:t>AMGEVITA</w:t>
      </w:r>
      <w:r w:rsidRPr="00D55B59">
        <w:rPr>
          <w:color w:val="auto"/>
          <w:sz w:val="22"/>
          <w:szCs w:val="22"/>
          <w:lang w:val="en-GB" w:eastAsia="en-GB"/>
          <w:rPrChange w:id="1115" w:author="Author">
            <w:rPr>
              <w:color w:val="auto"/>
              <w:sz w:val="22"/>
              <w:szCs w:val="22"/>
              <w:lang w:eastAsia="en-GB"/>
            </w:rPr>
          </w:rPrChange>
        </w:rPr>
        <w:t xml:space="preserve"> 80</w:t>
      </w:r>
      <w:r w:rsidRPr="00D55B59">
        <w:rPr>
          <w:color w:val="auto"/>
          <w:sz w:val="22"/>
          <w:szCs w:val="22"/>
          <w:lang w:val="en-GB"/>
          <w:rPrChange w:id="1116" w:author="Author">
            <w:rPr>
              <w:color w:val="auto"/>
              <w:sz w:val="22"/>
              <w:szCs w:val="22"/>
            </w:rPr>
          </w:rPrChange>
        </w:rPr>
        <w:t> </w:t>
      </w:r>
      <w:r w:rsidRPr="00D55B59">
        <w:rPr>
          <w:color w:val="auto"/>
          <w:sz w:val="22"/>
          <w:szCs w:val="22"/>
          <w:lang w:val="en-GB" w:eastAsia="en-GB"/>
          <w:rPrChange w:id="1117" w:author="Author">
            <w:rPr>
              <w:color w:val="auto"/>
              <w:sz w:val="22"/>
              <w:szCs w:val="22"/>
              <w:lang w:eastAsia="en-GB"/>
            </w:rPr>
          </w:rPrChange>
        </w:rPr>
        <w:t>mg solution for injection in pre-filled syringe</w:t>
      </w:r>
    </w:p>
    <w:p w14:paraId="4780E644" w14:textId="4B59685C" w:rsidR="001778AA" w:rsidRPr="00D55B59" w:rsidRDefault="001778AA" w:rsidP="001778AA">
      <w:pPr>
        <w:pStyle w:val="Default"/>
        <w:rPr>
          <w:color w:val="auto"/>
          <w:sz w:val="22"/>
          <w:szCs w:val="22"/>
          <w:lang w:val="en-GB" w:eastAsia="en-GB"/>
          <w:rPrChange w:id="1118" w:author="Author">
            <w:rPr>
              <w:color w:val="auto"/>
              <w:sz w:val="22"/>
              <w:szCs w:val="22"/>
              <w:lang w:eastAsia="en-GB"/>
            </w:rPr>
          </w:rPrChange>
        </w:rPr>
      </w:pPr>
      <w:r w:rsidRPr="00D55B59">
        <w:rPr>
          <w:sz w:val="22"/>
          <w:szCs w:val="22"/>
          <w:lang w:val="en-GB" w:eastAsia="en-GB"/>
          <w:rPrChange w:id="1119" w:author="Author">
            <w:rPr>
              <w:sz w:val="22"/>
              <w:szCs w:val="22"/>
              <w:lang w:eastAsia="en-GB"/>
            </w:rPr>
          </w:rPrChange>
        </w:rPr>
        <w:t>AMGEVITA</w:t>
      </w:r>
      <w:r w:rsidRPr="00D55B59">
        <w:rPr>
          <w:color w:val="auto"/>
          <w:sz w:val="22"/>
          <w:szCs w:val="22"/>
          <w:lang w:val="en-GB" w:eastAsia="en-GB"/>
          <w:rPrChange w:id="1120" w:author="Author">
            <w:rPr>
              <w:color w:val="auto"/>
              <w:sz w:val="22"/>
              <w:szCs w:val="22"/>
              <w:lang w:eastAsia="en-GB"/>
            </w:rPr>
          </w:rPrChange>
        </w:rPr>
        <w:t xml:space="preserve"> 40</w:t>
      </w:r>
      <w:r w:rsidRPr="00D55B59">
        <w:rPr>
          <w:color w:val="auto"/>
          <w:sz w:val="22"/>
          <w:szCs w:val="22"/>
          <w:lang w:val="en-GB"/>
          <w:rPrChange w:id="1121" w:author="Author">
            <w:rPr>
              <w:color w:val="auto"/>
              <w:sz w:val="22"/>
              <w:szCs w:val="22"/>
            </w:rPr>
          </w:rPrChange>
        </w:rPr>
        <w:t> </w:t>
      </w:r>
      <w:r w:rsidRPr="00D55B59">
        <w:rPr>
          <w:color w:val="auto"/>
          <w:sz w:val="22"/>
          <w:szCs w:val="22"/>
          <w:lang w:val="en-GB" w:eastAsia="en-GB"/>
          <w:rPrChange w:id="1122" w:author="Author">
            <w:rPr>
              <w:color w:val="auto"/>
              <w:sz w:val="22"/>
              <w:szCs w:val="22"/>
              <w:lang w:eastAsia="en-GB"/>
            </w:rPr>
          </w:rPrChange>
        </w:rPr>
        <w:t>mg solution for injection in pre-filled pen</w:t>
      </w:r>
    </w:p>
    <w:p w14:paraId="370E97CB" w14:textId="1FEF822D" w:rsidR="001778AA" w:rsidRPr="00D55B59" w:rsidRDefault="001778AA" w:rsidP="001778AA">
      <w:pPr>
        <w:pStyle w:val="Default"/>
        <w:rPr>
          <w:color w:val="auto"/>
          <w:sz w:val="22"/>
          <w:szCs w:val="22"/>
          <w:lang w:val="en-GB" w:eastAsia="en-GB"/>
          <w:rPrChange w:id="1123" w:author="Author">
            <w:rPr>
              <w:color w:val="auto"/>
              <w:sz w:val="22"/>
              <w:szCs w:val="22"/>
              <w:lang w:eastAsia="en-GB"/>
            </w:rPr>
          </w:rPrChange>
        </w:rPr>
      </w:pPr>
      <w:r w:rsidRPr="00D55B59">
        <w:rPr>
          <w:sz w:val="22"/>
          <w:szCs w:val="22"/>
          <w:lang w:val="en-GB" w:eastAsia="en-GB"/>
          <w:rPrChange w:id="1124" w:author="Author">
            <w:rPr>
              <w:sz w:val="22"/>
              <w:szCs w:val="22"/>
              <w:lang w:eastAsia="en-GB"/>
            </w:rPr>
          </w:rPrChange>
        </w:rPr>
        <w:t>AMGEVITA</w:t>
      </w:r>
      <w:r w:rsidRPr="00D55B59">
        <w:rPr>
          <w:color w:val="auto"/>
          <w:sz w:val="22"/>
          <w:szCs w:val="22"/>
          <w:lang w:val="en-GB" w:eastAsia="en-GB"/>
          <w:rPrChange w:id="1125" w:author="Author">
            <w:rPr>
              <w:color w:val="auto"/>
              <w:sz w:val="22"/>
              <w:szCs w:val="22"/>
              <w:lang w:eastAsia="en-GB"/>
            </w:rPr>
          </w:rPrChange>
        </w:rPr>
        <w:t xml:space="preserve"> 80</w:t>
      </w:r>
      <w:r w:rsidRPr="00D55B59">
        <w:rPr>
          <w:color w:val="auto"/>
          <w:sz w:val="22"/>
          <w:szCs w:val="22"/>
          <w:lang w:val="en-GB"/>
          <w:rPrChange w:id="1126" w:author="Author">
            <w:rPr>
              <w:color w:val="auto"/>
              <w:sz w:val="22"/>
              <w:szCs w:val="22"/>
            </w:rPr>
          </w:rPrChange>
        </w:rPr>
        <w:t> </w:t>
      </w:r>
      <w:r w:rsidRPr="00D55B59">
        <w:rPr>
          <w:color w:val="auto"/>
          <w:sz w:val="22"/>
          <w:szCs w:val="22"/>
          <w:lang w:val="en-GB" w:eastAsia="en-GB"/>
          <w:rPrChange w:id="1127" w:author="Author">
            <w:rPr>
              <w:color w:val="auto"/>
              <w:sz w:val="22"/>
              <w:szCs w:val="22"/>
              <w:lang w:eastAsia="en-GB"/>
            </w:rPr>
          </w:rPrChange>
        </w:rPr>
        <w:t>mg solution for injection in pre-filled pen</w:t>
      </w:r>
    </w:p>
    <w:p w14:paraId="45E21F76"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0EDDCE1B"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6E38AC49" w14:textId="77777777" w:rsidR="001778AA" w:rsidRPr="001775D9" w:rsidRDefault="001778AA" w:rsidP="00B61D9D">
      <w:pPr>
        <w:tabs>
          <w:tab w:val="clear" w:pos="567"/>
        </w:tabs>
        <w:autoSpaceDE w:val="0"/>
        <w:autoSpaceDN w:val="0"/>
        <w:adjustRightInd w:val="0"/>
        <w:spacing w:line="240" w:lineRule="auto"/>
        <w:ind w:left="567" w:hanging="567"/>
        <w:rPr>
          <w:szCs w:val="22"/>
          <w:lang w:eastAsia="en-GB"/>
        </w:rPr>
      </w:pPr>
      <w:r w:rsidRPr="001775D9">
        <w:rPr>
          <w:b/>
          <w:bCs/>
          <w:szCs w:val="22"/>
          <w:lang w:eastAsia="en-GB"/>
        </w:rPr>
        <w:t>2.</w:t>
      </w:r>
      <w:r w:rsidRPr="001775D9">
        <w:rPr>
          <w:b/>
          <w:bCs/>
          <w:szCs w:val="22"/>
          <w:lang w:eastAsia="en-GB"/>
        </w:rPr>
        <w:tab/>
        <w:t xml:space="preserve">QUALITATIVE AND QUANTITATIVE COMPOSITION </w:t>
      </w:r>
    </w:p>
    <w:p w14:paraId="0F365B7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360A4B3" w14:textId="49569AD9" w:rsidR="001778AA" w:rsidRPr="00D55B59" w:rsidRDefault="001778AA" w:rsidP="001778AA">
      <w:pPr>
        <w:pStyle w:val="Default"/>
        <w:rPr>
          <w:sz w:val="22"/>
          <w:szCs w:val="22"/>
          <w:u w:val="single"/>
          <w:lang w:val="en-GB" w:eastAsia="en-GB"/>
          <w:rPrChange w:id="1128" w:author="Author">
            <w:rPr>
              <w:sz w:val="22"/>
              <w:szCs w:val="22"/>
              <w:u w:val="single"/>
              <w:lang w:eastAsia="en-GB"/>
            </w:rPr>
          </w:rPrChange>
        </w:rPr>
      </w:pPr>
      <w:r w:rsidRPr="00D55B59">
        <w:rPr>
          <w:sz w:val="22"/>
          <w:szCs w:val="22"/>
          <w:u w:val="single"/>
          <w:lang w:val="en-GB" w:eastAsia="en-GB"/>
          <w:rPrChange w:id="1129" w:author="Author">
            <w:rPr>
              <w:sz w:val="22"/>
              <w:szCs w:val="22"/>
              <w:u w:val="single"/>
              <w:lang w:eastAsia="en-GB"/>
            </w:rPr>
          </w:rPrChange>
        </w:rPr>
        <w:t xml:space="preserve">AMGEVITA 20 mg solution for injection in pre-filled syringe </w:t>
      </w:r>
    </w:p>
    <w:p w14:paraId="1D9B3C26" w14:textId="77777777" w:rsidR="001778AA" w:rsidRPr="00D55B59" w:rsidRDefault="001778AA" w:rsidP="001778AA">
      <w:pPr>
        <w:pStyle w:val="Default"/>
        <w:rPr>
          <w:sz w:val="22"/>
          <w:szCs w:val="22"/>
          <w:lang w:val="en-GB"/>
          <w:rPrChange w:id="1130" w:author="Author">
            <w:rPr>
              <w:sz w:val="22"/>
              <w:szCs w:val="22"/>
            </w:rPr>
          </w:rPrChange>
        </w:rPr>
      </w:pPr>
    </w:p>
    <w:p w14:paraId="675F3E77" w14:textId="0264D3DD" w:rsidR="001778AA" w:rsidRPr="00D55B59" w:rsidRDefault="001778AA" w:rsidP="001778AA">
      <w:pPr>
        <w:pStyle w:val="Default"/>
        <w:rPr>
          <w:szCs w:val="22"/>
          <w:lang w:val="en-GB"/>
          <w:rPrChange w:id="1131" w:author="Author">
            <w:rPr>
              <w:szCs w:val="22"/>
            </w:rPr>
          </w:rPrChange>
        </w:rPr>
      </w:pPr>
      <w:r w:rsidRPr="00D55B59">
        <w:rPr>
          <w:sz w:val="22"/>
          <w:szCs w:val="22"/>
          <w:lang w:val="en-GB"/>
          <w:rPrChange w:id="1132" w:author="Author">
            <w:rPr>
              <w:sz w:val="22"/>
              <w:szCs w:val="22"/>
            </w:rPr>
          </w:rPrChange>
        </w:rPr>
        <w:t>Each single</w:t>
      </w:r>
      <w:r w:rsidR="008F20C9" w:rsidRPr="00D55B59">
        <w:rPr>
          <w:sz w:val="22"/>
          <w:szCs w:val="22"/>
          <w:lang w:val="en-GB"/>
          <w:rPrChange w:id="1133" w:author="Author">
            <w:rPr>
              <w:sz w:val="22"/>
              <w:szCs w:val="22"/>
            </w:rPr>
          </w:rPrChange>
        </w:rPr>
        <w:t>-</w:t>
      </w:r>
      <w:r w:rsidRPr="00D55B59">
        <w:rPr>
          <w:sz w:val="22"/>
          <w:szCs w:val="22"/>
          <w:lang w:val="en-GB"/>
          <w:rPrChange w:id="1134" w:author="Author">
            <w:rPr>
              <w:sz w:val="22"/>
              <w:szCs w:val="22"/>
            </w:rPr>
          </w:rPrChange>
        </w:rPr>
        <w:t xml:space="preserve">dose pre-filled syringe contains 20 mg of adalimumab in 0.2 mL solution (100 mg/mL). </w:t>
      </w:r>
    </w:p>
    <w:p w14:paraId="4BEC5211" w14:textId="77777777" w:rsidR="001778AA" w:rsidRPr="00D55B59" w:rsidRDefault="001778AA" w:rsidP="001778AA">
      <w:pPr>
        <w:pStyle w:val="Default"/>
        <w:rPr>
          <w:color w:val="auto"/>
          <w:sz w:val="22"/>
          <w:szCs w:val="22"/>
          <w:u w:val="single"/>
          <w:lang w:val="en-GB" w:eastAsia="en-GB"/>
          <w:rPrChange w:id="1135" w:author="Author">
            <w:rPr>
              <w:color w:val="auto"/>
              <w:sz w:val="22"/>
              <w:szCs w:val="22"/>
              <w:u w:val="single"/>
              <w:lang w:eastAsia="en-GB"/>
            </w:rPr>
          </w:rPrChange>
        </w:rPr>
      </w:pPr>
    </w:p>
    <w:p w14:paraId="44153329" w14:textId="318FC117" w:rsidR="001778AA" w:rsidRPr="00D55B59" w:rsidRDefault="001778AA" w:rsidP="001778AA">
      <w:pPr>
        <w:pStyle w:val="Default"/>
        <w:rPr>
          <w:color w:val="auto"/>
          <w:sz w:val="22"/>
          <w:szCs w:val="22"/>
          <w:u w:val="single"/>
          <w:lang w:val="en-GB" w:eastAsia="en-GB"/>
          <w:rPrChange w:id="1136" w:author="Author">
            <w:rPr>
              <w:color w:val="auto"/>
              <w:sz w:val="22"/>
              <w:szCs w:val="22"/>
              <w:u w:val="single"/>
              <w:lang w:eastAsia="en-GB"/>
            </w:rPr>
          </w:rPrChange>
        </w:rPr>
      </w:pPr>
      <w:r w:rsidRPr="00D55B59">
        <w:rPr>
          <w:sz w:val="22"/>
          <w:szCs w:val="22"/>
          <w:u w:val="single"/>
          <w:lang w:val="en-GB" w:eastAsia="en-GB"/>
          <w:rPrChange w:id="1137" w:author="Author">
            <w:rPr>
              <w:sz w:val="22"/>
              <w:szCs w:val="22"/>
              <w:u w:val="single"/>
              <w:lang w:eastAsia="en-GB"/>
            </w:rPr>
          </w:rPrChange>
        </w:rPr>
        <w:t>AMGEVITA</w:t>
      </w:r>
      <w:r w:rsidRPr="00D55B59">
        <w:rPr>
          <w:color w:val="auto"/>
          <w:sz w:val="22"/>
          <w:szCs w:val="22"/>
          <w:u w:val="single"/>
          <w:lang w:val="en-GB" w:eastAsia="en-GB"/>
          <w:rPrChange w:id="1138" w:author="Author">
            <w:rPr>
              <w:color w:val="auto"/>
              <w:sz w:val="22"/>
              <w:szCs w:val="22"/>
              <w:u w:val="single"/>
              <w:lang w:eastAsia="en-GB"/>
            </w:rPr>
          </w:rPrChange>
        </w:rPr>
        <w:t xml:space="preserve"> 40</w:t>
      </w:r>
      <w:r w:rsidRPr="00D55B59">
        <w:rPr>
          <w:color w:val="auto"/>
          <w:sz w:val="22"/>
          <w:szCs w:val="22"/>
          <w:u w:val="single"/>
          <w:lang w:val="en-GB"/>
          <w:rPrChange w:id="1139" w:author="Author">
            <w:rPr>
              <w:color w:val="auto"/>
              <w:sz w:val="22"/>
              <w:szCs w:val="22"/>
              <w:u w:val="single"/>
            </w:rPr>
          </w:rPrChange>
        </w:rPr>
        <w:t> </w:t>
      </w:r>
      <w:r w:rsidRPr="00D55B59">
        <w:rPr>
          <w:color w:val="auto"/>
          <w:sz w:val="22"/>
          <w:szCs w:val="22"/>
          <w:u w:val="single"/>
          <w:lang w:val="en-GB" w:eastAsia="en-GB"/>
          <w:rPrChange w:id="1140" w:author="Author">
            <w:rPr>
              <w:color w:val="auto"/>
              <w:sz w:val="22"/>
              <w:szCs w:val="22"/>
              <w:u w:val="single"/>
              <w:lang w:eastAsia="en-GB"/>
            </w:rPr>
          </w:rPrChange>
        </w:rPr>
        <w:t>mg solution for injection in pre-filled syringe</w:t>
      </w:r>
    </w:p>
    <w:p w14:paraId="7C5895B1" w14:textId="77777777" w:rsidR="001778AA" w:rsidRPr="00D55B59" w:rsidRDefault="001778AA" w:rsidP="001778AA">
      <w:pPr>
        <w:pStyle w:val="Default"/>
        <w:rPr>
          <w:color w:val="auto"/>
          <w:sz w:val="22"/>
          <w:szCs w:val="22"/>
          <w:u w:val="single"/>
          <w:lang w:val="en-GB" w:eastAsia="en-GB"/>
          <w:rPrChange w:id="1141" w:author="Author">
            <w:rPr>
              <w:color w:val="auto"/>
              <w:sz w:val="22"/>
              <w:szCs w:val="22"/>
              <w:u w:val="single"/>
              <w:lang w:eastAsia="en-GB"/>
            </w:rPr>
          </w:rPrChange>
        </w:rPr>
      </w:pPr>
    </w:p>
    <w:p w14:paraId="6D73936B" w14:textId="55F43573" w:rsidR="001778AA" w:rsidRPr="00D55B59" w:rsidRDefault="001778AA" w:rsidP="001778AA">
      <w:pPr>
        <w:pStyle w:val="Default"/>
        <w:rPr>
          <w:szCs w:val="22"/>
          <w:lang w:val="en-GB"/>
          <w:rPrChange w:id="1142" w:author="Author">
            <w:rPr>
              <w:szCs w:val="22"/>
            </w:rPr>
          </w:rPrChange>
        </w:rPr>
      </w:pPr>
      <w:r w:rsidRPr="00D55B59">
        <w:rPr>
          <w:sz w:val="22"/>
          <w:szCs w:val="22"/>
          <w:lang w:val="en-GB"/>
          <w:rPrChange w:id="1143" w:author="Author">
            <w:rPr>
              <w:sz w:val="22"/>
              <w:szCs w:val="22"/>
            </w:rPr>
          </w:rPrChange>
        </w:rPr>
        <w:t xml:space="preserve">Each </w:t>
      </w:r>
      <w:r w:rsidR="008F20C9" w:rsidRPr="00D55B59">
        <w:rPr>
          <w:sz w:val="22"/>
          <w:szCs w:val="22"/>
          <w:lang w:val="en-GB"/>
          <w:rPrChange w:id="1144" w:author="Author">
            <w:rPr>
              <w:sz w:val="22"/>
              <w:szCs w:val="22"/>
            </w:rPr>
          </w:rPrChange>
        </w:rPr>
        <w:t>single-dose</w:t>
      </w:r>
      <w:r w:rsidRPr="00D55B59">
        <w:rPr>
          <w:sz w:val="22"/>
          <w:szCs w:val="22"/>
          <w:lang w:val="en-GB"/>
          <w:rPrChange w:id="1145" w:author="Author">
            <w:rPr>
              <w:sz w:val="22"/>
              <w:szCs w:val="22"/>
            </w:rPr>
          </w:rPrChange>
        </w:rPr>
        <w:t xml:space="preserve"> pre-filled syringe contains 40 mg of adalimumab in 0.4 mL solution (100 mg/mL). </w:t>
      </w:r>
    </w:p>
    <w:p w14:paraId="05EB7446" w14:textId="77777777" w:rsidR="001778AA" w:rsidRPr="00D55B59" w:rsidRDefault="001778AA" w:rsidP="001778AA">
      <w:pPr>
        <w:pStyle w:val="Default"/>
        <w:rPr>
          <w:color w:val="auto"/>
          <w:sz w:val="22"/>
          <w:szCs w:val="22"/>
          <w:u w:val="single"/>
          <w:lang w:val="en-GB" w:eastAsia="en-GB"/>
          <w:rPrChange w:id="1146" w:author="Author">
            <w:rPr>
              <w:color w:val="auto"/>
              <w:sz w:val="22"/>
              <w:szCs w:val="22"/>
              <w:u w:val="single"/>
              <w:lang w:eastAsia="en-GB"/>
            </w:rPr>
          </w:rPrChange>
        </w:rPr>
      </w:pPr>
    </w:p>
    <w:p w14:paraId="34D85368" w14:textId="2F8BE4C6" w:rsidR="001778AA" w:rsidRPr="00D55B59" w:rsidRDefault="001778AA" w:rsidP="001778AA">
      <w:pPr>
        <w:pStyle w:val="Default"/>
        <w:rPr>
          <w:color w:val="auto"/>
          <w:sz w:val="22"/>
          <w:szCs w:val="22"/>
          <w:u w:val="single"/>
          <w:lang w:val="en-GB" w:eastAsia="en-GB"/>
          <w:rPrChange w:id="1147" w:author="Author">
            <w:rPr>
              <w:color w:val="auto"/>
              <w:sz w:val="22"/>
              <w:szCs w:val="22"/>
              <w:u w:val="single"/>
              <w:lang w:eastAsia="en-GB"/>
            </w:rPr>
          </w:rPrChange>
        </w:rPr>
      </w:pPr>
      <w:r w:rsidRPr="00D55B59">
        <w:rPr>
          <w:sz w:val="22"/>
          <w:szCs w:val="22"/>
          <w:u w:val="single"/>
          <w:lang w:val="en-GB" w:eastAsia="en-GB"/>
          <w:rPrChange w:id="1148" w:author="Author">
            <w:rPr>
              <w:sz w:val="22"/>
              <w:szCs w:val="22"/>
              <w:u w:val="single"/>
              <w:lang w:eastAsia="en-GB"/>
            </w:rPr>
          </w:rPrChange>
        </w:rPr>
        <w:t>AMGEVITA</w:t>
      </w:r>
      <w:r w:rsidRPr="00D55B59">
        <w:rPr>
          <w:color w:val="auto"/>
          <w:sz w:val="22"/>
          <w:szCs w:val="22"/>
          <w:u w:val="single"/>
          <w:lang w:val="en-GB" w:eastAsia="en-GB"/>
          <w:rPrChange w:id="1149" w:author="Author">
            <w:rPr>
              <w:color w:val="auto"/>
              <w:sz w:val="22"/>
              <w:szCs w:val="22"/>
              <w:u w:val="single"/>
              <w:lang w:eastAsia="en-GB"/>
            </w:rPr>
          </w:rPrChange>
        </w:rPr>
        <w:t xml:space="preserve"> 80</w:t>
      </w:r>
      <w:r w:rsidRPr="00D55B59">
        <w:rPr>
          <w:color w:val="auto"/>
          <w:sz w:val="22"/>
          <w:szCs w:val="22"/>
          <w:u w:val="single"/>
          <w:lang w:val="en-GB"/>
          <w:rPrChange w:id="1150" w:author="Author">
            <w:rPr>
              <w:color w:val="auto"/>
              <w:sz w:val="22"/>
              <w:szCs w:val="22"/>
              <w:u w:val="single"/>
            </w:rPr>
          </w:rPrChange>
        </w:rPr>
        <w:t> </w:t>
      </w:r>
      <w:r w:rsidRPr="00D55B59">
        <w:rPr>
          <w:color w:val="auto"/>
          <w:sz w:val="22"/>
          <w:szCs w:val="22"/>
          <w:u w:val="single"/>
          <w:lang w:val="en-GB" w:eastAsia="en-GB"/>
          <w:rPrChange w:id="1151" w:author="Author">
            <w:rPr>
              <w:color w:val="auto"/>
              <w:sz w:val="22"/>
              <w:szCs w:val="22"/>
              <w:u w:val="single"/>
              <w:lang w:eastAsia="en-GB"/>
            </w:rPr>
          </w:rPrChange>
        </w:rPr>
        <w:t>mg solution for injection in pre-filled syringe</w:t>
      </w:r>
    </w:p>
    <w:p w14:paraId="6A049C8A" w14:textId="77777777" w:rsidR="001778AA" w:rsidRPr="00D55B59" w:rsidRDefault="001778AA" w:rsidP="001778AA">
      <w:pPr>
        <w:pStyle w:val="Default"/>
        <w:rPr>
          <w:color w:val="auto"/>
          <w:sz w:val="22"/>
          <w:szCs w:val="22"/>
          <w:u w:val="single"/>
          <w:lang w:val="en-GB" w:eastAsia="en-GB"/>
          <w:rPrChange w:id="1152" w:author="Author">
            <w:rPr>
              <w:color w:val="auto"/>
              <w:sz w:val="22"/>
              <w:szCs w:val="22"/>
              <w:u w:val="single"/>
              <w:lang w:eastAsia="en-GB"/>
            </w:rPr>
          </w:rPrChange>
        </w:rPr>
      </w:pPr>
    </w:p>
    <w:p w14:paraId="4DF63937" w14:textId="2ABEE187" w:rsidR="001778AA" w:rsidRPr="00D55B59" w:rsidRDefault="001778AA" w:rsidP="001778AA">
      <w:pPr>
        <w:pStyle w:val="Default"/>
        <w:rPr>
          <w:szCs w:val="22"/>
          <w:lang w:val="en-GB"/>
          <w:rPrChange w:id="1153" w:author="Author">
            <w:rPr>
              <w:szCs w:val="22"/>
            </w:rPr>
          </w:rPrChange>
        </w:rPr>
      </w:pPr>
      <w:r w:rsidRPr="00D55B59">
        <w:rPr>
          <w:sz w:val="22"/>
          <w:szCs w:val="22"/>
          <w:lang w:val="en-GB"/>
          <w:rPrChange w:id="1154" w:author="Author">
            <w:rPr>
              <w:sz w:val="22"/>
              <w:szCs w:val="22"/>
            </w:rPr>
          </w:rPrChange>
        </w:rPr>
        <w:t xml:space="preserve">Each </w:t>
      </w:r>
      <w:r w:rsidR="008F20C9" w:rsidRPr="00D55B59">
        <w:rPr>
          <w:sz w:val="22"/>
          <w:szCs w:val="22"/>
          <w:lang w:val="en-GB"/>
          <w:rPrChange w:id="1155" w:author="Author">
            <w:rPr>
              <w:sz w:val="22"/>
              <w:szCs w:val="22"/>
            </w:rPr>
          </w:rPrChange>
        </w:rPr>
        <w:t>single-dose</w:t>
      </w:r>
      <w:r w:rsidRPr="00D55B59">
        <w:rPr>
          <w:sz w:val="22"/>
          <w:szCs w:val="22"/>
          <w:lang w:val="en-GB"/>
          <w:rPrChange w:id="1156" w:author="Author">
            <w:rPr>
              <w:sz w:val="22"/>
              <w:szCs w:val="22"/>
            </w:rPr>
          </w:rPrChange>
        </w:rPr>
        <w:t xml:space="preserve"> pre-filled syringe contains 80 mg of adalimumab in 0.8 mL solution (100 mg/mL). </w:t>
      </w:r>
    </w:p>
    <w:p w14:paraId="79FDE013" w14:textId="77777777" w:rsidR="001778AA" w:rsidRPr="00D55B59" w:rsidRDefault="001778AA" w:rsidP="001778AA">
      <w:pPr>
        <w:pStyle w:val="Default"/>
        <w:rPr>
          <w:color w:val="auto"/>
          <w:sz w:val="22"/>
          <w:szCs w:val="22"/>
          <w:u w:val="single"/>
          <w:lang w:val="en-GB" w:eastAsia="en-GB"/>
          <w:rPrChange w:id="1157" w:author="Author">
            <w:rPr>
              <w:color w:val="auto"/>
              <w:sz w:val="22"/>
              <w:szCs w:val="22"/>
              <w:u w:val="single"/>
              <w:lang w:eastAsia="en-GB"/>
            </w:rPr>
          </w:rPrChange>
        </w:rPr>
      </w:pPr>
    </w:p>
    <w:p w14:paraId="1B8A24BA" w14:textId="11B2CB3F" w:rsidR="001778AA" w:rsidRPr="00D55B59" w:rsidRDefault="001778AA" w:rsidP="001778AA">
      <w:pPr>
        <w:pStyle w:val="Default"/>
        <w:rPr>
          <w:color w:val="auto"/>
          <w:sz w:val="22"/>
          <w:szCs w:val="22"/>
          <w:u w:val="single"/>
          <w:lang w:val="en-GB" w:eastAsia="en-GB"/>
          <w:rPrChange w:id="1158" w:author="Author">
            <w:rPr>
              <w:color w:val="auto"/>
              <w:sz w:val="22"/>
              <w:szCs w:val="22"/>
              <w:u w:val="single"/>
              <w:lang w:eastAsia="en-GB"/>
            </w:rPr>
          </w:rPrChange>
        </w:rPr>
      </w:pPr>
      <w:r w:rsidRPr="00D55B59">
        <w:rPr>
          <w:sz w:val="22"/>
          <w:szCs w:val="22"/>
          <w:u w:val="single"/>
          <w:lang w:val="en-GB" w:eastAsia="en-GB"/>
          <w:rPrChange w:id="1159" w:author="Author">
            <w:rPr>
              <w:sz w:val="22"/>
              <w:szCs w:val="22"/>
              <w:u w:val="single"/>
              <w:lang w:eastAsia="en-GB"/>
            </w:rPr>
          </w:rPrChange>
        </w:rPr>
        <w:t>AMGEVITA</w:t>
      </w:r>
      <w:r w:rsidRPr="00D55B59">
        <w:rPr>
          <w:color w:val="auto"/>
          <w:sz w:val="22"/>
          <w:szCs w:val="22"/>
          <w:u w:val="single"/>
          <w:lang w:val="en-GB" w:eastAsia="en-GB"/>
          <w:rPrChange w:id="1160" w:author="Author">
            <w:rPr>
              <w:color w:val="auto"/>
              <w:sz w:val="22"/>
              <w:szCs w:val="22"/>
              <w:u w:val="single"/>
              <w:lang w:eastAsia="en-GB"/>
            </w:rPr>
          </w:rPrChange>
        </w:rPr>
        <w:t xml:space="preserve"> 40</w:t>
      </w:r>
      <w:r w:rsidRPr="00D55B59">
        <w:rPr>
          <w:color w:val="auto"/>
          <w:sz w:val="22"/>
          <w:szCs w:val="22"/>
          <w:u w:val="single"/>
          <w:lang w:val="en-GB"/>
          <w:rPrChange w:id="1161" w:author="Author">
            <w:rPr>
              <w:color w:val="auto"/>
              <w:sz w:val="22"/>
              <w:szCs w:val="22"/>
              <w:u w:val="single"/>
            </w:rPr>
          </w:rPrChange>
        </w:rPr>
        <w:t> </w:t>
      </w:r>
      <w:r w:rsidRPr="00D55B59">
        <w:rPr>
          <w:color w:val="auto"/>
          <w:sz w:val="22"/>
          <w:szCs w:val="22"/>
          <w:u w:val="single"/>
          <w:lang w:val="en-GB" w:eastAsia="en-GB"/>
          <w:rPrChange w:id="1162" w:author="Author">
            <w:rPr>
              <w:color w:val="auto"/>
              <w:sz w:val="22"/>
              <w:szCs w:val="22"/>
              <w:u w:val="single"/>
              <w:lang w:eastAsia="en-GB"/>
            </w:rPr>
          </w:rPrChange>
        </w:rPr>
        <w:t>mg solution for injection in pre-filled pen</w:t>
      </w:r>
    </w:p>
    <w:p w14:paraId="1DAFB5BC" w14:textId="77777777" w:rsidR="001778AA" w:rsidRPr="00D55B59" w:rsidRDefault="001778AA" w:rsidP="001778AA">
      <w:pPr>
        <w:pStyle w:val="Default"/>
        <w:rPr>
          <w:color w:val="auto"/>
          <w:sz w:val="22"/>
          <w:szCs w:val="22"/>
          <w:u w:val="single"/>
          <w:lang w:val="en-GB" w:eastAsia="en-GB"/>
          <w:rPrChange w:id="1163" w:author="Author">
            <w:rPr>
              <w:color w:val="auto"/>
              <w:sz w:val="22"/>
              <w:szCs w:val="22"/>
              <w:u w:val="single"/>
              <w:lang w:eastAsia="en-GB"/>
            </w:rPr>
          </w:rPrChange>
        </w:rPr>
      </w:pPr>
    </w:p>
    <w:p w14:paraId="78DBAFAE" w14:textId="487128BB" w:rsidR="001778AA" w:rsidRPr="00D55B59" w:rsidRDefault="001778AA" w:rsidP="001778AA">
      <w:pPr>
        <w:pStyle w:val="Default"/>
        <w:rPr>
          <w:szCs w:val="22"/>
          <w:lang w:val="en-GB"/>
          <w:rPrChange w:id="1164" w:author="Author">
            <w:rPr>
              <w:szCs w:val="22"/>
            </w:rPr>
          </w:rPrChange>
        </w:rPr>
      </w:pPr>
      <w:r w:rsidRPr="00D55B59">
        <w:rPr>
          <w:sz w:val="22"/>
          <w:szCs w:val="22"/>
          <w:lang w:val="en-GB"/>
          <w:rPrChange w:id="1165" w:author="Author">
            <w:rPr>
              <w:sz w:val="22"/>
              <w:szCs w:val="22"/>
            </w:rPr>
          </w:rPrChange>
        </w:rPr>
        <w:t xml:space="preserve">Each </w:t>
      </w:r>
      <w:r w:rsidR="008F20C9" w:rsidRPr="00D55B59">
        <w:rPr>
          <w:sz w:val="22"/>
          <w:szCs w:val="22"/>
          <w:lang w:val="en-GB"/>
          <w:rPrChange w:id="1166" w:author="Author">
            <w:rPr>
              <w:sz w:val="22"/>
              <w:szCs w:val="22"/>
            </w:rPr>
          </w:rPrChange>
        </w:rPr>
        <w:t>single-dose</w:t>
      </w:r>
      <w:r w:rsidRPr="00D55B59">
        <w:rPr>
          <w:sz w:val="22"/>
          <w:szCs w:val="22"/>
          <w:lang w:val="en-GB"/>
          <w:rPrChange w:id="1167" w:author="Author">
            <w:rPr>
              <w:sz w:val="22"/>
              <w:szCs w:val="22"/>
            </w:rPr>
          </w:rPrChange>
        </w:rPr>
        <w:t xml:space="preserve"> pre-filled pen contains 40 mg of adalimumab in 0.4 mL solution (100 mg/mL).</w:t>
      </w:r>
    </w:p>
    <w:p w14:paraId="1EEFA3DE" w14:textId="77777777" w:rsidR="001778AA" w:rsidRPr="00D55B59" w:rsidRDefault="001778AA" w:rsidP="001778AA">
      <w:pPr>
        <w:pStyle w:val="Default"/>
        <w:rPr>
          <w:sz w:val="22"/>
          <w:szCs w:val="22"/>
          <w:u w:val="single"/>
          <w:lang w:val="en-GB" w:eastAsia="en-GB"/>
          <w:rPrChange w:id="1168" w:author="Author">
            <w:rPr>
              <w:sz w:val="22"/>
              <w:szCs w:val="22"/>
              <w:u w:val="single"/>
              <w:lang w:eastAsia="en-GB"/>
            </w:rPr>
          </w:rPrChange>
        </w:rPr>
      </w:pPr>
    </w:p>
    <w:p w14:paraId="6A6E46A6" w14:textId="67A9A6FE" w:rsidR="001778AA" w:rsidRPr="00D55B59" w:rsidRDefault="001778AA" w:rsidP="001778AA">
      <w:pPr>
        <w:pStyle w:val="Default"/>
        <w:rPr>
          <w:color w:val="auto"/>
          <w:sz w:val="22"/>
          <w:szCs w:val="22"/>
          <w:u w:val="single"/>
          <w:lang w:val="en-GB" w:eastAsia="en-GB"/>
          <w:rPrChange w:id="1169" w:author="Author">
            <w:rPr>
              <w:color w:val="auto"/>
              <w:sz w:val="22"/>
              <w:szCs w:val="22"/>
              <w:u w:val="single"/>
              <w:lang w:eastAsia="en-GB"/>
            </w:rPr>
          </w:rPrChange>
        </w:rPr>
      </w:pPr>
      <w:r w:rsidRPr="00D55B59">
        <w:rPr>
          <w:sz w:val="22"/>
          <w:szCs w:val="22"/>
          <w:u w:val="single"/>
          <w:lang w:val="en-GB" w:eastAsia="en-GB"/>
          <w:rPrChange w:id="1170" w:author="Author">
            <w:rPr>
              <w:sz w:val="22"/>
              <w:szCs w:val="22"/>
              <w:u w:val="single"/>
              <w:lang w:eastAsia="en-GB"/>
            </w:rPr>
          </w:rPrChange>
        </w:rPr>
        <w:t>AMGEVITA</w:t>
      </w:r>
      <w:r w:rsidRPr="00D55B59">
        <w:rPr>
          <w:color w:val="auto"/>
          <w:sz w:val="22"/>
          <w:szCs w:val="22"/>
          <w:u w:val="single"/>
          <w:lang w:val="en-GB" w:eastAsia="en-GB"/>
          <w:rPrChange w:id="1171" w:author="Author">
            <w:rPr>
              <w:color w:val="auto"/>
              <w:sz w:val="22"/>
              <w:szCs w:val="22"/>
              <w:u w:val="single"/>
              <w:lang w:eastAsia="en-GB"/>
            </w:rPr>
          </w:rPrChange>
        </w:rPr>
        <w:t xml:space="preserve"> 80</w:t>
      </w:r>
      <w:r w:rsidRPr="00D55B59">
        <w:rPr>
          <w:color w:val="auto"/>
          <w:sz w:val="22"/>
          <w:szCs w:val="22"/>
          <w:u w:val="single"/>
          <w:lang w:val="en-GB"/>
          <w:rPrChange w:id="1172" w:author="Author">
            <w:rPr>
              <w:color w:val="auto"/>
              <w:sz w:val="22"/>
              <w:szCs w:val="22"/>
              <w:u w:val="single"/>
            </w:rPr>
          </w:rPrChange>
        </w:rPr>
        <w:t> </w:t>
      </w:r>
      <w:r w:rsidRPr="00D55B59">
        <w:rPr>
          <w:color w:val="auto"/>
          <w:sz w:val="22"/>
          <w:szCs w:val="22"/>
          <w:u w:val="single"/>
          <w:lang w:val="en-GB" w:eastAsia="en-GB"/>
          <w:rPrChange w:id="1173" w:author="Author">
            <w:rPr>
              <w:color w:val="auto"/>
              <w:sz w:val="22"/>
              <w:szCs w:val="22"/>
              <w:u w:val="single"/>
              <w:lang w:eastAsia="en-GB"/>
            </w:rPr>
          </w:rPrChange>
        </w:rPr>
        <w:t>mg solution for injection in pre-filled pen</w:t>
      </w:r>
    </w:p>
    <w:p w14:paraId="239947B1" w14:textId="77777777" w:rsidR="001778AA" w:rsidRPr="00D55B59" w:rsidRDefault="001778AA" w:rsidP="001778AA">
      <w:pPr>
        <w:pStyle w:val="Default"/>
        <w:rPr>
          <w:color w:val="auto"/>
          <w:sz w:val="22"/>
          <w:szCs w:val="22"/>
          <w:u w:val="single"/>
          <w:lang w:val="en-GB" w:eastAsia="en-GB"/>
          <w:rPrChange w:id="1174" w:author="Author">
            <w:rPr>
              <w:color w:val="auto"/>
              <w:sz w:val="22"/>
              <w:szCs w:val="22"/>
              <w:u w:val="single"/>
              <w:lang w:eastAsia="en-GB"/>
            </w:rPr>
          </w:rPrChange>
        </w:rPr>
      </w:pPr>
    </w:p>
    <w:p w14:paraId="4A600EAB" w14:textId="5682F7D3" w:rsidR="001778AA" w:rsidRPr="00D55B59" w:rsidRDefault="001778AA" w:rsidP="001778AA">
      <w:pPr>
        <w:pStyle w:val="Default"/>
        <w:rPr>
          <w:szCs w:val="22"/>
          <w:lang w:val="en-GB"/>
          <w:rPrChange w:id="1175" w:author="Author">
            <w:rPr>
              <w:szCs w:val="22"/>
            </w:rPr>
          </w:rPrChange>
        </w:rPr>
      </w:pPr>
      <w:r w:rsidRPr="00D55B59">
        <w:rPr>
          <w:sz w:val="22"/>
          <w:szCs w:val="22"/>
          <w:lang w:val="en-GB"/>
          <w:rPrChange w:id="1176" w:author="Author">
            <w:rPr>
              <w:sz w:val="22"/>
              <w:szCs w:val="22"/>
            </w:rPr>
          </w:rPrChange>
        </w:rPr>
        <w:t xml:space="preserve">Each </w:t>
      </w:r>
      <w:r w:rsidR="008F20C9" w:rsidRPr="00D55B59">
        <w:rPr>
          <w:sz w:val="22"/>
          <w:szCs w:val="22"/>
          <w:lang w:val="en-GB"/>
          <w:rPrChange w:id="1177" w:author="Author">
            <w:rPr>
              <w:sz w:val="22"/>
              <w:szCs w:val="22"/>
            </w:rPr>
          </w:rPrChange>
        </w:rPr>
        <w:t>single-dose</w:t>
      </w:r>
      <w:r w:rsidRPr="00D55B59">
        <w:rPr>
          <w:sz w:val="22"/>
          <w:szCs w:val="22"/>
          <w:lang w:val="en-GB"/>
          <w:rPrChange w:id="1178" w:author="Author">
            <w:rPr>
              <w:sz w:val="22"/>
              <w:szCs w:val="22"/>
            </w:rPr>
          </w:rPrChange>
        </w:rPr>
        <w:t xml:space="preserve"> pre-filled pen contains 80 mg of adalimumab in 0.</w:t>
      </w:r>
      <w:r w:rsidR="00A4720E" w:rsidRPr="00D55B59">
        <w:rPr>
          <w:sz w:val="22"/>
          <w:szCs w:val="22"/>
          <w:lang w:val="en-GB"/>
          <w:rPrChange w:id="1179" w:author="Author">
            <w:rPr>
              <w:sz w:val="22"/>
              <w:szCs w:val="22"/>
            </w:rPr>
          </w:rPrChange>
        </w:rPr>
        <w:t>8</w:t>
      </w:r>
      <w:r w:rsidRPr="00D55B59">
        <w:rPr>
          <w:sz w:val="22"/>
          <w:szCs w:val="22"/>
          <w:lang w:val="en-GB"/>
          <w:rPrChange w:id="1180" w:author="Author">
            <w:rPr>
              <w:sz w:val="22"/>
              <w:szCs w:val="22"/>
            </w:rPr>
          </w:rPrChange>
        </w:rPr>
        <w:t> mL solution (100 mg/mL).</w:t>
      </w:r>
    </w:p>
    <w:p w14:paraId="621F86E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E86D1AF"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Adalimumab is a recombinant human monoclonal antibody produced in Chinese Hamster Ovary cells. </w:t>
      </w:r>
    </w:p>
    <w:p w14:paraId="4527264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9F352E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For the full list of excipients, see section 6.1. </w:t>
      </w:r>
    </w:p>
    <w:p w14:paraId="56BF04E2"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792B4410"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0BDF2495" w14:textId="77777777" w:rsidR="001778AA" w:rsidRPr="001775D9" w:rsidRDefault="001778AA" w:rsidP="00B61D9D">
      <w:pPr>
        <w:tabs>
          <w:tab w:val="clear" w:pos="567"/>
        </w:tabs>
        <w:autoSpaceDE w:val="0"/>
        <w:autoSpaceDN w:val="0"/>
        <w:adjustRightInd w:val="0"/>
        <w:spacing w:line="240" w:lineRule="auto"/>
        <w:ind w:left="567" w:hanging="567"/>
        <w:rPr>
          <w:szCs w:val="22"/>
          <w:lang w:eastAsia="en-GB"/>
        </w:rPr>
      </w:pPr>
      <w:r w:rsidRPr="001775D9">
        <w:rPr>
          <w:b/>
          <w:bCs/>
          <w:szCs w:val="22"/>
          <w:lang w:eastAsia="en-GB"/>
        </w:rPr>
        <w:t>3.</w:t>
      </w:r>
      <w:r w:rsidRPr="001775D9">
        <w:rPr>
          <w:b/>
          <w:bCs/>
          <w:szCs w:val="22"/>
          <w:lang w:eastAsia="en-GB"/>
        </w:rPr>
        <w:tab/>
        <w:t xml:space="preserve">PHARMACEUTICAL FORM </w:t>
      </w:r>
    </w:p>
    <w:p w14:paraId="0A8B2AE5" w14:textId="77777777" w:rsidR="001778AA" w:rsidRPr="001775D9" w:rsidRDefault="001778AA" w:rsidP="001778AA">
      <w:pPr>
        <w:suppressLineNumbers/>
        <w:spacing w:line="240" w:lineRule="auto"/>
        <w:rPr>
          <w:b/>
          <w:i/>
          <w:caps/>
          <w:szCs w:val="22"/>
        </w:rPr>
      </w:pPr>
    </w:p>
    <w:p w14:paraId="17F9409A" w14:textId="77777777" w:rsidR="001778AA" w:rsidRPr="001775D9" w:rsidRDefault="001778AA" w:rsidP="001778AA">
      <w:pPr>
        <w:tabs>
          <w:tab w:val="clear" w:pos="567"/>
        </w:tabs>
        <w:autoSpaceDE w:val="0"/>
        <w:autoSpaceDN w:val="0"/>
        <w:adjustRightInd w:val="0"/>
        <w:spacing w:line="240" w:lineRule="auto"/>
        <w:rPr>
          <w:bCs/>
          <w:szCs w:val="22"/>
          <w:lang w:eastAsia="en-GB"/>
        </w:rPr>
      </w:pPr>
      <w:r w:rsidRPr="001775D9">
        <w:rPr>
          <w:bCs/>
          <w:szCs w:val="22"/>
          <w:lang w:eastAsia="en-GB"/>
        </w:rPr>
        <w:t>Solution for injection (injection)</w:t>
      </w:r>
    </w:p>
    <w:p w14:paraId="50300A45" w14:textId="77777777" w:rsidR="001778AA" w:rsidRPr="00D55B59" w:rsidRDefault="001778AA" w:rsidP="001778AA">
      <w:pPr>
        <w:pStyle w:val="Default"/>
        <w:rPr>
          <w:color w:val="auto"/>
          <w:sz w:val="22"/>
          <w:szCs w:val="22"/>
          <w:lang w:val="en-GB" w:eastAsia="en-GB"/>
          <w:rPrChange w:id="1181" w:author="Author">
            <w:rPr>
              <w:color w:val="auto"/>
              <w:sz w:val="22"/>
              <w:szCs w:val="22"/>
              <w:lang w:eastAsia="en-GB"/>
            </w:rPr>
          </w:rPrChange>
        </w:rPr>
      </w:pPr>
      <w:r w:rsidRPr="00D55B59">
        <w:rPr>
          <w:color w:val="auto"/>
          <w:sz w:val="22"/>
          <w:szCs w:val="22"/>
          <w:lang w:val="en-GB" w:eastAsia="en-GB"/>
          <w:rPrChange w:id="1182" w:author="Author">
            <w:rPr>
              <w:color w:val="auto"/>
              <w:sz w:val="22"/>
              <w:szCs w:val="22"/>
              <w:lang w:eastAsia="en-GB"/>
            </w:rPr>
          </w:rPrChange>
        </w:rPr>
        <w:t xml:space="preserve">Solution for injection (injection) in pre-filled pen </w:t>
      </w:r>
      <w:r w:rsidRPr="00D55B59">
        <w:rPr>
          <w:sz w:val="22"/>
          <w:szCs w:val="22"/>
          <w:lang w:val="en-GB"/>
          <w:rPrChange w:id="1183" w:author="Author">
            <w:rPr>
              <w:sz w:val="22"/>
              <w:szCs w:val="22"/>
            </w:rPr>
          </w:rPrChange>
        </w:rPr>
        <w:t>(SureClick)</w:t>
      </w:r>
    </w:p>
    <w:p w14:paraId="5E06C6FE" w14:textId="77777777" w:rsidR="001778AA" w:rsidRPr="001775D9" w:rsidRDefault="001778AA" w:rsidP="001778AA">
      <w:pPr>
        <w:tabs>
          <w:tab w:val="clear" w:pos="567"/>
        </w:tabs>
        <w:autoSpaceDE w:val="0"/>
        <w:autoSpaceDN w:val="0"/>
        <w:adjustRightInd w:val="0"/>
        <w:spacing w:line="240" w:lineRule="auto"/>
        <w:rPr>
          <w:bCs/>
          <w:szCs w:val="22"/>
          <w:lang w:eastAsia="en-GB"/>
        </w:rPr>
      </w:pPr>
    </w:p>
    <w:p w14:paraId="450CD484" w14:textId="77777777" w:rsidR="001778AA" w:rsidRPr="001775D9" w:rsidRDefault="001778AA" w:rsidP="001778AA">
      <w:pPr>
        <w:tabs>
          <w:tab w:val="clear" w:pos="567"/>
        </w:tabs>
        <w:autoSpaceDE w:val="0"/>
        <w:autoSpaceDN w:val="0"/>
        <w:adjustRightInd w:val="0"/>
        <w:spacing w:line="240" w:lineRule="auto"/>
        <w:rPr>
          <w:bCs/>
          <w:szCs w:val="22"/>
          <w:lang w:eastAsia="en-GB"/>
        </w:rPr>
      </w:pPr>
      <w:r w:rsidRPr="001775D9">
        <w:rPr>
          <w:bCs/>
          <w:szCs w:val="22"/>
          <w:lang w:eastAsia="en-GB"/>
        </w:rPr>
        <w:t xml:space="preserve">Clear </w:t>
      </w:r>
      <w:r w:rsidRPr="001775D9">
        <w:rPr>
          <w:rFonts w:eastAsia="Calibri"/>
          <w:bCs/>
          <w:szCs w:val="22"/>
        </w:rPr>
        <w:t>and colourless to slightly yellow</w:t>
      </w:r>
      <w:r w:rsidRPr="001775D9">
        <w:rPr>
          <w:bCs/>
          <w:szCs w:val="22"/>
          <w:lang w:eastAsia="en-GB"/>
        </w:rPr>
        <w:t xml:space="preserve"> solution.</w:t>
      </w:r>
    </w:p>
    <w:p w14:paraId="1841A86B"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29E6C9E5"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15DC1270" w14:textId="77777777" w:rsidR="001778AA" w:rsidRPr="001775D9" w:rsidRDefault="001778AA" w:rsidP="00B61D9D">
      <w:pPr>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4.</w:t>
      </w:r>
      <w:r w:rsidRPr="001775D9">
        <w:rPr>
          <w:b/>
          <w:bCs/>
          <w:szCs w:val="22"/>
          <w:lang w:eastAsia="en-GB"/>
        </w:rPr>
        <w:tab/>
        <w:t xml:space="preserve">CLINICAL PARTICULARS </w:t>
      </w:r>
    </w:p>
    <w:p w14:paraId="36BC07AA"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667EC857" w14:textId="77777777" w:rsidR="001778AA" w:rsidRPr="001775D9" w:rsidRDefault="001778AA" w:rsidP="00B61D9D">
      <w:pPr>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4.1</w:t>
      </w:r>
      <w:r w:rsidRPr="001775D9">
        <w:rPr>
          <w:b/>
          <w:bCs/>
          <w:color w:val="000000"/>
          <w:szCs w:val="22"/>
          <w:lang w:eastAsia="en-GB"/>
        </w:rPr>
        <w:tab/>
        <w:t xml:space="preserve">Therapeutic indications </w:t>
      </w:r>
    </w:p>
    <w:p w14:paraId="28D8ABAA"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1B3E6E7A"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Rheumatoid arthritis </w:t>
      </w:r>
    </w:p>
    <w:p w14:paraId="4521105E"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207DBC05"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AMGEVITA in combination with methotrexate, is indicated for: </w:t>
      </w:r>
    </w:p>
    <w:p w14:paraId="12A2C570" w14:textId="77777777" w:rsidR="001778AA" w:rsidRPr="001775D9" w:rsidRDefault="001778AA" w:rsidP="001778AA">
      <w:pPr>
        <w:numPr>
          <w:ilvl w:val="0"/>
          <w:numId w:val="6"/>
        </w:numPr>
        <w:tabs>
          <w:tab w:val="clear" w:pos="567"/>
        </w:tabs>
        <w:autoSpaceDE w:val="0"/>
        <w:autoSpaceDN w:val="0"/>
        <w:adjustRightInd w:val="0"/>
        <w:spacing w:line="240" w:lineRule="auto"/>
        <w:ind w:left="567" w:hanging="567"/>
        <w:rPr>
          <w:color w:val="000000"/>
          <w:szCs w:val="22"/>
          <w:lang w:eastAsia="en-GB"/>
        </w:rPr>
      </w:pPr>
      <w:r w:rsidRPr="001775D9">
        <w:rPr>
          <w:color w:val="000000"/>
          <w:szCs w:val="22"/>
          <w:lang w:eastAsia="en-GB"/>
        </w:rPr>
        <w:t xml:space="preserve">the treatment of moderate to severe, active rheumatoid arthritis in adult patients when the response to disease-modifying anti-rheumatic drugs (DMARDs) including methotrexate has been inadequate. </w:t>
      </w:r>
    </w:p>
    <w:p w14:paraId="097D2751" w14:textId="77777777" w:rsidR="001778AA" w:rsidRPr="001775D9" w:rsidRDefault="001778AA" w:rsidP="001778AA">
      <w:pPr>
        <w:numPr>
          <w:ilvl w:val="0"/>
          <w:numId w:val="6"/>
        </w:numPr>
        <w:tabs>
          <w:tab w:val="clear" w:pos="567"/>
        </w:tabs>
        <w:autoSpaceDE w:val="0"/>
        <w:autoSpaceDN w:val="0"/>
        <w:adjustRightInd w:val="0"/>
        <w:spacing w:line="240" w:lineRule="auto"/>
        <w:ind w:left="567" w:hanging="567"/>
        <w:rPr>
          <w:color w:val="000000"/>
          <w:szCs w:val="22"/>
          <w:lang w:eastAsia="en-GB"/>
        </w:rPr>
      </w:pPr>
      <w:r w:rsidRPr="001775D9">
        <w:rPr>
          <w:color w:val="000000"/>
          <w:szCs w:val="22"/>
          <w:lang w:eastAsia="en-GB"/>
        </w:rPr>
        <w:t xml:space="preserve">the treatment of severe, active and progressive rheumatoid arthritis in adults not previously treated with methotrexate. </w:t>
      </w:r>
    </w:p>
    <w:p w14:paraId="215A08CC" w14:textId="77777777" w:rsidR="001778AA" w:rsidRPr="001775D9" w:rsidRDefault="001778AA" w:rsidP="00F36BD0">
      <w:pPr>
        <w:keepNext/>
        <w:tabs>
          <w:tab w:val="clear" w:pos="567"/>
        </w:tabs>
        <w:autoSpaceDE w:val="0"/>
        <w:autoSpaceDN w:val="0"/>
        <w:adjustRightInd w:val="0"/>
        <w:spacing w:line="240" w:lineRule="auto"/>
        <w:rPr>
          <w:color w:val="000000"/>
          <w:szCs w:val="22"/>
          <w:lang w:eastAsia="en-GB"/>
        </w:rPr>
      </w:pPr>
    </w:p>
    <w:p w14:paraId="161040B2"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AMGEVITA can be given as monotherapy in case of intolerance to methotrexate or when continued treatment with methotrexate is inappropriate. </w:t>
      </w:r>
    </w:p>
    <w:p w14:paraId="088EA43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33D8FC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lang w:eastAsia="en-GB"/>
        </w:rPr>
        <w:t xml:space="preserve"> reduces the rate of progression of joint damage as measured by x-ray and improves physical function, when given in combination with methotrexate. </w:t>
      </w:r>
    </w:p>
    <w:p w14:paraId="4BC1333C" w14:textId="77777777" w:rsidR="001778AA" w:rsidRPr="001775D9" w:rsidRDefault="001778AA" w:rsidP="001778AA">
      <w:pPr>
        <w:tabs>
          <w:tab w:val="clear" w:pos="567"/>
        </w:tabs>
        <w:autoSpaceDE w:val="0"/>
        <w:autoSpaceDN w:val="0"/>
        <w:adjustRightInd w:val="0"/>
        <w:spacing w:line="240" w:lineRule="auto"/>
        <w:rPr>
          <w:rFonts w:eastAsia="TimesNewRoman"/>
          <w:szCs w:val="22"/>
          <w:u w:val="single"/>
        </w:rPr>
      </w:pPr>
    </w:p>
    <w:p w14:paraId="4DD76741" w14:textId="77777777" w:rsidR="001778AA" w:rsidRPr="001775D9" w:rsidRDefault="001778AA" w:rsidP="001778AA">
      <w:pPr>
        <w:keepNext/>
        <w:tabs>
          <w:tab w:val="clear" w:pos="567"/>
        </w:tabs>
        <w:autoSpaceDE w:val="0"/>
        <w:autoSpaceDN w:val="0"/>
        <w:adjustRightInd w:val="0"/>
        <w:spacing w:line="240" w:lineRule="auto"/>
        <w:rPr>
          <w:rFonts w:eastAsia="TimesNewRoman"/>
          <w:szCs w:val="22"/>
          <w:u w:val="single"/>
        </w:rPr>
      </w:pPr>
      <w:r w:rsidRPr="001775D9">
        <w:rPr>
          <w:rFonts w:eastAsia="TimesNewRoman"/>
          <w:szCs w:val="22"/>
          <w:u w:val="single"/>
        </w:rPr>
        <w:t xml:space="preserve">Juvenile idiopathic arthritis </w:t>
      </w:r>
    </w:p>
    <w:p w14:paraId="5BA0F603" w14:textId="77777777" w:rsidR="001778AA" w:rsidRPr="001775D9" w:rsidRDefault="001778AA" w:rsidP="001778AA">
      <w:pPr>
        <w:keepNext/>
        <w:tabs>
          <w:tab w:val="clear" w:pos="567"/>
        </w:tabs>
        <w:autoSpaceDE w:val="0"/>
        <w:autoSpaceDN w:val="0"/>
        <w:adjustRightInd w:val="0"/>
        <w:spacing w:line="240" w:lineRule="auto"/>
        <w:rPr>
          <w:rFonts w:eastAsia="TimesNewRoman"/>
          <w:szCs w:val="22"/>
          <w:u w:val="single"/>
        </w:rPr>
      </w:pPr>
    </w:p>
    <w:p w14:paraId="490AC348" w14:textId="77777777" w:rsidR="001778AA" w:rsidRPr="001775D9" w:rsidRDefault="001778AA" w:rsidP="001778AA">
      <w:pPr>
        <w:keepNext/>
        <w:tabs>
          <w:tab w:val="clear" w:pos="567"/>
        </w:tabs>
        <w:autoSpaceDE w:val="0"/>
        <w:autoSpaceDN w:val="0"/>
        <w:adjustRightInd w:val="0"/>
        <w:spacing w:line="240" w:lineRule="auto"/>
        <w:rPr>
          <w:rFonts w:eastAsia="TimesNewRoman"/>
          <w:i/>
          <w:szCs w:val="22"/>
        </w:rPr>
      </w:pPr>
      <w:r w:rsidRPr="001775D9">
        <w:rPr>
          <w:rFonts w:eastAsia="TimesNewRoman"/>
          <w:i/>
          <w:szCs w:val="22"/>
        </w:rPr>
        <w:t>Polyarticular juvenile idiopathic arthritis</w:t>
      </w:r>
    </w:p>
    <w:p w14:paraId="3CF2741A"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3C5CE635"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lang w:eastAsia="en-GB"/>
        </w:rPr>
        <w:t>AMGEVITA</w:t>
      </w:r>
      <w:r w:rsidRPr="001775D9">
        <w:rPr>
          <w:rFonts w:eastAsia="TimesNewRoman"/>
          <w:szCs w:val="22"/>
        </w:rPr>
        <w:t xml:space="preserve"> in combination with methotrexate is indicated for the treatment of active polyarticular juvenile idiopathic arthritis, in patients from the age of 2 years who have had an inadequate response to one or more DMARDs. </w:t>
      </w:r>
      <w:r w:rsidRPr="001775D9">
        <w:rPr>
          <w:color w:val="000000"/>
          <w:szCs w:val="22"/>
          <w:lang w:eastAsia="en-GB"/>
        </w:rPr>
        <w:t>AMGEVITA</w:t>
      </w:r>
      <w:r w:rsidRPr="001775D9">
        <w:rPr>
          <w:rFonts w:eastAsia="TimesNewRoman"/>
          <w:szCs w:val="22"/>
        </w:rPr>
        <w:t xml:space="preserve"> can be given as monotherapy in case of intolerance to methotrexate or when continued treatment with methotrexate is inappropriate (for the efficacy in monotherapy see section 5.1). Adalimumab</w:t>
      </w:r>
      <w:r w:rsidRPr="001775D9">
        <w:rPr>
          <w:szCs w:val="22"/>
          <w:lang w:eastAsia="en-GB"/>
        </w:rPr>
        <w:t xml:space="preserve"> </w:t>
      </w:r>
      <w:r w:rsidRPr="001775D9">
        <w:rPr>
          <w:color w:val="000000"/>
          <w:szCs w:val="22"/>
        </w:rPr>
        <w:t>has not been studied in patients aged less than 2 years.</w:t>
      </w:r>
    </w:p>
    <w:p w14:paraId="52F85426"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1BC107EE" w14:textId="77777777" w:rsidR="001778AA" w:rsidRPr="001775D9" w:rsidRDefault="001778AA" w:rsidP="001778AA">
      <w:pPr>
        <w:tabs>
          <w:tab w:val="clear" w:pos="567"/>
        </w:tabs>
        <w:autoSpaceDE w:val="0"/>
        <w:autoSpaceDN w:val="0"/>
        <w:adjustRightInd w:val="0"/>
        <w:spacing w:line="240" w:lineRule="auto"/>
        <w:rPr>
          <w:i/>
          <w:color w:val="000000"/>
          <w:szCs w:val="22"/>
        </w:rPr>
      </w:pPr>
      <w:r w:rsidRPr="001775D9">
        <w:rPr>
          <w:i/>
          <w:color w:val="000000"/>
          <w:szCs w:val="22"/>
        </w:rPr>
        <w:t>Enthesitis-related arthritis</w:t>
      </w:r>
    </w:p>
    <w:p w14:paraId="5759EBEF"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2FBD0BB0"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rPr>
        <w:t>AMGEVITA is indicated for the treatment of active enthesitis-related arthritis in patients, 6 years of age and older, who have had an inadequate response to, or who are intolerant of, conventional therapy (see section 5.1).</w:t>
      </w:r>
    </w:p>
    <w:p w14:paraId="02762CF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AA6D067"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Axial spondyloarthritis </w:t>
      </w:r>
    </w:p>
    <w:p w14:paraId="3C95B166"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p>
    <w:p w14:paraId="55C36671"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szCs w:val="22"/>
          <w:lang w:eastAsia="en-GB"/>
        </w:rPr>
        <w:t xml:space="preserve">Ankylosing spondylitis (AS) </w:t>
      </w:r>
    </w:p>
    <w:p w14:paraId="443DEA2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64C794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lang w:eastAsia="en-GB"/>
        </w:rPr>
        <w:t xml:space="preserve"> is indicated for the treatment of adults with severe active ankylosing spondylitis who have had an inadequate response to conventional therapy. </w:t>
      </w:r>
    </w:p>
    <w:p w14:paraId="0ED4E7CB"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8CD122B" w14:textId="77777777" w:rsidR="001778AA" w:rsidRPr="001775D9" w:rsidRDefault="001778AA" w:rsidP="001778AA">
      <w:pPr>
        <w:tabs>
          <w:tab w:val="clear" w:pos="567"/>
        </w:tabs>
        <w:autoSpaceDE w:val="0"/>
        <w:autoSpaceDN w:val="0"/>
        <w:adjustRightInd w:val="0"/>
        <w:spacing w:line="240" w:lineRule="auto"/>
        <w:rPr>
          <w:i/>
          <w:szCs w:val="22"/>
          <w:lang w:eastAsia="en-GB"/>
        </w:rPr>
      </w:pPr>
      <w:r w:rsidRPr="001775D9">
        <w:rPr>
          <w:i/>
          <w:szCs w:val="22"/>
          <w:lang w:eastAsia="en-GB"/>
        </w:rPr>
        <w:t xml:space="preserve">Axial spondyloarthritis without radiographic evidence of AS </w:t>
      </w:r>
    </w:p>
    <w:p w14:paraId="0E3EB0AC"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60C810A"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color w:val="000000"/>
          <w:szCs w:val="22"/>
          <w:lang w:eastAsia="en-GB"/>
        </w:rPr>
        <w:t>AMGEVITA</w:t>
      </w:r>
      <w:r w:rsidRPr="001775D9">
        <w:rPr>
          <w:szCs w:val="22"/>
          <w:lang w:eastAsia="en-GB"/>
        </w:rPr>
        <w:t xml:space="preserve"> is indicated for the treatment of adults with severe axial spondyloarthritis without radiographic evidence of AS but with objective signs of inflammation by elevated CRP and/or MRI, who have had an inadequate response to, or are intolerant to non-steroidal anti-inflammatory drugs.</w:t>
      </w:r>
    </w:p>
    <w:p w14:paraId="78BF2C34"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590FC358"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Psoriatic arthritis </w:t>
      </w:r>
    </w:p>
    <w:p w14:paraId="4CC5FBE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25EC80E"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lang w:eastAsia="en-GB"/>
        </w:rPr>
        <w:t xml:space="preserve"> is indicated for the treatment of active and progressive psoriatic arthritis in adults when the response to previous DMARD therapy has been inadequate. </w:t>
      </w:r>
      <w:r w:rsidRPr="001775D9">
        <w:rPr>
          <w:color w:val="000000"/>
          <w:szCs w:val="22"/>
          <w:lang w:eastAsia="en-GB"/>
        </w:rPr>
        <w:t>AMGEVITA</w:t>
      </w:r>
      <w:r w:rsidRPr="001775D9">
        <w:rPr>
          <w:szCs w:val="22"/>
          <w:lang w:eastAsia="en-GB"/>
        </w:rPr>
        <w:t xml:space="preserve"> reduces the rate of progression of peripheral joint damage as measured by x-ray in patients with polyarticular symmetrical subtypes of the disease (see section 5.1) and improves physical function. </w:t>
      </w:r>
    </w:p>
    <w:p w14:paraId="692D9ED2"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1632C10C"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Psoriasis </w:t>
      </w:r>
    </w:p>
    <w:p w14:paraId="3424AC4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DF1B4C5"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lang w:eastAsia="en-GB"/>
        </w:rPr>
        <w:t xml:space="preserve"> is indicated for the treatment of moderate to severe chronic plaque psoriasis in adult patients who are candidates for systemic therapy. </w:t>
      </w:r>
    </w:p>
    <w:p w14:paraId="3CB0E46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936059F"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Paediatric plaque psoriasis </w:t>
      </w:r>
    </w:p>
    <w:p w14:paraId="5882A14B"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6728FBE" w14:textId="77777777" w:rsidR="001778AA" w:rsidRPr="001775D9" w:rsidRDefault="001778AA" w:rsidP="001778AA">
      <w:pPr>
        <w:tabs>
          <w:tab w:val="clear" w:pos="567"/>
        </w:tabs>
        <w:autoSpaceDE w:val="0"/>
        <w:autoSpaceDN w:val="0"/>
        <w:adjustRightInd w:val="0"/>
        <w:spacing w:line="240" w:lineRule="auto"/>
        <w:rPr>
          <w:szCs w:val="22"/>
        </w:rPr>
      </w:pPr>
      <w:r w:rsidRPr="001775D9">
        <w:rPr>
          <w:color w:val="000000"/>
          <w:szCs w:val="22"/>
          <w:lang w:eastAsia="en-GB"/>
        </w:rPr>
        <w:t>AMGEVITA</w:t>
      </w:r>
      <w:r w:rsidRPr="001775D9">
        <w:rPr>
          <w:szCs w:val="22"/>
        </w:rPr>
        <w:t xml:space="preserve"> is indicated for the treatment of severe chronic plaque psoriasis in children and adolescents from 4 years of age who have had an inadequate response to or are inappropriate candidates for topical therapy and phototherapies.</w:t>
      </w:r>
    </w:p>
    <w:p w14:paraId="1401292B" w14:textId="77777777" w:rsidR="001778AA" w:rsidRPr="001775D9" w:rsidRDefault="001778AA" w:rsidP="001778AA">
      <w:pPr>
        <w:tabs>
          <w:tab w:val="clear" w:pos="567"/>
        </w:tabs>
        <w:autoSpaceDE w:val="0"/>
        <w:autoSpaceDN w:val="0"/>
        <w:adjustRightInd w:val="0"/>
        <w:spacing w:line="240" w:lineRule="auto"/>
        <w:rPr>
          <w:szCs w:val="22"/>
        </w:rPr>
      </w:pPr>
    </w:p>
    <w:p w14:paraId="0B95127E" w14:textId="77777777" w:rsidR="001778AA" w:rsidRPr="001775D9" w:rsidRDefault="001778AA" w:rsidP="001778AA">
      <w:pPr>
        <w:keepNext/>
        <w:shd w:val="clear" w:color="auto" w:fill="FFFFFF"/>
        <w:tabs>
          <w:tab w:val="clear" w:pos="567"/>
        </w:tabs>
        <w:spacing w:line="240" w:lineRule="auto"/>
        <w:rPr>
          <w:rFonts w:eastAsia="Times New Roman"/>
          <w:color w:val="000000"/>
          <w:szCs w:val="22"/>
          <w:u w:val="single"/>
        </w:rPr>
      </w:pPr>
      <w:r w:rsidRPr="001775D9">
        <w:rPr>
          <w:rFonts w:eastAsia="Times New Roman"/>
          <w:color w:val="000000"/>
          <w:szCs w:val="22"/>
          <w:u w:val="single"/>
        </w:rPr>
        <w:t>Hidradenitis suppurativa (HS)</w:t>
      </w:r>
    </w:p>
    <w:p w14:paraId="70F32444"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3AC34342" w14:textId="77777777" w:rsidR="001778AA" w:rsidRPr="001775D9" w:rsidRDefault="001778AA" w:rsidP="001778AA">
      <w:pPr>
        <w:keepNext/>
        <w:shd w:val="clear" w:color="auto" w:fill="FFFFFF"/>
        <w:tabs>
          <w:tab w:val="clear" w:pos="567"/>
        </w:tabs>
        <w:spacing w:line="240" w:lineRule="auto"/>
        <w:rPr>
          <w:rFonts w:eastAsia="Times New Roman"/>
          <w:color w:val="000000"/>
          <w:szCs w:val="22"/>
        </w:rPr>
      </w:pPr>
      <w:r w:rsidRPr="001775D9">
        <w:rPr>
          <w:color w:val="000000"/>
          <w:szCs w:val="22"/>
          <w:lang w:eastAsia="en-GB"/>
        </w:rPr>
        <w:t>AMGEVITA</w:t>
      </w:r>
      <w:r w:rsidRPr="001775D9">
        <w:rPr>
          <w:szCs w:val="22"/>
        </w:rPr>
        <w:t xml:space="preserve"> </w:t>
      </w:r>
      <w:r w:rsidRPr="001775D9">
        <w:rPr>
          <w:rFonts w:eastAsia="Times New Roman"/>
          <w:color w:val="000000"/>
          <w:szCs w:val="22"/>
        </w:rPr>
        <w:t>is indicated for the treatment of active moderate to severe hidradenitis suppurativa (acne inversa) in adults and adolescents from 12 years of age with an inadequate response to conventional systemic HS therapy (see sections 5.1 and 5.2).</w:t>
      </w:r>
    </w:p>
    <w:p w14:paraId="6FF80CDF"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1A12B54F"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Crohn’s disease </w:t>
      </w:r>
    </w:p>
    <w:p w14:paraId="5AC2598F"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6CF2B630"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color w:val="000000"/>
          <w:szCs w:val="22"/>
          <w:lang w:eastAsia="en-GB"/>
        </w:rPr>
        <w:t>AMGEVITA</w:t>
      </w:r>
      <w:r w:rsidRPr="001775D9">
        <w:rPr>
          <w:szCs w:val="22"/>
        </w:rPr>
        <w:t xml:space="preserve"> </w:t>
      </w:r>
      <w:r w:rsidRPr="001775D9">
        <w:rPr>
          <w:szCs w:val="22"/>
          <w:lang w:eastAsia="en-GB"/>
        </w:rPr>
        <w:t>is indicated for treatment of moderately to severely active Crohn’s disease, in adult patients who have not responded despite a full and adequate course of therapy with a corticosteroid and/or an immunosuppressant; or who are intolerant to or have medical contraindications for such therapies.</w:t>
      </w:r>
    </w:p>
    <w:p w14:paraId="36443737"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7207027B"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Paediatric Crohn's disease </w:t>
      </w:r>
    </w:p>
    <w:p w14:paraId="11F73028"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52FF3197"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rPr>
        <w:t xml:space="preserve"> </w:t>
      </w:r>
      <w:r w:rsidRPr="001775D9">
        <w:rPr>
          <w:szCs w:val="22"/>
          <w:lang w:eastAsia="en-GB"/>
        </w:rPr>
        <w:t xml:space="preserve">is indicated for the treatment of moderately to severely active Crohn's disease in paediatric patients (from 6 years of age) who have had an inadequate response to conventional therapy including primary nutrition therapy and a corticosteroid and/or an immunomodulator, or who are intolerant to or have contraindications for such therapies. </w:t>
      </w:r>
    </w:p>
    <w:p w14:paraId="231E5D80"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5EF5C3B3"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Ulcerative colitis </w:t>
      </w:r>
    </w:p>
    <w:p w14:paraId="15619FD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D3CDD15" w14:textId="32EDC064"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rPr>
        <w:t xml:space="preserve"> </w:t>
      </w:r>
      <w:r w:rsidRPr="001775D9">
        <w:rPr>
          <w:szCs w:val="22"/>
          <w:lang w:eastAsia="en-GB"/>
        </w:rPr>
        <w:t>is indicated for treatment of moderately to severely active ulcerative colitis in adult patients who have had an inadequate response to conventional therapy including corticosteroids and 6</w:t>
      </w:r>
      <w:r w:rsidR="00CC68E1" w:rsidRPr="001775D9">
        <w:rPr>
          <w:szCs w:val="22"/>
          <w:lang w:eastAsia="en-GB"/>
        </w:rPr>
        <w:noBreakHyphen/>
      </w:r>
      <w:r w:rsidRPr="001775D9">
        <w:rPr>
          <w:szCs w:val="22"/>
          <w:lang w:eastAsia="en-GB"/>
        </w:rPr>
        <w:t>mercaptopurine (6-MP) or azathioprine (AZA), or who are intolerant to or have medical contraindications for such therapies.</w:t>
      </w:r>
    </w:p>
    <w:p w14:paraId="02FA4566"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6451A91"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Paediatric ulcerative colitis</w:t>
      </w:r>
    </w:p>
    <w:p w14:paraId="34191594"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p>
    <w:p w14:paraId="415DA4A2"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AMGEVITA is indicated for the treatment of moderately to severely active ulcerative colitis in paediatric patients (from 6 years of age) who have had an inadequate response to conventional therapy including corticosteroids and/or 6-mercaptopurine (6-MP) or azathioprine (AZA), or who are intolerant to or have medical contraindications for such therapies.</w:t>
      </w:r>
    </w:p>
    <w:p w14:paraId="4081BAD6"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p>
    <w:p w14:paraId="4BE9715E"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Uveitis</w:t>
      </w:r>
    </w:p>
    <w:p w14:paraId="55AF03E1"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p>
    <w:p w14:paraId="3634BBAF"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AMGEVITA is indicated for the treatment of non-infectious intermediate, posterior and panuveitis in adult patients who have had an inadequate response to corticosteroids, in patients in need of corticosteroid-sparing, or in whom corticosteroid treatment is inappropriate.</w:t>
      </w:r>
    </w:p>
    <w:p w14:paraId="20110676"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4831A732" w14:textId="77777777" w:rsidR="001778AA" w:rsidRPr="001775D9" w:rsidRDefault="001778AA" w:rsidP="001778AA">
      <w:pPr>
        <w:keepNext/>
        <w:tabs>
          <w:tab w:val="clear" w:pos="567"/>
          <w:tab w:val="left" w:pos="720"/>
        </w:tabs>
        <w:autoSpaceDE w:val="0"/>
        <w:autoSpaceDN w:val="0"/>
        <w:adjustRightInd w:val="0"/>
        <w:spacing w:line="240" w:lineRule="auto"/>
        <w:rPr>
          <w:szCs w:val="22"/>
          <w:u w:val="single"/>
          <w:lang w:eastAsia="en-GB"/>
        </w:rPr>
      </w:pPr>
      <w:r w:rsidRPr="001775D9">
        <w:rPr>
          <w:szCs w:val="22"/>
          <w:u w:val="single"/>
          <w:lang w:eastAsia="en-GB"/>
        </w:rPr>
        <w:t>Paediatric uveitis</w:t>
      </w:r>
    </w:p>
    <w:p w14:paraId="33E80A32" w14:textId="77777777" w:rsidR="001778AA" w:rsidRPr="001775D9" w:rsidRDefault="001778AA" w:rsidP="001778AA">
      <w:pPr>
        <w:keepNext/>
        <w:tabs>
          <w:tab w:val="clear" w:pos="567"/>
          <w:tab w:val="left" w:pos="720"/>
        </w:tabs>
        <w:autoSpaceDE w:val="0"/>
        <w:autoSpaceDN w:val="0"/>
        <w:adjustRightInd w:val="0"/>
        <w:spacing w:line="240" w:lineRule="auto"/>
        <w:rPr>
          <w:szCs w:val="22"/>
          <w:u w:val="single"/>
          <w:lang w:eastAsia="en-GB"/>
        </w:rPr>
      </w:pPr>
    </w:p>
    <w:p w14:paraId="67DC029E" w14:textId="77777777" w:rsidR="001778AA" w:rsidRPr="001775D9" w:rsidRDefault="001778AA" w:rsidP="001778AA">
      <w:pPr>
        <w:keepNext/>
        <w:tabs>
          <w:tab w:val="clear" w:pos="567"/>
          <w:tab w:val="left" w:pos="720"/>
        </w:tabs>
        <w:autoSpaceDE w:val="0"/>
        <w:autoSpaceDN w:val="0"/>
        <w:adjustRightInd w:val="0"/>
        <w:spacing w:line="240" w:lineRule="auto"/>
        <w:rPr>
          <w:szCs w:val="22"/>
          <w:lang w:eastAsia="en-GB"/>
        </w:rPr>
      </w:pPr>
      <w:r w:rsidRPr="001775D9">
        <w:rPr>
          <w:szCs w:val="22"/>
          <w:lang w:eastAsia="en-GB"/>
        </w:rPr>
        <w:t>AMGEVITA is indicated for the treatment of paediatric chronic non-infectious anterior uveitis in patients from 2 years of age who have had an inadequate response to or are intolerant to conventional therapy, or in whom conventional therapy is inappropriate.</w:t>
      </w:r>
    </w:p>
    <w:p w14:paraId="7E5D5B29"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5E7F2615" w14:textId="65FA895A" w:rsidR="001778AA" w:rsidRPr="001775D9" w:rsidRDefault="001778AA" w:rsidP="00B61D9D">
      <w:pPr>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4.2</w:t>
      </w:r>
      <w:r w:rsidRPr="001775D9">
        <w:rPr>
          <w:b/>
          <w:bCs/>
          <w:szCs w:val="22"/>
          <w:lang w:eastAsia="en-GB"/>
        </w:rPr>
        <w:tab/>
        <w:t xml:space="preserve">Posology and method of administration </w:t>
      </w:r>
    </w:p>
    <w:p w14:paraId="4EE4ECF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F628FF3"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rPr>
        <w:t xml:space="preserve"> </w:t>
      </w:r>
      <w:r w:rsidRPr="001775D9">
        <w:rPr>
          <w:szCs w:val="22"/>
          <w:lang w:eastAsia="en-GB"/>
        </w:rPr>
        <w:t xml:space="preserve">treatment should be initiated and supervised by specialist physicians experienced in the diagnosis and treatment of conditions for which </w:t>
      </w:r>
      <w:r w:rsidRPr="001775D9">
        <w:rPr>
          <w:color w:val="000000"/>
          <w:szCs w:val="22"/>
          <w:lang w:eastAsia="en-GB"/>
        </w:rPr>
        <w:t>AMGEVITA</w:t>
      </w:r>
      <w:r w:rsidRPr="001775D9">
        <w:rPr>
          <w:szCs w:val="22"/>
          <w:lang w:eastAsia="en-GB"/>
        </w:rPr>
        <w:t xml:space="preserve"> is indicated. Ophthalmologists are advised to consult with an appropriate specialist before initiation of treatment with AMGEVITA (see section 4.4). Patients treated with </w:t>
      </w:r>
      <w:r w:rsidRPr="001775D9">
        <w:rPr>
          <w:color w:val="000000"/>
          <w:szCs w:val="22"/>
          <w:lang w:eastAsia="en-GB"/>
        </w:rPr>
        <w:t>AMGEVITA</w:t>
      </w:r>
      <w:r w:rsidRPr="001775D9">
        <w:rPr>
          <w:szCs w:val="22"/>
          <w:lang w:eastAsia="en-GB"/>
        </w:rPr>
        <w:t xml:space="preserve"> should be given the Patient Reminder Card. </w:t>
      </w:r>
    </w:p>
    <w:p w14:paraId="4339322C"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446941C" w14:textId="77777777" w:rsidR="001778AA" w:rsidRPr="001775D9" w:rsidRDefault="001778AA" w:rsidP="001778AA">
      <w:pPr>
        <w:tabs>
          <w:tab w:val="clear" w:pos="567"/>
        </w:tabs>
        <w:autoSpaceDE w:val="0"/>
        <w:autoSpaceDN w:val="0"/>
        <w:adjustRightInd w:val="0"/>
        <w:spacing w:line="240" w:lineRule="auto"/>
        <w:rPr>
          <w:szCs w:val="22"/>
        </w:rPr>
      </w:pPr>
      <w:r w:rsidRPr="001775D9">
        <w:rPr>
          <w:szCs w:val="22"/>
          <w:lang w:eastAsia="en-GB"/>
        </w:rPr>
        <w:t xml:space="preserve">After proper training in injection technique, patients may self-inject with </w:t>
      </w:r>
      <w:r w:rsidRPr="001775D9">
        <w:rPr>
          <w:color w:val="000000"/>
          <w:szCs w:val="22"/>
          <w:lang w:eastAsia="en-GB"/>
        </w:rPr>
        <w:t>AMGEVITA</w:t>
      </w:r>
      <w:r w:rsidRPr="001775D9">
        <w:rPr>
          <w:szCs w:val="22"/>
          <w:lang w:eastAsia="en-GB"/>
        </w:rPr>
        <w:t xml:space="preserve"> if their physician determines that it is appropriate and with medical follow-up as necessary. </w:t>
      </w:r>
    </w:p>
    <w:p w14:paraId="22ACACA6"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56811CD"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rPr>
        <w:t xml:space="preserve">During treatment with </w:t>
      </w:r>
      <w:r w:rsidRPr="001775D9">
        <w:rPr>
          <w:color w:val="000000"/>
          <w:szCs w:val="22"/>
          <w:lang w:eastAsia="en-GB"/>
        </w:rPr>
        <w:t>AMGEVITA</w:t>
      </w:r>
      <w:r w:rsidRPr="001775D9">
        <w:rPr>
          <w:szCs w:val="22"/>
        </w:rPr>
        <w:t>, other concomitant therapies (e.g. corticosteroids and/or immunomodulatory agents) should be optimised.</w:t>
      </w:r>
    </w:p>
    <w:p w14:paraId="147FD9D7" w14:textId="3C0E9D6A" w:rsidR="001778AA" w:rsidRPr="001775D9" w:rsidRDefault="001778AA" w:rsidP="001778AA">
      <w:pPr>
        <w:keepNext/>
        <w:tabs>
          <w:tab w:val="clear" w:pos="567"/>
        </w:tabs>
        <w:autoSpaceDE w:val="0"/>
        <w:autoSpaceDN w:val="0"/>
        <w:adjustRightInd w:val="0"/>
        <w:spacing w:line="240" w:lineRule="auto"/>
        <w:rPr>
          <w:szCs w:val="22"/>
          <w:u w:val="single"/>
          <w:lang w:eastAsia="en-GB"/>
        </w:rPr>
      </w:pPr>
    </w:p>
    <w:p w14:paraId="07D4C3F5" w14:textId="77777777" w:rsidR="001778AA" w:rsidRPr="001775D9" w:rsidRDefault="001778AA" w:rsidP="001778AA">
      <w:pPr>
        <w:keepNext/>
        <w:tabs>
          <w:tab w:val="clear" w:pos="567"/>
        </w:tabs>
        <w:autoSpaceDE w:val="0"/>
        <w:autoSpaceDN w:val="0"/>
        <w:adjustRightInd w:val="0"/>
        <w:spacing w:line="240" w:lineRule="auto"/>
        <w:rPr>
          <w:b/>
          <w:bCs/>
          <w:szCs w:val="22"/>
          <w:u w:val="single"/>
          <w:lang w:eastAsia="en-GB"/>
        </w:rPr>
      </w:pPr>
      <w:r w:rsidRPr="001775D9">
        <w:rPr>
          <w:szCs w:val="22"/>
          <w:u w:val="single"/>
        </w:rPr>
        <w:t>Posology</w:t>
      </w:r>
    </w:p>
    <w:p w14:paraId="086E3FFC" w14:textId="77777777" w:rsidR="001778AA" w:rsidRPr="001775D9" w:rsidRDefault="001778AA" w:rsidP="001778AA">
      <w:pPr>
        <w:keepNext/>
        <w:tabs>
          <w:tab w:val="clear" w:pos="567"/>
        </w:tabs>
        <w:autoSpaceDE w:val="0"/>
        <w:autoSpaceDN w:val="0"/>
        <w:adjustRightInd w:val="0"/>
        <w:spacing w:line="240" w:lineRule="auto"/>
        <w:rPr>
          <w:b/>
          <w:bCs/>
          <w:szCs w:val="22"/>
          <w:lang w:eastAsia="en-GB"/>
        </w:rPr>
      </w:pPr>
    </w:p>
    <w:p w14:paraId="08995FF2"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szCs w:val="22"/>
          <w:lang w:eastAsia="en-GB"/>
        </w:rPr>
        <w:t xml:space="preserve">Rheumatoid arthritis </w:t>
      </w:r>
    </w:p>
    <w:p w14:paraId="7F027FA2"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1DE756F3"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 xml:space="preserve">The recommended dose of </w:t>
      </w:r>
      <w:r w:rsidRPr="001775D9">
        <w:rPr>
          <w:color w:val="000000"/>
          <w:szCs w:val="22"/>
          <w:lang w:eastAsia="en-GB"/>
        </w:rPr>
        <w:t>AMGEVITA</w:t>
      </w:r>
      <w:r w:rsidRPr="001775D9">
        <w:rPr>
          <w:szCs w:val="22"/>
        </w:rPr>
        <w:t xml:space="preserve"> </w:t>
      </w:r>
      <w:r w:rsidRPr="001775D9">
        <w:rPr>
          <w:szCs w:val="22"/>
          <w:lang w:eastAsia="en-GB"/>
        </w:rPr>
        <w:t>for adult patients with rheumatoid arthritis is 40</w:t>
      </w:r>
      <w:r w:rsidRPr="001775D9">
        <w:rPr>
          <w:szCs w:val="22"/>
        </w:rPr>
        <w:t> </w:t>
      </w:r>
      <w:r w:rsidRPr="001775D9">
        <w:rPr>
          <w:szCs w:val="22"/>
          <w:lang w:eastAsia="en-GB"/>
        </w:rPr>
        <w:t xml:space="preserve">mg adalimumab administered every other week as a single dose via subcutaneous injection. Methotrexate should be continued during treatment with </w:t>
      </w:r>
      <w:r w:rsidRPr="001775D9">
        <w:rPr>
          <w:color w:val="000000"/>
          <w:szCs w:val="22"/>
          <w:lang w:eastAsia="en-GB"/>
        </w:rPr>
        <w:t>AMGEVITA</w:t>
      </w:r>
      <w:r w:rsidRPr="001775D9">
        <w:rPr>
          <w:szCs w:val="22"/>
          <w:lang w:eastAsia="en-GB"/>
        </w:rPr>
        <w:t xml:space="preserve">. </w:t>
      </w:r>
    </w:p>
    <w:p w14:paraId="4EFF6DBC"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821ADBF"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Glucocorticoids, salicylates, non-steroidal anti-inflammatory drugs, or analgesics can be continued during treatment with </w:t>
      </w:r>
      <w:r w:rsidRPr="001775D9">
        <w:rPr>
          <w:color w:val="000000"/>
          <w:szCs w:val="22"/>
          <w:lang w:eastAsia="en-GB"/>
        </w:rPr>
        <w:t>AMGEVITA</w:t>
      </w:r>
      <w:r w:rsidRPr="001775D9">
        <w:rPr>
          <w:szCs w:val="22"/>
          <w:lang w:eastAsia="en-GB"/>
        </w:rPr>
        <w:t xml:space="preserve">. Regarding combination with disease-modifying anti-rheumatic drugs other than methotrexate see sections 4.4 and 5.1. </w:t>
      </w:r>
    </w:p>
    <w:p w14:paraId="7F135A2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476FF09"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monotherapy, some patients who experience a decrease in their response to AMGEVITA 40 mg every other week may benefit from an increase in dose to 40</w:t>
      </w:r>
      <w:r w:rsidRPr="001775D9">
        <w:rPr>
          <w:szCs w:val="22"/>
        </w:rPr>
        <w:t> </w:t>
      </w:r>
      <w:r w:rsidRPr="001775D9">
        <w:rPr>
          <w:szCs w:val="22"/>
          <w:lang w:eastAsia="en-GB"/>
        </w:rPr>
        <w:t>mg adalimumab every week</w:t>
      </w:r>
      <w:r w:rsidRPr="001775D9">
        <w:t xml:space="preserve"> </w:t>
      </w:r>
      <w:r w:rsidRPr="001775D9">
        <w:rPr>
          <w:szCs w:val="22"/>
          <w:lang w:eastAsia="en-GB"/>
        </w:rPr>
        <w:t>or 80 mg every other week.</w:t>
      </w:r>
    </w:p>
    <w:p w14:paraId="0422C6D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5325C3A" w14:textId="77777777" w:rsidR="001778AA" w:rsidRPr="00D55B59" w:rsidRDefault="001778AA" w:rsidP="001778AA">
      <w:pPr>
        <w:tabs>
          <w:tab w:val="clear" w:pos="567"/>
        </w:tabs>
        <w:autoSpaceDE w:val="0"/>
        <w:autoSpaceDN w:val="0"/>
        <w:adjustRightInd w:val="0"/>
        <w:spacing w:line="240" w:lineRule="auto"/>
        <w:rPr>
          <w:szCs w:val="22"/>
          <w:rPrChange w:id="1184" w:author="Author">
            <w:rPr>
              <w:szCs w:val="22"/>
              <w:lang w:val="en-US"/>
            </w:rPr>
          </w:rPrChange>
        </w:rPr>
      </w:pPr>
      <w:r w:rsidRPr="00D55B59">
        <w:rPr>
          <w:szCs w:val="22"/>
          <w:rPrChange w:id="1185" w:author="Author">
            <w:rPr>
              <w:szCs w:val="22"/>
              <w:lang w:val="en-US"/>
            </w:rPr>
          </w:rPrChange>
        </w:rPr>
        <w:t>Available adalimumab data suggest that the clinical response is usually achieved within 12 weeks of treatment. Continued therapy should be reconsidered in a patient not responding within this time period.</w:t>
      </w:r>
    </w:p>
    <w:p w14:paraId="3808F32A" w14:textId="56AF5878" w:rsidR="001778AA" w:rsidRPr="001775D9" w:rsidRDefault="001778AA" w:rsidP="001778AA">
      <w:pPr>
        <w:tabs>
          <w:tab w:val="clear" w:pos="567"/>
        </w:tabs>
        <w:autoSpaceDE w:val="0"/>
        <w:autoSpaceDN w:val="0"/>
        <w:adjustRightInd w:val="0"/>
        <w:spacing w:line="240" w:lineRule="auto"/>
        <w:rPr>
          <w:szCs w:val="22"/>
          <w:u w:val="single"/>
          <w:lang w:eastAsia="en-GB"/>
        </w:rPr>
      </w:pPr>
    </w:p>
    <w:p w14:paraId="437288AF" w14:textId="21A0304D" w:rsidR="00F965B6" w:rsidRPr="001775D9" w:rsidRDefault="00A67B8F"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1FE1E51D" w14:textId="77777777" w:rsidR="00F965B6" w:rsidRPr="001775D9" w:rsidRDefault="00F965B6" w:rsidP="001778AA">
      <w:pPr>
        <w:tabs>
          <w:tab w:val="clear" w:pos="567"/>
        </w:tabs>
        <w:autoSpaceDE w:val="0"/>
        <w:autoSpaceDN w:val="0"/>
        <w:adjustRightInd w:val="0"/>
        <w:spacing w:line="240" w:lineRule="auto"/>
        <w:rPr>
          <w:szCs w:val="22"/>
          <w:u w:val="single"/>
          <w:lang w:eastAsia="en-GB"/>
        </w:rPr>
      </w:pPr>
    </w:p>
    <w:p w14:paraId="4A6560C8"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i/>
          <w:iCs/>
          <w:szCs w:val="22"/>
          <w:u w:val="single"/>
          <w:lang w:eastAsia="en-GB"/>
        </w:rPr>
        <w:t xml:space="preserve">Dose interruption </w:t>
      </w:r>
    </w:p>
    <w:p w14:paraId="2E3EC04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8636C03"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There may be a need for dose interruption, for instance before surgery or if a serious infection occurs. </w:t>
      </w:r>
    </w:p>
    <w:p w14:paraId="5933917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A60956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Available data suggest that re-introduction of adalimumab after discontinuation for 70 days or longer resulted in the same magnitudes of clinical response and similar safety profile as before dose interruption.</w:t>
      </w:r>
    </w:p>
    <w:p w14:paraId="564FED47"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34E8F5D"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szCs w:val="22"/>
          <w:lang w:eastAsia="en-GB"/>
        </w:rPr>
        <w:t xml:space="preserve">Ankylosing spondylitis, axial spondyloarthritis without radiographic evidence of AS and psoriatic arthritis </w:t>
      </w:r>
    </w:p>
    <w:p w14:paraId="07DEC312"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07EE4CAE"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lang w:eastAsia="en-GB"/>
        </w:rPr>
        <w:t xml:space="preserve">The recommended dose of </w:t>
      </w:r>
      <w:r w:rsidRPr="001775D9">
        <w:rPr>
          <w:color w:val="000000"/>
          <w:szCs w:val="22"/>
          <w:lang w:eastAsia="en-GB"/>
        </w:rPr>
        <w:t>AMGEVITA</w:t>
      </w:r>
      <w:r w:rsidRPr="001775D9">
        <w:rPr>
          <w:szCs w:val="22"/>
          <w:lang w:eastAsia="en-GB"/>
        </w:rPr>
        <w:t xml:space="preserve"> for patients with ankylosing spondylitis, axial spondyloarthritis without radiographic evidence of AS and for patients with psoriatic arthritis is 40</w:t>
      </w:r>
      <w:r w:rsidRPr="001775D9">
        <w:rPr>
          <w:szCs w:val="22"/>
        </w:rPr>
        <w:t> </w:t>
      </w:r>
      <w:r w:rsidRPr="001775D9">
        <w:rPr>
          <w:szCs w:val="22"/>
          <w:lang w:eastAsia="en-GB"/>
        </w:rPr>
        <w:t>mg adalimumab administered every other week as a single dose via subcutaneous injection.</w:t>
      </w:r>
    </w:p>
    <w:p w14:paraId="5C005918"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1466DC2B"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Available data suggest that the clinical response is usually achieved within 12 weeks of treatment. Continued therapy should be reconsidered in a patient not responding within this time period. </w:t>
      </w:r>
    </w:p>
    <w:p w14:paraId="4919070E"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60308F15"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szCs w:val="22"/>
          <w:lang w:eastAsia="en-GB"/>
        </w:rPr>
        <w:t xml:space="preserve">Psoriasis </w:t>
      </w:r>
    </w:p>
    <w:p w14:paraId="41EE0127"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62AF1DEA"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 xml:space="preserve">The recommended dose of </w:t>
      </w:r>
      <w:r w:rsidRPr="001775D9">
        <w:rPr>
          <w:color w:val="000000"/>
          <w:szCs w:val="22"/>
          <w:lang w:eastAsia="en-GB"/>
        </w:rPr>
        <w:t>AMGEVITA</w:t>
      </w:r>
      <w:r w:rsidRPr="001775D9">
        <w:rPr>
          <w:szCs w:val="22"/>
          <w:lang w:eastAsia="en-GB"/>
        </w:rPr>
        <w:t xml:space="preserve"> for adult patients is an initial dose of 80</w:t>
      </w:r>
      <w:r w:rsidRPr="001775D9">
        <w:rPr>
          <w:szCs w:val="22"/>
        </w:rPr>
        <w:t> </w:t>
      </w:r>
      <w:r w:rsidRPr="001775D9">
        <w:rPr>
          <w:szCs w:val="22"/>
          <w:lang w:eastAsia="en-GB"/>
        </w:rPr>
        <w:t>mg administered subcutaneously, followed by 40</w:t>
      </w:r>
      <w:r w:rsidRPr="001775D9">
        <w:rPr>
          <w:szCs w:val="22"/>
        </w:rPr>
        <w:t> </w:t>
      </w:r>
      <w:r w:rsidRPr="001775D9">
        <w:rPr>
          <w:szCs w:val="22"/>
          <w:lang w:eastAsia="en-GB"/>
        </w:rPr>
        <w:t>mg subcutaneously given every other week starting one week after the initial dose.</w:t>
      </w:r>
    </w:p>
    <w:p w14:paraId="731B97A9"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04961FB1"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Continued therapy beyond 16 weeks should be carefully reconsidered in a patient not responding within this time period. </w:t>
      </w:r>
    </w:p>
    <w:p w14:paraId="0E4A6EF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890C7C2" w14:textId="34555F9E"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Beyond 16 weeks, patients with inadequate response to AMGEVITA 40 mg every other week may benefit from an increase in dose to 40 mg every week or 80 mg every other week. The benefits and risks of continued 40 mg weekly or 80 mg every other week therapy should be carefully reconsidered in a patient with an inadequate response after the increase in dose (see section 5.1). If adequate response is achieved with 40 mg every week or 80 mg every other week, the dose may subsequently be reduced to 40 mg every other week.</w:t>
      </w:r>
    </w:p>
    <w:p w14:paraId="4A41FB1A" w14:textId="2DFF19C3" w:rsidR="00F965B6" w:rsidRPr="001775D9" w:rsidRDefault="00F965B6" w:rsidP="001778AA">
      <w:pPr>
        <w:tabs>
          <w:tab w:val="clear" w:pos="567"/>
        </w:tabs>
        <w:autoSpaceDE w:val="0"/>
        <w:autoSpaceDN w:val="0"/>
        <w:adjustRightInd w:val="0"/>
        <w:spacing w:line="240" w:lineRule="auto"/>
        <w:rPr>
          <w:szCs w:val="22"/>
          <w:lang w:eastAsia="en-GB"/>
        </w:rPr>
      </w:pPr>
    </w:p>
    <w:p w14:paraId="2E8C0A15" w14:textId="7399535E" w:rsidR="00F965B6" w:rsidRPr="001775D9" w:rsidRDefault="00264FB3" w:rsidP="001778AA">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454C543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C487E2E" w14:textId="77777777" w:rsidR="001778AA" w:rsidRPr="001775D9" w:rsidRDefault="001778AA" w:rsidP="001778AA">
      <w:pPr>
        <w:keepNext/>
        <w:shd w:val="clear" w:color="auto" w:fill="FFFFFF"/>
        <w:tabs>
          <w:tab w:val="clear" w:pos="567"/>
        </w:tabs>
        <w:spacing w:line="240" w:lineRule="auto"/>
        <w:rPr>
          <w:rFonts w:eastAsia="Times New Roman"/>
          <w:i/>
          <w:iCs/>
          <w:color w:val="000000"/>
          <w:szCs w:val="22"/>
        </w:rPr>
      </w:pPr>
      <w:r w:rsidRPr="001775D9">
        <w:rPr>
          <w:rFonts w:eastAsia="Times New Roman"/>
          <w:i/>
          <w:iCs/>
          <w:color w:val="000000"/>
          <w:szCs w:val="22"/>
        </w:rPr>
        <w:t>Hidradenitis suppurativa</w:t>
      </w:r>
    </w:p>
    <w:p w14:paraId="241D7245" w14:textId="77777777" w:rsidR="001778AA" w:rsidRPr="001775D9" w:rsidRDefault="001778AA" w:rsidP="001778AA">
      <w:pPr>
        <w:keepNext/>
        <w:shd w:val="clear" w:color="auto" w:fill="FFFFFF"/>
        <w:tabs>
          <w:tab w:val="clear" w:pos="567"/>
        </w:tabs>
        <w:spacing w:line="240" w:lineRule="auto"/>
        <w:rPr>
          <w:rFonts w:eastAsia="Times New Roman"/>
          <w:color w:val="000000"/>
          <w:szCs w:val="22"/>
        </w:rPr>
      </w:pPr>
    </w:p>
    <w:p w14:paraId="18B58674" w14:textId="3AF607F2" w:rsidR="001778AA" w:rsidRPr="001775D9" w:rsidRDefault="001778AA" w:rsidP="001778AA">
      <w:pPr>
        <w:keepNext/>
        <w:keepLines/>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The recommended </w:t>
      </w:r>
      <w:r w:rsidRPr="001775D9">
        <w:rPr>
          <w:color w:val="000000"/>
          <w:szCs w:val="22"/>
          <w:lang w:eastAsia="en-GB"/>
        </w:rPr>
        <w:t>AMGEVITA</w:t>
      </w:r>
      <w:r w:rsidRPr="001775D9">
        <w:rPr>
          <w:rFonts w:eastAsia="Times New Roman"/>
          <w:color w:val="000000"/>
          <w:szCs w:val="22"/>
        </w:rPr>
        <w:t xml:space="preserve"> dose regimen for adult patients with hidradenitis suppurativa (HS) is 160 mg initially at day 1 (</w:t>
      </w:r>
      <w:r w:rsidR="00183690" w:rsidRPr="001775D9">
        <w:rPr>
          <w:rFonts w:eastAsia="Times New Roman"/>
          <w:color w:val="000000"/>
          <w:szCs w:val="22"/>
        </w:rPr>
        <w:t>given as two 80 mg injections in one day or as one 80 mg injection per day for two consecutive days</w:t>
      </w:r>
      <w:r w:rsidRPr="001775D9">
        <w:rPr>
          <w:rFonts w:eastAsia="Times New Roman"/>
          <w:color w:val="000000"/>
          <w:szCs w:val="22"/>
        </w:rPr>
        <w:t>), followed by 80 mg two weeks later at day 15. Two weeks later (day 29) continue with a dose of 40 mg every week</w:t>
      </w:r>
      <w:r w:rsidRPr="001775D9">
        <w:t xml:space="preserve"> </w:t>
      </w:r>
      <w:r w:rsidRPr="001775D9">
        <w:rPr>
          <w:rFonts w:eastAsia="Times New Roman"/>
          <w:color w:val="000000"/>
          <w:szCs w:val="22"/>
        </w:rPr>
        <w:t>or 80</w:t>
      </w:r>
      <w:r w:rsidRPr="001775D9">
        <w:rPr>
          <w:szCs w:val="22"/>
          <w:lang w:eastAsia="en-GB"/>
        </w:rPr>
        <w:t> </w:t>
      </w:r>
      <w:r w:rsidRPr="001775D9">
        <w:rPr>
          <w:rFonts w:eastAsia="Times New Roman"/>
          <w:color w:val="000000"/>
          <w:szCs w:val="22"/>
        </w:rPr>
        <w:t xml:space="preserve">mg every other week. Antibiotics may be continued during treatment with </w:t>
      </w:r>
      <w:r w:rsidRPr="001775D9">
        <w:rPr>
          <w:color w:val="000000"/>
          <w:szCs w:val="22"/>
          <w:lang w:eastAsia="en-GB"/>
        </w:rPr>
        <w:t>AMGEVITA</w:t>
      </w:r>
      <w:r w:rsidRPr="001775D9">
        <w:rPr>
          <w:rFonts w:eastAsia="Times New Roman"/>
          <w:color w:val="000000"/>
          <w:szCs w:val="22"/>
        </w:rPr>
        <w:t xml:space="preserve"> if necessary. It is recommended that the patient should use a topical antiseptic wash on their HS lesions on a daily basis during treatment with </w:t>
      </w:r>
      <w:r w:rsidRPr="001775D9">
        <w:rPr>
          <w:color w:val="000000"/>
          <w:szCs w:val="22"/>
          <w:lang w:eastAsia="en-GB"/>
        </w:rPr>
        <w:t>AMGEVITA</w:t>
      </w:r>
      <w:r w:rsidRPr="001775D9">
        <w:rPr>
          <w:rFonts w:eastAsia="Times New Roman"/>
          <w:color w:val="000000"/>
          <w:szCs w:val="22"/>
        </w:rPr>
        <w:t>.</w:t>
      </w:r>
    </w:p>
    <w:p w14:paraId="06F3CB43"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51C988E1"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Continued therapy beyond 12 weeks should be carefully reconsidered in a patient with no improvement within this time period. </w:t>
      </w:r>
    </w:p>
    <w:p w14:paraId="3B94FAC7"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5D65725E"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Should treatment be interrupted, </w:t>
      </w:r>
      <w:r w:rsidRPr="001775D9">
        <w:rPr>
          <w:color w:val="000000"/>
          <w:szCs w:val="22"/>
          <w:lang w:eastAsia="en-GB"/>
        </w:rPr>
        <w:t>AMGEVITA</w:t>
      </w:r>
      <w:r w:rsidRPr="001775D9">
        <w:rPr>
          <w:rFonts w:eastAsia="Times New Roman"/>
          <w:color w:val="000000"/>
          <w:szCs w:val="22"/>
        </w:rPr>
        <w:t xml:space="preserve"> 40 mg every week or 80</w:t>
      </w:r>
      <w:r w:rsidRPr="001775D9">
        <w:rPr>
          <w:szCs w:val="22"/>
          <w:lang w:eastAsia="en-GB"/>
        </w:rPr>
        <w:t> </w:t>
      </w:r>
      <w:r w:rsidRPr="001775D9">
        <w:rPr>
          <w:rFonts w:eastAsia="Times New Roman"/>
          <w:color w:val="000000"/>
          <w:szCs w:val="22"/>
        </w:rPr>
        <w:t xml:space="preserve">mg every other week may be re-introduced (see section 5.1). </w:t>
      </w:r>
    </w:p>
    <w:p w14:paraId="17E16455"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3CD2BEBC" w14:textId="1959B9DA"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The benefit and risk of continued long-term treatment should be periodically evaluated (see section 5.1).</w:t>
      </w:r>
    </w:p>
    <w:p w14:paraId="223B9060" w14:textId="77777777" w:rsidR="00F965B6" w:rsidRPr="001775D9" w:rsidRDefault="00F965B6" w:rsidP="001778AA">
      <w:pPr>
        <w:shd w:val="clear" w:color="auto" w:fill="FFFFFF"/>
        <w:tabs>
          <w:tab w:val="clear" w:pos="567"/>
        </w:tabs>
        <w:spacing w:line="240" w:lineRule="auto"/>
        <w:rPr>
          <w:rFonts w:eastAsia="Times New Roman"/>
          <w:color w:val="000000"/>
          <w:szCs w:val="22"/>
        </w:rPr>
      </w:pPr>
    </w:p>
    <w:p w14:paraId="55B45AA1" w14:textId="68BA98D9" w:rsidR="00F965B6" w:rsidRPr="001775D9" w:rsidRDefault="00264FB3" w:rsidP="000E67AC">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7BEC126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A8BE186" w14:textId="77777777" w:rsidR="001778AA" w:rsidRPr="001775D9" w:rsidRDefault="001778AA" w:rsidP="001778AA">
      <w:pPr>
        <w:tabs>
          <w:tab w:val="clear" w:pos="567"/>
        </w:tabs>
        <w:autoSpaceDE w:val="0"/>
        <w:autoSpaceDN w:val="0"/>
        <w:adjustRightInd w:val="0"/>
        <w:spacing w:line="240" w:lineRule="auto"/>
        <w:rPr>
          <w:i/>
          <w:szCs w:val="22"/>
          <w:lang w:eastAsia="en-GB"/>
        </w:rPr>
      </w:pPr>
      <w:r w:rsidRPr="001775D9">
        <w:rPr>
          <w:i/>
          <w:szCs w:val="22"/>
          <w:lang w:eastAsia="en-GB"/>
        </w:rPr>
        <w:t xml:space="preserve">Crohn’s disease </w:t>
      </w:r>
    </w:p>
    <w:p w14:paraId="5357AA5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52DE10E" w14:textId="3172FA0A"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 recommended </w:t>
      </w:r>
      <w:r w:rsidRPr="001775D9">
        <w:rPr>
          <w:color w:val="000000"/>
          <w:szCs w:val="22"/>
          <w:lang w:eastAsia="en-GB"/>
        </w:rPr>
        <w:t>AMGEVITA</w:t>
      </w:r>
      <w:r w:rsidRPr="001775D9">
        <w:rPr>
          <w:szCs w:val="22"/>
          <w:lang w:eastAsia="en-GB"/>
        </w:rPr>
        <w:t xml:space="preserve"> induction dose regimen for adult patients with moderately to severely active Crohn’s disease is 80</w:t>
      </w:r>
      <w:r w:rsidRPr="001775D9">
        <w:rPr>
          <w:szCs w:val="22"/>
        </w:rPr>
        <w:t> </w:t>
      </w:r>
      <w:r w:rsidRPr="001775D9">
        <w:rPr>
          <w:szCs w:val="22"/>
          <w:lang w:eastAsia="en-GB"/>
        </w:rPr>
        <w:t>mg at week 0 followed by 40</w:t>
      </w:r>
      <w:r w:rsidRPr="001775D9">
        <w:rPr>
          <w:szCs w:val="22"/>
        </w:rPr>
        <w:t> </w:t>
      </w:r>
      <w:r w:rsidRPr="001775D9">
        <w:rPr>
          <w:szCs w:val="22"/>
          <w:lang w:eastAsia="en-GB"/>
        </w:rPr>
        <w:t>mg at week 2. In case there is a need for a more rapid response to therapy, the regimen 160</w:t>
      </w:r>
      <w:r w:rsidRPr="001775D9">
        <w:rPr>
          <w:szCs w:val="22"/>
        </w:rPr>
        <w:t> </w:t>
      </w:r>
      <w:r w:rsidRPr="001775D9">
        <w:rPr>
          <w:szCs w:val="22"/>
          <w:lang w:eastAsia="en-GB"/>
        </w:rPr>
        <w:t>mg at week 0 (</w:t>
      </w:r>
      <w:r w:rsidR="00183690" w:rsidRPr="001775D9">
        <w:rPr>
          <w:szCs w:val="22"/>
          <w:lang w:eastAsia="en-GB"/>
        </w:rPr>
        <w:t>given as two 80 mg injections in one day or as one 80 mg injection per day for two consecutive days</w:t>
      </w:r>
      <w:r w:rsidRPr="001775D9">
        <w:rPr>
          <w:szCs w:val="22"/>
          <w:lang w:eastAsia="en-GB"/>
        </w:rPr>
        <w:t>), followed by 80</w:t>
      </w:r>
      <w:r w:rsidRPr="001775D9">
        <w:rPr>
          <w:szCs w:val="22"/>
        </w:rPr>
        <w:t> </w:t>
      </w:r>
      <w:r w:rsidRPr="001775D9">
        <w:rPr>
          <w:szCs w:val="22"/>
          <w:lang w:eastAsia="en-GB"/>
        </w:rPr>
        <w:t xml:space="preserve">mg at week 2, can be used with the awareness that the risk for adverse events is higher during induction. </w:t>
      </w:r>
    </w:p>
    <w:p w14:paraId="2C1FCB0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ABD79F4"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lang w:eastAsia="en-GB"/>
        </w:rPr>
        <w:t>After induction treatment, the recommended dose is 40</w:t>
      </w:r>
      <w:r w:rsidRPr="001775D9">
        <w:rPr>
          <w:szCs w:val="22"/>
        </w:rPr>
        <w:t> </w:t>
      </w:r>
      <w:r w:rsidRPr="001775D9">
        <w:rPr>
          <w:szCs w:val="22"/>
          <w:lang w:eastAsia="en-GB"/>
        </w:rPr>
        <w:t xml:space="preserve">mg every other week via subcutaneous injection. Alternatively, if a patient has stopped </w:t>
      </w:r>
      <w:r w:rsidRPr="001775D9">
        <w:rPr>
          <w:color w:val="000000"/>
          <w:szCs w:val="22"/>
          <w:lang w:eastAsia="en-GB"/>
        </w:rPr>
        <w:t>AMGEVITA</w:t>
      </w:r>
      <w:r w:rsidRPr="001775D9">
        <w:rPr>
          <w:szCs w:val="22"/>
          <w:lang w:eastAsia="en-GB"/>
        </w:rPr>
        <w:t xml:space="preserve"> and signs and symptoms of disease recur, </w:t>
      </w:r>
      <w:r w:rsidRPr="001775D9">
        <w:rPr>
          <w:color w:val="000000"/>
          <w:szCs w:val="22"/>
          <w:lang w:eastAsia="en-GB"/>
        </w:rPr>
        <w:t>AMGEVITA</w:t>
      </w:r>
      <w:r w:rsidRPr="001775D9">
        <w:rPr>
          <w:szCs w:val="22"/>
          <w:lang w:eastAsia="en-GB"/>
        </w:rPr>
        <w:t xml:space="preserve"> may be re-administered. There is little experience from re-administration after more than 8 weeks since the previous dose.</w:t>
      </w:r>
    </w:p>
    <w:p w14:paraId="31FC6361"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3A7D3CA2"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During maintenance treatment, corticosteroids may be tapered in accordance with clinical practice guidelines. </w:t>
      </w:r>
    </w:p>
    <w:p w14:paraId="718BD5C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C947B8C"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Some patients who experience decrease in their response to AMGEVITA 40 mg every other week may benefit from an increase in dose to 40</w:t>
      </w:r>
      <w:r w:rsidRPr="001775D9">
        <w:rPr>
          <w:szCs w:val="22"/>
        </w:rPr>
        <w:t> </w:t>
      </w:r>
      <w:r w:rsidRPr="001775D9">
        <w:rPr>
          <w:szCs w:val="22"/>
          <w:lang w:eastAsia="en-GB"/>
        </w:rPr>
        <w:t xml:space="preserve">mg </w:t>
      </w:r>
      <w:r w:rsidRPr="001775D9">
        <w:rPr>
          <w:color w:val="000000"/>
          <w:szCs w:val="22"/>
          <w:lang w:eastAsia="en-GB"/>
        </w:rPr>
        <w:t>AMGEVITA</w:t>
      </w:r>
      <w:r w:rsidRPr="001775D9">
        <w:rPr>
          <w:szCs w:val="22"/>
          <w:lang w:eastAsia="en-GB"/>
        </w:rPr>
        <w:t xml:space="preserve"> every week or 80 mg every other week. </w:t>
      </w:r>
    </w:p>
    <w:p w14:paraId="07547E4F"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F7E4503" w14:textId="57743768"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Some patients who have not responded by week 4 may benefit from continued maintenance therapy through week 12. Continued therapy should be carefully reconsidered in a patient not responding within this time period.</w:t>
      </w:r>
    </w:p>
    <w:p w14:paraId="279625DB" w14:textId="77777777" w:rsidR="00F965B6" w:rsidRPr="001775D9" w:rsidRDefault="00F965B6" w:rsidP="001778AA">
      <w:pPr>
        <w:tabs>
          <w:tab w:val="clear" w:pos="567"/>
        </w:tabs>
        <w:autoSpaceDE w:val="0"/>
        <w:autoSpaceDN w:val="0"/>
        <w:adjustRightInd w:val="0"/>
        <w:spacing w:line="240" w:lineRule="auto"/>
        <w:rPr>
          <w:szCs w:val="22"/>
          <w:lang w:eastAsia="en-GB"/>
        </w:rPr>
      </w:pPr>
    </w:p>
    <w:p w14:paraId="6C26914A" w14:textId="251A70C0" w:rsidR="00F965B6" w:rsidRPr="001775D9" w:rsidRDefault="00264FB3" w:rsidP="001778AA">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3A2A534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4CA1780"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szCs w:val="22"/>
          <w:lang w:eastAsia="en-GB"/>
        </w:rPr>
        <w:t xml:space="preserve">Ulcerative colitis </w:t>
      </w:r>
    </w:p>
    <w:p w14:paraId="57F44644"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51388474" w14:textId="440EC40D"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lang w:eastAsia="en-GB"/>
        </w:rPr>
        <w:t xml:space="preserve">The recommended </w:t>
      </w:r>
      <w:r w:rsidRPr="001775D9">
        <w:rPr>
          <w:color w:val="000000"/>
          <w:szCs w:val="22"/>
          <w:lang w:eastAsia="en-GB"/>
        </w:rPr>
        <w:t>AMGEVITA</w:t>
      </w:r>
      <w:r w:rsidRPr="001775D9">
        <w:rPr>
          <w:szCs w:val="22"/>
          <w:lang w:eastAsia="en-GB"/>
        </w:rPr>
        <w:t xml:space="preserve"> induction dose regimen for adult patients with moderate to severe ulcerative colitis is 160</w:t>
      </w:r>
      <w:r w:rsidRPr="001775D9">
        <w:rPr>
          <w:szCs w:val="22"/>
        </w:rPr>
        <w:t> </w:t>
      </w:r>
      <w:r w:rsidRPr="001775D9">
        <w:rPr>
          <w:szCs w:val="22"/>
          <w:lang w:eastAsia="en-GB"/>
        </w:rPr>
        <w:t>mg at week 0 (</w:t>
      </w:r>
      <w:r w:rsidR="00183690" w:rsidRPr="001775D9">
        <w:rPr>
          <w:szCs w:val="22"/>
          <w:lang w:eastAsia="en-GB"/>
        </w:rPr>
        <w:t>given as two 80 mg injections in one day or as one 80 mg injection per day for two consecutive days</w:t>
      </w:r>
      <w:r w:rsidRPr="001775D9">
        <w:rPr>
          <w:szCs w:val="22"/>
          <w:lang w:eastAsia="en-GB"/>
        </w:rPr>
        <w:t>) and 80</w:t>
      </w:r>
      <w:r w:rsidRPr="001775D9">
        <w:rPr>
          <w:szCs w:val="22"/>
        </w:rPr>
        <w:t> </w:t>
      </w:r>
      <w:r w:rsidRPr="001775D9">
        <w:rPr>
          <w:szCs w:val="22"/>
          <w:lang w:eastAsia="en-GB"/>
        </w:rPr>
        <w:t>mg at week 2. After induction treatment, the recommended dose is 40</w:t>
      </w:r>
      <w:r w:rsidRPr="001775D9">
        <w:rPr>
          <w:szCs w:val="22"/>
        </w:rPr>
        <w:t> </w:t>
      </w:r>
      <w:r w:rsidRPr="001775D9">
        <w:rPr>
          <w:szCs w:val="22"/>
          <w:lang w:eastAsia="en-GB"/>
        </w:rPr>
        <w:t>mg every other week via subcutaneous injection.</w:t>
      </w:r>
    </w:p>
    <w:p w14:paraId="003E499C"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709A95A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During maintenance treatment, corticosteroids may be tapered in accordance with clinical practice guidelines. </w:t>
      </w:r>
    </w:p>
    <w:p w14:paraId="756AFE8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4B4775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Some patients who experience decrease in their response to AMGEVITA 40 mg every other week may benefit from an increase in dose to 40</w:t>
      </w:r>
      <w:r w:rsidRPr="001775D9">
        <w:rPr>
          <w:szCs w:val="22"/>
        </w:rPr>
        <w:t> </w:t>
      </w:r>
      <w:r w:rsidRPr="001775D9">
        <w:rPr>
          <w:szCs w:val="22"/>
          <w:lang w:eastAsia="en-GB"/>
        </w:rPr>
        <w:t xml:space="preserve">mg </w:t>
      </w:r>
      <w:r w:rsidRPr="001775D9">
        <w:rPr>
          <w:color w:val="000000"/>
          <w:szCs w:val="22"/>
          <w:lang w:eastAsia="en-GB"/>
        </w:rPr>
        <w:t>AMGEVITA</w:t>
      </w:r>
      <w:r w:rsidRPr="001775D9">
        <w:rPr>
          <w:szCs w:val="22"/>
          <w:lang w:eastAsia="en-GB"/>
        </w:rPr>
        <w:t xml:space="preserve"> every week or 80 mg every other week. </w:t>
      </w:r>
    </w:p>
    <w:p w14:paraId="3A51F6E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57ACB25"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Available data suggest that clinical response is usually achieved within 2-8 weeks of treatment. </w:t>
      </w:r>
      <w:r w:rsidRPr="001775D9">
        <w:rPr>
          <w:color w:val="000000"/>
          <w:szCs w:val="22"/>
          <w:lang w:eastAsia="en-GB"/>
        </w:rPr>
        <w:t>AMGEVITA</w:t>
      </w:r>
      <w:r w:rsidRPr="001775D9">
        <w:rPr>
          <w:szCs w:val="22"/>
          <w:lang w:eastAsia="en-GB"/>
        </w:rPr>
        <w:t xml:space="preserve"> therapy should not be continued in patients failing to respond within this time period.</w:t>
      </w:r>
    </w:p>
    <w:p w14:paraId="02D03D9C" w14:textId="1FFC5F9A" w:rsidR="001778AA" w:rsidRPr="001775D9" w:rsidRDefault="001778AA" w:rsidP="001778AA">
      <w:pPr>
        <w:tabs>
          <w:tab w:val="clear" w:pos="567"/>
        </w:tabs>
        <w:autoSpaceDE w:val="0"/>
        <w:autoSpaceDN w:val="0"/>
        <w:adjustRightInd w:val="0"/>
        <w:spacing w:line="240" w:lineRule="auto"/>
        <w:rPr>
          <w:szCs w:val="22"/>
          <w:lang w:eastAsia="en-GB"/>
        </w:rPr>
      </w:pPr>
    </w:p>
    <w:p w14:paraId="7A477E7B" w14:textId="4BA322AF" w:rsidR="00F965B6" w:rsidRPr="001775D9" w:rsidRDefault="00264FB3"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2FEC54FD" w14:textId="77777777" w:rsidR="00F965B6" w:rsidRPr="001775D9" w:rsidRDefault="00F965B6" w:rsidP="001778AA">
      <w:pPr>
        <w:tabs>
          <w:tab w:val="clear" w:pos="567"/>
        </w:tabs>
        <w:autoSpaceDE w:val="0"/>
        <w:autoSpaceDN w:val="0"/>
        <w:adjustRightInd w:val="0"/>
        <w:spacing w:line="240" w:lineRule="auto"/>
        <w:rPr>
          <w:szCs w:val="22"/>
          <w:lang w:eastAsia="en-GB"/>
        </w:rPr>
      </w:pPr>
    </w:p>
    <w:p w14:paraId="09D84432" w14:textId="77777777" w:rsidR="001778AA" w:rsidRPr="001775D9" w:rsidRDefault="001778AA" w:rsidP="001778AA">
      <w:pPr>
        <w:tabs>
          <w:tab w:val="clear" w:pos="567"/>
        </w:tabs>
        <w:autoSpaceDE w:val="0"/>
        <w:autoSpaceDN w:val="0"/>
        <w:adjustRightInd w:val="0"/>
        <w:spacing w:line="240" w:lineRule="auto"/>
        <w:rPr>
          <w:i/>
          <w:iCs/>
          <w:szCs w:val="22"/>
          <w:lang w:eastAsia="en-GB"/>
        </w:rPr>
      </w:pPr>
      <w:r w:rsidRPr="001775D9">
        <w:rPr>
          <w:i/>
          <w:iCs/>
          <w:szCs w:val="22"/>
          <w:lang w:eastAsia="en-GB"/>
        </w:rPr>
        <w:t>Uveitis</w:t>
      </w:r>
    </w:p>
    <w:p w14:paraId="48BCE052" w14:textId="77777777" w:rsidR="001778AA" w:rsidRPr="001775D9" w:rsidRDefault="001778AA" w:rsidP="001778AA">
      <w:pPr>
        <w:tabs>
          <w:tab w:val="clear" w:pos="567"/>
        </w:tabs>
        <w:autoSpaceDE w:val="0"/>
        <w:autoSpaceDN w:val="0"/>
        <w:adjustRightInd w:val="0"/>
        <w:spacing w:line="240" w:lineRule="auto"/>
        <w:rPr>
          <w:i/>
          <w:iCs/>
          <w:szCs w:val="22"/>
          <w:lang w:eastAsia="en-GB"/>
        </w:rPr>
      </w:pPr>
    </w:p>
    <w:p w14:paraId="10F6966E"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The recommended dose of AMGEVITA for adult patients with uveitis is an initial dose of 80 mg, followed by 40 mg given every other week starting one week after the initial dose. There is limited experience in the initiation of treatment with adalimumab alone. Treatment with AMGEVITA can be initiated in combination with corticosteroids and/or with other non-biologic immunomodulatory agents. Concomitant corticosteroids may be tapered in accordance with clinical practice starting two weeks after initiating treatment with AMGEVITA.</w:t>
      </w:r>
    </w:p>
    <w:p w14:paraId="5EF5ACB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1EEB4A8"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lang w:eastAsia="en-GB"/>
        </w:rPr>
        <w:t>It is recommended that the benefit and risk of continued long-term treatment should be evaluated on a yearly basis (see section 5.1).</w:t>
      </w:r>
    </w:p>
    <w:p w14:paraId="0D9546E8" w14:textId="77777777" w:rsidR="001778AA" w:rsidRPr="001775D9" w:rsidRDefault="001778AA" w:rsidP="001778AA">
      <w:pPr>
        <w:tabs>
          <w:tab w:val="clear" w:pos="567"/>
        </w:tabs>
        <w:autoSpaceDE w:val="0"/>
        <w:autoSpaceDN w:val="0"/>
        <w:adjustRightInd w:val="0"/>
        <w:spacing w:line="240" w:lineRule="auto"/>
        <w:rPr>
          <w:szCs w:val="22"/>
          <w:highlight w:val="yellow"/>
          <w:u w:val="single"/>
          <w:lang w:eastAsia="en-GB"/>
        </w:rPr>
      </w:pPr>
    </w:p>
    <w:p w14:paraId="5E15E03A" w14:textId="4064FEC1" w:rsidR="00F965B6" w:rsidRPr="001775D9" w:rsidRDefault="00264FB3"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2F87B717" w14:textId="77777777" w:rsidR="00F965B6" w:rsidRPr="001775D9" w:rsidRDefault="00F965B6" w:rsidP="00F965B6">
      <w:pPr>
        <w:tabs>
          <w:tab w:val="clear" w:pos="567"/>
        </w:tabs>
        <w:autoSpaceDE w:val="0"/>
        <w:autoSpaceDN w:val="0"/>
        <w:adjustRightInd w:val="0"/>
        <w:spacing w:line="240" w:lineRule="auto"/>
        <w:rPr>
          <w:szCs w:val="22"/>
          <w:u w:val="single"/>
          <w:lang w:eastAsia="en-GB"/>
        </w:rPr>
      </w:pPr>
    </w:p>
    <w:p w14:paraId="32CDFCC3"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Special populations</w:t>
      </w:r>
    </w:p>
    <w:p w14:paraId="23668D73"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304D28A1" w14:textId="77777777" w:rsidR="001778AA" w:rsidRPr="001775D9" w:rsidRDefault="001778AA" w:rsidP="001778AA">
      <w:pPr>
        <w:keepNext/>
        <w:tabs>
          <w:tab w:val="clear" w:pos="567"/>
        </w:tabs>
        <w:autoSpaceDE w:val="0"/>
        <w:autoSpaceDN w:val="0"/>
        <w:adjustRightInd w:val="0"/>
        <w:spacing w:line="240" w:lineRule="auto"/>
        <w:rPr>
          <w:i/>
          <w:iCs/>
          <w:szCs w:val="22"/>
          <w:lang w:eastAsia="en-GB"/>
        </w:rPr>
      </w:pPr>
      <w:r w:rsidRPr="001775D9">
        <w:rPr>
          <w:i/>
          <w:iCs/>
          <w:szCs w:val="22"/>
          <w:lang w:eastAsia="en-GB"/>
        </w:rPr>
        <w:t>Elderly</w:t>
      </w:r>
    </w:p>
    <w:p w14:paraId="1B1C76A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E00365D"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No dose adjustment is required. </w:t>
      </w:r>
    </w:p>
    <w:p w14:paraId="59325DE2"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7C48879B" w14:textId="77777777" w:rsidR="001778AA" w:rsidRPr="001775D9" w:rsidRDefault="001778AA" w:rsidP="001778AA">
      <w:pPr>
        <w:keepNext/>
        <w:tabs>
          <w:tab w:val="clear" w:pos="567"/>
        </w:tabs>
        <w:autoSpaceDE w:val="0"/>
        <w:autoSpaceDN w:val="0"/>
        <w:adjustRightInd w:val="0"/>
        <w:spacing w:line="240" w:lineRule="auto"/>
        <w:rPr>
          <w:i/>
          <w:iCs/>
          <w:szCs w:val="22"/>
          <w:lang w:eastAsia="en-GB"/>
        </w:rPr>
      </w:pPr>
      <w:r w:rsidRPr="001775D9">
        <w:rPr>
          <w:i/>
          <w:iCs/>
          <w:szCs w:val="22"/>
          <w:lang w:eastAsia="en-GB"/>
        </w:rPr>
        <w:t>Renal and/or hepatic impairment</w:t>
      </w:r>
    </w:p>
    <w:p w14:paraId="058743B7"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13D8771"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color w:val="000000"/>
          <w:szCs w:val="22"/>
          <w:lang w:eastAsia="en-GB"/>
        </w:rPr>
        <w:t>Adalimumab</w:t>
      </w:r>
      <w:r w:rsidRPr="001775D9">
        <w:rPr>
          <w:szCs w:val="22"/>
          <w:lang w:eastAsia="en-GB"/>
        </w:rPr>
        <w:t xml:space="preserve"> has not been studied in these patient populations. No dose recommendations can be made.</w:t>
      </w:r>
    </w:p>
    <w:p w14:paraId="2081CA3A"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2E37D42F" w14:textId="77777777" w:rsidR="001778AA" w:rsidRPr="001775D9" w:rsidRDefault="001778AA" w:rsidP="001778AA">
      <w:pPr>
        <w:keepNext/>
        <w:tabs>
          <w:tab w:val="clear" w:pos="567"/>
        </w:tabs>
        <w:autoSpaceDE w:val="0"/>
        <w:autoSpaceDN w:val="0"/>
        <w:adjustRightInd w:val="0"/>
        <w:spacing w:line="240" w:lineRule="auto"/>
        <w:rPr>
          <w:i/>
          <w:iCs/>
          <w:szCs w:val="22"/>
          <w:lang w:eastAsia="en-GB"/>
        </w:rPr>
      </w:pPr>
      <w:r w:rsidRPr="001775D9">
        <w:rPr>
          <w:i/>
          <w:iCs/>
          <w:szCs w:val="22"/>
          <w:lang w:eastAsia="en-GB"/>
        </w:rPr>
        <w:t xml:space="preserve">Paediatric population </w:t>
      </w:r>
    </w:p>
    <w:p w14:paraId="2ED3E2FF"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11B814E6" w14:textId="77777777" w:rsidR="001778AA" w:rsidRPr="001775D9" w:rsidRDefault="001778AA" w:rsidP="001778AA">
      <w:pPr>
        <w:tabs>
          <w:tab w:val="clear" w:pos="567"/>
        </w:tabs>
        <w:autoSpaceDE w:val="0"/>
        <w:autoSpaceDN w:val="0"/>
        <w:adjustRightInd w:val="0"/>
        <w:spacing w:line="240" w:lineRule="auto"/>
        <w:rPr>
          <w:i/>
          <w:u w:val="single"/>
        </w:rPr>
      </w:pPr>
      <w:r w:rsidRPr="001775D9">
        <w:rPr>
          <w:i/>
          <w:u w:val="single"/>
        </w:rPr>
        <w:t>Juvenile idiopathic arthritis</w:t>
      </w:r>
    </w:p>
    <w:p w14:paraId="5E06813D" w14:textId="77777777" w:rsidR="001778AA" w:rsidRPr="001775D9" w:rsidRDefault="001778AA" w:rsidP="001778AA">
      <w:pPr>
        <w:tabs>
          <w:tab w:val="clear" w:pos="567"/>
        </w:tabs>
        <w:autoSpaceDE w:val="0"/>
        <w:autoSpaceDN w:val="0"/>
        <w:adjustRightInd w:val="0"/>
        <w:spacing w:line="240" w:lineRule="auto"/>
        <w:rPr>
          <w:rFonts w:ascii="TimesNewRoman" w:hAnsi="TimesNewRoman" w:cs="TimesNewRoman"/>
          <w:szCs w:val="22"/>
        </w:rPr>
      </w:pPr>
    </w:p>
    <w:p w14:paraId="3A98D827" w14:textId="77777777" w:rsidR="001778AA" w:rsidRPr="001775D9" w:rsidRDefault="001778AA" w:rsidP="001778AA">
      <w:pPr>
        <w:keepNext/>
        <w:keepLines/>
        <w:tabs>
          <w:tab w:val="clear" w:pos="567"/>
        </w:tabs>
        <w:autoSpaceDE w:val="0"/>
        <w:autoSpaceDN w:val="0"/>
        <w:adjustRightInd w:val="0"/>
        <w:spacing w:line="240" w:lineRule="auto"/>
        <w:rPr>
          <w:iCs/>
          <w:szCs w:val="22"/>
          <w:lang w:eastAsia="en-GB"/>
        </w:rPr>
      </w:pPr>
      <w:r w:rsidRPr="001775D9">
        <w:rPr>
          <w:iCs/>
          <w:szCs w:val="22"/>
          <w:lang w:eastAsia="en-GB"/>
        </w:rPr>
        <w:t>Polyarticular juvenile idiopathic arthritis from 2 years of age</w:t>
      </w:r>
    </w:p>
    <w:p w14:paraId="14A92597" w14:textId="77777777" w:rsidR="001778AA" w:rsidRPr="001775D9" w:rsidRDefault="001778AA" w:rsidP="001778AA">
      <w:pPr>
        <w:keepNext/>
        <w:keepLines/>
        <w:tabs>
          <w:tab w:val="clear" w:pos="567"/>
        </w:tabs>
        <w:autoSpaceDE w:val="0"/>
        <w:autoSpaceDN w:val="0"/>
        <w:adjustRightInd w:val="0"/>
        <w:spacing w:line="240" w:lineRule="auto"/>
        <w:rPr>
          <w:i/>
          <w:szCs w:val="22"/>
          <w:lang w:eastAsia="en-GB"/>
        </w:rPr>
      </w:pPr>
    </w:p>
    <w:p w14:paraId="3813C808" w14:textId="77777777" w:rsidR="001778AA" w:rsidRPr="001775D9" w:rsidRDefault="001778AA" w:rsidP="001778AA">
      <w:pPr>
        <w:keepNext/>
        <w:keepLines/>
        <w:tabs>
          <w:tab w:val="clear" w:pos="567"/>
        </w:tabs>
        <w:autoSpaceDE w:val="0"/>
        <w:autoSpaceDN w:val="0"/>
        <w:adjustRightInd w:val="0"/>
        <w:spacing w:line="240" w:lineRule="auto"/>
        <w:rPr>
          <w:szCs w:val="22"/>
          <w:lang w:eastAsia="en-GB"/>
        </w:rPr>
      </w:pPr>
      <w:r w:rsidRPr="001775D9">
        <w:rPr>
          <w:szCs w:val="22"/>
          <w:lang w:eastAsia="en-GB"/>
        </w:rPr>
        <w:t>The recommended dose of AMGEVITA for patients with polyarticular juvenile idiopathic arthritis, from 2 years of age is based on body weight (table 1). AMGEVITA is administered every other week via subcutaneous injection.</w:t>
      </w:r>
      <w:r w:rsidRPr="00D55B59">
        <w:rPr>
          <w:szCs w:val="22"/>
          <w:lang w:eastAsia="en-GB"/>
          <w:rPrChange w:id="1186" w:author="Author">
            <w:rPr>
              <w:szCs w:val="22"/>
              <w:lang w:val="en-US" w:eastAsia="en-GB"/>
            </w:rPr>
          </w:rPrChange>
        </w:rPr>
        <w:t xml:space="preserve"> </w:t>
      </w:r>
    </w:p>
    <w:p w14:paraId="69ED9AE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B5C21AD" w14:textId="6C8BDDCF" w:rsidR="001778AA" w:rsidRPr="00D55B59" w:rsidRDefault="001778AA" w:rsidP="001778AA">
      <w:pPr>
        <w:suppressAutoHyphens/>
        <w:spacing w:line="240" w:lineRule="auto"/>
        <w:rPr>
          <w:rFonts w:eastAsia="Times New Roman"/>
          <w:b/>
          <w:szCs w:val="22"/>
          <w:rPrChange w:id="1187" w:author="Author">
            <w:rPr>
              <w:rFonts w:eastAsia="Times New Roman"/>
              <w:b/>
              <w:szCs w:val="22"/>
              <w:lang w:val="en-US"/>
            </w:rPr>
          </w:rPrChange>
        </w:rPr>
      </w:pPr>
      <w:r w:rsidRPr="00D55B59">
        <w:rPr>
          <w:rFonts w:eastAsia="Times New Roman"/>
          <w:b/>
          <w:szCs w:val="22"/>
          <w:rPrChange w:id="1188" w:author="Author">
            <w:rPr>
              <w:rFonts w:eastAsia="Times New Roman"/>
              <w:b/>
              <w:szCs w:val="22"/>
              <w:lang w:val="en-US"/>
            </w:rPr>
          </w:rPrChange>
        </w:rPr>
        <w:t xml:space="preserve">Table 1. AMGEVITA dose for patients with </w:t>
      </w:r>
      <w:r w:rsidR="00032E45" w:rsidRPr="00D55B59">
        <w:rPr>
          <w:rFonts w:eastAsia="Times New Roman"/>
          <w:b/>
          <w:szCs w:val="22"/>
          <w:rPrChange w:id="1189" w:author="Author">
            <w:rPr>
              <w:rFonts w:eastAsia="Times New Roman"/>
              <w:b/>
              <w:szCs w:val="22"/>
              <w:lang w:val="en-US"/>
            </w:rPr>
          </w:rPrChange>
        </w:rPr>
        <w:t>p</w:t>
      </w:r>
      <w:r w:rsidRPr="00D55B59">
        <w:rPr>
          <w:rFonts w:eastAsia="Times New Roman"/>
          <w:b/>
          <w:szCs w:val="22"/>
          <w:rPrChange w:id="1190" w:author="Author">
            <w:rPr>
              <w:rFonts w:eastAsia="Times New Roman"/>
              <w:b/>
              <w:szCs w:val="22"/>
              <w:lang w:val="en-US"/>
            </w:rPr>
          </w:rPrChange>
        </w:rPr>
        <w:t xml:space="preserve">olyarticular </w:t>
      </w:r>
      <w:r w:rsidR="00032E45" w:rsidRPr="00D55B59">
        <w:rPr>
          <w:rFonts w:eastAsia="Times New Roman"/>
          <w:b/>
          <w:szCs w:val="22"/>
          <w:rPrChange w:id="1191" w:author="Author">
            <w:rPr>
              <w:rFonts w:eastAsia="Times New Roman"/>
              <w:b/>
              <w:szCs w:val="22"/>
              <w:lang w:val="en-US"/>
            </w:rPr>
          </w:rPrChange>
        </w:rPr>
        <w:t>j</w:t>
      </w:r>
      <w:r w:rsidRPr="00D55B59">
        <w:rPr>
          <w:rFonts w:eastAsia="Times New Roman"/>
          <w:b/>
          <w:szCs w:val="22"/>
          <w:rPrChange w:id="1192" w:author="Author">
            <w:rPr>
              <w:rFonts w:eastAsia="Times New Roman"/>
              <w:b/>
              <w:szCs w:val="22"/>
              <w:lang w:val="en-US"/>
            </w:rPr>
          </w:rPrChange>
        </w:rPr>
        <w:t xml:space="preserve">uvenile </w:t>
      </w:r>
      <w:r w:rsidR="00032E45" w:rsidRPr="00D55B59">
        <w:rPr>
          <w:rFonts w:eastAsia="Times New Roman"/>
          <w:b/>
          <w:szCs w:val="22"/>
          <w:rPrChange w:id="1193" w:author="Author">
            <w:rPr>
              <w:rFonts w:eastAsia="Times New Roman"/>
              <w:b/>
              <w:szCs w:val="22"/>
              <w:lang w:val="en-US"/>
            </w:rPr>
          </w:rPrChange>
        </w:rPr>
        <w:t>i</w:t>
      </w:r>
      <w:r w:rsidRPr="00D55B59">
        <w:rPr>
          <w:rFonts w:eastAsia="Times New Roman"/>
          <w:b/>
          <w:szCs w:val="22"/>
          <w:rPrChange w:id="1194" w:author="Author">
            <w:rPr>
              <w:rFonts w:eastAsia="Times New Roman"/>
              <w:b/>
              <w:szCs w:val="22"/>
              <w:lang w:val="en-US"/>
            </w:rPr>
          </w:rPrChange>
        </w:rPr>
        <w:t xml:space="preserve">diopathic </w:t>
      </w:r>
      <w:r w:rsidR="00032E45" w:rsidRPr="00D55B59">
        <w:rPr>
          <w:rFonts w:eastAsia="Times New Roman"/>
          <w:b/>
          <w:szCs w:val="22"/>
          <w:rPrChange w:id="1195" w:author="Author">
            <w:rPr>
              <w:rFonts w:eastAsia="Times New Roman"/>
              <w:b/>
              <w:szCs w:val="22"/>
              <w:lang w:val="en-US"/>
            </w:rPr>
          </w:rPrChange>
        </w:rPr>
        <w:t>a</w:t>
      </w:r>
      <w:r w:rsidRPr="00D55B59">
        <w:rPr>
          <w:rFonts w:eastAsia="Times New Roman"/>
          <w:b/>
          <w:szCs w:val="22"/>
          <w:rPrChange w:id="1196" w:author="Author">
            <w:rPr>
              <w:rFonts w:eastAsia="Times New Roman"/>
              <w:b/>
              <w:szCs w:val="22"/>
              <w:lang w:val="en-US"/>
            </w:rPr>
          </w:rPrChange>
        </w:rPr>
        <w:t xml:space="preserve">rthritis </w:t>
      </w:r>
    </w:p>
    <w:p w14:paraId="7884C58F" w14:textId="77777777" w:rsidR="001778AA" w:rsidRPr="001775D9" w:rsidRDefault="001778AA" w:rsidP="001778AA">
      <w:pPr>
        <w:suppressAutoHyphens/>
        <w:spacing w:line="240" w:lineRule="auto"/>
        <w:rPr>
          <w:rFonts w:eastAsia="Times New Roman"/>
          <w:szCs w:val="22"/>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5103"/>
      </w:tblGrid>
      <w:tr w:rsidR="001778AA" w:rsidRPr="00F04F82" w14:paraId="462D42FA" w14:textId="77777777" w:rsidTr="00D47253">
        <w:trPr>
          <w:tblHeader/>
        </w:trPr>
        <w:tc>
          <w:tcPr>
            <w:tcW w:w="4253" w:type="dxa"/>
          </w:tcPr>
          <w:p w14:paraId="189BE561" w14:textId="77777777" w:rsidR="001778AA" w:rsidRPr="00D55B59" w:rsidRDefault="001778AA" w:rsidP="00D47253">
            <w:pPr>
              <w:keepNext/>
              <w:tabs>
                <w:tab w:val="clear" w:pos="567"/>
              </w:tabs>
              <w:spacing w:line="240" w:lineRule="auto"/>
              <w:rPr>
                <w:rFonts w:eastAsia="Calibri"/>
                <w:b/>
                <w:szCs w:val="22"/>
                <w:lang w:eastAsia="ja-JP"/>
                <w:rPrChange w:id="1197" w:author="Author">
                  <w:rPr>
                    <w:rFonts w:eastAsia="Calibri"/>
                    <w:b/>
                    <w:szCs w:val="22"/>
                    <w:lang w:val="en-US" w:eastAsia="ja-JP"/>
                  </w:rPr>
                </w:rPrChange>
              </w:rPr>
            </w:pPr>
            <w:r w:rsidRPr="00D55B59">
              <w:rPr>
                <w:rFonts w:eastAsia="Calibri"/>
                <w:b/>
                <w:szCs w:val="22"/>
                <w:lang w:eastAsia="ja-JP"/>
                <w:rPrChange w:id="1198" w:author="Author">
                  <w:rPr>
                    <w:rFonts w:eastAsia="Calibri"/>
                    <w:b/>
                    <w:szCs w:val="22"/>
                    <w:lang w:val="en-US" w:eastAsia="ja-JP"/>
                  </w:rPr>
                </w:rPrChange>
              </w:rPr>
              <w:t>Patient weight</w:t>
            </w:r>
          </w:p>
        </w:tc>
        <w:tc>
          <w:tcPr>
            <w:tcW w:w="5103" w:type="dxa"/>
          </w:tcPr>
          <w:p w14:paraId="2FBB7967" w14:textId="77777777" w:rsidR="001778AA" w:rsidRPr="00D55B59" w:rsidRDefault="001778AA" w:rsidP="00D47253">
            <w:pPr>
              <w:keepNext/>
              <w:tabs>
                <w:tab w:val="clear" w:pos="567"/>
              </w:tabs>
              <w:spacing w:line="240" w:lineRule="auto"/>
              <w:rPr>
                <w:rFonts w:eastAsia="Calibri"/>
                <w:b/>
                <w:szCs w:val="22"/>
                <w:lang w:eastAsia="ja-JP"/>
                <w:rPrChange w:id="1199" w:author="Author">
                  <w:rPr>
                    <w:rFonts w:eastAsia="Calibri"/>
                    <w:b/>
                    <w:szCs w:val="22"/>
                    <w:lang w:val="en-US" w:eastAsia="ja-JP"/>
                  </w:rPr>
                </w:rPrChange>
              </w:rPr>
            </w:pPr>
            <w:r w:rsidRPr="00D55B59">
              <w:rPr>
                <w:rFonts w:eastAsia="Calibri"/>
                <w:b/>
                <w:szCs w:val="22"/>
                <w:lang w:eastAsia="ja-JP"/>
                <w:rPrChange w:id="1200" w:author="Author">
                  <w:rPr>
                    <w:rFonts w:eastAsia="Calibri"/>
                    <w:b/>
                    <w:szCs w:val="22"/>
                    <w:lang w:val="en-US" w:eastAsia="ja-JP"/>
                  </w:rPr>
                </w:rPrChange>
              </w:rPr>
              <w:t>Dosing regimen</w:t>
            </w:r>
          </w:p>
        </w:tc>
      </w:tr>
      <w:tr w:rsidR="001778AA" w:rsidRPr="00F04F82" w14:paraId="45E0BFAA" w14:textId="77777777" w:rsidTr="00D47253">
        <w:trPr>
          <w:tblHeader/>
        </w:trPr>
        <w:tc>
          <w:tcPr>
            <w:tcW w:w="4253" w:type="dxa"/>
          </w:tcPr>
          <w:p w14:paraId="516F5380" w14:textId="60DD423B" w:rsidR="001778AA" w:rsidRPr="00D55B59" w:rsidRDefault="001778AA" w:rsidP="00D47253">
            <w:pPr>
              <w:keepNext/>
              <w:tabs>
                <w:tab w:val="clear" w:pos="567"/>
              </w:tabs>
              <w:spacing w:line="240" w:lineRule="auto"/>
              <w:rPr>
                <w:rFonts w:eastAsia="Calibri"/>
                <w:b/>
                <w:szCs w:val="22"/>
                <w:lang w:eastAsia="ja-JP"/>
                <w:rPrChange w:id="1201" w:author="Author">
                  <w:rPr>
                    <w:rFonts w:eastAsia="Calibri"/>
                    <w:b/>
                    <w:szCs w:val="22"/>
                    <w:lang w:val="en-US" w:eastAsia="ja-JP"/>
                  </w:rPr>
                </w:rPrChange>
              </w:rPr>
            </w:pPr>
            <w:r w:rsidRPr="00D55B59">
              <w:rPr>
                <w:rFonts w:eastAsia="Calibri"/>
                <w:szCs w:val="22"/>
                <w:lang w:eastAsia="ja-JP"/>
                <w:rPrChange w:id="1202" w:author="Author">
                  <w:rPr>
                    <w:rFonts w:eastAsia="Calibri"/>
                    <w:szCs w:val="22"/>
                    <w:lang w:val="en-US" w:eastAsia="ja-JP"/>
                  </w:rPr>
                </w:rPrChange>
              </w:rPr>
              <w:t>10</w:t>
            </w:r>
            <w:r w:rsidR="0073273C" w:rsidRPr="00D55B59">
              <w:rPr>
                <w:rFonts w:eastAsia="Calibri"/>
                <w:szCs w:val="22"/>
                <w:lang w:eastAsia="ja-JP"/>
                <w:rPrChange w:id="1203" w:author="Author">
                  <w:rPr>
                    <w:rFonts w:eastAsia="Calibri"/>
                    <w:szCs w:val="22"/>
                    <w:lang w:val="en-US" w:eastAsia="ja-JP"/>
                  </w:rPr>
                </w:rPrChange>
              </w:rPr>
              <w:t> </w:t>
            </w:r>
            <w:r w:rsidRPr="00D55B59">
              <w:rPr>
                <w:rFonts w:eastAsia="Calibri"/>
                <w:szCs w:val="22"/>
                <w:lang w:eastAsia="ja-JP"/>
                <w:rPrChange w:id="1204" w:author="Author">
                  <w:rPr>
                    <w:rFonts w:eastAsia="Calibri"/>
                    <w:szCs w:val="22"/>
                    <w:lang w:val="en-US" w:eastAsia="ja-JP"/>
                  </w:rPr>
                </w:rPrChange>
              </w:rPr>
              <w:t>kg to &lt; 30</w:t>
            </w:r>
            <w:r w:rsidR="0073273C" w:rsidRPr="00D55B59">
              <w:rPr>
                <w:rFonts w:eastAsia="Calibri"/>
                <w:szCs w:val="22"/>
                <w:lang w:eastAsia="ja-JP"/>
                <w:rPrChange w:id="1205" w:author="Author">
                  <w:rPr>
                    <w:rFonts w:eastAsia="Calibri"/>
                    <w:szCs w:val="22"/>
                    <w:lang w:val="en-US" w:eastAsia="ja-JP"/>
                  </w:rPr>
                </w:rPrChange>
              </w:rPr>
              <w:t> </w:t>
            </w:r>
            <w:r w:rsidRPr="00D55B59">
              <w:rPr>
                <w:rFonts w:eastAsia="Calibri"/>
                <w:szCs w:val="22"/>
                <w:lang w:eastAsia="ja-JP"/>
                <w:rPrChange w:id="1206" w:author="Author">
                  <w:rPr>
                    <w:rFonts w:eastAsia="Calibri"/>
                    <w:szCs w:val="22"/>
                    <w:lang w:val="en-US" w:eastAsia="ja-JP"/>
                  </w:rPr>
                </w:rPrChange>
              </w:rPr>
              <w:t>kg</w:t>
            </w:r>
          </w:p>
        </w:tc>
        <w:tc>
          <w:tcPr>
            <w:tcW w:w="5103" w:type="dxa"/>
          </w:tcPr>
          <w:p w14:paraId="36E337CF" w14:textId="2342BDC8" w:rsidR="001778AA" w:rsidRPr="00D55B59" w:rsidRDefault="001778AA" w:rsidP="00D47253">
            <w:pPr>
              <w:keepNext/>
              <w:tabs>
                <w:tab w:val="clear" w:pos="567"/>
              </w:tabs>
              <w:spacing w:line="240" w:lineRule="auto"/>
              <w:rPr>
                <w:rFonts w:eastAsia="Calibri"/>
                <w:b/>
                <w:szCs w:val="22"/>
                <w:lang w:eastAsia="ja-JP"/>
                <w:rPrChange w:id="1207" w:author="Author">
                  <w:rPr>
                    <w:rFonts w:eastAsia="Calibri"/>
                    <w:b/>
                    <w:szCs w:val="22"/>
                    <w:lang w:val="en-US" w:eastAsia="ja-JP"/>
                  </w:rPr>
                </w:rPrChange>
              </w:rPr>
            </w:pPr>
            <w:r w:rsidRPr="00D55B59">
              <w:rPr>
                <w:rFonts w:eastAsia="Calibri"/>
                <w:szCs w:val="22"/>
                <w:lang w:eastAsia="ja-JP"/>
                <w:rPrChange w:id="1208" w:author="Author">
                  <w:rPr>
                    <w:rFonts w:eastAsia="Calibri"/>
                    <w:szCs w:val="22"/>
                    <w:lang w:val="en-US" w:eastAsia="ja-JP"/>
                  </w:rPr>
                </w:rPrChange>
              </w:rPr>
              <w:t>20</w:t>
            </w:r>
            <w:r w:rsidR="0073273C" w:rsidRPr="00D55B59">
              <w:rPr>
                <w:rFonts w:eastAsia="Calibri"/>
                <w:szCs w:val="22"/>
                <w:lang w:eastAsia="ja-JP"/>
                <w:rPrChange w:id="1209" w:author="Author">
                  <w:rPr>
                    <w:rFonts w:eastAsia="Calibri"/>
                    <w:szCs w:val="22"/>
                    <w:lang w:val="en-US" w:eastAsia="ja-JP"/>
                  </w:rPr>
                </w:rPrChange>
              </w:rPr>
              <w:t> </w:t>
            </w:r>
            <w:r w:rsidRPr="00D55B59">
              <w:rPr>
                <w:rFonts w:eastAsia="Calibri"/>
                <w:szCs w:val="22"/>
                <w:lang w:eastAsia="ja-JP"/>
                <w:rPrChange w:id="1210" w:author="Author">
                  <w:rPr>
                    <w:rFonts w:eastAsia="Calibri"/>
                    <w:szCs w:val="22"/>
                    <w:lang w:val="en-US" w:eastAsia="ja-JP"/>
                  </w:rPr>
                </w:rPrChange>
              </w:rPr>
              <w:t>mg every other week</w:t>
            </w:r>
          </w:p>
        </w:tc>
      </w:tr>
      <w:tr w:rsidR="001778AA" w:rsidRPr="00F04F82" w14:paraId="0339066D" w14:textId="77777777" w:rsidTr="00D47253">
        <w:trPr>
          <w:tblHeader/>
        </w:trPr>
        <w:tc>
          <w:tcPr>
            <w:tcW w:w="4253" w:type="dxa"/>
          </w:tcPr>
          <w:p w14:paraId="5A25B0D3" w14:textId="52776E28" w:rsidR="001778AA" w:rsidRPr="00D55B59" w:rsidRDefault="001778AA" w:rsidP="00D47253">
            <w:pPr>
              <w:keepNext/>
              <w:tabs>
                <w:tab w:val="clear" w:pos="567"/>
              </w:tabs>
              <w:spacing w:line="240" w:lineRule="auto"/>
              <w:rPr>
                <w:rFonts w:eastAsia="Calibri"/>
                <w:b/>
                <w:szCs w:val="22"/>
                <w:lang w:eastAsia="ja-JP"/>
                <w:rPrChange w:id="1211" w:author="Author">
                  <w:rPr>
                    <w:rFonts w:eastAsia="Calibri"/>
                    <w:b/>
                    <w:szCs w:val="22"/>
                    <w:lang w:val="en-US" w:eastAsia="ja-JP"/>
                  </w:rPr>
                </w:rPrChange>
              </w:rPr>
            </w:pPr>
            <w:r w:rsidRPr="00D55B59">
              <w:rPr>
                <w:rFonts w:eastAsia="Calibri"/>
                <w:szCs w:val="22"/>
                <w:lang w:eastAsia="ja-JP"/>
                <w:rPrChange w:id="1212" w:author="Author">
                  <w:rPr>
                    <w:rFonts w:eastAsia="Calibri"/>
                    <w:szCs w:val="22"/>
                    <w:lang w:val="en-US" w:eastAsia="ja-JP"/>
                  </w:rPr>
                </w:rPrChange>
              </w:rPr>
              <w:t>≥ 30</w:t>
            </w:r>
            <w:r w:rsidR="0073273C" w:rsidRPr="00D55B59">
              <w:rPr>
                <w:rFonts w:eastAsia="Calibri"/>
                <w:szCs w:val="22"/>
                <w:lang w:eastAsia="ja-JP"/>
                <w:rPrChange w:id="1213" w:author="Author">
                  <w:rPr>
                    <w:rFonts w:eastAsia="Calibri"/>
                    <w:szCs w:val="22"/>
                    <w:lang w:val="en-US" w:eastAsia="ja-JP"/>
                  </w:rPr>
                </w:rPrChange>
              </w:rPr>
              <w:t> </w:t>
            </w:r>
            <w:r w:rsidRPr="00D55B59">
              <w:rPr>
                <w:rFonts w:eastAsia="Calibri"/>
                <w:szCs w:val="22"/>
                <w:lang w:eastAsia="ja-JP"/>
                <w:rPrChange w:id="1214" w:author="Author">
                  <w:rPr>
                    <w:rFonts w:eastAsia="Calibri"/>
                    <w:szCs w:val="22"/>
                    <w:lang w:val="en-US" w:eastAsia="ja-JP"/>
                  </w:rPr>
                </w:rPrChange>
              </w:rPr>
              <w:t>kg</w:t>
            </w:r>
          </w:p>
        </w:tc>
        <w:tc>
          <w:tcPr>
            <w:tcW w:w="5103" w:type="dxa"/>
          </w:tcPr>
          <w:p w14:paraId="72FD8736" w14:textId="4AC9DFD4" w:rsidR="001778AA" w:rsidRPr="00D55B59" w:rsidRDefault="001778AA" w:rsidP="00D47253">
            <w:pPr>
              <w:keepNext/>
              <w:tabs>
                <w:tab w:val="clear" w:pos="567"/>
              </w:tabs>
              <w:spacing w:line="240" w:lineRule="auto"/>
              <w:rPr>
                <w:rFonts w:eastAsia="Calibri"/>
                <w:b/>
                <w:szCs w:val="22"/>
                <w:lang w:eastAsia="ja-JP"/>
                <w:rPrChange w:id="1215" w:author="Author">
                  <w:rPr>
                    <w:rFonts w:eastAsia="Calibri"/>
                    <w:b/>
                    <w:szCs w:val="22"/>
                    <w:lang w:val="en-US" w:eastAsia="ja-JP"/>
                  </w:rPr>
                </w:rPrChange>
              </w:rPr>
            </w:pPr>
            <w:r w:rsidRPr="00D55B59">
              <w:rPr>
                <w:rFonts w:eastAsia="Calibri"/>
                <w:szCs w:val="22"/>
                <w:lang w:eastAsia="ja-JP"/>
                <w:rPrChange w:id="1216" w:author="Author">
                  <w:rPr>
                    <w:rFonts w:eastAsia="Calibri"/>
                    <w:szCs w:val="22"/>
                    <w:lang w:val="en-US" w:eastAsia="ja-JP"/>
                  </w:rPr>
                </w:rPrChange>
              </w:rPr>
              <w:t>40</w:t>
            </w:r>
            <w:r w:rsidR="0073273C" w:rsidRPr="00D55B59">
              <w:rPr>
                <w:rFonts w:eastAsia="Calibri"/>
                <w:szCs w:val="22"/>
                <w:lang w:eastAsia="ja-JP"/>
                <w:rPrChange w:id="1217" w:author="Author">
                  <w:rPr>
                    <w:rFonts w:eastAsia="Calibri"/>
                    <w:szCs w:val="22"/>
                    <w:lang w:val="en-US" w:eastAsia="ja-JP"/>
                  </w:rPr>
                </w:rPrChange>
              </w:rPr>
              <w:t> </w:t>
            </w:r>
            <w:r w:rsidRPr="00D55B59">
              <w:rPr>
                <w:rFonts w:eastAsia="Calibri"/>
                <w:szCs w:val="22"/>
                <w:lang w:eastAsia="ja-JP"/>
                <w:rPrChange w:id="1218" w:author="Author">
                  <w:rPr>
                    <w:rFonts w:eastAsia="Calibri"/>
                    <w:szCs w:val="22"/>
                    <w:lang w:val="en-US" w:eastAsia="ja-JP"/>
                  </w:rPr>
                </w:rPrChange>
              </w:rPr>
              <w:t>mg every other week</w:t>
            </w:r>
          </w:p>
        </w:tc>
      </w:tr>
    </w:tbl>
    <w:p w14:paraId="3DB834F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ED52932"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Available clinical data suggest that clinical response is usually achieved within </w:t>
      </w:r>
      <w:r w:rsidRPr="001775D9">
        <w:rPr>
          <w:szCs w:val="22"/>
        </w:rPr>
        <w:t>12 weeks</w:t>
      </w:r>
      <w:r w:rsidRPr="001775D9">
        <w:rPr>
          <w:szCs w:val="22"/>
          <w:lang w:eastAsia="en-GB"/>
        </w:rPr>
        <w:t xml:space="preserve"> of treatment. Continued therapy should be carefully reconsidered in a patient not responding within this time period. </w:t>
      </w:r>
    </w:p>
    <w:p w14:paraId="329A53DB"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58FD99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There is no relevant use of adalimumab in patients aged less than 2</w:t>
      </w:r>
      <w:r w:rsidRPr="001775D9">
        <w:rPr>
          <w:szCs w:val="22"/>
        </w:rPr>
        <w:t> </w:t>
      </w:r>
      <w:r w:rsidRPr="001775D9">
        <w:rPr>
          <w:szCs w:val="22"/>
          <w:lang w:eastAsia="en-GB"/>
        </w:rPr>
        <w:t xml:space="preserve">years for this indication. </w:t>
      </w:r>
    </w:p>
    <w:p w14:paraId="5A9B584F" w14:textId="29F9AEE3" w:rsidR="001778AA" w:rsidRPr="001775D9" w:rsidRDefault="001778AA" w:rsidP="001778AA">
      <w:pPr>
        <w:tabs>
          <w:tab w:val="clear" w:pos="567"/>
        </w:tabs>
        <w:autoSpaceDE w:val="0"/>
        <w:autoSpaceDN w:val="0"/>
        <w:adjustRightInd w:val="0"/>
        <w:spacing w:line="240" w:lineRule="auto"/>
        <w:rPr>
          <w:szCs w:val="22"/>
          <w:lang w:eastAsia="en-GB"/>
        </w:rPr>
      </w:pPr>
    </w:p>
    <w:p w14:paraId="4A35BD9A" w14:textId="2590AD7A" w:rsidR="00F965B6" w:rsidRPr="001775D9" w:rsidRDefault="00264FB3"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6AB711AE" w14:textId="77777777" w:rsidR="00F965B6" w:rsidRPr="001775D9" w:rsidRDefault="00F965B6" w:rsidP="001778AA">
      <w:pPr>
        <w:tabs>
          <w:tab w:val="clear" w:pos="567"/>
        </w:tabs>
        <w:autoSpaceDE w:val="0"/>
        <w:autoSpaceDN w:val="0"/>
        <w:adjustRightInd w:val="0"/>
        <w:spacing w:line="240" w:lineRule="auto"/>
        <w:rPr>
          <w:szCs w:val="22"/>
          <w:lang w:eastAsia="en-GB"/>
        </w:rPr>
      </w:pPr>
    </w:p>
    <w:p w14:paraId="1497C277" w14:textId="77777777" w:rsidR="001778AA" w:rsidRPr="001775D9" w:rsidRDefault="001778AA" w:rsidP="001778AA">
      <w:pPr>
        <w:keepNext/>
        <w:tabs>
          <w:tab w:val="clear" w:pos="567"/>
        </w:tabs>
        <w:autoSpaceDE w:val="0"/>
        <w:autoSpaceDN w:val="0"/>
        <w:adjustRightInd w:val="0"/>
        <w:spacing w:line="240" w:lineRule="auto"/>
        <w:rPr>
          <w:i/>
          <w:szCs w:val="22"/>
          <w:u w:val="single"/>
          <w:lang w:eastAsia="en-GB"/>
        </w:rPr>
      </w:pPr>
      <w:r w:rsidRPr="001775D9">
        <w:rPr>
          <w:i/>
          <w:szCs w:val="22"/>
          <w:u w:val="single"/>
          <w:lang w:eastAsia="en-GB"/>
        </w:rPr>
        <w:t>Enthesitis-related arthritis</w:t>
      </w:r>
    </w:p>
    <w:p w14:paraId="1D0C1B0F" w14:textId="77777777" w:rsidR="001778AA" w:rsidRPr="001775D9" w:rsidRDefault="001778AA" w:rsidP="001778AA">
      <w:pPr>
        <w:tabs>
          <w:tab w:val="clear" w:pos="567"/>
        </w:tabs>
        <w:autoSpaceDE w:val="0"/>
        <w:autoSpaceDN w:val="0"/>
        <w:adjustRightInd w:val="0"/>
        <w:spacing w:line="240" w:lineRule="auto"/>
        <w:rPr>
          <w:i/>
          <w:szCs w:val="22"/>
          <w:u w:val="single"/>
          <w:lang w:eastAsia="en-GB"/>
        </w:rPr>
      </w:pPr>
    </w:p>
    <w:p w14:paraId="7476E16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 recommended dose of AMGEVITA for patients with enthesitis-related arthritis from 6 years of age is based on body weight (table 2). AMGEVITA is administered every other week via subcutaneous injection. </w:t>
      </w:r>
    </w:p>
    <w:p w14:paraId="0FB1BC7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097832F" w14:textId="021A7AB4" w:rsidR="001778AA" w:rsidRPr="00D55B59" w:rsidRDefault="001778AA" w:rsidP="001778AA">
      <w:pPr>
        <w:keepNext/>
        <w:suppressAutoHyphens/>
        <w:spacing w:line="240" w:lineRule="auto"/>
        <w:rPr>
          <w:rFonts w:eastAsia="Times New Roman"/>
          <w:b/>
          <w:szCs w:val="22"/>
          <w:rPrChange w:id="1219" w:author="Author">
            <w:rPr>
              <w:rFonts w:eastAsia="Times New Roman"/>
              <w:b/>
              <w:szCs w:val="22"/>
              <w:lang w:val="en-US"/>
            </w:rPr>
          </w:rPrChange>
        </w:rPr>
      </w:pPr>
      <w:r w:rsidRPr="00D55B59">
        <w:rPr>
          <w:rFonts w:eastAsia="Times New Roman"/>
          <w:b/>
          <w:szCs w:val="22"/>
          <w:rPrChange w:id="1220" w:author="Author">
            <w:rPr>
              <w:rFonts w:eastAsia="Times New Roman"/>
              <w:b/>
              <w:szCs w:val="22"/>
              <w:lang w:val="en-US"/>
            </w:rPr>
          </w:rPrChange>
        </w:rPr>
        <w:t xml:space="preserve">Table 2. AMGEVITA dose for patients with </w:t>
      </w:r>
      <w:r w:rsidR="00032E45" w:rsidRPr="00D55B59">
        <w:rPr>
          <w:rFonts w:eastAsia="Times New Roman"/>
          <w:b/>
          <w:szCs w:val="22"/>
          <w:rPrChange w:id="1221" w:author="Author">
            <w:rPr>
              <w:rFonts w:eastAsia="Times New Roman"/>
              <w:b/>
              <w:szCs w:val="22"/>
              <w:lang w:val="en-US"/>
            </w:rPr>
          </w:rPrChange>
        </w:rPr>
        <w:t>e</w:t>
      </w:r>
      <w:r w:rsidRPr="00D55B59">
        <w:rPr>
          <w:rFonts w:eastAsia="Times New Roman"/>
          <w:b/>
          <w:szCs w:val="22"/>
          <w:rPrChange w:id="1222" w:author="Author">
            <w:rPr>
              <w:rFonts w:eastAsia="Times New Roman"/>
              <w:b/>
              <w:szCs w:val="22"/>
              <w:lang w:val="en-US"/>
            </w:rPr>
          </w:rPrChange>
        </w:rPr>
        <w:t>nthesitis-</w:t>
      </w:r>
      <w:r w:rsidR="00032E45" w:rsidRPr="00D55B59">
        <w:rPr>
          <w:rFonts w:eastAsia="Times New Roman"/>
          <w:b/>
          <w:szCs w:val="22"/>
          <w:rPrChange w:id="1223" w:author="Author">
            <w:rPr>
              <w:rFonts w:eastAsia="Times New Roman"/>
              <w:b/>
              <w:szCs w:val="22"/>
              <w:lang w:val="en-US"/>
            </w:rPr>
          </w:rPrChange>
        </w:rPr>
        <w:t>r</w:t>
      </w:r>
      <w:r w:rsidRPr="00D55B59">
        <w:rPr>
          <w:rFonts w:eastAsia="Times New Roman"/>
          <w:b/>
          <w:szCs w:val="22"/>
          <w:rPrChange w:id="1224" w:author="Author">
            <w:rPr>
              <w:rFonts w:eastAsia="Times New Roman"/>
              <w:b/>
              <w:szCs w:val="22"/>
              <w:lang w:val="en-US"/>
            </w:rPr>
          </w:rPrChange>
        </w:rPr>
        <w:t xml:space="preserve">elated </w:t>
      </w:r>
      <w:r w:rsidR="00032E45" w:rsidRPr="00D55B59">
        <w:rPr>
          <w:rFonts w:eastAsia="Times New Roman"/>
          <w:b/>
          <w:szCs w:val="22"/>
          <w:rPrChange w:id="1225" w:author="Author">
            <w:rPr>
              <w:rFonts w:eastAsia="Times New Roman"/>
              <w:b/>
              <w:szCs w:val="22"/>
              <w:lang w:val="en-US"/>
            </w:rPr>
          </w:rPrChange>
        </w:rPr>
        <w:t>a</w:t>
      </w:r>
      <w:r w:rsidRPr="00D55B59">
        <w:rPr>
          <w:rFonts w:eastAsia="Times New Roman"/>
          <w:b/>
          <w:szCs w:val="22"/>
          <w:rPrChange w:id="1226" w:author="Author">
            <w:rPr>
              <w:rFonts w:eastAsia="Times New Roman"/>
              <w:b/>
              <w:szCs w:val="22"/>
              <w:lang w:val="en-US"/>
            </w:rPr>
          </w:rPrChange>
        </w:rPr>
        <w:t xml:space="preserve">rthritis </w:t>
      </w:r>
    </w:p>
    <w:p w14:paraId="3F908222" w14:textId="77777777" w:rsidR="001778AA" w:rsidRPr="001775D9" w:rsidRDefault="001778AA" w:rsidP="001778AA">
      <w:pPr>
        <w:keepNext/>
        <w:suppressAutoHyphens/>
        <w:spacing w:line="240" w:lineRule="auto"/>
        <w:rPr>
          <w:rFonts w:eastAsia="Times New Roman"/>
          <w:szCs w:val="22"/>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5103"/>
      </w:tblGrid>
      <w:tr w:rsidR="001778AA" w:rsidRPr="00F04F82" w14:paraId="206A7801" w14:textId="77777777" w:rsidTr="00D47253">
        <w:trPr>
          <w:tblHeader/>
        </w:trPr>
        <w:tc>
          <w:tcPr>
            <w:tcW w:w="4253" w:type="dxa"/>
          </w:tcPr>
          <w:p w14:paraId="25DD26F3" w14:textId="77777777" w:rsidR="001778AA" w:rsidRPr="00D55B59" w:rsidRDefault="001778AA" w:rsidP="00D47253">
            <w:pPr>
              <w:keepNext/>
              <w:tabs>
                <w:tab w:val="clear" w:pos="567"/>
              </w:tabs>
              <w:spacing w:line="240" w:lineRule="auto"/>
              <w:rPr>
                <w:rFonts w:eastAsia="Calibri"/>
                <w:b/>
                <w:szCs w:val="22"/>
                <w:lang w:eastAsia="ja-JP"/>
                <w:rPrChange w:id="1227" w:author="Author">
                  <w:rPr>
                    <w:rFonts w:eastAsia="Calibri"/>
                    <w:b/>
                    <w:szCs w:val="22"/>
                    <w:lang w:val="en-US" w:eastAsia="ja-JP"/>
                  </w:rPr>
                </w:rPrChange>
              </w:rPr>
            </w:pPr>
            <w:r w:rsidRPr="00D55B59">
              <w:rPr>
                <w:rFonts w:eastAsia="Calibri"/>
                <w:b/>
                <w:szCs w:val="22"/>
                <w:lang w:eastAsia="ja-JP"/>
                <w:rPrChange w:id="1228" w:author="Author">
                  <w:rPr>
                    <w:rFonts w:eastAsia="Calibri"/>
                    <w:b/>
                    <w:szCs w:val="22"/>
                    <w:lang w:val="en-US" w:eastAsia="ja-JP"/>
                  </w:rPr>
                </w:rPrChange>
              </w:rPr>
              <w:t>Patient weight</w:t>
            </w:r>
          </w:p>
        </w:tc>
        <w:tc>
          <w:tcPr>
            <w:tcW w:w="5103" w:type="dxa"/>
          </w:tcPr>
          <w:p w14:paraId="302BEE87" w14:textId="77777777" w:rsidR="001778AA" w:rsidRPr="00D55B59" w:rsidRDefault="001778AA" w:rsidP="00D47253">
            <w:pPr>
              <w:keepNext/>
              <w:tabs>
                <w:tab w:val="clear" w:pos="567"/>
              </w:tabs>
              <w:spacing w:line="240" w:lineRule="auto"/>
              <w:rPr>
                <w:rFonts w:eastAsia="Calibri"/>
                <w:b/>
                <w:szCs w:val="22"/>
                <w:lang w:eastAsia="ja-JP"/>
                <w:rPrChange w:id="1229" w:author="Author">
                  <w:rPr>
                    <w:rFonts w:eastAsia="Calibri"/>
                    <w:b/>
                    <w:szCs w:val="22"/>
                    <w:lang w:val="en-US" w:eastAsia="ja-JP"/>
                  </w:rPr>
                </w:rPrChange>
              </w:rPr>
            </w:pPr>
            <w:r w:rsidRPr="00D55B59">
              <w:rPr>
                <w:rFonts w:eastAsia="Calibri"/>
                <w:b/>
                <w:szCs w:val="22"/>
                <w:lang w:eastAsia="ja-JP"/>
                <w:rPrChange w:id="1230" w:author="Author">
                  <w:rPr>
                    <w:rFonts w:eastAsia="Calibri"/>
                    <w:b/>
                    <w:szCs w:val="22"/>
                    <w:lang w:val="en-US" w:eastAsia="ja-JP"/>
                  </w:rPr>
                </w:rPrChange>
              </w:rPr>
              <w:t>Dosing regimen</w:t>
            </w:r>
          </w:p>
        </w:tc>
      </w:tr>
      <w:tr w:rsidR="001778AA" w:rsidRPr="00F04F82" w14:paraId="05E98EEC" w14:textId="77777777" w:rsidTr="00D47253">
        <w:trPr>
          <w:tblHeader/>
        </w:trPr>
        <w:tc>
          <w:tcPr>
            <w:tcW w:w="4253" w:type="dxa"/>
          </w:tcPr>
          <w:p w14:paraId="2F8A725D" w14:textId="1662AC29" w:rsidR="001778AA" w:rsidRPr="00D55B59" w:rsidRDefault="001778AA" w:rsidP="00D47253">
            <w:pPr>
              <w:keepNext/>
              <w:tabs>
                <w:tab w:val="clear" w:pos="567"/>
              </w:tabs>
              <w:spacing w:line="240" w:lineRule="auto"/>
              <w:rPr>
                <w:rFonts w:eastAsia="Calibri"/>
                <w:b/>
                <w:szCs w:val="22"/>
                <w:lang w:eastAsia="ja-JP"/>
                <w:rPrChange w:id="1231" w:author="Author">
                  <w:rPr>
                    <w:rFonts w:eastAsia="Calibri"/>
                    <w:b/>
                    <w:szCs w:val="22"/>
                    <w:lang w:val="en-US" w:eastAsia="ja-JP"/>
                  </w:rPr>
                </w:rPrChange>
              </w:rPr>
            </w:pPr>
            <w:r w:rsidRPr="00D55B59">
              <w:rPr>
                <w:rFonts w:eastAsia="Calibri"/>
                <w:szCs w:val="22"/>
                <w:lang w:eastAsia="ja-JP"/>
                <w:rPrChange w:id="1232" w:author="Author">
                  <w:rPr>
                    <w:rFonts w:eastAsia="Calibri"/>
                    <w:szCs w:val="22"/>
                    <w:lang w:val="en-US" w:eastAsia="ja-JP"/>
                  </w:rPr>
                </w:rPrChange>
              </w:rPr>
              <w:t>15</w:t>
            </w:r>
            <w:r w:rsidR="0073273C" w:rsidRPr="00D55B59">
              <w:rPr>
                <w:rFonts w:eastAsia="Calibri"/>
                <w:szCs w:val="22"/>
                <w:lang w:eastAsia="ja-JP"/>
                <w:rPrChange w:id="1233" w:author="Author">
                  <w:rPr>
                    <w:rFonts w:eastAsia="Calibri"/>
                    <w:szCs w:val="22"/>
                    <w:lang w:val="en-US" w:eastAsia="ja-JP"/>
                  </w:rPr>
                </w:rPrChange>
              </w:rPr>
              <w:t> </w:t>
            </w:r>
            <w:r w:rsidRPr="00D55B59">
              <w:rPr>
                <w:rFonts w:eastAsia="Calibri"/>
                <w:szCs w:val="22"/>
                <w:lang w:eastAsia="ja-JP"/>
                <w:rPrChange w:id="1234" w:author="Author">
                  <w:rPr>
                    <w:rFonts w:eastAsia="Calibri"/>
                    <w:szCs w:val="22"/>
                    <w:lang w:val="en-US" w:eastAsia="ja-JP"/>
                  </w:rPr>
                </w:rPrChange>
              </w:rPr>
              <w:t>kg to &lt; 30</w:t>
            </w:r>
            <w:r w:rsidR="0073273C" w:rsidRPr="00D55B59">
              <w:rPr>
                <w:rFonts w:eastAsia="Calibri"/>
                <w:szCs w:val="22"/>
                <w:lang w:eastAsia="ja-JP"/>
                <w:rPrChange w:id="1235" w:author="Author">
                  <w:rPr>
                    <w:rFonts w:eastAsia="Calibri"/>
                    <w:szCs w:val="22"/>
                    <w:lang w:val="en-US" w:eastAsia="ja-JP"/>
                  </w:rPr>
                </w:rPrChange>
              </w:rPr>
              <w:t> </w:t>
            </w:r>
            <w:r w:rsidRPr="00D55B59">
              <w:rPr>
                <w:rFonts w:eastAsia="Calibri"/>
                <w:szCs w:val="22"/>
                <w:lang w:eastAsia="ja-JP"/>
                <w:rPrChange w:id="1236" w:author="Author">
                  <w:rPr>
                    <w:rFonts w:eastAsia="Calibri"/>
                    <w:szCs w:val="22"/>
                    <w:lang w:val="en-US" w:eastAsia="ja-JP"/>
                  </w:rPr>
                </w:rPrChange>
              </w:rPr>
              <w:t>kg</w:t>
            </w:r>
          </w:p>
        </w:tc>
        <w:tc>
          <w:tcPr>
            <w:tcW w:w="5103" w:type="dxa"/>
          </w:tcPr>
          <w:p w14:paraId="6D5235DF" w14:textId="62735A83" w:rsidR="001778AA" w:rsidRPr="00D55B59" w:rsidRDefault="001778AA" w:rsidP="00D47253">
            <w:pPr>
              <w:keepNext/>
              <w:tabs>
                <w:tab w:val="clear" w:pos="567"/>
              </w:tabs>
              <w:spacing w:line="240" w:lineRule="auto"/>
              <w:rPr>
                <w:rFonts w:eastAsia="Calibri"/>
                <w:b/>
                <w:szCs w:val="22"/>
                <w:lang w:eastAsia="ja-JP"/>
                <w:rPrChange w:id="1237" w:author="Author">
                  <w:rPr>
                    <w:rFonts w:eastAsia="Calibri"/>
                    <w:b/>
                    <w:szCs w:val="22"/>
                    <w:lang w:val="en-US" w:eastAsia="ja-JP"/>
                  </w:rPr>
                </w:rPrChange>
              </w:rPr>
            </w:pPr>
            <w:r w:rsidRPr="00D55B59">
              <w:rPr>
                <w:rFonts w:eastAsia="Calibri"/>
                <w:szCs w:val="22"/>
                <w:lang w:eastAsia="ja-JP"/>
                <w:rPrChange w:id="1238" w:author="Author">
                  <w:rPr>
                    <w:rFonts w:eastAsia="Calibri"/>
                    <w:szCs w:val="22"/>
                    <w:lang w:val="en-US" w:eastAsia="ja-JP"/>
                  </w:rPr>
                </w:rPrChange>
              </w:rPr>
              <w:t>20</w:t>
            </w:r>
            <w:r w:rsidR="0073273C" w:rsidRPr="00D55B59">
              <w:rPr>
                <w:rFonts w:eastAsia="Calibri"/>
                <w:szCs w:val="22"/>
                <w:lang w:eastAsia="ja-JP"/>
                <w:rPrChange w:id="1239" w:author="Author">
                  <w:rPr>
                    <w:rFonts w:eastAsia="Calibri"/>
                    <w:szCs w:val="22"/>
                    <w:lang w:val="en-US" w:eastAsia="ja-JP"/>
                  </w:rPr>
                </w:rPrChange>
              </w:rPr>
              <w:t> </w:t>
            </w:r>
            <w:r w:rsidRPr="00D55B59">
              <w:rPr>
                <w:rFonts w:eastAsia="Calibri"/>
                <w:szCs w:val="22"/>
                <w:lang w:eastAsia="ja-JP"/>
                <w:rPrChange w:id="1240" w:author="Author">
                  <w:rPr>
                    <w:rFonts w:eastAsia="Calibri"/>
                    <w:szCs w:val="22"/>
                    <w:lang w:val="en-US" w:eastAsia="ja-JP"/>
                  </w:rPr>
                </w:rPrChange>
              </w:rPr>
              <w:t>mg every other week</w:t>
            </w:r>
          </w:p>
        </w:tc>
      </w:tr>
      <w:tr w:rsidR="001778AA" w:rsidRPr="00F04F82" w14:paraId="7E0F118A" w14:textId="77777777" w:rsidTr="00D47253">
        <w:trPr>
          <w:tblHeader/>
        </w:trPr>
        <w:tc>
          <w:tcPr>
            <w:tcW w:w="4253" w:type="dxa"/>
          </w:tcPr>
          <w:p w14:paraId="6C1C9E37" w14:textId="7E644793" w:rsidR="001778AA" w:rsidRPr="00D55B59" w:rsidRDefault="001778AA" w:rsidP="00D47253">
            <w:pPr>
              <w:keepNext/>
              <w:tabs>
                <w:tab w:val="clear" w:pos="567"/>
              </w:tabs>
              <w:spacing w:line="240" w:lineRule="auto"/>
              <w:rPr>
                <w:rFonts w:eastAsia="Calibri"/>
                <w:b/>
                <w:szCs w:val="22"/>
                <w:lang w:eastAsia="ja-JP"/>
                <w:rPrChange w:id="1241" w:author="Author">
                  <w:rPr>
                    <w:rFonts w:eastAsia="Calibri"/>
                    <w:b/>
                    <w:szCs w:val="22"/>
                    <w:lang w:val="en-US" w:eastAsia="ja-JP"/>
                  </w:rPr>
                </w:rPrChange>
              </w:rPr>
            </w:pPr>
            <w:r w:rsidRPr="00D55B59">
              <w:rPr>
                <w:rFonts w:eastAsia="Calibri"/>
                <w:szCs w:val="22"/>
                <w:lang w:eastAsia="ja-JP"/>
                <w:rPrChange w:id="1242" w:author="Author">
                  <w:rPr>
                    <w:rFonts w:eastAsia="Calibri"/>
                    <w:szCs w:val="22"/>
                    <w:lang w:val="en-US" w:eastAsia="ja-JP"/>
                  </w:rPr>
                </w:rPrChange>
              </w:rPr>
              <w:t>≥ 30</w:t>
            </w:r>
            <w:r w:rsidR="0073273C" w:rsidRPr="00D55B59">
              <w:rPr>
                <w:rFonts w:eastAsia="Calibri"/>
                <w:szCs w:val="22"/>
                <w:lang w:eastAsia="ja-JP"/>
                <w:rPrChange w:id="1243" w:author="Author">
                  <w:rPr>
                    <w:rFonts w:eastAsia="Calibri"/>
                    <w:szCs w:val="22"/>
                    <w:lang w:val="en-US" w:eastAsia="ja-JP"/>
                  </w:rPr>
                </w:rPrChange>
              </w:rPr>
              <w:t> </w:t>
            </w:r>
            <w:r w:rsidRPr="00D55B59">
              <w:rPr>
                <w:rFonts w:eastAsia="Calibri"/>
                <w:szCs w:val="22"/>
                <w:lang w:eastAsia="ja-JP"/>
                <w:rPrChange w:id="1244" w:author="Author">
                  <w:rPr>
                    <w:rFonts w:eastAsia="Calibri"/>
                    <w:szCs w:val="22"/>
                    <w:lang w:val="en-US" w:eastAsia="ja-JP"/>
                  </w:rPr>
                </w:rPrChange>
              </w:rPr>
              <w:t>kg</w:t>
            </w:r>
          </w:p>
        </w:tc>
        <w:tc>
          <w:tcPr>
            <w:tcW w:w="5103" w:type="dxa"/>
          </w:tcPr>
          <w:p w14:paraId="20EEA3CF" w14:textId="681AD97F" w:rsidR="001778AA" w:rsidRPr="00D55B59" w:rsidRDefault="001778AA" w:rsidP="00D47253">
            <w:pPr>
              <w:keepNext/>
              <w:tabs>
                <w:tab w:val="clear" w:pos="567"/>
              </w:tabs>
              <w:spacing w:line="240" w:lineRule="auto"/>
              <w:rPr>
                <w:rFonts w:eastAsia="Calibri"/>
                <w:b/>
                <w:szCs w:val="22"/>
                <w:lang w:eastAsia="ja-JP"/>
                <w:rPrChange w:id="1245" w:author="Author">
                  <w:rPr>
                    <w:rFonts w:eastAsia="Calibri"/>
                    <w:b/>
                    <w:szCs w:val="22"/>
                    <w:lang w:val="en-US" w:eastAsia="ja-JP"/>
                  </w:rPr>
                </w:rPrChange>
              </w:rPr>
            </w:pPr>
            <w:r w:rsidRPr="00D55B59">
              <w:rPr>
                <w:rFonts w:eastAsia="Calibri"/>
                <w:szCs w:val="22"/>
                <w:lang w:eastAsia="ja-JP"/>
                <w:rPrChange w:id="1246" w:author="Author">
                  <w:rPr>
                    <w:rFonts w:eastAsia="Calibri"/>
                    <w:szCs w:val="22"/>
                    <w:lang w:val="en-US" w:eastAsia="ja-JP"/>
                  </w:rPr>
                </w:rPrChange>
              </w:rPr>
              <w:t>40</w:t>
            </w:r>
            <w:r w:rsidR="0073273C" w:rsidRPr="00D55B59">
              <w:rPr>
                <w:rFonts w:eastAsia="Calibri"/>
                <w:szCs w:val="22"/>
                <w:lang w:eastAsia="ja-JP"/>
                <w:rPrChange w:id="1247" w:author="Author">
                  <w:rPr>
                    <w:rFonts w:eastAsia="Calibri"/>
                    <w:szCs w:val="22"/>
                    <w:lang w:val="en-US" w:eastAsia="ja-JP"/>
                  </w:rPr>
                </w:rPrChange>
              </w:rPr>
              <w:t> </w:t>
            </w:r>
            <w:r w:rsidRPr="00D55B59">
              <w:rPr>
                <w:rFonts w:eastAsia="Calibri"/>
                <w:szCs w:val="22"/>
                <w:lang w:eastAsia="ja-JP"/>
                <w:rPrChange w:id="1248" w:author="Author">
                  <w:rPr>
                    <w:rFonts w:eastAsia="Calibri"/>
                    <w:szCs w:val="22"/>
                    <w:lang w:val="en-US" w:eastAsia="ja-JP"/>
                  </w:rPr>
                </w:rPrChange>
              </w:rPr>
              <w:t>mg every other week</w:t>
            </w:r>
          </w:p>
        </w:tc>
      </w:tr>
    </w:tbl>
    <w:p w14:paraId="2320D71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DE76B7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Adalimumab has not been studied in patients with enthesitis-related arthritis aged less than 6 years.</w:t>
      </w:r>
    </w:p>
    <w:p w14:paraId="72116D5E" w14:textId="77777777" w:rsidR="001778AA" w:rsidRPr="001775D9" w:rsidRDefault="001778AA" w:rsidP="001778AA">
      <w:pPr>
        <w:tabs>
          <w:tab w:val="clear" w:pos="567"/>
        </w:tabs>
        <w:autoSpaceDE w:val="0"/>
        <w:autoSpaceDN w:val="0"/>
        <w:adjustRightInd w:val="0"/>
        <w:spacing w:line="240" w:lineRule="auto"/>
        <w:rPr>
          <w:i/>
          <w:szCs w:val="22"/>
          <w:lang w:eastAsia="en-GB"/>
        </w:rPr>
      </w:pPr>
    </w:p>
    <w:p w14:paraId="46A6711C" w14:textId="3C55E97E" w:rsidR="00F965B6" w:rsidRPr="001775D9" w:rsidRDefault="00264FB3"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40148E0C" w14:textId="77777777" w:rsidR="00F965B6" w:rsidRPr="001775D9" w:rsidRDefault="00F965B6" w:rsidP="00F965B6">
      <w:pPr>
        <w:tabs>
          <w:tab w:val="clear" w:pos="567"/>
        </w:tabs>
        <w:autoSpaceDE w:val="0"/>
        <w:autoSpaceDN w:val="0"/>
        <w:adjustRightInd w:val="0"/>
        <w:spacing w:line="240" w:lineRule="auto"/>
        <w:rPr>
          <w:szCs w:val="22"/>
          <w:u w:val="single"/>
          <w:lang w:eastAsia="en-GB"/>
        </w:rPr>
      </w:pPr>
    </w:p>
    <w:p w14:paraId="219DAC81"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szCs w:val="22"/>
          <w:lang w:eastAsia="en-GB"/>
        </w:rPr>
        <w:t xml:space="preserve">Psoriatic arthritis and axial spondyloarthritis including ankylosing spondylitis </w:t>
      </w:r>
    </w:p>
    <w:p w14:paraId="38EFA65B"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5CCDD490"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szCs w:val="22"/>
          <w:lang w:eastAsia="en-GB"/>
        </w:rPr>
        <w:t xml:space="preserve">There is no relevant use of </w:t>
      </w:r>
      <w:r w:rsidRPr="001775D9">
        <w:rPr>
          <w:color w:val="000000"/>
          <w:szCs w:val="22"/>
          <w:lang w:eastAsia="en-GB"/>
        </w:rPr>
        <w:t>adalimumab</w:t>
      </w:r>
      <w:r w:rsidRPr="001775D9">
        <w:rPr>
          <w:szCs w:val="22"/>
          <w:lang w:eastAsia="en-GB"/>
        </w:rPr>
        <w:t xml:space="preserve"> in the paediatric population for the indications of ankylosing spondylitis and psoriatic arthritis.</w:t>
      </w:r>
    </w:p>
    <w:p w14:paraId="5F607A8B"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p>
    <w:p w14:paraId="134A055C"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i/>
          <w:szCs w:val="22"/>
          <w:lang w:eastAsia="en-GB"/>
        </w:rPr>
        <w:t xml:space="preserve">Paediatric plaque psoriasis </w:t>
      </w:r>
    </w:p>
    <w:p w14:paraId="19BC4C40" w14:textId="77777777" w:rsidR="001778AA" w:rsidRPr="001775D9" w:rsidRDefault="001778AA" w:rsidP="001778AA">
      <w:pPr>
        <w:keepNext/>
        <w:tabs>
          <w:tab w:val="clear" w:pos="567"/>
        </w:tabs>
        <w:autoSpaceDE w:val="0"/>
        <w:autoSpaceDN w:val="0"/>
        <w:adjustRightInd w:val="0"/>
        <w:spacing w:line="240" w:lineRule="auto"/>
        <w:rPr>
          <w:color w:val="000000"/>
          <w:szCs w:val="22"/>
        </w:rPr>
      </w:pPr>
    </w:p>
    <w:p w14:paraId="67C60512"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szCs w:val="22"/>
          <w:lang w:eastAsia="en-GB"/>
        </w:rPr>
        <w:t>Th</w:t>
      </w:r>
      <w:r w:rsidRPr="001775D9">
        <w:rPr>
          <w:color w:val="000000"/>
          <w:szCs w:val="22"/>
        </w:rPr>
        <w:t xml:space="preserve">e recommended </w:t>
      </w:r>
      <w:r w:rsidRPr="001775D9">
        <w:rPr>
          <w:color w:val="000000"/>
          <w:szCs w:val="22"/>
          <w:lang w:eastAsia="en-GB"/>
        </w:rPr>
        <w:t>AMGEVITA</w:t>
      </w:r>
      <w:r w:rsidRPr="001775D9">
        <w:rPr>
          <w:color w:val="000000"/>
          <w:szCs w:val="22"/>
        </w:rPr>
        <w:t xml:space="preserve"> dose for patients with plaque psoriasis from 4 to 17 years of age is based on body weight (table 3). AMGEVITA is administered via subcutaneous injection.</w:t>
      </w:r>
    </w:p>
    <w:p w14:paraId="32BD6ADE"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27B98CA2" w14:textId="2A564563" w:rsidR="001778AA" w:rsidRPr="00D55B59" w:rsidRDefault="001778AA" w:rsidP="001778AA">
      <w:pPr>
        <w:keepNext/>
        <w:suppressAutoHyphens/>
        <w:spacing w:line="240" w:lineRule="auto"/>
        <w:rPr>
          <w:rFonts w:eastAsia="Times New Roman"/>
          <w:b/>
          <w:szCs w:val="22"/>
          <w:rPrChange w:id="1249" w:author="Author">
            <w:rPr>
              <w:rFonts w:eastAsia="Times New Roman"/>
              <w:b/>
              <w:szCs w:val="22"/>
              <w:lang w:val="en-US"/>
            </w:rPr>
          </w:rPrChange>
        </w:rPr>
      </w:pPr>
      <w:r w:rsidRPr="00D55B59">
        <w:rPr>
          <w:rFonts w:eastAsia="Times New Roman"/>
          <w:b/>
          <w:szCs w:val="22"/>
          <w:rPrChange w:id="1250" w:author="Author">
            <w:rPr>
              <w:rFonts w:eastAsia="Times New Roman"/>
              <w:b/>
              <w:szCs w:val="22"/>
              <w:lang w:val="en-US"/>
            </w:rPr>
          </w:rPrChange>
        </w:rPr>
        <w:t xml:space="preserve">Table 3. AMGEVITA dose for paediatric patients with </w:t>
      </w:r>
      <w:r w:rsidR="00032E45" w:rsidRPr="00D55B59">
        <w:rPr>
          <w:rFonts w:eastAsia="Times New Roman"/>
          <w:b/>
          <w:szCs w:val="22"/>
          <w:rPrChange w:id="1251" w:author="Author">
            <w:rPr>
              <w:rFonts w:eastAsia="Times New Roman"/>
              <w:b/>
              <w:szCs w:val="22"/>
              <w:lang w:val="en-US"/>
            </w:rPr>
          </w:rPrChange>
        </w:rPr>
        <w:t>p</w:t>
      </w:r>
      <w:r w:rsidRPr="00D55B59">
        <w:rPr>
          <w:rFonts w:eastAsia="Times New Roman"/>
          <w:b/>
          <w:szCs w:val="22"/>
          <w:rPrChange w:id="1252" w:author="Author">
            <w:rPr>
              <w:rFonts w:eastAsia="Times New Roman"/>
              <w:b/>
              <w:szCs w:val="22"/>
              <w:lang w:val="en-US"/>
            </w:rPr>
          </w:rPrChange>
        </w:rPr>
        <w:t xml:space="preserve">laque </w:t>
      </w:r>
      <w:r w:rsidR="00032E45" w:rsidRPr="00D55B59">
        <w:rPr>
          <w:rFonts w:eastAsia="Times New Roman"/>
          <w:b/>
          <w:szCs w:val="22"/>
          <w:rPrChange w:id="1253" w:author="Author">
            <w:rPr>
              <w:rFonts w:eastAsia="Times New Roman"/>
              <w:b/>
              <w:szCs w:val="22"/>
              <w:lang w:val="en-US"/>
            </w:rPr>
          </w:rPrChange>
        </w:rPr>
        <w:t>p</w:t>
      </w:r>
      <w:r w:rsidRPr="00D55B59">
        <w:rPr>
          <w:rFonts w:eastAsia="Times New Roman"/>
          <w:b/>
          <w:szCs w:val="22"/>
          <w:rPrChange w:id="1254" w:author="Author">
            <w:rPr>
              <w:rFonts w:eastAsia="Times New Roman"/>
              <w:b/>
              <w:szCs w:val="22"/>
              <w:lang w:val="en-US"/>
            </w:rPr>
          </w:rPrChange>
        </w:rPr>
        <w:t xml:space="preserve">soriasis </w:t>
      </w:r>
    </w:p>
    <w:p w14:paraId="1454EF5B" w14:textId="77777777" w:rsidR="001778AA" w:rsidRPr="00D55B59" w:rsidRDefault="001778AA" w:rsidP="001778AA">
      <w:pPr>
        <w:keepNext/>
        <w:suppressAutoHyphens/>
        <w:spacing w:line="240" w:lineRule="auto"/>
        <w:rPr>
          <w:rFonts w:eastAsia="Times New Roman"/>
          <w:szCs w:val="22"/>
          <w:rPrChange w:id="1255" w:author="Author">
            <w:rPr>
              <w:rFonts w:eastAsia="Times New Roman"/>
              <w:szCs w:val="22"/>
              <w:lang w:val="en-US"/>
            </w:rPr>
          </w:rPrChange>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5103"/>
      </w:tblGrid>
      <w:tr w:rsidR="001778AA" w:rsidRPr="00F04F82" w14:paraId="6813AEF6" w14:textId="77777777" w:rsidTr="00D47253">
        <w:trPr>
          <w:tblHeader/>
        </w:trPr>
        <w:tc>
          <w:tcPr>
            <w:tcW w:w="4253" w:type="dxa"/>
          </w:tcPr>
          <w:p w14:paraId="196F3AFF" w14:textId="77777777" w:rsidR="001778AA" w:rsidRPr="00D55B59" w:rsidRDefault="001778AA" w:rsidP="00D47253">
            <w:pPr>
              <w:keepNext/>
              <w:tabs>
                <w:tab w:val="clear" w:pos="567"/>
              </w:tabs>
              <w:spacing w:line="240" w:lineRule="auto"/>
              <w:rPr>
                <w:rFonts w:eastAsia="Calibri"/>
                <w:b/>
                <w:szCs w:val="22"/>
                <w:lang w:eastAsia="ja-JP"/>
                <w:rPrChange w:id="1256" w:author="Author">
                  <w:rPr>
                    <w:rFonts w:eastAsia="Calibri"/>
                    <w:b/>
                    <w:szCs w:val="22"/>
                    <w:lang w:val="en-US" w:eastAsia="ja-JP"/>
                  </w:rPr>
                </w:rPrChange>
              </w:rPr>
            </w:pPr>
            <w:r w:rsidRPr="00D55B59">
              <w:rPr>
                <w:rFonts w:eastAsia="Calibri"/>
                <w:b/>
                <w:szCs w:val="22"/>
                <w:lang w:eastAsia="ja-JP"/>
                <w:rPrChange w:id="1257" w:author="Author">
                  <w:rPr>
                    <w:rFonts w:eastAsia="Calibri"/>
                    <w:b/>
                    <w:szCs w:val="22"/>
                    <w:lang w:val="en-US" w:eastAsia="ja-JP"/>
                  </w:rPr>
                </w:rPrChange>
              </w:rPr>
              <w:t>Patient weight</w:t>
            </w:r>
          </w:p>
        </w:tc>
        <w:tc>
          <w:tcPr>
            <w:tcW w:w="5103" w:type="dxa"/>
          </w:tcPr>
          <w:p w14:paraId="5B37004F" w14:textId="77777777" w:rsidR="001778AA" w:rsidRPr="00D55B59" w:rsidRDefault="001778AA" w:rsidP="00D47253">
            <w:pPr>
              <w:keepNext/>
              <w:tabs>
                <w:tab w:val="clear" w:pos="567"/>
              </w:tabs>
              <w:spacing w:line="240" w:lineRule="auto"/>
              <w:rPr>
                <w:rFonts w:eastAsia="Calibri"/>
                <w:b/>
                <w:szCs w:val="22"/>
                <w:lang w:eastAsia="ja-JP"/>
                <w:rPrChange w:id="1258" w:author="Author">
                  <w:rPr>
                    <w:rFonts w:eastAsia="Calibri"/>
                    <w:b/>
                    <w:szCs w:val="22"/>
                    <w:lang w:val="en-US" w:eastAsia="ja-JP"/>
                  </w:rPr>
                </w:rPrChange>
              </w:rPr>
            </w:pPr>
            <w:r w:rsidRPr="00D55B59">
              <w:rPr>
                <w:rFonts w:eastAsia="Calibri"/>
                <w:b/>
                <w:szCs w:val="22"/>
                <w:lang w:eastAsia="ja-JP"/>
                <w:rPrChange w:id="1259" w:author="Author">
                  <w:rPr>
                    <w:rFonts w:eastAsia="Calibri"/>
                    <w:b/>
                    <w:szCs w:val="22"/>
                    <w:lang w:val="en-US" w:eastAsia="ja-JP"/>
                  </w:rPr>
                </w:rPrChange>
              </w:rPr>
              <w:t>Dosing regimen</w:t>
            </w:r>
          </w:p>
        </w:tc>
      </w:tr>
      <w:tr w:rsidR="001778AA" w:rsidRPr="00F04F82" w14:paraId="74F6EA09" w14:textId="77777777" w:rsidTr="00D47253">
        <w:trPr>
          <w:tblHeader/>
        </w:trPr>
        <w:tc>
          <w:tcPr>
            <w:tcW w:w="4253" w:type="dxa"/>
          </w:tcPr>
          <w:p w14:paraId="562C1285" w14:textId="76F05263" w:rsidR="001778AA" w:rsidRPr="00D55B59" w:rsidRDefault="001778AA" w:rsidP="00DC541A">
            <w:pPr>
              <w:keepNext/>
              <w:tabs>
                <w:tab w:val="clear" w:pos="567"/>
              </w:tabs>
              <w:spacing w:line="240" w:lineRule="auto"/>
              <w:rPr>
                <w:rFonts w:eastAsia="Calibri"/>
                <w:b/>
                <w:szCs w:val="22"/>
                <w:lang w:eastAsia="ja-JP"/>
                <w:rPrChange w:id="1260" w:author="Author">
                  <w:rPr>
                    <w:rFonts w:eastAsia="Calibri"/>
                    <w:b/>
                    <w:szCs w:val="22"/>
                    <w:lang w:val="en-US" w:eastAsia="ja-JP"/>
                  </w:rPr>
                </w:rPrChange>
              </w:rPr>
            </w:pPr>
            <w:r w:rsidRPr="00D55B59">
              <w:rPr>
                <w:rFonts w:eastAsia="Calibri"/>
                <w:szCs w:val="22"/>
                <w:lang w:eastAsia="ja-JP"/>
                <w:rPrChange w:id="1261" w:author="Author">
                  <w:rPr>
                    <w:rFonts w:eastAsia="Calibri"/>
                    <w:szCs w:val="22"/>
                    <w:lang w:val="en-US" w:eastAsia="ja-JP"/>
                  </w:rPr>
                </w:rPrChange>
              </w:rPr>
              <w:t>15</w:t>
            </w:r>
            <w:r w:rsidR="00DC541A" w:rsidRPr="00D55B59">
              <w:rPr>
                <w:rFonts w:eastAsia="Calibri"/>
                <w:szCs w:val="22"/>
                <w:lang w:eastAsia="ja-JP"/>
                <w:rPrChange w:id="1262" w:author="Author">
                  <w:rPr>
                    <w:rFonts w:eastAsia="Calibri"/>
                    <w:szCs w:val="22"/>
                    <w:lang w:val="en-US" w:eastAsia="ja-JP"/>
                  </w:rPr>
                </w:rPrChange>
              </w:rPr>
              <w:t> </w:t>
            </w:r>
            <w:r w:rsidRPr="00D55B59">
              <w:rPr>
                <w:rFonts w:eastAsia="Calibri"/>
                <w:szCs w:val="22"/>
                <w:lang w:eastAsia="ja-JP"/>
                <w:rPrChange w:id="1263" w:author="Author">
                  <w:rPr>
                    <w:rFonts w:eastAsia="Calibri"/>
                    <w:szCs w:val="22"/>
                    <w:lang w:val="en-US" w:eastAsia="ja-JP"/>
                  </w:rPr>
                </w:rPrChange>
              </w:rPr>
              <w:t>kg to &lt; 30</w:t>
            </w:r>
            <w:r w:rsidR="00DC541A" w:rsidRPr="00D55B59">
              <w:rPr>
                <w:rFonts w:eastAsia="Calibri"/>
                <w:szCs w:val="22"/>
                <w:lang w:eastAsia="ja-JP"/>
                <w:rPrChange w:id="1264" w:author="Author">
                  <w:rPr>
                    <w:rFonts w:eastAsia="Calibri"/>
                    <w:szCs w:val="22"/>
                    <w:lang w:val="en-US" w:eastAsia="ja-JP"/>
                  </w:rPr>
                </w:rPrChange>
              </w:rPr>
              <w:t> </w:t>
            </w:r>
            <w:r w:rsidRPr="00D55B59">
              <w:rPr>
                <w:rFonts w:eastAsia="Calibri"/>
                <w:szCs w:val="22"/>
                <w:lang w:eastAsia="ja-JP"/>
                <w:rPrChange w:id="1265" w:author="Author">
                  <w:rPr>
                    <w:rFonts w:eastAsia="Calibri"/>
                    <w:szCs w:val="22"/>
                    <w:lang w:val="en-US" w:eastAsia="ja-JP"/>
                  </w:rPr>
                </w:rPrChange>
              </w:rPr>
              <w:t>kg</w:t>
            </w:r>
          </w:p>
        </w:tc>
        <w:tc>
          <w:tcPr>
            <w:tcW w:w="5103" w:type="dxa"/>
          </w:tcPr>
          <w:p w14:paraId="73CF5B85" w14:textId="13F1DA94" w:rsidR="001778AA" w:rsidRPr="00D55B59" w:rsidRDefault="001778AA" w:rsidP="00DC541A">
            <w:pPr>
              <w:keepNext/>
              <w:tabs>
                <w:tab w:val="clear" w:pos="567"/>
              </w:tabs>
              <w:spacing w:line="240" w:lineRule="auto"/>
              <w:rPr>
                <w:rFonts w:eastAsia="Calibri"/>
                <w:b/>
                <w:szCs w:val="22"/>
                <w:lang w:eastAsia="ja-JP"/>
                <w:rPrChange w:id="1266" w:author="Author">
                  <w:rPr>
                    <w:rFonts w:eastAsia="Calibri"/>
                    <w:b/>
                    <w:szCs w:val="22"/>
                    <w:lang w:val="en-US" w:eastAsia="ja-JP"/>
                  </w:rPr>
                </w:rPrChange>
              </w:rPr>
            </w:pPr>
            <w:r w:rsidRPr="00D55B59">
              <w:rPr>
                <w:rFonts w:eastAsia="Calibri"/>
                <w:szCs w:val="22"/>
                <w:lang w:eastAsia="ja-JP"/>
                <w:rPrChange w:id="1267" w:author="Author">
                  <w:rPr>
                    <w:rFonts w:eastAsia="Calibri"/>
                    <w:szCs w:val="22"/>
                    <w:lang w:val="en-US" w:eastAsia="ja-JP"/>
                  </w:rPr>
                </w:rPrChange>
              </w:rPr>
              <w:t>Initial dose of 20</w:t>
            </w:r>
            <w:r w:rsidR="00DC541A" w:rsidRPr="00D55B59">
              <w:rPr>
                <w:rFonts w:eastAsia="Calibri"/>
                <w:szCs w:val="22"/>
                <w:lang w:eastAsia="ja-JP"/>
                <w:rPrChange w:id="1268" w:author="Author">
                  <w:rPr>
                    <w:rFonts w:eastAsia="Calibri"/>
                    <w:szCs w:val="22"/>
                    <w:lang w:val="en-US" w:eastAsia="ja-JP"/>
                  </w:rPr>
                </w:rPrChange>
              </w:rPr>
              <w:t> </w:t>
            </w:r>
            <w:r w:rsidRPr="00D55B59">
              <w:rPr>
                <w:rFonts w:eastAsia="Calibri"/>
                <w:szCs w:val="22"/>
                <w:lang w:eastAsia="ja-JP"/>
                <w:rPrChange w:id="1269" w:author="Author">
                  <w:rPr>
                    <w:rFonts w:eastAsia="Calibri"/>
                    <w:szCs w:val="22"/>
                    <w:lang w:val="en-US" w:eastAsia="ja-JP"/>
                  </w:rPr>
                </w:rPrChange>
              </w:rPr>
              <w:t>mg, followed by 20</w:t>
            </w:r>
            <w:r w:rsidR="00DC541A" w:rsidRPr="00D55B59">
              <w:rPr>
                <w:rFonts w:eastAsia="Calibri"/>
                <w:szCs w:val="22"/>
                <w:lang w:eastAsia="ja-JP"/>
                <w:rPrChange w:id="1270" w:author="Author">
                  <w:rPr>
                    <w:rFonts w:eastAsia="Calibri"/>
                    <w:szCs w:val="22"/>
                    <w:lang w:val="en-US" w:eastAsia="ja-JP"/>
                  </w:rPr>
                </w:rPrChange>
              </w:rPr>
              <w:t> </w:t>
            </w:r>
            <w:r w:rsidRPr="00D55B59">
              <w:rPr>
                <w:rFonts w:eastAsia="Calibri"/>
                <w:szCs w:val="22"/>
                <w:lang w:eastAsia="ja-JP"/>
                <w:rPrChange w:id="1271" w:author="Author">
                  <w:rPr>
                    <w:rFonts w:eastAsia="Calibri"/>
                    <w:szCs w:val="22"/>
                    <w:lang w:val="en-US" w:eastAsia="ja-JP"/>
                  </w:rPr>
                </w:rPrChange>
              </w:rPr>
              <w:t>mg given every other week starting one week after the initial dose</w:t>
            </w:r>
          </w:p>
        </w:tc>
      </w:tr>
      <w:tr w:rsidR="001778AA" w:rsidRPr="00F04F82" w14:paraId="5A76EC3D" w14:textId="77777777" w:rsidTr="00D47253">
        <w:trPr>
          <w:tblHeader/>
        </w:trPr>
        <w:tc>
          <w:tcPr>
            <w:tcW w:w="4253" w:type="dxa"/>
          </w:tcPr>
          <w:p w14:paraId="3F7D4AB0" w14:textId="405B0E26" w:rsidR="001778AA" w:rsidRPr="00D55B59" w:rsidRDefault="001778AA" w:rsidP="00D47253">
            <w:pPr>
              <w:keepNext/>
              <w:tabs>
                <w:tab w:val="clear" w:pos="567"/>
              </w:tabs>
              <w:spacing w:line="240" w:lineRule="auto"/>
              <w:rPr>
                <w:rFonts w:eastAsia="Calibri"/>
                <w:b/>
                <w:szCs w:val="22"/>
                <w:lang w:eastAsia="ja-JP"/>
                <w:rPrChange w:id="1272" w:author="Author">
                  <w:rPr>
                    <w:rFonts w:eastAsia="Calibri"/>
                    <w:b/>
                    <w:szCs w:val="22"/>
                    <w:lang w:val="en-US" w:eastAsia="ja-JP"/>
                  </w:rPr>
                </w:rPrChange>
              </w:rPr>
            </w:pPr>
            <w:r w:rsidRPr="00D55B59">
              <w:rPr>
                <w:rFonts w:eastAsia="Calibri"/>
                <w:szCs w:val="22"/>
                <w:lang w:eastAsia="ja-JP"/>
                <w:rPrChange w:id="1273" w:author="Author">
                  <w:rPr>
                    <w:rFonts w:eastAsia="Calibri"/>
                    <w:szCs w:val="22"/>
                    <w:lang w:val="en-US" w:eastAsia="ja-JP"/>
                  </w:rPr>
                </w:rPrChange>
              </w:rPr>
              <w:t>≥ 30</w:t>
            </w:r>
            <w:r w:rsidR="00DC541A" w:rsidRPr="00D55B59">
              <w:rPr>
                <w:rFonts w:eastAsia="Calibri"/>
                <w:szCs w:val="22"/>
                <w:lang w:eastAsia="ja-JP"/>
                <w:rPrChange w:id="1274" w:author="Author">
                  <w:rPr>
                    <w:rFonts w:eastAsia="Calibri"/>
                    <w:szCs w:val="22"/>
                    <w:lang w:val="en-US" w:eastAsia="ja-JP"/>
                  </w:rPr>
                </w:rPrChange>
              </w:rPr>
              <w:t> </w:t>
            </w:r>
            <w:r w:rsidRPr="00D55B59">
              <w:rPr>
                <w:rFonts w:eastAsia="Calibri"/>
                <w:szCs w:val="22"/>
                <w:lang w:eastAsia="ja-JP"/>
                <w:rPrChange w:id="1275" w:author="Author">
                  <w:rPr>
                    <w:rFonts w:eastAsia="Calibri"/>
                    <w:szCs w:val="22"/>
                    <w:lang w:val="en-US" w:eastAsia="ja-JP"/>
                  </w:rPr>
                </w:rPrChange>
              </w:rPr>
              <w:t>kg</w:t>
            </w:r>
          </w:p>
        </w:tc>
        <w:tc>
          <w:tcPr>
            <w:tcW w:w="5103" w:type="dxa"/>
          </w:tcPr>
          <w:p w14:paraId="44A71FAC" w14:textId="61194DFD" w:rsidR="001778AA" w:rsidRPr="00D55B59" w:rsidRDefault="001778AA" w:rsidP="00D47253">
            <w:pPr>
              <w:suppressAutoHyphens/>
              <w:spacing w:line="240" w:lineRule="auto"/>
              <w:rPr>
                <w:rFonts w:eastAsia="Times New Roman"/>
                <w:b/>
                <w:szCs w:val="22"/>
                <w:rPrChange w:id="1276" w:author="Author">
                  <w:rPr>
                    <w:rFonts w:eastAsia="Times New Roman"/>
                    <w:b/>
                    <w:szCs w:val="22"/>
                    <w:lang w:val="en-US"/>
                  </w:rPr>
                </w:rPrChange>
              </w:rPr>
            </w:pPr>
            <w:r w:rsidRPr="00D55B59">
              <w:rPr>
                <w:rFonts w:eastAsia="Times New Roman"/>
                <w:szCs w:val="22"/>
                <w:rPrChange w:id="1277" w:author="Author">
                  <w:rPr>
                    <w:rFonts w:eastAsia="Times New Roman"/>
                    <w:szCs w:val="22"/>
                    <w:lang w:val="en-US"/>
                  </w:rPr>
                </w:rPrChange>
              </w:rPr>
              <w:t>Initial dose of 40</w:t>
            </w:r>
            <w:r w:rsidR="00DC541A" w:rsidRPr="00D55B59">
              <w:rPr>
                <w:rFonts w:eastAsia="Times New Roman"/>
                <w:szCs w:val="22"/>
                <w:rPrChange w:id="1278" w:author="Author">
                  <w:rPr>
                    <w:rFonts w:eastAsia="Times New Roman"/>
                    <w:szCs w:val="22"/>
                    <w:lang w:val="en-US"/>
                  </w:rPr>
                </w:rPrChange>
              </w:rPr>
              <w:t> </w:t>
            </w:r>
            <w:r w:rsidRPr="00D55B59">
              <w:rPr>
                <w:rFonts w:eastAsia="Times New Roman"/>
                <w:szCs w:val="22"/>
                <w:rPrChange w:id="1279" w:author="Author">
                  <w:rPr>
                    <w:rFonts w:eastAsia="Times New Roman"/>
                    <w:szCs w:val="22"/>
                    <w:lang w:val="en-US"/>
                  </w:rPr>
                </w:rPrChange>
              </w:rPr>
              <w:t>mg, followed by 40</w:t>
            </w:r>
            <w:r w:rsidR="00DC541A" w:rsidRPr="00D55B59">
              <w:rPr>
                <w:rFonts w:eastAsia="Times New Roman"/>
                <w:szCs w:val="22"/>
                <w:rPrChange w:id="1280" w:author="Author">
                  <w:rPr>
                    <w:rFonts w:eastAsia="Times New Roman"/>
                    <w:szCs w:val="22"/>
                    <w:lang w:val="en-US"/>
                  </w:rPr>
                </w:rPrChange>
              </w:rPr>
              <w:t> </w:t>
            </w:r>
            <w:r w:rsidRPr="00D55B59">
              <w:rPr>
                <w:rFonts w:eastAsia="Times New Roman"/>
                <w:szCs w:val="22"/>
                <w:rPrChange w:id="1281" w:author="Author">
                  <w:rPr>
                    <w:rFonts w:eastAsia="Times New Roman"/>
                    <w:szCs w:val="22"/>
                    <w:lang w:val="en-US"/>
                  </w:rPr>
                </w:rPrChange>
              </w:rPr>
              <w:t>mg given every other week starting one week after the initial dose</w:t>
            </w:r>
          </w:p>
        </w:tc>
      </w:tr>
    </w:tbl>
    <w:p w14:paraId="1F51C970"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1FA98908"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rPr>
        <w:t>Continued therapy beyond 16 weeks should be carefully considered in a patient not responding within this time period.</w:t>
      </w:r>
    </w:p>
    <w:p w14:paraId="45FACC5A"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417E675F"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rPr>
        <w:t xml:space="preserve">If retreatment with </w:t>
      </w:r>
      <w:r w:rsidRPr="001775D9">
        <w:rPr>
          <w:color w:val="000000"/>
          <w:szCs w:val="22"/>
          <w:lang w:eastAsia="en-GB"/>
        </w:rPr>
        <w:t>AMGEVITA</w:t>
      </w:r>
      <w:r w:rsidRPr="001775D9">
        <w:rPr>
          <w:color w:val="000000"/>
          <w:szCs w:val="22"/>
        </w:rPr>
        <w:t xml:space="preserve"> is indicated, the above guidance on dose and treatment duration should be followed. </w:t>
      </w:r>
    </w:p>
    <w:p w14:paraId="295076B6"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0EE6FDBC"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rPr>
        <w:t xml:space="preserve">The safety of adalimumab in paediatric patients with plaque psoriasis has been assessed for a mean of 13 months. </w:t>
      </w:r>
    </w:p>
    <w:p w14:paraId="4EA0D210"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0AA79592"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color w:val="000000"/>
          <w:szCs w:val="22"/>
        </w:rPr>
        <w:t>There is no relevant use of adalimumab in children aged less than 4 years for this indication.</w:t>
      </w:r>
      <w:r w:rsidRPr="001775D9" w:rsidDel="00FF52D1">
        <w:rPr>
          <w:szCs w:val="22"/>
          <w:u w:val="single"/>
          <w:lang w:eastAsia="en-GB"/>
        </w:rPr>
        <w:t xml:space="preserve"> </w:t>
      </w:r>
    </w:p>
    <w:p w14:paraId="5A21A8C7" w14:textId="31324B7B" w:rsidR="001778AA" w:rsidRPr="001775D9" w:rsidRDefault="001778AA" w:rsidP="000E67AC">
      <w:pPr>
        <w:tabs>
          <w:tab w:val="clear" w:pos="567"/>
        </w:tabs>
        <w:autoSpaceDE w:val="0"/>
        <w:autoSpaceDN w:val="0"/>
        <w:adjustRightInd w:val="0"/>
        <w:spacing w:line="240" w:lineRule="auto"/>
        <w:rPr>
          <w:iCs/>
          <w:szCs w:val="22"/>
          <w:lang w:eastAsia="en-GB"/>
        </w:rPr>
      </w:pPr>
    </w:p>
    <w:p w14:paraId="528185FE" w14:textId="564E3A19" w:rsidR="00F965B6" w:rsidRPr="001775D9" w:rsidRDefault="00264FB3"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718681AD" w14:textId="77777777" w:rsidR="00F965B6" w:rsidRPr="001775D9" w:rsidRDefault="00F965B6" w:rsidP="000E67AC">
      <w:pPr>
        <w:tabs>
          <w:tab w:val="clear" w:pos="567"/>
        </w:tabs>
        <w:autoSpaceDE w:val="0"/>
        <w:autoSpaceDN w:val="0"/>
        <w:adjustRightInd w:val="0"/>
        <w:spacing w:line="240" w:lineRule="auto"/>
        <w:rPr>
          <w:iCs/>
          <w:szCs w:val="22"/>
          <w:lang w:eastAsia="en-GB"/>
        </w:rPr>
      </w:pPr>
    </w:p>
    <w:p w14:paraId="5854B09C" w14:textId="77777777" w:rsidR="001778AA" w:rsidRPr="001775D9" w:rsidRDefault="001778AA" w:rsidP="001778AA">
      <w:pPr>
        <w:tabs>
          <w:tab w:val="clear" w:pos="567"/>
          <w:tab w:val="left" w:pos="720"/>
        </w:tabs>
        <w:autoSpaceDE w:val="0"/>
        <w:autoSpaceDN w:val="0"/>
        <w:adjustRightInd w:val="0"/>
        <w:spacing w:line="240" w:lineRule="auto"/>
        <w:rPr>
          <w:i/>
          <w:szCs w:val="22"/>
          <w:lang w:eastAsia="en-GB"/>
        </w:rPr>
      </w:pPr>
      <w:r w:rsidRPr="001775D9">
        <w:rPr>
          <w:i/>
          <w:szCs w:val="22"/>
          <w:lang w:eastAsia="en-GB"/>
        </w:rPr>
        <w:t>Adolescent hidradenitis suppurativa (from 12 years of age, weighing at least 30</w:t>
      </w:r>
      <w:r w:rsidRPr="001775D9">
        <w:rPr>
          <w:color w:val="000000"/>
          <w:szCs w:val="22"/>
        </w:rPr>
        <w:t> </w:t>
      </w:r>
      <w:r w:rsidRPr="001775D9">
        <w:rPr>
          <w:i/>
          <w:szCs w:val="22"/>
          <w:lang w:eastAsia="en-GB"/>
        </w:rPr>
        <w:t>kg)</w:t>
      </w:r>
    </w:p>
    <w:p w14:paraId="4408341A" w14:textId="77777777" w:rsidR="001778AA" w:rsidRPr="001775D9" w:rsidRDefault="001778AA" w:rsidP="001778AA">
      <w:pPr>
        <w:tabs>
          <w:tab w:val="clear" w:pos="567"/>
          <w:tab w:val="left" w:pos="720"/>
        </w:tabs>
        <w:autoSpaceDE w:val="0"/>
        <w:autoSpaceDN w:val="0"/>
        <w:adjustRightInd w:val="0"/>
        <w:spacing w:line="240" w:lineRule="auto"/>
        <w:rPr>
          <w:szCs w:val="22"/>
          <w:u w:val="single"/>
          <w:lang w:eastAsia="en-GB"/>
        </w:rPr>
      </w:pPr>
    </w:p>
    <w:p w14:paraId="09C3A4B6"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There are no clinical trials with adalimumab in adolescent patients with HS. The posology of AMGEVITA in these patients has been determined from pharmacokinetic modelling and simulation (see section 5.2).</w:t>
      </w:r>
    </w:p>
    <w:p w14:paraId="319296BC"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5FAD821C"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The recommended AMGEVITA dose is 80</w:t>
      </w:r>
      <w:r w:rsidRPr="001775D9">
        <w:rPr>
          <w:color w:val="000000"/>
          <w:szCs w:val="22"/>
        </w:rPr>
        <w:t> </w:t>
      </w:r>
      <w:r w:rsidRPr="001775D9">
        <w:rPr>
          <w:szCs w:val="22"/>
          <w:lang w:eastAsia="en-GB"/>
        </w:rPr>
        <w:t>mg at week 0 followed by 40</w:t>
      </w:r>
      <w:r w:rsidRPr="001775D9">
        <w:rPr>
          <w:color w:val="000000"/>
          <w:szCs w:val="22"/>
        </w:rPr>
        <w:t> </w:t>
      </w:r>
      <w:r w:rsidRPr="001775D9">
        <w:rPr>
          <w:szCs w:val="22"/>
          <w:lang w:eastAsia="en-GB"/>
        </w:rPr>
        <w:t>mg every other week starting at week 1 via subcutaneous injection.</w:t>
      </w:r>
    </w:p>
    <w:p w14:paraId="1E6567E1"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334EF84F"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In adolescent patients with inadequate response to AMGEVITA 40</w:t>
      </w:r>
      <w:r w:rsidRPr="001775D9">
        <w:rPr>
          <w:color w:val="000000"/>
          <w:szCs w:val="22"/>
        </w:rPr>
        <w:t> </w:t>
      </w:r>
      <w:r w:rsidRPr="001775D9">
        <w:rPr>
          <w:szCs w:val="22"/>
          <w:lang w:eastAsia="en-GB"/>
        </w:rPr>
        <w:t>mg every other week, an increase in dose to 40</w:t>
      </w:r>
      <w:r w:rsidRPr="001775D9">
        <w:rPr>
          <w:color w:val="000000"/>
          <w:szCs w:val="22"/>
        </w:rPr>
        <w:t> </w:t>
      </w:r>
      <w:r w:rsidRPr="001775D9">
        <w:rPr>
          <w:szCs w:val="22"/>
          <w:lang w:eastAsia="en-GB"/>
        </w:rPr>
        <w:t>mg every week or 80</w:t>
      </w:r>
      <w:r w:rsidRPr="001775D9">
        <w:rPr>
          <w:color w:val="000000"/>
          <w:szCs w:val="22"/>
        </w:rPr>
        <w:t> </w:t>
      </w:r>
      <w:r w:rsidRPr="001775D9">
        <w:rPr>
          <w:szCs w:val="22"/>
          <w:lang w:eastAsia="en-GB"/>
        </w:rPr>
        <w:t>mg every other week may be considered.</w:t>
      </w:r>
    </w:p>
    <w:p w14:paraId="7798B2CE"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38108D4F"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Antibiotics may be continued during treatment with AMGEVITA if necessary. It is recommended that the patient should use a topical antiseptic wash on their HS lesions on a daily basis during treatment with AMGEVITA.</w:t>
      </w:r>
    </w:p>
    <w:p w14:paraId="6E09EEEE"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0E201B7F"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Continued therapy beyond 12 weeks should be carefully reconsidered in a patient with no improvement within this time period.</w:t>
      </w:r>
    </w:p>
    <w:p w14:paraId="00CB9482"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1D0CE9A3"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Should treatment be interrupted, AMGEVITA may be re-introduced as appropriate.</w:t>
      </w:r>
    </w:p>
    <w:p w14:paraId="136BE4B7"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2D31FEEF"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The benefit and risk of continued long-term treatment should be periodically evaluated (see adult data in section 5.1).</w:t>
      </w:r>
    </w:p>
    <w:p w14:paraId="720DECBA"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1B3F9239"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There is no relevant use of AMGEVITA in children aged less than 12 years in this indication.</w:t>
      </w:r>
    </w:p>
    <w:p w14:paraId="70D94D20"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p>
    <w:p w14:paraId="7565EC7B" w14:textId="4F454F8F" w:rsidR="00F965B6" w:rsidRPr="001775D9" w:rsidRDefault="00264FB3"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75A7091F" w14:textId="77777777" w:rsidR="00F965B6" w:rsidRPr="001775D9" w:rsidRDefault="00F965B6" w:rsidP="001778AA">
      <w:pPr>
        <w:keepNext/>
        <w:tabs>
          <w:tab w:val="clear" w:pos="567"/>
        </w:tabs>
        <w:autoSpaceDE w:val="0"/>
        <w:autoSpaceDN w:val="0"/>
        <w:adjustRightInd w:val="0"/>
        <w:spacing w:line="240" w:lineRule="auto"/>
        <w:rPr>
          <w:i/>
          <w:szCs w:val="22"/>
          <w:lang w:eastAsia="en-GB"/>
        </w:rPr>
      </w:pPr>
    </w:p>
    <w:p w14:paraId="5B70BC36" w14:textId="6081FBD5"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szCs w:val="22"/>
          <w:lang w:eastAsia="en-GB"/>
        </w:rPr>
        <w:t xml:space="preserve">Paediatric Crohn's disease </w:t>
      </w:r>
    </w:p>
    <w:p w14:paraId="0EF13990"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573A09E6" w14:textId="77777777" w:rsidR="001778AA" w:rsidRPr="00D55B59" w:rsidRDefault="001778AA" w:rsidP="001778AA">
      <w:pPr>
        <w:suppressAutoHyphens/>
        <w:spacing w:line="240" w:lineRule="auto"/>
        <w:rPr>
          <w:rFonts w:eastAsia="Times New Roman"/>
          <w:szCs w:val="22"/>
          <w:rPrChange w:id="1282" w:author="Author">
            <w:rPr>
              <w:rFonts w:eastAsia="Times New Roman"/>
              <w:szCs w:val="22"/>
              <w:lang w:val="en-US"/>
            </w:rPr>
          </w:rPrChange>
        </w:rPr>
      </w:pPr>
      <w:r w:rsidRPr="00D55B59">
        <w:rPr>
          <w:rFonts w:eastAsia="Times New Roman"/>
          <w:szCs w:val="22"/>
          <w:rPrChange w:id="1283" w:author="Author">
            <w:rPr>
              <w:rFonts w:eastAsia="Times New Roman"/>
              <w:szCs w:val="22"/>
              <w:lang w:val="en-US"/>
            </w:rPr>
          </w:rPrChange>
        </w:rPr>
        <w:t xml:space="preserve">The recommended dose of AMGEVITA for patients with Crohn’s disease from 6 to 17 years of age is based on body weight (table 4). AMGEVITA is administered via subcutaneous injection. </w:t>
      </w:r>
    </w:p>
    <w:p w14:paraId="689AAC6C" w14:textId="77777777" w:rsidR="001778AA" w:rsidRPr="001775D9" w:rsidRDefault="001778AA" w:rsidP="001778AA">
      <w:pPr>
        <w:suppressAutoHyphens/>
        <w:spacing w:line="240" w:lineRule="auto"/>
        <w:rPr>
          <w:rFonts w:eastAsia="Times New Roman"/>
          <w:szCs w:val="24"/>
        </w:rPr>
      </w:pPr>
    </w:p>
    <w:p w14:paraId="10D58C58" w14:textId="77777777" w:rsidR="001778AA" w:rsidRPr="00D55B59" w:rsidRDefault="001778AA" w:rsidP="001778AA">
      <w:pPr>
        <w:keepNext/>
        <w:suppressAutoHyphens/>
        <w:spacing w:line="240" w:lineRule="auto"/>
        <w:rPr>
          <w:rFonts w:eastAsia="Times New Roman"/>
          <w:b/>
          <w:szCs w:val="22"/>
          <w:rPrChange w:id="1284" w:author="Author">
            <w:rPr>
              <w:rFonts w:eastAsia="Times New Roman"/>
              <w:b/>
              <w:szCs w:val="22"/>
              <w:lang w:val="en-US"/>
            </w:rPr>
          </w:rPrChange>
        </w:rPr>
      </w:pPr>
      <w:r w:rsidRPr="00D55B59">
        <w:rPr>
          <w:rFonts w:eastAsia="Times New Roman"/>
          <w:b/>
          <w:szCs w:val="22"/>
          <w:rPrChange w:id="1285" w:author="Author">
            <w:rPr>
              <w:rFonts w:eastAsia="Times New Roman"/>
              <w:b/>
              <w:szCs w:val="22"/>
              <w:lang w:val="en-US"/>
            </w:rPr>
          </w:rPrChange>
        </w:rPr>
        <w:t>Table 4. AMGEVITA dose for paediatric patients with Crohn’s disease</w:t>
      </w:r>
    </w:p>
    <w:p w14:paraId="6B75CF07" w14:textId="77777777" w:rsidR="001778AA" w:rsidRPr="00D55B59" w:rsidRDefault="001778AA" w:rsidP="001778AA">
      <w:pPr>
        <w:keepNext/>
        <w:suppressAutoHyphens/>
        <w:spacing w:line="240" w:lineRule="auto"/>
        <w:rPr>
          <w:rFonts w:eastAsia="Times New Roman"/>
          <w:szCs w:val="24"/>
          <w:rPrChange w:id="1286" w:author="Author">
            <w:rPr>
              <w:rFonts w:eastAsia="Times New Roman"/>
              <w:szCs w:val="24"/>
              <w:lang w:val="en-US"/>
            </w:rPr>
          </w:rPrChange>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30"/>
        <w:gridCol w:w="6609"/>
        <w:gridCol w:w="1562"/>
      </w:tblGrid>
      <w:tr w:rsidR="00E03C85" w:rsidRPr="00F04F82" w14:paraId="6C390000" w14:textId="77777777" w:rsidTr="00D47253">
        <w:trPr>
          <w:tblHeader/>
        </w:trPr>
        <w:tc>
          <w:tcPr>
            <w:tcW w:w="0" w:type="auto"/>
            <w:tcBorders>
              <w:top w:val="single" w:sz="6" w:space="0" w:color="000000"/>
              <w:left w:val="single" w:sz="6" w:space="0" w:color="000000"/>
              <w:bottom w:val="single" w:sz="6" w:space="0" w:color="000000"/>
              <w:right w:val="single" w:sz="6" w:space="0" w:color="000000"/>
            </w:tcBorders>
            <w:hideMark/>
          </w:tcPr>
          <w:p w14:paraId="21942F30" w14:textId="77777777" w:rsidR="001778AA" w:rsidRPr="00D55B59" w:rsidRDefault="001778AA" w:rsidP="00D47253">
            <w:pPr>
              <w:suppressAutoHyphens/>
              <w:spacing w:line="240" w:lineRule="auto"/>
              <w:rPr>
                <w:rFonts w:eastAsia="Times New Roman"/>
                <w:szCs w:val="24"/>
                <w:rPrChange w:id="1287" w:author="Author">
                  <w:rPr>
                    <w:rFonts w:eastAsia="Times New Roman"/>
                    <w:szCs w:val="24"/>
                    <w:lang w:val="en-US"/>
                  </w:rPr>
                </w:rPrChange>
              </w:rPr>
            </w:pPr>
            <w:r w:rsidRPr="00D55B59">
              <w:rPr>
                <w:rFonts w:eastAsia="Times New Roman"/>
                <w:b/>
                <w:szCs w:val="24"/>
                <w:rPrChange w:id="1288" w:author="Author">
                  <w:rPr>
                    <w:rFonts w:eastAsia="Times New Roman"/>
                    <w:b/>
                    <w:szCs w:val="24"/>
                    <w:lang w:val="en-US"/>
                  </w:rPr>
                </w:rPrChange>
              </w:rPr>
              <w:t>Patient weight</w:t>
            </w:r>
          </w:p>
        </w:tc>
        <w:tc>
          <w:tcPr>
            <w:tcW w:w="0" w:type="auto"/>
            <w:tcBorders>
              <w:top w:val="single" w:sz="6" w:space="0" w:color="000000"/>
              <w:left w:val="single" w:sz="6" w:space="0" w:color="000000"/>
              <w:bottom w:val="single" w:sz="6" w:space="0" w:color="000000"/>
              <w:right w:val="single" w:sz="6" w:space="0" w:color="000000"/>
            </w:tcBorders>
            <w:hideMark/>
          </w:tcPr>
          <w:p w14:paraId="4CE310CA" w14:textId="77777777" w:rsidR="001778AA" w:rsidRPr="00D55B59" w:rsidRDefault="001778AA" w:rsidP="00D47253">
            <w:pPr>
              <w:suppressAutoHyphens/>
              <w:spacing w:line="240" w:lineRule="auto"/>
              <w:rPr>
                <w:rFonts w:eastAsia="Times New Roman"/>
                <w:szCs w:val="24"/>
                <w:rPrChange w:id="1289" w:author="Author">
                  <w:rPr>
                    <w:rFonts w:eastAsia="Times New Roman"/>
                    <w:szCs w:val="24"/>
                    <w:lang w:val="en-US"/>
                  </w:rPr>
                </w:rPrChange>
              </w:rPr>
            </w:pPr>
            <w:r w:rsidRPr="00D55B59">
              <w:rPr>
                <w:rFonts w:eastAsia="Times New Roman"/>
                <w:b/>
                <w:szCs w:val="24"/>
                <w:rPrChange w:id="1290" w:author="Author">
                  <w:rPr>
                    <w:rFonts w:eastAsia="Times New Roman"/>
                    <w:b/>
                    <w:szCs w:val="24"/>
                    <w:lang w:val="en-US"/>
                  </w:rPr>
                </w:rPrChange>
              </w:rPr>
              <w:t>Induction dose</w:t>
            </w:r>
          </w:p>
        </w:tc>
        <w:tc>
          <w:tcPr>
            <w:tcW w:w="0" w:type="auto"/>
            <w:tcBorders>
              <w:top w:val="single" w:sz="6" w:space="0" w:color="000000"/>
              <w:left w:val="single" w:sz="6" w:space="0" w:color="000000"/>
              <w:bottom w:val="single" w:sz="6" w:space="0" w:color="000000"/>
              <w:right w:val="single" w:sz="6" w:space="0" w:color="000000"/>
            </w:tcBorders>
            <w:hideMark/>
          </w:tcPr>
          <w:p w14:paraId="3E07F2BE" w14:textId="258E2D38" w:rsidR="001778AA" w:rsidRPr="00D55B59" w:rsidRDefault="001778AA" w:rsidP="00D47253">
            <w:pPr>
              <w:suppressAutoHyphens/>
              <w:spacing w:line="240" w:lineRule="auto"/>
              <w:rPr>
                <w:rFonts w:eastAsia="Times New Roman"/>
                <w:szCs w:val="24"/>
                <w:rPrChange w:id="1291" w:author="Author">
                  <w:rPr>
                    <w:rFonts w:eastAsia="Times New Roman"/>
                    <w:szCs w:val="24"/>
                    <w:lang w:val="en-US"/>
                  </w:rPr>
                </w:rPrChange>
              </w:rPr>
            </w:pPr>
            <w:r w:rsidRPr="00D55B59">
              <w:rPr>
                <w:rFonts w:eastAsia="Times New Roman"/>
                <w:b/>
                <w:szCs w:val="24"/>
                <w:rPrChange w:id="1292" w:author="Author">
                  <w:rPr>
                    <w:rFonts w:eastAsia="Times New Roman"/>
                    <w:b/>
                    <w:szCs w:val="24"/>
                    <w:lang w:val="en-US"/>
                  </w:rPr>
                </w:rPrChange>
              </w:rPr>
              <w:t>Maintenance dose</w:t>
            </w:r>
            <w:r w:rsidRPr="00D55B59">
              <w:rPr>
                <w:rFonts w:eastAsia="Times New Roman"/>
                <w:b/>
                <w:szCs w:val="24"/>
                <w:rPrChange w:id="1293" w:author="Author">
                  <w:rPr>
                    <w:rFonts w:eastAsia="Times New Roman"/>
                    <w:b/>
                    <w:szCs w:val="24"/>
                    <w:lang w:val="en-US"/>
                  </w:rPr>
                </w:rPrChange>
              </w:rPr>
              <w:br/>
              <w:t>starting at week</w:t>
            </w:r>
            <w:r w:rsidR="00F36BD0" w:rsidRPr="00D55B59">
              <w:rPr>
                <w:rFonts w:eastAsia="Times New Roman"/>
                <w:b/>
                <w:szCs w:val="24"/>
                <w:rPrChange w:id="1294" w:author="Author">
                  <w:rPr>
                    <w:rFonts w:eastAsia="Times New Roman"/>
                    <w:b/>
                    <w:szCs w:val="24"/>
                    <w:lang w:val="en-US"/>
                  </w:rPr>
                </w:rPrChange>
              </w:rPr>
              <w:t> </w:t>
            </w:r>
            <w:r w:rsidRPr="00D55B59">
              <w:rPr>
                <w:rFonts w:eastAsia="Times New Roman"/>
                <w:b/>
                <w:szCs w:val="24"/>
                <w:rPrChange w:id="1295" w:author="Author">
                  <w:rPr>
                    <w:rFonts w:eastAsia="Times New Roman"/>
                    <w:b/>
                    <w:szCs w:val="24"/>
                    <w:lang w:val="en-US"/>
                  </w:rPr>
                </w:rPrChange>
              </w:rPr>
              <w:t>4</w:t>
            </w:r>
          </w:p>
        </w:tc>
      </w:tr>
      <w:tr w:rsidR="00E03C85" w:rsidRPr="00F04F82" w14:paraId="3F9444AE" w14:textId="77777777" w:rsidTr="00D47253">
        <w:tc>
          <w:tcPr>
            <w:tcW w:w="0" w:type="auto"/>
            <w:tcBorders>
              <w:top w:val="single" w:sz="6" w:space="0" w:color="000000"/>
              <w:left w:val="single" w:sz="6" w:space="0" w:color="000000"/>
              <w:bottom w:val="single" w:sz="6" w:space="0" w:color="000000"/>
              <w:right w:val="single" w:sz="6" w:space="0" w:color="000000"/>
            </w:tcBorders>
            <w:hideMark/>
          </w:tcPr>
          <w:p w14:paraId="3D20E67D" w14:textId="22D1BE07" w:rsidR="001778AA" w:rsidRPr="00D55B59" w:rsidRDefault="001778AA" w:rsidP="00D47253">
            <w:pPr>
              <w:suppressAutoHyphens/>
              <w:spacing w:line="240" w:lineRule="auto"/>
              <w:jc w:val="center"/>
              <w:rPr>
                <w:rFonts w:eastAsia="Times New Roman"/>
                <w:szCs w:val="24"/>
                <w:rPrChange w:id="1296" w:author="Author">
                  <w:rPr>
                    <w:rFonts w:eastAsia="Times New Roman"/>
                    <w:szCs w:val="24"/>
                    <w:lang w:val="en-US"/>
                  </w:rPr>
                </w:rPrChange>
              </w:rPr>
            </w:pPr>
            <w:r w:rsidRPr="00D55B59">
              <w:rPr>
                <w:rFonts w:eastAsia="Times New Roman"/>
                <w:szCs w:val="24"/>
                <w:rPrChange w:id="1297" w:author="Author">
                  <w:rPr>
                    <w:rFonts w:eastAsia="Times New Roman"/>
                    <w:szCs w:val="24"/>
                    <w:lang w:val="en-US"/>
                  </w:rPr>
                </w:rPrChange>
              </w:rPr>
              <w:t>&lt; 40</w:t>
            </w:r>
            <w:r w:rsidR="00443AD3" w:rsidRPr="00D55B59">
              <w:rPr>
                <w:rFonts w:eastAsia="Times New Roman"/>
                <w:szCs w:val="24"/>
                <w:rPrChange w:id="1298" w:author="Author">
                  <w:rPr>
                    <w:rFonts w:eastAsia="Times New Roman"/>
                    <w:szCs w:val="24"/>
                    <w:lang w:val="en-US"/>
                  </w:rPr>
                </w:rPrChange>
              </w:rPr>
              <w:t> </w:t>
            </w:r>
            <w:r w:rsidRPr="00D55B59">
              <w:rPr>
                <w:rFonts w:eastAsia="Times New Roman"/>
                <w:szCs w:val="24"/>
                <w:rPrChange w:id="1299" w:author="Author">
                  <w:rPr>
                    <w:rFonts w:eastAsia="Times New Roman"/>
                    <w:szCs w:val="24"/>
                    <w:lang w:val="en-US"/>
                  </w:rPr>
                </w:rPrChange>
              </w:rPr>
              <w:t>kg</w:t>
            </w:r>
          </w:p>
        </w:tc>
        <w:tc>
          <w:tcPr>
            <w:tcW w:w="0" w:type="auto"/>
            <w:tcBorders>
              <w:top w:val="single" w:sz="6" w:space="0" w:color="000000"/>
              <w:left w:val="single" w:sz="6" w:space="0" w:color="000000"/>
              <w:bottom w:val="single" w:sz="6" w:space="0" w:color="000000"/>
              <w:right w:val="single" w:sz="6" w:space="0" w:color="000000"/>
            </w:tcBorders>
            <w:hideMark/>
          </w:tcPr>
          <w:p w14:paraId="3237293F" w14:textId="6CF06EEF" w:rsidR="001778AA" w:rsidRPr="00D55B59" w:rsidRDefault="001778AA" w:rsidP="00D47253">
            <w:pPr>
              <w:numPr>
                <w:ilvl w:val="0"/>
                <w:numId w:val="28"/>
              </w:numPr>
              <w:tabs>
                <w:tab w:val="clear" w:pos="567"/>
              </w:tabs>
              <w:suppressAutoHyphens/>
              <w:spacing w:line="240" w:lineRule="auto"/>
              <w:ind w:left="307" w:hanging="180"/>
              <w:rPr>
                <w:rFonts w:eastAsia="Times New Roman"/>
                <w:szCs w:val="22"/>
                <w:rPrChange w:id="1300" w:author="Author">
                  <w:rPr>
                    <w:rFonts w:eastAsia="Times New Roman"/>
                    <w:szCs w:val="22"/>
                    <w:lang w:val="en-US"/>
                  </w:rPr>
                </w:rPrChange>
              </w:rPr>
            </w:pPr>
            <w:r w:rsidRPr="00D55B59">
              <w:rPr>
                <w:rFonts w:eastAsia="Times New Roman"/>
                <w:szCs w:val="22"/>
                <w:rPrChange w:id="1301" w:author="Author">
                  <w:rPr>
                    <w:rFonts w:eastAsia="Times New Roman"/>
                    <w:szCs w:val="22"/>
                    <w:lang w:val="en-US"/>
                  </w:rPr>
                </w:rPrChange>
              </w:rPr>
              <w:t>40</w:t>
            </w:r>
            <w:r w:rsidR="00443AD3" w:rsidRPr="00D55B59">
              <w:rPr>
                <w:rFonts w:eastAsia="Times New Roman"/>
                <w:szCs w:val="22"/>
                <w:rPrChange w:id="1302" w:author="Author">
                  <w:rPr>
                    <w:rFonts w:eastAsia="Times New Roman"/>
                    <w:szCs w:val="22"/>
                    <w:lang w:val="en-US"/>
                  </w:rPr>
                </w:rPrChange>
              </w:rPr>
              <w:t> </w:t>
            </w:r>
            <w:r w:rsidRPr="00D55B59">
              <w:rPr>
                <w:rFonts w:eastAsia="Times New Roman"/>
                <w:szCs w:val="22"/>
                <w:rPrChange w:id="1303" w:author="Author">
                  <w:rPr>
                    <w:rFonts w:eastAsia="Times New Roman"/>
                    <w:szCs w:val="22"/>
                    <w:lang w:val="en-US"/>
                  </w:rPr>
                </w:rPrChange>
              </w:rPr>
              <w:t>mg at week 0 and 20</w:t>
            </w:r>
            <w:r w:rsidR="00443AD3" w:rsidRPr="00D55B59">
              <w:rPr>
                <w:rFonts w:eastAsia="Times New Roman"/>
                <w:szCs w:val="22"/>
                <w:rPrChange w:id="1304" w:author="Author">
                  <w:rPr>
                    <w:rFonts w:eastAsia="Times New Roman"/>
                    <w:szCs w:val="22"/>
                    <w:lang w:val="en-US"/>
                  </w:rPr>
                </w:rPrChange>
              </w:rPr>
              <w:t> </w:t>
            </w:r>
            <w:r w:rsidRPr="00D55B59">
              <w:rPr>
                <w:rFonts w:eastAsia="Times New Roman"/>
                <w:szCs w:val="22"/>
                <w:rPrChange w:id="1305" w:author="Author">
                  <w:rPr>
                    <w:rFonts w:eastAsia="Times New Roman"/>
                    <w:szCs w:val="22"/>
                    <w:lang w:val="en-US"/>
                  </w:rPr>
                </w:rPrChange>
              </w:rPr>
              <w:t>mg at week 2</w:t>
            </w:r>
          </w:p>
          <w:p w14:paraId="09361594" w14:textId="77777777" w:rsidR="001778AA" w:rsidRPr="00D55B59" w:rsidRDefault="001778AA" w:rsidP="00D47253">
            <w:pPr>
              <w:tabs>
                <w:tab w:val="clear" w:pos="567"/>
              </w:tabs>
              <w:spacing w:line="240" w:lineRule="auto"/>
              <w:ind w:left="337"/>
              <w:rPr>
                <w:rFonts w:eastAsia="Times New Roman"/>
                <w:szCs w:val="22"/>
                <w:rPrChange w:id="1306" w:author="Author">
                  <w:rPr>
                    <w:rFonts w:eastAsia="Times New Roman"/>
                    <w:szCs w:val="22"/>
                    <w:lang w:val="en-US"/>
                  </w:rPr>
                </w:rPrChange>
              </w:rPr>
            </w:pPr>
          </w:p>
          <w:p w14:paraId="7AE69160" w14:textId="77777777" w:rsidR="001778AA" w:rsidRPr="00D55B59" w:rsidRDefault="001778AA" w:rsidP="00D47253">
            <w:pPr>
              <w:tabs>
                <w:tab w:val="clear" w:pos="567"/>
              </w:tabs>
              <w:spacing w:line="240" w:lineRule="auto"/>
              <w:ind w:left="150"/>
              <w:rPr>
                <w:rFonts w:eastAsia="Times New Roman"/>
                <w:szCs w:val="22"/>
                <w:rPrChange w:id="1307" w:author="Author">
                  <w:rPr>
                    <w:rFonts w:eastAsia="Times New Roman"/>
                    <w:szCs w:val="22"/>
                    <w:lang w:val="en-US"/>
                  </w:rPr>
                </w:rPrChange>
              </w:rPr>
            </w:pPr>
            <w:r w:rsidRPr="00D55B59">
              <w:rPr>
                <w:rFonts w:eastAsia="Times New Roman"/>
                <w:szCs w:val="22"/>
                <w:rPrChange w:id="1308" w:author="Author">
                  <w:rPr>
                    <w:rFonts w:eastAsia="Times New Roman"/>
                    <w:szCs w:val="22"/>
                    <w:lang w:val="en-US"/>
                  </w:rPr>
                </w:rPrChange>
              </w:rPr>
              <w:t>I</w:t>
            </w:r>
            <w:r w:rsidRPr="001775D9">
              <w:rPr>
                <w:rFonts w:eastAsia="Times New Roman"/>
                <w:szCs w:val="22"/>
              </w:rPr>
              <w:t xml:space="preserve">n case there is a need for a more rapid response to therapy </w:t>
            </w:r>
            <w:r w:rsidRPr="00D55B59">
              <w:rPr>
                <w:rFonts w:eastAsia="Times New Roman"/>
                <w:iCs/>
                <w:szCs w:val="22"/>
                <w:rPrChange w:id="1309" w:author="Author">
                  <w:rPr>
                    <w:rFonts w:eastAsia="Times New Roman"/>
                    <w:iCs/>
                    <w:szCs w:val="22"/>
                    <w:lang w:val="en-US"/>
                  </w:rPr>
                </w:rPrChange>
              </w:rPr>
              <w:t>with the awareness that the risk for adverse events may be higher with use of the higher induction dose, the following dose may be used:</w:t>
            </w:r>
          </w:p>
          <w:p w14:paraId="7A63FC11" w14:textId="526B1BBA" w:rsidR="001778AA" w:rsidRPr="00D55B59" w:rsidRDefault="001778AA" w:rsidP="00443AD3">
            <w:pPr>
              <w:numPr>
                <w:ilvl w:val="0"/>
                <w:numId w:val="30"/>
              </w:numPr>
              <w:tabs>
                <w:tab w:val="clear" w:pos="567"/>
              </w:tabs>
              <w:suppressAutoHyphens/>
              <w:spacing w:line="240" w:lineRule="auto"/>
              <w:ind w:left="307" w:hanging="180"/>
              <w:rPr>
                <w:rFonts w:eastAsia="Times New Roman"/>
                <w:iCs/>
                <w:szCs w:val="22"/>
                <w:rPrChange w:id="1310" w:author="Author">
                  <w:rPr>
                    <w:rFonts w:eastAsia="Times New Roman"/>
                    <w:iCs/>
                    <w:szCs w:val="22"/>
                    <w:lang w:val="en-US"/>
                  </w:rPr>
                </w:rPrChange>
              </w:rPr>
            </w:pPr>
            <w:r w:rsidRPr="00D55B59">
              <w:rPr>
                <w:rFonts w:eastAsia="Times New Roman"/>
                <w:szCs w:val="22"/>
                <w:rPrChange w:id="1311" w:author="Author">
                  <w:rPr>
                    <w:rFonts w:eastAsia="Times New Roman"/>
                    <w:szCs w:val="22"/>
                    <w:lang w:val="en-US"/>
                  </w:rPr>
                </w:rPrChange>
              </w:rPr>
              <w:t>80</w:t>
            </w:r>
            <w:r w:rsidR="00443AD3" w:rsidRPr="00D55B59">
              <w:rPr>
                <w:rFonts w:eastAsia="Times New Roman"/>
                <w:szCs w:val="22"/>
                <w:rPrChange w:id="1312" w:author="Author">
                  <w:rPr>
                    <w:rFonts w:eastAsia="Times New Roman"/>
                    <w:szCs w:val="22"/>
                    <w:lang w:val="en-US"/>
                  </w:rPr>
                </w:rPrChange>
              </w:rPr>
              <w:t> </w:t>
            </w:r>
            <w:r w:rsidRPr="00D55B59">
              <w:rPr>
                <w:rFonts w:eastAsia="Times New Roman"/>
                <w:szCs w:val="22"/>
                <w:rPrChange w:id="1313" w:author="Author">
                  <w:rPr>
                    <w:rFonts w:eastAsia="Times New Roman"/>
                    <w:szCs w:val="22"/>
                    <w:lang w:val="en-US"/>
                  </w:rPr>
                </w:rPrChange>
              </w:rPr>
              <w:t>mg</w:t>
            </w:r>
            <w:r w:rsidRPr="001775D9">
              <w:rPr>
                <w:rFonts w:eastAsia="Times New Roman"/>
                <w:szCs w:val="22"/>
              </w:rPr>
              <w:t xml:space="preserve"> </w:t>
            </w:r>
            <w:r w:rsidRPr="00D55B59">
              <w:rPr>
                <w:rFonts w:eastAsia="Times New Roman"/>
                <w:szCs w:val="22"/>
                <w:rPrChange w:id="1314" w:author="Author">
                  <w:rPr>
                    <w:rFonts w:eastAsia="Times New Roman"/>
                    <w:szCs w:val="22"/>
                    <w:lang w:val="en-US"/>
                  </w:rPr>
                </w:rPrChange>
              </w:rPr>
              <w:t>at week 0 and 40</w:t>
            </w:r>
            <w:r w:rsidR="00443AD3" w:rsidRPr="00D55B59">
              <w:rPr>
                <w:rFonts w:eastAsia="Times New Roman"/>
                <w:szCs w:val="22"/>
                <w:rPrChange w:id="1315" w:author="Author">
                  <w:rPr>
                    <w:rFonts w:eastAsia="Times New Roman"/>
                    <w:szCs w:val="22"/>
                    <w:lang w:val="en-US"/>
                  </w:rPr>
                </w:rPrChange>
              </w:rPr>
              <w:t> </w:t>
            </w:r>
            <w:r w:rsidRPr="00D55B59">
              <w:rPr>
                <w:rFonts w:eastAsia="Times New Roman"/>
                <w:szCs w:val="22"/>
                <w:rPrChange w:id="1316" w:author="Author">
                  <w:rPr>
                    <w:rFonts w:eastAsia="Times New Roman"/>
                    <w:szCs w:val="22"/>
                    <w:lang w:val="en-US"/>
                  </w:rPr>
                </w:rPrChange>
              </w:rPr>
              <w:t>mg at week 2</w:t>
            </w:r>
          </w:p>
        </w:tc>
        <w:tc>
          <w:tcPr>
            <w:tcW w:w="0" w:type="auto"/>
            <w:tcBorders>
              <w:top w:val="single" w:sz="6" w:space="0" w:color="000000"/>
              <w:left w:val="single" w:sz="6" w:space="0" w:color="000000"/>
              <w:bottom w:val="single" w:sz="6" w:space="0" w:color="000000"/>
              <w:right w:val="single" w:sz="6" w:space="0" w:color="000000"/>
            </w:tcBorders>
            <w:hideMark/>
          </w:tcPr>
          <w:p w14:paraId="68CA2377" w14:textId="72138AE1" w:rsidR="001778AA" w:rsidRPr="00D55B59" w:rsidRDefault="001778AA" w:rsidP="00D47253">
            <w:pPr>
              <w:tabs>
                <w:tab w:val="clear" w:pos="567"/>
              </w:tabs>
              <w:spacing w:line="240" w:lineRule="auto"/>
              <w:ind w:left="16"/>
              <w:jc w:val="center"/>
              <w:rPr>
                <w:rFonts w:eastAsia="Times New Roman"/>
                <w:szCs w:val="24"/>
                <w:rPrChange w:id="1317" w:author="Author">
                  <w:rPr>
                    <w:rFonts w:eastAsia="Times New Roman"/>
                    <w:szCs w:val="24"/>
                    <w:lang w:val="en-US"/>
                  </w:rPr>
                </w:rPrChange>
              </w:rPr>
            </w:pPr>
            <w:r w:rsidRPr="00D55B59">
              <w:rPr>
                <w:rFonts w:eastAsia="Times New Roman"/>
                <w:szCs w:val="24"/>
                <w:rPrChange w:id="1318" w:author="Author">
                  <w:rPr>
                    <w:rFonts w:eastAsia="Times New Roman"/>
                    <w:szCs w:val="24"/>
                    <w:lang w:val="en-US"/>
                  </w:rPr>
                </w:rPrChange>
              </w:rPr>
              <w:t>20</w:t>
            </w:r>
            <w:r w:rsidR="00443AD3" w:rsidRPr="00D55B59">
              <w:rPr>
                <w:rFonts w:eastAsia="Times New Roman"/>
                <w:szCs w:val="24"/>
                <w:rPrChange w:id="1319" w:author="Author">
                  <w:rPr>
                    <w:rFonts w:eastAsia="Times New Roman"/>
                    <w:szCs w:val="24"/>
                    <w:lang w:val="en-US"/>
                  </w:rPr>
                </w:rPrChange>
              </w:rPr>
              <w:t> </w:t>
            </w:r>
            <w:r w:rsidRPr="00D55B59">
              <w:rPr>
                <w:rFonts w:eastAsia="Times New Roman"/>
                <w:szCs w:val="24"/>
                <w:rPrChange w:id="1320" w:author="Author">
                  <w:rPr>
                    <w:rFonts w:eastAsia="Times New Roman"/>
                    <w:szCs w:val="24"/>
                    <w:lang w:val="en-US"/>
                  </w:rPr>
                </w:rPrChange>
              </w:rPr>
              <w:t>mg every other week</w:t>
            </w:r>
          </w:p>
        </w:tc>
      </w:tr>
      <w:tr w:rsidR="00E03C85" w:rsidRPr="00F04F82" w14:paraId="1ADCFD0C" w14:textId="77777777" w:rsidTr="00D47253">
        <w:tc>
          <w:tcPr>
            <w:tcW w:w="0" w:type="auto"/>
            <w:tcBorders>
              <w:top w:val="single" w:sz="6" w:space="0" w:color="000000"/>
              <w:left w:val="single" w:sz="6" w:space="0" w:color="000000"/>
              <w:bottom w:val="single" w:sz="6" w:space="0" w:color="000000"/>
              <w:right w:val="single" w:sz="6" w:space="0" w:color="000000"/>
            </w:tcBorders>
            <w:hideMark/>
          </w:tcPr>
          <w:p w14:paraId="269865BA" w14:textId="72C3D18C" w:rsidR="001778AA" w:rsidRPr="00D55B59" w:rsidRDefault="001778AA" w:rsidP="00D47253">
            <w:pPr>
              <w:suppressAutoHyphens/>
              <w:spacing w:line="240" w:lineRule="auto"/>
              <w:jc w:val="center"/>
              <w:rPr>
                <w:rFonts w:eastAsia="Times New Roman"/>
                <w:szCs w:val="24"/>
                <w:rPrChange w:id="1321" w:author="Author">
                  <w:rPr>
                    <w:rFonts w:eastAsia="Times New Roman"/>
                    <w:szCs w:val="24"/>
                    <w:lang w:val="en-US"/>
                  </w:rPr>
                </w:rPrChange>
              </w:rPr>
            </w:pPr>
            <w:r w:rsidRPr="00D55B59">
              <w:rPr>
                <w:rFonts w:eastAsia="Times New Roman"/>
                <w:szCs w:val="24"/>
                <w:rPrChange w:id="1322" w:author="Author">
                  <w:rPr>
                    <w:rFonts w:eastAsia="Times New Roman"/>
                    <w:szCs w:val="24"/>
                    <w:lang w:val="en-US"/>
                  </w:rPr>
                </w:rPrChange>
              </w:rPr>
              <w:t>≥ 40</w:t>
            </w:r>
            <w:r w:rsidR="00443AD3" w:rsidRPr="00D55B59">
              <w:rPr>
                <w:rFonts w:eastAsia="Times New Roman"/>
                <w:szCs w:val="24"/>
                <w:rPrChange w:id="1323" w:author="Author">
                  <w:rPr>
                    <w:rFonts w:eastAsia="Times New Roman"/>
                    <w:szCs w:val="24"/>
                    <w:lang w:val="en-US"/>
                  </w:rPr>
                </w:rPrChange>
              </w:rPr>
              <w:t> </w:t>
            </w:r>
            <w:r w:rsidRPr="00D55B59">
              <w:rPr>
                <w:rFonts w:eastAsia="Times New Roman"/>
                <w:szCs w:val="24"/>
                <w:rPrChange w:id="1324" w:author="Author">
                  <w:rPr>
                    <w:rFonts w:eastAsia="Times New Roman"/>
                    <w:szCs w:val="24"/>
                    <w:lang w:val="en-US"/>
                  </w:rPr>
                </w:rPrChange>
              </w:rPr>
              <w:t>kg</w:t>
            </w:r>
          </w:p>
        </w:tc>
        <w:tc>
          <w:tcPr>
            <w:tcW w:w="0" w:type="auto"/>
            <w:tcBorders>
              <w:top w:val="single" w:sz="6" w:space="0" w:color="000000"/>
              <w:left w:val="single" w:sz="6" w:space="0" w:color="000000"/>
              <w:bottom w:val="single" w:sz="6" w:space="0" w:color="000000"/>
              <w:right w:val="single" w:sz="6" w:space="0" w:color="000000"/>
            </w:tcBorders>
            <w:hideMark/>
          </w:tcPr>
          <w:p w14:paraId="3F834565" w14:textId="1A85244A" w:rsidR="001778AA" w:rsidRPr="00D55B59" w:rsidRDefault="001778AA" w:rsidP="00D47253">
            <w:pPr>
              <w:numPr>
                <w:ilvl w:val="0"/>
                <w:numId w:val="31"/>
              </w:numPr>
              <w:tabs>
                <w:tab w:val="clear" w:pos="567"/>
              </w:tabs>
              <w:suppressAutoHyphens/>
              <w:spacing w:line="240" w:lineRule="auto"/>
              <w:ind w:left="307" w:hanging="175"/>
              <w:rPr>
                <w:rFonts w:eastAsia="Times New Roman"/>
                <w:szCs w:val="22"/>
                <w:rPrChange w:id="1325" w:author="Author">
                  <w:rPr>
                    <w:rFonts w:eastAsia="Times New Roman"/>
                    <w:szCs w:val="22"/>
                    <w:lang w:val="en-US"/>
                  </w:rPr>
                </w:rPrChange>
              </w:rPr>
            </w:pPr>
            <w:r w:rsidRPr="00D55B59">
              <w:rPr>
                <w:rFonts w:eastAsia="Times New Roman"/>
                <w:szCs w:val="22"/>
                <w:rPrChange w:id="1326" w:author="Author">
                  <w:rPr>
                    <w:rFonts w:eastAsia="Times New Roman"/>
                    <w:szCs w:val="22"/>
                    <w:lang w:val="en-US"/>
                  </w:rPr>
                </w:rPrChange>
              </w:rPr>
              <w:t>80</w:t>
            </w:r>
            <w:r w:rsidR="00443AD3" w:rsidRPr="00D55B59">
              <w:rPr>
                <w:rFonts w:eastAsia="Times New Roman"/>
                <w:szCs w:val="22"/>
                <w:rPrChange w:id="1327" w:author="Author">
                  <w:rPr>
                    <w:rFonts w:eastAsia="Times New Roman"/>
                    <w:szCs w:val="22"/>
                    <w:lang w:val="en-US"/>
                  </w:rPr>
                </w:rPrChange>
              </w:rPr>
              <w:t> </w:t>
            </w:r>
            <w:r w:rsidRPr="00D55B59">
              <w:rPr>
                <w:rFonts w:eastAsia="Times New Roman"/>
                <w:szCs w:val="22"/>
                <w:rPrChange w:id="1328" w:author="Author">
                  <w:rPr>
                    <w:rFonts w:eastAsia="Times New Roman"/>
                    <w:szCs w:val="22"/>
                    <w:lang w:val="en-US"/>
                  </w:rPr>
                </w:rPrChange>
              </w:rPr>
              <w:t>mg at week 0 and 40</w:t>
            </w:r>
            <w:r w:rsidR="00443AD3" w:rsidRPr="00D55B59">
              <w:rPr>
                <w:rFonts w:eastAsia="Times New Roman"/>
                <w:szCs w:val="22"/>
                <w:rPrChange w:id="1329" w:author="Author">
                  <w:rPr>
                    <w:rFonts w:eastAsia="Times New Roman"/>
                    <w:szCs w:val="22"/>
                    <w:lang w:val="en-US"/>
                  </w:rPr>
                </w:rPrChange>
              </w:rPr>
              <w:t> </w:t>
            </w:r>
            <w:r w:rsidRPr="00D55B59">
              <w:rPr>
                <w:rFonts w:eastAsia="Times New Roman"/>
                <w:szCs w:val="22"/>
                <w:rPrChange w:id="1330" w:author="Author">
                  <w:rPr>
                    <w:rFonts w:eastAsia="Times New Roman"/>
                    <w:szCs w:val="22"/>
                    <w:lang w:val="en-US"/>
                  </w:rPr>
                </w:rPrChange>
              </w:rPr>
              <w:t>mg at week 2</w:t>
            </w:r>
          </w:p>
          <w:p w14:paraId="2A0A0FB4" w14:textId="77777777" w:rsidR="001778AA" w:rsidRPr="00D55B59" w:rsidRDefault="001778AA" w:rsidP="00D47253">
            <w:pPr>
              <w:tabs>
                <w:tab w:val="clear" w:pos="567"/>
              </w:tabs>
              <w:spacing w:line="240" w:lineRule="auto"/>
              <w:rPr>
                <w:rFonts w:eastAsia="Times New Roman"/>
                <w:szCs w:val="22"/>
                <w:rPrChange w:id="1331" w:author="Author">
                  <w:rPr>
                    <w:rFonts w:eastAsia="Times New Roman"/>
                    <w:szCs w:val="22"/>
                    <w:lang w:val="en-US"/>
                  </w:rPr>
                </w:rPrChange>
              </w:rPr>
            </w:pPr>
          </w:p>
          <w:p w14:paraId="5F094853" w14:textId="77777777" w:rsidR="001778AA" w:rsidRPr="00D55B59" w:rsidRDefault="001778AA" w:rsidP="00D47253">
            <w:pPr>
              <w:tabs>
                <w:tab w:val="clear" w:pos="567"/>
              </w:tabs>
              <w:spacing w:line="240" w:lineRule="auto"/>
              <w:ind w:left="150"/>
              <w:rPr>
                <w:rFonts w:eastAsia="Times New Roman"/>
                <w:iCs/>
                <w:szCs w:val="22"/>
                <w:rPrChange w:id="1332" w:author="Author">
                  <w:rPr>
                    <w:rFonts w:eastAsia="Times New Roman"/>
                    <w:iCs/>
                    <w:szCs w:val="22"/>
                    <w:lang w:val="en-US"/>
                  </w:rPr>
                </w:rPrChange>
              </w:rPr>
            </w:pPr>
            <w:r w:rsidRPr="00D55B59">
              <w:rPr>
                <w:rFonts w:eastAsia="Times New Roman"/>
                <w:szCs w:val="22"/>
                <w:rPrChange w:id="1333" w:author="Author">
                  <w:rPr>
                    <w:rFonts w:eastAsia="Times New Roman"/>
                    <w:szCs w:val="22"/>
                    <w:lang w:val="en-US"/>
                  </w:rPr>
                </w:rPrChange>
              </w:rPr>
              <w:t>I</w:t>
            </w:r>
            <w:r w:rsidRPr="001775D9">
              <w:rPr>
                <w:rFonts w:eastAsia="Times New Roman"/>
                <w:szCs w:val="22"/>
              </w:rPr>
              <w:t xml:space="preserve">n case there is a need for a more rapid response to therapy </w:t>
            </w:r>
            <w:r w:rsidRPr="00D55B59">
              <w:rPr>
                <w:rFonts w:eastAsia="Times New Roman"/>
                <w:iCs/>
                <w:szCs w:val="22"/>
                <w:rPrChange w:id="1334" w:author="Author">
                  <w:rPr>
                    <w:rFonts w:eastAsia="Times New Roman"/>
                    <w:iCs/>
                    <w:szCs w:val="22"/>
                    <w:lang w:val="en-US"/>
                  </w:rPr>
                </w:rPrChange>
              </w:rPr>
              <w:t>with the awareness that the risk for adverse events may be higher with use of the higher induction dose, the following dose may be used:</w:t>
            </w:r>
          </w:p>
          <w:p w14:paraId="0228937D" w14:textId="78BDB437" w:rsidR="001778AA" w:rsidRPr="00D55B59" w:rsidRDefault="001778AA" w:rsidP="00D47253">
            <w:pPr>
              <w:numPr>
                <w:ilvl w:val="0"/>
                <w:numId w:val="29"/>
              </w:numPr>
              <w:tabs>
                <w:tab w:val="clear" w:pos="567"/>
              </w:tabs>
              <w:suppressAutoHyphens/>
              <w:spacing w:line="240" w:lineRule="auto"/>
              <w:ind w:left="314" w:hanging="187"/>
              <w:rPr>
                <w:rFonts w:eastAsia="Times New Roman"/>
                <w:szCs w:val="22"/>
                <w:rPrChange w:id="1335" w:author="Author">
                  <w:rPr>
                    <w:rFonts w:eastAsia="Times New Roman"/>
                    <w:szCs w:val="22"/>
                    <w:lang w:val="en-US"/>
                  </w:rPr>
                </w:rPrChange>
              </w:rPr>
            </w:pPr>
            <w:r w:rsidRPr="00D55B59">
              <w:rPr>
                <w:rFonts w:eastAsia="Times New Roman"/>
                <w:szCs w:val="22"/>
                <w:rPrChange w:id="1336" w:author="Author">
                  <w:rPr>
                    <w:rFonts w:eastAsia="Times New Roman"/>
                    <w:szCs w:val="22"/>
                    <w:lang w:val="en-US"/>
                  </w:rPr>
                </w:rPrChange>
              </w:rPr>
              <w:t>160</w:t>
            </w:r>
            <w:r w:rsidR="00443AD3" w:rsidRPr="00D55B59">
              <w:rPr>
                <w:rFonts w:eastAsia="Times New Roman"/>
                <w:szCs w:val="22"/>
                <w:rPrChange w:id="1337" w:author="Author">
                  <w:rPr>
                    <w:rFonts w:eastAsia="Times New Roman"/>
                    <w:szCs w:val="22"/>
                    <w:lang w:val="en-US"/>
                  </w:rPr>
                </w:rPrChange>
              </w:rPr>
              <w:t> </w:t>
            </w:r>
            <w:r w:rsidRPr="00D55B59">
              <w:rPr>
                <w:rFonts w:eastAsia="Times New Roman"/>
                <w:szCs w:val="22"/>
                <w:rPrChange w:id="1338" w:author="Author">
                  <w:rPr>
                    <w:rFonts w:eastAsia="Times New Roman"/>
                    <w:szCs w:val="22"/>
                    <w:lang w:val="en-US"/>
                  </w:rPr>
                </w:rPrChange>
              </w:rPr>
              <w:t>mg at week 0 and 80</w:t>
            </w:r>
            <w:r w:rsidR="00443AD3" w:rsidRPr="00D55B59">
              <w:rPr>
                <w:rFonts w:eastAsia="Times New Roman"/>
                <w:szCs w:val="22"/>
                <w:rPrChange w:id="1339" w:author="Author">
                  <w:rPr>
                    <w:rFonts w:eastAsia="Times New Roman"/>
                    <w:szCs w:val="22"/>
                    <w:lang w:val="en-US"/>
                  </w:rPr>
                </w:rPrChange>
              </w:rPr>
              <w:t> </w:t>
            </w:r>
            <w:r w:rsidRPr="00D55B59">
              <w:rPr>
                <w:rFonts w:eastAsia="Times New Roman"/>
                <w:szCs w:val="22"/>
                <w:rPrChange w:id="1340" w:author="Author">
                  <w:rPr>
                    <w:rFonts w:eastAsia="Times New Roman"/>
                    <w:szCs w:val="22"/>
                    <w:lang w:val="en-US"/>
                  </w:rPr>
                </w:rPrChange>
              </w:rPr>
              <w:t>mg at week 2</w:t>
            </w:r>
          </w:p>
        </w:tc>
        <w:tc>
          <w:tcPr>
            <w:tcW w:w="0" w:type="auto"/>
            <w:tcBorders>
              <w:top w:val="single" w:sz="6" w:space="0" w:color="000000"/>
              <w:left w:val="single" w:sz="6" w:space="0" w:color="000000"/>
              <w:bottom w:val="single" w:sz="6" w:space="0" w:color="000000"/>
              <w:right w:val="single" w:sz="6" w:space="0" w:color="000000"/>
            </w:tcBorders>
            <w:hideMark/>
          </w:tcPr>
          <w:p w14:paraId="69AED522" w14:textId="20B7972C" w:rsidR="001778AA" w:rsidRPr="00D55B59" w:rsidRDefault="001778AA" w:rsidP="00D47253">
            <w:pPr>
              <w:tabs>
                <w:tab w:val="clear" w:pos="567"/>
              </w:tabs>
              <w:spacing w:line="240" w:lineRule="auto"/>
              <w:ind w:left="16"/>
              <w:jc w:val="center"/>
              <w:rPr>
                <w:rFonts w:eastAsia="Times New Roman"/>
                <w:szCs w:val="24"/>
                <w:rPrChange w:id="1341" w:author="Author">
                  <w:rPr>
                    <w:rFonts w:eastAsia="Times New Roman"/>
                    <w:szCs w:val="24"/>
                    <w:lang w:val="en-US"/>
                  </w:rPr>
                </w:rPrChange>
              </w:rPr>
            </w:pPr>
            <w:r w:rsidRPr="00D55B59">
              <w:rPr>
                <w:rFonts w:eastAsia="Times New Roman"/>
                <w:szCs w:val="24"/>
                <w:rPrChange w:id="1342" w:author="Author">
                  <w:rPr>
                    <w:rFonts w:eastAsia="Times New Roman"/>
                    <w:szCs w:val="24"/>
                    <w:lang w:val="en-US"/>
                  </w:rPr>
                </w:rPrChange>
              </w:rPr>
              <w:t>40</w:t>
            </w:r>
            <w:r w:rsidR="00443AD3" w:rsidRPr="00D55B59">
              <w:rPr>
                <w:rFonts w:eastAsia="Times New Roman"/>
                <w:szCs w:val="24"/>
                <w:rPrChange w:id="1343" w:author="Author">
                  <w:rPr>
                    <w:rFonts w:eastAsia="Times New Roman"/>
                    <w:szCs w:val="24"/>
                    <w:lang w:val="en-US"/>
                  </w:rPr>
                </w:rPrChange>
              </w:rPr>
              <w:t> </w:t>
            </w:r>
            <w:r w:rsidRPr="00D55B59">
              <w:rPr>
                <w:rFonts w:eastAsia="Times New Roman"/>
                <w:szCs w:val="24"/>
                <w:rPrChange w:id="1344" w:author="Author">
                  <w:rPr>
                    <w:rFonts w:eastAsia="Times New Roman"/>
                    <w:szCs w:val="24"/>
                    <w:lang w:val="en-US"/>
                  </w:rPr>
                </w:rPrChange>
              </w:rPr>
              <w:t>mg every other week</w:t>
            </w:r>
          </w:p>
        </w:tc>
      </w:tr>
    </w:tbl>
    <w:p w14:paraId="18A00734" w14:textId="77777777" w:rsidR="001778AA" w:rsidRPr="001775D9" w:rsidRDefault="001778AA" w:rsidP="001778AA">
      <w:pPr>
        <w:keepNext/>
        <w:suppressAutoHyphens/>
        <w:spacing w:line="240" w:lineRule="auto"/>
        <w:rPr>
          <w:rFonts w:eastAsia="Times New Roman"/>
          <w:szCs w:val="24"/>
        </w:rPr>
      </w:pPr>
    </w:p>
    <w:p w14:paraId="4E411774" w14:textId="77777777" w:rsidR="001778AA" w:rsidRPr="001775D9" w:rsidRDefault="001778AA" w:rsidP="001778AA">
      <w:pPr>
        <w:keepNext/>
        <w:suppressAutoHyphens/>
        <w:spacing w:line="240" w:lineRule="auto"/>
        <w:rPr>
          <w:rFonts w:eastAsia="Times New Roman"/>
          <w:szCs w:val="24"/>
        </w:rPr>
      </w:pPr>
      <w:r w:rsidRPr="001775D9">
        <w:rPr>
          <w:rFonts w:eastAsia="Times New Roman"/>
          <w:szCs w:val="24"/>
        </w:rPr>
        <w:t>Patients who experience insufficient response may benefit from an increase in dose:</w:t>
      </w:r>
    </w:p>
    <w:p w14:paraId="322D9482" w14:textId="77777777" w:rsidR="001778AA" w:rsidRPr="001775D9" w:rsidRDefault="001778AA" w:rsidP="001778AA">
      <w:pPr>
        <w:keepNext/>
        <w:numPr>
          <w:ilvl w:val="0"/>
          <w:numId w:val="29"/>
        </w:numPr>
        <w:tabs>
          <w:tab w:val="clear" w:pos="567"/>
          <w:tab w:val="left" w:pos="540"/>
        </w:tabs>
        <w:suppressAutoHyphens/>
        <w:spacing w:line="240" w:lineRule="auto"/>
        <w:ind w:left="540" w:hanging="540"/>
        <w:rPr>
          <w:rFonts w:eastAsia="Times New Roman"/>
          <w:szCs w:val="24"/>
        </w:rPr>
      </w:pPr>
      <w:r w:rsidRPr="001775D9">
        <w:rPr>
          <w:rFonts w:eastAsia="Times New Roman"/>
          <w:szCs w:val="24"/>
        </w:rPr>
        <w:t>&lt; 40 kg: 20 mg every week</w:t>
      </w:r>
    </w:p>
    <w:p w14:paraId="19A71120" w14:textId="77777777" w:rsidR="001778AA" w:rsidRPr="001775D9" w:rsidRDefault="001778AA" w:rsidP="001778AA">
      <w:pPr>
        <w:keepNext/>
        <w:numPr>
          <w:ilvl w:val="0"/>
          <w:numId w:val="29"/>
        </w:numPr>
        <w:tabs>
          <w:tab w:val="clear" w:pos="567"/>
          <w:tab w:val="left" w:pos="540"/>
        </w:tabs>
        <w:suppressAutoHyphens/>
        <w:spacing w:line="240" w:lineRule="auto"/>
        <w:ind w:left="540" w:hanging="540"/>
        <w:rPr>
          <w:rFonts w:eastAsia="Times New Roman"/>
          <w:szCs w:val="24"/>
        </w:rPr>
      </w:pPr>
      <w:r w:rsidRPr="001775D9">
        <w:rPr>
          <w:rFonts w:eastAsia="Times New Roman"/>
          <w:szCs w:val="24"/>
        </w:rPr>
        <w:t xml:space="preserve">≥ 40 kg: 40 mg every week </w:t>
      </w:r>
      <w:r w:rsidRPr="001775D9">
        <w:t>or 80 mg every other week</w:t>
      </w:r>
    </w:p>
    <w:p w14:paraId="3948C08F"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70FEFD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Continued therapy should be carefully considered in a subject not responding by week 12. </w:t>
      </w:r>
    </w:p>
    <w:p w14:paraId="796FCB7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0DC6F76"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There is no relevant use of </w:t>
      </w:r>
      <w:r w:rsidRPr="001775D9">
        <w:rPr>
          <w:color w:val="000000"/>
          <w:szCs w:val="22"/>
          <w:lang w:eastAsia="en-GB"/>
        </w:rPr>
        <w:t xml:space="preserve">adalimumab </w:t>
      </w:r>
      <w:r w:rsidRPr="001775D9">
        <w:rPr>
          <w:szCs w:val="22"/>
          <w:lang w:eastAsia="en-GB"/>
        </w:rPr>
        <w:t>in children aged less than 6</w:t>
      </w:r>
      <w:r w:rsidRPr="001775D9">
        <w:rPr>
          <w:szCs w:val="22"/>
        </w:rPr>
        <w:t> </w:t>
      </w:r>
      <w:r w:rsidRPr="001775D9">
        <w:rPr>
          <w:szCs w:val="22"/>
          <w:lang w:eastAsia="en-GB"/>
        </w:rPr>
        <w:t xml:space="preserve">years for this indication. </w:t>
      </w:r>
    </w:p>
    <w:p w14:paraId="33ACF1BC"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197A316" w14:textId="68B607E8" w:rsidR="00F965B6" w:rsidRPr="001775D9" w:rsidRDefault="00264FB3"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7A1ECDA7" w14:textId="77777777" w:rsidR="00F965B6" w:rsidRPr="001775D9" w:rsidRDefault="00F965B6" w:rsidP="001778AA">
      <w:pPr>
        <w:tabs>
          <w:tab w:val="clear" w:pos="567"/>
          <w:tab w:val="left" w:pos="720"/>
        </w:tabs>
        <w:autoSpaceDE w:val="0"/>
        <w:autoSpaceDN w:val="0"/>
        <w:adjustRightInd w:val="0"/>
        <w:spacing w:line="240" w:lineRule="auto"/>
        <w:rPr>
          <w:iCs/>
          <w:szCs w:val="22"/>
          <w:lang w:eastAsia="en-GB"/>
        </w:rPr>
      </w:pPr>
    </w:p>
    <w:p w14:paraId="0CC29A68" w14:textId="1E533B83" w:rsidR="001778AA" w:rsidRPr="001775D9" w:rsidRDefault="001778AA" w:rsidP="001778AA">
      <w:pPr>
        <w:tabs>
          <w:tab w:val="clear" w:pos="567"/>
          <w:tab w:val="left" w:pos="720"/>
        </w:tabs>
        <w:autoSpaceDE w:val="0"/>
        <w:autoSpaceDN w:val="0"/>
        <w:adjustRightInd w:val="0"/>
        <w:spacing w:line="240" w:lineRule="auto"/>
        <w:rPr>
          <w:i/>
          <w:szCs w:val="22"/>
          <w:lang w:eastAsia="en-GB"/>
        </w:rPr>
      </w:pPr>
      <w:r w:rsidRPr="001775D9">
        <w:rPr>
          <w:i/>
          <w:szCs w:val="22"/>
          <w:lang w:eastAsia="en-GB"/>
        </w:rPr>
        <w:t>Paediatric ulcerative colitis</w:t>
      </w:r>
    </w:p>
    <w:p w14:paraId="20AA4AD8" w14:textId="77777777" w:rsidR="001778AA" w:rsidRPr="001775D9" w:rsidRDefault="001778AA" w:rsidP="001778AA">
      <w:pPr>
        <w:tabs>
          <w:tab w:val="clear" w:pos="567"/>
          <w:tab w:val="left" w:pos="720"/>
        </w:tabs>
        <w:autoSpaceDE w:val="0"/>
        <w:autoSpaceDN w:val="0"/>
        <w:adjustRightInd w:val="0"/>
        <w:spacing w:line="240" w:lineRule="auto"/>
        <w:rPr>
          <w:i/>
          <w:szCs w:val="22"/>
          <w:lang w:eastAsia="en-GB"/>
        </w:rPr>
      </w:pPr>
    </w:p>
    <w:p w14:paraId="400609C0" w14:textId="77777777" w:rsidR="001778AA" w:rsidRPr="001775D9" w:rsidRDefault="001778AA" w:rsidP="001778AA">
      <w:pPr>
        <w:tabs>
          <w:tab w:val="clear" w:pos="567"/>
          <w:tab w:val="left" w:pos="720"/>
        </w:tabs>
        <w:autoSpaceDE w:val="0"/>
        <w:autoSpaceDN w:val="0"/>
        <w:adjustRightInd w:val="0"/>
        <w:spacing w:line="240" w:lineRule="auto"/>
        <w:rPr>
          <w:iCs/>
          <w:szCs w:val="22"/>
          <w:lang w:eastAsia="en-GB"/>
        </w:rPr>
      </w:pPr>
      <w:r w:rsidRPr="001775D9">
        <w:rPr>
          <w:iCs/>
          <w:szCs w:val="22"/>
          <w:lang w:eastAsia="en-GB"/>
        </w:rPr>
        <w:t>The recommended dose of AMGEVITA for patients from 6 to 17 years of age with ulcerative colitis is based on body weight (table 5). AMGEVITA is administered via subcutaneous injection.</w:t>
      </w:r>
    </w:p>
    <w:p w14:paraId="42B0D6F4" w14:textId="77777777" w:rsidR="001778AA" w:rsidRPr="001775D9" w:rsidRDefault="001778AA" w:rsidP="001778AA">
      <w:pPr>
        <w:tabs>
          <w:tab w:val="clear" w:pos="567"/>
          <w:tab w:val="left" w:pos="720"/>
        </w:tabs>
        <w:autoSpaceDE w:val="0"/>
        <w:autoSpaceDN w:val="0"/>
        <w:adjustRightInd w:val="0"/>
        <w:spacing w:line="240" w:lineRule="auto"/>
        <w:rPr>
          <w:iCs/>
          <w:szCs w:val="22"/>
          <w:lang w:eastAsia="en-GB"/>
        </w:rPr>
      </w:pPr>
    </w:p>
    <w:p w14:paraId="15331E11" w14:textId="341C74EF" w:rsidR="001778AA" w:rsidRPr="00D55B59" w:rsidRDefault="001778AA" w:rsidP="001778AA">
      <w:pPr>
        <w:keepNext/>
        <w:suppressAutoHyphens/>
        <w:spacing w:line="240" w:lineRule="auto"/>
        <w:rPr>
          <w:rFonts w:eastAsia="Times New Roman"/>
          <w:b/>
          <w:szCs w:val="22"/>
          <w:rPrChange w:id="1345" w:author="Author">
            <w:rPr>
              <w:rFonts w:eastAsia="Times New Roman"/>
              <w:b/>
              <w:szCs w:val="22"/>
              <w:lang w:val="en-US"/>
            </w:rPr>
          </w:rPrChange>
        </w:rPr>
      </w:pPr>
      <w:r w:rsidRPr="00D55B59">
        <w:rPr>
          <w:rFonts w:eastAsia="Times New Roman"/>
          <w:b/>
          <w:szCs w:val="22"/>
          <w:rPrChange w:id="1346" w:author="Author">
            <w:rPr>
              <w:rFonts w:eastAsia="Times New Roman"/>
              <w:b/>
              <w:szCs w:val="22"/>
              <w:lang w:val="en-US"/>
            </w:rPr>
          </w:rPrChange>
        </w:rPr>
        <w:t xml:space="preserve">Table 5. AMGEVITA dose for paediatric patients with </w:t>
      </w:r>
      <w:r w:rsidR="00032E45" w:rsidRPr="00D55B59">
        <w:rPr>
          <w:rFonts w:eastAsia="Times New Roman"/>
          <w:b/>
          <w:szCs w:val="22"/>
          <w:rPrChange w:id="1347" w:author="Author">
            <w:rPr>
              <w:rFonts w:eastAsia="Times New Roman"/>
              <w:b/>
              <w:szCs w:val="22"/>
              <w:lang w:val="en-US"/>
            </w:rPr>
          </w:rPrChange>
        </w:rPr>
        <w:t>u</w:t>
      </w:r>
      <w:r w:rsidRPr="00D55B59">
        <w:rPr>
          <w:rFonts w:eastAsia="Times New Roman"/>
          <w:b/>
          <w:szCs w:val="22"/>
          <w:rPrChange w:id="1348" w:author="Author">
            <w:rPr>
              <w:rFonts w:eastAsia="Times New Roman"/>
              <w:b/>
              <w:szCs w:val="22"/>
              <w:lang w:val="en-US"/>
            </w:rPr>
          </w:rPrChange>
        </w:rPr>
        <w:t xml:space="preserve">lcerative </w:t>
      </w:r>
      <w:r w:rsidR="00032E45" w:rsidRPr="00D55B59">
        <w:rPr>
          <w:rFonts w:eastAsia="Times New Roman"/>
          <w:b/>
          <w:szCs w:val="22"/>
          <w:rPrChange w:id="1349" w:author="Author">
            <w:rPr>
              <w:rFonts w:eastAsia="Times New Roman"/>
              <w:b/>
              <w:szCs w:val="22"/>
              <w:lang w:val="en-US"/>
            </w:rPr>
          </w:rPrChange>
        </w:rPr>
        <w:t>c</w:t>
      </w:r>
      <w:r w:rsidRPr="00D55B59">
        <w:rPr>
          <w:rFonts w:eastAsia="Times New Roman"/>
          <w:b/>
          <w:szCs w:val="22"/>
          <w:rPrChange w:id="1350" w:author="Author">
            <w:rPr>
              <w:rFonts w:eastAsia="Times New Roman"/>
              <w:b/>
              <w:szCs w:val="22"/>
              <w:lang w:val="en-US"/>
            </w:rPr>
          </w:rPrChange>
        </w:rPr>
        <w:t>olitis</w:t>
      </w:r>
    </w:p>
    <w:p w14:paraId="65153A54" w14:textId="77777777" w:rsidR="001778AA" w:rsidRPr="001775D9" w:rsidRDefault="001778AA" w:rsidP="001778AA">
      <w:pPr>
        <w:tabs>
          <w:tab w:val="clear" w:pos="567"/>
          <w:tab w:val="left" w:pos="720"/>
        </w:tabs>
        <w:autoSpaceDE w:val="0"/>
        <w:autoSpaceDN w:val="0"/>
        <w:adjustRightInd w:val="0"/>
        <w:spacing w:line="240" w:lineRule="auto"/>
        <w:rPr>
          <w:iCs/>
          <w:szCs w:val="22"/>
          <w:lang w:eastAsia="en-GB"/>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90"/>
        <w:gridCol w:w="6553"/>
        <w:gridCol w:w="1558"/>
      </w:tblGrid>
      <w:tr w:rsidR="00E03C85" w:rsidRPr="00F04F82" w14:paraId="57C1596B" w14:textId="77777777" w:rsidTr="00D47253">
        <w:trPr>
          <w:tblHeader/>
        </w:trPr>
        <w:tc>
          <w:tcPr>
            <w:tcW w:w="544" w:type="pct"/>
            <w:tcBorders>
              <w:top w:val="single" w:sz="6" w:space="0" w:color="000000"/>
              <w:left w:val="single" w:sz="6" w:space="0" w:color="000000"/>
              <w:bottom w:val="single" w:sz="6" w:space="0" w:color="000000"/>
              <w:right w:val="single" w:sz="6" w:space="0" w:color="000000"/>
            </w:tcBorders>
            <w:hideMark/>
          </w:tcPr>
          <w:p w14:paraId="7A6BA5A5" w14:textId="77777777" w:rsidR="001778AA" w:rsidRPr="00D55B59" w:rsidRDefault="001778AA" w:rsidP="00D47253">
            <w:pPr>
              <w:suppressAutoHyphens/>
              <w:spacing w:line="240" w:lineRule="auto"/>
              <w:rPr>
                <w:rFonts w:eastAsia="Times New Roman"/>
                <w:szCs w:val="24"/>
                <w:rPrChange w:id="1351" w:author="Author">
                  <w:rPr>
                    <w:rFonts w:eastAsia="Times New Roman"/>
                    <w:szCs w:val="24"/>
                    <w:lang w:val="en-US"/>
                  </w:rPr>
                </w:rPrChange>
              </w:rPr>
            </w:pPr>
            <w:r w:rsidRPr="00D55B59">
              <w:rPr>
                <w:rFonts w:eastAsia="Times New Roman"/>
                <w:b/>
                <w:szCs w:val="24"/>
                <w:rPrChange w:id="1352" w:author="Author">
                  <w:rPr>
                    <w:rFonts w:eastAsia="Times New Roman"/>
                    <w:b/>
                    <w:szCs w:val="24"/>
                    <w:lang w:val="en-US"/>
                  </w:rPr>
                </w:rPrChange>
              </w:rPr>
              <w:t>Patient weight</w:t>
            </w:r>
          </w:p>
        </w:tc>
        <w:tc>
          <w:tcPr>
            <w:tcW w:w="3600" w:type="pct"/>
            <w:tcBorders>
              <w:top w:val="single" w:sz="6" w:space="0" w:color="000000"/>
              <w:left w:val="single" w:sz="6" w:space="0" w:color="000000"/>
              <w:bottom w:val="single" w:sz="6" w:space="0" w:color="000000"/>
              <w:right w:val="single" w:sz="6" w:space="0" w:color="000000"/>
            </w:tcBorders>
            <w:hideMark/>
          </w:tcPr>
          <w:p w14:paraId="0EBE91D2" w14:textId="77777777" w:rsidR="001778AA" w:rsidRPr="00D55B59" w:rsidRDefault="001778AA" w:rsidP="00D47253">
            <w:pPr>
              <w:suppressAutoHyphens/>
              <w:spacing w:line="240" w:lineRule="auto"/>
              <w:rPr>
                <w:rFonts w:eastAsia="Times New Roman"/>
                <w:szCs w:val="24"/>
                <w:rPrChange w:id="1353" w:author="Author">
                  <w:rPr>
                    <w:rFonts w:eastAsia="Times New Roman"/>
                    <w:szCs w:val="24"/>
                    <w:lang w:val="en-US"/>
                  </w:rPr>
                </w:rPrChange>
              </w:rPr>
            </w:pPr>
            <w:r w:rsidRPr="00D55B59">
              <w:rPr>
                <w:rFonts w:eastAsia="Times New Roman"/>
                <w:b/>
                <w:szCs w:val="24"/>
                <w:rPrChange w:id="1354" w:author="Author">
                  <w:rPr>
                    <w:rFonts w:eastAsia="Times New Roman"/>
                    <w:b/>
                    <w:szCs w:val="24"/>
                    <w:lang w:val="en-US"/>
                  </w:rPr>
                </w:rPrChange>
              </w:rPr>
              <w:t>Induction dose</w:t>
            </w:r>
          </w:p>
        </w:tc>
        <w:tc>
          <w:tcPr>
            <w:tcW w:w="856" w:type="pct"/>
            <w:tcBorders>
              <w:top w:val="single" w:sz="6" w:space="0" w:color="000000"/>
              <w:left w:val="single" w:sz="6" w:space="0" w:color="000000"/>
              <w:bottom w:val="single" w:sz="6" w:space="0" w:color="000000"/>
              <w:right w:val="single" w:sz="6" w:space="0" w:color="000000"/>
            </w:tcBorders>
            <w:hideMark/>
          </w:tcPr>
          <w:p w14:paraId="3FECE7E7" w14:textId="77777777" w:rsidR="001778AA" w:rsidRPr="00D55B59" w:rsidRDefault="001778AA" w:rsidP="00D47253">
            <w:pPr>
              <w:suppressAutoHyphens/>
              <w:spacing w:line="240" w:lineRule="auto"/>
              <w:rPr>
                <w:rFonts w:eastAsia="Times New Roman"/>
                <w:szCs w:val="24"/>
                <w:rPrChange w:id="1355" w:author="Author">
                  <w:rPr>
                    <w:rFonts w:eastAsia="Times New Roman"/>
                    <w:szCs w:val="24"/>
                    <w:lang w:val="en-US"/>
                  </w:rPr>
                </w:rPrChange>
              </w:rPr>
            </w:pPr>
            <w:r w:rsidRPr="00D55B59">
              <w:rPr>
                <w:rFonts w:eastAsia="Times New Roman"/>
                <w:b/>
                <w:szCs w:val="24"/>
                <w:rPrChange w:id="1356" w:author="Author">
                  <w:rPr>
                    <w:rFonts w:eastAsia="Times New Roman"/>
                    <w:b/>
                    <w:szCs w:val="24"/>
                    <w:lang w:val="en-US"/>
                  </w:rPr>
                </w:rPrChange>
              </w:rPr>
              <w:t>Maintenance dose starting at week 4*</w:t>
            </w:r>
          </w:p>
        </w:tc>
      </w:tr>
      <w:tr w:rsidR="00E03C85" w:rsidRPr="00F04F82" w14:paraId="0AC05111" w14:textId="77777777" w:rsidTr="00D47253">
        <w:tc>
          <w:tcPr>
            <w:tcW w:w="544" w:type="pct"/>
            <w:tcBorders>
              <w:top w:val="single" w:sz="6" w:space="0" w:color="000000"/>
              <w:left w:val="single" w:sz="6" w:space="0" w:color="000000"/>
              <w:bottom w:val="single" w:sz="6" w:space="0" w:color="000000"/>
              <w:right w:val="single" w:sz="6" w:space="0" w:color="000000"/>
            </w:tcBorders>
            <w:hideMark/>
          </w:tcPr>
          <w:p w14:paraId="749F00AD" w14:textId="42BEC3E0" w:rsidR="001778AA" w:rsidRPr="00D55B59" w:rsidRDefault="001778AA" w:rsidP="00D47253">
            <w:pPr>
              <w:suppressAutoHyphens/>
              <w:spacing w:line="240" w:lineRule="auto"/>
              <w:jc w:val="center"/>
              <w:rPr>
                <w:rFonts w:eastAsia="Times New Roman"/>
                <w:szCs w:val="24"/>
                <w:rPrChange w:id="1357" w:author="Author">
                  <w:rPr>
                    <w:rFonts w:eastAsia="Times New Roman"/>
                    <w:szCs w:val="24"/>
                    <w:lang w:val="en-US"/>
                  </w:rPr>
                </w:rPrChange>
              </w:rPr>
            </w:pPr>
            <w:r w:rsidRPr="00D55B59">
              <w:rPr>
                <w:rFonts w:eastAsia="Times New Roman"/>
                <w:szCs w:val="24"/>
                <w:rPrChange w:id="1358" w:author="Author">
                  <w:rPr>
                    <w:rFonts w:eastAsia="Times New Roman"/>
                    <w:szCs w:val="24"/>
                    <w:lang w:val="en-US"/>
                  </w:rPr>
                </w:rPrChange>
              </w:rPr>
              <w:t>&lt; 40</w:t>
            </w:r>
            <w:r w:rsidR="00905105" w:rsidRPr="00D55B59">
              <w:rPr>
                <w:rFonts w:eastAsia="Times New Roman"/>
                <w:szCs w:val="24"/>
                <w:rPrChange w:id="1359" w:author="Author">
                  <w:rPr>
                    <w:rFonts w:eastAsia="Times New Roman"/>
                    <w:szCs w:val="24"/>
                    <w:lang w:val="en-US"/>
                  </w:rPr>
                </w:rPrChange>
              </w:rPr>
              <w:t> </w:t>
            </w:r>
            <w:r w:rsidRPr="00D55B59">
              <w:rPr>
                <w:rFonts w:eastAsia="Times New Roman"/>
                <w:szCs w:val="24"/>
                <w:rPrChange w:id="1360" w:author="Author">
                  <w:rPr>
                    <w:rFonts w:eastAsia="Times New Roman"/>
                    <w:szCs w:val="24"/>
                    <w:lang w:val="en-US"/>
                  </w:rPr>
                </w:rPrChange>
              </w:rPr>
              <w:t>kg</w:t>
            </w:r>
          </w:p>
        </w:tc>
        <w:tc>
          <w:tcPr>
            <w:tcW w:w="3600" w:type="pct"/>
            <w:tcBorders>
              <w:top w:val="single" w:sz="6" w:space="0" w:color="000000"/>
              <w:left w:val="single" w:sz="6" w:space="0" w:color="000000"/>
              <w:bottom w:val="single" w:sz="6" w:space="0" w:color="000000"/>
              <w:right w:val="single" w:sz="6" w:space="0" w:color="000000"/>
            </w:tcBorders>
          </w:tcPr>
          <w:p w14:paraId="12E9E077" w14:textId="1772C219" w:rsidR="001778AA" w:rsidRPr="00D55B59" w:rsidRDefault="001778AA" w:rsidP="00D47253">
            <w:pPr>
              <w:numPr>
                <w:ilvl w:val="0"/>
                <w:numId w:val="30"/>
              </w:numPr>
              <w:tabs>
                <w:tab w:val="clear" w:pos="567"/>
              </w:tabs>
              <w:suppressAutoHyphens/>
              <w:spacing w:line="240" w:lineRule="auto"/>
              <w:ind w:left="370" w:hanging="283"/>
              <w:rPr>
                <w:rFonts w:eastAsia="Times New Roman"/>
                <w:iCs/>
                <w:szCs w:val="22"/>
                <w:rPrChange w:id="1361" w:author="Author">
                  <w:rPr>
                    <w:rFonts w:eastAsia="Times New Roman"/>
                    <w:iCs/>
                    <w:szCs w:val="22"/>
                    <w:lang w:val="en-US"/>
                  </w:rPr>
                </w:rPrChange>
              </w:rPr>
            </w:pPr>
            <w:r w:rsidRPr="00D55B59">
              <w:rPr>
                <w:rFonts w:eastAsia="Times New Roman"/>
                <w:iCs/>
                <w:szCs w:val="22"/>
                <w:rPrChange w:id="1362" w:author="Author">
                  <w:rPr>
                    <w:rFonts w:eastAsia="Times New Roman"/>
                    <w:iCs/>
                    <w:szCs w:val="22"/>
                    <w:lang w:val="en-US"/>
                  </w:rPr>
                </w:rPrChange>
              </w:rPr>
              <w:t>80</w:t>
            </w:r>
            <w:r w:rsidR="00905105" w:rsidRPr="00D55B59">
              <w:rPr>
                <w:rFonts w:eastAsia="Times New Roman"/>
                <w:iCs/>
                <w:szCs w:val="22"/>
                <w:rPrChange w:id="1363" w:author="Author">
                  <w:rPr>
                    <w:rFonts w:eastAsia="Times New Roman"/>
                    <w:iCs/>
                    <w:szCs w:val="22"/>
                    <w:lang w:val="en-US"/>
                  </w:rPr>
                </w:rPrChange>
              </w:rPr>
              <w:t> </w:t>
            </w:r>
            <w:r w:rsidRPr="00D55B59">
              <w:rPr>
                <w:rFonts w:eastAsia="Times New Roman"/>
                <w:iCs/>
                <w:szCs w:val="22"/>
                <w:rPrChange w:id="1364" w:author="Author">
                  <w:rPr>
                    <w:rFonts w:eastAsia="Times New Roman"/>
                    <w:iCs/>
                    <w:szCs w:val="22"/>
                    <w:lang w:val="en-US"/>
                  </w:rPr>
                </w:rPrChange>
              </w:rPr>
              <w:t xml:space="preserve">mg at week 0 (given as </w:t>
            </w:r>
            <w:r w:rsidR="00A43D5D" w:rsidRPr="00D55B59">
              <w:rPr>
                <w:rFonts w:eastAsia="Times New Roman"/>
                <w:iCs/>
                <w:szCs w:val="22"/>
                <w:rPrChange w:id="1365" w:author="Author">
                  <w:rPr>
                    <w:rFonts w:eastAsia="Times New Roman"/>
                    <w:iCs/>
                    <w:szCs w:val="22"/>
                    <w:lang w:val="en-US"/>
                  </w:rPr>
                </w:rPrChange>
              </w:rPr>
              <w:t>one</w:t>
            </w:r>
            <w:r w:rsidRPr="00D55B59">
              <w:rPr>
                <w:rFonts w:eastAsia="Times New Roman"/>
                <w:iCs/>
                <w:szCs w:val="22"/>
                <w:rPrChange w:id="1366" w:author="Author">
                  <w:rPr>
                    <w:rFonts w:eastAsia="Times New Roman"/>
                    <w:iCs/>
                    <w:szCs w:val="22"/>
                    <w:lang w:val="en-US"/>
                  </w:rPr>
                </w:rPrChange>
              </w:rPr>
              <w:t xml:space="preserve"> </w:t>
            </w:r>
            <w:r w:rsidR="00A43D5D" w:rsidRPr="00D55B59">
              <w:rPr>
                <w:rFonts w:eastAsia="Times New Roman"/>
                <w:iCs/>
                <w:szCs w:val="22"/>
                <w:rPrChange w:id="1367" w:author="Author">
                  <w:rPr>
                    <w:rFonts w:eastAsia="Times New Roman"/>
                    <w:iCs/>
                    <w:szCs w:val="22"/>
                    <w:lang w:val="en-US"/>
                  </w:rPr>
                </w:rPrChange>
              </w:rPr>
              <w:t>80</w:t>
            </w:r>
            <w:r w:rsidR="00905105" w:rsidRPr="00D55B59">
              <w:rPr>
                <w:rFonts w:eastAsia="Times New Roman"/>
                <w:iCs/>
                <w:szCs w:val="22"/>
                <w:rPrChange w:id="1368" w:author="Author">
                  <w:rPr>
                    <w:rFonts w:eastAsia="Times New Roman"/>
                    <w:iCs/>
                    <w:szCs w:val="22"/>
                    <w:lang w:val="en-US"/>
                  </w:rPr>
                </w:rPrChange>
              </w:rPr>
              <w:t> </w:t>
            </w:r>
            <w:r w:rsidRPr="00D55B59">
              <w:rPr>
                <w:rFonts w:eastAsia="Times New Roman"/>
                <w:iCs/>
                <w:szCs w:val="22"/>
                <w:rPrChange w:id="1369" w:author="Author">
                  <w:rPr>
                    <w:rFonts w:eastAsia="Times New Roman"/>
                    <w:iCs/>
                    <w:szCs w:val="22"/>
                    <w:lang w:val="en-US"/>
                  </w:rPr>
                </w:rPrChange>
              </w:rPr>
              <w:t>mg injection in one day) and</w:t>
            </w:r>
          </w:p>
          <w:p w14:paraId="3154F333" w14:textId="4308485A" w:rsidR="001778AA" w:rsidRPr="00D55B59" w:rsidRDefault="001778AA" w:rsidP="00D47253">
            <w:pPr>
              <w:numPr>
                <w:ilvl w:val="0"/>
                <w:numId w:val="30"/>
              </w:numPr>
              <w:tabs>
                <w:tab w:val="clear" w:pos="567"/>
              </w:tabs>
              <w:suppressAutoHyphens/>
              <w:spacing w:line="240" w:lineRule="auto"/>
              <w:ind w:left="370" w:hanging="283"/>
              <w:rPr>
                <w:rFonts w:eastAsia="Times New Roman"/>
                <w:iCs/>
                <w:szCs w:val="22"/>
                <w:rPrChange w:id="1370" w:author="Author">
                  <w:rPr>
                    <w:rFonts w:eastAsia="Times New Roman"/>
                    <w:iCs/>
                    <w:szCs w:val="22"/>
                    <w:lang w:val="en-US"/>
                  </w:rPr>
                </w:rPrChange>
              </w:rPr>
            </w:pPr>
            <w:r w:rsidRPr="00D55B59">
              <w:rPr>
                <w:rFonts w:eastAsia="Times New Roman"/>
                <w:iCs/>
                <w:szCs w:val="22"/>
                <w:rPrChange w:id="1371" w:author="Author">
                  <w:rPr>
                    <w:rFonts w:eastAsia="Times New Roman"/>
                    <w:iCs/>
                    <w:szCs w:val="22"/>
                    <w:lang w:val="en-US"/>
                  </w:rPr>
                </w:rPrChange>
              </w:rPr>
              <w:t>40</w:t>
            </w:r>
            <w:r w:rsidR="00905105" w:rsidRPr="00D55B59">
              <w:rPr>
                <w:rFonts w:eastAsia="Times New Roman"/>
                <w:iCs/>
                <w:szCs w:val="22"/>
                <w:rPrChange w:id="1372" w:author="Author">
                  <w:rPr>
                    <w:rFonts w:eastAsia="Times New Roman"/>
                    <w:iCs/>
                    <w:szCs w:val="22"/>
                    <w:lang w:val="en-US"/>
                  </w:rPr>
                </w:rPrChange>
              </w:rPr>
              <w:t> </w:t>
            </w:r>
            <w:r w:rsidRPr="00D55B59">
              <w:rPr>
                <w:rFonts w:eastAsia="Times New Roman"/>
                <w:iCs/>
                <w:szCs w:val="22"/>
                <w:rPrChange w:id="1373" w:author="Author">
                  <w:rPr>
                    <w:rFonts w:eastAsia="Times New Roman"/>
                    <w:iCs/>
                    <w:szCs w:val="22"/>
                    <w:lang w:val="en-US"/>
                  </w:rPr>
                </w:rPrChange>
              </w:rPr>
              <w:t>mg at week 2 (given as one 40</w:t>
            </w:r>
            <w:r w:rsidR="00905105" w:rsidRPr="00D55B59">
              <w:rPr>
                <w:rFonts w:eastAsia="Times New Roman"/>
                <w:iCs/>
                <w:szCs w:val="22"/>
                <w:rPrChange w:id="1374" w:author="Author">
                  <w:rPr>
                    <w:rFonts w:eastAsia="Times New Roman"/>
                    <w:iCs/>
                    <w:szCs w:val="22"/>
                    <w:lang w:val="en-US"/>
                  </w:rPr>
                </w:rPrChange>
              </w:rPr>
              <w:t> </w:t>
            </w:r>
            <w:r w:rsidRPr="00D55B59">
              <w:rPr>
                <w:rFonts w:eastAsia="Times New Roman"/>
                <w:iCs/>
                <w:szCs w:val="22"/>
                <w:rPrChange w:id="1375" w:author="Author">
                  <w:rPr>
                    <w:rFonts w:eastAsia="Times New Roman"/>
                    <w:iCs/>
                    <w:szCs w:val="22"/>
                    <w:lang w:val="en-US"/>
                  </w:rPr>
                </w:rPrChange>
              </w:rPr>
              <w:t>mg injection)</w:t>
            </w:r>
          </w:p>
        </w:tc>
        <w:tc>
          <w:tcPr>
            <w:tcW w:w="856" w:type="pct"/>
            <w:tcBorders>
              <w:top w:val="single" w:sz="6" w:space="0" w:color="000000"/>
              <w:left w:val="single" w:sz="6" w:space="0" w:color="000000"/>
              <w:bottom w:val="single" w:sz="6" w:space="0" w:color="000000"/>
              <w:right w:val="single" w:sz="6" w:space="0" w:color="000000"/>
            </w:tcBorders>
            <w:hideMark/>
          </w:tcPr>
          <w:p w14:paraId="2302A752" w14:textId="2FCC7DDC" w:rsidR="001778AA" w:rsidRPr="00D55B59" w:rsidRDefault="001778AA" w:rsidP="00D47253">
            <w:pPr>
              <w:jc w:val="center"/>
              <w:rPr>
                <w:rFonts w:eastAsia="Times New Roman"/>
                <w:rPrChange w:id="1376" w:author="Author">
                  <w:rPr>
                    <w:rFonts w:eastAsia="Times New Roman"/>
                    <w:lang w:val="en-US"/>
                  </w:rPr>
                </w:rPrChange>
              </w:rPr>
            </w:pPr>
            <w:r w:rsidRPr="00D55B59">
              <w:rPr>
                <w:rFonts w:eastAsia="Times New Roman"/>
                <w:rPrChange w:id="1377" w:author="Author">
                  <w:rPr>
                    <w:rFonts w:eastAsia="Times New Roman"/>
                    <w:lang w:val="en-US"/>
                  </w:rPr>
                </w:rPrChange>
              </w:rPr>
              <w:t>40</w:t>
            </w:r>
            <w:r w:rsidR="00905105" w:rsidRPr="00D55B59">
              <w:rPr>
                <w:rFonts w:eastAsia="Times New Roman"/>
                <w:rPrChange w:id="1378" w:author="Author">
                  <w:rPr>
                    <w:rFonts w:eastAsia="Times New Roman"/>
                    <w:lang w:val="en-US"/>
                  </w:rPr>
                </w:rPrChange>
              </w:rPr>
              <w:t> </w:t>
            </w:r>
            <w:r w:rsidRPr="00D55B59">
              <w:rPr>
                <w:rFonts w:eastAsia="Times New Roman"/>
                <w:rPrChange w:id="1379" w:author="Author">
                  <w:rPr>
                    <w:rFonts w:eastAsia="Times New Roman"/>
                    <w:lang w:val="en-US"/>
                  </w:rPr>
                </w:rPrChange>
              </w:rPr>
              <w:t>mg every other week</w:t>
            </w:r>
          </w:p>
        </w:tc>
      </w:tr>
      <w:tr w:rsidR="00E03C85" w:rsidRPr="00F04F82" w14:paraId="049B3777" w14:textId="77777777" w:rsidTr="00D47253">
        <w:tc>
          <w:tcPr>
            <w:tcW w:w="544" w:type="pct"/>
            <w:tcBorders>
              <w:top w:val="single" w:sz="6" w:space="0" w:color="000000"/>
              <w:left w:val="single" w:sz="6" w:space="0" w:color="000000"/>
              <w:bottom w:val="single" w:sz="6" w:space="0" w:color="000000"/>
              <w:right w:val="single" w:sz="6" w:space="0" w:color="000000"/>
            </w:tcBorders>
            <w:hideMark/>
          </w:tcPr>
          <w:p w14:paraId="398E0B86" w14:textId="5305409B" w:rsidR="001778AA" w:rsidRPr="00D55B59" w:rsidRDefault="001778AA" w:rsidP="00D47253">
            <w:pPr>
              <w:suppressAutoHyphens/>
              <w:spacing w:line="240" w:lineRule="auto"/>
              <w:jc w:val="center"/>
              <w:rPr>
                <w:rFonts w:eastAsia="Times New Roman"/>
                <w:szCs w:val="24"/>
                <w:rPrChange w:id="1380" w:author="Author">
                  <w:rPr>
                    <w:rFonts w:eastAsia="Times New Roman"/>
                    <w:szCs w:val="24"/>
                    <w:lang w:val="en-US"/>
                  </w:rPr>
                </w:rPrChange>
              </w:rPr>
            </w:pPr>
            <w:r w:rsidRPr="00D55B59">
              <w:rPr>
                <w:rFonts w:eastAsia="Times New Roman"/>
                <w:szCs w:val="24"/>
                <w:rPrChange w:id="1381" w:author="Author">
                  <w:rPr>
                    <w:rFonts w:eastAsia="Times New Roman"/>
                    <w:szCs w:val="24"/>
                    <w:lang w:val="en-US"/>
                  </w:rPr>
                </w:rPrChange>
              </w:rPr>
              <w:t>≥ 40</w:t>
            </w:r>
            <w:r w:rsidR="00905105" w:rsidRPr="00D55B59">
              <w:rPr>
                <w:rFonts w:eastAsia="Times New Roman"/>
                <w:szCs w:val="24"/>
                <w:rPrChange w:id="1382" w:author="Author">
                  <w:rPr>
                    <w:rFonts w:eastAsia="Times New Roman"/>
                    <w:szCs w:val="24"/>
                    <w:lang w:val="en-US"/>
                  </w:rPr>
                </w:rPrChange>
              </w:rPr>
              <w:t> </w:t>
            </w:r>
            <w:r w:rsidRPr="00D55B59">
              <w:rPr>
                <w:rFonts w:eastAsia="Times New Roman"/>
                <w:szCs w:val="24"/>
                <w:rPrChange w:id="1383" w:author="Author">
                  <w:rPr>
                    <w:rFonts w:eastAsia="Times New Roman"/>
                    <w:szCs w:val="24"/>
                    <w:lang w:val="en-US"/>
                  </w:rPr>
                </w:rPrChange>
              </w:rPr>
              <w:t>kg</w:t>
            </w:r>
          </w:p>
        </w:tc>
        <w:tc>
          <w:tcPr>
            <w:tcW w:w="3600" w:type="pct"/>
            <w:tcBorders>
              <w:top w:val="single" w:sz="6" w:space="0" w:color="000000"/>
              <w:left w:val="single" w:sz="6" w:space="0" w:color="000000"/>
              <w:bottom w:val="single" w:sz="6" w:space="0" w:color="000000"/>
              <w:right w:val="single" w:sz="6" w:space="0" w:color="000000"/>
            </w:tcBorders>
          </w:tcPr>
          <w:p w14:paraId="195CE521" w14:textId="091F5BAF" w:rsidR="001778AA" w:rsidRPr="00D55B59" w:rsidRDefault="001778AA" w:rsidP="00D47253">
            <w:pPr>
              <w:numPr>
                <w:ilvl w:val="0"/>
                <w:numId w:val="29"/>
              </w:numPr>
              <w:tabs>
                <w:tab w:val="clear" w:pos="567"/>
              </w:tabs>
              <w:suppressAutoHyphens/>
              <w:spacing w:line="240" w:lineRule="auto"/>
              <w:ind w:left="370" w:hanging="283"/>
              <w:rPr>
                <w:rFonts w:eastAsia="Times New Roman"/>
                <w:szCs w:val="22"/>
                <w:rPrChange w:id="1384" w:author="Author">
                  <w:rPr>
                    <w:rFonts w:eastAsia="Times New Roman"/>
                    <w:szCs w:val="22"/>
                    <w:lang w:val="en-US"/>
                  </w:rPr>
                </w:rPrChange>
              </w:rPr>
            </w:pPr>
            <w:r w:rsidRPr="00D55B59">
              <w:rPr>
                <w:rFonts w:eastAsia="Times New Roman"/>
                <w:szCs w:val="22"/>
                <w:rPrChange w:id="1385" w:author="Author">
                  <w:rPr>
                    <w:rFonts w:eastAsia="Times New Roman"/>
                    <w:szCs w:val="22"/>
                    <w:lang w:val="en-US"/>
                  </w:rPr>
                </w:rPrChange>
              </w:rPr>
              <w:t>160</w:t>
            </w:r>
            <w:r w:rsidR="00905105" w:rsidRPr="00D55B59">
              <w:rPr>
                <w:rFonts w:eastAsia="Times New Roman"/>
                <w:szCs w:val="22"/>
                <w:rPrChange w:id="1386" w:author="Author">
                  <w:rPr>
                    <w:rFonts w:eastAsia="Times New Roman"/>
                    <w:szCs w:val="22"/>
                    <w:lang w:val="en-US"/>
                  </w:rPr>
                </w:rPrChange>
              </w:rPr>
              <w:t> </w:t>
            </w:r>
            <w:r w:rsidRPr="00D55B59">
              <w:rPr>
                <w:rFonts w:eastAsia="Times New Roman"/>
                <w:szCs w:val="22"/>
                <w:rPrChange w:id="1387" w:author="Author">
                  <w:rPr>
                    <w:rFonts w:eastAsia="Times New Roman"/>
                    <w:szCs w:val="22"/>
                    <w:lang w:val="en-US"/>
                  </w:rPr>
                </w:rPrChange>
              </w:rPr>
              <w:t xml:space="preserve">mg at week 0 (given as </w:t>
            </w:r>
            <w:r w:rsidR="00A43D5D" w:rsidRPr="00D55B59">
              <w:rPr>
                <w:rFonts w:eastAsia="Times New Roman"/>
                <w:szCs w:val="22"/>
                <w:rPrChange w:id="1388" w:author="Author">
                  <w:rPr>
                    <w:rFonts w:eastAsia="Times New Roman"/>
                    <w:szCs w:val="22"/>
                    <w:lang w:val="en-US"/>
                  </w:rPr>
                </w:rPrChange>
              </w:rPr>
              <w:t>two</w:t>
            </w:r>
            <w:r w:rsidRPr="00D55B59">
              <w:rPr>
                <w:rFonts w:eastAsia="Times New Roman"/>
                <w:szCs w:val="22"/>
                <w:rPrChange w:id="1389" w:author="Author">
                  <w:rPr>
                    <w:rFonts w:eastAsia="Times New Roman"/>
                    <w:szCs w:val="22"/>
                    <w:lang w:val="en-US"/>
                  </w:rPr>
                </w:rPrChange>
              </w:rPr>
              <w:t xml:space="preserve"> </w:t>
            </w:r>
            <w:r w:rsidR="00A43D5D" w:rsidRPr="00D55B59">
              <w:rPr>
                <w:rFonts w:eastAsia="Times New Roman"/>
                <w:szCs w:val="22"/>
                <w:rPrChange w:id="1390" w:author="Author">
                  <w:rPr>
                    <w:rFonts w:eastAsia="Times New Roman"/>
                    <w:szCs w:val="22"/>
                    <w:lang w:val="en-US"/>
                  </w:rPr>
                </w:rPrChange>
              </w:rPr>
              <w:t>80</w:t>
            </w:r>
            <w:r w:rsidR="00905105" w:rsidRPr="00D55B59">
              <w:rPr>
                <w:rFonts w:eastAsia="Times New Roman"/>
                <w:szCs w:val="22"/>
                <w:rPrChange w:id="1391" w:author="Author">
                  <w:rPr>
                    <w:rFonts w:eastAsia="Times New Roman"/>
                    <w:szCs w:val="22"/>
                    <w:lang w:val="en-US"/>
                  </w:rPr>
                </w:rPrChange>
              </w:rPr>
              <w:t> </w:t>
            </w:r>
            <w:r w:rsidRPr="00D55B59">
              <w:rPr>
                <w:rFonts w:eastAsia="Times New Roman"/>
                <w:szCs w:val="22"/>
                <w:rPrChange w:id="1392" w:author="Author">
                  <w:rPr>
                    <w:rFonts w:eastAsia="Times New Roman"/>
                    <w:szCs w:val="22"/>
                    <w:lang w:val="en-US"/>
                  </w:rPr>
                </w:rPrChange>
              </w:rPr>
              <w:t xml:space="preserve">mg injections in one day or </w:t>
            </w:r>
            <w:r w:rsidR="00A43D5D" w:rsidRPr="00D55B59">
              <w:rPr>
                <w:rFonts w:eastAsia="Times New Roman"/>
                <w:szCs w:val="22"/>
                <w:rPrChange w:id="1393" w:author="Author">
                  <w:rPr>
                    <w:rFonts w:eastAsia="Times New Roman"/>
                    <w:szCs w:val="22"/>
                    <w:lang w:val="en-US"/>
                  </w:rPr>
                </w:rPrChange>
              </w:rPr>
              <w:t>one</w:t>
            </w:r>
            <w:r w:rsidRPr="00D55B59">
              <w:rPr>
                <w:rFonts w:eastAsia="Times New Roman"/>
                <w:szCs w:val="22"/>
                <w:rPrChange w:id="1394" w:author="Author">
                  <w:rPr>
                    <w:rFonts w:eastAsia="Times New Roman"/>
                    <w:szCs w:val="22"/>
                    <w:lang w:val="en-US"/>
                  </w:rPr>
                </w:rPrChange>
              </w:rPr>
              <w:t xml:space="preserve"> </w:t>
            </w:r>
            <w:r w:rsidR="00A43D5D" w:rsidRPr="00D55B59">
              <w:rPr>
                <w:rFonts w:eastAsia="Times New Roman"/>
                <w:szCs w:val="22"/>
                <w:rPrChange w:id="1395" w:author="Author">
                  <w:rPr>
                    <w:rFonts w:eastAsia="Times New Roman"/>
                    <w:szCs w:val="22"/>
                    <w:lang w:val="en-US"/>
                  </w:rPr>
                </w:rPrChange>
              </w:rPr>
              <w:t>80</w:t>
            </w:r>
            <w:r w:rsidR="00905105" w:rsidRPr="00D55B59">
              <w:rPr>
                <w:rFonts w:eastAsia="Times New Roman"/>
                <w:szCs w:val="22"/>
                <w:rPrChange w:id="1396" w:author="Author">
                  <w:rPr>
                    <w:rFonts w:eastAsia="Times New Roman"/>
                    <w:szCs w:val="22"/>
                    <w:lang w:val="en-US"/>
                  </w:rPr>
                </w:rPrChange>
              </w:rPr>
              <w:t> </w:t>
            </w:r>
            <w:r w:rsidRPr="00D55B59">
              <w:rPr>
                <w:rFonts w:eastAsia="Times New Roman"/>
                <w:szCs w:val="22"/>
                <w:rPrChange w:id="1397" w:author="Author">
                  <w:rPr>
                    <w:rFonts w:eastAsia="Times New Roman"/>
                    <w:szCs w:val="22"/>
                    <w:lang w:val="en-US"/>
                  </w:rPr>
                </w:rPrChange>
              </w:rPr>
              <w:t>mg injection per day for two consecutive days) and</w:t>
            </w:r>
          </w:p>
          <w:p w14:paraId="1BCEE77A" w14:textId="41C6DC67" w:rsidR="001778AA" w:rsidRPr="00D55B59" w:rsidRDefault="001778AA" w:rsidP="00D47253">
            <w:pPr>
              <w:numPr>
                <w:ilvl w:val="0"/>
                <w:numId w:val="29"/>
              </w:numPr>
              <w:tabs>
                <w:tab w:val="clear" w:pos="567"/>
              </w:tabs>
              <w:suppressAutoHyphens/>
              <w:spacing w:line="240" w:lineRule="auto"/>
              <w:ind w:left="370" w:hanging="283"/>
              <w:rPr>
                <w:rFonts w:eastAsia="Times New Roman"/>
                <w:szCs w:val="22"/>
                <w:rPrChange w:id="1398" w:author="Author">
                  <w:rPr>
                    <w:rFonts w:eastAsia="Times New Roman"/>
                    <w:szCs w:val="22"/>
                    <w:lang w:val="en-US"/>
                  </w:rPr>
                </w:rPrChange>
              </w:rPr>
            </w:pPr>
            <w:r w:rsidRPr="00D55B59">
              <w:rPr>
                <w:rFonts w:eastAsia="Times New Roman"/>
                <w:szCs w:val="22"/>
                <w:rPrChange w:id="1399" w:author="Author">
                  <w:rPr>
                    <w:rFonts w:eastAsia="Times New Roman"/>
                    <w:szCs w:val="22"/>
                    <w:lang w:val="en-US"/>
                  </w:rPr>
                </w:rPrChange>
              </w:rPr>
              <w:t>80</w:t>
            </w:r>
            <w:r w:rsidR="00905105" w:rsidRPr="00D55B59">
              <w:rPr>
                <w:rFonts w:eastAsia="Times New Roman"/>
                <w:szCs w:val="22"/>
                <w:rPrChange w:id="1400" w:author="Author">
                  <w:rPr>
                    <w:rFonts w:eastAsia="Times New Roman"/>
                    <w:szCs w:val="22"/>
                    <w:lang w:val="en-US"/>
                  </w:rPr>
                </w:rPrChange>
              </w:rPr>
              <w:t> </w:t>
            </w:r>
            <w:r w:rsidRPr="00D55B59">
              <w:rPr>
                <w:rFonts w:eastAsia="Times New Roman"/>
                <w:szCs w:val="22"/>
                <w:rPrChange w:id="1401" w:author="Author">
                  <w:rPr>
                    <w:rFonts w:eastAsia="Times New Roman"/>
                    <w:szCs w:val="22"/>
                    <w:lang w:val="en-US"/>
                  </w:rPr>
                </w:rPrChange>
              </w:rPr>
              <w:t xml:space="preserve">mg at week 2 (given as </w:t>
            </w:r>
            <w:r w:rsidR="00A43D5D" w:rsidRPr="00D55B59">
              <w:rPr>
                <w:rFonts w:eastAsia="Times New Roman"/>
                <w:szCs w:val="22"/>
                <w:rPrChange w:id="1402" w:author="Author">
                  <w:rPr>
                    <w:rFonts w:eastAsia="Times New Roman"/>
                    <w:szCs w:val="22"/>
                    <w:lang w:val="en-US"/>
                  </w:rPr>
                </w:rPrChange>
              </w:rPr>
              <w:t>one</w:t>
            </w:r>
            <w:r w:rsidRPr="00D55B59">
              <w:rPr>
                <w:rFonts w:eastAsia="Times New Roman"/>
                <w:szCs w:val="22"/>
                <w:rPrChange w:id="1403" w:author="Author">
                  <w:rPr>
                    <w:rFonts w:eastAsia="Times New Roman"/>
                    <w:szCs w:val="22"/>
                    <w:lang w:val="en-US"/>
                  </w:rPr>
                </w:rPrChange>
              </w:rPr>
              <w:t xml:space="preserve"> </w:t>
            </w:r>
            <w:r w:rsidR="00A43D5D" w:rsidRPr="00D55B59">
              <w:rPr>
                <w:rFonts w:eastAsia="Times New Roman"/>
                <w:szCs w:val="22"/>
                <w:rPrChange w:id="1404" w:author="Author">
                  <w:rPr>
                    <w:rFonts w:eastAsia="Times New Roman"/>
                    <w:szCs w:val="22"/>
                    <w:lang w:val="en-US"/>
                  </w:rPr>
                </w:rPrChange>
              </w:rPr>
              <w:t>8</w:t>
            </w:r>
            <w:r w:rsidRPr="00D55B59">
              <w:rPr>
                <w:rFonts w:eastAsia="Times New Roman"/>
                <w:szCs w:val="22"/>
                <w:rPrChange w:id="1405" w:author="Author">
                  <w:rPr>
                    <w:rFonts w:eastAsia="Times New Roman"/>
                    <w:szCs w:val="22"/>
                    <w:lang w:val="en-US"/>
                  </w:rPr>
                </w:rPrChange>
              </w:rPr>
              <w:t>0</w:t>
            </w:r>
            <w:r w:rsidR="00905105" w:rsidRPr="00D55B59">
              <w:rPr>
                <w:rFonts w:eastAsia="Times New Roman"/>
                <w:szCs w:val="22"/>
                <w:rPrChange w:id="1406" w:author="Author">
                  <w:rPr>
                    <w:rFonts w:eastAsia="Times New Roman"/>
                    <w:szCs w:val="22"/>
                    <w:lang w:val="en-US"/>
                  </w:rPr>
                </w:rPrChange>
              </w:rPr>
              <w:t> </w:t>
            </w:r>
            <w:r w:rsidRPr="00D55B59">
              <w:rPr>
                <w:rFonts w:eastAsia="Times New Roman"/>
                <w:szCs w:val="22"/>
                <w:rPrChange w:id="1407" w:author="Author">
                  <w:rPr>
                    <w:rFonts w:eastAsia="Times New Roman"/>
                    <w:szCs w:val="22"/>
                    <w:lang w:val="en-US"/>
                  </w:rPr>
                </w:rPrChange>
              </w:rPr>
              <w:t>mg injection in one day)</w:t>
            </w:r>
          </w:p>
        </w:tc>
        <w:tc>
          <w:tcPr>
            <w:tcW w:w="856" w:type="pct"/>
            <w:tcBorders>
              <w:top w:val="single" w:sz="6" w:space="0" w:color="000000"/>
              <w:left w:val="single" w:sz="6" w:space="0" w:color="000000"/>
              <w:bottom w:val="single" w:sz="6" w:space="0" w:color="000000"/>
              <w:right w:val="single" w:sz="6" w:space="0" w:color="000000"/>
            </w:tcBorders>
            <w:hideMark/>
          </w:tcPr>
          <w:p w14:paraId="6B92E78B" w14:textId="05024572" w:rsidR="001778AA" w:rsidRPr="00D55B59" w:rsidRDefault="001778AA" w:rsidP="00D47253">
            <w:pPr>
              <w:jc w:val="center"/>
              <w:rPr>
                <w:rFonts w:eastAsia="Times New Roman"/>
                <w:rPrChange w:id="1408" w:author="Author">
                  <w:rPr>
                    <w:rFonts w:eastAsia="Times New Roman"/>
                    <w:lang w:val="en-US"/>
                  </w:rPr>
                </w:rPrChange>
              </w:rPr>
            </w:pPr>
            <w:r w:rsidRPr="00D55B59">
              <w:rPr>
                <w:rFonts w:eastAsia="Times New Roman"/>
                <w:rPrChange w:id="1409" w:author="Author">
                  <w:rPr>
                    <w:rFonts w:eastAsia="Times New Roman"/>
                    <w:lang w:val="en-US"/>
                  </w:rPr>
                </w:rPrChange>
              </w:rPr>
              <w:t>80</w:t>
            </w:r>
            <w:r w:rsidR="00905105" w:rsidRPr="00D55B59">
              <w:rPr>
                <w:rFonts w:eastAsia="Times New Roman"/>
                <w:rPrChange w:id="1410" w:author="Author">
                  <w:rPr>
                    <w:rFonts w:eastAsia="Times New Roman"/>
                    <w:lang w:val="en-US"/>
                  </w:rPr>
                </w:rPrChange>
              </w:rPr>
              <w:t> </w:t>
            </w:r>
            <w:r w:rsidRPr="00D55B59">
              <w:rPr>
                <w:rFonts w:eastAsia="Times New Roman"/>
                <w:rPrChange w:id="1411" w:author="Author">
                  <w:rPr>
                    <w:rFonts w:eastAsia="Times New Roman"/>
                    <w:lang w:val="en-US"/>
                  </w:rPr>
                </w:rPrChange>
              </w:rPr>
              <w:t>mg every other week</w:t>
            </w:r>
          </w:p>
        </w:tc>
      </w:tr>
    </w:tbl>
    <w:p w14:paraId="3D8481F4" w14:textId="77777777" w:rsidR="001778AA" w:rsidRPr="001775D9" w:rsidRDefault="001778AA" w:rsidP="001778AA">
      <w:pPr>
        <w:tabs>
          <w:tab w:val="clear" w:pos="567"/>
          <w:tab w:val="left" w:pos="720"/>
        </w:tabs>
        <w:autoSpaceDE w:val="0"/>
        <w:autoSpaceDN w:val="0"/>
        <w:adjustRightInd w:val="0"/>
        <w:spacing w:line="240" w:lineRule="auto"/>
        <w:rPr>
          <w:iCs/>
          <w:sz w:val="20"/>
          <w:lang w:eastAsia="en-GB"/>
        </w:rPr>
      </w:pPr>
      <w:r w:rsidRPr="001775D9">
        <w:rPr>
          <w:iCs/>
          <w:sz w:val="20"/>
          <w:lang w:eastAsia="en-GB"/>
        </w:rPr>
        <w:t>* Paediatric patients who turn 18 years of age while on AMGEVITA should continue their prescribed maintenance dose.</w:t>
      </w:r>
    </w:p>
    <w:p w14:paraId="1F7A3FB0" w14:textId="77777777" w:rsidR="001778AA" w:rsidRPr="001775D9" w:rsidRDefault="001778AA" w:rsidP="001778AA">
      <w:pPr>
        <w:tabs>
          <w:tab w:val="clear" w:pos="567"/>
          <w:tab w:val="left" w:pos="720"/>
        </w:tabs>
        <w:autoSpaceDE w:val="0"/>
        <w:autoSpaceDN w:val="0"/>
        <w:adjustRightInd w:val="0"/>
        <w:spacing w:line="240" w:lineRule="auto"/>
        <w:rPr>
          <w:iCs/>
          <w:szCs w:val="22"/>
          <w:lang w:eastAsia="en-GB"/>
        </w:rPr>
      </w:pPr>
    </w:p>
    <w:p w14:paraId="2FEA18CE" w14:textId="77777777" w:rsidR="001778AA" w:rsidRPr="001775D9" w:rsidRDefault="001778AA" w:rsidP="001778AA">
      <w:pPr>
        <w:tabs>
          <w:tab w:val="clear" w:pos="567"/>
          <w:tab w:val="left" w:pos="720"/>
        </w:tabs>
        <w:autoSpaceDE w:val="0"/>
        <w:autoSpaceDN w:val="0"/>
        <w:adjustRightInd w:val="0"/>
        <w:spacing w:line="240" w:lineRule="auto"/>
        <w:rPr>
          <w:iCs/>
          <w:szCs w:val="22"/>
          <w:lang w:eastAsia="en-GB"/>
        </w:rPr>
      </w:pPr>
      <w:r w:rsidRPr="001775D9">
        <w:rPr>
          <w:iCs/>
          <w:szCs w:val="22"/>
          <w:lang w:eastAsia="en-GB"/>
        </w:rPr>
        <w:t>Continued therapy beyond 8 weeks should be carefully considered in patients not showing signs of response within this time period.</w:t>
      </w:r>
    </w:p>
    <w:p w14:paraId="42C676D2" w14:textId="77777777" w:rsidR="001778AA" w:rsidRPr="001775D9" w:rsidRDefault="001778AA" w:rsidP="001778AA">
      <w:pPr>
        <w:tabs>
          <w:tab w:val="clear" w:pos="567"/>
          <w:tab w:val="left" w:pos="720"/>
        </w:tabs>
        <w:autoSpaceDE w:val="0"/>
        <w:autoSpaceDN w:val="0"/>
        <w:adjustRightInd w:val="0"/>
        <w:spacing w:line="240" w:lineRule="auto"/>
        <w:rPr>
          <w:iCs/>
          <w:szCs w:val="22"/>
          <w:lang w:eastAsia="en-GB"/>
        </w:rPr>
      </w:pPr>
    </w:p>
    <w:p w14:paraId="52C923EA" w14:textId="77777777" w:rsidR="001778AA" w:rsidRPr="001775D9" w:rsidRDefault="001778AA" w:rsidP="001778AA">
      <w:pPr>
        <w:tabs>
          <w:tab w:val="clear" w:pos="567"/>
          <w:tab w:val="left" w:pos="720"/>
        </w:tabs>
        <w:autoSpaceDE w:val="0"/>
        <w:autoSpaceDN w:val="0"/>
        <w:adjustRightInd w:val="0"/>
        <w:spacing w:line="240" w:lineRule="auto"/>
        <w:rPr>
          <w:iCs/>
          <w:szCs w:val="22"/>
          <w:lang w:eastAsia="en-GB"/>
        </w:rPr>
      </w:pPr>
      <w:r w:rsidRPr="001775D9">
        <w:rPr>
          <w:iCs/>
          <w:szCs w:val="22"/>
          <w:lang w:eastAsia="en-GB"/>
        </w:rPr>
        <w:t>There is no relevant use of AMGEVITA in children aged less than 6 years in this indication.</w:t>
      </w:r>
    </w:p>
    <w:p w14:paraId="233865D1" w14:textId="77777777" w:rsidR="00F965B6" w:rsidRPr="001775D9" w:rsidRDefault="00F965B6" w:rsidP="00F965B6">
      <w:pPr>
        <w:tabs>
          <w:tab w:val="clear" w:pos="567"/>
        </w:tabs>
        <w:autoSpaceDE w:val="0"/>
        <w:autoSpaceDN w:val="0"/>
        <w:adjustRightInd w:val="0"/>
        <w:spacing w:line="240" w:lineRule="auto"/>
        <w:rPr>
          <w:szCs w:val="22"/>
          <w:u w:val="single"/>
          <w:lang w:eastAsia="en-GB"/>
        </w:rPr>
      </w:pPr>
    </w:p>
    <w:p w14:paraId="177592EA" w14:textId="60E6D651" w:rsidR="00F965B6" w:rsidRPr="001775D9" w:rsidRDefault="00264FB3"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0973A8BE" w14:textId="77777777" w:rsidR="001778AA" w:rsidRPr="001775D9" w:rsidRDefault="001778AA" w:rsidP="001778AA">
      <w:pPr>
        <w:tabs>
          <w:tab w:val="clear" w:pos="567"/>
          <w:tab w:val="left" w:pos="720"/>
        </w:tabs>
        <w:autoSpaceDE w:val="0"/>
        <w:autoSpaceDN w:val="0"/>
        <w:adjustRightInd w:val="0"/>
        <w:spacing w:line="240" w:lineRule="auto"/>
        <w:rPr>
          <w:iCs/>
          <w:szCs w:val="22"/>
          <w:lang w:eastAsia="en-GB"/>
        </w:rPr>
      </w:pPr>
    </w:p>
    <w:p w14:paraId="351D479B" w14:textId="77777777" w:rsidR="001778AA" w:rsidRPr="001775D9" w:rsidRDefault="001778AA" w:rsidP="001778AA">
      <w:pPr>
        <w:tabs>
          <w:tab w:val="clear" w:pos="567"/>
          <w:tab w:val="left" w:pos="720"/>
        </w:tabs>
        <w:autoSpaceDE w:val="0"/>
        <w:autoSpaceDN w:val="0"/>
        <w:adjustRightInd w:val="0"/>
        <w:spacing w:line="240" w:lineRule="auto"/>
        <w:rPr>
          <w:i/>
          <w:szCs w:val="22"/>
          <w:lang w:eastAsia="en-GB"/>
        </w:rPr>
      </w:pPr>
      <w:r w:rsidRPr="001775D9">
        <w:rPr>
          <w:i/>
          <w:szCs w:val="22"/>
          <w:lang w:eastAsia="en-GB"/>
        </w:rPr>
        <w:t>Paediatric uveitis</w:t>
      </w:r>
    </w:p>
    <w:p w14:paraId="3F50E332" w14:textId="77777777" w:rsidR="001778AA" w:rsidRPr="001775D9" w:rsidRDefault="001778AA" w:rsidP="001778AA">
      <w:pPr>
        <w:tabs>
          <w:tab w:val="clear" w:pos="567"/>
          <w:tab w:val="left" w:pos="720"/>
        </w:tabs>
        <w:autoSpaceDE w:val="0"/>
        <w:autoSpaceDN w:val="0"/>
        <w:adjustRightInd w:val="0"/>
        <w:spacing w:line="240" w:lineRule="auto"/>
        <w:rPr>
          <w:i/>
          <w:szCs w:val="22"/>
          <w:lang w:eastAsia="en-GB"/>
        </w:rPr>
      </w:pPr>
    </w:p>
    <w:p w14:paraId="1D28BF7F"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The recommended dose of AMGEVITA for paediatric patients with uveitis from 2 years of age is based on body weight (table 6). AMGEVITA is administered via subcutaneous injection.</w:t>
      </w:r>
    </w:p>
    <w:p w14:paraId="3F4725CE"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2782324B"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In paediatric uveitis, there is no experience in the treatment with AMGEVITA without concomitant treatment with methotrexate.</w:t>
      </w:r>
    </w:p>
    <w:p w14:paraId="48D034A6"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76809021" w14:textId="432EDAB7" w:rsidR="001778AA" w:rsidRPr="001775D9" w:rsidRDefault="001778AA" w:rsidP="001778AA">
      <w:pPr>
        <w:tabs>
          <w:tab w:val="clear" w:pos="567"/>
          <w:tab w:val="left" w:pos="720"/>
        </w:tabs>
        <w:autoSpaceDE w:val="0"/>
        <w:autoSpaceDN w:val="0"/>
        <w:adjustRightInd w:val="0"/>
        <w:spacing w:line="240" w:lineRule="auto"/>
        <w:rPr>
          <w:b/>
          <w:szCs w:val="22"/>
          <w:lang w:eastAsia="en-GB"/>
        </w:rPr>
      </w:pPr>
      <w:r w:rsidRPr="001775D9">
        <w:rPr>
          <w:b/>
          <w:szCs w:val="22"/>
          <w:lang w:eastAsia="en-GB"/>
        </w:rPr>
        <w:t xml:space="preserve">Table 6. AMGEVITA dose for paediatric patients with </w:t>
      </w:r>
      <w:r w:rsidR="00032E45" w:rsidRPr="001775D9">
        <w:rPr>
          <w:b/>
          <w:szCs w:val="22"/>
          <w:lang w:eastAsia="en-GB"/>
        </w:rPr>
        <w:t>u</w:t>
      </w:r>
      <w:r w:rsidRPr="001775D9">
        <w:rPr>
          <w:b/>
          <w:szCs w:val="22"/>
          <w:lang w:eastAsia="en-GB"/>
        </w:rPr>
        <w:t>veitis</w:t>
      </w:r>
    </w:p>
    <w:p w14:paraId="3D263B4C" w14:textId="77777777" w:rsidR="001778AA" w:rsidRPr="001775D9" w:rsidRDefault="001778AA" w:rsidP="001778AA">
      <w:pPr>
        <w:tabs>
          <w:tab w:val="clear" w:pos="567"/>
          <w:tab w:val="left" w:pos="720"/>
        </w:tabs>
        <w:autoSpaceDE w:val="0"/>
        <w:autoSpaceDN w:val="0"/>
        <w:adjustRightInd w:val="0"/>
        <w:spacing w:line="240" w:lineRule="auto"/>
        <w:rPr>
          <w:b/>
          <w:szCs w:val="22"/>
          <w:lang w:eastAsia="en-GB"/>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5105"/>
      </w:tblGrid>
      <w:tr w:rsidR="001778AA" w:rsidRPr="00F04F82" w14:paraId="04DF65F2" w14:textId="77777777" w:rsidTr="00D47253">
        <w:trPr>
          <w:tblHeader/>
        </w:trPr>
        <w:tc>
          <w:tcPr>
            <w:tcW w:w="4253" w:type="dxa"/>
            <w:tcBorders>
              <w:top w:val="single" w:sz="4" w:space="0" w:color="auto"/>
              <w:left w:val="single" w:sz="4" w:space="0" w:color="auto"/>
              <w:bottom w:val="single" w:sz="4" w:space="0" w:color="auto"/>
              <w:right w:val="single" w:sz="4" w:space="0" w:color="auto"/>
            </w:tcBorders>
            <w:hideMark/>
          </w:tcPr>
          <w:p w14:paraId="7EBDAF71" w14:textId="77777777" w:rsidR="001778AA" w:rsidRPr="00D55B59" w:rsidRDefault="001778AA" w:rsidP="00D47253">
            <w:pPr>
              <w:keepNext/>
              <w:tabs>
                <w:tab w:val="clear" w:pos="567"/>
                <w:tab w:val="left" w:pos="720"/>
              </w:tabs>
              <w:spacing w:line="240" w:lineRule="auto"/>
              <w:rPr>
                <w:rFonts w:eastAsia="Calibri"/>
                <w:b/>
                <w:szCs w:val="22"/>
                <w:lang w:eastAsia="ja-JP"/>
                <w:rPrChange w:id="1412" w:author="Author">
                  <w:rPr>
                    <w:rFonts w:eastAsia="Calibri"/>
                    <w:b/>
                    <w:szCs w:val="22"/>
                    <w:lang w:val="en-US" w:eastAsia="ja-JP"/>
                  </w:rPr>
                </w:rPrChange>
              </w:rPr>
            </w:pPr>
            <w:r w:rsidRPr="00D55B59">
              <w:rPr>
                <w:rFonts w:eastAsia="Calibri"/>
                <w:b/>
                <w:szCs w:val="22"/>
                <w:lang w:eastAsia="ja-JP"/>
                <w:rPrChange w:id="1413" w:author="Author">
                  <w:rPr>
                    <w:rFonts w:eastAsia="Calibri"/>
                    <w:b/>
                    <w:szCs w:val="22"/>
                    <w:lang w:val="en-US" w:eastAsia="ja-JP"/>
                  </w:rPr>
                </w:rPrChange>
              </w:rPr>
              <w:t>Patient weight</w:t>
            </w:r>
          </w:p>
        </w:tc>
        <w:tc>
          <w:tcPr>
            <w:tcW w:w="5103" w:type="dxa"/>
            <w:tcBorders>
              <w:top w:val="single" w:sz="4" w:space="0" w:color="auto"/>
              <w:left w:val="single" w:sz="4" w:space="0" w:color="auto"/>
              <w:bottom w:val="single" w:sz="4" w:space="0" w:color="auto"/>
              <w:right w:val="single" w:sz="4" w:space="0" w:color="auto"/>
            </w:tcBorders>
            <w:hideMark/>
          </w:tcPr>
          <w:p w14:paraId="4E008447" w14:textId="77777777" w:rsidR="001778AA" w:rsidRPr="00D55B59" w:rsidRDefault="001778AA" w:rsidP="00D47253">
            <w:pPr>
              <w:keepNext/>
              <w:tabs>
                <w:tab w:val="clear" w:pos="567"/>
                <w:tab w:val="left" w:pos="720"/>
              </w:tabs>
              <w:spacing w:line="240" w:lineRule="auto"/>
              <w:rPr>
                <w:rFonts w:eastAsia="Calibri"/>
                <w:b/>
                <w:szCs w:val="22"/>
                <w:lang w:eastAsia="ja-JP"/>
                <w:rPrChange w:id="1414" w:author="Author">
                  <w:rPr>
                    <w:rFonts w:eastAsia="Calibri"/>
                    <w:b/>
                    <w:szCs w:val="22"/>
                    <w:lang w:val="en-US" w:eastAsia="ja-JP"/>
                  </w:rPr>
                </w:rPrChange>
              </w:rPr>
            </w:pPr>
            <w:r w:rsidRPr="00D55B59">
              <w:rPr>
                <w:rFonts w:eastAsia="Calibri"/>
                <w:b/>
                <w:szCs w:val="22"/>
                <w:lang w:eastAsia="ja-JP"/>
                <w:rPrChange w:id="1415" w:author="Author">
                  <w:rPr>
                    <w:rFonts w:eastAsia="Calibri"/>
                    <w:b/>
                    <w:szCs w:val="22"/>
                    <w:lang w:val="en-US" w:eastAsia="ja-JP"/>
                  </w:rPr>
                </w:rPrChange>
              </w:rPr>
              <w:t>Dosing regimen</w:t>
            </w:r>
          </w:p>
        </w:tc>
      </w:tr>
      <w:tr w:rsidR="001778AA" w:rsidRPr="00F04F82" w14:paraId="3D562422" w14:textId="77777777" w:rsidTr="00D47253">
        <w:trPr>
          <w:tblHeader/>
        </w:trPr>
        <w:tc>
          <w:tcPr>
            <w:tcW w:w="4253" w:type="dxa"/>
            <w:tcBorders>
              <w:top w:val="single" w:sz="4" w:space="0" w:color="auto"/>
              <w:left w:val="single" w:sz="4" w:space="0" w:color="auto"/>
              <w:bottom w:val="single" w:sz="4" w:space="0" w:color="auto"/>
              <w:right w:val="single" w:sz="4" w:space="0" w:color="auto"/>
            </w:tcBorders>
            <w:hideMark/>
          </w:tcPr>
          <w:p w14:paraId="0956B9B4" w14:textId="77897013" w:rsidR="001778AA" w:rsidRPr="00D55B59" w:rsidRDefault="001778AA" w:rsidP="00D47253">
            <w:pPr>
              <w:keepNext/>
              <w:tabs>
                <w:tab w:val="clear" w:pos="567"/>
                <w:tab w:val="left" w:pos="720"/>
              </w:tabs>
              <w:spacing w:line="240" w:lineRule="auto"/>
              <w:rPr>
                <w:rFonts w:eastAsia="Calibri"/>
                <w:b/>
                <w:szCs w:val="22"/>
                <w:lang w:eastAsia="ja-JP"/>
                <w:rPrChange w:id="1416" w:author="Author">
                  <w:rPr>
                    <w:rFonts w:eastAsia="Calibri"/>
                    <w:b/>
                    <w:szCs w:val="22"/>
                    <w:lang w:val="en-US" w:eastAsia="ja-JP"/>
                  </w:rPr>
                </w:rPrChange>
              </w:rPr>
            </w:pPr>
            <w:r w:rsidRPr="00D55B59">
              <w:rPr>
                <w:rFonts w:eastAsia="Calibri"/>
                <w:szCs w:val="22"/>
                <w:lang w:eastAsia="ja-JP"/>
                <w:rPrChange w:id="1417" w:author="Author">
                  <w:rPr>
                    <w:rFonts w:eastAsia="Calibri"/>
                    <w:szCs w:val="22"/>
                    <w:lang w:val="en-US" w:eastAsia="ja-JP"/>
                  </w:rPr>
                </w:rPrChange>
              </w:rPr>
              <w:t>&lt; 30</w:t>
            </w:r>
            <w:r w:rsidR="00283506" w:rsidRPr="00D55B59">
              <w:rPr>
                <w:rFonts w:eastAsia="Calibri"/>
                <w:szCs w:val="22"/>
                <w:lang w:eastAsia="ja-JP"/>
                <w:rPrChange w:id="1418" w:author="Author">
                  <w:rPr>
                    <w:rFonts w:eastAsia="Calibri"/>
                    <w:szCs w:val="22"/>
                    <w:lang w:val="en-US" w:eastAsia="ja-JP"/>
                  </w:rPr>
                </w:rPrChange>
              </w:rPr>
              <w:t> </w:t>
            </w:r>
            <w:r w:rsidRPr="00D55B59">
              <w:rPr>
                <w:rFonts w:eastAsia="Calibri"/>
                <w:szCs w:val="22"/>
                <w:lang w:eastAsia="ja-JP"/>
                <w:rPrChange w:id="1419" w:author="Author">
                  <w:rPr>
                    <w:rFonts w:eastAsia="Calibri"/>
                    <w:szCs w:val="22"/>
                    <w:lang w:val="en-US" w:eastAsia="ja-JP"/>
                  </w:rPr>
                </w:rPrChange>
              </w:rPr>
              <w:t>kg</w:t>
            </w:r>
          </w:p>
        </w:tc>
        <w:tc>
          <w:tcPr>
            <w:tcW w:w="5103" w:type="dxa"/>
            <w:tcBorders>
              <w:top w:val="single" w:sz="4" w:space="0" w:color="auto"/>
              <w:left w:val="single" w:sz="4" w:space="0" w:color="auto"/>
              <w:bottom w:val="single" w:sz="4" w:space="0" w:color="auto"/>
              <w:right w:val="single" w:sz="4" w:space="0" w:color="auto"/>
            </w:tcBorders>
            <w:hideMark/>
          </w:tcPr>
          <w:p w14:paraId="5F1ED820" w14:textId="6E9D81AF" w:rsidR="001778AA" w:rsidRPr="001775D9" w:rsidRDefault="001778AA" w:rsidP="00D47253">
            <w:pPr>
              <w:keepNext/>
              <w:tabs>
                <w:tab w:val="clear" w:pos="567"/>
                <w:tab w:val="left" w:pos="720"/>
              </w:tabs>
              <w:spacing w:line="240" w:lineRule="auto"/>
              <w:rPr>
                <w:rFonts w:eastAsia="Calibri"/>
                <w:szCs w:val="22"/>
                <w:lang w:eastAsia="ja-JP"/>
              </w:rPr>
            </w:pPr>
            <w:r w:rsidRPr="001775D9">
              <w:rPr>
                <w:rFonts w:eastAsia="Calibri"/>
                <w:szCs w:val="22"/>
                <w:lang w:eastAsia="ja-JP"/>
              </w:rPr>
              <w:t>20</w:t>
            </w:r>
            <w:r w:rsidR="00283506" w:rsidRPr="001775D9">
              <w:rPr>
                <w:rFonts w:eastAsia="Calibri"/>
                <w:szCs w:val="22"/>
                <w:lang w:eastAsia="ja-JP"/>
              </w:rPr>
              <w:t> </w:t>
            </w:r>
            <w:r w:rsidRPr="001775D9">
              <w:rPr>
                <w:rFonts w:eastAsia="Calibri"/>
                <w:szCs w:val="22"/>
                <w:lang w:eastAsia="ja-JP"/>
              </w:rPr>
              <w:t>mg every other week in combination with methotrexate</w:t>
            </w:r>
          </w:p>
        </w:tc>
      </w:tr>
      <w:tr w:rsidR="001778AA" w:rsidRPr="00F04F82" w14:paraId="527DA8F8" w14:textId="77777777" w:rsidTr="00D47253">
        <w:trPr>
          <w:tblHeader/>
        </w:trPr>
        <w:tc>
          <w:tcPr>
            <w:tcW w:w="4253" w:type="dxa"/>
            <w:tcBorders>
              <w:top w:val="single" w:sz="4" w:space="0" w:color="auto"/>
              <w:left w:val="single" w:sz="4" w:space="0" w:color="auto"/>
              <w:bottom w:val="single" w:sz="4" w:space="0" w:color="auto"/>
              <w:right w:val="single" w:sz="4" w:space="0" w:color="auto"/>
            </w:tcBorders>
            <w:hideMark/>
          </w:tcPr>
          <w:p w14:paraId="2CB50465" w14:textId="2B850F49" w:rsidR="001778AA" w:rsidRPr="00D55B59" w:rsidRDefault="001778AA" w:rsidP="00D47253">
            <w:pPr>
              <w:keepNext/>
              <w:tabs>
                <w:tab w:val="clear" w:pos="567"/>
                <w:tab w:val="left" w:pos="720"/>
              </w:tabs>
              <w:spacing w:line="240" w:lineRule="auto"/>
              <w:rPr>
                <w:rFonts w:eastAsia="Calibri"/>
                <w:b/>
                <w:szCs w:val="22"/>
                <w:lang w:eastAsia="ja-JP"/>
                <w:rPrChange w:id="1420" w:author="Author">
                  <w:rPr>
                    <w:rFonts w:eastAsia="Calibri"/>
                    <w:b/>
                    <w:szCs w:val="22"/>
                    <w:lang w:val="en-US" w:eastAsia="ja-JP"/>
                  </w:rPr>
                </w:rPrChange>
              </w:rPr>
            </w:pPr>
            <w:r w:rsidRPr="00D55B59">
              <w:rPr>
                <w:rFonts w:eastAsia="Calibri"/>
                <w:szCs w:val="22"/>
                <w:lang w:eastAsia="ja-JP"/>
                <w:rPrChange w:id="1421" w:author="Author">
                  <w:rPr>
                    <w:rFonts w:eastAsia="Calibri"/>
                    <w:szCs w:val="22"/>
                    <w:lang w:val="en-US" w:eastAsia="ja-JP"/>
                  </w:rPr>
                </w:rPrChange>
              </w:rPr>
              <w:t>≥ 30</w:t>
            </w:r>
            <w:r w:rsidR="00283506" w:rsidRPr="00D55B59">
              <w:rPr>
                <w:rFonts w:eastAsia="Calibri"/>
                <w:szCs w:val="22"/>
                <w:lang w:eastAsia="ja-JP"/>
                <w:rPrChange w:id="1422" w:author="Author">
                  <w:rPr>
                    <w:rFonts w:eastAsia="Calibri"/>
                    <w:szCs w:val="22"/>
                    <w:lang w:val="en-US" w:eastAsia="ja-JP"/>
                  </w:rPr>
                </w:rPrChange>
              </w:rPr>
              <w:t> </w:t>
            </w:r>
            <w:r w:rsidRPr="00D55B59">
              <w:rPr>
                <w:rFonts w:eastAsia="Calibri"/>
                <w:szCs w:val="22"/>
                <w:lang w:eastAsia="ja-JP"/>
                <w:rPrChange w:id="1423" w:author="Author">
                  <w:rPr>
                    <w:rFonts w:eastAsia="Calibri"/>
                    <w:szCs w:val="22"/>
                    <w:lang w:val="en-US" w:eastAsia="ja-JP"/>
                  </w:rPr>
                </w:rPrChange>
              </w:rPr>
              <w:t>kg</w:t>
            </w:r>
          </w:p>
        </w:tc>
        <w:tc>
          <w:tcPr>
            <w:tcW w:w="5103" w:type="dxa"/>
            <w:tcBorders>
              <w:top w:val="single" w:sz="4" w:space="0" w:color="auto"/>
              <w:left w:val="single" w:sz="4" w:space="0" w:color="auto"/>
              <w:bottom w:val="single" w:sz="4" w:space="0" w:color="auto"/>
              <w:right w:val="single" w:sz="4" w:space="0" w:color="auto"/>
            </w:tcBorders>
            <w:hideMark/>
          </w:tcPr>
          <w:p w14:paraId="37765A94" w14:textId="2AA82EF9" w:rsidR="001778AA" w:rsidRPr="00D55B59" w:rsidRDefault="001778AA" w:rsidP="00D47253">
            <w:pPr>
              <w:suppressAutoHyphens/>
              <w:spacing w:line="240" w:lineRule="auto"/>
              <w:rPr>
                <w:rFonts w:eastAsia="Times New Roman"/>
                <w:szCs w:val="22"/>
                <w:rPrChange w:id="1424" w:author="Author">
                  <w:rPr>
                    <w:rFonts w:eastAsia="Times New Roman"/>
                    <w:szCs w:val="22"/>
                    <w:lang w:val="en-US"/>
                  </w:rPr>
                </w:rPrChange>
              </w:rPr>
            </w:pPr>
            <w:r w:rsidRPr="00D55B59">
              <w:rPr>
                <w:rFonts w:eastAsia="Times New Roman"/>
                <w:szCs w:val="22"/>
                <w:rPrChange w:id="1425" w:author="Author">
                  <w:rPr>
                    <w:rFonts w:eastAsia="Times New Roman"/>
                    <w:szCs w:val="22"/>
                    <w:lang w:val="en-US"/>
                  </w:rPr>
                </w:rPrChange>
              </w:rPr>
              <w:t>40</w:t>
            </w:r>
            <w:r w:rsidR="00283506" w:rsidRPr="00D55B59">
              <w:rPr>
                <w:rFonts w:eastAsia="Times New Roman"/>
                <w:szCs w:val="22"/>
                <w:rPrChange w:id="1426" w:author="Author">
                  <w:rPr>
                    <w:rFonts w:eastAsia="Times New Roman"/>
                    <w:szCs w:val="22"/>
                    <w:lang w:val="en-US"/>
                  </w:rPr>
                </w:rPrChange>
              </w:rPr>
              <w:t> </w:t>
            </w:r>
            <w:r w:rsidRPr="00D55B59">
              <w:rPr>
                <w:rFonts w:eastAsia="Times New Roman"/>
                <w:szCs w:val="22"/>
                <w:rPrChange w:id="1427" w:author="Author">
                  <w:rPr>
                    <w:rFonts w:eastAsia="Times New Roman"/>
                    <w:szCs w:val="22"/>
                    <w:lang w:val="en-US"/>
                  </w:rPr>
                </w:rPrChange>
              </w:rPr>
              <w:t>mg every other week in combination with methotrexate</w:t>
            </w:r>
          </w:p>
        </w:tc>
      </w:tr>
    </w:tbl>
    <w:p w14:paraId="39C81DB1"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4D27E2D8" w14:textId="77777777" w:rsidR="001778AA" w:rsidRPr="001775D9" w:rsidRDefault="001778AA" w:rsidP="00F36BD0">
      <w:pPr>
        <w:keepNext/>
        <w:keepLines/>
        <w:tabs>
          <w:tab w:val="clear" w:pos="567"/>
          <w:tab w:val="left" w:pos="720"/>
        </w:tabs>
        <w:autoSpaceDE w:val="0"/>
        <w:autoSpaceDN w:val="0"/>
        <w:adjustRightInd w:val="0"/>
        <w:spacing w:line="240" w:lineRule="auto"/>
        <w:rPr>
          <w:szCs w:val="22"/>
          <w:lang w:eastAsia="en-GB"/>
        </w:rPr>
      </w:pPr>
      <w:r w:rsidRPr="001775D9">
        <w:rPr>
          <w:szCs w:val="22"/>
          <w:lang w:eastAsia="en-GB"/>
        </w:rPr>
        <w:t>When AMGEVITA therapy is initiated, a loading dose of 40</w:t>
      </w:r>
      <w:r w:rsidRPr="001775D9">
        <w:rPr>
          <w:color w:val="000000"/>
          <w:szCs w:val="22"/>
        </w:rPr>
        <w:t> </w:t>
      </w:r>
      <w:r w:rsidRPr="001775D9">
        <w:rPr>
          <w:szCs w:val="22"/>
          <w:lang w:eastAsia="en-GB"/>
        </w:rPr>
        <w:t>mg for patients &lt;</w:t>
      </w:r>
      <w:r w:rsidRPr="001775D9">
        <w:rPr>
          <w:szCs w:val="22"/>
        </w:rPr>
        <w:t> </w:t>
      </w:r>
      <w:r w:rsidRPr="001775D9">
        <w:rPr>
          <w:szCs w:val="22"/>
          <w:lang w:eastAsia="en-GB"/>
        </w:rPr>
        <w:t>30</w:t>
      </w:r>
      <w:r w:rsidRPr="001775D9">
        <w:rPr>
          <w:color w:val="000000"/>
          <w:szCs w:val="22"/>
        </w:rPr>
        <w:t> </w:t>
      </w:r>
      <w:r w:rsidRPr="001775D9">
        <w:rPr>
          <w:szCs w:val="22"/>
          <w:lang w:eastAsia="en-GB"/>
        </w:rPr>
        <w:t>kg or 80</w:t>
      </w:r>
      <w:r w:rsidRPr="001775D9">
        <w:rPr>
          <w:szCs w:val="22"/>
        </w:rPr>
        <w:t> </w:t>
      </w:r>
      <w:r w:rsidRPr="001775D9">
        <w:rPr>
          <w:szCs w:val="22"/>
          <w:lang w:eastAsia="en-GB"/>
        </w:rPr>
        <w:t>mg for patients ≥</w:t>
      </w:r>
      <w:r w:rsidRPr="001775D9">
        <w:rPr>
          <w:szCs w:val="22"/>
        </w:rPr>
        <w:t> </w:t>
      </w:r>
      <w:r w:rsidRPr="001775D9">
        <w:rPr>
          <w:szCs w:val="22"/>
          <w:lang w:eastAsia="en-GB"/>
        </w:rPr>
        <w:t>30</w:t>
      </w:r>
      <w:r w:rsidRPr="001775D9">
        <w:rPr>
          <w:color w:val="000000"/>
          <w:szCs w:val="22"/>
        </w:rPr>
        <w:t> </w:t>
      </w:r>
      <w:r w:rsidRPr="001775D9">
        <w:rPr>
          <w:szCs w:val="22"/>
          <w:lang w:eastAsia="en-GB"/>
        </w:rPr>
        <w:t>kg may be administered one week prior to the start of maintenance therapy. No clinical data are available on the use of a AMGEVITA loading dose in children &lt;</w:t>
      </w:r>
      <w:r w:rsidRPr="001775D9">
        <w:rPr>
          <w:szCs w:val="22"/>
        </w:rPr>
        <w:t> </w:t>
      </w:r>
      <w:r w:rsidRPr="001775D9">
        <w:rPr>
          <w:szCs w:val="22"/>
          <w:lang w:eastAsia="en-GB"/>
        </w:rPr>
        <w:t>6 years of age (see section</w:t>
      </w:r>
      <w:r w:rsidRPr="001775D9">
        <w:rPr>
          <w:color w:val="000000"/>
          <w:szCs w:val="22"/>
        </w:rPr>
        <w:t> </w:t>
      </w:r>
      <w:r w:rsidRPr="001775D9">
        <w:rPr>
          <w:szCs w:val="22"/>
          <w:lang w:eastAsia="en-GB"/>
        </w:rPr>
        <w:t>5.2).</w:t>
      </w:r>
    </w:p>
    <w:p w14:paraId="0E36669E"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580B6F53"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There is no relevant use of AMGEVITA in children aged less than 2 years in this indication.</w:t>
      </w:r>
    </w:p>
    <w:p w14:paraId="49BA9845"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p>
    <w:p w14:paraId="16707618" w14:textId="77777777" w:rsidR="001778AA" w:rsidRPr="001775D9" w:rsidRDefault="001778AA" w:rsidP="001778AA">
      <w:pPr>
        <w:tabs>
          <w:tab w:val="clear" w:pos="567"/>
          <w:tab w:val="left" w:pos="720"/>
        </w:tabs>
        <w:autoSpaceDE w:val="0"/>
        <w:autoSpaceDN w:val="0"/>
        <w:adjustRightInd w:val="0"/>
        <w:spacing w:line="240" w:lineRule="auto"/>
        <w:rPr>
          <w:szCs w:val="22"/>
          <w:lang w:eastAsia="en-GB"/>
        </w:rPr>
      </w:pPr>
      <w:r w:rsidRPr="001775D9">
        <w:rPr>
          <w:szCs w:val="22"/>
          <w:lang w:eastAsia="en-GB"/>
        </w:rPr>
        <w:t>It is recommended that the benefit and risk of continued long-term treatment should be evaluated on a yearly basis (see section 5.1).</w:t>
      </w:r>
    </w:p>
    <w:p w14:paraId="4E07E661" w14:textId="77777777" w:rsidR="00F965B6" w:rsidRPr="001775D9" w:rsidRDefault="00F965B6" w:rsidP="00F965B6">
      <w:pPr>
        <w:tabs>
          <w:tab w:val="clear" w:pos="567"/>
        </w:tabs>
        <w:autoSpaceDE w:val="0"/>
        <w:autoSpaceDN w:val="0"/>
        <w:adjustRightInd w:val="0"/>
        <w:spacing w:line="240" w:lineRule="auto"/>
        <w:rPr>
          <w:szCs w:val="22"/>
          <w:u w:val="single"/>
          <w:lang w:eastAsia="en-GB"/>
        </w:rPr>
      </w:pPr>
    </w:p>
    <w:p w14:paraId="1E7AB34B" w14:textId="239522FB" w:rsidR="00F965B6" w:rsidRPr="001775D9" w:rsidRDefault="00264FB3" w:rsidP="00F965B6">
      <w:pPr>
        <w:tabs>
          <w:tab w:val="clear" w:pos="567"/>
        </w:tabs>
        <w:autoSpaceDE w:val="0"/>
        <w:autoSpaceDN w:val="0"/>
        <w:adjustRightInd w:val="0"/>
        <w:spacing w:line="240" w:lineRule="auto"/>
        <w:rPr>
          <w:szCs w:val="22"/>
          <w:lang w:eastAsia="en-GB"/>
        </w:rPr>
      </w:pPr>
      <w:r w:rsidRPr="001775D9">
        <w:rPr>
          <w:szCs w:val="22"/>
          <w:lang w:eastAsia="en-GB"/>
        </w:rPr>
        <w:t>AMGEVITA</w:t>
      </w:r>
      <w:r w:rsidR="00F965B6" w:rsidRPr="001775D9">
        <w:rPr>
          <w:szCs w:val="22"/>
          <w:lang w:eastAsia="en-GB"/>
        </w:rPr>
        <w:t xml:space="preserve"> may be available in different strengths and/or presentations depending on the individual treatment needs.</w:t>
      </w:r>
    </w:p>
    <w:p w14:paraId="736F4730"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0F0AFFCA"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Method of administration </w:t>
      </w:r>
    </w:p>
    <w:p w14:paraId="3403ABE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BE63CEC"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AMGEVITA</w:t>
      </w:r>
      <w:r w:rsidRPr="001775D9">
        <w:rPr>
          <w:szCs w:val="22"/>
          <w:lang w:eastAsia="en-GB"/>
        </w:rPr>
        <w:t xml:space="preserve"> is administered by subcutaneous injection. Full instructions for use are provided in the package leaflet.</w:t>
      </w:r>
    </w:p>
    <w:p w14:paraId="1ABBDD36" w14:textId="77777777" w:rsidR="001778AA" w:rsidRPr="001775D9" w:rsidRDefault="001778AA" w:rsidP="001778AA">
      <w:pPr>
        <w:tabs>
          <w:tab w:val="clear" w:pos="567"/>
        </w:tabs>
        <w:autoSpaceDE w:val="0"/>
        <w:autoSpaceDN w:val="0"/>
        <w:adjustRightInd w:val="0"/>
        <w:spacing w:line="240" w:lineRule="auto"/>
        <w:rPr>
          <w:szCs w:val="22"/>
        </w:rPr>
      </w:pPr>
    </w:p>
    <w:p w14:paraId="3422324A" w14:textId="111EDCED" w:rsidR="001778AA" w:rsidRPr="001775D9" w:rsidRDefault="001778AA" w:rsidP="00B61D9D">
      <w:pPr>
        <w:keepNext/>
        <w:tabs>
          <w:tab w:val="clear" w:pos="567"/>
        </w:tabs>
        <w:autoSpaceDE w:val="0"/>
        <w:autoSpaceDN w:val="0"/>
        <w:adjustRightInd w:val="0"/>
        <w:spacing w:line="240" w:lineRule="auto"/>
        <w:ind w:left="567" w:hanging="567"/>
        <w:rPr>
          <w:szCs w:val="22"/>
          <w:lang w:eastAsia="en-GB"/>
        </w:rPr>
      </w:pPr>
      <w:r w:rsidRPr="001775D9">
        <w:rPr>
          <w:b/>
          <w:bCs/>
          <w:szCs w:val="22"/>
          <w:lang w:eastAsia="en-GB"/>
        </w:rPr>
        <w:t>4.3</w:t>
      </w:r>
      <w:r w:rsidRPr="001775D9">
        <w:rPr>
          <w:b/>
          <w:bCs/>
          <w:szCs w:val="22"/>
          <w:lang w:eastAsia="en-GB"/>
        </w:rPr>
        <w:tab/>
        <w:t xml:space="preserve">Contraindications </w:t>
      </w:r>
    </w:p>
    <w:p w14:paraId="1EF01A46"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7C2CBDA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Hypersensitivity to the active substance or to any of the excipients listed in section 6.1. </w:t>
      </w:r>
    </w:p>
    <w:p w14:paraId="5B74A1C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46F6813"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Active tuberculosis or other severe infections such as sepsis, and opportunistic infections (see section 4.4). </w:t>
      </w:r>
    </w:p>
    <w:p w14:paraId="60F8626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3E366BA"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Moderate to severe heart failure (NYHA class III/IV) (see section 4.4). </w:t>
      </w:r>
    </w:p>
    <w:p w14:paraId="35E8C397"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3DA43F6A" w14:textId="680E3B19" w:rsidR="001778AA" w:rsidRPr="001775D9" w:rsidRDefault="001778AA" w:rsidP="00B61D9D">
      <w:pPr>
        <w:keepNext/>
        <w:tabs>
          <w:tab w:val="clear" w:pos="567"/>
        </w:tabs>
        <w:autoSpaceDE w:val="0"/>
        <w:autoSpaceDN w:val="0"/>
        <w:adjustRightInd w:val="0"/>
        <w:spacing w:line="240" w:lineRule="auto"/>
        <w:ind w:left="567" w:hanging="567"/>
        <w:rPr>
          <w:szCs w:val="22"/>
          <w:lang w:eastAsia="en-GB"/>
        </w:rPr>
      </w:pPr>
      <w:r w:rsidRPr="001775D9">
        <w:rPr>
          <w:b/>
          <w:bCs/>
          <w:szCs w:val="22"/>
          <w:lang w:eastAsia="en-GB"/>
        </w:rPr>
        <w:t>4.4</w:t>
      </w:r>
      <w:r w:rsidRPr="001775D9">
        <w:rPr>
          <w:b/>
          <w:bCs/>
          <w:szCs w:val="22"/>
          <w:lang w:eastAsia="en-GB"/>
        </w:rPr>
        <w:tab/>
        <w:t xml:space="preserve">Special warnings and precautions for use </w:t>
      </w:r>
    </w:p>
    <w:p w14:paraId="61218AE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EDA2E4F"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Traceability</w:t>
      </w:r>
    </w:p>
    <w:p w14:paraId="732F7299"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7E4C58FB"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order to improve the traceability of biological medicinal products, the name and the batch number of the administered product should be clearly recorded. </w:t>
      </w:r>
    </w:p>
    <w:p w14:paraId="51FE89B2"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2CF55CE3"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Infections </w:t>
      </w:r>
    </w:p>
    <w:p w14:paraId="5BF94788"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053A08CC"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Patients taking TNF-antagonists are more susceptible to serious infections. Impaired lung function may increase the risk for developing infections. Patients must therefore be monitored closely for infections, including tuberculosis, before, during and after treatment with </w:t>
      </w:r>
      <w:r w:rsidRPr="001775D9">
        <w:rPr>
          <w:color w:val="000000"/>
          <w:szCs w:val="22"/>
          <w:lang w:eastAsia="en-GB"/>
        </w:rPr>
        <w:t>AMGEVITA</w:t>
      </w:r>
      <w:r w:rsidRPr="001775D9">
        <w:rPr>
          <w:szCs w:val="22"/>
          <w:lang w:eastAsia="en-GB"/>
        </w:rPr>
        <w:t xml:space="preserve">. Because the elimination of adalimumab may take up to four months, monitoring should be continued throughout this period. </w:t>
      </w:r>
    </w:p>
    <w:p w14:paraId="1E702C2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05B079F"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Treatment with </w:t>
      </w:r>
      <w:r w:rsidRPr="001775D9">
        <w:rPr>
          <w:color w:val="000000"/>
          <w:szCs w:val="22"/>
          <w:lang w:eastAsia="en-GB"/>
        </w:rPr>
        <w:t>AMGEVITA</w:t>
      </w:r>
      <w:r w:rsidRPr="001775D9">
        <w:rPr>
          <w:szCs w:val="22"/>
          <w:lang w:eastAsia="en-GB"/>
        </w:rPr>
        <w:t xml:space="preserve"> should not be initiated in patients with active infections including chronic or localised infections until infections are controlled. In patients who have been exposed to tuberculosis and patients who have travelled in areas of high risk of tuberculosis or endemic mycoses, such as histoplasmosis, coccidioidomycosis, or blastomycosis, the risk and benefits of treatment with </w:t>
      </w:r>
      <w:r w:rsidRPr="001775D9">
        <w:rPr>
          <w:color w:val="000000"/>
          <w:szCs w:val="22"/>
          <w:lang w:eastAsia="en-GB"/>
        </w:rPr>
        <w:t>AMGEVITA</w:t>
      </w:r>
      <w:r w:rsidRPr="001775D9">
        <w:rPr>
          <w:szCs w:val="22"/>
          <w:lang w:eastAsia="en-GB"/>
        </w:rPr>
        <w:t xml:space="preserve"> should be considered prior to initiating therapy (see </w:t>
      </w:r>
      <w:r w:rsidRPr="001775D9">
        <w:rPr>
          <w:iCs/>
          <w:szCs w:val="22"/>
          <w:lang w:eastAsia="en-GB"/>
        </w:rPr>
        <w:t>Other opportunistic infections</w:t>
      </w:r>
      <w:r w:rsidRPr="001775D9">
        <w:rPr>
          <w:szCs w:val="22"/>
          <w:lang w:eastAsia="en-GB"/>
        </w:rPr>
        <w:t xml:space="preserve">). </w:t>
      </w:r>
    </w:p>
    <w:p w14:paraId="4F4039B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DF35BAD"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Patients who develop a new infection while undergoing treatment with </w:t>
      </w:r>
      <w:r w:rsidRPr="001775D9">
        <w:rPr>
          <w:color w:val="000000"/>
          <w:szCs w:val="22"/>
          <w:lang w:eastAsia="en-GB"/>
        </w:rPr>
        <w:t>AMGEVITA</w:t>
      </w:r>
      <w:r w:rsidRPr="001775D9">
        <w:rPr>
          <w:szCs w:val="22"/>
          <w:lang w:eastAsia="en-GB"/>
        </w:rPr>
        <w:t xml:space="preserve">, should be monitored closely and undergo a complete diagnostic evaluation. Administration of </w:t>
      </w:r>
      <w:r w:rsidRPr="001775D9">
        <w:rPr>
          <w:color w:val="000000"/>
          <w:szCs w:val="22"/>
          <w:lang w:eastAsia="en-GB"/>
        </w:rPr>
        <w:t>AMGEVITA</w:t>
      </w:r>
      <w:r w:rsidRPr="001775D9">
        <w:rPr>
          <w:szCs w:val="22"/>
          <w:lang w:eastAsia="en-GB"/>
        </w:rPr>
        <w:t xml:space="preserve"> should be discontinued if a patient develops a new serious infection or sepsis, and appropriate antimicrobial or antifungal therapy should be initiated until the infection is controlled. Physicians should exercise caution when considering the use of </w:t>
      </w:r>
      <w:r w:rsidRPr="001775D9">
        <w:rPr>
          <w:color w:val="000000"/>
          <w:szCs w:val="22"/>
          <w:lang w:eastAsia="en-GB"/>
        </w:rPr>
        <w:t>AMGEVITA</w:t>
      </w:r>
      <w:r w:rsidRPr="001775D9">
        <w:rPr>
          <w:szCs w:val="22"/>
          <w:lang w:eastAsia="en-GB"/>
        </w:rPr>
        <w:t xml:space="preserve"> in patients with a history of recurring infection or with underlying conditions which may predispose patients to infections, including the use of concomitant immunosuppressive medications. </w:t>
      </w:r>
    </w:p>
    <w:p w14:paraId="2C10E426" w14:textId="77777777" w:rsidR="001778AA" w:rsidRPr="001775D9" w:rsidRDefault="001778AA" w:rsidP="001778AA">
      <w:pPr>
        <w:tabs>
          <w:tab w:val="clear" w:pos="567"/>
        </w:tabs>
        <w:autoSpaceDE w:val="0"/>
        <w:autoSpaceDN w:val="0"/>
        <w:adjustRightInd w:val="0"/>
        <w:spacing w:line="240" w:lineRule="auto"/>
        <w:rPr>
          <w:i/>
          <w:iCs/>
          <w:szCs w:val="22"/>
          <w:lang w:eastAsia="en-GB"/>
        </w:rPr>
      </w:pPr>
    </w:p>
    <w:p w14:paraId="1F0D59A7"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i/>
          <w:iCs/>
          <w:szCs w:val="22"/>
          <w:lang w:eastAsia="en-GB"/>
        </w:rPr>
        <w:t>Serious infections</w:t>
      </w:r>
    </w:p>
    <w:p w14:paraId="5E3518F5"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360B5F2C"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Serious infections, including sepsis, due to bacterial, mycobacterial, invasive fungal, parasitic, viral, or other opportunistic infections such as listeriosis, legionellosis and pneumocystis have been reported in patients receiving adalimumab. </w:t>
      </w:r>
    </w:p>
    <w:p w14:paraId="6D4EF19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89779E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Other serious infections seen in clinical trials include pneumonia, pyelonephritis, septic arthritis and septicaemia. Hospitalisation or fatal outcomes associated with infections have been reported. </w:t>
      </w:r>
    </w:p>
    <w:p w14:paraId="362BC452" w14:textId="77777777" w:rsidR="001778AA" w:rsidRPr="001775D9" w:rsidRDefault="001778AA" w:rsidP="001778AA">
      <w:pPr>
        <w:tabs>
          <w:tab w:val="clear" w:pos="567"/>
        </w:tabs>
        <w:autoSpaceDE w:val="0"/>
        <w:autoSpaceDN w:val="0"/>
        <w:adjustRightInd w:val="0"/>
        <w:spacing w:line="240" w:lineRule="auto"/>
        <w:rPr>
          <w:i/>
          <w:iCs/>
          <w:szCs w:val="22"/>
          <w:lang w:eastAsia="en-GB"/>
        </w:rPr>
      </w:pPr>
    </w:p>
    <w:p w14:paraId="481742DF"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i/>
          <w:iCs/>
          <w:szCs w:val="22"/>
          <w:lang w:eastAsia="en-GB"/>
        </w:rPr>
        <w:t>Tuberculosis</w:t>
      </w:r>
    </w:p>
    <w:p w14:paraId="3F6D50FC"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5FC8A392"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Tuberculosis, including reactivation and new onset of tuberculosis, has been reported in patients receiving adalimumab. Reports included cases of pulmonary and extra-pulmonary (i.e. disseminated) tuberculosis.</w:t>
      </w:r>
    </w:p>
    <w:p w14:paraId="2F37F19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03B96EE"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Before initiation of therapy with </w:t>
      </w:r>
      <w:r w:rsidRPr="001775D9">
        <w:rPr>
          <w:color w:val="000000"/>
          <w:szCs w:val="22"/>
          <w:lang w:eastAsia="en-GB"/>
        </w:rPr>
        <w:t>AMGEVITA</w:t>
      </w:r>
      <w:r w:rsidRPr="001775D9">
        <w:rPr>
          <w:szCs w:val="22"/>
          <w:lang w:eastAsia="en-GB"/>
        </w:rPr>
        <w:t xml:space="preserve">, all patients must be evaluated for both active or inactive (“latent”) tuberculosis infection. This evaluation should include a detailed medical assessment of patient history of tuberculosis or possible previous exposure to people with active tuberculosis and previous and/or current immunosuppressive therapy. Appropriate screening tests (i.e. tuberculin skin test and chest x-ray) should be performed in all patients (local recommendations may apply). It is recommended that the conduct and results of these tests are recorded in the Patient Reminder Card. Prescribers are reminded of the risk of false negative tuberculin skin test results, especially in patients who are severely ill or immunocompromised. </w:t>
      </w:r>
    </w:p>
    <w:p w14:paraId="5919EBF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27E7C2F"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If active tuberculosis is diagnosed, </w:t>
      </w:r>
      <w:r w:rsidRPr="001775D9">
        <w:rPr>
          <w:color w:val="000000"/>
          <w:szCs w:val="22"/>
          <w:lang w:eastAsia="en-GB"/>
        </w:rPr>
        <w:t>AMGEVITA</w:t>
      </w:r>
      <w:r w:rsidRPr="001775D9">
        <w:rPr>
          <w:szCs w:val="22"/>
          <w:lang w:eastAsia="en-GB"/>
        </w:rPr>
        <w:t xml:space="preserve"> therapy must not be initiated (see section 4.3). </w:t>
      </w:r>
    </w:p>
    <w:p w14:paraId="596EF0E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01D12AF"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all situations described below, the benefit/risk balance of therapy should be very carefully considered. </w:t>
      </w:r>
    </w:p>
    <w:p w14:paraId="4662769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A6CC02C"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If latent tuberculosis is suspected, a physician with expertise in the treatment of tuberculosis should be consulted. </w:t>
      </w:r>
    </w:p>
    <w:p w14:paraId="491523B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B08D5A3"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If latent tuberculosis is diagnosed, appropriate treatment must be started with anti-tuberculosis prophylaxis treatment before the initiation of </w:t>
      </w:r>
      <w:r w:rsidRPr="001775D9">
        <w:rPr>
          <w:color w:val="000000"/>
          <w:szCs w:val="22"/>
          <w:lang w:eastAsia="en-GB"/>
        </w:rPr>
        <w:t>AMGEVITA</w:t>
      </w:r>
      <w:r w:rsidRPr="001775D9">
        <w:rPr>
          <w:szCs w:val="22"/>
          <w:lang w:eastAsia="en-GB"/>
        </w:rPr>
        <w:t xml:space="preserve">, and in accordance with local recommendations. </w:t>
      </w:r>
    </w:p>
    <w:p w14:paraId="2CF8AF1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B62269A"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Use of anti-tuberculosis prophylaxis treatment should also be considered before the initiation of </w:t>
      </w:r>
      <w:r w:rsidRPr="001775D9">
        <w:rPr>
          <w:color w:val="000000"/>
          <w:szCs w:val="22"/>
          <w:lang w:eastAsia="en-GB"/>
        </w:rPr>
        <w:t>AMGEVITA</w:t>
      </w:r>
      <w:r w:rsidRPr="001775D9">
        <w:rPr>
          <w:szCs w:val="22"/>
          <w:lang w:eastAsia="en-GB"/>
        </w:rPr>
        <w:t xml:space="preserve"> in patients with several or significant risk factors for tuberculosis despite a negative test for tuberculosis and in patients with a past history of latent or active tuberculosis in whom an adequate course of treatment cannot be confirmed. </w:t>
      </w:r>
    </w:p>
    <w:p w14:paraId="5F6FB796"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BE2E6EF"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Despite prophylactic treatment for tuberculosis, cases of reactivated tuberculosis have occurred in patients treated with adalimumab. Some patients who have been successfully treated for active tuberculosis have redeveloped tuberculosis while being treated with adalimumab. </w:t>
      </w:r>
    </w:p>
    <w:p w14:paraId="2AC238D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80A632B"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Patients should be instructed to seek medical advice if signs/symptoms suggestive of a tuberculosis infection (e.g. persistent cough, wasting/weight loss, low grade fever, listlessness) occur during or after therapy with </w:t>
      </w:r>
      <w:r w:rsidRPr="001775D9">
        <w:rPr>
          <w:color w:val="000000"/>
          <w:szCs w:val="22"/>
          <w:lang w:eastAsia="en-GB"/>
        </w:rPr>
        <w:t>AMGEVITA</w:t>
      </w:r>
      <w:r w:rsidRPr="001775D9">
        <w:rPr>
          <w:szCs w:val="22"/>
          <w:lang w:eastAsia="en-GB"/>
        </w:rPr>
        <w:t xml:space="preserve">. </w:t>
      </w:r>
    </w:p>
    <w:p w14:paraId="418B6022" w14:textId="77777777" w:rsidR="001778AA" w:rsidRPr="001775D9" w:rsidRDefault="001778AA" w:rsidP="001778AA">
      <w:pPr>
        <w:tabs>
          <w:tab w:val="clear" w:pos="567"/>
        </w:tabs>
        <w:autoSpaceDE w:val="0"/>
        <w:autoSpaceDN w:val="0"/>
        <w:adjustRightInd w:val="0"/>
        <w:spacing w:line="240" w:lineRule="auto"/>
        <w:rPr>
          <w:i/>
          <w:iCs/>
          <w:szCs w:val="22"/>
          <w:lang w:eastAsia="en-GB"/>
        </w:rPr>
      </w:pPr>
    </w:p>
    <w:p w14:paraId="1AF3C767"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i/>
          <w:iCs/>
          <w:szCs w:val="22"/>
          <w:lang w:eastAsia="en-GB"/>
        </w:rPr>
        <w:t>Other opportunistic infections</w:t>
      </w:r>
    </w:p>
    <w:p w14:paraId="15358619"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41663217" w14:textId="04FE2778"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Opportunistic infections, including invasive fungal infections have been observed in patients receiving adalimumab. These infections have not consistently been recognised in patients taking TNF</w:t>
      </w:r>
      <w:r w:rsidR="00283506" w:rsidRPr="001775D9">
        <w:rPr>
          <w:szCs w:val="22"/>
          <w:lang w:eastAsia="en-GB"/>
        </w:rPr>
        <w:noBreakHyphen/>
      </w:r>
      <w:r w:rsidRPr="001775D9">
        <w:rPr>
          <w:szCs w:val="22"/>
          <w:lang w:eastAsia="en-GB"/>
        </w:rPr>
        <w:t xml:space="preserve">antagonists and this has resulted in delays in appropriate treatment, sometimes resulting in fatal outcomes. </w:t>
      </w:r>
    </w:p>
    <w:p w14:paraId="089C815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71B7A9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For patients who develop the signs and symptoms such as fever, malaise, weight loss, sweats, cough, dyspnoea, and/or pulmonary infiltrates or other serious systemic illness with or without concomitant shock an invasive fungal infection should be suspected and administration of </w:t>
      </w:r>
      <w:r w:rsidRPr="001775D9">
        <w:rPr>
          <w:color w:val="000000"/>
          <w:szCs w:val="22"/>
          <w:lang w:eastAsia="en-GB"/>
        </w:rPr>
        <w:t>AMGEVITA</w:t>
      </w:r>
      <w:r w:rsidRPr="001775D9">
        <w:rPr>
          <w:szCs w:val="22"/>
          <w:lang w:eastAsia="en-GB"/>
        </w:rPr>
        <w:t xml:space="preserve"> should be promptly discontinued. Diagnosis and administration of empiric antifungal therapy in these patients should be made in consultation with a physician with expertise in the care of patients with invasive fungal infections. </w:t>
      </w:r>
    </w:p>
    <w:p w14:paraId="7439E5D6"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C3348F0"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Hepatitis B reactivation </w:t>
      </w:r>
    </w:p>
    <w:p w14:paraId="0682055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512BE15" w14:textId="77777777" w:rsidR="001778AA" w:rsidRPr="00D55B59" w:rsidRDefault="001778AA" w:rsidP="001778AA">
      <w:pPr>
        <w:pStyle w:val="Default"/>
        <w:rPr>
          <w:rFonts w:eastAsia="Times New Roman"/>
          <w:color w:val="auto"/>
          <w:sz w:val="22"/>
          <w:szCs w:val="22"/>
          <w:lang w:val="en-GB" w:eastAsia="en-GB"/>
          <w:rPrChange w:id="1428" w:author="Author">
            <w:rPr>
              <w:rFonts w:eastAsia="Times New Roman"/>
              <w:color w:val="auto"/>
              <w:sz w:val="22"/>
              <w:szCs w:val="22"/>
              <w:lang w:eastAsia="en-GB"/>
            </w:rPr>
          </w:rPrChange>
        </w:rPr>
      </w:pPr>
      <w:r w:rsidRPr="00D55B59">
        <w:rPr>
          <w:color w:val="auto"/>
          <w:sz w:val="22"/>
          <w:szCs w:val="22"/>
          <w:lang w:val="en-GB" w:eastAsia="en-GB"/>
          <w:rPrChange w:id="1429" w:author="Author">
            <w:rPr>
              <w:color w:val="auto"/>
              <w:sz w:val="22"/>
              <w:szCs w:val="22"/>
              <w:lang w:eastAsia="en-GB"/>
            </w:rPr>
          </w:rPrChange>
        </w:rPr>
        <w:t xml:space="preserve">Reactivation of hepatitis B has occurred in patients receiving a TNF-antagonist including </w:t>
      </w:r>
      <w:r w:rsidRPr="00D55B59">
        <w:rPr>
          <w:sz w:val="22"/>
          <w:szCs w:val="22"/>
          <w:lang w:val="en-GB" w:eastAsia="en-GB"/>
          <w:rPrChange w:id="1430" w:author="Author">
            <w:rPr>
              <w:sz w:val="22"/>
              <w:szCs w:val="22"/>
              <w:lang w:eastAsia="en-GB"/>
            </w:rPr>
          </w:rPrChange>
        </w:rPr>
        <w:t>adalimumab</w:t>
      </w:r>
      <w:r w:rsidRPr="00D55B59">
        <w:rPr>
          <w:color w:val="auto"/>
          <w:sz w:val="22"/>
          <w:szCs w:val="22"/>
          <w:lang w:val="en-GB" w:eastAsia="en-GB"/>
          <w:rPrChange w:id="1431" w:author="Author">
            <w:rPr>
              <w:color w:val="auto"/>
              <w:sz w:val="22"/>
              <w:szCs w:val="22"/>
              <w:lang w:eastAsia="en-GB"/>
            </w:rPr>
          </w:rPrChange>
        </w:rPr>
        <w:t>, who are chronic carriers of this virus (i.e. surface antigen positive). Some cases have had a fatal outcome. Patients should be tested for HBV infection before initiating treatment with</w:t>
      </w:r>
      <w:r w:rsidRPr="00D55B59">
        <w:rPr>
          <w:sz w:val="22"/>
          <w:szCs w:val="22"/>
          <w:lang w:val="en-GB" w:eastAsia="en-GB"/>
          <w:rPrChange w:id="1432" w:author="Author">
            <w:rPr>
              <w:sz w:val="22"/>
              <w:szCs w:val="22"/>
              <w:lang w:eastAsia="en-GB"/>
            </w:rPr>
          </w:rPrChange>
        </w:rPr>
        <w:t xml:space="preserve"> AMGEVITA</w:t>
      </w:r>
      <w:r w:rsidRPr="00D55B59">
        <w:rPr>
          <w:color w:val="auto"/>
          <w:sz w:val="22"/>
          <w:szCs w:val="22"/>
          <w:lang w:val="en-GB" w:eastAsia="en-GB"/>
          <w:rPrChange w:id="1433" w:author="Author">
            <w:rPr>
              <w:color w:val="auto"/>
              <w:sz w:val="22"/>
              <w:szCs w:val="22"/>
              <w:lang w:eastAsia="en-GB"/>
            </w:rPr>
          </w:rPrChange>
        </w:rPr>
        <w:t xml:space="preserve">. For </w:t>
      </w:r>
      <w:r w:rsidRPr="00D55B59">
        <w:rPr>
          <w:rFonts w:eastAsia="Times New Roman"/>
          <w:color w:val="auto"/>
          <w:sz w:val="22"/>
          <w:szCs w:val="22"/>
          <w:lang w:val="en-GB" w:eastAsia="en-GB"/>
          <w:rPrChange w:id="1434" w:author="Author">
            <w:rPr>
              <w:rFonts w:eastAsia="Times New Roman"/>
              <w:color w:val="auto"/>
              <w:sz w:val="22"/>
              <w:szCs w:val="22"/>
              <w:lang w:eastAsia="en-GB"/>
            </w:rPr>
          </w:rPrChange>
        </w:rPr>
        <w:t xml:space="preserve">patients who test positive for hepatitis B infection, consultation with a physician with expertise in the treatment of hepatitis B is recommended. </w:t>
      </w:r>
    </w:p>
    <w:p w14:paraId="7B12F44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1335BE2"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Carriers of HBV who require treatment with </w:t>
      </w:r>
      <w:r w:rsidRPr="001775D9">
        <w:rPr>
          <w:color w:val="000000"/>
          <w:szCs w:val="22"/>
          <w:lang w:eastAsia="en-GB"/>
        </w:rPr>
        <w:t>AMGEVITA</w:t>
      </w:r>
      <w:r w:rsidRPr="001775D9">
        <w:rPr>
          <w:szCs w:val="22"/>
          <w:lang w:eastAsia="en-GB"/>
        </w:rPr>
        <w:t xml:space="preserve"> should be closely monitored for signs and symptoms of active HBV infection throughout therapy and for several months following termination of therapy. Adequate data from treating patients who are carriers of HBV with anti-viral therapy in conjunction with TNF-antagonist therapy to prevent HBV reactivation are not available. In patients who develop HBV reactivation, </w:t>
      </w:r>
      <w:r w:rsidRPr="001775D9">
        <w:rPr>
          <w:color w:val="000000"/>
          <w:szCs w:val="22"/>
          <w:lang w:eastAsia="en-GB"/>
        </w:rPr>
        <w:t>AMGEVITA</w:t>
      </w:r>
      <w:r w:rsidRPr="001775D9">
        <w:rPr>
          <w:szCs w:val="22"/>
          <w:lang w:eastAsia="en-GB"/>
        </w:rPr>
        <w:t xml:space="preserve"> should be stopped and effective anti-viral therapy with appropriate supportive treatment should be initiated. </w:t>
      </w:r>
    </w:p>
    <w:p w14:paraId="4A58B73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8793862"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Neurological events </w:t>
      </w:r>
    </w:p>
    <w:p w14:paraId="6D74D00E"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355E9BBA"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TNF-antagonists including adalimumab have been associated in rare instances with new onset or exacerbation of clinical symptoms and/or radiographic evidence of central nervous system demyelinating disease including multiple sclerosis and optic neuritis, and peripheral demyelinating disease, including Guillain-Barré syndrome. Prescribers should exercise caution in considering the use of </w:t>
      </w:r>
      <w:r w:rsidRPr="001775D9">
        <w:rPr>
          <w:color w:val="000000"/>
          <w:szCs w:val="22"/>
          <w:lang w:eastAsia="en-GB"/>
        </w:rPr>
        <w:t>AMGEVITA</w:t>
      </w:r>
      <w:r w:rsidRPr="001775D9">
        <w:rPr>
          <w:szCs w:val="22"/>
          <w:lang w:eastAsia="en-GB"/>
        </w:rPr>
        <w:t xml:space="preserve"> in patients with pre-existing or recent-onset central or peripheral nervous system demyelinating disorders; discontinuation of AMGEVITA should be considered if any of these disorders develop. There is a known association between intermediate uveitis and central demyelinating disorders. Neurologic evaluation should be performed in patients with non-infectious intermediate uveitis prior to the initiation of AMGEVITA therapy and regularly during treatment to assess for pre-existing or developing central demyelinating disorders.</w:t>
      </w:r>
    </w:p>
    <w:p w14:paraId="0989051E"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6895FB81"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Allergic reactions </w:t>
      </w:r>
    </w:p>
    <w:p w14:paraId="5CDE7920"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5DD9A4BA"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 xml:space="preserve">Serious allergic reactions associated with adalimumab were rare during clinical trials. Non-serious allergic reactions associated with adalimumab were uncommon during clinical trials. Reports of serious allergic reactions including anaphylaxis have been received following adalimumab administration. If an anaphylactic reaction or other serious allergic reaction occurs, administration of </w:t>
      </w:r>
      <w:r w:rsidRPr="001775D9">
        <w:rPr>
          <w:color w:val="000000"/>
          <w:szCs w:val="22"/>
          <w:lang w:eastAsia="en-GB"/>
        </w:rPr>
        <w:t>AMGEVITA</w:t>
      </w:r>
      <w:r w:rsidRPr="001775D9">
        <w:rPr>
          <w:szCs w:val="22"/>
          <w:lang w:eastAsia="en-GB"/>
        </w:rPr>
        <w:t xml:space="preserve"> should be discontinued immediately and appropriate therapy initiated. </w:t>
      </w:r>
    </w:p>
    <w:p w14:paraId="0191673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2305A54"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Immunosuppression </w:t>
      </w:r>
    </w:p>
    <w:p w14:paraId="540623B4"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0A9497DF"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In a study of 64</w:t>
      </w:r>
      <w:r w:rsidRPr="001775D9">
        <w:rPr>
          <w:szCs w:val="22"/>
        </w:rPr>
        <w:t> </w:t>
      </w:r>
      <w:r w:rsidRPr="001775D9">
        <w:rPr>
          <w:szCs w:val="22"/>
          <w:lang w:eastAsia="en-GB"/>
        </w:rPr>
        <w:t xml:space="preserve">patients with rheumatoid arthritis that were treated with adalimumab, there was no evidence of depression of delayed-type hypersensitivity, depression of immunoglobulin levels, or change in enumeration of effector T-, B-, NK-cells, monocyte/macrophages, and neutrophils. </w:t>
      </w:r>
    </w:p>
    <w:p w14:paraId="0192F39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D96EC4C"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Malignancies and lymphoproliferative disorders </w:t>
      </w:r>
    </w:p>
    <w:p w14:paraId="21F40BA9"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2A700E90"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 xml:space="preserve">In the controlled portions of adalimumab clinical trials of TNF-antagonists, more cases of malignancies including lymphoma have been observed among patients receiving a TNF-antagonist compared with control patients. However, the occurrence was rare. In the post-marketing setting, cases of leukaemia have been reported in patients treated with a TNF-antagonist. There is an increased background risk for lymphoma and leukaemia in rheumatoid arthritis patients with long-standing highly active, inflammatory disease, which complicates the risk estimation. With the current knowledge, a possible risk for the development of lymphomas, leukaemia, and other malignancies in patients treated with a TNF-antagonist cannot be excluded. </w:t>
      </w:r>
    </w:p>
    <w:p w14:paraId="27EB7EAF"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067C749"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Malignancies, some fatal, have been reported among children, adolescents and young adults (up to 22</w:t>
      </w:r>
      <w:r w:rsidRPr="001775D9">
        <w:rPr>
          <w:szCs w:val="22"/>
        </w:rPr>
        <w:t> </w:t>
      </w:r>
      <w:r w:rsidRPr="001775D9">
        <w:rPr>
          <w:szCs w:val="22"/>
          <w:lang w:eastAsia="en-GB"/>
        </w:rPr>
        <w:t>years of age) treated with TNF-antagonists (initiation of therapy ≤</w:t>
      </w:r>
      <w:r w:rsidRPr="001775D9">
        <w:rPr>
          <w:szCs w:val="22"/>
        </w:rPr>
        <w:t> </w:t>
      </w:r>
      <w:r w:rsidRPr="001775D9">
        <w:rPr>
          <w:szCs w:val="22"/>
          <w:lang w:eastAsia="en-GB"/>
        </w:rPr>
        <w:t xml:space="preserve">18 years of age), including adalimumab in the post-marketing setting. Approximately half the cases were lymphomas. The other cases represented a variety of different malignancies and included rare malignancies usually associated with immunosuppression. A risk for the development of malignancies in children and adolescents treated with TNF-antagonists cannot be excluded. </w:t>
      </w:r>
    </w:p>
    <w:p w14:paraId="7854E87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C67698F" w14:textId="77777777" w:rsidR="001778AA" w:rsidRPr="00D55B59" w:rsidRDefault="001778AA" w:rsidP="001778AA">
      <w:pPr>
        <w:pStyle w:val="Default"/>
        <w:rPr>
          <w:rFonts w:eastAsia="Times New Roman"/>
          <w:color w:val="auto"/>
          <w:sz w:val="22"/>
          <w:szCs w:val="22"/>
          <w:lang w:val="en-GB" w:eastAsia="en-GB"/>
          <w:rPrChange w:id="1435" w:author="Author">
            <w:rPr>
              <w:rFonts w:eastAsia="Times New Roman"/>
              <w:color w:val="auto"/>
              <w:sz w:val="22"/>
              <w:szCs w:val="22"/>
              <w:lang w:eastAsia="en-GB"/>
            </w:rPr>
          </w:rPrChange>
        </w:rPr>
      </w:pPr>
      <w:r w:rsidRPr="00D55B59">
        <w:rPr>
          <w:color w:val="auto"/>
          <w:sz w:val="22"/>
          <w:szCs w:val="22"/>
          <w:lang w:val="en-GB" w:eastAsia="en-GB"/>
          <w:rPrChange w:id="1436" w:author="Author">
            <w:rPr>
              <w:color w:val="auto"/>
              <w:sz w:val="22"/>
              <w:szCs w:val="22"/>
              <w:lang w:eastAsia="en-GB"/>
            </w:rPr>
          </w:rPrChange>
        </w:rPr>
        <w:t>Rare post-marketing cases of hepatosplenic T-cell lymphoma have been identified in patients treated with adalimumab. This rare type of T-cell lymphoma has a very aggressive disease course and is usually fatal. Some of these hepatosplenic T-cell lymphomas with</w:t>
      </w:r>
      <w:r w:rsidRPr="00D55B59">
        <w:rPr>
          <w:sz w:val="22"/>
          <w:szCs w:val="22"/>
          <w:lang w:val="en-GB" w:eastAsia="en-GB"/>
          <w:rPrChange w:id="1437" w:author="Author">
            <w:rPr>
              <w:sz w:val="22"/>
              <w:szCs w:val="22"/>
              <w:lang w:eastAsia="en-GB"/>
            </w:rPr>
          </w:rPrChange>
        </w:rPr>
        <w:t xml:space="preserve"> adalimumab </w:t>
      </w:r>
      <w:r w:rsidRPr="00D55B59">
        <w:rPr>
          <w:color w:val="auto"/>
          <w:sz w:val="22"/>
          <w:szCs w:val="22"/>
          <w:lang w:val="en-GB" w:eastAsia="en-GB"/>
          <w:rPrChange w:id="1438" w:author="Author">
            <w:rPr>
              <w:color w:val="auto"/>
              <w:sz w:val="22"/>
              <w:szCs w:val="22"/>
              <w:lang w:eastAsia="en-GB"/>
            </w:rPr>
          </w:rPrChange>
        </w:rPr>
        <w:t xml:space="preserve">have occurred in young </w:t>
      </w:r>
      <w:r w:rsidRPr="00D55B59">
        <w:rPr>
          <w:rFonts w:eastAsia="Times New Roman"/>
          <w:color w:val="auto"/>
          <w:sz w:val="22"/>
          <w:szCs w:val="22"/>
          <w:lang w:val="en-GB" w:eastAsia="en-GB"/>
          <w:rPrChange w:id="1439" w:author="Author">
            <w:rPr>
              <w:rFonts w:eastAsia="Times New Roman"/>
              <w:color w:val="auto"/>
              <w:sz w:val="22"/>
              <w:szCs w:val="22"/>
              <w:lang w:eastAsia="en-GB"/>
            </w:rPr>
          </w:rPrChange>
        </w:rPr>
        <w:t>adult patients on concomitant treatment with azathioprine or 6-mercaptopurine used for inflammatory bowel disease. The potential risk with the combination of azathioprine or 6</w:t>
      </w:r>
      <w:r w:rsidRPr="00D55B59">
        <w:rPr>
          <w:rFonts w:eastAsia="Times New Roman"/>
          <w:color w:val="auto"/>
          <w:sz w:val="22"/>
          <w:szCs w:val="22"/>
          <w:lang w:val="en-GB" w:eastAsia="en-GB"/>
          <w:rPrChange w:id="1440" w:author="Author">
            <w:rPr>
              <w:rFonts w:eastAsia="Times New Roman"/>
              <w:color w:val="auto"/>
              <w:sz w:val="22"/>
              <w:szCs w:val="22"/>
              <w:lang w:eastAsia="en-GB"/>
            </w:rPr>
          </w:rPrChange>
        </w:rPr>
        <w:noBreakHyphen/>
        <w:t xml:space="preserve">mercaptopurine and </w:t>
      </w:r>
      <w:r w:rsidRPr="00D55B59">
        <w:rPr>
          <w:sz w:val="22"/>
          <w:szCs w:val="22"/>
          <w:lang w:val="en-GB" w:eastAsia="en-GB"/>
          <w:rPrChange w:id="1441" w:author="Author">
            <w:rPr>
              <w:sz w:val="22"/>
              <w:szCs w:val="22"/>
              <w:lang w:eastAsia="en-GB"/>
            </w:rPr>
          </w:rPrChange>
        </w:rPr>
        <w:t>AMGEVITA</w:t>
      </w:r>
      <w:r w:rsidRPr="00D55B59">
        <w:rPr>
          <w:rFonts w:eastAsia="Times New Roman"/>
          <w:color w:val="auto"/>
          <w:sz w:val="22"/>
          <w:szCs w:val="22"/>
          <w:lang w:val="en-GB" w:eastAsia="en-GB"/>
          <w:rPrChange w:id="1442" w:author="Author">
            <w:rPr>
              <w:rFonts w:eastAsia="Times New Roman"/>
              <w:color w:val="auto"/>
              <w:sz w:val="22"/>
              <w:szCs w:val="22"/>
              <w:lang w:eastAsia="en-GB"/>
            </w:rPr>
          </w:rPrChange>
        </w:rPr>
        <w:t xml:space="preserve"> should be carefully considered. A risk for the development of hepatosplenic T-cell lymphoma in patients treated with </w:t>
      </w:r>
      <w:r w:rsidRPr="00D55B59">
        <w:rPr>
          <w:sz w:val="22"/>
          <w:szCs w:val="22"/>
          <w:lang w:val="en-GB" w:eastAsia="en-GB"/>
          <w:rPrChange w:id="1443" w:author="Author">
            <w:rPr>
              <w:sz w:val="22"/>
              <w:szCs w:val="22"/>
              <w:lang w:eastAsia="en-GB"/>
            </w:rPr>
          </w:rPrChange>
        </w:rPr>
        <w:t>AMGEVITA</w:t>
      </w:r>
      <w:r w:rsidRPr="00D55B59">
        <w:rPr>
          <w:rFonts w:eastAsia="Times New Roman"/>
          <w:color w:val="auto"/>
          <w:sz w:val="22"/>
          <w:szCs w:val="22"/>
          <w:lang w:val="en-GB" w:eastAsia="en-GB"/>
          <w:rPrChange w:id="1444" w:author="Author">
            <w:rPr>
              <w:rFonts w:eastAsia="Times New Roman"/>
              <w:color w:val="auto"/>
              <w:sz w:val="22"/>
              <w:szCs w:val="22"/>
              <w:lang w:eastAsia="en-GB"/>
            </w:rPr>
          </w:rPrChange>
        </w:rPr>
        <w:t xml:space="preserve"> cannot be excluded (see section 4.8). </w:t>
      </w:r>
    </w:p>
    <w:p w14:paraId="564979A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BCDBCE2"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No studies have been conducted that include patients with a history of malignancy or in whom treatment with adalimumab is continued following development of malignancy. Thus additional caution should be exercised in considering </w:t>
      </w:r>
      <w:r w:rsidRPr="001775D9">
        <w:rPr>
          <w:color w:val="000000"/>
          <w:szCs w:val="22"/>
          <w:lang w:eastAsia="en-GB"/>
        </w:rPr>
        <w:t>AMGEVITA</w:t>
      </w:r>
      <w:r w:rsidRPr="001775D9">
        <w:rPr>
          <w:szCs w:val="22"/>
          <w:lang w:eastAsia="en-GB"/>
        </w:rPr>
        <w:t xml:space="preserve"> treatment of these patients (see section 4.8). </w:t>
      </w:r>
    </w:p>
    <w:p w14:paraId="7ED41E8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AA4785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All patients, and in particular patients with a medical history of extensive immunosuppressant therapy or psoriasis patients with a history of PUVA treatment should be examined for the presence of non-melanoma skin cancer prior to and during treatment with </w:t>
      </w:r>
      <w:r w:rsidRPr="001775D9">
        <w:rPr>
          <w:color w:val="000000"/>
          <w:szCs w:val="22"/>
          <w:lang w:eastAsia="en-GB"/>
        </w:rPr>
        <w:t>AMGEVITA</w:t>
      </w:r>
      <w:r w:rsidRPr="001775D9">
        <w:rPr>
          <w:szCs w:val="22"/>
          <w:lang w:eastAsia="en-GB"/>
        </w:rPr>
        <w:t xml:space="preserve">. Melanoma and Merkel cell carcinoma have also been reported in patients treated with TNF-antagonists including adalimumab (see section 4.8). </w:t>
      </w:r>
    </w:p>
    <w:p w14:paraId="02A8695C"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1DEAF2A"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an exploratory clinical trial evaluating the use of another TNF-antagonist, infliximab, in patients with moderate to severe chronic obstructive pulmonary disease (COPD), more malignancies, mostly in the lung or head and neck, were reported in infliximab-treated patients compared with control patients. All patients had a history of heavy smoking. Therefore, caution should be exercised when using any TNF-antagonist in COPD patients, as well as in patients with increased risk for malignancy due to heavy smoking. </w:t>
      </w:r>
    </w:p>
    <w:p w14:paraId="26F28F57"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271C61C"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With current data it is not known if adalimumab treatment influences the risk for developing dysplasia or colon cancer. All patients with ulcerative colitis who are at increased risk for dysplasia or colon carcinoma (for example, patients with long-standing ulcerative colitis or primary sclerosing cholangitis), or who had a prior history of dysplasia or colon carcinoma should be screened for dysplasia at regular intervals before therapy and throughout their disease course. This evaluation should include colonoscopy and biopsies per local recommendations. </w:t>
      </w:r>
    </w:p>
    <w:p w14:paraId="21CA014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D9FEA37"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Haematologic reactions </w:t>
      </w:r>
    </w:p>
    <w:p w14:paraId="5AE92F9F"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3ED4D954"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lang w:eastAsia="en-GB"/>
        </w:rPr>
        <w:t>Rare reports of pancytopenia including aplastic anaemia have been reported with TNF-antagonists. Adverse events of the haematologic system, including medically significant cytopenia (e.g. thrombocytopenia, leukopenia) have been reported with adalimumab. All patients should be advised to seek immediate medical attention if they</w:t>
      </w:r>
      <w:r w:rsidRPr="001775D9">
        <w:rPr>
          <w:color w:val="000000"/>
          <w:szCs w:val="22"/>
          <w:lang w:eastAsia="en-GB"/>
        </w:rPr>
        <w:t xml:space="preserve"> develop signs and symptoms suggestive of blood dyscrasias (e.g. persistent fever, bruising, bleeding, pallor) while on AMGEVITA. Discontinuation of AMGEVITA therapy should be considered in patients with confirmed significant haematologic abnormalities. </w:t>
      </w:r>
    </w:p>
    <w:p w14:paraId="06A23AF2"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18BBF7B6"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Vaccinations </w:t>
      </w:r>
    </w:p>
    <w:p w14:paraId="7E1AB184"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61192231"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color w:val="000000"/>
          <w:szCs w:val="22"/>
          <w:lang w:eastAsia="en-GB"/>
        </w:rPr>
        <w:t xml:space="preserve">Similar antibody responses to the standard 23-valent pneumococcal vaccine and the influenza trivalent virus vaccination </w:t>
      </w:r>
      <w:r w:rsidRPr="001775D9">
        <w:rPr>
          <w:szCs w:val="22"/>
          <w:lang w:eastAsia="en-GB"/>
        </w:rPr>
        <w:t xml:space="preserve">were observed in a study in 226 adult subjects with rheumatoid arthritis who were treated with adalimumab or placebo. No data are available on the secondary transmission of infection by live vaccines in patients receiving adalimumab. </w:t>
      </w:r>
    </w:p>
    <w:p w14:paraId="1C419AC7"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BDB8A21"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It is recommended that paediatric patients, if possible, be brought up to date with all immunisations in agreement with current immunisation guidelines prior to initiating </w:t>
      </w:r>
      <w:r w:rsidRPr="001775D9">
        <w:rPr>
          <w:color w:val="000000"/>
          <w:szCs w:val="22"/>
          <w:lang w:eastAsia="en-GB"/>
        </w:rPr>
        <w:t>AMGEVITA</w:t>
      </w:r>
      <w:r w:rsidRPr="001775D9">
        <w:rPr>
          <w:szCs w:val="22"/>
          <w:lang w:eastAsia="en-GB"/>
        </w:rPr>
        <w:t xml:space="preserve"> therapy. </w:t>
      </w:r>
    </w:p>
    <w:p w14:paraId="504ED28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AF05EC2" w14:textId="253CE3F6" w:rsidR="001778AA" w:rsidRPr="001775D9" w:rsidRDefault="001778AA" w:rsidP="001778AA">
      <w:pPr>
        <w:tabs>
          <w:tab w:val="clear" w:pos="567"/>
        </w:tabs>
        <w:autoSpaceDE w:val="0"/>
        <w:autoSpaceDN w:val="0"/>
        <w:adjustRightInd w:val="0"/>
        <w:spacing w:line="240" w:lineRule="auto"/>
        <w:rPr>
          <w:b/>
          <w:bCs/>
          <w:szCs w:val="22"/>
          <w:lang w:eastAsia="en-GB"/>
        </w:rPr>
      </w:pPr>
      <w:r w:rsidRPr="001775D9">
        <w:rPr>
          <w:szCs w:val="22"/>
          <w:lang w:eastAsia="en-GB"/>
        </w:rPr>
        <w:t xml:space="preserve">Patients on </w:t>
      </w:r>
      <w:r w:rsidRPr="001775D9">
        <w:rPr>
          <w:color w:val="000000"/>
          <w:szCs w:val="22"/>
          <w:lang w:eastAsia="en-GB"/>
        </w:rPr>
        <w:t>AMGEVITA</w:t>
      </w:r>
      <w:r w:rsidRPr="001775D9">
        <w:rPr>
          <w:szCs w:val="22"/>
          <w:lang w:eastAsia="en-GB"/>
        </w:rPr>
        <w:t xml:space="preserve"> may receive concurrent vaccinations, except for live vaccines. Administration of live vaccines (e.g. BCG vaccine) to infants exposed to </w:t>
      </w:r>
      <w:r w:rsidRPr="001775D9">
        <w:rPr>
          <w:color w:val="000000"/>
          <w:szCs w:val="22"/>
          <w:lang w:eastAsia="en-GB"/>
        </w:rPr>
        <w:t>AMGEVITA</w:t>
      </w:r>
      <w:r w:rsidRPr="001775D9">
        <w:rPr>
          <w:szCs w:val="22"/>
          <w:lang w:eastAsia="en-GB"/>
        </w:rPr>
        <w:t xml:space="preserve"> </w:t>
      </w:r>
      <w:r w:rsidRPr="001775D9">
        <w:rPr>
          <w:i/>
          <w:iCs/>
          <w:szCs w:val="22"/>
          <w:lang w:eastAsia="en-GB"/>
        </w:rPr>
        <w:t>in utero</w:t>
      </w:r>
      <w:r w:rsidRPr="001775D9">
        <w:rPr>
          <w:szCs w:val="22"/>
          <w:lang w:eastAsia="en-GB"/>
        </w:rPr>
        <w:t xml:space="preserve"> is not recommended for 5</w:t>
      </w:r>
      <w:r w:rsidRPr="001775D9">
        <w:rPr>
          <w:szCs w:val="22"/>
        </w:rPr>
        <w:t> </w:t>
      </w:r>
      <w:r w:rsidRPr="001775D9">
        <w:rPr>
          <w:szCs w:val="22"/>
          <w:lang w:eastAsia="en-GB"/>
        </w:rPr>
        <w:t xml:space="preserve">months following the mother’s last </w:t>
      </w:r>
      <w:r w:rsidRPr="001775D9">
        <w:rPr>
          <w:color w:val="000000"/>
          <w:szCs w:val="22"/>
          <w:lang w:eastAsia="en-GB"/>
        </w:rPr>
        <w:t>AMGEVITA</w:t>
      </w:r>
      <w:r w:rsidRPr="001775D9">
        <w:rPr>
          <w:szCs w:val="22"/>
          <w:lang w:eastAsia="en-GB"/>
        </w:rPr>
        <w:t xml:space="preserve"> injection during pregnancy.</w:t>
      </w:r>
    </w:p>
    <w:p w14:paraId="72703C1F"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56BF7702"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Congestive heart failure </w:t>
      </w:r>
    </w:p>
    <w:p w14:paraId="0A456A6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40FFA1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a clinical trial with another TNF-antagonist worsening congestive heart failure and increased mortality due to congestive heart failure have been observed. Cases of worsening congestive heart failure have also been reported in patients receiving adalimumab. </w:t>
      </w:r>
      <w:r w:rsidRPr="001775D9">
        <w:rPr>
          <w:color w:val="000000"/>
          <w:szCs w:val="22"/>
          <w:lang w:eastAsia="en-GB"/>
        </w:rPr>
        <w:t>AMGEVITA</w:t>
      </w:r>
      <w:r w:rsidRPr="001775D9">
        <w:rPr>
          <w:szCs w:val="22"/>
          <w:lang w:eastAsia="en-GB"/>
        </w:rPr>
        <w:t xml:space="preserve"> should be used with caution in patients with mild heart failure (NYHA class I/II). </w:t>
      </w:r>
      <w:r w:rsidRPr="001775D9">
        <w:rPr>
          <w:color w:val="000000"/>
          <w:szCs w:val="22"/>
          <w:lang w:eastAsia="en-GB"/>
        </w:rPr>
        <w:t>AMGEVITA</w:t>
      </w:r>
      <w:r w:rsidRPr="001775D9">
        <w:rPr>
          <w:szCs w:val="22"/>
          <w:lang w:eastAsia="en-GB"/>
        </w:rPr>
        <w:t xml:space="preserve"> is contraindicated in moderate to severe heart failure (see section 4.3). Treatment with </w:t>
      </w:r>
      <w:r w:rsidRPr="001775D9">
        <w:rPr>
          <w:color w:val="000000"/>
          <w:szCs w:val="22"/>
          <w:lang w:eastAsia="en-GB"/>
        </w:rPr>
        <w:t>AMGEVITA</w:t>
      </w:r>
      <w:r w:rsidRPr="001775D9">
        <w:rPr>
          <w:szCs w:val="22"/>
          <w:lang w:eastAsia="en-GB"/>
        </w:rPr>
        <w:t xml:space="preserve"> must be discontinued in patients who develop new or worsening symptoms of congestive heart failure. </w:t>
      </w:r>
    </w:p>
    <w:p w14:paraId="13FA03D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971635B"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Autoimmune processes </w:t>
      </w:r>
    </w:p>
    <w:p w14:paraId="0DFD929F"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53EE9B4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Treatment with </w:t>
      </w:r>
      <w:r w:rsidRPr="001775D9">
        <w:rPr>
          <w:color w:val="000000"/>
          <w:szCs w:val="22"/>
          <w:lang w:eastAsia="en-GB"/>
        </w:rPr>
        <w:t>AMGEVITA</w:t>
      </w:r>
      <w:r w:rsidRPr="001775D9">
        <w:rPr>
          <w:szCs w:val="22"/>
          <w:lang w:eastAsia="en-GB"/>
        </w:rPr>
        <w:t xml:space="preserve"> may result in the formation of autoimmune antibodies. The impact of long-term treatment with </w:t>
      </w:r>
      <w:r w:rsidRPr="001775D9">
        <w:rPr>
          <w:color w:val="000000"/>
          <w:szCs w:val="22"/>
          <w:lang w:eastAsia="en-GB"/>
        </w:rPr>
        <w:t>AMGEVITA</w:t>
      </w:r>
      <w:r w:rsidRPr="001775D9">
        <w:rPr>
          <w:szCs w:val="22"/>
          <w:lang w:eastAsia="en-GB"/>
        </w:rPr>
        <w:t xml:space="preserve"> on the development of autoimmune diseases is unknown. If a patient develops symptoms suggestive of a lupus-like syndrome following treatment with </w:t>
      </w:r>
      <w:r w:rsidRPr="001775D9">
        <w:rPr>
          <w:color w:val="000000"/>
          <w:szCs w:val="22"/>
          <w:lang w:eastAsia="en-GB"/>
        </w:rPr>
        <w:t>AMGEVITA</w:t>
      </w:r>
      <w:r w:rsidRPr="001775D9">
        <w:rPr>
          <w:szCs w:val="22"/>
          <w:lang w:eastAsia="en-GB"/>
        </w:rPr>
        <w:t xml:space="preserve"> and is positive for antibodies against double-stranded DNA, further treatment with </w:t>
      </w:r>
      <w:r w:rsidRPr="001775D9">
        <w:rPr>
          <w:color w:val="000000"/>
          <w:szCs w:val="22"/>
          <w:lang w:eastAsia="en-GB"/>
        </w:rPr>
        <w:t>AMGEVITA</w:t>
      </w:r>
      <w:r w:rsidRPr="001775D9">
        <w:rPr>
          <w:szCs w:val="22"/>
          <w:lang w:eastAsia="en-GB"/>
        </w:rPr>
        <w:t xml:space="preserve"> should not be given (see section 4.8). </w:t>
      </w:r>
    </w:p>
    <w:p w14:paraId="03C7D18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3BD0C1F"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Concurrent administration of biologic DMARDs or TNF-antagonists </w:t>
      </w:r>
    </w:p>
    <w:p w14:paraId="2686B4F7"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p>
    <w:p w14:paraId="18D927F2"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 xml:space="preserve">Serious infections were seen in clinical studies with concurrent use of anakinra and another TNF-antagonist, etanercept, with no added clinical benefit compared to etanercept alone. Because of the nature of the adverse events seen with the combination of etanercept and anakinra therapy, similar toxicities may also result from the combination of anakinra and other TNF-antagonists. Therefore, the combination of AMGEVITA and anakinra is not recommended (see section 4.5). </w:t>
      </w:r>
    </w:p>
    <w:p w14:paraId="5DDE3BF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1AE5BE7"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lang w:eastAsia="en-GB"/>
        </w:rPr>
        <w:t>Concomitant administration of AMGEVITA with other biologic DMARDs (e.g. anakinra and abatacept) or other TNF-antagonists is not recommended based upon the possible increased risk for infections, including serious infections and other potential pharmacological</w:t>
      </w:r>
      <w:r w:rsidRPr="001775D9">
        <w:rPr>
          <w:color w:val="000000"/>
          <w:szCs w:val="22"/>
          <w:lang w:eastAsia="en-GB"/>
        </w:rPr>
        <w:t xml:space="preserve"> interactions (see section</w:t>
      </w:r>
      <w:r w:rsidRPr="001775D9">
        <w:rPr>
          <w:color w:val="000000"/>
          <w:szCs w:val="22"/>
        </w:rPr>
        <w:t> </w:t>
      </w:r>
      <w:r w:rsidRPr="001775D9">
        <w:rPr>
          <w:color w:val="000000"/>
          <w:szCs w:val="22"/>
          <w:lang w:eastAsia="en-GB"/>
        </w:rPr>
        <w:t xml:space="preserve">4.5). </w:t>
      </w:r>
    </w:p>
    <w:p w14:paraId="09086E1C"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2374DCB3"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Surgery </w:t>
      </w:r>
    </w:p>
    <w:p w14:paraId="55437F2A"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19725AAF"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There is limited safety experience of surgical </w:t>
      </w:r>
      <w:r w:rsidRPr="001775D9">
        <w:rPr>
          <w:szCs w:val="22"/>
          <w:lang w:eastAsia="en-GB"/>
        </w:rPr>
        <w:t xml:space="preserve">procedures in patients treated with adalimumab. The long half-life of adalimumab should be taken into consideration if a surgical procedure is planned. A patient who requires surgery while on </w:t>
      </w:r>
      <w:r w:rsidRPr="001775D9">
        <w:rPr>
          <w:color w:val="000000"/>
          <w:szCs w:val="22"/>
          <w:lang w:eastAsia="en-GB"/>
        </w:rPr>
        <w:t>AMGEVITA</w:t>
      </w:r>
      <w:r w:rsidRPr="001775D9">
        <w:rPr>
          <w:szCs w:val="22"/>
          <w:lang w:eastAsia="en-GB"/>
        </w:rPr>
        <w:t xml:space="preserve"> should be closely monitored for infections, and appropriate actions should be taken. There is limited safety experience in patients undergoing arthroplasty while receiving </w:t>
      </w:r>
      <w:r w:rsidRPr="001775D9">
        <w:rPr>
          <w:color w:val="000000"/>
          <w:szCs w:val="22"/>
          <w:lang w:eastAsia="en-GB"/>
        </w:rPr>
        <w:t>adalimumab</w:t>
      </w:r>
      <w:r w:rsidRPr="001775D9">
        <w:rPr>
          <w:szCs w:val="22"/>
          <w:lang w:eastAsia="en-GB"/>
        </w:rPr>
        <w:t xml:space="preserve">. </w:t>
      </w:r>
    </w:p>
    <w:p w14:paraId="530D98A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BA73263"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Small bowel obstruction </w:t>
      </w:r>
    </w:p>
    <w:p w14:paraId="6844DE5F"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3513DD9F"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 xml:space="preserve">Failure to respond to treatment for Crohn’s disease may indicate the presence of fixed fibrotic stricture that may require surgical treatment. Available data suggest that adalimumab does not worsen or cause strictures. </w:t>
      </w:r>
    </w:p>
    <w:p w14:paraId="5629E0F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FA788FF"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Elderly</w:t>
      </w:r>
    </w:p>
    <w:p w14:paraId="793F5362"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0D6ED203"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The frequency of serious infections among adalimumab-treated subjects over 65</w:t>
      </w:r>
      <w:r w:rsidRPr="001775D9">
        <w:rPr>
          <w:szCs w:val="22"/>
        </w:rPr>
        <w:t> </w:t>
      </w:r>
      <w:r w:rsidRPr="001775D9">
        <w:rPr>
          <w:szCs w:val="22"/>
          <w:lang w:eastAsia="en-GB"/>
        </w:rPr>
        <w:t>years of age (3.7%) was higher than for those under 65</w:t>
      </w:r>
      <w:r w:rsidRPr="001775D9">
        <w:rPr>
          <w:szCs w:val="22"/>
        </w:rPr>
        <w:t> </w:t>
      </w:r>
      <w:r w:rsidRPr="001775D9">
        <w:rPr>
          <w:szCs w:val="22"/>
          <w:lang w:eastAsia="en-GB"/>
        </w:rPr>
        <w:t xml:space="preserve">years of age (1.5%). Some of those had a fatal outcome. Particular attention regarding the risk for infection should be paid when treating the elderly. </w:t>
      </w:r>
    </w:p>
    <w:p w14:paraId="6F7B76DB"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E8BB17B"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Paediatric population </w:t>
      </w:r>
    </w:p>
    <w:p w14:paraId="0024BAB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C1AC749"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See Vaccinations above.</w:t>
      </w:r>
    </w:p>
    <w:p w14:paraId="4A5BEAB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348B411" w14:textId="77777777" w:rsidR="001778AA" w:rsidRPr="001775D9" w:rsidRDefault="001778AA" w:rsidP="001778AA">
      <w:pPr>
        <w:keepNext/>
        <w:tabs>
          <w:tab w:val="clear" w:pos="567"/>
        </w:tabs>
        <w:suppressAutoHyphens/>
        <w:spacing w:line="240" w:lineRule="auto"/>
        <w:rPr>
          <w:rFonts w:eastAsia="Times New Roman"/>
          <w:szCs w:val="24"/>
          <w:u w:val="single"/>
        </w:rPr>
      </w:pPr>
      <w:r w:rsidRPr="001775D9">
        <w:rPr>
          <w:rFonts w:eastAsia="Times New Roman"/>
          <w:szCs w:val="24"/>
          <w:u w:val="single"/>
        </w:rPr>
        <w:t>Sodium contents</w:t>
      </w:r>
    </w:p>
    <w:p w14:paraId="5730C97D" w14:textId="77777777" w:rsidR="001778AA" w:rsidRPr="001775D9" w:rsidRDefault="001778AA" w:rsidP="001778AA">
      <w:pPr>
        <w:keepNext/>
        <w:suppressAutoHyphens/>
        <w:autoSpaceDE w:val="0"/>
        <w:autoSpaceDN w:val="0"/>
        <w:adjustRightInd w:val="0"/>
        <w:spacing w:line="240" w:lineRule="auto"/>
        <w:rPr>
          <w:rFonts w:eastAsia="Times New Roman"/>
          <w:szCs w:val="22"/>
        </w:rPr>
      </w:pPr>
    </w:p>
    <w:p w14:paraId="05AEAE09" w14:textId="2C022524" w:rsidR="001778AA" w:rsidRPr="001775D9" w:rsidRDefault="001778AA" w:rsidP="001778AA">
      <w:pPr>
        <w:suppressAutoHyphens/>
        <w:autoSpaceDE w:val="0"/>
        <w:autoSpaceDN w:val="0"/>
        <w:adjustRightInd w:val="0"/>
        <w:spacing w:line="240" w:lineRule="auto"/>
        <w:rPr>
          <w:rFonts w:eastAsia="Times New Roman"/>
          <w:szCs w:val="22"/>
        </w:rPr>
      </w:pPr>
      <w:r w:rsidRPr="001775D9">
        <w:rPr>
          <w:rFonts w:eastAsia="Times New Roman"/>
          <w:szCs w:val="22"/>
        </w:rPr>
        <w:t>This medicinal product contains less than 1 mmol of sodium (23 mg) per 0.8 m</w:t>
      </w:r>
      <w:r w:rsidR="00DE7D2B" w:rsidRPr="001775D9">
        <w:rPr>
          <w:rFonts w:eastAsia="Times New Roman"/>
          <w:szCs w:val="22"/>
        </w:rPr>
        <w:t>L</w:t>
      </w:r>
      <w:r w:rsidRPr="001775D9">
        <w:rPr>
          <w:rFonts w:eastAsia="Times New Roman"/>
          <w:szCs w:val="22"/>
        </w:rPr>
        <w:t xml:space="preserve"> dose, that is to say essentially ‘sodium-free’.</w:t>
      </w:r>
    </w:p>
    <w:p w14:paraId="195738C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22A1C42" w14:textId="6957A892" w:rsidR="001778AA" w:rsidRPr="001775D9" w:rsidRDefault="001778AA" w:rsidP="00B61D9D">
      <w:pPr>
        <w:tabs>
          <w:tab w:val="clear" w:pos="567"/>
        </w:tabs>
        <w:autoSpaceDE w:val="0"/>
        <w:autoSpaceDN w:val="0"/>
        <w:adjustRightInd w:val="0"/>
        <w:spacing w:line="240" w:lineRule="auto"/>
        <w:ind w:left="567" w:hanging="567"/>
        <w:rPr>
          <w:szCs w:val="22"/>
          <w:lang w:eastAsia="en-GB"/>
        </w:rPr>
      </w:pPr>
      <w:r w:rsidRPr="001775D9">
        <w:rPr>
          <w:b/>
          <w:bCs/>
          <w:szCs w:val="22"/>
          <w:lang w:eastAsia="en-GB"/>
        </w:rPr>
        <w:t>4.5</w:t>
      </w:r>
      <w:r w:rsidRPr="001775D9">
        <w:rPr>
          <w:b/>
          <w:bCs/>
          <w:szCs w:val="22"/>
          <w:lang w:eastAsia="en-GB"/>
        </w:rPr>
        <w:tab/>
        <w:t xml:space="preserve">Interaction with other medicinal products and other forms of interaction </w:t>
      </w:r>
    </w:p>
    <w:p w14:paraId="648AF46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1CE165D"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Adalimumab has been studied in rheumatoid arthritis, polyarticular juvenile idiopathic arthritis and psoriatic arthritis patients taking adalimumab as monotherapy and those taking concomitant methotrexate. Antibody formation was lower when adalimumab was given together with methotrexate in comparison with use as monotherapy. Administration of adalimumab without methotrexate resulted in increased formation of antibodies, increased clearance and reduced efficacy of adalimumab (see section 5.1). </w:t>
      </w:r>
    </w:p>
    <w:p w14:paraId="1A3CC18F"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7DA4146"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 combination of </w:t>
      </w:r>
      <w:r w:rsidRPr="001775D9">
        <w:rPr>
          <w:color w:val="000000"/>
          <w:szCs w:val="22"/>
          <w:lang w:eastAsia="en-GB"/>
        </w:rPr>
        <w:t>AMGEVITA</w:t>
      </w:r>
      <w:r w:rsidRPr="001775D9">
        <w:rPr>
          <w:szCs w:val="22"/>
          <w:lang w:eastAsia="en-GB"/>
        </w:rPr>
        <w:t xml:space="preserve"> and anakinra is not recommended (see section 4.4 “Concurrent administration of biologic DMARDs or TNF-antagonists”). </w:t>
      </w:r>
    </w:p>
    <w:p w14:paraId="7B06E85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30CC14D"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 combination of </w:t>
      </w:r>
      <w:r w:rsidRPr="001775D9">
        <w:rPr>
          <w:color w:val="000000"/>
          <w:szCs w:val="22"/>
          <w:lang w:eastAsia="en-GB"/>
        </w:rPr>
        <w:t>AMGEVITA</w:t>
      </w:r>
      <w:r w:rsidRPr="001775D9">
        <w:rPr>
          <w:szCs w:val="22"/>
          <w:lang w:eastAsia="en-GB"/>
        </w:rPr>
        <w:t xml:space="preserve"> and abatacept is not recommended (see section 4.4 “Concurrent administration of biologic DMARDs or TNF-antagonists”). </w:t>
      </w:r>
    </w:p>
    <w:p w14:paraId="2B608383"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30A1F894" w14:textId="62EAE8B7" w:rsidR="001778AA" w:rsidRPr="001775D9" w:rsidRDefault="001778AA" w:rsidP="00B61D9D">
      <w:pPr>
        <w:keepNext/>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4.6</w:t>
      </w:r>
      <w:r w:rsidRPr="001775D9">
        <w:rPr>
          <w:b/>
          <w:bCs/>
          <w:szCs w:val="22"/>
          <w:lang w:eastAsia="en-GB"/>
        </w:rPr>
        <w:tab/>
        <w:t xml:space="preserve">Fertility, pregnancy and lactation </w:t>
      </w:r>
    </w:p>
    <w:p w14:paraId="50CA2440" w14:textId="77777777" w:rsidR="001778AA" w:rsidRPr="001775D9" w:rsidRDefault="001778AA" w:rsidP="001778AA">
      <w:pPr>
        <w:keepNext/>
        <w:tabs>
          <w:tab w:val="clear" w:pos="567"/>
        </w:tabs>
        <w:autoSpaceDE w:val="0"/>
        <w:autoSpaceDN w:val="0"/>
        <w:adjustRightInd w:val="0"/>
        <w:spacing w:line="240" w:lineRule="auto"/>
        <w:rPr>
          <w:b/>
          <w:bCs/>
          <w:szCs w:val="22"/>
          <w:lang w:eastAsia="en-GB"/>
        </w:rPr>
      </w:pPr>
    </w:p>
    <w:p w14:paraId="75DD86F6" w14:textId="77777777" w:rsidR="001778AA" w:rsidRPr="001775D9" w:rsidRDefault="001778AA" w:rsidP="001778AA">
      <w:pPr>
        <w:keepNext/>
        <w:shd w:val="clear" w:color="auto" w:fill="FFFFFF"/>
        <w:tabs>
          <w:tab w:val="clear" w:pos="567"/>
        </w:tabs>
        <w:spacing w:line="240" w:lineRule="auto"/>
        <w:rPr>
          <w:rFonts w:eastAsia="Times New Roman"/>
          <w:color w:val="000000"/>
          <w:szCs w:val="22"/>
          <w:u w:val="single"/>
        </w:rPr>
      </w:pPr>
      <w:r w:rsidRPr="001775D9">
        <w:rPr>
          <w:rFonts w:eastAsia="Times New Roman"/>
          <w:color w:val="000000"/>
          <w:szCs w:val="22"/>
          <w:u w:val="single"/>
        </w:rPr>
        <w:t>Women of child bearing potential</w:t>
      </w:r>
    </w:p>
    <w:p w14:paraId="4E8F71CB" w14:textId="77777777" w:rsidR="001778AA" w:rsidRPr="001775D9" w:rsidRDefault="001778AA" w:rsidP="001778AA">
      <w:pPr>
        <w:keepNext/>
        <w:shd w:val="clear" w:color="auto" w:fill="FFFFFF"/>
        <w:tabs>
          <w:tab w:val="clear" w:pos="567"/>
        </w:tabs>
        <w:spacing w:line="240" w:lineRule="auto"/>
        <w:rPr>
          <w:rFonts w:eastAsia="Times New Roman"/>
          <w:color w:val="000000"/>
          <w:szCs w:val="22"/>
        </w:rPr>
      </w:pPr>
    </w:p>
    <w:p w14:paraId="700D5E45"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Women of childbearing potential should consider the use of adequate contraception to prevent pregnancy and continue its use for at least five months after the last </w:t>
      </w:r>
      <w:r w:rsidRPr="001775D9">
        <w:rPr>
          <w:color w:val="000000"/>
          <w:szCs w:val="22"/>
          <w:lang w:eastAsia="en-GB"/>
        </w:rPr>
        <w:t>AMGEVITA</w:t>
      </w:r>
      <w:r w:rsidRPr="001775D9">
        <w:rPr>
          <w:rFonts w:eastAsia="Times New Roman"/>
          <w:color w:val="000000"/>
          <w:szCs w:val="22"/>
        </w:rPr>
        <w:t xml:space="preserve"> treatment.</w:t>
      </w:r>
    </w:p>
    <w:p w14:paraId="4BE681F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515A9BD"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Pregnancy </w:t>
      </w:r>
    </w:p>
    <w:p w14:paraId="0B1DA7E8"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0BBF2682" w14:textId="25CD8F52"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A large number (approximately 2</w:t>
      </w:r>
      <w:r w:rsidR="00283506" w:rsidRPr="001775D9">
        <w:rPr>
          <w:szCs w:val="22"/>
          <w:lang w:eastAsia="en-GB"/>
        </w:rPr>
        <w:t> </w:t>
      </w:r>
      <w:r w:rsidRPr="001775D9">
        <w:rPr>
          <w:szCs w:val="22"/>
          <w:lang w:eastAsia="en-GB"/>
        </w:rPr>
        <w:t>100) of prospectively collected pregnancies exposed to adalimumab resulting in live birth with known outcomes, including more than 1</w:t>
      </w:r>
      <w:r w:rsidR="00283506" w:rsidRPr="001775D9">
        <w:rPr>
          <w:szCs w:val="22"/>
          <w:lang w:eastAsia="en-GB"/>
        </w:rPr>
        <w:t> </w:t>
      </w:r>
      <w:r w:rsidRPr="001775D9">
        <w:rPr>
          <w:szCs w:val="22"/>
          <w:lang w:eastAsia="en-GB"/>
        </w:rPr>
        <w:t>500 exposed during the first trimester, does not indicate an increase in the rate of malformation in the newborn.</w:t>
      </w:r>
    </w:p>
    <w:p w14:paraId="3F34F7AF"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E0EBFBA"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a prospective cohort registry, 257 women with rheumatoid arthritis (RA) or Crohn’s disease (CD) treated with adalimumab at least during the first trimester and 120 women with RA or CD not treated with adalimumab were enrolled. The primary endpoint was the birth prevalence of major birth defects. The rate of pregnancies ending with at least one live born infant with a major birth defect was 6/69 (8.7%) in the adalimumab-treated women with RA and 5/74 (6.8%) in the untreated women with RA (unadjusted OR 1.31, 95% CI 0.38-4.52) and 16/152 (10.5%) in the adalimumab-treated women with CD and 3/32 (9.4%) in the untreated women with CD (unadjusted OR 1.14, 95% CI 0.31-4.16). The adjusted OR (accounting for baseline differences) was 1.10 (95% CI 0.45-2.73) with RA and CD combined. There were no distinct differences between adalimumab-treated and untreated women for the secondary endpoints spontaneous abortions, minor birth defects, preterm delivery, birth size and serious or opportunistic infections and no stillbirths or malignancies were reported. The interpretation of data may be impacted due to methodological limitations of the study, including small sample size and non-randomised design.</w:t>
      </w:r>
    </w:p>
    <w:p w14:paraId="46DE2387"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305CDAE"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a developmental toxicity study conducted in monkeys, there was no indication of maternal toxicity, embryotoxicity or teratogenicity. Preclinical data on postnatal toxicity of adalimumab are not available (see section 5.3). </w:t>
      </w:r>
    </w:p>
    <w:p w14:paraId="20B06BAC"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2B1F68B2" w14:textId="5970A82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Due to its inhibition of TNFα, </w:t>
      </w:r>
      <w:r w:rsidRPr="001775D9">
        <w:rPr>
          <w:szCs w:val="22"/>
          <w:lang w:eastAsia="en-GB"/>
        </w:rPr>
        <w:t xml:space="preserve">adalimumab </w:t>
      </w:r>
      <w:r w:rsidRPr="001775D9">
        <w:rPr>
          <w:color w:val="000000"/>
          <w:szCs w:val="22"/>
          <w:lang w:eastAsia="en-GB"/>
        </w:rPr>
        <w:t>administered during pregnancy could affect normal immune responses in the newborn. AMGEVITA should only be used during pregnancy if clearly needed.</w:t>
      </w:r>
    </w:p>
    <w:p w14:paraId="6F004BE1"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796BE10F" w14:textId="5A000864"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Adalimumab may cross the placenta into the serum of infants born to women treated with adalimumab during pregnancy. Consequently, these infants may be at increased risk for infection. Administration of live vaccines </w:t>
      </w:r>
      <w:r w:rsidRPr="001775D9">
        <w:rPr>
          <w:szCs w:val="22"/>
          <w:lang w:eastAsia="en-GB"/>
        </w:rPr>
        <w:t xml:space="preserve">(e.g. BCG vaccine) </w:t>
      </w:r>
      <w:r w:rsidRPr="001775D9">
        <w:rPr>
          <w:color w:val="000000"/>
          <w:szCs w:val="22"/>
          <w:lang w:eastAsia="en-GB"/>
        </w:rPr>
        <w:t xml:space="preserve">to infants exposed to adalimumab </w:t>
      </w:r>
      <w:r w:rsidRPr="001775D9">
        <w:rPr>
          <w:i/>
          <w:iCs/>
          <w:color w:val="000000"/>
          <w:szCs w:val="22"/>
          <w:lang w:eastAsia="en-GB"/>
        </w:rPr>
        <w:t>in utero</w:t>
      </w:r>
      <w:r w:rsidRPr="001775D9">
        <w:rPr>
          <w:color w:val="000000"/>
          <w:szCs w:val="22"/>
          <w:lang w:eastAsia="en-GB"/>
        </w:rPr>
        <w:t xml:space="preserve"> is not recommended for 5 months following the mother’s last adalimumab injection during pregnancy. </w:t>
      </w:r>
    </w:p>
    <w:p w14:paraId="3AA5F310"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0B6A74F9"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Breast-feeding </w:t>
      </w:r>
    </w:p>
    <w:p w14:paraId="0E1624DD"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0290F2CD"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Limited information from the published literature indicates that adalimumab is excreted in breast milk at very low concentrations with the presence of adalimumab in human milk at concentrations of 0.1% to 1% of the maternal serum level. Given orally, immunoglobulin G proteins undergo intestinal proteolysis and have poor bioavailability. No effects on the breast-fed newborns/infants are anticipated. Consequently, AMGEVITA can be used during breast-feeding.</w:t>
      </w:r>
    </w:p>
    <w:p w14:paraId="0DBF6503"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p>
    <w:p w14:paraId="0292E2F6"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Fertility </w:t>
      </w:r>
    </w:p>
    <w:p w14:paraId="5819AAB1"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6BB63266"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Preclinical data on fertility effects of adalimumab are not available. </w:t>
      </w:r>
    </w:p>
    <w:p w14:paraId="47B86BB0"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090829DD" w14:textId="4E4EC8BB" w:rsidR="001778AA" w:rsidRPr="001775D9" w:rsidRDefault="001778AA"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4.7</w:t>
      </w:r>
      <w:r w:rsidRPr="001775D9">
        <w:rPr>
          <w:b/>
          <w:bCs/>
          <w:color w:val="000000"/>
          <w:szCs w:val="22"/>
          <w:lang w:eastAsia="en-GB"/>
        </w:rPr>
        <w:tab/>
        <w:t xml:space="preserve">Effects on ability to drive and use machines </w:t>
      </w:r>
    </w:p>
    <w:p w14:paraId="193ABE7B"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7DAA3B30"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AMGEVITA may have a minor influence on the ability to drive and use machines. Vertigo and visual impairment may occur following administration of AMGEVITA (see section 4.8). </w:t>
      </w:r>
    </w:p>
    <w:p w14:paraId="06AD9DB9"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4D886A4B" w14:textId="3F77970F" w:rsidR="001778AA" w:rsidRPr="001775D9" w:rsidRDefault="001778AA" w:rsidP="00B61D9D">
      <w:pPr>
        <w:keepNext/>
        <w:tabs>
          <w:tab w:val="clear" w:pos="567"/>
        </w:tabs>
        <w:autoSpaceDE w:val="0"/>
        <w:autoSpaceDN w:val="0"/>
        <w:adjustRightInd w:val="0"/>
        <w:spacing w:line="240" w:lineRule="auto"/>
        <w:ind w:left="567" w:hanging="567"/>
        <w:rPr>
          <w:b/>
          <w:bCs/>
          <w:color w:val="000000"/>
          <w:szCs w:val="22"/>
          <w:lang w:eastAsia="en-GB"/>
        </w:rPr>
      </w:pPr>
      <w:r w:rsidRPr="001775D9">
        <w:rPr>
          <w:b/>
          <w:bCs/>
          <w:color w:val="000000"/>
          <w:szCs w:val="22"/>
          <w:lang w:eastAsia="en-GB"/>
        </w:rPr>
        <w:t>4.8</w:t>
      </w:r>
      <w:r w:rsidRPr="001775D9">
        <w:rPr>
          <w:b/>
          <w:bCs/>
          <w:color w:val="000000"/>
          <w:szCs w:val="22"/>
          <w:lang w:eastAsia="en-GB"/>
        </w:rPr>
        <w:tab/>
        <w:t xml:space="preserve">Undesirable effects </w:t>
      </w:r>
    </w:p>
    <w:p w14:paraId="05629FE8"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p>
    <w:p w14:paraId="339D46E5"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Summary of the safety profile </w:t>
      </w:r>
    </w:p>
    <w:p w14:paraId="33B5A133" w14:textId="77777777" w:rsidR="001778AA" w:rsidRPr="001775D9" w:rsidRDefault="001778AA" w:rsidP="001778AA">
      <w:pPr>
        <w:keepNext/>
        <w:tabs>
          <w:tab w:val="clear" w:pos="567"/>
        </w:tabs>
        <w:autoSpaceDE w:val="0"/>
        <w:autoSpaceDN w:val="0"/>
        <w:adjustRightInd w:val="0"/>
        <w:spacing w:line="240" w:lineRule="auto"/>
        <w:rPr>
          <w:b/>
          <w:bCs/>
          <w:color w:val="000000"/>
          <w:szCs w:val="22"/>
          <w:lang w:eastAsia="en-GB"/>
        </w:rPr>
      </w:pPr>
    </w:p>
    <w:p w14:paraId="59F5EB7B" w14:textId="46977BD5" w:rsidR="001778AA" w:rsidRPr="001775D9" w:rsidRDefault="001778AA" w:rsidP="007A7CAC">
      <w:pPr>
        <w:keepNext/>
        <w:tabs>
          <w:tab w:val="clear" w:pos="567"/>
        </w:tabs>
        <w:autoSpaceDE w:val="0"/>
        <w:autoSpaceDN w:val="0"/>
        <w:adjustRightInd w:val="0"/>
        <w:spacing w:line="240" w:lineRule="auto"/>
        <w:rPr>
          <w:szCs w:val="22"/>
          <w:lang w:eastAsia="en-GB"/>
        </w:rPr>
      </w:pPr>
      <w:r w:rsidRPr="001775D9">
        <w:rPr>
          <w:szCs w:val="22"/>
          <w:lang w:eastAsia="en-GB"/>
        </w:rPr>
        <w:t>Adalimumab was studied in 9</w:t>
      </w:r>
      <w:r w:rsidR="007A7CAC" w:rsidRPr="001775D9">
        <w:rPr>
          <w:szCs w:val="22"/>
          <w:lang w:eastAsia="en-GB"/>
        </w:rPr>
        <w:t> </w:t>
      </w:r>
      <w:r w:rsidRPr="001775D9">
        <w:rPr>
          <w:szCs w:val="22"/>
          <w:lang w:eastAsia="en-GB"/>
        </w:rPr>
        <w:t>506 patients in pivotal controlled and open-label trials for up to 60</w:t>
      </w:r>
      <w:r w:rsidRPr="001775D9">
        <w:rPr>
          <w:szCs w:val="22"/>
        </w:rPr>
        <w:t> </w:t>
      </w:r>
      <w:r w:rsidRPr="001775D9">
        <w:rPr>
          <w:szCs w:val="22"/>
          <w:lang w:eastAsia="en-GB"/>
        </w:rPr>
        <w:t>months or more. These trials included rheumatoid arthritis patients with short term and long-standing disease, juvenile idiopathic arthritis (polyarticular juvenile idiopathic arthritis and enthesitis-related arthritis) as well as axial spondyloarthritis (ankylosing spondylitis and axial spondyloarthritis without radiographic evidence of AS), psoriatic arthritis, Crohn’s disease, ulcerative colitis, psoriasis, hidradenitis suppurativa and uveitis</w:t>
      </w:r>
      <w:r w:rsidRPr="001775D9">
        <w:rPr>
          <w:rFonts w:ascii="Arial" w:hAnsi="Arial" w:cs="Arial"/>
          <w:color w:val="000000"/>
          <w:sz w:val="20"/>
        </w:rPr>
        <w:t xml:space="preserve"> </w:t>
      </w:r>
      <w:r w:rsidRPr="001775D9">
        <w:rPr>
          <w:szCs w:val="22"/>
          <w:lang w:eastAsia="en-GB"/>
        </w:rPr>
        <w:t>patients. The pivotal controlled studies involved 6</w:t>
      </w:r>
      <w:r w:rsidR="007A7CAC" w:rsidRPr="001775D9">
        <w:rPr>
          <w:szCs w:val="22"/>
          <w:lang w:eastAsia="en-GB"/>
        </w:rPr>
        <w:t> </w:t>
      </w:r>
      <w:r w:rsidRPr="001775D9">
        <w:rPr>
          <w:szCs w:val="22"/>
          <w:lang w:eastAsia="en-GB"/>
        </w:rPr>
        <w:t>089 patients receiving adalimumab and 3</w:t>
      </w:r>
      <w:r w:rsidR="00FA4127" w:rsidRPr="001775D9">
        <w:rPr>
          <w:szCs w:val="22"/>
          <w:lang w:eastAsia="en-GB"/>
        </w:rPr>
        <w:t> </w:t>
      </w:r>
      <w:r w:rsidRPr="001775D9">
        <w:rPr>
          <w:szCs w:val="22"/>
          <w:lang w:eastAsia="en-GB"/>
        </w:rPr>
        <w:t xml:space="preserve">801 patients receiving placebo or active comparator during the controlled period. </w:t>
      </w:r>
    </w:p>
    <w:p w14:paraId="4A57B23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15D9EDC"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 proportion of patients who discontinued treatment due to adverse events during the double-blind, controlled portion of pivotal studies was 5.9% for patients taking adalimumab and 5.4% for control treated patients. </w:t>
      </w:r>
    </w:p>
    <w:p w14:paraId="1FA4297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7D6FE36"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The most commonly reported adverse reactions are infections (such as nasopharyngitis, upper respiratory tract infection and sinusitis), injection site reactions (erythema, itching, haemorrhage, pain or swelling), headache and musculoskeletal pain.</w:t>
      </w:r>
    </w:p>
    <w:p w14:paraId="0DE34AD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3BBD3D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Serious adverse reactions have been reported for adalimumab. TNF-antagonists, such as AMGEVITA affect the immune system and their use may affect the body’s defence against infection and cancer. </w:t>
      </w:r>
    </w:p>
    <w:p w14:paraId="37BA5A2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321B13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Fatal and life-threatening infections (including sepsis, opportunistic infections and TB), HBV reactivation and various malignancies (including leukaemia, lymphoma and HSTCL) have also been reported with use of adalimumab. </w:t>
      </w:r>
    </w:p>
    <w:p w14:paraId="3E972D3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8AD97D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Serious haematological, neurological and autoimmune reactions have also been reported. These include rare reports of pancytopenia, aplastic anaemia, central and peripheral demyelinating events and reports of lupus, lupus-related conditions and Stevens-Johnson syndrome. </w:t>
      </w:r>
    </w:p>
    <w:p w14:paraId="46A6877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DA8C0B1"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Paediatric population </w:t>
      </w:r>
    </w:p>
    <w:p w14:paraId="4DF530EC"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5262B9DB"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 general, the adverse events in paediatric patients were similar in frequency and type to those seen in adult patients. </w:t>
      </w:r>
    </w:p>
    <w:p w14:paraId="3080E485"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5BCB939D"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Tabulated list of adverse reactions </w:t>
      </w:r>
    </w:p>
    <w:p w14:paraId="2BEACAF3"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697888BE" w14:textId="63374A1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lang w:eastAsia="en-GB"/>
        </w:rPr>
        <w:t>The following list of adverse reactions is based on experience from clinical trials and on post-marketing experience and are displayed by system organ class and frequency in table 7 below: very common (≥</w:t>
      </w:r>
      <w:r w:rsidRPr="001775D9">
        <w:rPr>
          <w:szCs w:val="22"/>
        </w:rPr>
        <w:t> </w:t>
      </w:r>
      <w:r w:rsidRPr="001775D9">
        <w:rPr>
          <w:szCs w:val="22"/>
          <w:lang w:eastAsia="en-GB"/>
        </w:rPr>
        <w:t>1/10); common (≥</w:t>
      </w:r>
      <w:r w:rsidRPr="001775D9">
        <w:rPr>
          <w:szCs w:val="22"/>
        </w:rPr>
        <w:t> </w:t>
      </w:r>
      <w:r w:rsidRPr="001775D9">
        <w:rPr>
          <w:szCs w:val="22"/>
          <w:lang w:eastAsia="en-GB"/>
        </w:rPr>
        <w:t>1/100 to &lt;</w:t>
      </w:r>
      <w:r w:rsidRPr="001775D9">
        <w:rPr>
          <w:szCs w:val="22"/>
        </w:rPr>
        <w:t> </w:t>
      </w:r>
      <w:r w:rsidRPr="001775D9">
        <w:rPr>
          <w:szCs w:val="22"/>
          <w:lang w:eastAsia="en-GB"/>
        </w:rPr>
        <w:t>1/10); uncommon (≥</w:t>
      </w:r>
      <w:r w:rsidRPr="001775D9">
        <w:rPr>
          <w:szCs w:val="22"/>
        </w:rPr>
        <w:t> </w:t>
      </w:r>
      <w:r w:rsidRPr="001775D9">
        <w:rPr>
          <w:szCs w:val="22"/>
          <w:lang w:eastAsia="en-GB"/>
        </w:rPr>
        <w:t>1/1</w:t>
      </w:r>
      <w:r w:rsidR="007A7CAC" w:rsidRPr="001775D9">
        <w:rPr>
          <w:szCs w:val="22"/>
          <w:lang w:eastAsia="en-GB"/>
        </w:rPr>
        <w:t> </w:t>
      </w:r>
      <w:r w:rsidRPr="001775D9">
        <w:rPr>
          <w:szCs w:val="22"/>
          <w:lang w:eastAsia="en-GB"/>
        </w:rPr>
        <w:t>000 to &lt;</w:t>
      </w:r>
      <w:r w:rsidRPr="001775D9">
        <w:rPr>
          <w:szCs w:val="22"/>
        </w:rPr>
        <w:t> </w:t>
      </w:r>
      <w:r w:rsidRPr="001775D9">
        <w:rPr>
          <w:szCs w:val="22"/>
          <w:lang w:eastAsia="en-GB"/>
        </w:rPr>
        <w:t>1/100); rare (≥</w:t>
      </w:r>
      <w:r w:rsidRPr="001775D9">
        <w:rPr>
          <w:szCs w:val="22"/>
        </w:rPr>
        <w:t> </w:t>
      </w:r>
      <w:r w:rsidRPr="001775D9">
        <w:rPr>
          <w:szCs w:val="22"/>
          <w:lang w:eastAsia="en-GB"/>
        </w:rPr>
        <w:t>1/10</w:t>
      </w:r>
      <w:r w:rsidR="007A7CAC" w:rsidRPr="001775D9">
        <w:rPr>
          <w:szCs w:val="22"/>
          <w:lang w:eastAsia="en-GB"/>
        </w:rPr>
        <w:t> </w:t>
      </w:r>
      <w:r w:rsidRPr="001775D9">
        <w:rPr>
          <w:szCs w:val="22"/>
          <w:lang w:eastAsia="en-GB"/>
        </w:rPr>
        <w:t>000 to &lt;</w:t>
      </w:r>
      <w:r w:rsidRPr="001775D9">
        <w:rPr>
          <w:szCs w:val="22"/>
        </w:rPr>
        <w:t> </w:t>
      </w:r>
      <w:r w:rsidRPr="001775D9">
        <w:rPr>
          <w:szCs w:val="22"/>
          <w:lang w:eastAsia="en-GB"/>
        </w:rPr>
        <w:t>1/1</w:t>
      </w:r>
      <w:r w:rsidR="007A7CAC" w:rsidRPr="001775D9">
        <w:t> </w:t>
      </w:r>
      <w:r w:rsidRPr="001775D9">
        <w:rPr>
          <w:szCs w:val="22"/>
          <w:lang w:eastAsia="en-GB"/>
        </w:rPr>
        <w:t>000); and not known (cannot be estimated from the available data). Within each frequency grouping, undesirable effects are presented in order of decreasing seriousness. The highest frequency seen among the various indications has been included. An asterisk (*) appears in the SOC column if further</w:t>
      </w:r>
      <w:r w:rsidRPr="001775D9">
        <w:rPr>
          <w:color w:val="000000"/>
          <w:szCs w:val="22"/>
          <w:lang w:eastAsia="en-GB"/>
        </w:rPr>
        <w:t xml:space="preserve"> information is found elsewhere in sections 4.3, 4.4 and 4.8.</w:t>
      </w:r>
    </w:p>
    <w:p w14:paraId="5022D144"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62C2FB49" w14:textId="77777777" w:rsidR="001778AA" w:rsidRPr="001775D9" w:rsidRDefault="001778AA" w:rsidP="001778AA">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Table 7. Undesirable effects</w:t>
      </w:r>
    </w:p>
    <w:p w14:paraId="6D2F1AB3" w14:textId="77777777" w:rsidR="001778AA" w:rsidRPr="001775D9" w:rsidRDefault="001778AA" w:rsidP="001778AA">
      <w:pPr>
        <w:keepNext/>
        <w:keepLines/>
        <w:tabs>
          <w:tab w:val="clear" w:pos="567"/>
        </w:tabs>
        <w:autoSpaceDE w:val="0"/>
        <w:autoSpaceDN w:val="0"/>
        <w:adjustRightInd w:val="0"/>
        <w:spacing w:line="240" w:lineRule="auto"/>
        <w:rPr>
          <w:color w:val="000000"/>
          <w:szCs w:val="22"/>
          <w:lang w:eastAsia="en-GB"/>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701"/>
        <w:gridCol w:w="5670"/>
      </w:tblGrid>
      <w:tr w:rsidR="001778AA" w:rsidRPr="00F04F82" w14:paraId="175EAFE7" w14:textId="77777777" w:rsidTr="00D47253">
        <w:trPr>
          <w:cantSplit/>
          <w:trHeight w:val="149"/>
          <w:tblHeader/>
        </w:trPr>
        <w:tc>
          <w:tcPr>
            <w:tcW w:w="2268" w:type="dxa"/>
          </w:tcPr>
          <w:p w14:paraId="4320368B"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System organ class </w:t>
            </w:r>
          </w:p>
        </w:tc>
        <w:tc>
          <w:tcPr>
            <w:tcW w:w="1701" w:type="dxa"/>
          </w:tcPr>
          <w:p w14:paraId="45D95387"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Frequency </w:t>
            </w:r>
          </w:p>
        </w:tc>
        <w:tc>
          <w:tcPr>
            <w:tcW w:w="5670" w:type="dxa"/>
          </w:tcPr>
          <w:p w14:paraId="3D664480" w14:textId="25B14345"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Adverse reaction</w:t>
            </w:r>
            <w:r w:rsidR="008E0CB8" w:rsidRPr="001775D9">
              <w:rPr>
                <w:b/>
                <w:bCs/>
                <w:color w:val="000000"/>
                <w:szCs w:val="22"/>
                <w:lang w:eastAsia="en-GB"/>
              </w:rPr>
              <w:t>s</w:t>
            </w:r>
            <w:r w:rsidRPr="001775D9">
              <w:rPr>
                <w:b/>
                <w:bCs/>
                <w:color w:val="000000"/>
                <w:szCs w:val="22"/>
                <w:lang w:eastAsia="en-GB"/>
              </w:rPr>
              <w:t xml:space="preserve"> </w:t>
            </w:r>
          </w:p>
        </w:tc>
      </w:tr>
      <w:tr w:rsidR="001778AA" w:rsidRPr="00F04F82" w14:paraId="64876B78" w14:textId="77777777" w:rsidTr="00D47253">
        <w:trPr>
          <w:cantSplit/>
          <w:trHeight w:val="555"/>
        </w:trPr>
        <w:tc>
          <w:tcPr>
            <w:tcW w:w="2268" w:type="dxa"/>
            <w:vMerge w:val="restart"/>
          </w:tcPr>
          <w:p w14:paraId="268EFCBF"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Infections and infestations* </w:t>
            </w:r>
          </w:p>
        </w:tc>
        <w:tc>
          <w:tcPr>
            <w:tcW w:w="1701" w:type="dxa"/>
          </w:tcPr>
          <w:p w14:paraId="5682FE55"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common </w:t>
            </w:r>
          </w:p>
        </w:tc>
        <w:tc>
          <w:tcPr>
            <w:tcW w:w="5670" w:type="dxa"/>
          </w:tcPr>
          <w:p w14:paraId="7A63DFA3"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Respiratory tract infections (including lower and upper respiratory tract infection, pneumonia, sinusitis, pharyngitis, nasopharyngitis and pneumonia herpes viral)</w:t>
            </w:r>
          </w:p>
        </w:tc>
      </w:tr>
      <w:tr w:rsidR="001778AA" w:rsidRPr="00F04F82" w14:paraId="593B65E7" w14:textId="77777777" w:rsidTr="00D47253">
        <w:trPr>
          <w:cantSplit/>
          <w:trHeight w:val="2282"/>
        </w:trPr>
        <w:tc>
          <w:tcPr>
            <w:tcW w:w="2268" w:type="dxa"/>
            <w:vMerge/>
          </w:tcPr>
          <w:p w14:paraId="3A32D327"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4ADB62F9"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Common</w:t>
            </w:r>
          </w:p>
        </w:tc>
        <w:tc>
          <w:tcPr>
            <w:tcW w:w="5670" w:type="dxa"/>
          </w:tcPr>
          <w:p w14:paraId="5D70C23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Systemic infections (including sepsis, candidiasis and influenza), </w:t>
            </w:r>
          </w:p>
          <w:p w14:paraId="49D6ECE7"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Intestinal infections (including gastroenteritis viral), </w:t>
            </w:r>
          </w:p>
          <w:p w14:paraId="554B339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Skin and soft tissue infections (including paronychia, cellulitis, impetigo, necrotising fasciitis and herpes zoster), </w:t>
            </w:r>
          </w:p>
          <w:p w14:paraId="4107AB68"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Ear infections, </w:t>
            </w:r>
          </w:p>
          <w:p w14:paraId="5E479669"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Oral infections (including herpes simplex, oral herpes and tooth infections), </w:t>
            </w:r>
          </w:p>
          <w:p w14:paraId="7B622DF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Reproductive tract infections (including vulvovaginal mycotic infection), </w:t>
            </w:r>
          </w:p>
          <w:p w14:paraId="008AEF59"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Urinary tract infections (including pyelonephritis), </w:t>
            </w:r>
          </w:p>
          <w:p w14:paraId="6D0CD1DE"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Fungal infections, </w:t>
            </w:r>
          </w:p>
          <w:p w14:paraId="1FDC15C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Joint infections</w:t>
            </w:r>
          </w:p>
        </w:tc>
      </w:tr>
      <w:tr w:rsidR="001778AA" w:rsidRPr="00F04F82" w14:paraId="2D03D2B6" w14:textId="77777777" w:rsidTr="00D47253">
        <w:trPr>
          <w:cantSplit/>
          <w:trHeight w:val="1099"/>
        </w:trPr>
        <w:tc>
          <w:tcPr>
            <w:tcW w:w="2268" w:type="dxa"/>
            <w:vMerge/>
          </w:tcPr>
          <w:p w14:paraId="56C1321F"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4CACBBF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Uncommon</w:t>
            </w:r>
          </w:p>
        </w:tc>
        <w:tc>
          <w:tcPr>
            <w:tcW w:w="5670" w:type="dxa"/>
          </w:tcPr>
          <w:p w14:paraId="19B47B88"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Neurological infections (including viral meningitis), </w:t>
            </w:r>
          </w:p>
          <w:p w14:paraId="3BF3C0BC"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Opportunistic infections and tuberculosis (including coccidioidomycosis, histoplasmosis and mycobacterium avium complex infection), </w:t>
            </w:r>
          </w:p>
          <w:p w14:paraId="1135CC35"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Bacterial infections, </w:t>
            </w:r>
          </w:p>
          <w:p w14:paraId="57E7D3E9"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Eye infections, </w:t>
            </w:r>
          </w:p>
          <w:p w14:paraId="73B9767F"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Diverticulitis</w:t>
            </w:r>
            <w:r w:rsidRPr="001775D9">
              <w:rPr>
                <w:color w:val="000000"/>
                <w:szCs w:val="22"/>
                <w:vertAlign w:val="superscript"/>
                <w:lang w:eastAsia="en-GB"/>
              </w:rPr>
              <w:t>1)</w:t>
            </w:r>
          </w:p>
        </w:tc>
      </w:tr>
      <w:tr w:rsidR="001778AA" w:rsidRPr="00F04F82" w14:paraId="7B3A756D" w14:textId="77777777" w:rsidTr="00D47253">
        <w:trPr>
          <w:cantSplit/>
          <w:trHeight w:val="587"/>
        </w:trPr>
        <w:tc>
          <w:tcPr>
            <w:tcW w:w="2268" w:type="dxa"/>
            <w:vMerge w:val="restart"/>
          </w:tcPr>
          <w:p w14:paraId="06B74B3D"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Neoplasms benign, malignant and unspecified (including cysts and polyps)* </w:t>
            </w:r>
          </w:p>
        </w:tc>
        <w:tc>
          <w:tcPr>
            <w:tcW w:w="1701" w:type="dxa"/>
          </w:tcPr>
          <w:p w14:paraId="40CE22B3"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Pr>
          <w:p w14:paraId="3F160811"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Skin cancer excluding melanoma (including basal cell carcinoma and squamous cell carcinoma), </w:t>
            </w:r>
          </w:p>
          <w:p w14:paraId="4B404240"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Benign neoplasm</w:t>
            </w:r>
          </w:p>
        </w:tc>
      </w:tr>
      <w:tr w:rsidR="001778AA" w:rsidRPr="00F04F82" w14:paraId="7F1F01A1" w14:textId="77777777" w:rsidTr="00D47253">
        <w:trPr>
          <w:cantSplit/>
          <w:trHeight w:val="555"/>
        </w:trPr>
        <w:tc>
          <w:tcPr>
            <w:tcW w:w="2268" w:type="dxa"/>
            <w:vMerge/>
          </w:tcPr>
          <w:p w14:paraId="0CB7D12F" w14:textId="77777777" w:rsidR="001778AA" w:rsidRPr="00F04F82" w:rsidRDefault="001778AA" w:rsidP="001065D4">
            <w:pPr>
              <w:keepNext/>
              <w:keepLines/>
              <w:tabs>
                <w:tab w:val="clear" w:pos="567"/>
              </w:tabs>
              <w:autoSpaceDE w:val="0"/>
              <w:autoSpaceDN w:val="0"/>
              <w:adjustRightInd w:val="0"/>
              <w:spacing w:line="240" w:lineRule="auto"/>
              <w:rPr>
                <w:color w:val="000000"/>
                <w:szCs w:val="22"/>
                <w:lang w:eastAsia="en-GB"/>
              </w:rPr>
            </w:pPr>
          </w:p>
        </w:tc>
        <w:tc>
          <w:tcPr>
            <w:tcW w:w="1701" w:type="dxa"/>
          </w:tcPr>
          <w:p w14:paraId="02E0B1D9"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Uncommon</w:t>
            </w:r>
          </w:p>
        </w:tc>
        <w:tc>
          <w:tcPr>
            <w:tcW w:w="5670" w:type="dxa"/>
          </w:tcPr>
          <w:p w14:paraId="01138709"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Lymphoma**, </w:t>
            </w:r>
          </w:p>
          <w:p w14:paraId="65301666"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Solid organ neoplasm (including breast cancer, lung neoplasm and thyroid neoplasm), </w:t>
            </w:r>
          </w:p>
          <w:p w14:paraId="00D82563"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Melanoma**</w:t>
            </w:r>
          </w:p>
        </w:tc>
      </w:tr>
      <w:tr w:rsidR="001778AA" w:rsidRPr="00F04F82" w14:paraId="50AEB2B0" w14:textId="77777777" w:rsidTr="00D47253">
        <w:trPr>
          <w:cantSplit/>
          <w:trHeight w:val="154"/>
        </w:trPr>
        <w:tc>
          <w:tcPr>
            <w:tcW w:w="2268" w:type="dxa"/>
            <w:vMerge/>
          </w:tcPr>
          <w:p w14:paraId="638E864F" w14:textId="77777777" w:rsidR="001778AA" w:rsidRPr="00F04F82" w:rsidRDefault="001778AA" w:rsidP="001065D4">
            <w:pPr>
              <w:keepNext/>
              <w:keepLines/>
              <w:tabs>
                <w:tab w:val="clear" w:pos="567"/>
              </w:tabs>
              <w:autoSpaceDE w:val="0"/>
              <w:autoSpaceDN w:val="0"/>
              <w:adjustRightInd w:val="0"/>
              <w:spacing w:line="240" w:lineRule="auto"/>
              <w:rPr>
                <w:color w:val="000000"/>
                <w:szCs w:val="22"/>
                <w:lang w:eastAsia="en-GB"/>
              </w:rPr>
            </w:pPr>
          </w:p>
        </w:tc>
        <w:tc>
          <w:tcPr>
            <w:tcW w:w="1701" w:type="dxa"/>
          </w:tcPr>
          <w:p w14:paraId="6DC35DA3"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Rare</w:t>
            </w:r>
          </w:p>
        </w:tc>
        <w:tc>
          <w:tcPr>
            <w:tcW w:w="5670" w:type="dxa"/>
          </w:tcPr>
          <w:p w14:paraId="7AEC275A"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Leukaemia</w:t>
            </w:r>
            <w:r w:rsidRPr="001775D9">
              <w:rPr>
                <w:color w:val="000000"/>
                <w:szCs w:val="22"/>
                <w:vertAlign w:val="superscript"/>
                <w:lang w:eastAsia="en-GB"/>
              </w:rPr>
              <w:t>1)</w:t>
            </w:r>
          </w:p>
        </w:tc>
      </w:tr>
      <w:tr w:rsidR="001778AA" w:rsidRPr="00F04F82" w14:paraId="6A2310BF" w14:textId="77777777" w:rsidTr="00D47253">
        <w:trPr>
          <w:cantSplit/>
          <w:trHeight w:val="154"/>
        </w:trPr>
        <w:tc>
          <w:tcPr>
            <w:tcW w:w="2268" w:type="dxa"/>
            <w:vMerge/>
          </w:tcPr>
          <w:p w14:paraId="5909E1AD"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6B239E95"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Not known</w:t>
            </w:r>
          </w:p>
        </w:tc>
        <w:tc>
          <w:tcPr>
            <w:tcW w:w="5670" w:type="dxa"/>
          </w:tcPr>
          <w:p w14:paraId="5087BA2E"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Hepatosplenic T-cell lymphoma</w:t>
            </w:r>
            <w:r w:rsidRPr="001775D9">
              <w:rPr>
                <w:color w:val="000000"/>
                <w:szCs w:val="22"/>
                <w:vertAlign w:val="superscript"/>
                <w:lang w:eastAsia="en-GB"/>
              </w:rPr>
              <w:t>1)</w:t>
            </w:r>
            <w:r w:rsidRPr="001775D9">
              <w:rPr>
                <w:color w:val="000000"/>
                <w:szCs w:val="22"/>
                <w:lang w:eastAsia="en-GB"/>
              </w:rPr>
              <w:t>,</w:t>
            </w:r>
          </w:p>
          <w:p w14:paraId="01FE60E3"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Merkel cell carcinoma (neuroendocrine carcinoma of the skin)</w:t>
            </w:r>
            <w:r w:rsidRPr="001775D9">
              <w:rPr>
                <w:color w:val="000000"/>
                <w:szCs w:val="22"/>
                <w:vertAlign w:val="superscript"/>
                <w:lang w:eastAsia="en-GB"/>
              </w:rPr>
              <w:t>1)</w:t>
            </w:r>
            <w:r w:rsidRPr="001775D9">
              <w:rPr>
                <w:color w:val="000000"/>
                <w:szCs w:val="22"/>
                <w:lang w:eastAsia="en-GB"/>
              </w:rPr>
              <w:t>,</w:t>
            </w:r>
          </w:p>
          <w:p w14:paraId="16D7A6B4"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Kaposi’s sarcoma</w:t>
            </w:r>
          </w:p>
        </w:tc>
      </w:tr>
      <w:tr w:rsidR="001778AA" w:rsidRPr="00F04F82" w14:paraId="6B8CA43B" w14:textId="77777777" w:rsidTr="00D47253">
        <w:trPr>
          <w:cantSplit/>
          <w:trHeight w:val="154"/>
        </w:trPr>
        <w:tc>
          <w:tcPr>
            <w:tcW w:w="2268" w:type="dxa"/>
            <w:vMerge w:val="restart"/>
          </w:tcPr>
          <w:p w14:paraId="5E46598F" w14:textId="77777777" w:rsidR="001778AA" w:rsidRPr="00D55B59" w:rsidRDefault="001778AA" w:rsidP="00D47253">
            <w:pPr>
              <w:pStyle w:val="Default"/>
              <w:rPr>
                <w:sz w:val="22"/>
                <w:szCs w:val="22"/>
                <w:lang w:val="en-GB"/>
                <w:rPrChange w:id="1445" w:author="Author">
                  <w:rPr>
                    <w:sz w:val="22"/>
                    <w:szCs w:val="22"/>
                  </w:rPr>
                </w:rPrChange>
              </w:rPr>
            </w:pPr>
            <w:r w:rsidRPr="00D55B59">
              <w:rPr>
                <w:sz w:val="22"/>
                <w:szCs w:val="22"/>
                <w:lang w:val="en-GB"/>
                <w:rPrChange w:id="1446" w:author="Author">
                  <w:rPr>
                    <w:sz w:val="22"/>
                    <w:szCs w:val="22"/>
                  </w:rPr>
                </w:rPrChange>
              </w:rPr>
              <w:t>Blood and the lymphatic system disorders*</w:t>
            </w:r>
          </w:p>
          <w:p w14:paraId="4BE6AB8C"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6B500993" w14:textId="77777777" w:rsidR="001778AA" w:rsidRPr="00D55B59" w:rsidRDefault="001778AA" w:rsidP="00D47253">
            <w:pPr>
              <w:pStyle w:val="Default"/>
              <w:rPr>
                <w:sz w:val="22"/>
                <w:szCs w:val="22"/>
                <w:lang w:val="en-GB"/>
                <w:rPrChange w:id="1447" w:author="Author">
                  <w:rPr>
                    <w:sz w:val="22"/>
                    <w:szCs w:val="22"/>
                  </w:rPr>
                </w:rPrChange>
              </w:rPr>
            </w:pPr>
            <w:r w:rsidRPr="00D55B59">
              <w:rPr>
                <w:sz w:val="22"/>
                <w:szCs w:val="22"/>
                <w:lang w:val="en-GB"/>
                <w:rPrChange w:id="1448" w:author="Author">
                  <w:rPr>
                    <w:sz w:val="22"/>
                    <w:szCs w:val="22"/>
                  </w:rPr>
                </w:rPrChange>
              </w:rPr>
              <w:t xml:space="preserve">Very common </w:t>
            </w:r>
          </w:p>
          <w:p w14:paraId="788C45EF"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p>
        </w:tc>
        <w:tc>
          <w:tcPr>
            <w:tcW w:w="5670" w:type="dxa"/>
          </w:tcPr>
          <w:p w14:paraId="3863D3A4" w14:textId="77777777" w:rsidR="001778AA" w:rsidRPr="00D55B59" w:rsidRDefault="001778AA" w:rsidP="00D47253">
            <w:pPr>
              <w:pStyle w:val="Default"/>
              <w:rPr>
                <w:sz w:val="22"/>
                <w:szCs w:val="22"/>
                <w:lang w:val="en-GB"/>
                <w:rPrChange w:id="1449" w:author="Author">
                  <w:rPr>
                    <w:sz w:val="22"/>
                    <w:szCs w:val="22"/>
                  </w:rPr>
                </w:rPrChange>
              </w:rPr>
            </w:pPr>
            <w:r w:rsidRPr="00D55B59">
              <w:rPr>
                <w:sz w:val="22"/>
                <w:szCs w:val="22"/>
                <w:lang w:val="en-GB"/>
                <w:rPrChange w:id="1450" w:author="Author">
                  <w:rPr>
                    <w:sz w:val="22"/>
                    <w:szCs w:val="22"/>
                  </w:rPr>
                </w:rPrChange>
              </w:rPr>
              <w:t xml:space="preserve">Leukopenia (including neutropenia and agranulocytosis), </w:t>
            </w:r>
          </w:p>
          <w:p w14:paraId="68BB111E"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szCs w:val="22"/>
              </w:rPr>
              <w:t xml:space="preserve">Anaemia </w:t>
            </w:r>
          </w:p>
        </w:tc>
      </w:tr>
      <w:tr w:rsidR="001778AA" w:rsidRPr="00F04F82" w14:paraId="2504FDF0" w14:textId="77777777" w:rsidTr="00D47253">
        <w:trPr>
          <w:cantSplit/>
          <w:trHeight w:val="154"/>
        </w:trPr>
        <w:tc>
          <w:tcPr>
            <w:tcW w:w="2268" w:type="dxa"/>
            <w:vMerge/>
          </w:tcPr>
          <w:p w14:paraId="0D8560B3"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50DB70D8" w14:textId="77777777" w:rsidR="001778AA" w:rsidRPr="00D55B59" w:rsidRDefault="001778AA" w:rsidP="00D47253">
            <w:pPr>
              <w:pStyle w:val="Default"/>
              <w:rPr>
                <w:sz w:val="22"/>
                <w:szCs w:val="22"/>
                <w:lang w:val="en-GB"/>
                <w:rPrChange w:id="1451" w:author="Author">
                  <w:rPr>
                    <w:sz w:val="22"/>
                    <w:szCs w:val="22"/>
                  </w:rPr>
                </w:rPrChange>
              </w:rPr>
            </w:pPr>
            <w:r w:rsidRPr="00D55B59">
              <w:rPr>
                <w:sz w:val="22"/>
                <w:szCs w:val="22"/>
                <w:lang w:val="en-GB"/>
                <w:rPrChange w:id="1452" w:author="Author">
                  <w:rPr>
                    <w:sz w:val="22"/>
                    <w:szCs w:val="22"/>
                  </w:rPr>
                </w:rPrChange>
              </w:rPr>
              <w:t xml:space="preserve">Common </w:t>
            </w:r>
          </w:p>
          <w:p w14:paraId="0D84E2B1"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p>
        </w:tc>
        <w:tc>
          <w:tcPr>
            <w:tcW w:w="5670" w:type="dxa"/>
          </w:tcPr>
          <w:p w14:paraId="3DF95A12" w14:textId="77777777" w:rsidR="001778AA" w:rsidRPr="00D55B59" w:rsidRDefault="001778AA" w:rsidP="00D47253">
            <w:pPr>
              <w:pStyle w:val="Default"/>
              <w:rPr>
                <w:sz w:val="22"/>
                <w:szCs w:val="22"/>
                <w:lang w:val="en-GB"/>
                <w:rPrChange w:id="1453" w:author="Author">
                  <w:rPr>
                    <w:sz w:val="22"/>
                    <w:szCs w:val="22"/>
                  </w:rPr>
                </w:rPrChange>
              </w:rPr>
            </w:pPr>
            <w:r w:rsidRPr="00D55B59">
              <w:rPr>
                <w:sz w:val="22"/>
                <w:szCs w:val="22"/>
                <w:lang w:val="en-GB"/>
                <w:rPrChange w:id="1454" w:author="Author">
                  <w:rPr>
                    <w:sz w:val="22"/>
                    <w:szCs w:val="22"/>
                  </w:rPr>
                </w:rPrChange>
              </w:rPr>
              <w:t xml:space="preserve">Leukocytosis, </w:t>
            </w:r>
          </w:p>
          <w:p w14:paraId="2201401B" w14:textId="77777777" w:rsidR="001778AA" w:rsidRPr="00D55B59" w:rsidRDefault="001778AA" w:rsidP="00D47253">
            <w:pPr>
              <w:pStyle w:val="Default"/>
              <w:rPr>
                <w:sz w:val="22"/>
                <w:szCs w:val="22"/>
                <w:lang w:val="en-GB" w:eastAsia="en-GB"/>
                <w:rPrChange w:id="1455" w:author="Author">
                  <w:rPr>
                    <w:sz w:val="22"/>
                    <w:szCs w:val="22"/>
                    <w:lang w:eastAsia="en-GB"/>
                  </w:rPr>
                </w:rPrChange>
              </w:rPr>
            </w:pPr>
            <w:r w:rsidRPr="00D55B59">
              <w:rPr>
                <w:sz w:val="22"/>
                <w:szCs w:val="22"/>
                <w:lang w:val="en-GB"/>
                <w:rPrChange w:id="1456" w:author="Author">
                  <w:rPr>
                    <w:sz w:val="22"/>
                    <w:szCs w:val="22"/>
                  </w:rPr>
                </w:rPrChange>
              </w:rPr>
              <w:t xml:space="preserve">Thrombocytopenia </w:t>
            </w:r>
          </w:p>
        </w:tc>
      </w:tr>
      <w:tr w:rsidR="001778AA" w:rsidRPr="00F04F82" w14:paraId="4A6FF3A7" w14:textId="77777777" w:rsidTr="00D47253">
        <w:trPr>
          <w:cantSplit/>
          <w:trHeight w:val="154"/>
        </w:trPr>
        <w:tc>
          <w:tcPr>
            <w:tcW w:w="2268" w:type="dxa"/>
            <w:vMerge/>
          </w:tcPr>
          <w:p w14:paraId="4B8EA785"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3ABD7029" w14:textId="77777777" w:rsidR="001778AA" w:rsidRPr="00D55B59" w:rsidRDefault="001778AA" w:rsidP="00D47253">
            <w:pPr>
              <w:pStyle w:val="Default"/>
              <w:rPr>
                <w:sz w:val="22"/>
                <w:szCs w:val="22"/>
                <w:lang w:val="en-GB" w:eastAsia="en-GB"/>
                <w:rPrChange w:id="1457" w:author="Author">
                  <w:rPr>
                    <w:sz w:val="22"/>
                    <w:szCs w:val="22"/>
                    <w:lang w:eastAsia="en-GB"/>
                  </w:rPr>
                </w:rPrChange>
              </w:rPr>
            </w:pPr>
            <w:r w:rsidRPr="00D55B59">
              <w:rPr>
                <w:sz w:val="22"/>
                <w:szCs w:val="22"/>
                <w:lang w:val="en-GB"/>
                <w:rPrChange w:id="1458" w:author="Author">
                  <w:rPr>
                    <w:sz w:val="22"/>
                    <w:szCs w:val="22"/>
                  </w:rPr>
                </w:rPrChange>
              </w:rPr>
              <w:t xml:space="preserve">Uncommon </w:t>
            </w:r>
          </w:p>
        </w:tc>
        <w:tc>
          <w:tcPr>
            <w:tcW w:w="5670" w:type="dxa"/>
          </w:tcPr>
          <w:p w14:paraId="10849C61" w14:textId="77777777" w:rsidR="001778AA" w:rsidRPr="00D55B59" w:rsidRDefault="001778AA" w:rsidP="00D47253">
            <w:pPr>
              <w:pStyle w:val="Default"/>
              <w:rPr>
                <w:sz w:val="22"/>
                <w:szCs w:val="22"/>
                <w:lang w:val="en-GB" w:eastAsia="en-GB"/>
                <w:rPrChange w:id="1459" w:author="Author">
                  <w:rPr>
                    <w:sz w:val="22"/>
                    <w:szCs w:val="22"/>
                    <w:lang w:eastAsia="en-GB"/>
                  </w:rPr>
                </w:rPrChange>
              </w:rPr>
            </w:pPr>
            <w:r w:rsidRPr="00D55B59">
              <w:rPr>
                <w:sz w:val="22"/>
                <w:szCs w:val="22"/>
                <w:lang w:val="en-GB"/>
                <w:rPrChange w:id="1460" w:author="Author">
                  <w:rPr>
                    <w:sz w:val="22"/>
                    <w:szCs w:val="22"/>
                  </w:rPr>
                </w:rPrChange>
              </w:rPr>
              <w:t xml:space="preserve">Idiopathic thrombocytopenic purpura </w:t>
            </w:r>
          </w:p>
        </w:tc>
      </w:tr>
      <w:tr w:rsidR="001778AA" w:rsidRPr="00F04F82" w14:paraId="4E6DC11F" w14:textId="77777777" w:rsidTr="00D47253">
        <w:trPr>
          <w:cantSplit/>
          <w:trHeight w:val="154"/>
        </w:trPr>
        <w:tc>
          <w:tcPr>
            <w:tcW w:w="2268" w:type="dxa"/>
            <w:vMerge/>
          </w:tcPr>
          <w:p w14:paraId="43E33345"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7E32C397" w14:textId="77777777" w:rsidR="001778AA" w:rsidRPr="00D55B59" w:rsidRDefault="001778AA" w:rsidP="00D47253">
            <w:pPr>
              <w:pStyle w:val="Default"/>
              <w:rPr>
                <w:sz w:val="22"/>
                <w:szCs w:val="22"/>
                <w:lang w:val="en-GB" w:eastAsia="en-GB"/>
                <w:rPrChange w:id="1461" w:author="Author">
                  <w:rPr>
                    <w:sz w:val="22"/>
                    <w:szCs w:val="22"/>
                    <w:lang w:eastAsia="en-GB"/>
                  </w:rPr>
                </w:rPrChange>
              </w:rPr>
            </w:pPr>
            <w:r w:rsidRPr="00D55B59">
              <w:rPr>
                <w:sz w:val="22"/>
                <w:szCs w:val="22"/>
                <w:lang w:val="en-GB"/>
                <w:rPrChange w:id="1462" w:author="Author">
                  <w:rPr>
                    <w:sz w:val="22"/>
                    <w:szCs w:val="22"/>
                  </w:rPr>
                </w:rPrChange>
              </w:rPr>
              <w:t xml:space="preserve">Rare </w:t>
            </w:r>
          </w:p>
        </w:tc>
        <w:tc>
          <w:tcPr>
            <w:tcW w:w="5670" w:type="dxa"/>
          </w:tcPr>
          <w:p w14:paraId="7C867CC6" w14:textId="77777777" w:rsidR="001778AA" w:rsidRPr="00D55B59" w:rsidRDefault="001778AA" w:rsidP="00D47253">
            <w:pPr>
              <w:pStyle w:val="Default"/>
              <w:rPr>
                <w:sz w:val="22"/>
                <w:szCs w:val="22"/>
                <w:lang w:val="en-GB" w:eastAsia="en-GB"/>
                <w:rPrChange w:id="1463" w:author="Author">
                  <w:rPr>
                    <w:sz w:val="22"/>
                    <w:szCs w:val="22"/>
                    <w:lang w:eastAsia="en-GB"/>
                  </w:rPr>
                </w:rPrChange>
              </w:rPr>
            </w:pPr>
            <w:r w:rsidRPr="00D55B59">
              <w:rPr>
                <w:sz w:val="22"/>
                <w:szCs w:val="22"/>
                <w:lang w:val="en-GB"/>
                <w:rPrChange w:id="1464" w:author="Author">
                  <w:rPr>
                    <w:sz w:val="22"/>
                    <w:szCs w:val="22"/>
                  </w:rPr>
                </w:rPrChange>
              </w:rPr>
              <w:t xml:space="preserve">Pancytopenia </w:t>
            </w:r>
          </w:p>
        </w:tc>
      </w:tr>
      <w:tr w:rsidR="001778AA" w:rsidRPr="00F04F82" w14:paraId="5230951F" w14:textId="77777777" w:rsidTr="00D47253">
        <w:trPr>
          <w:cantSplit/>
          <w:trHeight w:val="154"/>
        </w:trPr>
        <w:tc>
          <w:tcPr>
            <w:tcW w:w="2268" w:type="dxa"/>
            <w:vMerge w:val="restart"/>
          </w:tcPr>
          <w:p w14:paraId="6396B294" w14:textId="77777777" w:rsidR="001778AA" w:rsidRPr="00D55B59" w:rsidRDefault="001778AA" w:rsidP="00D47253">
            <w:pPr>
              <w:pStyle w:val="Default"/>
              <w:rPr>
                <w:sz w:val="22"/>
                <w:szCs w:val="22"/>
                <w:lang w:val="en-GB"/>
                <w:rPrChange w:id="1465" w:author="Author">
                  <w:rPr>
                    <w:sz w:val="22"/>
                    <w:szCs w:val="22"/>
                  </w:rPr>
                </w:rPrChange>
              </w:rPr>
            </w:pPr>
            <w:r w:rsidRPr="00D55B59">
              <w:rPr>
                <w:sz w:val="22"/>
                <w:szCs w:val="22"/>
                <w:lang w:val="en-GB"/>
                <w:rPrChange w:id="1466" w:author="Author">
                  <w:rPr>
                    <w:sz w:val="22"/>
                    <w:szCs w:val="22"/>
                  </w:rPr>
                </w:rPrChange>
              </w:rPr>
              <w:t xml:space="preserve">Immune system disorders* </w:t>
            </w:r>
          </w:p>
          <w:p w14:paraId="274DBC5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6C3E667C" w14:textId="77777777" w:rsidR="001778AA" w:rsidRPr="00D55B59" w:rsidRDefault="001778AA" w:rsidP="00D47253">
            <w:pPr>
              <w:pStyle w:val="Default"/>
              <w:rPr>
                <w:sz w:val="22"/>
                <w:szCs w:val="22"/>
                <w:lang w:val="en-GB"/>
                <w:rPrChange w:id="1467" w:author="Author">
                  <w:rPr>
                    <w:sz w:val="22"/>
                    <w:szCs w:val="22"/>
                  </w:rPr>
                </w:rPrChange>
              </w:rPr>
            </w:pPr>
            <w:r w:rsidRPr="00D55B59">
              <w:rPr>
                <w:sz w:val="22"/>
                <w:szCs w:val="22"/>
                <w:lang w:val="en-GB"/>
                <w:rPrChange w:id="1468" w:author="Author">
                  <w:rPr>
                    <w:sz w:val="22"/>
                    <w:szCs w:val="22"/>
                  </w:rPr>
                </w:rPrChange>
              </w:rPr>
              <w:t xml:space="preserve">Common </w:t>
            </w:r>
          </w:p>
          <w:p w14:paraId="30EE94F0" w14:textId="77777777" w:rsidR="001778AA" w:rsidRPr="00D55B59" w:rsidRDefault="001778AA" w:rsidP="00D47253">
            <w:pPr>
              <w:pStyle w:val="Default"/>
              <w:rPr>
                <w:sz w:val="22"/>
                <w:szCs w:val="22"/>
                <w:lang w:val="en-GB"/>
                <w:rPrChange w:id="1469" w:author="Author">
                  <w:rPr>
                    <w:sz w:val="22"/>
                    <w:szCs w:val="22"/>
                  </w:rPr>
                </w:rPrChange>
              </w:rPr>
            </w:pPr>
          </w:p>
        </w:tc>
        <w:tc>
          <w:tcPr>
            <w:tcW w:w="5670" w:type="dxa"/>
          </w:tcPr>
          <w:p w14:paraId="4BD4989F" w14:textId="77777777" w:rsidR="001778AA" w:rsidRPr="00D55B59" w:rsidRDefault="001778AA" w:rsidP="00D47253">
            <w:pPr>
              <w:pStyle w:val="Default"/>
              <w:rPr>
                <w:sz w:val="22"/>
                <w:szCs w:val="22"/>
                <w:lang w:val="en-GB"/>
                <w:rPrChange w:id="1470" w:author="Author">
                  <w:rPr>
                    <w:sz w:val="22"/>
                    <w:szCs w:val="22"/>
                  </w:rPr>
                </w:rPrChange>
              </w:rPr>
            </w:pPr>
            <w:r w:rsidRPr="00D55B59">
              <w:rPr>
                <w:sz w:val="22"/>
                <w:szCs w:val="22"/>
                <w:lang w:val="en-GB"/>
                <w:rPrChange w:id="1471" w:author="Author">
                  <w:rPr>
                    <w:sz w:val="22"/>
                    <w:szCs w:val="22"/>
                  </w:rPr>
                </w:rPrChange>
              </w:rPr>
              <w:t xml:space="preserve">Hypersensitivity, </w:t>
            </w:r>
          </w:p>
          <w:p w14:paraId="35EFF902" w14:textId="77777777" w:rsidR="001778AA" w:rsidRPr="00D55B59" w:rsidRDefault="001778AA" w:rsidP="00D47253">
            <w:pPr>
              <w:pStyle w:val="Default"/>
              <w:rPr>
                <w:sz w:val="22"/>
                <w:szCs w:val="22"/>
                <w:lang w:val="en-GB"/>
                <w:rPrChange w:id="1472" w:author="Author">
                  <w:rPr>
                    <w:sz w:val="22"/>
                    <w:szCs w:val="22"/>
                  </w:rPr>
                </w:rPrChange>
              </w:rPr>
            </w:pPr>
            <w:r w:rsidRPr="00D55B59">
              <w:rPr>
                <w:sz w:val="22"/>
                <w:szCs w:val="22"/>
                <w:lang w:val="en-GB"/>
                <w:rPrChange w:id="1473" w:author="Author">
                  <w:rPr>
                    <w:sz w:val="22"/>
                    <w:szCs w:val="22"/>
                  </w:rPr>
                </w:rPrChange>
              </w:rPr>
              <w:t xml:space="preserve">Allergies (including seasonal allergy) </w:t>
            </w:r>
          </w:p>
        </w:tc>
      </w:tr>
      <w:tr w:rsidR="001778AA" w:rsidRPr="00F04F82" w14:paraId="36547C20" w14:textId="77777777" w:rsidTr="00D47253">
        <w:trPr>
          <w:cantSplit/>
          <w:trHeight w:val="154"/>
        </w:trPr>
        <w:tc>
          <w:tcPr>
            <w:tcW w:w="2268" w:type="dxa"/>
            <w:vMerge/>
          </w:tcPr>
          <w:p w14:paraId="2CD5A679"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1B602C21" w14:textId="77777777" w:rsidR="001778AA" w:rsidRPr="00D55B59" w:rsidRDefault="001778AA" w:rsidP="00D47253">
            <w:pPr>
              <w:pStyle w:val="Default"/>
              <w:rPr>
                <w:sz w:val="22"/>
                <w:szCs w:val="22"/>
                <w:lang w:val="en-GB"/>
                <w:rPrChange w:id="1474" w:author="Author">
                  <w:rPr>
                    <w:sz w:val="22"/>
                    <w:szCs w:val="22"/>
                  </w:rPr>
                </w:rPrChange>
              </w:rPr>
            </w:pPr>
            <w:r w:rsidRPr="00D55B59">
              <w:rPr>
                <w:sz w:val="22"/>
                <w:szCs w:val="22"/>
                <w:lang w:val="en-GB"/>
                <w:rPrChange w:id="1475" w:author="Author">
                  <w:rPr>
                    <w:sz w:val="22"/>
                    <w:szCs w:val="22"/>
                  </w:rPr>
                </w:rPrChange>
              </w:rPr>
              <w:t xml:space="preserve">Uncommon </w:t>
            </w:r>
          </w:p>
          <w:p w14:paraId="53899BFE" w14:textId="77777777" w:rsidR="001778AA" w:rsidRPr="00D55B59" w:rsidRDefault="001778AA" w:rsidP="00D47253">
            <w:pPr>
              <w:pStyle w:val="Default"/>
              <w:rPr>
                <w:sz w:val="22"/>
                <w:szCs w:val="22"/>
                <w:lang w:val="en-GB"/>
                <w:rPrChange w:id="1476" w:author="Author">
                  <w:rPr>
                    <w:sz w:val="22"/>
                    <w:szCs w:val="22"/>
                  </w:rPr>
                </w:rPrChange>
              </w:rPr>
            </w:pPr>
          </w:p>
        </w:tc>
        <w:tc>
          <w:tcPr>
            <w:tcW w:w="5670" w:type="dxa"/>
          </w:tcPr>
          <w:p w14:paraId="61324D57" w14:textId="77777777" w:rsidR="001778AA" w:rsidRPr="00D55B59" w:rsidRDefault="001778AA" w:rsidP="00D47253">
            <w:pPr>
              <w:pStyle w:val="Default"/>
              <w:rPr>
                <w:sz w:val="22"/>
                <w:szCs w:val="22"/>
                <w:lang w:val="en-GB"/>
                <w:rPrChange w:id="1477" w:author="Author">
                  <w:rPr>
                    <w:sz w:val="22"/>
                    <w:szCs w:val="22"/>
                  </w:rPr>
                </w:rPrChange>
              </w:rPr>
            </w:pPr>
            <w:r w:rsidRPr="00D55B59">
              <w:rPr>
                <w:sz w:val="22"/>
                <w:szCs w:val="22"/>
                <w:lang w:val="en-GB"/>
                <w:rPrChange w:id="1478" w:author="Author">
                  <w:rPr>
                    <w:sz w:val="22"/>
                    <w:szCs w:val="22"/>
                  </w:rPr>
                </w:rPrChange>
              </w:rPr>
              <w:t>Sarcoidosis</w:t>
            </w:r>
            <w:r w:rsidRPr="00D55B59">
              <w:rPr>
                <w:sz w:val="22"/>
                <w:szCs w:val="22"/>
                <w:vertAlign w:val="superscript"/>
                <w:lang w:val="en-GB"/>
                <w:rPrChange w:id="1479" w:author="Author">
                  <w:rPr>
                    <w:sz w:val="22"/>
                    <w:szCs w:val="22"/>
                    <w:vertAlign w:val="superscript"/>
                  </w:rPr>
                </w:rPrChange>
              </w:rPr>
              <w:t>1)</w:t>
            </w:r>
            <w:r w:rsidRPr="00D55B59">
              <w:rPr>
                <w:sz w:val="22"/>
                <w:szCs w:val="22"/>
                <w:lang w:val="en-GB"/>
                <w:rPrChange w:id="1480" w:author="Author">
                  <w:rPr>
                    <w:sz w:val="22"/>
                    <w:szCs w:val="22"/>
                  </w:rPr>
                </w:rPrChange>
              </w:rPr>
              <w:t xml:space="preserve">, </w:t>
            </w:r>
          </w:p>
          <w:p w14:paraId="61CDFC4A" w14:textId="77777777" w:rsidR="001778AA" w:rsidRPr="00D55B59" w:rsidRDefault="001778AA" w:rsidP="00D47253">
            <w:pPr>
              <w:pStyle w:val="Default"/>
              <w:rPr>
                <w:sz w:val="22"/>
                <w:szCs w:val="22"/>
                <w:lang w:val="en-GB"/>
                <w:rPrChange w:id="1481" w:author="Author">
                  <w:rPr>
                    <w:sz w:val="22"/>
                    <w:szCs w:val="22"/>
                  </w:rPr>
                </w:rPrChange>
              </w:rPr>
            </w:pPr>
            <w:r w:rsidRPr="00D55B59">
              <w:rPr>
                <w:sz w:val="22"/>
                <w:szCs w:val="22"/>
                <w:lang w:val="en-GB"/>
                <w:rPrChange w:id="1482" w:author="Author">
                  <w:rPr>
                    <w:sz w:val="22"/>
                    <w:szCs w:val="22"/>
                  </w:rPr>
                </w:rPrChange>
              </w:rPr>
              <w:t xml:space="preserve">Vasculitis </w:t>
            </w:r>
          </w:p>
        </w:tc>
      </w:tr>
      <w:tr w:rsidR="001778AA" w:rsidRPr="00F04F82" w14:paraId="1015D5C9" w14:textId="77777777" w:rsidTr="00D47253">
        <w:trPr>
          <w:cantSplit/>
          <w:trHeight w:val="154"/>
        </w:trPr>
        <w:tc>
          <w:tcPr>
            <w:tcW w:w="2268" w:type="dxa"/>
            <w:vMerge/>
          </w:tcPr>
          <w:p w14:paraId="622A97E9"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1712C001" w14:textId="77777777" w:rsidR="001778AA" w:rsidRPr="00D55B59" w:rsidRDefault="001778AA" w:rsidP="00D47253">
            <w:pPr>
              <w:pStyle w:val="Default"/>
              <w:rPr>
                <w:sz w:val="22"/>
                <w:szCs w:val="22"/>
                <w:lang w:val="en-GB"/>
                <w:rPrChange w:id="1483" w:author="Author">
                  <w:rPr>
                    <w:sz w:val="22"/>
                    <w:szCs w:val="22"/>
                  </w:rPr>
                </w:rPrChange>
              </w:rPr>
            </w:pPr>
            <w:r w:rsidRPr="00D55B59">
              <w:rPr>
                <w:sz w:val="22"/>
                <w:szCs w:val="22"/>
                <w:lang w:val="en-GB"/>
                <w:rPrChange w:id="1484" w:author="Author">
                  <w:rPr>
                    <w:sz w:val="22"/>
                    <w:szCs w:val="22"/>
                  </w:rPr>
                </w:rPrChange>
              </w:rPr>
              <w:t xml:space="preserve">Rare </w:t>
            </w:r>
          </w:p>
        </w:tc>
        <w:tc>
          <w:tcPr>
            <w:tcW w:w="5670" w:type="dxa"/>
          </w:tcPr>
          <w:p w14:paraId="455CB197" w14:textId="77777777" w:rsidR="001778AA" w:rsidRPr="00D55B59" w:rsidRDefault="001778AA" w:rsidP="00D47253">
            <w:pPr>
              <w:pStyle w:val="Default"/>
              <w:rPr>
                <w:sz w:val="22"/>
                <w:szCs w:val="22"/>
                <w:lang w:val="en-GB"/>
                <w:rPrChange w:id="1485" w:author="Author">
                  <w:rPr>
                    <w:sz w:val="22"/>
                    <w:szCs w:val="22"/>
                  </w:rPr>
                </w:rPrChange>
              </w:rPr>
            </w:pPr>
            <w:r w:rsidRPr="00D55B59">
              <w:rPr>
                <w:sz w:val="22"/>
                <w:szCs w:val="22"/>
                <w:lang w:val="en-GB"/>
                <w:rPrChange w:id="1486" w:author="Author">
                  <w:rPr>
                    <w:sz w:val="22"/>
                    <w:szCs w:val="22"/>
                  </w:rPr>
                </w:rPrChange>
              </w:rPr>
              <w:t>Anaphylaxis</w:t>
            </w:r>
            <w:r w:rsidRPr="00D55B59">
              <w:rPr>
                <w:sz w:val="22"/>
                <w:szCs w:val="22"/>
                <w:vertAlign w:val="superscript"/>
                <w:lang w:val="en-GB"/>
                <w:rPrChange w:id="1487" w:author="Author">
                  <w:rPr>
                    <w:sz w:val="22"/>
                    <w:szCs w:val="22"/>
                    <w:vertAlign w:val="superscript"/>
                  </w:rPr>
                </w:rPrChange>
              </w:rPr>
              <w:t>1)</w:t>
            </w:r>
            <w:r w:rsidRPr="00D55B59">
              <w:rPr>
                <w:sz w:val="22"/>
                <w:szCs w:val="22"/>
                <w:lang w:val="en-GB"/>
                <w:rPrChange w:id="1488" w:author="Author">
                  <w:rPr>
                    <w:sz w:val="22"/>
                    <w:szCs w:val="22"/>
                  </w:rPr>
                </w:rPrChange>
              </w:rPr>
              <w:t xml:space="preserve"> </w:t>
            </w:r>
          </w:p>
        </w:tc>
      </w:tr>
      <w:tr w:rsidR="001778AA" w:rsidRPr="00F04F82" w14:paraId="5841AF34" w14:textId="77777777" w:rsidTr="00D47253">
        <w:trPr>
          <w:trHeight w:val="154"/>
        </w:trPr>
        <w:tc>
          <w:tcPr>
            <w:tcW w:w="2268" w:type="dxa"/>
            <w:vMerge w:val="restart"/>
          </w:tcPr>
          <w:p w14:paraId="30B73106" w14:textId="77777777" w:rsidR="001778AA" w:rsidRPr="00D55B59" w:rsidRDefault="001778AA" w:rsidP="00D47253">
            <w:pPr>
              <w:pStyle w:val="Default"/>
              <w:keepNext/>
              <w:keepLines/>
              <w:rPr>
                <w:sz w:val="22"/>
                <w:szCs w:val="22"/>
                <w:lang w:val="en-GB"/>
                <w:rPrChange w:id="1489" w:author="Author">
                  <w:rPr>
                    <w:sz w:val="22"/>
                    <w:szCs w:val="22"/>
                  </w:rPr>
                </w:rPrChange>
              </w:rPr>
            </w:pPr>
            <w:r w:rsidRPr="00D55B59">
              <w:rPr>
                <w:sz w:val="22"/>
                <w:szCs w:val="22"/>
                <w:lang w:val="en-GB"/>
                <w:rPrChange w:id="1490" w:author="Author">
                  <w:rPr>
                    <w:sz w:val="22"/>
                    <w:szCs w:val="22"/>
                  </w:rPr>
                </w:rPrChange>
              </w:rPr>
              <w:t xml:space="preserve">Metabolism and nutrition disorders </w:t>
            </w:r>
          </w:p>
          <w:p w14:paraId="7EE08513"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p>
        </w:tc>
        <w:tc>
          <w:tcPr>
            <w:tcW w:w="1701" w:type="dxa"/>
          </w:tcPr>
          <w:p w14:paraId="065E1833" w14:textId="77777777" w:rsidR="001778AA" w:rsidRPr="00D55B59" w:rsidRDefault="001778AA" w:rsidP="00D47253">
            <w:pPr>
              <w:pStyle w:val="Default"/>
              <w:keepNext/>
              <w:keepLines/>
              <w:rPr>
                <w:sz w:val="22"/>
                <w:szCs w:val="22"/>
                <w:lang w:val="en-GB"/>
                <w:rPrChange w:id="1491" w:author="Author">
                  <w:rPr>
                    <w:sz w:val="22"/>
                    <w:szCs w:val="22"/>
                  </w:rPr>
                </w:rPrChange>
              </w:rPr>
            </w:pPr>
            <w:r w:rsidRPr="00D55B59">
              <w:rPr>
                <w:sz w:val="22"/>
                <w:szCs w:val="22"/>
                <w:lang w:val="en-GB"/>
                <w:rPrChange w:id="1492" w:author="Author">
                  <w:rPr>
                    <w:sz w:val="22"/>
                    <w:szCs w:val="22"/>
                  </w:rPr>
                </w:rPrChange>
              </w:rPr>
              <w:t xml:space="preserve">Very common </w:t>
            </w:r>
          </w:p>
        </w:tc>
        <w:tc>
          <w:tcPr>
            <w:tcW w:w="5670" w:type="dxa"/>
          </w:tcPr>
          <w:p w14:paraId="62D31E63" w14:textId="77777777" w:rsidR="001778AA" w:rsidRPr="00D55B59" w:rsidRDefault="001778AA" w:rsidP="00D47253">
            <w:pPr>
              <w:pStyle w:val="Default"/>
              <w:keepNext/>
              <w:keepLines/>
              <w:rPr>
                <w:sz w:val="22"/>
                <w:szCs w:val="22"/>
                <w:lang w:val="en-GB"/>
                <w:rPrChange w:id="1493" w:author="Author">
                  <w:rPr>
                    <w:sz w:val="22"/>
                    <w:szCs w:val="22"/>
                  </w:rPr>
                </w:rPrChange>
              </w:rPr>
            </w:pPr>
            <w:r w:rsidRPr="00D55B59">
              <w:rPr>
                <w:sz w:val="22"/>
                <w:szCs w:val="22"/>
                <w:lang w:val="en-GB"/>
                <w:rPrChange w:id="1494" w:author="Author">
                  <w:rPr>
                    <w:sz w:val="22"/>
                    <w:szCs w:val="22"/>
                  </w:rPr>
                </w:rPrChange>
              </w:rPr>
              <w:t xml:space="preserve">Lipids increased </w:t>
            </w:r>
          </w:p>
        </w:tc>
      </w:tr>
      <w:tr w:rsidR="001778AA" w:rsidRPr="00F04F82" w14:paraId="3C5A52AE" w14:textId="77777777" w:rsidTr="00D47253">
        <w:trPr>
          <w:trHeight w:val="154"/>
        </w:trPr>
        <w:tc>
          <w:tcPr>
            <w:tcW w:w="2268" w:type="dxa"/>
            <w:vMerge/>
          </w:tcPr>
          <w:p w14:paraId="6AEB45AA" w14:textId="77777777" w:rsidR="001778AA" w:rsidRPr="00F04F82" w:rsidRDefault="001778AA" w:rsidP="00D47253">
            <w:pPr>
              <w:keepNext/>
              <w:keepLines/>
              <w:tabs>
                <w:tab w:val="clear" w:pos="567"/>
              </w:tabs>
              <w:autoSpaceDE w:val="0"/>
              <w:autoSpaceDN w:val="0"/>
              <w:adjustRightInd w:val="0"/>
              <w:spacing w:line="240" w:lineRule="auto"/>
              <w:rPr>
                <w:color w:val="000000"/>
                <w:szCs w:val="22"/>
                <w:lang w:eastAsia="en-GB"/>
              </w:rPr>
            </w:pPr>
          </w:p>
        </w:tc>
        <w:tc>
          <w:tcPr>
            <w:tcW w:w="1701" w:type="dxa"/>
          </w:tcPr>
          <w:p w14:paraId="5EDC7A8D" w14:textId="77777777" w:rsidR="001778AA" w:rsidRPr="00D55B59" w:rsidRDefault="001778AA" w:rsidP="00D47253">
            <w:pPr>
              <w:pStyle w:val="Default"/>
              <w:keepNext/>
              <w:keepLines/>
              <w:rPr>
                <w:sz w:val="22"/>
                <w:szCs w:val="22"/>
                <w:lang w:val="en-GB"/>
                <w:rPrChange w:id="1495" w:author="Author">
                  <w:rPr>
                    <w:sz w:val="22"/>
                    <w:szCs w:val="22"/>
                  </w:rPr>
                </w:rPrChange>
              </w:rPr>
            </w:pPr>
            <w:r w:rsidRPr="00D55B59">
              <w:rPr>
                <w:sz w:val="22"/>
                <w:szCs w:val="22"/>
                <w:lang w:val="en-GB"/>
                <w:rPrChange w:id="1496" w:author="Author">
                  <w:rPr>
                    <w:sz w:val="22"/>
                    <w:szCs w:val="22"/>
                  </w:rPr>
                </w:rPrChange>
              </w:rPr>
              <w:t xml:space="preserve">Common </w:t>
            </w:r>
          </w:p>
          <w:p w14:paraId="4B564D5C" w14:textId="77777777" w:rsidR="001778AA" w:rsidRPr="00D55B59" w:rsidRDefault="001778AA" w:rsidP="00D47253">
            <w:pPr>
              <w:pStyle w:val="Default"/>
              <w:keepNext/>
              <w:keepLines/>
              <w:rPr>
                <w:sz w:val="22"/>
                <w:szCs w:val="22"/>
                <w:lang w:val="en-GB"/>
                <w:rPrChange w:id="1497" w:author="Author">
                  <w:rPr>
                    <w:sz w:val="22"/>
                    <w:szCs w:val="22"/>
                  </w:rPr>
                </w:rPrChange>
              </w:rPr>
            </w:pPr>
          </w:p>
        </w:tc>
        <w:tc>
          <w:tcPr>
            <w:tcW w:w="5670" w:type="dxa"/>
          </w:tcPr>
          <w:p w14:paraId="48E2AFF8" w14:textId="77777777" w:rsidR="001778AA" w:rsidRPr="00D55B59" w:rsidRDefault="001778AA" w:rsidP="00D47253">
            <w:pPr>
              <w:pStyle w:val="Default"/>
              <w:keepNext/>
              <w:keepLines/>
              <w:rPr>
                <w:sz w:val="22"/>
                <w:szCs w:val="22"/>
                <w:lang w:val="en-GB"/>
                <w:rPrChange w:id="1498" w:author="Author">
                  <w:rPr>
                    <w:sz w:val="22"/>
                    <w:szCs w:val="22"/>
                  </w:rPr>
                </w:rPrChange>
              </w:rPr>
            </w:pPr>
            <w:r w:rsidRPr="00D55B59">
              <w:rPr>
                <w:sz w:val="22"/>
                <w:szCs w:val="22"/>
                <w:lang w:val="en-GB"/>
                <w:rPrChange w:id="1499" w:author="Author">
                  <w:rPr>
                    <w:sz w:val="22"/>
                    <w:szCs w:val="22"/>
                  </w:rPr>
                </w:rPrChange>
              </w:rPr>
              <w:t xml:space="preserve">Hypokalaemia, </w:t>
            </w:r>
          </w:p>
          <w:p w14:paraId="3B858600" w14:textId="77777777" w:rsidR="001778AA" w:rsidRPr="00D55B59" w:rsidRDefault="001778AA" w:rsidP="00D47253">
            <w:pPr>
              <w:pStyle w:val="Default"/>
              <w:keepNext/>
              <w:keepLines/>
              <w:rPr>
                <w:sz w:val="22"/>
                <w:szCs w:val="22"/>
                <w:lang w:val="en-GB"/>
                <w:rPrChange w:id="1500" w:author="Author">
                  <w:rPr>
                    <w:sz w:val="22"/>
                    <w:szCs w:val="22"/>
                  </w:rPr>
                </w:rPrChange>
              </w:rPr>
            </w:pPr>
            <w:r w:rsidRPr="00D55B59">
              <w:rPr>
                <w:sz w:val="22"/>
                <w:szCs w:val="22"/>
                <w:lang w:val="en-GB"/>
                <w:rPrChange w:id="1501" w:author="Author">
                  <w:rPr>
                    <w:sz w:val="22"/>
                    <w:szCs w:val="22"/>
                  </w:rPr>
                </w:rPrChange>
              </w:rPr>
              <w:t xml:space="preserve">Uric acid increased, </w:t>
            </w:r>
          </w:p>
          <w:p w14:paraId="0C727DBA" w14:textId="77777777" w:rsidR="001778AA" w:rsidRPr="00D55B59" w:rsidRDefault="001778AA" w:rsidP="00D47253">
            <w:pPr>
              <w:pStyle w:val="Default"/>
              <w:keepNext/>
              <w:keepLines/>
              <w:rPr>
                <w:sz w:val="22"/>
                <w:szCs w:val="22"/>
                <w:lang w:val="en-GB"/>
                <w:rPrChange w:id="1502" w:author="Author">
                  <w:rPr>
                    <w:sz w:val="22"/>
                    <w:szCs w:val="22"/>
                  </w:rPr>
                </w:rPrChange>
              </w:rPr>
            </w:pPr>
            <w:r w:rsidRPr="00D55B59">
              <w:rPr>
                <w:sz w:val="22"/>
                <w:szCs w:val="22"/>
                <w:lang w:val="en-GB"/>
                <w:rPrChange w:id="1503" w:author="Author">
                  <w:rPr>
                    <w:sz w:val="22"/>
                    <w:szCs w:val="22"/>
                  </w:rPr>
                </w:rPrChange>
              </w:rPr>
              <w:t xml:space="preserve">Blood sodium abnormal, </w:t>
            </w:r>
          </w:p>
          <w:p w14:paraId="1F4E063D" w14:textId="77777777" w:rsidR="001778AA" w:rsidRPr="00D55B59" w:rsidRDefault="001778AA" w:rsidP="00D47253">
            <w:pPr>
              <w:pStyle w:val="Default"/>
              <w:keepNext/>
              <w:keepLines/>
              <w:rPr>
                <w:sz w:val="22"/>
                <w:szCs w:val="22"/>
                <w:lang w:val="en-GB"/>
                <w:rPrChange w:id="1504" w:author="Author">
                  <w:rPr>
                    <w:sz w:val="22"/>
                    <w:szCs w:val="22"/>
                  </w:rPr>
                </w:rPrChange>
              </w:rPr>
            </w:pPr>
            <w:r w:rsidRPr="00D55B59">
              <w:rPr>
                <w:sz w:val="22"/>
                <w:szCs w:val="22"/>
                <w:lang w:val="en-GB"/>
                <w:rPrChange w:id="1505" w:author="Author">
                  <w:rPr>
                    <w:sz w:val="22"/>
                    <w:szCs w:val="22"/>
                  </w:rPr>
                </w:rPrChange>
              </w:rPr>
              <w:t xml:space="preserve">Hypocalcaemia, </w:t>
            </w:r>
          </w:p>
          <w:p w14:paraId="0F521872" w14:textId="77777777" w:rsidR="001778AA" w:rsidRPr="00D55B59" w:rsidRDefault="001778AA" w:rsidP="00D47253">
            <w:pPr>
              <w:pStyle w:val="Default"/>
              <w:keepNext/>
              <w:keepLines/>
              <w:rPr>
                <w:sz w:val="22"/>
                <w:szCs w:val="22"/>
                <w:lang w:val="en-GB"/>
                <w:rPrChange w:id="1506" w:author="Author">
                  <w:rPr>
                    <w:sz w:val="22"/>
                    <w:szCs w:val="22"/>
                  </w:rPr>
                </w:rPrChange>
              </w:rPr>
            </w:pPr>
            <w:r w:rsidRPr="00D55B59">
              <w:rPr>
                <w:sz w:val="22"/>
                <w:szCs w:val="22"/>
                <w:lang w:val="en-GB"/>
                <w:rPrChange w:id="1507" w:author="Author">
                  <w:rPr>
                    <w:sz w:val="22"/>
                    <w:szCs w:val="22"/>
                  </w:rPr>
                </w:rPrChange>
              </w:rPr>
              <w:t xml:space="preserve">Hyperglycaemia, </w:t>
            </w:r>
          </w:p>
          <w:p w14:paraId="5B808F6D" w14:textId="77777777" w:rsidR="001778AA" w:rsidRPr="00D55B59" w:rsidRDefault="001778AA" w:rsidP="00D47253">
            <w:pPr>
              <w:pStyle w:val="Default"/>
              <w:keepNext/>
              <w:keepLines/>
              <w:rPr>
                <w:sz w:val="22"/>
                <w:szCs w:val="22"/>
                <w:lang w:val="en-GB"/>
                <w:rPrChange w:id="1508" w:author="Author">
                  <w:rPr>
                    <w:sz w:val="22"/>
                    <w:szCs w:val="22"/>
                  </w:rPr>
                </w:rPrChange>
              </w:rPr>
            </w:pPr>
            <w:r w:rsidRPr="00D55B59">
              <w:rPr>
                <w:sz w:val="22"/>
                <w:szCs w:val="22"/>
                <w:lang w:val="en-GB"/>
                <w:rPrChange w:id="1509" w:author="Author">
                  <w:rPr>
                    <w:sz w:val="22"/>
                    <w:szCs w:val="22"/>
                  </w:rPr>
                </w:rPrChange>
              </w:rPr>
              <w:t xml:space="preserve">Hypophosphataemia, </w:t>
            </w:r>
          </w:p>
          <w:p w14:paraId="6E0B2369" w14:textId="77777777" w:rsidR="001778AA" w:rsidRPr="00D55B59" w:rsidRDefault="001778AA" w:rsidP="00D47253">
            <w:pPr>
              <w:pStyle w:val="Default"/>
              <w:keepNext/>
              <w:keepLines/>
              <w:rPr>
                <w:sz w:val="22"/>
                <w:szCs w:val="22"/>
                <w:lang w:val="en-GB"/>
                <w:rPrChange w:id="1510" w:author="Author">
                  <w:rPr>
                    <w:sz w:val="22"/>
                    <w:szCs w:val="22"/>
                  </w:rPr>
                </w:rPrChange>
              </w:rPr>
            </w:pPr>
            <w:r w:rsidRPr="00D55B59">
              <w:rPr>
                <w:sz w:val="22"/>
                <w:szCs w:val="22"/>
                <w:lang w:val="en-GB"/>
                <w:rPrChange w:id="1511" w:author="Author">
                  <w:rPr>
                    <w:sz w:val="22"/>
                    <w:szCs w:val="22"/>
                  </w:rPr>
                </w:rPrChange>
              </w:rPr>
              <w:t xml:space="preserve">Dehydration </w:t>
            </w:r>
          </w:p>
        </w:tc>
      </w:tr>
      <w:tr w:rsidR="001778AA" w:rsidRPr="00F04F82" w14:paraId="5603E56E" w14:textId="77777777" w:rsidTr="00D47253">
        <w:trPr>
          <w:cantSplit/>
          <w:trHeight w:val="154"/>
        </w:trPr>
        <w:tc>
          <w:tcPr>
            <w:tcW w:w="2268" w:type="dxa"/>
          </w:tcPr>
          <w:p w14:paraId="7022A776" w14:textId="77777777" w:rsidR="001778AA" w:rsidRPr="00D55B59" w:rsidRDefault="001778AA" w:rsidP="00D47253">
            <w:pPr>
              <w:pStyle w:val="Default"/>
              <w:rPr>
                <w:sz w:val="22"/>
                <w:szCs w:val="22"/>
                <w:lang w:val="en-GB"/>
                <w:rPrChange w:id="1512" w:author="Author">
                  <w:rPr>
                    <w:sz w:val="22"/>
                    <w:szCs w:val="22"/>
                  </w:rPr>
                </w:rPrChange>
              </w:rPr>
            </w:pPr>
            <w:r w:rsidRPr="00D55B59">
              <w:rPr>
                <w:sz w:val="22"/>
                <w:szCs w:val="22"/>
                <w:lang w:val="en-GB"/>
                <w:rPrChange w:id="1513" w:author="Author">
                  <w:rPr>
                    <w:sz w:val="22"/>
                    <w:szCs w:val="22"/>
                  </w:rPr>
                </w:rPrChange>
              </w:rPr>
              <w:t xml:space="preserve">Psychiatric disorders </w:t>
            </w:r>
          </w:p>
          <w:p w14:paraId="7C7F5A4A"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3CB7D5F9" w14:textId="77777777" w:rsidR="001778AA" w:rsidRPr="00D55B59" w:rsidRDefault="001778AA" w:rsidP="00D47253">
            <w:pPr>
              <w:pStyle w:val="Default"/>
              <w:rPr>
                <w:sz w:val="22"/>
                <w:szCs w:val="22"/>
                <w:lang w:val="en-GB"/>
                <w:rPrChange w:id="1514" w:author="Author">
                  <w:rPr>
                    <w:sz w:val="22"/>
                    <w:szCs w:val="22"/>
                  </w:rPr>
                </w:rPrChange>
              </w:rPr>
            </w:pPr>
            <w:r w:rsidRPr="00D55B59">
              <w:rPr>
                <w:sz w:val="22"/>
                <w:szCs w:val="22"/>
                <w:lang w:val="en-GB"/>
                <w:rPrChange w:id="1515" w:author="Author">
                  <w:rPr>
                    <w:sz w:val="22"/>
                    <w:szCs w:val="22"/>
                  </w:rPr>
                </w:rPrChange>
              </w:rPr>
              <w:t xml:space="preserve">Common </w:t>
            </w:r>
          </w:p>
          <w:p w14:paraId="73988C7E" w14:textId="77777777" w:rsidR="001778AA" w:rsidRPr="00D55B59" w:rsidRDefault="001778AA" w:rsidP="00D47253">
            <w:pPr>
              <w:pStyle w:val="Default"/>
              <w:rPr>
                <w:sz w:val="22"/>
                <w:szCs w:val="22"/>
                <w:lang w:val="en-GB"/>
                <w:rPrChange w:id="1516" w:author="Author">
                  <w:rPr>
                    <w:sz w:val="22"/>
                    <w:szCs w:val="22"/>
                  </w:rPr>
                </w:rPrChange>
              </w:rPr>
            </w:pPr>
          </w:p>
        </w:tc>
        <w:tc>
          <w:tcPr>
            <w:tcW w:w="5670" w:type="dxa"/>
          </w:tcPr>
          <w:p w14:paraId="3E52B236" w14:textId="77777777" w:rsidR="001778AA" w:rsidRPr="00D55B59" w:rsidRDefault="001778AA" w:rsidP="00D47253">
            <w:pPr>
              <w:pStyle w:val="Default"/>
              <w:rPr>
                <w:sz w:val="22"/>
                <w:szCs w:val="22"/>
                <w:lang w:val="en-GB"/>
                <w:rPrChange w:id="1517" w:author="Author">
                  <w:rPr>
                    <w:sz w:val="22"/>
                    <w:szCs w:val="22"/>
                  </w:rPr>
                </w:rPrChange>
              </w:rPr>
            </w:pPr>
            <w:r w:rsidRPr="00D55B59">
              <w:rPr>
                <w:sz w:val="22"/>
                <w:szCs w:val="22"/>
                <w:lang w:val="en-GB"/>
                <w:rPrChange w:id="1518" w:author="Author">
                  <w:rPr>
                    <w:sz w:val="22"/>
                    <w:szCs w:val="22"/>
                  </w:rPr>
                </w:rPrChange>
              </w:rPr>
              <w:t xml:space="preserve">Mood alterations (including depression), </w:t>
            </w:r>
          </w:p>
          <w:p w14:paraId="058BA5F3" w14:textId="77777777" w:rsidR="001778AA" w:rsidRPr="00D55B59" w:rsidRDefault="001778AA" w:rsidP="00D47253">
            <w:pPr>
              <w:pStyle w:val="Default"/>
              <w:rPr>
                <w:sz w:val="22"/>
                <w:szCs w:val="22"/>
                <w:lang w:val="en-GB"/>
                <w:rPrChange w:id="1519" w:author="Author">
                  <w:rPr>
                    <w:sz w:val="22"/>
                    <w:szCs w:val="22"/>
                  </w:rPr>
                </w:rPrChange>
              </w:rPr>
            </w:pPr>
            <w:r w:rsidRPr="00D55B59">
              <w:rPr>
                <w:sz w:val="22"/>
                <w:szCs w:val="22"/>
                <w:lang w:val="en-GB"/>
                <w:rPrChange w:id="1520" w:author="Author">
                  <w:rPr>
                    <w:sz w:val="22"/>
                    <w:szCs w:val="22"/>
                  </w:rPr>
                </w:rPrChange>
              </w:rPr>
              <w:t xml:space="preserve">Anxiety, </w:t>
            </w:r>
          </w:p>
          <w:p w14:paraId="596A1712" w14:textId="77777777" w:rsidR="001778AA" w:rsidRPr="00D55B59" w:rsidRDefault="001778AA" w:rsidP="00D47253">
            <w:pPr>
              <w:pStyle w:val="Default"/>
              <w:rPr>
                <w:sz w:val="22"/>
                <w:szCs w:val="22"/>
                <w:lang w:val="en-GB"/>
                <w:rPrChange w:id="1521" w:author="Author">
                  <w:rPr>
                    <w:sz w:val="22"/>
                    <w:szCs w:val="22"/>
                  </w:rPr>
                </w:rPrChange>
              </w:rPr>
            </w:pPr>
            <w:r w:rsidRPr="00D55B59">
              <w:rPr>
                <w:sz w:val="22"/>
                <w:szCs w:val="22"/>
                <w:lang w:val="en-GB"/>
                <w:rPrChange w:id="1522" w:author="Author">
                  <w:rPr>
                    <w:sz w:val="22"/>
                    <w:szCs w:val="22"/>
                  </w:rPr>
                </w:rPrChange>
              </w:rPr>
              <w:t xml:space="preserve">Insomnia </w:t>
            </w:r>
          </w:p>
        </w:tc>
      </w:tr>
      <w:tr w:rsidR="001778AA" w:rsidRPr="00F04F82" w14:paraId="55B60447" w14:textId="77777777" w:rsidTr="00D47253">
        <w:trPr>
          <w:cantSplit/>
          <w:trHeight w:val="154"/>
        </w:trPr>
        <w:tc>
          <w:tcPr>
            <w:tcW w:w="2268" w:type="dxa"/>
            <w:vMerge w:val="restart"/>
          </w:tcPr>
          <w:p w14:paraId="6E858945" w14:textId="77777777" w:rsidR="001778AA" w:rsidRPr="00D55B59" w:rsidRDefault="001778AA" w:rsidP="00D47253">
            <w:pPr>
              <w:pStyle w:val="Default"/>
              <w:keepNext/>
              <w:rPr>
                <w:sz w:val="22"/>
                <w:szCs w:val="22"/>
                <w:lang w:val="en-GB"/>
                <w:rPrChange w:id="1523" w:author="Author">
                  <w:rPr>
                    <w:sz w:val="22"/>
                    <w:szCs w:val="22"/>
                  </w:rPr>
                </w:rPrChange>
              </w:rPr>
            </w:pPr>
            <w:r w:rsidRPr="00D55B59">
              <w:rPr>
                <w:sz w:val="22"/>
                <w:szCs w:val="22"/>
                <w:lang w:val="en-GB"/>
                <w:rPrChange w:id="1524" w:author="Author">
                  <w:rPr>
                    <w:sz w:val="22"/>
                    <w:szCs w:val="22"/>
                  </w:rPr>
                </w:rPrChange>
              </w:rPr>
              <w:t xml:space="preserve">Nervous system disorders* </w:t>
            </w:r>
          </w:p>
          <w:p w14:paraId="13F013E1"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p>
        </w:tc>
        <w:tc>
          <w:tcPr>
            <w:tcW w:w="1701" w:type="dxa"/>
          </w:tcPr>
          <w:p w14:paraId="7C37634B" w14:textId="77777777" w:rsidR="001778AA" w:rsidRPr="00D55B59" w:rsidRDefault="001778AA" w:rsidP="00D47253">
            <w:pPr>
              <w:pStyle w:val="Default"/>
              <w:keepNext/>
              <w:rPr>
                <w:sz w:val="22"/>
                <w:szCs w:val="22"/>
                <w:lang w:val="en-GB"/>
                <w:rPrChange w:id="1525" w:author="Author">
                  <w:rPr>
                    <w:sz w:val="22"/>
                    <w:szCs w:val="22"/>
                  </w:rPr>
                </w:rPrChange>
              </w:rPr>
            </w:pPr>
            <w:r w:rsidRPr="00D55B59">
              <w:rPr>
                <w:sz w:val="22"/>
                <w:szCs w:val="22"/>
                <w:lang w:val="en-GB"/>
                <w:rPrChange w:id="1526" w:author="Author">
                  <w:rPr>
                    <w:sz w:val="22"/>
                    <w:szCs w:val="22"/>
                  </w:rPr>
                </w:rPrChange>
              </w:rPr>
              <w:t xml:space="preserve">Very common </w:t>
            </w:r>
          </w:p>
        </w:tc>
        <w:tc>
          <w:tcPr>
            <w:tcW w:w="5670" w:type="dxa"/>
          </w:tcPr>
          <w:p w14:paraId="73E93C2A" w14:textId="77777777" w:rsidR="001778AA" w:rsidRPr="00D55B59" w:rsidRDefault="001778AA" w:rsidP="00D47253">
            <w:pPr>
              <w:pStyle w:val="Default"/>
              <w:keepNext/>
              <w:rPr>
                <w:sz w:val="22"/>
                <w:szCs w:val="22"/>
                <w:lang w:val="en-GB"/>
                <w:rPrChange w:id="1527" w:author="Author">
                  <w:rPr>
                    <w:sz w:val="22"/>
                    <w:szCs w:val="22"/>
                  </w:rPr>
                </w:rPrChange>
              </w:rPr>
            </w:pPr>
            <w:r w:rsidRPr="00D55B59">
              <w:rPr>
                <w:sz w:val="22"/>
                <w:szCs w:val="22"/>
                <w:lang w:val="en-GB"/>
                <w:rPrChange w:id="1528" w:author="Author">
                  <w:rPr>
                    <w:sz w:val="22"/>
                    <w:szCs w:val="22"/>
                  </w:rPr>
                </w:rPrChange>
              </w:rPr>
              <w:t xml:space="preserve">Headache </w:t>
            </w:r>
          </w:p>
        </w:tc>
      </w:tr>
      <w:tr w:rsidR="001778AA" w:rsidRPr="00F04F82" w14:paraId="1F8837E0" w14:textId="77777777" w:rsidTr="00D47253">
        <w:trPr>
          <w:cantSplit/>
          <w:trHeight w:val="154"/>
        </w:trPr>
        <w:tc>
          <w:tcPr>
            <w:tcW w:w="2268" w:type="dxa"/>
            <w:vMerge/>
          </w:tcPr>
          <w:p w14:paraId="42CEFCB9" w14:textId="77777777" w:rsidR="001778AA" w:rsidRPr="00F04F82" w:rsidRDefault="001778AA" w:rsidP="00D47253">
            <w:pPr>
              <w:keepNext/>
              <w:tabs>
                <w:tab w:val="clear" w:pos="567"/>
              </w:tabs>
              <w:autoSpaceDE w:val="0"/>
              <w:autoSpaceDN w:val="0"/>
              <w:adjustRightInd w:val="0"/>
              <w:spacing w:line="240" w:lineRule="auto"/>
              <w:rPr>
                <w:color w:val="000000"/>
                <w:szCs w:val="22"/>
                <w:lang w:eastAsia="en-GB"/>
              </w:rPr>
            </w:pPr>
          </w:p>
        </w:tc>
        <w:tc>
          <w:tcPr>
            <w:tcW w:w="1701" w:type="dxa"/>
          </w:tcPr>
          <w:p w14:paraId="19C21263" w14:textId="77777777" w:rsidR="001778AA" w:rsidRPr="00D55B59" w:rsidRDefault="001778AA" w:rsidP="00D47253">
            <w:pPr>
              <w:pStyle w:val="Default"/>
              <w:keepNext/>
              <w:rPr>
                <w:sz w:val="22"/>
                <w:szCs w:val="22"/>
                <w:lang w:val="en-GB"/>
                <w:rPrChange w:id="1529" w:author="Author">
                  <w:rPr>
                    <w:sz w:val="22"/>
                    <w:szCs w:val="22"/>
                  </w:rPr>
                </w:rPrChange>
              </w:rPr>
            </w:pPr>
            <w:r w:rsidRPr="00D55B59">
              <w:rPr>
                <w:sz w:val="22"/>
                <w:szCs w:val="22"/>
                <w:lang w:val="en-GB"/>
                <w:rPrChange w:id="1530" w:author="Author">
                  <w:rPr>
                    <w:sz w:val="22"/>
                    <w:szCs w:val="22"/>
                  </w:rPr>
                </w:rPrChange>
              </w:rPr>
              <w:t xml:space="preserve">Common </w:t>
            </w:r>
          </w:p>
          <w:p w14:paraId="454816E3" w14:textId="77777777" w:rsidR="001778AA" w:rsidRPr="00D55B59" w:rsidRDefault="001778AA" w:rsidP="00D47253">
            <w:pPr>
              <w:pStyle w:val="Default"/>
              <w:keepNext/>
              <w:rPr>
                <w:sz w:val="22"/>
                <w:szCs w:val="22"/>
                <w:lang w:val="en-GB"/>
                <w:rPrChange w:id="1531" w:author="Author">
                  <w:rPr>
                    <w:sz w:val="22"/>
                    <w:szCs w:val="22"/>
                  </w:rPr>
                </w:rPrChange>
              </w:rPr>
            </w:pPr>
          </w:p>
        </w:tc>
        <w:tc>
          <w:tcPr>
            <w:tcW w:w="5670" w:type="dxa"/>
          </w:tcPr>
          <w:p w14:paraId="79A2E1C5" w14:textId="77777777" w:rsidR="001778AA" w:rsidRPr="00D55B59" w:rsidRDefault="001778AA" w:rsidP="00D47253">
            <w:pPr>
              <w:pStyle w:val="Default"/>
              <w:keepNext/>
              <w:rPr>
                <w:sz w:val="22"/>
                <w:szCs w:val="22"/>
                <w:lang w:val="en-GB"/>
                <w:rPrChange w:id="1532" w:author="Author">
                  <w:rPr>
                    <w:sz w:val="22"/>
                    <w:szCs w:val="22"/>
                  </w:rPr>
                </w:rPrChange>
              </w:rPr>
            </w:pPr>
            <w:r w:rsidRPr="00D55B59">
              <w:rPr>
                <w:sz w:val="22"/>
                <w:szCs w:val="22"/>
                <w:lang w:val="en-GB"/>
                <w:rPrChange w:id="1533" w:author="Author">
                  <w:rPr>
                    <w:sz w:val="22"/>
                    <w:szCs w:val="22"/>
                  </w:rPr>
                </w:rPrChange>
              </w:rPr>
              <w:t xml:space="preserve">Paraesthesia (including hypoaesthesia), </w:t>
            </w:r>
          </w:p>
          <w:p w14:paraId="78BC4490" w14:textId="77777777" w:rsidR="001778AA" w:rsidRPr="00D55B59" w:rsidRDefault="001778AA" w:rsidP="00D47253">
            <w:pPr>
              <w:pStyle w:val="Default"/>
              <w:keepNext/>
              <w:rPr>
                <w:sz w:val="22"/>
                <w:szCs w:val="22"/>
                <w:lang w:val="en-GB"/>
                <w:rPrChange w:id="1534" w:author="Author">
                  <w:rPr>
                    <w:sz w:val="22"/>
                    <w:szCs w:val="22"/>
                  </w:rPr>
                </w:rPrChange>
              </w:rPr>
            </w:pPr>
            <w:r w:rsidRPr="00D55B59">
              <w:rPr>
                <w:sz w:val="22"/>
                <w:szCs w:val="22"/>
                <w:lang w:val="en-GB"/>
                <w:rPrChange w:id="1535" w:author="Author">
                  <w:rPr>
                    <w:sz w:val="22"/>
                    <w:szCs w:val="22"/>
                  </w:rPr>
                </w:rPrChange>
              </w:rPr>
              <w:t xml:space="preserve">Migraine, </w:t>
            </w:r>
          </w:p>
          <w:p w14:paraId="699F4E35" w14:textId="77777777" w:rsidR="001778AA" w:rsidRPr="00D55B59" w:rsidRDefault="001778AA" w:rsidP="00D47253">
            <w:pPr>
              <w:pStyle w:val="Default"/>
              <w:keepNext/>
              <w:rPr>
                <w:sz w:val="22"/>
                <w:szCs w:val="22"/>
                <w:lang w:val="en-GB"/>
                <w:rPrChange w:id="1536" w:author="Author">
                  <w:rPr>
                    <w:sz w:val="22"/>
                    <w:szCs w:val="22"/>
                  </w:rPr>
                </w:rPrChange>
              </w:rPr>
            </w:pPr>
            <w:r w:rsidRPr="00D55B59">
              <w:rPr>
                <w:sz w:val="22"/>
                <w:szCs w:val="22"/>
                <w:lang w:val="en-GB"/>
                <w:rPrChange w:id="1537" w:author="Author">
                  <w:rPr>
                    <w:sz w:val="22"/>
                    <w:szCs w:val="22"/>
                  </w:rPr>
                </w:rPrChange>
              </w:rPr>
              <w:t>Nerve root compression</w:t>
            </w:r>
          </w:p>
        </w:tc>
      </w:tr>
      <w:tr w:rsidR="001778AA" w:rsidRPr="00F04F82" w14:paraId="78F464BC" w14:textId="77777777" w:rsidTr="00D47253">
        <w:trPr>
          <w:cantSplit/>
          <w:trHeight w:val="154"/>
        </w:trPr>
        <w:tc>
          <w:tcPr>
            <w:tcW w:w="2268" w:type="dxa"/>
            <w:vMerge/>
          </w:tcPr>
          <w:p w14:paraId="47D44013"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34AAFF7B" w14:textId="77777777" w:rsidR="001778AA" w:rsidRPr="00D55B59" w:rsidRDefault="001778AA" w:rsidP="00D47253">
            <w:pPr>
              <w:pStyle w:val="Default"/>
              <w:rPr>
                <w:sz w:val="22"/>
                <w:szCs w:val="22"/>
                <w:lang w:val="en-GB"/>
                <w:rPrChange w:id="1538" w:author="Author">
                  <w:rPr>
                    <w:sz w:val="22"/>
                    <w:szCs w:val="22"/>
                  </w:rPr>
                </w:rPrChange>
              </w:rPr>
            </w:pPr>
            <w:r w:rsidRPr="00D55B59">
              <w:rPr>
                <w:sz w:val="22"/>
                <w:szCs w:val="22"/>
                <w:lang w:val="en-GB"/>
                <w:rPrChange w:id="1539" w:author="Author">
                  <w:rPr>
                    <w:sz w:val="22"/>
                    <w:szCs w:val="22"/>
                  </w:rPr>
                </w:rPrChange>
              </w:rPr>
              <w:t xml:space="preserve">Uncommon </w:t>
            </w:r>
          </w:p>
          <w:p w14:paraId="1F17DEB6" w14:textId="77777777" w:rsidR="001778AA" w:rsidRPr="00D55B59" w:rsidRDefault="001778AA" w:rsidP="00D47253">
            <w:pPr>
              <w:pStyle w:val="Default"/>
              <w:rPr>
                <w:sz w:val="22"/>
                <w:szCs w:val="22"/>
                <w:lang w:val="en-GB"/>
                <w:rPrChange w:id="1540" w:author="Author">
                  <w:rPr>
                    <w:sz w:val="22"/>
                    <w:szCs w:val="22"/>
                  </w:rPr>
                </w:rPrChange>
              </w:rPr>
            </w:pPr>
          </w:p>
        </w:tc>
        <w:tc>
          <w:tcPr>
            <w:tcW w:w="5670" w:type="dxa"/>
          </w:tcPr>
          <w:p w14:paraId="71C7BB77" w14:textId="77777777" w:rsidR="001778AA" w:rsidRPr="00D55B59" w:rsidRDefault="001778AA" w:rsidP="00D47253">
            <w:pPr>
              <w:pStyle w:val="Default"/>
              <w:rPr>
                <w:sz w:val="22"/>
                <w:szCs w:val="22"/>
                <w:lang w:val="en-GB"/>
                <w:rPrChange w:id="1541" w:author="Author">
                  <w:rPr>
                    <w:sz w:val="22"/>
                    <w:szCs w:val="22"/>
                  </w:rPr>
                </w:rPrChange>
              </w:rPr>
            </w:pPr>
            <w:r w:rsidRPr="00D55B59">
              <w:rPr>
                <w:sz w:val="22"/>
                <w:szCs w:val="22"/>
                <w:lang w:val="en-GB"/>
                <w:rPrChange w:id="1542" w:author="Author">
                  <w:rPr>
                    <w:sz w:val="22"/>
                    <w:szCs w:val="22"/>
                  </w:rPr>
                </w:rPrChange>
              </w:rPr>
              <w:t>Cerebrovascular accident</w:t>
            </w:r>
            <w:r w:rsidRPr="00D55B59">
              <w:rPr>
                <w:sz w:val="22"/>
                <w:szCs w:val="22"/>
                <w:vertAlign w:val="superscript"/>
                <w:lang w:val="en-GB"/>
                <w:rPrChange w:id="1543" w:author="Author">
                  <w:rPr>
                    <w:sz w:val="22"/>
                    <w:szCs w:val="22"/>
                    <w:vertAlign w:val="superscript"/>
                  </w:rPr>
                </w:rPrChange>
              </w:rPr>
              <w:t>1)</w:t>
            </w:r>
            <w:r w:rsidRPr="00D55B59">
              <w:rPr>
                <w:sz w:val="22"/>
                <w:szCs w:val="22"/>
                <w:lang w:val="en-GB"/>
                <w:rPrChange w:id="1544" w:author="Author">
                  <w:rPr>
                    <w:sz w:val="22"/>
                    <w:szCs w:val="22"/>
                  </w:rPr>
                </w:rPrChange>
              </w:rPr>
              <w:t xml:space="preserve">, </w:t>
            </w:r>
          </w:p>
          <w:p w14:paraId="166FABC9" w14:textId="77777777" w:rsidR="001778AA" w:rsidRPr="00D55B59" w:rsidRDefault="001778AA" w:rsidP="00D47253">
            <w:pPr>
              <w:pStyle w:val="Default"/>
              <w:rPr>
                <w:sz w:val="22"/>
                <w:szCs w:val="22"/>
                <w:lang w:val="en-GB"/>
                <w:rPrChange w:id="1545" w:author="Author">
                  <w:rPr>
                    <w:sz w:val="22"/>
                    <w:szCs w:val="22"/>
                  </w:rPr>
                </w:rPrChange>
              </w:rPr>
            </w:pPr>
            <w:r w:rsidRPr="00D55B59">
              <w:rPr>
                <w:sz w:val="22"/>
                <w:szCs w:val="22"/>
                <w:lang w:val="en-GB"/>
                <w:rPrChange w:id="1546" w:author="Author">
                  <w:rPr>
                    <w:sz w:val="22"/>
                    <w:szCs w:val="22"/>
                  </w:rPr>
                </w:rPrChange>
              </w:rPr>
              <w:t xml:space="preserve">Tremor, </w:t>
            </w:r>
          </w:p>
          <w:p w14:paraId="551DF2B1" w14:textId="77777777" w:rsidR="001778AA" w:rsidRPr="00D55B59" w:rsidRDefault="001778AA" w:rsidP="00D47253">
            <w:pPr>
              <w:pStyle w:val="Default"/>
              <w:rPr>
                <w:sz w:val="22"/>
                <w:szCs w:val="22"/>
                <w:lang w:val="en-GB"/>
                <w:rPrChange w:id="1547" w:author="Author">
                  <w:rPr>
                    <w:sz w:val="22"/>
                    <w:szCs w:val="22"/>
                  </w:rPr>
                </w:rPrChange>
              </w:rPr>
            </w:pPr>
            <w:r w:rsidRPr="00D55B59">
              <w:rPr>
                <w:sz w:val="22"/>
                <w:szCs w:val="22"/>
                <w:lang w:val="en-GB"/>
                <w:rPrChange w:id="1548" w:author="Author">
                  <w:rPr>
                    <w:sz w:val="22"/>
                    <w:szCs w:val="22"/>
                  </w:rPr>
                </w:rPrChange>
              </w:rPr>
              <w:t xml:space="preserve">Neuropathy </w:t>
            </w:r>
          </w:p>
        </w:tc>
      </w:tr>
      <w:tr w:rsidR="001778AA" w:rsidRPr="00F04F82" w14:paraId="6109B3E8" w14:textId="77777777" w:rsidTr="00D47253">
        <w:trPr>
          <w:cantSplit/>
          <w:trHeight w:val="154"/>
        </w:trPr>
        <w:tc>
          <w:tcPr>
            <w:tcW w:w="2268" w:type="dxa"/>
            <w:vMerge/>
          </w:tcPr>
          <w:p w14:paraId="52C98AD7"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18E02E67" w14:textId="77777777" w:rsidR="001778AA" w:rsidRPr="00D55B59" w:rsidRDefault="001778AA" w:rsidP="00D47253">
            <w:pPr>
              <w:pStyle w:val="Default"/>
              <w:rPr>
                <w:sz w:val="22"/>
                <w:szCs w:val="22"/>
                <w:lang w:val="en-GB"/>
                <w:rPrChange w:id="1549" w:author="Author">
                  <w:rPr>
                    <w:sz w:val="22"/>
                    <w:szCs w:val="22"/>
                  </w:rPr>
                </w:rPrChange>
              </w:rPr>
            </w:pPr>
            <w:r w:rsidRPr="00D55B59">
              <w:rPr>
                <w:sz w:val="22"/>
                <w:szCs w:val="22"/>
                <w:lang w:val="en-GB"/>
                <w:rPrChange w:id="1550" w:author="Author">
                  <w:rPr>
                    <w:sz w:val="22"/>
                    <w:szCs w:val="22"/>
                  </w:rPr>
                </w:rPrChange>
              </w:rPr>
              <w:t xml:space="preserve">Rare </w:t>
            </w:r>
          </w:p>
          <w:p w14:paraId="6B60E627" w14:textId="77777777" w:rsidR="001778AA" w:rsidRPr="00D55B59" w:rsidRDefault="001778AA" w:rsidP="00D47253">
            <w:pPr>
              <w:pStyle w:val="Default"/>
              <w:rPr>
                <w:sz w:val="22"/>
                <w:szCs w:val="22"/>
                <w:lang w:val="en-GB"/>
                <w:rPrChange w:id="1551" w:author="Author">
                  <w:rPr>
                    <w:sz w:val="22"/>
                    <w:szCs w:val="22"/>
                  </w:rPr>
                </w:rPrChange>
              </w:rPr>
            </w:pPr>
          </w:p>
        </w:tc>
        <w:tc>
          <w:tcPr>
            <w:tcW w:w="5670" w:type="dxa"/>
          </w:tcPr>
          <w:p w14:paraId="7F6A63F8" w14:textId="77777777" w:rsidR="001778AA" w:rsidRPr="00D55B59" w:rsidRDefault="001778AA" w:rsidP="00D47253">
            <w:pPr>
              <w:pStyle w:val="Default"/>
              <w:rPr>
                <w:sz w:val="22"/>
                <w:szCs w:val="22"/>
                <w:lang w:val="en-GB"/>
                <w:rPrChange w:id="1552" w:author="Author">
                  <w:rPr>
                    <w:sz w:val="22"/>
                    <w:szCs w:val="22"/>
                  </w:rPr>
                </w:rPrChange>
              </w:rPr>
            </w:pPr>
            <w:r w:rsidRPr="00D55B59">
              <w:rPr>
                <w:sz w:val="22"/>
                <w:szCs w:val="22"/>
                <w:lang w:val="en-GB"/>
                <w:rPrChange w:id="1553" w:author="Author">
                  <w:rPr>
                    <w:sz w:val="22"/>
                    <w:szCs w:val="22"/>
                  </w:rPr>
                </w:rPrChange>
              </w:rPr>
              <w:t xml:space="preserve">Multiple sclerosis, </w:t>
            </w:r>
          </w:p>
          <w:p w14:paraId="2F8A2066" w14:textId="77777777" w:rsidR="001778AA" w:rsidRPr="00D55B59" w:rsidRDefault="001778AA" w:rsidP="00D47253">
            <w:pPr>
              <w:pStyle w:val="Default"/>
              <w:rPr>
                <w:sz w:val="22"/>
                <w:szCs w:val="22"/>
                <w:lang w:val="en-GB"/>
                <w:rPrChange w:id="1554" w:author="Author">
                  <w:rPr>
                    <w:sz w:val="22"/>
                    <w:szCs w:val="22"/>
                  </w:rPr>
                </w:rPrChange>
              </w:rPr>
            </w:pPr>
            <w:r w:rsidRPr="00D55B59">
              <w:rPr>
                <w:sz w:val="22"/>
                <w:szCs w:val="22"/>
                <w:lang w:val="en-GB"/>
                <w:rPrChange w:id="1555" w:author="Author">
                  <w:rPr>
                    <w:sz w:val="22"/>
                    <w:szCs w:val="22"/>
                  </w:rPr>
                </w:rPrChange>
              </w:rPr>
              <w:t>Demyelinating disorders (e.g. optic neuritis, Guillain-Barré syndrome)</w:t>
            </w:r>
            <w:r w:rsidRPr="00D55B59">
              <w:rPr>
                <w:sz w:val="22"/>
                <w:szCs w:val="22"/>
                <w:vertAlign w:val="superscript"/>
                <w:lang w:val="en-GB"/>
                <w:rPrChange w:id="1556" w:author="Author">
                  <w:rPr>
                    <w:sz w:val="22"/>
                    <w:szCs w:val="22"/>
                    <w:vertAlign w:val="superscript"/>
                  </w:rPr>
                </w:rPrChange>
              </w:rPr>
              <w:t xml:space="preserve">1) </w:t>
            </w:r>
          </w:p>
        </w:tc>
      </w:tr>
      <w:tr w:rsidR="001778AA" w:rsidRPr="00F04F82" w14:paraId="4EC0214D" w14:textId="77777777" w:rsidTr="00D47253">
        <w:trPr>
          <w:cantSplit/>
          <w:trHeight w:val="154"/>
        </w:trPr>
        <w:tc>
          <w:tcPr>
            <w:tcW w:w="2268" w:type="dxa"/>
            <w:vMerge w:val="restart"/>
          </w:tcPr>
          <w:p w14:paraId="4C47B6BA" w14:textId="77777777" w:rsidR="001778AA" w:rsidRPr="00D55B59" w:rsidRDefault="001778AA" w:rsidP="00D47253">
            <w:pPr>
              <w:pStyle w:val="Default"/>
              <w:rPr>
                <w:sz w:val="22"/>
                <w:szCs w:val="22"/>
                <w:lang w:val="en-GB"/>
                <w:rPrChange w:id="1557" w:author="Author">
                  <w:rPr>
                    <w:sz w:val="22"/>
                    <w:szCs w:val="22"/>
                  </w:rPr>
                </w:rPrChange>
              </w:rPr>
            </w:pPr>
            <w:r w:rsidRPr="00D55B59">
              <w:rPr>
                <w:sz w:val="22"/>
                <w:szCs w:val="22"/>
                <w:lang w:val="en-GB"/>
                <w:rPrChange w:id="1558" w:author="Author">
                  <w:rPr>
                    <w:sz w:val="22"/>
                    <w:szCs w:val="22"/>
                  </w:rPr>
                </w:rPrChange>
              </w:rPr>
              <w:t xml:space="preserve">Eye disorders </w:t>
            </w:r>
          </w:p>
          <w:p w14:paraId="7639E98A"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26C14985" w14:textId="77777777" w:rsidR="001778AA" w:rsidRPr="00D55B59" w:rsidRDefault="001778AA" w:rsidP="00D47253">
            <w:pPr>
              <w:pStyle w:val="Default"/>
              <w:rPr>
                <w:sz w:val="22"/>
                <w:szCs w:val="22"/>
                <w:lang w:val="en-GB"/>
                <w:rPrChange w:id="1559" w:author="Author">
                  <w:rPr>
                    <w:sz w:val="22"/>
                    <w:szCs w:val="22"/>
                  </w:rPr>
                </w:rPrChange>
              </w:rPr>
            </w:pPr>
            <w:r w:rsidRPr="00D55B59">
              <w:rPr>
                <w:sz w:val="22"/>
                <w:szCs w:val="22"/>
                <w:lang w:val="en-GB"/>
                <w:rPrChange w:id="1560" w:author="Author">
                  <w:rPr>
                    <w:sz w:val="22"/>
                    <w:szCs w:val="22"/>
                  </w:rPr>
                </w:rPrChange>
              </w:rPr>
              <w:t xml:space="preserve">Common </w:t>
            </w:r>
          </w:p>
          <w:p w14:paraId="602E4CDB" w14:textId="77777777" w:rsidR="001778AA" w:rsidRPr="00D55B59" w:rsidRDefault="001778AA" w:rsidP="00D47253">
            <w:pPr>
              <w:pStyle w:val="Default"/>
              <w:rPr>
                <w:sz w:val="22"/>
                <w:szCs w:val="22"/>
                <w:lang w:val="en-GB"/>
                <w:rPrChange w:id="1561" w:author="Author">
                  <w:rPr>
                    <w:sz w:val="22"/>
                    <w:szCs w:val="22"/>
                  </w:rPr>
                </w:rPrChange>
              </w:rPr>
            </w:pPr>
          </w:p>
        </w:tc>
        <w:tc>
          <w:tcPr>
            <w:tcW w:w="5670" w:type="dxa"/>
          </w:tcPr>
          <w:p w14:paraId="6B4749B8" w14:textId="77777777" w:rsidR="001778AA" w:rsidRPr="00D55B59" w:rsidRDefault="001778AA" w:rsidP="00D47253">
            <w:pPr>
              <w:pStyle w:val="Default"/>
              <w:rPr>
                <w:sz w:val="22"/>
                <w:szCs w:val="22"/>
                <w:lang w:val="en-GB"/>
                <w:rPrChange w:id="1562" w:author="Author">
                  <w:rPr>
                    <w:sz w:val="22"/>
                    <w:szCs w:val="22"/>
                  </w:rPr>
                </w:rPrChange>
              </w:rPr>
            </w:pPr>
            <w:r w:rsidRPr="00D55B59">
              <w:rPr>
                <w:sz w:val="22"/>
                <w:szCs w:val="22"/>
                <w:lang w:val="en-GB"/>
                <w:rPrChange w:id="1563" w:author="Author">
                  <w:rPr>
                    <w:sz w:val="22"/>
                    <w:szCs w:val="22"/>
                  </w:rPr>
                </w:rPrChange>
              </w:rPr>
              <w:t xml:space="preserve">Visual impairment, </w:t>
            </w:r>
          </w:p>
          <w:p w14:paraId="28E401B8" w14:textId="77777777" w:rsidR="001778AA" w:rsidRPr="00D55B59" w:rsidRDefault="001778AA" w:rsidP="00D47253">
            <w:pPr>
              <w:pStyle w:val="Default"/>
              <w:rPr>
                <w:sz w:val="22"/>
                <w:szCs w:val="22"/>
                <w:lang w:val="en-GB"/>
                <w:rPrChange w:id="1564" w:author="Author">
                  <w:rPr>
                    <w:sz w:val="22"/>
                    <w:szCs w:val="22"/>
                  </w:rPr>
                </w:rPrChange>
              </w:rPr>
            </w:pPr>
            <w:r w:rsidRPr="00D55B59">
              <w:rPr>
                <w:sz w:val="22"/>
                <w:szCs w:val="22"/>
                <w:lang w:val="en-GB"/>
                <w:rPrChange w:id="1565" w:author="Author">
                  <w:rPr>
                    <w:sz w:val="22"/>
                    <w:szCs w:val="22"/>
                  </w:rPr>
                </w:rPrChange>
              </w:rPr>
              <w:t xml:space="preserve">Conjunctivitis, </w:t>
            </w:r>
          </w:p>
          <w:p w14:paraId="4E22BCA5" w14:textId="77777777" w:rsidR="001778AA" w:rsidRPr="00D55B59" w:rsidRDefault="001778AA" w:rsidP="00D47253">
            <w:pPr>
              <w:pStyle w:val="Default"/>
              <w:rPr>
                <w:sz w:val="22"/>
                <w:szCs w:val="22"/>
                <w:lang w:val="en-GB"/>
                <w:rPrChange w:id="1566" w:author="Author">
                  <w:rPr>
                    <w:sz w:val="22"/>
                    <w:szCs w:val="22"/>
                  </w:rPr>
                </w:rPrChange>
              </w:rPr>
            </w:pPr>
            <w:r w:rsidRPr="00D55B59">
              <w:rPr>
                <w:sz w:val="22"/>
                <w:szCs w:val="22"/>
                <w:lang w:val="en-GB"/>
                <w:rPrChange w:id="1567" w:author="Author">
                  <w:rPr>
                    <w:sz w:val="22"/>
                    <w:szCs w:val="22"/>
                  </w:rPr>
                </w:rPrChange>
              </w:rPr>
              <w:t xml:space="preserve">Blepharitis, </w:t>
            </w:r>
          </w:p>
          <w:p w14:paraId="25ABE6C0" w14:textId="77777777" w:rsidR="001778AA" w:rsidRPr="00D55B59" w:rsidRDefault="001778AA" w:rsidP="00D47253">
            <w:pPr>
              <w:pStyle w:val="Default"/>
              <w:rPr>
                <w:sz w:val="22"/>
                <w:szCs w:val="22"/>
                <w:lang w:val="en-GB"/>
                <w:rPrChange w:id="1568" w:author="Author">
                  <w:rPr>
                    <w:sz w:val="22"/>
                    <w:szCs w:val="22"/>
                  </w:rPr>
                </w:rPrChange>
              </w:rPr>
            </w:pPr>
            <w:r w:rsidRPr="00D55B59">
              <w:rPr>
                <w:sz w:val="22"/>
                <w:szCs w:val="22"/>
                <w:lang w:val="en-GB"/>
                <w:rPrChange w:id="1569" w:author="Author">
                  <w:rPr>
                    <w:sz w:val="22"/>
                    <w:szCs w:val="22"/>
                  </w:rPr>
                </w:rPrChange>
              </w:rPr>
              <w:t xml:space="preserve">Eye swelling </w:t>
            </w:r>
          </w:p>
        </w:tc>
      </w:tr>
      <w:tr w:rsidR="001778AA" w:rsidRPr="00F04F82" w14:paraId="24E74F76" w14:textId="77777777" w:rsidTr="00D47253">
        <w:trPr>
          <w:cantSplit/>
          <w:trHeight w:val="154"/>
        </w:trPr>
        <w:tc>
          <w:tcPr>
            <w:tcW w:w="2268" w:type="dxa"/>
            <w:vMerge/>
          </w:tcPr>
          <w:p w14:paraId="3BCA60BD"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5DEDFD5D" w14:textId="77777777" w:rsidR="001778AA" w:rsidRPr="00D55B59" w:rsidRDefault="001778AA" w:rsidP="00D47253">
            <w:pPr>
              <w:pStyle w:val="Default"/>
              <w:rPr>
                <w:sz w:val="22"/>
                <w:szCs w:val="22"/>
                <w:lang w:val="en-GB"/>
                <w:rPrChange w:id="1570" w:author="Author">
                  <w:rPr>
                    <w:sz w:val="22"/>
                    <w:szCs w:val="22"/>
                  </w:rPr>
                </w:rPrChange>
              </w:rPr>
            </w:pPr>
            <w:r w:rsidRPr="00D55B59">
              <w:rPr>
                <w:sz w:val="22"/>
                <w:szCs w:val="22"/>
                <w:lang w:val="en-GB"/>
                <w:rPrChange w:id="1571" w:author="Author">
                  <w:rPr>
                    <w:sz w:val="22"/>
                    <w:szCs w:val="22"/>
                  </w:rPr>
                </w:rPrChange>
              </w:rPr>
              <w:t xml:space="preserve">Uncommon </w:t>
            </w:r>
          </w:p>
        </w:tc>
        <w:tc>
          <w:tcPr>
            <w:tcW w:w="5670" w:type="dxa"/>
          </w:tcPr>
          <w:p w14:paraId="0E1DB64D" w14:textId="77777777" w:rsidR="001778AA" w:rsidRPr="00D55B59" w:rsidRDefault="001778AA" w:rsidP="00D47253">
            <w:pPr>
              <w:pStyle w:val="Default"/>
              <w:rPr>
                <w:sz w:val="22"/>
                <w:szCs w:val="22"/>
                <w:lang w:val="en-GB"/>
                <w:rPrChange w:id="1572" w:author="Author">
                  <w:rPr>
                    <w:sz w:val="22"/>
                    <w:szCs w:val="22"/>
                  </w:rPr>
                </w:rPrChange>
              </w:rPr>
            </w:pPr>
            <w:r w:rsidRPr="00D55B59">
              <w:rPr>
                <w:sz w:val="22"/>
                <w:szCs w:val="22"/>
                <w:lang w:val="en-GB"/>
                <w:rPrChange w:id="1573" w:author="Author">
                  <w:rPr>
                    <w:sz w:val="22"/>
                    <w:szCs w:val="22"/>
                  </w:rPr>
                </w:rPrChange>
              </w:rPr>
              <w:t xml:space="preserve">Diplopia </w:t>
            </w:r>
          </w:p>
        </w:tc>
      </w:tr>
      <w:tr w:rsidR="001778AA" w:rsidRPr="00F04F82" w14:paraId="225AA18C" w14:textId="77777777" w:rsidTr="00D47253">
        <w:trPr>
          <w:cantSplit/>
          <w:trHeight w:val="154"/>
        </w:trPr>
        <w:tc>
          <w:tcPr>
            <w:tcW w:w="2268" w:type="dxa"/>
            <w:vMerge w:val="restart"/>
          </w:tcPr>
          <w:p w14:paraId="58E03124" w14:textId="77777777" w:rsidR="001778AA" w:rsidRPr="001775D9" w:rsidRDefault="001778AA" w:rsidP="00A57E99">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Ear and labyrinth disorders</w:t>
            </w:r>
          </w:p>
        </w:tc>
        <w:tc>
          <w:tcPr>
            <w:tcW w:w="1701" w:type="dxa"/>
          </w:tcPr>
          <w:p w14:paraId="2BCA12AA" w14:textId="77777777" w:rsidR="001778AA" w:rsidRPr="00D55B59" w:rsidRDefault="001778AA" w:rsidP="00A57E99">
            <w:pPr>
              <w:pStyle w:val="Default"/>
              <w:keepNext/>
              <w:keepLines/>
              <w:rPr>
                <w:sz w:val="22"/>
                <w:szCs w:val="22"/>
                <w:lang w:val="en-GB"/>
                <w:rPrChange w:id="1574" w:author="Author">
                  <w:rPr>
                    <w:sz w:val="22"/>
                    <w:szCs w:val="22"/>
                  </w:rPr>
                </w:rPrChange>
              </w:rPr>
            </w:pPr>
            <w:r w:rsidRPr="00D55B59">
              <w:rPr>
                <w:sz w:val="22"/>
                <w:szCs w:val="22"/>
                <w:lang w:val="en-GB"/>
                <w:rPrChange w:id="1575" w:author="Author">
                  <w:rPr>
                    <w:sz w:val="22"/>
                    <w:szCs w:val="22"/>
                  </w:rPr>
                </w:rPrChange>
              </w:rPr>
              <w:t>Common</w:t>
            </w:r>
          </w:p>
        </w:tc>
        <w:tc>
          <w:tcPr>
            <w:tcW w:w="5670" w:type="dxa"/>
          </w:tcPr>
          <w:p w14:paraId="023ABC68" w14:textId="77777777" w:rsidR="001778AA" w:rsidRPr="00D55B59" w:rsidRDefault="001778AA" w:rsidP="00A57E99">
            <w:pPr>
              <w:pStyle w:val="Default"/>
              <w:keepNext/>
              <w:keepLines/>
              <w:rPr>
                <w:sz w:val="22"/>
                <w:szCs w:val="22"/>
                <w:lang w:val="en-GB"/>
                <w:rPrChange w:id="1576" w:author="Author">
                  <w:rPr>
                    <w:sz w:val="22"/>
                    <w:szCs w:val="22"/>
                  </w:rPr>
                </w:rPrChange>
              </w:rPr>
            </w:pPr>
            <w:r w:rsidRPr="00D55B59">
              <w:rPr>
                <w:sz w:val="22"/>
                <w:szCs w:val="22"/>
                <w:lang w:val="en-GB"/>
                <w:rPrChange w:id="1577" w:author="Author">
                  <w:rPr>
                    <w:sz w:val="22"/>
                    <w:szCs w:val="22"/>
                  </w:rPr>
                </w:rPrChange>
              </w:rPr>
              <w:t>Vertigo</w:t>
            </w:r>
          </w:p>
        </w:tc>
      </w:tr>
      <w:tr w:rsidR="001778AA" w:rsidRPr="00F04F82" w14:paraId="3BBA85E2" w14:textId="77777777" w:rsidTr="00D47253">
        <w:trPr>
          <w:cantSplit/>
          <w:trHeight w:val="154"/>
        </w:trPr>
        <w:tc>
          <w:tcPr>
            <w:tcW w:w="2268" w:type="dxa"/>
            <w:vMerge/>
          </w:tcPr>
          <w:p w14:paraId="09F44172" w14:textId="77777777" w:rsidR="001778AA" w:rsidRPr="00F04F82" w:rsidRDefault="001778AA" w:rsidP="00A57E99">
            <w:pPr>
              <w:keepNext/>
              <w:keepLines/>
              <w:tabs>
                <w:tab w:val="clear" w:pos="567"/>
              </w:tabs>
              <w:autoSpaceDE w:val="0"/>
              <w:autoSpaceDN w:val="0"/>
              <w:adjustRightInd w:val="0"/>
              <w:spacing w:line="240" w:lineRule="auto"/>
              <w:rPr>
                <w:color w:val="000000"/>
                <w:szCs w:val="22"/>
                <w:lang w:eastAsia="en-GB"/>
              </w:rPr>
            </w:pPr>
          </w:p>
        </w:tc>
        <w:tc>
          <w:tcPr>
            <w:tcW w:w="1701" w:type="dxa"/>
          </w:tcPr>
          <w:p w14:paraId="7A7F64C3" w14:textId="77777777" w:rsidR="001778AA" w:rsidRPr="00D55B59" w:rsidRDefault="001778AA" w:rsidP="00A57E99">
            <w:pPr>
              <w:pStyle w:val="Default"/>
              <w:keepNext/>
              <w:keepLines/>
              <w:rPr>
                <w:sz w:val="22"/>
                <w:szCs w:val="22"/>
                <w:lang w:val="en-GB"/>
                <w:rPrChange w:id="1578" w:author="Author">
                  <w:rPr>
                    <w:sz w:val="22"/>
                    <w:szCs w:val="22"/>
                  </w:rPr>
                </w:rPrChange>
              </w:rPr>
            </w:pPr>
            <w:r w:rsidRPr="00D55B59">
              <w:rPr>
                <w:sz w:val="22"/>
                <w:szCs w:val="22"/>
                <w:lang w:val="en-GB" w:eastAsia="en-GB"/>
                <w:rPrChange w:id="1579" w:author="Author">
                  <w:rPr>
                    <w:sz w:val="22"/>
                    <w:szCs w:val="22"/>
                    <w:lang w:eastAsia="en-GB"/>
                  </w:rPr>
                </w:rPrChange>
              </w:rPr>
              <w:t>Uncommon</w:t>
            </w:r>
          </w:p>
        </w:tc>
        <w:tc>
          <w:tcPr>
            <w:tcW w:w="5670" w:type="dxa"/>
          </w:tcPr>
          <w:p w14:paraId="04498F72" w14:textId="77777777" w:rsidR="001778AA" w:rsidRPr="001775D9" w:rsidRDefault="001778AA" w:rsidP="00A57E99">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Deafness, </w:t>
            </w:r>
          </w:p>
          <w:p w14:paraId="1510AC9B" w14:textId="77777777" w:rsidR="001778AA" w:rsidRPr="00D55B59" w:rsidRDefault="001778AA" w:rsidP="00A57E99">
            <w:pPr>
              <w:pStyle w:val="Default"/>
              <w:keepNext/>
              <w:keepLines/>
              <w:rPr>
                <w:sz w:val="22"/>
                <w:szCs w:val="22"/>
                <w:lang w:val="en-GB"/>
                <w:rPrChange w:id="1580" w:author="Author">
                  <w:rPr>
                    <w:sz w:val="22"/>
                    <w:szCs w:val="22"/>
                  </w:rPr>
                </w:rPrChange>
              </w:rPr>
            </w:pPr>
            <w:r w:rsidRPr="00D55B59">
              <w:rPr>
                <w:sz w:val="22"/>
                <w:szCs w:val="22"/>
                <w:lang w:val="en-GB" w:eastAsia="en-GB"/>
                <w:rPrChange w:id="1581" w:author="Author">
                  <w:rPr>
                    <w:sz w:val="22"/>
                    <w:szCs w:val="22"/>
                    <w:lang w:eastAsia="en-GB"/>
                  </w:rPr>
                </w:rPrChange>
              </w:rPr>
              <w:t>Tinnitus</w:t>
            </w:r>
          </w:p>
        </w:tc>
      </w:tr>
      <w:tr w:rsidR="001778AA" w:rsidRPr="00F04F82" w14:paraId="0F50062C" w14:textId="77777777" w:rsidTr="00D47253">
        <w:trPr>
          <w:cantSplit/>
          <w:trHeight w:val="154"/>
        </w:trPr>
        <w:tc>
          <w:tcPr>
            <w:tcW w:w="2268" w:type="dxa"/>
            <w:vMerge w:val="restart"/>
          </w:tcPr>
          <w:p w14:paraId="7DAF0531"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Cardiac disorders*</w:t>
            </w:r>
          </w:p>
        </w:tc>
        <w:tc>
          <w:tcPr>
            <w:tcW w:w="1701" w:type="dxa"/>
          </w:tcPr>
          <w:p w14:paraId="3E671DB0" w14:textId="77777777" w:rsidR="001778AA" w:rsidRPr="00D55B59" w:rsidRDefault="001778AA" w:rsidP="001065D4">
            <w:pPr>
              <w:pStyle w:val="Default"/>
              <w:keepNext/>
              <w:keepLines/>
              <w:rPr>
                <w:sz w:val="22"/>
                <w:szCs w:val="22"/>
                <w:lang w:val="en-GB"/>
                <w:rPrChange w:id="1582" w:author="Author">
                  <w:rPr>
                    <w:sz w:val="22"/>
                    <w:szCs w:val="22"/>
                  </w:rPr>
                </w:rPrChange>
              </w:rPr>
            </w:pPr>
            <w:r w:rsidRPr="00D55B59">
              <w:rPr>
                <w:sz w:val="22"/>
                <w:szCs w:val="22"/>
                <w:lang w:val="en-GB" w:eastAsia="en-GB"/>
                <w:rPrChange w:id="1583" w:author="Author">
                  <w:rPr>
                    <w:sz w:val="22"/>
                    <w:szCs w:val="22"/>
                    <w:lang w:eastAsia="en-GB"/>
                  </w:rPr>
                </w:rPrChange>
              </w:rPr>
              <w:t>Common</w:t>
            </w:r>
          </w:p>
        </w:tc>
        <w:tc>
          <w:tcPr>
            <w:tcW w:w="5670" w:type="dxa"/>
          </w:tcPr>
          <w:p w14:paraId="14EAD091" w14:textId="77777777" w:rsidR="001778AA" w:rsidRPr="00D55B59" w:rsidRDefault="001778AA" w:rsidP="001065D4">
            <w:pPr>
              <w:pStyle w:val="Default"/>
              <w:keepNext/>
              <w:keepLines/>
              <w:rPr>
                <w:sz w:val="22"/>
                <w:szCs w:val="22"/>
                <w:lang w:val="en-GB"/>
                <w:rPrChange w:id="1584" w:author="Author">
                  <w:rPr>
                    <w:sz w:val="22"/>
                    <w:szCs w:val="22"/>
                  </w:rPr>
                </w:rPrChange>
              </w:rPr>
            </w:pPr>
            <w:r w:rsidRPr="00D55B59">
              <w:rPr>
                <w:sz w:val="22"/>
                <w:szCs w:val="22"/>
                <w:lang w:val="en-GB" w:eastAsia="en-GB"/>
                <w:rPrChange w:id="1585" w:author="Author">
                  <w:rPr>
                    <w:sz w:val="22"/>
                    <w:szCs w:val="22"/>
                    <w:lang w:eastAsia="en-GB"/>
                  </w:rPr>
                </w:rPrChange>
              </w:rPr>
              <w:t>Tachycardia</w:t>
            </w:r>
          </w:p>
        </w:tc>
      </w:tr>
      <w:tr w:rsidR="001778AA" w:rsidRPr="00F04F82" w14:paraId="3911DA95" w14:textId="77777777" w:rsidTr="00D47253">
        <w:trPr>
          <w:cantSplit/>
          <w:trHeight w:val="154"/>
        </w:trPr>
        <w:tc>
          <w:tcPr>
            <w:tcW w:w="2268" w:type="dxa"/>
            <w:vMerge/>
          </w:tcPr>
          <w:p w14:paraId="0C098201"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63CD26CB" w14:textId="77777777" w:rsidR="001778AA" w:rsidRPr="00D55B59" w:rsidRDefault="001778AA" w:rsidP="00D47253">
            <w:pPr>
              <w:pStyle w:val="Default"/>
              <w:rPr>
                <w:sz w:val="22"/>
                <w:szCs w:val="22"/>
                <w:lang w:val="en-GB"/>
                <w:rPrChange w:id="1586" w:author="Author">
                  <w:rPr>
                    <w:sz w:val="22"/>
                    <w:szCs w:val="22"/>
                  </w:rPr>
                </w:rPrChange>
              </w:rPr>
            </w:pPr>
            <w:r w:rsidRPr="00D55B59">
              <w:rPr>
                <w:sz w:val="22"/>
                <w:szCs w:val="22"/>
                <w:lang w:val="en-GB" w:eastAsia="en-GB"/>
                <w:rPrChange w:id="1587" w:author="Author">
                  <w:rPr>
                    <w:sz w:val="22"/>
                    <w:szCs w:val="22"/>
                    <w:lang w:eastAsia="en-GB"/>
                  </w:rPr>
                </w:rPrChange>
              </w:rPr>
              <w:t>Uncommon</w:t>
            </w:r>
          </w:p>
        </w:tc>
        <w:tc>
          <w:tcPr>
            <w:tcW w:w="5670" w:type="dxa"/>
          </w:tcPr>
          <w:p w14:paraId="5056300F"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Myocardial infarction</w:t>
            </w:r>
            <w:r w:rsidRPr="001775D9">
              <w:rPr>
                <w:color w:val="000000"/>
                <w:szCs w:val="22"/>
                <w:vertAlign w:val="superscript"/>
                <w:lang w:eastAsia="en-GB"/>
              </w:rPr>
              <w:t>1)</w:t>
            </w:r>
            <w:r w:rsidRPr="001775D9">
              <w:rPr>
                <w:color w:val="000000"/>
                <w:szCs w:val="22"/>
                <w:lang w:eastAsia="en-GB"/>
              </w:rPr>
              <w:t xml:space="preserve">, </w:t>
            </w:r>
          </w:p>
          <w:p w14:paraId="157E8206"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Arrhythmia, </w:t>
            </w:r>
          </w:p>
          <w:p w14:paraId="314EDA1A" w14:textId="77777777" w:rsidR="001778AA" w:rsidRPr="00D55B59" w:rsidRDefault="001778AA" w:rsidP="00D47253">
            <w:pPr>
              <w:pStyle w:val="Default"/>
              <w:rPr>
                <w:sz w:val="22"/>
                <w:szCs w:val="22"/>
                <w:lang w:val="en-GB"/>
                <w:rPrChange w:id="1588" w:author="Author">
                  <w:rPr>
                    <w:sz w:val="22"/>
                    <w:szCs w:val="22"/>
                  </w:rPr>
                </w:rPrChange>
              </w:rPr>
            </w:pPr>
            <w:r w:rsidRPr="00D55B59">
              <w:rPr>
                <w:sz w:val="22"/>
                <w:szCs w:val="22"/>
                <w:lang w:val="en-GB" w:eastAsia="en-GB"/>
                <w:rPrChange w:id="1589" w:author="Author">
                  <w:rPr>
                    <w:sz w:val="22"/>
                    <w:szCs w:val="22"/>
                    <w:lang w:eastAsia="en-GB"/>
                  </w:rPr>
                </w:rPrChange>
              </w:rPr>
              <w:t>Congestive heart failure</w:t>
            </w:r>
          </w:p>
        </w:tc>
      </w:tr>
      <w:tr w:rsidR="001778AA" w:rsidRPr="00F04F82" w14:paraId="3D55813B" w14:textId="77777777" w:rsidTr="00D47253">
        <w:trPr>
          <w:cantSplit/>
          <w:trHeight w:val="154"/>
        </w:trPr>
        <w:tc>
          <w:tcPr>
            <w:tcW w:w="2268" w:type="dxa"/>
            <w:vMerge/>
          </w:tcPr>
          <w:p w14:paraId="7CFB5660"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512D8F52" w14:textId="77777777" w:rsidR="001778AA" w:rsidRPr="00D55B59" w:rsidRDefault="001778AA" w:rsidP="00D47253">
            <w:pPr>
              <w:pStyle w:val="Default"/>
              <w:rPr>
                <w:sz w:val="22"/>
                <w:szCs w:val="22"/>
                <w:lang w:val="en-GB"/>
                <w:rPrChange w:id="1590" w:author="Author">
                  <w:rPr>
                    <w:sz w:val="22"/>
                    <w:szCs w:val="22"/>
                  </w:rPr>
                </w:rPrChange>
              </w:rPr>
            </w:pPr>
            <w:r w:rsidRPr="00D55B59">
              <w:rPr>
                <w:sz w:val="22"/>
                <w:szCs w:val="22"/>
                <w:lang w:val="en-GB" w:eastAsia="en-GB"/>
                <w:rPrChange w:id="1591" w:author="Author">
                  <w:rPr>
                    <w:sz w:val="22"/>
                    <w:szCs w:val="22"/>
                    <w:lang w:eastAsia="en-GB"/>
                  </w:rPr>
                </w:rPrChange>
              </w:rPr>
              <w:t>Rare</w:t>
            </w:r>
          </w:p>
        </w:tc>
        <w:tc>
          <w:tcPr>
            <w:tcW w:w="5670" w:type="dxa"/>
          </w:tcPr>
          <w:p w14:paraId="5BE00CBC" w14:textId="77777777" w:rsidR="001778AA" w:rsidRPr="00D55B59" w:rsidRDefault="001778AA" w:rsidP="00D47253">
            <w:pPr>
              <w:pStyle w:val="Default"/>
              <w:rPr>
                <w:sz w:val="22"/>
                <w:szCs w:val="22"/>
                <w:lang w:val="en-GB"/>
                <w:rPrChange w:id="1592" w:author="Author">
                  <w:rPr>
                    <w:sz w:val="22"/>
                    <w:szCs w:val="22"/>
                  </w:rPr>
                </w:rPrChange>
              </w:rPr>
            </w:pPr>
            <w:r w:rsidRPr="00D55B59">
              <w:rPr>
                <w:sz w:val="22"/>
                <w:szCs w:val="22"/>
                <w:lang w:val="en-GB" w:eastAsia="en-GB"/>
                <w:rPrChange w:id="1593" w:author="Author">
                  <w:rPr>
                    <w:sz w:val="22"/>
                    <w:szCs w:val="22"/>
                    <w:lang w:eastAsia="en-GB"/>
                  </w:rPr>
                </w:rPrChange>
              </w:rPr>
              <w:t>Cardiac arrest</w:t>
            </w:r>
          </w:p>
        </w:tc>
      </w:tr>
      <w:tr w:rsidR="001778AA" w:rsidRPr="00F04F82" w14:paraId="6FB88DC3" w14:textId="77777777" w:rsidTr="00D47253">
        <w:trPr>
          <w:cantSplit/>
          <w:trHeight w:val="154"/>
        </w:trPr>
        <w:tc>
          <w:tcPr>
            <w:tcW w:w="2268" w:type="dxa"/>
            <w:vMerge w:val="restart"/>
          </w:tcPr>
          <w:p w14:paraId="144B94B8"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Vascular disorders</w:t>
            </w:r>
          </w:p>
        </w:tc>
        <w:tc>
          <w:tcPr>
            <w:tcW w:w="1701" w:type="dxa"/>
          </w:tcPr>
          <w:p w14:paraId="329519FB" w14:textId="77777777" w:rsidR="001778AA" w:rsidRPr="00D55B59" w:rsidRDefault="001778AA" w:rsidP="00D47253">
            <w:pPr>
              <w:pStyle w:val="Default"/>
              <w:rPr>
                <w:sz w:val="22"/>
                <w:szCs w:val="22"/>
                <w:lang w:val="en-GB"/>
                <w:rPrChange w:id="1594" w:author="Author">
                  <w:rPr>
                    <w:sz w:val="22"/>
                    <w:szCs w:val="22"/>
                  </w:rPr>
                </w:rPrChange>
              </w:rPr>
            </w:pPr>
            <w:r w:rsidRPr="00D55B59">
              <w:rPr>
                <w:sz w:val="22"/>
                <w:szCs w:val="22"/>
                <w:lang w:val="en-GB" w:eastAsia="en-GB"/>
                <w:rPrChange w:id="1595" w:author="Author">
                  <w:rPr>
                    <w:sz w:val="22"/>
                    <w:szCs w:val="22"/>
                    <w:lang w:eastAsia="en-GB"/>
                  </w:rPr>
                </w:rPrChange>
              </w:rPr>
              <w:t>Common</w:t>
            </w:r>
          </w:p>
        </w:tc>
        <w:tc>
          <w:tcPr>
            <w:tcW w:w="5670" w:type="dxa"/>
          </w:tcPr>
          <w:p w14:paraId="1D12826F"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Hypertension, </w:t>
            </w:r>
          </w:p>
          <w:p w14:paraId="6A22A467"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Flushing, </w:t>
            </w:r>
          </w:p>
          <w:p w14:paraId="4E09F994" w14:textId="77777777" w:rsidR="001778AA" w:rsidRPr="00D55B59" w:rsidRDefault="001778AA" w:rsidP="00D47253">
            <w:pPr>
              <w:pStyle w:val="Default"/>
              <w:rPr>
                <w:sz w:val="22"/>
                <w:szCs w:val="22"/>
                <w:lang w:val="en-GB"/>
                <w:rPrChange w:id="1596" w:author="Author">
                  <w:rPr>
                    <w:sz w:val="22"/>
                    <w:szCs w:val="22"/>
                  </w:rPr>
                </w:rPrChange>
              </w:rPr>
            </w:pPr>
            <w:r w:rsidRPr="00D55B59">
              <w:rPr>
                <w:sz w:val="22"/>
                <w:szCs w:val="22"/>
                <w:lang w:val="en-GB" w:eastAsia="en-GB"/>
                <w:rPrChange w:id="1597" w:author="Author">
                  <w:rPr>
                    <w:sz w:val="22"/>
                    <w:szCs w:val="22"/>
                    <w:lang w:eastAsia="en-GB"/>
                  </w:rPr>
                </w:rPrChange>
              </w:rPr>
              <w:t>Haematoma</w:t>
            </w:r>
          </w:p>
        </w:tc>
      </w:tr>
      <w:tr w:rsidR="001778AA" w:rsidRPr="00F04F82" w14:paraId="5ACCDE1F" w14:textId="77777777" w:rsidTr="00D47253">
        <w:trPr>
          <w:cantSplit/>
          <w:trHeight w:val="154"/>
        </w:trPr>
        <w:tc>
          <w:tcPr>
            <w:tcW w:w="2268" w:type="dxa"/>
            <w:vMerge/>
          </w:tcPr>
          <w:p w14:paraId="16235A5E"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Pr>
          <w:p w14:paraId="654E8A9C" w14:textId="77777777" w:rsidR="001778AA" w:rsidRPr="00D55B59" w:rsidRDefault="001778AA" w:rsidP="00D47253">
            <w:pPr>
              <w:pStyle w:val="Default"/>
              <w:rPr>
                <w:sz w:val="22"/>
                <w:szCs w:val="22"/>
                <w:lang w:val="en-GB"/>
                <w:rPrChange w:id="1598" w:author="Author">
                  <w:rPr>
                    <w:sz w:val="22"/>
                    <w:szCs w:val="22"/>
                  </w:rPr>
                </w:rPrChange>
              </w:rPr>
            </w:pPr>
            <w:r w:rsidRPr="00D55B59">
              <w:rPr>
                <w:sz w:val="22"/>
                <w:szCs w:val="22"/>
                <w:lang w:val="en-GB" w:eastAsia="en-GB"/>
                <w:rPrChange w:id="1599" w:author="Author">
                  <w:rPr>
                    <w:sz w:val="22"/>
                    <w:szCs w:val="22"/>
                    <w:lang w:eastAsia="en-GB"/>
                  </w:rPr>
                </w:rPrChange>
              </w:rPr>
              <w:t>Uncommon</w:t>
            </w:r>
          </w:p>
        </w:tc>
        <w:tc>
          <w:tcPr>
            <w:tcW w:w="5670" w:type="dxa"/>
          </w:tcPr>
          <w:p w14:paraId="112860EF"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Aortic aneurysm, </w:t>
            </w:r>
          </w:p>
          <w:p w14:paraId="551B77A1"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Vascular arterial occlusion, </w:t>
            </w:r>
          </w:p>
          <w:p w14:paraId="19C94E48" w14:textId="77777777" w:rsidR="001778AA" w:rsidRPr="00D55B59" w:rsidRDefault="001778AA" w:rsidP="00D47253">
            <w:pPr>
              <w:pStyle w:val="Default"/>
              <w:rPr>
                <w:sz w:val="22"/>
                <w:szCs w:val="22"/>
                <w:lang w:val="en-GB"/>
                <w:rPrChange w:id="1600" w:author="Author">
                  <w:rPr>
                    <w:sz w:val="22"/>
                    <w:szCs w:val="22"/>
                  </w:rPr>
                </w:rPrChange>
              </w:rPr>
            </w:pPr>
            <w:r w:rsidRPr="00D55B59">
              <w:rPr>
                <w:sz w:val="22"/>
                <w:szCs w:val="22"/>
                <w:lang w:val="en-GB" w:eastAsia="en-GB"/>
                <w:rPrChange w:id="1601" w:author="Author">
                  <w:rPr>
                    <w:sz w:val="22"/>
                    <w:szCs w:val="22"/>
                    <w:lang w:eastAsia="en-GB"/>
                  </w:rPr>
                </w:rPrChange>
              </w:rPr>
              <w:t>Thrombophlebitis</w:t>
            </w:r>
          </w:p>
        </w:tc>
      </w:tr>
      <w:tr w:rsidR="001778AA" w:rsidRPr="00F04F82" w14:paraId="385FB1F6" w14:textId="77777777" w:rsidTr="00D47253">
        <w:trPr>
          <w:cantSplit/>
          <w:trHeight w:val="154"/>
        </w:trPr>
        <w:tc>
          <w:tcPr>
            <w:tcW w:w="2268" w:type="dxa"/>
            <w:vMerge w:val="restart"/>
            <w:tcBorders>
              <w:top w:val="single" w:sz="4" w:space="0" w:color="auto"/>
              <w:left w:val="single" w:sz="4" w:space="0" w:color="auto"/>
              <w:right w:val="single" w:sz="4" w:space="0" w:color="auto"/>
            </w:tcBorders>
          </w:tcPr>
          <w:p w14:paraId="00722D6C"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Respiratory, thoracic and mediastinal disorders*</w:t>
            </w:r>
          </w:p>
        </w:tc>
        <w:tc>
          <w:tcPr>
            <w:tcW w:w="1701" w:type="dxa"/>
            <w:tcBorders>
              <w:top w:val="single" w:sz="4" w:space="0" w:color="auto"/>
              <w:left w:val="single" w:sz="4" w:space="0" w:color="auto"/>
              <w:bottom w:val="single" w:sz="4" w:space="0" w:color="auto"/>
              <w:right w:val="single" w:sz="4" w:space="0" w:color="auto"/>
            </w:tcBorders>
          </w:tcPr>
          <w:p w14:paraId="374539C3" w14:textId="77777777" w:rsidR="001778AA" w:rsidRPr="00D55B59" w:rsidRDefault="001778AA" w:rsidP="00D47253">
            <w:pPr>
              <w:pStyle w:val="Default"/>
              <w:keepNext/>
              <w:rPr>
                <w:sz w:val="22"/>
                <w:szCs w:val="22"/>
                <w:lang w:val="en-GB"/>
                <w:rPrChange w:id="1602" w:author="Author">
                  <w:rPr>
                    <w:sz w:val="22"/>
                    <w:szCs w:val="22"/>
                  </w:rPr>
                </w:rPrChange>
              </w:rPr>
            </w:pPr>
            <w:r w:rsidRPr="00D55B59">
              <w:rPr>
                <w:sz w:val="22"/>
                <w:szCs w:val="22"/>
                <w:lang w:val="en-GB" w:eastAsia="en-GB"/>
                <w:rPrChange w:id="1603" w:author="Author">
                  <w:rPr>
                    <w:sz w:val="22"/>
                    <w:szCs w:val="22"/>
                    <w:lang w:eastAsia="en-GB"/>
                  </w:rPr>
                </w:rPrChange>
              </w:rPr>
              <w:t>Common</w:t>
            </w:r>
          </w:p>
        </w:tc>
        <w:tc>
          <w:tcPr>
            <w:tcW w:w="5670" w:type="dxa"/>
            <w:tcBorders>
              <w:top w:val="single" w:sz="4" w:space="0" w:color="auto"/>
              <w:left w:val="single" w:sz="4" w:space="0" w:color="auto"/>
              <w:bottom w:val="single" w:sz="4" w:space="0" w:color="auto"/>
              <w:right w:val="single" w:sz="4" w:space="0" w:color="auto"/>
            </w:tcBorders>
          </w:tcPr>
          <w:p w14:paraId="75C5CA26"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Asthma, </w:t>
            </w:r>
          </w:p>
          <w:p w14:paraId="3FE91714"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Dyspnoea, </w:t>
            </w:r>
          </w:p>
          <w:p w14:paraId="6C273D18" w14:textId="77777777" w:rsidR="001778AA" w:rsidRPr="00D55B59" w:rsidRDefault="001778AA" w:rsidP="00D47253">
            <w:pPr>
              <w:pStyle w:val="Default"/>
              <w:keepNext/>
              <w:rPr>
                <w:sz w:val="22"/>
                <w:szCs w:val="22"/>
                <w:lang w:val="en-GB"/>
                <w:rPrChange w:id="1604" w:author="Author">
                  <w:rPr>
                    <w:sz w:val="22"/>
                    <w:szCs w:val="22"/>
                  </w:rPr>
                </w:rPrChange>
              </w:rPr>
            </w:pPr>
            <w:r w:rsidRPr="00D55B59">
              <w:rPr>
                <w:sz w:val="22"/>
                <w:szCs w:val="22"/>
                <w:lang w:val="en-GB" w:eastAsia="en-GB"/>
                <w:rPrChange w:id="1605" w:author="Author">
                  <w:rPr>
                    <w:sz w:val="22"/>
                    <w:szCs w:val="22"/>
                    <w:lang w:eastAsia="en-GB"/>
                  </w:rPr>
                </w:rPrChange>
              </w:rPr>
              <w:t>Cough</w:t>
            </w:r>
          </w:p>
        </w:tc>
      </w:tr>
      <w:tr w:rsidR="001778AA" w:rsidRPr="00F04F82" w14:paraId="7DC8C091" w14:textId="77777777" w:rsidTr="00D47253">
        <w:trPr>
          <w:cantSplit/>
          <w:trHeight w:val="154"/>
        </w:trPr>
        <w:tc>
          <w:tcPr>
            <w:tcW w:w="2268" w:type="dxa"/>
            <w:vMerge/>
            <w:tcBorders>
              <w:left w:val="single" w:sz="4" w:space="0" w:color="auto"/>
              <w:right w:val="single" w:sz="4" w:space="0" w:color="auto"/>
            </w:tcBorders>
          </w:tcPr>
          <w:p w14:paraId="4A3B081A"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55B2B033" w14:textId="77777777" w:rsidR="001778AA" w:rsidRPr="00D55B59" w:rsidRDefault="001778AA" w:rsidP="00D47253">
            <w:pPr>
              <w:pStyle w:val="Default"/>
              <w:rPr>
                <w:sz w:val="22"/>
                <w:szCs w:val="22"/>
                <w:lang w:val="en-GB" w:eastAsia="en-GB"/>
                <w:rPrChange w:id="1606" w:author="Author">
                  <w:rPr>
                    <w:sz w:val="22"/>
                    <w:szCs w:val="22"/>
                    <w:lang w:eastAsia="en-GB"/>
                  </w:rPr>
                </w:rPrChange>
              </w:rPr>
            </w:pPr>
            <w:r w:rsidRPr="00D55B59">
              <w:rPr>
                <w:sz w:val="22"/>
                <w:szCs w:val="22"/>
                <w:lang w:val="en-GB" w:eastAsia="en-GB"/>
                <w:rPrChange w:id="1607" w:author="Author">
                  <w:rPr>
                    <w:sz w:val="22"/>
                    <w:szCs w:val="22"/>
                    <w:lang w:eastAsia="en-GB"/>
                  </w:rPr>
                </w:rPrChange>
              </w:rPr>
              <w:t>Uncommon</w:t>
            </w:r>
          </w:p>
        </w:tc>
        <w:tc>
          <w:tcPr>
            <w:tcW w:w="5670" w:type="dxa"/>
            <w:tcBorders>
              <w:top w:val="single" w:sz="4" w:space="0" w:color="auto"/>
              <w:left w:val="single" w:sz="4" w:space="0" w:color="auto"/>
              <w:bottom w:val="single" w:sz="4" w:space="0" w:color="auto"/>
              <w:right w:val="single" w:sz="4" w:space="0" w:color="auto"/>
            </w:tcBorders>
          </w:tcPr>
          <w:p w14:paraId="431E7DCD"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Pulmonary embolism</w:t>
            </w:r>
            <w:r w:rsidRPr="001775D9">
              <w:rPr>
                <w:color w:val="000000"/>
                <w:szCs w:val="22"/>
                <w:vertAlign w:val="superscript"/>
                <w:lang w:eastAsia="en-GB"/>
              </w:rPr>
              <w:t>1)</w:t>
            </w:r>
            <w:r w:rsidRPr="001775D9">
              <w:rPr>
                <w:color w:val="000000"/>
                <w:szCs w:val="22"/>
                <w:lang w:eastAsia="en-GB"/>
              </w:rPr>
              <w:t xml:space="preserve">, </w:t>
            </w:r>
          </w:p>
          <w:p w14:paraId="03CD032F"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Interstitial lung disease, </w:t>
            </w:r>
          </w:p>
          <w:p w14:paraId="6AFFD027"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Chronic obstructive pulmonary disease, </w:t>
            </w:r>
          </w:p>
          <w:p w14:paraId="72E15D34"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Pneumonitis, </w:t>
            </w:r>
          </w:p>
          <w:p w14:paraId="4AC1899A"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Pleural effusion</w:t>
            </w:r>
            <w:r w:rsidRPr="001775D9">
              <w:rPr>
                <w:color w:val="000000"/>
                <w:szCs w:val="22"/>
                <w:vertAlign w:val="superscript"/>
                <w:lang w:eastAsia="en-GB"/>
              </w:rPr>
              <w:t>1)</w:t>
            </w:r>
            <w:r w:rsidRPr="001775D9">
              <w:rPr>
                <w:color w:val="000000"/>
                <w:szCs w:val="22"/>
                <w:lang w:eastAsia="en-GB"/>
              </w:rPr>
              <w:t xml:space="preserve"> </w:t>
            </w:r>
          </w:p>
        </w:tc>
      </w:tr>
      <w:tr w:rsidR="001778AA" w:rsidRPr="00F04F82" w14:paraId="46E4C379" w14:textId="77777777" w:rsidTr="00D47253">
        <w:trPr>
          <w:cantSplit/>
          <w:trHeight w:val="154"/>
        </w:trPr>
        <w:tc>
          <w:tcPr>
            <w:tcW w:w="2268" w:type="dxa"/>
            <w:vMerge/>
            <w:tcBorders>
              <w:left w:val="single" w:sz="4" w:space="0" w:color="auto"/>
              <w:bottom w:val="single" w:sz="4" w:space="0" w:color="auto"/>
              <w:right w:val="single" w:sz="4" w:space="0" w:color="auto"/>
            </w:tcBorders>
          </w:tcPr>
          <w:p w14:paraId="199082E6"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57FA6DB9" w14:textId="77777777" w:rsidR="001778AA" w:rsidRPr="00D55B59" w:rsidRDefault="001778AA" w:rsidP="00D47253">
            <w:pPr>
              <w:pStyle w:val="Default"/>
              <w:rPr>
                <w:sz w:val="22"/>
                <w:szCs w:val="22"/>
                <w:lang w:val="en-GB" w:eastAsia="en-GB"/>
                <w:rPrChange w:id="1608" w:author="Author">
                  <w:rPr>
                    <w:sz w:val="22"/>
                    <w:szCs w:val="22"/>
                    <w:lang w:eastAsia="en-GB"/>
                  </w:rPr>
                </w:rPrChange>
              </w:rPr>
            </w:pPr>
            <w:r w:rsidRPr="00D55B59">
              <w:rPr>
                <w:sz w:val="22"/>
                <w:szCs w:val="22"/>
                <w:lang w:val="en-GB" w:eastAsia="en-GB"/>
                <w:rPrChange w:id="1609" w:author="Author">
                  <w:rPr>
                    <w:sz w:val="22"/>
                    <w:szCs w:val="22"/>
                    <w:lang w:eastAsia="en-GB"/>
                  </w:rPr>
                </w:rPrChange>
              </w:rPr>
              <w:t>Rare</w:t>
            </w:r>
          </w:p>
        </w:tc>
        <w:tc>
          <w:tcPr>
            <w:tcW w:w="5670" w:type="dxa"/>
            <w:tcBorders>
              <w:top w:val="single" w:sz="4" w:space="0" w:color="auto"/>
              <w:left w:val="single" w:sz="4" w:space="0" w:color="auto"/>
              <w:bottom w:val="single" w:sz="4" w:space="0" w:color="auto"/>
              <w:right w:val="single" w:sz="4" w:space="0" w:color="auto"/>
            </w:tcBorders>
          </w:tcPr>
          <w:p w14:paraId="3D502694"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Pulmonary fibrosis</w:t>
            </w:r>
            <w:r w:rsidRPr="001775D9">
              <w:rPr>
                <w:color w:val="000000"/>
                <w:szCs w:val="22"/>
                <w:vertAlign w:val="superscript"/>
                <w:lang w:eastAsia="en-GB"/>
              </w:rPr>
              <w:t>1)</w:t>
            </w:r>
            <w:r w:rsidRPr="001775D9">
              <w:rPr>
                <w:color w:val="000000"/>
                <w:szCs w:val="22"/>
                <w:lang w:eastAsia="en-GB"/>
              </w:rPr>
              <w:t xml:space="preserve"> </w:t>
            </w:r>
          </w:p>
        </w:tc>
      </w:tr>
      <w:tr w:rsidR="001778AA" w:rsidRPr="00F04F82" w14:paraId="25C24A25" w14:textId="77777777" w:rsidTr="00D47253">
        <w:trPr>
          <w:cantSplit/>
          <w:trHeight w:val="154"/>
        </w:trPr>
        <w:tc>
          <w:tcPr>
            <w:tcW w:w="2268" w:type="dxa"/>
            <w:vMerge w:val="restart"/>
            <w:tcBorders>
              <w:top w:val="single" w:sz="4" w:space="0" w:color="auto"/>
              <w:left w:val="single" w:sz="4" w:space="0" w:color="auto"/>
              <w:right w:val="single" w:sz="4" w:space="0" w:color="auto"/>
            </w:tcBorders>
          </w:tcPr>
          <w:p w14:paraId="512BCC47"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Gastrointestinal disorders </w:t>
            </w:r>
          </w:p>
        </w:tc>
        <w:tc>
          <w:tcPr>
            <w:tcW w:w="1701" w:type="dxa"/>
            <w:tcBorders>
              <w:top w:val="single" w:sz="4" w:space="0" w:color="auto"/>
              <w:left w:val="single" w:sz="4" w:space="0" w:color="auto"/>
              <w:bottom w:val="single" w:sz="4" w:space="0" w:color="auto"/>
              <w:right w:val="single" w:sz="4" w:space="0" w:color="auto"/>
            </w:tcBorders>
          </w:tcPr>
          <w:p w14:paraId="18489909"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common </w:t>
            </w:r>
          </w:p>
        </w:tc>
        <w:tc>
          <w:tcPr>
            <w:tcW w:w="5670" w:type="dxa"/>
            <w:tcBorders>
              <w:top w:val="single" w:sz="4" w:space="0" w:color="auto"/>
              <w:left w:val="single" w:sz="4" w:space="0" w:color="auto"/>
              <w:bottom w:val="single" w:sz="4" w:space="0" w:color="auto"/>
              <w:right w:val="single" w:sz="4" w:space="0" w:color="auto"/>
            </w:tcBorders>
          </w:tcPr>
          <w:p w14:paraId="3423AE8F"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Abdominal pain, </w:t>
            </w:r>
          </w:p>
          <w:p w14:paraId="57EC77F1"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Nausea and vomiting </w:t>
            </w:r>
          </w:p>
        </w:tc>
      </w:tr>
      <w:tr w:rsidR="001778AA" w:rsidRPr="00F04F82" w14:paraId="0C209C70" w14:textId="77777777" w:rsidTr="00D47253">
        <w:trPr>
          <w:cantSplit/>
          <w:trHeight w:val="154"/>
        </w:trPr>
        <w:tc>
          <w:tcPr>
            <w:tcW w:w="2268" w:type="dxa"/>
            <w:vMerge/>
            <w:tcBorders>
              <w:left w:val="single" w:sz="4" w:space="0" w:color="auto"/>
              <w:right w:val="single" w:sz="4" w:space="0" w:color="auto"/>
            </w:tcBorders>
          </w:tcPr>
          <w:p w14:paraId="29A32F01" w14:textId="77777777" w:rsidR="001778AA" w:rsidRPr="00F04F82" w:rsidRDefault="001778AA" w:rsidP="00D47253">
            <w:pPr>
              <w:keepNext/>
              <w:keepLines/>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744F10BA"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1841A7D5"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GI haemorrhage, </w:t>
            </w:r>
          </w:p>
          <w:p w14:paraId="29D05E63"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Dyspepsia, </w:t>
            </w:r>
          </w:p>
          <w:p w14:paraId="39C1C4CC"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Gastroesophageal reflux disease, </w:t>
            </w:r>
          </w:p>
          <w:p w14:paraId="59A78EDD"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Sicca syndrome </w:t>
            </w:r>
          </w:p>
        </w:tc>
      </w:tr>
      <w:tr w:rsidR="001778AA" w:rsidRPr="00F04F82" w14:paraId="799646DE" w14:textId="77777777" w:rsidTr="00D47253">
        <w:trPr>
          <w:cantSplit/>
          <w:trHeight w:val="154"/>
        </w:trPr>
        <w:tc>
          <w:tcPr>
            <w:tcW w:w="2268" w:type="dxa"/>
            <w:vMerge/>
            <w:tcBorders>
              <w:left w:val="single" w:sz="4" w:space="0" w:color="auto"/>
              <w:right w:val="single" w:sz="4" w:space="0" w:color="auto"/>
            </w:tcBorders>
          </w:tcPr>
          <w:p w14:paraId="5A1E3A98"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54BAC51D"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1C28D8F5"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Pancreatitis, </w:t>
            </w:r>
          </w:p>
          <w:p w14:paraId="6617E64D"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Dysphagia, </w:t>
            </w:r>
          </w:p>
          <w:p w14:paraId="3DEAF3C3"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Face oedema </w:t>
            </w:r>
          </w:p>
        </w:tc>
      </w:tr>
      <w:tr w:rsidR="001778AA" w:rsidRPr="00F04F82" w14:paraId="2D7BC82D" w14:textId="77777777" w:rsidTr="00D47253">
        <w:trPr>
          <w:cantSplit/>
          <w:trHeight w:val="154"/>
        </w:trPr>
        <w:tc>
          <w:tcPr>
            <w:tcW w:w="2268" w:type="dxa"/>
            <w:vMerge/>
            <w:tcBorders>
              <w:left w:val="single" w:sz="4" w:space="0" w:color="auto"/>
              <w:bottom w:val="single" w:sz="4" w:space="0" w:color="auto"/>
              <w:right w:val="single" w:sz="4" w:space="0" w:color="auto"/>
            </w:tcBorders>
          </w:tcPr>
          <w:p w14:paraId="1529BA59"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7CDE9A0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w:t>
            </w:r>
          </w:p>
        </w:tc>
        <w:tc>
          <w:tcPr>
            <w:tcW w:w="5670" w:type="dxa"/>
            <w:tcBorders>
              <w:top w:val="single" w:sz="4" w:space="0" w:color="auto"/>
              <w:left w:val="single" w:sz="4" w:space="0" w:color="auto"/>
              <w:bottom w:val="single" w:sz="4" w:space="0" w:color="auto"/>
              <w:right w:val="single" w:sz="4" w:space="0" w:color="auto"/>
            </w:tcBorders>
          </w:tcPr>
          <w:p w14:paraId="02C728F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Intestinal perforation</w:t>
            </w:r>
            <w:r w:rsidRPr="001775D9">
              <w:rPr>
                <w:color w:val="000000"/>
                <w:szCs w:val="22"/>
                <w:vertAlign w:val="superscript"/>
                <w:lang w:eastAsia="en-GB"/>
              </w:rPr>
              <w:t>1)</w:t>
            </w:r>
            <w:r w:rsidRPr="001775D9">
              <w:rPr>
                <w:color w:val="000000"/>
                <w:szCs w:val="22"/>
                <w:lang w:eastAsia="en-GB"/>
              </w:rPr>
              <w:t xml:space="preserve"> </w:t>
            </w:r>
          </w:p>
        </w:tc>
      </w:tr>
      <w:tr w:rsidR="001778AA" w:rsidRPr="00F04F82" w14:paraId="6474226D" w14:textId="77777777" w:rsidTr="00D47253">
        <w:trPr>
          <w:cantSplit/>
          <w:trHeight w:val="154"/>
        </w:trPr>
        <w:tc>
          <w:tcPr>
            <w:tcW w:w="2268" w:type="dxa"/>
            <w:vMerge w:val="restart"/>
            <w:tcBorders>
              <w:top w:val="single" w:sz="4" w:space="0" w:color="auto"/>
              <w:left w:val="single" w:sz="4" w:space="0" w:color="auto"/>
              <w:right w:val="single" w:sz="4" w:space="0" w:color="auto"/>
            </w:tcBorders>
          </w:tcPr>
          <w:p w14:paraId="00BB3986"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Hepatobiliary disorders* </w:t>
            </w:r>
          </w:p>
        </w:tc>
        <w:tc>
          <w:tcPr>
            <w:tcW w:w="1701" w:type="dxa"/>
            <w:tcBorders>
              <w:top w:val="single" w:sz="4" w:space="0" w:color="auto"/>
              <w:left w:val="single" w:sz="4" w:space="0" w:color="auto"/>
              <w:bottom w:val="single" w:sz="4" w:space="0" w:color="auto"/>
              <w:right w:val="single" w:sz="4" w:space="0" w:color="auto"/>
            </w:tcBorders>
          </w:tcPr>
          <w:p w14:paraId="299A85A0"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common </w:t>
            </w:r>
          </w:p>
        </w:tc>
        <w:tc>
          <w:tcPr>
            <w:tcW w:w="5670" w:type="dxa"/>
            <w:tcBorders>
              <w:top w:val="single" w:sz="4" w:space="0" w:color="auto"/>
              <w:left w:val="single" w:sz="4" w:space="0" w:color="auto"/>
              <w:bottom w:val="single" w:sz="4" w:space="0" w:color="auto"/>
              <w:right w:val="single" w:sz="4" w:space="0" w:color="auto"/>
            </w:tcBorders>
          </w:tcPr>
          <w:p w14:paraId="28050A98"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Elevated liver enzymes </w:t>
            </w:r>
          </w:p>
        </w:tc>
      </w:tr>
      <w:tr w:rsidR="001778AA" w:rsidRPr="00F04F82" w14:paraId="5DF84D21" w14:textId="77777777" w:rsidTr="00D47253">
        <w:trPr>
          <w:cantSplit/>
          <w:trHeight w:val="154"/>
        </w:trPr>
        <w:tc>
          <w:tcPr>
            <w:tcW w:w="2268" w:type="dxa"/>
            <w:vMerge/>
            <w:tcBorders>
              <w:left w:val="single" w:sz="4" w:space="0" w:color="auto"/>
              <w:right w:val="single" w:sz="4" w:space="0" w:color="auto"/>
            </w:tcBorders>
          </w:tcPr>
          <w:p w14:paraId="56599071" w14:textId="77777777" w:rsidR="001778AA" w:rsidRPr="00F04F82" w:rsidRDefault="001778AA" w:rsidP="00D47253">
            <w:pPr>
              <w:keepNext/>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4507234E"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3DE24286"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Cholecystitis and cholelithiasis, </w:t>
            </w:r>
          </w:p>
          <w:p w14:paraId="2C1EEAB1"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Hepatic steatosis, </w:t>
            </w:r>
          </w:p>
          <w:p w14:paraId="391E643D"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Bilirubin increased </w:t>
            </w:r>
          </w:p>
        </w:tc>
      </w:tr>
      <w:tr w:rsidR="001778AA" w:rsidRPr="00F04F82" w14:paraId="7573FFF2" w14:textId="77777777" w:rsidTr="00D47253">
        <w:trPr>
          <w:cantSplit/>
          <w:trHeight w:val="154"/>
        </w:trPr>
        <w:tc>
          <w:tcPr>
            <w:tcW w:w="2268" w:type="dxa"/>
            <w:vMerge/>
            <w:tcBorders>
              <w:left w:val="single" w:sz="4" w:space="0" w:color="auto"/>
              <w:right w:val="single" w:sz="4" w:space="0" w:color="auto"/>
            </w:tcBorders>
          </w:tcPr>
          <w:p w14:paraId="19B3C415" w14:textId="77777777" w:rsidR="001778AA" w:rsidRPr="00F04F82" w:rsidRDefault="001778AA" w:rsidP="00D47253">
            <w:pPr>
              <w:keepNext/>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20760BFC"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w:t>
            </w:r>
          </w:p>
        </w:tc>
        <w:tc>
          <w:tcPr>
            <w:tcW w:w="5670" w:type="dxa"/>
            <w:tcBorders>
              <w:top w:val="single" w:sz="4" w:space="0" w:color="auto"/>
              <w:left w:val="single" w:sz="4" w:space="0" w:color="auto"/>
              <w:bottom w:val="single" w:sz="4" w:space="0" w:color="auto"/>
              <w:right w:val="single" w:sz="4" w:space="0" w:color="auto"/>
            </w:tcBorders>
          </w:tcPr>
          <w:p w14:paraId="6BB6786B"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Hepatitis, </w:t>
            </w:r>
          </w:p>
          <w:p w14:paraId="523691B6"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Reactivation of hepatitis B</w:t>
            </w:r>
            <w:r w:rsidRPr="001775D9">
              <w:rPr>
                <w:color w:val="000000"/>
                <w:szCs w:val="22"/>
                <w:vertAlign w:val="superscript"/>
                <w:lang w:eastAsia="en-GB"/>
              </w:rPr>
              <w:t>1)</w:t>
            </w:r>
            <w:r w:rsidRPr="001775D9">
              <w:rPr>
                <w:color w:val="000000"/>
                <w:szCs w:val="22"/>
                <w:lang w:eastAsia="en-GB"/>
              </w:rPr>
              <w:t xml:space="preserve">, </w:t>
            </w:r>
          </w:p>
          <w:p w14:paraId="1280E23D" w14:textId="77777777" w:rsidR="001778AA" w:rsidRPr="001775D9" w:rsidRDefault="001778AA" w:rsidP="00D47253">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Autoimmune hepatitis</w:t>
            </w:r>
            <w:r w:rsidRPr="001775D9">
              <w:rPr>
                <w:color w:val="000000"/>
                <w:szCs w:val="22"/>
                <w:vertAlign w:val="superscript"/>
                <w:lang w:eastAsia="en-GB"/>
              </w:rPr>
              <w:t>1)</w:t>
            </w:r>
            <w:r w:rsidRPr="001775D9">
              <w:rPr>
                <w:color w:val="000000"/>
                <w:szCs w:val="22"/>
                <w:lang w:eastAsia="en-GB"/>
              </w:rPr>
              <w:t xml:space="preserve"> </w:t>
            </w:r>
          </w:p>
        </w:tc>
      </w:tr>
      <w:tr w:rsidR="001778AA" w:rsidRPr="00F04F82" w14:paraId="585F2303" w14:textId="77777777" w:rsidTr="00D47253">
        <w:trPr>
          <w:cantSplit/>
          <w:trHeight w:val="154"/>
        </w:trPr>
        <w:tc>
          <w:tcPr>
            <w:tcW w:w="2268" w:type="dxa"/>
            <w:vMerge/>
            <w:tcBorders>
              <w:left w:val="single" w:sz="4" w:space="0" w:color="auto"/>
              <w:bottom w:val="single" w:sz="4" w:space="0" w:color="auto"/>
              <w:right w:val="single" w:sz="4" w:space="0" w:color="auto"/>
            </w:tcBorders>
          </w:tcPr>
          <w:p w14:paraId="7E2ED32F"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65689E0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Not known </w:t>
            </w:r>
          </w:p>
        </w:tc>
        <w:tc>
          <w:tcPr>
            <w:tcW w:w="5670" w:type="dxa"/>
            <w:tcBorders>
              <w:top w:val="single" w:sz="4" w:space="0" w:color="auto"/>
              <w:left w:val="single" w:sz="4" w:space="0" w:color="auto"/>
              <w:bottom w:val="single" w:sz="4" w:space="0" w:color="auto"/>
              <w:right w:val="single" w:sz="4" w:space="0" w:color="auto"/>
            </w:tcBorders>
          </w:tcPr>
          <w:p w14:paraId="79840274"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Liver failure</w:t>
            </w:r>
            <w:r w:rsidRPr="001775D9">
              <w:rPr>
                <w:color w:val="000000"/>
                <w:szCs w:val="22"/>
                <w:vertAlign w:val="superscript"/>
                <w:lang w:eastAsia="en-GB"/>
              </w:rPr>
              <w:t>1)</w:t>
            </w:r>
            <w:r w:rsidRPr="001775D9">
              <w:rPr>
                <w:color w:val="000000"/>
                <w:szCs w:val="22"/>
                <w:lang w:eastAsia="en-GB"/>
              </w:rPr>
              <w:t xml:space="preserve"> </w:t>
            </w:r>
          </w:p>
        </w:tc>
      </w:tr>
      <w:tr w:rsidR="001778AA" w:rsidRPr="00F04F82" w14:paraId="4F4CBA62" w14:textId="77777777" w:rsidTr="00D47253">
        <w:trPr>
          <w:cantSplit/>
          <w:trHeight w:val="154"/>
        </w:trPr>
        <w:tc>
          <w:tcPr>
            <w:tcW w:w="2268" w:type="dxa"/>
            <w:vMerge w:val="restart"/>
            <w:tcBorders>
              <w:top w:val="single" w:sz="4" w:space="0" w:color="auto"/>
              <w:left w:val="single" w:sz="4" w:space="0" w:color="auto"/>
              <w:right w:val="single" w:sz="4" w:space="0" w:color="auto"/>
            </w:tcBorders>
          </w:tcPr>
          <w:p w14:paraId="54CF0221"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Skin and subcutaneous tissue disorders </w:t>
            </w:r>
          </w:p>
        </w:tc>
        <w:tc>
          <w:tcPr>
            <w:tcW w:w="1701" w:type="dxa"/>
            <w:tcBorders>
              <w:top w:val="single" w:sz="4" w:space="0" w:color="auto"/>
              <w:left w:val="single" w:sz="4" w:space="0" w:color="auto"/>
              <w:bottom w:val="single" w:sz="4" w:space="0" w:color="auto"/>
              <w:right w:val="single" w:sz="4" w:space="0" w:color="auto"/>
            </w:tcBorders>
          </w:tcPr>
          <w:p w14:paraId="2491963D"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common </w:t>
            </w:r>
          </w:p>
        </w:tc>
        <w:tc>
          <w:tcPr>
            <w:tcW w:w="5670" w:type="dxa"/>
            <w:tcBorders>
              <w:top w:val="single" w:sz="4" w:space="0" w:color="auto"/>
              <w:left w:val="single" w:sz="4" w:space="0" w:color="auto"/>
              <w:bottom w:val="single" w:sz="4" w:space="0" w:color="auto"/>
              <w:right w:val="single" w:sz="4" w:space="0" w:color="auto"/>
            </w:tcBorders>
          </w:tcPr>
          <w:p w14:paraId="003D6B5F"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Rash (including exfoliative rash) </w:t>
            </w:r>
          </w:p>
        </w:tc>
      </w:tr>
      <w:tr w:rsidR="001778AA" w:rsidRPr="00F04F82" w14:paraId="012838DC" w14:textId="77777777" w:rsidTr="00D47253">
        <w:trPr>
          <w:cantSplit/>
          <w:trHeight w:val="154"/>
        </w:trPr>
        <w:tc>
          <w:tcPr>
            <w:tcW w:w="2268" w:type="dxa"/>
            <w:vMerge/>
            <w:tcBorders>
              <w:left w:val="single" w:sz="4" w:space="0" w:color="auto"/>
              <w:right w:val="single" w:sz="4" w:space="0" w:color="auto"/>
            </w:tcBorders>
          </w:tcPr>
          <w:p w14:paraId="4D971526" w14:textId="77777777" w:rsidR="001778AA" w:rsidRPr="00F04F82" w:rsidRDefault="001778AA" w:rsidP="001065D4">
            <w:pPr>
              <w:keepNext/>
              <w:keepLines/>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381328F9"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5217ADF3"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Worsening or new onset of psoriasis (including palmoplantar pustular psoriasis)</w:t>
            </w:r>
            <w:r w:rsidRPr="001775D9">
              <w:rPr>
                <w:color w:val="000000"/>
                <w:szCs w:val="22"/>
                <w:vertAlign w:val="superscript"/>
                <w:lang w:eastAsia="en-GB"/>
              </w:rPr>
              <w:t>1)</w:t>
            </w:r>
            <w:r w:rsidRPr="001775D9">
              <w:rPr>
                <w:color w:val="000000"/>
                <w:szCs w:val="22"/>
                <w:lang w:eastAsia="en-GB"/>
              </w:rPr>
              <w:t xml:space="preserve">, </w:t>
            </w:r>
          </w:p>
          <w:p w14:paraId="717926C8"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Urticaria, </w:t>
            </w:r>
          </w:p>
          <w:p w14:paraId="4FD1A8E3"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Bruising (including purpura), </w:t>
            </w:r>
          </w:p>
          <w:p w14:paraId="3948EB66"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Dermatitis (including eczema), </w:t>
            </w:r>
          </w:p>
          <w:p w14:paraId="3D7B8737"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Onychoclasis, </w:t>
            </w:r>
          </w:p>
          <w:p w14:paraId="46FF16AE"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Hyperhidrosis, </w:t>
            </w:r>
          </w:p>
          <w:p w14:paraId="4315F8E9"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Alopecia</w:t>
            </w:r>
            <w:r w:rsidRPr="001775D9">
              <w:rPr>
                <w:color w:val="000000"/>
                <w:szCs w:val="22"/>
                <w:vertAlign w:val="superscript"/>
                <w:lang w:eastAsia="en-GB"/>
              </w:rPr>
              <w:t>1)</w:t>
            </w:r>
            <w:r w:rsidRPr="001775D9">
              <w:rPr>
                <w:color w:val="000000"/>
                <w:szCs w:val="22"/>
                <w:lang w:eastAsia="en-GB"/>
              </w:rPr>
              <w:t xml:space="preserve">, </w:t>
            </w:r>
          </w:p>
          <w:p w14:paraId="3CFAEB78"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Pruritus</w:t>
            </w:r>
          </w:p>
        </w:tc>
      </w:tr>
      <w:tr w:rsidR="001778AA" w:rsidRPr="00F04F82" w14:paraId="4E752268" w14:textId="77777777" w:rsidTr="00D47253">
        <w:trPr>
          <w:cantSplit/>
          <w:trHeight w:val="154"/>
        </w:trPr>
        <w:tc>
          <w:tcPr>
            <w:tcW w:w="2268" w:type="dxa"/>
            <w:vMerge/>
            <w:tcBorders>
              <w:left w:val="single" w:sz="4" w:space="0" w:color="auto"/>
              <w:right w:val="single" w:sz="4" w:space="0" w:color="auto"/>
            </w:tcBorders>
          </w:tcPr>
          <w:p w14:paraId="7F19F05D" w14:textId="77777777" w:rsidR="001778AA" w:rsidRPr="00F04F82" w:rsidRDefault="001778AA" w:rsidP="001065D4">
            <w:pPr>
              <w:keepNext/>
              <w:keepLines/>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21271294"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73008144"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Night sweats, </w:t>
            </w:r>
          </w:p>
          <w:p w14:paraId="756C152C"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Scar </w:t>
            </w:r>
          </w:p>
        </w:tc>
      </w:tr>
      <w:tr w:rsidR="001778AA" w:rsidRPr="00F04F82" w14:paraId="4D3F8BCF" w14:textId="77777777" w:rsidTr="00D47253">
        <w:trPr>
          <w:cantSplit/>
          <w:trHeight w:val="154"/>
        </w:trPr>
        <w:tc>
          <w:tcPr>
            <w:tcW w:w="2268" w:type="dxa"/>
            <w:vMerge/>
            <w:tcBorders>
              <w:left w:val="single" w:sz="4" w:space="0" w:color="auto"/>
              <w:right w:val="single" w:sz="4" w:space="0" w:color="auto"/>
            </w:tcBorders>
          </w:tcPr>
          <w:p w14:paraId="7EB5DF7F" w14:textId="77777777" w:rsidR="001778AA" w:rsidRPr="00F04F82" w:rsidRDefault="001778AA" w:rsidP="001065D4">
            <w:pPr>
              <w:keepNext/>
              <w:keepLines/>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224C04AC" w14:textId="77777777" w:rsidR="001778AA" w:rsidRPr="001775D9" w:rsidRDefault="001778AA" w:rsidP="001065D4">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w:t>
            </w:r>
          </w:p>
        </w:tc>
        <w:tc>
          <w:tcPr>
            <w:tcW w:w="5670" w:type="dxa"/>
            <w:tcBorders>
              <w:top w:val="single" w:sz="4" w:space="0" w:color="auto"/>
              <w:left w:val="single" w:sz="4" w:space="0" w:color="auto"/>
              <w:bottom w:val="single" w:sz="4" w:space="0" w:color="auto"/>
              <w:right w:val="single" w:sz="4" w:space="0" w:color="auto"/>
            </w:tcBorders>
          </w:tcPr>
          <w:p w14:paraId="595C05F0" w14:textId="77777777" w:rsidR="001778AA" w:rsidRPr="004E0216" w:rsidRDefault="001778AA" w:rsidP="001065D4">
            <w:pPr>
              <w:keepNext/>
              <w:keepLines/>
              <w:tabs>
                <w:tab w:val="clear" w:pos="567"/>
              </w:tabs>
              <w:autoSpaceDE w:val="0"/>
              <w:autoSpaceDN w:val="0"/>
              <w:adjustRightInd w:val="0"/>
              <w:spacing w:line="240" w:lineRule="auto"/>
              <w:rPr>
                <w:color w:val="000000"/>
                <w:szCs w:val="22"/>
                <w:lang w:val="fr-FR" w:eastAsia="en-GB"/>
              </w:rPr>
            </w:pPr>
            <w:r w:rsidRPr="004E0216">
              <w:rPr>
                <w:color w:val="000000"/>
                <w:szCs w:val="22"/>
                <w:lang w:val="fr-FR" w:eastAsia="en-GB"/>
              </w:rPr>
              <w:t>Erythema multiforme</w:t>
            </w:r>
            <w:r w:rsidRPr="004E0216">
              <w:rPr>
                <w:color w:val="000000"/>
                <w:szCs w:val="22"/>
                <w:vertAlign w:val="superscript"/>
                <w:lang w:val="fr-FR" w:eastAsia="en-GB"/>
              </w:rPr>
              <w:t>1)</w:t>
            </w:r>
            <w:r w:rsidRPr="004E0216">
              <w:rPr>
                <w:color w:val="000000"/>
                <w:szCs w:val="22"/>
                <w:lang w:val="fr-FR" w:eastAsia="en-GB"/>
              </w:rPr>
              <w:t xml:space="preserve">, </w:t>
            </w:r>
          </w:p>
          <w:p w14:paraId="3A5C9EA8" w14:textId="77777777" w:rsidR="001778AA" w:rsidRPr="004E0216" w:rsidRDefault="001778AA" w:rsidP="001065D4">
            <w:pPr>
              <w:keepNext/>
              <w:keepLines/>
              <w:tabs>
                <w:tab w:val="clear" w:pos="567"/>
              </w:tabs>
              <w:autoSpaceDE w:val="0"/>
              <w:autoSpaceDN w:val="0"/>
              <w:adjustRightInd w:val="0"/>
              <w:spacing w:line="240" w:lineRule="auto"/>
              <w:rPr>
                <w:color w:val="000000"/>
                <w:szCs w:val="22"/>
                <w:lang w:val="fr-FR" w:eastAsia="en-GB"/>
              </w:rPr>
            </w:pPr>
            <w:r w:rsidRPr="004E0216">
              <w:rPr>
                <w:color w:val="000000"/>
                <w:szCs w:val="22"/>
                <w:lang w:val="fr-FR" w:eastAsia="en-GB"/>
              </w:rPr>
              <w:t>Stevens-Johnson syndrome</w:t>
            </w:r>
            <w:r w:rsidRPr="004E0216">
              <w:rPr>
                <w:color w:val="000000"/>
                <w:szCs w:val="22"/>
                <w:vertAlign w:val="superscript"/>
                <w:lang w:val="fr-FR" w:eastAsia="en-GB"/>
              </w:rPr>
              <w:t>1)</w:t>
            </w:r>
            <w:r w:rsidRPr="004E0216">
              <w:rPr>
                <w:color w:val="000000"/>
                <w:szCs w:val="22"/>
                <w:lang w:val="fr-FR" w:eastAsia="en-GB"/>
              </w:rPr>
              <w:t xml:space="preserve">, </w:t>
            </w:r>
          </w:p>
          <w:p w14:paraId="0E3F5E0A" w14:textId="77777777" w:rsidR="001778AA" w:rsidRPr="00D55B59" w:rsidRDefault="001778AA" w:rsidP="001065D4">
            <w:pPr>
              <w:keepNext/>
              <w:keepLines/>
              <w:tabs>
                <w:tab w:val="clear" w:pos="567"/>
              </w:tabs>
              <w:autoSpaceDE w:val="0"/>
              <w:autoSpaceDN w:val="0"/>
              <w:adjustRightInd w:val="0"/>
              <w:spacing w:line="240" w:lineRule="auto"/>
              <w:rPr>
                <w:color w:val="000000"/>
                <w:szCs w:val="22"/>
                <w:lang w:eastAsia="en-GB"/>
                <w:rPrChange w:id="1610" w:author="Author">
                  <w:rPr>
                    <w:color w:val="000000"/>
                    <w:szCs w:val="22"/>
                    <w:lang w:val="fr-CH" w:eastAsia="en-GB"/>
                  </w:rPr>
                </w:rPrChange>
              </w:rPr>
            </w:pPr>
            <w:r w:rsidRPr="00D55B59">
              <w:rPr>
                <w:color w:val="000000"/>
                <w:szCs w:val="22"/>
                <w:lang w:eastAsia="en-GB"/>
                <w:rPrChange w:id="1611" w:author="Author">
                  <w:rPr>
                    <w:color w:val="000000"/>
                    <w:szCs w:val="22"/>
                    <w:lang w:val="fr-CH" w:eastAsia="en-GB"/>
                  </w:rPr>
                </w:rPrChange>
              </w:rPr>
              <w:t>Angioedema</w:t>
            </w:r>
            <w:r w:rsidRPr="00D55B59">
              <w:rPr>
                <w:color w:val="000000"/>
                <w:szCs w:val="22"/>
                <w:vertAlign w:val="superscript"/>
                <w:lang w:eastAsia="en-GB"/>
                <w:rPrChange w:id="1612" w:author="Author">
                  <w:rPr>
                    <w:color w:val="000000"/>
                    <w:szCs w:val="22"/>
                    <w:vertAlign w:val="superscript"/>
                    <w:lang w:val="fr-CH" w:eastAsia="en-GB"/>
                  </w:rPr>
                </w:rPrChange>
              </w:rPr>
              <w:t>1)</w:t>
            </w:r>
            <w:r w:rsidRPr="00D55B59">
              <w:rPr>
                <w:color w:val="000000"/>
                <w:szCs w:val="22"/>
                <w:lang w:eastAsia="en-GB"/>
                <w:rPrChange w:id="1613" w:author="Author">
                  <w:rPr>
                    <w:color w:val="000000"/>
                    <w:szCs w:val="22"/>
                    <w:lang w:val="fr-CH" w:eastAsia="en-GB"/>
                  </w:rPr>
                </w:rPrChange>
              </w:rPr>
              <w:t xml:space="preserve">, </w:t>
            </w:r>
          </w:p>
          <w:p w14:paraId="3007524B" w14:textId="42053543" w:rsidR="001778AA" w:rsidRPr="00D55B59" w:rsidRDefault="001778AA" w:rsidP="001065D4">
            <w:pPr>
              <w:keepNext/>
              <w:keepLines/>
              <w:tabs>
                <w:tab w:val="clear" w:pos="567"/>
              </w:tabs>
              <w:autoSpaceDE w:val="0"/>
              <w:autoSpaceDN w:val="0"/>
              <w:adjustRightInd w:val="0"/>
              <w:spacing w:line="240" w:lineRule="auto"/>
              <w:rPr>
                <w:color w:val="000000"/>
                <w:szCs w:val="22"/>
                <w:lang w:eastAsia="en-GB"/>
                <w:rPrChange w:id="1614" w:author="Author">
                  <w:rPr>
                    <w:color w:val="000000"/>
                    <w:szCs w:val="22"/>
                    <w:lang w:val="fr-CH" w:eastAsia="en-GB"/>
                  </w:rPr>
                </w:rPrChange>
              </w:rPr>
            </w:pPr>
            <w:r w:rsidRPr="00D55B59">
              <w:rPr>
                <w:color w:val="000000"/>
                <w:szCs w:val="22"/>
                <w:lang w:eastAsia="en-GB"/>
                <w:rPrChange w:id="1615" w:author="Author">
                  <w:rPr>
                    <w:color w:val="000000"/>
                    <w:szCs w:val="22"/>
                    <w:lang w:val="fr-CH" w:eastAsia="en-GB"/>
                  </w:rPr>
                </w:rPrChange>
              </w:rPr>
              <w:t>Cutaneous vasculitis</w:t>
            </w:r>
            <w:r w:rsidRPr="00D55B59">
              <w:rPr>
                <w:color w:val="000000"/>
                <w:szCs w:val="22"/>
                <w:vertAlign w:val="superscript"/>
                <w:lang w:eastAsia="en-GB"/>
                <w:rPrChange w:id="1616" w:author="Author">
                  <w:rPr>
                    <w:color w:val="000000"/>
                    <w:szCs w:val="22"/>
                    <w:vertAlign w:val="superscript"/>
                    <w:lang w:val="fr-CH" w:eastAsia="en-GB"/>
                  </w:rPr>
                </w:rPrChange>
              </w:rPr>
              <w:t>1)</w:t>
            </w:r>
            <w:r w:rsidR="007A7CAC" w:rsidRPr="00D55B59">
              <w:rPr>
                <w:color w:val="000000"/>
                <w:szCs w:val="22"/>
                <w:lang w:eastAsia="en-GB"/>
                <w:rPrChange w:id="1617" w:author="Author">
                  <w:rPr>
                    <w:color w:val="000000"/>
                    <w:szCs w:val="22"/>
                    <w:lang w:val="fr-CH" w:eastAsia="en-GB"/>
                  </w:rPr>
                </w:rPrChange>
              </w:rPr>
              <w:t>,</w:t>
            </w:r>
          </w:p>
          <w:p w14:paraId="23ECC49D" w14:textId="77777777" w:rsidR="001778AA" w:rsidRPr="00D55B59" w:rsidRDefault="001778AA" w:rsidP="001065D4">
            <w:pPr>
              <w:keepNext/>
              <w:keepLines/>
              <w:tabs>
                <w:tab w:val="clear" w:pos="567"/>
              </w:tabs>
              <w:autoSpaceDE w:val="0"/>
              <w:autoSpaceDN w:val="0"/>
              <w:adjustRightInd w:val="0"/>
              <w:spacing w:line="240" w:lineRule="auto"/>
              <w:rPr>
                <w:color w:val="000000"/>
                <w:szCs w:val="22"/>
                <w:lang w:eastAsia="en-GB"/>
                <w:rPrChange w:id="1618" w:author="Author">
                  <w:rPr>
                    <w:color w:val="000000"/>
                    <w:szCs w:val="22"/>
                    <w:lang w:val="fr-CH" w:eastAsia="en-GB"/>
                  </w:rPr>
                </w:rPrChange>
              </w:rPr>
            </w:pPr>
            <w:r w:rsidRPr="00D55B59">
              <w:rPr>
                <w:color w:val="000000"/>
                <w:szCs w:val="22"/>
                <w:lang w:eastAsia="en-GB"/>
                <w:rPrChange w:id="1619" w:author="Author">
                  <w:rPr>
                    <w:color w:val="000000"/>
                    <w:szCs w:val="22"/>
                    <w:lang w:val="fr-CH" w:eastAsia="en-GB"/>
                  </w:rPr>
                </w:rPrChange>
              </w:rPr>
              <w:t>Lichenoid skin reaction</w:t>
            </w:r>
            <w:r w:rsidRPr="00D55B59">
              <w:rPr>
                <w:color w:val="000000"/>
                <w:szCs w:val="22"/>
                <w:vertAlign w:val="superscript"/>
                <w:lang w:eastAsia="en-GB"/>
                <w:rPrChange w:id="1620" w:author="Author">
                  <w:rPr>
                    <w:color w:val="000000"/>
                    <w:szCs w:val="22"/>
                    <w:vertAlign w:val="superscript"/>
                    <w:lang w:val="fr-CH" w:eastAsia="en-GB"/>
                  </w:rPr>
                </w:rPrChange>
              </w:rPr>
              <w:t>1)</w:t>
            </w:r>
          </w:p>
        </w:tc>
      </w:tr>
      <w:tr w:rsidR="001778AA" w:rsidRPr="00F04F82" w14:paraId="301D2DED" w14:textId="77777777" w:rsidTr="00D47253">
        <w:trPr>
          <w:cantSplit/>
          <w:trHeight w:val="154"/>
        </w:trPr>
        <w:tc>
          <w:tcPr>
            <w:tcW w:w="2268" w:type="dxa"/>
            <w:vMerge/>
            <w:tcBorders>
              <w:left w:val="single" w:sz="4" w:space="0" w:color="auto"/>
              <w:right w:val="single" w:sz="4" w:space="0" w:color="auto"/>
            </w:tcBorders>
          </w:tcPr>
          <w:p w14:paraId="19E356B3" w14:textId="77777777" w:rsidR="001778AA" w:rsidRPr="00D55B59" w:rsidRDefault="001778AA" w:rsidP="00D47253">
            <w:pPr>
              <w:tabs>
                <w:tab w:val="clear" w:pos="567"/>
              </w:tabs>
              <w:autoSpaceDE w:val="0"/>
              <w:autoSpaceDN w:val="0"/>
              <w:adjustRightInd w:val="0"/>
              <w:spacing w:line="240" w:lineRule="auto"/>
              <w:rPr>
                <w:color w:val="000000"/>
                <w:szCs w:val="22"/>
                <w:lang w:eastAsia="en-GB"/>
                <w:rPrChange w:id="1621" w:author="Author">
                  <w:rPr>
                    <w:color w:val="000000"/>
                    <w:szCs w:val="22"/>
                    <w:lang w:val="fr-CH" w:eastAsia="en-GB"/>
                  </w:rPr>
                </w:rPrChange>
              </w:rPr>
            </w:pPr>
          </w:p>
        </w:tc>
        <w:tc>
          <w:tcPr>
            <w:tcW w:w="1701" w:type="dxa"/>
            <w:tcBorders>
              <w:top w:val="single" w:sz="4" w:space="0" w:color="auto"/>
              <w:left w:val="single" w:sz="4" w:space="0" w:color="auto"/>
              <w:bottom w:val="single" w:sz="4" w:space="0" w:color="auto"/>
              <w:right w:val="single" w:sz="4" w:space="0" w:color="auto"/>
            </w:tcBorders>
          </w:tcPr>
          <w:p w14:paraId="4181C3F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Not known </w:t>
            </w:r>
          </w:p>
        </w:tc>
        <w:tc>
          <w:tcPr>
            <w:tcW w:w="5670" w:type="dxa"/>
            <w:tcBorders>
              <w:top w:val="single" w:sz="4" w:space="0" w:color="auto"/>
              <w:left w:val="single" w:sz="4" w:space="0" w:color="auto"/>
              <w:bottom w:val="single" w:sz="4" w:space="0" w:color="auto"/>
              <w:right w:val="single" w:sz="4" w:space="0" w:color="auto"/>
            </w:tcBorders>
          </w:tcPr>
          <w:p w14:paraId="2A483B71"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Worsening of symptoms of dermatomyositis</w:t>
            </w:r>
            <w:r w:rsidRPr="001775D9">
              <w:rPr>
                <w:color w:val="000000"/>
                <w:szCs w:val="22"/>
                <w:vertAlign w:val="superscript"/>
                <w:lang w:eastAsia="en-GB"/>
              </w:rPr>
              <w:t>1)</w:t>
            </w:r>
            <w:r w:rsidRPr="001775D9">
              <w:rPr>
                <w:color w:val="000000"/>
                <w:szCs w:val="22"/>
                <w:lang w:eastAsia="en-GB"/>
              </w:rPr>
              <w:t xml:space="preserve"> </w:t>
            </w:r>
          </w:p>
        </w:tc>
      </w:tr>
      <w:tr w:rsidR="001778AA" w:rsidRPr="00F04F82" w14:paraId="069BC7C4" w14:textId="77777777" w:rsidTr="00D47253">
        <w:trPr>
          <w:cantSplit/>
          <w:trHeight w:val="154"/>
        </w:trPr>
        <w:tc>
          <w:tcPr>
            <w:tcW w:w="2268" w:type="dxa"/>
            <w:vMerge w:val="restart"/>
            <w:tcBorders>
              <w:left w:val="single" w:sz="4" w:space="0" w:color="auto"/>
              <w:right w:val="single" w:sz="4" w:space="0" w:color="auto"/>
            </w:tcBorders>
          </w:tcPr>
          <w:p w14:paraId="6A77A8B3"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Musculoskeletal and connective tissue disorders </w:t>
            </w:r>
          </w:p>
        </w:tc>
        <w:tc>
          <w:tcPr>
            <w:tcW w:w="1701" w:type="dxa"/>
            <w:tcBorders>
              <w:top w:val="single" w:sz="4" w:space="0" w:color="auto"/>
              <w:left w:val="single" w:sz="4" w:space="0" w:color="auto"/>
              <w:bottom w:val="single" w:sz="4" w:space="0" w:color="auto"/>
              <w:right w:val="single" w:sz="4" w:space="0" w:color="auto"/>
            </w:tcBorders>
          </w:tcPr>
          <w:p w14:paraId="0B8FBF6F"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common </w:t>
            </w:r>
          </w:p>
        </w:tc>
        <w:tc>
          <w:tcPr>
            <w:tcW w:w="5670" w:type="dxa"/>
            <w:tcBorders>
              <w:top w:val="single" w:sz="4" w:space="0" w:color="auto"/>
              <w:left w:val="single" w:sz="4" w:space="0" w:color="auto"/>
              <w:bottom w:val="single" w:sz="4" w:space="0" w:color="auto"/>
              <w:right w:val="single" w:sz="4" w:space="0" w:color="auto"/>
            </w:tcBorders>
          </w:tcPr>
          <w:p w14:paraId="24AFC816"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Musculoskeletal pain </w:t>
            </w:r>
          </w:p>
        </w:tc>
      </w:tr>
      <w:tr w:rsidR="001778AA" w:rsidRPr="00F04F82" w14:paraId="3993E7B4" w14:textId="77777777" w:rsidTr="00D47253">
        <w:trPr>
          <w:cantSplit/>
          <w:trHeight w:val="154"/>
        </w:trPr>
        <w:tc>
          <w:tcPr>
            <w:tcW w:w="2268" w:type="dxa"/>
            <w:vMerge/>
            <w:tcBorders>
              <w:left w:val="single" w:sz="4" w:space="0" w:color="auto"/>
              <w:right w:val="single" w:sz="4" w:space="0" w:color="auto"/>
            </w:tcBorders>
          </w:tcPr>
          <w:p w14:paraId="214B6087"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63C2E8F7"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47704856"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Muscle spasms (including blood creatine phosphokinase increased) </w:t>
            </w:r>
          </w:p>
        </w:tc>
      </w:tr>
      <w:tr w:rsidR="001778AA" w:rsidRPr="00F04F82" w14:paraId="36C39B2C" w14:textId="77777777" w:rsidTr="00D47253">
        <w:trPr>
          <w:cantSplit/>
          <w:trHeight w:val="154"/>
        </w:trPr>
        <w:tc>
          <w:tcPr>
            <w:tcW w:w="2268" w:type="dxa"/>
            <w:vMerge/>
            <w:tcBorders>
              <w:left w:val="single" w:sz="4" w:space="0" w:color="auto"/>
              <w:right w:val="single" w:sz="4" w:space="0" w:color="auto"/>
            </w:tcBorders>
          </w:tcPr>
          <w:p w14:paraId="7A2CC3C5"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225F658A"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40C7141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Rhabdomyolysis, </w:t>
            </w:r>
          </w:p>
          <w:p w14:paraId="305B39C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Systemic lupus erythematosus </w:t>
            </w:r>
          </w:p>
        </w:tc>
      </w:tr>
      <w:tr w:rsidR="001778AA" w:rsidRPr="00F04F82" w14:paraId="570D9C91" w14:textId="77777777" w:rsidTr="00D47253">
        <w:trPr>
          <w:cantSplit/>
          <w:trHeight w:val="154"/>
        </w:trPr>
        <w:tc>
          <w:tcPr>
            <w:tcW w:w="2268" w:type="dxa"/>
            <w:vMerge/>
            <w:tcBorders>
              <w:left w:val="single" w:sz="4" w:space="0" w:color="auto"/>
              <w:right w:val="single" w:sz="4" w:space="0" w:color="auto"/>
            </w:tcBorders>
          </w:tcPr>
          <w:p w14:paraId="0924BCB5"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6168176F"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w:t>
            </w:r>
          </w:p>
        </w:tc>
        <w:tc>
          <w:tcPr>
            <w:tcW w:w="5670" w:type="dxa"/>
            <w:tcBorders>
              <w:top w:val="single" w:sz="4" w:space="0" w:color="auto"/>
              <w:left w:val="single" w:sz="4" w:space="0" w:color="auto"/>
              <w:bottom w:val="single" w:sz="4" w:space="0" w:color="auto"/>
              <w:right w:val="single" w:sz="4" w:space="0" w:color="auto"/>
            </w:tcBorders>
          </w:tcPr>
          <w:p w14:paraId="7157F98D"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Lupus-like syndrome</w:t>
            </w:r>
            <w:r w:rsidRPr="001775D9">
              <w:rPr>
                <w:color w:val="000000"/>
                <w:szCs w:val="22"/>
                <w:vertAlign w:val="superscript"/>
                <w:lang w:eastAsia="en-GB"/>
              </w:rPr>
              <w:t>1)</w:t>
            </w:r>
            <w:r w:rsidRPr="001775D9">
              <w:rPr>
                <w:color w:val="000000"/>
                <w:szCs w:val="22"/>
                <w:lang w:eastAsia="en-GB"/>
              </w:rPr>
              <w:t xml:space="preserve"> </w:t>
            </w:r>
          </w:p>
        </w:tc>
      </w:tr>
      <w:tr w:rsidR="001778AA" w:rsidRPr="00F04F82" w14:paraId="11E0899D" w14:textId="77777777" w:rsidTr="00D47253">
        <w:trPr>
          <w:cantSplit/>
          <w:trHeight w:val="154"/>
        </w:trPr>
        <w:tc>
          <w:tcPr>
            <w:tcW w:w="2268" w:type="dxa"/>
            <w:vMerge w:val="restart"/>
            <w:tcBorders>
              <w:left w:val="single" w:sz="4" w:space="0" w:color="auto"/>
              <w:right w:val="single" w:sz="4" w:space="0" w:color="auto"/>
            </w:tcBorders>
          </w:tcPr>
          <w:p w14:paraId="403C5ABD"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Renal and urinary disorders </w:t>
            </w:r>
          </w:p>
        </w:tc>
        <w:tc>
          <w:tcPr>
            <w:tcW w:w="1701" w:type="dxa"/>
            <w:tcBorders>
              <w:top w:val="single" w:sz="4" w:space="0" w:color="auto"/>
              <w:left w:val="single" w:sz="4" w:space="0" w:color="auto"/>
              <w:bottom w:val="single" w:sz="4" w:space="0" w:color="auto"/>
              <w:right w:val="single" w:sz="4" w:space="0" w:color="auto"/>
            </w:tcBorders>
          </w:tcPr>
          <w:p w14:paraId="6671EC5C"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3B856E3F"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Renal impairment, </w:t>
            </w:r>
          </w:p>
          <w:p w14:paraId="08E34526"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Haematuria </w:t>
            </w:r>
          </w:p>
        </w:tc>
      </w:tr>
      <w:tr w:rsidR="001778AA" w:rsidRPr="00F04F82" w14:paraId="6347C48C" w14:textId="77777777" w:rsidTr="00D47253">
        <w:trPr>
          <w:cantSplit/>
          <w:trHeight w:val="154"/>
        </w:trPr>
        <w:tc>
          <w:tcPr>
            <w:tcW w:w="2268" w:type="dxa"/>
            <w:vMerge/>
            <w:tcBorders>
              <w:left w:val="single" w:sz="4" w:space="0" w:color="auto"/>
              <w:right w:val="single" w:sz="4" w:space="0" w:color="auto"/>
            </w:tcBorders>
          </w:tcPr>
          <w:p w14:paraId="6E0C1876"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61134B3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3C389F65"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Nocturia </w:t>
            </w:r>
          </w:p>
        </w:tc>
      </w:tr>
      <w:tr w:rsidR="001778AA" w:rsidRPr="00F04F82" w14:paraId="3D0FC274" w14:textId="77777777" w:rsidTr="00D47253">
        <w:trPr>
          <w:cantSplit/>
          <w:trHeight w:val="154"/>
        </w:trPr>
        <w:tc>
          <w:tcPr>
            <w:tcW w:w="2268" w:type="dxa"/>
            <w:tcBorders>
              <w:left w:val="single" w:sz="4" w:space="0" w:color="auto"/>
              <w:right w:val="single" w:sz="4" w:space="0" w:color="auto"/>
            </w:tcBorders>
          </w:tcPr>
          <w:p w14:paraId="534C2D6A"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Reproductive system and breast disorders </w:t>
            </w:r>
          </w:p>
        </w:tc>
        <w:tc>
          <w:tcPr>
            <w:tcW w:w="1701" w:type="dxa"/>
            <w:tcBorders>
              <w:top w:val="single" w:sz="4" w:space="0" w:color="auto"/>
              <w:left w:val="single" w:sz="4" w:space="0" w:color="auto"/>
              <w:bottom w:val="single" w:sz="4" w:space="0" w:color="auto"/>
              <w:right w:val="single" w:sz="4" w:space="0" w:color="auto"/>
            </w:tcBorders>
          </w:tcPr>
          <w:p w14:paraId="2C770D55"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6E4736D7"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Erectile dysfunction </w:t>
            </w:r>
          </w:p>
        </w:tc>
      </w:tr>
      <w:tr w:rsidR="001778AA" w:rsidRPr="00F04F82" w14:paraId="5CF5BDD0" w14:textId="77777777" w:rsidTr="00D47253">
        <w:trPr>
          <w:cantSplit/>
          <w:trHeight w:val="154"/>
        </w:trPr>
        <w:tc>
          <w:tcPr>
            <w:tcW w:w="2268" w:type="dxa"/>
            <w:vMerge w:val="restart"/>
            <w:tcBorders>
              <w:left w:val="single" w:sz="4" w:space="0" w:color="auto"/>
              <w:right w:val="single" w:sz="4" w:space="0" w:color="auto"/>
            </w:tcBorders>
          </w:tcPr>
          <w:p w14:paraId="20A3A8C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General disorders and administration site conditions* </w:t>
            </w:r>
          </w:p>
        </w:tc>
        <w:tc>
          <w:tcPr>
            <w:tcW w:w="1701" w:type="dxa"/>
            <w:tcBorders>
              <w:top w:val="single" w:sz="4" w:space="0" w:color="auto"/>
              <w:left w:val="single" w:sz="4" w:space="0" w:color="auto"/>
              <w:bottom w:val="single" w:sz="4" w:space="0" w:color="auto"/>
              <w:right w:val="single" w:sz="4" w:space="0" w:color="auto"/>
            </w:tcBorders>
          </w:tcPr>
          <w:p w14:paraId="418F469E"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Very common </w:t>
            </w:r>
          </w:p>
        </w:tc>
        <w:tc>
          <w:tcPr>
            <w:tcW w:w="5670" w:type="dxa"/>
            <w:tcBorders>
              <w:top w:val="single" w:sz="4" w:space="0" w:color="auto"/>
              <w:left w:val="single" w:sz="4" w:space="0" w:color="auto"/>
              <w:bottom w:val="single" w:sz="4" w:space="0" w:color="auto"/>
              <w:right w:val="single" w:sz="4" w:space="0" w:color="auto"/>
            </w:tcBorders>
          </w:tcPr>
          <w:p w14:paraId="3094F131"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Injection site reaction (including injection site erythema) </w:t>
            </w:r>
          </w:p>
        </w:tc>
      </w:tr>
      <w:tr w:rsidR="001778AA" w:rsidRPr="00F04F82" w14:paraId="4A4E0E74" w14:textId="77777777" w:rsidTr="00D47253">
        <w:trPr>
          <w:cantSplit/>
          <w:trHeight w:val="154"/>
        </w:trPr>
        <w:tc>
          <w:tcPr>
            <w:tcW w:w="2268" w:type="dxa"/>
            <w:vMerge/>
            <w:tcBorders>
              <w:left w:val="single" w:sz="4" w:space="0" w:color="auto"/>
              <w:right w:val="single" w:sz="4" w:space="0" w:color="auto"/>
            </w:tcBorders>
          </w:tcPr>
          <w:p w14:paraId="5A7FCCAC"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73DBC2D7"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50CEA29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Chest pain, </w:t>
            </w:r>
          </w:p>
          <w:p w14:paraId="223FAD9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Oedema, </w:t>
            </w:r>
          </w:p>
          <w:p w14:paraId="7FF3E2B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Pyrexia</w:t>
            </w:r>
            <w:r w:rsidRPr="001775D9">
              <w:rPr>
                <w:color w:val="000000"/>
                <w:szCs w:val="22"/>
                <w:vertAlign w:val="superscript"/>
                <w:lang w:eastAsia="en-GB"/>
              </w:rPr>
              <w:t>1)</w:t>
            </w:r>
            <w:r w:rsidRPr="001775D9">
              <w:rPr>
                <w:color w:val="000000"/>
                <w:szCs w:val="22"/>
                <w:lang w:eastAsia="en-GB"/>
              </w:rPr>
              <w:t xml:space="preserve"> </w:t>
            </w:r>
          </w:p>
        </w:tc>
      </w:tr>
      <w:tr w:rsidR="001778AA" w:rsidRPr="00F04F82" w14:paraId="7DF06563" w14:textId="77777777" w:rsidTr="00D47253">
        <w:trPr>
          <w:cantSplit/>
          <w:trHeight w:val="154"/>
        </w:trPr>
        <w:tc>
          <w:tcPr>
            <w:tcW w:w="2268" w:type="dxa"/>
            <w:vMerge/>
            <w:tcBorders>
              <w:left w:val="single" w:sz="4" w:space="0" w:color="auto"/>
              <w:right w:val="single" w:sz="4" w:space="0" w:color="auto"/>
            </w:tcBorders>
          </w:tcPr>
          <w:p w14:paraId="2F8D4EFC"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5B1BE107"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Uncommon </w:t>
            </w:r>
          </w:p>
        </w:tc>
        <w:tc>
          <w:tcPr>
            <w:tcW w:w="5670" w:type="dxa"/>
            <w:tcBorders>
              <w:top w:val="single" w:sz="4" w:space="0" w:color="auto"/>
              <w:left w:val="single" w:sz="4" w:space="0" w:color="auto"/>
              <w:bottom w:val="single" w:sz="4" w:space="0" w:color="auto"/>
              <w:right w:val="single" w:sz="4" w:space="0" w:color="auto"/>
            </w:tcBorders>
          </w:tcPr>
          <w:p w14:paraId="5794AE5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Inflammation </w:t>
            </w:r>
          </w:p>
        </w:tc>
      </w:tr>
      <w:tr w:rsidR="001778AA" w:rsidRPr="00F04F82" w14:paraId="201E4897" w14:textId="77777777" w:rsidTr="00D47253">
        <w:trPr>
          <w:cantSplit/>
          <w:trHeight w:val="154"/>
        </w:trPr>
        <w:tc>
          <w:tcPr>
            <w:tcW w:w="2268" w:type="dxa"/>
            <w:vMerge w:val="restart"/>
            <w:tcBorders>
              <w:left w:val="single" w:sz="4" w:space="0" w:color="auto"/>
              <w:right w:val="single" w:sz="4" w:space="0" w:color="auto"/>
            </w:tcBorders>
          </w:tcPr>
          <w:p w14:paraId="0A6E92DC"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Investigations* </w:t>
            </w:r>
          </w:p>
        </w:tc>
        <w:tc>
          <w:tcPr>
            <w:tcW w:w="1701" w:type="dxa"/>
            <w:tcBorders>
              <w:top w:val="single" w:sz="4" w:space="0" w:color="auto"/>
              <w:left w:val="single" w:sz="4" w:space="0" w:color="auto"/>
              <w:bottom w:val="single" w:sz="4" w:space="0" w:color="auto"/>
              <w:right w:val="single" w:sz="4" w:space="0" w:color="auto"/>
            </w:tcBorders>
          </w:tcPr>
          <w:p w14:paraId="4F04BA31"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Common </w:t>
            </w:r>
          </w:p>
        </w:tc>
        <w:tc>
          <w:tcPr>
            <w:tcW w:w="5670" w:type="dxa"/>
            <w:tcBorders>
              <w:top w:val="single" w:sz="4" w:space="0" w:color="auto"/>
              <w:left w:val="single" w:sz="4" w:space="0" w:color="auto"/>
              <w:bottom w:val="single" w:sz="4" w:space="0" w:color="auto"/>
              <w:right w:val="single" w:sz="4" w:space="0" w:color="auto"/>
            </w:tcBorders>
          </w:tcPr>
          <w:p w14:paraId="0367D374"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Coagulation and bleeding disorders (including activated partial thromboplastin time prolonged), </w:t>
            </w:r>
          </w:p>
          <w:p w14:paraId="4127C0F6"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Autoantibody test positive (including double stranded DNA antibody), </w:t>
            </w:r>
          </w:p>
          <w:p w14:paraId="2D22839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Blood lactate dehydrogenase increased</w:t>
            </w:r>
          </w:p>
        </w:tc>
      </w:tr>
      <w:tr w:rsidR="001778AA" w:rsidRPr="00F04F82" w14:paraId="1ABE5CA4" w14:textId="77777777" w:rsidTr="00D47253">
        <w:trPr>
          <w:cantSplit/>
          <w:trHeight w:val="154"/>
        </w:trPr>
        <w:tc>
          <w:tcPr>
            <w:tcW w:w="2268" w:type="dxa"/>
            <w:vMerge/>
            <w:tcBorders>
              <w:left w:val="single" w:sz="4" w:space="0" w:color="auto"/>
              <w:right w:val="single" w:sz="4" w:space="0" w:color="auto"/>
            </w:tcBorders>
          </w:tcPr>
          <w:p w14:paraId="44D38672" w14:textId="77777777" w:rsidR="001778AA" w:rsidRPr="00F04F82" w:rsidRDefault="001778AA" w:rsidP="00D47253">
            <w:pPr>
              <w:tabs>
                <w:tab w:val="clear" w:pos="567"/>
              </w:tabs>
              <w:autoSpaceDE w:val="0"/>
              <w:autoSpaceDN w:val="0"/>
              <w:adjustRightInd w:val="0"/>
              <w:spacing w:line="240" w:lineRule="auto"/>
              <w:rPr>
                <w:color w:val="000000"/>
                <w:szCs w:val="22"/>
                <w:lang w:eastAsia="en-GB"/>
              </w:rPr>
            </w:pPr>
          </w:p>
        </w:tc>
        <w:tc>
          <w:tcPr>
            <w:tcW w:w="1701" w:type="dxa"/>
            <w:tcBorders>
              <w:top w:val="single" w:sz="4" w:space="0" w:color="auto"/>
              <w:left w:val="single" w:sz="4" w:space="0" w:color="auto"/>
              <w:bottom w:val="single" w:sz="4" w:space="0" w:color="auto"/>
              <w:right w:val="single" w:sz="4" w:space="0" w:color="auto"/>
            </w:tcBorders>
          </w:tcPr>
          <w:p w14:paraId="01D9A919"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Not known</w:t>
            </w:r>
          </w:p>
        </w:tc>
        <w:tc>
          <w:tcPr>
            <w:tcW w:w="5670" w:type="dxa"/>
            <w:tcBorders>
              <w:top w:val="single" w:sz="4" w:space="0" w:color="auto"/>
              <w:left w:val="single" w:sz="4" w:space="0" w:color="auto"/>
              <w:bottom w:val="single" w:sz="4" w:space="0" w:color="auto"/>
              <w:right w:val="single" w:sz="4" w:space="0" w:color="auto"/>
            </w:tcBorders>
          </w:tcPr>
          <w:p w14:paraId="1638C3DB"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Weight increased</w:t>
            </w:r>
            <w:r w:rsidRPr="001775D9">
              <w:rPr>
                <w:color w:val="000000"/>
                <w:szCs w:val="22"/>
                <w:vertAlign w:val="superscript"/>
                <w:lang w:eastAsia="en-GB"/>
              </w:rPr>
              <w:t>2)</w:t>
            </w:r>
          </w:p>
        </w:tc>
      </w:tr>
      <w:tr w:rsidR="001778AA" w:rsidRPr="00F04F82" w14:paraId="1B2692A4" w14:textId="77777777" w:rsidTr="00D47253">
        <w:trPr>
          <w:cantSplit/>
          <w:trHeight w:val="154"/>
        </w:trPr>
        <w:tc>
          <w:tcPr>
            <w:tcW w:w="2268" w:type="dxa"/>
            <w:tcBorders>
              <w:left w:val="single" w:sz="4" w:space="0" w:color="auto"/>
              <w:bottom w:val="single" w:sz="4" w:space="0" w:color="auto"/>
              <w:right w:val="single" w:sz="4" w:space="0" w:color="auto"/>
            </w:tcBorders>
          </w:tcPr>
          <w:p w14:paraId="13F4ACEA" w14:textId="77777777" w:rsidR="001778AA" w:rsidRPr="00D55B59" w:rsidRDefault="001778AA" w:rsidP="00D47253">
            <w:pPr>
              <w:pStyle w:val="Default"/>
              <w:rPr>
                <w:sz w:val="22"/>
                <w:szCs w:val="22"/>
                <w:lang w:val="en-GB" w:eastAsia="en-GB"/>
                <w:rPrChange w:id="1622" w:author="Author">
                  <w:rPr>
                    <w:sz w:val="22"/>
                    <w:szCs w:val="22"/>
                    <w:lang w:eastAsia="en-GB"/>
                  </w:rPr>
                </w:rPrChange>
              </w:rPr>
            </w:pPr>
            <w:r w:rsidRPr="00D55B59">
              <w:rPr>
                <w:sz w:val="22"/>
                <w:szCs w:val="22"/>
                <w:lang w:val="en-GB"/>
                <w:rPrChange w:id="1623" w:author="Author">
                  <w:rPr>
                    <w:sz w:val="22"/>
                    <w:szCs w:val="22"/>
                  </w:rPr>
                </w:rPrChange>
              </w:rPr>
              <w:t xml:space="preserve">Injury, poisoning and procedural complications </w:t>
            </w:r>
          </w:p>
        </w:tc>
        <w:tc>
          <w:tcPr>
            <w:tcW w:w="1701" w:type="dxa"/>
            <w:tcBorders>
              <w:top w:val="single" w:sz="4" w:space="0" w:color="auto"/>
              <w:left w:val="single" w:sz="4" w:space="0" w:color="auto"/>
              <w:bottom w:val="single" w:sz="4" w:space="0" w:color="auto"/>
              <w:right w:val="single" w:sz="4" w:space="0" w:color="auto"/>
            </w:tcBorders>
          </w:tcPr>
          <w:p w14:paraId="2C9A3C5D" w14:textId="77777777" w:rsidR="001778AA" w:rsidRPr="00D55B59" w:rsidRDefault="001778AA" w:rsidP="00D47253">
            <w:pPr>
              <w:pStyle w:val="Default"/>
              <w:rPr>
                <w:sz w:val="22"/>
                <w:szCs w:val="22"/>
                <w:lang w:val="en-GB"/>
                <w:rPrChange w:id="1624" w:author="Author">
                  <w:rPr>
                    <w:sz w:val="22"/>
                    <w:szCs w:val="22"/>
                  </w:rPr>
                </w:rPrChange>
              </w:rPr>
            </w:pPr>
            <w:r w:rsidRPr="00D55B59">
              <w:rPr>
                <w:sz w:val="22"/>
                <w:szCs w:val="22"/>
                <w:lang w:val="en-GB"/>
                <w:rPrChange w:id="1625" w:author="Author">
                  <w:rPr>
                    <w:sz w:val="22"/>
                    <w:szCs w:val="22"/>
                  </w:rPr>
                </w:rPrChange>
              </w:rPr>
              <w:t xml:space="preserve">Common </w:t>
            </w:r>
          </w:p>
          <w:p w14:paraId="340A8DD5"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p>
        </w:tc>
        <w:tc>
          <w:tcPr>
            <w:tcW w:w="5670" w:type="dxa"/>
            <w:tcBorders>
              <w:top w:val="single" w:sz="4" w:space="0" w:color="auto"/>
              <w:left w:val="single" w:sz="4" w:space="0" w:color="auto"/>
              <w:bottom w:val="single" w:sz="4" w:space="0" w:color="auto"/>
              <w:right w:val="single" w:sz="4" w:space="0" w:color="auto"/>
            </w:tcBorders>
          </w:tcPr>
          <w:p w14:paraId="13EFFA40" w14:textId="77777777" w:rsidR="001778AA" w:rsidRPr="00D55B59" w:rsidRDefault="001778AA" w:rsidP="00D47253">
            <w:pPr>
              <w:pStyle w:val="Default"/>
              <w:rPr>
                <w:sz w:val="22"/>
                <w:szCs w:val="22"/>
                <w:lang w:val="en-GB"/>
                <w:rPrChange w:id="1626" w:author="Author">
                  <w:rPr>
                    <w:sz w:val="22"/>
                    <w:szCs w:val="22"/>
                  </w:rPr>
                </w:rPrChange>
              </w:rPr>
            </w:pPr>
            <w:r w:rsidRPr="00D55B59">
              <w:rPr>
                <w:sz w:val="22"/>
                <w:szCs w:val="22"/>
                <w:lang w:val="en-GB"/>
                <w:rPrChange w:id="1627" w:author="Author">
                  <w:rPr>
                    <w:sz w:val="22"/>
                    <w:szCs w:val="22"/>
                  </w:rPr>
                </w:rPrChange>
              </w:rPr>
              <w:t xml:space="preserve">Impaired healing </w:t>
            </w:r>
          </w:p>
          <w:p w14:paraId="786022DE"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p>
        </w:tc>
      </w:tr>
    </w:tbl>
    <w:p w14:paraId="31D457F3" w14:textId="77777777" w:rsidR="001778AA" w:rsidRPr="001775D9" w:rsidRDefault="001778AA" w:rsidP="001778AA">
      <w:pPr>
        <w:tabs>
          <w:tab w:val="clear" w:pos="567"/>
        </w:tabs>
        <w:autoSpaceDE w:val="0"/>
        <w:autoSpaceDN w:val="0"/>
        <w:adjustRightInd w:val="0"/>
        <w:spacing w:line="240" w:lineRule="auto"/>
        <w:rPr>
          <w:color w:val="000000"/>
          <w:sz w:val="20"/>
          <w:lang w:eastAsia="en-GB"/>
        </w:rPr>
      </w:pPr>
      <w:r w:rsidRPr="001775D9">
        <w:rPr>
          <w:color w:val="000000"/>
          <w:sz w:val="20"/>
          <w:lang w:eastAsia="en-GB"/>
        </w:rPr>
        <w:t xml:space="preserve">* further information is found elsewhere in sections 4.3, 4.4 and 4.8 </w:t>
      </w:r>
    </w:p>
    <w:p w14:paraId="3A3ECBDC" w14:textId="77777777" w:rsidR="001778AA" w:rsidRPr="001775D9" w:rsidRDefault="001778AA" w:rsidP="001778AA">
      <w:pPr>
        <w:tabs>
          <w:tab w:val="clear" w:pos="567"/>
        </w:tabs>
        <w:autoSpaceDE w:val="0"/>
        <w:autoSpaceDN w:val="0"/>
        <w:adjustRightInd w:val="0"/>
        <w:spacing w:line="240" w:lineRule="auto"/>
        <w:rPr>
          <w:color w:val="000000"/>
          <w:sz w:val="20"/>
          <w:lang w:eastAsia="en-GB"/>
        </w:rPr>
      </w:pPr>
      <w:r w:rsidRPr="001775D9">
        <w:rPr>
          <w:color w:val="000000"/>
          <w:sz w:val="20"/>
          <w:lang w:eastAsia="en-GB"/>
        </w:rPr>
        <w:t xml:space="preserve">** including open-label extension studies </w:t>
      </w:r>
    </w:p>
    <w:p w14:paraId="161F94CF" w14:textId="5B2236F6" w:rsidR="001778AA" w:rsidRPr="001775D9" w:rsidRDefault="001778AA" w:rsidP="00B61D9D">
      <w:pPr>
        <w:spacing w:line="240" w:lineRule="auto"/>
        <w:rPr>
          <w:color w:val="000000"/>
          <w:sz w:val="20"/>
        </w:rPr>
      </w:pPr>
      <w:r w:rsidRPr="001775D9">
        <w:rPr>
          <w:color w:val="000000"/>
          <w:sz w:val="20"/>
          <w:vertAlign w:val="superscript"/>
        </w:rPr>
        <w:t>1)</w:t>
      </w:r>
      <w:r w:rsidRPr="001775D9">
        <w:rPr>
          <w:color w:val="000000"/>
          <w:sz w:val="20"/>
        </w:rPr>
        <w:t xml:space="preserve"> </w:t>
      </w:r>
      <w:r w:rsidR="002A2AEE" w:rsidRPr="001775D9">
        <w:rPr>
          <w:color w:val="000000"/>
          <w:sz w:val="20"/>
        </w:rPr>
        <w:t>I</w:t>
      </w:r>
      <w:r w:rsidRPr="001775D9">
        <w:rPr>
          <w:color w:val="000000"/>
          <w:sz w:val="20"/>
        </w:rPr>
        <w:t>ncluding spontaneous reporting data</w:t>
      </w:r>
      <w:r w:rsidR="004441B7" w:rsidRPr="001775D9">
        <w:rPr>
          <w:color w:val="000000"/>
          <w:sz w:val="20"/>
        </w:rPr>
        <w:t>.</w:t>
      </w:r>
    </w:p>
    <w:p w14:paraId="549C9387" w14:textId="77777777" w:rsidR="001778AA" w:rsidRPr="001775D9" w:rsidRDefault="001778AA" w:rsidP="00B61D9D">
      <w:pPr>
        <w:spacing w:line="240" w:lineRule="auto"/>
      </w:pPr>
      <w:r w:rsidRPr="001775D9">
        <w:rPr>
          <w:sz w:val="20"/>
          <w:szCs w:val="18"/>
          <w:vertAlign w:val="superscript"/>
        </w:rPr>
        <w:t>2)</w:t>
      </w:r>
      <w:r w:rsidRPr="001775D9">
        <w:rPr>
          <w:sz w:val="20"/>
          <w:szCs w:val="18"/>
        </w:rPr>
        <w:t xml:space="preserve"> </w:t>
      </w:r>
      <w:r w:rsidRPr="001775D9">
        <w:rPr>
          <w:sz w:val="20"/>
        </w:rPr>
        <w:t>The mean weight change from baseline for adalimumab ranged from 0.3</w:t>
      </w:r>
      <w:r w:rsidRPr="001775D9">
        <w:rPr>
          <w:szCs w:val="22"/>
        </w:rPr>
        <w:t> </w:t>
      </w:r>
      <w:r w:rsidRPr="001775D9">
        <w:rPr>
          <w:sz w:val="20"/>
        </w:rPr>
        <w:t>kg to 1.0</w:t>
      </w:r>
      <w:r w:rsidRPr="001775D9">
        <w:rPr>
          <w:szCs w:val="22"/>
        </w:rPr>
        <w:t> </w:t>
      </w:r>
      <w:r w:rsidRPr="001775D9">
        <w:rPr>
          <w:sz w:val="20"/>
        </w:rPr>
        <w:t>kg across adult indications compared to (minus) -0.4</w:t>
      </w:r>
      <w:r w:rsidRPr="001775D9">
        <w:rPr>
          <w:szCs w:val="22"/>
        </w:rPr>
        <w:t> </w:t>
      </w:r>
      <w:r w:rsidRPr="001775D9">
        <w:rPr>
          <w:sz w:val="20"/>
        </w:rPr>
        <w:t>kg to 0.4</w:t>
      </w:r>
      <w:r w:rsidRPr="001775D9">
        <w:rPr>
          <w:szCs w:val="22"/>
        </w:rPr>
        <w:t> </w:t>
      </w:r>
      <w:r w:rsidRPr="001775D9">
        <w:rPr>
          <w:sz w:val="20"/>
        </w:rPr>
        <w:t>kg for placebo over a treatment period of 4-6 months. Weight increase of 5</w:t>
      </w:r>
      <w:r w:rsidRPr="001775D9">
        <w:rPr>
          <w:sz w:val="20"/>
        </w:rPr>
        <w:noBreakHyphen/>
        <w:t>6 kg has also been observed in long-term extension studies with mean exposures of approximately 1-2 years without control group, particularly in patients with Crohn’s disease and ulcerative colitis. The mechanism behind this effect is unclear but could be associated with the anti-inflammatory effect of adalimumab.</w:t>
      </w:r>
    </w:p>
    <w:p w14:paraId="15D48314"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p>
    <w:p w14:paraId="14B5525C"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u w:val="single"/>
        </w:rPr>
        <w:t>Hidradenitis suppurativa</w:t>
      </w:r>
    </w:p>
    <w:p w14:paraId="0B2560D4"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34004A7B"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The safety profile for patients with HS treated with adalimumab weekly was consistent with the known safety profile of adalimumab.</w:t>
      </w:r>
    </w:p>
    <w:p w14:paraId="0A3623A2"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p>
    <w:p w14:paraId="5A01B440"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Uveitis</w:t>
      </w:r>
    </w:p>
    <w:p w14:paraId="0E6CD026" w14:textId="77777777" w:rsidR="001778AA" w:rsidRPr="001775D9" w:rsidRDefault="001778AA" w:rsidP="001778AA">
      <w:pPr>
        <w:tabs>
          <w:tab w:val="clear" w:pos="567"/>
        </w:tabs>
        <w:autoSpaceDE w:val="0"/>
        <w:autoSpaceDN w:val="0"/>
        <w:adjustRightInd w:val="0"/>
        <w:spacing w:line="240" w:lineRule="auto"/>
        <w:rPr>
          <w:i/>
          <w:szCs w:val="22"/>
          <w:u w:val="single"/>
          <w:lang w:eastAsia="en-GB"/>
        </w:rPr>
      </w:pPr>
    </w:p>
    <w:p w14:paraId="7F79ED8F" w14:textId="77777777" w:rsidR="001778AA" w:rsidRPr="001775D9" w:rsidRDefault="001778AA" w:rsidP="001778AA">
      <w:pPr>
        <w:spacing w:line="240" w:lineRule="auto"/>
        <w:rPr>
          <w:szCs w:val="22"/>
          <w:lang w:eastAsia="en-GB"/>
        </w:rPr>
      </w:pPr>
      <w:r w:rsidRPr="001775D9">
        <w:rPr>
          <w:szCs w:val="22"/>
          <w:lang w:eastAsia="en-GB"/>
        </w:rPr>
        <w:t>The safety profile for patients with uveitis treated with adalimumab every other week was consistent with the known safety profile of adalimumab.</w:t>
      </w:r>
    </w:p>
    <w:p w14:paraId="039B8A27" w14:textId="77777777" w:rsidR="001778AA" w:rsidRPr="001775D9" w:rsidRDefault="001778AA" w:rsidP="001778AA">
      <w:pPr>
        <w:spacing w:line="240" w:lineRule="auto"/>
        <w:rPr>
          <w:szCs w:val="22"/>
          <w:lang w:eastAsia="en-GB"/>
        </w:rPr>
      </w:pPr>
    </w:p>
    <w:p w14:paraId="010FAFBF"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Description of selected adverse reactions </w:t>
      </w:r>
    </w:p>
    <w:p w14:paraId="51D5E0FE"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p>
    <w:p w14:paraId="1525495E" w14:textId="77777777" w:rsidR="001778AA" w:rsidRPr="001775D9" w:rsidRDefault="001778AA" w:rsidP="001778AA">
      <w:pPr>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Injection site reactions </w:t>
      </w:r>
    </w:p>
    <w:p w14:paraId="527C58F7" w14:textId="77777777" w:rsidR="001778AA" w:rsidRPr="001775D9" w:rsidRDefault="001778AA" w:rsidP="001778AA">
      <w:pPr>
        <w:spacing w:line="240" w:lineRule="auto"/>
        <w:rPr>
          <w:color w:val="000000"/>
          <w:szCs w:val="22"/>
          <w:lang w:eastAsia="en-GB"/>
        </w:rPr>
      </w:pPr>
    </w:p>
    <w:p w14:paraId="076DCFF4" w14:textId="77777777" w:rsidR="001778AA" w:rsidRPr="001775D9" w:rsidRDefault="001778AA" w:rsidP="001778AA">
      <w:pPr>
        <w:spacing w:line="240" w:lineRule="auto"/>
        <w:rPr>
          <w:szCs w:val="22"/>
        </w:rPr>
      </w:pPr>
      <w:r w:rsidRPr="001775D9">
        <w:rPr>
          <w:color w:val="000000"/>
          <w:szCs w:val="22"/>
          <w:lang w:eastAsia="en-GB"/>
        </w:rPr>
        <w:t xml:space="preserve">In the pivotal controlled trials in adults and children, 12.9% of </w:t>
      </w:r>
      <w:r w:rsidRPr="001775D9">
        <w:rPr>
          <w:szCs w:val="22"/>
          <w:lang w:eastAsia="en-GB"/>
        </w:rPr>
        <w:t xml:space="preserve">patients treated with </w:t>
      </w:r>
      <w:r w:rsidRPr="001775D9">
        <w:rPr>
          <w:rFonts w:eastAsia="Times New Roman"/>
          <w:color w:val="000000"/>
          <w:szCs w:val="22"/>
        </w:rPr>
        <w:t>adalimumab</w:t>
      </w:r>
      <w:r w:rsidRPr="001775D9">
        <w:rPr>
          <w:szCs w:val="22"/>
          <w:lang w:eastAsia="en-GB"/>
        </w:rPr>
        <w:t xml:space="preserve"> developed injection site reactions (erythema and/or itching, haemorrhage, pain or swelling), compared to 7.2</w:t>
      </w:r>
      <w:r w:rsidRPr="001775D9">
        <w:rPr>
          <w:color w:val="000000"/>
          <w:szCs w:val="22"/>
          <w:lang w:eastAsia="en-GB"/>
        </w:rPr>
        <w:t>% of patients receiving placebo or active control. Injection site reactions generally did not necessitate discontinuation of the medicinal product.</w:t>
      </w:r>
    </w:p>
    <w:p w14:paraId="1ACF7D6A" w14:textId="77777777" w:rsidR="001778AA" w:rsidRPr="001775D9" w:rsidRDefault="001778AA" w:rsidP="001778AA">
      <w:pPr>
        <w:spacing w:line="240" w:lineRule="auto"/>
        <w:rPr>
          <w:szCs w:val="22"/>
        </w:rPr>
      </w:pPr>
    </w:p>
    <w:p w14:paraId="250B00B5" w14:textId="77777777" w:rsidR="001778AA" w:rsidRPr="001775D9" w:rsidRDefault="001778AA" w:rsidP="001778AA">
      <w:pPr>
        <w:keepNext/>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Infections </w:t>
      </w:r>
    </w:p>
    <w:p w14:paraId="3226F83F"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1C0E5039"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In the </w:t>
      </w:r>
      <w:r w:rsidRPr="001775D9">
        <w:rPr>
          <w:szCs w:val="22"/>
          <w:lang w:eastAsia="en-GB"/>
        </w:rPr>
        <w:t xml:space="preserve">pivotal controlled trials in adults and children, the rate of infection was 1.51 per patient year in the </w:t>
      </w:r>
      <w:r w:rsidRPr="001775D9">
        <w:rPr>
          <w:rFonts w:eastAsia="Times New Roman"/>
          <w:color w:val="000000"/>
          <w:szCs w:val="22"/>
        </w:rPr>
        <w:t>adalimumab</w:t>
      </w:r>
      <w:r w:rsidRPr="001775D9">
        <w:rPr>
          <w:szCs w:val="22"/>
          <w:lang w:eastAsia="en-GB"/>
        </w:rPr>
        <w:t xml:space="preserve">-treated patients and 1.46 per patient year in the placebo and active control-treated patients. The infections consisted primarily of nasopharyngitis, upper respiratory tract infection, and sinusitis. Most patients continued on </w:t>
      </w:r>
      <w:r w:rsidRPr="001775D9">
        <w:rPr>
          <w:rFonts w:eastAsia="Times New Roman"/>
          <w:color w:val="000000"/>
          <w:szCs w:val="22"/>
        </w:rPr>
        <w:t>adalimumab</w:t>
      </w:r>
      <w:r w:rsidRPr="001775D9">
        <w:rPr>
          <w:szCs w:val="22"/>
          <w:lang w:eastAsia="en-GB"/>
        </w:rPr>
        <w:t xml:space="preserve"> after the infection resolved. </w:t>
      </w:r>
    </w:p>
    <w:p w14:paraId="6C284B2F"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0D937EB" w14:textId="4AA356B4"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 incidence of serious infections was 0.04 per patient year in </w:t>
      </w:r>
      <w:r w:rsidRPr="001775D9">
        <w:rPr>
          <w:rFonts w:eastAsia="Times New Roman"/>
          <w:color w:val="000000"/>
          <w:szCs w:val="22"/>
        </w:rPr>
        <w:t>adalimumab</w:t>
      </w:r>
      <w:r w:rsidRPr="001775D9">
        <w:rPr>
          <w:szCs w:val="22"/>
          <w:lang w:eastAsia="en-GB"/>
        </w:rPr>
        <w:t>-treated patients and 0.03</w:t>
      </w:r>
      <w:r w:rsidR="00581823" w:rsidRPr="001775D9">
        <w:rPr>
          <w:szCs w:val="22"/>
          <w:lang w:eastAsia="en-GB"/>
        </w:rPr>
        <w:t> </w:t>
      </w:r>
      <w:r w:rsidRPr="001775D9">
        <w:rPr>
          <w:szCs w:val="22"/>
          <w:lang w:eastAsia="en-GB"/>
        </w:rPr>
        <w:t xml:space="preserve">per patient year in placebo and active control-treated patients. </w:t>
      </w:r>
    </w:p>
    <w:p w14:paraId="0843174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0E1B22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controlled and open-label adult and paediatric studies with </w:t>
      </w:r>
      <w:r w:rsidRPr="001775D9">
        <w:rPr>
          <w:rFonts w:eastAsia="Times New Roman"/>
          <w:color w:val="000000"/>
          <w:szCs w:val="22"/>
        </w:rPr>
        <w:t>adalimumab</w:t>
      </w:r>
      <w:r w:rsidRPr="001775D9">
        <w:rPr>
          <w:szCs w:val="22"/>
          <w:lang w:eastAsia="en-GB"/>
        </w:rPr>
        <w:t xml:space="preserve">, serious infections (including fatal infections, which occurred rarely) have been reported, which include reports of tuberculosis (including miliary and extra-pulmonary locations) and invasive opportunistic infections (e.g. disseminated or extrapulmonary histoplasmosis, blastomycosis, coccidioidomycosis, pneumocystis, candidiasis, aspergillosis and listeriosis). Most of the cases of tuberculosis occurred within the first eight months after initiation of therapy and may reflect recrudescence of latent disease. </w:t>
      </w:r>
    </w:p>
    <w:p w14:paraId="3D7C3917"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1A706AA" w14:textId="77777777" w:rsidR="001778AA" w:rsidRPr="001775D9" w:rsidRDefault="001778AA" w:rsidP="001778AA">
      <w:pPr>
        <w:keepNext/>
        <w:keepLines/>
        <w:tabs>
          <w:tab w:val="clear" w:pos="567"/>
        </w:tabs>
        <w:autoSpaceDE w:val="0"/>
        <w:autoSpaceDN w:val="0"/>
        <w:adjustRightInd w:val="0"/>
        <w:spacing w:line="240" w:lineRule="auto"/>
        <w:rPr>
          <w:i/>
          <w:szCs w:val="22"/>
          <w:lang w:eastAsia="en-GB"/>
        </w:rPr>
      </w:pPr>
      <w:r w:rsidRPr="001775D9">
        <w:rPr>
          <w:i/>
          <w:szCs w:val="22"/>
          <w:lang w:eastAsia="en-GB"/>
        </w:rPr>
        <w:t xml:space="preserve">Malignancies and lymphoproliferative disorders </w:t>
      </w:r>
    </w:p>
    <w:p w14:paraId="5FB78365" w14:textId="77777777" w:rsidR="001778AA" w:rsidRPr="001775D9" w:rsidRDefault="001778AA" w:rsidP="001778AA">
      <w:pPr>
        <w:keepNext/>
        <w:keepLines/>
        <w:tabs>
          <w:tab w:val="clear" w:pos="567"/>
        </w:tabs>
        <w:autoSpaceDE w:val="0"/>
        <w:autoSpaceDN w:val="0"/>
        <w:adjustRightInd w:val="0"/>
        <w:spacing w:line="240" w:lineRule="auto"/>
        <w:rPr>
          <w:szCs w:val="22"/>
          <w:lang w:eastAsia="en-GB"/>
        </w:rPr>
      </w:pPr>
    </w:p>
    <w:p w14:paraId="1E389927" w14:textId="3F05DA4D"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No malignancies were observed in 249 paediatric patients with an exposure of 655.6 patient-years during </w:t>
      </w:r>
      <w:r w:rsidRPr="001775D9">
        <w:rPr>
          <w:rFonts w:eastAsia="Times New Roman"/>
          <w:color w:val="000000"/>
          <w:szCs w:val="22"/>
        </w:rPr>
        <w:t>adalimumab</w:t>
      </w:r>
      <w:r w:rsidRPr="001775D9">
        <w:rPr>
          <w:szCs w:val="22"/>
          <w:lang w:eastAsia="en-GB"/>
        </w:rPr>
        <w:t xml:space="preserve"> trials in patients with juvenile idiopathic arthritis (polyarticular juvenile idiopathic arthritis and enthesitis-related arthritis). In addition, no malignancies were observed in 192 paediatric patients with an exposure of 498.1 patient-years during an </w:t>
      </w:r>
      <w:r w:rsidRPr="001775D9">
        <w:rPr>
          <w:rFonts w:eastAsia="Times New Roman"/>
          <w:color w:val="000000"/>
          <w:szCs w:val="22"/>
        </w:rPr>
        <w:t>adalimumab</w:t>
      </w:r>
      <w:r w:rsidRPr="001775D9">
        <w:rPr>
          <w:szCs w:val="22"/>
          <w:lang w:eastAsia="en-GB"/>
        </w:rPr>
        <w:t xml:space="preserve"> trial in paediatric patients with Crohn’s disease. </w:t>
      </w:r>
      <w:r w:rsidRPr="001775D9">
        <w:rPr>
          <w:szCs w:val="22"/>
        </w:rPr>
        <w:t>No malignancies were observed in 77 paediatric patients with an exposure of 80.0</w:t>
      </w:r>
      <w:r w:rsidR="00581823" w:rsidRPr="001775D9">
        <w:rPr>
          <w:szCs w:val="22"/>
        </w:rPr>
        <w:t> </w:t>
      </w:r>
      <w:r w:rsidRPr="001775D9">
        <w:rPr>
          <w:szCs w:val="22"/>
        </w:rPr>
        <w:t>patient-years during an adalimumab trial in paediatric patients with chronic plaque psoriasis</w:t>
      </w:r>
      <w:r w:rsidRPr="001775D9">
        <w:rPr>
          <w:szCs w:val="22"/>
          <w:lang w:eastAsia="en-GB"/>
        </w:rPr>
        <w:t xml:space="preserve">. No malignancies were observed in 93 paediatric patients with an exposure of 65.3 patient years during an adalimumab trial in paediatric patients with ulcerative colitis. </w:t>
      </w:r>
      <w:r w:rsidRPr="001775D9">
        <w:rPr>
          <w:szCs w:val="22"/>
        </w:rPr>
        <w:t>No malignancies were observed in 60</w:t>
      </w:r>
      <w:r w:rsidR="00581823" w:rsidRPr="001775D9">
        <w:rPr>
          <w:szCs w:val="22"/>
        </w:rPr>
        <w:t> </w:t>
      </w:r>
      <w:r w:rsidRPr="001775D9">
        <w:rPr>
          <w:szCs w:val="22"/>
        </w:rPr>
        <w:t>paediatric patients with an exposure of 58.4 patient years during an adalimumab trial in paediatric patients with uveitis.</w:t>
      </w:r>
    </w:p>
    <w:p w14:paraId="7C58306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E44D074" w14:textId="107466D2" w:rsidR="001778AA" w:rsidRPr="001775D9" w:rsidRDefault="001778AA" w:rsidP="00581823">
      <w:pPr>
        <w:tabs>
          <w:tab w:val="clear" w:pos="567"/>
        </w:tabs>
        <w:autoSpaceDE w:val="0"/>
        <w:autoSpaceDN w:val="0"/>
        <w:adjustRightInd w:val="0"/>
        <w:spacing w:line="240" w:lineRule="auto"/>
        <w:rPr>
          <w:szCs w:val="22"/>
          <w:lang w:eastAsia="en-GB"/>
        </w:rPr>
      </w:pPr>
      <w:r w:rsidRPr="001775D9">
        <w:rPr>
          <w:szCs w:val="22"/>
          <w:lang w:eastAsia="en-GB"/>
        </w:rPr>
        <w:t xml:space="preserve">During the controlled portions of pivotal </w:t>
      </w:r>
      <w:r w:rsidRPr="001775D9">
        <w:rPr>
          <w:rFonts w:eastAsia="Times New Roman"/>
          <w:color w:val="000000"/>
          <w:szCs w:val="22"/>
        </w:rPr>
        <w:t>adalimumab</w:t>
      </w:r>
      <w:r w:rsidRPr="001775D9">
        <w:rPr>
          <w:szCs w:val="22"/>
          <w:lang w:eastAsia="en-GB"/>
        </w:rPr>
        <w:t xml:space="preserve"> trials in adults of at least 12 weeks in duration in patients with moderately to severely active rheumatoid arthritis, ankylosing spondylitis, axial spondyloarthritis without radiographic evidence of AS, psoriatic arthritis, psoriasis, hidradenitis suppurativa, Crohn’s disease, ulcerative colitis and uveitis, malignancies, other than lymphoma and non-melanoma skin cancer, were observed at a rate (95% confidence interval) of 6.8 (4.4, 10.5) per 1</w:t>
      </w:r>
      <w:r w:rsidR="00581823" w:rsidRPr="001775D9">
        <w:rPr>
          <w:szCs w:val="22"/>
          <w:lang w:eastAsia="en-GB"/>
        </w:rPr>
        <w:t> </w:t>
      </w:r>
      <w:r w:rsidRPr="001775D9">
        <w:rPr>
          <w:szCs w:val="22"/>
          <w:lang w:eastAsia="en-GB"/>
        </w:rPr>
        <w:t>000 patient-years among 5</w:t>
      </w:r>
      <w:r w:rsidR="00581823" w:rsidRPr="001775D9">
        <w:rPr>
          <w:szCs w:val="22"/>
          <w:lang w:eastAsia="en-GB"/>
        </w:rPr>
        <w:t> </w:t>
      </w:r>
      <w:r w:rsidRPr="001775D9">
        <w:rPr>
          <w:szCs w:val="22"/>
          <w:lang w:eastAsia="en-GB"/>
        </w:rPr>
        <w:t xml:space="preserve">291 </w:t>
      </w:r>
      <w:r w:rsidRPr="001775D9">
        <w:rPr>
          <w:rFonts w:eastAsia="Times New Roman"/>
          <w:color w:val="000000"/>
          <w:szCs w:val="22"/>
        </w:rPr>
        <w:t>adalimumab</w:t>
      </w:r>
      <w:r w:rsidRPr="001775D9">
        <w:rPr>
          <w:szCs w:val="22"/>
          <w:lang w:eastAsia="en-GB"/>
        </w:rPr>
        <w:t xml:space="preserve">-treated patients </w:t>
      </w:r>
      <w:r w:rsidRPr="001775D9">
        <w:rPr>
          <w:iCs/>
          <w:szCs w:val="22"/>
          <w:lang w:eastAsia="en-GB"/>
        </w:rPr>
        <w:t xml:space="preserve">versus </w:t>
      </w:r>
      <w:r w:rsidRPr="001775D9">
        <w:rPr>
          <w:szCs w:val="22"/>
          <w:lang w:eastAsia="en-GB"/>
        </w:rPr>
        <w:t>a rate of 6.3 (3.4, 11.8) per 1</w:t>
      </w:r>
      <w:r w:rsidR="00581823" w:rsidRPr="001775D9">
        <w:rPr>
          <w:szCs w:val="22"/>
          <w:lang w:eastAsia="en-GB"/>
        </w:rPr>
        <w:t> </w:t>
      </w:r>
      <w:r w:rsidRPr="001775D9">
        <w:rPr>
          <w:szCs w:val="22"/>
          <w:lang w:eastAsia="en-GB"/>
        </w:rPr>
        <w:t>000 patient-years among 3</w:t>
      </w:r>
      <w:r w:rsidR="00581823" w:rsidRPr="001775D9">
        <w:rPr>
          <w:szCs w:val="22"/>
          <w:lang w:eastAsia="en-GB"/>
        </w:rPr>
        <w:t> </w:t>
      </w:r>
      <w:r w:rsidRPr="001775D9">
        <w:rPr>
          <w:szCs w:val="22"/>
          <w:lang w:eastAsia="en-GB"/>
        </w:rPr>
        <w:t xml:space="preserve">444 control patients (median duration of treatment was 4.0 months for </w:t>
      </w:r>
      <w:r w:rsidRPr="001775D9">
        <w:rPr>
          <w:rFonts w:eastAsia="Times New Roman"/>
          <w:color w:val="000000"/>
          <w:szCs w:val="22"/>
        </w:rPr>
        <w:t>adalimumab</w:t>
      </w:r>
      <w:r w:rsidRPr="001775D9">
        <w:rPr>
          <w:szCs w:val="22"/>
          <w:lang w:eastAsia="en-GB"/>
        </w:rPr>
        <w:t xml:space="preserve"> and 3.8 months for control-treated patients). The rate (95% confidence interval) of non</w:t>
      </w:r>
      <w:r w:rsidR="009E7BA7" w:rsidRPr="001775D9">
        <w:rPr>
          <w:szCs w:val="22"/>
          <w:lang w:eastAsia="en-GB"/>
        </w:rPr>
        <w:noBreakHyphen/>
      </w:r>
      <w:r w:rsidRPr="001775D9">
        <w:rPr>
          <w:szCs w:val="22"/>
          <w:lang w:eastAsia="en-GB"/>
        </w:rPr>
        <w:t>melanoma skin cancers was 8.8 (6.0, 13.0) per 1</w:t>
      </w:r>
      <w:r w:rsidR="00581823" w:rsidRPr="001775D9">
        <w:rPr>
          <w:szCs w:val="22"/>
          <w:lang w:eastAsia="en-GB"/>
        </w:rPr>
        <w:t> </w:t>
      </w:r>
      <w:r w:rsidRPr="001775D9">
        <w:rPr>
          <w:szCs w:val="22"/>
          <w:lang w:eastAsia="en-GB"/>
        </w:rPr>
        <w:t xml:space="preserve">000 patient-years among </w:t>
      </w:r>
      <w:r w:rsidRPr="001775D9">
        <w:rPr>
          <w:rFonts w:eastAsia="Times New Roman"/>
          <w:color w:val="000000"/>
          <w:szCs w:val="22"/>
        </w:rPr>
        <w:t>adalimumab</w:t>
      </w:r>
      <w:r w:rsidRPr="001775D9">
        <w:rPr>
          <w:szCs w:val="22"/>
          <w:lang w:eastAsia="en-GB"/>
        </w:rPr>
        <w:t>-treated patients and 3.2 (1.3, 7.6) per 1</w:t>
      </w:r>
      <w:r w:rsidR="00581823" w:rsidRPr="001775D9">
        <w:rPr>
          <w:szCs w:val="22"/>
          <w:lang w:eastAsia="en-GB"/>
        </w:rPr>
        <w:t> </w:t>
      </w:r>
      <w:r w:rsidRPr="001775D9">
        <w:rPr>
          <w:szCs w:val="22"/>
          <w:lang w:eastAsia="en-GB"/>
        </w:rPr>
        <w:t>000 patient-years among control patients. Of these skin cancers, squamous cell carcinomas occurred at rates (95% confidence interval) of 2.7 (1.4, 5.4) per 1</w:t>
      </w:r>
      <w:r w:rsidR="00581823" w:rsidRPr="001775D9">
        <w:rPr>
          <w:szCs w:val="22"/>
          <w:lang w:eastAsia="en-GB"/>
        </w:rPr>
        <w:t> </w:t>
      </w:r>
      <w:r w:rsidRPr="001775D9">
        <w:rPr>
          <w:szCs w:val="22"/>
          <w:lang w:eastAsia="en-GB"/>
        </w:rPr>
        <w:t xml:space="preserve">000 patient-years among </w:t>
      </w:r>
      <w:r w:rsidRPr="001775D9">
        <w:rPr>
          <w:rFonts w:eastAsia="Times New Roman"/>
          <w:color w:val="000000"/>
          <w:szCs w:val="22"/>
        </w:rPr>
        <w:t>adalimumab</w:t>
      </w:r>
      <w:r w:rsidRPr="001775D9">
        <w:rPr>
          <w:szCs w:val="22"/>
          <w:lang w:eastAsia="en-GB"/>
        </w:rPr>
        <w:t>-treated patients and 0.6 (0.1, 4.5) per 1</w:t>
      </w:r>
      <w:r w:rsidR="00581823" w:rsidRPr="001775D9">
        <w:rPr>
          <w:szCs w:val="22"/>
          <w:lang w:eastAsia="en-GB"/>
        </w:rPr>
        <w:t> </w:t>
      </w:r>
      <w:r w:rsidRPr="001775D9">
        <w:rPr>
          <w:szCs w:val="22"/>
          <w:lang w:eastAsia="en-GB"/>
        </w:rPr>
        <w:t>000 patient-years among control patients. The rate (95% confidence interval) of lymphomas was 0.7 (0.2, 2.7) per 1</w:t>
      </w:r>
      <w:r w:rsidR="00581823" w:rsidRPr="001775D9">
        <w:rPr>
          <w:szCs w:val="22"/>
          <w:lang w:eastAsia="en-GB"/>
        </w:rPr>
        <w:t> </w:t>
      </w:r>
      <w:r w:rsidRPr="001775D9">
        <w:rPr>
          <w:szCs w:val="22"/>
          <w:lang w:eastAsia="en-GB"/>
        </w:rPr>
        <w:t xml:space="preserve">000 patient-years among </w:t>
      </w:r>
      <w:r w:rsidRPr="001775D9">
        <w:rPr>
          <w:rFonts w:eastAsia="Times New Roman"/>
          <w:color w:val="000000"/>
          <w:szCs w:val="22"/>
        </w:rPr>
        <w:t>adalimumab</w:t>
      </w:r>
      <w:r w:rsidRPr="001775D9">
        <w:rPr>
          <w:szCs w:val="22"/>
          <w:lang w:eastAsia="en-GB"/>
        </w:rPr>
        <w:t>-treated patients and 0.6 (0.1, 4.5) per 1</w:t>
      </w:r>
      <w:r w:rsidR="00581823" w:rsidRPr="001775D9">
        <w:rPr>
          <w:szCs w:val="22"/>
          <w:lang w:eastAsia="en-GB"/>
        </w:rPr>
        <w:t> </w:t>
      </w:r>
      <w:r w:rsidRPr="001775D9">
        <w:rPr>
          <w:szCs w:val="22"/>
          <w:lang w:eastAsia="en-GB"/>
        </w:rPr>
        <w:t xml:space="preserve">000 patient-years among control patients. </w:t>
      </w:r>
    </w:p>
    <w:p w14:paraId="10FDDC7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5FF9167" w14:textId="0F959094"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When combining controlled portions of these trials and ongoing and completed open-label extension studies of adalimumab, with a median duration of approximately 3.3 years including 6</w:t>
      </w:r>
      <w:r w:rsidR="00581823" w:rsidRPr="001775D9">
        <w:rPr>
          <w:szCs w:val="22"/>
          <w:lang w:eastAsia="en-GB"/>
        </w:rPr>
        <w:t> </w:t>
      </w:r>
      <w:r w:rsidRPr="001775D9">
        <w:rPr>
          <w:szCs w:val="22"/>
          <w:lang w:eastAsia="en-GB"/>
        </w:rPr>
        <w:t>427 patients and over 26</w:t>
      </w:r>
      <w:r w:rsidR="00581823" w:rsidRPr="001775D9">
        <w:rPr>
          <w:szCs w:val="22"/>
          <w:lang w:eastAsia="en-GB"/>
        </w:rPr>
        <w:t> </w:t>
      </w:r>
      <w:r w:rsidRPr="001775D9">
        <w:rPr>
          <w:szCs w:val="22"/>
          <w:lang w:eastAsia="en-GB"/>
        </w:rPr>
        <w:t>439 patient-years of therapy, the observed rate of malignancies, other than lymphoma and non-melanoma skin cancers is approximately 8.5 per 1</w:t>
      </w:r>
      <w:r w:rsidR="00581823" w:rsidRPr="001775D9">
        <w:rPr>
          <w:szCs w:val="22"/>
          <w:lang w:eastAsia="en-GB"/>
        </w:rPr>
        <w:t> </w:t>
      </w:r>
      <w:r w:rsidRPr="001775D9">
        <w:rPr>
          <w:szCs w:val="22"/>
          <w:lang w:eastAsia="en-GB"/>
        </w:rPr>
        <w:t>000 patient-years. The observed rate of non</w:t>
      </w:r>
      <w:r w:rsidR="00581823" w:rsidRPr="001775D9">
        <w:rPr>
          <w:szCs w:val="22"/>
          <w:lang w:eastAsia="en-GB"/>
        </w:rPr>
        <w:noBreakHyphen/>
      </w:r>
      <w:r w:rsidRPr="001775D9">
        <w:rPr>
          <w:szCs w:val="22"/>
          <w:lang w:eastAsia="en-GB"/>
        </w:rPr>
        <w:t>melanoma skin cancers is approximately 9.6 per 1</w:t>
      </w:r>
      <w:r w:rsidR="00581823" w:rsidRPr="001775D9">
        <w:rPr>
          <w:szCs w:val="22"/>
          <w:lang w:eastAsia="en-GB"/>
        </w:rPr>
        <w:t> </w:t>
      </w:r>
      <w:r w:rsidRPr="001775D9">
        <w:rPr>
          <w:szCs w:val="22"/>
          <w:lang w:eastAsia="en-GB"/>
        </w:rPr>
        <w:t>000 patient-years, and the observed rate of lymphomas is approximately 1.3 per 1</w:t>
      </w:r>
      <w:r w:rsidR="00581823" w:rsidRPr="001775D9">
        <w:rPr>
          <w:szCs w:val="22"/>
          <w:lang w:eastAsia="en-GB"/>
        </w:rPr>
        <w:t> </w:t>
      </w:r>
      <w:r w:rsidRPr="001775D9">
        <w:rPr>
          <w:szCs w:val="22"/>
          <w:lang w:eastAsia="en-GB"/>
        </w:rPr>
        <w:t xml:space="preserve">000 patient-years. </w:t>
      </w:r>
    </w:p>
    <w:p w14:paraId="687A03E4" w14:textId="77777777" w:rsidR="001778AA" w:rsidRPr="001775D9" w:rsidRDefault="001778AA" w:rsidP="001778AA">
      <w:pPr>
        <w:spacing w:line="240" w:lineRule="auto"/>
        <w:rPr>
          <w:szCs w:val="22"/>
          <w:lang w:eastAsia="en-GB"/>
        </w:rPr>
      </w:pPr>
    </w:p>
    <w:p w14:paraId="2BF43C30" w14:textId="3FAD44C0" w:rsidR="001778AA" w:rsidRPr="001775D9" w:rsidRDefault="001778AA" w:rsidP="001778AA">
      <w:pPr>
        <w:spacing w:line="240" w:lineRule="auto"/>
        <w:rPr>
          <w:szCs w:val="22"/>
        </w:rPr>
      </w:pPr>
      <w:r w:rsidRPr="001775D9">
        <w:rPr>
          <w:szCs w:val="22"/>
          <w:lang w:eastAsia="en-GB"/>
        </w:rPr>
        <w:t xml:space="preserve">In post-marketing experience from January 2003 to December 2010, predominantly in patients with rheumatoid arthritis, the </w:t>
      </w:r>
      <w:r w:rsidR="00474C20" w:rsidRPr="001775D9">
        <w:t xml:space="preserve">spontaneously </w:t>
      </w:r>
      <w:r w:rsidRPr="001775D9">
        <w:rPr>
          <w:szCs w:val="22"/>
          <w:lang w:eastAsia="en-GB"/>
        </w:rPr>
        <w:t>reported rate of malignancies is approximately 2.7 per 1</w:t>
      </w:r>
      <w:r w:rsidR="00581823" w:rsidRPr="001775D9">
        <w:rPr>
          <w:szCs w:val="22"/>
          <w:lang w:eastAsia="en-GB"/>
        </w:rPr>
        <w:t> </w:t>
      </w:r>
      <w:r w:rsidRPr="001775D9">
        <w:rPr>
          <w:szCs w:val="22"/>
          <w:lang w:eastAsia="en-GB"/>
        </w:rPr>
        <w:t>000 patient treatment years. The</w:t>
      </w:r>
      <w:r w:rsidR="00474C20" w:rsidRPr="001775D9">
        <w:rPr>
          <w:szCs w:val="22"/>
          <w:lang w:eastAsia="en-GB"/>
        </w:rPr>
        <w:t xml:space="preserve"> </w:t>
      </w:r>
      <w:r w:rsidR="00474C20" w:rsidRPr="001775D9">
        <w:t>spontaneously</w:t>
      </w:r>
      <w:r w:rsidRPr="001775D9">
        <w:rPr>
          <w:szCs w:val="22"/>
          <w:lang w:eastAsia="en-GB"/>
        </w:rPr>
        <w:t xml:space="preserve"> reported rates for non-melanoma skin cancers and lymphomas are approximately 0.2 and 0.</w:t>
      </w:r>
      <w:r w:rsidRPr="001775D9">
        <w:rPr>
          <w:color w:val="000000"/>
          <w:szCs w:val="22"/>
          <w:lang w:eastAsia="en-GB"/>
        </w:rPr>
        <w:t>3 per 1</w:t>
      </w:r>
      <w:r w:rsidR="00581823" w:rsidRPr="001775D9">
        <w:rPr>
          <w:color w:val="000000"/>
          <w:szCs w:val="22"/>
          <w:lang w:eastAsia="en-GB"/>
        </w:rPr>
        <w:t> </w:t>
      </w:r>
      <w:r w:rsidRPr="001775D9">
        <w:rPr>
          <w:color w:val="000000"/>
          <w:szCs w:val="22"/>
          <w:lang w:eastAsia="en-GB"/>
        </w:rPr>
        <w:t>000 patient treatment years, respectively (see section 4.4).</w:t>
      </w:r>
    </w:p>
    <w:p w14:paraId="53B5C8AA" w14:textId="77777777" w:rsidR="001778AA" w:rsidRPr="001775D9" w:rsidRDefault="001778AA" w:rsidP="001778AA">
      <w:pPr>
        <w:spacing w:line="240" w:lineRule="auto"/>
        <w:rPr>
          <w:szCs w:val="22"/>
        </w:rPr>
      </w:pPr>
    </w:p>
    <w:p w14:paraId="7FE009AE"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Rare post-marketing cases of hepatosplenic T-cell lymphoma have been reported in patients treated with adalimumab (see section 4.4). </w:t>
      </w:r>
    </w:p>
    <w:p w14:paraId="50E055F1"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494DD099" w14:textId="77777777" w:rsidR="001778AA" w:rsidRPr="001775D9" w:rsidRDefault="001778AA" w:rsidP="001778AA">
      <w:pPr>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Autoantibodies </w:t>
      </w:r>
    </w:p>
    <w:p w14:paraId="49485373"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76B642C2" w14:textId="5A5F7916"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rPr>
        <w:t>Patients had serum samples tested for autoantibodies at multiple time points in rheumatoid arthritis studies I−V. In these trials, 11.9% of patients treated with</w:t>
      </w:r>
      <w:r w:rsidRPr="001775D9">
        <w:rPr>
          <w:szCs w:val="22"/>
          <w:lang w:eastAsia="en-GB"/>
        </w:rPr>
        <w:t xml:space="preserve"> </w:t>
      </w:r>
      <w:r w:rsidRPr="001775D9">
        <w:rPr>
          <w:rFonts w:eastAsia="Times New Roman"/>
          <w:color w:val="000000"/>
          <w:szCs w:val="22"/>
        </w:rPr>
        <w:t>adalimumab</w:t>
      </w:r>
      <w:r w:rsidRPr="001775D9">
        <w:rPr>
          <w:szCs w:val="22"/>
          <w:lang w:eastAsia="en-GB"/>
        </w:rPr>
        <w:t xml:space="preserve"> </w:t>
      </w:r>
      <w:r w:rsidRPr="001775D9">
        <w:rPr>
          <w:color w:val="000000"/>
          <w:szCs w:val="22"/>
        </w:rPr>
        <w:t>and 8.1% of placebo and active control</w:t>
      </w:r>
      <w:r w:rsidRPr="001775D9">
        <w:rPr>
          <w:szCs w:val="22"/>
          <w:lang w:eastAsia="en-GB"/>
        </w:rPr>
        <w:t>-</w:t>
      </w:r>
      <w:r w:rsidRPr="001775D9">
        <w:rPr>
          <w:color w:val="000000"/>
          <w:szCs w:val="22"/>
        </w:rPr>
        <w:t>treated patients that had negative baseline anti-nuclear antibody titres reported positive titres at week 24. Two patients out of 3</w:t>
      </w:r>
      <w:r w:rsidR="00581823" w:rsidRPr="001775D9">
        <w:rPr>
          <w:color w:val="000000"/>
          <w:szCs w:val="22"/>
        </w:rPr>
        <w:t> </w:t>
      </w:r>
      <w:r w:rsidRPr="001775D9">
        <w:rPr>
          <w:color w:val="000000"/>
          <w:szCs w:val="22"/>
        </w:rPr>
        <w:t xml:space="preserve">441 treated with </w:t>
      </w:r>
      <w:r w:rsidRPr="001775D9">
        <w:rPr>
          <w:rFonts w:eastAsia="Times New Roman"/>
          <w:color w:val="000000"/>
          <w:szCs w:val="22"/>
        </w:rPr>
        <w:t>adalimumab</w:t>
      </w:r>
      <w:r w:rsidRPr="001775D9">
        <w:rPr>
          <w:color w:val="000000"/>
          <w:szCs w:val="22"/>
        </w:rPr>
        <w:t xml:space="preserve"> in all rheumatoid arthritis and psoriatic arthritis studies developed clinical signs suggestive of new onset lupus-like syndrome. The patients improved following discontinuation of therapy. No patients developed lupus nephritis or central nervous system symptoms.</w:t>
      </w:r>
    </w:p>
    <w:p w14:paraId="492C0077"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p>
    <w:p w14:paraId="381AB5F7" w14:textId="77777777" w:rsidR="001778AA" w:rsidRPr="001775D9" w:rsidRDefault="001778AA" w:rsidP="001778AA">
      <w:pPr>
        <w:keepNext/>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Hepatobiliary events </w:t>
      </w:r>
    </w:p>
    <w:p w14:paraId="73C38B4F"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2FC459F3" w14:textId="1BB539A1"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In controlled phase </w:t>
      </w:r>
      <w:r w:rsidRPr="001775D9">
        <w:rPr>
          <w:szCs w:val="22"/>
          <w:lang w:eastAsia="en-GB"/>
        </w:rPr>
        <w:t xml:space="preserve">3 trials of </w:t>
      </w:r>
      <w:r w:rsidRPr="001775D9">
        <w:rPr>
          <w:rFonts w:eastAsia="Times New Roman"/>
          <w:color w:val="000000"/>
          <w:szCs w:val="22"/>
        </w:rPr>
        <w:t>adalimumab</w:t>
      </w:r>
      <w:r w:rsidRPr="001775D9">
        <w:rPr>
          <w:szCs w:val="22"/>
          <w:lang w:eastAsia="en-GB"/>
        </w:rPr>
        <w:t xml:space="preserve"> in patients with rheumatoid arthritis and psoriatic arthritis with a control period duration ranging from 4 to 104 weeks, ALT elevations ≥</w:t>
      </w:r>
      <w:r w:rsidRPr="001775D9">
        <w:rPr>
          <w:szCs w:val="22"/>
        </w:rPr>
        <w:t> </w:t>
      </w:r>
      <w:r w:rsidRPr="001775D9">
        <w:rPr>
          <w:szCs w:val="22"/>
          <w:lang w:eastAsia="en-GB"/>
        </w:rPr>
        <w:t xml:space="preserve">3 </w:t>
      </w:r>
      <w:r w:rsidR="00161AA8" w:rsidRPr="001775D9">
        <w:rPr>
          <w:szCs w:val="22"/>
          <w:lang w:eastAsia="en-GB"/>
        </w:rPr>
        <w:t>×</w:t>
      </w:r>
      <w:r w:rsidRPr="001775D9">
        <w:rPr>
          <w:szCs w:val="22"/>
          <w:lang w:eastAsia="en-GB"/>
        </w:rPr>
        <w:t xml:space="preserve"> ULN occurred in 3.7% of </w:t>
      </w:r>
      <w:r w:rsidRPr="001775D9">
        <w:rPr>
          <w:rFonts w:eastAsia="Times New Roman"/>
          <w:color w:val="000000"/>
          <w:szCs w:val="22"/>
        </w:rPr>
        <w:t>adalimumab</w:t>
      </w:r>
      <w:r w:rsidRPr="001775D9">
        <w:rPr>
          <w:szCs w:val="22"/>
          <w:lang w:eastAsia="en-GB"/>
        </w:rPr>
        <w:t xml:space="preserve">-treated patients and 1.6% of control-treated patients. </w:t>
      </w:r>
    </w:p>
    <w:p w14:paraId="1ABB89AF"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79DC037" w14:textId="04CCE02E"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controlled </w:t>
      </w:r>
      <w:r w:rsidRPr="001775D9">
        <w:rPr>
          <w:color w:val="000000"/>
          <w:szCs w:val="22"/>
          <w:lang w:eastAsia="en-GB"/>
        </w:rPr>
        <w:t>phase</w:t>
      </w:r>
      <w:r w:rsidRPr="001775D9">
        <w:rPr>
          <w:szCs w:val="22"/>
          <w:lang w:eastAsia="en-GB"/>
        </w:rPr>
        <w:t xml:space="preserve"> 3 trials of </w:t>
      </w:r>
      <w:r w:rsidRPr="001775D9">
        <w:rPr>
          <w:rFonts w:eastAsia="Times New Roman"/>
          <w:color w:val="000000"/>
          <w:szCs w:val="22"/>
        </w:rPr>
        <w:t>adalimumab</w:t>
      </w:r>
      <w:r w:rsidRPr="001775D9">
        <w:rPr>
          <w:szCs w:val="22"/>
          <w:lang w:eastAsia="en-GB"/>
        </w:rPr>
        <w:t xml:space="preserve"> in patients with polyarticular juvenile idiopathic arthritis who were 4 to 17</w:t>
      </w:r>
      <w:r w:rsidRPr="001775D9">
        <w:rPr>
          <w:szCs w:val="22"/>
        </w:rPr>
        <w:t> </w:t>
      </w:r>
      <w:r w:rsidRPr="001775D9">
        <w:rPr>
          <w:szCs w:val="22"/>
          <w:lang w:eastAsia="en-GB"/>
        </w:rPr>
        <w:t>years and enthesitis-related arthritis who were 6 to 17</w:t>
      </w:r>
      <w:r w:rsidRPr="001775D9">
        <w:rPr>
          <w:szCs w:val="22"/>
        </w:rPr>
        <w:t> </w:t>
      </w:r>
      <w:r w:rsidRPr="001775D9">
        <w:rPr>
          <w:szCs w:val="22"/>
          <w:lang w:eastAsia="en-GB"/>
        </w:rPr>
        <w:t>years, ALT elevations ≥</w:t>
      </w:r>
      <w:r w:rsidRPr="001775D9">
        <w:rPr>
          <w:szCs w:val="22"/>
        </w:rPr>
        <w:t> </w:t>
      </w:r>
      <w:r w:rsidRPr="001775D9">
        <w:rPr>
          <w:szCs w:val="22"/>
          <w:lang w:eastAsia="en-GB"/>
        </w:rPr>
        <w:t>3 </w:t>
      </w:r>
      <w:r w:rsidR="00161AA8" w:rsidRPr="001775D9">
        <w:rPr>
          <w:szCs w:val="22"/>
          <w:lang w:eastAsia="en-GB"/>
        </w:rPr>
        <w:t>×</w:t>
      </w:r>
      <w:r w:rsidRPr="001775D9">
        <w:rPr>
          <w:szCs w:val="22"/>
          <w:lang w:eastAsia="en-GB"/>
        </w:rPr>
        <w:t xml:space="preserve"> ULN occurred in 6.1% of </w:t>
      </w:r>
      <w:r w:rsidRPr="001775D9">
        <w:rPr>
          <w:rFonts w:eastAsia="Times New Roman"/>
          <w:color w:val="000000"/>
          <w:szCs w:val="22"/>
        </w:rPr>
        <w:t>adalimumab</w:t>
      </w:r>
      <w:r w:rsidRPr="001775D9">
        <w:rPr>
          <w:szCs w:val="22"/>
          <w:lang w:eastAsia="en-GB"/>
        </w:rPr>
        <w:t>-treated patients and 1.3% of control-treated patients. Most ALT elevations occurred with concomitant methotrexate use. No ALT elevations ≥</w:t>
      </w:r>
      <w:r w:rsidRPr="001775D9">
        <w:rPr>
          <w:szCs w:val="22"/>
        </w:rPr>
        <w:t> </w:t>
      </w:r>
      <w:r w:rsidRPr="001775D9">
        <w:rPr>
          <w:szCs w:val="22"/>
          <w:lang w:eastAsia="en-GB"/>
        </w:rPr>
        <w:t xml:space="preserve">3 </w:t>
      </w:r>
      <w:r w:rsidR="00161AA8" w:rsidRPr="001775D9">
        <w:rPr>
          <w:szCs w:val="22"/>
          <w:lang w:eastAsia="en-GB"/>
        </w:rPr>
        <w:t>×</w:t>
      </w:r>
      <w:r w:rsidRPr="001775D9">
        <w:rPr>
          <w:szCs w:val="22"/>
          <w:lang w:eastAsia="en-GB"/>
        </w:rPr>
        <w:t xml:space="preserve"> ULN occurred in the phase 3 trial of </w:t>
      </w:r>
      <w:r w:rsidRPr="001775D9">
        <w:rPr>
          <w:rFonts w:eastAsia="Times New Roman"/>
          <w:color w:val="000000"/>
          <w:szCs w:val="22"/>
        </w:rPr>
        <w:t>adalimumab</w:t>
      </w:r>
      <w:r w:rsidRPr="001775D9">
        <w:rPr>
          <w:szCs w:val="22"/>
          <w:lang w:eastAsia="en-GB"/>
        </w:rPr>
        <w:t xml:space="preserve"> in patients with polyarticular juvenile idiopathic arthritis who were 2 to &lt;</w:t>
      </w:r>
      <w:r w:rsidRPr="001775D9">
        <w:rPr>
          <w:szCs w:val="22"/>
        </w:rPr>
        <w:t> </w:t>
      </w:r>
      <w:r w:rsidRPr="001775D9">
        <w:rPr>
          <w:szCs w:val="22"/>
          <w:lang w:eastAsia="en-GB"/>
        </w:rPr>
        <w:t>4</w:t>
      </w:r>
      <w:r w:rsidRPr="001775D9">
        <w:rPr>
          <w:szCs w:val="22"/>
        </w:rPr>
        <w:t> </w:t>
      </w:r>
      <w:r w:rsidRPr="001775D9">
        <w:rPr>
          <w:szCs w:val="22"/>
          <w:lang w:eastAsia="en-GB"/>
        </w:rPr>
        <w:t xml:space="preserve">years. </w:t>
      </w:r>
    </w:p>
    <w:p w14:paraId="69E3B5F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FC81F6A" w14:textId="42C0ED19"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controlled </w:t>
      </w:r>
      <w:r w:rsidRPr="001775D9">
        <w:rPr>
          <w:color w:val="000000"/>
          <w:szCs w:val="22"/>
          <w:lang w:eastAsia="en-GB"/>
        </w:rPr>
        <w:t>phase</w:t>
      </w:r>
      <w:r w:rsidRPr="001775D9">
        <w:rPr>
          <w:szCs w:val="22"/>
          <w:lang w:eastAsia="en-GB"/>
        </w:rPr>
        <w:t xml:space="preserve"> 3 trials of </w:t>
      </w:r>
      <w:r w:rsidRPr="001775D9">
        <w:rPr>
          <w:rFonts w:eastAsia="Times New Roman"/>
          <w:color w:val="000000"/>
          <w:szCs w:val="22"/>
        </w:rPr>
        <w:t>adalimumab</w:t>
      </w:r>
      <w:r w:rsidRPr="001775D9">
        <w:rPr>
          <w:szCs w:val="22"/>
          <w:lang w:eastAsia="en-GB"/>
        </w:rPr>
        <w:t xml:space="preserve"> in patients with Crohn’s disease and ulcerative colitis with a control period ranging from 4 to 52</w:t>
      </w:r>
      <w:r w:rsidRPr="001775D9">
        <w:rPr>
          <w:szCs w:val="22"/>
        </w:rPr>
        <w:t> </w:t>
      </w:r>
      <w:r w:rsidRPr="001775D9">
        <w:rPr>
          <w:szCs w:val="22"/>
          <w:lang w:eastAsia="en-GB"/>
        </w:rPr>
        <w:t>weeks. ALT elevations ≥</w:t>
      </w:r>
      <w:r w:rsidRPr="001775D9">
        <w:rPr>
          <w:szCs w:val="22"/>
        </w:rPr>
        <w:t> </w:t>
      </w:r>
      <w:r w:rsidRPr="001775D9">
        <w:rPr>
          <w:szCs w:val="22"/>
          <w:lang w:eastAsia="en-GB"/>
        </w:rPr>
        <w:t xml:space="preserve">3 </w:t>
      </w:r>
      <w:r w:rsidR="00161AA8" w:rsidRPr="001775D9">
        <w:rPr>
          <w:szCs w:val="22"/>
          <w:lang w:eastAsia="en-GB"/>
        </w:rPr>
        <w:t>×</w:t>
      </w:r>
      <w:r w:rsidRPr="001775D9">
        <w:rPr>
          <w:szCs w:val="22"/>
          <w:lang w:eastAsia="en-GB"/>
        </w:rPr>
        <w:t xml:space="preserve"> ULN occurred in 0.9% of </w:t>
      </w:r>
      <w:r w:rsidRPr="001775D9">
        <w:rPr>
          <w:rFonts w:eastAsia="Times New Roman"/>
          <w:color w:val="000000"/>
          <w:szCs w:val="22"/>
        </w:rPr>
        <w:t>adalimumab</w:t>
      </w:r>
      <w:r w:rsidRPr="001775D9">
        <w:rPr>
          <w:szCs w:val="22"/>
          <w:lang w:eastAsia="en-GB"/>
        </w:rPr>
        <w:t xml:space="preserve">-treated patients and 0.9% of controlled-treated patients. </w:t>
      </w:r>
    </w:p>
    <w:p w14:paraId="1B6A142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F94E70D"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the </w:t>
      </w:r>
      <w:r w:rsidRPr="001775D9">
        <w:rPr>
          <w:color w:val="000000"/>
          <w:szCs w:val="22"/>
          <w:lang w:eastAsia="en-GB"/>
        </w:rPr>
        <w:t>phase</w:t>
      </w:r>
      <w:r w:rsidRPr="001775D9">
        <w:rPr>
          <w:szCs w:val="22"/>
          <w:lang w:eastAsia="en-GB"/>
        </w:rPr>
        <w:t xml:space="preserve"> 3 trial of </w:t>
      </w:r>
      <w:r w:rsidRPr="001775D9">
        <w:rPr>
          <w:rFonts w:eastAsia="Times New Roman"/>
          <w:color w:val="000000"/>
          <w:szCs w:val="22"/>
        </w:rPr>
        <w:t>adalimumab</w:t>
      </w:r>
      <w:r w:rsidRPr="001775D9">
        <w:rPr>
          <w:szCs w:val="22"/>
          <w:lang w:eastAsia="en-GB"/>
        </w:rPr>
        <w:t xml:space="preserve"> in patients with paediatric Crohn’s disease which evaluated efficacy and safety of two body weight adjusted maintenance dose regimens following body weight adjusted induction therapy up to 52</w:t>
      </w:r>
      <w:r w:rsidRPr="001775D9">
        <w:rPr>
          <w:szCs w:val="22"/>
        </w:rPr>
        <w:t> </w:t>
      </w:r>
      <w:r w:rsidRPr="001775D9">
        <w:rPr>
          <w:szCs w:val="22"/>
          <w:lang w:eastAsia="en-GB"/>
        </w:rPr>
        <w:t>weeks of treatment, ALT elevations ≥</w:t>
      </w:r>
      <w:r w:rsidRPr="001775D9">
        <w:rPr>
          <w:szCs w:val="22"/>
        </w:rPr>
        <w:t> </w:t>
      </w:r>
      <w:r w:rsidRPr="001775D9">
        <w:rPr>
          <w:szCs w:val="22"/>
          <w:lang w:eastAsia="en-GB"/>
        </w:rPr>
        <w:t xml:space="preserve">3 x ULN occurred in 2.6% (5/192) of patients of whom 4 were receiving concomitant immunosuppressants at baseline. </w:t>
      </w:r>
    </w:p>
    <w:p w14:paraId="1E70BC5C"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5F6D8B5" w14:textId="11ADA2BF"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controlled </w:t>
      </w:r>
      <w:r w:rsidRPr="001775D9">
        <w:rPr>
          <w:color w:val="000000"/>
          <w:szCs w:val="22"/>
          <w:lang w:eastAsia="en-GB"/>
        </w:rPr>
        <w:t>phase</w:t>
      </w:r>
      <w:r w:rsidRPr="001775D9">
        <w:rPr>
          <w:szCs w:val="22"/>
          <w:lang w:eastAsia="en-GB"/>
        </w:rPr>
        <w:t xml:space="preserve"> 3 trials of </w:t>
      </w:r>
      <w:r w:rsidRPr="001775D9">
        <w:rPr>
          <w:rFonts w:eastAsia="Times New Roman"/>
          <w:color w:val="000000"/>
          <w:szCs w:val="22"/>
        </w:rPr>
        <w:t>adalimumab</w:t>
      </w:r>
      <w:r w:rsidRPr="001775D9">
        <w:rPr>
          <w:szCs w:val="22"/>
          <w:lang w:eastAsia="en-GB"/>
        </w:rPr>
        <w:t xml:space="preserve"> in patients with plaque psoriasis with a control period duration ranging from 12 to 24</w:t>
      </w:r>
      <w:r w:rsidRPr="001775D9">
        <w:rPr>
          <w:szCs w:val="22"/>
        </w:rPr>
        <w:t> </w:t>
      </w:r>
      <w:r w:rsidRPr="001775D9">
        <w:rPr>
          <w:szCs w:val="22"/>
          <w:lang w:eastAsia="en-GB"/>
        </w:rPr>
        <w:t>weeks, ALT elevations ≥</w:t>
      </w:r>
      <w:r w:rsidRPr="001775D9">
        <w:rPr>
          <w:szCs w:val="22"/>
        </w:rPr>
        <w:t> </w:t>
      </w:r>
      <w:r w:rsidRPr="001775D9">
        <w:rPr>
          <w:szCs w:val="22"/>
          <w:lang w:eastAsia="en-GB"/>
        </w:rPr>
        <w:t xml:space="preserve">3 </w:t>
      </w:r>
      <w:r w:rsidR="00161AA8" w:rsidRPr="001775D9">
        <w:rPr>
          <w:szCs w:val="22"/>
          <w:lang w:eastAsia="en-GB"/>
        </w:rPr>
        <w:t>×</w:t>
      </w:r>
      <w:r w:rsidRPr="001775D9">
        <w:rPr>
          <w:szCs w:val="22"/>
          <w:lang w:eastAsia="en-GB"/>
        </w:rPr>
        <w:t xml:space="preserve"> ULN occurred in 1.8% of </w:t>
      </w:r>
      <w:r w:rsidRPr="001775D9">
        <w:rPr>
          <w:rFonts w:eastAsia="Times New Roman"/>
          <w:color w:val="000000"/>
          <w:szCs w:val="22"/>
        </w:rPr>
        <w:t>adalimumab</w:t>
      </w:r>
      <w:r w:rsidR="00DF23DA" w:rsidRPr="001775D9">
        <w:rPr>
          <w:szCs w:val="22"/>
          <w:lang w:eastAsia="en-GB"/>
        </w:rPr>
        <w:noBreakHyphen/>
      </w:r>
      <w:r w:rsidRPr="001775D9">
        <w:rPr>
          <w:szCs w:val="22"/>
          <w:lang w:eastAsia="en-GB"/>
        </w:rPr>
        <w:t xml:space="preserve">treated patients and 1.8% of control-treated patients. </w:t>
      </w:r>
    </w:p>
    <w:p w14:paraId="49E475F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C8D5E63" w14:textId="4D49369A"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No ALT elevations ≥ 3 </w:t>
      </w:r>
      <w:r w:rsidR="00161AA8" w:rsidRPr="001775D9">
        <w:rPr>
          <w:szCs w:val="22"/>
          <w:lang w:eastAsia="en-GB"/>
        </w:rPr>
        <w:t>×</w:t>
      </w:r>
      <w:r w:rsidRPr="001775D9">
        <w:rPr>
          <w:szCs w:val="22"/>
          <w:lang w:eastAsia="en-GB"/>
        </w:rPr>
        <w:t xml:space="preserve"> ULN occurred in the </w:t>
      </w:r>
      <w:r w:rsidRPr="001775D9">
        <w:rPr>
          <w:color w:val="000000"/>
          <w:szCs w:val="22"/>
          <w:lang w:eastAsia="en-GB"/>
        </w:rPr>
        <w:t>phase</w:t>
      </w:r>
      <w:r w:rsidRPr="001775D9">
        <w:rPr>
          <w:szCs w:val="22"/>
          <w:lang w:eastAsia="en-GB"/>
        </w:rPr>
        <w:t xml:space="preserve"> 3 trial of </w:t>
      </w:r>
      <w:r w:rsidRPr="001775D9">
        <w:rPr>
          <w:rFonts w:eastAsia="Times New Roman"/>
          <w:color w:val="000000"/>
          <w:szCs w:val="22"/>
        </w:rPr>
        <w:t>adalimumab</w:t>
      </w:r>
      <w:r w:rsidRPr="001775D9">
        <w:rPr>
          <w:szCs w:val="22"/>
          <w:lang w:eastAsia="en-GB"/>
        </w:rPr>
        <w:t xml:space="preserve"> in paediatric patients with plaque psoriasis.</w:t>
      </w:r>
    </w:p>
    <w:p w14:paraId="366AF2E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FF45F54" w14:textId="0CC09B26"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controlled trials of adalimumab (initial doses of 160 mg at week 0 and 80 mg at week 2, followed by 40 mg every week starting at week 4), in patients with hidradenitis suppurativa with a control period duration ranging from 12 to 16 weeks, ALT elevations ≥ 3 </w:t>
      </w:r>
      <w:r w:rsidR="00161AA8" w:rsidRPr="001775D9">
        <w:rPr>
          <w:szCs w:val="22"/>
          <w:lang w:eastAsia="en-GB"/>
        </w:rPr>
        <w:t>×</w:t>
      </w:r>
      <w:r w:rsidRPr="001775D9">
        <w:rPr>
          <w:szCs w:val="22"/>
          <w:lang w:eastAsia="en-GB"/>
        </w:rPr>
        <w:t xml:space="preserve"> ULN occurred in 0.3% of adalimumab-treated patients and 0.6% of control-treated patients.</w:t>
      </w:r>
    </w:p>
    <w:p w14:paraId="1CF9FF3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DBFE74C" w14:textId="068F7E48"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controlled trials of adalimumab (initial doses of 80 mg at week 0 followed by 40 mg every other week starting at week 1) in adult patients with uveitis up to 80 weeks with a median exposure of 166.5</w:t>
      </w:r>
      <w:r w:rsidR="00161AA8" w:rsidRPr="001775D9">
        <w:rPr>
          <w:szCs w:val="22"/>
          <w:lang w:eastAsia="en-GB"/>
        </w:rPr>
        <w:t> </w:t>
      </w:r>
      <w:r w:rsidRPr="001775D9">
        <w:rPr>
          <w:szCs w:val="22"/>
          <w:lang w:eastAsia="en-GB"/>
        </w:rPr>
        <w:t>days and 105.0 days in adalimumab-treated and control-</w:t>
      </w:r>
      <w:r w:rsidRPr="001775D9">
        <w:rPr>
          <w:rFonts w:eastAsia="TimesNewRomanPSMT"/>
          <w:szCs w:val="22"/>
          <w:lang w:eastAsia="en-GB"/>
        </w:rPr>
        <w:t>treated patients, respectively, ALT elevations ≥ 3 </w:t>
      </w:r>
      <w:r w:rsidR="00161AA8" w:rsidRPr="001775D9">
        <w:rPr>
          <w:rFonts w:eastAsia="TimesNewRomanPSMT"/>
          <w:szCs w:val="22"/>
          <w:lang w:eastAsia="en-GB"/>
        </w:rPr>
        <w:t>×</w:t>
      </w:r>
      <w:r w:rsidRPr="001775D9">
        <w:rPr>
          <w:rFonts w:eastAsia="TimesNewRomanPSMT"/>
          <w:szCs w:val="22"/>
          <w:lang w:eastAsia="en-GB"/>
        </w:rPr>
        <w:t> ULN</w:t>
      </w:r>
      <w:r w:rsidRPr="001775D9">
        <w:rPr>
          <w:szCs w:val="22"/>
          <w:lang w:eastAsia="en-GB"/>
        </w:rPr>
        <w:t xml:space="preserve"> occurred in 2.4% of adalimumab-treated patients and 2.4% of control-treated patients.</w:t>
      </w:r>
    </w:p>
    <w:p w14:paraId="0619290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E48946B" w14:textId="17C68DE9"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the controlled phase 3 trial of adalimumab in patients with paediatric ulcerative colitis (N</w:t>
      </w:r>
      <w:r w:rsidR="00676F07" w:rsidRPr="001775D9">
        <w:rPr>
          <w:szCs w:val="22"/>
          <w:lang w:eastAsia="en-GB"/>
        </w:rPr>
        <w:t> </w:t>
      </w:r>
      <w:r w:rsidRPr="001775D9">
        <w:rPr>
          <w:szCs w:val="22"/>
          <w:lang w:eastAsia="en-GB"/>
        </w:rPr>
        <w:t>=</w:t>
      </w:r>
      <w:r w:rsidR="00676F07" w:rsidRPr="001775D9">
        <w:rPr>
          <w:szCs w:val="22"/>
          <w:lang w:eastAsia="en-GB"/>
        </w:rPr>
        <w:t> </w:t>
      </w:r>
      <w:r w:rsidRPr="001775D9">
        <w:rPr>
          <w:szCs w:val="22"/>
          <w:lang w:eastAsia="en-GB"/>
        </w:rPr>
        <w:t>93) which evaluated efficacy and safety of a maintenance dose of 0.6 mg/kg (maximum of 40 mg) every other week (N</w:t>
      </w:r>
      <w:r w:rsidR="00676F07" w:rsidRPr="001775D9">
        <w:rPr>
          <w:szCs w:val="22"/>
          <w:lang w:eastAsia="en-GB"/>
        </w:rPr>
        <w:t> </w:t>
      </w:r>
      <w:r w:rsidRPr="001775D9">
        <w:rPr>
          <w:szCs w:val="22"/>
          <w:lang w:eastAsia="en-GB"/>
        </w:rPr>
        <w:t>=</w:t>
      </w:r>
      <w:r w:rsidR="00676F07" w:rsidRPr="001775D9">
        <w:rPr>
          <w:szCs w:val="22"/>
          <w:lang w:eastAsia="en-GB"/>
        </w:rPr>
        <w:t> </w:t>
      </w:r>
      <w:r w:rsidRPr="001775D9">
        <w:rPr>
          <w:szCs w:val="22"/>
          <w:lang w:eastAsia="en-GB"/>
        </w:rPr>
        <w:t>31) and a maintenance dose of 0.6 mg/kg (maximum of 40 mg) every week (N</w:t>
      </w:r>
      <w:r w:rsidR="00676F07" w:rsidRPr="001775D9">
        <w:rPr>
          <w:szCs w:val="22"/>
          <w:lang w:eastAsia="en-GB"/>
        </w:rPr>
        <w:t> </w:t>
      </w:r>
      <w:r w:rsidRPr="001775D9">
        <w:rPr>
          <w:szCs w:val="22"/>
          <w:lang w:eastAsia="en-GB"/>
        </w:rPr>
        <w:t>=</w:t>
      </w:r>
      <w:r w:rsidR="00676F07" w:rsidRPr="001775D9">
        <w:rPr>
          <w:szCs w:val="22"/>
          <w:lang w:eastAsia="en-GB"/>
        </w:rPr>
        <w:t> </w:t>
      </w:r>
      <w:r w:rsidRPr="001775D9">
        <w:rPr>
          <w:szCs w:val="22"/>
          <w:lang w:eastAsia="en-GB"/>
        </w:rPr>
        <w:t>32), following body weight adjusted induction dosing of 2.4</w:t>
      </w:r>
      <w:r w:rsidR="00676F07" w:rsidRPr="001775D9">
        <w:rPr>
          <w:szCs w:val="22"/>
          <w:lang w:eastAsia="en-GB"/>
        </w:rPr>
        <w:t> </w:t>
      </w:r>
      <w:r w:rsidRPr="001775D9">
        <w:rPr>
          <w:szCs w:val="22"/>
          <w:lang w:eastAsia="en-GB"/>
        </w:rPr>
        <w:t>mg/kg (maximum of 160 mg) at week 0 and week 1, and 1.2</w:t>
      </w:r>
      <w:r w:rsidR="00676F07" w:rsidRPr="001775D9">
        <w:rPr>
          <w:szCs w:val="22"/>
          <w:lang w:eastAsia="en-GB"/>
        </w:rPr>
        <w:t> </w:t>
      </w:r>
      <w:r w:rsidRPr="001775D9">
        <w:rPr>
          <w:szCs w:val="22"/>
          <w:lang w:eastAsia="en-GB"/>
        </w:rPr>
        <w:t>mg/kg (maximum of 80 mg) at week</w:t>
      </w:r>
      <w:r w:rsidRPr="001775D9">
        <w:rPr>
          <w:szCs w:val="22"/>
        </w:rPr>
        <w:t> </w:t>
      </w:r>
      <w:r w:rsidRPr="001775D9">
        <w:rPr>
          <w:szCs w:val="22"/>
          <w:lang w:eastAsia="en-GB"/>
        </w:rPr>
        <w:t>2 (N</w:t>
      </w:r>
      <w:r w:rsidR="00676F07" w:rsidRPr="001775D9">
        <w:rPr>
          <w:szCs w:val="22"/>
          <w:lang w:eastAsia="en-GB"/>
        </w:rPr>
        <w:t> </w:t>
      </w:r>
      <w:r w:rsidRPr="001775D9">
        <w:rPr>
          <w:szCs w:val="22"/>
          <w:lang w:eastAsia="en-GB"/>
        </w:rPr>
        <w:t>=</w:t>
      </w:r>
      <w:r w:rsidR="00676F07" w:rsidRPr="001775D9">
        <w:rPr>
          <w:szCs w:val="22"/>
          <w:lang w:eastAsia="en-GB"/>
        </w:rPr>
        <w:t> </w:t>
      </w:r>
      <w:r w:rsidRPr="001775D9">
        <w:rPr>
          <w:szCs w:val="22"/>
          <w:lang w:eastAsia="en-GB"/>
        </w:rPr>
        <w:t>63), or an induction dose of 2.4 mg/kg (maximum of 160 mg) at week 0, placebo at week 1, and 1.2 mg/kg (maximum of 80 mg) at week 2 (N</w:t>
      </w:r>
      <w:r w:rsidR="00676F07" w:rsidRPr="001775D9">
        <w:rPr>
          <w:szCs w:val="22"/>
          <w:lang w:eastAsia="en-GB"/>
        </w:rPr>
        <w:t> </w:t>
      </w:r>
      <w:r w:rsidRPr="001775D9">
        <w:rPr>
          <w:szCs w:val="22"/>
          <w:lang w:eastAsia="en-GB"/>
        </w:rPr>
        <w:t>=</w:t>
      </w:r>
      <w:r w:rsidR="00676F07" w:rsidRPr="001775D9">
        <w:rPr>
          <w:szCs w:val="22"/>
          <w:lang w:eastAsia="en-GB"/>
        </w:rPr>
        <w:t> </w:t>
      </w:r>
      <w:r w:rsidRPr="001775D9">
        <w:rPr>
          <w:szCs w:val="22"/>
          <w:lang w:eastAsia="en-GB"/>
        </w:rPr>
        <w:t xml:space="preserve">30), ALT elevations ≥ 3 </w:t>
      </w:r>
      <w:r w:rsidR="00676F07" w:rsidRPr="001775D9">
        <w:rPr>
          <w:szCs w:val="22"/>
          <w:lang w:eastAsia="en-GB"/>
        </w:rPr>
        <w:t>×</w:t>
      </w:r>
      <w:r w:rsidRPr="001775D9">
        <w:rPr>
          <w:szCs w:val="22"/>
          <w:lang w:eastAsia="en-GB"/>
        </w:rPr>
        <w:t xml:space="preserve"> ULN occurred in 1.1% (1/93) of patients.</w:t>
      </w:r>
    </w:p>
    <w:p w14:paraId="1172854C"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1705F77" w14:textId="373EDE8A"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Across all indications in clinical trials patients with raised ALT were asymptomatic and in most cases elevations were transient and resolved on continued treatment. However, there have also been post</w:t>
      </w:r>
      <w:r w:rsidR="00676F07" w:rsidRPr="001775D9">
        <w:rPr>
          <w:szCs w:val="22"/>
          <w:lang w:eastAsia="en-GB"/>
        </w:rPr>
        <w:noBreakHyphen/>
      </w:r>
      <w:r w:rsidRPr="001775D9">
        <w:rPr>
          <w:szCs w:val="22"/>
          <w:lang w:eastAsia="en-GB"/>
        </w:rPr>
        <w:t xml:space="preserve">marketing reports of liver failure as well as less severe liver disorders that may precede liver failure, such as hepatitis including autoimmune hepatitis in patients receiving adalimumab. </w:t>
      </w:r>
    </w:p>
    <w:p w14:paraId="7F0B548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0B6F2CB"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Concurrent treatment with azathioprine/6-mercaptopurine </w:t>
      </w:r>
    </w:p>
    <w:p w14:paraId="358D4CA9"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08C2AD1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adult Crohn’s disease studies, higher incidences of malignant and serious infection-related adverse events were seen with the combination of </w:t>
      </w:r>
      <w:r w:rsidRPr="001775D9">
        <w:rPr>
          <w:rFonts w:eastAsia="Times New Roman"/>
          <w:color w:val="000000"/>
          <w:szCs w:val="22"/>
        </w:rPr>
        <w:t>adalimumab</w:t>
      </w:r>
      <w:r w:rsidRPr="001775D9">
        <w:rPr>
          <w:szCs w:val="22"/>
          <w:lang w:eastAsia="en-GB"/>
        </w:rPr>
        <w:t xml:space="preserve"> and azathioprine/6-mercaptopurine compared with </w:t>
      </w:r>
      <w:r w:rsidRPr="001775D9">
        <w:rPr>
          <w:rFonts w:eastAsia="Times New Roman"/>
          <w:color w:val="000000"/>
          <w:szCs w:val="22"/>
        </w:rPr>
        <w:t>adalimumab</w:t>
      </w:r>
      <w:r w:rsidRPr="001775D9">
        <w:rPr>
          <w:szCs w:val="22"/>
          <w:lang w:eastAsia="en-GB"/>
        </w:rPr>
        <w:t xml:space="preserve"> alone. </w:t>
      </w:r>
    </w:p>
    <w:p w14:paraId="2F76051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DAE5218"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Reporting of suspected adverse reactions </w:t>
      </w:r>
    </w:p>
    <w:p w14:paraId="03903D89" w14:textId="77777777" w:rsidR="001778AA" w:rsidRPr="001775D9" w:rsidRDefault="001778AA" w:rsidP="001778AA">
      <w:pPr>
        <w:keepNext/>
        <w:spacing w:line="240" w:lineRule="auto"/>
        <w:rPr>
          <w:szCs w:val="22"/>
          <w:lang w:eastAsia="en-GB"/>
        </w:rPr>
      </w:pPr>
    </w:p>
    <w:p w14:paraId="4F9569F0" w14:textId="0027AFFA" w:rsidR="001778AA" w:rsidRPr="001775D9" w:rsidRDefault="001778AA" w:rsidP="001778AA">
      <w:pPr>
        <w:spacing w:line="240" w:lineRule="auto"/>
        <w:rPr>
          <w:color w:val="000000"/>
          <w:szCs w:val="22"/>
          <w:lang w:eastAsia="en-GB"/>
        </w:rPr>
      </w:pPr>
      <w:r w:rsidRPr="001775D9">
        <w:rPr>
          <w:szCs w:val="22"/>
          <w:lang w:eastAsia="en-GB"/>
        </w:rPr>
        <w:t>Reporting suspected adverse reactions after authorisation of the medicinal product is important. It allows continued monitoring of the benefit/risk balance of the medicinal product. Healthcare</w:t>
      </w:r>
      <w:r w:rsidRPr="001775D9">
        <w:rPr>
          <w:color w:val="000000"/>
          <w:szCs w:val="22"/>
          <w:lang w:eastAsia="en-GB"/>
        </w:rPr>
        <w:t xml:space="preserve"> professionals are asked to report any suspected adverse reactions via </w:t>
      </w:r>
      <w:r>
        <w:rPr>
          <w:color w:val="000000"/>
          <w:szCs w:val="22"/>
          <w:highlight w:val="lightGray"/>
          <w:lang w:eastAsia="en-GB"/>
        </w:rPr>
        <w:t xml:space="preserve">the national reporting system listed in </w:t>
      </w:r>
      <w:hyperlink r:id="rId19" w:history="1">
        <w:r>
          <w:rPr>
            <w:rStyle w:val="Hyperlink"/>
            <w:szCs w:val="22"/>
            <w:highlight w:val="lightGray"/>
          </w:rPr>
          <w:t>Appendix V</w:t>
        </w:r>
      </w:hyperlink>
      <w:r w:rsidRPr="001775D9">
        <w:rPr>
          <w:color w:val="000000"/>
          <w:szCs w:val="22"/>
          <w:lang w:eastAsia="en-GB"/>
        </w:rPr>
        <w:t>.</w:t>
      </w:r>
    </w:p>
    <w:p w14:paraId="320E0CBB" w14:textId="77777777" w:rsidR="001778AA" w:rsidRPr="001775D9" w:rsidRDefault="001778AA" w:rsidP="001778AA">
      <w:pPr>
        <w:spacing w:line="240" w:lineRule="auto"/>
        <w:rPr>
          <w:szCs w:val="22"/>
        </w:rPr>
      </w:pPr>
    </w:p>
    <w:p w14:paraId="600B3507" w14:textId="01EC2522" w:rsidR="001778AA" w:rsidRPr="001775D9" w:rsidRDefault="001778AA"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4.9</w:t>
      </w:r>
      <w:r w:rsidRPr="001775D9">
        <w:rPr>
          <w:b/>
          <w:bCs/>
          <w:color w:val="000000"/>
          <w:szCs w:val="22"/>
          <w:lang w:eastAsia="en-GB"/>
        </w:rPr>
        <w:tab/>
        <w:t xml:space="preserve">Overdose </w:t>
      </w:r>
    </w:p>
    <w:p w14:paraId="28FE383E"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3BC06F2D"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No dose-limiting toxicity was observed during clinical trials. The highest dose level evaluated has been multiple intravenous doses of 10</w:t>
      </w:r>
      <w:r w:rsidRPr="001775D9">
        <w:rPr>
          <w:szCs w:val="22"/>
        </w:rPr>
        <w:t> </w:t>
      </w:r>
      <w:r w:rsidRPr="001775D9">
        <w:rPr>
          <w:color w:val="000000"/>
          <w:szCs w:val="22"/>
          <w:lang w:eastAsia="en-GB"/>
        </w:rPr>
        <w:t xml:space="preserve">mg/kg, which is approximately 15 times the recommended dose. </w:t>
      </w:r>
    </w:p>
    <w:p w14:paraId="6075E437"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25C10E23"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7A482DBA" w14:textId="5B594A63" w:rsidR="001778AA" w:rsidRPr="001775D9" w:rsidRDefault="001778AA"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5.</w:t>
      </w:r>
      <w:r w:rsidRPr="001775D9">
        <w:rPr>
          <w:b/>
          <w:bCs/>
          <w:color w:val="000000"/>
          <w:szCs w:val="22"/>
          <w:lang w:eastAsia="en-GB"/>
        </w:rPr>
        <w:tab/>
        <w:t xml:space="preserve">PHARMACOLOGICAL PROPERTIES </w:t>
      </w:r>
    </w:p>
    <w:p w14:paraId="3E0F30AE" w14:textId="77777777" w:rsidR="001778AA" w:rsidRPr="001775D9" w:rsidRDefault="001778AA" w:rsidP="001778AA">
      <w:pPr>
        <w:keepNext/>
        <w:tabs>
          <w:tab w:val="clear" w:pos="567"/>
        </w:tabs>
        <w:autoSpaceDE w:val="0"/>
        <w:autoSpaceDN w:val="0"/>
        <w:adjustRightInd w:val="0"/>
        <w:spacing w:line="240" w:lineRule="auto"/>
        <w:rPr>
          <w:b/>
          <w:bCs/>
          <w:color w:val="000000"/>
          <w:szCs w:val="22"/>
          <w:lang w:eastAsia="en-GB"/>
        </w:rPr>
      </w:pPr>
    </w:p>
    <w:p w14:paraId="67CB63A4" w14:textId="0B87AB49" w:rsidR="001778AA" w:rsidRPr="001775D9" w:rsidRDefault="001778AA"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5.1</w:t>
      </w:r>
      <w:r w:rsidRPr="001775D9">
        <w:rPr>
          <w:b/>
          <w:bCs/>
          <w:color w:val="000000"/>
          <w:szCs w:val="22"/>
          <w:lang w:eastAsia="en-GB"/>
        </w:rPr>
        <w:tab/>
        <w:t xml:space="preserve">Pharmacodynamic properties </w:t>
      </w:r>
    </w:p>
    <w:p w14:paraId="00BA8205"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0E1A9B76"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Pharmacotherapeutic group: Immunosuppressants, </w:t>
      </w:r>
      <w:r w:rsidRPr="001775D9">
        <w:rPr>
          <w:szCs w:val="22"/>
        </w:rPr>
        <w:t>tumour necrosis factor alpha (TNFα) inhibitors</w:t>
      </w:r>
      <w:r w:rsidRPr="001775D9">
        <w:rPr>
          <w:szCs w:val="22"/>
          <w:lang w:eastAsia="en-GB"/>
        </w:rPr>
        <w:t xml:space="preserve">. ATC code: L04AB04 </w:t>
      </w:r>
    </w:p>
    <w:p w14:paraId="2DCAC6B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7359548" w14:textId="77777777" w:rsidR="001778AA" w:rsidRPr="001775D9" w:rsidRDefault="001778AA" w:rsidP="001778AA">
      <w:pPr>
        <w:tabs>
          <w:tab w:val="clear" w:pos="567"/>
        </w:tabs>
        <w:autoSpaceDE w:val="0"/>
        <w:autoSpaceDN w:val="0"/>
        <w:adjustRightInd w:val="0"/>
        <w:spacing w:line="240" w:lineRule="auto"/>
        <w:rPr>
          <w:lang w:eastAsia="en-GB"/>
        </w:rPr>
      </w:pPr>
      <w:r w:rsidRPr="001775D9">
        <w:rPr>
          <w:szCs w:val="22"/>
          <w:lang w:eastAsia="en-GB"/>
        </w:rPr>
        <w:t xml:space="preserve">AMGEVITA is a biosimilar medicinal product. Detailed information is available on the website of the European Medicines Agency </w:t>
      </w:r>
      <w:hyperlink r:id="rId20" w:history="1">
        <w:r w:rsidRPr="001775D9">
          <w:rPr>
            <w:rStyle w:val="Hyperlink"/>
            <w:szCs w:val="22"/>
          </w:rPr>
          <w:t>http://www.ema.europa.eu</w:t>
        </w:r>
      </w:hyperlink>
      <w:r w:rsidRPr="001775D9">
        <w:rPr>
          <w:rStyle w:val="Hyperlink"/>
          <w:color w:val="auto"/>
          <w:szCs w:val="22"/>
          <w:u w:val="none"/>
        </w:rPr>
        <w:t>.</w:t>
      </w:r>
    </w:p>
    <w:p w14:paraId="3DACE1F5" w14:textId="77777777" w:rsidR="001778AA" w:rsidRPr="001775D9" w:rsidRDefault="001778AA" w:rsidP="001778AA">
      <w:pPr>
        <w:tabs>
          <w:tab w:val="clear" w:pos="567"/>
        </w:tabs>
        <w:autoSpaceDE w:val="0"/>
        <w:autoSpaceDN w:val="0"/>
        <w:adjustRightInd w:val="0"/>
        <w:spacing w:line="240" w:lineRule="auto"/>
        <w:rPr>
          <w:lang w:eastAsia="en-GB"/>
        </w:rPr>
      </w:pPr>
    </w:p>
    <w:p w14:paraId="2C653A4A"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Mechanism of action </w:t>
      </w:r>
    </w:p>
    <w:p w14:paraId="4279EAE5"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5A352E01"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Adalimumab binds specifically to TNF and neutralises the biological function of TNF by blocking its interaction with the p55 and p75 cell surface TNF receptors. </w:t>
      </w:r>
    </w:p>
    <w:p w14:paraId="4532BBE6"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465F30BC"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Adalimumab also modulates biological responses that are induced or regulated by TNF, including changes in the levels of adhesion molecules responsible for leukocyte migration (ELAM-1, VCAM-1, and ICAM-1 with an IC50 of 0.1-0.2 nM). </w:t>
      </w:r>
    </w:p>
    <w:p w14:paraId="4CDD6F64"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66073A06"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Pharmacodynamic effects </w:t>
      </w:r>
    </w:p>
    <w:p w14:paraId="3E49EB32"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34D0B009"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After treatment </w:t>
      </w:r>
      <w:r w:rsidRPr="001775D9">
        <w:rPr>
          <w:szCs w:val="22"/>
          <w:lang w:eastAsia="en-GB"/>
        </w:rPr>
        <w:t xml:space="preserve">with </w:t>
      </w:r>
      <w:r w:rsidRPr="001775D9">
        <w:rPr>
          <w:rFonts w:eastAsia="Times New Roman"/>
          <w:color w:val="000000"/>
          <w:szCs w:val="22"/>
        </w:rPr>
        <w:t>adalimumab</w:t>
      </w:r>
      <w:r w:rsidRPr="001775D9">
        <w:rPr>
          <w:szCs w:val="22"/>
          <w:lang w:eastAsia="en-GB"/>
        </w:rPr>
        <w:t xml:space="preserve">, a rapid decrease in levels of acute phase reactants of inflammation (C-reactive protein (CRP) and erythrocyte sedimentation rate (ESR)) and serum cytokines (IL-6) was observed, compared to baseline in patients with rheumatoid arthritis. Serum levels of matrix metalloproteinases (MMP-1 and MMP-3) that produce tissue remodelling responsible for cartilage destruction were also decreased after </w:t>
      </w:r>
      <w:r w:rsidRPr="001775D9">
        <w:rPr>
          <w:rFonts w:eastAsia="Times New Roman"/>
          <w:color w:val="000000"/>
          <w:szCs w:val="22"/>
        </w:rPr>
        <w:t>adalimumab</w:t>
      </w:r>
      <w:r w:rsidRPr="001775D9">
        <w:rPr>
          <w:szCs w:val="22"/>
          <w:lang w:eastAsia="en-GB"/>
        </w:rPr>
        <w:t xml:space="preserve"> administration. Patients treated with </w:t>
      </w:r>
      <w:r w:rsidRPr="001775D9">
        <w:rPr>
          <w:rFonts w:eastAsia="Times New Roman"/>
          <w:color w:val="000000"/>
          <w:szCs w:val="22"/>
        </w:rPr>
        <w:t>adalimumab</w:t>
      </w:r>
      <w:r w:rsidRPr="001775D9">
        <w:rPr>
          <w:szCs w:val="22"/>
          <w:lang w:eastAsia="en-GB"/>
        </w:rPr>
        <w:t xml:space="preserve"> usually experienced improvement in haematological signs of chronic inflammation. </w:t>
      </w:r>
    </w:p>
    <w:p w14:paraId="44FE1F1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3FA81D3" w14:textId="6EC2C88A"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 rapid decrease in CRP levels was also observed in patients with polyarticular juvenile idiopathic arthritis, Crohn's disease, ulcerative colitis and hidradenitis suppurativa after treatment with </w:t>
      </w:r>
      <w:r w:rsidRPr="001775D9">
        <w:rPr>
          <w:rFonts w:eastAsia="Times New Roman"/>
          <w:color w:val="000000"/>
          <w:szCs w:val="22"/>
        </w:rPr>
        <w:t>adalimumab</w:t>
      </w:r>
      <w:r w:rsidRPr="001775D9">
        <w:rPr>
          <w:szCs w:val="22"/>
          <w:lang w:eastAsia="en-GB"/>
        </w:rPr>
        <w:t>. In patients with Crohn’s disease, a reduction of the number of cells expressing inflammatory markers in the colon including a significant reduction of expression of TNFα was seen. Endoscopic studies in intestinal mucosa have shown evidence of mucosal healing in adalimumab</w:t>
      </w:r>
      <w:r w:rsidR="000956C6" w:rsidRPr="001775D9">
        <w:rPr>
          <w:szCs w:val="22"/>
          <w:lang w:eastAsia="en-GB"/>
        </w:rPr>
        <w:noBreakHyphen/>
      </w:r>
      <w:r w:rsidRPr="001775D9">
        <w:rPr>
          <w:szCs w:val="22"/>
          <w:lang w:eastAsia="en-GB"/>
        </w:rPr>
        <w:t xml:space="preserve">treated patients. </w:t>
      </w:r>
    </w:p>
    <w:p w14:paraId="1C5373C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88CE033"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Clinical efficacy and safety </w:t>
      </w:r>
    </w:p>
    <w:p w14:paraId="5F81CEA1"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p>
    <w:p w14:paraId="11E0E8FB" w14:textId="77777777" w:rsidR="001778AA" w:rsidRPr="001775D9" w:rsidRDefault="001778AA" w:rsidP="001778AA">
      <w:pPr>
        <w:tabs>
          <w:tab w:val="clear" w:pos="567"/>
        </w:tabs>
        <w:autoSpaceDE w:val="0"/>
        <w:autoSpaceDN w:val="0"/>
        <w:adjustRightInd w:val="0"/>
        <w:spacing w:line="240" w:lineRule="auto"/>
        <w:rPr>
          <w:i/>
          <w:szCs w:val="22"/>
          <w:lang w:eastAsia="en-GB"/>
        </w:rPr>
      </w:pPr>
      <w:r w:rsidRPr="001775D9">
        <w:rPr>
          <w:i/>
          <w:szCs w:val="22"/>
          <w:lang w:eastAsia="en-GB"/>
        </w:rPr>
        <w:t xml:space="preserve">Rheumatoid arthritis </w:t>
      </w:r>
    </w:p>
    <w:p w14:paraId="7C56ADA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45038DB" w14:textId="419438BD" w:rsidR="001778AA" w:rsidRPr="001775D9" w:rsidRDefault="001778AA" w:rsidP="001778AA">
      <w:pPr>
        <w:tabs>
          <w:tab w:val="clear" w:pos="567"/>
        </w:tabs>
        <w:autoSpaceDE w:val="0"/>
        <w:autoSpaceDN w:val="0"/>
        <w:adjustRightInd w:val="0"/>
        <w:spacing w:line="240" w:lineRule="auto"/>
        <w:rPr>
          <w:szCs w:val="22"/>
          <w:lang w:eastAsia="ja-JP"/>
        </w:rPr>
      </w:pPr>
      <w:r w:rsidRPr="001775D9">
        <w:rPr>
          <w:rFonts w:eastAsia="Times New Roman"/>
          <w:color w:val="000000"/>
          <w:szCs w:val="22"/>
        </w:rPr>
        <w:t>Adalimumab</w:t>
      </w:r>
      <w:r w:rsidRPr="001775D9">
        <w:rPr>
          <w:szCs w:val="22"/>
          <w:lang w:eastAsia="en-GB"/>
        </w:rPr>
        <w:t xml:space="preserve"> was evaluated in over 3</w:t>
      </w:r>
      <w:r w:rsidR="000956C6" w:rsidRPr="001775D9">
        <w:rPr>
          <w:szCs w:val="22"/>
          <w:lang w:eastAsia="en-GB"/>
        </w:rPr>
        <w:t> </w:t>
      </w:r>
      <w:r w:rsidRPr="001775D9">
        <w:rPr>
          <w:szCs w:val="22"/>
          <w:lang w:eastAsia="en-GB"/>
        </w:rPr>
        <w:t xml:space="preserve">000 patients in all rheumatoid arthritis clinical trials. The efficacy and safety of </w:t>
      </w:r>
      <w:r w:rsidRPr="001775D9">
        <w:rPr>
          <w:rFonts w:eastAsia="Times New Roman"/>
          <w:color w:val="000000"/>
          <w:szCs w:val="22"/>
        </w:rPr>
        <w:t>adalimumab</w:t>
      </w:r>
      <w:r w:rsidRPr="001775D9">
        <w:rPr>
          <w:szCs w:val="22"/>
          <w:lang w:eastAsia="en-GB"/>
        </w:rPr>
        <w:t xml:space="preserve"> were assessed in five randomised, double-blind and well-controlled studies. Some patients were treated for up to 120 months duration. </w:t>
      </w:r>
    </w:p>
    <w:p w14:paraId="34A2001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5EAB76B"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lang w:eastAsia="en-GB"/>
        </w:rPr>
        <w:t>RA study I evaluated 271 patients with moderately to severely active rheumatoid arthritis who were ≥</w:t>
      </w:r>
      <w:r w:rsidRPr="001775D9">
        <w:rPr>
          <w:szCs w:val="22"/>
        </w:rPr>
        <w:t> </w:t>
      </w:r>
      <w:r w:rsidRPr="001775D9">
        <w:rPr>
          <w:szCs w:val="22"/>
          <w:lang w:eastAsia="en-GB"/>
        </w:rPr>
        <w:t>18 years old, had failed therapy with at least one disease-modifying, anti-rheumatic drug and had insufficient efficacy with methotrexate at doses of 12.5 to 25</w:t>
      </w:r>
      <w:r w:rsidRPr="001775D9">
        <w:rPr>
          <w:szCs w:val="22"/>
        </w:rPr>
        <w:t> </w:t>
      </w:r>
      <w:r w:rsidRPr="001775D9">
        <w:rPr>
          <w:szCs w:val="22"/>
          <w:lang w:eastAsia="en-GB"/>
        </w:rPr>
        <w:t>mg (10</w:t>
      </w:r>
      <w:r w:rsidRPr="001775D9">
        <w:rPr>
          <w:szCs w:val="22"/>
        </w:rPr>
        <w:t> </w:t>
      </w:r>
      <w:r w:rsidRPr="001775D9">
        <w:rPr>
          <w:szCs w:val="22"/>
          <w:lang w:eastAsia="en-GB"/>
        </w:rPr>
        <w:t>mg if methotrexate-intolerant) every week and whose methotrexate dose remained constant at 10 to 25</w:t>
      </w:r>
      <w:r w:rsidRPr="001775D9">
        <w:rPr>
          <w:szCs w:val="22"/>
        </w:rPr>
        <w:t> </w:t>
      </w:r>
      <w:r w:rsidRPr="001775D9">
        <w:rPr>
          <w:szCs w:val="22"/>
          <w:lang w:eastAsia="en-GB"/>
        </w:rPr>
        <w:t>mg every week. Doses of 20, 40 or 80</w:t>
      </w:r>
      <w:r w:rsidRPr="001775D9">
        <w:rPr>
          <w:szCs w:val="22"/>
        </w:rPr>
        <w:t> </w:t>
      </w:r>
      <w:r w:rsidRPr="001775D9">
        <w:rPr>
          <w:szCs w:val="22"/>
          <w:lang w:eastAsia="en-GB"/>
        </w:rPr>
        <w:t xml:space="preserve">mg of </w:t>
      </w:r>
      <w:r w:rsidRPr="001775D9">
        <w:rPr>
          <w:rFonts w:eastAsia="Times New Roman"/>
          <w:color w:val="000000"/>
          <w:szCs w:val="22"/>
        </w:rPr>
        <w:t>adalimumab</w:t>
      </w:r>
      <w:r w:rsidRPr="001775D9">
        <w:rPr>
          <w:szCs w:val="22"/>
          <w:lang w:eastAsia="en-GB"/>
        </w:rPr>
        <w:t xml:space="preserve"> or placebo were given every other week for 24 weeks.</w:t>
      </w:r>
    </w:p>
    <w:p w14:paraId="588B52C5"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73F333AB"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lang w:eastAsia="en-GB"/>
        </w:rPr>
        <w:t>RA study II evaluated 544 patients with moderately to severely active rheumatoid arthritis who were ≥</w:t>
      </w:r>
      <w:r w:rsidRPr="001775D9">
        <w:rPr>
          <w:szCs w:val="22"/>
        </w:rPr>
        <w:t> </w:t>
      </w:r>
      <w:r w:rsidRPr="001775D9">
        <w:rPr>
          <w:szCs w:val="22"/>
          <w:lang w:eastAsia="en-GB"/>
        </w:rPr>
        <w:t>18 years old and had failed therapy with at least one disease-modifying, anti-rheumatic drugs. Doses of 20 or 40</w:t>
      </w:r>
      <w:r w:rsidRPr="001775D9">
        <w:rPr>
          <w:szCs w:val="22"/>
        </w:rPr>
        <w:t> </w:t>
      </w:r>
      <w:r w:rsidRPr="001775D9">
        <w:rPr>
          <w:szCs w:val="22"/>
          <w:lang w:eastAsia="en-GB"/>
        </w:rPr>
        <w:t xml:space="preserve">mg of </w:t>
      </w:r>
      <w:r w:rsidRPr="001775D9">
        <w:rPr>
          <w:rFonts w:eastAsia="Times New Roman"/>
          <w:color w:val="000000"/>
          <w:szCs w:val="22"/>
        </w:rPr>
        <w:t>adalimumab</w:t>
      </w:r>
      <w:r w:rsidRPr="001775D9">
        <w:rPr>
          <w:szCs w:val="22"/>
          <w:lang w:eastAsia="en-GB"/>
        </w:rPr>
        <w:t xml:space="preserve"> were given by subcutaneous injection every</w:t>
      </w:r>
      <w:r w:rsidRPr="001775D9">
        <w:rPr>
          <w:color w:val="000000"/>
          <w:szCs w:val="22"/>
          <w:lang w:eastAsia="en-GB"/>
        </w:rPr>
        <w:t xml:space="preserve"> other week with placebo on alternative weeks or every week for 26</w:t>
      </w:r>
      <w:r w:rsidRPr="001775D9">
        <w:rPr>
          <w:szCs w:val="22"/>
        </w:rPr>
        <w:t> </w:t>
      </w:r>
      <w:r w:rsidRPr="001775D9">
        <w:rPr>
          <w:color w:val="000000"/>
          <w:szCs w:val="22"/>
          <w:lang w:eastAsia="en-GB"/>
        </w:rPr>
        <w:t xml:space="preserve">weeks; placebo was given every week for the same duration. No other disease-modifying anti-rheumatic drugs were allowed. </w:t>
      </w:r>
    </w:p>
    <w:p w14:paraId="54121ABC"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559882A0"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color w:val="000000"/>
          <w:szCs w:val="22"/>
          <w:lang w:eastAsia="en-GB"/>
        </w:rPr>
        <w:t>RA study III evaluated 619 patients with moderately to severely active rheumatoid arthritis who were ≥</w:t>
      </w:r>
      <w:r w:rsidRPr="001775D9">
        <w:rPr>
          <w:szCs w:val="22"/>
        </w:rPr>
        <w:t> </w:t>
      </w:r>
      <w:r w:rsidRPr="001775D9">
        <w:rPr>
          <w:color w:val="000000"/>
          <w:szCs w:val="22"/>
          <w:lang w:eastAsia="en-GB"/>
        </w:rPr>
        <w:t xml:space="preserve">18 years old, and who </w:t>
      </w:r>
      <w:r w:rsidRPr="001775D9">
        <w:rPr>
          <w:szCs w:val="22"/>
          <w:lang w:eastAsia="en-GB"/>
        </w:rPr>
        <w:t>had an ineffective response to methotrexate at doses of 12.5 to 25</w:t>
      </w:r>
      <w:r w:rsidRPr="001775D9">
        <w:rPr>
          <w:szCs w:val="22"/>
        </w:rPr>
        <w:t> </w:t>
      </w:r>
      <w:r w:rsidRPr="001775D9">
        <w:rPr>
          <w:szCs w:val="22"/>
          <w:lang w:eastAsia="en-GB"/>
        </w:rPr>
        <w:t>mg or have been intolerant to 10</w:t>
      </w:r>
      <w:r w:rsidRPr="001775D9">
        <w:rPr>
          <w:szCs w:val="22"/>
        </w:rPr>
        <w:t> </w:t>
      </w:r>
      <w:r w:rsidRPr="001775D9">
        <w:rPr>
          <w:szCs w:val="22"/>
          <w:lang w:eastAsia="en-GB"/>
        </w:rPr>
        <w:t>mg of methotrexate every week. There were three groups in this study. The first received placebo injections every week for 52 weeks. The second received 20</w:t>
      </w:r>
      <w:r w:rsidRPr="001775D9">
        <w:rPr>
          <w:szCs w:val="22"/>
        </w:rPr>
        <w:t> </w:t>
      </w:r>
      <w:r w:rsidRPr="001775D9">
        <w:rPr>
          <w:szCs w:val="22"/>
          <w:lang w:eastAsia="en-GB"/>
        </w:rPr>
        <w:t xml:space="preserve">mg of </w:t>
      </w:r>
      <w:r w:rsidRPr="001775D9">
        <w:rPr>
          <w:rFonts w:eastAsia="Times New Roman"/>
          <w:color w:val="000000"/>
          <w:szCs w:val="22"/>
        </w:rPr>
        <w:t>adalimumab</w:t>
      </w:r>
      <w:r w:rsidRPr="001775D9">
        <w:rPr>
          <w:szCs w:val="22"/>
          <w:lang w:eastAsia="en-GB"/>
        </w:rPr>
        <w:t xml:space="preserve"> every week for 52 weeks. The third group received 40</w:t>
      </w:r>
      <w:r w:rsidRPr="001775D9">
        <w:rPr>
          <w:szCs w:val="22"/>
        </w:rPr>
        <w:t> </w:t>
      </w:r>
      <w:r w:rsidRPr="001775D9">
        <w:rPr>
          <w:szCs w:val="22"/>
          <w:lang w:eastAsia="en-GB"/>
        </w:rPr>
        <w:t xml:space="preserve">mg of </w:t>
      </w:r>
      <w:r w:rsidRPr="001775D9">
        <w:rPr>
          <w:rFonts w:eastAsia="Times New Roman"/>
          <w:color w:val="000000"/>
          <w:szCs w:val="22"/>
        </w:rPr>
        <w:t>adalimumab</w:t>
      </w:r>
      <w:r w:rsidRPr="001775D9">
        <w:rPr>
          <w:szCs w:val="22"/>
          <w:lang w:eastAsia="en-GB"/>
        </w:rPr>
        <w:t xml:space="preserve"> every other week with placebo injections on alternate weeks. Upon completion of the first 52 weeks, 457 patients enrolled in an open-label extension phase in which 40</w:t>
      </w:r>
      <w:r w:rsidRPr="001775D9">
        <w:rPr>
          <w:szCs w:val="22"/>
        </w:rPr>
        <w:t> </w:t>
      </w:r>
      <w:r w:rsidRPr="001775D9">
        <w:rPr>
          <w:szCs w:val="22"/>
          <w:lang w:eastAsia="en-GB"/>
        </w:rPr>
        <w:t xml:space="preserve">mg of </w:t>
      </w:r>
      <w:r w:rsidRPr="001775D9">
        <w:rPr>
          <w:rFonts w:eastAsia="Times New Roman"/>
          <w:color w:val="000000"/>
          <w:szCs w:val="22"/>
        </w:rPr>
        <w:t>adalimumab</w:t>
      </w:r>
      <w:r w:rsidRPr="001775D9">
        <w:rPr>
          <w:szCs w:val="22"/>
          <w:lang w:eastAsia="en-GB"/>
        </w:rPr>
        <w:t>/MTX was administered every other week up to 10 years.</w:t>
      </w:r>
    </w:p>
    <w:p w14:paraId="56D81648"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3ADBA00C" w14:textId="6E5185FF"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RA study IV primarily assessed safety in 636 patients with moderately to severely active rheumatoid arthritis who were ≥</w:t>
      </w:r>
      <w:r w:rsidRPr="001775D9">
        <w:rPr>
          <w:szCs w:val="22"/>
        </w:rPr>
        <w:t> </w:t>
      </w:r>
      <w:r w:rsidRPr="001775D9">
        <w:rPr>
          <w:szCs w:val="22"/>
          <w:lang w:eastAsia="en-GB"/>
        </w:rPr>
        <w:t>18 years old. Patients were permitted to be either disease-modifying, anti</w:t>
      </w:r>
      <w:r w:rsidR="000956C6" w:rsidRPr="001775D9">
        <w:rPr>
          <w:szCs w:val="22"/>
          <w:lang w:eastAsia="en-GB"/>
        </w:rPr>
        <w:noBreakHyphen/>
      </w:r>
      <w:r w:rsidRPr="001775D9">
        <w:rPr>
          <w:szCs w:val="22"/>
          <w:lang w:eastAsia="en-GB"/>
        </w:rPr>
        <w:t>rheumatic drug-naïve or to remain on their pre-existing rheumatologic therapy provided that therapy was stable for a minimum of 28 days. These therapies include methotrexate, leflunomide, hydroxychloroquine, sulfasalazine and/or gold salts. Patients were randomised to 40</w:t>
      </w:r>
      <w:r w:rsidRPr="001775D9">
        <w:rPr>
          <w:szCs w:val="22"/>
        </w:rPr>
        <w:t> </w:t>
      </w:r>
      <w:r w:rsidRPr="001775D9">
        <w:rPr>
          <w:szCs w:val="22"/>
          <w:lang w:eastAsia="en-GB"/>
        </w:rPr>
        <w:t xml:space="preserve">mg of </w:t>
      </w:r>
      <w:r w:rsidRPr="001775D9">
        <w:rPr>
          <w:rFonts w:eastAsia="Times New Roman"/>
          <w:color w:val="000000"/>
          <w:szCs w:val="22"/>
        </w:rPr>
        <w:t>adalimumab</w:t>
      </w:r>
      <w:r w:rsidRPr="001775D9">
        <w:rPr>
          <w:szCs w:val="22"/>
          <w:lang w:eastAsia="en-GB"/>
        </w:rPr>
        <w:t xml:space="preserve"> or placebo every other week for 24 weeks. </w:t>
      </w:r>
    </w:p>
    <w:p w14:paraId="1697C8A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7FA3FEE" w14:textId="77777777" w:rsidR="001778AA" w:rsidRPr="001775D9" w:rsidRDefault="001778AA" w:rsidP="001778AA">
      <w:pPr>
        <w:tabs>
          <w:tab w:val="clear" w:pos="567"/>
        </w:tabs>
        <w:autoSpaceDE w:val="0"/>
        <w:autoSpaceDN w:val="0"/>
        <w:adjustRightInd w:val="0"/>
        <w:spacing w:line="240" w:lineRule="auto"/>
        <w:rPr>
          <w:szCs w:val="22"/>
          <w:lang w:eastAsia="ja-JP"/>
        </w:rPr>
      </w:pPr>
      <w:r w:rsidRPr="001775D9">
        <w:rPr>
          <w:szCs w:val="22"/>
          <w:lang w:eastAsia="en-GB"/>
        </w:rPr>
        <w:t xml:space="preserve">RA study V evaluated 799 methotrexate-naïve, adult patients with moderate to severely active early rheumatoid arthritis (mean disease duration less than 9 months). This study evaluated the efficacy of </w:t>
      </w:r>
      <w:r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 xml:space="preserve">mg every other week/methotrexate combination therapy, </w:t>
      </w:r>
      <w:r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 xml:space="preserve">mg every other week monotherapy and methotrexate monotherapy in reducing the signs and symptoms and rate of progression of joint damage in rheumatoid arthritis for 104 weeks. </w:t>
      </w:r>
      <w:r w:rsidRPr="001775D9">
        <w:rPr>
          <w:szCs w:val="22"/>
          <w:lang w:eastAsia="ja-JP"/>
        </w:rPr>
        <w:t xml:space="preserve">Upon completion of the first 104 weeks, 497 patients enrolled in an open-label extension phase in which 40 mg of </w:t>
      </w:r>
      <w:r w:rsidRPr="001775D9">
        <w:rPr>
          <w:rFonts w:eastAsia="Times New Roman"/>
          <w:color w:val="000000"/>
          <w:szCs w:val="22"/>
        </w:rPr>
        <w:t>adalimumab</w:t>
      </w:r>
      <w:r w:rsidRPr="001775D9">
        <w:rPr>
          <w:szCs w:val="22"/>
          <w:lang w:eastAsia="ja-JP"/>
        </w:rPr>
        <w:t xml:space="preserve"> was administered every other week up to 10 years.</w:t>
      </w:r>
    </w:p>
    <w:p w14:paraId="3673784F" w14:textId="77777777" w:rsidR="001778AA" w:rsidRPr="001775D9" w:rsidRDefault="001778AA" w:rsidP="001778AA">
      <w:pPr>
        <w:tabs>
          <w:tab w:val="clear" w:pos="567"/>
        </w:tabs>
        <w:autoSpaceDE w:val="0"/>
        <w:autoSpaceDN w:val="0"/>
        <w:adjustRightInd w:val="0"/>
        <w:spacing w:line="240" w:lineRule="auto"/>
        <w:rPr>
          <w:szCs w:val="22"/>
          <w:lang w:eastAsia="ja-JP"/>
        </w:rPr>
      </w:pPr>
    </w:p>
    <w:p w14:paraId="06DB494B" w14:textId="77777777" w:rsidR="001778AA" w:rsidRPr="001775D9" w:rsidRDefault="001778AA" w:rsidP="001778AA">
      <w:pPr>
        <w:tabs>
          <w:tab w:val="clear" w:pos="567"/>
        </w:tabs>
        <w:autoSpaceDE w:val="0"/>
        <w:autoSpaceDN w:val="0"/>
        <w:adjustRightInd w:val="0"/>
        <w:spacing w:line="240" w:lineRule="auto"/>
        <w:rPr>
          <w:szCs w:val="22"/>
          <w:lang w:eastAsia="ja-JP"/>
        </w:rPr>
      </w:pPr>
      <w:r w:rsidRPr="001775D9">
        <w:rPr>
          <w:szCs w:val="22"/>
        </w:rPr>
        <w:t xml:space="preserve">The primary end point in RA studies I, II and III and the secondary endpoint in RA study IV was the percent of patients who achieved an ACR 20 response at week 24 or 26. The primary endpoint in RA study V was the percent of patients who achieved an ACR 50 response at week 52. RA studies III and V had an additional primary endpoint at 52 weeks of retardation of disease progression (as detected by x-ray results). RA study III also had a primary endpoint of changes in quality of life. </w:t>
      </w:r>
    </w:p>
    <w:p w14:paraId="25976683"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3C448622" w14:textId="77777777" w:rsidR="001778AA" w:rsidRPr="001775D9" w:rsidRDefault="001778AA" w:rsidP="001778AA">
      <w:pPr>
        <w:tabs>
          <w:tab w:val="clear" w:pos="567"/>
        </w:tabs>
        <w:autoSpaceDE w:val="0"/>
        <w:autoSpaceDN w:val="0"/>
        <w:adjustRightInd w:val="0"/>
        <w:spacing w:line="240" w:lineRule="auto"/>
        <w:rPr>
          <w:i/>
          <w:szCs w:val="22"/>
          <w:u w:val="single"/>
          <w:lang w:eastAsia="en-GB"/>
        </w:rPr>
      </w:pPr>
      <w:r w:rsidRPr="001775D9">
        <w:rPr>
          <w:i/>
          <w:szCs w:val="22"/>
          <w:u w:val="single"/>
        </w:rPr>
        <w:t>ACR response</w:t>
      </w:r>
    </w:p>
    <w:p w14:paraId="2BDA9853"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7C12770C"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r w:rsidRPr="001775D9">
        <w:rPr>
          <w:szCs w:val="22"/>
        </w:rPr>
        <w:t xml:space="preserve">The percent of </w:t>
      </w:r>
      <w:r w:rsidRPr="001775D9">
        <w:rPr>
          <w:rFonts w:eastAsia="Times New Roman"/>
          <w:color w:val="000000"/>
          <w:szCs w:val="22"/>
        </w:rPr>
        <w:t>adalimumab</w:t>
      </w:r>
      <w:r w:rsidRPr="001775D9">
        <w:rPr>
          <w:szCs w:val="22"/>
        </w:rPr>
        <w:t>-treated patients achieving ACR 20, 50 and 70 responses was consistent across RA studies I, II and III. The results for the 40 mg every other week dose are summarised in table 8.</w:t>
      </w:r>
    </w:p>
    <w:p w14:paraId="6B6E11D3"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p>
    <w:p w14:paraId="78AEBF43"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Table 8. ACR responses in placebo-controlled trials (percent of patients)</w:t>
      </w:r>
    </w:p>
    <w:p w14:paraId="62EC7808" w14:textId="77777777" w:rsidR="001778AA" w:rsidRPr="001775D9" w:rsidRDefault="001778AA" w:rsidP="001778AA">
      <w:pPr>
        <w:keepNext/>
        <w:spacing w:line="240" w:lineRule="auto"/>
        <w:rPr>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134"/>
        <w:gridCol w:w="1417"/>
        <w:gridCol w:w="1242"/>
        <w:gridCol w:w="1452"/>
        <w:gridCol w:w="1134"/>
        <w:gridCol w:w="1417"/>
      </w:tblGrid>
      <w:tr w:rsidR="001778AA" w:rsidRPr="00F04F82" w14:paraId="32E1035A" w14:textId="77777777" w:rsidTr="00D47253">
        <w:trPr>
          <w:trHeight w:val="154"/>
          <w:tblHeader/>
        </w:trPr>
        <w:tc>
          <w:tcPr>
            <w:tcW w:w="1418" w:type="dxa"/>
            <w:vMerge w:val="restart"/>
          </w:tcPr>
          <w:p w14:paraId="24C5AD24" w14:textId="77777777" w:rsidR="001778AA" w:rsidRPr="001775D9" w:rsidRDefault="001778AA" w:rsidP="00D47253">
            <w:pPr>
              <w:keepNext/>
              <w:tabs>
                <w:tab w:val="clear" w:pos="567"/>
              </w:tabs>
              <w:autoSpaceDE w:val="0"/>
              <w:autoSpaceDN w:val="0"/>
              <w:adjustRightInd w:val="0"/>
              <w:spacing w:line="240" w:lineRule="auto"/>
              <w:rPr>
                <w:b/>
                <w:color w:val="000000"/>
                <w:szCs w:val="22"/>
                <w:lang w:eastAsia="en-GB"/>
              </w:rPr>
            </w:pPr>
            <w:r w:rsidRPr="001775D9">
              <w:rPr>
                <w:b/>
                <w:color w:val="000000"/>
                <w:szCs w:val="22"/>
                <w:lang w:eastAsia="en-GB"/>
              </w:rPr>
              <w:t xml:space="preserve">Response </w:t>
            </w:r>
          </w:p>
          <w:p w14:paraId="4E8FF693" w14:textId="77777777" w:rsidR="001778AA" w:rsidRPr="001775D9" w:rsidRDefault="001778AA" w:rsidP="00D47253">
            <w:pPr>
              <w:keepNext/>
              <w:autoSpaceDE w:val="0"/>
              <w:autoSpaceDN w:val="0"/>
              <w:adjustRightInd w:val="0"/>
              <w:spacing w:line="240" w:lineRule="auto"/>
              <w:rPr>
                <w:b/>
                <w:color w:val="000000"/>
                <w:szCs w:val="22"/>
                <w:lang w:eastAsia="en-GB"/>
              </w:rPr>
            </w:pPr>
            <w:r w:rsidRPr="001775D9">
              <w:rPr>
                <w:b/>
                <w:color w:val="000000"/>
                <w:szCs w:val="22"/>
                <w:lang w:eastAsia="en-GB"/>
              </w:rPr>
              <w:t xml:space="preserve"> </w:t>
            </w:r>
          </w:p>
        </w:tc>
        <w:tc>
          <w:tcPr>
            <w:tcW w:w="2551" w:type="dxa"/>
            <w:gridSpan w:val="2"/>
          </w:tcPr>
          <w:p w14:paraId="03F33D99" w14:textId="77777777" w:rsidR="001778AA" w:rsidRPr="001775D9" w:rsidRDefault="001778AA" w:rsidP="00D47253">
            <w:pPr>
              <w:keepNext/>
              <w:tabs>
                <w:tab w:val="clear" w:pos="567"/>
              </w:tabs>
              <w:autoSpaceDE w:val="0"/>
              <w:autoSpaceDN w:val="0"/>
              <w:adjustRightInd w:val="0"/>
              <w:spacing w:line="240" w:lineRule="auto"/>
              <w:jc w:val="center"/>
              <w:rPr>
                <w:b/>
                <w:color w:val="000000"/>
                <w:szCs w:val="22"/>
                <w:lang w:eastAsia="en-GB"/>
              </w:rPr>
            </w:pPr>
            <w:r w:rsidRPr="001775D9">
              <w:rPr>
                <w:b/>
                <w:color w:val="000000"/>
                <w:szCs w:val="22"/>
                <w:lang w:eastAsia="en-GB"/>
              </w:rPr>
              <w:t>RA study I</w:t>
            </w:r>
            <w:r w:rsidRPr="001775D9">
              <w:rPr>
                <w:b/>
                <w:color w:val="000000"/>
                <w:szCs w:val="22"/>
                <w:vertAlign w:val="superscript"/>
                <w:lang w:eastAsia="en-GB"/>
              </w:rPr>
              <w:t>a</w:t>
            </w:r>
            <w:r w:rsidRPr="001775D9">
              <w:rPr>
                <w:b/>
                <w:color w:val="000000"/>
                <w:szCs w:val="22"/>
                <w:lang w:eastAsia="en-GB"/>
              </w:rPr>
              <w:t>**</w:t>
            </w:r>
          </w:p>
        </w:tc>
        <w:tc>
          <w:tcPr>
            <w:tcW w:w="2694" w:type="dxa"/>
            <w:gridSpan w:val="2"/>
          </w:tcPr>
          <w:p w14:paraId="258EC20B" w14:textId="77777777" w:rsidR="001778AA" w:rsidRPr="001775D9" w:rsidRDefault="001778AA" w:rsidP="00D47253">
            <w:pPr>
              <w:keepNext/>
              <w:tabs>
                <w:tab w:val="clear" w:pos="567"/>
              </w:tabs>
              <w:autoSpaceDE w:val="0"/>
              <w:autoSpaceDN w:val="0"/>
              <w:adjustRightInd w:val="0"/>
              <w:spacing w:line="240" w:lineRule="auto"/>
              <w:jc w:val="center"/>
              <w:rPr>
                <w:b/>
                <w:color w:val="000000"/>
                <w:szCs w:val="22"/>
                <w:lang w:eastAsia="en-GB"/>
              </w:rPr>
            </w:pPr>
            <w:r w:rsidRPr="001775D9">
              <w:rPr>
                <w:b/>
                <w:color w:val="000000"/>
                <w:szCs w:val="22"/>
                <w:lang w:eastAsia="en-GB"/>
              </w:rPr>
              <w:t>RA study II</w:t>
            </w:r>
            <w:r w:rsidRPr="001775D9">
              <w:rPr>
                <w:b/>
                <w:color w:val="000000"/>
                <w:szCs w:val="22"/>
                <w:vertAlign w:val="superscript"/>
                <w:lang w:eastAsia="en-GB"/>
              </w:rPr>
              <w:t>a</w:t>
            </w:r>
            <w:r w:rsidRPr="001775D9">
              <w:rPr>
                <w:b/>
                <w:color w:val="000000"/>
                <w:szCs w:val="22"/>
                <w:lang w:eastAsia="en-GB"/>
              </w:rPr>
              <w:t>**</w:t>
            </w:r>
          </w:p>
        </w:tc>
        <w:tc>
          <w:tcPr>
            <w:tcW w:w="2551" w:type="dxa"/>
            <w:gridSpan w:val="2"/>
          </w:tcPr>
          <w:p w14:paraId="70B6E0F5" w14:textId="77777777" w:rsidR="001778AA" w:rsidRPr="001775D9" w:rsidRDefault="001778AA" w:rsidP="00D47253">
            <w:pPr>
              <w:keepNext/>
              <w:tabs>
                <w:tab w:val="clear" w:pos="567"/>
              </w:tabs>
              <w:autoSpaceDE w:val="0"/>
              <w:autoSpaceDN w:val="0"/>
              <w:adjustRightInd w:val="0"/>
              <w:spacing w:line="240" w:lineRule="auto"/>
              <w:jc w:val="center"/>
              <w:rPr>
                <w:b/>
                <w:color w:val="000000"/>
                <w:szCs w:val="22"/>
                <w:lang w:eastAsia="en-GB"/>
              </w:rPr>
            </w:pPr>
            <w:r w:rsidRPr="001775D9">
              <w:rPr>
                <w:b/>
                <w:color w:val="000000"/>
                <w:szCs w:val="22"/>
                <w:lang w:eastAsia="en-GB"/>
              </w:rPr>
              <w:t>RA study III</w:t>
            </w:r>
            <w:r w:rsidRPr="001775D9">
              <w:rPr>
                <w:b/>
                <w:color w:val="000000"/>
                <w:szCs w:val="22"/>
                <w:vertAlign w:val="superscript"/>
                <w:lang w:eastAsia="en-GB"/>
              </w:rPr>
              <w:t>a</w:t>
            </w:r>
            <w:r w:rsidRPr="001775D9">
              <w:rPr>
                <w:b/>
                <w:color w:val="000000"/>
                <w:szCs w:val="22"/>
                <w:lang w:eastAsia="en-GB"/>
              </w:rPr>
              <w:t>**</w:t>
            </w:r>
          </w:p>
        </w:tc>
      </w:tr>
      <w:tr w:rsidR="001778AA" w:rsidRPr="00F04F82" w14:paraId="688B1C10" w14:textId="77777777" w:rsidTr="00A57E99">
        <w:trPr>
          <w:trHeight w:val="426"/>
          <w:tblHeader/>
        </w:trPr>
        <w:tc>
          <w:tcPr>
            <w:tcW w:w="1418" w:type="dxa"/>
            <w:vMerge/>
          </w:tcPr>
          <w:p w14:paraId="7D4A6058" w14:textId="77777777" w:rsidR="001778AA" w:rsidRPr="00F04F82" w:rsidRDefault="001778AA" w:rsidP="00D47253">
            <w:pPr>
              <w:keepNext/>
              <w:tabs>
                <w:tab w:val="clear" w:pos="567"/>
              </w:tabs>
              <w:autoSpaceDE w:val="0"/>
              <w:autoSpaceDN w:val="0"/>
              <w:adjustRightInd w:val="0"/>
              <w:spacing w:line="240" w:lineRule="auto"/>
              <w:rPr>
                <w:b/>
                <w:szCs w:val="22"/>
                <w:lang w:eastAsia="en-GB"/>
              </w:rPr>
            </w:pPr>
          </w:p>
        </w:tc>
        <w:tc>
          <w:tcPr>
            <w:tcW w:w="1134" w:type="dxa"/>
          </w:tcPr>
          <w:p w14:paraId="295F0934"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b/>
                <w:sz w:val="20"/>
                <w:lang w:eastAsia="en-GB"/>
              </w:rPr>
              <w:t>Placebo/ MTX</w:t>
            </w:r>
            <w:r w:rsidRPr="001775D9">
              <w:rPr>
                <w:b/>
                <w:sz w:val="20"/>
                <w:vertAlign w:val="superscript"/>
                <w:lang w:eastAsia="en-GB"/>
              </w:rPr>
              <w:t>c</w:t>
            </w:r>
          </w:p>
          <w:p w14:paraId="3DF0E5D5"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60</w:t>
            </w:r>
          </w:p>
        </w:tc>
        <w:tc>
          <w:tcPr>
            <w:tcW w:w="1417" w:type="dxa"/>
          </w:tcPr>
          <w:p w14:paraId="5DAE0354"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rFonts w:eastAsia="Times New Roman"/>
                <w:b/>
                <w:color w:val="000000"/>
                <w:sz w:val="20"/>
              </w:rPr>
              <w:t>Adalimumab</w:t>
            </w:r>
            <w:r w:rsidRPr="001775D9">
              <w:rPr>
                <w:b/>
                <w:sz w:val="20"/>
                <w:vertAlign w:val="superscript"/>
                <w:lang w:eastAsia="en-GB"/>
              </w:rPr>
              <w:t>b</w:t>
            </w:r>
            <w:r w:rsidRPr="001775D9">
              <w:rPr>
                <w:b/>
                <w:sz w:val="20"/>
                <w:lang w:eastAsia="en-GB"/>
              </w:rPr>
              <w:t>/ MTX</w:t>
            </w:r>
            <w:r w:rsidRPr="001775D9">
              <w:rPr>
                <w:b/>
                <w:sz w:val="20"/>
                <w:vertAlign w:val="superscript"/>
                <w:lang w:eastAsia="en-GB"/>
              </w:rPr>
              <w:t>c</w:t>
            </w:r>
          </w:p>
          <w:p w14:paraId="77C29D61"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63</w:t>
            </w:r>
          </w:p>
        </w:tc>
        <w:tc>
          <w:tcPr>
            <w:tcW w:w="1242" w:type="dxa"/>
          </w:tcPr>
          <w:p w14:paraId="001C99B6"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b/>
                <w:sz w:val="20"/>
                <w:lang w:eastAsia="en-GB"/>
              </w:rPr>
              <w:t>Placebo</w:t>
            </w:r>
          </w:p>
          <w:p w14:paraId="64419E2D"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110</w:t>
            </w:r>
          </w:p>
        </w:tc>
        <w:tc>
          <w:tcPr>
            <w:tcW w:w="1452" w:type="dxa"/>
          </w:tcPr>
          <w:p w14:paraId="445E13FE"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rFonts w:eastAsia="Times New Roman"/>
                <w:b/>
                <w:color w:val="000000"/>
                <w:sz w:val="20"/>
              </w:rPr>
              <w:t>Adalimumab</w:t>
            </w:r>
            <w:r w:rsidRPr="001775D9">
              <w:rPr>
                <w:b/>
                <w:sz w:val="20"/>
                <w:vertAlign w:val="superscript"/>
                <w:lang w:eastAsia="en-GB"/>
              </w:rPr>
              <w:t>b</w:t>
            </w:r>
          </w:p>
          <w:p w14:paraId="6831D1DC"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113</w:t>
            </w:r>
          </w:p>
        </w:tc>
        <w:tc>
          <w:tcPr>
            <w:tcW w:w="1134" w:type="dxa"/>
          </w:tcPr>
          <w:p w14:paraId="5A4CD5EA"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b/>
                <w:sz w:val="20"/>
                <w:lang w:eastAsia="en-GB"/>
              </w:rPr>
              <w:t>Placebo/ MTX</w:t>
            </w:r>
            <w:r w:rsidRPr="001775D9">
              <w:rPr>
                <w:b/>
                <w:sz w:val="20"/>
                <w:vertAlign w:val="superscript"/>
                <w:lang w:eastAsia="en-GB"/>
              </w:rPr>
              <w:t>c</w:t>
            </w:r>
          </w:p>
          <w:p w14:paraId="50B7488D"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b/>
                <w:sz w:val="20"/>
                <w:lang w:eastAsia="en-GB"/>
              </w:rPr>
              <w:t>n</w:t>
            </w:r>
            <w:r w:rsidRPr="001775D9">
              <w:rPr>
                <w:b/>
                <w:sz w:val="20"/>
              </w:rPr>
              <w:t> </w:t>
            </w:r>
            <w:r w:rsidRPr="001775D9">
              <w:rPr>
                <w:b/>
                <w:sz w:val="20"/>
                <w:lang w:eastAsia="en-GB"/>
              </w:rPr>
              <w:t>=</w:t>
            </w:r>
            <w:r w:rsidRPr="001775D9">
              <w:rPr>
                <w:b/>
                <w:sz w:val="20"/>
              </w:rPr>
              <w:t> </w:t>
            </w:r>
            <w:r w:rsidRPr="001775D9">
              <w:rPr>
                <w:b/>
                <w:sz w:val="20"/>
                <w:lang w:eastAsia="en-GB"/>
              </w:rPr>
              <w:t>200</w:t>
            </w:r>
          </w:p>
        </w:tc>
        <w:tc>
          <w:tcPr>
            <w:tcW w:w="1417" w:type="dxa"/>
          </w:tcPr>
          <w:p w14:paraId="22671B32" w14:textId="77777777" w:rsidR="001778AA" w:rsidRPr="001775D9" w:rsidRDefault="001778AA" w:rsidP="00D47253">
            <w:pPr>
              <w:keepNext/>
              <w:tabs>
                <w:tab w:val="clear" w:pos="567"/>
              </w:tabs>
              <w:autoSpaceDE w:val="0"/>
              <w:autoSpaceDN w:val="0"/>
              <w:adjustRightInd w:val="0"/>
              <w:spacing w:line="240" w:lineRule="auto"/>
              <w:jc w:val="center"/>
              <w:rPr>
                <w:b/>
                <w:sz w:val="20"/>
                <w:lang w:eastAsia="en-GB"/>
              </w:rPr>
            </w:pPr>
            <w:r w:rsidRPr="001775D9">
              <w:rPr>
                <w:rFonts w:eastAsia="Times New Roman"/>
                <w:b/>
                <w:color w:val="000000"/>
                <w:sz w:val="20"/>
              </w:rPr>
              <w:t>Adalimumab</w:t>
            </w:r>
            <w:r w:rsidRPr="001775D9">
              <w:rPr>
                <w:b/>
                <w:sz w:val="20"/>
                <w:vertAlign w:val="superscript"/>
                <w:lang w:eastAsia="en-GB"/>
              </w:rPr>
              <w:t>b</w:t>
            </w:r>
            <w:r w:rsidRPr="001775D9">
              <w:rPr>
                <w:b/>
                <w:sz w:val="20"/>
                <w:lang w:eastAsia="en-GB"/>
              </w:rPr>
              <w:t>/ MTX</w:t>
            </w:r>
            <w:r w:rsidRPr="001775D9">
              <w:rPr>
                <w:b/>
                <w:sz w:val="20"/>
                <w:vertAlign w:val="superscript"/>
                <w:lang w:eastAsia="en-GB"/>
              </w:rPr>
              <w:t>c</w:t>
            </w:r>
            <w:r w:rsidRPr="001775D9">
              <w:rPr>
                <w:b/>
                <w:sz w:val="20"/>
                <w:lang w:eastAsia="en-GB"/>
              </w:rPr>
              <w:t xml:space="preserve"> </w:t>
            </w:r>
            <w:r w:rsidRPr="001775D9">
              <w:rPr>
                <w:b/>
                <w:sz w:val="20"/>
                <w:lang w:eastAsia="en-GB"/>
              </w:rPr>
              <w:br/>
              <w:t>n</w:t>
            </w:r>
            <w:r w:rsidRPr="001775D9">
              <w:rPr>
                <w:b/>
                <w:sz w:val="20"/>
              </w:rPr>
              <w:t> </w:t>
            </w:r>
            <w:r w:rsidRPr="001775D9">
              <w:rPr>
                <w:b/>
                <w:sz w:val="20"/>
                <w:lang w:eastAsia="en-GB"/>
              </w:rPr>
              <w:t>=</w:t>
            </w:r>
            <w:r w:rsidRPr="001775D9">
              <w:rPr>
                <w:b/>
                <w:sz w:val="20"/>
              </w:rPr>
              <w:t> </w:t>
            </w:r>
            <w:r w:rsidRPr="001775D9">
              <w:rPr>
                <w:b/>
                <w:sz w:val="20"/>
                <w:lang w:eastAsia="en-GB"/>
              </w:rPr>
              <w:t>207</w:t>
            </w:r>
          </w:p>
        </w:tc>
      </w:tr>
      <w:tr w:rsidR="001778AA" w:rsidRPr="00F04F82" w14:paraId="6178859F" w14:textId="77777777" w:rsidTr="00D47253">
        <w:trPr>
          <w:trHeight w:val="147"/>
        </w:trPr>
        <w:tc>
          <w:tcPr>
            <w:tcW w:w="9214" w:type="dxa"/>
            <w:gridSpan w:val="7"/>
          </w:tcPr>
          <w:p w14:paraId="3BC075EB"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 xml:space="preserve">ACR 20 </w:t>
            </w:r>
          </w:p>
        </w:tc>
      </w:tr>
      <w:tr w:rsidR="001778AA" w:rsidRPr="00F04F82" w14:paraId="580B7A59" w14:textId="77777777" w:rsidTr="00A57E99">
        <w:trPr>
          <w:trHeight w:val="147"/>
        </w:trPr>
        <w:tc>
          <w:tcPr>
            <w:tcW w:w="1418" w:type="dxa"/>
          </w:tcPr>
          <w:p w14:paraId="67AB0904"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6 months</w:t>
            </w:r>
          </w:p>
        </w:tc>
        <w:tc>
          <w:tcPr>
            <w:tcW w:w="1134" w:type="dxa"/>
          </w:tcPr>
          <w:p w14:paraId="2785B9A5"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13.3%</w:t>
            </w:r>
          </w:p>
        </w:tc>
        <w:tc>
          <w:tcPr>
            <w:tcW w:w="1417" w:type="dxa"/>
          </w:tcPr>
          <w:p w14:paraId="502FA497"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65.1%</w:t>
            </w:r>
          </w:p>
        </w:tc>
        <w:tc>
          <w:tcPr>
            <w:tcW w:w="1242" w:type="dxa"/>
          </w:tcPr>
          <w:p w14:paraId="4ECA10CB"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19.1%</w:t>
            </w:r>
          </w:p>
        </w:tc>
        <w:tc>
          <w:tcPr>
            <w:tcW w:w="1452" w:type="dxa"/>
          </w:tcPr>
          <w:p w14:paraId="38F310B7"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46.0%</w:t>
            </w:r>
          </w:p>
        </w:tc>
        <w:tc>
          <w:tcPr>
            <w:tcW w:w="1134" w:type="dxa"/>
          </w:tcPr>
          <w:p w14:paraId="5FD51592"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29.5%</w:t>
            </w:r>
          </w:p>
        </w:tc>
        <w:tc>
          <w:tcPr>
            <w:tcW w:w="1417" w:type="dxa"/>
          </w:tcPr>
          <w:p w14:paraId="0CA95AC2"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63.3%</w:t>
            </w:r>
          </w:p>
        </w:tc>
      </w:tr>
      <w:tr w:rsidR="001778AA" w:rsidRPr="00F04F82" w14:paraId="45E7CE68" w14:textId="77777777" w:rsidTr="00A57E99">
        <w:trPr>
          <w:trHeight w:val="147"/>
        </w:trPr>
        <w:tc>
          <w:tcPr>
            <w:tcW w:w="1418" w:type="dxa"/>
          </w:tcPr>
          <w:p w14:paraId="4B61992C"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12 months</w:t>
            </w:r>
          </w:p>
        </w:tc>
        <w:tc>
          <w:tcPr>
            <w:tcW w:w="1134" w:type="dxa"/>
          </w:tcPr>
          <w:p w14:paraId="7A3E1BF3"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17" w:type="dxa"/>
          </w:tcPr>
          <w:p w14:paraId="3BC339DB"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242" w:type="dxa"/>
          </w:tcPr>
          <w:p w14:paraId="4B8F54B5"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52" w:type="dxa"/>
          </w:tcPr>
          <w:p w14:paraId="54B18EE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134" w:type="dxa"/>
          </w:tcPr>
          <w:p w14:paraId="3AC40404"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24.0%</w:t>
            </w:r>
          </w:p>
        </w:tc>
        <w:tc>
          <w:tcPr>
            <w:tcW w:w="1417" w:type="dxa"/>
          </w:tcPr>
          <w:p w14:paraId="0CDAEDF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58.9%</w:t>
            </w:r>
          </w:p>
        </w:tc>
      </w:tr>
      <w:tr w:rsidR="001778AA" w:rsidRPr="00F04F82" w14:paraId="677F3A1C" w14:textId="77777777" w:rsidTr="00D47253">
        <w:trPr>
          <w:trHeight w:val="147"/>
        </w:trPr>
        <w:tc>
          <w:tcPr>
            <w:tcW w:w="9214" w:type="dxa"/>
            <w:gridSpan w:val="7"/>
          </w:tcPr>
          <w:p w14:paraId="68E65607"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ACR 50 </w:t>
            </w:r>
          </w:p>
        </w:tc>
      </w:tr>
      <w:tr w:rsidR="001778AA" w:rsidRPr="00F04F82" w14:paraId="5E589F6F" w14:textId="77777777" w:rsidTr="00A57E99">
        <w:trPr>
          <w:trHeight w:val="147"/>
        </w:trPr>
        <w:tc>
          <w:tcPr>
            <w:tcW w:w="1418" w:type="dxa"/>
          </w:tcPr>
          <w:p w14:paraId="16E52FC6"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6 months</w:t>
            </w:r>
          </w:p>
        </w:tc>
        <w:tc>
          <w:tcPr>
            <w:tcW w:w="1134" w:type="dxa"/>
          </w:tcPr>
          <w:p w14:paraId="71666C1C"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6.7%</w:t>
            </w:r>
          </w:p>
        </w:tc>
        <w:tc>
          <w:tcPr>
            <w:tcW w:w="1417" w:type="dxa"/>
          </w:tcPr>
          <w:p w14:paraId="014E5C52"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52.4%</w:t>
            </w:r>
          </w:p>
        </w:tc>
        <w:tc>
          <w:tcPr>
            <w:tcW w:w="1242" w:type="dxa"/>
          </w:tcPr>
          <w:p w14:paraId="363869DD"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8.2%</w:t>
            </w:r>
          </w:p>
        </w:tc>
        <w:tc>
          <w:tcPr>
            <w:tcW w:w="1452" w:type="dxa"/>
          </w:tcPr>
          <w:p w14:paraId="2D422658"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22.1%</w:t>
            </w:r>
          </w:p>
        </w:tc>
        <w:tc>
          <w:tcPr>
            <w:tcW w:w="1134" w:type="dxa"/>
          </w:tcPr>
          <w:p w14:paraId="5DC5C1D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9.5%</w:t>
            </w:r>
          </w:p>
        </w:tc>
        <w:tc>
          <w:tcPr>
            <w:tcW w:w="1417" w:type="dxa"/>
          </w:tcPr>
          <w:p w14:paraId="06AAB7C4"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39.1%</w:t>
            </w:r>
          </w:p>
        </w:tc>
      </w:tr>
      <w:tr w:rsidR="001778AA" w:rsidRPr="00F04F82" w14:paraId="63664475" w14:textId="77777777" w:rsidTr="00A57E99">
        <w:trPr>
          <w:trHeight w:val="147"/>
        </w:trPr>
        <w:tc>
          <w:tcPr>
            <w:tcW w:w="1418" w:type="dxa"/>
          </w:tcPr>
          <w:p w14:paraId="08E95F3C"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12 months</w:t>
            </w:r>
          </w:p>
        </w:tc>
        <w:tc>
          <w:tcPr>
            <w:tcW w:w="1134" w:type="dxa"/>
          </w:tcPr>
          <w:p w14:paraId="7BF74893"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17" w:type="dxa"/>
          </w:tcPr>
          <w:p w14:paraId="58A8300E"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242" w:type="dxa"/>
          </w:tcPr>
          <w:p w14:paraId="47485E4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52" w:type="dxa"/>
          </w:tcPr>
          <w:p w14:paraId="3E55B7C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134" w:type="dxa"/>
          </w:tcPr>
          <w:p w14:paraId="79788CBB"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9.5%</w:t>
            </w:r>
          </w:p>
        </w:tc>
        <w:tc>
          <w:tcPr>
            <w:tcW w:w="1417" w:type="dxa"/>
          </w:tcPr>
          <w:p w14:paraId="20BBE5A9"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41.5%</w:t>
            </w:r>
          </w:p>
        </w:tc>
      </w:tr>
      <w:tr w:rsidR="001778AA" w:rsidRPr="00F04F82" w14:paraId="40EC8B98" w14:textId="77777777" w:rsidTr="00D47253">
        <w:trPr>
          <w:trHeight w:val="147"/>
        </w:trPr>
        <w:tc>
          <w:tcPr>
            <w:tcW w:w="9214" w:type="dxa"/>
            <w:gridSpan w:val="7"/>
          </w:tcPr>
          <w:p w14:paraId="655D21F4"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ACR 70 </w:t>
            </w:r>
          </w:p>
        </w:tc>
      </w:tr>
      <w:tr w:rsidR="001778AA" w:rsidRPr="00F04F82" w14:paraId="77B62B33" w14:textId="77777777" w:rsidTr="00A57E99">
        <w:trPr>
          <w:trHeight w:val="147"/>
        </w:trPr>
        <w:tc>
          <w:tcPr>
            <w:tcW w:w="1418" w:type="dxa"/>
          </w:tcPr>
          <w:p w14:paraId="4DB42D05"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6 months</w:t>
            </w:r>
          </w:p>
        </w:tc>
        <w:tc>
          <w:tcPr>
            <w:tcW w:w="1134" w:type="dxa"/>
          </w:tcPr>
          <w:p w14:paraId="142FFAC0"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3.3%</w:t>
            </w:r>
          </w:p>
        </w:tc>
        <w:tc>
          <w:tcPr>
            <w:tcW w:w="1417" w:type="dxa"/>
          </w:tcPr>
          <w:p w14:paraId="0FB35ABD"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23.8%</w:t>
            </w:r>
          </w:p>
        </w:tc>
        <w:tc>
          <w:tcPr>
            <w:tcW w:w="1242" w:type="dxa"/>
          </w:tcPr>
          <w:p w14:paraId="6EACC6F8"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1.8%</w:t>
            </w:r>
          </w:p>
        </w:tc>
        <w:tc>
          <w:tcPr>
            <w:tcW w:w="1452" w:type="dxa"/>
          </w:tcPr>
          <w:p w14:paraId="755A0EC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12.4%</w:t>
            </w:r>
          </w:p>
        </w:tc>
        <w:tc>
          <w:tcPr>
            <w:tcW w:w="1134" w:type="dxa"/>
          </w:tcPr>
          <w:p w14:paraId="1AF5DDB5"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2.5%</w:t>
            </w:r>
          </w:p>
        </w:tc>
        <w:tc>
          <w:tcPr>
            <w:tcW w:w="1417" w:type="dxa"/>
          </w:tcPr>
          <w:p w14:paraId="65473481"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20.8%</w:t>
            </w:r>
          </w:p>
        </w:tc>
      </w:tr>
      <w:tr w:rsidR="001778AA" w:rsidRPr="00F04F82" w14:paraId="40F2FFE0" w14:textId="77777777" w:rsidTr="00A57E99">
        <w:trPr>
          <w:trHeight w:val="147"/>
        </w:trPr>
        <w:tc>
          <w:tcPr>
            <w:tcW w:w="1418" w:type="dxa"/>
          </w:tcPr>
          <w:p w14:paraId="22A44AC6"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12 months</w:t>
            </w:r>
          </w:p>
        </w:tc>
        <w:tc>
          <w:tcPr>
            <w:tcW w:w="1134" w:type="dxa"/>
          </w:tcPr>
          <w:p w14:paraId="13D5628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17" w:type="dxa"/>
          </w:tcPr>
          <w:p w14:paraId="7C318B4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242" w:type="dxa"/>
          </w:tcPr>
          <w:p w14:paraId="13B98335"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452" w:type="dxa"/>
          </w:tcPr>
          <w:p w14:paraId="4EEB3C54"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134" w:type="dxa"/>
          </w:tcPr>
          <w:p w14:paraId="31764592"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4.5%</w:t>
            </w:r>
          </w:p>
        </w:tc>
        <w:tc>
          <w:tcPr>
            <w:tcW w:w="1417" w:type="dxa"/>
          </w:tcPr>
          <w:p w14:paraId="2157D0D3"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23.2%</w:t>
            </w:r>
          </w:p>
        </w:tc>
      </w:tr>
    </w:tbl>
    <w:p w14:paraId="454F0A51"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RA study I at 24</w:t>
      </w:r>
      <w:r w:rsidRPr="001775D9">
        <w:rPr>
          <w:sz w:val="20"/>
        </w:rPr>
        <w:t> </w:t>
      </w:r>
      <w:r w:rsidRPr="001775D9">
        <w:rPr>
          <w:sz w:val="20"/>
          <w:lang w:eastAsia="en-GB"/>
        </w:rPr>
        <w:t>weeks, RA study II at 26 weeks, and RA study III at 24 and 52</w:t>
      </w:r>
      <w:r w:rsidRPr="001775D9">
        <w:rPr>
          <w:sz w:val="20"/>
        </w:rPr>
        <w:t> </w:t>
      </w:r>
      <w:r w:rsidRPr="001775D9">
        <w:rPr>
          <w:sz w:val="20"/>
          <w:lang w:eastAsia="en-GB"/>
        </w:rPr>
        <w:t xml:space="preserve">weeks </w:t>
      </w:r>
    </w:p>
    <w:p w14:paraId="044BAC62"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40</w:t>
      </w:r>
      <w:r w:rsidRPr="001775D9">
        <w:rPr>
          <w:sz w:val="20"/>
        </w:rPr>
        <w:t> </w:t>
      </w:r>
      <w:r w:rsidRPr="001775D9">
        <w:rPr>
          <w:sz w:val="20"/>
          <w:lang w:eastAsia="en-GB"/>
        </w:rPr>
        <w:t xml:space="preserve">mg </w:t>
      </w:r>
      <w:r w:rsidRPr="001775D9">
        <w:rPr>
          <w:rFonts w:eastAsia="Times New Roman"/>
          <w:color w:val="000000"/>
          <w:sz w:val="20"/>
        </w:rPr>
        <w:t>adalimumab</w:t>
      </w:r>
      <w:r w:rsidRPr="001775D9">
        <w:rPr>
          <w:sz w:val="20"/>
          <w:lang w:eastAsia="en-GB"/>
        </w:rPr>
        <w:t xml:space="preserve"> administered every other week </w:t>
      </w:r>
    </w:p>
    <w:p w14:paraId="6620CEBE"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MTX</w:t>
      </w:r>
      <w:r w:rsidRPr="001775D9">
        <w:rPr>
          <w:sz w:val="20"/>
        </w:rPr>
        <w:t> </w:t>
      </w:r>
      <w:r w:rsidRPr="001775D9">
        <w:rPr>
          <w:sz w:val="20"/>
          <w:lang w:eastAsia="en-GB"/>
        </w:rPr>
        <w:t>=</w:t>
      </w:r>
      <w:r w:rsidRPr="001775D9">
        <w:rPr>
          <w:sz w:val="20"/>
        </w:rPr>
        <w:t> </w:t>
      </w:r>
      <w:r w:rsidRPr="001775D9">
        <w:rPr>
          <w:sz w:val="20"/>
          <w:lang w:eastAsia="en-GB"/>
        </w:rPr>
        <w:t xml:space="preserve">methotrexate </w:t>
      </w:r>
    </w:p>
    <w:p w14:paraId="13A83022" w14:textId="77777777" w:rsidR="001778AA" w:rsidRPr="001775D9" w:rsidRDefault="001778AA" w:rsidP="001778AA">
      <w:pPr>
        <w:spacing w:line="240" w:lineRule="auto"/>
        <w:rPr>
          <w:sz w:val="20"/>
        </w:rPr>
      </w:pPr>
      <w:r w:rsidRPr="001775D9">
        <w:rPr>
          <w:sz w:val="20"/>
          <w:lang w:eastAsia="en-GB"/>
        </w:rPr>
        <w:t>** p</w:t>
      </w:r>
      <w:r w:rsidRPr="001775D9">
        <w:rPr>
          <w:sz w:val="20"/>
        </w:rPr>
        <w:t> </w:t>
      </w:r>
      <w:r w:rsidRPr="001775D9">
        <w:rPr>
          <w:sz w:val="20"/>
          <w:lang w:eastAsia="en-GB"/>
        </w:rPr>
        <w:t>&lt;</w:t>
      </w:r>
      <w:r w:rsidRPr="001775D9">
        <w:rPr>
          <w:sz w:val="20"/>
        </w:rPr>
        <w:t> </w:t>
      </w:r>
      <w:r w:rsidRPr="001775D9">
        <w:rPr>
          <w:sz w:val="20"/>
          <w:lang w:eastAsia="en-GB"/>
        </w:rPr>
        <w:t xml:space="preserve">0.01, </w:t>
      </w:r>
      <w:r w:rsidRPr="001775D9">
        <w:rPr>
          <w:rFonts w:eastAsia="Times New Roman"/>
          <w:color w:val="000000"/>
          <w:sz w:val="20"/>
        </w:rPr>
        <w:t>adalimumab</w:t>
      </w:r>
      <w:r w:rsidRPr="001775D9">
        <w:rPr>
          <w:i/>
          <w:iCs/>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w:t>
      </w:r>
    </w:p>
    <w:p w14:paraId="364B4B6A"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0198EACB"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lang w:eastAsia="en-GB"/>
        </w:rPr>
        <w:t>In RA studies I-IV, all individual components of the ACR response criteria (number of tender and swollen joints, physician and patient assessment of disease activity and pain</w:t>
      </w:r>
      <w:r w:rsidRPr="001775D9">
        <w:rPr>
          <w:color w:val="000000"/>
          <w:szCs w:val="22"/>
          <w:lang w:eastAsia="en-GB"/>
        </w:rPr>
        <w:t xml:space="preserve">, disability index (HAQ) scores and CRP (mg/dL) values) improved at 24 or 26 weeks compared to placebo. In RA study III, these improvements were maintained throughout 52 weeks. </w:t>
      </w:r>
    </w:p>
    <w:p w14:paraId="62741395"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1A2030EC"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color w:val="000000"/>
          <w:szCs w:val="22"/>
          <w:lang w:eastAsia="en-GB"/>
        </w:rPr>
        <w:t xml:space="preserve">In the open-label extension for </w:t>
      </w:r>
      <w:r w:rsidRPr="001775D9">
        <w:rPr>
          <w:szCs w:val="22"/>
          <w:lang w:eastAsia="en-GB"/>
        </w:rPr>
        <w:t xml:space="preserve">RA study III, most patients who were ACR responders maintained response when followed for up to 10 years. Of 207 patients who were randomised to </w:t>
      </w:r>
      <w:r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 xml:space="preserve">mg every other week, 114 patients continued on </w:t>
      </w:r>
      <w:r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 xml:space="preserve">mg every other week for 5 years. Among those, 86 patients (75.4%) had ACR 20 responses; 72 patients (63.2%) had ACR 50 responses; and 41 patients (36%) had ACR 70 responses. Of 207 patients, 81 patients continued on </w:t>
      </w:r>
      <w:r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mg every other week for 10 years. Among those, 64 patients (79.0%) had ACR 20 responses; 56 patients (69.1%) had ACR 50 responses; and 43 patients (53.1%) had ACR 70 responses.</w:t>
      </w:r>
    </w:p>
    <w:p w14:paraId="60017AFD"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33D83106"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RA study IV, the ACR 20 response of patients treated with </w:t>
      </w:r>
      <w:r w:rsidRPr="001775D9">
        <w:rPr>
          <w:rFonts w:eastAsia="Times New Roman"/>
          <w:color w:val="000000"/>
          <w:szCs w:val="22"/>
        </w:rPr>
        <w:t>adalimumab</w:t>
      </w:r>
      <w:r w:rsidRPr="001775D9">
        <w:rPr>
          <w:szCs w:val="22"/>
          <w:lang w:eastAsia="en-GB"/>
        </w:rPr>
        <w:t xml:space="preserve"> plus standard of care was statistically significantly better than patients treated with placebo plus standard of care (p</w:t>
      </w:r>
      <w:r w:rsidRPr="001775D9">
        <w:rPr>
          <w:szCs w:val="22"/>
        </w:rPr>
        <w:t> </w:t>
      </w:r>
      <w:r w:rsidRPr="001775D9">
        <w:rPr>
          <w:szCs w:val="22"/>
          <w:lang w:eastAsia="en-GB"/>
        </w:rPr>
        <w:t>&lt;</w:t>
      </w:r>
      <w:r w:rsidRPr="001775D9">
        <w:rPr>
          <w:szCs w:val="22"/>
        </w:rPr>
        <w:t> </w:t>
      </w:r>
      <w:r w:rsidRPr="001775D9">
        <w:rPr>
          <w:szCs w:val="22"/>
          <w:lang w:eastAsia="en-GB"/>
        </w:rPr>
        <w:t xml:space="preserve">0.001). </w:t>
      </w:r>
    </w:p>
    <w:p w14:paraId="07DD895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8EAF0D3"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RA studies I-IV, </w:t>
      </w:r>
      <w:r w:rsidRPr="001775D9">
        <w:rPr>
          <w:rFonts w:eastAsia="Times New Roman"/>
          <w:color w:val="000000"/>
          <w:szCs w:val="22"/>
        </w:rPr>
        <w:t>adalimumab</w:t>
      </w:r>
      <w:r w:rsidRPr="001775D9">
        <w:rPr>
          <w:szCs w:val="22"/>
          <w:lang w:eastAsia="en-GB"/>
        </w:rPr>
        <w:t xml:space="preserve">-treated patients achieved statistically significant ACR 20 and 50 responses compared to placebo as early as one to two weeks after initiation of treatment. </w:t>
      </w:r>
    </w:p>
    <w:p w14:paraId="4825B22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9308AC3"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lang w:eastAsia="en-GB"/>
        </w:rPr>
        <w:t xml:space="preserve">In RA study V with early rheumatoid arthritis patients who were methotrexate naïve, combination therapy with </w:t>
      </w:r>
      <w:r w:rsidRPr="001775D9">
        <w:rPr>
          <w:rFonts w:eastAsia="Times New Roman"/>
          <w:color w:val="000000"/>
          <w:szCs w:val="22"/>
        </w:rPr>
        <w:t>adalimumab</w:t>
      </w:r>
      <w:r w:rsidRPr="001775D9">
        <w:rPr>
          <w:szCs w:val="22"/>
          <w:lang w:eastAsia="en-GB"/>
        </w:rPr>
        <w:t xml:space="preserve"> and methotrexate led to faster and significantly greater ACR responses than methotrexate monotherapy and adalimumab monotherapy at week 52 and responses were sustained at week 104 (see table 9).</w:t>
      </w:r>
    </w:p>
    <w:p w14:paraId="064839B4"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1BDA6038" w14:textId="77777777" w:rsidR="001778AA" w:rsidRPr="001775D9" w:rsidRDefault="001778AA" w:rsidP="001778AA">
      <w:pPr>
        <w:keepNext/>
        <w:keepLines/>
        <w:tabs>
          <w:tab w:val="clear" w:pos="567"/>
        </w:tabs>
        <w:autoSpaceDE w:val="0"/>
        <w:autoSpaceDN w:val="0"/>
        <w:adjustRightInd w:val="0"/>
        <w:spacing w:line="240" w:lineRule="auto"/>
        <w:rPr>
          <w:szCs w:val="22"/>
          <w:lang w:eastAsia="en-GB"/>
        </w:rPr>
      </w:pPr>
      <w:r w:rsidRPr="001775D9">
        <w:rPr>
          <w:b/>
          <w:bCs/>
          <w:szCs w:val="22"/>
          <w:lang w:eastAsia="en-GB"/>
        </w:rPr>
        <w:t>Table 9. ACR responses in RA study V (percent of patients)</w:t>
      </w:r>
    </w:p>
    <w:p w14:paraId="23AA162B" w14:textId="77777777" w:rsidR="001778AA" w:rsidRPr="001775D9" w:rsidRDefault="001778AA" w:rsidP="001778AA">
      <w:pPr>
        <w:keepNext/>
        <w:keepLines/>
        <w:spacing w:line="240" w:lineRule="auto"/>
        <w:rPr>
          <w:szCs w:val="22"/>
          <w:lang w:eastAsia="en-GB"/>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276"/>
        <w:gridCol w:w="1559"/>
        <w:gridCol w:w="1559"/>
        <w:gridCol w:w="1134"/>
        <w:gridCol w:w="1134"/>
        <w:gridCol w:w="1134"/>
      </w:tblGrid>
      <w:tr w:rsidR="001778AA" w:rsidRPr="00F04F82" w14:paraId="33BFE603" w14:textId="77777777" w:rsidTr="00D47253">
        <w:trPr>
          <w:trHeight w:val="293"/>
          <w:tblHeader/>
        </w:trPr>
        <w:tc>
          <w:tcPr>
            <w:tcW w:w="1418" w:type="dxa"/>
          </w:tcPr>
          <w:p w14:paraId="4F213095"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Response </w:t>
            </w:r>
          </w:p>
        </w:tc>
        <w:tc>
          <w:tcPr>
            <w:tcW w:w="1276" w:type="dxa"/>
          </w:tcPr>
          <w:p w14:paraId="4751B07A"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MTX</w:t>
            </w:r>
          </w:p>
          <w:p w14:paraId="23EC04D3"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257</w:t>
            </w:r>
          </w:p>
        </w:tc>
        <w:tc>
          <w:tcPr>
            <w:tcW w:w="1559" w:type="dxa"/>
          </w:tcPr>
          <w:p w14:paraId="3081D796"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szCs w:val="22"/>
                <w:lang w:eastAsia="en-GB"/>
              </w:rPr>
              <w:t>Adalimumab</w:t>
            </w:r>
            <w:r w:rsidRPr="001775D9">
              <w:rPr>
                <w:b/>
                <w:szCs w:val="22"/>
                <w:lang w:eastAsia="en-GB"/>
              </w:rPr>
              <w:br/>
            </w: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274</w:t>
            </w:r>
          </w:p>
        </w:tc>
        <w:tc>
          <w:tcPr>
            <w:tcW w:w="1559" w:type="dxa"/>
          </w:tcPr>
          <w:p w14:paraId="00387388"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szCs w:val="22"/>
                <w:lang w:eastAsia="en-GB"/>
              </w:rPr>
              <w:t>Adalimumab</w:t>
            </w:r>
            <w:r w:rsidRPr="001775D9">
              <w:rPr>
                <w:b/>
                <w:bCs/>
                <w:szCs w:val="22"/>
                <w:lang w:eastAsia="en-GB"/>
              </w:rPr>
              <w:t xml:space="preserve"> /MTX</w:t>
            </w:r>
          </w:p>
          <w:p w14:paraId="10B4DA50"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268</w:t>
            </w:r>
          </w:p>
        </w:tc>
        <w:tc>
          <w:tcPr>
            <w:tcW w:w="1134" w:type="dxa"/>
          </w:tcPr>
          <w:p w14:paraId="0527E17F"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p-value</w:t>
            </w:r>
            <w:r w:rsidRPr="001775D9">
              <w:rPr>
                <w:b/>
                <w:bCs/>
                <w:szCs w:val="22"/>
                <w:vertAlign w:val="superscript"/>
                <w:lang w:eastAsia="en-GB"/>
              </w:rPr>
              <w:t>a</w:t>
            </w:r>
          </w:p>
        </w:tc>
        <w:tc>
          <w:tcPr>
            <w:tcW w:w="1134" w:type="dxa"/>
          </w:tcPr>
          <w:p w14:paraId="660269FB"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p-value</w:t>
            </w:r>
            <w:r w:rsidRPr="001775D9">
              <w:rPr>
                <w:b/>
                <w:bCs/>
                <w:szCs w:val="22"/>
                <w:vertAlign w:val="superscript"/>
                <w:lang w:eastAsia="en-GB"/>
              </w:rPr>
              <w:t>b</w:t>
            </w:r>
          </w:p>
        </w:tc>
        <w:tc>
          <w:tcPr>
            <w:tcW w:w="1134" w:type="dxa"/>
          </w:tcPr>
          <w:p w14:paraId="05A8B1F6"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p-value</w:t>
            </w:r>
            <w:r w:rsidRPr="001775D9">
              <w:rPr>
                <w:b/>
                <w:bCs/>
                <w:szCs w:val="22"/>
                <w:vertAlign w:val="superscript"/>
                <w:lang w:eastAsia="en-GB"/>
              </w:rPr>
              <w:t>c</w:t>
            </w:r>
          </w:p>
        </w:tc>
      </w:tr>
      <w:tr w:rsidR="001778AA" w:rsidRPr="00F04F82" w14:paraId="4E65498D" w14:textId="77777777" w:rsidTr="00D47253">
        <w:trPr>
          <w:trHeight w:val="147"/>
        </w:trPr>
        <w:tc>
          <w:tcPr>
            <w:tcW w:w="9214" w:type="dxa"/>
            <w:gridSpan w:val="7"/>
          </w:tcPr>
          <w:p w14:paraId="63E7CB0B"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ACR 20 </w:t>
            </w:r>
          </w:p>
        </w:tc>
      </w:tr>
      <w:tr w:rsidR="001778AA" w:rsidRPr="00F04F82" w14:paraId="0706361B" w14:textId="77777777" w:rsidTr="00D47253">
        <w:trPr>
          <w:trHeight w:val="147"/>
        </w:trPr>
        <w:tc>
          <w:tcPr>
            <w:tcW w:w="1418" w:type="dxa"/>
          </w:tcPr>
          <w:p w14:paraId="1EC376EC"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52</w:t>
            </w:r>
          </w:p>
        </w:tc>
        <w:tc>
          <w:tcPr>
            <w:tcW w:w="1276" w:type="dxa"/>
          </w:tcPr>
          <w:p w14:paraId="4BB60743"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62.6%</w:t>
            </w:r>
          </w:p>
        </w:tc>
        <w:tc>
          <w:tcPr>
            <w:tcW w:w="1559" w:type="dxa"/>
          </w:tcPr>
          <w:p w14:paraId="214172C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54.4%</w:t>
            </w:r>
          </w:p>
        </w:tc>
        <w:tc>
          <w:tcPr>
            <w:tcW w:w="1559" w:type="dxa"/>
          </w:tcPr>
          <w:p w14:paraId="66DD032C"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72.8%</w:t>
            </w:r>
          </w:p>
        </w:tc>
        <w:tc>
          <w:tcPr>
            <w:tcW w:w="1134" w:type="dxa"/>
          </w:tcPr>
          <w:p w14:paraId="47CFA8B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0.013</w:t>
            </w:r>
          </w:p>
        </w:tc>
        <w:tc>
          <w:tcPr>
            <w:tcW w:w="1134" w:type="dxa"/>
          </w:tcPr>
          <w:p w14:paraId="0489613C"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2563F6F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0.043</w:t>
            </w:r>
          </w:p>
        </w:tc>
      </w:tr>
      <w:tr w:rsidR="001778AA" w:rsidRPr="00F04F82" w14:paraId="0C7DE402" w14:textId="77777777" w:rsidTr="00D47253">
        <w:trPr>
          <w:trHeight w:val="147"/>
        </w:trPr>
        <w:tc>
          <w:tcPr>
            <w:tcW w:w="1418" w:type="dxa"/>
          </w:tcPr>
          <w:p w14:paraId="14564B28"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104</w:t>
            </w:r>
          </w:p>
        </w:tc>
        <w:tc>
          <w:tcPr>
            <w:tcW w:w="1276" w:type="dxa"/>
          </w:tcPr>
          <w:p w14:paraId="4D8DEA7D"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56.0%</w:t>
            </w:r>
          </w:p>
        </w:tc>
        <w:tc>
          <w:tcPr>
            <w:tcW w:w="1559" w:type="dxa"/>
          </w:tcPr>
          <w:p w14:paraId="586996A6"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49.3%</w:t>
            </w:r>
          </w:p>
        </w:tc>
        <w:tc>
          <w:tcPr>
            <w:tcW w:w="1559" w:type="dxa"/>
          </w:tcPr>
          <w:p w14:paraId="65C544F4"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69.4%</w:t>
            </w:r>
          </w:p>
        </w:tc>
        <w:tc>
          <w:tcPr>
            <w:tcW w:w="1134" w:type="dxa"/>
          </w:tcPr>
          <w:p w14:paraId="5BF33EFF"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0.002</w:t>
            </w:r>
          </w:p>
        </w:tc>
        <w:tc>
          <w:tcPr>
            <w:tcW w:w="1134" w:type="dxa"/>
          </w:tcPr>
          <w:p w14:paraId="1DC4AE3B"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1D5CCF00"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0.140</w:t>
            </w:r>
          </w:p>
        </w:tc>
      </w:tr>
      <w:tr w:rsidR="001778AA" w:rsidRPr="00F04F82" w14:paraId="37C8EE46" w14:textId="77777777" w:rsidTr="00D47253">
        <w:trPr>
          <w:trHeight w:val="147"/>
        </w:trPr>
        <w:tc>
          <w:tcPr>
            <w:tcW w:w="9214" w:type="dxa"/>
            <w:gridSpan w:val="7"/>
          </w:tcPr>
          <w:p w14:paraId="54A0CC42"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ACR 50 </w:t>
            </w:r>
          </w:p>
        </w:tc>
      </w:tr>
      <w:tr w:rsidR="001778AA" w:rsidRPr="00F04F82" w14:paraId="7EDE27AB" w14:textId="77777777" w:rsidTr="00D47253">
        <w:trPr>
          <w:trHeight w:val="147"/>
        </w:trPr>
        <w:tc>
          <w:tcPr>
            <w:tcW w:w="1418" w:type="dxa"/>
          </w:tcPr>
          <w:p w14:paraId="3269B54B"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52</w:t>
            </w:r>
          </w:p>
        </w:tc>
        <w:tc>
          <w:tcPr>
            <w:tcW w:w="1276" w:type="dxa"/>
          </w:tcPr>
          <w:p w14:paraId="1C5CCB20"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45.9%</w:t>
            </w:r>
          </w:p>
        </w:tc>
        <w:tc>
          <w:tcPr>
            <w:tcW w:w="1559" w:type="dxa"/>
          </w:tcPr>
          <w:p w14:paraId="2EE94C0A"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41.2%</w:t>
            </w:r>
          </w:p>
        </w:tc>
        <w:tc>
          <w:tcPr>
            <w:tcW w:w="1559" w:type="dxa"/>
          </w:tcPr>
          <w:p w14:paraId="4716E510"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61.6%</w:t>
            </w:r>
          </w:p>
        </w:tc>
        <w:tc>
          <w:tcPr>
            <w:tcW w:w="1134" w:type="dxa"/>
          </w:tcPr>
          <w:p w14:paraId="545E70F3"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462007D3"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55D8F28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0.317</w:t>
            </w:r>
          </w:p>
        </w:tc>
      </w:tr>
      <w:tr w:rsidR="001778AA" w:rsidRPr="00F04F82" w14:paraId="2660A486" w14:textId="77777777" w:rsidTr="00D47253">
        <w:trPr>
          <w:trHeight w:val="147"/>
        </w:trPr>
        <w:tc>
          <w:tcPr>
            <w:tcW w:w="1418" w:type="dxa"/>
          </w:tcPr>
          <w:p w14:paraId="2BA4D584"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104</w:t>
            </w:r>
          </w:p>
        </w:tc>
        <w:tc>
          <w:tcPr>
            <w:tcW w:w="1276" w:type="dxa"/>
          </w:tcPr>
          <w:p w14:paraId="6D9FEF4F"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42.8%</w:t>
            </w:r>
          </w:p>
        </w:tc>
        <w:tc>
          <w:tcPr>
            <w:tcW w:w="1559" w:type="dxa"/>
          </w:tcPr>
          <w:p w14:paraId="2BAC990B"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36.9%</w:t>
            </w:r>
          </w:p>
        </w:tc>
        <w:tc>
          <w:tcPr>
            <w:tcW w:w="1559" w:type="dxa"/>
          </w:tcPr>
          <w:p w14:paraId="177811D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59.0%</w:t>
            </w:r>
          </w:p>
        </w:tc>
        <w:tc>
          <w:tcPr>
            <w:tcW w:w="1134" w:type="dxa"/>
          </w:tcPr>
          <w:p w14:paraId="74512C96"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69285B45"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4C424BB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0.162</w:t>
            </w:r>
          </w:p>
        </w:tc>
      </w:tr>
      <w:tr w:rsidR="001778AA" w:rsidRPr="00F04F82" w14:paraId="2AB73B2C" w14:textId="77777777" w:rsidTr="00D47253">
        <w:trPr>
          <w:trHeight w:val="147"/>
        </w:trPr>
        <w:tc>
          <w:tcPr>
            <w:tcW w:w="9214" w:type="dxa"/>
            <w:gridSpan w:val="7"/>
          </w:tcPr>
          <w:p w14:paraId="64945CC1"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ACR 70 </w:t>
            </w:r>
          </w:p>
        </w:tc>
      </w:tr>
      <w:tr w:rsidR="001778AA" w:rsidRPr="00F04F82" w14:paraId="70BC824E" w14:textId="77777777" w:rsidTr="00D47253">
        <w:trPr>
          <w:trHeight w:val="147"/>
        </w:trPr>
        <w:tc>
          <w:tcPr>
            <w:tcW w:w="1418" w:type="dxa"/>
          </w:tcPr>
          <w:p w14:paraId="5265BF68"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52</w:t>
            </w:r>
          </w:p>
        </w:tc>
        <w:tc>
          <w:tcPr>
            <w:tcW w:w="1276" w:type="dxa"/>
          </w:tcPr>
          <w:p w14:paraId="246CCA01"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27.2%</w:t>
            </w:r>
          </w:p>
        </w:tc>
        <w:tc>
          <w:tcPr>
            <w:tcW w:w="1559" w:type="dxa"/>
          </w:tcPr>
          <w:p w14:paraId="7C8E5E4D"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25.9%</w:t>
            </w:r>
          </w:p>
        </w:tc>
        <w:tc>
          <w:tcPr>
            <w:tcW w:w="1559" w:type="dxa"/>
          </w:tcPr>
          <w:p w14:paraId="7CC4BD49"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45.5%</w:t>
            </w:r>
          </w:p>
        </w:tc>
        <w:tc>
          <w:tcPr>
            <w:tcW w:w="1134" w:type="dxa"/>
          </w:tcPr>
          <w:p w14:paraId="229E898A"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370F3BE4"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5E795B9D"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0.656</w:t>
            </w:r>
          </w:p>
        </w:tc>
      </w:tr>
      <w:tr w:rsidR="001778AA" w:rsidRPr="00F04F82" w14:paraId="4116F291" w14:textId="77777777" w:rsidTr="00D47253">
        <w:trPr>
          <w:trHeight w:val="147"/>
        </w:trPr>
        <w:tc>
          <w:tcPr>
            <w:tcW w:w="1418" w:type="dxa"/>
            <w:tcBorders>
              <w:bottom w:val="single" w:sz="4" w:space="0" w:color="auto"/>
            </w:tcBorders>
          </w:tcPr>
          <w:p w14:paraId="0ADFD63C"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104</w:t>
            </w:r>
          </w:p>
        </w:tc>
        <w:tc>
          <w:tcPr>
            <w:tcW w:w="1276" w:type="dxa"/>
            <w:tcBorders>
              <w:bottom w:val="single" w:sz="4" w:space="0" w:color="auto"/>
            </w:tcBorders>
          </w:tcPr>
          <w:p w14:paraId="482A84DA"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28.4%</w:t>
            </w:r>
          </w:p>
        </w:tc>
        <w:tc>
          <w:tcPr>
            <w:tcW w:w="1559" w:type="dxa"/>
            <w:tcBorders>
              <w:bottom w:val="single" w:sz="4" w:space="0" w:color="auto"/>
            </w:tcBorders>
          </w:tcPr>
          <w:p w14:paraId="22377CDC"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28.1%</w:t>
            </w:r>
          </w:p>
        </w:tc>
        <w:tc>
          <w:tcPr>
            <w:tcW w:w="1559" w:type="dxa"/>
            <w:tcBorders>
              <w:bottom w:val="single" w:sz="4" w:space="0" w:color="auto"/>
            </w:tcBorders>
          </w:tcPr>
          <w:p w14:paraId="45BDB959"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46.6%</w:t>
            </w:r>
          </w:p>
        </w:tc>
        <w:tc>
          <w:tcPr>
            <w:tcW w:w="1134" w:type="dxa"/>
            <w:tcBorders>
              <w:bottom w:val="single" w:sz="4" w:space="0" w:color="auto"/>
            </w:tcBorders>
          </w:tcPr>
          <w:p w14:paraId="1A7C525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Borders>
              <w:bottom w:val="single" w:sz="4" w:space="0" w:color="auto"/>
            </w:tcBorders>
          </w:tcPr>
          <w:p w14:paraId="2E709B1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 0.001</w:t>
            </w:r>
          </w:p>
        </w:tc>
        <w:tc>
          <w:tcPr>
            <w:tcW w:w="1134" w:type="dxa"/>
            <w:tcBorders>
              <w:bottom w:val="single" w:sz="4" w:space="0" w:color="auto"/>
            </w:tcBorders>
          </w:tcPr>
          <w:p w14:paraId="30FBA5D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0.864</w:t>
            </w:r>
          </w:p>
        </w:tc>
      </w:tr>
      <w:tr w:rsidR="001778AA" w:rsidRPr="00F04F82" w14:paraId="72FE8250" w14:textId="77777777" w:rsidTr="00D47253">
        <w:trPr>
          <w:trHeight w:val="834"/>
        </w:trPr>
        <w:tc>
          <w:tcPr>
            <w:tcW w:w="9214" w:type="dxa"/>
            <w:gridSpan w:val="7"/>
            <w:tcBorders>
              <w:top w:val="single" w:sz="4" w:space="0" w:color="auto"/>
              <w:left w:val="nil"/>
              <w:bottom w:val="nil"/>
              <w:right w:val="nil"/>
            </w:tcBorders>
          </w:tcPr>
          <w:p w14:paraId="28647201" w14:textId="77777777" w:rsidR="001778AA" w:rsidRPr="001775D9" w:rsidRDefault="001778AA" w:rsidP="00D47253">
            <w:pPr>
              <w:keepNext/>
              <w:keepLines/>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p-value is from the pairwise comparison of methotrexate monotherapy and </w:t>
            </w:r>
            <w:r w:rsidRPr="001775D9">
              <w:rPr>
                <w:rFonts w:eastAsia="Times New Roman"/>
                <w:color w:val="000000"/>
                <w:sz w:val="20"/>
              </w:rPr>
              <w:t>adalimumab</w:t>
            </w:r>
            <w:r w:rsidRPr="001775D9">
              <w:rPr>
                <w:sz w:val="20"/>
                <w:lang w:eastAsia="en-GB"/>
              </w:rPr>
              <w:t xml:space="preserve">/methotrexate combination therapy using the Mann-Whitney U test </w:t>
            </w:r>
          </w:p>
          <w:p w14:paraId="30765539" w14:textId="77777777" w:rsidR="001778AA" w:rsidRPr="001775D9" w:rsidRDefault="001778AA" w:rsidP="00D47253">
            <w:pPr>
              <w:keepNext/>
              <w:keepLines/>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p-value is from the pairwise comparison of </w:t>
            </w:r>
            <w:r w:rsidRPr="001775D9">
              <w:rPr>
                <w:rFonts w:eastAsia="Times New Roman"/>
                <w:color w:val="000000"/>
                <w:sz w:val="20"/>
              </w:rPr>
              <w:t>adalimumab</w:t>
            </w:r>
            <w:r w:rsidRPr="001775D9">
              <w:rPr>
                <w:sz w:val="20"/>
                <w:lang w:eastAsia="en-GB"/>
              </w:rPr>
              <w:t xml:space="preserve"> monotherapy and </w:t>
            </w:r>
            <w:r w:rsidRPr="001775D9">
              <w:rPr>
                <w:rFonts w:eastAsia="Times New Roman"/>
                <w:color w:val="000000"/>
                <w:sz w:val="20"/>
              </w:rPr>
              <w:t>adalimumab</w:t>
            </w:r>
            <w:r w:rsidRPr="001775D9">
              <w:rPr>
                <w:sz w:val="20"/>
                <w:lang w:eastAsia="en-GB"/>
              </w:rPr>
              <w:t xml:space="preserve">/methotrexate combination therapy using the Mann-Whitney U test </w:t>
            </w:r>
          </w:p>
          <w:p w14:paraId="46B042C6" w14:textId="77777777" w:rsidR="001778AA" w:rsidRPr="001775D9" w:rsidRDefault="001778AA" w:rsidP="00D47253">
            <w:pPr>
              <w:keepNext/>
              <w:keepLines/>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p-value is from the pairwise comparison of </w:t>
            </w:r>
            <w:r w:rsidRPr="001775D9">
              <w:rPr>
                <w:rFonts w:eastAsia="Times New Roman"/>
                <w:color w:val="000000"/>
                <w:sz w:val="20"/>
              </w:rPr>
              <w:t>adalimumab</w:t>
            </w:r>
            <w:r w:rsidRPr="001775D9">
              <w:rPr>
                <w:sz w:val="20"/>
                <w:lang w:eastAsia="en-GB"/>
              </w:rPr>
              <w:t xml:space="preserve"> monotherapy and methotrexate monotherapy using the Mann-Whitney U test </w:t>
            </w:r>
          </w:p>
        </w:tc>
      </w:tr>
    </w:tbl>
    <w:p w14:paraId="28DA35D8" w14:textId="77777777" w:rsidR="001778AA" w:rsidRPr="001775D9" w:rsidRDefault="001778AA" w:rsidP="001778AA">
      <w:pPr>
        <w:spacing w:line="240" w:lineRule="auto"/>
        <w:rPr>
          <w:szCs w:val="22"/>
          <w:lang w:eastAsia="en-GB"/>
        </w:rPr>
      </w:pPr>
    </w:p>
    <w:p w14:paraId="56505FD5" w14:textId="77777777" w:rsidR="001778AA" w:rsidRPr="00D55B59" w:rsidRDefault="001778AA" w:rsidP="001778AA">
      <w:pPr>
        <w:tabs>
          <w:tab w:val="clear" w:pos="567"/>
        </w:tabs>
        <w:autoSpaceDE w:val="0"/>
        <w:autoSpaceDN w:val="0"/>
        <w:adjustRightInd w:val="0"/>
        <w:spacing w:line="240" w:lineRule="auto"/>
        <w:rPr>
          <w:szCs w:val="22"/>
          <w:rPrChange w:id="1628" w:author="Author">
            <w:rPr>
              <w:szCs w:val="22"/>
              <w:lang w:val="en-US"/>
            </w:rPr>
          </w:rPrChange>
        </w:rPr>
      </w:pPr>
      <w:r w:rsidRPr="00D55B59">
        <w:rPr>
          <w:szCs w:val="22"/>
          <w:rPrChange w:id="1629" w:author="Author">
            <w:rPr>
              <w:szCs w:val="22"/>
              <w:lang w:val="en-US"/>
            </w:rPr>
          </w:rPrChange>
        </w:rPr>
        <w:t xml:space="preserve">In the open-label extension for RA study V, ACR response rates were maintained when followed for up to 10 years. Of 542 patients who were randomised to adalimumab 40 mg every other week, 170 patients continued on adalimumab 40 mg every other week for 10 years. Among those, 154 patients (90.6%) had ACR 20 responses; 127 patients (74.7%) had ACR 50 responses; and 102 patients (60.0%) had ACR 70 responses. </w:t>
      </w:r>
    </w:p>
    <w:p w14:paraId="64794957" w14:textId="77777777" w:rsidR="001778AA" w:rsidRPr="00D55B59" w:rsidRDefault="001778AA" w:rsidP="001778AA">
      <w:pPr>
        <w:tabs>
          <w:tab w:val="clear" w:pos="567"/>
        </w:tabs>
        <w:autoSpaceDE w:val="0"/>
        <w:autoSpaceDN w:val="0"/>
        <w:adjustRightInd w:val="0"/>
        <w:spacing w:line="240" w:lineRule="auto"/>
        <w:rPr>
          <w:szCs w:val="22"/>
          <w:rPrChange w:id="1630" w:author="Author">
            <w:rPr>
              <w:szCs w:val="22"/>
              <w:lang w:val="en-US"/>
            </w:rPr>
          </w:rPrChange>
        </w:rPr>
      </w:pPr>
    </w:p>
    <w:p w14:paraId="1BFF7C1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At week 52, 42.9% of patients who received </w:t>
      </w:r>
      <w:r w:rsidRPr="001775D9">
        <w:rPr>
          <w:rFonts w:eastAsia="Times New Roman"/>
          <w:color w:val="000000"/>
          <w:szCs w:val="22"/>
        </w:rPr>
        <w:t>adalimumab</w:t>
      </w:r>
      <w:r w:rsidRPr="001775D9">
        <w:rPr>
          <w:szCs w:val="22"/>
          <w:lang w:eastAsia="en-GB"/>
        </w:rPr>
        <w:t>/methotrexate combination therapy achieved clinical remission (DAS28 (CRP) &lt;</w:t>
      </w:r>
      <w:r w:rsidRPr="001775D9">
        <w:rPr>
          <w:szCs w:val="22"/>
        </w:rPr>
        <w:t> </w:t>
      </w:r>
      <w:r w:rsidRPr="001775D9">
        <w:rPr>
          <w:szCs w:val="22"/>
          <w:lang w:eastAsia="en-GB"/>
        </w:rPr>
        <w:t xml:space="preserve">2.6) compared to 20.6% of patients receiving methotrexate monotherapy and 23.4% of patients receiving </w:t>
      </w:r>
      <w:r w:rsidRPr="001775D9">
        <w:rPr>
          <w:rFonts w:eastAsia="Times New Roman"/>
          <w:color w:val="000000"/>
          <w:szCs w:val="22"/>
        </w:rPr>
        <w:t>adalimumab</w:t>
      </w:r>
      <w:r w:rsidRPr="001775D9">
        <w:rPr>
          <w:szCs w:val="22"/>
          <w:lang w:eastAsia="en-GB"/>
        </w:rPr>
        <w:t xml:space="preserve"> monotherapy. </w:t>
      </w:r>
      <w:r w:rsidRPr="001775D9">
        <w:rPr>
          <w:rFonts w:eastAsia="Times New Roman"/>
          <w:color w:val="000000"/>
          <w:szCs w:val="22"/>
        </w:rPr>
        <w:t>Adalimumab</w:t>
      </w:r>
      <w:r w:rsidRPr="001775D9">
        <w:rPr>
          <w:szCs w:val="22"/>
          <w:lang w:eastAsia="en-GB"/>
        </w:rPr>
        <w:t>/methotrexate combination therapy was clinically and statistically superior to methotrexate (p</w:t>
      </w:r>
      <w:r w:rsidRPr="001775D9">
        <w:rPr>
          <w:szCs w:val="22"/>
        </w:rPr>
        <w:t> </w:t>
      </w:r>
      <w:r w:rsidRPr="001775D9">
        <w:rPr>
          <w:szCs w:val="22"/>
          <w:lang w:eastAsia="en-GB"/>
        </w:rPr>
        <w:t>&lt;</w:t>
      </w:r>
      <w:r w:rsidRPr="001775D9">
        <w:rPr>
          <w:szCs w:val="22"/>
        </w:rPr>
        <w:t> </w:t>
      </w:r>
      <w:r w:rsidRPr="001775D9">
        <w:rPr>
          <w:szCs w:val="22"/>
          <w:lang w:eastAsia="en-GB"/>
        </w:rPr>
        <w:t xml:space="preserve">0.001) and </w:t>
      </w:r>
      <w:r w:rsidRPr="001775D9">
        <w:rPr>
          <w:rFonts w:eastAsia="Times New Roman"/>
          <w:color w:val="000000"/>
          <w:szCs w:val="22"/>
        </w:rPr>
        <w:t>adalimumab</w:t>
      </w:r>
      <w:r w:rsidRPr="001775D9">
        <w:rPr>
          <w:szCs w:val="22"/>
          <w:lang w:eastAsia="en-GB"/>
        </w:rPr>
        <w:t xml:space="preserve"> monotherapy (p</w:t>
      </w:r>
      <w:r w:rsidRPr="001775D9">
        <w:rPr>
          <w:szCs w:val="22"/>
        </w:rPr>
        <w:t> </w:t>
      </w:r>
      <w:r w:rsidRPr="001775D9">
        <w:rPr>
          <w:szCs w:val="22"/>
          <w:lang w:eastAsia="en-GB"/>
        </w:rPr>
        <w:t>&lt;</w:t>
      </w:r>
      <w:r w:rsidRPr="001775D9">
        <w:rPr>
          <w:szCs w:val="22"/>
        </w:rPr>
        <w:t> </w:t>
      </w:r>
      <w:r w:rsidRPr="001775D9">
        <w:rPr>
          <w:szCs w:val="22"/>
          <w:lang w:eastAsia="en-GB"/>
        </w:rPr>
        <w:t>0.001) in achieving a low disease state in patients with recently diagnosed moderate to severe rheumatoid arthritis. The response for the two monotherapy arms was similar (p</w:t>
      </w:r>
      <w:r w:rsidRPr="001775D9">
        <w:rPr>
          <w:szCs w:val="22"/>
        </w:rPr>
        <w:t> </w:t>
      </w:r>
      <w:r w:rsidRPr="001775D9">
        <w:rPr>
          <w:szCs w:val="22"/>
          <w:lang w:eastAsia="en-GB"/>
        </w:rPr>
        <w:t>=</w:t>
      </w:r>
      <w:r w:rsidRPr="001775D9">
        <w:rPr>
          <w:szCs w:val="22"/>
        </w:rPr>
        <w:t> </w:t>
      </w:r>
      <w:r w:rsidRPr="001775D9">
        <w:rPr>
          <w:szCs w:val="22"/>
          <w:lang w:eastAsia="en-GB"/>
        </w:rPr>
        <w:t xml:space="preserve">0.447). </w:t>
      </w:r>
      <w:r w:rsidRPr="001775D9">
        <w:t>Of 342 subjects originally randomised to adalimumab monotherapy or adalimumab/methotrexate combination therapy who entered the open-label extension study, 171 subjects completed 10 years of adalimumab treatment. Among those, 109 subjects (63.7%) were reported to be in remission at 10 years.</w:t>
      </w:r>
    </w:p>
    <w:p w14:paraId="3347CD3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49817BC" w14:textId="77777777" w:rsidR="001778AA" w:rsidRPr="001775D9" w:rsidRDefault="001778AA" w:rsidP="001778AA">
      <w:pPr>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Radiographic response </w:t>
      </w:r>
    </w:p>
    <w:p w14:paraId="39D36AF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EBADC71"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RA study III, where </w:t>
      </w:r>
      <w:r w:rsidRPr="001775D9">
        <w:rPr>
          <w:rFonts w:eastAsia="Times New Roman"/>
          <w:color w:val="000000"/>
          <w:szCs w:val="22"/>
        </w:rPr>
        <w:t>adalimumab</w:t>
      </w:r>
      <w:r w:rsidRPr="001775D9">
        <w:rPr>
          <w:szCs w:val="22"/>
          <w:lang w:eastAsia="en-GB"/>
        </w:rPr>
        <w:t>-treated patients had a mean duration of rheumatoid arthritis of approximately 11</w:t>
      </w:r>
      <w:r w:rsidRPr="001775D9">
        <w:rPr>
          <w:szCs w:val="22"/>
        </w:rPr>
        <w:t> </w:t>
      </w:r>
      <w:r w:rsidRPr="001775D9">
        <w:rPr>
          <w:szCs w:val="22"/>
          <w:lang w:eastAsia="en-GB"/>
        </w:rPr>
        <w:t>years, structural joint damage was assessed radiographically and expressed as change in modified Total Sharp Score (TSS) and its components, the erosion score and joint</w:t>
      </w:r>
      <w:r w:rsidRPr="001775D9">
        <w:rPr>
          <w:color w:val="000000"/>
          <w:szCs w:val="22"/>
          <w:lang w:eastAsia="en-GB"/>
        </w:rPr>
        <w:t xml:space="preserve"> space narrowing score. </w:t>
      </w:r>
      <w:r w:rsidRPr="001775D9">
        <w:rPr>
          <w:rFonts w:eastAsia="Times New Roman"/>
          <w:color w:val="000000"/>
          <w:szCs w:val="22"/>
        </w:rPr>
        <w:t>Adalimumab</w:t>
      </w:r>
      <w:r w:rsidRPr="001775D9">
        <w:rPr>
          <w:szCs w:val="22"/>
          <w:lang w:eastAsia="en-GB"/>
        </w:rPr>
        <w:t xml:space="preserve">/methotrexate patients demonstrated significantly less radiographic progression than patients receiving methotrexate alone at 6 and 12 months (see table 10). </w:t>
      </w:r>
    </w:p>
    <w:p w14:paraId="61A7D808" w14:textId="77777777" w:rsidR="001778AA" w:rsidRPr="001775D9" w:rsidRDefault="001778AA" w:rsidP="001778AA">
      <w:pPr>
        <w:spacing w:line="240" w:lineRule="auto"/>
        <w:rPr>
          <w:szCs w:val="22"/>
          <w:lang w:eastAsia="en-GB"/>
        </w:rPr>
      </w:pPr>
    </w:p>
    <w:p w14:paraId="7F1783D8" w14:textId="77777777" w:rsidR="001778AA" w:rsidRPr="001775D9" w:rsidRDefault="001778AA" w:rsidP="001778AA">
      <w:pPr>
        <w:spacing w:line="240" w:lineRule="auto"/>
        <w:rPr>
          <w:szCs w:val="22"/>
          <w:lang w:eastAsia="en-GB"/>
        </w:rPr>
      </w:pPr>
      <w:r w:rsidRPr="001775D9">
        <w:rPr>
          <w:szCs w:val="22"/>
          <w:lang w:eastAsia="en-GB"/>
        </w:rPr>
        <w:t>In the open-label extension of RA study III, the reduction in rate of progression of structural damage is maintained for 8 and 10</w:t>
      </w:r>
      <w:r w:rsidRPr="001775D9">
        <w:rPr>
          <w:szCs w:val="22"/>
        </w:rPr>
        <w:t> </w:t>
      </w:r>
      <w:r w:rsidRPr="001775D9">
        <w:rPr>
          <w:szCs w:val="22"/>
          <w:lang w:eastAsia="en-GB"/>
        </w:rPr>
        <w:t>years in a subset of patients. At 8</w:t>
      </w:r>
      <w:r w:rsidRPr="001775D9">
        <w:rPr>
          <w:szCs w:val="22"/>
        </w:rPr>
        <w:t> </w:t>
      </w:r>
      <w:r w:rsidRPr="001775D9">
        <w:rPr>
          <w:szCs w:val="22"/>
          <w:lang w:eastAsia="en-GB"/>
        </w:rPr>
        <w:t>years, 81 of 207 patients originally treated with 40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every other week were evaluated radiographically. Among those, 48 patients showed no progression of structural damage defined by a change from baseline in the mTSS of 0.5 or less. At 10 years, 79 of 207 patients originally treated with 40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every other week were evaluated radiographically. Among those, 40 patients showed no progression of structural damage defined by a change from baseline in the mTSS of 0.5 or less.</w:t>
      </w:r>
    </w:p>
    <w:p w14:paraId="4429E69C" w14:textId="77777777" w:rsidR="001778AA" w:rsidRPr="001775D9" w:rsidRDefault="001778AA" w:rsidP="001778AA">
      <w:pPr>
        <w:spacing w:line="240" w:lineRule="auto"/>
        <w:rPr>
          <w:szCs w:val="22"/>
          <w:lang w:eastAsia="en-GB"/>
        </w:rPr>
      </w:pPr>
    </w:p>
    <w:p w14:paraId="1680D34E"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b/>
          <w:bCs/>
          <w:szCs w:val="22"/>
          <w:lang w:eastAsia="en-GB"/>
        </w:rPr>
        <w:t>Table 10. Radiographic mean changes over 12 months in RA study III</w:t>
      </w:r>
    </w:p>
    <w:p w14:paraId="673708A3" w14:textId="77777777" w:rsidR="001778AA" w:rsidRPr="001775D9" w:rsidRDefault="001778AA" w:rsidP="001778AA">
      <w:pPr>
        <w:keepNext/>
        <w:spacing w:line="240" w:lineRule="auto"/>
        <w:rPr>
          <w:szCs w:val="22"/>
          <w:lang w:eastAsia="en-GB"/>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417"/>
        <w:gridCol w:w="1985"/>
        <w:gridCol w:w="2268"/>
        <w:gridCol w:w="1559"/>
      </w:tblGrid>
      <w:tr w:rsidR="001778AA" w:rsidRPr="00F04F82" w14:paraId="0503A9B4" w14:textId="77777777" w:rsidTr="00D47253">
        <w:trPr>
          <w:trHeight w:val="555"/>
        </w:trPr>
        <w:tc>
          <w:tcPr>
            <w:tcW w:w="1985" w:type="dxa"/>
          </w:tcPr>
          <w:p w14:paraId="455342FC" w14:textId="77777777" w:rsidR="001778AA" w:rsidRPr="001775D9" w:rsidRDefault="001778AA" w:rsidP="00D47253">
            <w:pPr>
              <w:keepNext/>
              <w:tabs>
                <w:tab w:val="clear" w:pos="567"/>
              </w:tabs>
              <w:autoSpaceDE w:val="0"/>
              <w:autoSpaceDN w:val="0"/>
              <w:adjustRightInd w:val="0"/>
              <w:spacing w:line="240" w:lineRule="auto"/>
              <w:rPr>
                <w:szCs w:val="22"/>
                <w:lang w:eastAsia="en-GB"/>
              </w:rPr>
            </w:pPr>
          </w:p>
        </w:tc>
        <w:tc>
          <w:tcPr>
            <w:tcW w:w="1417" w:type="dxa"/>
          </w:tcPr>
          <w:p w14:paraId="263D9B5C"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szCs w:val="22"/>
                <w:lang w:eastAsia="en-GB"/>
              </w:rPr>
              <w:t>Placebo/ MTX</w:t>
            </w:r>
            <w:r w:rsidRPr="001775D9">
              <w:rPr>
                <w:b/>
                <w:szCs w:val="22"/>
                <w:vertAlign w:val="superscript"/>
                <w:lang w:eastAsia="en-GB"/>
              </w:rPr>
              <w:t>a</w:t>
            </w:r>
          </w:p>
        </w:tc>
        <w:tc>
          <w:tcPr>
            <w:tcW w:w="1985" w:type="dxa"/>
          </w:tcPr>
          <w:p w14:paraId="247DDBC9"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 xml:space="preserve">Adalimumab </w:t>
            </w:r>
            <w:r w:rsidRPr="001775D9">
              <w:rPr>
                <w:b/>
                <w:szCs w:val="22"/>
                <w:lang w:eastAsia="en-GB"/>
              </w:rPr>
              <w:t>/MTX</w:t>
            </w:r>
          </w:p>
          <w:p w14:paraId="0B656CD0"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szCs w:val="22"/>
                <w:lang w:eastAsia="en-GB"/>
              </w:rPr>
              <w:t>40</w:t>
            </w:r>
            <w:r w:rsidRPr="001775D9">
              <w:rPr>
                <w:b/>
                <w:szCs w:val="22"/>
              </w:rPr>
              <w:t> </w:t>
            </w:r>
            <w:r w:rsidRPr="001775D9">
              <w:rPr>
                <w:b/>
                <w:szCs w:val="22"/>
                <w:lang w:eastAsia="en-GB"/>
              </w:rPr>
              <w:t>mg every other week</w:t>
            </w:r>
          </w:p>
        </w:tc>
        <w:tc>
          <w:tcPr>
            <w:tcW w:w="2268" w:type="dxa"/>
          </w:tcPr>
          <w:p w14:paraId="4D0C2348"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szCs w:val="22"/>
                <w:lang w:eastAsia="en-GB"/>
              </w:rPr>
              <w:t xml:space="preserve">Placebo/MTX- </w:t>
            </w:r>
            <w:r w:rsidRPr="001775D9">
              <w:rPr>
                <w:rFonts w:eastAsia="Times New Roman"/>
                <w:b/>
                <w:color w:val="000000"/>
                <w:szCs w:val="22"/>
              </w:rPr>
              <w:t>adalimumab</w:t>
            </w:r>
            <w:r w:rsidRPr="001775D9">
              <w:rPr>
                <w:b/>
                <w:szCs w:val="22"/>
                <w:lang w:eastAsia="en-GB"/>
              </w:rPr>
              <w:t xml:space="preserve"> /MTX (95% confidence interval</w:t>
            </w:r>
            <w:r w:rsidRPr="001775D9">
              <w:rPr>
                <w:b/>
                <w:szCs w:val="22"/>
                <w:vertAlign w:val="superscript"/>
                <w:lang w:eastAsia="en-GB"/>
              </w:rPr>
              <w:t>b</w:t>
            </w:r>
            <w:r w:rsidRPr="001775D9">
              <w:rPr>
                <w:b/>
                <w:szCs w:val="22"/>
                <w:lang w:eastAsia="en-GB"/>
              </w:rPr>
              <w:t>)</w:t>
            </w:r>
          </w:p>
        </w:tc>
        <w:tc>
          <w:tcPr>
            <w:tcW w:w="1559" w:type="dxa"/>
          </w:tcPr>
          <w:p w14:paraId="65B25214"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szCs w:val="22"/>
                <w:lang w:eastAsia="en-GB"/>
              </w:rPr>
              <w:t>p-value</w:t>
            </w:r>
          </w:p>
        </w:tc>
      </w:tr>
      <w:tr w:rsidR="001778AA" w:rsidRPr="00F04F82" w14:paraId="312943C1" w14:textId="77777777" w:rsidTr="00D47253">
        <w:trPr>
          <w:trHeight w:val="154"/>
        </w:trPr>
        <w:tc>
          <w:tcPr>
            <w:tcW w:w="1985" w:type="dxa"/>
          </w:tcPr>
          <w:p w14:paraId="78920919"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Total Sharp Score</w:t>
            </w:r>
          </w:p>
        </w:tc>
        <w:tc>
          <w:tcPr>
            <w:tcW w:w="1417" w:type="dxa"/>
          </w:tcPr>
          <w:p w14:paraId="1573F274"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2.7</w:t>
            </w:r>
          </w:p>
        </w:tc>
        <w:tc>
          <w:tcPr>
            <w:tcW w:w="1985" w:type="dxa"/>
          </w:tcPr>
          <w:p w14:paraId="1C29150C"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0.1</w:t>
            </w:r>
          </w:p>
        </w:tc>
        <w:tc>
          <w:tcPr>
            <w:tcW w:w="2268" w:type="dxa"/>
          </w:tcPr>
          <w:p w14:paraId="6F193D15"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2.6 (1.4, 3.8)</w:t>
            </w:r>
          </w:p>
        </w:tc>
        <w:tc>
          <w:tcPr>
            <w:tcW w:w="1559" w:type="dxa"/>
          </w:tcPr>
          <w:p w14:paraId="364932A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&lt;</w:t>
            </w:r>
            <w:r w:rsidRPr="001775D9">
              <w:rPr>
                <w:szCs w:val="22"/>
              </w:rPr>
              <w:t> </w:t>
            </w:r>
            <w:r w:rsidRPr="001775D9">
              <w:rPr>
                <w:szCs w:val="22"/>
                <w:lang w:eastAsia="en-GB"/>
              </w:rPr>
              <w:t>0.001</w:t>
            </w:r>
            <w:r w:rsidRPr="001775D9">
              <w:rPr>
                <w:szCs w:val="22"/>
                <w:vertAlign w:val="superscript"/>
                <w:lang w:eastAsia="en-GB"/>
              </w:rPr>
              <w:t>c</w:t>
            </w:r>
          </w:p>
        </w:tc>
      </w:tr>
      <w:tr w:rsidR="001778AA" w:rsidRPr="00F04F82" w14:paraId="30D904D1" w14:textId="77777777" w:rsidTr="00D47253">
        <w:trPr>
          <w:trHeight w:val="147"/>
        </w:trPr>
        <w:tc>
          <w:tcPr>
            <w:tcW w:w="1985" w:type="dxa"/>
          </w:tcPr>
          <w:p w14:paraId="17190C19"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Erosion score</w:t>
            </w:r>
          </w:p>
        </w:tc>
        <w:tc>
          <w:tcPr>
            <w:tcW w:w="1417" w:type="dxa"/>
          </w:tcPr>
          <w:p w14:paraId="36F1CB6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1.6</w:t>
            </w:r>
          </w:p>
        </w:tc>
        <w:tc>
          <w:tcPr>
            <w:tcW w:w="1985" w:type="dxa"/>
          </w:tcPr>
          <w:p w14:paraId="75155B0D"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0.0</w:t>
            </w:r>
          </w:p>
        </w:tc>
        <w:tc>
          <w:tcPr>
            <w:tcW w:w="2268" w:type="dxa"/>
          </w:tcPr>
          <w:p w14:paraId="4F52EEBE"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1.6 (0.9, 2.2)</w:t>
            </w:r>
          </w:p>
        </w:tc>
        <w:tc>
          <w:tcPr>
            <w:tcW w:w="1559" w:type="dxa"/>
          </w:tcPr>
          <w:p w14:paraId="3B9DD3F4"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&lt;</w:t>
            </w:r>
            <w:r w:rsidRPr="001775D9">
              <w:rPr>
                <w:szCs w:val="22"/>
              </w:rPr>
              <w:t> </w:t>
            </w:r>
            <w:r w:rsidRPr="001775D9">
              <w:rPr>
                <w:szCs w:val="22"/>
                <w:lang w:eastAsia="en-GB"/>
              </w:rPr>
              <w:t>0.001</w:t>
            </w:r>
          </w:p>
        </w:tc>
      </w:tr>
      <w:tr w:rsidR="001778AA" w:rsidRPr="00F04F82" w14:paraId="276DD33B" w14:textId="77777777" w:rsidTr="00D47253">
        <w:trPr>
          <w:trHeight w:val="154"/>
        </w:trPr>
        <w:tc>
          <w:tcPr>
            <w:tcW w:w="1985" w:type="dxa"/>
          </w:tcPr>
          <w:p w14:paraId="109AA337"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JSN</w:t>
            </w:r>
            <w:r w:rsidRPr="001775D9">
              <w:rPr>
                <w:szCs w:val="22"/>
                <w:vertAlign w:val="superscript"/>
                <w:lang w:eastAsia="en-GB"/>
              </w:rPr>
              <w:t>d</w:t>
            </w:r>
            <w:r w:rsidRPr="001775D9">
              <w:rPr>
                <w:szCs w:val="22"/>
                <w:lang w:eastAsia="en-GB"/>
              </w:rPr>
              <w:t xml:space="preserve"> score</w:t>
            </w:r>
          </w:p>
        </w:tc>
        <w:tc>
          <w:tcPr>
            <w:tcW w:w="1417" w:type="dxa"/>
          </w:tcPr>
          <w:p w14:paraId="17742DEE"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1.0</w:t>
            </w:r>
          </w:p>
        </w:tc>
        <w:tc>
          <w:tcPr>
            <w:tcW w:w="1985" w:type="dxa"/>
          </w:tcPr>
          <w:p w14:paraId="5F12B8BC"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0.1</w:t>
            </w:r>
          </w:p>
        </w:tc>
        <w:tc>
          <w:tcPr>
            <w:tcW w:w="2268" w:type="dxa"/>
          </w:tcPr>
          <w:p w14:paraId="6C45E3C1"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0.9 (0.3, 1.4)</w:t>
            </w:r>
          </w:p>
        </w:tc>
        <w:tc>
          <w:tcPr>
            <w:tcW w:w="1559" w:type="dxa"/>
          </w:tcPr>
          <w:p w14:paraId="503F4CB0"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0.002</w:t>
            </w:r>
          </w:p>
        </w:tc>
      </w:tr>
    </w:tbl>
    <w:p w14:paraId="3B4D495D" w14:textId="6818003B" w:rsidR="001778AA" w:rsidRPr="001775D9" w:rsidRDefault="001778AA" w:rsidP="001778AA">
      <w:pPr>
        <w:keepNext/>
        <w:tabs>
          <w:tab w:val="clear" w:pos="567"/>
        </w:tabs>
        <w:autoSpaceDE w:val="0"/>
        <w:autoSpaceDN w:val="0"/>
        <w:adjustRightInd w:val="0"/>
        <w:spacing w:line="240" w:lineRule="auto"/>
        <w:rPr>
          <w:sz w:val="20"/>
          <w:lang w:eastAsia="en-GB"/>
        </w:rPr>
      </w:pPr>
      <w:r w:rsidRPr="001775D9">
        <w:rPr>
          <w:bCs/>
          <w:sz w:val="20"/>
          <w:vertAlign w:val="superscript"/>
          <w:lang w:eastAsia="en-GB"/>
        </w:rPr>
        <w:t>a</w:t>
      </w:r>
      <w:r w:rsidRPr="001775D9">
        <w:rPr>
          <w:bCs/>
          <w:sz w:val="20"/>
          <w:lang w:eastAsia="en-GB"/>
        </w:rPr>
        <w:t xml:space="preserve"> </w:t>
      </w:r>
      <w:r w:rsidR="00390DE5" w:rsidRPr="001775D9">
        <w:rPr>
          <w:sz w:val="20"/>
          <w:lang w:eastAsia="en-GB"/>
        </w:rPr>
        <w:t>M</w:t>
      </w:r>
      <w:r w:rsidRPr="001775D9">
        <w:rPr>
          <w:sz w:val="20"/>
          <w:lang w:eastAsia="en-GB"/>
        </w:rPr>
        <w:t xml:space="preserve">ethotrexate </w:t>
      </w:r>
    </w:p>
    <w:p w14:paraId="1F0440D7" w14:textId="77777777" w:rsidR="001778AA" w:rsidRPr="001775D9" w:rsidRDefault="001778AA" w:rsidP="001778AA">
      <w:pPr>
        <w:keepNext/>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95% confidence intervals for the differences in change scores between methotrexate and </w:t>
      </w:r>
      <w:r w:rsidRPr="001775D9">
        <w:rPr>
          <w:rFonts w:eastAsia="Times New Roman"/>
          <w:color w:val="000000"/>
          <w:sz w:val="20"/>
        </w:rPr>
        <w:t>adalimumab</w:t>
      </w:r>
      <w:r w:rsidRPr="001775D9">
        <w:rPr>
          <w:sz w:val="20"/>
          <w:lang w:eastAsia="en-GB"/>
        </w:rPr>
        <w:t xml:space="preserve"> </w:t>
      </w:r>
    </w:p>
    <w:p w14:paraId="01383999" w14:textId="77777777" w:rsidR="001778AA" w:rsidRPr="001775D9" w:rsidRDefault="001778AA" w:rsidP="001778AA">
      <w:pPr>
        <w:keepNext/>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Based on rank analysis </w:t>
      </w:r>
    </w:p>
    <w:p w14:paraId="65064C9D" w14:textId="77777777" w:rsidR="001778AA" w:rsidRPr="001775D9" w:rsidRDefault="001778AA" w:rsidP="001778AA">
      <w:pPr>
        <w:spacing w:line="240" w:lineRule="auto"/>
        <w:rPr>
          <w:sz w:val="20"/>
        </w:rPr>
      </w:pPr>
      <w:r w:rsidRPr="001775D9">
        <w:rPr>
          <w:sz w:val="20"/>
          <w:vertAlign w:val="superscript"/>
          <w:lang w:eastAsia="en-GB"/>
        </w:rPr>
        <w:t>d</w:t>
      </w:r>
      <w:r w:rsidRPr="001775D9">
        <w:rPr>
          <w:sz w:val="20"/>
          <w:lang w:eastAsia="en-GB"/>
        </w:rPr>
        <w:t xml:space="preserve"> Joint Space Narrowing</w:t>
      </w:r>
    </w:p>
    <w:p w14:paraId="3DB61F6B" w14:textId="77777777" w:rsidR="001778AA" w:rsidRPr="001775D9" w:rsidRDefault="001778AA" w:rsidP="001778AA">
      <w:pPr>
        <w:spacing w:line="240" w:lineRule="auto"/>
        <w:rPr>
          <w:szCs w:val="22"/>
        </w:rPr>
      </w:pPr>
    </w:p>
    <w:p w14:paraId="0EE01EE5"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RA study V, structural joint damage was assessed radiographically and expressed as change in modified Total Sharp Score (see table 11). </w:t>
      </w:r>
    </w:p>
    <w:p w14:paraId="470DF48F"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D6BE2B8"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b/>
          <w:bCs/>
          <w:szCs w:val="22"/>
          <w:lang w:eastAsia="en-GB"/>
        </w:rPr>
        <w:t>Table 11. Radiographic mean changes at week 52 in RA study V</w:t>
      </w:r>
    </w:p>
    <w:p w14:paraId="2EE5A5B4" w14:textId="77777777" w:rsidR="001778AA" w:rsidRPr="001775D9" w:rsidRDefault="001778AA" w:rsidP="001778AA">
      <w:pPr>
        <w:keepNext/>
        <w:spacing w:line="240" w:lineRule="auto"/>
        <w:rPr>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418"/>
        <w:gridCol w:w="1559"/>
        <w:gridCol w:w="1559"/>
        <w:gridCol w:w="1134"/>
        <w:gridCol w:w="1134"/>
        <w:gridCol w:w="1134"/>
      </w:tblGrid>
      <w:tr w:rsidR="001778AA" w:rsidRPr="00F04F82" w14:paraId="0DF35059" w14:textId="77777777" w:rsidTr="00D47253">
        <w:trPr>
          <w:trHeight w:val="691"/>
        </w:trPr>
        <w:tc>
          <w:tcPr>
            <w:tcW w:w="1276" w:type="dxa"/>
          </w:tcPr>
          <w:p w14:paraId="3B12C3C8"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p>
        </w:tc>
        <w:tc>
          <w:tcPr>
            <w:tcW w:w="1418" w:type="dxa"/>
          </w:tcPr>
          <w:p w14:paraId="59ED9DE1"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b/>
                <w:szCs w:val="22"/>
                <w:lang w:eastAsia="en-GB"/>
              </w:rPr>
              <w:t>MTX</w:t>
            </w:r>
          </w:p>
          <w:p w14:paraId="0BCEB2DC"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b/>
                <w:szCs w:val="22"/>
                <w:lang w:eastAsia="en-GB"/>
              </w:rPr>
              <w:t>n</w:t>
            </w:r>
            <w:r w:rsidRPr="001775D9">
              <w:rPr>
                <w:b/>
                <w:szCs w:val="22"/>
              </w:rPr>
              <w:t> </w:t>
            </w:r>
            <w:r w:rsidRPr="001775D9">
              <w:rPr>
                <w:b/>
                <w:szCs w:val="22"/>
                <w:lang w:eastAsia="en-GB"/>
              </w:rPr>
              <w:t>=</w:t>
            </w:r>
            <w:r w:rsidRPr="001775D9">
              <w:rPr>
                <w:b/>
                <w:szCs w:val="22"/>
              </w:rPr>
              <w:t> </w:t>
            </w:r>
            <w:r w:rsidRPr="001775D9">
              <w:rPr>
                <w:b/>
                <w:szCs w:val="22"/>
                <w:lang w:eastAsia="en-GB"/>
              </w:rPr>
              <w:t>257 (95% confidence interval)</w:t>
            </w:r>
          </w:p>
        </w:tc>
        <w:tc>
          <w:tcPr>
            <w:tcW w:w="1559" w:type="dxa"/>
          </w:tcPr>
          <w:p w14:paraId="13B0478A"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Pr="001775D9">
              <w:rPr>
                <w:szCs w:val="22"/>
                <w:lang w:eastAsia="en-GB"/>
              </w:rPr>
              <w:t xml:space="preserve"> </w:t>
            </w:r>
            <w:r w:rsidRPr="001775D9">
              <w:rPr>
                <w:b/>
                <w:szCs w:val="22"/>
                <w:lang w:eastAsia="en-GB"/>
              </w:rPr>
              <w:t>n</w:t>
            </w:r>
            <w:r w:rsidRPr="001775D9">
              <w:rPr>
                <w:b/>
                <w:szCs w:val="22"/>
              </w:rPr>
              <w:t> </w:t>
            </w:r>
            <w:r w:rsidRPr="001775D9">
              <w:rPr>
                <w:b/>
                <w:szCs w:val="22"/>
                <w:lang w:eastAsia="en-GB"/>
              </w:rPr>
              <w:t>=</w:t>
            </w:r>
            <w:r w:rsidRPr="001775D9">
              <w:rPr>
                <w:b/>
                <w:szCs w:val="22"/>
              </w:rPr>
              <w:t> </w:t>
            </w:r>
            <w:r w:rsidRPr="001775D9">
              <w:rPr>
                <w:b/>
                <w:szCs w:val="22"/>
                <w:lang w:eastAsia="en-GB"/>
              </w:rPr>
              <w:t>274</w:t>
            </w:r>
          </w:p>
          <w:p w14:paraId="6CB533A6"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b/>
                <w:szCs w:val="22"/>
                <w:lang w:eastAsia="en-GB"/>
              </w:rPr>
              <w:t>(95% confidence interval)</w:t>
            </w:r>
          </w:p>
        </w:tc>
        <w:tc>
          <w:tcPr>
            <w:tcW w:w="1559" w:type="dxa"/>
          </w:tcPr>
          <w:p w14:paraId="7E8B622F"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Pr="001775D9">
              <w:rPr>
                <w:b/>
                <w:szCs w:val="22"/>
                <w:lang w:eastAsia="en-GB"/>
              </w:rPr>
              <w:t>/MTX</w:t>
            </w:r>
          </w:p>
          <w:p w14:paraId="4442A115"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b/>
                <w:szCs w:val="22"/>
                <w:lang w:eastAsia="en-GB"/>
              </w:rPr>
              <w:t>n</w:t>
            </w:r>
            <w:r w:rsidRPr="001775D9">
              <w:rPr>
                <w:b/>
                <w:szCs w:val="22"/>
              </w:rPr>
              <w:t> </w:t>
            </w:r>
            <w:r w:rsidRPr="001775D9">
              <w:rPr>
                <w:b/>
                <w:szCs w:val="22"/>
                <w:lang w:eastAsia="en-GB"/>
              </w:rPr>
              <w:t>=</w:t>
            </w:r>
            <w:r w:rsidRPr="001775D9">
              <w:rPr>
                <w:b/>
                <w:szCs w:val="22"/>
              </w:rPr>
              <w:t> </w:t>
            </w:r>
            <w:r w:rsidRPr="001775D9">
              <w:rPr>
                <w:b/>
                <w:szCs w:val="22"/>
                <w:lang w:eastAsia="en-GB"/>
              </w:rPr>
              <w:t>268</w:t>
            </w:r>
          </w:p>
          <w:p w14:paraId="4B2A6DC8"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b/>
                <w:szCs w:val="22"/>
                <w:lang w:eastAsia="en-GB"/>
              </w:rPr>
              <w:t>(95% confidence interval)</w:t>
            </w:r>
          </w:p>
        </w:tc>
        <w:tc>
          <w:tcPr>
            <w:tcW w:w="1134" w:type="dxa"/>
          </w:tcPr>
          <w:p w14:paraId="35C2729D"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b/>
                <w:szCs w:val="22"/>
                <w:lang w:eastAsia="en-GB"/>
              </w:rPr>
              <w:t>p-value</w:t>
            </w:r>
            <w:r w:rsidRPr="001775D9">
              <w:rPr>
                <w:b/>
                <w:szCs w:val="22"/>
                <w:vertAlign w:val="superscript"/>
                <w:lang w:eastAsia="en-GB"/>
              </w:rPr>
              <w:t>a</w:t>
            </w:r>
          </w:p>
        </w:tc>
        <w:tc>
          <w:tcPr>
            <w:tcW w:w="1134" w:type="dxa"/>
          </w:tcPr>
          <w:p w14:paraId="7FB3CC85"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b/>
                <w:szCs w:val="22"/>
                <w:lang w:eastAsia="en-GB"/>
              </w:rPr>
              <w:t>p-value</w:t>
            </w:r>
            <w:r w:rsidRPr="001775D9">
              <w:rPr>
                <w:b/>
                <w:szCs w:val="22"/>
                <w:vertAlign w:val="superscript"/>
                <w:lang w:eastAsia="en-GB"/>
              </w:rPr>
              <w:t>b</w:t>
            </w:r>
          </w:p>
        </w:tc>
        <w:tc>
          <w:tcPr>
            <w:tcW w:w="1134" w:type="dxa"/>
          </w:tcPr>
          <w:p w14:paraId="2FBA0234" w14:textId="77777777" w:rsidR="001778AA" w:rsidRPr="001775D9" w:rsidRDefault="001778AA" w:rsidP="00D47253">
            <w:pPr>
              <w:tabs>
                <w:tab w:val="clear" w:pos="567"/>
              </w:tabs>
              <w:autoSpaceDE w:val="0"/>
              <w:autoSpaceDN w:val="0"/>
              <w:adjustRightInd w:val="0"/>
              <w:spacing w:line="240" w:lineRule="auto"/>
              <w:jc w:val="center"/>
              <w:rPr>
                <w:b/>
                <w:szCs w:val="22"/>
                <w:lang w:eastAsia="en-GB"/>
              </w:rPr>
            </w:pPr>
            <w:r w:rsidRPr="001775D9">
              <w:rPr>
                <w:b/>
                <w:szCs w:val="22"/>
                <w:lang w:eastAsia="en-GB"/>
              </w:rPr>
              <w:t>p-value</w:t>
            </w:r>
            <w:r w:rsidRPr="001775D9">
              <w:rPr>
                <w:b/>
                <w:szCs w:val="22"/>
                <w:vertAlign w:val="superscript"/>
                <w:lang w:eastAsia="en-GB"/>
              </w:rPr>
              <w:t>c</w:t>
            </w:r>
          </w:p>
        </w:tc>
      </w:tr>
      <w:tr w:rsidR="001778AA" w:rsidRPr="00F04F82" w14:paraId="5A5DC6D8" w14:textId="77777777" w:rsidTr="00D47253">
        <w:trPr>
          <w:trHeight w:val="283"/>
        </w:trPr>
        <w:tc>
          <w:tcPr>
            <w:tcW w:w="1276" w:type="dxa"/>
          </w:tcPr>
          <w:p w14:paraId="4A5E1670"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Total sharp score</w:t>
            </w:r>
          </w:p>
        </w:tc>
        <w:tc>
          <w:tcPr>
            <w:tcW w:w="1418" w:type="dxa"/>
          </w:tcPr>
          <w:p w14:paraId="168F91B2"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5.7 (4.2-7.3)</w:t>
            </w:r>
          </w:p>
        </w:tc>
        <w:tc>
          <w:tcPr>
            <w:tcW w:w="1559" w:type="dxa"/>
          </w:tcPr>
          <w:p w14:paraId="1CD50653"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3.0 (1.7-4.3)</w:t>
            </w:r>
          </w:p>
        </w:tc>
        <w:tc>
          <w:tcPr>
            <w:tcW w:w="1559" w:type="dxa"/>
          </w:tcPr>
          <w:p w14:paraId="33605B85"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1.3 (0.5-2.1)</w:t>
            </w:r>
          </w:p>
        </w:tc>
        <w:tc>
          <w:tcPr>
            <w:tcW w:w="1134" w:type="dxa"/>
          </w:tcPr>
          <w:p w14:paraId="12A3CE18"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31261ADA"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0.0020</w:t>
            </w:r>
          </w:p>
        </w:tc>
        <w:tc>
          <w:tcPr>
            <w:tcW w:w="1134" w:type="dxa"/>
          </w:tcPr>
          <w:p w14:paraId="1DE0F683"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r>
      <w:tr w:rsidR="001778AA" w:rsidRPr="00F04F82" w14:paraId="1E518887" w14:textId="77777777" w:rsidTr="00D47253">
        <w:trPr>
          <w:trHeight w:val="283"/>
        </w:trPr>
        <w:tc>
          <w:tcPr>
            <w:tcW w:w="1276" w:type="dxa"/>
          </w:tcPr>
          <w:p w14:paraId="5AA242B4"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Erosion score</w:t>
            </w:r>
          </w:p>
        </w:tc>
        <w:tc>
          <w:tcPr>
            <w:tcW w:w="1418" w:type="dxa"/>
          </w:tcPr>
          <w:p w14:paraId="1DE5E55C"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3.7 (2.7-4.7)</w:t>
            </w:r>
          </w:p>
        </w:tc>
        <w:tc>
          <w:tcPr>
            <w:tcW w:w="1559" w:type="dxa"/>
          </w:tcPr>
          <w:p w14:paraId="179CB877"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1.7 (1.0-2.4)</w:t>
            </w:r>
          </w:p>
        </w:tc>
        <w:tc>
          <w:tcPr>
            <w:tcW w:w="1559" w:type="dxa"/>
          </w:tcPr>
          <w:p w14:paraId="725D6FFD"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0.8 (0.4-1.2)</w:t>
            </w:r>
          </w:p>
        </w:tc>
        <w:tc>
          <w:tcPr>
            <w:tcW w:w="1134" w:type="dxa"/>
          </w:tcPr>
          <w:p w14:paraId="059E370C"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Pr>
          <w:p w14:paraId="21B27DD6"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0.0082</w:t>
            </w:r>
          </w:p>
        </w:tc>
        <w:tc>
          <w:tcPr>
            <w:tcW w:w="1134" w:type="dxa"/>
          </w:tcPr>
          <w:p w14:paraId="5792303D"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r>
      <w:tr w:rsidR="001778AA" w:rsidRPr="00F04F82" w14:paraId="2286B6DC" w14:textId="77777777" w:rsidTr="00D47253">
        <w:trPr>
          <w:trHeight w:val="147"/>
        </w:trPr>
        <w:tc>
          <w:tcPr>
            <w:tcW w:w="1276" w:type="dxa"/>
            <w:tcBorders>
              <w:bottom w:val="single" w:sz="4" w:space="0" w:color="auto"/>
            </w:tcBorders>
          </w:tcPr>
          <w:p w14:paraId="38EF59E4"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JSN score</w:t>
            </w:r>
          </w:p>
        </w:tc>
        <w:tc>
          <w:tcPr>
            <w:tcW w:w="1418" w:type="dxa"/>
            <w:tcBorders>
              <w:bottom w:val="single" w:sz="4" w:space="0" w:color="auto"/>
            </w:tcBorders>
          </w:tcPr>
          <w:p w14:paraId="5158582B"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2.0 (1.2-2.8)</w:t>
            </w:r>
          </w:p>
        </w:tc>
        <w:tc>
          <w:tcPr>
            <w:tcW w:w="1559" w:type="dxa"/>
            <w:tcBorders>
              <w:bottom w:val="single" w:sz="4" w:space="0" w:color="auto"/>
            </w:tcBorders>
          </w:tcPr>
          <w:p w14:paraId="453B4961"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1.3 (0.5-2.1)</w:t>
            </w:r>
          </w:p>
        </w:tc>
        <w:tc>
          <w:tcPr>
            <w:tcW w:w="1559" w:type="dxa"/>
            <w:tcBorders>
              <w:bottom w:val="single" w:sz="4" w:space="0" w:color="auto"/>
            </w:tcBorders>
          </w:tcPr>
          <w:p w14:paraId="0E7AED53"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0.5 (0-1.0)</w:t>
            </w:r>
          </w:p>
        </w:tc>
        <w:tc>
          <w:tcPr>
            <w:tcW w:w="1134" w:type="dxa"/>
            <w:tcBorders>
              <w:bottom w:val="single" w:sz="4" w:space="0" w:color="auto"/>
            </w:tcBorders>
          </w:tcPr>
          <w:p w14:paraId="1CEF4FE3"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0.001</w:t>
            </w:r>
          </w:p>
        </w:tc>
        <w:tc>
          <w:tcPr>
            <w:tcW w:w="1134" w:type="dxa"/>
            <w:tcBorders>
              <w:bottom w:val="single" w:sz="4" w:space="0" w:color="auto"/>
            </w:tcBorders>
          </w:tcPr>
          <w:p w14:paraId="23D87CED"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0.0037</w:t>
            </w:r>
          </w:p>
        </w:tc>
        <w:tc>
          <w:tcPr>
            <w:tcW w:w="1134" w:type="dxa"/>
            <w:tcBorders>
              <w:bottom w:val="single" w:sz="4" w:space="0" w:color="auto"/>
            </w:tcBorders>
          </w:tcPr>
          <w:p w14:paraId="433D522F"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0.151</w:t>
            </w:r>
          </w:p>
        </w:tc>
      </w:tr>
      <w:tr w:rsidR="001778AA" w:rsidRPr="00F04F82" w14:paraId="01826EDB" w14:textId="77777777" w:rsidTr="00D47253">
        <w:trPr>
          <w:trHeight w:val="147"/>
        </w:trPr>
        <w:tc>
          <w:tcPr>
            <w:tcW w:w="9214" w:type="dxa"/>
            <w:gridSpan w:val="7"/>
            <w:tcBorders>
              <w:top w:val="single" w:sz="4" w:space="0" w:color="auto"/>
              <w:left w:val="nil"/>
              <w:bottom w:val="nil"/>
              <w:right w:val="nil"/>
            </w:tcBorders>
          </w:tcPr>
          <w:p w14:paraId="2521CAF9" w14:textId="77777777" w:rsidR="001778AA" w:rsidRPr="001775D9" w:rsidRDefault="001778AA" w:rsidP="00D47253">
            <w:pPr>
              <w:keepNext/>
              <w:tabs>
                <w:tab w:val="clear" w:pos="567"/>
              </w:tabs>
              <w:autoSpaceDE w:val="0"/>
              <w:autoSpaceDN w:val="0"/>
              <w:adjustRightInd w:val="0"/>
              <w:spacing w:line="240" w:lineRule="auto"/>
              <w:rPr>
                <w:sz w:val="20"/>
                <w:szCs w:val="22"/>
                <w:lang w:eastAsia="en-GB"/>
              </w:rPr>
            </w:pPr>
            <w:r w:rsidRPr="001775D9">
              <w:rPr>
                <w:sz w:val="20"/>
                <w:szCs w:val="22"/>
                <w:vertAlign w:val="superscript"/>
                <w:lang w:eastAsia="en-GB"/>
              </w:rPr>
              <w:t>a</w:t>
            </w:r>
            <w:r w:rsidRPr="001775D9">
              <w:rPr>
                <w:sz w:val="20"/>
                <w:szCs w:val="22"/>
                <w:lang w:eastAsia="en-GB"/>
              </w:rPr>
              <w:t xml:space="preserve"> p-value is from the pairwise comparison of methotrexate monotherapy and </w:t>
            </w:r>
            <w:r w:rsidRPr="001775D9">
              <w:rPr>
                <w:rFonts w:eastAsia="Times New Roman"/>
                <w:color w:val="000000"/>
                <w:sz w:val="20"/>
                <w:szCs w:val="22"/>
              </w:rPr>
              <w:t>adalimumab</w:t>
            </w:r>
            <w:r w:rsidRPr="001775D9">
              <w:rPr>
                <w:sz w:val="20"/>
                <w:szCs w:val="22"/>
                <w:lang w:eastAsia="en-GB"/>
              </w:rPr>
              <w:t xml:space="preserve">/methotrexate combination therapy using the Mann-Whitney U test </w:t>
            </w:r>
          </w:p>
          <w:p w14:paraId="1C747D03" w14:textId="77777777" w:rsidR="001778AA" w:rsidRPr="001775D9" w:rsidRDefault="001778AA" w:rsidP="00D47253">
            <w:pPr>
              <w:keepNext/>
              <w:tabs>
                <w:tab w:val="clear" w:pos="567"/>
              </w:tabs>
              <w:autoSpaceDE w:val="0"/>
              <w:autoSpaceDN w:val="0"/>
              <w:adjustRightInd w:val="0"/>
              <w:spacing w:line="240" w:lineRule="auto"/>
              <w:rPr>
                <w:sz w:val="20"/>
                <w:szCs w:val="22"/>
                <w:lang w:eastAsia="en-GB"/>
              </w:rPr>
            </w:pPr>
            <w:r w:rsidRPr="001775D9">
              <w:rPr>
                <w:sz w:val="20"/>
                <w:szCs w:val="22"/>
                <w:vertAlign w:val="superscript"/>
                <w:lang w:eastAsia="en-GB"/>
              </w:rPr>
              <w:t>b</w:t>
            </w:r>
            <w:r w:rsidRPr="001775D9">
              <w:rPr>
                <w:sz w:val="20"/>
                <w:szCs w:val="22"/>
                <w:lang w:eastAsia="en-GB"/>
              </w:rPr>
              <w:t xml:space="preserve"> p-value is from the pairwise comparison of </w:t>
            </w:r>
            <w:r w:rsidRPr="001775D9">
              <w:rPr>
                <w:rFonts w:eastAsia="Times New Roman"/>
                <w:color w:val="000000"/>
                <w:sz w:val="20"/>
                <w:szCs w:val="22"/>
              </w:rPr>
              <w:t>adalimumab</w:t>
            </w:r>
            <w:r w:rsidRPr="001775D9">
              <w:rPr>
                <w:sz w:val="20"/>
                <w:szCs w:val="22"/>
                <w:lang w:eastAsia="en-GB"/>
              </w:rPr>
              <w:t xml:space="preserve"> monotherapy and </w:t>
            </w:r>
            <w:r w:rsidRPr="001775D9">
              <w:rPr>
                <w:rFonts w:eastAsia="Times New Roman"/>
                <w:color w:val="000000"/>
                <w:sz w:val="20"/>
                <w:szCs w:val="22"/>
              </w:rPr>
              <w:t>adalimumab</w:t>
            </w:r>
            <w:r w:rsidRPr="001775D9">
              <w:rPr>
                <w:sz w:val="20"/>
                <w:szCs w:val="22"/>
                <w:lang w:eastAsia="en-GB"/>
              </w:rPr>
              <w:t xml:space="preserve">/methotrexate combination therapy using the Mann-Whitney U test </w:t>
            </w:r>
          </w:p>
          <w:p w14:paraId="3BECABAA" w14:textId="77777777" w:rsidR="001778AA" w:rsidRPr="001775D9" w:rsidRDefault="001778AA" w:rsidP="00D47253">
            <w:pPr>
              <w:spacing w:line="240" w:lineRule="auto"/>
              <w:rPr>
                <w:szCs w:val="22"/>
                <w:lang w:eastAsia="en-GB"/>
              </w:rPr>
            </w:pPr>
            <w:r w:rsidRPr="001775D9">
              <w:rPr>
                <w:sz w:val="20"/>
                <w:szCs w:val="22"/>
                <w:vertAlign w:val="superscript"/>
                <w:lang w:eastAsia="en-GB"/>
              </w:rPr>
              <w:t>c</w:t>
            </w:r>
            <w:r w:rsidRPr="001775D9">
              <w:rPr>
                <w:sz w:val="20"/>
                <w:szCs w:val="22"/>
                <w:lang w:eastAsia="en-GB"/>
              </w:rPr>
              <w:t xml:space="preserve"> p-value is from the pairwise comparison of </w:t>
            </w:r>
            <w:r w:rsidRPr="001775D9">
              <w:rPr>
                <w:rFonts w:eastAsia="Times New Roman"/>
                <w:color w:val="000000"/>
                <w:sz w:val="20"/>
                <w:szCs w:val="22"/>
              </w:rPr>
              <w:t>adalimumab</w:t>
            </w:r>
            <w:r w:rsidRPr="001775D9">
              <w:rPr>
                <w:sz w:val="20"/>
                <w:szCs w:val="22"/>
                <w:lang w:eastAsia="en-GB"/>
              </w:rPr>
              <w:t xml:space="preserve"> monotherapy and methotrexate monotherapy using the Mann-Whitney U test </w:t>
            </w:r>
          </w:p>
        </w:tc>
      </w:tr>
    </w:tbl>
    <w:p w14:paraId="03E36FB9" w14:textId="77777777" w:rsidR="001778AA" w:rsidRPr="001775D9" w:rsidRDefault="001778AA" w:rsidP="001778AA">
      <w:pPr>
        <w:spacing w:line="240" w:lineRule="auto"/>
        <w:rPr>
          <w:szCs w:val="22"/>
        </w:rPr>
      </w:pPr>
    </w:p>
    <w:p w14:paraId="4741CD78" w14:textId="77777777" w:rsidR="001778AA" w:rsidRPr="001775D9" w:rsidRDefault="001778AA" w:rsidP="001778AA">
      <w:pPr>
        <w:spacing w:line="240" w:lineRule="auto"/>
        <w:rPr>
          <w:szCs w:val="22"/>
        </w:rPr>
      </w:pPr>
      <w:r w:rsidRPr="001775D9">
        <w:rPr>
          <w:szCs w:val="22"/>
        </w:rPr>
        <w:t xml:space="preserve">Following 52 weeks and 104 weeks of treatment, the percentage of patients without progression (change from baseline in modified Total Sharp Score ≤ 0.5) was significantly higher with </w:t>
      </w:r>
      <w:r w:rsidRPr="001775D9">
        <w:rPr>
          <w:rFonts w:eastAsia="Times New Roman"/>
          <w:color w:val="000000"/>
          <w:szCs w:val="22"/>
        </w:rPr>
        <w:t>adalimumab</w:t>
      </w:r>
      <w:r w:rsidRPr="001775D9">
        <w:rPr>
          <w:szCs w:val="22"/>
        </w:rPr>
        <w:t xml:space="preserve">/methotrexate combination therapy (63.8% and 61.2% respectively) compared to methotrexate monotherapy (37.4% and 33.5% respectively, p &lt; 0.001) and </w:t>
      </w:r>
      <w:r w:rsidRPr="001775D9">
        <w:rPr>
          <w:rFonts w:eastAsia="Times New Roman"/>
          <w:color w:val="000000"/>
          <w:szCs w:val="22"/>
        </w:rPr>
        <w:t>adalimumab</w:t>
      </w:r>
      <w:r w:rsidRPr="001775D9">
        <w:rPr>
          <w:szCs w:val="22"/>
        </w:rPr>
        <w:t xml:space="preserve"> monotherapy (50.7%, p &lt; 0.002 and 44.5%, p &lt; 0.001 respectively).</w:t>
      </w:r>
    </w:p>
    <w:p w14:paraId="427461F2" w14:textId="77777777" w:rsidR="001778AA" w:rsidRPr="001775D9" w:rsidRDefault="001778AA" w:rsidP="001778AA">
      <w:pPr>
        <w:spacing w:line="240" w:lineRule="auto"/>
        <w:rPr>
          <w:szCs w:val="22"/>
        </w:rPr>
      </w:pPr>
    </w:p>
    <w:p w14:paraId="05DE6A58" w14:textId="77777777" w:rsidR="001778AA" w:rsidRPr="001775D9" w:rsidRDefault="001778AA" w:rsidP="001778AA">
      <w:pPr>
        <w:tabs>
          <w:tab w:val="clear" w:pos="567"/>
        </w:tabs>
        <w:autoSpaceDE w:val="0"/>
        <w:autoSpaceDN w:val="0"/>
        <w:adjustRightInd w:val="0"/>
        <w:spacing w:line="240" w:lineRule="auto"/>
        <w:rPr>
          <w:szCs w:val="22"/>
        </w:rPr>
      </w:pPr>
      <w:r w:rsidRPr="00D55B59">
        <w:rPr>
          <w:szCs w:val="22"/>
          <w:rPrChange w:id="1631" w:author="Author">
            <w:rPr>
              <w:szCs w:val="22"/>
              <w:lang w:val="en-US"/>
            </w:rPr>
          </w:rPrChange>
        </w:rPr>
        <w:t>In the open-label extension of RA study V, the mean change from baseline at year 10 in the modified Total Sharp Score was 10.8, 9.2 and 3.9 in patients originally randomised to methotrexate monotherapy, adalimumab monotherapy and adalimumab/methotrexate combination therapy, respectively. The corresponding proportions of patients with no radiographic progression were 31.3%, 23.7% and 36.7% respectively.</w:t>
      </w:r>
    </w:p>
    <w:p w14:paraId="40A254E3" w14:textId="77777777" w:rsidR="001778AA" w:rsidRPr="001775D9" w:rsidRDefault="001778AA" w:rsidP="001778AA">
      <w:pPr>
        <w:spacing w:line="240" w:lineRule="auto"/>
        <w:rPr>
          <w:szCs w:val="22"/>
        </w:rPr>
      </w:pPr>
    </w:p>
    <w:p w14:paraId="2E9F54AB" w14:textId="77777777" w:rsidR="001778AA" w:rsidRPr="001775D9" w:rsidRDefault="001778AA" w:rsidP="003C3950">
      <w:pPr>
        <w:keepNext/>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Quality of life and physical function </w:t>
      </w:r>
    </w:p>
    <w:p w14:paraId="317FF38C"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4AF0A05"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lang w:eastAsia="en-GB"/>
        </w:rPr>
        <w:t xml:space="preserve">Health-related quality of life and physical function were assessed using the disability index of the Health Assessment Questionnaire (HAQ) in the four original adequate and well-controlled trials, which was a pre-specified primary endpoint at week 52 in RA study III. All doses/schedules of </w:t>
      </w:r>
      <w:r w:rsidRPr="001775D9">
        <w:rPr>
          <w:rFonts w:eastAsia="Times New Roman"/>
          <w:color w:val="000000"/>
          <w:szCs w:val="22"/>
        </w:rPr>
        <w:t>adalimumab</w:t>
      </w:r>
      <w:r w:rsidRPr="001775D9">
        <w:rPr>
          <w:szCs w:val="22"/>
          <w:lang w:eastAsia="en-GB"/>
        </w:rPr>
        <w:t xml:space="preserve"> in all four studies showed statistically significantly greater improvement in the disability index of the HAQ from baseline to month 6 compared to placebo and in RA study III the same was seen at week 52. Results from the Short Form Health Survey (SF 36) for all doses/schedules of </w:t>
      </w:r>
      <w:r w:rsidRPr="001775D9">
        <w:rPr>
          <w:rFonts w:eastAsia="Times New Roman"/>
          <w:color w:val="000000"/>
          <w:szCs w:val="22"/>
        </w:rPr>
        <w:t>adalimumab</w:t>
      </w:r>
      <w:r w:rsidRPr="001775D9">
        <w:rPr>
          <w:szCs w:val="22"/>
          <w:lang w:eastAsia="en-GB"/>
        </w:rPr>
        <w:t xml:space="preserve"> in all four studies support these findings, with statistically significant physical component summary (PCS) scores, as well as statistically significant pain and vitality domain scores for the 40</w:t>
      </w:r>
      <w:r w:rsidRPr="001775D9">
        <w:rPr>
          <w:szCs w:val="22"/>
        </w:rPr>
        <w:t> </w:t>
      </w:r>
      <w:r w:rsidRPr="001775D9">
        <w:rPr>
          <w:szCs w:val="22"/>
          <w:lang w:eastAsia="en-GB"/>
        </w:rPr>
        <w:t>mg every other week dose. A statistically</w:t>
      </w:r>
      <w:r w:rsidRPr="001775D9">
        <w:rPr>
          <w:color w:val="000000"/>
          <w:szCs w:val="22"/>
          <w:lang w:eastAsia="en-GB"/>
        </w:rPr>
        <w:t xml:space="preserve"> significant decrease in fatigue as measured by functional assessment of chronic illness therapy (FACIT) scores was seen in all three studies in which it was assessed (RA studies I, III, IV). </w:t>
      </w:r>
    </w:p>
    <w:p w14:paraId="1A201239"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5B67D538"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 RA study III, most subjects who achieved improvement in physical function and continued treatment maintained improvement through </w:t>
      </w:r>
      <w:r w:rsidRPr="001775D9">
        <w:rPr>
          <w:szCs w:val="22"/>
          <w:lang w:eastAsia="en-GB"/>
        </w:rPr>
        <w:t>week</w:t>
      </w:r>
      <w:r w:rsidRPr="001775D9">
        <w:rPr>
          <w:color w:val="000000"/>
          <w:szCs w:val="22"/>
          <w:lang w:eastAsia="en-GB"/>
        </w:rPr>
        <w:t xml:space="preserve"> 520 (120 months) of open-label treatment. Improvement in quality of life was measured up to </w:t>
      </w:r>
      <w:r w:rsidRPr="001775D9">
        <w:rPr>
          <w:szCs w:val="22"/>
          <w:lang w:eastAsia="en-GB"/>
        </w:rPr>
        <w:t>week</w:t>
      </w:r>
      <w:r w:rsidRPr="001775D9">
        <w:rPr>
          <w:color w:val="000000"/>
          <w:szCs w:val="22"/>
          <w:lang w:eastAsia="en-GB"/>
        </w:rPr>
        <w:t xml:space="preserve"> 156 (36</w:t>
      </w:r>
      <w:r w:rsidRPr="001775D9">
        <w:rPr>
          <w:szCs w:val="22"/>
        </w:rPr>
        <w:t> </w:t>
      </w:r>
      <w:r w:rsidRPr="001775D9">
        <w:rPr>
          <w:color w:val="000000"/>
          <w:szCs w:val="22"/>
          <w:lang w:eastAsia="en-GB"/>
        </w:rPr>
        <w:t>months) and improvement was maintained through that time.</w:t>
      </w:r>
    </w:p>
    <w:p w14:paraId="396BAE3E"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730865C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In RA study V, the improvement in </w:t>
      </w:r>
      <w:r w:rsidRPr="001775D9">
        <w:rPr>
          <w:szCs w:val="22"/>
          <w:lang w:eastAsia="en-GB"/>
        </w:rPr>
        <w:t>the HAQ disability index and the physical component of the SF 36 showed greater improvement (p</w:t>
      </w:r>
      <w:r w:rsidRPr="001775D9">
        <w:rPr>
          <w:szCs w:val="22"/>
        </w:rPr>
        <w:t> </w:t>
      </w:r>
      <w:r w:rsidRPr="001775D9">
        <w:rPr>
          <w:szCs w:val="22"/>
          <w:lang w:eastAsia="en-GB"/>
        </w:rPr>
        <w:t>&lt;</w:t>
      </w:r>
      <w:r w:rsidRPr="001775D9">
        <w:rPr>
          <w:szCs w:val="22"/>
        </w:rPr>
        <w:t> </w:t>
      </w:r>
      <w:r w:rsidRPr="001775D9">
        <w:rPr>
          <w:szCs w:val="22"/>
          <w:lang w:eastAsia="en-GB"/>
        </w:rPr>
        <w:t xml:space="preserve">0.001) for </w:t>
      </w:r>
      <w:r w:rsidRPr="001775D9">
        <w:rPr>
          <w:rFonts w:eastAsia="Times New Roman"/>
          <w:color w:val="000000"/>
          <w:szCs w:val="22"/>
        </w:rPr>
        <w:t>adalimumab</w:t>
      </w:r>
      <w:r w:rsidRPr="001775D9">
        <w:rPr>
          <w:szCs w:val="22"/>
          <w:lang w:eastAsia="en-GB"/>
        </w:rPr>
        <w:t xml:space="preserve">/methotrexate combination therapy </w:t>
      </w:r>
      <w:r w:rsidRPr="001775D9">
        <w:rPr>
          <w:iCs/>
          <w:szCs w:val="22"/>
          <w:lang w:eastAsia="en-GB"/>
        </w:rPr>
        <w:t xml:space="preserve">versus </w:t>
      </w:r>
      <w:r w:rsidRPr="001775D9">
        <w:rPr>
          <w:szCs w:val="22"/>
          <w:lang w:eastAsia="en-GB"/>
        </w:rPr>
        <w:t xml:space="preserve">methotrexate monotherapy and </w:t>
      </w:r>
      <w:r w:rsidRPr="001775D9">
        <w:rPr>
          <w:rFonts w:eastAsia="Times New Roman"/>
          <w:color w:val="000000"/>
          <w:szCs w:val="22"/>
        </w:rPr>
        <w:t>adalimumab</w:t>
      </w:r>
      <w:r w:rsidRPr="001775D9">
        <w:rPr>
          <w:szCs w:val="22"/>
          <w:lang w:eastAsia="en-GB"/>
        </w:rPr>
        <w:t xml:space="preserve"> monotherapy at week 52, which was maintained through week 104. </w:t>
      </w:r>
      <w:r w:rsidRPr="00D55B59">
        <w:rPr>
          <w:szCs w:val="22"/>
          <w:rPrChange w:id="1632" w:author="Author">
            <w:rPr>
              <w:szCs w:val="22"/>
              <w:lang w:val="en-US"/>
            </w:rPr>
          </w:rPrChange>
        </w:rPr>
        <w:t>Among the 250 subjects who completed the open-label extension study, improvements in physical function were maintained through 10 years of treatment.</w:t>
      </w:r>
    </w:p>
    <w:p w14:paraId="24345FC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84C086E" w14:textId="77777777" w:rsidR="001778AA" w:rsidRPr="001775D9" w:rsidRDefault="001778AA" w:rsidP="001778AA">
      <w:pPr>
        <w:spacing w:line="240" w:lineRule="auto"/>
        <w:rPr>
          <w:i/>
          <w:szCs w:val="22"/>
          <w:lang w:eastAsia="en-GB"/>
        </w:rPr>
      </w:pPr>
      <w:r w:rsidRPr="001775D9">
        <w:rPr>
          <w:i/>
          <w:szCs w:val="22"/>
        </w:rPr>
        <w:t>Axial spondyloarthritis</w:t>
      </w:r>
    </w:p>
    <w:p w14:paraId="67EC05FA"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64AE337E" w14:textId="77777777" w:rsidR="001778AA" w:rsidRPr="001775D9" w:rsidRDefault="001778AA" w:rsidP="001778AA">
      <w:pPr>
        <w:tabs>
          <w:tab w:val="clear" w:pos="567"/>
        </w:tabs>
        <w:autoSpaceDE w:val="0"/>
        <w:autoSpaceDN w:val="0"/>
        <w:adjustRightInd w:val="0"/>
        <w:spacing w:line="240" w:lineRule="auto"/>
        <w:rPr>
          <w:i/>
          <w:szCs w:val="22"/>
          <w:u w:val="single"/>
          <w:lang w:eastAsia="en-GB"/>
        </w:rPr>
      </w:pPr>
      <w:r w:rsidRPr="001775D9">
        <w:rPr>
          <w:i/>
          <w:szCs w:val="22"/>
          <w:u w:val="single"/>
          <w:lang w:eastAsia="en-GB"/>
        </w:rPr>
        <w:t>Ankylosing spondylitis (AS)</w:t>
      </w:r>
    </w:p>
    <w:p w14:paraId="09FA434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0F4318B"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rFonts w:eastAsia="Times New Roman"/>
          <w:color w:val="000000"/>
          <w:szCs w:val="22"/>
        </w:rPr>
        <w:t>Adalimumab</w:t>
      </w:r>
      <w:r w:rsidRPr="001775D9">
        <w:rPr>
          <w:szCs w:val="22"/>
          <w:lang w:eastAsia="en-GB"/>
        </w:rPr>
        <w:t xml:space="preserve"> 40</w:t>
      </w:r>
      <w:r w:rsidRPr="001775D9">
        <w:rPr>
          <w:szCs w:val="22"/>
        </w:rPr>
        <w:t> m</w:t>
      </w:r>
      <w:r w:rsidRPr="001775D9">
        <w:rPr>
          <w:szCs w:val="22"/>
          <w:lang w:eastAsia="en-GB"/>
        </w:rPr>
        <w:t xml:space="preserve">g every other week was assessed in 393 patients in two randomised, 24 week double-blind, placebo-controlled studies in patients with active ankylosing spondylitis (mean baseline score of disease activity [Bath Ankylosing Spondylitis Disease Activity Index (BASDAI)] was 6.3 in all groups) who have had an inadequate response to conventional therapy. Seventy-nine (20.1%) patients were treated concomitantly with disease-modifying anti-rheumatic drugs, and 37 (9.4%) patients with glucocorticoids. The blinded period was followed by an open-label period during which patients received </w:t>
      </w:r>
      <w:r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mg every other week subcutaneously for up to an additional 28 weeks. Subjects (n</w:t>
      </w:r>
      <w:r w:rsidRPr="001775D9">
        <w:rPr>
          <w:szCs w:val="22"/>
        </w:rPr>
        <w:t> </w:t>
      </w:r>
      <w:r w:rsidRPr="001775D9">
        <w:rPr>
          <w:szCs w:val="22"/>
          <w:lang w:eastAsia="en-GB"/>
        </w:rPr>
        <w:t>=</w:t>
      </w:r>
      <w:r w:rsidRPr="001775D9">
        <w:rPr>
          <w:szCs w:val="22"/>
        </w:rPr>
        <w:t> </w:t>
      </w:r>
      <w:r w:rsidRPr="001775D9">
        <w:rPr>
          <w:szCs w:val="22"/>
          <w:lang w:eastAsia="en-GB"/>
        </w:rPr>
        <w:t>215, 54.7%) who failed to achieve ASAS 20 at weeks 12, or 16 or 20 received early escape open-label adalimumab</w:t>
      </w:r>
      <w:r w:rsidRPr="001775D9">
        <w:rPr>
          <w:color w:val="000000"/>
          <w:szCs w:val="22"/>
          <w:lang w:eastAsia="en-GB"/>
        </w:rPr>
        <w:t xml:space="preserve"> 40</w:t>
      </w:r>
      <w:r w:rsidRPr="001775D9">
        <w:rPr>
          <w:szCs w:val="22"/>
        </w:rPr>
        <w:t> </w:t>
      </w:r>
      <w:r w:rsidRPr="001775D9">
        <w:rPr>
          <w:color w:val="000000"/>
          <w:szCs w:val="22"/>
          <w:lang w:eastAsia="en-GB"/>
        </w:rPr>
        <w:t>mg every other week subcutaneously and were subsequently treated as non-responders in the double-blind statistical analyses.</w:t>
      </w:r>
    </w:p>
    <w:p w14:paraId="131D7C2A"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6D31027D" w14:textId="77777777" w:rsidR="001778AA" w:rsidRPr="001775D9" w:rsidRDefault="001778AA" w:rsidP="001778AA">
      <w:pPr>
        <w:tabs>
          <w:tab w:val="clear" w:pos="567"/>
        </w:tabs>
        <w:autoSpaceDE w:val="0"/>
        <w:autoSpaceDN w:val="0"/>
        <w:adjustRightInd w:val="0"/>
        <w:spacing w:line="240" w:lineRule="auto"/>
        <w:rPr>
          <w:szCs w:val="22"/>
        </w:rPr>
      </w:pPr>
      <w:r w:rsidRPr="001775D9">
        <w:rPr>
          <w:szCs w:val="22"/>
        </w:rPr>
        <w:t xml:space="preserve">In the larger AS study I with 315 patients, results showed statistically significant improvement of the signs and symptoms of ankylosing spondylitis in patients treated with </w:t>
      </w:r>
      <w:r w:rsidRPr="001775D9">
        <w:rPr>
          <w:rFonts w:eastAsia="Times New Roman"/>
          <w:color w:val="000000"/>
          <w:szCs w:val="22"/>
        </w:rPr>
        <w:t>adalimumab</w:t>
      </w:r>
      <w:r w:rsidRPr="001775D9">
        <w:rPr>
          <w:szCs w:val="22"/>
        </w:rPr>
        <w:t xml:space="preserve"> compared to placebo. Significant response was first observed at </w:t>
      </w:r>
      <w:r w:rsidRPr="001775D9">
        <w:rPr>
          <w:szCs w:val="22"/>
          <w:lang w:eastAsia="en-GB"/>
        </w:rPr>
        <w:t>week</w:t>
      </w:r>
      <w:r w:rsidRPr="001775D9">
        <w:rPr>
          <w:szCs w:val="22"/>
        </w:rPr>
        <w:t xml:space="preserve"> 2 and maintained through 24 weeks (</w:t>
      </w:r>
      <w:r w:rsidRPr="001775D9">
        <w:rPr>
          <w:szCs w:val="22"/>
          <w:lang w:eastAsia="en-GB"/>
        </w:rPr>
        <w:t>table</w:t>
      </w:r>
      <w:r w:rsidRPr="001775D9">
        <w:rPr>
          <w:szCs w:val="22"/>
        </w:rPr>
        <w:t xml:space="preserve"> 12).</w:t>
      </w:r>
    </w:p>
    <w:p w14:paraId="0C396E33" w14:textId="77777777" w:rsidR="001778AA" w:rsidRPr="001775D9" w:rsidRDefault="001778AA" w:rsidP="001778AA">
      <w:pPr>
        <w:tabs>
          <w:tab w:val="clear" w:pos="567"/>
        </w:tabs>
        <w:autoSpaceDE w:val="0"/>
        <w:autoSpaceDN w:val="0"/>
        <w:adjustRightInd w:val="0"/>
        <w:spacing w:line="240" w:lineRule="auto"/>
        <w:rPr>
          <w:szCs w:val="22"/>
        </w:rPr>
      </w:pPr>
    </w:p>
    <w:p w14:paraId="12454683"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b/>
          <w:bCs/>
          <w:szCs w:val="22"/>
          <w:lang w:eastAsia="en-GB"/>
        </w:rPr>
        <w:t>Table 12. Efficacy responses in placebo-controlled AS study – study I reduction of signs and symptoms</w:t>
      </w:r>
    </w:p>
    <w:p w14:paraId="06AEDAF9"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4"/>
        <w:gridCol w:w="3024"/>
        <w:gridCol w:w="3024"/>
      </w:tblGrid>
      <w:tr w:rsidR="001778AA" w:rsidRPr="00F04F82" w14:paraId="1412562E" w14:textId="77777777" w:rsidTr="00D47253">
        <w:trPr>
          <w:trHeight w:val="293"/>
          <w:tblHeader/>
        </w:trPr>
        <w:tc>
          <w:tcPr>
            <w:tcW w:w="3024" w:type="dxa"/>
          </w:tcPr>
          <w:p w14:paraId="7D132B97" w14:textId="77777777" w:rsidR="001778AA" w:rsidRPr="00D55B59" w:rsidRDefault="001778AA" w:rsidP="00D47253">
            <w:pPr>
              <w:pStyle w:val="Default"/>
              <w:keepNext/>
              <w:rPr>
                <w:b/>
                <w:color w:val="auto"/>
                <w:sz w:val="22"/>
                <w:szCs w:val="22"/>
                <w:lang w:val="en-GB"/>
                <w:rPrChange w:id="1633" w:author="Author">
                  <w:rPr>
                    <w:b/>
                    <w:color w:val="auto"/>
                    <w:sz w:val="22"/>
                    <w:szCs w:val="22"/>
                  </w:rPr>
                </w:rPrChange>
              </w:rPr>
            </w:pPr>
            <w:r w:rsidRPr="00D55B59">
              <w:rPr>
                <w:b/>
                <w:bCs/>
                <w:color w:val="auto"/>
                <w:sz w:val="22"/>
                <w:szCs w:val="22"/>
                <w:lang w:val="en-GB"/>
                <w:rPrChange w:id="1634" w:author="Author">
                  <w:rPr>
                    <w:b/>
                    <w:bCs/>
                    <w:color w:val="auto"/>
                    <w:sz w:val="22"/>
                    <w:szCs w:val="22"/>
                  </w:rPr>
                </w:rPrChange>
              </w:rPr>
              <w:t xml:space="preserve">Response </w:t>
            </w:r>
          </w:p>
        </w:tc>
        <w:tc>
          <w:tcPr>
            <w:tcW w:w="3024" w:type="dxa"/>
          </w:tcPr>
          <w:p w14:paraId="637C3557" w14:textId="77777777" w:rsidR="001778AA" w:rsidRPr="00D55B59" w:rsidRDefault="001778AA" w:rsidP="00D47253">
            <w:pPr>
              <w:pStyle w:val="Default"/>
              <w:keepNext/>
              <w:jc w:val="center"/>
              <w:rPr>
                <w:b/>
                <w:color w:val="auto"/>
                <w:sz w:val="22"/>
                <w:szCs w:val="22"/>
                <w:lang w:val="en-GB"/>
                <w:rPrChange w:id="1635" w:author="Author">
                  <w:rPr>
                    <w:b/>
                    <w:color w:val="auto"/>
                    <w:sz w:val="22"/>
                    <w:szCs w:val="22"/>
                  </w:rPr>
                </w:rPrChange>
              </w:rPr>
            </w:pPr>
            <w:r w:rsidRPr="00D55B59">
              <w:rPr>
                <w:b/>
                <w:bCs/>
                <w:color w:val="auto"/>
                <w:sz w:val="22"/>
                <w:szCs w:val="22"/>
                <w:lang w:val="en-GB"/>
                <w:rPrChange w:id="1636" w:author="Author">
                  <w:rPr>
                    <w:b/>
                    <w:bCs/>
                    <w:color w:val="auto"/>
                    <w:sz w:val="22"/>
                    <w:szCs w:val="22"/>
                  </w:rPr>
                </w:rPrChange>
              </w:rPr>
              <w:t>Placebo</w:t>
            </w:r>
          </w:p>
          <w:p w14:paraId="2F17439E" w14:textId="77777777" w:rsidR="001778AA" w:rsidRPr="00D55B59" w:rsidRDefault="001778AA" w:rsidP="00D47253">
            <w:pPr>
              <w:pStyle w:val="Default"/>
              <w:keepNext/>
              <w:jc w:val="center"/>
              <w:rPr>
                <w:b/>
                <w:color w:val="auto"/>
                <w:sz w:val="22"/>
                <w:szCs w:val="22"/>
                <w:lang w:val="en-GB"/>
                <w:rPrChange w:id="1637" w:author="Author">
                  <w:rPr>
                    <w:b/>
                    <w:color w:val="auto"/>
                    <w:sz w:val="22"/>
                    <w:szCs w:val="22"/>
                  </w:rPr>
                </w:rPrChange>
              </w:rPr>
            </w:pPr>
            <w:r w:rsidRPr="00D55B59">
              <w:rPr>
                <w:b/>
                <w:bCs/>
                <w:color w:val="auto"/>
                <w:sz w:val="22"/>
                <w:szCs w:val="22"/>
                <w:lang w:val="en-GB"/>
                <w:rPrChange w:id="1638" w:author="Author">
                  <w:rPr>
                    <w:b/>
                    <w:bCs/>
                    <w:color w:val="auto"/>
                    <w:sz w:val="22"/>
                    <w:szCs w:val="22"/>
                  </w:rPr>
                </w:rPrChange>
              </w:rPr>
              <w:t>N</w:t>
            </w:r>
            <w:r w:rsidRPr="00D55B59">
              <w:rPr>
                <w:b/>
                <w:color w:val="auto"/>
                <w:sz w:val="22"/>
                <w:szCs w:val="22"/>
                <w:lang w:val="en-GB"/>
                <w:rPrChange w:id="1639" w:author="Author">
                  <w:rPr>
                    <w:b/>
                    <w:color w:val="auto"/>
                    <w:sz w:val="22"/>
                    <w:szCs w:val="22"/>
                  </w:rPr>
                </w:rPrChange>
              </w:rPr>
              <w:t> </w:t>
            </w:r>
            <w:r w:rsidRPr="00D55B59">
              <w:rPr>
                <w:b/>
                <w:bCs/>
                <w:color w:val="auto"/>
                <w:sz w:val="22"/>
                <w:szCs w:val="22"/>
                <w:lang w:val="en-GB"/>
                <w:rPrChange w:id="1640" w:author="Author">
                  <w:rPr>
                    <w:b/>
                    <w:bCs/>
                    <w:color w:val="auto"/>
                    <w:sz w:val="22"/>
                    <w:szCs w:val="22"/>
                  </w:rPr>
                </w:rPrChange>
              </w:rPr>
              <w:t>=</w:t>
            </w:r>
            <w:r w:rsidRPr="00D55B59">
              <w:rPr>
                <w:b/>
                <w:color w:val="auto"/>
                <w:sz w:val="22"/>
                <w:szCs w:val="22"/>
                <w:lang w:val="en-GB"/>
                <w:rPrChange w:id="1641" w:author="Author">
                  <w:rPr>
                    <w:b/>
                    <w:color w:val="auto"/>
                    <w:sz w:val="22"/>
                    <w:szCs w:val="22"/>
                  </w:rPr>
                </w:rPrChange>
              </w:rPr>
              <w:t> </w:t>
            </w:r>
            <w:r w:rsidRPr="00D55B59">
              <w:rPr>
                <w:b/>
                <w:bCs/>
                <w:color w:val="auto"/>
                <w:sz w:val="22"/>
                <w:szCs w:val="22"/>
                <w:lang w:val="en-GB"/>
                <w:rPrChange w:id="1642" w:author="Author">
                  <w:rPr>
                    <w:b/>
                    <w:bCs/>
                    <w:color w:val="auto"/>
                    <w:sz w:val="22"/>
                    <w:szCs w:val="22"/>
                  </w:rPr>
                </w:rPrChange>
              </w:rPr>
              <w:t>107</w:t>
            </w:r>
          </w:p>
        </w:tc>
        <w:tc>
          <w:tcPr>
            <w:tcW w:w="3024" w:type="dxa"/>
          </w:tcPr>
          <w:p w14:paraId="2A89C54A" w14:textId="77777777" w:rsidR="001778AA" w:rsidRPr="00D55B59" w:rsidRDefault="001778AA" w:rsidP="00D47253">
            <w:pPr>
              <w:pStyle w:val="Default"/>
              <w:keepNext/>
              <w:jc w:val="center"/>
              <w:rPr>
                <w:b/>
                <w:szCs w:val="22"/>
                <w:lang w:val="en-GB" w:eastAsia="en-GB"/>
                <w:rPrChange w:id="1643" w:author="Author">
                  <w:rPr>
                    <w:b/>
                    <w:szCs w:val="22"/>
                    <w:lang w:eastAsia="en-GB"/>
                  </w:rPr>
                </w:rPrChange>
              </w:rPr>
            </w:pPr>
            <w:r w:rsidRPr="00D55B59">
              <w:rPr>
                <w:rFonts w:eastAsia="Times New Roman"/>
                <w:b/>
                <w:sz w:val="22"/>
                <w:szCs w:val="22"/>
                <w:lang w:val="en-GB"/>
                <w:rPrChange w:id="1644" w:author="Author">
                  <w:rPr>
                    <w:rFonts w:eastAsia="Times New Roman"/>
                    <w:b/>
                    <w:sz w:val="22"/>
                    <w:szCs w:val="22"/>
                  </w:rPr>
                </w:rPrChange>
              </w:rPr>
              <w:t>Adalimumab</w:t>
            </w:r>
          </w:p>
          <w:p w14:paraId="026266E7" w14:textId="77777777" w:rsidR="001778AA" w:rsidRPr="00D55B59" w:rsidRDefault="001778AA" w:rsidP="00D47253">
            <w:pPr>
              <w:pStyle w:val="Default"/>
              <w:keepNext/>
              <w:jc w:val="center"/>
              <w:rPr>
                <w:b/>
                <w:color w:val="auto"/>
                <w:sz w:val="22"/>
                <w:szCs w:val="22"/>
                <w:lang w:val="en-GB"/>
                <w:rPrChange w:id="1645" w:author="Author">
                  <w:rPr>
                    <w:b/>
                    <w:color w:val="auto"/>
                    <w:sz w:val="22"/>
                    <w:szCs w:val="22"/>
                  </w:rPr>
                </w:rPrChange>
              </w:rPr>
            </w:pPr>
            <w:r w:rsidRPr="00D55B59">
              <w:rPr>
                <w:b/>
                <w:bCs/>
                <w:color w:val="auto"/>
                <w:sz w:val="22"/>
                <w:szCs w:val="22"/>
                <w:lang w:val="en-GB"/>
                <w:rPrChange w:id="1646" w:author="Author">
                  <w:rPr>
                    <w:b/>
                    <w:bCs/>
                    <w:color w:val="auto"/>
                    <w:sz w:val="22"/>
                    <w:szCs w:val="22"/>
                  </w:rPr>
                </w:rPrChange>
              </w:rPr>
              <w:t>N</w:t>
            </w:r>
            <w:r w:rsidRPr="00D55B59">
              <w:rPr>
                <w:b/>
                <w:color w:val="auto"/>
                <w:sz w:val="22"/>
                <w:szCs w:val="22"/>
                <w:lang w:val="en-GB"/>
                <w:rPrChange w:id="1647" w:author="Author">
                  <w:rPr>
                    <w:b/>
                    <w:color w:val="auto"/>
                    <w:sz w:val="22"/>
                    <w:szCs w:val="22"/>
                  </w:rPr>
                </w:rPrChange>
              </w:rPr>
              <w:t> </w:t>
            </w:r>
            <w:r w:rsidRPr="00D55B59">
              <w:rPr>
                <w:b/>
                <w:bCs/>
                <w:color w:val="auto"/>
                <w:sz w:val="22"/>
                <w:szCs w:val="22"/>
                <w:lang w:val="en-GB"/>
                <w:rPrChange w:id="1648" w:author="Author">
                  <w:rPr>
                    <w:b/>
                    <w:bCs/>
                    <w:color w:val="auto"/>
                    <w:sz w:val="22"/>
                    <w:szCs w:val="22"/>
                  </w:rPr>
                </w:rPrChange>
              </w:rPr>
              <w:t>=</w:t>
            </w:r>
            <w:r w:rsidRPr="00D55B59">
              <w:rPr>
                <w:b/>
                <w:color w:val="auto"/>
                <w:sz w:val="22"/>
                <w:szCs w:val="22"/>
                <w:lang w:val="en-GB"/>
                <w:rPrChange w:id="1649" w:author="Author">
                  <w:rPr>
                    <w:b/>
                    <w:color w:val="auto"/>
                    <w:sz w:val="22"/>
                    <w:szCs w:val="22"/>
                  </w:rPr>
                </w:rPrChange>
              </w:rPr>
              <w:t> </w:t>
            </w:r>
            <w:r w:rsidRPr="00D55B59">
              <w:rPr>
                <w:b/>
                <w:bCs/>
                <w:color w:val="auto"/>
                <w:sz w:val="22"/>
                <w:szCs w:val="22"/>
                <w:lang w:val="en-GB"/>
                <w:rPrChange w:id="1650" w:author="Author">
                  <w:rPr>
                    <w:b/>
                    <w:bCs/>
                    <w:color w:val="auto"/>
                    <w:sz w:val="22"/>
                    <w:szCs w:val="22"/>
                  </w:rPr>
                </w:rPrChange>
              </w:rPr>
              <w:t>208</w:t>
            </w:r>
          </w:p>
        </w:tc>
      </w:tr>
      <w:tr w:rsidR="001778AA" w:rsidRPr="00F04F82" w14:paraId="0DFF5535" w14:textId="77777777" w:rsidTr="00D47253">
        <w:trPr>
          <w:trHeight w:val="147"/>
        </w:trPr>
        <w:tc>
          <w:tcPr>
            <w:tcW w:w="3024" w:type="dxa"/>
          </w:tcPr>
          <w:p w14:paraId="1E80E746" w14:textId="77777777" w:rsidR="001778AA" w:rsidRPr="00D55B59" w:rsidRDefault="001778AA" w:rsidP="00D47253">
            <w:pPr>
              <w:pStyle w:val="Default"/>
              <w:keepNext/>
              <w:rPr>
                <w:color w:val="auto"/>
                <w:sz w:val="22"/>
                <w:szCs w:val="22"/>
                <w:lang w:val="en-GB" w:eastAsia="en-GB"/>
                <w:rPrChange w:id="1651" w:author="Author">
                  <w:rPr>
                    <w:color w:val="auto"/>
                    <w:sz w:val="22"/>
                    <w:szCs w:val="22"/>
                    <w:lang w:eastAsia="en-GB"/>
                  </w:rPr>
                </w:rPrChange>
              </w:rPr>
            </w:pPr>
            <w:r w:rsidRPr="00D55B59">
              <w:rPr>
                <w:color w:val="auto"/>
                <w:sz w:val="22"/>
                <w:szCs w:val="22"/>
                <w:lang w:val="en-GB"/>
                <w:rPrChange w:id="1652" w:author="Author">
                  <w:rPr>
                    <w:color w:val="auto"/>
                    <w:sz w:val="22"/>
                    <w:szCs w:val="22"/>
                  </w:rPr>
                </w:rPrChange>
              </w:rPr>
              <w:t>ASAS</w:t>
            </w:r>
            <w:r w:rsidRPr="00D55B59">
              <w:rPr>
                <w:color w:val="auto"/>
                <w:sz w:val="22"/>
                <w:szCs w:val="22"/>
                <w:vertAlign w:val="superscript"/>
                <w:lang w:val="en-GB"/>
                <w:rPrChange w:id="1653" w:author="Author">
                  <w:rPr>
                    <w:color w:val="auto"/>
                    <w:sz w:val="22"/>
                    <w:szCs w:val="22"/>
                    <w:vertAlign w:val="superscript"/>
                  </w:rPr>
                </w:rPrChange>
              </w:rPr>
              <w:t>a</w:t>
            </w:r>
            <w:r w:rsidRPr="00D55B59">
              <w:rPr>
                <w:color w:val="auto"/>
                <w:sz w:val="22"/>
                <w:szCs w:val="22"/>
                <w:lang w:val="en-GB"/>
                <w:rPrChange w:id="1654" w:author="Author">
                  <w:rPr>
                    <w:color w:val="auto"/>
                    <w:sz w:val="22"/>
                    <w:szCs w:val="22"/>
                  </w:rPr>
                </w:rPrChange>
              </w:rPr>
              <w:t xml:space="preserve"> 20</w:t>
            </w:r>
          </w:p>
        </w:tc>
        <w:tc>
          <w:tcPr>
            <w:tcW w:w="3024" w:type="dxa"/>
          </w:tcPr>
          <w:p w14:paraId="52353AA0"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p>
        </w:tc>
        <w:tc>
          <w:tcPr>
            <w:tcW w:w="3024" w:type="dxa"/>
          </w:tcPr>
          <w:p w14:paraId="5F16EFEE"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p>
        </w:tc>
      </w:tr>
      <w:tr w:rsidR="001778AA" w:rsidRPr="00F04F82" w14:paraId="5873013A" w14:textId="77777777" w:rsidTr="00D47253">
        <w:trPr>
          <w:trHeight w:val="147"/>
        </w:trPr>
        <w:tc>
          <w:tcPr>
            <w:tcW w:w="3024" w:type="dxa"/>
          </w:tcPr>
          <w:p w14:paraId="17747A45"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Week 2</w:t>
            </w:r>
          </w:p>
        </w:tc>
        <w:tc>
          <w:tcPr>
            <w:tcW w:w="3024" w:type="dxa"/>
          </w:tcPr>
          <w:p w14:paraId="6A835C64"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16%</w:t>
            </w:r>
          </w:p>
        </w:tc>
        <w:tc>
          <w:tcPr>
            <w:tcW w:w="3024" w:type="dxa"/>
          </w:tcPr>
          <w:p w14:paraId="4C7C526D"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42%***</w:t>
            </w:r>
          </w:p>
        </w:tc>
      </w:tr>
      <w:tr w:rsidR="001778AA" w:rsidRPr="00F04F82" w14:paraId="2FE58183" w14:textId="77777777" w:rsidTr="00D47253">
        <w:trPr>
          <w:trHeight w:val="147"/>
        </w:trPr>
        <w:tc>
          <w:tcPr>
            <w:tcW w:w="3024" w:type="dxa"/>
          </w:tcPr>
          <w:p w14:paraId="4F0301E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Week 12</w:t>
            </w:r>
          </w:p>
        </w:tc>
        <w:tc>
          <w:tcPr>
            <w:tcW w:w="3024" w:type="dxa"/>
          </w:tcPr>
          <w:p w14:paraId="416D1A71"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21%</w:t>
            </w:r>
          </w:p>
        </w:tc>
        <w:tc>
          <w:tcPr>
            <w:tcW w:w="3024" w:type="dxa"/>
          </w:tcPr>
          <w:p w14:paraId="119C2FE1"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58%***</w:t>
            </w:r>
          </w:p>
        </w:tc>
      </w:tr>
      <w:tr w:rsidR="001778AA" w:rsidRPr="00F04F82" w14:paraId="3E7D7ED6" w14:textId="77777777" w:rsidTr="00D47253">
        <w:trPr>
          <w:trHeight w:val="147"/>
        </w:trPr>
        <w:tc>
          <w:tcPr>
            <w:tcW w:w="3024" w:type="dxa"/>
          </w:tcPr>
          <w:p w14:paraId="12A64FF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Week 24</w:t>
            </w:r>
          </w:p>
        </w:tc>
        <w:tc>
          <w:tcPr>
            <w:tcW w:w="3024" w:type="dxa"/>
          </w:tcPr>
          <w:p w14:paraId="11567440"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19%</w:t>
            </w:r>
          </w:p>
        </w:tc>
        <w:tc>
          <w:tcPr>
            <w:tcW w:w="3024" w:type="dxa"/>
          </w:tcPr>
          <w:p w14:paraId="3CB67399"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51%***</w:t>
            </w:r>
          </w:p>
        </w:tc>
      </w:tr>
      <w:tr w:rsidR="001778AA" w:rsidRPr="00F04F82" w14:paraId="69F6EBFD" w14:textId="77777777" w:rsidTr="00D47253">
        <w:trPr>
          <w:trHeight w:val="147"/>
        </w:trPr>
        <w:tc>
          <w:tcPr>
            <w:tcW w:w="3024" w:type="dxa"/>
          </w:tcPr>
          <w:p w14:paraId="6F77B1CE" w14:textId="77777777" w:rsidR="001778AA" w:rsidRPr="001775D9" w:rsidRDefault="001778AA" w:rsidP="003C3950">
            <w:pPr>
              <w:keepNext/>
              <w:keepLines/>
              <w:tabs>
                <w:tab w:val="clear" w:pos="567"/>
              </w:tabs>
              <w:autoSpaceDE w:val="0"/>
              <w:autoSpaceDN w:val="0"/>
              <w:adjustRightInd w:val="0"/>
              <w:spacing w:line="240" w:lineRule="auto"/>
              <w:rPr>
                <w:szCs w:val="22"/>
                <w:lang w:eastAsia="en-GB"/>
              </w:rPr>
            </w:pPr>
            <w:r w:rsidRPr="001775D9">
              <w:rPr>
                <w:szCs w:val="22"/>
                <w:lang w:eastAsia="en-GB"/>
              </w:rPr>
              <w:t>ASAS 50</w:t>
            </w:r>
          </w:p>
        </w:tc>
        <w:tc>
          <w:tcPr>
            <w:tcW w:w="3024" w:type="dxa"/>
          </w:tcPr>
          <w:p w14:paraId="5DED1269" w14:textId="77777777" w:rsidR="001778AA" w:rsidRPr="001775D9" w:rsidRDefault="001778AA" w:rsidP="003C3950">
            <w:pPr>
              <w:keepNext/>
              <w:keepLines/>
              <w:tabs>
                <w:tab w:val="clear" w:pos="567"/>
              </w:tabs>
              <w:autoSpaceDE w:val="0"/>
              <w:autoSpaceDN w:val="0"/>
              <w:adjustRightInd w:val="0"/>
              <w:spacing w:line="240" w:lineRule="auto"/>
              <w:jc w:val="center"/>
              <w:rPr>
                <w:szCs w:val="22"/>
                <w:lang w:eastAsia="en-GB"/>
              </w:rPr>
            </w:pPr>
          </w:p>
        </w:tc>
        <w:tc>
          <w:tcPr>
            <w:tcW w:w="3024" w:type="dxa"/>
          </w:tcPr>
          <w:p w14:paraId="6AE8399B" w14:textId="77777777" w:rsidR="001778AA" w:rsidRPr="001775D9" w:rsidRDefault="001778AA" w:rsidP="003C3950">
            <w:pPr>
              <w:keepNext/>
              <w:keepLines/>
              <w:tabs>
                <w:tab w:val="clear" w:pos="567"/>
              </w:tabs>
              <w:autoSpaceDE w:val="0"/>
              <w:autoSpaceDN w:val="0"/>
              <w:adjustRightInd w:val="0"/>
              <w:spacing w:line="240" w:lineRule="auto"/>
              <w:jc w:val="center"/>
              <w:rPr>
                <w:szCs w:val="22"/>
                <w:lang w:eastAsia="en-GB"/>
              </w:rPr>
            </w:pPr>
          </w:p>
        </w:tc>
      </w:tr>
      <w:tr w:rsidR="001778AA" w:rsidRPr="00F04F82" w14:paraId="3FA4034E" w14:textId="77777777" w:rsidTr="00D47253">
        <w:trPr>
          <w:trHeight w:val="147"/>
        </w:trPr>
        <w:tc>
          <w:tcPr>
            <w:tcW w:w="3024" w:type="dxa"/>
          </w:tcPr>
          <w:p w14:paraId="40C82C57" w14:textId="77777777" w:rsidR="001778AA" w:rsidRPr="001775D9" w:rsidRDefault="001778AA" w:rsidP="003C3950">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Week 2</w:t>
            </w:r>
          </w:p>
        </w:tc>
        <w:tc>
          <w:tcPr>
            <w:tcW w:w="3024" w:type="dxa"/>
          </w:tcPr>
          <w:p w14:paraId="5A59E0DE" w14:textId="77777777" w:rsidR="001778AA" w:rsidRPr="001775D9" w:rsidRDefault="001778AA" w:rsidP="003C3950">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3%</w:t>
            </w:r>
          </w:p>
        </w:tc>
        <w:tc>
          <w:tcPr>
            <w:tcW w:w="3024" w:type="dxa"/>
          </w:tcPr>
          <w:p w14:paraId="451487A1" w14:textId="77777777" w:rsidR="001778AA" w:rsidRPr="001775D9" w:rsidRDefault="001778AA" w:rsidP="003C3950">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16%***</w:t>
            </w:r>
          </w:p>
        </w:tc>
      </w:tr>
      <w:tr w:rsidR="001778AA" w:rsidRPr="00F04F82" w14:paraId="14EABD51" w14:textId="77777777" w:rsidTr="00D47253">
        <w:trPr>
          <w:trHeight w:val="147"/>
        </w:trPr>
        <w:tc>
          <w:tcPr>
            <w:tcW w:w="3024" w:type="dxa"/>
          </w:tcPr>
          <w:p w14:paraId="121F9CAF" w14:textId="77777777" w:rsidR="001778AA" w:rsidRPr="001775D9" w:rsidRDefault="001778AA" w:rsidP="003C3950">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Week 12</w:t>
            </w:r>
          </w:p>
        </w:tc>
        <w:tc>
          <w:tcPr>
            <w:tcW w:w="3024" w:type="dxa"/>
          </w:tcPr>
          <w:p w14:paraId="61CA94C7" w14:textId="77777777" w:rsidR="001778AA" w:rsidRPr="001775D9" w:rsidRDefault="001778AA" w:rsidP="003C3950">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10%</w:t>
            </w:r>
          </w:p>
        </w:tc>
        <w:tc>
          <w:tcPr>
            <w:tcW w:w="3024" w:type="dxa"/>
          </w:tcPr>
          <w:p w14:paraId="33BA80C4" w14:textId="77777777" w:rsidR="001778AA" w:rsidRPr="001775D9" w:rsidRDefault="001778AA" w:rsidP="003C3950">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38%***</w:t>
            </w:r>
          </w:p>
        </w:tc>
      </w:tr>
      <w:tr w:rsidR="001778AA" w:rsidRPr="00F04F82" w14:paraId="4D18C1B6" w14:textId="77777777" w:rsidTr="00D47253">
        <w:trPr>
          <w:trHeight w:val="147"/>
        </w:trPr>
        <w:tc>
          <w:tcPr>
            <w:tcW w:w="3024" w:type="dxa"/>
          </w:tcPr>
          <w:p w14:paraId="0C6D854D"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Week 24</w:t>
            </w:r>
          </w:p>
        </w:tc>
        <w:tc>
          <w:tcPr>
            <w:tcW w:w="3024" w:type="dxa"/>
          </w:tcPr>
          <w:p w14:paraId="609F894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11%</w:t>
            </w:r>
          </w:p>
        </w:tc>
        <w:tc>
          <w:tcPr>
            <w:tcW w:w="3024" w:type="dxa"/>
          </w:tcPr>
          <w:p w14:paraId="63624C5F"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35%***</w:t>
            </w:r>
          </w:p>
        </w:tc>
      </w:tr>
      <w:tr w:rsidR="001778AA" w:rsidRPr="00F04F82" w14:paraId="384C96D2" w14:textId="77777777" w:rsidTr="00D47253">
        <w:trPr>
          <w:trHeight w:val="147"/>
        </w:trPr>
        <w:tc>
          <w:tcPr>
            <w:tcW w:w="3024" w:type="dxa"/>
          </w:tcPr>
          <w:p w14:paraId="49CC3DDB"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ASAS 70</w:t>
            </w:r>
          </w:p>
        </w:tc>
        <w:tc>
          <w:tcPr>
            <w:tcW w:w="3024" w:type="dxa"/>
          </w:tcPr>
          <w:p w14:paraId="3B6DD320"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p>
        </w:tc>
        <w:tc>
          <w:tcPr>
            <w:tcW w:w="3024" w:type="dxa"/>
          </w:tcPr>
          <w:p w14:paraId="7F4940EC"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p>
        </w:tc>
      </w:tr>
      <w:tr w:rsidR="001778AA" w:rsidRPr="00F04F82" w14:paraId="2AC2A353" w14:textId="77777777" w:rsidTr="00D47253">
        <w:trPr>
          <w:trHeight w:val="147"/>
        </w:trPr>
        <w:tc>
          <w:tcPr>
            <w:tcW w:w="3024" w:type="dxa"/>
          </w:tcPr>
          <w:p w14:paraId="6D42BE25"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Week 2</w:t>
            </w:r>
          </w:p>
        </w:tc>
        <w:tc>
          <w:tcPr>
            <w:tcW w:w="3024" w:type="dxa"/>
          </w:tcPr>
          <w:p w14:paraId="348572B3"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0%</w:t>
            </w:r>
          </w:p>
        </w:tc>
        <w:tc>
          <w:tcPr>
            <w:tcW w:w="3024" w:type="dxa"/>
          </w:tcPr>
          <w:p w14:paraId="7E8E0E2C"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7%**</w:t>
            </w:r>
          </w:p>
        </w:tc>
      </w:tr>
      <w:tr w:rsidR="001778AA" w:rsidRPr="00F04F82" w14:paraId="00D877CA" w14:textId="77777777" w:rsidTr="00D47253">
        <w:trPr>
          <w:trHeight w:val="147"/>
        </w:trPr>
        <w:tc>
          <w:tcPr>
            <w:tcW w:w="3024" w:type="dxa"/>
          </w:tcPr>
          <w:p w14:paraId="08006C04"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Week 12</w:t>
            </w:r>
          </w:p>
        </w:tc>
        <w:tc>
          <w:tcPr>
            <w:tcW w:w="3024" w:type="dxa"/>
          </w:tcPr>
          <w:p w14:paraId="133C8629"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5%</w:t>
            </w:r>
          </w:p>
        </w:tc>
        <w:tc>
          <w:tcPr>
            <w:tcW w:w="3024" w:type="dxa"/>
          </w:tcPr>
          <w:p w14:paraId="13F388EC"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23%***</w:t>
            </w:r>
          </w:p>
        </w:tc>
      </w:tr>
      <w:tr w:rsidR="001778AA" w:rsidRPr="00F04F82" w14:paraId="3F5D3DEC" w14:textId="77777777" w:rsidTr="00D47253">
        <w:trPr>
          <w:trHeight w:val="147"/>
        </w:trPr>
        <w:tc>
          <w:tcPr>
            <w:tcW w:w="3024" w:type="dxa"/>
          </w:tcPr>
          <w:p w14:paraId="0B7840C0"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Week 24</w:t>
            </w:r>
          </w:p>
        </w:tc>
        <w:tc>
          <w:tcPr>
            <w:tcW w:w="3024" w:type="dxa"/>
          </w:tcPr>
          <w:p w14:paraId="1F58BA5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8%</w:t>
            </w:r>
          </w:p>
        </w:tc>
        <w:tc>
          <w:tcPr>
            <w:tcW w:w="3024" w:type="dxa"/>
          </w:tcPr>
          <w:p w14:paraId="29F1E14E"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24%***</w:t>
            </w:r>
          </w:p>
        </w:tc>
      </w:tr>
      <w:tr w:rsidR="001778AA" w:rsidRPr="00F04F82" w14:paraId="1BCF940E" w14:textId="77777777" w:rsidTr="00D47253">
        <w:trPr>
          <w:trHeight w:val="147"/>
        </w:trPr>
        <w:tc>
          <w:tcPr>
            <w:tcW w:w="3024" w:type="dxa"/>
          </w:tcPr>
          <w:p w14:paraId="771D5AFD"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BASDAI</w:t>
            </w:r>
            <w:r w:rsidRPr="001775D9">
              <w:rPr>
                <w:color w:val="000000"/>
                <w:szCs w:val="22"/>
                <w:vertAlign w:val="superscript"/>
                <w:lang w:eastAsia="en-GB"/>
              </w:rPr>
              <w:t>b</w:t>
            </w:r>
            <w:r w:rsidRPr="001775D9">
              <w:rPr>
                <w:color w:val="000000"/>
                <w:szCs w:val="22"/>
                <w:lang w:eastAsia="en-GB"/>
              </w:rPr>
              <w:t xml:space="preserve"> 50 </w:t>
            </w:r>
          </w:p>
        </w:tc>
        <w:tc>
          <w:tcPr>
            <w:tcW w:w="3024" w:type="dxa"/>
          </w:tcPr>
          <w:p w14:paraId="3C3892BF"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c>
          <w:tcPr>
            <w:tcW w:w="3024" w:type="dxa"/>
          </w:tcPr>
          <w:p w14:paraId="61628685"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r>
      <w:tr w:rsidR="001778AA" w:rsidRPr="00F04F82" w14:paraId="3AED8995" w14:textId="77777777" w:rsidTr="00D47253">
        <w:trPr>
          <w:trHeight w:val="147"/>
        </w:trPr>
        <w:tc>
          <w:tcPr>
            <w:tcW w:w="3024" w:type="dxa"/>
          </w:tcPr>
          <w:p w14:paraId="056F9A9B"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Week 2</w:t>
            </w:r>
          </w:p>
        </w:tc>
        <w:tc>
          <w:tcPr>
            <w:tcW w:w="3024" w:type="dxa"/>
          </w:tcPr>
          <w:p w14:paraId="258AE4A8"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w:t>
            </w:r>
          </w:p>
        </w:tc>
        <w:tc>
          <w:tcPr>
            <w:tcW w:w="3024" w:type="dxa"/>
          </w:tcPr>
          <w:p w14:paraId="5C72CB49"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20%***</w:t>
            </w:r>
          </w:p>
        </w:tc>
      </w:tr>
      <w:tr w:rsidR="001778AA" w:rsidRPr="00F04F82" w14:paraId="5BE7FCEA" w14:textId="77777777" w:rsidTr="00D47253">
        <w:trPr>
          <w:trHeight w:val="147"/>
        </w:trPr>
        <w:tc>
          <w:tcPr>
            <w:tcW w:w="3024" w:type="dxa"/>
          </w:tcPr>
          <w:p w14:paraId="45C3FFB5" w14:textId="77777777" w:rsidR="001778AA" w:rsidRPr="00D55B59" w:rsidRDefault="001778AA" w:rsidP="00D47253">
            <w:pPr>
              <w:pStyle w:val="Default"/>
              <w:keepNext/>
              <w:keepLines/>
              <w:jc w:val="center"/>
              <w:rPr>
                <w:sz w:val="22"/>
                <w:szCs w:val="22"/>
                <w:lang w:val="en-GB" w:eastAsia="en-GB"/>
                <w:rPrChange w:id="1655" w:author="Author">
                  <w:rPr>
                    <w:sz w:val="22"/>
                    <w:szCs w:val="22"/>
                    <w:lang w:eastAsia="en-GB"/>
                  </w:rPr>
                </w:rPrChange>
              </w:rPr>
            </w:pPr>
            <w:r w:rsidRPr="00D55B59">
              <w:rPr>
                <w:sz w:val="22"/>
                <w:szCs w:val="22"/>
                <w:lang w:val="en-GB"/>
                <w:rPrChange w:id="1656" w:author="Author">
                  <w:rPr>
                    <w:sz w:val="22"/>
                    <w:szCs w:val="22"/>
                  </w:rPr>
                </w:rPrChange>
              </w:rPr>
              <w:t>Week 12</w:t>
            </w:r>
          </w:p>
        </w:tc>
        <w:tc>
          <w:tcPr>
            <w:tcW w:w="3024" w:type="dxa"/>
          </w:tcPr>
          <w:p w14:paraId="0B358FC9" w14:textId="77777777" w:rsidR="001778AA" w:rsidRPr="00D55B59" w:rsidRDefault="001778AA" w:rsidP="00D47253">
            <w:pPr>
              <w:pStyle w:val="Default"/>
              <w:keepNext/>
              <w:keepLines/>
              <w:jc w:val="center"/>
              <w:rPr>
                <w:sz w:val="22"/>
                <w:szCs w:val="22"/>
                <w:lang w:val="en-GB" w:eastAsia="en-GB"/>
                <w:rPrChange w:id="1657" w:author="Author">
                  <w:rPr>
                    <w:sz w:val="22"/>
                    <w:szCs w:val="22"/>
                    <w:lang w:eastAsia="en-GB"/>
                  </w:rPr>
                </w:rPrChange>
              </w:rPr>
            </w:pPr>
            <w:r w:rsidRPr="00D55B59">
              <w:rPr>
                <w:sz w:val="22"/>
                <w:szCs w:val="22"/>
                <w:lang w:val="en-GB"/>
                <w:rPrChange w:id="1658" w:author="Author">
                  <w:rPr>
                    <w:sz w:val="22"/>
                    <w:szCs w:val="22"/>
                  </w:rPr>
                </w:rPrChange>
              </w:rPr>
              <w:t>16%</w:t>
            </w:r>
          </w:p>
        </w:tc>
        <w:tc>
          <w:tcPr>
            <w:tcW w:w="3024" w:type="dxa"/>
          </w:tcPr>
          <w:p w14:paraId="20D9BB02" w14:textId="77777777" w:rsidR="001778AA" w:rsidRPr="00D55B59" w:rsidRDefault="001778AA" w:rsidP="00D47253">
            <w:pPr>
              <w:pStyle w:val="Default"/>
              <w:keepNext/>
              <w:keepLines/>
              <w:jc w:val="center"/>
              <w:rPr>
                <w:sz w:val="22"/>
                <w:szCs w:val="22"/>
                <w:lang w:val="en-GB" w:eastAsia="en-GB"/>
                <w:rPrChange w:id="1659" w:author="Author">
                  <w:rPr>
                    <w:sz w:val="22"/>
                    <w:szCs w:val="22"/>
                    <w:lang w:eastAsia="en-GB"/>
                  </w:rPr>
                </w:rPrChange>
              </w:rPr>
            </w:pPr>
            <w:r w:rsidRPr="00D55B59">
              <w:rPr>
                <w:sz w:val="22"/>
                <w:szCs w:val="22"/>
                <w:lang w:val="en-GB"/>
                <w:rPrChange w:id="1660" w:author="Author">
                  <w:rPr>
                    <w:sz w:val="22"/>
                    <w:szCs w:val="22"/>
                  </w:rPr>
                </w:rPrChange>
              </w:rPr>
              <w:t>45%***</w:t>
            </w:r>
          </w:p>
        </w:tc>
      </w:tr>
      <w:tr w:rsidR="001778AA" w:rsidRPr="00F04F82" w14:paraId="176678AE" w14:textId="77777777" w:rsidTr="00D47253">
        <w:trPr>
          <w:trHeight w:val="147"/>
        </w:trPr>
        <w:tc>
          <w:tcPr>
            <w:tcW w:w="3024" w:type="dxa"/>
          </w:tcPr>
          <w:p w14:paraId="6DDE77E5" w14:textId="77777777" w:rsidR="001778AA" w:rsidRPr="00D55B59" w:rsidRDefault="001778AA" w:rsidP="00D47253">
            <w:pPr>
              <w:pStyle w:val="Default"/>
              <w:jc w:val="center"/>
              <w:rPr>
                <w:sz w:val="22"/>
                <w:szCs w:val="22"/>
                <w:lang w:val="en-GB" w:eastAsia="en-GB"/>
                <w:rPrChange w:id="1661" w:author="Author">
                  <w:rPr>
                    <w:sz w:val="22"/>
                    <w:szCs w:val="22"/>
                    <w:lang w:eastAsia="en-GB"/>
                  </w:rPr>
                </w:rPrChange>
              </w:rPr>
            </w:pPr>
            <w:r w:rsidRPr="00D55B59">
              <w:rPr>
                <w:sz w:val="22"/>
                <w:szCs w:val="22"/>
                <w:lang w:val="en-GB"/>
                <w:rPrChange w:id="1662" w:author="Author">
                  <w:rPr>
                    <w:sz w:val="22"/>
                    <w:szCs w:val="22"/>
                  </w:rPr>
                </w:rPrChange>
              </w:rPr>
              <w:t>Week 24</w:t>
            </w:r>
          </w:p>
        </w:tc>
        <w:tc>
          <w:tcPr>
            <w:tcW w:w="3024" w:type="dxa"/>
          </w:tcPr>
          <w:p w14:paraId="0AAA72B2" w14:textId="77777777" w:rsidR="001778AA" w:rsidRPr="00D55B59" w:rsidRDefault="001778AA" w:rsidP="00D47253">
            <w:pPr>
              <w:pStyle w:val="Default"/>
              <w:jc w:val="center"/>
              <w:rPr>
                <w:sz w:val="22"/>
                <w:szCs w:val="22"/>
                <w:lang w:val="en-GB" w:eastAsia="en-GB"/>
                <w:rPrChange w:id="1663" w:author="Author">
                  <w:rPr>
                    <w:sz w:val="22"/>
                    <w:szCs w:val="22"/>
                    <w:lang w:eastAsia="en-GB"/>
                  </w:rPr>
                </w:rPrChange>
              </w:rPr>
            </w:pPr>
            <w:r w:rsidRPr="00D55B59">
              <w:rPr>
                <w:sz w:val="22"/>
                <w:szCs w:val="22"/>
                <w:lang w:val="en-GB"/>
                <w:rPrChange w:id="1664" w:author="Author">
                  <w:rPr>
                    <w:sz w:val="22"/>
                    <w:szCs w:val="22"/>
                  </w:rPr>
                </w:rPrChange>
              </w:rPr>
              <w:t>15%</w:t>
            </w:r>
          </w:p>
        </w:tc>
        <w:tc>
          <w:tcPr>
            <w:tcW w:w="3024" w:type="dxa"/>
          </w:tcPr>
          <w:p w14:paraId="47FEDCB9" w14:textId="77777777" w:rsidR="001778AA" w:rsidRPr="001775D9" w:rsidRDefault="001778AA" w:rsidP="00D47253">
            <w:pPr>
              <w:keepNext/>
              <w:tabs>
                <w:tab w:val="clear" w:pos="567"/>
              </w:tabs>
              <w:autoSpaceDE w:val="0"/>
              <w:autoSpaceDN w:val="0"/>
              <w:adjustRightInd w:val="0"/>
              <w:spacing w:line="240" w:lineRule="auto"/>
              <w:jc w:val="center"/>
              <w:rPr>
                <w:color w:val="000000"/>
                <w:szCs w:val="22"/>
                <w:lang w:eastAsia="en-GB"/>
              </w:rPr>
            </w:pPr>
            <w:r w:rsidRPr="001775D9">
              <w:rPr>
                <w:szCs w:val="22"/>
              </w:rPr>
              <w:t>42%***</w:t>
            </w:r>
          </w:p>
        </w:tc>
      </w:tr>
    </w:tbl>
    <w:p w14:paraId="51306C06"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color w:val="000000"/>
          <w:sz w:val="20"/>
          <w:lang w:eastAsia="en-GB"/>
        </w:rPr>
        <w:t>***, ** Statistically significant at p</w:t>
      </w:r>
      <w:r w:rsidRPr="001775D9">
        <w:rPr>
          <w:sz w:val="20"/>
        </w:rPr>
        <w:t> </w:t>
      </w:r>
      <w:r w:rsidRPr="001775D9">
        <w:rPr>
          <w:color w:val="000000"/>
          <w:sz w:val="20"/>
          <w:lang w:eastAsia="en-GB"/>
        </w:rPr>
        <w:t>&lt;</w:t>
      </w:r>
      <w:r w:rsidRPr="001775D9">
        <w:rPr>
          <w:sz w:val="20"/>
        </w:rPr>
        <w:t> </w:t>
      </w:r>
      <w:r w:rsidRPr="001775D9">
        <w:rPr>
          <w:sz w:val="20"/>
          <w:lang w:eastAsia="en-GB"/>
        </w:rPr>
        <w:t>0.001, &lt;</w:t>
      </w:r>
      <w:r w:rsidRPr="001775D9">
        <w:rPr>
          <w:sz w:val="20"/>
        </w:rPr>
        <w:t> </w:t>
      </w:r>
      <w:r w:rsidRPr="001775D9">
        <w:rPr>
          <w:sz w:val="20"/>
          <w:lang w:eastAsia="en-GB"/>
        </w:rPr>
        <w:t xml:space="preserve">0.01 for all comparisons between </w:t>
      </w:r>
      <w:r w:rsidRPr="001775D9">
        <w:rPr>
          <w:rFonts w:eastAsia="Times New Roman"/>
          <w:color w:val="000000"/>
          <w:sz w:val="20"/>
        </w:rPr>
        <w:t>adalimumab</w:t>
      </w:r>
      <w:r w:rsidRPr="001775D9">
        <w:rPr>
          <w:sz w:val="20"/>
          <w:lang w:eastAsia="en-GB"/>
        </w:rPr>
        <w:t xml:space="preserve"> and placebo at weeks 2, 12 and 24 </w:t>
      </w:r>
    </w:p>
    <w:p w14:paraId="49AD0097"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vertAlign w:val="subscript"/>
          <w:lang w:eastAsia="en-GB"/>
        </w:rPr>
        <w:t xml:space="preserve"> </w:t>
      </w:r>
      <w:r w:rsidRPr="001775D9">
        <w:rPr>
          <w:sz w:val="20"/>
          <w:lang w:eastAsia="en-GB"/>
        </w:rPr>
        <w:t xml:space="preserve">Assessments in Ankylosing Spondylitis </w:t>
      </w:r>
    </w:p>
    <w:p w14:paraId="0CFC759A"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Bath Ankylosing Spondylitis Disease Activity Index</w:t>
      </w:r>
    </w:p>
    <w:p w14:paraId="4C38592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8C02C11"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rFonts w:eastAsia="Times New Roman"/>
          <w:color w:val="000000"/>
          <w:szCs w:val="22"/>
        </w:rPr>
        <w:t>Adalimumab</w:t>
      </w:r>
      <w:r w:rsidRPr="001775D9">
        <w:rPr>
          <w:szCs w:val="22"/>
          <w:lang w:eastAsia="en-GB"/>
        </w:rPr>
        <w:t xml:space="preserve">-treated patients had significantly greater improvement at week 12 which was maintained through week 24 in both the SF36 and Ankylosing Spondylitis Quality of Life Questionnaire (ASQoL). </w:t>
      </w:r>
    </w:p>
    <w:p w14:paraId="6F67634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C58E2ED"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lang w:eastAsia="en-GB"/>
        </w:rPr>
        <w:t>Similar trends (not all statistically significant) were seen in the smaller randomised, double-blind, placebo controlled AS study II of 82 adult patients with active ankylosing spondylitis.</w:t>
      </w:r>
    </w:p>
    <w:p w14:paraId="29067E3B"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79257911" w14:textId="77777777" w:rsidR="001778AA" w:rsidRPr="001775D9" w:rsidRDefault="001778AA" w:rsidP="001778AA">
      <w:pPr>
        <w:keepNext/>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Axial spondyloarthritis without radiographic evidence of AS </w:t>
      </w:r>
    </w:p>
    <w:p w14:paraId="2DA28700"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4F21CE5C" w14:textId="488E7196" w:rsidR="001778AA" w:rsidRPr="00D55B59" w:rsidRDefault="001778AA" w:rsidP="001778AA">
      <w:pPr>
        <w:tabs>
          <w:tab w:val="clear" w:pos="567"/>
        </w:tabs>
        <w:autoSpaceDE w:val="0"/>
        <w:autoSpaceDN w:val="0"/>
        <w:adjustRightInd w:val="0"/>
        <w:spacing w:line="240" w:lineRule="auto"/>
        <w:rPr>
          <w:rFonts w:eastAsia="Times New Roman"/>
          <w:color w:val="000000"/>
          <w:szCs w:val="22"/>
          <w:rPrChange w:id="1665" w:author="Author">
            <w:rPr>
              <w:rFonts w:eastAsia="Times New Roman"/>
              <w:color w:val="000000"/>
              <w:szCs w:val="22"/>
              <w:lang w:val="en-US"/>
            </w:rPr>
          </w:rPrChange>
        </w:rPr>
      </w:pPr>
      <w:r w:rsidRPr="00D55B59">
        <w:rPr>
          <w:rFonts w:eastAsia="Times New Roman"/>
          <w:bCs/>
          <w:iCs/>
          <w:color w:val="000000"/>
          <w:szCs w:val="22"/>
          <w:rPrChange w:id="1666" w:author="Author">
            <w:rPr>
              <w:rFonts w:eastAsia="Times New Roman"/>
              <w:bCs/>
              <w:iCs/>
              <w:color w:val="000000"/>
              <w:szCs w:val="22"/>
              <w:lang w:val="en-US"/>
            </w:rPr>
          </w:rPrChange>
        </w:rPr>
        <w:t xml:space="preserve">The safety and efficacy of </w:t>
      </w:r>
      <w:r w:rsidRPr="00D55B59">
        <w:rPr>
          <w:rFonts w:eastAsia="Times New Roman"/>
          <w:color w:val="000000"/>
          <w:szCs w:val="22"/>
          <w:rPrChange w:id="1667" w:author="Author">
            <w:rPr>
              <w:rFonts w:eastAsia="Times New Roman"/>
              <w:color w:val="000000"/>
              <w:szCs w:val="22"/>
              <w:lang w:val="en-US"/>
            </w:rPr>
          </w:rPrChange>
        </w:rPr>
        <w:t>adalimumab were assessed in two randomised, double-blind placebo</w:t>
      </w:r>
      <w:r w:rsidR="006E3A27" w:rsidRPr="00D55B59">
        <w:rPr>
          <w:rFonts w:eastAsia="Times New Roman"/>
          <w:color w:val="000000"/>
          <w:szCs w:val="22"/>
          <w:rPrChange w:id="1668" w:author="Author">
            <w:rPr>
              <w:rFonts w:eastAsia="Times New Roman"/>
              <w:color w:val="000000"/>
              <w:szCs w:val="22"/>
              <w:lang w:val="en-US"/>
            </w:rPr>
          </w:rPrChange>
        </w:rPr>
        <w:noBreakHyphen/>
      </w:r>
      <w:r w:rsidRPr="00D55B59">
        <w:rPr>
          <w:rFonts w:eastAsia="Times New Roman"/>
          <w:color w:val="000000"/>
          <w:szCs w:val="22"/>
          <w:rPrChange w:id="1669" w:author="Author">
            <w:rPr>
              <w:rFonts w:eastAsia="Times New Roman"/>
              <w:color w:val="000000"/>
              <w:szCs w:val="22"/>
              <w:lang w:val="en-US"/>
            </w:rPr>
          </w:rPrChange>
        </w:rPr>
        <w:t>controlled studies in patients with non-radiographic axial spondyloarthritis (nr-axSpA). Study nr-axSpA I evaluated patients with active nr-axSpA. Study nr-axSpA II was a treatment withdrawal study in active nr-axSpA patients who achieved remission during open-label treatment with adalimumab.</w:t>
      </w:r>
    </w:p>
    <w:p w14:paraId="5EF68493" w14:textId="77777777" w:rsidR="001778AA" w:rsidRPr="00D55B59" w:rsidRDefault="001778AA" w:rsidP="001778AA">
      <w:pPr>
        <w:tabs>
          <w:tab w:val="clear" w:pos="567"/>
        </w:tabs>
        <w:autoSpaceDE w:val="0"/>
        <w:autoSpaceDN w:val="0"/>
        <w:adjustRightInd w:val="0"/>
        <w:spacing w:line="240" w:lineRule="auto"/>
        <w:rPr>
          <w:rFonts w:eastAsia="Times New Roman"/>
          <w:color w:val="000000"/>
          <w:szCs w:val="22"/>
          <w:rPrChange w:id="1670" w:author="Author">
            <w:rPr>
              <w:rFonts w:eastAsia="Times New Roman"/>
              <w:color w:val="000000"/>
              <w:szCs w:val="22"/>
              <w:lang w:val="en-US"/>
            </w:rPr>
          </w:rPrChange>
        </w:rPr>
      </w:pPr>
    </w:p>
    <w:p w14:paraId="3248DD7C" w14:textId="77777777" w:rsidR="001778AA" w:rsidRPr="00D55B59" w:rsidRDefault="001778AA" w:rsidP="001778AA">
      <w:pPr>
        <w:tabs>
          <w:tab w:val="clear" w:pos="567"/>
        </w:tabs>
        <w:autoSpaceDE w:val="0"/>
        <w:autoSpaceDN w:val="0"/>
        <w:adjustRightInd w:val="0"/>
        <w:spacing w:line="240" w:lineRule="auto"/>
        <w:rPr>
          <w:rFonts w:eastAsia="Times New Roman"/>
          <w:color w:val="000000"/>
          <w:szCs w:val="22"/>
          <w:rPrChange w:id="1671" w:author="Author">
            <w:rPr>
              <w:rFonts w:eastAsia="Times New Roman"/>
              <w:color w:val="000000"/>
              <w:szCs w:val="22"/>
              <w:lang w:val="en-US"/>
            </w:rPr>
          </w:rPrChange>
        </w:rPr>
      </w:pPr>
      <w:r w:rsidRPr="00D55B59">
        <w:rPr>
          <w:rFonts w:eastAsia="Times New Roman"/>
          <w:color w:val="000000"/>
          <w:szCs w:val="22"/>
          <w:rPrChange w:id="1672" w:author="Author">
            <w:rPr>
              <w:rFonts w:eastAsia="Times New Roman"/>
              <w:color w:val="000000"/>
              <w:szCs w:val="22"/>
              <w:lang w:val="en-US"/>
            </w:rPr>
          </w:rPrChange>
        </w:rPr>
        <w:t>Study nr-axSpA I</w:t>
      </w:r>
    </w:p>
    <w:p w14:paraId="3065AEF9" w14:textId="77777777" w:rsidR="001778AA" w:rsidRPr="00D55B59" w:rsidRDefault="001778AA" w:rsidP="001778AA">
      <w:pPr>
        <w:tabs>
          <w:tab w:val="clear" w:pos="567"/>
        </w:tabs>
        <w:autoSpaceDE w:val="0"/>
        <w:autoSpaceDN w:val="0"/>
        <w:adjustRightInd w:val="0"/>
        <w:spacing w:line="240" w:lineRule="auto"/>
        <w:rPr>
          <w:rFonts w:eastAsia="Times New Roman"/>
          <w:color w:val="000000"/>
          <w:szCs w:val="22"/>
          <w:rPrChange w:id="1673" w:author="Author">
            <w:rPr>
              <w:rFonts w:eastAsia="Times New Roman"/>
              <w:color w:val="000000"/>
              <w:szCs w:val="22"/>
              <w:lang w:val="en-US"/>
            </w:rPr>
          </w:rPrChange>
        </w:rPr>
      </w:pPr>
    </w:p>
    <w:p w14:paraId="47F64087" w14:textId="1BA85B57" w:rsidR="001778AA" w:rsidRPr="001775D9" w:rsidRDefault="001778AA" w:rsidP="001778AA">
      <w:pPr>
        <w:tabs>
          <w:tab w:val="clear" w:pos="567"/>
        </w:tabs>
        <w:autoSpaceDE w:val="0"/>
        <w:autoSpaceDN w:val="0"/>
        <w:adjustRightInd w:val="0"/>
        <w:spacing w:line="240" w:lineRule="auto"/>
        <w:rPr>
          <w:szCs w:val="22"/>
          <w:lang w:eastAsia="en-GB"/>
        </w:rPr>
      </w:pPr>
      <w:r w:rsidRPr="001775D9">
        <w:rPr>
          <w:rFonts w:eastAsia="Times New Roman"/>
          <w:color w:val="000000"/>
          <w:szCs w:val="22"/>
        </w:rPr>
        <w:t>In Study nr-axSpA I, adalimumab</w:t>
      </w:r>
      <w:r w:rsidRPr="001775D9">
        <w:rPr>
          <w:szCs w:val="22"/>
          <w:lang w:eastAsia="en-GB"/>
        </w:rPr>
        <w:t xml:space="preserve"> 40</w:t>
      </w:r>
      <w:r w:rsidRPr="001775D9">
        <w:rPr>
          <w:szCs w:val="22"/>
        </w:rPr>
        <w:t> </w:t>
      </w:r>
      <w:r w:rsidRPr="001775D9">
        <w:rPr>
          <w:szCs w:val="22"/>
          <w:lang w:eastAsia="en-GB"/>
        </w:rPr>
        <w:t xml:space="preserve">mg every other week was assessed in 185 patients in a randomised, 12 week double-blind, placebo-controlled study in patients with active nr-axSpA (mean baseline score of disease activity [Bath Ankylosing Spondylitis Disease Activity Index (BASDAI)] was 6.4 for patients treated with </w:t>
      </w:r>
      <w:r w:rsidRPr="001775D9">
        <w:rPr>
          <w:rFonts w:eastAsia="Times New Roman"/>
          <w:color w:val="000000"/>
          <w:szCs w:val="22"/>
        </w:rPr>
        <w:t>adalimumab</w:t>
      </w:r>
      <w:r w:rsidRPr="001775D9">
        <w:rPr>
          <w:szCs w:val="22"/>
          <w:lang w:eastAsia="en-GB"/>
        </w:rPr>
        <w:t xml:space="preserve"> and 6.5 for those on placebo) who have had an inadequate response to or intolerance to ≥</w:t>
      </w:r>
      <w:r w:rsidRPr="001775D9">
        <w:rPr>
          <w:szCs w:val="22"/>
        </w:rPr>
        <w:t> </w:t>
      </w:r>
      <w:r w:rsidRPr="001775D9">
        <w:rPr>
          <w:szCs w:val="22"/>
          <w:lang w:eastAsia="en-GB"/>
        </w:rPr>
        <w:t xml:space="preserve">1 NSAIDs, or a contraindication for NSAIDs. </w:t>
      </w:r>
    </w:p>
    <w:p w14:paraId="4D164C1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B72E2E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Thirty-three (18%) patients were treated concomitantly with disease-modifying anti-rheumatic drugs, and 146 (79%) patients with NSAIDs at baseline. The double-blind period was followed by an open-label period during which patients receive </w:t>
      </w:r>
      <w:r w:rsidRPr="001775D9">
        <w:rPr>
          <w:rFonts w:eastAsia="Times New Roman"/>
          <w:color w:val="000000"/>
          <w:szCs w:val="22"/>
        </w:rPr>
        <w:t>adalimumab</w:t>
      </w:r>
      <w:r w:rsidRPr="001775D9">
        <w:rPr>
          <w:szCs w:val="22"/>
          <w:lang w:eastAsia="en-GB"/>
        </w:rPr>
        <w:t xml:space="preserve"> 40</w:t>
      </w:r>
      <w:r w:rsidRPr="001775D9">
        <w:rPr>
          <w:szCs w:val="22"/>
        </w:rPr>
        <w:t> </w:t>
      </w:r>
      <w:r w:rsidRPr="001775D9">
        <w:rPr>
          <w:szCs w:val="22"/>
          <w:lang w:eastAsia="en-GB"/>
        </w:rPr>
        <w:t xml:space="preserve">mg every other week subcutaneously for up to an additional 144 weeks. Week 12 results showed statistically significant improvement of the signs and symptoms of active nr-axSpA in patients treated with </w:t>
      </w:r>
      <w:r w:rsidRPr="001775D9">
        <w:rPr>
          <w:rFonts w:eastAsia="Times New Roman"/>
          <w:color w:val="000000"/>
          <w:szCs w:val="22"/>
        </w:rPr>
        <w:t>adalimumab</w:t>
      </w:r>
      <w:r w:rsidRPr="001775D9">
        <w:rPr>
          <w:szCs w:val="22"/>
          <w:lang w:eastAsia="en-GB"/>
        </w:rPr>
        <w:t xml:space="preserve"> compared to placebo (table 13).</w:t>
      </w:r>
    </w:p>
    <w:p w14:paraId="3177A71D"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p>
    <w:p w14:paraId="5652CC4A" w14:textId="77777777" w:rsidR="001778AA" w:rsidRPr="001775D9" w:rsidRDefault="001778AA" w:rsidP="003C3950">
      <w:pPr>
        <w:tabs>
          <w:tab w:val="clear" w:pos="567"/>
        </w:tabs>
        <w:autoSpaceDE w:val="0"/>
        <w:autoSpaceDN w:val="0"/>
        <w:adjustRightInd w:val="0"/>
        <w:spacing w:line="240" w:lineRule="auto"/>
        <w:rPr>
          <w:b/>
          <w:bCs/>
          <w:color w:val="000000"/>
          <w:szCs w:val="22"/>
          <w:lang w:eastAsia="en-GB"/>
        </w:rPr>
      </w:pPr>
      <w:r w:rsidRPr="001775D9">
        <w:rPr>
          <w:b/>
          <w:bCs/>
          <w:color w:val="000000"/>
          <w:szCs w:val="22"/>
          <w:lang w:eastAsia="en-GB"/>
        </w:rPr>
        <w:t>Table 13. Efficacy response in placebo-controlled study nr-axSpA I</w:t>
      </w:r>
    </w:p>
    <w:p w14:paraId="41741B09" w14:textId="77777777" w:rsidR="001778AA" w:rsidRPr="001775D9" w:rsidRDefault="001778AA" w:rsidP="003C3950">
      <w:pPr>
        <w:tabs>
          <w:tab w:val="clear" w:pos="567"/>
        </w:tabs>
        <w:autoSpaceDE w:val="0"/>
        <w:autoSpaceDN w:val="0"/>
        <w:adjustRightInd w:val="0"/>
        <w:spacing w:line="240" w:lineRule="auto"/>
        <w:rPr>
          <w:color w:val="000000"/>
          <w:szCs w:val="22"/>
          <w:u w:val="single"/>
          <w:lang w:eastAsia="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96"/>
        <w:gridCol w:w="2706"/>
        <w:gridCol w:w="3001"/>
      </w:tblGrid>
      <w:tr w:rsidR="001778AA" w:rsidRPr="00F04F82" w14:paraId="3716F3E4" w14:textId="77777777" w:rsidTr="003C3950">
        <w:trPr>
          <w:trHeight w:val="283"/>
          <w:tblHeader/>
          <w:jc w:val="center"/>
        </w:trPr>
        <w:tc>
          <w:tcPr>
            <w:tcW w:w="3296" w:type="dxa"/>
            <w:tcBorders>
              <w:top w:val="single" w:sz="4" w:space="0" w:color="auto"/>
              <w:left w:val="single" w:sz="4" w:space="0" w:color="auto"/>
              <w:bottom w:val="single" w:sz="4" w:space="0" w:color="auto"/>
              <w:right w:val="single" w:sz="4" w:space="0" w:color="auto"/>
            </w:tcBorders>
          </w:tcPr>
          <w:p w14:paraId="1E3DEE2E" w14:textId="6F84E835" w:rsidR="001778AA" w:rsidRPr="00D55B59" w:rsidRDefault="001778AA" w:rsidP="003C3950">
            <w:pPr>
              <w:pStyle w:val="Default"/>
              <w:rPr>
                <w:color w:val="auto"/>
                <w:sz w:val="22"/>
                <w:szCs w:val="22"/>
                <w:lang w:val="en-GB"/>
                <w:rPrChange w:id="1674" w:author="Author">
                  <w:rPr>
                    <w:color w:val="auto"/>
                    <w:sz w:val="22"/>
                    <w:szCs w:val="22"/>
                  </w:rPr>
                </w:rPrChange>
              </w:rPr>
            </w:pPr>
            <w:r w:rsidRPr="00D55B59">
              <w:rPr>
                <w:b/>
                <w:bCs/>
                <w:color w:val="auto"/>
                <w:sz w:val="22"/>
                <w:szCs w:val="22"/>
                <w:lang w:val="en-GB"/>
                <w:rPrChange w:id="1675" w:author="Author">
                  <w:rPr>
                    <w:b/>
                    <w:bCs/>
                    <w:color w:val="auto"/>
                    <w:sz w:val="22"/>
                    <w:szCs w:val="22"/>
                  </w:rPr>
                </w:rPrChange>
              </w:rPr>
              <w:t xml:space="preserve">Double-blind response at </w:t>
            </w:r>
            <w:r w:rsidRPr="00D55B59">
              <w:rPr>
                <w:b/>
                <w:sz w:val="22"/>
                <w:szCs w:val="20"/>
                <w:lang w:val="en-GB" w:eastAsia="en-GB"/>
                <w:rPrChange w:id="1676" w:author="Author">
                  <w:rPr>
                    <w:b/>
                    <w:sz w:val="22"/>
                    <w:szCs w:val="20"/>
                    <w:lang w:eastAsia="en-GB"/>
                  </w:rPr>
                </w:rPrChange>
              </w:rPr>
              <w:t>week</w:t>
            </w:r>
            <w:r w:rsidR="008B6B83" w:rsidRPr="00D55B59">
              <w:rPr>
                <w:b/>
                <w:bCs/>
                <w:color w:val="auto"/>
                <w:sz w:val="20"/>
                <w:szCs w:val="20"/>
                <w:lang w:val="en-GB"/>
                <w:rPrChange w:id="1677" w:author="Author">
                  <w:rPr>
                    <w:b/>
                    <w:bCs/>
                    <w:color w:val="auto"/>
                    <w:sz w:val="20"/>
                    <w:szCs w:val="20"/>
                  </w:rPr>
                </w:rPrChange>
              </w:rPr>
              <w:t> </w:t>
            </w:r>
            <w:r w:rsidRPr="00D55B59">
              <w:rPr>
                <w:b/>
                <w:bCs/>
                <w:color w:val="auto"/>
                <w:sz w:val="22"/>
                <w:szCs w:val="22"/>
                <w:lang w:val="en-GB"/>
                <w:rPrChange w:id="1678" w:author="Author">
                  <w:rPr>
                    <w:b/>
                    <w:bCs/>
                    <w:color w:val="auto"/>
                    <w:sz w:val="22"/>
                    <w:szCs w:val="22"/>
                  </w:rPr>
                </w:rPrChange>
              </w:rPr>
              <w:t xml:space="preserve">12 </w:t>
            </w:r>
          </w:p>
        </w:tc>
        <w:tc>
          <w:tcPr>
            <w:tcW w:w="2706" w:type="dxa"/>
            <w:tcBorders>
              <w:top w:val="single" w:sz="4" w:space="0" w:color="auto"/>
              <w:left w:val="single" w:sz="4" w:space="0" w:color="auto"/>
              <w:bottom w:val="single" w:sz="4" w:space="0" w:color="auto"/>
              <w:right w:val="single" w:sz="4" w:space="0" w:color="auto"/>
            </w:tcBorders>
          </w:tcPr>
          <w:p w14:paraId="48E7203F" w14:textId="77777777" w:rsidR="001778AA" w:rsidRPr="00D55B59" w:rsidRDefault="001778AA" w:rsidP="003C3950">
            <w:pPr>
              <w:pStyle w:val="Default"/>
              <w:jc w:val="center"/>
              <w:rPr>
                <w:color w:val="auto"/>
                <w:sz w:val="22"/>
                <w:szCs w:val="22"/>
                <w:lang w:val="en-GB"/>
                <w:rPrChange w:id="1679" w:author="Author">
                  <w:rPr>
                    <w:color w:val="auto"/>
                    <w:sz w:val="22"/>
                    <w:szCs w:val="22"/>
                  </w:rPr>
                </w:rPrChange>
              </w:rPr>
            </w:pPr>
            <w:r w:rsidRPr="00D55B59">
              <w:rPr>
                <w:b/>
                <w:bCs/>
                <w:color w:val="auto"/>
                <w:sz w:val="22"/>
                <w:szCs w:val="22"/>
                <w:lang w:val="en-GB"/>
                <w:rPrChange w:id="1680" w:author="Author">
                  <w:rPr>
                    <w:b/>
                    <w:bCs/>
                    <w:color w:val="auto"/>
                    <w:sz w:val="22"/>
                    <w:szCs w:val="22"/>
                  </w:rPr>
                </w:rPrChange>
              </w:rPr>
              <w:t>Placebo</w:t>
            </w:r>
          </w:p>
          <w:p w14:paraId="65CCD9F1" w14:textId="77777777" w:rsidR="001778AA" w:rsidRPr="00D55B59" w:rsidRDefault="001778AA" w:rsidP="003C3950">
            <w:pPr>
              <w:pStyle w:val="Default"/>
              <w:jc w:val="center"/>
              <w:rPr>
                <w:color w:val="auto"/>
                <w:sz w:val="22"/>
                <w:szCs w:val="22"/>
                <w:lang w:val="en-GB"/>
                <w:rPrChange w:id="1681" w:author="Author">
                  <w:rPr>
                    <w:color w:val="auto"/>
                    <w:sz w:val="22"/>
                    <w:szCs w:val="22"/>
                  </w:rPr>
                </w:rPrChange>
              </w:rPr>
            </w:pPr>
            <w:r w:rsidRPr="00D55B59">
              <w:rPr>
                <w:b/>
                <w:bCs/>
                <w:color w:val="auto"/>
                <w:sz w:val="22"/>
                <w:szCs w:val="22"/>
                <w:lang w:val="en-GB"/>
                <w:rPrChange w:id="1682" w:author="Author">
                  <w:rPr>
                    <w:b/>
                    <w:bCs/>
                    <w:color w:val="auto"/>
                    <w:sz w:val="22"/>
                    <w:szCs w:val="22"/>
                  </w:rPr>
                </w:rPrChange>
              </w:rPr>
              <w:t>N</w:t>
            </w:r>
            <w:r w:rsidRPr="00D55B59">
              <w:rPr>
                <w:color w:val="auto"/>
                <w:sz w:val="22"/>
                <w:szCs w:val="22"/>
                <w:lang w:val="en-GB"/>
                <w:rPrChange w:id="1683" w:author="Author">
                  <w:rPr>
                    <w:color w:val="auto"/>
                    <w:sz w:val="22"/>
                    <w:szCs w:val="22"/>
                  </w:rPr>
                </w:rPrChange>
              </w:rPr>
              <w:t> </w:t>
            </w:r>
            <w:r w:rsidRPr="00D55B59">
              <w:rPr>
                <w:b/>
                <w:bCs/>
                <w:color w:val="auto"/>
                <w:sz w:val="22"/>
                <w:szCs w:val="22"/>
                <w:lang w:val="en-GB"/>
                <w:rPrChange w:id="1684" w:author="Author">
                  <w:rPr>
                    <w:b/>
                    <w:bCs/>
                    <w:color w:val="auto"/>
                    <w:sz w:val="22"/>
                    <w:szCs w:val="22"/>
                  </w:rPr>
                </w:rPrChange>
              </w:rPr>
              <w:t>=</w:t>
            </w:r>
            <w:r w:rsidRPr="00D55B59">
              <w:rPr>
                <w:color w:val="auto"/>
                <w:sz w:val="22"/>
                <w:szCs w:val="22"/>
                <w:lang w:val="en-GB"/>
                <w:rPrChange w:id="1685" w:author="Author">
                  <w:rPr>
                    <w:color w:val="auto"/>
                    <w:sz w:val="22"/>
                    <w:szCs w:val="22"/>
                  </w:rPr>
                </w:rPrChange>
              </w:rPr>
              <w:t> </w:t>
            </w:r>
            <w:r w:rsidRPr="00D55B59">
              <w:rPr>
                <w:b/>
                <w:bCs/>
                <w:color w:val="auto"/>
                <w:sz w:val="22"/>
                <w:szCs w:val="22"/>
                <w:lang w:val="en-GB"/>
                <w:rPrChange w:id="1686" w:author="Author">
                  <w:rPr>
                    <w:b/>
                    <w:bCs/>
                    <w:color w:val="auto"/>
                    <w:sz w:val="22"/>
                    <w:szCs w:val="22"/>
                  </w:rPr>
                </w:rPrChange>
              </w:rPr>
              <w:t>94</w:t>
            </w:r>
          </w:p>
        </w:tc>
        <w:tc>
          <w:tcPr>
            <w:tcW w:w="3001" w:type="dxa"/>
            <w:tcBorders>
              <w:top w:val="single" w:sz="4" w:space="0" w:color="auto"/>
              <w:left w:val="single" w:sz="4" w:space="0" w:color="auto"/>
              <w:bottom w:val="single" w:sz="4" w:space="0" w:color="auto"/>
              <w:right w:val="single" w:sz="4" w:space="0" w:color="auto"/>
            </w:tcBorders>
          </w:tcPr>
          <w:p w14:paraId="7ED1D035" w14:textId="77777777" w:rsidR="001778AA" w:rsidRPr="00D55B59" w:rsidRDefault="001778AA" w:rsidP="003C3950">
            <w:pPr>
              <w:pStyle w:val="Default"/>
              <w:jc w:val="center"/>
              <w:rPr>
                <w:b/>
                <w:sz w:val="22"/>
                <w:szCs w:val="22"/>
                <w:lang w:val="en-GB" w:eastAsia="en-GB"/>
                <w:rPrChange w:id="1687" w:author="Author">
                  <w:rPr>
                    <w:b/>
                    <w:sz w:val="22"/>
                    <w:szCs w:val="22"/>
                    <w:lang w:eastAsia="en-GB"/>
                  </w:rPr>
                </w:rPrChange>
              </w:rPr>
            </w:pPr>
            <w:r w:rsidRPr="00D55B59">
              <w:rPr>
                <w:rFonts w:eastAsia="Times New Roman"/>
                <w:b/>
                <w:sz w:val="22"/>
                <w:szCs w:val="22"/>
                <w:lang w:val="en-GB"/>
                <w:rPrChange w:id="1688" w:author="Author">
                  <w:rPr>
                    <w:rFonts w:eastAsia="Times New Roman"/>
                    <w:b/>
                    <w:sz w:val="22"/>
                    <w:szCs w:val="22"/>
                  </w:rPr>
                </w:rPrChange>
              </w:rPr>
              <w:t>Adalimumab</w:t>
            </w:r>
            <w:r w:rsidRPr="00D55B59">
              <w:rPr>
                <w:b/>
                <w:sz w:val="22"/>
                <w:szCs w:val="22"/>
                <w:lang w:val="en-GB" w:eastAsia="en-GB"/>
                <w:rPrChange w:id="1689" w:author="Author">
                  <w:rPr>
                    <w:b/>
                    <w:sz w:val="22"/>
                    <w:szCs w:val="22"/>
                    <w:lang w:eastAsia="en-GB"/>
                  </w:rPr>
                </w:rPrChange>
              </w:rPr>
              <w:t xml:space="preserve"> </w:t>
            </w:r>
          </w:p>
          <w:p w14:paraId="522D8367" w14:textId="77777777" w:rsidR="001778AA" w:rsidRPr="00D55B59" w:rsidRDefault="001778AA" w:rsidP="003C3950">
            <w:pPr>
              <w:pStyle w:val="Default"/>
              <w:jc w:val="center"/>
              <w:rPr>
                <w:color w:val="auto"/>
                <w:sz w:val="22"/>
                <w:szCs w:val="22"/>
                <w:lang w:val="en-GB"/>
                <w:rPrChange w:id="1690" w:author="Author">
                  <w:rPr>
                    <w:color w:val="auto"/>
                    <w:sz w:val="22"/>
                    <w:szCs w:val="22"/>
                  </w:rPr>
                </w:rPrChange>
              </w:rPr>
            </w:pPr>
            <w:r w:rsidRPr="00D55B59">
              <w:rPr>
                <w:b/>
                <w:bCs/>
                <w:color w:val="auto"/>
                <w:sz w:val="22"/>
                <w:szCs w:val="22"/>
                <w:lang w:val="en-GB"/>
                <w:rPrChange w:id="1691" w:author="Author">
                  <w:rPr>
                    <w:b/>
                    <w:bCs/>
                    <w:color w:val="auto"/>
                    <w:sz w:val="22"/>
                    <w:szCs w:val="22"/>
                  </w:rPr>
                </w:rPrChange>
              </w:rPr>
              <w:t>N</w:t>
            </w:r>
            <w:r w:rsidRPr="00D55B59">
              <w:rPr>
                <w:color w:val="auto"/>
                <w:sz w:val="22"/>
                <w:szCs w:val="22"/>
                <w:lang w:val="en-GB"/>
                <w:rPrChange w:id="1692" w:author="Author">
                  <w:rPr>
                    <w:color w:val="auto"/>
                    <w:sz w:val="22"/>
                    <w:szCs w:val="22"/>
                  </w:rPr>
                </w:rPrChange>
              </w:rPr>
              <w:t> </w:t>
            </w:r>
            <w:r w:rsidRPr="00D55B59">
              <w:rPr>
                <w:b/>
                <w:bCs/>
                <w:color w:val="auto"/>
                <w:sz w:val="22"/>
                <w:szCs w:val="22"/>
                <w:lang w:val="en-GB"/>
                <w:rPrChange w:id="1693" w:author="Author">
                  <w:rPr>
                    <w:b/>
                    <w:bCs/>
                    <w:color w:val="auto"/>
                    <w:sz w:val="22"/>
                    <w:szCs w:val="22"/>
                  </w:rPr>
                </w:rPrChange>
              </w:rPr>
              <w:t>=</w:t>
            </w:r>
            <w:r w:rsidRPr="00D55B59">
              <w:rPr>
                <w:color w:val="auto"/>
                <w:sz w:val="22"/>
                <w:szCs w:val="22"/>
                <w:lang w:val="en-GB"/>
                <w:rPrChange w:id="1694" w:author="Author">
                  <w:rPr>
                    <w:color w:val="auto"/>
                    <w:sz w:val="22"/>
                    <w:szCs w:val="22"/>
                  </w:rPr>
                </w:rPrChange>
              </w:rPr>
              <w:t> </w:t>
            </w:r>
            <w:r w:rsidRPr="00D55B59">
              <w:rPr>
                <w:b/>
                <w:bCs/>
                <w:color w:val="auto"/>
                <w:sz w:val="22"/>
                <w:szCs w:val="22"/>
                <w:lang w:val="en-GB"/>
                <w:rPrChange w:id="1695" w:author="Author">
                  <w:rPr>
                    <w:b/>
                    <w:bCs/>
                    <w:color w:val="auto"/>
                    <w:sz w:val="22"/>
                    <w:szCs w:val="22"/>
                  </w:rPr>
                </w:rPrChange>
              </w:rPr>
              <w:t>91</w:t>
            </w:r>
          </w:p>
        </w:tc>
      </w:tr>
      <w:tr w:rsidR="001778AA" w:rsidRPr="00F04F82" w14:paraId="70185D68"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069733C5" w14:textId="77777777" w:rsidR="001778AA" w:rsidRPr="001775D9" w:rsidRDefault="001778AA" w:rsidP="003C3950">
            <w:pPr>
              <w:tabs>
                <w:tab w:val="clear" w:pos="567"/>
              </w:tabs>
              <w:autoSpaceDE w:val="0"/>
              <w:autoSpaceDN w:val="0"/>
              <w:adjustRightInd w:val="0"/>
              <w:spacing w:line="240" w:lineRule="auto"/>
              <w:rPr>
                <w:szCs w:val="22"/>
                <w:lang w:eastAsia="en-GB"/>
              </w:rPr>
            </w:pPr>
            <w:r w:rsidRPr="001775D9">
              <w:rPr>
                <w:szCs w:val="22"/>
                <w:lang w:eastAsia="en-GB"/>
              </w:rPr>
              <w:t>ASAS</w:t>
            </w:r>
            <w:r w:rsidRPr="001775D9">
              <w:rPr>
                <w:szCs w:val="22"/>
                <w:vertAlign w:val="superscript"/>
                <w:lang w:eastAsia="en-GB"/>
              </w:rPr>
              <w:t>a</w:t>
            </w:r>
            <w:r w:rsidRPr="001775D9">
              <w:rPr>
                <w:szCs w:val="22"/>
                <w:lang w:eastAsia="en-GB"/>
              </w:rPr>
              <w:t xml:space="preserve"> 40 </w:t>
            </w:r>
          </w:p>
        </w:tc>
        <w:tc>
          <w:tcPr>
            <w:tcW w:w="2706" w:type="dxa"/>
            <w:tcBorders>
              <w:top w:val="single" w:sz="4" w:space="0" w:color="auto"/>
              <w:left w:val="single" w:sz="4" w:space="0" w:color="auto"/>
              <w:bottom w:val="single" w:sz="4" w:space="0" w:color="auto"/>
              <w:right w:val="single" w:sz="4" w:space="0" w:color="auto"/>
            </w:tcBorders>
          </w:tcPr>
          <w:p w14:paraId="71A9BA0C"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15%</w:t>
            </w:r>
          </w:p>
        </w:tc>
        <w:tc>
          <w:tcPr>
            <w:tcW w:w="3001" w:type="dxa"/>
            <w:tcBorders>
              <w:top w:val="single" w:sz="4" w:space="0" w:color="auto"/>
              <w:left w:val="single" w:sz="4" w:space="0" w:color="auto"/>
              <w:bottom w:val="single" w:sz="4" w:space="0" w:color="auto"/>
              <w:right w:val="single" w:sz="4" w:space="0" w:color="auto"/>
            </w:tcBorders>
          </w:tcPr>
          <w:p w14:paraId="17534204"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36%***</w:t>
            </w:r>
          </w:p>
        </w:tc>
      </w:tr>
      <w:tr w:rsidR="001778AA" w:rsidRPr="00F04F82" w14:paraId="2E7C0F5B"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71C44355" w14:textId="77777777" w:rsidR="001778AA" w:rsidRPr="001775D9" w:rsidRDefault="001778AA" w:rsidP="003C3950">
            <w:pPr>
              <w:tabs>
                <w:tab w:val="clear" w:pos="567"/>
              </w:tabs>
              <w:autoSpaceDE w:val="0"/>
              <w:autoSpaceDN w:val="0"/>
              <w:adjustRightInd w:val="0"/>
              <w:spacing w:line="240" w:lineRule="auto"/>
              <w:rPr>
                <w:szCs w:val="22"/>
                <w:lang w:eastAsia="en-GB"/>
              </w:rPr>
            </w:pPr>
            <w:r w:rsidRPr="001775D9">
              <w:rPr>
                <w:szCs w:val="22"/>
                <w:lang w:eastAsia="en-GB"/>
              </w:rPr>
              <w:t xml:space="preserve">ASAS 20 </w:t>
            </w:r>
          </w:p>
        </w:tc>
        <w:tc>
          <w:tcPr>
            <w:tcW w:w="2706" w:type="dxa"/>
            <w:tcBorders>
              <w:top w:val="single" w:sz="4" w:space="0" w:color="auto"/>
              <w:left w:val="single" w:sz="4" w:space="0" w:color="auto"/>
              <w:bottom w:val="single" w:sz="4" w:space="0" w:color="auto"/>
              <w:right w:val="single" w:sz="4" w:space="0" w:color="auto"/>
            </w:tcBorders>
          </w:tcPr>
          <w:p w14:paraId="11580B18"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31%</w:t>
            </w:r>
          </w:p>
        </w:tc>
        <w:tc>
          <w:tcPr>
            <w:tcW w:w="3001" w:type="dxa"/>
            <w:tcBorders>
              <w:top w:val="single" w:sz="4" w:space="0" w:color="auto"/>
              <w:left w:val="single" w:sz="4" w:space="0" w:color="auto"/>
              <w:bottom w:val="single" w:sz="4" w:space="0" w:color="auto"/>
              <w:right w:val="single" w:sz="4" w:space="0" w:color="auto"/>
            </w:tcBorders>
          </w:tcPr>
          <w:p w14:paraId="79AE4AE4"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52%**</w:t>
            </w:r>
          </w:p>
        </w:tc>
      </w:tr>
      <w:tr w:rsidR="001778AA" w:rsidRPr="00F04F82" w14:paraId="35EBDF13"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6865D9B7" w14:textId="77777777" w:rsidR="001778AA" w:rsidRPr="001775D9" w:rsidRDefault="001778AA" w:rsidP="003C3950">
            <w:pPr>
              <w:tabs>
                <w:tab w:val="clear" w:pos="567"/>
              </w:tabs>
              <w:autoSpaceDE w:val="0"/>
              <w:autoSpaceDN w:val="0"/>
              <w:adjustRightInd w:val="0"/>
              <w:spacing w:line="240" w:lineRule="auto"/>
              <w:rPr>
                <w:szCs w:val="22"/>
                <w:lang w:eastAsia="en-GB"/>
              </w:rPr>
            </w:pPr>
            <w:r w:rsidRPr="001775D9">
              <w:rPr>
                <w:szCs w:val="22"/>
                <w:lang w:eastAsia="en-GB"/>
              </w:rPr>
              <w:t xml:space="preserve">ASAS 5/6 </w:t>
            </w:r>
          </w:p>
        </w:tc>
        <w:tc>
          <w:tcPr>
            <w:tcW w:w="2706" w:type="dxa"/>
            <w:tcBorders>
              <w:top w:val="single" w:sz="4" w:space="0" w:color="auto"/>
              <w:left w:val="single" w:sz="4" w:space="0" w:color="auto"/>
              <w:bottom w:val="single" w:sz="4" w:space="0" w:color="auto"/>
              <w:right w:val="single" w:sz="4" w:space="0" w:color="auto"/>
            </w:tcBorders>
          </w:tcPr>
          <w:p w14:paraId="265E4282"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6%</w:t>
            </w:r>
          </w:p>
        </w:tc>
        <w:tc>
          <w:tcPr>
            <w:tcW w:w="3001" w:type="dxa"/>
            <w:tcBorders>
              <w:top w:val="single" w:sz="4" w:space="0" w:color="auto"/>
              <w:left w:val="single" w:sz="4" w:space="0" w:color="auto"/>
              <w:bottom w:val="single" w:sz="4" w:space="0" w:color="auto"/>
              <w:right w:val="single" w:sz="4" w:space="0" w:color="auto"/>
            </w:tcBorders>
          </w:tcPr>
          <w:p w14:paraId="092A46D4"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31%***</w:t>
            </w:r>
          </w:p>
        </w:tc>
      </w:tr>
      <w:tr w:rsidR="001778AA" w:rsidRPr="00F04F82" w14:paraId="5E34E408"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34D9AE40" w14:textId="77777777" w:rsidR="001778AA" w:rsidRPr="001775D9" w:rsidRDefault="001778AA" w:rsidP="003C3950">
            <w:pPr>
              <w:tabs>
                <w:tab w:val="clear" w:pos="567"/>
              </w:tabs>
              <w:autoSpaceDE w:val="0"/>
              <w:autoSpaceDN w:val="0"/>
              <w:adjustRightInd w:val="0"/>
              <w:spacing w:line="240" w:lineRule="auto"/>
              <w:rPr>
                <w:szCs w:val="22"/>
                <w:lang w:eastAsia="en-GB"/>
              </w:rPr>
            </w:pPr>
            <w:r w:rsidRPr="001775D9">
              <w:rPr>
                <w:szCs w:val="22"/>
                <w:lang w:eastAsia="en-GB"/>
              </w:rPr>
              <w:t xml:space="preserve">ASAS partial remission </w:t>
            </w:r>
          </w:p>
        </w:tc>
        <w:tc>
          <w:tcPr>
            <w:tcW w:w="2706" w:type="dxa"/>
            <w:tcBorders>
              <w:top w:val="single" w:sz="4" w:space="0" w:color="auto"/>
              <w:left w:val="single" w:sz="4" w:space="0" w:color="auto"/>
              <w:bottom w:val="single" w:sz="4" w:space="0" w:color="auto"/>
              <w:right w:val="single" w:sz="4" w:space="0" w:color="auto"/>
            </w:tcBorders>
          </w:tcPr>
          <w:p w14:paraId="1DFE98A1"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5%</w:t>
            </w:r>
          </w:p>
        </w:tc>
        <w:tc>
          <w:tcPr>
            <w:tcW w:w="3001" w:type="dxa"/>
            <w:tcBorders>
              <w:top w:val="single" w:sz="4" w:space="0" w:color="auto"/>
              <w:left w:val="single" w:sz="4" w:space="0" w:color="auto"/>
              <w:bottom w:val="single" w:sz="4" w:space="0" w:color="auto"/>
              <w:right w:val="single" w:sz="4" w:space="0" w:color="auto"/>
            </w:tcBorders>
          </w:tcPr>
          <w:p w14:paraId="4B3227FD"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16%*</w:t>
            </w:r>
          </w:p>
        </w:tc>
      </w:tr>
      <w:tr w:rsidR="001778AA" w:rsidRPr="00F04F82" w14:paraId="59C22BAE"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2E1CFFEB" w14:textId="77777777" w:rsidR="001778AA" w:rsidRPr="001775D9" w:rsidRDefault="001778AA" w:rsidP="003C3950">
            <w:pPr>
              <w:tabs>
                <w:tab w:val="clear" w:pos="567"/>
              </w:tabs>
              <w:autoSpaceDE w:val="0"/>
              <w:autoSpaceDN w:val="0"/>
              <w:adjustRightInd w:val="0"/>
              <w:spacing w:line="240" w:lineRule="auto"/>
              <w:rPr>
                <w:szCs w:val="22"/>
                <w:lang w:eastAsia="en-GB"/>
              </w:rPr>
            </w:pPr>
            <w:r w:rsidRPr="001775D9">
              <w:rPr>
                <w:szCs w:val="22"/>
                <w:lang w:eastAsia="en-GB"/>
              </w:rPr>
              <w:t>BASDAI</w:t>
            </w:r>
            <w:r w:rsidRPr="001775D9">
              <w:rPr>
                <w:szCs w:val="22"/>
                <w:vertAlign w:val="superscript"/>
                <w:lang w:eastAsia="en-GB"/>
              </w:rPr>
              <w:t>b</w:t>
            </w:r>
            <w:r w:rsidRPr="001775D9">
              <w:rPr>
                <w:szCs w:val="22"/>
                <w:lang w:eastAsia="en-GB"/>
              </w:rPr>
              <w:t xml:space="preserve"> 50 </w:t>
            </w:r>
          </w:p>
        </w:tc>
        <w:tc>
          <w:tcPr>
            <w:tcW w:w="2706" w:type="dxa"/>
            <w:tcBorders>
              <w:top w:val="single" w:sz="4" w:space="0" w:color="auto"/>
              <w:left w:val="single" w:sz="4" w:space="0" w:color="auto"/>
              <w:bottom w:val="single" w:sz="4" w:space="0" w:color="auto"/>
              <w:right w:val="single" w:sz="4" w:space="0" w:color="auto"/>
            </w:tcBorders>
          </w:tcPr>
          <w:p w14:paraId="29929B43"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15%</w:t>
            </w:r>
          </w:p>
        </w:tc>
        <w:tc>
          <w:tcPr>
            <w:tcW w:w="3001" w:type="dxa"/>
            <w:tcBorders>
              <w:top w:val="single" w:sz="4" w:space="0" w:color="auto"/>
              <w:left w:val="single" w:sz="4" w:space="0" w:color="auto"/>
              <w:bottom w:val="single" w:sz="4" w:space="0" w:color="auto"/>
              <w:right w:val="single" w:sz="4" w:space="0" w:color="auto"/>
            </w:tcBorders>
          </w:tcPr>
          <w:p w14:paraId="785B185A" w14:textId="77777777" w:rsidR="001778AA" w:rsidRPr="001775D9" w:rsidRDefault="001778AA" w:rsidP="003C3950">
            <w:pPr>
              <w:tabs>
                <w:tab w:val="clear" w:pos="567"/>
              </w:tabs>
              <w:autoSpaceDE w:val="0"/>
              <w:autoSpaceDN w:val="0"/>
              <w:adjustRightInd w:val="0"/>
              <w:spacing w:line="240" w:lineRule="auto"/>
              <w:jc w:val="center"/>
              <w:rPr>
                <w:szCs w:val="22"/>
                <w:lang w:eastAsia="en-GB"/>
              </w:rPr>
            </w:pPr>
            <w:r w:rsidRPr="001775D9">
              <w:rPr>
                <w:szCs w:val="22"/>
                <w:lang w:eastAsia="en-GB"/>
              </w:rPr>
              <w:t>35%**</w:t>
            </w:r>
          </w:p>
        </w:tc>
      </w:tr>
      <w:tr w:rsidR="001778AA" w:rsidRPr="00F04F82" w14:paraId="7BA28E15"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09129D23"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color w:val="000000"/>
                <w:szCs w:val="22"/>
              </w:rPr>
              <w:t>ASDAS</w:t>
            </w:r>
            <w:r w:rsidRPr="001775D9">
              <w:rPr>
                <w:color w:val="000000"/>
                <w:szCs w:val="22"/>
                <w:vertAlign w:val="superscript"/>
              </w:rPr>
              <w:t>c,d,e</w:t>
            </w:r>
          </w:p>
        </w:tc>
        <w:tc>
          <w:tcPr>
            <w:tcW w:w="2706" w:type="dxa"/>
            <w:tcBorders>
              <w:top w:val="single" w:sz="4" w:space="0" w:color="auto"/>
              <w:left w:val="single" w:sz="4" w:space="0" w:color="auto"/>
              <w:bottom w:val="single" w:sz="4" w:space="0" w:color="auto"/>
              <w:right w:val="single" w:sz="4" w:space="0" w:color="auto"/>
            </w:tcBorders>
          </w:tcPr>
          <w:p w14:paraId="2A2302E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-0.3 </w:t>
            </w:r>
          </w:p>
        </w:tc>
        <w:tc>
          <w:tcPr>
            <w:tcW w:w="3001" w:type="dxa"/>
            <w:tcBorders>
              <w:top w:val="single" w:sz="4" w:space="0" w:color="auto"/>
              <w:left w:val="single" w:sz="4" w:space="0" w:color="auto"/>
              <w:bottom w:val="single" w:sz="4" w:space="0" w:color="auto"/>
              <w:right w:val="single" w:sz="4" w:space="0" w:color="auto"/>
            </w:tcBorders>
          </w:tcPr>
          <w:p w14:paraId="1C336B28"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-1.0*** </w:t>
            </w:r>
          </w:p>
        </w:tc>
      </w:tr>
      <w:tr w:rsidR="001778AA" w:rsidRPr="00F04F82" w14:paraId="356A19D5"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2631B072"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color w:val="000000"/>
                <w:szCs w:val="22"/>
              </w:rPr>
              <w:t xml:space="preserve">ASDAS Inactive Disease </w:t>
            </w:r>
          </w:p>
        </w:tc>
        <w:tc>
          <w:tcPr>
            <w:tcW w:w="2706" w:type="dxa"/>
            <w:tcBorders>
              <w:top w:val="single" w:sz="4" w:space="0" w:color="auto"/>
              <w:left w:val="single" w:sz="4" w:space="0" w:color="auto"/>
              <w:bottom w:val="single" w:sz="4" w:space="0" w:color="auto"/>
              <w:right w:val="single" w:sz="4" w:space="0" w:color="auto"/>
            </w:tcBorders>
          </w:tcPr>
          <w:p w14:paraId="5B4ABFC8"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4% </w:t>
            </w:r>
          </w:p>
        </w:tc>
        <w:tc>
          <w:tcPr>
            <w:tcW w:w="3001" w:type="dxa"/>
            <w:tcBorders>
              <w:top w:val="single" w:sz="4" w:space="0" w:color="auto"/>
              <w:left w:val="single" w:sz="4" w:space="0" w:color="auto"/>
              <w:bottom w:val="single" w:sz="4" w:space="0" w:color="auto"/>
              <w:right w:val="single" w:sz="4" w:space="0" w:color="auto"/>
            </w:tcBorders>
          </w:tcPr>
          <w:p w14:paraId="5DAC489A"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24%*** </w:t>
            </w:r>
          </w:p>
        </w:tc>
      </w:tr>
      <w:tr w:rsidR="001778AA" w:rsidRPr="00F04F82" w14:paraId="464164B9"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426DCAB5"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color w:val="000000"/>
                <w:szCs w:val="22"/>
              </w:rPr>
              <w:t>hs-CRP</w:t>
            </w:r>
            <w:r w:rsidRPr="001775D9">
              <w:rPr>
                <w:color w:val="000000"/>
                <w:szCs w:val="22"/>
                <w:vertAlign w:val="superscript"/>
              </w:rPr>
              <w:t>d,f,g</w:t>
            </w:r>
          </w:p>
        </w:tc>
        <w:tc>
          <w:tcPr>
            <w:tcW w:w="2706" w:type="dxa"/>
            <w:tcBorders>
              <w:top w:val="single" w:sz="4" w:space="0" w:color="auto"/>
              <w:left w:val="single" w:sz="4" w:space="0" w:color="auto"/>
              <w:bottom w:val="single" w:sz="4" w:space="0" w:color="auto"/>
              <w:right w:val="single" w:sz="4" w:space="0" w:color="auto"/>
            </w:tcBorders>
          </w:tcPr>
          <w:p w14:paraId="090662CA"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-0.3 </w:t>
            </w:r>
          </w:p>
        </w:tc>
        <w:tc>
          <w:tcPr>
            <w:tcW w:w="3001" w:type="dxa"/>
            <w:tcBorders>
              <w:top w:val="single" w:sz="4" w:space="0" w:color="auto"/>
              <w:left w:val="single" w:sz="4" w:space="0" w:color="auto"/>
              <w:bottom w:val="single" w:sz="4" w:space="0" w:color="auto"/>
              <w:right w:val="single" w:sz="4" w:space="0" w:color="auto"/>
            </w:tcBorders>
          </w:tcPr>
          <w:p w14:paraId="55089B7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-4.7*** </w:t>
            </w:r>
          </w:p>
        </w:tc>
      </w:tr>
      <w:tr w:rsidR="001778AA" w:rsidRPr="00F04F82" w14:paraId="159D88EC"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55C1D909"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color w:val="000000"/>
                <w:szCs w:val="22"/>
              </w:rPr>
              <w:t>SPARCC</w:t>
            </w:r>
            <w:r w:rsidRPr="001775D9">
              <w:rPr>
                <w:color w:val="000000"/>
                <w:szCs w:val="22"/>
                <w:vertAlign w:val="superscript"/>
              </w:rPr>
              <w:t>h</w:t>
            </w:r>
            <w:r w:rsidRPr="001775D9">
              <w:rPr>
                <w:color w:val="000000"/>
                <w:szCs w:val="22"/>
              </w:rPr>
              <w:t xml:space="preserve"> MRI Sacroiliac Joints</w:t>
            </w:r>
            <w:r w:rsidRPr="001775D9">
              <w:rPr>
                <w:color w:val="000000"/>
                <w:szCs w:val="22"/>
                <w:vertAlign w:val="superscript"/>
              </w:rPr>
              <w:t>d,i</w:t>
            </w:r>
          </w:p>
        </w:tc>
        <w:tc>
          <w:tcPr>
            <w:tcW w:w="2706" w:type="dxa"/>
            <w:tcBorders>
              <w:top w:val="single" w:sz="4" w:space="0" w:color="auto"/>
              <w:left w:val="single" w:sz="4" w:space="0" w:color="auto"/>
              <w:bottom w:val="single" w:sz="4" w:space="0" w:color="auto"/>
              <w:right w:val="single" w:sz="4" w:space="0" w:color="auto"/>
            </w:tcBorders>
          </w:tcPr>
          <w:p w14:paraId="08B00138"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-0.6 </w:t>
            </w:r>
          </w:p>
        </w:tc>
        <w:tc>
          <w:tcPr>
            <w:tcW w:w="3001" w:type="dxa"/>
            <w:tcBorders>
              <w:top w:val="single" w:sz="4" w:space="0" w:color="auto"/>
              <w:left w:val="single" w:sz="4" w:space="0" w:color="auto"/>
              <w:bottom w:val="single" w:sz="4" w:space="0" w:color="auto"/>
              <w:right w:val="single" w:sz="4" w:space="0" w:color="auto"/>
            </w:tcBorders>
          </w:tcPr>
          <w:p w14:paraId="632B77BD"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color w:val="000000"/>
                <w:szCs w:val="22"/>
              </w:rPr>
              <w:t xml:space="preserve">-3.2** </w:t>
            </w:r>
          </w:p>
        </w:tc>
      </w:tr>
      <w:tr w:rsidR="001778AA" w:rsidRPr="00F04F82" w14:paraId="56B184C5" w14:textId="77777777" w:rsidTr="00D47253">
        <w:trPr>
          <w:trHeight w:val="283"/>
          <w:jc w:val="center"/>
        </w:trPr>
        <w:tc>
          <w:tcPr>
            <w:tcW w:w="3296" w:type="dxa"/>
            <w:tcBorders>
              <w:top w:val="single" w:sz="4" w:space="0" w:color="auto"/>
              <w:left w:val="single" w:sz="4" w:space="0" w:color="auto"/>
              <w:bottom w:val="single" w:sz="4" w:space="0" w:color="auto"/>
              <w:right w:val="single" w:sz="4" w:space="0" w:color="auto"/>
            </w:tcBorders>
          </w:tcPr>
          <w:p w14:paraId="579A717E"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color w:val="000000"/>
                <w:szCs w:val="22"/>
              </w:rPr>
              <w:t>SPARCC MRI Spine</w:t>
            </w:r>
            <w:r w:rsidRPr="001775D9">
              <w:rPr>
                <w:color w:val="000000"/>
                <w:szCs w:val="22"/>
                <w:vertAlign w:val="superscript"/>
              </w:rPr>
              <w:t>d,j</w:t>
            </w:r>
          </w:p>
        </w:tc>
        <w:tc>
          <w:tcPr>
            <w:tcW w:w="2706" w:type="dxa"/>
            <w:tcBorders>
              <w:top w:val="single" w:sz="4" w:space="0" w:color="auto"/>
              <w:left w:val="single" w:sz="4" w:space="0" w:color="auto"/>
              <w:bottom w:val="single" w:sz="4" w:space="0" w:color="auto"/>
              <w:right w:val="single" w:sz="4" w:space="0" w:color="auto"/>
            </w:tcBorders>
          </w:tcPr>
          <w:p w14:paraId="5B00CB9C"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color w:val="000000"/>
                <w:szCs w:val="22"/>
              </w:rPr>
              <w:t>-0.2</w:t>
            </w:r>
          </w:p>
        </w:tc>
        <w:tc>
          <w:tcPr>
            <w:tcW w:w="3001" w:type="dxa"/>
            <w:tcBorders>
              <w:top w:val="single" w:sz="4" w:space="0" w:color="auto"/>
              <w:left w:val="single" w:sz="4" w:space="0" w:color="auto"/>
              <w:bottom w:val="single" w:sz="4" w:space="0" w:color="auto"/>
              <w:right w:val="single" w:sz="4" w:space="0" w:color="auto"/>
            </w:tcBorders>
          </w:tcPr>
          <w:p w14:paraId="488FFB8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-1.8**</w:t>
            </w:r>
          </w:p>
        </w:tc>
      </w:tr>
    </w:tbl>
    <w:p w14:paraId="733F56C6"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vertAlign w:val="superscript"/>
        </w:rPr>
        <w:t>a</w:t>
      </w:r>
      <w:r w:rsidRPr="001775D9">
        <w:rPr>
          <w:rFonts w:eastAsia="Times New Roman"/>
          <w:color w:val="000000"/>
          <w:sz w:val="20"/>
        </w:rPr>
        <w:t xml:space="preserve"> Assessment of SpondyloArthritis international Society </w:t>
      </w:r>
    </w:p>
    <w:p w14:paraId="5FF0E8A2"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vertAlign w:val="superscript"/>
        </w:rPr>
        <w:t>b</w:t>
      </w:r>
      <w:r w:rsidRPr="001775D9">
        <w:rPr>
          <w:rFonts w:eastAsia="Times New Roman"/>
          <w:color w:val="000000"/>
          <w:sz w:val="20"/>
        </w:rPr>
        <w:t xml:space="preserve"> Bath Ankylosing Spondylitis Disease Activity Index </w:t>
      </w:r>
    </w:p>
    <w:p w14:paraId="38196EB0"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vertAlign w:val="superscript"/>
        </w:rPr>
        <w:t>c</w:t>
      </w:r>
      <w:r w:rsidRPr="001775D9">
        <w:rPr>
          <w:rFonts w:eastAsia="Times New Roman"/>
          <w:color w:val="000000"/>
          <w:sz w:val="20"/>
        </w:rPr>
        <w:t xml:space="preserve"> Ankylosing Spondylitis Disease Activity Score </w:t>
      </w:r>
    </w:p>
    <w:p w14:paraId="42B815A0"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vertAlign w:val="superscript"/>
        </w:rPr>
        <w:t>d</w:t>
      </w:r>
      <w:r w:rsidRPr="001775D9">
        <w:rPr>
          <w:rFonts w:eastAsia="Times New Roman"/>
          <w:color w:val="000000"/>
          <w:sz w:val="20"/>
        </w:rPr>
        <w:t xml:space="preserve"> mean change from baseline </w:t>
      </w:r>
    </w:p>
    <w:p w14:paraId="2B22841A"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vertAlign w:val="superscript"/>
        </w:rPr>
        <w:t>e</w:t>
      </w:r>
      <w:r w:rsidRPr="001775D9">
        <w:rPr>
          <w:rFonts w:eastAsia="Times New Roman"/>
          <w:color w:val="000000"/>
          <w:sz w:val="20"/>
        </w:rPr>
        <w:t xml:space="preserve"> n</w:t>
      </w:r>
      <w:r w:rsidRPr="001775D9">
        <w:rPr>
          <w:color w:val="000000"/>
          <w:sz w:val="20"/>
        </w:rPr>
        <w:t> </w:t>
      </w:r>
      <w:r w:rsidRPr="001775D9">
        <w:rPr>
          <w:rFonts w:eastAsia="Times New Roman"/>
          <w:color w:val="000000"/>
          <w:sz w:val="20"/>
        </w:rPr>
        <w:t>=</w:t>
      </w:r>
      <w:r w:rsidRPr="001775D9">
        <w:rPr>
          <w:color w:val="000000"/>
          <w:sz w:val="20"/>
        </w:rPr>
        <w:t> </w:t>
      </w:r>
      <w:r w:rsidRPr="001775D9">
        <w:rPr>
          <w:rFonts w:eastAsia="Times New Roman"/>
          <w:color w:val="000000"/>
          <w:sz w:val="20"/>
        </w:rPr>
        <w:t>91 placebo and n</w:t>
      </w:r>
      <w:r w:rsidRPr="001775D9">
        <w:rPr>
          <w:color w:val="000000"/>
          <w:sz w:val="20"/>
        </w:rPr>
        <w:t> </w:t>
      </w:r>
      <w:r w:rsidRPr="001775D9">
        <w:rPr>
          <w:rFonts w:eastAsia="Times New Roman"/>
          <w:color w:val="000000"/>
          <w:sz w:val="20"/>
        </w:rPr>
        <w:t>=</w:t>
      </w:r>
      <w:r w:rsidRPr="001775D9">
        <w:rPr>
          <w:color w:val="000000"/>
          <w:sz w:val="20"/>
        </w:rPr>
        <w:t> </w:t>
      </w:r>
      <w:r w:rsidRPr="001775D9">
        <w:rPr>
          <w:rFonts w:eastAsia="Times New Roman"/>
          <w:color w:val="000000"/>
          <w:sz w:val="20"/>
        </w:rPr>
        <w:t xml:space="preserve">87 adalimumab </w:t>
      </w:r>
    </w:p>
    <w:p w14:paraId="66329F47"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vertAlign w:val="superscript"/>
        </w:rPr>
        <w:t>f</w:t>
      </w:r>
      <w:r w:rsidRPr="001775D9">
        <w:rPr>
          <w:rFonts w:eastAsia="Times New Roman"/>
          <w:color w:val="000000"/>
          <w:sz w:val="20"/>
        </w:rPr>
        <w:t xml:space="preserve"> high sensitivity C-Reactive Protein (mg/L) </w:t>
      </w:r>
    </w:p>
    <w:p w14:paraId="3F154BB9"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vertAlign w:val="superscript"/>
        </w:rPr>
        <w:t>g</w:t>
      </w:r>
      <w:r w:rsidRPr="001775D9">
        <w:rPr>
          <w:rFonts w:eastAsia="Times New Roman"/>
          <w:color w:val="000000"/>
          <w:sz w:val="20"/>
        </w:rPr>
        <w:t xml:space="preserve"> n</w:t>
      </w:r>
      <w:r w:rsidRPr="001775D9">
        <w:rPr>
          <w:color w:val="000000"/>
          <w:sz w:val="20"/>
        </w:rPr>
        <w:t> </w:t>
      </w:r>
      <w:r w:rsidRPr="001775D9">
        <w:rPr>
          <w:rFonts w:eastAsia="Times New Roman"/>
          <w:color w:val="000000"/>
          <w:sz w:val="20"/>
        </w:rPr>
        <w:t>=</w:t>
      </w:r>
      <w:r w:rsidRPr="001775D9">
        <w:rPr>
          <w:color w:val="000000"/>
          <w:sz w:val="20"/>
        </w:rPr>
        <w:t> </w:t>
      </w:r>
      <w:r w:rsidRPr="001775D9">
        <w:rPr>
          <w:rFonts w:eastAsia="Times New Roman"/>
          <w:color w:val="000000"/>
          <w:sz w:val="20"/>
        </w:rPr>
        <w:t>73 placebo and n</w:t>
      </w:r>
      <w:r w:rsidRPr="001775D9">
        <w:rPr>
          <w:color w:val="000000"/>
          <w:sz w:val="20"/>
        </w:rPr>
        <w:t> </w:t>
      </w:r>
      <w:r w:rsidRPr="001775D9">
        <w:rPr>
          <w:rFonts w:eastAsia="Times New Roman"/>
          <w:color w:val="000000"/>
          <w:sz w:val="20"/>
        </w:rPr>
        <w:t>=</w:t>
      </w:r>
      <w:r w:rsidRPr="001775D9">
        <w:rPr>
          <w:color w:val="000000"/>
          <w:sz w:val="20"/>
        </w:rPr>
        <w:t> </w:t>
      </w:r>
      <w:r w:rsidRPr="001775D9">
        <w:rPr>
          <w:rFonts w:eastAsia="Times New Roman"/>
          <w:color w:val="000000"/>
          <w:sz w:val="20"/>
        </w:rPr>
        <w:t xml:space="preserve">70 adalimumab </w:t>
      </w:r>
    </w:p>
    <w:p w14:paraId="2F06C562"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vertAlign w:val="superscript"/>
        </w:rPr>
        <w:t>h</w:t>
      </w:r>
      <w:r w:rsidRPr="001775D9">
        <w:rPr>
          <w:rFonts w:eastAsia="Times New Roman"/>
          <w:color w:val="000000"/>
          <w:sz w:val="20"/>
        </w:rPr>
        <w:t xml:space="preserve"> Spondyloarthritis Research Consortium of Canada </w:t>
      </w:r>
    </w:p>
    <w:p w14:paraId="31CF1DE3"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vertAlign w:val="superscript"/>
        </w:rPr>
        <w:t>i</w:t>
      </w:r>
      <w:r w:rsidRPr="001775D9">
        <w:rPr>
          <w:rFonts w:eastAsia="Times New Roman"/>
          <w:color w:val="000000"/>
          <w:sz w:val="20"/>
        </w:rPr>
        <w:t xml:space="preserve"> n</w:t>
      </w:r>
      <w:r w:rsidRPr="001775D9">
        <w:rPr>
          <w:color w:val="000000"/>
          <w:sz w:val="20"/>
        </w:rPr>
        <w:t> </w:t>
      </w:r>
      <w:r w:rsidRPr="001775D9">
        <w:rPr>
          <w:rFonts w:eastAsia="Times New Roman"/>
          <w:color w:val="000000"/>
          <w:sz w:val="20"/>
        </w:rPr>
        <w:t>=</w:t>
      </w:r>
      <w:r w:rsidRPr="001775D9">
        <w:rPr>
          <w:color w:val="000000"/>
          <w:sz w:val="20"/>
        </w:rPr>
        <w:t> </w:t>
      </w:r>
      <w:r w:rsidRPr="001775D9">
        <w:rPr>
          <w:rFonts w:eastAsia="Times New Roman"/>
          <w:color w:val="000000"/>
          <w:sz w:val="20"/>
        </w:rPr>
        <w:t xml:space="preserve">84 placebo and adalimumab </w:t>
      </w:r>
    </w:p>
    <w:p w14:paraId="71BA6CC5" w14:textId="77777777" w:rsidR="001778AA" w:rsidRPr="001775D9" w:rsidRDefault="001778AA" w:rsidP="001778AA">
      <w:pPr>
        <w:tabs>
          <w:tab w:val="clear" w:pos="567"/>
        </w:tabs>
        <w:spacing w:line="240" w:lineRule="auto"/>
        <w:rPr>
          <w:sz w:val="20"/>
          <w:lang w:eastAsia="en-GB"/>
        </w:rPr>
      </w:pPr>
      <w:r w:rsidRPr="001775D9">
        <w:rPr>
          <w:rFonts w:eastAsia="Times New Roman"/>
          <w:color w:val="000000"/>
          <w:sz w:val="20"/>
          <w:vertAlign w:val="superscript"/>
        </w:rPr>
        <w:t>j</w:t>
      </w:r>
      <w:r w:rsidRPr="001775D9">
        <w:rPr>
          <w:rFonts w:eastAsia="Times New Roman"/>
          <w:color w:val="000000"/>
          <w:sz w:val="20"/>
        </w:rPr>
        <w:t xml:space="preserve"> n</w:t>
      </w:r>
      <w:r w:rsidRPr="001775D9">
        <w:rPr>
          <w:color w:val="000000"/>
          <w:sz w:val="20"/>
        </w:rPr>
        <w:t> </w:t>
      </w:r>
      <w:r w:rsidRPr="001775D9">
        <w:rPr>
          <w:rFonts w:eastAsia="Times New Roman"/>
          <w:color w:val="000000"/>
          <w:sz w:val="20"/>
        </w:rPr>
        <w:t>=</w:t>
      </w:r>
      <w:r w:rsidRPr="001775D9">
        <w:rPr>
          <w:color w:val="000000"/>
          <w:sz w:val="20"/>
        </w:rPr>
        <w:t> </w:t>
      </w:r>
      <w:r w:rsidRPr="001775D9">
        <w:rPr>
          <w:rFonts w:eastAsia="Times New Roman"/>
          <w:color w:val="000000"/>
          <w:sz w:val="20"/>
        </w:rPr>
        <w:t>82 placebo and n</w:t>
      </w:r>
      <w:r w:rsidRPr="001775D9">
        <w:rPr>
          <w:color w:val="000000"/>
          <w:sz w:val="20"/>
        </w:rPr>
        <w:t> </w:t>
      </w:r>
      <w:r w:rsidRPr="001775D9">
        <w:rPr>
          <w:rFonts w:eastAsia="Times New Roman"/>
          <w:color w:val="000000"/>
          <w:sz w:val="20"/>
        </w:rPr>
        <w:t>=</w:t>
      </w:r>
      <w:r w:rsidRPr="001775D9">
        <w:rPr>
          <w:color w:val="000000"/>
          <w:sz w:val="20"/>
        </w:rPr>
        <w:t> </w:t>
      </w:r>
      <w:r w:rsidRPr="001775D9">
        <w:rPr>
          <w:rFonts w:eastAsia="Times New Roman"/>
          <w:color w:val="000000"/>
          <w:sz w:val="20"/>
        </w:rPr>
        <w:t>85 adalimumab</w:t>
      </w:r>
      <w:r w:rsidRPr="001775D9">
        <w:rPr>
          <w:sz w:val="20"/>
          <w:lang w:eastAsia="en-GB"/>
        </w:rPr>
        <w:t xml:space="preserve"> </w:t>
      </w:r>
    </w:p>
    <w:p w14:paraId="17EBC392" w14:textId="77777777" w:rsidR="001778AA" w:rsidRPr="001775D9" w:rsidRDefault="001778AA" w:rsidP="001778AA">
      <w:pPr>
        <w:tabs>
          <w:tab w:val="clear" w:pos="567"/>
        </w:tabs>
        <w:spacing w:line="240" w:lineRule="auto"/>
        <w:rPr>
          <w:rFonts w:eastAsia="Times New Roman"/>
          <w:color w:val="000000"/>
          <w:sz w:val="20"/>
        </w:rPr>
      </w:pPr>
      <w:r w:rsidRPr="001775D9">
        <w:rPr>
          <w:rFonts w:eastAsia="Times New Roman"/>
          <w:color w:val="000000"/>
          <w:sz w:val="20"/>
        </w:rPr>
        <w:t>***, **, * Statistically significant at p &lt;</w:t>
      </w:r>
      <w:r w:rsidRPr="001775D9">
        <w:rPr>
          <w:color w:val="000000"/>
          <w:sz w:val="20"/>
        </w:rPr>
        <w:t> </w:t>
      </w:r>
      <w:r w:rsidRPr="001775D9">
        <w:rPr>
          <w:rFonts w:eastAsia="Times New Roman"/>
          <w:color w:val="000000"/>
          <w:sz w:val="20"/>
        </w:rPr>
        <w:t>0.001, &lt;</w:t>
      </w:r>
      <w:r w:rsidRPr="001775D9">
        <w:rPr>
          <w:color w:val="000000"/>
          <w:sz w:val="20"/>
        </w:rPr>
        <w:t> </w:t>
      </w:r>
      <w:r w:rsidRPr="001775D9">
        <w:rPr>
          <w:rFonts w:eastAsia="Times New Roman"/>
          <w:color w:val="000000"/>
          <w:sz w:val="20"/>
        </w:rPr>
        <w:t>0.01, and &lt;</w:t>
      </w:r>
      <w:r w:rsidRPr="001775D9">
        <w:rPr>
          <w:color w:val="000000"/>
          <w:sz w:val="20"/>
        </w:rPr>
        <w:t> </w:t>
      </w:r>
      <w:r w:rsidRPr="001775D9">
        <w:rPr>
          <w:rFonts w:eastAsia="Times New Roman"/>
          <w:color w:val="000000"/>
          <w:sz w:val="20"/>
        </w:rPr>
        <w:t>0.05, respectively, for all comparisons between adalimumab and placebo</w:t>
      </w:r>
    </w:p>
    <w:p w14:paraId="4ABA7136"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6D95EECB"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In the open-label extension, improvement in the signs and symptoms was maintained with adalimumab therapy through </w:t>
      </w:r>
      <w:r w:rsidRPr="001775D9">
        <w:rPr>
          <w:szCs w:val="22"/>
          <w:lang w:eastAsia="en-GB"/>
        </w:rPr>
        <w:t>week</w:t>
      </w:r>
      <w:r w:rsidRPr="001775D9">
        <w:rPr>
          <w:rFonts w:eastAsia="Times New Roman"/>
          <w:color w:val="000000"/>
          <w:szCs w:val="22"/>
        </w:rPr>
        <w:t xml:space="preserve"> 156.</w:t>
      </w:r>
    </w:p>
    <w:p w14:paraId="2BF6DB35"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384444AA" w14:textId="77777777" w:rsidR="001778AA" w:rsidRPr="001775D9" w:rsidRDefault="001778AA" w:rsidP="001778AA">
      <w:pPr>
        <w:keepNext/>
        <w:shd w:val="clear" w:color="auto" w:fill="FFFFFF"/>
        <w:tabs>
          <w:tab w:val="clear" w:pos="567"/>
        </w:tabs>
        <w:spacing w:line="240" w:lineRule="auto"/>
        <w:rPr>
          <w:rFonts w:eastAsia="Times New Roman"/>
          <w:color w:val="000000"/>
          <w:szCs w:val="22"/>
          <w:u w:val="single"/>
        </w:rPr>
      </w:pPr>
      <w:r w:rsidRPr="001775D9">
        <w:rPr>
          <w:rFonts w:eastAsia="Times New Roman"/>
          <w:color w:val="000000"/>
          <w:szCs w:val="22"/>
          <w:u w:val="single"/>
        </w:rPr>
        <w:t>Inhibition of inflammation</w:t>
      </w:r>
    </w:p>
    <w:p w14:paraId="2E0B0161" w14:textId="77777777" w:rsidR="001778AA" w:rsidRPr="001775D9" w:rsidRDefault="001778AA" w:rsidP="001778AA">
      <w:pPr>
        <w:keepNext/>
        <w:shd w:val="clear" w:color="auto" w:fill="FFFFFF"/>
        <w:tabs>
          <w:tab w:val="clear" w:pos="567"/>
        </w:tabs>
        <w:spacing w:line="240" w:lineRule="auto"/>
        <w:rPr>
          <w:rFonts w:eastAsia="Times New Roman"/>
          <w:color w:val="000000"/>
          <w:szCs w:val="22"/>
        </w:rPr>
      </w:pPr>
    </w:p>
    <w:p w14:paraId="7740B4FC"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Significant improvement of signs of inflammation as measured by hs-CRP and MRI of both Sacroiliac Joints and the Spine was maintained in adalimumab-treated patients through </w:t>
      </w:r>
      <w:r w:rsidRPr="001775D9">
        <w:rPr>
          <w:szCs w:val="22"/>
          <w:lang w:eastAsia="en-GB"/>
        </w:rPr>
        <w:t>week</w:t>
      </w:r>
      <w:r w:rsidRPr="001775D9">
        <w:rPr>
          <w:rFonts w:eastAsia="Times New Roman"/>
          <w:color w:val="000000"/>
          <w:szCs w:val="22"/>
        </w:rPr>
        <w:t xml:space="preserve"> 156 and </w:t>
      </w:r>
      <w:r w:rsidRPr="001775D9">
        <w:rPr>
          <w:szCs w:val="22"/>
          <w:lang w:eastAsia="en-GB"/>
        </w:rPr>
        <w:t>week</w:t>
      </w:r>
      <w:r w:rsidRPr="001775D9">
        <w:rPr>
          <w:rFonts w:eastAsia="Times New Roman"/>
          <w:color w:val="000000"/>
          <w:szCs w:val="22"/>
        </w:rPr>
        <w:t xml:space="preserve"> 104, respectively.</w:t>
      </w:r>
    </w:p>
    <w:p w14:paraId="086C2415"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37B0E8E9" w14:textId="77777777" w:rsidR="001778AA" w:rsidRPr="001775D9" w:rsidRDefault="001778AA" w:rsidP="001778AA">
      <w:pPr>
        <w:keepNext/>
        <w:shd w:val="clear" w:color="auto" w:fill="FFFFFF"/>
        <w:tabs>
          <w:tab w:val="clear" w:pos="567"/>
        </w:tabs>
        <w:spacing w:line="240" w:lineRule="auto"/>
        <w:rPr>
          <w:rFonts w:eastAsia="Times New Roman"/>
          <w:color w:val="000000"/>
          <w:szCs w:val="22"/>
          <w:u w:val="single"/>
        </w:rPr>
      </w:pPr>
      <w:r w:rsidRPr="001775D9">
        <w:rPr>
          <w:rFonts w:eastAsia="Times New Roman"/>
          <w:color w:val="000000"/>
          <w:szCs w:val="22"/>
          <w:u w:val="single"/>
        </w:rPr>
        <w:t>Quality of life and physical function</w:t>
      </w:r>
    </w:p>
    <w:p w14:paraId="18E3FDBA" w14:textId="77777777" w:rsidR="001778AA" w:rsidRPr="001775D9" w:rsidRDefault="001778AA" w:rsidP="001778AA">
      <w:pPr>
        <w:keepNext/>
        <w:tabs>
          <w:tab w:val="clear" w:pos="567"/>
        </w:tabs>
        <w:autoSpaceDE w:val="0"/>
        <w:autoSpaceDN w:val="0"/>
        <w:adjustRightInd w:val="0"/>
        <w:spacing w:line="240" w:lineRule="auto"/>
        <w:rPr>
          <w:szCs w:val="22"/>
        </w:rPr>
      </w:pPr>
    </w:p>
    <w:p w14:paraId="7D897C31"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szCs w:val="22"/>
        </w:rPr>
        <w:t>Health-related quality of life and physical function were assessed using the HAQ-S and the SF-36 questionnaires. A</w:t>
      </w:r>
      <w:r w:rsidRPr="001775D9">
        <w:rPr>
          <w:rFonts w:eastAsia="Times New Roman"/>
          <w:color w:val="000000"/>
          <w:szCs w:val="22"/>
        </w:rPr>
        <w:t>dalimumab</w:t>
      </w:r>
      <w:r w:rsidRPr="001775D9">
        <w:rPr>
          <w:szCs w:val="22"/>
        </w:rPr>
        <w:t xml:space="preserve"> showed statistically significantly greater improvement in the HAQ-S total score and the SF-36 Physical Component Score (PCS) from baseline to week 12 compared to placebo. </w:t>
      </w:r>
      <w:r w:rsidRPr="001775D9">
        <w:rPr>
          <w:color w:val="000000"/>
          <w:szCs w:val="22"/>
        </w:rPr>
        <w:t xml:space="preserve">Improvement in health-related quality of life and physical function was maintained during the open-label extension through </w:t>
      </w:r>
      <w:r w:rsidRPr="001775D9">
        <w:rPr>
          <w:szCs w:val="22"/>
          <w:lang w:eastAsia="en-GB"/>
        </w:rPr>
        <w:t>week</w:t>
      </w:r>
      <w:r w:rsidRPr="001775D9">
        <w:rPr>
          <w:color w:val="000000"/>
          <w:szCs w:val="22"/>
        </w:rPr>
        <w:t xml:space="preserve"> 156.</w:t>
      </w:r>
    </w:p>
    <w:p w14:paraId="1E6E69C6"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0CDCA215" w14:textId="77777777" w:rsidR="001778AA" w:rsidRPr="00D55B59" w:rsidRDefault="001778AA" w:rsidP="001778AA">
      <w:pPr>
        <w:keepNext/>
        <w:suppressAutoHyphens/>
        <w:spacing w:line="240" w:lineRule="auto"/>
        <w:rPr>
          <w:rFonts w:eastAsia="Times New Roman"/>
          <w:szCs w:val="22"/>
          <w:rPrChange w:id="1696" w:author="Author">
            <w:rPr>
              <w:rFonts w:eastAsia="Times New Roman"/>
              <w:szCs w:val="22"/>
              <w:lang w:val="en-US"/>
            </w:rPr>
          </w:rPrChange>
        </w:rPr>
      </w:pPr>
      <w:r w:rsidRPr="00D55B59">
        <w:rPr>
          <w:rFonts w:eastAsia="Times New Roman"/>
          <w:szCs w:val="22"/>
          <w:rPrChange w:id="1697" w:author="Author">
            <w:rPr>
              <w:rFonts w:eastAsia="Times New Roman"/>
              <w:szCs w:val="22"/>
              <w:lang w:val="en-US"/>
            </w:rPr>
          </w:rPrChange>
        </w:rPr>
        <w:t>Study nr-axSpA II</w:t>
      </w:r>
    </w:p>
    <w:p w14:paraId="0742A83E" w14:textId="77777777" w:rsidR="001778AA" w:rsidRPr="00D55B59" w:rsidRDefault="001778AA" w:rsidP="001778AA">
      <w:pPr>
        <w:suppressAutoHyphens/>
        <w:spacing w:line="240" w:lineRule="auto"/>
        <w:rPr>
          <w:rFonts w:eastAsia="Times New Roman"/>
          <w:szCs w:val="22"/>
          <w:rPrChange w:id="1698" w:author="Author">
            <w:rPr>
              <w:rFonts w:eastAsia="Times New Roman"/>
              <w:szCs w:val="22"/>
              <w:lang w:val="en-US"/>
            </w:rPr>
          </w:rPrChange>
        </w:rPr>
      </w:pPr>
    </w:p>
    <w:p w14:paraId="233D173C" w14:textId="24C4D5E6" w:rsidR="001778AA" w:rsidRPr="00D55B59" w:rsidRDefault="001778AA" w:rsidP="001778AA">
      <w:pPr>
        <w:suppressAutoHyphens/>
        <w:spacing w:line="240" w:lineRule="auto"/>
        <w:rPr>
          <w:rFonts w:eastAsia="Times New Roman"/>
          <w:szCs w:val="22"/>
          <w:rPrChange w:id="1699" w:author="Author">
            <w:rPr>
              <w:rFonts w:eastAsia="Times New Roman"/>
              <w:szCs w:val="22"/>
              <w:lang w:val="en-US"/>
            </w:rPr>
          </w:rPrChange>
        </w:rPr>
      </w:pPr>
      <w:r w:rsidRPr="00D55B59">
        <w:rPr>
          <w:rFonts w:eastAsia="Times New Roman"/>
          <w:szCs w:val="22"/>
          <w:rPrChange w:id="1700" w:author="Author">
            <w:rPr>
              <w:rFonts w:eastAsia="Times New Roman"/>
              <w:szCs w:val="22"/>
              <w:lang w:val="en-US"/>
            </w:rPr>
          </w:rPrChange>
        </w:rPr>
        <w:t xml:space="preserve">673 patients with active nr-axSpA (mean baseline disease activity [BASDAI] was 7.0) who had an inadequate response to </w:t>
      </w:r>
      <w:r w:rsidR="006E3A27" w:rsidRPr="00D55B59">
        <w:rPr>
          <w:rFonts w:eastAsia="Times New Roman"/>
          <w:szCs w:val="22"/>
          <w:rPrChange w:id="1701" w:author="Author">
            <w:rPr>
              <w:rFonts w:eastAsia="Times New Roman"/>
              <w:szCs w:val="22"/>
              <w:lang w:val="en-US"/>
            </w:rPr>
          </w:rPrChange>
        </w:rPr>
        <w:t>≥</w:t>
      </w:r>
      <w:r w:rsidRPr="00D55B59">
        <w:rPr>
          <w:rFonts w:eastAsia="Times New Roman"/>
          <w:szCs w:val="22"/>
          <w:rPrChange w:id="1702" w:author="Author">
            <w:rPr>
              <w:rFonts w:eastAsia="Times New Roman"/>
              <w:szCs w:val="22"/>
              <w:lang w:val="en-US"/>
            </w:rPr>
          </w:rPrChange>
        </w:rPr>
        <w:t> 2 NSAIDs, or an intolerance to or a contraindication for NSAIDs enrolled into the open-label period of Study nr-axSpA II during which they received adalimumab 40 mg every other week for 28 weeks. These patients also had objective evidence of inflammation in the sacroiliac joints or spine on MRI or elevated hs-CRP. Patients who achieved sustained remission for at least 12 weeks (N</w:t>
      </w:r>
      <w:r w:rsidR="00676F07" w:rsidRPr="00D55B59">
        <w:rPr>
          <w:rFonts w:eastAsia="Times New Roman"/>
          <w:szCs w:val="22"/>
          <w:rPrChange w:id="1703" w:author="Author">
            <w:rPr>
              <w:rFonts w:eastAsia="Times New Roman"/>
              <w:szCs w:val="22"/>
              <w:lang w:val="en-US"/>
            </w:rPr>
          </w:rPrChange>
        </w:rPr>
        <w:t> </w:t>
      </w:r>
      <w:r w:rsidRPr="00D55B59">
        <w:rPr>
          <w:rFonts w:eastAsia="Times New Roman"/>
          <w:szCs w:val="22"/>
          <w:rPrChange w:id="1704" w:author="Author">
            <w:rPr>
              <w:rFonts w:eastAsia="Times New Roman"/>
              <w:szCs w:val="22"/>
              <w:lang w:val="en-US"/>
            </w:rPr>
          </w:rPrChange>
        </w:rPr>
        <w:t>=</w:t>
      </w:r>
      <w:r w:rsidR="00676F07" w:rsidRPr="00D55B59">
        <w:rPr>
          <w:rFonts w:eastAsia="Times New Roman"/>
          <w:szCs w:val="22"/>
          <w:rPrChange w:id="1705" w:author="Author">
            <w:rPr>
              <w:rFonts w:eastAsia="Times New Roman"/>
              <w:szCs w:val="22"/>
              <w:lang w:val="en-US"/>
            </w:rPr>
          </w:rPrChange>
        </w:rPr>
        <w:t> </w:t>
      </w:r>
      <w:r w:rsidRPr="00D55B59">
        <w:rPr>
          <w:rFonts w:eastAsia="Times New Roman"/>
          <w:szCs w:val="22"/>
          <w:rPrChange w:id="1706" w:author="Author">
            <w:rPr>
              <w:rFonts w:eastAsia="Times New Roman"/>
              <w:szCs w:val="22"/>
              <w:lang w:val="en-US"/>
            </w:rPr>
          </w:rPrChange>
        </w:rPr>
        <w:t>305) (ASDAS &lt; 1.3 at weeks 16, 20, 24, and 28) during the open-label period were then randomised to receive either continued treatment with adalimumab 40 mg every other week (N</w:t>
      </w:r>
      <w:r w:rsidR="00676F07" w:rsidRPr="00D55B59">
        <w:rPr>
          <w:rFonts w:eastAsia="Times New Roman"/>
          <w:szCs w:val="22"/>
          <w:rPrChange w:id="1707" w:author="Author">
            <w:rPr>
              <w:rFonts w:eastAsia="Times New Roman"/>
              <w:szCs w:val="22"/>
              <w:lang w:val="en-US"/>
            </w:rPr>
          </w:rPrChange>
        </w:rPr>
        <w:t> </w:t>
      </w:r>
      <w:r w:rsidRPr="00D55B59">
        <w:rPr>
          <w:rFonts w:eastAsia="Times New Roman"/>
          <w:szCs w:val="22"/>
          <w:rPrChange w:id="1708" w:author="Author">
            <w:rPr>
              <w:rFonts w:eastAsia="Times New Roman"/>
              <w:szCs w:val="22"/>
              <w:lang w:val="en-US"/>
            </w:rPr>
          </w:rPrChange>
        </w:rPr>
        <w:t>=</w:t>
      </w:r>
      <w:r w:rsidR="00676F07" w:rsidRPr="00D55B59">
        <w:rPr>
          <w:rFonts w:eastAsia="Times New Roman"/>
          <w:szCs w:val="22"/>
          <w:rPrChange w:id="1709" w:author="Author">
            <w:rPr>
              <w:rFonts w:eastAsia="Times New Roman"/>
              <w:szCs w:val="22"/>
              <w:lang w:val="en-US"/>
            </w:rPr>
          </w:rPrChange>
        </w:rPr>
        <w:t> </w:t>
      </w:r>
      <w:r w:rsidRPr="00D55B59">
        <w:rPr>
          <w:rFonts w:eastAsia="Times New Roman"/>
          <w:szCs w:val="22"/>
          <w:rPrChange w:id="1710" w:author="Author">
            <w:rPr>
              <w:rFonts w:eastAsia="Times New Roman"/>
              <w:szCs w:val="22"/>
              <w:lang w:val="en-US"/>
            </w:rPr>
          </w:rPrChange>
        </w:rPr>
        <w:t>152) or placebo (N</w:t>
      </w:r>
      <w:r w:rsidR="00676F07" w:rsidRPr="00D55B59">
        <w:rPr>
          <w:rFonts w:eastAsia="Times New Roman"/>
          <w:szCs w:val="22"/>
          <w:rPrChange w:id="1711" w:author="Author">
            <w:rPr>
              <w:rFonts w:eastAsia="Times New Roman"/>
              <w:szCs w:val="22"/>
              <w:lang w:val="en-US"/>
            </w:rPr>
          </w:rPrChange>
        </w:rPr>
        <w:t> </w:t>
      </w:r>
      <w:r w:rsidRPr="00D55B59">
        <w:rPr>
          <w:rFonts w:eastAsia="Times New Roman"/>
          <w:szCs w:val="22"/>
          <w:rPrChange w:id="1712" w:author="Author">
            <w:rPr>
              <w:rFonts w:eastAsia="Times New Roman"/>
              <w:szCs w:val="22"/>
              <w:lang w:val="en-US"/>
            </w:rPr>
          </w:rPrChange>
        </w:rPr>
        <w:t>=</w:t>
      </w:r>
      <w:r w:rsidR="00676F07" w:rsidRPr="00D55B59">
        <w:rPr>
          <w:rFonts w:eastAsia="Times New Roman"/>
          <w:szCs w:val="22"/>
          <w:rPrChange w:id="1713" w:author="Author">
            <w:rPr>
              <w:rFonts w:eastAsia="Times New Roman"/>
              <w:szCs w:val="22"/>
              <w:lang w:val="en-US"/>
            </w:rPr>
          </w:rPrChange>
        </w:rPr>
        <w:t> </w:t>
      </w:r>
      <w:r w:rsidRPr="00D55B59">
        <w:rPr>
          <w:rFonts w:eastAsia="Times New Roman"/>
          <w:szCs w:val="22"/>
          <w:rPrChange w:id="1714" w:author="Author">
            <w:rPr>
              <w:rFonts w:eastAsia="Times New Roman"/>
              <w:szCs w:val="22"/>
              <w:lang w:val="en-US"/>
            </w:rPr>
          </w:rPrChange>
        </w:rPr>
        <w:t>153) for an additional 40 weeks in a double-blind, placebo-controlled period (total study duration 68 weeks). Subjects who flared during the double-blind period were allowed adalimumab 40 mg every other week rescue therapy for at least 12 weeks.</w:t>
      </w:r>
    </w:p>
    <w:p w14:paraId="79B121EC" w14:textId="77777777" w:rsidR="001778AA" w:rsidRPr="00D55B59" w:rsidRDefault="001778AA" w:rsidP="001778AA">
      <w:pPr>
        <w:suppressAutoHyphens/>
        <w:spacing w:line="240" w:lineRule="auto"/>
        <w:rPr>
          <w:rFonts w:eastAsia="Times New Roman"/>
          <w:rPrChange w:id="1715" w:author="Author">
            <w:rPr>
              <w:rFonts w:eastAsia="Times New Roman"/>
              <w:lang w:val="en-US"/>
            </w:rPr>
          </w:rPrChange>
        </w:rPr>
      </w:pPr>
    </w:p>
    <w:p w14:paraId="1B6F65BB" w14:textId="77777777" w:rsidR="001778AA" w:rsidRPr="001775D9" w:rsidRDefault="001778AA" w:rsidP="001778AA">
      <w:pPr>
        <w:suppressAutoHyphens/>
        <w:spacing w:line="240" w:lineRule="auto"/>
        <w:rPr>
          <w:rFonts w:eastAsia="Times New Roman"/>
        </w:rPr>
      </w:pPr>
      <w:r w:rsidRPr="00D55B59">
        <w:rPr>
          <w:rFonts w:eastAsia="Times New Roman"/>
          <w:rPrChange w:id="1716" w:author="Author">
            <w:rPr>
              <w:rFonts w:eastAsia="Times New Roman"/>
              <w:lang w:val="en-US"/>
            </w:rPr>
          </w:rPrChange>
        </w:rPr>
        <w:t>The primary efficacy endpoint was the proportion of patients with no flare by week 68 of the study. Flare was defined as ASDAS ≥ 2.1 at two consecutive visits four weeks apart. A greater proportion of patients on adalimumab had no disease flare during the double-blind period, when compared with those on placebo (70.4% vs. 47.1%, p</w:t>
      </w:r>
      <w:r w:rsidRPr="001775D9">
        <w:rPr>
          <w:szCs w:val="22"/>
          <w:lang w:eastAsia="en-GB"/>
        </w:rPr>
        <w:t> </w:t>
      </w:r>
      <w:r w:rsidRPr="00D55B59">
        <w:rPr>
          <w:rFonts w:eastAsia="Times New Roman"/>
          <w:rPrChange w:id="1717" w:author="Author">
            <w:rPr>
              <w:rFonts w:eastAsia="Times New Roman"/>
              <w:lang w:val="en-US"/>
            </w:rPr>
          </w:rPrChange>
        </w:rPr>
        <w:t>&lt;</w:t>
      </w:r>
      <w:r w:rsidRPr="001775D9">
        <w:rPr>
          <w:szCs w:val="22"/>
          <w:lang w:eastAsia="en-GB"/>
        </w:rPr>
        <w:t> </w:t>
      </w:r>
      <w:r w:rsidRPr="00D55B59">
        <w:rPr>
          <w:rFonts w:eastAsia="Times New Roman"/>
          <w:rPrChange w:id="1718" w:author="Author">
            <w:rPr>
              <w:rFonts w:eastAsia="Times New Roman"/>
              <w:lang w:val="en-US"/>
            </w:rPr>
          </w:rPrChange>
        </w:rPr>
        <w:t xml:space="preserve">0.001) (figure 1). </w:t>
      </w:r>
    </w:p>
    <w:p w14:paraId="1B9E6850" w14:textId="77777777" w:rsidR="001778AA" w:rsidRPr="00D55B59" w:rsidRDefault="001778AA" w:rsidP="001778AA">
      <w:pPr>
        <w:keepNext/>
        <w:suppressAutoHyphens/>
        <w:spacing w:line="240" w:lineRule="auto"/>
        <w:jc w:val="center"/>
        <w:rPr>
          <w:rFonts w:eastAsia="Times New Roman"/>
          <w:b/>
          <w:rPrChange w:id="1719" w:author="Author">
            <w:rPr>
              <w:rFonts w:eastAsia="Times New Roman"/>
              <w:b/>
              <w:lang w:val="en-US"/>
            </w:rPr>
          </w:rPrChange>
        </w:rPr>
      </w:pPr>
    </w:p>
    <w:p w14:paraId="27149370" w14:textId="3323B36E" w:rsidR="001778AA" w:rsidRPr="00D55B59" w:rsidRDefault="001778AA" w:rsidP="001778AA">
      <w:pPr>
        <w:keepNext/>
        <w:suppressAutoHyphens/>
        <w:spacing w:line="240" w:lineRule="auto"/>
        <w:rPr>
          <w:rFonts w:eastAsia="Times New Roman"/>
          <w:b/>
          <w:rPrChange w:id="1720" w:author="Author">
            <w:rPr>
              <w:rFonts w:eastAsia="Times New Roman"/>
              <w:b/>
              <w:lang w:val="en-US"/>
            </w:rPr>
          </w:rPrChange>
        </w:rPr>
      </w:pPr>
      <w:r w:rsidRPr="00D55B59">
        <w:rPr>
          <w:rFonts w:eastAsia="Times New Roman"/>
          <w:b/>
          <w:rPrChange w:id="1721" w:author="Author">
            <w:rPr>
              <w:rFonts w:eastAsia="Times New Roman"/>
              <w:b/>
              <w:lang w:val="en-US"/>
            </w:rPr>
          </w:rPrChange>
        </w:rPr>
        <w:t>Figure 1</w:t>
      </w:r>
      <w:r w:rsidR="00610DDC" w:rsidRPr="00D55B59">
        <w:rPr>
          <w:rFonts w:eastAsia="Times New Roman"/>
          <w:b/>
          <w:rPrChange w:id="1722" w:author="Author">
            <w:rPr>
              <w:rFonts w:eastAsia="Times New Roman"/>
              <w:b/>
              <w:lang w:val="en-US"/>
            </w:rPr>
          </w:rPrChange>
        </w:rPr>
        <w:t>.</w:t>
      </w:r>
      <w:r w:rsidRPr="00D55B59">
        <w:rPr>
          <w:rFonts w:eastAsia="Times New Roman"/>
          <w:b/>
          <w:rPrChange w:id="1723" w:author="Author">
            <w:rPr>
              <w:rFonts w:eastAsia="Times New Roman"/>
              <w:b/>
              <w:lang w:val="en-US"/>
            </w:rPr>
          </w:rPrChange>
        </w:rPr>
        <w:t xml:space="preserve"> Kaplan-Meier curves summarising time to flare in study nr-axSpA II</w:t>
      </w:r>
    </w:p>
    <w:p w14:paraId="5B690960" w14:textId="77777777" w:rsidR="001778AA" w:rsidRPr="00D55B59" w:rsidRDefault="001778AA" w:rsidP="001778AA">
      <w:pPr>
        <w:keepNext/>
        <w:suppressAutoHyphens/>
        <w:spacing w:line="240" w:lineRule="auto"/>
        <w:rPr>
          <w:rFonts w:eastAsia="Times New Roman"/>
          <w:b/>
          <w:rPrChange w:id="1724" w:author="Author">
            <w:rPr>
              <w:rFonts w:eastAsia="Times New Roman"/>
              <w:b/>
              <w:lang w:val="en-US"/>
            </w:rPr>
          </w:rPrChange>
        </w:rPr>
      </w:pPr>
    </w:p>
    <w:tbl>
      <w:tblPr>
        <w:tblW w:w="0" w:type="auto"/>
        <w:tblLook w:val="04A0" w:firstRow="1" w:lastRow="0" w:firstColumn="1" w:lastColumn="0" w:noHBand="0" w:noVBand="1"/>
      </w:tblPr>
      <w:tblGrid>
        <w:gridCol w:w="480"/>
        <w:gridCol w:w="8807"/>
      </w:tblGrid>
      <w:tr w:rsidR="00E03C85" w:rsidRPr="00F04F82" w14:paraId="2D5880E4" w14:textId="77777777" w:rsidTr="00D47253">
        <w:trPr>
          <w:cantSplit/>
          <w:trHeight w:val="1134"/>
        </w:trPr>
        <w:tc>
          <w:tcPr>
            <w:tcW w:w="930" w:type="dxa"/>
            <w:textDirection w:val="btLr"/>
            <w:vAlign w:val="center"/>
          </w:tcPr>
          <w:p w14:paraId="679991F9" w14:textId="77777777" w:rsidR="001778AA" w:rsidRPr="00D55B59" w:rsidRDefault="001778AA" w:rsidP="00D47253">
            <w:pPr>
              <w:keepNext/>
              <w:suppressAutoHyphens/>
              <w:spacing w:line="240" w:lineRule="auto"/>
              <w:ind w:left="113" w:right="113"/>
              <w:jc w:val="center"/>
              <w:rPr>
                <w:rFonts w:eastAsia="Times New Roman"/>
                <w:b/>
                <w:szCs w:val="24"/>
                <w:rPrChange w:id="1725" w:author="Author">
                  <w:rPr>
                    <w:rFonts w:eastAsia="Times New Roman"/>
                    <w:b/>
                    <w:szCs w:val="24"/>
                    <w:lang w:val="en-US"/>
                  </w:rPr>
                </w:rPrChange>
              </w:rPr>
            </w:pPr>
            <w:r w:rsidRPr="00D55B59">
              <w:rPr>
                <w:rFonts w:eastAsia="Times New Roman"/>
                <w:b/>
                <w:szCs w:val="24"/>
                <w:rPrChange w:id="1726" w:author="Author">
                  <w:rPr>
                    <w:rFonts w:eastAsia="Times New Roman"/>
                    <w:b/>
                    <w:szCs w:val="24"/>
                    <w:lang w:val="en-US"/>
                  </w:rPr>
                </w:rPrChange>
              </w:rPr>
              <w:t xml:space="preserve">                   PROBABILITY OF NO FLARE</w:t>
            </w:r>
          </w:p>
        </w:tc>
        <w:tc>
          <w:tcPr>
            <w:tcW w:w="8646" w:type="dxa"/>
          </w:tcPr>
          <w:p w14:paraId="0981DF18" w14:textId="00F2E745" w:rsidR="001778AA" w:rsidRPr="00D55B59" w:rsidRDefault="00D96030" w:rsidP="00D47253">
            <w:pPr>
              <w:keepNext/>
              <w:suppressAutoHyphens/>
              <w:spacing w:line="240" w:lineRule="auto"/>
              <w:rPr>
                <w:rFonts w:eastAsia="Times New Roman"/>
                <w:szCs w:val="24"/>
                <w:rPrChange w:id="1727" w:author="Author">
                  <w:rPr>
                    <w:rFonts w:eastAsia="Times New Roman"/>
                    <w:szCs w:val="24"/>
                    <w:lang w:val="en-US"/>
                  </w:rPr>
                </w:rPrChange>
              </w:rPr>
            </w:pPr>
            <w:r>
              <w:rPr>
                <w:rFonts w:eastAsia="Times New Roman"/>
                <w:szCs w:val="24"/>
                <w:lang w:eastAsia="ja-JP"/>
              </w:rPr>
              <w:pict w14:anchorId="5446383D">
                <v:shape id="Picture 110" o:spid="_x0000_i1033" type="#_x0000_t75" style="width:6in;height:225pt;visibility:visible;mso-wrap-style:square">
                  <v:imagedata r:id="rId12" o:title=""/>
                </v:shape>
              </w:pict>
            </w:r>
          </w:p>
        </w:tc>
      </w:tr>
      <w:tr w:rsidR="00E03C85" w:rsidRPr="00F04F82" w14:paraId="45F65224" w14:textId="77777777" w:rsidTr="00D47253">
        <w:tc>
          <w:tcPr>
            <w:tcW w:w="930" w:type="dxa"/>
          </w:tcPr>
          <w:p w14:paraId="1308B82E" w14:textId="77777777" w:rsidR="001778AA" w:rsidRPr="00D55B59" w:rsidRDefault="001778AA" w:rsidP="00D47253">
            <w:pPr>
              <w:suppressAutoHyphens/>
              <w:spacing w:line="240" w:lineRule="auto"/>
              <w:rPr>
                <w:rFonts w:eastAsia="Times New Roman"/>
                <w:szCs w:val="24"/>
                <w:rPrChange w:id="1728" w:author="Author">
                  <w:rPr>
                    <w:rFonts w:eastAsia="Times New Roman"/>
                    <w:szCs w:val="24"/>
                    <w:lang w:val="en-US"/>
                  </w:rPr>
                </w:rPrChange>
              </w:rPr>
            </w:pPr>
          </w:p>
        </w:tc>
        <w:tc>
          <w:tcPr>
            <w:tcW w:w="8646" w:type="dxa"/>
            <w:vAlign w:val="center"/>
          </w:tcPr>
          <w:p w14:paraId="508E652C" w14:textId="77777777" w:rsidR="001778AA" w:rsidRPr="00D55B59" w:rsidRDefault="001778AA" w:rsidP="00D47253">
            <w:pPr>
              <w:suppressAutoHyphens/>
              <w:spacing w:line="240" w:lineRule="auto"/>
              <w:jc w:val="center"/>
              <w:rPr>
                <w:rFonts w:eastAsia="Times New Roman"/>
                <w:b/>
                <w:szCs w:val="24"/>
                <w:rPrChange w:id="1729" w:author="Author">
                  <w:rPr>
                    <w:rFonts w:eastAsia="Times New Roman"/>
                    <w:b/>
                    <w:szCs w:val="24"/>
                    <w:lang w:val="en-US"/>
                  </w:rPr>
                </w:rPrChange>
              </w:rPr>
            </w:pPr>
            <w:r w:rsidRPr="00D55B59">
              <w:rPr>
                <w:rFonts w:eastAsia="Times New Roman"/>
                <w:b/>
                <w:szCs w:val="24"/>
                <w:rPrChange w:id="1730" w:author="Author">
                  <w:rPr>
                    <w:rFonts w:eastAsia="Times New Roman"/>
                    <w:b/>
                    <w:szCs w:val="24"/>
                    <w:lang w:val="en-US"/>
                  </w:rPr>
                </w:rPrChange>
              </w:rPr>
              <w:t>TIME (WEEKS)</w:t>
            </w:r>
          </w:p>
        </w:tc>
      </w:tr>
      <w:tr w:rsidR="001778AA" w:rsidRPr="00F04F82" w14:paraId="0358DEBD" w14:textId="77777777" w:rsidTr="00D47253">
        <w:tc>
          <w:tcPr>
            <w:tcW w:w="9576" w:type="dxa"/>
            <w:gridSpan w:val="2"/>
          </w:tcPr>
          <w:p w14:paraId="0FDF44A3" w14:textId="2B6EFE98" w:rsidR="001778AA" w:rsidRPr="00D55B59" w:rsidRDefault="001778AA" w:rsidP="00D47253">
            <w:pPr>
              <w:suppressAutoHyphens/>
              <w:spacing w:line="240" w:lineRule="auto"/>
              <w:rPr>
                <w:rFonts w:eastAsia="Times New Roman"/>
                <w:szCs w:val="24"/>
                <w:rPrChange w:id="1731" w:author="Author">
                  <w:rPr>
                    <w:rFonts w:eastAsia="Times New Roman"/>
                    <w:szCs w:val="24"/>
                    <w:lang w:val="en-US"/>
                  </w:rPr>
                </w:rPrChange>
              </w:rPr>
            </w:pPr>
            <w:r w:rsidRPr="00D55B59">
              <w:rPr>
                <w:rFonts w:eastAsia="Times New Roman"/>
                <w:szCs w:val="24"/>
                <w:rPrChange w:id="1732" w:author="Author">
                  <w:rPr>
                    <w:rFonts w:eastAsia="Times New Roman"/>
                    <w:szCs w:val="24"/>
                    <w:lang w:val="en-US"/>
                  </w:rPr>
                </w:rPrChange>
              </w:rPr>
              <w:t xml:space="preserve">                                  Treatment      </w:t>
            </w:r>
            <w:r w:rsidRPr="00D55B59">
              <w:rPr>
                <w:rFonts w:eastAsia="Times New Roman"/>
                <w:szCs w:val="24"/>
                <w:rPrChange w:id="1733" w:author="Author">
                  <w:rPr>
                    <w:rFonts w:eastAsia="Times New Roman"/>
                    <w:noProof/>
                    <w:szCs w:val="24"/>
                    <w:lang w:val="en-US"/>
                  </w:rPr>
                </w:rPrChange>
              </w:rPr>
              <w:t xml:space="preserve"> </w:t>
            </w:r>
            <w:r w:rsidR="00D96030">
              <w:pict w14:anchorId="4D3E3084">
                <v:line id="Straight Connector 92" o:spid="_x0000_s2340" style="visibility:visible;mso-wrap-style:square;mso-left-percent:-10001;mso-top-percent:-10001;mso-position-horizontal:absolute;mso-position-horizontal-relative:char;mso-position-vertical:absolute;mso-position-vertical-relative:line;mso-left-percent:-10001;mso-top-percent:-10001" from="0,0" to="30pt,.05pt" strokecolor="#595959" strokeweight="2.25pt">
                  <v:stroke dashstyle="1 1"/>
                  <o:lock v:ext="edit" shapetype="f"/>
                  <w10:wrap type="none"/>
                  <w10:anchorlock/>
                </v:line>
              </w:pict>
            </w:r>
            <w:r w:rsidRPr="00D55B59">
              <w:rPr>
                <w:rFonts w:eastAsia="Times New Roman"/>
                <w:szCs w:val="24"/>
                <w:rPrChange w:id="1734" w:author="Author">
                  <w:rPr>
                    <w:rFonts w:eastAsia="Times New Roman"/>
                    <w:noProof/>
                    <w:szCs w:val="24"/>
                    <w:lang w:val="en-US"/>
                  </w:rPr>
                </w:rPrChange>
              </w:rPr>
              <w:t xml:space="preserve"> </w:t>
            </w:r>
            <w:r w:rsidRPr="00D55B59">
              <w:rPr>
                <w:rFonts w:eastAsia="Times New Roman"/>
                <w:szCs w:val="24"/>
                <w:rPrChange w:id="1735" w:author="Author">
                  <w:rPr>
                    <w:rFonts w:eastAsia="Times New Roman"/>
                    <w:szCs w:val="24"/>
                    <w:lang w:val="en-US"/>
                  </w:rPr>
                </w:rPrChange>
              </w:rPr>
              <w:t xml:space="preserve">Placebo     </w:t>
            </w:r>
            <w:r w:rsidR="00D96030">
              <w:pict w14:anchorId="2D2D8F9C">
                <v:line id="Straight Connector 56" o:spid="_x0000_s2339" style="visibility:visible;mso-wrap-style:square;mso-left-percent:-10001;mso-top-percent:-10001;mso-position-horizontal:absolute;mso-position-horizontal-relative:char;mso-position-vertical:absolute;mso-position-vertical-relative:line;mso-left-percent:-10001;mso-top-percent:-10001" from="0,0" to="31.6pt,.05pt" strokecolor="#404040" strokeweight="1.5pt">
                  <o:lock v:ext="edit" shapetype="f"/>
                  <w10:wrap type="none"/>
                  <w10:anchorlock/>
                </v:line>
              </w:pict>
            </w:r>
            <w:r w:rsidRPr="00D55B59">
              <w:rPr>
                <w:rFonts w:eastAsia="Times New Roman"/>
                <w:szCs w:val="24"/>
                <w:rPrChange w:id="1736" w:author="Author">
                  <w:rPr>
                    <w:rFonts w:eastAsia="Times New Roman"/>
                    <w:szCs w:val="24"/>
                    <w:lang w:val="en-US"/>
                  </w:rPr>
                </w:rPrChange>
              </w:rPr>
              <w:t xml:space="preserve"> Adalimumab     ∆ Censored</w:t>
            </w:r>
          </w:p>
        </w:tc>
      </w:tr>
    </w:tbl>
    <w:p w14:paraId="0365A1A6" w14:textId="77777777" w:rsidR="001778AA" w:rsidRPr="00D55B59" w:rsidRDefault="001778AA" w:rsidP="001778AA">
      <w:pPr>
        <w:suppressAutoHyphens/>
        <w:spacing w:line="240" w:lineRule="auto"/>
        <w:rPr>
          <w:rFonts w:eastAsia="Times New Roman"/>
          <w:szCs w:val="24"/>
          <w:rPrChange w:id="1737" w:author="Author">
            <w:rPr>
              <w:rFonts w:eastAsia="Times New Roman"/>
              <w:szCs w:val="24"/>
              <w:lang w:val="en-US"/>
            </w:rPr>
          </w:rPrChange>
        </w:rPr>
      </w:pPr>
    </w:p>
    <w:p w14:paraId="6CF71E7D" w14:textId="77777777" w:rsidR="001778AA" w:rsidRPr="00D55B59" w:rsidRDefault="001778AA" w:rsidP="001778AA">
      <w:pPr>
        <w:suppressAutoHyphens/>
        <w:spacing w:line="240" w:lineRule="auto"/>
        <w:rPr>
          <w:rFonts w:eastAsia="Times New Roman"/>
          <w:szCs w:val="24"/>
          <w:rPrChange w:id="1738" w:author="Author">
            <w:rPr>
              <w:rFonts w:eastAsia="Times New Roman"/>
              <w:szCs w:val="24"/>
              <w:lang w:val="en-US"/>
            </w:rPr>
          </w:rPrChange>
        </w:rPr>
      </w:pPr>
      <w:r w:rsidRPr="00D55B59">
        <w:rPr>
          <w:rFonts w:eastAsia="Times New Roman"/>
          <w:szCs w:val="24"/>
          <w:rPrChange w:id="1739" w:author="Author">
            <w:rPr>
              <w:rFonts w:eastAsia="Times New Roman"/>
              <w:szCs w:val="24"/>
              <w:lang w:val="en-US"/>
            </w:rPr>
          </w:rPrChange>
        </w:rPr>
        <w:t>Note: P = Placebo (number at risk (flared)); A = Adalimumab (number at risk (flared)).</w:t>
      </w:r>
    </w:p>
    <w:p w14:paraId="5F59A2A9" w14:textId="77777777" w:rsidR="001778AA" w:rsidRPr="00D55B59" w:rsidRDefault="001778AA" w:rsidP="001778AA">
      <w:pPr>
        <w:suppressAutoHyphens/>
        <w:spacing w:line="240" w:lineRule="auto"/>
        <w:rPr>
          <w:rFonts w:eastAsia="Times New Roman"/>
          <w:szCs w:val="24"/>
          <w:rPrChange w:id="1740" w:author="Author">
            <w:rPr>
              <w:rFonts w:eastAsia="Times New Roman"/>
              <w:szCs w:val="24"/>
              <w:lang w:val="en-US"/>
            </w:rPr>
          </w:rPrChange>
        </w:rPr>
      </w:pPr>
    </w:p>
    <w:p w14:paraId="0CC213FA" w14:textId="2E4EA25C" w:rsidR="001778AA" w:rsidRPr="001775D9" w:rsidRDefault="001778AA" w:rsidP="001778AA">
      <w:pPr>
        <w:suppressAutoHyphens/>
        <w:spacing w:line="240" w:lineRule="auto"/>
        <w:rPr>
          <w:rFonts w:eastAsia="Times New Roman"/>
        </w:rPr>
      </w:pPr>
      <w:r w:rsidRPr="001775D9">
        <w:rPr>
          <w:rFonts w:eastAsia="Times New Roman"/>
        </w:rPr>
        <w:t>Among the 68 patients who flared in the group allocated to treatment withdrawal, 65 completed 12</w:t>
      </w:r>
      <w:r w:rsidR="00E02A0C" w:rsidRPr="001775D9">
        <w:rPr>
          <w:rFonts w:eastAsia="Times New Roman"/>
        </w:rPr>
        <w:t> </w:t>
      </w:r>
      <w:r w:rsidRPr="001775D9">
        <w:rPr>
          <w:rFonts w:eastAsia="Times New Roman"/>
        </w:rPr>
        <w:t xml:space="preserve">weeks of rescue therapy with adalimumab, out of which 37 (56.9%) had regained remission (ASDAS &lt; 1.3) after 12 weeks of restarting the open-label treatment. </w:t>
      </w:r>
    </w:p>
    <w:p w14:paraId="0C85047D" w14:textId="77777777" w:rsidR="001778AA" w:rsidRPr="00D55B59" w:rsidRDefault="001778AA" w:rsidP="001778AA">
      <w:pPr>
        <w:suppressAutoHyphens/>
        <w:spacing w:line="240" w:lineRule="auto"/>
        <w:rPr>
          <w:rFonts w:eastAsia="Times New Roman"/>
          <w:szCs w:val="24"/>
          <w:rPrChange w:id="1741" w:author="Author">
            <w:rPr>
              <w:rFonts w:eastAsia="Times New Roman"/>
              <w:szCs w:val="24"/>
              <w:lang w:val="en-US"/>
            </w:rPr>
          </w:rPrChange>
        </w:rPr>
      </w:pPr>
    </w:p>
    <w:p w14:paraId="6609D865" w14:textId="77777777" w:rsidR="001778AA" w:rsidRPr="00D55B59" w:rsidRDefault="001778AA" w:rsidP="001778AA">
      <w:pPr>
        <w:suppressAutoHyphens/>
        <w:spacing w:line="240" w:lineRule="auto"/>
        <w:rPr>
          <w:rFonts w:eastAsia="Times New Roman"/>
          <w:szCs w:val="24"/>
          <w:rPrChange w:id="1742" w:author="Author">
            <w:rPr>
              <w:rFonts w:eastAsia="Times New Roman"/>
              <w:szCs w:val="24"/>
              <w:lang w:val="en-US"/>
            </w:rPr>
          </w:rPrChange>
        </w:rPr>
      </w:pPr>
      <w:r w:rsidRPr="00D55B59">
        <w:rPr>
          <w:rFonts w:eastAsia="Times New Roman"/>
          <w:szCs w:val="24"/>
          <w:rPrChange w:id="1743" w:author="Author">
            <w:rPr>
              <w:rFonts w:eastAsia="Times New Roman"/>
              <w:szCs w:val="24"/>
              <w:lang w:val="en-US"/>
            </w:rPr>
          </w:rPrChange>
        </w:rPr>
        <w:t>By week</w:t>
      </w:r>
      <w:r w:rsidRPr="001775D9">
        <w:rPr>
          <w:rFonts w:eastAsia="Times New Roman"/>
          <w:szCs w:val="24"/>
        </w:rPr>
        <w:t> 68,</w:t>
      </w:r>
      <w:r w:rsidRPr="00D55B59">
        <w:rPr>
          <w:rFonts w:eastAsia="Times New Roman"/>
          <w:szCs w:val="24"/>
          <w:rPrChange w:id="1744" w:author="Author">
            <w:rPr>
              <w:rFonts w:eastAsia="Times New Roman"/>
              <w:szCs w:val="24"/>
              <w:lang w:val="en-US"/>
            </w:rPr>
          </w:rPrChange>
        </w:rPr>
        <w:t xml:space="preserve"> patients receiving continuous adalimumab treatment showed statistically significant greater improvement of the signs and symptoms of active nr-axSpA as compared to patients allocated to treatment withdrawal during the double-blind period of the study (table 14).</w:t>
      </w:r>
    </w:p>
    <w:p w14:paraId="22BF823F" w14:textId="77777777" w:rsidR="001778AA" w:rsidRPr="00D55B59" w:rsidRDefault="001778AA" w:rsidP="001778AA">
      <w:pPr>
        <w:suppressAutoHyphens/>
        <w:spacing w:line="240" w:lineRule="auto"/>
        <w:rPr>
          <w:rFonts w:eastAsia="Times New Roman"/>
          <w:szCs w:val="24"/>
          <w:rPrChange w:id="1745" w:author="Author">
            <w:rPr>
              <w:rFonts w:eastAsia="Times New Roman"/>
              <w:szCs w:val="24"/>
              <w:lang w:val="en-US"/>
            </w:rPr>
          </w:rPrChange>
        </w:rPr>
      </w:pPr>
    </w:p>
    <w:p w14:paraId="27F45F6A" w14:textId="77777777" w:rsidR="001778AA" w:rsidRPr="00D55B59" w:rsidRDefault="001778AA" w:rsidP="001778AA">
      <w:pPr>
        <w:keepNext/>
        <w:suppressAutoHyphens/>
        <w:spacing w:line="240" w:lineRule="auto"/>
        <w:rPr>
          <w:rFonts w:eastAsia="Times New Roman"/>
          <w:b/>
          <w:rPrChange w:id="1746" w:author="Author">
            <w:rPr>
              <w:rFonts w:eastAsia="Times New Roman"/>
              <w:b/>
              <w:lang w:val="en-US"/>
            </w:rPr>
          </w:rPrChange>
        </w:rPr>
      </w:pPr>
      <w:r w:rsidRPr="00D55B59">
        <w:rPr>
          <w:rFonts w:eastAsia="Times New Roman"/>
          <w:b/>
          <w:rPrChange w:id="1747" w:author="Author">
            <w:rPr>
              <w:rFonts w:eastAsia="Times New Roman"/>
              <w:b/>
              <w:lang w:val="en-US"/>
            </w:rPr>
          </w:rPrChange>
        </w:rPr>
        <w:t>Table 14. Efficacy response in placebo-controlled period for study nr-axSpA II</w:t>
      </w:r>
    </w:p>
    <w:p w14:paraId="64FD25A5" w14:textId="77777777" w:rsidR="001778AA" w:rsidRPr="00D55B59" w:rsidRDefault="001778AA" w:rsidP="001778AA">
      <w:pPr>
        <w:keepNext/>
        <w:suppressAutoHyphens/>
        <w:spacing w:line="240" w:lineRule="auto"/>
        <w:ind w:left="720"/>
        <w:rPr>
          <w:rFonts w:eastAsia="Times New Roman"/>
          <w:b/>
          <w:rPrChange w:id="1748" w:author="Author">
            <w:rPr>
              <w:rFonts w:eastAsia="Times New Roman"/>
              <w:b/>
              <w:lang w:val="en-US"/>
            </w:rPr>
          </w:rPrChang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50"/>
        <w:gridCol w:w="1710"/>
        <w:gridCol w:w="1851"/>
      </w:tblGrid>
      <w:tr w:rsidR="00E03C85" w:rsidRPr="00F04F82" w14:paraId="6EC397C1" w14:textId="77777777" w:rsidTr="00D47253">
        <w:trPr>
          <w:jc w:val="center"/>
        </w:trPr>
        <w:tc>
          <w:tcPr>
            <w:tcW w:w="3067" w:type="pct"/>
          </w:tcPr>
          <w:p w14:paraId="5E9A175C" w14:textId="77777777" w:rsidR="001778AA" w:rsidRPr="001775D9" w:rsidRDefault="001778AA" w:rsidP="00D47253">
            <w:pPr>
              <w:keepNext/>
              <w:suppressAutoHyphens/>
              <w:spacing w:line="240" w:lineRule="auto"/>
              <w:rPr>
                <w:rFonts w:eastAsia="Times New Roman"/>
                <w:b/>
                <w:bCs/>
                <w:szCs w:val="24"/>
              </w:rPr>
            </w:pPr>
            <w:r w:rsidRPr="001775D9">
              <w:rPr>
                <w:rFonts w:eastAsia="Times New Roman"/>
                <w:b/>
                <w:bCs/>
                <w:szCs w:val="24"/>
              </w:rPr>
              <w:t>Double-blind</w:t>
            </w:r>
          </w:p>
          <w:p w14:paraId="587F1E41" w14:textId="77777777" w:rsidR="001778AA" w:rsidRPr="001775D9" w:rsidRDefault="001778AA" w:rsidP="00D47253">
            <w:pPr>
              <w:keepNext/>
              <w:suppressAutoHyphens/>
              <w:spacing w:line="240" w:lineRule="auto"/>
              <w:rPr>
                <w:rFonts w:eastAsia="Times New Roman"/>
                <w:b/>
                <w:bCs/>
                <w:szCs w:val="24"/>
              </w:rPr>
            </w:pPr>
            <w:r w:rsidRPr="001775D9">
              <w:rPr>
                <w:rFonts w:eastAsia="Times New Roman"/>
                <w:b/>
                <w:bCs/>
                <w:szCs w:val="24"/>
              </w:rPr>
              <w:t>response at week 68</w:t>
            </w:r>
          </w:p>
        </w:tc>
        <w:tc>
          <w:tcPr>
            <w:tcW w:w="928" w:type="pct"/>
          </w:tcPr>
          <w:p w14:paraId="1FB88ACB" w14:textId="77777777" w:rsidR="001778AA" w:rsidRPr="00D55B59" w:rsidRDefault="001778AA" w:rsidP="00D47253">
            <w:pPr>
              <w:keepNext/>
              <w:suppressAutoHyphens/>
              <w:spacing w:line="240" w:lineRule="auto"/>
              <w:jc w:val="center"/>
              <w:rPr>
                <w:rFonts w:eastAsia="Times New Roman"/>
                <w:b/>
                <w:bCs/>
                <w:szCs w:val="22"/>
                <w:rPrChange w:id="1749" w:author="Author">
                  <w:rPr>
                    <w:rFonts w:eastAsia="Times New Roman"/>
                    <w:b/>
                    <w:bCs/>
                    <w:szCs w:val="22"/>
                    <w:lang w:val="fr-FR"/>
                  </w:rPr>
                </w:rPrChange>
              </w:rPr>
            </w:pPr>
            <w:r w:rsidRPr="00D55B59">
              <w:rPr>
                <w:rFonts w:eastAsia="Times New Roman"/>
                <w:b/>
                <w:bCs/>
                <w:szCs w:val="22"/>
                <w:rPrChange w:id="1750" w:author="Author">
                  <w:rPr>
                    <w:rFonts w:eastAsia="Times New Roman"/>
                    <w:b/>
                    <w:bCs/>
                    <w:szCs w:val="22"/>
                    <w:lang w:val="fr-FR"/>
                  </w:rPr>
                </w:rPrChange>
              </w:rPr>
              <w:t>Placebo</w:t>
            </w:r>
          </w:p>
          <w:p w14:paraId="05B145CC" w14:textId="31F55761" w:rsidR="001778AA" w:rsidRPr="00D55B59" w:rsidRDefault="001778AA" w:rsidP="00D47253">
            <w:pPr>
              <w:keepNext/>
              <w:suppressAutoHyphens/>
              <w:spacing w:line="240" w:lineRule="auto"/>
              <w:jc w:val="center"/>
              <w:rPr>
                <w:rFonts w:eastAsia="Times New Roman"/>
                <w:b/>
                <w:bCs/>
                <w:szCs w:val="22"/>
                <w:rPrChange w:id="1751" w:author="Author">
                  <w:rPr>
                    <w:rFonts w:eastAsia="Times New Roman"/>
                    <w:b/>
                    <w:bCs/>
                    <w:szCs w:val="22"/>
                    <w:lang w:val="fr-FR"/>
                  </w:rPr>
                </w:rPrChange>
              </w:rPr>
            </w:pPr>
            <w:r w:rsidRPr="00D55B59">
              <w:rPr>
                <w:rFonts w:eastAsia="Times New Roman"/>
                <w:b/>
                <w:bCs/>
                <w:szCs w:val="22"/>
                <w:rPrChange w:id="1752" w:author="Author">
                  <w:rPr>
                    <w:rFonts w:eastAsia="Times New Roman"/>
                    <w:b/>
                    <w:bCs/>
                    <w:szCs w:val="22"/>
                    <w:lang w:val="fr-FR"/>
                  </w:rPr>
                </w:rPrChange>
              </w:rPr>
              <w:t>N</w:t>
            </w:r>
            <w:r w:rsidR="00676F07" w:rsidRPr="00D55B59">
              <w:rPr>
                <w:rFonts w:eastAsia="Times New Roman"/>
                <w:b/>
                <w:bCs/>
                <w:szCs w:val="22"/>
                <w:rPrChange w:id="1753" w:author="Author">
                  <w:rPr>
                    <w:rFonts w:eastAsia="Times New Roman"/>
                    <w:b/>
                    <w:bCs/>
                    <w:szCs w:val="22"/>
                    <w:lang w:val="fr-FR"/>
                  </w:rPr>
                </w:rPrChange>
              </w:rPr>
              <w:t> </w:t>
            </w:r>
            <w:r w:rsidRPr="00D55B59">
              <w:rPr>
                <w:rFonts w:eastAsia="Times New Roman"/>
                <w:b/>
                <w:bCs/>
                <w:szCs w:val="22"/>
                <w:rPrChange w:id="1754" w:author="Author">
                  <w:rPr>
                    <w:rFonts w:eastAsia="Times New Roman"/>
                    <w:b/>
                    <w:bCs/>
                    <w:szCs w:val="22"/>
                    <w:lang w:val="fr-FR"/>
                  </w:rPr>
                </w:rPrChange>
              </w:rPr>
              <w:t>=</w:t>
            </w:r>
            <w:r w:rsidR="00676F07" w:rsidRPr="00D55B59">
              <w:rPr>
                <w:rFonts w:eastAsia="Times New Roman"/>
                <w:b/>
                <w:bCs/>
                <w:szCs w:val="22"/>
                <w:rPrChange w:id="1755" w:author="Author">
                  <w:rPr>
                    <w:rFonts w:eastAsia="Times New Roman"/>
                    <w:b/>
                    <w:bCs/>
                    <w:szCs w:val="22"/>
                    <w:lang w:val="fr-FR"/>
                  </w:rPr>
                </w:rPrChange>
              </w:rPr>
              <w:t> </w:t>
            </w:r>
            <w:r w:rsidRPr="00D55B59">
              <w:rPr>
                <w:rFonts w:eastAsia="Times New Roman"/>
                <w:b/>
                <w:bCs/>
                <w:szCs w:val="22"/>
                <w:rPrChange w:id="1756" w:author="Author">
                  <w:rPr>
                    <w:rFonts w:eastAsia="Times New Roman"/>
                    <w:b/>
                    <w:bCs/>
                    <w:szCs w:val="22"/>
                    <w:lang w:val="fr-FR"/>
                  </w:rPr>
                </w:rPrChange>
              </w:rPr>
              <w:t>153</w:t>
            </w:r>
          </w:p>
        </w:tc>
        <w:tc>
          <w:tcPr>
            <w:tcW w:w="1005" w:type="pct"/>
          </w:tcPr>
          <w:p w14:paraId="7CCF517D" w14:textId="77777777" w:rsidR="001778AA" w:rsidRPr="00D55B59" w:rsidRDefault="001778AA" w:rsidP="00D47253">
            <w:pPr>
              <w:keepNext/>
              <w:suppressAutoHyphens/>
              <w:spacing w:line="240" w:lineRule="auto"/>
              <w:jc w:val="center"/>
              <w:rPr>
                <w:rFonts w:eastAsia="Times New Roman"/>
                <w:b/>
                <w:bCs/>
                <w:szCs w:val="22"/>
                <w:rPrChange w:id="1757" w:author="Author">
                  <w:rPr>
                    <w:rFonts w:eastAsia="Times New Roman"/>
                    <w:b/>
                    <w:bCs/>
                    <w:szCs w:val="22"/>
                    <w:lang w:val="fr-FR"/>
                  </w:rPr>
                </w:rPrChange>
              </w:rPr>
            </w:pPr>
            <w:r w:rsidRPr="00D55B59">
              <w:rPr>
                <w:rFonts w:eastAsia="Times New Roman"/>
                <w:b/>
                <w:bCs/>
                <w:szCs w:val="22"/>
                <w:rPrChange w:id="1758" w:author="Author">
                  <w:rPr>
                    <w:rFonts w:eastAsia="Times New Roman"/>
                    <w:b/>
                    <w:bCs/>
                    <w:szCs w:val="22"/>
                    <w:lang w:val="fr-FR"/>
                  </w:rPr>
                </w:rPrChange>
              </w:rPr>
              <w:t>Adalimumab</w:t>
            </w:r>
          </w:p>
          <w:p w14:paraId="387612F6" w14:textId="3969BDF3" w:rsidR="001778AA" w:rsidRPr="00D55B59" w:rsidRDefault="001778AA" w:rsidP="00D47253">
            <w:pPr>
              <w:keepNext/>
              <w:suppressAutoHyphens/>
              <w:spacing w:line="240" w:lineRule="auto"/>
              <w:jc w:val="center"/>
              <w:rPr>
                <w:rFonts w:eastAsia="Times New Roman"/>
                <w:b/>
                <w:bCs/>
                <w:szCs w:val="22"/>
                <w:rPrChange w:id="1759" w:author="Author">
                  <w:rPr>
                    <w:rFonts w:eastAsia="Times New Roman"/>
                    <w:b/>
                    <w:bCs/>
                    <w:szCs w:val="22"/>
                    <w:lang w:val="fr-FR"/>
                  </w:rPr>
                </w:rPrChange>
              </w:rPr>
            </w:pPr>
            <w:r w:rsidRPr="001775D9">
              <w:rPr>
                <w:rFonts w:eastAsia="Times New Roman"/>
                <w:b/>
                <w:bCs/>
                <w:szCs w:val="22"/>
              </w:rPr>
              <w:t>N</w:t>
            </w:r>
            <w:r w:rsidR="00676F07" w:rsidRPr="001775D9">
              <w:rPr>
                <w:rFonts w:eastAsia="Times New Roman"/>
                <w:b/>
                <w:bCs/>
                <w:szCs w:val="22"/>
              </w:rPr>
              <w:t> </w:t>
            </w:r>
            <w:r w:rsidRPr="001775D9">
              <w:rPr>
                <w:rFonts w:eastAsia="Times New Roman"/>
                <w:b/>
                <w:bCs/>
                <w:szCs w:val="22"/>
              </w:rPr>
              <w:t>=</w:t>
            </w:r>
            <w:r w:rsidR="00676F07" w:rsidRPr="001775D9">
              <w:rPr>
                <w:rFonts w:eastAsia="Times New Roman"/>
                <w:b/>
                <w:bCs/>
                <w:szCs w:val="22"/>
              </w:rPr>
              <w:t> </w:t>
            </w:r>
            <w:r w:rsidRPr="001775D9">
              <w:rPr>
                <w:rFonts w:eastAsia="Times New Roman"/>
                <w:b/>
                <w:bCs/>
                <w:szCs w:val="22"/>
              </w:rPr>
              <w:t>152</w:t>
            </w:r>
          </w:p>
        </w:tc>
      </w:tr>
      <w:tr w:rsidR="00E03C85" w:rsidRPr="00F04F82" w14:paraId="4FF3B7ED" w14:textId="77777777" w:rsidTr="00D47253">
        <w:trPr>
          <w:jc w:val="center"/>
        </w:trPr>
        <w:tc>
          <w:tcPr>
            <w:tcW w:w="3067" w:type="pct"/>
          </w:tcPr>
          <w:p w14:paraId="47418E7C" w14:textId="77777777" w:rsidR="001778AA" w:rsidRPr="001775D9" w:rsidRDefault="001778AA" w:rsidP="00D47253">
            <w:pPr>
              <w:keepNext/>
              <w:suppressAutoHyphens/>
              <w:spacing w:line="240" w:lineRule="auto"/>
              <w:rPr>
                <w:rFonts w:eastAsia="Times New Roman"/>
                <w:szCs w:val="24"/>
              </w:rPr>
            </w:pPr>
            <w:r w:rsidRPr="001775D9">
              <w:rPr>
                <w:rFonts w:eastAsia="Times New Roman"/>
                <w:szCs w:val="24"/>
              </w:rPr>
              <w:t>ASAS</w:t>
            </w:r>
            <w:r w:rsidRPr="001775D9">
              <w:rPr>
                <w:rFonts w:eastAsia="Times New Roman"/>
                <w:szCs w:val="24"/>
                <w:vertAlign w:val="superscript"/>
              </w:rPr>
              <w:t>a,b</w:t>
            </w:r>
            <w:r w:rsidRPr="001775D9">
              <w:rPr>
                <w:rFonts w:eastAsia="Times New Roman"/>
                <w:szCs w:val="24"/>
              </w:rPr>
              <w:t xml:space="preserve"> 20</w:t>
            </w:r>
          </w:p>
        </w:tc>
        <w:tc>
          <w:tcPr>
            <w:tcW w:w="928" w:type="pct"/>
          </w:tcPr>
          <w:p w14:paraId="3903F7D9"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47.1%</w:t>
            </w:r>
          </w:p>
        </w:tc>
        <w:tc>
          <w:tcPr>
            <w:tcW w:w="1005" w:type="pct"/>
          </w:tcPr>
          <w:p w14:paraId="684820A3"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70.4%***</w:t>
            </w:r>
          </w:p>
        </w:tc>
      </w:tr>
      <w:tr w:rsidR="00E03C85" w:rsidRPr="00F04F82" w14:paraId="17FDE0D3" w14:textId="77777777" w:rsidTr="00D47253">
        <w:trPr>
          <w:jc w:val="center"/>
        </w:trPr>
        <w:tc>
          <w:tcPr>
            <w:tcW w:w="3067" w:type="pct"/>
          </w:tcPr>
          <w:p w14:paraId="044D28C2" w14:textId="77777777" w:rsidR="001778AA" w:rsidRPr="001775D9" w:rsidRDefault="001778AA" w:rsidP="00D47253">
            <w:pPr>
              <w:keepNext/>
              <w:suppressAutoHyphens/>
              <w:spacing w:line="240" w:lineRule="auto"/>
              <w:rPr>
                <w:rFonts w:eastAsia="Times New Roman"/>
                <w:szCs w:val="24"/>
              </w:rPr>
            </w:pPr>
            <w:r w:rsidRPr="001775D9">
              <w:rPr>
                <w:rFonts w:eastAsia="Times New Roman"/>
                <w:szCs w:val="24"/>
              </w:rPr>
              <w:t>ASAS</w:t>
            </w:r>
            <w:r w:rsidRPr="001775D9">
              <w:rPr>
                <w:rFonts w:eastAsia="Times New Roman"/>
                <w:szCs w:val="24"/>
                <w:vertAlign w:val="superscript"/>
              </w:rPr>
              <w:t>a,b</w:t>
            </w:r>
            <w:r w:rsidRPr="001775D9">
              <w:rPr>
                <w:rFonts w:eastAsia="Times New Roman"/>
                <w:szCs w:val="24"/>
              </w:rPr>
              <w:t xml:space="preserve"> 40</w:t>
            </w:r>
          </w:p>
        </w:tc>
        <w:tc>
          <w:tcPr>
            <w:tcW w:w="928" w:type="pct"/>
          </w:tcPr>
          <w:p w14:paraId="1F213ED2"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45.8%</w:t>
            </w:r>
          </w:p>
        </w:tc>
        <w:tc>
          <w:tcPr>
            <w:tcW w:w="1005" w:type="pct"/>
          </w:tcPr>
          <w:p w14:paraId="5973B56F"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65.8%***</w:t>
            </w:r>
          </w:p>
        </w:tc>
      </w:tr>
      <w:tr w:rsidR="00E03C85" w:rsidRPr="00F04F82" w14:paraId="6DFBD053" w14:textId="77777777" w:rsidTr="00D47253">
        <w:trPr>
          <w:jc w:val="center"/>
        </w:trPr>
        <w:tc>
          <w:tcPr>
            <w:tcW w:w="3067" w:type="pct"/>
          </w:tcPr>
          <w:p w14:paraId="0C9F1869" w14:textId="77777777" w:rsidR="001778AA" w:rsidRPr="001775D9" w:rsidRDefault="001778AA" w:rsidP="00D47253">
            <w:pPr>
              <w:keepNext/>
              <w:suppressAutoHyphens/>
              <w:spacing w:line="240" w:lineRule="auto"/>
              <w:rPr>
                <w:rFonts w:eastAsia="Times New Roman"/>
                <w:szCs w:val="24"/>
              </w:rPr>
            </w:pPr>
            <w:r w:rsidRPr="001775D9">
              <w:rPr>
                <w:rFonts w:eastAsia="Times New Roman"/>
                <w:szCs w:val="24"/>
              </w:rPr>
              <w:t>ASAS</w:t>
            </w:r>
            <w:r w:rsidRPr="001775D9">
              <w:rPr>
                <w:rFonts w:eastAsia="Times New Roman"/>
                <w:szCs w:val="24"/>
                <w:vertAlign w:val="superscript"/>
              </w:rPr>
              <w:t>a</w:t>
            </w:r>
            <w:r w:rsidRPr="001775D9">
              <w:rPr>
                <w:rFonts w:eastAsia="Times New Roman"/>
                <w:szCs w:val="24"/>
              </w:rPr>
              <w:t xml:space="preserve"> Partial Remission</w:t>
            </w:r>
          </w:p>
        </w:tc>
        <w:tc>
          <w:tcPr>
            <w:tcW w:w="928" w:type="pct"/>
          </w:tcPr>
          <w:p w14:paraId="4E782E5D"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26.8%</w:t>
            </w:r>
          </w:p>
        </w:tc>
        <w:tc>
          <w:tcPr>
            <w:tcW w:w="1005" w:type="pct"/>
          </w:tcPr>
          <w:p w14:paraId="739784CB"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42.1%**</w:t>
            </w:r>
          </w:p>
        </w:tc>
      </w:tr>
      <w:tr w:rsidR="00E03C85" w:rsidRPr="00F04F82" w14:paraId="7FDEEFE7" w14:textId="77777777" w:rsidTr="00D47253">
        <w:trPr>
          <w:jc w:val="center"/>
        </w:trPr>
        <w:tc>
          <w:tcPr>
            <w:tcW w:w="3067" w:type="pct"/>
          </w:tcPr>
          <w:p w14:paraId="025B6C09" w14:textId="77777777" w:rsidR="001778AA" w:rsidRPr="001775D9" w:rsidRDefault="001778AA" w:rsidP="00D47253">
            <w:pPr>
              <w:keepNext/>
              <w:suppressAutoHyphens/>
              <w:spacing w:line="240" w:lineRule="auto"/>
              <w:rPr>
                <w:rFonts w:eastAsia="Times New Roman"/>
                <w:szCs w:val="24"/>
              </w:rPr>
            </w:pPr>
            <w:r w:rsidRPr="001775D9">
              <w:rPr>
                <w:rFonts w:eastAsia="Times New Roman"/>
                <w:szCs w:val="24"/>
              </w:rPr>
              <w:t>ASDAS</w:t>
            </w:r>
            <w:r w:rsidRPr="001775D9">
              <w:rPr>
                <w:rFonts w:eastAsia="Times New Roman"/>
                <w:szCs w:val="24"/>
                <w:vertAlign w:val="superscript"/>
              </w:rPr>
              <w:t>c</w:t>
            </w:r>
            <w:r w:rsidRPr="001775D9">
              <w:rPr>
                <w:rFonts w:eastAsia="Times New Roman"/>
                <w:szCs w:val="24"/>
              </w:rPr>
              <w:t xml:space="preserve"> Inactive Disease</w:t>
            </w:r>
          </w:p>
        </w:tc>
        <w:tc>
          <w:tcPr>
            <w:tcW w:w="928" w:type="pct"/>
          </w:tcPr>
          <w:p w14:paraId="084C3797"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33.3%</w:t>
            </w:r>
          </w:p>
        </w:tc>
        <w:tc>
          <w:tcPr>
            <w:tcW w:w="1005" w:type="pct"/>
          </w:tcPr>
          <w:p w14:paraId="6EFD56AD"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57.2%***</w:t>
            </w:r>
          </w:p>
        </w:tc>
      </w:tr>
      <w:tr w:rsidR="00E03C85" w:rsidRPr="00F04F82" w14:paraId="21BDB1D8" w14:textId="77777777" w:rsidTr="00D47253">
        <w:trPr>
          <w:jc w:val="center"/>
        </w:trPr>
        <w:tc>
          <w:tcPr>
            <w:tcW w:w="3067" w:type="pct"/>
          </w:tcPr>
          <w:p w14:paraId="121B3D43" w14:textId="77777777" w:rsidR="001778AA" w:rsidRPr="001775D9" w:rsidRDefault="001778AA" w:rsidP="00D47253">
            <w:pPr>
              <w:keepNext/>
              <w:suppressAutoHyphens/>
              <w:spacing w:line="240" w:lineRule="auto"/>
              <w:rPr>
                <w:rFonts w:eastAsia="Times New Roman"/>
                <w:szCs w:val="24"/>
              </w:rPr>
            </w:pPr>
            <w:r w:rsidRPr="001775D9">
              <w:rPr>
                <w:rFonts w:eastAsia="Times New Roman"/>
                <w:szCs w:val="24"/>
              </w:rPr>
              <w:t>Partial Flare</w:t>
            </w:r>
            <w:r w:rsidRPr="001775D9">
              <w:rPr>
                <w:rFonts w:eastAsia="Times New Roman"/>
                <w:szCs w:val="22"/>
                <w:vertAlign w:val="superscript"/>
              </w:rPr>
              <w:t>d</w:t>
            </w:r>
          </w:p>
        </w:tc>
        <w:tc>
          <w:tcPr>
            <w:tcW w:w="928" w:type="pct"/>
          </w:tcPr>
          <w:p w14:paraId="3A09DF40"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64.1%</w:t>
            </w:r>
          </w:p>
        </w:tc>
        <w:tc>
          <w:tcPr>
            <w:tcW w:w="1005" w:type="pct"/>
          </w:tcPr>
          <w:p w14:paraId="27C65EA9" w14:textId="77777777" w:rsidR="001778AA" w:rsidRPr="001775D9" w:rsidRDefault="001778AA" w:rsidP="00D47253">
            <w:pPr>
              <w:keepNext/>
              <w:suppressAutoHyphens/>
              <w:spacing w:line="240" w:lineRule="auto"/>
              <w:jc w:val="center"/>
              <w:rPr>
                <w:rFonts w:eastAsia="Times New Roman"/>
                <w:szCs w:val="24"/>
              </w:rPr>
            </w:pPr>
            <w:r w:rsidRPr="001775D9">
              <w:rPr>
                <w:rFonts w:eastAsia="Times New Roman"/>
                <w:szCs w:val="24"/>
              </w:rPr>
              <w:t>40.8%***</w:t>
            </w:r>
          </w:p>
        </w:tc>
      </w:tr>
      <w:tr w:rsidR="001778AA" w:rsidRPr="00F04F82" w14:paraId="3343C338" w14:textId="77777777" w:rsidTr="00D47253">
        <w:trPr>
          <w:jc w:val="center"/>
        </w:trPr>
        <w:tc>
          <w:tcPr>
            <w:tcW w:w="5000" w:type="pct"/>
            <w:gridSpan w:val="3"/>
            <w:tcBorders>
              <w:left w:val="nil"/>
              <w:bottom w:val="nil"/>
              <w:right w:val="nil"/>
            </w:tcBorders>
          </w:tcPr>
          <w:p w14:paraId="71D96133" w14:textId="509A2858" w:rsidR="001778AA" w:rsidRPr="001775D9" w:rsidRDefault="001778AA" w:rsidP="00D47253">
            <w:pPr>
              <w:keepNext/>
              <w:tabs>
                <w:tab w:val="clear" w:pos="567"/>
              </w:tabs>
              <w:autoSpaceDE w:val="0"/>
              <w:autoSpaceDN w:val="0"/>
              <w:adjustRightInd w:val="0"/>
              <w:spacing w:line="240" w:lineRule="auto"/>
              <w:rPr>
                <w:rFonts w:eastAsia="Times New Roman"/>
                <w:sz w:val="20"/>
              </w:rPr>
            </w:pPr>
            <w:r w:rsidRPr="001775D9">
              <w:rPr>
                <w:rFonts w:eastAsia="Times New Roman"/>
                <w:sz w:val="20"/>
                <w:vertAlign w:val="superscript"/>
              </w:rPr>
              <w:t>a</w:t>
            </w:r>
            <w:r w:rsidRPr="001775D9">
              <w:rPr>
                <w:rFonts w:eastAsia="Times New Roman"/>
                <w:sz w:val="20"/>
              </w:rPr>
              <w:t xml:space="preserve"> Assessment of SpondyloArthritis international Society</w:t>
            </w:r>
            <w:r w:rsidR="006825B5" w:rsidRPr="001775D9">
              <w:rPr>
                <w:rFonts w:eastAsia="Times New Roman"/>
                <w:sz w:val="20"/>
              </w:rPr>
              <w:t>.</w:t>
            </w:r>
          </w:p>
          <w:p w14:paraId="3B72DE0F" w14:textId="77777777" w:rsidR="001778AA" w:rsidRPr="001775D9" w:rsidRDefault="001778AA" w:rsidP="00D47253">
            <w:pPr>
              <w:keepNext/>
              <w:suppressAutoHyphens/>
              <w:spacing w:line="240" w:lineRule="auto"/>
              <w:ind w:left="20"/>
              <w:rPr>
                <w:rFonts w:eastAsia="Times New Roman"/>
                <w:sz w:val="20"/>
                <w:vertAlign w:val="superscript"/>
              </w:rPr>
            </w:pPr>
            <w:r w:rsidRPr="001775D9">
              <w:rPr>
                <w:rFonts w:eastAsia="Times New Roman"/>
                <w:sz w:val="20"/>
                <w:vertAlign w:val="superscript"/>
              </w:rPr>
              <w:t>b</w:t>
            </w:r>
            <w:r w:rsidRPr="001775D9">
              <w:rPr>
                <w:rFonts w:eastAsia="Times New Roman"/>
                <w:sz w:val="20"/>
              </w:rPr>
              <w:t xml:space="preserve"> Baseline is defined as open label baseline when patients have active disease.</w:t>
            </w:r>
          </w:p>
          <w:p w14:paraId="40BDC954" w14:textId="3234FFD3" w:rsidR="001778AA" w:rsidRPr="001775D9" w:rsidRDefault="001778AA" w:rsidP="00D47253">
            <w:pPr>
              <w:keepNext/>
              <w:suppressAutoHyphens/>
              <w:spacing w:line="240" w:lineRule="auto"/>
              <w:ind w:left="20"/>
              <w:rPr>
                <w:rFonts w:eastAsia="Times New Roman"/>
                <w:sz w:val="20"/>
                <w:vertAlign w:val="superscript"/>
              </w:rPr>
            </w:pPr>
            <w:r w:rsidRPr="001775D9">
              <w:rPr>
                <w:rFonts w:eastAsia="Times New Roman"/>
                <w:sz w:val="20"/>
                <w:vertAlign w:val="superscript"/>
              </w:rPr>
              <w:t>c</w:t>
            </w:r>
            <w:r w:rsidRPr="001775D9">
              <w:rPr>
                <w:rFonts w:eastAsia="Times New Roman"/>
                <w:sz w:val="20"/>
              </w:rPr>
              <w:t xml:space="preserve"> Ankylosing Spondylitis Disease Activity Score</w:t>
            </w:r>
            <w:r w:rsidR="006825B5" w:rsidRPr="001775D9">
              <w:rPr>
                <w:rFonts w:eastAsia="Times New Roman"/>
                <w:sz w:val="20"/>
              </w:rPr>
              <w:t>.</w:t>
            </w:r>
          </w:p>
          <w:p w14:paraId="4BE17A39" w14:textId="77777777" w:rsidR="001778AA" w:rsidRPr="001775D9" w:rsidRDefault="001778AA" w:rsidP="00D47253">
            <w:pPr>
              <w:keepNext/>
              <w:tabs>
                <w:tab w:val="clear" w:pos="567"/>
              </w:tabs>
              <w:autoSpaceDE w:val="0"/>
              <w:autoSpaceDN w:val="0"/>
              <w:adjustRightInd w:val="0"/>
              <w:spacing w:line="240" w:lineRule="auto"/>
              <w:rPr>
                <w:rFonts w:eastAsia="Times New Roman"/>
                <w:sz w:val="20"/>
              </w:rPr>
            </w:pPr>
            <w:r w:rsidRPr="001775D9">
              <w:rPr>
                <w:rFonts w:eastAsia="Times New Roman"/>
                <w:sz w:val="20"/>
                <w:vertAlign w:val="superscript"/>
              </w:rPr>
              <w:t>d</w:t>
            </w:r>
            <w:r w:rsidRPr="001775D9">
              <w:rPr>
                <w:rFonts w:eastAsia="Times New Roman"/>
                <w:sz w:val="20"/>
              </w:rPr>
              <w:t xml:space="preserve"> Partial flare is defined as </w:t>
            </w:r>
            <w:r w:rsidRPr="00D55B59">
              <w:rPr>
                <w:rFonts w:eastAsia="Calibri"/>
                <w:sz w:val="20"/>
                <w:rPrChange w:id="1760" w:author="Author">
                  <w:rPr>
                    <w:rFonts w:eastAsia="Calibri"/>
                    <w:sz w:val="20"/>
                    <w:lang w:val="en-US"/>
                  </w:rPr>
                </w:rPrChange>
              </w:rPr>
              <w:t>ASDAS ≥ 1.3 but &lt; 2.1 at 2 consecutive visits.</w:t>
            </w:r>
          </w:p>
          <w:p w14:paraId="241ACD54" w14:textId="77777777" w:rsidR="001778AA" w:rsidRPr="001775D9" w:rsidRDefault="001778AA" w:rsidP="00D47253">
            <w:pPr>
              <w:keepNext/>
              <w:suppressAutoHyphens/>
              <w:spacing w:line="240" w:lineRule="auto"/>
              <w:ind w:left="20"/>
              <w:rPr>
                <w:rFonts w:eastAsia="Times New Roman"/>
              </w:rPr>
            </w:pPr>
            <w:r w:rsidRPr="00D55B59">
              <w:rPr>
                <w:rFonts w:eastAsia="Times New Roman"/>
                <w:sz w:val="20"/>
                <w:rPrChange w:id="1761" w:author="Author">
                  <w:rPr>
                    <w:rFonts w:eastAsia="Times New Roman"/>
                    <w:sz w:val="20"/>
                    <w:lang w:val="en-US"/>
                  </w:rPr>
                </w:rPrChange>
              </w:rPr>
              <w:t>***, ** Statistically significant at p &lt;</w:t>
            </w:r>
            <w:r w:rsidRPr="001775D9">
              <w:rPr>
                <w:rFonts w:eastAsia="Times New Roman"/>
                <w:sz w:val="20"/>
              </w:rPr>
              <w:t> </w:t>
            </w:r>
            <w:r w:rsidRPr="00D55B59">
              <w:rPr>
                <w:rFonts w:eastAsia="Times New Roman"/>
                <w:sz w:val="20"/>
                <w:rPrChange w:id="1762" w:author="Author">
                  <w:rPr>
                    <w:rFonts w:eastAsia="Times New Roman"/>
                    <w:sz w:val="20"/>
                    <w:lang w:val="en-US"/>
                  </w:rPr>
                </w:rPrChange>
              </w:rPr>
              <w:t>0.001 and &lt;</w:t>
            </w:r>
            <w:r w:rsidRPr="001775D9">
              <w:rPr>
                <w:rFonts w:eastAsia="Times New Roman"/>
                <w:sz w:val="20"/>
              </w:rPr>
              <w:t> </w:t>
            </w:r>
            <w:r w:rsidRPr="00D55B59">
              <w:rPr>
                <w:rFonts w:eastAsia="Times New Roman"/>
                <w:sz w:val="20"/>
                <w:rPrChange w:id="1763" w:author="Author">
                  <w:rPr>
                    <w:rFonts w:eastAsia="Times New Roman"/>
                    <w:sz w:val="20"/>
                    <w:lang w:val="en-US"/>
                  </w:rPr>
                </w:rPrChange>
              </w:rPr>
              <w:t>0.01, respectively, for all comparisons between adalimumab and placebo.</w:t>
            </w:r>
          </w:p>
        </w:tc>
      </w:tr>
    </w:tbl>
    <w:p w14:paraId="49A4FB8F" w14:textId="77777777" w:rsidR="001778AA" w:rsidRPr="001775D9" w:rsidRDefault="001778AA" w:rsidP="001778AA">
      <w:pPr>
        <w:tabs>
          <w:tab w:val="clear" w:pos="567"/>
        </w:tabs>
        <w:autoSpaceDE w:val="0"/>
        <w:autoSpaceDN w:val="0"/>
        <w:adjustRightInd w:val="0"/>
        <w:spacing w:line="240" w:lineRule="auto"/>
        <w:rPr>
          <w:szCs w:val="22"/>
        </w:rPr>
      </w:pPr>
    </w:p>
    <w:p w14:paraId="595369F9"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szCs w:val="22"/>
          <w:lang w:eastAsia="en-GB"/>
        </w:rPr>
        <w:t xml:space="preserve">Psoriatic arthritis </w:t>
      </w:r>
    </w:p>
    <w:p w14:paraId="70156B2B"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00BD382D" w14:textId="19012FE0" w:rsidR="001778AA" w:rsidRPr="001775D9" w:rsidRDefault="001778AA" w:rsidP="001778AA">
      <w:pPr>
        <w:tabs>
          <w:tab w:val="clear" w:pos="567"/>
        </w:tabs>
        <w:autoSpaceDE w:val="0"/>
        <w:autoSpaceDN w:val="0"/>
        <w:adjustRightInd w:val="0"/>
        <w:spacing w:line="240" w:lineRule="auto"/>
        <w:rPr>
          <w:szCs w:val="22"/>
          <w:lang w:eastAsia="en-GB"/>
        </w:rPr>
      </w:pPr>
      <w:r w:rsidRPr="001775D9">
        <w:rPr>
          <w:rFonts w:eastAsia="Times New Roman"/>
          <w:color w:val="000000"/>
          <w:szCs w:val="22"/>
        </w:rPr>
        <w:t>Adalimumab</w:t>
      </w:r>
      <w:r w:rsidRPr="001775D9">
        <w:rPr>
          <w:szCs w:val="22"/>
          <w:lang w:eastAsia="en-GB"/>
        </w:rPr>
        <w:t>, 40</w:t>
      </w:r>
      <w:r w:rsidRPr="001775D9">
        <w:rPr>
          <w:szCs w:val="22"/>
        </w:rPr>
        <w:t> </w:t>
      </w:r>
      <w:r w:rsidRPr="001775D9">
        <w:rPr>
          <w:szCs w:val="22"/>
          <w:lang w:eastAsia="en-GB"/>
        </w:rPr>
        <w:t>mg every other week, was studied in patients with moderately to severely active psoriatic arthritis in two placebo-controlled studies, PsA studies I and II. PsA study I with 24</w:t>
      </w:r>
      <w:r w:rsidR="002630DD" w:rsidRPr="001775D9">
        <w:rPr>
          <w:szCs w:val="22"/>
          <w:lang w:eastAsia="en-GB"/>
        </w:rPr>
        <w:t xml:space="preserve"> </w:t>
      </w:r>
      <w:r w:rsidRPr="001775D9">
        <w:rPr>
          <w:szCs w:val="22"/>
          <w:lang w:eastAsia="en-GB"/>
        </w:rPr>
        <w:t>week duration, treated 313 adult patients who had an inadequate response to non-steroidal anti-inflammatory drug therapy and of these, approximately 50% were taking methotrexate. PsA study II with 12-week duration, treated 100 patients who had an inadequate response to DMARD therapy. Upon completion of both studies, 383 patients enrolled in an open-label extension study, in which 40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was administered every other week. </w:t>
      </w:r>
    </w:p>
    <w:p w14:paraId="7620CB0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3197341" w14:textId="19B77A0B" w:rsidR="001778AA" w:rsidRPr="001775D9" w:rsidRDefault="001778AA" w:rsidP="001778AA">
      <w:pPr>
        <w:tabs>
          <w:tab w:val="clear" w:pos="567"/>
        </w:tabs>
        <w:autoSpaceDE w:val="0"/>
        <w:autoSpaceDN w:val="0"/>
        <w:adjustRightInd w:val="0"/>
        <w:spacing w:line="240" w:lineRule="auto"/>
        <w:rPr>
          <w:szCs w:val="22"/>
        </w:rPr>
      </w:pPr>
      <w:r w:rsidRPr="001775D9">
        <w:rPr>
          <w:szCs w:val="22"/>
          <w:lang w:eastAsia="en-GB"/>
        </w:rPr>
        <w:t xml:space="preserve">There is insufficient evidence of the efficacy of </w:t>
      </w:r>
      <w:r w:rsidRPr="001775D9">
        <w:rPr>
          <w:rFonts w:eastAsia="Times New Roman"/>
          <w:color w:val="000000"/>
          <w:szCs w:val="22"/>
        </w:rPr>
        <w:t>adalimumab</w:t>
      </w:r>
      <w:r w:rsidRPr="001775D9">
        <w:rPr>
          <w:szCs w:val="22"/>
          <w:lang w:eastAsia="en-GB"/>
        </w:rPr>
        <w:t xml:space="preserve"> in patients with ankylosing spondylitis</w:t>
      </w:r>
      <w:r w:rsidR="00883498" w:rsidRPr="001775D9">
        <w:rPr>
          <w:szCs w:val="22"/>
          <w:lang w:eastAsia="en-GB"/>
        </w:rPr>
        <w:noBreakHyphen/>
      </w:r>
      <w:r w:rsidRPr="001775D9">
        <w:rPr>
          <w:szCs w:val="22"/>
          <w:lang w:eastAsia="en-GB"/>
        </w:rPr>
        <w:t>like psoriatic arthropathy due to the small number of patients studied.</w:t>
      </w:r>
    </w:p>
    <w:p w14:paraId="62677454" w14:textId="77777777" w:rsidR="001778AA" w:rsidRPr="001775D9" w:rsidRDefault="001778AA" w:rsidP="001778AA">
      <w:pPr>
        <w:tabs>
          <w:tab w:val="clear" w:pos="567"/>
        </w:tabs>
        <w:autoSpaceDE w:val="0"/>
        <w:autoSpaceDN w:val="0"/>
        <w:adjustRightInd w:val="0"/>
        <w:spacing w:line="240" w:lineRule="auto"/>
        <w:rPr>
          <w:szCs w:val="22"/>
        </w:rPr>
      </w:pPr>
    </w:p>
    <w:p w14:paraId="35E6B40D" w14:textId="77777777" w:rsidR="001778AA" w:rsidRPr="001775D9" w:rsidRDefault="001778AA" w:rsidP="001778AA">
      <w:pPr>
        <w:keepNext/>
        <w:keepLines/>
        <w:tabs>
          <w:tab w:val="clear" w:pos="567"/>
        </w:tabs>
        <w:autoSpaceDE w:val="0"/>
        <w:autoSpaceDN w:val="0"/>
        <w:adjustRightInd w:val="0"/>
        <w:spacing w:line="240" w:lineRule="auto"/>
        <w:rPr>
          <w:szCs w:val="22"/>
        </w:rPr>
      </w:pPr>
      <w:r w:rsidRPr="001775D9">
        <w:rPr>
          <w:b/>
          <w:bCs/>
          <w:szCs w:val="22"/>
          <w:lang w:eastAsia="en-GB"/>
        </w:rPr>
        <w:t>Table 15. ACR response in placebo-controlled psoriatic arthritis studies (percent of patients)</w:t>
      </w:r>
    </w:p>
    <w:p w14:paraId="6E962206" w14:textId="77777777" w:rsidR="001778AA" w:rsidRPr="001775D9" w:rsidRDefault="001778AA" w:rsidP="001778AA">
      <w:pPr>
        <w:keepNext/>
        <w:keepLines/>
        <w:tabs>
          <w:tab w:val="clear" w:pos="567"/>
        </w:tabs>
        <w:autoSpaceDE w:val="0"/>
        <w:autoSpaceDN w:val="0"/>
        <w:adjustRightInd w:val="0"/>
        <w:spacing w:line="240" w:lineRule="auto"/>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701"/>
        <w:gridCol w:w="1701"/>
        <w:gridCol w:w="1701"/>
        <w:gridCol w:w="1559"/>
      </w:tblGrid>
      <w:tr w:rsidR="001778AA" w:rsidRPr="00F04F82" w14:paraId="3B5D8E23" w14:textId="77777777" w:rsidTr="00D47253">
        <w:trPr>
          <w:trHeight w:val="293"/>
        </w:trPr>
        <w:tc>
          <w:tcPr>
            <w:tcW w:w="2410" w:type="dxa"/>
          </w:tcPr>
          <w:p w14:paraId="10A42F14" w14:textId="77777777" w:rsidR="001778AA" w:rsidRPr="001775D9" w:rsidRDefault="001778AA" w:rsidP="00D47253">
            <w:pPr>
              <w:keepNext/>
              <w:keepLines/>
              <w:tabs>
                <w:tab w:val="clear" w:pos="567"/>
              </w:tabs>
              <w:autoSpaceDE w:val="0"/>
              <w:autoSpaceDN w:val="0"/>
              <w:adjustRightInd w:val="0"/>
              <w:spacing w:line="240" w:lineRule="auto"/>
              <w:rPr>
                <w:b/>
                <w:bCs/>
                <w:szCs w:val="22"/>
                <w:lang w:eastAsia="en-GB"/>
              </w:rPr>
            </w:pPr>
          </w:p>
        </w:tc>
        <w:tc>
          <w:tcPr>
            <w:tcW w:w="3402" w:type="dxa"/>
            <w:gridSpan w:val="2"/>
          </w:tcPr>
          <w:p w14:paraId="3E71F678" w14:textId="49C9C536" w:rsidR="001778AA" w:rsidRPr="00D55B59" w:rsidRDefault="001F0763" w:rsidP="00D47253">
            <w:pPr>
              <w:pStyle w:val="Default"/>
              <w:keepNext/>
              <w:keepLines/>
              <w:jc w:val="center"/>
              <w:rPr>
                <w:b/>
                <w:color w:val="auto"/>
                <w:sz w:val="22"/>
                <w:szCs w:val="22"/>
                <w:lang w:val="en-GB"/>
                <w:rPrChange w:id="1764" w:author="Author">
                  <w:rPr>
                    <w:b/>
                    <w:color w:val="auto"/>
                    <w:sz w:val="22"/>
                    <w:szCs w:val="22"/>
                  </w:rPr>
                </w:rPrChange>
              </w:rPr>
            </w:pPr>
            <w:r w:rsidRPr="00D55B59">
              <w:rPr>
                <w:b/>
                <w:sz w:val="22"/>
                <w:szCs w:val="22"/>
                <w:lang w:val="en-GB" w:eastAsia="en-GB"/>
                <w:rPrChange w:id="1765" w:author="Author">
                  <w:rPr>
                    <w:b/>
                    <w:sz w:val="22"/>
                    <w:szCs w:val="22"/>
                    <w:lang w:eastAsia="en-GB"/>
                  </w:rPr>
                </w:rPrChange>
              </w:rPr>
              <w:t>PsA study I</w:t>
            </w:r>
          </w:p>
        </w:tc>
        <w:tc>
          <w:tcPr>
            <w:tcW w:w="3260" w:type="dxa"/>
            <w:gridSpan w:val="2"/>
          </w:tcPr>
          <w:p w14:paraId="35092858" w14:textId="77777777" w:rsidR="001778AA" w:rsidRPr="00D55B59" w:rsidRDefault="001778AA" w:rsidP="00D47253">
            <w:pPr>
              <w:pStyle w:val="Default"/>
              <w:keepNext/>
              <w:keepLines/>
              <w:jc w:val="center"/>
              <w:rPr>
                <w:b/>
                <w:color w:val="auto"/>
                <w:sz w:val="22"/>
                <w:szCs w:val="22"/>
                <w:lang w:val="en-GB"/>
                <w:rPrChange w:id="1766" w:author="Author">
                  <w:rPr>
                    <w:b/>
                    <w:color w:val="auto"/>
                    <w:sz w:val="22"/>
                    <w:szCs w:val="22"/>
                  </w:rPr>
                </w:rPrChange>
              </w:rPr>
            </w:pPr>
            <w:r w:rsidRPr="00D55B59">
              <w:rPr>
                <w:b/>
                <w:color w:val="auto"/>
                <w:sz w:val="22"/>
                <w:szCs w:val="22"/>
                <w:lang w:val="en-GB" w:eastAsia="en-GB"/>
                <w:rPrChange w:id="1767" w:author="Author">
                  <w:rPr>
                    <w:b/>
                    <w:color w:val="auto"/>
                    <w:sz w:val="22"/>
                    <w:szCs w:val="22"/>
                    <w:lang w:eastAsia="en-GB"/>
                  </w:rPr>
                </w:rPrChange>
              </w:rPr>
              <w:t>PsA study II</w:t>
            </w:r>
          </w:p>
        </w:tc>
      </w:tr>
      <w:tr w:rsidR="001778AA" w:rsidRPr="00F04F82" w14:paraId="50E547E3" w14:textId="77777777" w:rsidTr="00D47253">
        <w:trPr>
          <w:trHeight w:val="293"/>
        </w:trPr>
        <w:tc>
          <w:tcPr>
            <w:tcW w:w="2410" w:type="dxa"/>
          </w:tcPr>
          <w:p w14:paraId="0F22AA36"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Response </w:t>
            </w:r>
          </w:p>
        </w:tc>
        <w:tc>
          <w:tcPr>
            <w:tcW w:w="1701" w:type="dxa"/>
          </w:tcPr>
          <w:p w14:paraId="3FE896C2" w14:textId="77777777" w:rsidR="001778AA" w:rsidRPr="00D55B59" w:rsidRDefault="001778AA" w:rsidP="00D47253">
            <w:pPr>
              <w:pStyle w:val="Default"/>
              <w:keepNext/>
              <w:keepLines/>
              <w:jc w:val="center"/>
              <w:rPr>
                <w:b/>
                <w:color w:val="auto"/>
                <w:sz w:val="22"/>
                <w:szCs w:val="22"/>
                <w:lang w:val="en-GB"/>
                <w:rPrChange w:id="1768" w:author="Author">
                  <w:rPr>
                    <w:b/>
                    <w:color w:val="auto"/>
                    <w:sz w:val="22"/>
                    <w:szCs w:val="22"/>
                  </w:rPr>
                </w:rPrChange>
              </w:rPr>
            </w:pPr>
            <w:r w:rsidRPr="00D55B59">
              <w:rPr>
                <w:b/>
                <w:color w:val="auto"/>
                <w:sz w:val="22"/>
                <w:szCs w:val="22"/>
                <w:lang w:val="en-GB"/>
                <w:rPrChange w:id="1769" w:author="Author">
                  <w:rPr>
                    <w:b/>
                    <w:color w:val="auto"/>
                    <w:sz w:val="22"/>
                    <w:szCs w:val="22"/>
                  </w:rPr>
                </w:rPrChange>
              </w:rPr>
              <w:t>Placebo</w:t>
            </w:r>
          </w:p>
          <w:p w14:paraId="58EC72B5" w14:textId="77777777" w:rsidR="001778AA" w:rsidRPr="00D55B59" w:rsidRDefault="001778AA" w:rsidP="00D47253">
            <w:pPr>
              <w:pStyle w:val="Default"/>
              <w:keepNext/>
              <w:keepLines/>
              <w:jc w:val="center"/>
              <w:rPr>
                <w:b/>
                <w:color w:val="auto"/>
                <w:sz w:val="22"/>
                <w:szCs w:val="22"/>
                <w:lang w:val="en-GB"/>
                <w:rPrChange w:id="1770" w:author="Author">
                  <w:rPr>
                    <w:b/>
                    <w:color w:val="auto"/>
                    <w:sz w:val="22"/>
                    <w:szCs w:val="22"/>
                  </w:rPr>
                </w:rPrChange>
              </w:rPr>
            </w:pPr>
            <w:r w:rsidRPr="00D55B59">
              <w:rPr>
                <w:b/>
                <w:color w:val="auto"/>
                <w:sz w:val="22"/>
                <w:szCs w:val="22"/>
                <w:lang w:val="en-GB"/>
                <w:rPrChange w:id="1771" w:author="Author">
                  <w:rPr>
                    <w:b/>
                    <w:color w:val="auto"/>
                    <w:sz w:val="22"/>
                    <w:szCs w:val="22"/>
                  </w:rPr>
                </w:rPrChange>
              </w:rPr>
              <w:t>N = 162</w:t>
            </w:r>
          </w:p>
        </w:tc>
        <w:tc>
          <w:tcPr>
            <w:tcW w:w="1701" w:type="dxa"/>
          </w:tcPr>
          <w:p w14:paraId="01F9689E" w14:textId="77777777" w:rsidR="001778AA" w:rsidRPr="00D55B59" w:rsidRDefault="001778AA" w:rsidP="00D47253">
            <w:pPr>
              <w:pStyle w:val="Default"/>
              <w:keepNext/>
              <w:keepLines/>
              <w:jc w:val="center"/>
              <w:rPr>
                <w:b/>
                <w:color w:val="auto"/>
                <w:sz w:val="22"/>
                <w:szCs w:val="22"/>
                <w:lang w:val="en-GB"/>
                <w:rPrChange w:id="1772" w:author="Author">
                  <w:rPr>
                    <w:b/>
                    <w:color w:val="auto"/>
                    <w:sz w:val="22"/>
                    <w:szCs w:val="22"/>
                  </w:rPr>
                </w:rPrChange>
              </w:rPr>
            </w:pPr>
            <w:r w:rsidRPr="00D55B59">
              <w:rPr>
                <w:rFonts w:eastAsia="Times New Roman"/>
                <w:b/>
                <w:sz w:val="22"/>
                <w:szCs w:val="22"/>
                <w:lang w:val="en-GB"/>
                <w:rPrChange w:id="1773" w:author="Author">
                  <w:rPr>
                    <w:rFonts w:eastAsia="Times New Roman"/>
                    <w:b/>
                    <w:sz w:val="22"/>
                    <w:szCs w:val="22"/>
                  </w:rPr>
                </w:rPrChange>
              </w:rPr>
              <w:t>Adalimumab</w:t>
            </w:r>
            <w:r w:rsidRPr="00D55B59">
              <w:rPr>
                <w:b/>
                <w:szCs w:val="22"/>
                <w:lang w:val="en-GB" w:eastAsia="en-GB"/>
                <w:rPrChange w:id="1774" w:author="Author">
                  <w:rPr>
                    <w:b/>
                    <w:szCs w:val="22"/>
                    <w:lang w:eastAsia="en-GB"/>
                  </w:rPr>
                </w:rPrChange>
              </w:rPr>
              <w:t xml:space="preserve"> </w:t>
            </w:r>
            <w:r w:rsidRPr="00D55B59">
              <w:rPr>
                <w:b/>
                <w:color w:val="auto"/>
                <w:sz w:val="22"/>
                <w:szCs w:val="22"/>
                <w:lang w:val="en-GB"/>
                <w:rPrChange w:id="1775" w:author="Author">
                  <w:rPr>
                    <w:b/>
                    <w:color w:val="auto"/>
                    <w:sz w:val="22"/>
                    <w:szCs w:val="22"/>
                  </w:rPr>
                </w:rPrChange>
              </w:rPr>
              <w:t>N = 151</w:t>
            </w:r>
          </w:p>
        </w:tc>
        <w:tc>
          <w:tcPr>
            <w:tcW w:w="1701" w:type="dxa"/>
          </w:tcPr>
          <w:p w14:paraId="582F2739" w14:textId="77777777" w:rsidR="001778AA" w:rsidRPr="00D55B59" w:rsidRDefault="001778AA" w:rsidP="00D47253">
            <w:pPr>
              <w:pStyle w:val="Default"/>
              <w:keepNext/>
              <w:keepLines/>
              <w:jc w:val="center"/>
              <w:rPr>
                <w:b/>
                <w:color w:val="auto"/>
                <w:sz w:val="22"/>
                <w:szCs w:val="22"/>
                <w:lang w:val="en-GB"/>
                <w:rPrChange w:id="1776" w:author="Author">
                  <w:rPr>
                    <w:b/>
                    <w:color w:val="auto"/>
                    <w:sz w:val="22"/>
                    <w:szCs w:val="22"/>
                  </w:rPr>
                </w:rPrChange>
              </w:rPr>
            </w:pPr>
            <w:r w:rsidRPr="00D55B59">
              <w:rPr>
                <w:b/>
                <w:color w:val="auto"/>
                <w:sz w:val="22"/>
                <w:szCs w:val="22"/>
                <w:lang w:val="en-GB"/>
                <w:rPrChange w:id="1777" w:author="Author">
                  <w:rPr>
                    <w:b/>
                    <w:color w:val="auto"/>
                    <w:sz w:val="22"/>
                    <w:szCs w:val="22"/>
                  </w:rPr>
                </w:rPrChange>
              </w:rPr>
              <w:t>Placebo</w:t>
            </w:r>
          </w:p>
          <w:p w14:paraId="2400ADE5" w14:textId="77777777" w:rsidR="001778AA" w:rsidRPr="00D55B59" w:rsidRDefault="001778AA" w:rsidP="00D47253">
            <w:pPr>
              <w:pStyle w:val="Default"/>
              <w:keepNext/>
              <w:keepLines/>
              <w:jc w:val="center"/>
              <w:rPr>
                <w:b/>
                <w:color w:val="auto"/>
                <w:sz w:val="22"/>
                <w:szCs w:val="22"/>
                <w:lang w:val="en-GB"/>
                <w:rPrChange w:id="1778" w:author="Author">
                  <w:rPr>
                    <w:b/>
                    <w:color w:val="auto"/>
                    <w:sz w:val="22"/>
                    <w:szCs w:val="22"/>
                  </w:rPr>
                </w:rPrChange>
              </w:rPr>
            </w:pPr>
            <w:r w:rsidRPr="00D55B59">
              <w:rPr>
                <w:b/>
                <w:color w:val="auto"/>
                <w:sz w:val="22"/>
                <w:szCs w:val="22"/>
                <w:lang w:val="en-GB"/>
                <w:rPrChange w:id="1779" w:author="Author">
                  <w:rPr>
                    <w:b/>
                    <w:color w:val="auto"/>
                    <w:sz w:val="22"/>
                    <w:szCs w:val="22"/>
                  </w:rPr>
                </w:rPrChange>
              </w:rPr>
              <w:t>N = 49</w:t>
            </w:r>
          </w:p>
        </w:tc>
        <w:tc>
          <w:tcPr>
            <w:tcW w:w="1559" w:type="dxa"/>
          </w:tcPr>
          <w:p w14:paraId="491C0228" w14:textId="77777777" w:rsidR="001778AA" w:rsidRPr="00D55B59" w:rsidRDefault="001778AA" w:rsidP="00D47253">
            <w:pPr>
              <w:pStyle w:val="Default"/>
              <w:keepNext/>
              <w:keepLines/>
              <w:jc w:val="center"/>
              <w:rPr>
                <w:rFonts w:eastAsia="Times New Roman"/>
                <w:b/>
                <w:sz w:val="22"/>
                <w:szCs w:val="22"/>
                <w:lang w:val="en-GB"/>
                <w:rPrChange w:id="1780" w:author="Author">
                  <w:rPr>
                    <w:rFonts w:eastAsia="Times New Roman"/>
                    <w:b/>
                    <w:sz w:val="22"/>
                    <w:szCs w:val="22"/>
                  </w:rPr>
                </w:rPrChange>
              </w:rPr>
            </w:pPr>
            <w:r w:rsidRPr="00D55B59">
              <w:rPr>
                <w:rFonts w:eastAsia="Times New Roman"/>
                <w:b/>
                <w:sz w:val="22"/>
                <w:szCs w:val="22"/>
                <w:lang w:val="en-GB"/>
                <w:rPrChange w:id="1781" w:author="Author">
                  <w:rPr>
                    <w:rFonts w:eastAsia="Times New Roman"/>
                    <w:b/>
                    <w:sz w:val="22"/>
                    <w:szCs w:val="22"/>
                  </w:rPr>
                </w:rPrChange>
              </w:rPr>
              <w:t>Adalimumab</w:t>
            </w:r>
          </w:p>
          <w:p w14:paraId="528B9BCF" w14:textId="77777777" w:rsidR="001778AA" w:rsidRPr="00D55B59" w:rsidRDefault="001778AA" w:rsidP="00D47253">
            <w:pPr>
              <w:pStyle w:val="Default"/>
              <w:keepNext/>
              <w:keepLines/>
              <w:jc w:val="center"/>
              <w:rPr>
                <w:b/>
                <w:color w:val="auto"/>
                <w:sz w:val="22"/>
                <w:szCs w:val="22"/>
                <w:lang w:val="en-GB"/>
                <w:rPrChange w:id="1782" w:author="Author">
                  <w:rPr>
                    <w:b/>
                    <w:color w:val="auto"/>
                    <w:sz w:val="22"/>
                    <w:szCs w:val="22"/>
                  </w:rPr>
                </w:rPrChange>
              </w:rPr>
            </w:pPr>
            <w:r w:rsidRPr="00D55B59">
              <w:rPr>
                <w:b/>
                <w:color w:val="auto"/>
                <w:sz w:val="22"/>
                <w:szCs w:val="22"/>
                <w:lang w:val="en-GB"/>
                <w:rPrChange w:id="1783" w:author="Author">
                  <w:rPr>
                    <w:b/>
                    <w:color w:val="auto"/>
                    <w:sz w:val="22"/>
                    <w:szCs w:val="22"/>
                  </w:rPr>
                </w:rPrChange>
              </w:rPr>
              <w:t>N = 51</w:t>
            </w:r>
          </w:p>
        </w:tc>
      </w:tr>
      <w:tr w:rsidR="001778AA" w:rsidRPr="00F04F82" w14:paraId="09C59C83" w14:textId="77777777" w:rsidTr="00D47253">
        <w:trPr>
          <w:trHeight w:val="147"/>
        </w:trPr>
        <w:tc>
          <w:tcPr>
            <w:tcW w:w="2410" w:type="dxa"/>
          </w:tcPr>
          <w:p w14:paraId="0703BAB1"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ACR 20 </w:t>
            </w:r>
          </w:p>
        </w:tc>
        <w:tc>
          <w:tcPr>
            <w:tcW w:w="1701" w:type="dxa"/>
          </w:tcPr>
          <w:p w14:paraId="351DC901"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p>
        </w:tc>
        <w:tc>
          <w:tcPr>
            <w:tcW w:w="1701" w:type="dxa"/>
          </w:tcPr>
          <w:p w14:paraId="52B507C0"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p>
        </w:tc>
        <w:tc>
          <w:tcPr>
            <w:tcW w:w="1701" w:type="dxa"/>
          </w:tcPr>
          <w:p w14:paraId="05F7292B"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p>
        </w:tc>
        <w:tc>
          <w:tcPr>
            <w:tcW w:w="1559" w:type="dxa"/>
          </w:tcPr>
          <w:p w14:paraId="75F316FB"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p>
        </w:tc>
      </w:tr>
      <w:tr w:rsidR="001778AA" w:rsidRPr="00F04F82" w14:paraId="1A6B0D87" w14:textId="77777777" w:rsidTr="00D47253">
        <w:trPr>
          <w:trHeight w:val="147"/>
        </w:trPr>
        <w:tc>
          <w:tcPr>
            <w:tcW w:w="2410" w:type="dxa"/>
          </w:tcPr>
          <w:p w14:paraId="7D1214D8"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Week 12 </w:t>
            </w:r>
          </w:p>
        </w:tc>
        <w:tc>
          <w:tcPr>
            <w:tcW w:w="1701" w:type="dxa"/>
          </w:tcPr>
          <w:p w14:paraId="39B698B5"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14%</w:t>
            </w:r>
          </w:p>
        </w:tc>
        <w:tc>
          <w:tcPr>
            <w:tcW w:w="1701" w:type="dxa"/>
          </w:tcPr>
          <w:p w14:paraId="2D0D2382"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58%***</w:t>
            </w:r>
          </w:p>
        </w:tc>
        <w:tc>
          <w:tcPr>
            <w:tcW w:w="1701" w:type="dxa"/>
          </w:tcPr>
          <w:p w14:paraId="6C17FE34"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16%</w:t>
            </w:r>
          </w:p>
        </w:tc>
        <w:tc>
          <w:tcPr>
            <w:tcW w:w="1559" w:type="dxa"/>
          </w:tcPr>
          <w:p w14:paraId="6F7FF1C5"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39%*</w:t>
            </w:r>
          </w:p>
        </w:tc>
      </w:tr>
      <w:tr w:rsidR="001778AA" w:rsidRPr="00F04F82" w14:paraId="1C9AA595" w14:textId="77777777" w:rsidTr="00D47253">
        <w:trPr>
          <w:trHeight w:val="147"/>
        </w:trPr>
        <w:tc>
          <w:tcPr>
            <w:tcW w:w="2410" w:type="dxa"/>
          </w:tcPr>
          <w:p w14:paraId="17F2AA5E"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Week 24 </w:t>
            </w:r>
          </w:p>
        </w:tc>
        <w:tc>
          <w:tcPr>
            <w:tcW w:w="1701" w:type="dxa"/>
          </w:tcPr>
          <w:p w14:paraId="537EA613"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15%</w:t>
            </w:r>
          </w:p>
        </w:tc>
        <w:tc>
          <w:tcPr>
            <w:tcW w:w="1701" w:type="dxa"/>
          </w:tcPr>
          <w:p w14:paraId="3CB5FD25"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57%***</w:t>
            </w:r>
          </w:p>
        </w:tc>
        <w:tc>
          <w:tcPr>
            <w:tcW w:w="1701" w:type="dxa"/>
          </w:tcPr>
          <w:p w14:paraId="2CBD50E8"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N/A</w:t>
            </w:r>
          </w:p>
        </w:tc>
        <w:tc>
          <w:tcPr>
            <w:tcW w:w="1559" w:type="dxa"/>
          </w:tcPr>
          <w:p w14:paraId="75D58D4C"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N/A</w:t>
            </w:r>
          </w:p>
        </w:tc>
      </w:tr>
      <w:tr w:rsidR="001778AA" w:rsidRPr="00F04F82" w14:paraId="1579CB0A" w14:textId="77777777" w:rsidTr="00D47253">
        <w:trPr>
          <w:trHeight w:val="147"/>
        </w:trPr>
        <w:tc>
          <w:tcPr>
            <w:tcW w:w="2410" w:type="dxa"/>
          </w:tcPr>
          <w:p w14:paraId="73CEFA1A"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ACR 50 </w:t>
            </w:r>
          </w:p>
        </w:tc>
        <w:tc>
          <w:tcPr>
            <w:tcW w:w="1701" w:type="dxa"/>
          </w:tcPr>
          <w:p w14:paraId="665DA164"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3105738A"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392E326D"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c>
          <w:tcPr>
            <w:tcW w:w="1559" w:type="dxa"/>
          </w:tcPr>
          <w:p w14:paraId="3C51496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r>
      <w:tr w:rsidR="001778AA" w:rsidRPr="00F04F82" w14:paraId="56B9E632" w14:textId="77777777" w:rsidTr="00D47253">
        <w:trPr>
          <w:trHeight w:val="147"/>
        </w:trPr>
        <w:tc>
          <w:tcPr>
            <w:tcW w:w="2410" w:type="dxa"/>
          </w:tcPr>
          <w:p w14:paraId="7C6EF135"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12 </w:t>
            </w:r>
          </w:p>
        </w:tc>
        <w:tc>
          <w:tcPr>
            <w:tcW w:w="1701" w:type="dxa"/>
          </w:tcPr>
          <w:p w14:paraId="47286F65"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w:t>
            </w:r>
          </w:p>
        </w:tc>
        <w:tc>
          <w:tcPr>
            <w:tcW w:w="1701" w:type="dxa"/>
          </w:tcPr>
          <w:p w14:paraId="75465A51"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36%***</w:t>
            </w:r>
          </w:p>
        </w:tc>
        <w:tc>
          <w:tcPr>
            <w:tcW w:w="1701" w:type="dxa"/>
          </w:tcPr>
          <w:p w14:paraId="2703D375"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w:t>
            </w:r>
          </w:p>
        </w:tc>
        <w:tc>
          <w:tcPr>
            <w:tcW w:w="1559" w:type="dxa"/>
          </w:tcPr>
          <w:p w14:paraId="58D3F70F"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25%***</w:t>
            </w:r>
          </w:p>
        </w:tc>
      </w:tr>
      <w:tr w:rsidR="001778AA" w:rsidRPr="00F04F82" w14:paraId="4B464863" w14:textId="77777777" w:rsidTr="00D47253">
        <w:trPr>
          <w:trHeight w:val="147"/>
        </w:trPr>
        <w:tc>
          <w:tcPr>
            <w:tcW w:w="2410" w:type="dxa"/>
          </w:tcPr>
          <w:p w14:paraId="34C0EDA6"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24 </w:t>
            </w:r>
          </w:p>
        </w:tc>
        <w:tc>
          <w:tcPr>
            <w:tcW w:w="1701" w:type="dxa"/>
          </w:tcPr>
          <w:p w14:paraId="6869B8D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w:t>
            </w:r>
          </w:p>
        </w:tc>
        <w:tc>
          <w:tcPr>
            <w:tcW w:w="1701" w:type="dxa"/>
          </w:tcPr>
          <w:p w14:paraId="3AE51182"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39%***</w:t>
            </w:r>
          </w:p>
        </w:tc>
        <w:tc>
          <w:tcPr>
            <w:tcW w:w="1701" w:type="dxa"/>
          </w:tcPr>
          <w:p w14:paraId="00DD764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N/A</w:t>
            </w:r>
          </w:p>
        </w:tc>
        <w:tc>
          <w:tcPr>
            <w:tcW w:w="1559" w:type="dxa"/>
          </w:tcPr>
          <w:p w14:paraId="4B104C2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N/A</w:t>
            </w:r>
          </w:p>
        </w:tc>
      </w:tr>
      <w:tr w:rsidR="001778AA" w:rsidRPr="00F04F82" w14:paraId="7A25F78A" w14:textId="77777777" w:rsidTr="00D47253">
        <w:trPr>
          <w:trHeight w:val="147"/>
        </w:trPr>
        <w:tc>
          <w:tcPr>
            <w:tcW w:w="2410" w:type="dxa"/>
          </w:tcPr>
          <w:p w14:paraId="6253E98F"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ACR 70 </w:t>
            </w:r>
          </w:p>
        </w:tc>
        <w:tc>
          <w:tcPr>
            <w:tcW w:w="1701" w:type="dxa"/>
          </w:tcPr>
          <w:p w14:paraId="48340CDB"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0FDE1BB5"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c>
          <w:tcPr>
            <w:tcW w:w="1701" w:type="dxa"/>
          </w:tcPr>
          <w:p w14:paraId="56D9A2A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c>
          <w:tcPr>
            <w:tcW w:w="1559" w:type="dxa"/>
          </w:tcPr>
          <w:p w14:paraId="7642C254"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r>
      <w:tr w:rsidR="001778AA" w:rsidRPr="00F04F82" w14:paraId="1A85F077" w14:textId="77777777" w:rsidTr="00D47253">
        <w:trPr>
          <w:trHeight w:val="147"/>
        </w:trPr>
        <w:tc>
          <w:tcPr>
            <w:tcW w:w="2410" w:type="dxa"/>
          </w:tcPr>
          <w:p w14:paraId="1D96600C"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12 </w:t>
            </w:r>
          </w:p>
        </w:tc>
        <w:tc>
          <w:tcPr>
            <w:tcW w:w="1701" w:type="dxa"/>
          </w:tcPr>
          <w:p w14:paraId="2CEF6A0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w:t>
            </w:r>
          </w:p>
        </w:tc>
        <w:tc>
          <w:tcPr>
            <w:tcW w:w="1701" w:type="dxa"/>
          </w:tcPr>
          <w:p w14:paraId="77C354D3"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20%***</w:t>
            </w:r>
          </w:p>
        </w:tc>
        <w:tc>
          <w:tcPr>
            <w:tcW w:w="1701" w:type="dxa"/>
          </w:tcPr>
          <w:p w14:paraId="1B9A0B08"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w:t>
            </w:r>
          </w:p>
        </w:tc>
        <w:tc>
          <w:tcPr>
            <w:tcW w:w="1559" w:type="dxa"/>
          </w:tcPr>
          <w:p w14:paraId="7FA5E66D"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14%*</w:t>
            </w:r>
          </w:p>
        </w:tc>
      </w:tr>
      <w:tr w:rsidR="001778AA" w:rsidRPr="00F04F82" w14:paraId="0230BFC2" w14:textId="77777777" w:rsidTr="00D47253">
        <w:trPr>
          <w:trHeight w:val="147"/>
        </w:trPr>
        <w:tc>
          <w:tcPr>
            <w:tcW w:w="2410" w:type="dxa"/>
          </w:tcPr>
          <w:p w14:paraId="1F66CB4A"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24 </w:t>
            </w:r>
          </w:p>
        </w:tc>
        <w:tc>
          <w:tcPr>
            <w:tcW w:w="1701" w:type="dxa"/>
          </w:tcPr>
          <w:p w14:paraId="4591A95A"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1%</w:t>
            </w:r>
          </w:p>
        </w:tc>
        <w:tc>
          <w:tcPr>
            <w:tcW w:w="1701" w:type="dxa"/>
          </w:tcPr>
          <w:p w14:paraId="001AC8E0"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23%***</w:t>
            </w:r>
          </w:p>
        </w:tc>
        <w:tc>
          <w:tcPr>
            <w:tcW w:w="1701" w:type="dxa"/>
          </w:tcPr>
          <w:p w14:paraId="1E98F16C"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N/A</w:t>
            </w:r>
          </w:p>
        </w:tc>
        <w:tc>
          <w:tcPr>
            <w:tcW w:w="1559" w:type="dxa"/>
          </w:tcPr>
          <w:p w14:paraId="6C7290FA"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N/A</w:t>
            </w:r>
          </w:p>
        </w:tc>
      </w:tr>
    </w:tbl>
    <w:p w14:paraId="23392F8C" w14:textId="77777777" w:rsidR="001778AA" w:rsidRPr="001775D9" w:rsidRDefault="001778AA" w:rsidP="001778AA">
      <w:pPr>
        <w:keepNext/>
        <w:keepLines/>
        <w:tabs>
          <w:tab w:val="clear" w:pos="567"/>
        </w:tabs>
        <w:autoSpaceDE w:val="0"/>
        <w:autoSpaceDN w:val="0"/>
        <w:adjustRightInd w:val="0"/>
        <w:spacing w:line="240" w:lineRule="auto"/>
        <w:rPr>
          <w:sz w:val="20"/>
          <w:lang w:eastAsia="en-GB"/>
        </w:rPr>
      </w:pPr>
      <w:r w:rsidRPr="001775D9">
        <w:rPr>
          <w:color w:val="000000"/>
          <w:sz w:val="20"/>
          <w:lang w:eastAsia="en-GB"/>
        </w:rPr>
        <w:t>*** p</w:t>
      </w:r>
      <w:r w:rsidRPr="001775D9">
        <w:rPr>
          <w:sz w:val="20"/>
        </w:rPr>
        <w:t> </w:t>
      </w:r>
      <w:r w:rsidRPr="001775D9">
        <w:rPr>
          <w:color w:val="000000"/>
          <w:sz w:val="20"/>
          <w:lang w:eastAsia="en-GB"/>
        </w:rPr>
        <w:t>&lt;</w:t>
      </w:r>
      <w:r w:rsidRPr="001775D9">
        <w:rPr>
          <w:sz w:val="20"/>
        </w:rPr>
        <w:t> </w:t>
      </w:r>
      <w:r w:rsidRPr="001775D9">
        <w:rPr>
          <w:color w:val="000000"/>
          <w:sz w:val="20"/>
          <w:lang w:eastAsia="en-GB"/>
        </w:rPr>
        <w:t xml:space="preserve">0.001 for all comparisons </w:t>
      </w:r>
      <w:r w:rsidRPr="001775D9">
        <w:rPr>
          <w:sz w:val="20"/>
          <w:lang w:eastAsia="en-GB"/>
        </w:rPr>
        <w:t xml:space="preserve">between </w:t>
      </w:r>
      <w:r w:rsidRPr="001775D9">
        <w:rPr>
          <w:rFonts w:eastAsia="Times New Roman"/>
          <w:color w:val="000000"/>
          <w:sz w:val="20"/>
        </w:rPr>
        <w:t>adalimumab</w:t>
      </w:r>
      <w:r w:rsidRPr="001775D9">
        <w:rPr>
          <w:sz w:val="20"/>
          <w:lang w:eastAsia="en-GB"/>
        </w:rPr>
        <w:t xml:space="preserve"> and placebo </w:t>
      </w:r>
    </w:p>
    <w:p w14:paraId="63E1DEEF"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lang w:eastAsia="en-GB"/>
        </w:rPr>
        <w:t>* p</w:t>
      </w:r>
      <w:r w:rsidRPr="001775D9">
        <w:rPr>
          <w:sz w:val="20"/>
        </w:rPr>
        <w:t> </w:t>
      </w:r>
      <w:r w:rsidRPr="001775D9">
        <w:rPr>
          <w:sz w:val="20"/>
          <w:lang w:eastAsia="en-GB"/>
        </w:rPr>
        <w:t>&lt;</w:t>
      </w:r>
      <w:r w:rsidRPr="001775D9">
        <w:rPr>
          <w:sz w:val="20"/>
        </w:rPr>
        <w:t> </w:t>
      </w:r>
      <w:r w:rsidRPr="001775D9">
        <w:rPr>
          <w:sz w:val="20"/>
          <w:lang w:eastAsia="en-GB"/>
        </w:rPr>
        <w:t xml:space="preserve">0.05 for all comparisons between </w:t>
      </w:r>
      <w:r w:rsidRPr="001775D9">
        <w:rPr>
          <w:rFonts w:eastAsia="Times New Roman"/>
          <w:color w:val="000000"/>
          <w:sz w:val="20"/>
        </w:rPr>
        <w:t>adalimumab</w:t>
      </w:r>
      <w:r w:rsidRPr="001775D9">
        <w:rPr>
          <w:sz w:val="20"/>
          <w:lang w:eastAsia="en-GB"/>
        </w:rPr>
        <w:t xml:space="preserve"> and placebo </w:t>
      </w:r>
    </w:p>
    <w:p w14:paraId="6B3255D5" w14:textId="77777777" w:rsidR="001778AA" w:rsidRPr="001775D9" w:rsidRDefault="001778AA" w:rsidP="001778AA">
      <w:pPr>
        <w:tabs>
          <w:tab w:val="clear" w:pos="567"/>
        </w:tabs>
        <w:autoSpaceDE w:val="0"/>
        <w:autoSpaceDN w:val="0"/>
        <w:adjustRightInd w:val="0"/>
        <w:spacing w:line="240" w:lineRule="auto"/>
        <w:rPr>
          <w:sz w:val="20"/>
        </w:rPr>
      </w:pPr>
      <w:r w:rsidRPr="001775D9">
        <w:rPr>
          <w:sz w:val="20"/>
          <w:lang w:eastAsia="en-GB"/>
        </w:rPr>
        <w:t xml:space="preserve">N/A not applicable </w:t>
      </w:r>
    </w:p>
    <w:p w14:paraId="0513B283" w14:textId="77777777" w:rsidR="001778AA" w:rsidRPr="001775D9" w:rsidRDefault="001778AA" w:rsidP="001778AA">
      <w:pPr>
        <w:tabs>
          <w:tab w:val="clear" w:pos="567"/>
        </w:tabs>
        <w:autoSpaceDE w:val="0"/>
        <w:autoSpaceDN w:val="0"/>
        <w:adjustRightInd w:val="0"/>
        <w:spacing w:line="240" w:lineRule="auto"/>
        <w:rPr>
          <w:szCs w:val="22"/>
        </w:rPr>
      </w:pPr>
    </w:p>
    <w:p w14:paraId="5FB3EEE1"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ACR responses in PsA study I were similar with and without concomitant methotrexate therapy. ACR responses were maintained in the open-label extension study for up to 136 weeks. </w:t>
      </w:r>
    </w:p>
    <w:p w14:paraId="14E01CC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4BD05D6"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Radiographic changes were assessed in the psoriatic arthritis studies. Radiographs of hands, wrists, and feet were obtained at baseline and week 24 during the double-blind period when patients were on </w:t>
      </w:r>
      <w:r w:rsidRPr="001775D9">
        <w:rPr>
          <w:rFonts w:eastAsia="Times New Roman"/>
          <w:color w:val="000000"/>
          <w:szCs w:val="22"/>
        </w:rPr>
        <w:t>adalimumab</w:t>
      </w:r>
      <w:r w:rsidRPr="001775D9">
        <w:rPr>
          <w:szCs w:val="22"/>
          <w:lang w:eastAsia="en-GB"/>
        </w:rPr>
        <w:t xml:space="preserve"> or placebo and at week 48 when all patients were on open-label </w:t>
      </w:r>
      <w:r w:rsidRPr="001775D9">
        <w:rPr>
          <w:rFonts w:eastAsia="Times New Roman"/>
          <w:color w:val="000000"/>
          <w:szCs w:val="22"/>
        </w:rPr>
        <w:t>adalimumab</w:t>
      </w:r>
      <w:r w:rsidRPr="001775D9">
        <w:rPr>
          <w:szCs w:val="22"/>
          <w:lang w:eastAsia="en-GB"/>
        </w:rPr>
        <w:t xml:space="preserve">. A modified Total Sharp Score (mTSS), which included distal interphalangeal joints (i.e. not identical to the TSS used for rheumatoid arthritis), was used. </w:t>
      </w:r>
    </w:p>
    <w:p w14:paraId="1295D32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8D1AAE0" w14:textId="77777777" w:rsidR="001778AA" w:rsidRPr="001775D9" w:rsidRDefault="001778AA" w:rsidP="001778AA">
      <w:pPr>
        <w:tabs>
          <w:tab w:val="clear" w:pos="567"/>
        </w:tabs>
        <w:autoSpaceDE w:val="0"/>
        <w:autoSpaceDN w:val="0"/>
        <w:adjustRightInd w:val="0"/>
        <w:spacing w:line="240" w:lineRule="auto"/>
        <w:rPr>
          <w:szCs w:val="22"/>
        </w:rPr>
      </w:pPr>
      <w:r w:rsidRPr="001775D9">
        <w:rPr>
          <w:rFonts w:eastAsia="Times New Roman"/>
          <w:color w:val="000000"/>
          <w:szCs w:val="22"/>
        </w:rPr>
        <w:t>Adalimumab</w:t>
      </w:r>
      <w:r w:rsidRPr="001775D9">
        <w:rPr>
          <w:szCs w:val="22"/>
          <w:lang w:eastAsia="en-GB"/>
        </w:rPr>
        <w:t xml:space="preserve"> treatment reduced the rate of progression of peripheral joint damage compared with placebo treatment as measured by change from baseline in mTSS (mean ± SD) 0.8 ± 2.5 in the placebo group (at week 24) compared with 0.0 ± 1.9; (p</w:t>
      </w:r>
      <w:r w:rsidRPr="001775D9">
        <w:rPr>
          <w:szCs w:val="22"/>
        </w:rPr>
        <w:t> </w:t>
      </w:r>
      <w:r w:rsidRPr="001775D9">
        <w:rPr>
          <w:szCs w:val="22"/>
          <w:lang w:eastAsia="en-GB"/>
        </w:rPr>
        <w:t>&lt;</w:t>
      </w:r>
      <w:r w:rsidRPr="001775D9">
        <w:rPr>
          <w:szCs w:val="22"/>
        </w:rPr>
        <w:t> </w:t>
      </w:r>
      <w:r w:rsidRPr="001775D9">
        <w:rPr>
          <w:szCs w:val="22"/>
          <w:lang w:eastAsia="en-GB"/>
        </w:rPr>
        <w:t xml:space="preserve">0.001) in the </w:t>
      </w:r>
      <w:r w:rsidRPr="001775D9">
        <w:rPr>
          <w:rFonts w:eastAsia="Times New Roman"/>
          <w:color w:val="000000"/>
          <w:szCs w:val="22"/>
        </w:rPr>
        <w:t>adalimumab</w:t>
      </w:r>
      <w:r w:rsidRPr="001775D9">
        <w:rPr>
          <w:szCs w:val="22"/>
          <w:lang w:eastAsia="en-GB"/>
        </w:rPr>
        <w:t xml:space="preserve"> group (at week 48).</w:t>
      </w:r>
    </w:p>
    <w:p w14:paraId="3E951FF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9F79F8A"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subjects treated with </w:t>
      </w:r>
      <w:r w:rsidRPr="001775D9">
        <w:rPr>
          <w:rFonts w:eastAsia="Times New Roman"/>
          <w:color w:val="000000"/>
          <w:szCs w:val="22"/>
        </w:rPr>
        <w:t>adalimumab</w:t>
      </w:r>
      <w:r w:rsidRPr="001775D9">
        <w:rPr>
          <w:szCs w:val="22"/>
          <w:lang w:eastAsia="en-GB"/>
        </w:rPr>
        <w:t xml:space="preserve"> with no radiographic progression from baseline to week 48 (n</w:t>
      </w:r>
      <w:r w:rsidRPr="001775D9">
        <w:rPr>
          <w:szCs w:val="22"/>
        </w:rPr>
        <w:t> </w:t>
      </w:r>
      <w:r w:rsidRPr="001775D9">
        <w:rPr>
          <w:szCs w:val="22"/>
          <w:lang w:eastAsia="en-GB"/>
        </w:rPr>
        <w:t>=</w:t>
      </w:r>
      <w:r w:rsidRPr="001775D9">
        <w:rPr>
          <w:szCs w:val="22"/>
        </w:rPr>
        <w:t> </w:t>
      </w:r>
      <w:r w:rsidRPr="001775D9">
        <w:rPr>
          <w:szCs w:val="22"/>
          <w:lang w:eastAsia="en-GB"/>
        </w:rPr>
        <w:t xml:space="preserve">102), 84% continued to show no radiographic progression through 144 weeks of treatment. </w:t>
      </w:r>
      <w:r w:rsidRPr="001775D9">
        <w:rPr>
          <w:rFonts w:eastAsia="Times New Roman"/>
          <w:color w:val="000000"/>
          <w:szCs w:val="22"/>
        </w:rPr>
        <w:t>Adalimumab</w:t>
      </w:r>
      <w:r w:rsidRPr="001775D9">
        <w:rPr>
          <w:szCs w:val="22"/>
          <w:lang w:eastAsia="en-GB"/>
        </w:rPr>
        <w:t>-treated patients demonstrated statistically significant improvement in physical function as assessed by HAQ and Short Form Health Survey (SF 36) compared to placebo at week 24. Improved physical function continued during the open-label extension up to week 136.</w:t>
      </w:r>
    </w:p>
    <w:p w14:paraId="2BB07169"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2AFBA1C9" w14:textId="77777777" w:rsidR="001778AA" w:rsidRPr="001775D9" w:rsidRDefault="001778AA" w:rsidP="001778AA">
      <w:pPr>
        <w:tabs>
          <w:tab w:val="clear" w:pos="567"/>
        </w:tabs>
        <w:autoSpaceDE w:val="0"/>
        <w:autoSpaceDN w:val="0"/>
        <w:adjustRightInd w:val="0"/>
        <w:spacing w:line="240" w:lineRule="auto"/>
        <w:rPr>
          <w:i/>
          <w:szCs w:val="22"/>
          <w:lang w:eastAsia="en-GB"/>
        </w:rPr>
      </w:pPr>
      <w:r w:rsidRPr="001775D9">
        <w:rPr>
          <w:i/>
          <w:szCs w:val="22"/>
          <w:lang w:eastAsia="en-GB"/>
        </w:rPr>
        <w:t xml:space="preserve">Psoriasis </w:t>
      </w:r>
    </w:p>
    <w:p w14:paraId="127A714B"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E58F27B"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color w:val="000000"/>
          <w:szCs w:val="22"/>
          <w:lang w:eastAsia="en-GB"/>
        </w:rPr>
        <w:t xml:space="preserve">The safety and efficacy of </w:t>
      </w:r>
      <w:r w:rsidRPr="001775D9">
        <w:rPr>
          <w:rFonts w:eastAsia="Times New Roman"/>
          <w:color w:val="000000"/>
          <w:szCs w:val="22"/>
        </w:rPr>
        <w:t>adalimumab</w:t>
      </w:r>
      <w:r w:rsidRPr="001775D9">
        <w:rPr>
          <w:szCs w:val="22"/>
          <w:lang w:eastAsia="en-GB"/>
        </w:rPr>
        <w:t xml:space="preserve"> were studied in adult patients with chronic plaque psoriasis (≥</w:t>
      </w:r>
      <w:r w:rsidRPr="001775D9">
        <w:rPr>
          <w:szCs w:val="22"/>
        </w:rPr>
        <w:t> </w:t>
      </w:r>
      <w:r w:rsidRPr="001775D9">
        <w:rPr>
          <w:szCs w:val="22"/>
          <w:lang w:eastAsia="en-GB"/>
        </w:rPr>
        <w:t>10% BSA involvement and Psoriasis Area and Severity Index (PASI) ≥</w:t>
      </w:r>
      <w:r w:rsidRPr="001775D9">
        <w:rPr>
          <w:szCs w:val="22"/>
        </w:rPr>
        <w:t> </w:t>
      </w:r>
      <w:r w:rsidRPr="001775D9">
        <w:rPr>
          <w:szCs w:val="22"/>
          <w:lang w:eastAsia="en-GB"/>
        </w:rPr>
        <w:t>12 or ≥</w:t>
      </w:r>
      <w:r w:rsidRPr="001775D9">
        <w:rPr>
          <w:szCs w:val="22"/>
        </w:rPr>
        <w:t> </w:t>
      </w:r>
      <w:r w:rsidRPr="001775D9">
        <w:rPr>
          <w:szCs w:val="22"/>
          <w:lang w:eastAsia="en-GB"/>
        </w:rPr>
        <w:t xml:space="preserve">10) who were candidates for systemic therapy or phototherapy in randomised, double-blind studies. 73% of patients enrolled in psoriasis studies I and II had received prior systemic therapy or phototherapy. The safety and efficacy of </w:t>
      </w:r>
      <w:r w:rsidRPr="001775D9">
        <w:rPr>
          <w:rFonts w:eastAsia="Times New Roman"/>
          <w:color w:val="000000"/>
          <w:szCs w:val="22"/>
        </w:rPr>
        <w:t>adalimumab</w:t>
      </w:r>
      <w:r w:rsidRPr="001775D9">
        <w:rPr>
          <w:szCs w:val="22"/>
          <w:lang w:eastAsia="en-GB"/>
        </w:rPr>
        <w:t xml:space="preserve"> were also studied in adult patients with moderate to severe chronic plaque psoriasis with concomitant hand and/or foot psoriasis who were candidates for systemic therapy in a randomised double-blind study (psoriasis study III).</w:t>
      </w:r>
    </w:p>
    <w:p w14:paraId="355B4747"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09CA4C88" w14:textId="2ED1AA93" w:rsidR="001778AA" w:rsidRPr="001775D9" w:rsidRDefault="001778AA" w:rsidP="001778AA">
      <w:pPr>
        <w:tabs>
          <w:tab w:val="clear" w:pos="567"/>
        </w:tabs>
        <w:autoSpaceDE w:val="0"/>
        <w:autoSpaceDN w:val="0"/>
        <w:adjustRightInd w:val="0"/>
        <w:spacing w:line="240" w:lineRule="auto"/>
        <w:rPr>
          <w:szCs w:val="22"/>
        </w:rPr>
      </w:pPr>
      <w:r w:rsidRPr="001775D9">
        <w:rPr>
          <w:szCs w:val="22"/>
        </w:rPr>
        <w:t>Psoriasis study I (REVEAL) evaluated 1</w:t>
      </w:r>
      <w:r w:rsidR="003F0650" w:rsidRPr="001775D9">
        <w:rPr>
          <w:szCs w:val="22"/>
        </w:rPr>
        <w:t> </w:t>
      </w:r>
      <w:r w:rsidRPr="001775D9">
        <w:rPr>
          <w:szCs w:val="22"/>
        </w:rPr>
        <w:t xml:space="preserve">212 patients within three treatment periods. In period A, patients received placebo or </w:t>
      </w:r>
      <w:r w:rsidRPr="001775D9">
        <w:rPr>
          <w:rFonts w:eastAsia="Times New Roman"/>
          <w:color w:val="000000"/>
          <w:szCs w:val="22"/>
        </w:rPr>
        <w:t>adalimumab</w:t>
      </w:r>
      <w:r w:rsidRPr="001775D9">
        <w:rPr>
          <w:szCs w:val="22"/>
        </w:rPr>
        <w:t xml:space="preserve"> at an initial dose of 80 mg followed by 40 mg every other week starting one week after the initial dose. After 16 weeks of therapy, patients who achieved at least a PASI 75 response (PASI score improvement of at least 75% relative to baseline), entered period B and received open-label 40 mg </w:t>
      </w:r>
      <w:r w:rsidRPr="001775D9">
        <w:rPr>
          <w:rFonts w:eastAsia="Times New Roman"/>
          <w:color w:val="000000"/>
          <w:szCs w:val="22"/>
        </w:rPr>
        <w:t>adalimumab</w:t>
      </w:r>
      <w:r w:rsidRPr="001775D9">
        <w:rPr>
          <w:szCs w:val="22"/>
        </w:rPr>
        <w:t xml:space="preserve"> every other week. Patients who maintained ≥ PASI 75 response at </w:t>
      </w:r>
      <w:r w:rsidRPr="001775D9">
        <w:rPr>
          <w:szCs w:val="22"/>
          <w:lang w:eastAsia="en-GB"/>
        </w:rPr>
        <w:t>week</w:t>
      </w:r>
      <w:r w:rsidRPr="001775D9">
        <w:rPr>
          <w:szCs w:val="22"/>
        </w:rPr>
        <w:t xml:space="preserve"> 33 and were originally randomised to active therapy in period A, were re-randomised in period C to receive 40 mg </w:t>
      </w:r>
      <w:r w:rsidRPr="001775D9">
        <w:rPr>
          <w:rFonts w:eastAsia="Times New Roman"/>
          <w:color w:val="000000"/>
          <w:szCs w:val="22"/>
        </w:rPr>
        <w:t>adalimumab</w:t>
      </w:r>
      <w:r w:rsidRPr="001775D9">
        <w:rPr>
          <w:szCs w:val="22"/>
        </w:rPr>
        <w:t xml:space="preserve"> every other week or placebo for an additional 19 weeks. Across all treatment groups, the mean baseline PASI score was 18.9 and the baseline Physician’s Global Assessment (PGA) score ranged from “moderate” (53% of subjects included) to “severe” (41%) to “very severe” (6%).</w:t>
      </w:r>
    </w:p>
    <w:p w14:paraId="30E6B9CD" w14:textId="77777777" w:rsidR="001778AA" w:rsidRPr="001775D9" w:rsidRDefault="001778AA" w:rsidP="001778AA">
      <w:pPr>
        <w:tabs>
          <w:tab w:val="clear" w:pos="567"/>
        </w:tabs>
        <w:autoSpaceDE w:val="0"/>
        <w:autoSpaceDN w:val="0"/>
        <w:adjustRightInd w:val="0"/>
        <w:spacing w:line="240" w:lineRule="auto"/>
        <w:rPr>
          <w:szCs w:val="22"/>
        </w:rPr>
      </w:pPr>
    </w:p>
    <w:p w14:paraId="1E72B063" w14:textId="77777777" w:rsidR="001778AA" w:rsidRPr="001775D9" w:rsidRDefault="001778AA" w:rsidP="001778AA">
      <w:pPr>
        <w:tabs>
          <w:tab w:val="clear" w:pos="567"/>
        </w:tabs>
        <w:autoSpaceDE w:val="0"/>
        <w:autoSpaceDN w:val="0"/>
        <w:adjustRightInd w:val="0"/>
        <w:spacing w:line="240" w:lineRule="auto"/>
        <w:rPr>
          <w:szCs w:val="22"/>
        </w:rPr>
      </w:pPr>
      <w:r w:rsidRPr="001775D9">
        <w:rPr>
          <w:szCs w:val="22"/>
        </w:rPr>
        <w:t xml:space="preserve">Psoriasis study II (CHAMPION) compared the efficacy and safety of </w:t>
      </w:r>
      <w:r w:rsidRPr="001775D9">
        <w:rPr>
          <w:rFonts w:eastAsia="Times New Roman"/>
          <w:color w:val="000000"/>
          <w:szCs w:val="22"/>
        </w:rPr>
        <w:t>adalimumab</w:t>
      </w:r>
      <w:r w:rsidRPr="001775D9">
        <w:rPr>
          <w:i/>
          <w:iCs/>
          <w:szCs w:val="22"/>
        </w:rPr>
        <w:t xml:space="preserve"> </w:t>
      </w:r>
      <w:r w:rsidRPr="001775D9">
        <w:rPr>
          <w:iCs/>
          <w:szCs w:val="22"/>
        </w:rPr>
        <w:t xml:space="preserve">versus </w:t>
      </w:r>
      <w:r w:rsidRPr="001775D9">
        <w:rPr>
          <w:szCs w:val="22"/>
        </w:rPr>
        <w:t xml:space="preserve">methotrexate and placebo in 271 patients. Patients received placebo, an initial dose of MTX 7.5 mg and thereafter dose increases up to </w:t>
      </w:r>
      <w:r w:rsidRPr="001775D9">
        <w:rPr>
          <w:szCs w:val="22"/>
          <w:lang w:eastAsia="en-GB"/>
        </w:rPr>
        <w:t>week</w:t>
      </w:r>
      <w:r w:rsidRPr="001775D9">
        <w:rPr>
          <w:szCs w:val="22"/>
        </w:rPr>
        <w:t xml:space="preserve"> 12, with a maximum dose of 25 mg or an initial dose of 80 mg </w:t>
      </w:r>
      <w:r w:rsidRPr="001775D9">
        <w:rPr>
          <w:rFonts w:eastAsia="Times New Roman"/>
          <w:color w:val="000000"/>
          <w:szCs w:val="22"/>
        </w:rPr>
        <w:t>adalimumab</w:t>
      </w:r>
      <w:r w:rsidRPr="001775D9">
        <w:rPr>
          <w:szCs w:val="22"/>
          <w:lang w:eastAsia="en-GB"/>
        </w:rPr>
        <w:t xml:space="preserve"> </w:t>
      </w:r>
      <w:r w:rsidRPr="001775D9">
        <w:rPr>
          <w:szCs w:val="22"/>
        </w:rPr>
        <w:t xml:space="preserve">followed by 40 mg every other week (starting one week after the initial dose) for 16 weeks. There are no data available comparing </w:t>
      </w:r>
      <w:r w:rsidRPr="001775D9">
        <w:rPr>
          <w:rFonts w:eastAsia="Times New Roman"/>
          <w:color w:val="000000"/>
          <w:szCs w:val="22"/>
        </w:rPr>
        <w:t>adalimumab</w:t>
      </w:r>
      <w:r w:rsidRPr="001775D9">
        <w:rPr>
          <w:szCs w:val="22"/>
        </w:rPr>
        <w:t xml:space="preserve"> and MTX beyond 16 weeks of therapy. Patients receiving MTX who achieved a ≥ PASI 50 response at </w:t>
      </w:r>
      <w:r w:rsidRPr="001775D9">
        <w:rPr>
          <w:szCs w:val="22"/>
          <w:lang w:eastAsia="en-GB"/>
        </w:rPr>
        <w:t>week</w:t>
      </w:r>
      <w:r w:rsidRPr="001775D9">
        <w:rPr>
          <w:szCs w:val="22"/>
        </w:rPr>
        <w:t xml:space="preserve"> 8 and/or 12 did not receive further dose increases. Across all treatment groups, the mean baseline PASI score was 19.7 and the baseline PGA score ranged from “mild” (&lt; 1%) to “moderate” (48%) to “severe” (46%) to “very severe” (6%).</w:t>
      </w:r>
    </w:p>
    <w:p w14:paraId="30E5814F" w14:textId="77777777" w:rsidR="001778AA" w:rsidRPr="001775D9" w:rsidRDefault="001778AA" w:rsidP="001778AA">
      <w:pPr>
        <w:tabs>
          <w:tab w:val="clear" w:pos="567"/>
        </w:tabs>
        <w:autoSpaceDE w:val="0"/>
        <w:autoSpaceDN w:val="0"/>
        <w:adjustRightInd w:val="0"/>
        <w:spacing w:line="240" w:lineRule="auto"/>
        <w:rPr>
          <w:szCs w:val="22"/>
        </w:rPr>
      </w:pPr>
    </w:p>
    <w:p w14:paraId="6F9E8824" w14:textId="3C89942E"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Patients participating in all phase 2 and phase 3 psoriasis studies were eligible to enrol into an open</w:t>
      </w:r>
      <w:r w:rsidR="00C25855" w:rsidRPr="001775D9">
        <w:rPr>
          <w:szCs w:val="22"/>
          <w:lang w:eastAsia="en-GB"/>
        </w:rPr>
        <w:noBreakHyphen/>
      </w:r>
      <w:r w:rsidRPr="001775D9">
        <w:rPr>
          <w:szCs w:val="22"/>
          <w:lang w:eastAsia="en-GB"/>
        </w:rPr>
        <w:t xml:space="preserve">label extension trial, where </w:t>
      </w:r>
      <w:r w:rsidRPr="001775D9">
        <w:rPr>
          <w:rFonts w:eastAsia="Times New Roman"/>
          <w:color w:val="000000"/>
          <w:szCs w:val="22"/>
        </w:rPr>
        <w:t>adalimumab</w:t>
      </w:r>
      <w:r w:rsidRPr="001775D9">
        <w:rPr>
          <w:szCs w:val="22"/>
          <w:lang w:eastAsia="en-GB"/>
        </w:rPr>
        <w:t xml:space="preserve"> was given for at least an additional 108 weeks. </w:t>
      </w:r>
    </w:p>
    <w:p w14:paraId="2FD9C21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FF8C83F"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lang w:eastAsia="en-GB"/>
        </w:rPr>
        <w:t>In psoriasis studies I and II, a primary endpoint was the proportion of patients</w:t>
      </w:r>
      <w:r w:rsidRPr="001775D9">
        <w:rPr>
          <w:color w:val="000000"/>
          <w:szCs w:val="22"/>
          <w:lang w:eastAsia="en-GB"/>
        </w:rPr>
        <w:t xml:space="preserve"> who achieved a PASI 75 response from baseline at </w:t>
      </w:r>
      <w:r w:rsidRPr="001775D9">
        <w:rPr>
          <w:szCs w:val="22"/>
          <w:lang w:eastAsia="en-GB"/>
        </w:rPr>
        <w:t>week</w:t>
      </w:r>
      <w:r w:rsidRPr="001775D9">
        <w:rPr>
          <w:color w:val="000000"/>
          <w:szCs w:val="22"/>
          <w:lang w:eastAsia="en-GB"/>
        </w:rPr>
        <w:t xml:space="preserve"> 16 (see tables 16 and 17).</w:t>
      </w:r>
    </w:p>
    <w:p w14:paraId="16270071" w14:textId="77777777" w:rsidR="001778AA" w:rsidRPr="001775D9" w:rsidRDefault="001778AA" w:rsidP="001778AA">
      <w:pPr>
        <w:tabs>
          <w:tab w:val="clear" w:pos="567"/>
        </w:tabs>
        <w:autoSpaceDE w:val="0"/>
        <w:autoSpaceDN w:val="0"/>
        <w:adjustRightInd w:val="0"/>
        <w:spacing w:line="240" w:lineRule="auto"/>
        <w:rPr>
          <w:szCs w:val="22"/>
        </w:rPr>
      </w:pPr>
    </w:p>
    <w:p w14:paraId="7148A393" w14:textId="77777777" w:rsidR="001778AA" w:rsidRPr="001775D9" w:rsidRDefault="001778AA" w:rsidP="001778AA">
      <w:pPr>
        <w:keepNext/>
        <w:tabs>
          <w:tab w:val="clear" w:pos="567"/>
        </w:tabs>
        <w:autoSpaceDE w:val="0"/>
        <w:autoSpaceDN w:val="0"/>
        <w:adjustRightInd w:val="0"/>
        <w:spacing w:line="240" w:lineRule="auto"/>
        <w:rPr>
          <w:b/>
          <w:bCs/>
          <w:color w:val="000000"/>
          <w:szCs w:val="22"/>
          <w:lang w:eastAsia="en-GB"/>
        </w:rPr>
      </w:pPr>
      <w:r w:rsidRPr="001775D9">
        <w:rPr>
          <w:b/>
          <w:bCs/>
          <w:color w:val="000000"/>
          <w:szCs w:val="22"/>
          <w:lang w:eastAsia="en-GB"/>
        </w:rPr>
        <w:t>Table 16. Ps study I (REVEAL) - efficacy results at 16 weeks</w:t>
      </w:r>
    </w:p>
    <w:p w14:paraId="0AB824E8" w14:textId="77777777" w:rsidR="001778AA" w:rsidRPr="001775D9" w:rsidRDefault="001778AA" w:rsidP="001778AA">
      <w:pPr>
        <w:keepNext/>
        <w:tabs>
          <w:tab w:val="clear" w:pos="567"/>
        </w:tabs>
        <w:autoSpaceDE w:val="0"/>
        <w:autoSpaceDN w:val="0"/>
        <w:adjustRightInd w:val="0"/>
        <w:spacing w:line="240" w:lineRule="auto"/>
        <w:rPr>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2834"/>
        <w:gridCol w:w="2836"/>
      </w:tblGrid>
      <w:tr w:rsidR="001778AA" w:rsidRPr="00F04F82" w14:paraId="4837CB13" w14:textId="77777777" w:rsidTr="00D47253">
        <w:trPr>
          <w:trHeight w:val="437"/>
        </w:trPr>
        <w:tc>
          <w:tcPr>
            <w:tcW w:w="3544" w:type="dxa"/>
          </w:tcPr>
          <w:p w14:paraId="556C9E57"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b/>
                <w:bCs/>
                <w:szCs w:val="22"/>
                <w:lang w:eastAsia="en-GB"/>
              </w:rPr>
              <w:t xml:space="preserve"> </w:t>
            </w:r>
          </w:p>
        </w:tc>
        <w:tc>
          <w:tcPr>
            <w:tcW w:w="2834" w:type="dxa"/>
          </w:tcPr>
          <w:p w14:paraId="43034313"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p w14:paraId="6F311713" w14:textId="77777777"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398</w:t>
            </w:r>
          </w:p>
          <w:p w14:paraId="494F38AD"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c>
          <w:tcPr>
            <w:tcW w:w="2836" w:type="dxa"/>
          </w:tcPr>
          <w:p w14:paraId="7F3E1997" w14:textId="77777777"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rFonts w:eastAsia="Times New Roman"/>
                <w:b/>
                <w:color w:val="000000"/>
                <w:szCs w:val="22"/>
              </w:rPr>
              <w:t>Adalimumab</w:t>
            </w:r>
            <w:r w:rsidRPr="001775D9">
              <w:rPr>
                <w:b/>
                <w:bCs/>
                <w:szCs w:val="22"/>
                <w:lang w:eastAsia="en-GB"/>
              </w:rPr>
              <w:t xml:space="preserve"> 40</w:t>
            </w:r>
            <w:r w:rsidRPr="001775D9">
              <w:rPr>
                <w:b/>
                <w:szCs w:val="22"/>
              </w:rPr>
              <w:t> </w:t>
            </w:r>
            <w:r w:rsidRPr="001775D9">
              <w:rPr>
                <w:b/>
                <w:bCs/>
                <w:szCs w:val="22"/>
                <w:lang w:eastAsia="en-GB"/>
              </w:rPr>
              <w:t xml:space="preserve">mg </w:t>
            </w:r>
          </w:p>
          <w:p w14:paraId="0C68A068"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every other week</w:t>
            </w:r>
          </w:p>
          <w:p w14:paraId="24DE74A6"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N</w:t>
            </w:r>
            <w:r w:rsidRPr="001775D9">
              <w:rPr>
                <w:b/>
                <w:szCs w:val="22"/>
              </w:rPr>
              <w:t> </w:t>
            </w:r>
            <w:r w:rsidRPr="001775D9">
              <w:rPr>
                <w:b/>
                <w:bCs/>
                <w:szCs w:val="22"/>
                <w:lang w:eastAsia="en-GB"/>
              </w:rPr>
              <w:t>=</w:t>
            </w:r>
            <w:r w:rsidRPr="001775D9">
              <w:rPr>
                <w:b/>
                <w:szCs w:val="22"/>
              </w:rPr>
              <w:t> </w:t>
            </w:r>
            <w:r w:rsidRPr="001775D9">
              <w:rPr>
                <w:b/>
                <w:bCs/>
                <w:szCs w:val="22"/>
                <w:lang w:eastAsia="en-GB"/>
              </w:rPr>
              <w:t>814</w:t>
            </w:r>
          </w:p>
          <w:p w14:paraId="052DC6FF"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r>
      <w:tr w:rsidR="001778AA" w:rsidRPr="00F04F82" w14:paraId="56AD072B" w14:textId="77777777" w:rsidTr="00D47253">
        <w:trPr>
          <w:trHeight w:val="162"/>
        </w:trPr>
        <w:tc>
          <w:tcPr>
            <w:tcW w:w="3544" w:type="dxa"/>
          </w:tcPr>
          <w:p w14:paraId="1F7678B6" w14:textId="77777777" w:rsidR="001778AA" w:rsidRPr="001775D9" w:rsidRDefault="001778AA" w:rsidP="00D47253">
            <w:pPr>
              <w:keepNext/>
              <w:tabs>
                <w:tab w:val="clear" w:pos="567"/>
              </w:tabs>
              <w:autoSpaceDE w:val="0"/>
              <w:autoSpaceDN w:val="0"/>
              <w:adjustRightInd w:val="0"/>
              <w:spacing w:line="240" w:lineRule="auto"/>
              <w:rPr>
                <w:b/>
                <w:szCs w:val="22"/>
                <w:lang w:eastAsia="en-GB"/>
              </w:rPr>
            </w:pPr>
            <w:r w:rsidRPr="001775D9">
              <w:rPr>
                <w:b/>
                <w:szCs w:val="22"/>
                <w:lang w:eastAsia="en-GB"/>
              </w:rPr>
              <w:t>≥</w:t>
            </w:r>
            <w:r w:rsidRPr="001775D9">
              <w:rPr>
                <w:b/>
                <w:szCs w:val="22"/>
              </w:rPr>
              <w:t> </w:t>
            </w:r>
            <w:r w:rsidRPr="001775D9">
              <w:rPr>
                <w:b/>
                <w:szCs w:val="22"/>
                <w:lang w:eastAsia="en-GB"/>
              </w:rPr>
              <w:t>PASI 75</w:t>
            </w:r>
            <w:r w:rsidRPr="001775D9">
              <w:rPr>
                <w:b/>
                <w:szCs w:val="22"/>
                <w:vertAlign w:val="superscript"/>
                <w:lang w:eastAsia="en-GB"/>
              </w:rPr>
              <w:t>a</w:t>
            </w:r>
            <w:r w:rsidRPr="001775D9">
              <w:rPr>
                <w:b/>
                <w:szCs w:val="22"/>
                <w:lang w:eastAsia="en-GB"/>
              </w:rPr>
              <w:t xml:space="preserve"> </w:t>
            </w:r>
          </w:p>
        </w:tc>
        <w:tc>
          <w:tcPr>
            <w:tcW w:w="2834" w:type="dxa"/>
          </w:tcPr>
          <w:p w14:paraId="1F01ABAC"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26 (6.5)</w:t>
            </w:r>
          </w:p>
        </w:tc>
        <w:tc>
          <w:tcPr>
            <w:tcW w:w="2836" w:type="dxa"/>
          </w:tcPr>
          <w:p w14:paraId="1E2398E3"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578 (70.9)</w:t>
            </w:r>
            <w:r w:rsidRPr="001775D9">
              <w:rPr>
                <w:szCs w:val="22"/>
                <w:vertAlign w:val="superscript"/>
                <w:lang w:eastAsia="en-GB"/>
              </w:rPr>
              <w:t>b</w:t>
            </w:r>
          </w:p>
        </w:tc>
      </w:tr>
      <w:tr w:rsidR="001778AA" w:rsidRPr="00F04F82" w14:paraId="0D72F5D8" w14:textId="77777777" w:rsidTr="00D47253">
        <w:trPr>
          <w:trHeight w:val="162"/>
        </w:trPr>
        <w:tc>
          <w:tcPr>
            <w:tcW w:w="3544" w:type="dxa"/>
          </w:tcPr>
          <w:p w14:paraId="46F8DA22" w14:textId="77777777" w:rsidR="001778AA" w:rsidRPr="001775D9" w:rsidRDefault="001778AA" w:rsidP="00D47253">
            <w:pPr>
              <w:keepNext/>
              <w:tabs>
                <w:tab w:val="clear" w:pos="567"/>
              </w:tabs>
              <w:autoSpaceDE w:val="0"/>
              <w:autoSpaceDN w:val="0"/>
              <w:adjustRightInd w:val="0"/>
              <w:spacing w:line="240" w:lineRule="auto"/>
              <w:rPr>
                <w:b/>
                <w:szCs w:val="22"/>
                <w:lang w:eastAsia="en-GB"/>
              </w:rPr>
            </w:pPr>
            <w:r w:rsidRPr="001775D9">
              <w:rPr>
                <w:b/>
                <w:szCs w:val="22"/>
                <w:lang w:eastAsia="en-GB"/>
              </w:rPr>
              <w:t xml:space="preserve">PASI 100 </w:t>
            </w:r>
          </w:p>
        </w:tc>
        <w:tc>
          <w:tcPr>
            <w:tcW w:w="2834" w:type="dxa"/>
          </w:tcPr>
          <w:p w14:paraId="53D51834"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3 (0.8)</w:t>
            </w:r>
          </w:p>
        </w:tc>
        <w:tc>
          <w:tcPr>
            <w:tcW w:w="2836" w:type="dxa"/>
          </w:tcPr>
          <w:p w14:paraId="310E522A"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163 (20.0)</w:t>
            </w:r>
            <w:r w:rsidRPr="001775D9">
              <w:rPr>
                <w:szCs w:val="22"/>
                <w:vertAlign w:val="superscript"/>
                <w:lang w:eastAsia="en-GB"/>
              </w:rPr>
              <w:t>b</w:t>
            </w:r>
          </w:p>
        </w:tc>
      </w:tr>
      <w:tr w:rsidR="001778AA" w:rsidRPr="00F04F82" w14:paraId="75884851" w14:textId="77777777" w:rsidTr="00D47253">
        <w:trPr>
          <w:trHeight w:val="162"/>
        </w:trPr>
        <w:tc>
          <w:tcPr>
            <w:tcW w:w="3544" w:type="dxa"/>
            <w:tcBorders>
              <w:bottom w:val="single" w:sz="4" w:space="0" w:color="auto"/>
            </w:tcBorders>
          </w:tcPr>
          <w:p w14:paraId="0E4E181E" w14:textId="77777777" w:rsidR="001778AA" w:rsidRPr="001775D9" w:rsidRDefault="001778AA" w:rsidP="00D47253">
            <w:pPr>
              <w:keepNext/>
              <w:tabs>
                <w:tab w:val="clear" w:pos="567"/>
              </w:tabs>
              <w:autoSpaceDE w:val="0"/>
              <w:autoSpaceDN w:val="0"/>
              <w:adjustRightInd w:val="0"/>
              <w:spacing w:line="240" w:lineRule="auto"/>
              <w:rPr>
                <w:b/>
                <w:szCs w:val="22"/>
                <w:lang w:eastAsia="en-GB"/>
              </w:rPr>
            </w:pPr>
            <w:r w:rsidRPr="001775D9">
              <w:rPr>
                <w:b/>
                <w:szCs w:val="22"/>
                <w:lang w:eastAsia="en-GB"/>
              </w:rPr>
              <w:t xml:space="preserve">PGA: Clear/minimal </w:t>
            </w:r>
          </w:p>
        </w:tc>
        <w:tc>
          <w:tcPr>
            <w:tcW w:w="2834" w:type="dxa"/>
            <w:tcBorders>
              <w:bottom w:val="single" w:sz="4" w:space="0" w:color="auto"/>
            </w:tcBorders>
          </w:tcPr>
          <w:p w14:paraId="64FFF6A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17 (4.3)</w:t>
            </w:r>
          </w:p>
        </w:tc>
        <w:tc>
          <w:tcPr>
            <w:tcW w:w="2836" w:type="dxa"/>
            <w:tcBorders>
              <w:bottom w:val="single" w:sz="4" w:space="0" w:color="auto"/>
            </w:tcBorders>
          </w:tcPr>
          <w:p w14:paraId="4AA6A156"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506 (62.2)</w:t>
            </w:r>
            <w:r w:rsidRPr="001775D9">
              <w:rPr>
                <w:szCs w:val="22"/>
                <w:vertAlign w:val="superscript"/>
                <w:lang w:eastAsia="en-GB"/>
              </w:rPr>
              <w:t>b</w:t>
            </w:r>
          </w:p>
        </w:tc>
      </w:tr>
      <w:tr w:rsidR="001778AA" w:rsidRPr="002323B5" w14:paraId="5D294C89" w14:textId="77777777" w:rsidTr="00D47253">
        <w:trPr>
          <w:trHeight w:val="426"/>
        </w:trPr>
        <w:tc>
          <w:tcPr>
            <w:tcW w:w="9214" w:type="dxa"/>
            <w:gridSpan w:val="3"/>
            <w:tcBorders>
              <w:top w:val="single" w:sz="4" w:space="0" w:color="auto"/>
              <w:left w:val="nil"/>
              <w:bottom w:val="nil"/>
              <w:right w:val="nil"/>
            </w:tcBorders>
          </w:tcPr>
          <w:p w14:paraId="084B30BC" w14:textId="46E30A21" w:rsidR="001778AA" w:rsidRPr="001775D9" w:rsidRDefault="001778AA" w:rsidP="00D47253">
            <w:pPr>
              <w:keepNext/>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Percent of patients achieving PASI</w:t>
            </w:r>
            <w:r w:rsidR="00953B57" w:rsidRPr="001775D9">
              <w:rPr>
                <w:sz w:val="20"/>
                <w:lang w:eastAsia="en-GB"/>
              </w:rPr>
              <w:t xml:space="preserve"> </w:t>
            </w:r>
            <w:r w:rsidRPr="001775D9">
              <w:rPr>
                <w:sz w:val="20"/>
                <w:lang w:eastAsia="en-GB"/>
              </w:rPr>
              <w:t xml:space="preserve">75 response was calculated as centre-adjusted rate </w:t>
            </w:r>
          </w:p>
          <w:p w14:paraId="47993F97" w14:textId="77777777" w:rsidR="001778AA" w:rsidRPr="00A166A8" w:rsidRDefault="001778AA" w:rsidP="00D47253">
            <w:pPr>
              <w:keepNext/>
              <w:tabs>
                <w:tab w:val="clear" w:pos="567"/>
              </w:tabs>
              <w:autoSpaceDE w:val="0"/>
              <w:autoSpaceDN w:val="0"/>
              <w:adjustRightInd w:val="0"/>
              <w:spacing w:line="240" w:lineRule="auto"/>
              <w:rPr>
                <w:sz w:val="20"/>
                <w:lang w:val="fr-FR" w:eastAsia="en-GB"/>
              </w:rPr>
            </w:pPr>
            <w:r w:rsidRPr="00A166A8">
              <w:rPr>
                <w:sz w:val="20"/>
                <w:vertAlign w:val="superscript"/>
                <w:lang w:val="fr-FR" w:eastAsia="en-GB"/>
              </w:rPr>
              <w:t>b</w:t>
            </w:r>
            <w:r w:rsidRPr="00A166A8">
              <w:rPr>
                <w:sz w:val="20"/>
                <w:lang w:val="fr-FR" w:eastAsia="en-GB"/>
              </w:rPr>
              <w:t xml:space="preserve"> p</w:t>
            </w:r>
            <w:r w:rsidRPr="00A166A8">
              <w:rPr>
                <w:sz w:val="20"/>
                <w:lang w:val="fr-FR"/>
              </w:rPr>
              <w:t> </w:t>
            </w:r>
            <w:r w:rsidRPr="00A166A8">
              <w:rPr>
                <w:sz w:val="20"/>
                <w:lang w:val="fr-FR" w:eastAsia="en-GB"/>
              </w:rPr>
              <w:t>&lt;</w:t>
            </w:r>
            <w:r w:rsidRPr="00A166A8">
              <w:rPr>
                <w:sz w:val="20"/>
                <w:lang w:val="fr-FR"/>
              </w:rPr>
              <w:t> </w:t>
            </w:r>
            <w:r w:rsidRPr="00A166A8">
              <w:rPr>
                <w:sz w:val="20"/>
                <w:lang w:val="fr-FR" w:eastAsia="en-GB"/>
              </w:rPr>
              <w:t xml:space="preserve">0.001, </w:t>
            </w:r>
            <w:r w:rsidRPr="00A166A8">
              <w:rPr>
                <w:rFonts w:eastAsia="Times New Roman"/>
                <w:color w:val="000000"/>
                <w:sz w:val="20"/>
                <w:lang w:val="fr-FR"/>
              </w:rPr>
              <w:t xml:space="preserve">adalimumab </w:t>
            </w:r>
            <w:r w:rsidRPr="00A166A8">
              <w:rPr>
                <w:sz w:val="20"/>
                <w:lang w:val="fr-FR" w:eastAsia="en-GB"/>
              </w:rPr>
              <w:t xml:space="preserve">versus placebo </w:t>
            </w:r>
          </w:p>
        </w:tc>
      </w:tr>
    </w:tbl>
    <w:p w14:paraId="146A04F4" w14:textId="77777777" w:rsidR="001778AA" w:rsidRPr="00A166A8" w:rsidRDefault="001778AA" w:rsidP="001778AA">
      <w:pPr>
        <w:tabs>
          <w:tab w:val="clear" w:pos="567"/>
        </w:tabs>
        <w:autoSpaceDE w:val="0"/>
        <w:autoSpaceDN w:val="0"/>
        <w:adjustRightInd w:val="0"/>
        <w:spacing w:line="240" w:lineRule="auto"/>
        <w:rPr>
          <w:szCs w:val="22"/>
          <w:lang w:val="fr-FR"/>
        </w:rPr>
      </w:pPr>
    </w:p>
    <w:p w14:paraId="424CCEAC" w14:textId="77777777" w:rsidR="001778AA" w:rsidRPr="001775D9" w:rsidRDefault="001778AA" w:rsidP="001778AA">
      <w:pPr>
        <w:keepNext/>
        <w:tabs>
          <w:tab w:val="clear" w:pos="567"/>
        </w:tabs>
        <w:autoSpaceDE w:val="0"/>
        <w:autoSpaceDN w:val="0"/>
        <w:adjustRightInd w:val="0"/>
        <w:spacing w:line="240" w:lineRule="auto"/>
        <w:rPr>
          <w:szCs w:val="22"/>
        </w:rPr>
      </w:pPr>
      <w:r w:rsidRPr="001775D9">
        <w:rPr>
          <w:b/>
          <w:bCs/>
          <w:szCs w:val="22"/>
          <w:lang w:eastAsia="en-GB"/>
        </w:rPr>
        <w:t>Table 17. Ps study II (CHAMPION) efficacy results at 16 weeks</w:t>
      </w:r>
    </w:p>
    <w:p w14:paraId="17A161A5" w14:textId="77777777" w:rsidR="001778AA" w:rsidRPr="001775D9" w:rsidRDefault="001778AA" w:rsidP="001778AA">
      <w:pPr>
        <w:keepNext/>
        <w:tabs>
          <w:tab w:val="clear" w:pos="567"/>
        </w:tabs>
        <w:autoSpaceDE w:val="0"/>
        <w:autoSpaceDN w:val="0"/>
        <w:adjustRightInd w:val="0"/>
        <w:spacing w:line="240" w:lineRule="auto"/>
        <w:rPr>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831"/>
        <w:gridCol w:w="1710"/>
        <w:gridCol w:w="2554"/>
      </w:tblGrid>
      <w:tr w:rsidR="001778AA" w:rsidRPr="00F04F82" w14:paraId="7E4A5F68" w14:textId="77777777" w:rsidTr="00D47253">
        <w:trPr>
          <w:trHeight w:val="437"/>
        </w:trPr>
        <w:tc>
          <w:tcPr>
            <w:tcW w:w="3119" w:type="dxa"/>
          </w:tcPr>
          <w:p w14:paraId="252BC385"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b/>
                <w:bCs/>
                <w:szCs w:val="22"/>
                <w:lang w:eastAsia="en-GB"/>
              </w:rPr>
              <w:t xml:space="preserve"> </w:t>
            </w:r>
          </w:p>
        </w:tc>
        <w:tc>
          <w:tcPr>
            <w:tcW w:w="1831" w:type="dxa"/>
          </w:tcPr>
          <w:p w14:paraId="1AF8913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p w14:paraId="4CE7EB42" w14:textId="77777777"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53</w:t>
            </w:r>
          </w:p>
          <w:p w14:paraId="78391B9D"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c>
          <w:tcPr>
            <w:tcW w:w="1710" w:type="dxa"/>
          </w:tcPr>
          <w:p w14:paraId="41E551AB"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MTX</w:t>
            </w:r>
          </w:p>
          <w:p w14:paraId="157ADBE0"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110</w:t>
            </w:r>
          </w:p>
          <w:p w14:paraId="2551D02E"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c>
          <w:tcPr>
            <w:tcW w:w="2554" w:type="dxa"/>
          </w:tcPr>
          <w:p w14:paraId="4EAC4A34" w14:textId="77777777"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rFonts w:eastAsia="Times New Roman"/>
                <w:b/>
                <w:color w:val="000000"/>
                <w:szCs w:val="22"/>
              </w:rPr>
              <w:t>Adalimumab</w:t>
            </w:r>
            <w:r w:rsidRPr="001775D9">
              <w:rPr>
                <w:b/>
                <w:bCs/>
                <w:szCs w:val="22"/>
                <w:lang w:eastAsia="en-GB"/>
              </w:rPr>
              <w:t xml:space="preserve"> 40</w:t>
            </w:r>
            <w:r w:rsidRPr="001775D9">
              <w:rPr>
                <w:szCs w:val="22"/>
              </w:rPr>
              <w:t> </w:t>
            </w:r>
            <w:r w:rsidRPr="001775D9">
              <w:rPr>
                <w:b/>
                <w:bCs/>
                <w:szCs w:val="22"/>
                <w:lang w:eastAsia="en-GB"/>
              </w:rPr>
              <w:t xml:space="preserve">mg </w:t>
            </w:r>
          </w:p>
          <w:p w14:paraId="42A79065" w14:textId="77777777"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D55B59">
              <w:rPr>
                <w:rFonts w:eastAsia="Times New Roman"/>
                <w:b/>
                <w:bCs/>
                <w:szCs w:val="22"/>
                <w:rPrChange w:id="1784" w:author="Author">
                  <w:rPr>
                    <w:rFonts w:eastAsia="Times New Roman"/>
                    <w:b/>
                    <w:bCs/>
                    <w:szCs w:val="22"/>
                    <w:lang w:val="en-US"/>
                  </w:rPr>
                </w:rPrChange>
              </w:rPr>
              <w:t>every other week</w:t>
            </w:r>
          </w:p>
          <w:p w14:paraId="315B54EC"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108</w:t>
            </w:r>
          </w:p>
          <w:p w14:paraId="17D5C09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 (%)</w:t>
            </w:r>
          </w:p>
        </w:tc>
      </w:tr>
      <w:tr w:rsidR="001778AA" w:rsidRPr="00F04F82" w14:paraId="75E713F2" w14:textId="77777777" w:rsidTr="00D47253">
        <w:trPr>
          <w:trHeight w:val="162"/>
        </w:trPr>
        <w:tc>
          <w:tcPr>
            <w:tcW w:w="3119" w:type="dxa"/>
          </w:tcPr>
          <w:p w14:paraId="063B10F8" w14:textId="77777777" w:rsidR="001778AA" w:rsidRPr="001775D9" w:rsidRDefault="001778AA" w:rsidP="00D47253">
            <w:pPr>
              <w:keepNext/>
              <w:tabs>
                <w:tab w:val="clear" w:pos="567"/>
              </w:tabs>
              <w:autoSpaceDE w:val="0"/>
              <w:autoSpaceDN w:val="0"/>
              <w:adjustRightInd w:val="0"/>
              <w:spacing w:line="240" w:lineRule="auto"/>
              <w:rPr>
                <w:b/>
                <w:szCs w:val="22"/>
                <w:lang w:eastAsia="en-GB"/>
              </w:rPr>
            </w:pPr>
            <w:r w:rsidRPr="001775D9">
              <w:rPr>
                <w:b/>
                <w:szCs w:val="22"/>
                <w:lang w:eastAsia="en-GB"/>
              </w:rPr>
              <w:t>≥</w:t>
            </w:r>
            <w:r w:rsidRPr="001775D9">
              <w:rPr>
                <w:szCs w:val="22"/>
              </w:rPr>
              <w:t> </w:t>
            </w:r>
            <w:r w:rsidRPr="001775D9">
              <w:rPr>
                <w:b/>
                <w:szCs w:val="22"/>
                <w:lang w:eastAsia="en-GB"/>
              </w:rPr>
              <w:t xml:space="preserve">PASI 75 </w:t>
            </w:r>
          </w:p>
        </w:tc>
        <w:tc>
          <w:tcPr>
            <w:tcW w:w="1831" w:type="dxa"/>
          </w:tcPr>
          <w:p w14:paraId="2306BB0F"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10 (18.9)</w:t>
            </w:r>
          </w:p>
        </w:tc>
        <w:tc>
          <w:tcPr>
            <w:tcW w:w="1710" w:type="dxa"/>
          </w:tcPr>
          <w:p w14:paraId="5442F46E"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39 (35.5)</w:t>
            </w:r>
          </w:p>
        </w:tc>
        <w:tc>
          <w:tcPr>
            <w:tcW w:w="2554" w:type="dxa"/>
          </w:tcPr>
          <w:p w14:paraId="27A812D4"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 xml:space="preserve">86 (79.6) </w:t>
            </w:r>
            <w:r w:rsidRPr="001775D9">
              <w:rPr>
                <w:szCs w:val="22"/>
                <w:vertAlign w:val="superscript"/>
                <w:lang w:eastAsia="en-GB"/>
              </w:rPr>
              <w:t>a, b</w:t>
            </w:r>
          </w:p>
        </w:tc>
      </w:tr>
      <w:tr w:rsidR="001778AA" w:rsidRPr="00F04F82" w14:paraId="4211010F" w14:textId="77777777" w:rsidTr="00D47253">
        <w:trPr>
          <w:trHeight w:val="162"/>
        </w:trPr>
        <w:tc>
          <w:tcPr>
            <w:tcW w:w="3119" w:type="dxa"/>
          </w:tcPr>
          <w:p w14:paraId="3CF52F50" w14:textId="77777777" w:rsidR="001778AA" w:rsidRPr="001775D9" w:rsidRDefault="001778AA" w:rsidP="00D47253">
            <w:pPr>
              <w:keepNext/>
              <w:tabs>
                <w:tab w:val="clear" w:pos="567"/>
              </w:tabs>
              <w:autoSpaceDE w:val="0"/>
              <w:autoSpaceDN w:val="0"/>
              <w:adjustRightInd w:val="0"/>
              <w:spacing w:line="240" w:lineRule="auto"/>
              <w:rPr>
                <w:b/>
                <w:szCs w:val="22"/>
                <w:lang w:eastAsia="en-GB"/>
              </w:rPr>
            </w:pPr>
            <w:r w:rsidRPr="001775D9">
              <w:rPr>
                <w:b/>
                <w:szCs w:val="22"/>
                <w:lang w:eastAsia="en-GB"/>
              </w:rPr>
              <w:t xml:space="preserve">PASI 100 </w:t>
            </w:r>
          </w:p>
        </w:tc>
        <w:tc>
          <w:tcPr>
            <w:tcW w:w="1831" w:type="dxa"/>
          </w:tcPr>
          <w:p w14:paraId="2524E868"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 (1.9)</w:t>
            </w:r>
          </w:p>
        </w:tc>
        <w:tc>
          <w:tcPr>
            <w:tcW w:w="1710" w:type="dxa"/>
          </w:tcPr>
          <w:p w14:paraId="13F4972E"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8 (7.3)</w:t>
            </w:r>
          </w:p>
        </w:tc>
        <w:tc>
          <w:tcPr>
            <w:tcW w:w="2554" w:type="dxa"/>
          </w:tcPr>
          <w:p w14:paraId="2958786F"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 xml:space="preserve">18 (16.7) </w:t>
            </w:r>
            <w:r w:rsidRPr="001775D9">
              <w:rPr>
                <w:szCs w:val="22"/>
                <w:vertAlign w:val="superscript"/>
                <w:lang w:eastAsia="en-GB"/>
              </w:rPr>
              <w:t>c, d</w:t>
            </w:r>
          </w:p>
        </w:tc>
      </w:tr>
      <w:tr w:rsidR="001778AA" w:rsidRPr="00F04F82" w14:paraId="52A9D2BF" w14:textId="77777777" w:rsidTr="00D47253">
        <w:trPr>
          <w:trHeight w:val="306"/>
        </w:trPr>
        <w:tc>
          <w:tcPr>
            <w:tcW w:w="3119" w:type="dxa"/>
            <w:tcBorders>
              <w:bottom w:val="single" w:sz="4" w:space="0" w:color="auto"/>
            </w:tcBorders>
          </w:tcPr>
          <w:p w14:paraId="216261E9"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b/>
                <w:bCs/>
                <w:szCs w:val="22"/>
                <w:lang w:eastAsia="en-GB"/>
              </w:rPr>
              <w:t xml:space="preserve">PGA: Clear/minimal </w:t>
            </w:r>
          </w:p>
        </w:tc>
        <w:tc>
          <w:tcPr>
            <w:tcW w:w="1831" w:type="dxa"/>
            <w:tcBorders>
              <w:bottom w:val="single" w:sz="4" w:space="0" w:color="auto"/>
            </w:tcBorders>
          </w:tcPr>
          <w:p w14:paraId="5652E9BB"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6 (11.3)</w:t>
            </w:r>
          </w:p>
        </w:tc>
        <w:tc>
          <w:tcPr>
            <w:tcW w:w="1710" w:type="dxa"/>
            <w:tcBorders>
              <w:bottom w:val="single" w:sz="4" w:space="0" w:color="auto"/>
            </w:tcBorders>
          </w:tcPr>
          <w:p w14:paraId="45DD8CB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33 (30.0)</w:t>
            </w:r>
          </w:p>
        </w:tc>
        <w:tc>
          <w:tcPr>
            <w:tcW w:w="2554" w:type="dxa"/>
            <w:tcBorders>
              <w:bottom w:val="single" w:sz="4" w:space="0" w:color="auto"/>
            </w:tcBorders>
          </w:tcPr>
          <w:p w14:paraId="5F6C23E4"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 xml:space="preserve">79 (73.1) </w:t>
            </w:r>
            <w:r w:rsidRPr="001775D9">
              <w:rPr>
                <w:szCs w:val="22"/>
                <w:vertAlign w:val="superscript"/>
                <w:lang w:eastAsia="en-GB"/>
              </w:rPr>
              <w:t>a, b</w:t>
            </w:r>
          </w:p>
        </w:tc>
      </w:tr>
      <w:tr w:rsidR="001778AA" w:rsidRPr="00F04F82" w14:paraId="1E92C580" w14:textId="77777777" w:rsidTr="00D47253">
        <w:trPr>
          <w:trHeight w:val="562"/>
        </w:trPr>
        <w:tc>
          <w:tcPr>
            <w:tcW w:w="9214" w:type="dxa"/>
            <w:gridSpan w:val="4"/>
            <w:tcBorders>
              <w:top w:val="single" w:sz="4" w:space="0" w:color="auto"/>
              <w:left w:val="nil"/>
              <w:bottom w:val="nil"/>
              <w:right w:val="nil"/>
            </w:tcBorders>
          </w:tcPr>
          <w:p w14:paraId="5806B8F6"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p</w:t>
            </w:r>
            <w:r w:rsidRPr="001775D9">
              <w:rPr>
                <w:sz w:val="20"/>
              </w:rPr>
              <w:t> </w:t>
            </w:r>
            <w:r w:rsidRPr="001775D9">
              <w:rPr>
                <w:sz w:val="20"/>
                <w:lang w:eastAsia="en-GB"/>
              </w:rPr>
              <w:t>&lt;</w:t>
            </w:r>
            <w:r w:rsidRPr="001775D9">
              <w:rPr>
                <w:sz w:val="20"/>
              </w:rPr>
              <w:t> </w:t>
            </w:r>
            <w:r w:rsidRPr="001775D9">
              <w:rPr>
                <w:sz w:val="20"/>
                <w:lang w:eastAsia="en-GB"/>
              </w:rPr>
              <w:t xml:space="preserve">0.001 </w:t>
            </w:r>
            <w:r w:rsidRPr="001775D9">
              <w:rPr>
                <w:rFonts w:eastAsia="Times New Roman"/>
                <w:color w:val="000000"/>
                <w:sz w:val="20"/>
              </w:rPr>
              <w:t>adalimumab</w:t>
            </w:r>
            <w:r w:rsidRPr="001775D9">
              <w:rPr>
                <w:sz w:val="20"/>
                <w:lang w:eastAsia="en-GB"/>
              </w:rPr>
              <w:t xml:space="preserve"> versus placebo </w:t>
            </w:r>
          </w:p>
          <w:p w14:paraId="14F28B76"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p</w:t>
            </w:r>
            <w:r w:rsidRPr="001775D9">
              <w:rPr>
                <w:sz w:val="20"/>
              </w:rPr>
              <w:t> </w:t>
            </w:r>
            <w:r w:rsidRPr="001775D9">
              <w:rPr>
                <w:sz w:val="20"/>
                <w:lang w:eastAsia="en-GB"/>
              </w:rPr>
              <w:t>&lt;</w:t>
            </w:r>
            <w:r w:rsidRPr="001775D9">
              <w:rPr>
                <w:sz w:val="20"/>
              </w:rPr>
              <w:t> </w:t>
            </w:r>
            <w:r w:rsidRPr="001775D9">
              <w:rPr>
                <w:sz w:val="20"/>
                <w:lang w:eastAsia="en-GB"/>
              </w:rPr>
              <w:t xml:space="preserve">0.001 </w:t>
            </w:r>
            <w:r w:rsidRPr="001775D9">
              <w:rPr>
                <w:rFonts w:eastAsia="Times New Roman"/>
                <w:color w:val="000000"/>
                <w:sz w:val="20"/>
              </w:rPr>
              <w:t xml:space="preserve">adalimumab </w:t>
            </w:r>
            <w:r w:rsidRPr="001775D9">
              <w:rPr>
                <w:sz w:val="20"/>
                <w:lang w:eastAsia="en-GB"/>
              </w:rPr>
              <w:t xml:space="preserve">versus methotrexate </w:t>
            </w:r>
          </w:p>
          <w:p w14:paraId="37DCFC65"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p</w:t>
            </w:r>
            <w:r w:rsidRPr="001775D9">
              <w:rPr>
                <w:sz w:val="20"/>
              </w:rPr>
              <w:t> </w:t>
            </w:r>
            <w:r w:rsidRPr="001775D9">
              <w:rPr>
                <w:sz w:val="20"/>
                <w:lang w:eastAsia="en-GB"/>
              </w:rPr>
              <w:t>&lt;</w:t>
            </w:r>
            <w:r w:rsidRPr="001775D9">
              <w:rPr>
                <w:sz w:val="20"/>
              </w:rPr>
              <w:t> </w:t>
            </w:r>
            <w:r w:rsidRPr="001775D9">
              <w:rPr>
                <w:sz w:val="20"/>
                <w:lang w:eastAsia="en-GB"/>
              </w:rPr>
              <w:t xml:space="preserve">0.01 </w:t>
            </w:r>
            <w:r w:rsidRPr="001775D9">
              <w:rPr>
                <w:rFonts w:eastAsia="Times New Roman"/>
                <w:color w:val="000000"/>
                <w:sz w:val="20"/>
              </w:rPr>
              <w:t>adalimumab</w:t>
            </w:r>
            <w:r w:rsidRPr="001775D9">
              <w:rPr>
                <w:sz w:val="20"/>
                <w:lang w:eastAsia="en-GB"/>
              </w:rPr>
              <w:t xml:space="preserve"> versus placebo </w:t>
            </w:r>
          </w:p>
          <w:p w14:paraId="33CB6FF4"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d</w:t>
            </w:r>
            <w:r w:rsidRPr="001775D9">
              <w:rPr>
                <w:sz w:val="20"/>
                <w:lang w:eastAsia="en-GB"/>
              </w:rPr>
              <w:t xml:space="preserve"> p</w:t>
            </w:r>
            <w:r w:rsidRPr="001775D9">
              <w:rPr>
                <w:sz w:val="20"/>
              </w:rPr>
              <w:t> </w:t>
            </w:r>
            <w:r w:rsidRPr="001775D9">
              <w:rPr>
                <w:sz w:val="20"/>
                <w:lang w:eastAsia="en-GB"/>
              </w:rPr>
              <w:t>&lt;</w:t>
            </w:r>
            <w:r w:rsidRPr="001775D9">
              <w:rPr>
                <w:sz w:val="20"/>
              </w:rPr>
              <w:t> </w:t>
            </w:r>
            <w:r w:rsidRPr="001775D9">
              <w:rPr>
                <w:sz w:val="20"/>
                <w:lang w:eastAsia="en-GB"/>
              </w:rPr>
              <w:t xml:space="preserve">0.05 </w:t>
            </w:r>
            <w:r w:rsidRPr="001775D9">
              <w:rPr>
                <w:rFonts w:eastAsia="Times New Roman"/>
                <w:color w:val="000000"/>
                <w:sz w:val="20"/>
              </w:rPr>
              <w:t>adalimumab</w:t>
            </w:r>
            <w:r w:rsidRPr="001775D9">
              <w:rPr>
                <w:sz w:val="20"/>
                <w:lang w:eastAsia="en-GB"/>
              </w:rPr>
              <w:t xml:space="preserve"> versus methotrexate </w:t>
            </w:r>
          </w:p>
        </w:tc>
      </w:tr>
    </w:tbl>
    <w:p w14:paraId="7FAF7B84" w14:textId="77777777" w:rsidR="001778AA" w:rsidRPr="001775D9" w:rsidRDefault="001778AA" w:rsidP="001778AA">
      <w:pPr>
        <w:tabs>
          <w:tab w:val="clear" w:pos="567"/>
        </w:tabs>
        <w:autoSpaceDE w:val="0"/>
        <w:autoSpaceDN w:val="0"/>
        <w:adjustRightInd w:val="0"/>
        <w:spacing w:line="240" w:lineRule="auto"/>
        <w:rPr>
          <w:szCs w:val="22"/>
        </w:rPr>
      </w:pPr>
    </w:p>
    <w:p w14:paraId="0A2263C1" w14:textId="77777777" w:rsidR="001778AA" w:rsidRPr="001775D9" w:rsidRDefault="001778AA" w:rsidP="001778AA">
      <w:pPr>
        <w:tabs>
          <w:tab w:val="clear" w:pos="567"/>
        </w:tabs>
        <w:autoSpaceDE w:val="0"/>
        <w:autoSpaceDN w:val="0"/>
        <w:adjustRightInd w:val="0"/>
        <w:spacing w:line="240" w:lineRule="auto"/>
        <w:rPr>
          <w:szCs w:val="22"/>
        </w:rPr>
      </w:pPr>
      <w:r w:rsidRPr="001775D9">
        <w:rPr>
          <w:szCs w:val="22"/>
        </w:rPr>
        <w:t>In psoriasis study I, 28% of patients who were PASI 75 responders and were re-randomised to placebo at week 33 compared to 5% continuing on</w:t>
      </w:r>
      <w:r w:rsidRPr="001775D9">
        <w:rPr>
          <w:szCs w:val="22"/>
          <w:lang w:eastAsia="en-GB"/>
        </w:rPr>
        <w:t xml:space="preserve"> </w:t>
      </w:r>
      <w:r w:rsidRPr="001775D9">
        <w:rPr>
          <w:rFonts w:eastAsia="Times New Roman"/>
          <w:color w:val="000000"/>
          <w:szCs w:val="22"/>
        </w:rPr>
        <w:t>adalimumab</w:t>
      </w:r>
      <w:r w:rsidRPr="001775D9">
        <w:rPr>
          <w:szCs w:val="22"/>
        </w:rPr>
        <w:t>, p &lt; 0.001, experienced “loss of adequate response” (PASI score after week 33 and on or before week 52 that resulted in a &lt; PASI 50 response relative to baseline with a minimum of a 6-point increase in PASI score relative to week 33). Of the patients who lost adequate response after re-randomisation to placebo who then enrolled into the open-label extension trial, 38% (25/66) and 55% (36/66) regained PASI 75 response after 12 and 24 weeks of retreatment, respectively.</w:t>
      </w:r>
    </w:p>
    <w:p w14:paraId="64598CB2" w14:textId="77777777" w:rsidR="001778AA" w:rsidRPr="001775D9" w:rsidRDefault="001778AA" w:rsidP="001778AA">
      <w:pPr>
        <w:tabs>
          <w:tab w:val="clear" w:pos="567"/>
        </w:tabs>
        <w:autoSpaceDE w:val="0"/>
        <w:autoSpaceDN w:val="0"/>
        <w:adjustRightInd w:val="0"/>
        <w:spacing w:line="240" w:lineRule="auto"/>
        <w:rPr>
          <w:szCs w:val="22"/>
        </w:rPr>
      </w:pPr>
    </w:p>
    <w:p w14:paraId="5A778199"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lang w:eastAsia="en-GB"/>
        </w:rPr>
        <w:t xml:space="preserve">A total of 233 PASI 75 responders at </w:t>
      </w:r>
      <w:r w:rsidRPr="001775D9">
        <w:rPr>
          <w:szCs w:val="22"/>
        </w:rPr>
        <w:t>week</w:t>
      </w:r>
      <w:r w:rsidRPr="001775D9">
        <w:rPr>
          <w:szCs w:val="22"/>
          <w:lang w:eastAsia="en-GB"/>
        </w:rPr>
        <w:t xml:space="preserve"> 16 and </w:t>
      </w:r>
      <w:r w:rsidRPr="001775D9">
        <w:rPr>
          <w:szCs w:val="22"/>
        </w:rPr>
        <w:t>week</w:t>
      </w:r>
      <w:r w:rsidRPr="001775D9">
        <w:rPr>
          <w:szCs w:val="22"/>
          <w:lang w:eastAsia="en-GB"/>
        </w:rPr>
        <w:t xml:space="preserve"> 33 received continuous </w:t>
      </w:r>
      <w:r w:rsidRPr="001775D9">
        <w:rPr>
          <w:rFonts w:eastAsia="Times New Roman"/>
          <w:color w:val="000000"/>
          <w:szCs w:val="22"/>
        </w:rPr>
        <w:t>adalimumab</w:t>
      </w:r>
      <w:r w:rsidRPr="001775D9">
        <w:rPr>
          <w:szCs w:val="22"/>
          <w:lang w:eastAsia="en-GB"/>
        </w:rPr>
        <w:t xml:space="preserve"> therapy for 52 weeks in psoriasis study I, and continued </w:t>
      </w:r>
      <w:r w:rsidRPr="001775D9">
        <w:rPr>
          <w:rFonts w:eastAsia="Times New Roman"/>
          <w:color w:val="000000"/>
          <w:szCs w:val="22"/>
        </w:rPr>
        <w:t>adalimumab</w:t>
      </w:r>
      <w:r w:rsidRPr="001775D9">
        <w:rPr>
          <w:szCs w:val="22"/>
          <w:lang w:eastAsia="en-GB"/>
        </w:rPr>
        <w:t xml:space="preserve"> in the open-label extension trial. PASI 75 and PGA</w:t>
      </w:r>
      <w:r w:rsidRPr="001775D9">
        <w:rPr>
          <w:color w:val="000000"/>
          <w:szCs w:val="22"/>
          <w:lang w:eastAsia="en-GB"/>
        </w:rPr>
        <w:t xml:space="preserve"> of clear or minimal response rates in these patients were 74.7% and 59.0%, respectively, after an additional 108 weeks of open-label therapy (total of 160 weeks). In an analysis in which all patients who dropped out of the study for adverse events or lack of efficacy, or who dose-escalated, were considered non-responders, PASI 75 and PGA of clear or minimal response rates in these patients were 69.6% and 55.7%, respectively, after an additional 108 weeks of open-label therapy (total of 160 weeks). </w:t>
      </w:r>
    </w:p>
    <w:p w14:paraId="35B3AADE"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48AEC9C9" w14:textId="6C145F55" w:rsidR="001778AA" w:rsidRPr="00D55B59" w:rsidRDefault="001778AA" w:rsidP="001778AA">
      <w:pPr>
        <w:pStyle w:val="Default"/>
        <w:rPr>
          <w:rFonts w:eastAsia="Times New Roman"/>
          <w:sz w:val="22"/>
          <w:szCs w:val="22"/>
          <w:lang w:val="en-GB" w:eastAsia="en-GB"/>
          <w:rPrChange w:id="1785" w:author="Author">
            <w:rPr>
              <w:rFonts w:eastAsia="Times New Roman"/>
              <w:sz w:val="22"/>
              <w:szCs w:val="22"/>
              <w:lang w:eastAsia="en-GB"/>
            </w:rPr>
          </w:rPrChange>
        </w:rPr>
      </w:pPr>
      <w:r w:rsidRPr="00D55B59">
        <w:rPr>
          <w:sz w:val="22"/>
          <w:szCs w:val="22"/>
          <w:lang w:val="en-GB" w:eastAsia="en-GB"/>
          <w:rPrChange w:id="1786" w:author="Author">
            <w:rPr>
              <w:sz w:val="22"/>
              <w:szCs w:val="22"/>
              <w:lang w:eastAsia="en-GB"/>
            </w:rPr>
          </w:rPrChange>
        </w:rPr>
        <w:t>A total of 347 stable responders participated in a withdrawal and retreatment evaluation in an open-label extension study. During the withdrawal period, symptoms of psoriasis returned over time with a median time to relapse (decline to PGA “moderate” or worse) of approximately 5 months. None of these patients experienced rebound during the withdrawal period. A total of 76.5% (218/285) of patients who entered the retreatment period had a response of PGA “clear” or “minimal” after 16 weeks of retreatment, irrespective of whether they relapsed during withdrawal (69.1%</w:t>
      </w:r>
      <w:r w:rsidR="00C25855" w:rsidRPr="00D55B59">
        <w:rPr>
          <w:sz w:val="22"/>
          <w:szCs w:val="22"/>
          <w:lang w:val="en-GB" w:eastAsia="en-GB"/>
          <w:rPrChange w:id="1787" w:author="Author">
            <w:rPr>
              <w:sz w:val="22"/>
              <w:szCs w:val="22"/>
              <w:lang w:eastAsia="en-GB"/>
            </w:rPr>
          </w:rPrChange>
        </w:rPr>
        <w:t xml:space="preserve"> </w:t>
      </w:r>
      <w:r w:rsidRPr="00D55B59">
        <w:rPr>
          <w:sz w:val="22"/>
          <w:szCs w:val="22"/>
          <w:lang w:val="en-GB" w:eastAsia="en-GB"/>
          <w:rPrChange w:id="1788" w:author="Author">
            <w:rPr>
              <w:sz w:val="22"/>
              <w:szCs w:val="22"/>
              <w:lang w:eastAsia="en-GB"/>
            </w:rPr>
          </w:rPrChange>
        </w:rPr>
        <w:t xml:space="preserve">[123/178] and 88.8% [95/107] for patients who relapsed and who did not relapse during the withdrawal </w:t>
      </w:r>
      <w:r w:rsidRPr="00D55B59">
        <w:rPr>
          <w:rFonts w:eastAsia="Times New Roman"/>
          <w:sz w:val="22"/>
          <w:szCs w:val="22"/>
          <w:lang w:val="en-GB" w:eastAsia="en-GB"/>
          <w:rPrChange w:id="1789" w:author="Author">
            <w:rPr>
              <w:rFonts w:eastAsia="Times New Roman"/>
              <w:sz w:val="22"/>
              <w:szCs w:val="22"/>
              <w:lang w:eastAsia="en-GB"/>
            </w:rPr>
          </w:rPrChange>
        </w:rPr>
        <w:t xml:space="preserve">period, respectively). A similar safety profile was observed during retreatment as before withdrawal. </w:t>
      </w:r>
    </w:p>
    <w:p w14:paraId="747FF444"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6BCAC325" w14:textId="77777777" w:rsidR="001778AA" w:rsidRPr="001775D9" w:rsidRDefault="001778AA" w:rsidP="001778AA">
      <w:pPr>
        <w:tabs>
          <w:tab w:val="clear" w:pos="567"/>
        </w:tabs>
        <w:autoSpaceDE w:val="0"/>
        <w:autoSpaceDN w:val="0"/>
        <w:adjustRightInd w:val="0"/>
        <w:spacing w:line="240" w:lineRule="auto"/>
        <w:rPr>
          <w:szCs w:val="22"/>
        </w:rPr>
      </w:pPr>
      <w:r w:rsidRPr="001775D9">
        <w:rPr>
          <w:color w:val="000000"/>
          <w:szCs w:val="22"/>
          <w:lang w:eastAsia="en-GB"/>
        </w:rPr>
        <w:t xml:space="preserve">Significant improvements at </w:t>
      </w:r>
      <w:r w:rsidRPr="001775D9">
        <w:rPr>
          <w:szCs w:val="22"/>
        </w:rPr>
        <w:t>week</w:t>
      </w:r>
      <w:r w:rsidRPr="001775D9">
        <w:rPr>
          <w:color w:val="000000"/>
          <w:szCs w:val="22"/>
          <w:lang w:eastAsia="en-GB"/>
        </w:rPr>
        <w:t xml:space="preserve"> 16 from baseline compared to placebo (studies I and II) and MTX (study II) were demonstrated in the DLQI (Dermatology Life Quality Index). In study I, improvements in the physical and mental component summary scores of the SF-36 were also significant compared to placebo.</w:t>
      </w:r>
    </w:p>
    <w:p w14:paraId="5CAD58C0" w14:textId="77777777" w:rsidR="001778AA" w:rsidRPr="001775D9" w:rsidRDefault="001778AA" w:rsidP="001778AA">
      <w:pPr>
        <w:tabs>
          <w:tab w:val="clear" w:pos="567"/>
        </w:tabs>
        <w:autoSpaceDE w:val="0"/>
        <w:autoSpaceDN w:val="0"/>
        <w:adjustRightInd w:val="0"/>
        <w:spacing w:line="240" w:lineRule="auto"/>
        <w:rPr>
          <w:szCs w:val="22"/>
        </w:rPr>
      </w:pPr>
    </w:p>
    <w:p w14:paraId="0132B6C3"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In an open-label extension study, for patients who dose escalated from 40 mg every other week to 40 mg weekly due to a PASI response below 50%, 26.4% (92/349) and 37.8% (132/349) of patients achieved PASI 75 response at week 12 and 24, respectively.</w:t>
      </w:r>
    </w:p>
    <w:p w14:paraId="119A17BB"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5F8D1FF3" w14:textId="05068D32"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Psoriasis study III (</w:t>
      </w:r>
      <w:r w:rsidRPr="001775D9">
        <w:rPr>
          <w:szCs w:val="22"/>
          <w:lang w:eastAsia="en-GB"/>
        </w:rPr>
        <w:t xml:space="preserve">REACH) compared the efficacy and safety of </w:t>
      </w:r>
      <w:r w:rsidRPr="001775D9">
        <w:rPr>
          <w:rFonts w:eastAsia="Times New Roman"/>
          <w:color w:val="000000"/>
          <w:szCs w:val="22"/>
        </w:rPr>
        <w:t>adalimumab</w:t>
      </w:r>
      <w:r w:rsidRPr="001775D9">
        <w:rPr>
          <w:i/>
          <w:iCs/>
          <w:szCs w:val="22"/>
          <w:lang w:eastAsia="en-GB"/>
        </w:rPr>
        <w:t xml:space="preserve"> </w:t>
      </w:r>
      <w:r w:rsidRPr="001775D9">
        <w:rPr>
          <w:iCs/>
          <w:szCs w:val="22"/>
          <w:lang w:eastAsia="en-GB"/>
        </w:rPr>
        <w:t>versus</w:t>
      </w:r>
      <w:r w:rsidRPr="001775D9">
        <w:rPr>
          <w:i/>
          <w:iCs/>
          <w:szCs w:val="22"/>
          <w:lang w:eastAsia="en-GB"/>
        </w:rPr>
        <w:t xml:space="preserve"> </w:t>
      </w:r>
      <w:r w:rsidRPr="001775D9">
        <w:rPr>
          <w:szCs w:val="22"/>
          <w:lang w:eastAsia="en-GB"/>
        </w:rPr>
        <w:t>placebo in 72</w:t>
      </w:r>
      <w:r w:rsidR="00A136F3" w:rsidRPr="001775D9">
        <w:rPr>
          <w:szCs w:val="22"/>
          <w:lang w:eastAsia="en-GB"/>
        </w:rPr>
        <w:t> </w:t>
      </w:r>
      <w:r w:rsidRPr="001775D9">
        <w:rPr>
          <w:szCs w:val="22"/>
          <w:lang w:eastAsia="en-GB"/>
        </w:rPr>
        <w:t>patients with moderate to severe chronic plaque psoriasis and hand and/or foot psoriasis. Patients received an initial dose of 80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followed by 40</w:t>
      </w:r>
      <w:r w:rsidRPr="001775D9">
        <w:rPr>
          <w:szCs w:val="22"/>
        </w:rPr>
        <w:t> </w:t>
      </w:r>
      <w:r w:rsidRPr="001775D9">
        <w:rPr>
          <w:szCs w:val="22"/>
          <w:lang w:eastAsia="en-GB"/>
        </w:rPr>
        <w:t xml:space="preserve">mg every other week (starting one week after the initial dose) or placebo for 16 weeks. At </w:t>
      </w:r>
      <w:r w:rsidRPr="001775D9">
        <w:rPr>
          <w:szCs w:val="22"/>
        </w:rPr>
        <w:t>week</w:t>
      </w:r>
      <w:r w:rsidRPr="001775D9">
        <w:rPr>
          <w:szCs w:val="22"/>
          <w:lang w:eastAsia="en-GB"/>
        </w:rPr>
        <w:t xml:space="preserve"> 16, a statistically significantly greater proportion of patients who received </w:t>
      </w:r>
      <w:r w:rsidRPr="001775D9">
        <w:rPr>
          <w:rFonts w:eastAsia="Times New Roman"/>
          <w:color w:val="000000"/>
          <w:szCs w:val="22"/>
        </w:rPr>
        <w:t>adalimumab</w:t>
      </w:r>
      <w:r w:rsidRPr="001775D9">
        <w:rPr>
          <w:szCs w:val="22"/>
          <w:lang w:eastAsia="en-GB"/>
        </w:rPr>
        <w:t xml:space="preserve"> achieved PGA of 'clear' or 'almost clear' for the hands and/or feet compared to patients who received placebo (30.6% versus 4.3%, respectively [P</w:t>
      </w:r>
      <w:r w:rsidRPr="001775D9">
        <w:rPr>
          <w:szCs w:val="22"/>
        </w:rPr>
        <w:t> </w:t>
      </w:r>
      <w:r w:rsidRPr="001775D9">
        <w:rPr>
          <w:szCs w:val="22"/>
          <w:lang w:eastAsia="en-GB"/>
        </w:rPr>
        <w:t>=</w:t>
      </w:r>
      <w:r w:rsidRPr="001775D9">
        <w:rPr>
          <w:szCs w:val="22"/>
        </w:rPr>
        <w:t> </w:t>
      </w:r>
      <w:r w:rsidRPr="001775D9">
        <w:rPr>
          <w:szCs w:val="22"/>
          <w:lang w:eastAsia="en-GB"/>
        </w:rPr>
        <w:t>0.014]).</w:t>
      </w:r>
    </w:p>
    <w:p w14:paraId="440F8967"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3170797" w14:textId="77777777" w:rsidR="001778AA" w:rsidRPr="00D55B59" w:rsidRDefault="001778AA" w:rsidP="001778AA">
      <w:pPr>
        <w:pStyle w:val="gtctabletitleotherwise"/>
        <w:spacing w:before="0"/>
        <w:jc w:val="left"/>
        <w:rPr>
          <w:b w:val="0"/>
          <w:sz w:val="22"/>
          <w:szCs w:val="22"/>
          <w:lang w:val="en-GB"/>
          <w:rPrChange w:id="1790" w:author="Author">
            <w:rPr>
              <w:b w:val="0"/>
              <w:sz w:val="22"/>
              <w:szCs w:val="22"/>
            </w:rPr>
          </w:rPrChange>
        </w:rPr>
      </w:pPr>
      <w:r w:rsidRPr="00D55B59">
        <w:rPr>
          <w:b w:val="0"/>
          <w:sz w:val="22"/>
          <w:szCs w:val="22"/>
          <w:lang w:val="en-GB"/>
          <w:rPrChange w:id="1791" w:author="Author">
            <w:rPr>
              <w:b w:val="0"/>
              <w:sz w:val="22"/>
              <w:szCs w:val="22"/>
            </w:rPr>
          </w:rPrChange>
        </w:rPr>
        <w:t xml:space="preserve">Psoriasis study IV compared efficacy and safety of adalimumab versus placebo in 217 adult patients with moderate to severe nail psoriasis. Patients received an initial dose of 80 mg adalimumab followed by 40 mg every other week (starting one week after the initial dose) or placebo for 26 weeks followed by open-label adalimumab treatment for an additional 26 weeks. Nail psoriasis assessments included the Modified Nail Psoriasis Severity Index (mNAPSI), the Physician’s Global Assessment of Fingernail Psoriasis (PGA-F) and the Nail Psoriasis Severity Index (NAPSI) (see table 18). Adalimumab demonstrated a treatment benefit in nail psoriasis patients with different extents of skin involvement (BSA ≥ 10% </w:t>
      </w:r>
      <w:r w:rsidRPr="001775D9">
        <w:rPr>
          <w:b w:val="0"/>
          <w:sz w:val="22"/>
          <w:szCs w:val="22"/>
          <w:lang w:val="en-GB"/>
        </w:rPr>
        <w:t xml:space="preserve">(60% of patients) </w:t>
      </w:r>
      <w:r w:rsidRPr="00D55B59">
        <w:rPr>
          <w:b w:val="0"/>
          <w:sz w:val="22"/>
          <w:szCs w:val="22"/>
          <w:lang w:val="en-GB"/>
          <w:rPrChange w:id="1792" w:author="Author">
            <w:rPr>
              <w:b w:val="0"/>
              <w:sz w:val="22"/>
              <w:szCs w:val="22"/>
            </w:rPr>
          </w:rPrChange>
        </w:rPr>
        <w:t xml:space="preserve">and BSA &lt; 10% and ≥ 5% </w:t>
      </w:r>
      <w:r w:rsidRPr="001775D9">
        <w:rPr>
          <w:b w:val="0"/>
          <w:sz w:val="22"/>
          <w:szCs w:val="22"/>
          <w:lang w:val="en-GB"/>
        </w:rPr>
        <w:t>(40% of patients</w:t>
      </w:r>
      <w:r w:rsidRPr="001775D9">
        <w:rPr>
          <w:b w:val="0"/>
          <w:lang w:val="en-GB"/>
        </w:rPr>
        <w:t>)</w:t>
      </w:r>
      <w:r w:rsidRPr="00D55B59">
        <w:rPr>
          <w:b w:val="0"/>
          <w:sz w:val="22"/>
          <w:szCs w:val="22"/>
          <w:lang w:val="en-GB"/>
          <w:rPrChange w:id="1793" w:author="Author">
            <w:rPr>
              <w:b w:val="0"/>
              <w:sz w:val="22"/>
              <w:szCs w:val="22"/>
            </w:rPr>
          </w:rPrChange>
        </w:rPr>
        <w:t>).</w:t>
      </w:r>
    </w:p>
    <w:p w14:paraId="458AF729" w14:textId="77777777" w:rsidR="001778AA" w:rsidRPr="00D55B59" w:rsidRDefault="001778AA" w:rsidP="001778AA">
      <w:pPr>
        <w:pStyle w:val="gtctabletitleotherwise"/>
        <w:spacing w:before="0"/>
        <w:jc w:val="left"/>
        <w:rPr>
          <w:sz w:val="22"/>
          <w:szCs w:val="22"/>
          <w:lang w:val="en-GB"/>
          <w:rPrChange w:id="1794" w:author="Author">
            <w:rPr>
              <w:sz w:val="22"/>
              <w:szCs w:val="22"/>
            </w:rPr>
          </w:rPrChange>
        </w:rPr>
      </w:pPr>
    </w:p>
    <w:p w14:paraId="7F38A86C" w14:textId="77777777" w:rsidR="001778AA" w:rsidRPr="00D55B59" w:rsidRDefault="001778AA" w:rsidP="001778AA">
      <w:pPr>
        <w:pStyle w:val="gtctabletitleotherwise"/>
        <w:keepNext/>
        <w:spacing w:before="0"/>
        <w:jc w:val="left"/>
        <w:rPr>
          <w:bCs w:val="0"/>
          <w:sz w:val="22"/>
          <w:szCs w:val="22"/>
          <w:lang w:val="en-GB"/>
          <w:rPrChange w:id="1795" w:author="Author">
            <w:rPr>
              <w:bCs w:val="0"/>
              <w:sz w:val="22"/>
              <w:szCs w:val="22"/>
            </w:rPr>
          </w:rPrChange>
        </w:rPr>
      </w:pPr>
      <w:r w:rsidRPr="00D55B59">
        <w:rPr>
          <w:bCs w:val="0"/>
          <w:sz w:val="22"/>
          <w:szCs w:val="22"/>
          <w:lang w:val="en-GB"/>
          <w:rPrChange w:id="1796" w:author="Author">
            <w:rPr>
              <w:bCs w:val="0"/>
              <w:sz w:val="22"/>
              <w:szCs w:val="22"/>
            </w:rPr>
          </w:rPrChange>
        </w:rPr>
        <w:t>Table 18. Ps study IV efficacy results at 16, 26 and 52 weeks</w:t>
      </w:r>
    </w:p>
    <w:p w14:paraId="3BA230D8" w14:textId="77777777" w:rsidR="001778AA" w:rsidRPr="00D55B59" w:rsidRDefault="001778AA" w:rsidP="001778AA">
      <w:pPr>
        <w:pStyle w:val="gtctabletitleotherwise"/>
        <w:keepNext/>
        <w:spacing w:before="0"/>
        <w:jc w:val="left"/>
        <w:rPr>
          <w:sz w:val="22"/>
          <w:szCs w:val="22"/>
          <w:lang w:val="en-GB"/>
          <w:rPrChange w:id="1797" w:author="Author">
            <w:rPr>
              <w:sz w:val="22"/>
              <w:szCs w:val="22"/>
            </w:rPr>
          </w:rPrChange>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134"/>
        <w:gridCol w:w="1559"/>
        <w:gridCol w:w="1134"/>
        <w:gridCol w:w="1560"/>
        <w:gridCol w:w="1671"/>
      </w:tblGrid>
      <w:tr w:rsidR="001778AA" w:rsidRPr="00F04F82" w14:paraId="7D301A55" w14:textId="77777777" w:rsidTr="005D4E8A">
        <w:trPr>
          <w:tblHeader/>
        </w:trPr>
        <w:tc>
          <w:tcPr>
            <w:tcW w:w="2518" w:type="dxa"/>
            <w:vMerge w:val="restart"/>
          </w:tcPr>
          <w:p w14:paraId="5838A0D0" w14:textId="77777777" w:rsidR="001778AA" w:rsidRPr="00D55B59" w:rsidRDefault="001778AA" w:rsidP="00D47253">
            <w:pPr>
              <w:pStyle w:val="gtctablespaceafter"/>
              <w:keepNext/>
              <w:spacing w:after="0"/>
              <w:rPr>
                <w:b/>
                <w:bCs/>
                <w:sz w:val="22"/>
                <w:szCs w:val="22"/>
                <w:lang w:val="en-GB"/>
                <w:rPrChange w:id="1798" w:author="Author">
                  <w:rPr>
                    <w:b/>
                    <w:bCs/>
                    <w:sz w:val="22"/>
                    <w:szCs w:val="22"/>
                  </w:rPr>
                </w:rPrChange>
              </w:rPr>
            </w:pPr>
            <w:r w:rsidRPr="00D55B59">
              <w:rPr>
                <w:b/>
                <w:bCs/>
                <w:sz w:val="22"/>
                <w:szCs w:val="22"/>
                <w:lang w:val="en-GB"/>
                <w:rPrChange w:id="1799" w:author="Author">
                  <w:rPr>
                    <w:b/>
                    <w:bCs/>
                    <w:sz w:val="22"/>
                    <w:szCs w:val="22"/>
                  </w:rPr>
                </w:rPrChange>
              </w:rPr>
              <w:t>Endpoint</w:t>
            </w:r>
          </w:p>
        </w:tc>
        <w:tc>
          <w:tcPr>
            <w:tcW w:w="2693" w:type="dxa"/>
            <w:gridSpan w:val="2"/>
          </w:tcPr>
          <w:p w14:paraId="0F7E3D4F" w14:textId="77777777" w:rsidR="001778AA" w:rsidRPr="00D55B59" w:rsidRDefault="001778AA" w:rsidP="00D47253">
            <w:pPr>
              <w:pStyle w:val="gtctablespaceafter"/>
              <w:keepNext/>
              <w:spacing w:after="0"/>
              <w:jc w:val="center"/>
              <w:rPr>
                <w:b/>
                <w:sz w:val="22"/>
                <w:szCs w:val="22"/>
                <w:lang w:val="en-GB"/>
                <w:rPrChange w:id="1800" w:author="Author">
                  <w:rPr>
                    <w:b/>
                    <w:sz w:val="22"/>
                    <w:szCs w:val="22"/>
                  </w:rPr>
                </w:rPrChange>
              </w:rPr>
            </w:pPr>
            <w:r w:rsidRPr="00D55B59">
              <w:rPr>
                <w:b/>
                <w:sz w:val="22"/>
                <w:szCs w:val="22"/>
                <w:lang w:val="en-GB"/>
                <w:rPrChange w:id="1801" w:author="Author">
                  <w:rPr>
                    <w:b/>
                    <w:sz w:val="22"/>
                    <w:szCs w:val="22"/>
                  </w:rPr>
                </w:rPrChange>
              </w:rPr>
              <w:t>Week 16</w:t>
            </w:r>
          </w:p>
          <w:p w14:paraId="7902A8D5" w14:textId="77777777" w:rsidR="001778AA" w:rsidRPr="00D55B59" w:rsidRDefault="001778AA" w:rsidP="00D47253">
            <w:pPr>
              <w:pStyle w:val="gtctablespaceafter"/>
              <w:keepNext/>
              <w:spacing w:after="0"/>
              <w:jc w:val="center"/>
              <w:rPr>
                <w:b/>
                <w:sz w:val="22"/>
                <w:szCs w:val="22"/>
                <w:lang w:val="en-GB"/>
                <w:rPrChange w:id="1802" w:author="Author">
                  <w:rPr>
                    <w:b/>
                    <w:sz w:val="22"/>
                    <w:szCs w:val="22"/>
                  </w:rPr>
                </w:rPrChange>
              </w:rPr>
            </w:pPr>
            <w:r w:rsidRPr="00D55B59">
              <w:rPr>
                <w:b/>
                <w:sz w:val="22"/>
                <w:szCs w:val="22"/>
                <w:lang w:val="en-GB"/>
                <w:rPrChange w:id="1803" w:author="Author">
                  <w:rPr>
                    <w:b/>
                    <w:sz w:val="22"/>
                    <w:szCs w:val="22"/>
                  </w:rPr>
                </w:rPrChange>
              </w:rPr>
              <w:t>Placebo-controlled</w:t>
            </w:r>
          </w:p>
        </w:tc>
        <w:tc>
          <w:tcPr>
            <w:tcW w:w="2694" w:type="dxa"/>
            <w:gridSpan w:val="2"/>
          </w:tcPr>
          <w:p w14:paraId="7613E8DD" w14:textId="77777777" w:rsidR="001778AA" w:rsidRPr="00D55B59" w:rsidRDefault="001778AA" w:rsidP="00D47253">
            <w:pPr>
              <w:pStyle w:val="gtctablespaceafter"/>
              <w:keepNext/>
              <w:spacing w:after="0"/>
              <w:jc w:val="center"/>
              <w:rPr>
                <w:b/>
                <w:sz w:val="22"/>
                <w:szCs w:val="22"/>
                <w:lang w:val="en-GB"/>
                <w:rPrChange w:id="1804" w:author="Author">
                  <w:rPr>
                    <w:b/>
                    <w:sz w:val="22"/>
                    <w:szCs w:val="22"/>
                  </w:rPr>
                </w:rPrChange>
              </w:rPr>
            </w:pPr>
            <w:r w:rsidRPr="00D55B59">
              <w:rPr>
                <w:b/>
                <w:sz w:val="22"/>
                <w:szCs w:val="22"/>
                <w:lang w:val="en-GB"/>
                <w:rPrChange w:id="1805" w:author="Author">
                  <w:rPr>
                    <w:b/>
                    <w:sz w:val="22"/>
                    <w:szCs w:val="22"/>
                  </w:rPr>
                </w:rPrChange>
              </w:rPr>
              <w:t>Week 26</w:t>
            </w:r>
          </w:p>
          <w:p w14:paraId="74D95F4B" w14:textId="77777777" w:rsidR="001778AA" w:rsidRPr="00D55B59" w:rsidRDefault="001778AA" w:rsidP="00D47253">
            <w:pPr>
              <w:pStyle w:val="gtctablespaceafter"/>
              <w:keepNext/>
              <w:spacing w:after="0"/>
              <w:jc w:val="center"/>
              <w:rPr>
                <w:b/>
                <w:sz w:val="22"/>
                <w:szCs w:val="22"/>
                <w:lang w:val="en-GB"/>
                <w:rPrChange w:id="1806" w:author="Author">
                  <w:rPr>
                    <w:b/>
                    <w:sz w:val="22"/>
                    <w:szCs w:val="22"/>
                  </w:rPr>
                </w:rPrChange>
              </w:rPr>
            </w:pPr>
            <w:r w:rsidRPr="00D55B59">
              <w:rPr>
                <w:b/>
                <w:sz w:val="22"/>
                <w:szCs w:val="22"/>
                <w:lang w:val="en-GB"/>
                <w:rPrChange w:id="1807" w:author="Author">
                  <w:rPr>
                    <w:b/>
                    <w:sz w:val="22"/>
                    <w:szCs w:val="22"/>
                  </w:rPr>
                </w:rPrChange>
              </w:rPr>
              <w:t>Placebo-controlled</w:t>
            </w:r>
          </w:p>
        </w:tc>
        <w:tc>
          <w:tcPr>
            <w:tcW w:w="1671" w:type="dxa"/>
          </w:tcPr>
          <w:p w14:paraId="5229A792" w14:textId="77777777" w:rsidR="001778AA" w:rsidRPr="00D55B59" w:rsidRDefault="001778AA" w:rsidP="00D47253">
            <w:pPr>
              <w:pStyle w:val="gtctablespaceafter"/>
              <w:keepNext/>
              <w:spacing w:after="0"/>
              <w:jc w:val="center"/>
              <w:rPr>
                <w:b/>
                <w:sz w:val="22"/>
                <w:szCs w:val="22"/>
                <w:lang w:val="en-GB"/>
                <w:rPrChange w:id="1808" w:author="Author">
                  <w:rPr>
                    <w:b/>
                    <w:sz w:val="22"/>
                    <w:szCs w:val="22"/>
                  </w:rPr>
                </w:rPrChange>
              </w:rPr>
            </w:pPr>
            <w:r w:rsidRPr="00D55B59">
              <w:rPr>
                <w:b/>
                <w:sz w:val="22"/>
                <w:szCs w:val="22"/>
                <w:lang w:val="en-GB"/>
                <w:rPrChange w:id="1809" w:author="Author">
                  <w:rPr>
                    <w:b/>
                    <w:sz w:val="22"/>
                    <w:szCs w:val="22"/>
                  </w:rPr>
                </w:rPrChange>
              </w:rPr>
              <w:t>Week 52</w:t>
            </w:r>
          </w:p>
          <w:p w14:paraId="230E7876" w14:textId="77777777" w:rsidR="001778AA" w:rsidRPr="00D55B59" w:rsidRDefault="001778AA" w:rsidP="00D47253">
            <w:pPr>
              <w:pStyle w:val="gtctablespaceafter"/>
              <w:keepNext/>
              <w:spacing w:after="0"/>
              <w:jc w:val="center"/>
              <w:rPr>
                <w:b/>
                <w:sz w:val="22"/>
                <w:szCs w:val="22"/>
                <w:lang w:val="en-GB"/>
                <w:rPrChange w:id="1810" w:author="Author">
                  <w:rPr>
                    <w:b/>
                    <w:sz w:val="22"/>
                    <w:szCs w:val="22"/>
                  </w:rPr>
                </w:rPrChange>
              </w:rPr>
            </w:pPr>
            <w:r w:rsidRPr="00D55B59">
              <w:rPr>
                <w:b/>
                <w:sz w:val="22"/>
                <w:szCs w:val="22"/>
                <w:lang w:val="en-GB"/>
                <w:rPrChange w:id="1811" w:author="Author">
                  <w:rPr>
                    <w:b/>
                    <w:sz w:val="22"/>
                    <w:szCs w:val="22"/>
                  </w:rPr>
                </w:rPrChange>
              </w:rPr>
              <w:t>Open-label</w:t>
            </w:r>
          </w:p>
        </w:tc>
      </w:tr>
      <w:tr w:rsidR="001778AA" w:rsidRPr="00F04F82" w14:paraId="4A83231C" w14:textId="77777777" w:rsidTr="005D4E8A">
        <w:trPr>
          <w:tblHeader/>
        </w:trPr>
        <w:tc>
          <w:tcPr>
            <w:tcW w:w="2518" w:type="dxa"/>
            <w:vMerge/>
          </w:tcPr>
          <w:p w14:paraId="396F3C6B" w14:textId="77777777" w:rsidR="001778AA" w:rsidRPr="00D55B59" w:rsidRDefault="001778AA" w:rsidP="00D47253">
            <w:pPr>
              <w:pStyle w:val="gtctablespaceafter"/>
              <w:keepNext/>
              <w:spacing w:after="0"/>
              <w:rPr>
                <w:sz w:val="22"/>
                <w:szCs w:val="22"/>
                <w:lang w:val="en-GB"/>
                <w:rPrChange w:id="1812" w:author="Author">
                  <w:rPr>
                    <w:sz w:val="22"/>
                    <w:szCs w:val="22"/>
                  </w:rPr>
                </w:rPrChange>
              </w:rPr>
            </w:pPr>
          </w:p>
        </w:tc>
        <w:tc>
          <w:tcPr>
            <w:tcW w:w="1134" w:type="dxa"/>
          </w:tcPr>
          <w:p w14:paraId="7B6DB35A" w14:textId="77777777" w:rsidR="001778AA" w:rsidRPr="00D55B59" w:rsidRDefault="001778AA" w:rsidP="00D47253">
            <w:pPr>
              <w:pStyle w:val="gtctablespaceafter"/>
              <w:keepNext/>
              <w:spacing w:after="0"/>
              <w:jc w:val="center"/>
              <w:rPr>
                <w:b/>
                <w:bCs/>
                <w:sz w:val="22"/>
                <w:szCs w:val="22"/>
                <w:lang w:val="en-GB"/>
                <w:rPrChange w:id="1813" w:author="Author">
                  <w:rPr>
                    <w:b/>
                    <w:bCs/>
                    <w:sz w:val="22"/>
                    <w:szCs w:val="22"/>
                  </w:rPr>
                </w:rPrChange>
              </w:rPr>
            </w:pPr>
            <w:r w:rsidRPr="00D55B59">
              <w:rPr>
                <w:b/>
                <w:bCs/>
                <w:sz w:val="22"/>
                <w:lang w:val="en-GB"/>
                <w:rPrChange w:id="1814" w:author="Author">
                  <w:rPr>
                    <w:b/>
                    <w:bCs/>
                    <w:sz w:val="22"/>
                  </w:rPr>
                </w:rPrChange>
              </w:rPr>
              <w:t>Placebo</w:t>
            </w:r>
            <w:r w:rsidRPr="00D55B59">
              <w:rPr>
                <w:b/>
                <w:bCs/>
                <w:sz w:val="22"/>
                <w:lang w:val="en-GB"/>
                <w:rPrChange w:id="1815" w:author="Author">
                  <w:rPr>
                    <w:b/>
                    <w:bCs/>
                    <w:sz w:val="22"/>
                  </w:rPr>
                </w:rPrChange>
              </w:rPr>
              <w:br/>
              <w:t>N = 108</w:t>
            </w:r>
          </w:p>
        </w:tc>
        <w:tc>
          <w:tcPr>
            <w:tcW w:w="1559" w:type="dxa"/>
          </w:tcPr>
          <w:p w14:paraId="52CB297E" w14:textId="77777777" w:rsidR="005D4E8A" w:rsidRPr="00D55B59" w:rsidRDefault="001778AA" w:rsidP="00D47253">
            <w:pPr>
              <w:pStyle w:val="gtctablespaceafter"/>
              <w:keepNext/>
              <w:spacing w:after="0"/>
              <w:jc w:val="center"/>
              <w:rPr>
                <w:b/>
                <w:bCs/>
                <w:sz w:val="22"/>
                <w:szCs w:val="22"/>
                <w:lang w:val="en-GB"/>
                <w:rPrChange w:id="1816" w:author="Author">
                  <w:rPr>
                    <w:b/>
                    <w:bCs/>
                    <w:sz w:val="22"/>
                    <w:szCs w:val="22"/>
                  </w:rPr>
                </w:rPrChange>
              </w:rPr>
            </w:pPr>
            <w:r w:rsidRPr="00D55B59">
              <w:rPr>
                <w:b/>
                <w:bCs/>
                <w:sz w:val="22"/>
                <w:szCs w:val="22"/>
                <w:lang w:val="en-GB"/>
                <w:rPrChange w:id="1817" w:author="Author">
                  <w:rPr>
                    <w:b/>
                    <w:bCs/>
                    <w:sz w:val="22"/>
                    <w:szCs w:val="22"/>
                  </w:rPr>
                </w:rPrChange>
              </w:rPr>
              <w:t>Adalimumab</w:t>
            </w:r>
          </w:p>
          <w:p w14:paraId="3A8685C5" w14:textId="5B7C836F" w:rsidR="001778AA" w:rsidRPr="00D55B59" w:rsidRDefault="001778AA" w:rsidP="00D47253">
            <w:pPr>
              <w:pStyle w:val="gtctablespaceafter"/>
              <w:keepNext/>
              <w:spacing w:after="0"/>
              <w:jc w:val="center"/>
              <w:rPr>
                <w:b/>
                <w:bCs/>
                <w:sz w:val="22"/>
                <w:lang w:val="en-GB"/>
                <w:rPrChange w:id="1818" w:author="Author">
                  <w:rPr>
                    <w:b/>
                    <w:bCs/>
                    <w:sz w:val="22"/>
                  </w:rPr>
                </w:rPrChange>
              </w:rPr>
            </w:pPr>
            <w:r w:rsidRPr="00D55B59">
              <w:rPr>
                <w:b/>
                <w:bCs/>
                <w:sz w:val="22"/>
                <w:lang w:val="en-GB"/>
                <w:rPrChange w:id="1819" w:author="Author">
                  <w:rPr>
                    <w:b/>
                    <w:bCs/>
                    <w:sz w:val="22"/>
                  </w:rPr>
                </w:rPrChange>
              </w:rPr>
              <w:t xml:space="preserve">40 mg </w:t>
            </w:r>
          </w:p>
          <w:p w14:paraId="55C6BCFE" w14:textId="77777777" w:rsidR="001778AA" w:rsidRPr="00D55B59" w:rsidRDefault="001778AA" w:rsidP="00D47253">
            <w:pPr>
              <w:pStyle w:val="gtctablespaceafter"/>
              <w:keepNext/>
              <w:spacing w:after="0"/>
              <w:jc w:val="center"/>
              <w:rPr>
                <w:b/>
                <w:bCs/>
                <w:sz w:val="22"/>
                <w:lang w:val="en-GB"/>
                <w:rPrChange w:id="1820" w:author="Author">
                  <w:rPr>
                    <w:b/>
                    <w:bCs/>
                    <w:sz w:val="22"/>
                  </w:rPr>
                </w:rPrChange>
              </w:rPr>
            </w:pPr>
            <w:r w:rsidRPr="00D55B59">
              <w:rPr>
                <w:b/>
                <w:bCs/>
                <w:sz w:val="22"/>
                <w:lang w:val="en-GB"/>
                <w:rPrChange w:id="1821" w:author="Author">
                  <w:rPr>
                    <w:b/>
                    <w:bCs/>
                    <w:sz w:val="22"/>
                  </w:rPr>
                </w:rPrChange>
              </w:rPr>
              <w:t>every other week</w:t>
            </w:r>
            <w:r w:rsidRPr="00D55B59">
              <w:rPr>
                <w:b/>
                <w:bCs/>
                <w:sz w:val="22"/>
                <w:lang w:val="en-GB"/>
                <w:rPrChange w:id="1822" w:author="Author">
                  <w:rPr>
                    <w:b/>
                    <w:bCs/>
                    <w:sz w:val="22"/>
                  </w:rPr>
                </w:rPrChange>
              </w:rPr>
              <w:br/>
              <w:t>N = 109</w:t>
            </w:r>
          </w:p>
        </w:tc>
        <w:tc>
          <w:tcPr>
            <w:tcW w:w="1134" w:type="dxa"/>
          </w:tcPr>
          <w:p w14:paraId="444D41BA" w14:textId="77777777" w:rsidR="001778AA" w:rsidRPr="00D55B59" w:rsidRDefault="001778AA" w:rsidP="00D47253">
            <w:pPr>
              <w:pStyle w:val="gtctablespaceafter"/>
              <w:keepNext/>
              <w:spacing w:after="0"/>
              <w:jc w:val="center"/>
              <w:rPr>
                <w:b/>
                <w:bCs/>
                <w:sz w:val="22"/>
                <w:szCs w:val="22"/>
                <w:lang w:val="en-GB"/>
                <w:rPrChange w:id="1823" w:author="Author">
                  <w:rPr>
                    <w:b/>
                    <w:bCs/>
                    <w:sz w:val="22"/>
                    <w:szCs w:val="22"/>
                  </w:rPr>
                </w:rPrChange>
              </w:rPr>
            </w:pPr>
            <w:r w:rsidRPr="00D55B59">
              <w:rPr>
                <w:b/>
                <w:bCs/>
                <w:sz w:val="22"/>
                <w:lang w:val="en-GB"/>
                <w:rPrChange w:id="1824" w:author="Author">
                  <w:rPr>
                    <w:b/>
                    <w:bCs/>
                    <w:sz w:val="22"/>
                  </w:rPr>
                </w:rPrChange>
              </w:rPr>
              <w:t>Placebo</w:t>
            </w:r>
            <w:r w:rsidRPr="00D55B59">
              <w:rPr>
                <w:b/>
                <w:bCs/>
                <w:sz w:val="22"/>
                <w:lang w:val="en-GB"/>
                <w:rPrChange w:id="1825" w:author="Author">
                  <w:rPr>
                    <w:b/>
                    <w:bCs/>
                    <w:sz w:val="22"/>
                  </w:rPr>
                </w:rPrChange>
              </w:rPr>
              <w:br/>
              <w:t>N = 108</w:t>
            </w:r>
          </w:p>
        </w:tc>
        <w:tc>
          <w:tcPr>
            <w:tcW w:w="1560" w:type="dxa"/>
          </w:tcPr>
          <w:p w14:paraId="62DF5429" w14:textId="77777777" w:rsidR="001778AA" w:rsidRPr="00D55B59" w:rsidRDefault="001778AA" w:rsidP="00D47253">
            <w:pPr>
              <w:pStyle w:val="In-texttable"/>
              <w:spacing w:line="240" w:lineRule="auto"/>
              <w:jc w:val="center"/>
              <w:rPr>
                <w:rFonts w:ascii="Times New Roman" w:hAnsi="Times New Roman"/>
                <w:b/>
                <w:bCs/>
                <w:sz w:val="22"/>
                <w:lang w:val="en-GB"/>
                <w:rPrChange w:id="1826" w:author="Author">
                  <w:rPr>
                    <w:rFonts w:ascii="Times New Roman" w:hAnsi="Times New Roman"/>
                    <w:b/>
                    <w:bCs/>
                    <w:sz w:val="22"/>
                  </w:rPr>
                </w:rPrChange>
              </w:rPr>
            </w:pPr>
            <w:r w:rsidRPr="00D55B59">
              <w:rPr>
                <w:rFonts w:ascii="Times New Roman" w:hAnsi="Times New Roman"/>
                <w:b/>
                <w:bCs/>
                <w:sz w:val="22"/>
                <w:lang w:val="en-GB"/>
                <w:rPrChange w:id="1827" w:author="Author">
                  <w:rPr>
                    <w:rFonts w:ascii="Times New Roman" w:hAnsi="Times New Roman"/>
                    <w:b/>
                    <w:bCs/>
                    <w:sz w:val="22"/>
                  </w:rPr>
                </w:rPrChange>
              </w:rPr>
              <w:t>Adalimumab</w:t>
            </w:r>
          </w:p>
          <w:p w14:paraId="2CAC8FB3" w14:textId="77777777" w:rsidR="001778AA" w:rsidRPr="00D55B59" w:rsidRDefault="001778AA" w:rsidP="00D47253">
            <w:pPr>
              <w:pStyle w:val="gtctablespaceafter"/>
              <w:keepNext/>
              <w:spacing w:after="0"/>
              <w:jc w:val="center"/>
              <w:rPr>
                <w:b/>
                <w:bCs/>
                <w:sz w:val="22"/>
                <w:lang w:val="en-GB"/>
                <w:rPrChange w:id="1828" w:author="Author">
                  <w:rPr>
                    <w:b/>
                    <w:bCs/>
                    <w:sz w:val="22"/>
                  </w:rPr>
                </w:rPrChange>
              </w:rPr>
            </w:pPr>
            <w:r w:rsidRPr="00D55B59">
              <w:rPr>
                <w:b/>
                <w:bCs/>
                <w:sz w:val="22"/>
                <w:lang w:val="en-GB"/>
                <w:rPrChange w:id="1829" w:author="Author">
                  <w:rPr>
                    <w:b/>
                    <w:bCs/>
                    <w:sz w:val="22"/>
                  </w:rPr>
                </w:rPrChange>
              </w:rPr>
              <w:t xml:space="preserve">40 mg  </w:t>
            </w:r>
          </w:p>
          <w:p w14:paraId="73118198" w14:textId="77777777" w:rsidR="001778AA" w:rsidRPr="00D55B59" w:rsidRDefault="001778AA" w:rsidP="00D47253">
            <w:pPr>
              <w:pStyle w:val="gtctablespaceafter"/>
              <w:keepNext/>
              <w:spacing w:after="0"/>
              <w:jc w:val="center"/>
              <w:rPr>
                <w:b/>
                <w:bCs/>
                <w:sz w:val="22"/>
                <w:szCs w:val="22"/>
                <w:lang w:val="en-GB"/>
                <w:rPrChange w:id="1830" w:author="Author">
                  <w:rPr>
                    <w:b/>
                    <w:bCs/>
                    <w:sz w:val="22"/>
                    <w:szCs w:val="22"/>
                  </w:rPr>
                </w:rPrChange>
              </w:rPr>
            </w:pPr>
            <w:r w:rsidRPr="00D55B59">
              <w:rPr>
                <w:b/>
                <w:bCs/>
                <w:sz w:val="22"/>
                <w:lang w:val="en-GB"/>
                <w:rPrChange w:id="1831" w:author="Author">
                  <w:rPr>
                    <w:b/>
                    <w:bCs/>
                    <w:sz w:val="22"/>
                  </w:rPr>
                </w:rPrChange>
              </w:rPr>
              <w:t>every other week</w:t>
            </w:r>
            <w:r w:rsidRPr="00D55B59">
              <w:rPr>
                <w:b/>
                <w:bCs/>
                <w:sz w:val="22"/>
                <w:lang w:val="en-GB"/>
                <w:rPrChange w:id="1832" w:author="Author">
                  <w:rPr>
                    <w:b/>
                    <w:bCs/>
                    <w:sz w:val="22"/>
                  </w:rPr>
                </w:rPrChange>
              </w:rPr>
              <w:br/>
              <w:t>N = 109</w:t>
            </w:r>
          </w:p>
        </w:tc>
        <w:tc>
          <w:tcPr>
            <w:tcW w:w="1671" w:type="dxa"/>
          </w:tcPr>
          <w:p w14:paraId="01A58D92" w14:textId="77777777" w:rsidR="001778AA" w:rsidRPr="00D55B59" w:rsidRDefault="001778AA" w:rsidP="00D47253">
            <w:pPr>
              <w:pStyle w:val="In-texttable"/>
              <w:spacing w:line="240" w:lineRule="auto"/>
              <w:jc w:val="center"/>
              <w:rPr>
                <w:rFonts w:ascii="Times New Roman" w:hAnsi="Times New Roman"/>
                <w:b/>
                <w:bCs/>
                <w:sz w:val="22"/>
                <w:lang w:val="en-GB"/>
                <w:rPrChange w:id="1833" w:author="Author">
                  <w:rPr>
                    <w:rFonts w:ascii="Times New Roman" w:hAnsi="Times New Roman"/>
                    <w:b/>
                    <w:bCs/>
                    <w:sz w:val="22"/>
                  </w:rPr>
                </w:rPrChange>
              </w:rPr>
            </w:pPr>
            <w:r w:rsidRPr="00D55B59">
              <w:rPr>
                <w:rFonts w:ascii="Times New Roman" w:hAnsi="Times New Roman"/>
                <w:b/>
                <w:bCs/>
                <w:sz w:val="22"/>
                <w:lang w:val="en-GB"/>
                <w:rPrChange w:id="1834" w:author="Author">
                  <w:rPr>
                    <w:rFonts w:ascii="Times New Roman" w:hAnsi="Times New Roman"/>
                    <w:b/>
                    <w:bCs/>
                    <w:sz w:val="22"/>
                  </w:rPr>
                </w:rPrChange>
              </w:rPr>
              <w:t>Adalimumab</w:t>
            </w:r>
          </w:p>
          <w:p w14:paraId="4734DC80" w14:textId="77777777" w:rsidR="001778AA" w:rsidRPr="00D55B59" w:rsidRDefault="001778AA" w:rsidP="00D47253">
            <w:pPr>
              <w:pStyle w:val="gtctablespaceafter"/>
              <w:keepNext/>
              <w:spacing w:after="0"/>
              <w:jc w:val="center"/>
              <w:rPr>
                <w:b/>
                <w:bCs/>
                <w:sz w:val="22"/>
                <w:lang w:val="en-GB"/>
                <w:rPrChange w:id="1835" w:author="Author">
                  <w:rPr>
                    <w:b/>
                    <w:bCs/>
                    <w:sz w:val="22"/>
                  </w:rPr>
                </w:rPrChange>
              </w:rPr>
            </w:pPr>
            <w:r w:rsidRPr="00D55B59">
              <w:rPr>
                <w:b/>
                <w:bCs/>
                <w:sz w:val="22"/>
                <w:lang w:val="en-GB"/>
                <w:rPrChange w:id="1836" w:author="Author">
                  <w:rPr>
                    <w:b/>
                    <w:bCs/>
                    <w:sz w:val="22"/>
                  </w:rPr>
                </w:rPrChange>
              </w:rPr>
              <w:t xml:space="preserve">40 mg </w:t>
            </w:r>
          </w:p>
          <w:p w14:paraId="51FBF8C3" w14:textId="77777777" w:rsidR="001778AA" w:rsidRPr="00D55B59" w:rsidRDefault="001778AA" w:rsidP="00D47253">
            <w:pPr>
              <w:pStyle w:val="gtctablespaceafter"/>
              <w:keepNext/>
              <w:spacing w:after="0"/>
              <w:jc w:val="center"/>
              <w:rPr>
                <w:b/>
                <w:bCs/>
                <w:sz w:val="22"/>
                <w:szCs w:val="22"/>
                <w:lang w:val="en-GB"/>
                <w:rPrChange w:id="1837" w:author="Author">
                  <w:rPr>
                    <w:b/>
                    <w:bCs/>
                    <w:sz w:val="22"/>
                    <w:szCs w:val="22"/>
                  </w:rPr>
                </w:rPrChange>
              </w:rPr>
            </w:pPr>
            <w:r w:rsidRPr="00D55B59">
              <w:rPr>
                <w:b/>
                <w:bCs/>
                <w:sz w:val="22"/>
                <w:lang w:val="en-GB"/>
                <w:rPrChange w:id="1838" w:author="Author">
                  <w:rPr>
                    <w:b/>
                    <w:bCs/>
                    <w:sz w:val="22"/>
                  </w:rPr>
                </w:rPrChange>
              </w:rPr>
              <w:t xml:space="preserve">every other week </w:t>
            </w:r>
            <w:r w:rsidRPr="00D55B59">
              <w:rPr>
                <w:b/>
                <w:bCs/>
                <w:sz w:val="22"/>
                <w:lang w:val="en-GB"/>
                <w:rPrChange w:id="1839" w:author="Author">
                  <w:rPr>
                    <w:b/>
                    <w:bCs/>
                    <w:sz w:val="22"/>
                  </w:rPr>
                </w:rPrChange>
              </w:rPr>
              <w:br/>
              <w:t>N = 80</w:t>
            </w:r>
          </w:p>
        </w:tc>
      </w:tr>
      <w:tr w:rsidR="001778AA" w:rsidRPr="00F04F82" w14:paraId="08AF2673" w14:textId="77777777" w:rsidTr="005D4E8A">
        <w:tc>
          <w:tcPr>
            <w:tcW w:w="2518" w:type="dxa"/>
          </w:tcPr>
          <w:p w14:paraId="23E6D3F2" w14:textId="77777777" w:rsidR="001778AA" w:rsidRPr="00D55B59" w:rsidRDefault="001778AA" w:rsidP="00D47253">
            <w:pPr>
              <w:pStyle w:val="gtctablespaceafter"/>
              <w:spacing w:after="0"/>
              <w:rPr>
                <w:sz w:val="22"/>
                <w:szCs w:val="22"/>
                <w:lang w:val="en-GB"/>
                <w:rPrChange w:id="1840" w:author="Author">
                  <w:rPr>
                    <w:sz w:val="22"/>
                    <w:szCs w:val="22"/>
                  </w:rPr>
                </w:rPrChange>
              </w:rPr>
            </w:pPr>
            <w:r w:rsidRPr="00D55B59">
              <w:rPr>
                <w:sz w:val="22"/>
                <w:lang w:val="en-GB"/>
                <w:rPrChange w:id="1841" w:author="Author">
                  <w:rPr>
                    <w:sz w:val="22"/>
                  </w:rPr>
                </w:rPrChange>
              </w:rPr>
              <w:t>≥ mNAPSI 75 (%)</w:t>
            </w:r>
          </w:p>
        </w:tc>
        <w:tc>
          <w:tcPr>
            <w:tcW w:w="1134" w:type="dxa"/>
          </w:tcPr>
          <w:p w14:paraId="695DBE88" w14:textId="77777777" w:rsidR="001778AA" w:rsidRPr="00D55B59" w:rsidRDefault="001778AA" w:rsidP="00D47253">
            <w:pPr>
              <w:pStyle w:val="gtctablespaceafter"/>
              <w:spacing w:after="0"/>
              <w:jc w:val="center"/>
              <w:rPr>
                <w:sz w:val="22"/>
                <w:szCs w:val="22"/>
                <w:lang w:val="en-GB"/>
                <w:rPrChange w:id="1842" w:author="Author">
                  <w:rPr>
                    <w:sz w:val="22"/>
                    <w:szCs w:val="22"/>
                  </w:rPr>
                </w:rPrChange>
              </w:rPr>
            </w:pPr>
            <w:r w:rsidRPr="00D55B59">
              <w:rPr>
                <w:sz w:val="22"/>
                <w:szCs w:val="22"/>
                <w:lang w:val="en-GB"/>
                <w:rPrChange w:id="1843" w:author="Author">
                  <w:rPr>
                    <w:sz w:val="22"/>
                    <w:szCs w:val="22"/>
                  </w:rPr>
                </w:rPrChange>
              </w:rPr>
              <w:t>2.9</w:t>
            </w:r>
          </w:p>
        </w:tc>
        <w:tc>
          <w:tcPr>
            <w:tcW w:w="1559" w:type="dxa"/>
          </w:tcPr>
          <w:p w14:paraId="4C635C85" w14:textId="77777777" w:rsidR="001778AA" w:rsidRPr="00D55B59" w:rsidRDefault="001778AA" w:rsidP="00D47253">
            <w:pPr>
              <w:pStyle w:val="gtctablespaceafter"/>
              <w:spacing w:after="0"/>
              <w:jc w:val="center"/>
              <w:rPr>
                <w:sz w:val="22"/>
                <w:szCs w:val="22"/>
                <w:lang w:val="en-GB"/>
                <w:rPrChange w:id="1844" w:author="Author">
                  <w:rPr>
                    <w:sz w:val="22"/>
                    <w:szCs w:val="22"/>
                  </w:rPr>
                </w:rPrChange>
              </w:rPr>
            </w:pPr>
            <w:r w:rsidRPr="00D55B59">
              <w:rPr>
                <w:sz w:val="22"/>
                <w:szCs w:val="22"/>
                <w:lang w:val="en-GB"/>
                <w:rPrChange w:id="1845" w:author="Author">
                  <w:rPr>
                    <w:sz w:val="22"/>
                    <w:szCs w:val="22"/>
                  </w:rPr>
                </w:rPrChange>
              </w:rPr>
              <w:t>26.0</w:t>
            </w:r>
            <w:r w:rsidRPr="00D55B59">
              <w:rPr>
                <w:sz w:val="22"/>
                <w:szCs w:val="22"/>
                <w:vertAlign w:val="superscript"/>
                <w:lang w:val="en-GB"/>
                <w:rPrChange w:id="1846" w:author="Author">
                  <w:rPr>
                    <w:sz w:val="22"/>
                    <w:szCs w:val="22"/>
                    <w:vertAlign w:val="superscript"/>
                  </w:rPr>
                </w:rPrChange>
              </w:rPr>
              <w:t>a</w:t>
            </w:r>
          </w:p>
        </w:tc>
        <w:tc>
          <w:tcPr>
            <w:tcW w:w="1134" w:type="dxa"/>
          </w:tcPr>
          <w:p w14:paraId="1AE1307D" w14:textId="77777777" w:rsidR="001778AA" w:rsidRPr="001775D9" w:rsidRDefault="001778AA" w:rsidP="00D47253">
            <w:pPr>
              <w:keepNext/>
              <w:jc w:val="center"/>
              <w:rPr>
                <w:szCs w:val="22"/>
              </w:rPr>
            </w:pPr>
            <w:r w:rsidRPr="001775D9">
              <w:rPr>
                <w:szCs w:val="22"/>
              </w:rPr>
              <w:t>3.4</w:t>
            </w:r>
          </w:p>
        </w:tc>
        <w:tc>
          <w:tcPr>
            <w:tcW w:w="1560" w:type="dxa"/>
          </w:tcPr>
          <w:p w14:paraId="4C0DDA8A" w14:textId="77777777" w:rsidR="001778AA" w:rsidRPr="001775D9" w:rsidRDefault="001778AA" w:rsidP="00D47253">
            <w:pPr>
              <w:keepNext/>
              <w:jc w:val="center"/>
              <w:rPr>
                <w:szCs w:val="22"/>
              </w:rPr>
            </w:pPr>
            <w:r w:rsidRPr="001775D9">
              <w:rPr>
                <w:szCs w:val="22"/>
              </w:rPr>
              <w:t>46.6</w:t>
            </w:r>
            <w:r w:rsidRPr="001775D9">
              <w:rPr>
                <w:szCs w:val="22"/>
                <w:vertAlign w:val="superscript"/>
              </w:rPr>
              <w:t>a</w:t>
            </w:r>
          </w:p>
        </w:tc>
        <w:tc>
          <w:tcPr>
            <w:tcW w:w="1671" w:type="dxa"/>
          </w:tcPr>
          <w:p w14:paraId="4A85C3A3" w14:textId="77777777" w:rsidR="001778AA" w:rsidRPr="00D55B59" w:rsidRDefault="001778AA" w:rsidP="00D47253">
            <w:pPr>
              <w:pStyle w:val="gtctablespaceafter"/>
              <w:spacing w:after="0"/>
              <w:jc w:val="center"/>
              <w:rPr>
                <w:sz w:val="22"/>
                <w:szCs w:val="22"/>
                <w:lang w:val="en-GB"/>
                <w:rPrChange w:id="1847" w:author="Author">
                  <w:rPr>
                    <w:sz w:val="22"/>
                    <w:szCs w:val="22"/>
                  </w:rPr>
                </w:rPrChange>
              </w:rPr>
            </w:pPr>
            <w:r w:rsidRPr="00D55B59">
              <w:rPr>
                <w:sz w:val="22"/>
                <w:szCs w:val="22"/>
                <w:lang w:val="en-GB"/>
                <w:rPrChange w:id="1848" w:author="Author">
                  <w:rPr>
                    <w:sz w:val="22"/>
                    <w:szCs w:val="22"/>
                  </w:rPr>
                </w:rPrChange>
              </w:rPr>
              <w:t>65.0</w:t>
            </w:r>
          </w:p>
        </w:tc>
      </w:tr>
      <w:tr w:rsidR="001778AA" w:rsidRPr="00F04F82" w14:paraId="366F9DF1" w14:textId="77777777" w:rsidTr="005D4E8A">
        <w:tc>
          <w:tcPr>
            <w:tcW w:w="2518" w:type="dxa"/>
          </w:tcPr>
          <w:p w14:paraId="4262C246" w14:textId="77777777" w:rsidR="001778AA" w:rsidRPr="00D55B59" w:rsidRDefault="001778AA" w:rsidP="00D47253">
            <w:pPr>
              <w:pStyle w:val="gtctablespaceafter"/>
              <w:spacing w:after="0"/>
              <w:rPr>
                <w:sz w:val="22"/>
                <w:szCs w:val="22"/>
                <w:lang w:val="en-GB"/>
                <w:rPrChange w:id="1849" w:author="Author">
                  <w:rPr>
                    <w:sz w:val="22"/>
                    <w:szCs w:val="22"/>
                  </w:rPr>
                </w:rPrChange>
              </w:rPr>
            </w:pPr>
            <w:r w:rsidRPr="00D55B59">
              <w:rPr>
                <w:sz w:val="22"/>
                <w:szCs w:val="22"/>
                <w:lang w:val="en-GB"/>
                <w:rPrChange w:id="1850" w:author="Author">
                  <w:rPr>
                    <w:sz w:val="22"/>
                    <w:szCs w:val="22"/>
                  </w:rPr>
                </w:rPrChange>
              </w:rPr>
              <w:t>PGA-F clear/minimal and ≥ 2-grade improvement (%)</w:t>
            </w:r>
          </w:p>
        </w:tc>
        <w:tc>
          <w:tcPr>
            <w:tcW w:w="1134" w:type="dxa"/>
          </w:tcPr>
          <w:p w14:paraId="61C3CF9E" w14:textId="77777777" w:rsidR="001778AA" w:rsidRPr="00D55B59" w:rsidRDefault="001778AA" w:rsidP="00D47253">
            <w:pPr>
              <w:pStyle w:val="gtctablespaceafter"/>
              <w:spacing w:after="0"/>
              <w:jc w:val="center"/>
              <w:rPr>
                <w:sz w:val="22"/>
                <w:szCs w:val="22"/>
                <w:lang w:val="en-GB"/>
                <w:rPrChange w:id="1851" w:author="Author">
                  <w:rPr>
                    <w:sz w:val="22"/>
                    <w:szCs w:val="22"/>
                  </w:rPr>
                </w:rPrChange>
              </w:rPr>
            </w:pPr>
            <w:r w:rsidRPr="00D55B59">
              <w:rPr>
                <w:sz w:val="22"/>
                <w:szCs w:val="22"/>
                <w:lang w:val="en-GB"/>
                <w:rPrChange w:id="1852" w:author="Author">
                  <w:rPr>
                    <w:sz w:val="22"/>
                    <w:szCs w:val="22"/>
                  </w:rPr>
                </w:rPrChange>
              </w:rPr>
              <w:t>2.9</w:t>
            </w:r>
          </w:p>
        </w:tc>
        <w:tc>
          <w:tcPr>
            <w:tcW w:w="1559" w:type="dxa"/>
          </w:tcPr>
          <w:p w14:paraId="3000D896" w14:textId="77777777" w:rsidR="001778AA" w:rsidRPr="00D55B59" w:rsidRDefault="001778AA" w:rsidP="00D47253">
            <w:pPr>
              <w:pStyle w:val="gtctablespaceafter"/>
              <w:spacing w:after="0"/>
              <w:jc w:val="center"/>
              <w:rPr>
                <w:sz w:val="22"/>
                <w:szCs w:val="22"/>
                <w:lang w:val="en-GB"/>
                <w:rPrChange w:id="1853" w:author="Author">
                  <w:rPr>
                    <w:sz w:val="22"/>
                    <w:szCs w:val="22"/>
                  </w:rPr>
                </w:rPrChange>
              </w:rPr>
            </w:pPr>
            <w:r w:rsidRPr="00D55B59">
              <w:rPr>
                <w:sz w:val="22"/>
                <w:szCs w:val="22"/>
                <w:lang w:val="en-GB"/>
                <w:rPrChange w:id="1854" w:author="Author">
                  <w:rPr>
                    <w:sz w:val="22"/>
                    <w:szCs w:val="22"/>
                  </w:rPr>
                </w:rPrChange>
              </w:rPr>
              <w:t>29.7</w:t>
            </w:r>
            <w:r w:rsidRPr="00D55B59">
              <w:rPr>
                <w:sz w:val="22"/>
                <w:szCs w:val="22"/>
                <w:vertAlign w:val="superscript"/>
                <w:lang w:val="en-GB"/>
                <w:rPrChange w:id="1855" w:author="Author">
                  <w:rPr>
                    <w:sz w:val="22"/>
                    <w:szCs w:val="22"/>
                    <w:vertAlign w:val="superscript"/>
                  </w:rPr>
                </w:rPrChange>
              </w:rPr>
              <w:t>a</w:t>
            </w:r>
          </w:p>
        </w:tc>
        <w:tc>
          <w:tcPr>
            <w:tcW w:w="1134" w:type="dxa"/>
          </w:tcPr>
          <w:p w14:paraId="2B81B375" w14:textId="77777777" w:rsidR="001778AA" w:rsidRPr="001775D9" w:rsidRDefault="001778AA" w:rsidP="00D47253">
            <w:pPr>
              <w:keepNext/>
              <w:jc w:val="center"/>
              <w:rPr>
                <w:szCs w:val="22"/>
              </w:rPr>
            </w:pPr>
            <w:r w:rsidRPr="001775D9">
              <w:rPr>
                <w:szCs w:val="22"/>
              </w:rPr>
              <w:t>6.9</w:t>
            </w:r>
          </w:p>
        </w:tc>
        <w:tc>
          <w:tcPr>
            <w:tcW w:w="1560" w:type="dxa"/>
          </w:tcPr>
          <w:p w14:paraId="29CE557D" w14:textId="77777777" w:rsidR="001778AA" w:rsidRPr="001775D9" w:rsidRDefault="001778AA" w:rsidP="00D47253">
            <w:pPr>
              <w:keepNext/>
              <w:jc w:val="center"/>
              <w:rPr>
                <w:szCs w:val="22"/>
              </w:rPr>
            </w:pPr>
            <w:r w:rsidRPr="001775D9">
              <w:rPr>
                <w:szCs w:val="22"/>
              </w:rPr>
              <w:t>48.9</w:t>
            </w:r>
            <w:r w:rsidRPr="001775D9">
              <w:rPr>
                <w:szCs w:val="22"/>
                <w:vertAlign w:val="superscript"/>
              </w:rPr>
              <w:t>a</w:t>
            </w:r>
          </w:p>
        </w:tc>
        <w:tc>
          <w:tcPr>
            <w:tcW w:w="1671" w:type="dxa"/>
          </w:tcPr>
          <w:p w14:paraId="6BB268E9" w14:textId="77777777" w:rsidR="001778AA" w:rsidRPr="00D55B59" w:rsidRDefault="001778AA" w:rsidP="00D47253">
            <w:pPr>
              <w:pStyle w:val="gtctablespaceafter"/>
              <w:spacing w:after="0"/>
              <w:jc w:val="center"/>
              <w:rPr>
                <w:sz w:val="22"/>
                <w:szCs w:val="22"/>
                <w:lang w:val="en-GB"/>
                <w:rPrChange w:id="1856" w:author="Author">
                  <w:rPr>
                    <w:sz w:val="22"/>
                    <w:szCs w:val="22"/>
                  </w:rPr>
                </w:rPrChange>
              </w:rPr>
            </w:pPr>
            <w:r w:rsidRPr="00D55B59">
              <w:rPr>
                <w:sz w:val="22"/>
                <w:szCs w:val="22"/>
                <w:lang w:val="en-GB"/>
                <w:rPrChange w:id="1857" w:author="Author">
                  <w:rPr>
                    <w:sz w:val="22"/>
                    <w:szCs w:val="22"/>
                  </w:rPr>
                </w:rPrChange>
              </w:rPr>
              <w:t>61.3</w:t>
            </w:r>
          </w:p>
        </w:tc>
      </w:tr>
      <w:tr w:rsidR="001778AA" w:rsidRPr="00F04F82" w14:paraId="35F70966" w14:textId="77777777" w:rsidTr="005D4E8A">
        <w:tc>
          <w:tcPr>
            <w:tcW w:w="2518" w:type="dxa"/>
          </w:tcPr>
          <w:p w14:paraId="730B0495" w14:textId="77777777" w:rsidR="001778AA" w:rsidRPr="00D55B59" w:rsidRDefault="001778AA" w:rsidP="00D47253">
            <w:pPr>
              <w:pStyle w:val="gtctablespaceafter"/>
              <w:keepNext/>
              <w:keepLines/>
              <w:spacing w:after="0"/>
              <w:rPr>
                <w:sz w:val="22"/>
                <w:szCs w:val="22"/>
                <w:lang w:val="en-GB"/>
                <w:rPrChange w:id="1858" w:author="Author">
                  <w:rPr>
                    <w:sz w:val="22"/>
                    <w:szCs w:val="22"/>
                  </w:rPr>
                </w:rPrChange>
              </w:rPr>
            </w:pPr>
            <w:r w:rsidRPr="00D55B59">
              <w:rPr>
                <w:sz w:val="22"/>
                <w:szCs w:val="22"/>
                <w:lang w:val="en-GB"/>
                <w:rPrChange w:id="1859" w:author="Author">
                  <w:rPr>
                    <w:sz w:val="22"/>
                    <w:szCs w:val="22"/>
                  </w:rPr>
                </w:rPrChange>
              </w:rPr>
              <w:t>Percent change in total fingernail NAPSI (%)</w:t>
            </w:r>
          </w:p>
        </w:tc>
        <w:tc>
          <w:tcPr>
            <w:tcW w:w="1134" w:type="dxa"/>
          </w:tcPr>
          <w:p w14:paraId="08BBC6C3" w14:textId="77777777" w:rsidR="001778AA" w:rsidRPr="00D55B59" w:rsidRDefault="001778AA" w:rsidP="00D47253">
            <w:pPr>
              <w:pStyle w:val="gtctablespaceafter"/>
              <w:keepNext/>
              <w:keepLines/>
              <w:spacing w:after="0"/>
              <w:jc w:val="center"/>
              <w:rPr>
                <w:sz w:val="22"/>
                <w:szCs w:val="22"/>
                <w:lang w:val="en-GB"/>
                <w:rPrChange w:id="1860" w:author="Author">
                  <w:rPr>
                    <w:sz w:val="22"/>
                    <w:szCs w:val="22"/>
                  </w:rPr>
                </w:rPrChange>
              </w:rPr>
            </w:pPr>
            <w:r w:rsidRPr="00D55B59">
              <w:rPr>
                <w:sz w:val="22"/>
                <w:szCs w:val="22"/>
                <w:lang w:val="en-GB"/>
                <w:rPrChange w:id="1861" w:author="Author">
                  <w:rPr>
                    <w:sz w:val="22"/>
                    <w:szCs w:val="22"/>
                  </w:rPr>
                </w:rPrChange>
              </w:rPr>
              <w:t>-7.8</w:t>
            </w:r>
          </w:p>
        </w:tc>
        <w:tc>
          <w:tcPr>
            <w:tcW w:w="1559" w:type="dxa"/>
          </w:tcPr>
          <w:p w14:paraId="26C4D96B" w14:textId="77777777" w:rsidR="001778AA" w:rsidRPr="00D55B59" w:rsidRDefault="001778AA" w:rsidP="00D47253">
            <w:pPr>
              <w:pStyle w:val="gtctablespaceafter"/>
              <w:keepNext/>
              <w:keepLines/>
              <w:spacing w:after="0"/>
              <w:jc w:val="center"/>
              <w:rPr>
                <w:sz w:val="22"/>
                <w:szCs w:val="22"/>
                <w:lang w:val="en-GB"/>
                <w:rPrChange w:id="1862" w:author="Author">
                  <w:rPr>
                    <w:sz w:val="22"/>
                    <w:szCs w:val="22"/>
                  </w:rPr>
                </w:rPrChange>
              </w:rPr>
            </w:pPr>
            <w:r w:rsidRPr="00D55B59">
              <w:rPr>
                <w:sz w:val="22"/>
                <w:szCs w:val="22"/>
                <w:lang w:val="en-GB"/>
                <w:rPrChange w:id="1863" w:author="Author">
                  <w:rPr>
                    <w:sz w:val="22"/>
                    <w:szCs w:val="22"/>
                  </w:rPr>
                </w:rPrChange>
              </w:rPr>
              <w:t>-44.2</w:t>
            </w:r>
            <w:r w:rsidRPr="00D55B59">
              <w:rPr>
                <w:sz w:val="22"/>
                <w:szCs w:val="22"/>
                <w:vertAlign w:val="superscript"/>
                <w:lang w:val="en-GB"/>
                <w:rPrChange w:id="1864" w:author="Author">
                  <w:rPr>
                    <w:sz w:val="22"/>
                    <w:szCs w:val="22"/>
                    <w:vertAlign w:val="superscript"/>
                  </w:rPr>
                </w:rPrChange>
              </w:rPr>
              <w:t xml:space="preserve"> a</w:t>
            </w:r>
          </w:p>
        </w:tc>
        <w:tc>
          <w:tcPr>
            <w:tcW w:w="1134" w:type="dxa"/>
          </w:tcPr>
          <w:p w14:paraId="68D5A8A6" w14:textId="77777777" w:rsidR="001778AA" w:rsidRPr="001775D9" w:rsidRDefault="001778AA" w:rsidP="00D47253">
            <w:pPr>
              <w:keepNext/>
              <w:keepLines/>
              <w:jc w:val="center"/>
              <w:rPr>
                <w:szCs w:val="22"/>
              </w:rPr>
            </w:pPr>
            <w:r w:rsidRPr="001775D9">
              <w:rPr>
                <w:szCs w:val="22"/>
              </w:rPr>
              <w:t>-11.5</w:t>
            </w:r>
          </w:p>
        </w:tc>
        <w:tc>
          <w:tcPr>
            <w:tcW w:w="1560" w:type="dxa"/>
          </w:tcPr>
          <w:p w14:paraId="67B3CCC8" w14:textId="77777777" w:rsidR="001778AA" w:rsidRPr="001775D9" w:rsidRDefault="001778AA" w:rsidP="00D47253">
            <w:pPr>
              <w:keepNext/>
              <w:keepLines/>
              <w:jc w:val="center"/>
              <w:rPr>
                <w:szCs w:val="22"/>
              </w:rPr>
            </w:pPr>
            <w:r w:rsidRPr="001775D9">
              <w:rPr>
                <w:szCs w:val="22"/>
              </w:rPr>
              <w:t>-56.2</w:t>
            </w:r>
            <w:r w:rsidRPr="001775D9">
              <w:rPr>
                <w:szCs w:val="22"/>
                <w:vertAlign w:val="superscript"/>
              </w:rPr>
              <w:t>a</w:t>
            </w:r>
          </w:p>
        </w:tc>
        <w:tc>
          <w:tcPr>
            <w:tcW w:w="1671" w:type="dxa"/>
          </w:tcPr>
          <w:p w14:paraId="77C404BF" w14:textId="77777777" w:rsidR="001778AA" w:rsidRPr="00D55B59" w:rsidRDefault="001778AA" w:rsidP="00D47253">
            <w:pPr>
              <w:pStyle w:val="gtctablespaceafter"/>
              <w:keepNext/>
              <w:keepLines/>
              <w:spacing w:after="0"/>
              <w:jc w:val="center"/>
              <w:rPr>
                <w:sz w:val="22"/>
                <w:szCs w:val="22"/>
                <w:lang w:val="en-GB"/>
                <w:rPrChange w:id="1865" w:author="Author">
                  <w:rPr>
                    <w:sz w:val="22"/>
                    <w:szCs w:val="22"/>
                  </w:rPr>
                </w:rPrChange>
              </w:rPr>
            </w:pPr>
            <w:r w:rsidRPr="00D55B59">
              <w:rPr>
                <w:sz w:val="22"/>
                <w:szCs w:val="22"/>
                <w:lang w:val="en-GB"/>
                <w:rPrChange w:id="1866" w:author="Author">
                  <w:rPr>
                    <w:sz w:val="22"/>
                    <w:szCs w:val="22"/>
                  </w:rPr>
                </w:rPrChange>
              </w:rPr>
              <w:t>-72.2</w:t>
            </w:r>
          </w:p>
        </w:tc>
      </w:tr>
      <w:tr w:rsidR="001778AA" w:rsidRPr="00F04F82" w14:paraId="198D082D" w14:textId="77777777" w:rsidTr="00D47253">
        <w:tc>
          <w:tcPr>
            <w:tcW w:w="9576" w:type="dxa"/>
            <w:gridSpan w:val="6"/>
          </w:tcPr>
          <w:p w14:paraId="61306B30" w14:textId="77777777" w:rsidR="001778AA" w:rsidRPr="00D55B59" w:rsidRDefault="001778AA" w:rsidP="00D47253">
            <w:pPr>
              <w:pStyle w:val="gtctablespaceafter"/>
              <w:spacing w:after="0"/>
              <w:rPr>
                <w:sz w:val="22"/>
                <w:szCs w:val="22"/>
                <w:lang w:val="en-GB"/>
                <w:rPrChange w:id="1867" w:author="Author">
                  <w:rPr>
                    <w:sz w:val="22"/>
                    <w:szCs w:val="22"/>
                  </w:rPr>
                </w:rPrChange>
              </w:rPr>
            </w:pPr>
            <w:r w:rsidRPr="00D55B59">
              <w:rPr>
                <w:sz w:val="22"/>
                <w:szCs w:val="22"/>
                <w:vertAlign w:val="superscript"/>
                <w:lang w:val="en-GB"/>
                <w:rPrChange w:id="1868" w:author="Author">
                  <w:rPr>
                    <w:sz w:val="22"/>
                    <w:szCs w:val="22"/>
                    <w:vertAlign w:val="superscript"/>
                  </w:rPr>
                </w:rPrChange>
              </w:rPr>
              <w:t>a</w:t>
            </w:r>
            <w:r w:rsidRPr="00D55B59">
              <w:rPr>
                <w:sz w:val="22"/>
                <w:szCs w:val="22"/>
                <w:lang w:val="en-GB"/>
                <w:rPrChange w:id="1869" w:author="Author">
                  <w:rPr>
                    <w:sz w:val="22"/>
                    <w:szCs w:val="22"/>
                  </w:rPr>
                </w:rPrChange>
              </w:rPr>
              <w:t xml:space="preserve"> p &lt; 0.001, adalimumab versus placebo </w:t>
            </w:r>
          </w:p>
        </w:tc>
      </w:tr>
    </w:tbl>
    <w:p w14:paraId="527F63DD" w14:textId="77777777" w:rsidR="001778AA" w:rsidRPr="00D55B59" w:rsidRDefault="001778AA" w:rsidP="001778AA">
      <w:pPr>
        <w:pStyle w:val="gtctablespaceafter"/>
        <w:spacing w:after="0"/>
        <w:rPr>
          <w:sz w:val="22"/>
          <w:szCs w:val="22"/>
          <w:lang w:val="en-GB"/>
          <w:rPrChange w:id="1870" w:author="Author">
            <w:rPr>
              <w:sz w:val="22"/>
              <w:szCs w:val="22"/>
            </w:rPr>
          </w:rPrChange>
        </w:rPr>
      </w:pPr>
    </w:p>
    <w:p w14:paraId="7C26F3FE" w14:textId="67635A87" w:rsidR="001778AA" w:rsidRPr="00D55B59" w:rsidRDefault="001778AA" w:rsidP="001778AA">
      <w:pPr>
        <w:pStyle w:val="EMEANormal"/>
        <w:rPr>
          <w:szCs w:val="22"/>
          <w:lang w:val="en-GB"/>
          <w:rPrChange w:id="1871" w:author="Author">
            <w:rPr>
              <w:szCs w:val="22"/>
            </w:rPr>
          </w:rPrChange>
        </w:rPr>
      </w:pPr>
      <w:r w:rsidRPr="00D55B59">
        <w:rPr>
          <w:szCs w:val="22"/>
          <w:lang w:val="en-GB"/>
          <w:rPrChange w:id="1872" w:author="Author">
            <w:rPr>
              <w:szCs w:val="22"/>
            </w:rPr>
          </w:rPrChange>
        </w:rPr>
        <w:t>A</w:t>
      </w:r>
      <w:r w:rsidRPr="00D55B59">
        <w:rPr>
          <w:color w:val="000000"/>
          <w:szCs w:val="22"/>
          <w:lang w:val="en-GB"/>
          <w:rPrChange w:id="1873" w:author="Author">
            <w:rPr>
              <w:color w:val="000000"/>
              <w:szCs w:val="22"/>
            </w:rPr>
          </w:rPrChange>
        </w:rPr>
        <w:t>dalimumab</w:t>
      </w:r>
      <w:r w:rsidR="00DF23DA" w:rsidRPr="00D55B59">
        <w:rPr>
          <w:szCs w:val="22"/>
          <w:lang w:val="en-GB"/>
          <w:rPrChange w:id="1874" w:author="Author">
            <w:rPr>
              <w:szCs w:val="22"/>
            </w:rPr>
          </w:rPrChange>
        </w:rPr>
        <w:t>-</w:t>
      </w:r>
      <w:r w:rsidRPr="00D55B59">
        <w:rPr>
          <w:szCs w:val="22"/>
          <w:lang w:val="en-GB"/>
          <w:rPrChange w:id="1875" w:author="Author">
            <w:rPr>
              <w:szCs w:val="22"/>
            </w:rPr>
          </w:rPrChange>
        </w:rPr>
        <w:t xml:space="preserve">treated patients showed statistically significant improvements at week 26 compared with placebo in the DLQI. </w:t>
      </w:r>
    </w:p>
    <w:p w14:paraId="7D6B47E3" w14:textId="77777777" w:rsidR="001778AA" w:rsidRPr="00D55B59" w:rsidRDefault="001778AA" w:rsidP="001778AA">
      <w:pPr>
        <w:tabs>
          <w:tab w:val="clear" w:pos="567"/>
        </w:tabs>
        <w:autoSpaceDE w:val="0"/>
        <w:autoSpaceDN w:val="0"/>
        <w:adjustRightInd w:val="0"/>
        <w:spacing w:line="240" w:lineRule="auto"/>
        <w:rPr>
          <w:i/>
          <w:color w:val="000000"/>
          <w:szCs w:val="22"/>
          <w:rPrChange w:id="1876" w:author="Author">
            <w:rPr>
              <w:i/>
              <w:color w:val="000000"/>
              <w:szCs w:val="22"/>
              <w:lang w:val="en-US"/>
            </w:rPr>
          </w:rPrChange>
        </w:rPr>
      </w:pPr>
    </w:p>
    <w:p w14:paraId="17B1CFF8" w14:textId="77777777" w:rsidR="001778AA" w:rsidRPr="001775D9" w:rsidRDefault="001778AA" w:rsidP="001778AA">
      <w:pPr>
        <w:shd w:val="clear" w:color="auto" w:fill="FFFFFF"/>
        <w:tabs>
          <w:tab w:val="clear" w:pos="567"/>
        </w:tabs>
        <w:spacing w:line="240" w:lineRule="auto"/>
        <w:rPr>
          <w:rFonts w:eastAsia="Times New Roman"/>
          <w:i/>
          <w:iCs/>
          <w:color w:val="000000"/>
          <w:szCs w:val="22"/>
        </w:rPr>
      </w:pPr>
      <w:r w:rsidRPr="001775D9">
        <w:rPr>
          <w:rFonts w:eastAsia="Times New Roman"/>
          <w:i/>
          <w:iCs/>
          <w:color w:val="000000"/>
          <w:szCs w:val="22"/>
        </w:rPr>
        <w:t>Hidradenitis suppurativa</w:t>
      </w:r>
    </w:p>
    <w:p w14:paraId="1B84245A"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37736092" w14:textId="6994E30E"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The safety and efficacy of adalimumab were assessed in randomised, double-blind, placebo-controlled studies and an open-label extension study in adult patients with moderate to severe hidradenitis suppurativa (HS) who were intolerant, had a contraindication or an inadequate response to at least a 3</w:t>
      </w:r>
      <w:r w:rsidR="002D112A" w:rsidRPr="001775D9">
        <w:rPr>
          <w:rFonts w:eastAsia="Times New Roman"/>
          <w:color w:val="000000"/>
          <w:szCs w:val="22"/>
        </w:rPr>
        <w:noBreakHyphen/>
      </w:r>
      <w:r w:rsidRPr="001775D9">
        <w:rPr>
          <w:rFonts w:eastAsia="Times New Roman"/>
          <w:color w:val="000000"/>
          <w:szCs w:val="22"/>
        </w:rPr>
        <w:t>month trial of systemic antibiotic therapy. The patients in HS-I and HS-II had Hurley Stage II or III disease with at least 3 abscesses or inflammatory nodules.</w:t>
      </w:r>
    </w:p>
    <w:p w14:paraId="604C8CA4"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73BC53FB" w14:textId="0FD76D26"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Study HS-I (PIONEER I) evaluated 307 patients with 2 treatment periods. In Period A, patients received placebo or adalimumab at an initial dose of 160</w:t>
      </w:r>
      <w:r w:rsidRPr="001775D9">
        <w:rPr>
          <w:color w:val="000000"/>
          <w:szCs w:val="22"/>
        </w:rPr>
        <w:t> </w:t>
      </w:r>
      <w:r w:rsidRPr="001775D9">
        <w:rPr>
          <w:rFonts w:eastAsia="Times New Roman"/>
          <w:color w:val="000000"/>
          <w:szCs w:val="22"/>
        </w:rPr>
        <w:t xml:space="preserve">mg at </w:t>
      </w:r>
      <w:r w:rsidRPr="001775D9">
        <w:rPr>
          <w:szCs w:val="22"/>
        </w:rPr>
        <w:t>week</w:t>
      </w:r>
      <w:r w:rsidRPr="001775D9">
        <w:rPr>
          <w:rFonts w:eastAsia="Times New Roman"/>
          <w:color w:val="000000"/>
          <w:szCs w:val="22"/>
        </w:rPr>
        <w:t xml:space="preserve"> 0, 80</w:t>
      </w:r>
      <w:r w:rsidRPr="001775D9">
        <w:rPr>
          <w:color w:val="000000"/>
          <w:szCs w:val="22"/>
        </w:rPr>
        <w:t> </w:t>
      </w:r>
      <w:r w:rsidRPr="001775D9">
        <w:rPr>
          <w:rFonts w:eastAsia="Times New Roman"/>
          <w:color w:val="000000"/>
          <w:szCs w:val="22"/>
        </w:rPr>
        <w:t xml:space="preserve">mg at </w:t>
      </w:r>
      <w:r w:rsidRPr="001775D9">
        <w:rPr>
          <w:szCs w:val="22"/>
        </w:rPr>
        <w:t>week</w:t>
      </w:r>
      <w:r w:rsidRPr="001775D9">
        <w:rPr>
          <w:rFonts w:eastAsia="Times New Roman"/>
          <w:color w:val="000000"/>
          <w:szCs w:val="22"/>
        </w:rPr>
        <w:t xml:space="preserve"> 2, and 40</w:t>
      </w:r>
      <w:r w:rsidRPr="001775D9">
        <w:rPr>
          <w:color w:val="000000"/>
          <w:szCs w:val="22"/>
        </w:rPr>
        <w:t> </w:t>
      </w:r>
      <w:r w:rsidRPr="001775D9">
        <w:rPr>
          <w:rFonts w:eastAsia="Times New Roman"/>
          <w:color w:val="000000"/>
          <w:szCs w:val="22"/>
        </w:rPr>
        <w:t xml:space="preserve">mg every week starting at </w:t>
      </w:r>
      <w:r w:rsidRPr="001775D9">
        <w:rPr>
          <w:szCs w:val="22"/>
        </w:rPr>
        <w:t>week</w:t>
      </w:r>
      <w:r w:rsidRPr="001775D9">
        <w:rPr>
          <w:rFonts w:eastAsia="Times New Roman"/>
          <w:color w:val="000000"/>
          <w:szCs w:val="22"/>
        </w:rPr>
        <w:t xml:space="preserve"> 4 to </w:t>
      </w:r>
      <w:r w:rsidRPr="001775D9">
        <w:rPr>
          <w:szCs w:val="22"/>
        </w:rPr>
        <w:t>week</w:t>
      </w:r>
      <w:r w:rsidRPr="001775D9">
        <w:rPr>
          <w:rFonts w:eastAsia="Times New Roman"/>
          <w:color w:val="000000"/>
          <w:szCs w:val="22"/>
        </w:rPr>
        <w:t xml:space="preserve"> 11. Concomitant antibiotic use was not allowed during the study. After 12 weeks of therapy, patients who had received adalimumab in Period A were re</w:t>
      </w:r>
      <w:r w:rsidR="002D112A" w:rsidRPr="001775D9">
        <w:rPr>
          <w:rFonts w:eastAsia="Times New Roman"/>
          <w:color w:val="000000"/>
          <w:szCs w:val="22"/>
        </w:rPr>
        <w:noBreakHyphen/>
      </w:r>
      <w:r w:rsidRPr="001775D9">
        <w:rPr>
          <w:rFonts w:eastAsia="Times New Roman"/>
          <w:color w:val="000000"/>
          <w:szCs w:val="22"/>
        </w:rPr>
        <w:t>randomised in Period B to 1 of 3 treatment groups (adalimumab 40</w:t>
      </w:r>
      <w:r w:rsidRPr="001775D9">
        <w:rPr>
          <w:color w:val="000000"/>
          <w:szCs w:val="22"/>
        </w:rPr>
        <w:t> </w:t>
      </w:r>
      <w:r w:rsidRPr="001775D9">
        <w:rPr>
          <w:rFonts w:eastAsia="Times New Roman"/>
          <w:color w:val="000000"/>
          <w:szCs w:val="22"/>
        </w:rPr>
        <w:t>mg every week, adalimumab 40</w:t>
      </w:r>
      <w:r w:rsidRPr="001775D9">
        <w:rPr>
          <w:color w:val="000000"/>
          <w:szCs w:val="22"/>
        </w:rPr>
        <w:t> </w:t>
      </w:r>
      <w:r w:rsidRPr="001775D9">
        <w:rPr>
          <w:rFonts w:eastAsia="Times New Roman"/>
          <w:color w:val="000000"/>
          <w:szCs w:val="22"/>
        </w:rPr>
        <w:t xml:space="preserve">mg every other week, or placebo from </w:t>
      </w:r>
      <w:r w:rsidRPr="001775D9">
        <w:rPr>
          <w:szCs w:val="22"/>
        </w:rPr>
        <w:t>week</w:t>
      </w:r>
      <w:r w:rsidRPr="001775D9">
        <w:rPr>
          <w:rFonts w:eastAsia="Times New Roman"/>
          <w:color w:val="000000"/>
          <w:szCs w:val="22"/>
        </w:rPr>
        <w:t xml:space="preserve"> 12 to </w:t>
      </w:r>
      <w:r w:rsidRPr="001775D9">
        <w:rPr>
          <w:szCs w:val="22"/>
        </w:rPr>
        <w:t>week</w:t>
      </w:r>
      <w:r w:rsidRPr="001775D9">
        <w:rPr>
          <w:rFonts w:eastAsia="Times New Roman"/>
          <w:color w:val="000000"/>
          <w:szCs w:val="22"/>
        </w:rPr>
        <w:t xml:space="preserve"> 35). Patients who had been randomised to placebo in Period A were assigned to receive adalimumab 40</w:t>
      </w:r>
      <w:r w:rsidRPr="001775D9">
        <w:rPr>
          <w:color w:val="000000"/>
          <w:szCs w:val="22"/>
        </w:rPr>
        <w:t> </w:t>
      </w:r>
      <w:r w:rsidRPr="001775D9">
        <w:rPr>
          <w:rFonts w:eastAsia="Times New Roman"/>
          <w:color w:val="000000"/>
          <w:szCs w:val="22"/>
        </w:rPr>
        <w:t>mg every week in Period B.</w:t>
      </w:r>
    </w:p>
    <w:p w14:paraId="1AEEAD50"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517B838B"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Study HS-II (PIONEER II) evaluated 326 patients with 2 treatment periods. In Period A, patients received placebo or adalimumab at an initial dose of 160</w:t>
      </w:r>
      <w:r w:rsidRPr="001775D9">
        <w:rPr>
          <w:color w:val="000000"/>
          <w:szCs w:val="22"/>
        </w:rPr>
        <w:t> </w:t>
      </w:r>
      <w:r w:rsidRPr="001775D9">
        <w:rPr>
          <w:rFonts w:eastAsia="Times New Roman"/>
          <w:color w:val="000000"/>
          <w:szCs w:val="22"/>
        </w:rPr>
        <w:t xml:space="preserve">mg at </w:t>
      </w:r>
      <w:r w:rsidRPr="001775D9">
        <w:rPr>
          <w:szCs w:val="22"/>
        </w:rPr>
        <w:t>week</w:t>
      </w:r>
      <w:r w:rsidRPr="001775D9">
        <w:rPr>
          <w:rFonts w:eastAsia="Times New Roman"/>
          <w:color w:val="000000"/>
          <w:szCs w:val="22"/>
        </w:rPr>
        <w:t xml:space="preserve"> 0 and 80</w:t>
      </w:r>
      <w:r w:rsidRPr="001775D9">
        <w:rPr>
          <w:color w:val="000000"/>
          <w:szCs w:val="22"/>
        </w:rPr>
        <w:t> </w:t>
      </w:r>
      <w:r w:rsidRPr="001775D9">
        <w:rPr>
          <w:rFonts w:eastAsia="Times New Roman"/>
          <w:color w:val="000000"/>
          <w:szCs w:val="22"/>
        </w:rPr>
        <w:t xml:space="preserve">mg at </w:t>
      </w:r>
      <w:r w:rsidRPr="001775D9">
        <w:rPr>
          <w:szCs w:val="22"/>
        </w:rPr>
        <w:t>week</w:t>
      </w:r>
      <w:r w:rsidRPr="001775D9">
        <w:rPr>
          <w:rFonts w:eastAsia="Times New Roman"/>
          <w:color w:val="000000"/>
          <w:szCs w:val="22"/>
        </w:rPr>
        <w:t xml:space="preserve"> 2 and 40</w:t>
      </w:r>
      <w:r w:rsidRPr="001775D9">
        <w:rPr>
          <w:color w:val="000000"/>
          <w:szCs w:val="22"/>
        </w:rPr>
        <w:t> </w:t>
      </w:r>
      <w:r w:rsidRPr="001775D9">
        <w:rPr>
          <w:rFonts w:eastAsia="Times New Roman"/>
          <w:color w:val="000000"/>
          <w:szCs w:val="22"/>
        </w:rPr>
        <w:t xml:space="preserve">mg every week starting at </w:t>
      </w:r>
      <w:r w:rsidRPr="001775D9">
        <w:rPr>
          <w:szCs w:val="22"/>
        </w:rPr>
        <w:t>week</w:t>
      </w:r>
      <w:r w:rsidRPr="001775D9">
        <w:rPr>
          <w:rFonts w:eastAsia="Times New Roman"/>
          <w:color w:val="000000"/>
          <w:szCs w:val="22"/>
        </w:rPr>
        <w:t xml:space="preserve"> 4 to </w:t>
      </w:r>
      <w:r w:rsidRPr="001775D9">
        <w:rPr>
          <w:szCs w:val="22"/>
        </w:rPr>
        <w:t>week</w:t>
      </w:r>
      <w:r w:rsidRPr="001775D9">
        <w:rPr>
          <w:rFonts w:eastAsia="Times New Roman"/>
          <w:color w:val="000000"/>
          <w:szCs w:val="22"/>
        </w:rPr>
        <w:t xml:space="preserve"> 11. 19.3% of patients had continued baseline oral antibiotic therapy during the study. After 12 weeks of therapy, patients who had received adalimumab in Period A were re-randomised in Period B to 1 of 3 treatment groups (adalimumab 40</w:t>
      </w:r>
      <w:r w:rsidRPr="001775D9">
        <w:rPr>
          <w:color w:val="000000"/>
          <w:szCs w:val="22"/>
        </w:rPr>
        <w:t> </w:t>
      </w:r>
      <w:r w:rsidRPr="001775D9">
        <w:rPr>
          <w:rFonts w:eastAsia="Times New Roman"/>
          <w:color w:val="000000"/>
          <w:szCs w:val="22"/>
        </w:rPr>
        <w:t>mg every week, adalimumab 40</w:t>
      </w:r>
      <w:r w:rsidRPr="001775D9">
        <w:rPr>
          <w:color w:val="000000"/>
          <w:szCs w:val="22"/>
        </w:rPr>
        <w:t> </w:t>
      </w:r>
      <w:r w:rsidRPr="001775D9">
        <w:rPr>
          <w:rFonts w:eastAsia="Times New Roman"/>
          <w:color w:val="000000"/>
          <w:szCs w:val="22"/>
        </w:rPr>
        <w:t xml:space="preserve">mg every other week, or placebo from </w:t>
      </w:r>
      <w:r w:rsidRPr="001775D9">
        <w:rPr>
          <w:szCs w:val="22"/>
        </w:rPr>
        <w:t>week</w:t>
      </w:r>
      <w:r w:rsidRPr="001775D9">
        <w:rPr>
          <w:rFonts w:eastAsia="Times New Roman"/>
          <w:color w:val="000000"/>
          <w:szCs w:val="22"/>
        </w:rPr>
        <w:t xml:space="preserve"> 12 to </w:t>
      </w:r>
      <w:r w:rsidRPr="001775D9">
        <w:rPr>
          <w:szCs w:val="22"/>
        </w:rPr>
        <w:t>week</w:t>
      </w:r>
      <w:r w:rsidRPr="001775D9">
        <w:rPr>
          <w:rFonts w:eastAsia="Times New Roman"/>
          <w:color w:val="000000"/>
          <w:szCs w:val="22"/>
        </w:rPr>
        <w:t xml:space="preserve"> 35). Patients who had been randomised to placebo in Period A were assigned to receive placebo in Period B.</w:t>
      </w:r>
    </w:p>
    <w:p w14:paraId="0A724F28"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5E5354F9"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Patients participating in Studies HS-I and HS-II were eligible to enrol into an open-label extension study in which adalimumab 40</w:t>
      </w:r>
      <w:r w:rsidRPr="001775D9">
        <w:rPr>
          <w:color w:val="000000"/>
          <w:szCs w:val="22"/>
        </w:rPr>
        <w:t> </w:t>
      </w:r>
      <w:r w:rsidRPr="001775D9">
        <w:rPr>
          <w:rFonts w:eastAsia="Times New Roman"/>
          <w:color w:val="000000"/>
          <w:szCs w:val="22"/>
        </w:rPr>
        <w:t xml:space="preserve">mg was administered every week. </w:t>
      </w:r>
      <w:r w:rsidRPr="001775D9">
        <w:rPr>
          <w:lang w:eastAsia="ja-JP"/>
        </w:rPr>
        <w:t xml:space="preserve">Mean exposure in all adalimumab population was 762 days. </w:t>
      </w:r>
      <w:r w:rsidRPr="001775D9">
        <w:rPr>
          <w:rFonts w:eastAsia="Times New Roman"/>
          <w:color w:val="000000"/>
          <w:szCs w:val="22"/>
        </w:rPr>
        <w:t>Throughout all 3 studies patients used topical antiseptic wash daily.</w:t>
      </w:r>
    </w:p>
    <w:p w14:paraId="3DEFAB13"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2E82D0D8" w14:textId="77777777" w:rsidR="001778AA" w:rsidRPr="001775D9" w:rsidRDefault="001778AA" w:rsidP="001778AA">
      <w:pPr>
        <w:shd w:val="clear" w:color="auto" w:fill="FFFFFF"/>
        <w:tabs>
          <w:tab w:val="clear" w:pos="567"/>
        </w:tabs>
        <w:spacing w:line="240" w:lineRule="auto"/>
        <w:rPr>
          <w:rFonts w:eastAsia="Times New Roman"/>
          <w:i/>
          <w:iCs/>
          <w:color w:val="000000"/>
          <w:szCs w:val="22"/>
          <w:u w:val="single"/>
        </w:rPr>
      </w:pPr>
      <w:r w:rsidRPr="001775D9">
        <w:rPr>
          <w:rFonts w:eastAsia="Times New Roman"/>
          <w:i/>
          <w:iCs/>
          <w:color w:val="000000"/>
          <w:szCs w:val="22"/>
          <w:u w:val="single"/>
        </w:rPr>
        <w:t>Clinical response</w:t>
      </w:r>
    </w:p>
    <w:p w14:paraId="6B92B93F"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76D98A5D" w14:textId="56831535"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Reduction of inflammatory lesions and prevention of worsening of abscesses and draining fistulas was assessed using Hidradenitis Suppurativa clinical response (HiSCR; at least a 50% reduction in total abscess and inflammatory nodule count with no increase in abscess count and no increase in draining fistula count relative to Baseline). Reduction in HS-related skin pain was assessed using a Numeric Rating Scale in patients who entered the study with an initial baseline score of 3 or greater on a 11</w:t>
      </w:r>
      <w:r w:rsidR="002630DD" w:rsidRPr="001775D9">
        <w:rPr>
          <w:rFonts w:eastAsia="Times New Roman"/>
          <w:color w:val="000000"/>
          <w:szCs w:val="22"/>
        </w:rPr>
        <w:t> </w:t>
      </w:r>
      <w:r w:rsidRPr="001775D9">
        <w:rPr>
          <w:rFonts w:eastAsia="Times New Roman"/>
          <w:color w:val="000000"/>
          <w:szCs w:val="22"/>
        </w:rPr>
        <w:t xml:space="preserve">point scale. </w:t>
      </w:r>
    </w:p>
    <w:p w14:paraId="129E01F5"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52BDC455"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At </w:t>
      </w:r>
      <w:r w:rsidRPr="001775D9">
        <w:rPr>
          <w:szCs w:val="22"/>
        </w:rPr>
        <w:t>week</w:t>
      </w:r>
      <w:r w:rsidRPr="001775D9">
        <w:rPr>
          <w:rFonts w:eastAsia="Times New Roman"/>
          <w:color w:val="000000"/>
          <w:szCs w:val="22"/>
        </w:rPr>
        <w:t xml:space="preserve"> 12, a significantly higher proportion of patients treated with adalimumab versus placebo achieved HiSCR. At </w:t>
      </w:r>
      <w:r w:rsidRPr="001775D9">
        <w:rPr>
          <w:szCs w:val="22"/>
        </w:rPr>
        <w:t>week</w:t>
      </w:r>
      <w:r w:rsidRPr="001775D9">
        <w:rPr>
          <w:rFonts w:eastAsia="Times New Roman"/>
          <w:color w:val="000000"/>
          <w:szCs w:val="22"/>
        </w:rPr>
        <w:t xml:space="preserve"> 12, a significantly higher proportion of patients in study HS-II experienced a clinically relevant decrease in HS-related skin pain (see table 19). Patients treated with adalimumab had significantly reduced risk of disease flare during the initial 12 weeks of treatment. </w:t>
      </w:r>
    </w:p>
    <w:p w14:paraId="5521D0C9" w14:textId="77777777" w:rsidR="001778AA" w:rsidRPr="001775D9" w:rsidRDefault="001778AA" w:rsidP="001778AA">
      <w:pPr>
        <w:shd w:val="clear" w:color="auto" w:fill="FFFFFF"/>
        <w:tabs>
          <w:tab w:val="clear" w:pos="567"/>
        </w:tabs>
        <w:spacing w:line="240" w:lineRule="auto"/>
        <w:rPr>
          <w:rFonts w:eastAsia="Times New Roman"/>
          <w:b/>
          <w:bCs/>
          <w:color w:val="000000"/>
          <w:szCs w:val="22"/>
        </w:rPr>
      </w:pPr>
    </w:p>
    <w:p w14:paraId="0D539C0B" w14:textId="77777777" w:rsidR="001778AA" w:rsidRPr="001775D9" w:rsidRDefault="001778AA" w:rsidP="001778AA">
      <w:pPr>
        <w:keepNext/>
        <w:shd w:val="clear" w:color="auto" w:fill="FFFFFF"/>
        <w:tabs>
          <w:tab w:val="clear" w:pos="567"/>
        </w:tabs>
        <w:spacing w:line="240" w:lineRule="auto"/>
        <w:rPr>
          <w:rFonts w:eastAsia="Times New Roman"/>
          <w:b/>
          <w:bCs/>
          <w:color w:val="000000"/>
          <w:szCs w:val="22"/>
        </w:rPr>
      </w:pPr>
      <w:r w:rsidRPr="001775D9">
        <w:rPr>
          <w:rFonts w:eastAsia="Times New Roman"/>
          <w:b/>
          <w:bCs/>
          <w:color w:val="000000"/>
          <w:szCs w:val="22"/>
        </w:rPr>
        <w:t xml:space="preserve">Table 19. Efficacy results at 12 weeks, HS studies I and II </w:t>
      </w:r>
    </w:p>
    <w:p w14:paraId="5B96107C" w14:textId="77777777" w:rsidR="001778AA" w:rsidRPr="001775D9" w:rsidRDefault="001778AA" w:rsidP="001778AA">
      <w:pPr>
        <w:keepNext/>
        <w:shd w:val="clear" w:color="auto" w:fill="FFFFFF"/>
        <w:tabs>
          <w:tab w:val="clear" w:pos="567"/>
        </w:tabs>
        <w:spacing w:line="240" w:lineRule="auto"/>
        <w:rPr>
          <w:rFonts w:eastAsia="Times New Roman"/>
          <w:color w:val="000000"/>
          <w:szCs w:val="22"/>
        </w:rPr>
      </w:pPr>
    </w:p>
    <w:tbl>
      <w:tblPr>
        <w:tblW w:w="9102"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2158"/>
        <w:gridCol w:w="1700"/>
        <w:gridCol w:w="1702"/>
        <w:gridCol w:w="1700"/>
        <w:gridCol w:w="1842"/>
      </w:tblGrid>
      <w:tr w:rsidR="001778AA" w:rsidRPr="00F04F82" w14:paraId="53FE20B9" w14:textId="77777777" w:rsidTr="00493E61">
        <w:tc>
          <w:tcPr>
            <w:tcW w:w="1185" w:type="pct"/>
            <w:vMerge w:val="restart"/>
            <w:tcBorders>
              <w:top w:val="outset" w:sz="6" w:space="0" w:color="auto"/>
              <w:left w:val="outset" w:sz="6" w:space="0" w:color="auto"/>
              <w:bottom w:val="outset" w:sz="6" w:space="0" w:color="auto"/>
              <w:right w:val="outset" w:sz="6" w:space="0" w:color="auto"/>
            </w:tcBorders>
            <w:hideMark/>
          </w:tcPr>
          <w:p w14:paraId="2703519F" w14:textId="77777777" w:rsidR="001778AA" w:rsidRPr="001775D9" w:rsidRDefault="001778AA" w:rsidP="00D47253">
            <w:pPr>
              <w:keepNext/>
              <w:tabs>
                <w:tab w:val="clear" w:pos="567"/>
              </w:tabs>
              <w:spacing w:line="240" w:lineRule="auto"/>
              <w:rPr>
                <w:rFonts w:eastAsia="Times New Roman"/>
                <w:color w:val="000000"/>
                <w:szCs w:val="22"/>
              </w:rPr>
            </w:pPr>
          </w:p>
        </w:tc>
        <w:tc>
          <w:tcPr>
            <w:tcW w:w="1869" w:type="pct"/>
            <w:gridSpan w:val="2"/>
            <w:tcBorders>
              <w:top w:val="outset" w:sz="6" w:space="0" w:color="auto"/>
              <w:left w:val="outset" w:sz="6" w:space="0" w:color="auto"/>
              <w:bottom w:val="outset" w:sz="6" w:space="0" w:color="auto"/>
              <w:right w:val="outset" w:sz="6" w:space="0" w:color="auto"/>
            </w:tcBorders>
            <w:hideMark/>
          </w:tcPr>
          <w:p w14:paraId="455EFBCE"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HS study I</w:t>
            </w:r>
          </w:p>
        </w:tc>
        <w:tc>
          <w:tcPr>
            <w:tcW w:w="1946" w:type="pct"/>
            <w:gridSpan w:val="2"/>
            <w:tcBorders>
              <w:top w:val="outset" w:sz="6" w:space="0" w:color="auto"/>
              <w:left w:val="outset" w:sz="6" w:space="0" w:color="auto"/>
              <w:bottom w:val="outset" w:sz="6" w:space="0" w:color="auto"/>
              <w:right w:val="outset" w:sz="6" w:space="0" w:color="auto"/>
            </w:tcBorders>
            <w:hideMark/>
          </w:tcPr>
          <w:p w14:paraId="67EEECC5"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HS study II</w:t>
            </w:r>
          </w:p>
        </w:tc>
      </w:tr>
      <w:tr w:rsidR="001778AA" w:rsidRPr="00F04F82" w14:paraId="03F7EA43" w14:textId="77777777" w:rsidTr="00493E61">
        <w:tc>
          <w:tcPr>
            <w:tcW w:w="1185" w:type="pct"/>
            <w:vMerge/>
            <w:tcBorders>
              <w:top w:val="outset" w:sz="6" w:space="0" w:color="auto"/>
              <w:left w:val="outset" w:sz="6" w:space="0" w:color="auto"/>
              <w:bottom w:val="outset" w:sz="6" w:space="0" w:color="auto"/>
              <w:right w:val="outset" w:sz="6" w:space="0" w:color="auto"/>
            </w:tcBorders>
            <w:vAlign w:val="center"/>
            <w:hideMark/>
          </w:tcPr>
          <w:p w14:paraId="573A4D45" w14:textId="77777777" w:rsidR="001778AA" w:rsidRPr="00F04F82" w:rsidRDefault="001778AA" w:rsidP="00D47253">
            <w:pPr>
              <w:keepNext/>
              <w:tabs>
                <w:tab w:val="clear" w:pos="567"/>
              </w:tabs>
              <w:spacing w:line="240" w:lineRule="auto"/>
              <w:rPr>
                <w:rFonts w:eastAsia="Times New Roman"/>
                <w:color w:val="000000"/>
                <w:szCs w:val="22"/>
              </w:rPr>
            </w:pPr>
          </w:p>
        </w:tc>
        <w:tc>
          <w:tcPr>
            <w:tcW w:w="934" w:type="pct"/>
            <w:tcBorders>
              <w:top w:val="outset" w:sz="6" w:space="0" w:color="auto"/>
              <w:left w:val="outset" w:sz="6" w:space="0" w:color="auto"/>
              <w:bottom w:val="outset" w:sz="6" w:space="0" w:color="auto"/>
              <w:right w:val="outset" w:sz="6" w:space="0" w:color="auto"/>
            </w:tcBorders>
            <w:hideMark/>
          </w:tcPr>
          <w:p w14:paraId="72B337C4"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Placebo</w:t>
            </w:r>
          </w:p>
        </w:tc>
        <w:tc>
          <w:tcPr>
            <w:tcW w:w="935" w:type="pct"/>
            <w:tcBorders>
              <w:top w:val="outset" w:sz="6" w:space="0" w:color="auto"/>
              <w:left w:val="outset" w:sz="6" w:space="0" w:color="auto"/>
              <w:bottom w:val="outset" w:sz="6" w:space="0" w:color="auto"/>
              <w:right w:val="outset" w:sz="6" w:space="0" w:color="auto"/>
            </w:tcBorders>
            <w:hideMark/>
          </w:tcPr>
          <w:p w14:paraId="606F4307" w14:textId="77777777" w:rsidR="001778AA" w:rsidRPr="001775D9" w:rsidRDefault="001778AA" w:rsidP="00D47253">
            <w:pPr>
              <w:keepNext/>
              <w:tabs>
                <w:tab w:val="clear" w:pos="567"/>
              </w:tabs>
              <w:spacing w:line="240" w:lineRule="auto"/>
              <w:jc w:val="center"/>
              <w:rPr>
                <w:rFonts w:eastAsia="Times New Roman"/>
                <w:b/>
                <w:color w:val="000000"/>
                <w:szCs w:val="22"/>
              </w:rPr>
            </w:pPr>
            <w:r w:rsidRPr="001775D9">
              <w:rPr>
                <w:rFonts w:eastAsia="Times New Roman"/>
                <w:b/>
                <w:color w:val="000000"/>
                <w:szCs w:val="22"/>
              </w:rPr>
              <w:t>Adalimumab</w:t>
            </w:r>
            <w:r w:rsidRPr="001775D9">
              <w:rPr>
                <w:b/>
                <w:szCs w:val="22"/>
                <w:lang w:eastAsia="en-GB"/>
              </w:rPr>
              <w:t xml:space="preserve"> </w:t>
            </w:r>
            <w:r w:rsidRPr="001775D9">
              <w:rPr>
                <w:rFonts w:eastAsia="Times New Roman"/>
                <w:b/>
                <w:bCs/>
                <w:color w:val="000000"/>
                <w:szCs w:val="22"/>
              </w:rPr>
              <w:t>40</w:t>
            </w:r>
            <w:r w:rsidRPr="001775D9">
              <w:rPr>
                <w:b/>
                <w:color w:val="000000"/>
                <w:szCs w:val="22"/>
              </w:rPr>
              <w:t> </w:t>
            </w:r>
            <w:r w:rsidRPr="001775D9">
              <w:rPr>
                <w:rFonts w:eastAsia="Times New Roman"/>
                <w:b/>
                <w:bCs/>
                <w:color w:val="000000"/>
                <w:szCs w:val="22"/>
              </w:rPr>
              <w:t>mg weekly</w:t>
            </w:r>
          </w:p>
        </w:tc>
        <w:tc>
          <w:tcPr>
            <w:tcW w:w="934" w:type="pct"/>
            <w:tcBorders>
              <w:top w:val="outset" w:sz="6" w:space="0" w:color="auto"/>
              <w:left w:val="outset" w:sz="6" w:space="0" w:color="auto"/>
              <w:bottom w:val="outset" w:sz="6" w:space="0" w:color="auto"/>
              <w:right w:val="outset" w:sz="6" w:space="0" w:color="auto"/>
            </w:tcBorders>
            <w:hideMark/>
          </w:tcPr>
          <w:p w14:paraId="276B41E1" w14:textId="77777777" w:rsidR="001778AA" w:rsidRPr="001775D9" w:rsidRDefault="001778AA" w:rsidP="00D47253">
            <w:pPr>
              <w:keepNext/>
              <w:tabs>
                <w:tab w:val="clear" w:pos="567"/>
              </w:tabs>
              <w:spacing w:line="240" w:lineRule="auto"/>
              <w:jc w:val="center"/>
              <w:rPr>
                <w:rFonts w:eastAsia="Times New Roman"/>
                <w:b/>
                <w:color w:val="000000"/>
                <w:szCs w:val="22"/>
              </w:rPr>
            </w:pPr>
            <w:r w:rsidRPr="001775D9">
              <w:rPr>
                <w:rFonts w:eastAsia="Times New Roman"/>
                <w:b/>
                <w:bCs/>
                <w:color w:val="000000"/>
                <w:szCs w:val="22"/>
              </w:rPr>
              <w:t>Placebo</w:t>
            </w:r>
          </w:p>
        </w:tc>
        <w:tc>
          <w:tcPr>
            <w:tcW w:w="1012" w:type="pct"/>
            <w:tcBorders>
              <w:top w:val="outset" w:sz="6" w:space="0" w:color="auto"/>
              <w:left w:val="outset" w:sz="6" w:space="0" w:color="auto"/>
              <w:bottom w:val="outset" w:sz="6" w:space="0" w:color="auto"/>
              <w:right w:val="outset" w:sz="6" w:space="0" w:color="auto"/>
            </w:tcBorders>
            <w:hideMark/>
          </w:tcPr>
          <w:p w14:paraId="58CB2283" w14:textId="77777777" w:rsidR="001778AA" w:rsidRPr="001775D9" w:rsidRDefault="001778AA" w:rsidP="00D47253">
            <w:pPr>
              <w:keepNext/>
              <w:tabs>
                <w:tab w:val="clear" w:pos="567"/>
              </w:tabs>
              <w:spacing w:line="240" w:lineRule="auto"/>
              <w:jc w:val="center"/>
              <w:rPr>
                <w:rFonts w:eastAsia="Times New Roman"/>
                <w:b/>
                <w:color w:val="000000"/>
                <w:szCs w:val="22"/>
              </w:rPr>
            </w:pPr>
            <w:r w:rsidRPr="001775D9">
              <w:rPr>
                <w:rFonts w:eastAsia="Times New Roman"/>
                <w:b/>
                <w:color w:val="000000"/>
                <w:szCs w:val="22"/>
              </w:rPr>
              <w:t>Adalimumab</w:t>
            </w:r>
            <w:r w:rsidRPr="001775D9">
              <w:rPr>
                <w:b/>
                <w:szCs w:val="22"/>
                <w:lang w:eastAsia="en-GB"/>
              </w:rPr>
              <w:t xml:space="preserve"> </w:t>
            </w:r>
            <w:r w:rsidRPr="001775D9">
              <w:rPr>
                <w:rFonts w:eastAsia="Times New Roman"/>
                <w:b/>
                <w:bCs/>
                <w:color w:val="000000"/>
                <w:szCs w:val="22"/>
              </w:rPr>
              <w:t>40 mg weekly</w:t>
            </w:r>
          </w:p>
        </w:tc>
      </w:tr>
      <w:tr w:rsidR="001778AA" w:rsidRPr="00F04F82" w14:paraId="29F3F50A" w14:textId="77777777" w:rsidTr="00493E61">
        <w:tc>
          <w:tcPr>
            <w:tcW w:w="1185" w:type="pct"/>
            <w:tcBorders>
              <w:top w:val="outset" w:sz="6" w:space="0" w:color="auto"/>
              <w:left w:val="outset" w:sz="6" w:space="0" w:color="auto"/>
              <w:bottom w:val="outset" w:sz="6" w:space="0" w:color="auto"/>
              <w:right w:val="outset" w:sz="6" w:space="0" w:color="auto"/>
            </w:tcBorders>
            <w:hideMark/>
          </w:tcPr>
          <w:p w14:paraId="58E2CAAE" w14:textId="77777777" w:rsidR="001778AA" w:rsidRPr="001775D9" w:rsidRDefault="001778AA" w:rsidP="00D47253">
            <w:pPr>
              <w:keepNext/>
              <w:tabs>
                <w:tab w:val="clear" w:pos="567"/>
              </w:tabs>
              <w:spacing w:line="240" w:lineRule="auto"/>
              <w:rPr>
                <w:rFonts w:eastAsia="Times New Roman"/>
                <w:color w:val="000000"/>
                <w:szCs w:val="22"/>
              </w:rPr>
            </w:pPr>
            <w:r w:rsidRPr="001775D9">
              <w:rPr>
                <w:rFonts w:eastAsia="Times New Roman"/>
                <w:color w:val="000000"/>
                <w:szCs w:val="22"/>
              </w:rPr>
              <w:t>Hidradenitis Suppurativa Clinical Response (HiSCR)</w:t>
            </w:r>
            <w:r w:rsidRPr="001775D9">
              <w:rPr>
                <w:rFonts w:eastAsia="Times New Roman"/>
                <w:color w:val="000000"/>
                <w:szCs w:val="22"/>
                <w:vertAlign w:val="superscript"/>
              </w:rPr>
              <w:t>a</w:t>
            </w:r>
          </w:p>
        </w:tc>
        <w:tc>
          <w:tcPr>
            <w:tcW w:w="934" w:type="pct"/>
            <w:tcBorders>
              <w:top w:val="outset" w:sz="6" w:space="0" w:color="auto"/>
              <w:left w:val="outset" w:sz="6" w:space="0" w:color="auto"/>
              <w:bottom w:val="outset" w:sz="6" w:space="0" w:color="auto"/>
              <w:right w:val="outset" w:sz="6" w:space="0" w:color="auto"/>
            </w:tcBorders>
            <w:hideMark/>
          </w:tcPr>
          <w:p w14:paraId="0F8653D9"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color w:val="000000"/>
                <w:szCs w:val="22"/>
              </w:rPr>
              <w:t>N = 154</w:t>
            </w:r>
          </w:p>
          <w:p w14:paraId="2F4B6F1E"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color w:val="000000"/>
                <w:szCs w:val="22"/>
              </w:rPr>
              <w:t>40 (26.0%)</w:t>
            </w:r>
          </w:p>
        </w:tc>
        <w:tc>
          <w:tcPr>
            <w:tcW w:w="935" w:type="pct"/>
            <w:tcBorders>
              <w:top w:val="outset" w:sz="6" w:space="0" w:color="auto"/>
              <w:left w:val="outset" w:sz="6" w:space="0" w:color="auto"/>
              <w:bottom w:val="outset" w:sz="6" w:space="0" w:color="auto"/>
              <w:right w:val="outset" w:sz="6" w:space="0" w:color="auto"/>
            </w:tcBorders>
            <w:hideMark/>
          </w:tcPr>
          <w:p w14:paraId="7BF2B014"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color w:val="000000"/>
                <w:szCs w:val="22"/>
              </w:rPr>
              <w:t>N = 153</w:t>
            </w:r>
          </w:p>
          <w:p w14:paraId="2859FBD5"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color w:val="000000"/>
                <w:szCs w:val="22"/>
              </w:rPr>
              <w:t xml:space="preserve">64 (41.8%) </w:t>
            </w:r>
            <w:r w:rsidRPr="001775D9">
              <w:rPr>
                <w:rFonts w:eastAsia="Times New Roman"/>
                <w:color w:val="000000"/>
                <w:szCs w:val="22"/>
                <w:vertAlign w:val="superscript"/>
              </w:rPr>
              <w:t>*</w:t>
            </w:r>
          </w:p>
        </w:tc>
        <w:tc>
          <w:tcPr>
            <w:tcW w:w="934" w:type="pct"/>
            <w:tcBorders>
              <w:top w:val="outset" w:sz="6" w:space="0" w:color="auto"/>
              <w:left w:val="outset" w:sz="6" w:space="0" w:color="auto"/>
              <w:bottom w:val="outset" w:sz="6" w:space="0" w:color="auto"/>
              <w:right w:val="outset" w:sz="6" w:space="0" w:color="auto"/>
            </w:tcBorders>
            <w:hideMark/>
          </w:tcPr>
          <w:p w14:paraId="1F1EEAEE"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color w:val="000000"/>
                <w:szCs w:val="22"/>
              </w:rPr>
              <w:t>N = 163</w:t>
            </w:r>
          </w:p>
          <w:p w14:paraId="00276A0E"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color w:val="000000"/>
                <w:szCs w:val="22"/>
              </w:rPr>
              <w:t>45 (27.6%)</w:t>
            </w:r>
          </w:p>
        </w:tc>
        <w:tc>
          <w:tcPr>
            <w:tcW w:w="1012" w:type="pct"/>
            <w:tcBorders>
              <w:top w:val="outset" w:sz="6" w:space="0" w:color="auto"/>
              <w:left w:val="outset" w:sz="6" w:space="0" w:color="auto"/>
              <w:bottom w:val="outset" w:sz="6" w:space="0" w:color="auto"/>
              <w:right w:val="outset" w:sz="6" w:space="0" w:color="auto"/>
            </w:tcBorders>
            <w:hideMark/>
          </w:tcPr>
          <w:p w14:paraId="031C5A68"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color w:val="000000"/>
                <w:szCs w:val="22"/>
              </w:rPr>
              <w:t>N = 163</w:t>
            </w:r>
          </w:p>
          <w:p w14:paraId="71C4E78D"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color w:val="000000"/>
                <w:szCs w:val="22"/>
              </w:rPr>
              <w:t>96 (58.9%)</w:t>
            </w:r>
            <w:r w:rsidRPr="001775D9">
              <w:rPr>
                <w:rFonts w:eastAsia="Times New Roman"/>
                <w:color w:val="000000"/>
                <w:szCs w:val="22"/>
                <w:vertAlign w:val="superscript"/>
              </w:rPr>
              <w:t>***</w:t>
            </w:r>
          </w:p>
        </w:tc>
      </w:tr>
      <w:tr w:rsidR="001778AA" w:rsidRPr="00F04F82" w14:paraId="0373EBD4" w14:textId="77777777" w:rsidTr="00493E61">
        <w:tc>
          <w:tcPr>
            <w:tcW w:w="1185" w:type="pct"/>
            <w:tcBorders>
              <w:top w:val="outset" w:sz="6" w:space="0" w:color="auto"/>
              <w:left w:val="outset" w:sz="6" w:space="0" w:color="auto"/>
              <w:bottom w:val="outset" w:sz="6" w:space="0" w:color="auto"/>
              <w:right w:val="outset" w:sz="6" w:space="0" w:color="auto"/>
            </w:tcBorders>
            <w:hideMark/>
          </w:tcPr>
          <w:p w14:paraId="0F0C38C2" w14:textId="042C3B39" w:rsidR="001778AA" w:rsidRPr="001775D9" w:rsidRDefault="001778AA" w:rsidP="00D47253">
            <w:pPr>
              <w:tabs>
                <w:tab w:val="clear" w:pos="567"/>
              </w:tabs>
              <w:spacing w:line="240" w:lineRule="auto"/>
              <w:rPr>
                <w:rFonts w:eastAsia="Times New Roman"/>
                <w:color w:val="000000"/>
                <w:szCs w:val="22"/>
              </w:rPr>
            </w:pPr>
            <w:r w:rsidRPr="001775D9">
              <w:rPr>
                <w:rFonts w:eastAsia="Times New Roman"/>
                <w:color w:val="000000"/>
                <w:szCs w:val="22"/>
              </w:rPr>
              <w:t>≥</w:t>
            </w:r>
            <w:r w:rsidR="00C656DE" w:rsidRPr="001775D9">
              <w:rPr>
                <w:rFonts w:eastAsia="Times New Roman"/>
                <w:color w:val="000000"/>
                <w:szCs w:val="22"/>
              </w:rPr>
              <w:t> </w:t>
            </w:r>
            <w:r w:rsidRPr="001775D9">
              <w:rPr>
                <w:rFonts w:eastAsia="Times New Roman"/>
                <w:color w:val="000000"/>
                <w:szCs w:val="22"/>
              </w:rPr>
              <w:t>30% Reduction in Skin Pain</w:t>
            </w:r>
            <w:r w:rsidRPr="001775D9">
              <w:rPr>
                <w:rFonts w:eastAsia="Times New Roman"/>
                <w:color w:val="000000"/>
                <w:szCs w:val="22"/>
                <w:vertAlign w:val="superscript"/>
              </w:rPr>
              <w:t>b</w:t>
            </w:r>
          </w:p>
        </w:tc>
        <w:tc>
          <w:tcPr>
            <w:tcW w:w="934" w:type="pct"/>
            <w:tcBorders>
              <w:top w:val="outset" w:sz="6" w:space="0" w:color="auto"/>
              <w:left w:val="outset" w:sz="6" w:space="0" w:color="auto"/>
              <w:bottom w:val="outset" w:sz="6" w:space="0" w:color="auto"/>
              <w:right w:val="outset" w:sz="6" w:space="0" w:color="auto"/>
            </w:tcBorders>
            <w:hideMark/>
          </w:tcPr>
          <w:p w14:paraId="62EA1FD3"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N = 109</w:t>
            </w:r>
          </w:p>
          <w:p w14:paraId="4AD3C814"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27 (24.8%)</w:t>
            </w:r>
          </w:p>
        </w:tc>
        <w:tc>
          <w:tcPr>
            <w:tcW w:w="935" w:type="pct"/>
            <w:tcBorders>
              <w:top w:val="outset" w:sz="6" w:space="0" w:color="auto"/>
              <w:left w:val="outset" w:sz="6" w:space="0" w:color="auto"/>
              <w:bottom w:val="outset" w:sz="6" w:space="0" w:color="auto"/>
              <w:right w:val="outset" w:sz="6" w:space="0" w:color="auto"/>
            </w:tcBorders>
            <w:hideMark/>
          </w:tcPr>
          <w:p w14:paraId="39AF8CB8"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N = 122</w:t>
            </w:r>
          </w:p>
          <w:p w14:paraId="1EB64670"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34 (27.9%)</w:t>
            </w:r>
          </w:p>
        </w:tc>
        <w:tc>
          <w:tcPr>
            <w:tcW w:w="934" w:type="pct"/>
            <w:tcBorders>
              <w:top w:val="outset" w:sz="6" w:space="0" w:color="auto"/>
              <w:left w:val="outset" w:sz="6" w:space="0" w:color="auto"/>
              <w:bottom w:val="outset" w:sz="6" w:space="0" w:color="auto"/>
              <w:right w:val="outset" w:sz="6" w:space="0" w:color="auto"/>
            </w:tcBorders>
            <w:hideMark/>
          </w:tcPr>
          <w:p w14:paraId="51B8F720"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N = 111</w:t>
            </w:r>
          </w:p>
          <w:p w14:paraId="3FED688E"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23 (20.7%)</w:t>
            </w:r>
          </w:p>
        </w:tc>
        <w:tc>
          <w:tcPr>
            <w:tcW w:w="1012" w:type="pct"/>
            <w:tcBorders>
              <w:top w:val="outset" w:sz="6" w:space="0" w:color="auto"/>
              <w:left w:val="outset" w:sz="6" w:space="0" w:color="auto"/>
              <w:bottom w:val="outset" w:sz="6" w:space="0" w:color="auto"/>
              <w:right w:val="outset" w:sz="6" w:space="0" w:color="auto"/>
            </w:tcBorders>
            <w:hideMark/>
          </w:tcPr>
          <w:p w14:paraId="11D0F8F0"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N = 105</w:t>
            </w:r>
          </w:p>
          <w:p w14:paraId="18EAD180"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48 (45.7%)</w:t>
            </w:r>
            <w:r w:rsidRPr="001775D9">
              <w:rPr>
                <w:rFonts w:eastAsia="Times New Roman"/>
                <w:color w:val="000000"/>
                <w:szCs w:val="22"/>
                <w:vertAlign w:val="superscript"/>
              </w:rPr>
              <w:t>***</w:t>
            </w:r>
          </w:p>
        </w:tc>
      </w:tr>
      <w:tr w:rsidR="001778AA" w:rsidRPr="00F04F82" w14:paraId="4E4AC3DD" w14:textId="77777777" w:rsidTr="00D47253">
        <w:tc>
          <w:tcPr>
            <w:tcW w:w="5000" w:type="pct"/>
            <w:gridSpan w:val="5"/>
            <w:tcBorders>
              <w:top w:val="outset" w:sz="6" w:space="0" w:color="auto"/>
              <w:left w:val="nil"/>
              <w:bottom w:val="nil"/>
              <w:right w:val="nil"/>
            </w:tcBorders>
            <w:hideMark/>
          </w:tcPr>
          <w:p w14:paraId="112ACCB4" w14:textId="77777777" w:rsidR="001778AA" w:rsidRPr="001775D9" w:rsidRDefault="001778AA" w:rsidP="00D47253">
            <w:pPr>
              <w:tabs>
                <w:tab w:val="clear" w:pos="567"/>
              </w:tabs>
              <w:spacing w:line="240" w:lineRule="auto"/>
              <w:rPr>
                <w:rFonts w:eastAsia="Times New Roman"/>
                <w:color w:val="000000"/>
                <w:sz w:val="20"/>
              </w:rPr>
            </w:pPr>
            <w:r w:rsidRPr="001775D9">
              <w:rPr>
                <w:rFonts w:eastAsia="Times New Roman"/>
                <w:color w:val="000000"/>
                <w:sz w:val="20"/>
              </w:rPr>
              <w:t>*</w:t>
            </w:r>
            <w:r w:rsidRPr="001775D9">
              <w:rPr>
                <w:rFonts w:eastAsia="Times New Roman"/>
                <w:iCs/>
                <w:color w:val="000000"/>
                <w:sz w:val="20"/>
              </w:rPr>
              <w:t>P</w:t>
            </w:r>
            <w:r w:rsidRPr="001775D9">
              <w:rPr>
                <w:rFonts w:eastAsia="Times New Roman"/>
                <w:color w:val="000000"/>
                <w:sz w:val="20"/>
              </w:rPr>
              <w:t xml:space="preserve"> &lt; 0.05, ***</w:t>
            </w:r>
            <w:r w:rsidRPr="001775D9">
              <w:rPr>
                <w:rFonts w:eastAsia="Times New Roman"/>
                <w:iCs/>
                <w:color w:val="000000"/>
                <w:sz w:val="20"/>
              </w:rPr>
              <w:t>P</w:t>
            </w:r>
            <w:r w:rsidRPr="001775D9">
              <w:rPr>
                <w:rFonts w:eastAsia="Times New Roman"/>
                <w:i/>
                <w:iCs/>
                <w:color w:val="000000"/>
                <w:sz w:val="20"/>
              </w:rPr>
              <w:t xml:space="preserve"> </w:t>
            </w:r>
            <w:r w:rsidRPr="001775D9">
              <w:rPr>
                <w:rFonts w:eastAsia="Times New Roman"/>
                <w:color w:val="000000"/>
                <w:sz w:val="20"/>
              </w:rPr>
              <w:t xml:space="preserve">&lt; 0.001, adalimumab versus placebo </w:t>
            </w:r>
          </w:p>
          <w:p w14:paraId="31FBE112" w14:textId="77777777" w:rsidR="001778AA" w:rsidRPr="001775D9" w:rsidRDefault="001778AA" w:rsidP="00D47253">
            <w:pPr>
              <w:tabs>
                <w:tab w:val="clear" w:pos="567"/>
              </w:tabs>
              <w:spacing w:line="240" w:lineRule="auto"/>
              <w:rPr>
                <w:rFonts w:eastAsia="Times New Roman"/>
                <w:color w:val="000000"/>
                <w:sz w:val="20"/>
              </w:rPr>
            </w:pPr>
            <w:r w:rsidRPr="001775D9">
              <w:rPr>
                <w:rFonts w:eastAsia="Times New Roman"/>
                <w:color w:val="000000"/>
                <w:sz w:val="20"/>
                <w:vertAlign w:val="superscript"/>
              </w:rPr>
              <w:t xml:space="preserve">a </w:t>
            </w:r>
            <w:r w:rsidRPr="001775D9">
              <w:rPr>
                <w:rFonts w:eastAsia="Times New Roman"/>
                <w:color w:val="000000"/>
                <w:sz w:val="20"/>
              </w:rPr>
              <w:t xml:space="preserve">Among all randomised patients </w:t>
            </w:r>
          </w:p>
          <w:p w14:paraId="26F6348D" w14:textId="684BEDF2" w:rsidR="001778AA" w:rsidRPr="001775D9" w:rsidRDefault="001778AA" w:rsidP="00D47253">
            <w:pPr>
              <w:tabs>
                <w:tab w:val="clear" w:pos="567"/>
              </w:tabs>
              <w:spacing w:line="240" w:lineRule="auto"/>
              <w:rPr>
                <w:rFonts w:eastAsia="Times New Roman"/>
                <w:color w:val="000000"/>
                <w:szCs w:val="22"/>
              </w:rPr>
            </w:pPr>
            <w:r w:rsidRPr="001775D9">
              <w:rPr>
                <w:rFonts w:eastAsia="Times New Roman"/>
                <w:color w:val="000000"/>
                <w:sz w:val="20"/>
                <w:vertAlign w:val="superscript"/>
              </w:rPr>
              <w:t xml:space="preserve">b </w:t>
            </w:r>
            <w:r w:rsidRPr="001775D9">
              <w:rPr>
                <w:rFonts w:eastAsia="Times New Roman"/>
                <w:color w:val="000000"/>
                <w:sz w:val="20"/>
              </w:rPr>
              <w:t>Among patients with baseline HS-related skin pain assessment ≥ 3, based on Numeric Rating Scale 0 – 10; 0</w:t>
            </w:r>
            <w:r w:rsidR="00C656DE" w:rsidRPr="001775D9">
              <w:rPr>
                <w:rFonts w:eastAsia="Times New Roman"/>
                <w:color w:val="000000"/>
                <w:sz w:val="20"/>
              </w:rPr>
              <w:t> </w:t>
            </w:r>
            <w:r w:rsidRPr="001775D9">
              <w:rPr>
                <w:rFonts w:eastAsia="Times New Roman"/>
                <w:color w:val="000000"/>
                <w:sz w:val="20"/>
              </w:rPr>
              <w:t>=</w:t>
            </w:r>
            <w:r w:rsidR="00C656DE" w:rsidRPr="001775D9">
              <w:rPr>
                <w:rFonts w:eastAsia="Times New Roman"/>
                <w:color w:val="000000"/>
                <w:sz w:val="20"/>
              </w:rPr>
              <w:t> </w:t>
            </w:r>
            <w:r w:rsidRPr="001775D9">
              <w:rPr>
                <w:rFonts w:eastAsia="Times New Roman"/>
                <w:color w:val="000000"/>
                <w:sz w:val="20"/>
              </w:rPr>
              <w:t>no skin pain, 10 = skin pain as bad as you can imagine</w:t>
            </w:r>
            <w:r w:rsidRPr="001775D9">
              <w:rPr>
                <w:rFonts w:eastAsia="Times New Roman"/>
                <w:color w:val="000000"/>
                <w:szCs w:val="22"/>
              </w:rPr>
              <w:t xml:space="preserve"> </w:t>
            </w:r>
          </w:p>
        </w:tc>
      </w:tr>
    </w:tbl>
    <w:p w14:paraId="2548C96E"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74645A1F"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Treatment with adalimumab 40</w:t>
      </w:r>
      <w:r w:rsidRPr="001775D9">
        <w:rPr>
          <w:color w:val="000000"/>
          <w:szCs w:val="22"/>
        </w:rPr>
        <w:t> </w:t>
      </w:r>
      <w:r w:rsidRPr="001775D9">
        <w:rPr>
          <w:rFonts w:eastAsia="Times New Roman"/>
          <w:color w:val="000000"/>
          <w:szCs w:val="22"/>
        </w:rPr>
        <w:t>mg every week significantly reduced the risk of worsening of abscesses and draining fistulas. Approximately twice the proportion of patients in the placebo group in the first 12 weeks of Studies HS-I and HS-II, compared with those in the adalimumab group experienced worsening of abscesses (23.0% versus 11.4%, respectively) and draining fistulas (30.0% versus 13.9%, respectively).</w:t>
      </w:r>
    </w:p>
    <w:p w14:paraId="48E25D4F"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2F2277E4"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Greater improvements at </w:t>
      </w:r>
      <w:r w:rsidRPr="001775D9">
        <w:rPr>
          <w:szCs w:val="22"/>
        </w:rPr>
        <w:t>week</w:t>
      </w:r>
      <w:r w:rsidRPr="001775D9">
        <w:rPr>
          <w:rFonts w:eastAsia="Times New Roman"/>
          <w:color w:val="000000"/>
          <w:szCs w:val="22"/>
        </w:rPr>
        <w:t xml:space="preserve"> 12 from baseline compared to placebo were demonstrated in skin-specific health-related quality of life, as measured by the Dermatology Life Quality Index (DLQI; Studies HS-I and HS-II), patient global satisfaction with medication treatment as measured by the Treatment Satisfaction Questionnaire-medication (TSQM; Studies HS-I and HS-II), and physical health as measured by the physical component summary score of the SF-36 (study HS-I).</w:t>
      </w:r>
    </w:p>
    <w:p w14:paraId="585E37A6"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3189C2A2"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In patients with at least a partial response to adalimumab 40</w:t>
      </w:r>
      <w:r w:rsidRPr="001775D9">
        <w:rPr>
          <w:color w:val="000000"/>
          <w:szCs w:val="22"/>
        </w:rPr>
        <w:t> </w:t>
      </w:r>
      <w:r w:rsidRPr="001775D9">
        <w:rPr>
          <w:rFonts w:eastAsia="Times New Roman"/>
          <w:color w:val="000000"/>
          <w:szCs w:val="22"/>
        </w:rPr>
        <w:t xml:space="preserve">mg weekly at </w:t>
      </w:r>
      <w:r w:rsidRPr="001775D9">
        <w:rPr>
          <w:szCs w:val="22"/>
        </w:rPr>
        <w:t>week</w:t>
      </w:r>
      <w:r w:rsidRPr="001775D9">
        <w:rPr>
          <w:rFonts w:eastAsia="Times New Roman"/>
          <w:color w:val="000000"/>
          <w:szCs w:val="22"/>
        </w:rPr>
        <w:t xml:space="preserve"> 12, the HiSCR rate at </w:t>
      </w:r>
      <w:r w:rsidRPr="001775D9">
        <w:rPr>
          <w:szCs w:val="22"/>
        </w:rPr>
        <w:t>week</w:t>
      </w:r>
      <w:r w:rsidRPr="001775D9">
        <w:rPr>
          <w:rFonts w:eastAsia="Times New Roman"/>
          <w:color w:val="000000"/>
          <w:szCs w:val="22"/>
        </w:rPr>
        <w:t xml:space="preserve"> 36 was higher in patients who continued weekly adalimumab than in patients in whom dosing frequency was reduced to every other week, or in whom treatment was withdrawn (see </w:t>
      </w:r>
      <w:r w:rsidRPr="001775D9">
        <w:rPr>
          <w:szCs w:val="22"/>
          <w:lang w:eastAsia="en-GB"/>
        </w:rPr>
        <w:t xml:space="preserve">table </w:t>
      </w:r>
      <w:r w:rsidRPr="001775D9">
        <w:rPr>
          <w:rFonts w:eastAsia="Times New Roman"/>
          <w:color w:val="000000"/>
          <w:szCs w:val="22"/>
        </w:rPr>
        <w:t xml:space="preserve">20). </w:t>
      </w:r>
    </w:p>
    <w:p w14:paraId="0CFC86D7" w14:textId="77777777" w:rsidR="001778AA" w:rsidRPr="001775D9" w:rsidRDefault="001778AA" w:rsidP="001778AA">
      <w:pPr>
        <w:shd w:val="clear" w:color="auto" w:fill="FFFFFF"/>
        <w:tabs>
          <w:tab w:val="clear" w:pos="567"/>
        </w:tabs>
        <w:spacing w:line="240" w:lineRule="auto"/>
        <w:rPr>
          <w:rFonts w:eastAsia="Times New Roman"/>
          <w:b/>
          <w:bCs/>
          <w:color w:val="000000"/>
          <w:szCs w:val="22"/>
        </w:rPr>
      </w:pPr>
    </w:p>
    <w:p w14:paraId="4ECD8C3E" w14:textId="77777777" w:rsidR="001778AA" w:rsidRPr="001775D9" w:rsidRDefault="001778AA" w:rsidP="001778AA">
      <w:pPr>
        <w:keepNext/>
        <w:shd w:val="clear" w:color="auto" w:fill="FFFFFF"/>
        <w:tabs>
          <w:tab w:val="clear" w:pos="567"/>
        </w:tabs>
        <w:spacing w:line="240" w:lineRule="auto"/>
        <w:rPr>
          <w:rFonts w:eastAsia="Times New Roman"/>
          <w:b/>
          <w:bCs/>
          <w:color w:val="000000"/>
          <w:szCs w:val="22"/>
        </w:rPr>
      </w:pPr>
      <w:r w:rsidRPr="001775D9">
        <w:rPr>
          <w:rFonts w:eastAsia="Times New Roman"/>
          <w:b/>
          <w:bCs/>
          <w:color w:val="000000"/>
          <w:szCs w:val="22"/>
        </w:rPr>
        <w:t>Table 20. Proportion of patients</w:t>
      </w:r>
      <w:r w:rsidRPr="001775D9">
        <w:rPr>
          <w:rFonts w:eastAsia="Times New Roman"/>
          <w:b/>
          <w:bCs/>
          <w:color w:val="000000"/>
          <w:szCs w:val="22"/>
          <w:vertAlign w:val="superscript"/>
        </w:rPr>
        <w:t>a</w:t>
      </w:r>
      <w:r w:rsidRPr="001775D9">
        <w:rPr>
          <w:rFonts w:eastAsia="Times New Roman"/>
          <w:b/>
          <w:bCs/>
          <w:color w:val="000000"/>
          <w:szCs w:val="22"/>
        </w:rPr>
        <w:t xml:space="preserve"> achieving HiSCR</w:t>
      </w:r>
      <w:r w:rsidRPr="001775D9">
        <w:rPr>
          <w:rFonts w:eastAsia="Times New Roman"/>
          <w:b/>
          <w:bCs/>
          <w:color w:val="000000"/>
          <w:szCs w:val="22"/>
          <w:vertAlign w:val="superscript"/>
        </w:rPr>
        <w:t>b</w:t>
      </w:r>
      <w:r w:rsidRPr="001775D9">
        <w:rPr>
          <w:rFonts w:eastAsia="Times New Roman"/>
          <w:b/>
          <w:bCs/>
          <w:color w:val="000000"/>
          <w:szCs w:val="22"/>
        </w:rPr>
        <w:t xml:space="preserve"> at weeks 24 and 36 after treatment reassignment from weekly </w:t>
      </w:r>
      <w:r w:rsidRPr="001775D9">
        <w:rPr>
          <w:rFonts w:eastAsia="Times New Roman"/>
          <w:b/>
          <w:color w:val="000000"/>
          <w:szCs w:val="22"/>
        </w:rPr>
        <w:t>adalimumab</w:t>
      </w:r>
      <w:r w:rsidRPr="001775D9">
        <w:rPr>
          <w:rFonts w:eastAsia="Times New Roman"/>
          <w:b/>
          <w:bCs/>
          <w:color w:val="000000"/>
          <w:szCs w:val="22"/>
        </w:rPr>
        <w:t xml:space="preserve"> at week 12</w:t>
      </w:r>
    </w:p>
    <w:p w14:paraId="3E8A11D2" w14:textId="77777777" w:rsidR="001778AA" w:rsidRPr="001775D9" w:rsidRDefault="001778AA" w:rsidP="001778AA">
      <w:pPr>
        <w:keepNext/>
        <w:shd w:val="clear" w:color="auto" w:fill="FFFFFF"/>
        <w:tabs>
          <w:tab w:val="clear" w:pos="567"/>
        </w:tabs>
        <w:spacing w:line="240" w:lineRule="auto"/>
        <w:jc w:val="center"/>
        <w:rPr>
          <w:rFonts w:eastAsia="Times New Roman"/>
          <w:color w:val="000000"/>
          <w:szCs w:val="22"/>
        </w:rPr>
      </w:pPr>
    </w:p>
    <w:tbl>
      <w:tblPr>
        <w:tblW w:w="9102"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2158"/>
        <w:gridCol w:w="2408"/>
        <w:gridCol w:w="2266"/>
        <w:gridCol w:w="2270"/>
      </w:tblGrid>
      <w:tr w:rsidR="001778AA" w:rsidRPr="00F04F82" w14:paraId="43059DCF" w14:textId="77777777" w:rsidTr="00D47253">
        <w:tc>
          <w:tcPr>
            <w:tcW w:w="1185" w:type="pct"/>
            <w:tcBorders>
              <w:top w:val="outset" w:sz="6" w:space="0" w:color="auto"/>
              <w:left w:val="outset" w:sz="6" w:space="0" w:color="auto"/>
              <w:bottom w:val="outset" w:sz="6" w:space="0" w:color="auto"/>
              <w:right w:val="outset" w:sz="6" w:space="0" w:color="auto"/>
            </w:tcBorders>
            <w:hideMark/>
          </w:tcPr>
          <w:p w14:paraId="51DA8353" w14:textId="77777777" w:rsidR="001778AA" w:rsidRPr="001775D9" w:rsidRDefault="001778AA" w:rsidP="00D47253">
            <w:pPr>
              <w:keepNext/>
              <w:tabs>
                <w:tab w:val="clear" w:pos="567"/>
              </w:tabs>
              <w:spacing w:line="240" w:lineRule="auto"/>
              <w:rPr>
                <w:rFonts w:eastAsia="Times New Roman"/>
                <w:color w:val="000000"/>
                <w:szCs w:val="22"/>
              </w:rPr>
            </w:pPr>
          </w:p>
        </w:tc>
        <w:tc>
          <w:tcPr>
            <w:tcW w:w="1323" w:type="pct"/>
            <w:tcBorders>
              <w:top w:val="outset" w:sz="6" w:space="0" w:color="auto"/>
              <w:left w:val="outset" w:sz="6" w:space="0" w:color="auto"/>
              <w:bottom w:val="outset" w:sz="6" w:space="0" w:color="auto"/>
              <w:right w:val="outset" w:sz="6" w:space="0" w:color="auto"/>
            </w:tcBorders>
            <w:hideMark/>
          </w:tcPr>
          <w:p w14:paraId="46ECDF6B"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Placebo (treatment withdrawal)</w:t>
            </w:r>
          </w:p>
          <w:p w14:paraId="0843E4AA" w14:textId="77777777" w:rsidR="001778AA" w:rsidRPr="001775D9" w:rsidRDefault="001778AA" w:rsidP="00D47253">
            <w:pPr>
              <w:keepNext/>
              <w:tabs>
                <w:tab w:val="clear" w:pos="567"/>
              </w:tabs>
              <w:spacing w:line="240" w:lineRule="auto"/>
              <w:jc w:val="center"/>
              <w:rPr>
                <w:rFonts w:eastAsia="Times New Roman"/>
                <w:color w:val="000000"/>
                <w:szCs w:val="22"/>
              </w:rPr>
            </w:pPr>
            <w:r w:rsidRPr="001775D9">
              <w:rPr>
                <w:rFonts w:eastAsia="Times New Roman"/>
                <w:b/>
                <w:bCs/>
                <w:color w:val="000000"/>
                <w:szCs w:val="22"/>
              </w:rPr>
              <w:t>N</w:t>
            </w:r>
            <w:r w:rsidRPr="001775D9">
              <w:rPr>
                <w:color w:val="000000"/>
                <w:szCs w:val="22"/>
              </w:rPr>
              <w:t> </w:t>
            </w:r>
            <w:r w:rsidRPr="001775D9">
              <w:rPr>
                <w:rFonts w:eastAsia="Times New Roman"/>
                <w:b/>
                <w:bCs/>
                <w:color w:val="000000"/>
                <w:szCs w:val="22"/>
              </w:rPr>
              <w:t>=</w:t>
            </w:r>
            <w:r w:rsidRPr="001775D9">
              <w:rPr>
                <w:color w:val="000000"/>
                <w:szCs w:val="22"/>
              </w:rPr>
              <w:t> </w:t>
            </w:r>
            <w:r w:rsidRPr="001775D9">
              <w:rPr>
                <w:rFonts w:eastAsia="Times New Roman"/>
                <w:b/>
                <w:bCs/>
                <w:color w:val="000000"/>
                <w:szCs w:val="22"/>
              </w:rPr>
              <w:t>73</w:t>
            </w:r>
          </w:p>
        </w:tc>
        <w:tc>
          <w:tcPr>
            <w:tcW w:w="1245" w:type="pct"/>
            <w:tcBorders>
              <w:top w:val="outset" w:sz="6" w:space="0" w:color="auto"/>
              <w:left w:val="outset" w:sz="6" w:space="0" w:color="auto"/>
              <w:bottom w:val="outset" w:sz="6" w:space="0" w:color="auto"/>
              <w:right w:val="outset" w:sz="6" w:space="0" w:color="auto"/>
            </w:tcBorders>
            <w:hideMark/>
          </w:tcPr>
          <w:p w14:paraId="2FA80A9A" w14:textId="77777777" w:rsidR="001778AA" w:rsidRPr="001775D9" w:rsidRDefault="001778AA" w:rsidP="00D47253">
            <w:pPr>
              <w:keepNext/>
              <w:tabs>
                <w:tab w:val="clear" w:pos="567"/>
              </w:tabs>
              <w:spacing w:line="240" w:lineRule="auto"/>
              <w:jc w:val="center"/>
              <w:rPr>
                <w:rFonts w:eastAsia="Times New Roman"/>
                <w:b/>
                <w:color w:val="000000"/>
                <w:szCs w:val="22"/>
              </w:rPr>
            </w:pPr>
            <w:r w:rsidRPr="001775D9">
              <w:rPr>
                <w:rFonts w:eastAsia="Times New Roman"/>
                <w:b/>
                <w:color w:val="000000"/>
                <w:szCs w:val="22"/>
              </w:rPr>
              <w:t>Adalimumab</w:t>
            </w:r>
            <w:r w:rsidRPr="001775D9">
              <w:rPr>
                <w:rFonts w:eastAsia="Times New Roman"/>
                <w:b/>
                <w:bCs/>
                <w:color w:val="000000"/>
                <w:szCs w:val="22"/>
              </w:rPr>
              <w:t xml:space="preserve"> 40</w:t>
            </w:r>
            <w:r w:rsidRPr="001775D9">
              <w:rPr>
                <w:b/>
                <w:color w:val="000000"/>
                <w:szCs w:val="22"/>
              </w:rPr>
              <w:t> </w:t>
            </w:r>
            <w:r w:rsidRPr="001775D9">
              <w:rPr>
                <w:rFonts w:eastAsia="Times New Roman"/>
                <w:b/>
                <w:bCs/>
                <w:color w:val="000000"/>
                <w:szCs w:val="22"/>
              </w:rPr>
              <w:t>mg every other week</w:t>
            </w:r>
          </w:p>
          <w:p w14:paraId="5CAB7C4D" w14:textId="77777777" w:rsidR="001778AA" w:rsidRPr="001775D9" w:rsidRDefault="001778AA" w:rsidP="00D47253">
            <w:pPr>
              <w:keepNext/>
              <w:tabs>
                <w:tab w:val="clear" w:pos="567"/>
              </w:tabs>
              <w:spacing w:line="240" w:lineRule="auto"/>
              <w:jc w:val="center"/>
              <w:rPr>
                <w:rFonts w:eastAsia="Times New Roman"/>
                <w:b/>
                <w:color w:val="000000"/>
                <w:szCs w:val="22"/>
              </w:rPr>
            </w:pPr>
            <w:r w:rsidRPr="001775D9">
              <w:rPr>
                <w:rFonts w:eastAsia="Times New Roman"/>
                <w:b/>
                <w:bCs/>
                <w:color w:val="000000"/>
                <w:szCs w:val="22"/>
              </w:rPr>
              <w:t>N</w:t>
            </w:r>
            <w:r w:rsidRPr="001775D9">
              <w:rPr>
                <w:b/>
                <w:color w:val="000000"/>
                <w:szCs w:val="22"/>
              </w:rPr>
              <w:t> </w:t>
            </w:r>
            <w:r w:rsidRPr="001775D9">
              <w:rPr>
                <w:rFonts w:eastAsia="Times New Roman"/>
                <w:b/>
                <w:bCs/>
                <w:color w:val="000000"/>
                <w:szCs w:val="22"/>
              </w:rPr>
              <w:t>=</w:t>
            </w:r>
            <w:r w:rsidRPr="001775D9">
              <w:rPr>
                <w:b/>
                <w:color w:val="000000"/>
                <w:szCs w:val="22"/>
              </w:rPr>
              <w:t> </w:t>
            </w:r>
            <w:r w:rsidRPr="001775D9">
              <w:rPr>
                <w:rFonts w:eastAsia="Times New Roman"/>
                <w:b/>
                <w:bCs/>
                <w:color w:val="000000"/>
                <w:szCs w:val="22"/>
              </w:rPr>
              <w:t>70</w:t>
            </w:r>
          </w:p>
        </w:tc>
        <w:tc>
          <w:tcPr>
            <w:tcW w:w="1246" w:type="pct"/>
            <w:tcBorders>
              <w:top w:val="outset" w:sz="6" w:space="0" w:color="auto"/>
              <w:left w:val="outset" w:sz="6" w:space="0" w:color="auto"/>
              <w:bottom w:val="outset" w:sz="6" w:space="0" w:color="auto"/>
              <w:right w:val="outset" w:sz="6" w:space="0" w:color="auto"/>
            </w:tcBorders>
            <w:hideMark/>
          </w:tcPr>
          <w:p w14:paraId="39CC8551" w14:textId="77777777" w:rsidR="001778AA" w:rsidRPr="001775D9" w:rsidRDefault="001778AA" w:rsidP="00D47253">
            <w:pPr>
              <w:keepNext/>
              <w:tabs>
                <w:tab w:val="clear" w:pos="567"/>
              </w:tabs>
              <w:spacing w:line="240" w:lineRule="auto"/>
              <w:jc w:val="center"/>
              <w:rPr>
                <w:rFonts w:eastAsia="Times New Roman"/>
                <w:b/>
                <w:color w:val="000000"/>
                <w:szCs w:val="22"/>
              </w:rPr>
            </w:pPr>
            <w:r w:rsidRPr="001775D9">
              <w:rPr>
                <w:rFonts w:eastAsia="Times New Roman"/>
                <w:b/>
                <w:color w:val="000000"/>
                <w:szCs w:val="22"/>
              </w:rPr>
              <w:t>Adalimumab</w:t>
            </w:r>
            <w:r w:rsidRPr="001775D9">
              <w:rPr>
                <w:rFonts w:eastAsia="Times New Roman"/>
                <w:b/>
                <w:bCs/>
                <w:color w:val="000000"/>
                <w:szCs w:val="22"/>
              </w:rPr>
              <w:t xml:space="preserve"> 40</w:t>
            </w:r>
            <w:r w:rsidRPr="001775D9">
              <w:rPr>
                <w:b/>
                <w:color w:val="000000"/>
                <w:szCs w:val="22"/>
              </w:rPr>
              <w:t> </w:t>
            </w:r>
            <w:r w:rsidRPr="001775D9">
              <w:rPr>
                <w:rFonts w:eastAsia="Times New Roman"/>
                <w:b/>
                <w:bCs/>
                <w:color w:val="000000"/>
                <w:szCs w:val="22"/>
              </w:rPr>
              <w:t>mg weekly</w:t>
            </w:r>
          </w:p>
          <w:p w14:paraId="76234B1D" w14:textId="77777777" w:rsidR="001778AA" w:rsidRPr="001775D9" w:rsidRDefault="001778AA" w:rsidP="00D47253">
            <w:pPr>
              <w:keepNext/>
              <w:tabs>
                <w:tab w:val="clear" w:pos="567"/>
              </w:tabs>
              <w:spacing w:line="240" w:lineRule="auto"/>
              <w:jc w:val="center"/>
              <w:rPr>
                <w:rFonts w:eastAsia="Times New Roman"/>
                <w:b/>
                <w:color w:val="000000"/>
                <w:szCs w:val="22"/>
              </w:rPr>
            </w:pPr>
            <w:r w:rsidRPr="001775D9">
              <w:rPr>
                <w:rFonts w:eastAsia="Times New Roman"/>
                <w:b/>
                <w:bCs/>
                <w:color w:val="000000"/>
                <w:szCs w:val="22"/>
              </w:rPr>
              <w:t>N</w:t>
            </w:r>
            <w:r w:rsidRPr="001775D9">
              <w:rPr>
                <w:b/>
                <w:color w:val="000000"/>
                <w:szCs w:val="22"/>
              </w:rPr>
              <w:t> </w:t>
            </w:r>
            <w:r w:rsidRPr="001775D9">
              <w:rPr>
                <w:rFonts w:eastAsia="Times New Roman"/>
                <w:b/>
                <w:bCs/>
                <w:color w:val="000000"/>
                <w:szCs w:val="22"/>
              </w:rPr>
              <w:t>=</w:t>
            </w:r>
            <w:r w:rsidRPr="001775D9">
              <w:rPr>
                <w:b/>
                <w:color w:val="000000"/>
                <w:szCs w:val="22"/>
              </w:rPr>
              <w:t> </w:t>
            </w:r>
            <w:r w:rsidRPr="001775D9">
              <w:rPr>
                <w:rFonts w:eastAsia="Times New Roman"/>
                <w:b/>
                <w:bCs/>
                <w:color w:val="000000"/>
                <w:szCs w:val="22"/>
              </w:rPr>
              <w:t>70</w:t>
            </w:r>
          </w:p>
        </w:tc>
      </w:tr>
      <w:tr w:rsidR="001778AA" w:rsidRPr="00F04F82" w14:paraId="0CC96667" w14:textId="77777777" w:rsidTr="00D47253">
        <w:tc>
          <w:tcPr>
            <w:tcW w:w="1185" w:type="pct"/>
            <w:tcBorders>
              <w:top w:val="outset" w:sz="6" w:space="0" w:color="auto"/>
              <w:left w:val="outset" w:sz="6" w:space="0" w:color="auto"/>
              <w:bottom w:val="outset" w:sz="6" w:space="0" w:color="auto"/>
              <w:right w:val="outset" w:sz="6" w:space="0" w:color="auto"/>
            </w:tcBorders>
            <w:hideMark/>
          </w:tcPr>
          <w:p w14:paraId="4983D4DB" w14:textId="77777777" w:rsidR="001778AA" w:rsidRPr="001775D9" w:rsidRDefault="001778AA" w:rsidP="00D47253">
            <w:pPr>
              <w:tabs>
                <w:tab w:val="clear" w:pos="567"/>
              </w:tabs>
              <w:spacing w:line="240" w:lineRule="auto"/>
              <w:rPr>
                <w:rFonts w:eastAsia="Times New Roman"/>
                <w:color w:val="000000"/>
                <w:szCs w:val="22"/>
              </w:rPr>
            </w:pPr>
            <w:r w:rsidRPr="001775D9">
              <w:rPr>
                <w:rFonts w:eastAsia="Times New Roman"/>
                <w:color w:val="000000"/>
                <w:szCs w:val="22"/>
              </w:rPr>
              <w:t xml:space="preserve">Week 24 </w:t>
            </w:r>
          </w:p>
        </w:tc>
        <w:tc>
          <w:tcPr>
            <w:tcW w:w="1323" w:type="pct"/>
            <w:tcBorders>
              <w:top w:val="outset" w:sz="6" w:space="0" w:color="auto"/>
              <w:left w:val="outset" w:sz="6" w:space="0" w:color="auto"/>
              <w:bottom w:val="outset" w:sz="6" w:space="0" w:color="auto"/>
              <w:right w:val="outset" w:sz="6" w:space="0" w:color="auto"/>
            </w:tcBorders>
            <w:hideMark/>
          </w:tcPr>
          <w:p w14:paraId="6189BA69"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24 (32.9%)</w:t>
            </w:r>
          </w:p>
        </w:tc>
        <w:tc>
          <w:tcPr>
            <w:tcW w:w="1245" w:type="pct"/>
            <w:tcBorders>
              <w:top w:val="outset" w:sz="6" w:space="0" w:color="auto"/>
              <w:left w:val="outset" w:sz="6" w:space="0" w:color="auto"/>
              <w:bottom w:val="outset" w:sz="6" w:space="0" w:color="auto"/>
              <w:right w:val="outset" w:sz="6" w:space="0" w:color="auto"/>
            </w:tcBorders>
            <w:hideMark/>
          </w:tcPr>
          <w:p w14:paraId="7BC13AB6"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36 (51.4%)</w:t>
            </w:r>
          </w:p>
        </w:tc>
        <w:tc>
          <w:tcPr>
            <w:tcW w:w="1246" w:type="pct"/>
            <w:tcBorders>
              <w:top w:val="outset" w:sz="6" w:space="0" w:color="auto"/>
              <w:left w:val="outset" w:sz="6" w:space="0" w:color="auto"/>
              <w:bottom w:val="outset" w:sz="6" w:space="0" w:color="auto"/>
              <w:right w:val="outset" w:sz="6" w:space="0" w:color="auto"/>
            </w:tcBorders>
            <w:hideMark/>
          </w:tcPr>
          <w:p w14:paraId="3EF65FE3"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40 (57.1%)</w:t>
            </w:r>
          </w:p>
        </w:tc>
      </w:tr>
      <w:tr w:rsidR="001778AA" w:rsidRPr="00F04F82" w14:paraId="436E17DB" w14:textId="77777777" w:rsidTr="00D47253">
        <w:tc>
          <w:tcPr>
            <w:tcW w:w="1185" w:type="pct"/>
            <w:tcBorders>
              <w:top w:val="outset" w:sz="6" w:space="0" w:color="auto"/>
              <w:left w:val="outset" w:sz="6" w:space="0" w:color="auto"/>
              <w:bottom w:val="single" w:sz="4" w:space="0" w:color="auto"/>
              <w:right w:val="outset" w:sz="6" w:space="0" w:color="auto"/>
            </w:tcBorders>
            <w:hideMark/>
          </w:tcPr>
          <w:p w14:paraId="256A3637" w14:textId="77777777" w:rsidR="001778AA" w:rsidRPr="001775D9" w:rsidRDefault="001778AA" w:rsidP="00D47253">
            <w:pPr>
              <w:tabs>
                <w:tab w:val="clear" w:pos="567"/>
              </w:tabs>
              <w:spacing w:line="240" w:lineRule="auto"/>
              <w:rPr>
                <w:rFonts w:eastAsia="Times New Roman"/>
                <w:color w:val="000000"/>
                <w:szCs w:val="22"/>
              </w:rPr>
            </w:pPr>
            <w:r w:rsidRPr="001775D9">
              <w:rPr>
                <w:rFonts w:eastAsia="Times New Roman"/>
                <w:color w:val="000000"/>
                <w:szCs w:val="22"/>
              </w:rPr>
              <w:t xml:space="preserve">Week 36 </w:t>
            </w:r>
          </w:p>
        </w:tc>
        <w:tc>
          <w:tcPr>
            <w:tcW w:w="1323" w:type="pct"/>
            <w:tcBorders>
              <w:top w:val="outset" w:sz="6" w:space="0" w:color="auto"/>
              <w:left w:val="outset" w:sz="6" w:space="0" w:color="auto"/>
              <w:bottom w:val="single" w:sz="4" w:space="0" w:color="auto"/>
              <w:right w:val="outset" w:sz="6" w:space="0" w:color="auto"/>
            </w:tcBorders>
            <w:hideMark/>
          </w:tcPr>
          <w:p w14:paraId="76AEA9AE"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22 (30.1%)</w:t>
            </w:r>
          </w:p>
        </w:tc>
        <w:tc>
          <w:tcPr>
            <w:tcW w:w="1245" w:type="pct"/>
            <w:tcBorders>
              <w:top w:val="outset" w:sz="6" w:space="0" w:color="auto"/>
              <w:left w:val="outset" w:sz="6" w:space="0" w:color="auto"/>
              <w:bottom w:val="single" w:sz="4" w:space="0" w:color="auto"/>
              <w:right w:val="outset" w:sz="6" w:space="0" w:color="auto"/>
            </w:tcBorders>
            <w:hideMark/>
          </w:tcPr>
          <w:p w14:paraId="25B05FEA"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28 (40.0%)</w:t>
            </w:r>
          </w:p>
        </w:tc>
        <w:tc>
          <w:tcPr>
            <w:tcW w:w="1246" w:type="pct"/>
            <w:tcBorders>
              <w:top w:val="outset" w:sz="6" w:space="0" w:color="auto"/>
              <w:left w:val="outset" w:sz="6" w:space="0" w:color="auto"/>
              <w:bottom w:val="single" w:sz="4" w:space="0" w:color="auto"/>
              <w:right w:val="outset" w:sz="6" w:space="0" w:color="auto"/>
            </w:tcBorders>
            <w:hideMark/>
          </w:tcPr>
          <w:p w14:paraId="7A5C5677" w14:textId="77777777" w:rsidR="001778AA" w:rsidRPr="001775D9" w:rsidRDefault="001778AA" w:rsidP="00D47253">
            <w:pPr>
              <w:tabs>
                <w:tab w:val="clear" w:pos="567"/>
              </w:tabs>
              <w:spacing w:line="240" w:lineRule="auto"/>
              <w:jc w:val="center"/>
              <w:rPr>
                <w:rFonts w:eastAsia="Times New Roman"/>
                <w:color w:val="000000"/>
                <w:szCs w:val="22"/>
              </w:rPr>
            </w:pPr>
            <w:r w:rsidRPr="001775D9">
              <w:rPr>
                <w:rFonts w:eastAsia="Times New Roman"/>
                <w:color w:val="000000"/>
                <w:szCs w:val="22"/>
              </w:rPr>
              <w:t>39 (55.7%)</w:t>
            </w:r>
          </w:p>
        </w:tc>
      </w:tr>
      <w:tr w:rsidR="001778AA" w:rsidRPr="00F04F82" w14:paraId="7E22A4A9" w14:textId="77777777" w:rsidTr="00D47253">
        <w:tc>
          <w:tcPr>
            <w:tcW w:w="5000" w:type="pct"/>
            <w:gridSpan w:val="4"/>
            <w:tcBorders>
              <w:top w:val="single" w:sz="4" w:space="0" w:color="auto"/>
              <w:left w:val="nil"/>
              <w:bottom w:val="nil"/>
              <w:right w:val="nil"/>
            </w:tcBorders>
            <w:hideMark/>
          </w:tcPr>
          <w:p w14:paraId="7195F383" w14:textId="77777777" w:rsidR="001778AA" w:rsidRPr="001775D9" w:rsidRDefault="001778AA" w:rsidP="00D47253">
            <w:pPr>
              <w:tabs>
                <w:tab w:val="clear" w:pos="567"/>
              </w:tabs>
              <w:spacing w:line="240" w:lineRule="auto"/>
              <w:rPr>
                <w:rFonts w:eastAsia="Times New Roman"/>
                <w:color w:val="000000"/>
                <w:sz w:val="20"/>
              </w:rPr>
            </w:pPr>
            <w:r w:rsidRPr="001775D9">
              <w:rPr>
                <w:rFonts w:eastAsia="Times New Roman"/>
                <w:color w:val="000000"/>
                <w:sz w:val="20"/>
                <w:vertAlign w:val="superscript"/>
              </w:rPr>
              <w:t xml:space="preserve">a </w:t>
            </w:r>
            <w:r w:rsidRPr="001775D9">
              <w:rPr>
                <w:rFonts w:eastAsia="Times New Roman"/>
                <w:color w:val="000000"/>
                <w:sz w:val="20"/>
              </w:rPr>
              <w:t>Patients with at least a partial response to adalimumab 40</w:t>
            </w:r>
            <w:r w:rsidRPr="001775D9">
              <w:rPr>
                <w:color w:val="000000"/>
                <w:szCs w:val="22"/>
              </w:rPr>
              <w:t> </w:t>
            </w:r>
            <w:r w:rsidRPr="001775D9">
              <w:rPr>
                <w:rFonts w:eastAsia="Times New Roman"/>
                <w:color w:val="000000"/>
                <w:sz w:val="20"/>
              </w:rPr>
              <w:t xml:space="preserve">mg weekly after 12 weeks of treatment </w:t>
            </w:r>
          </w:p>
          <w:p w14:paraId="20ABE952" w14:textId="77777777" w:rsidR="001778AA" w:rsidRPr="001775D9" w:rsidRDefault="001778AA" w:rsidP="00D47253">
            <w:pPr>
              <w:tabs>
                <w:tab w:val="clear" w:pos="567"/>
              </w:tabs>
              <w:spacing w:line="240" w:lineRule="auto"/>
              <w:rPr>
                <w:rFonts w:eastAsia="Times New Roman"/>
                <w:color w:val="000000"/>
                <w:szCs w:val="22"/>
              </w:rPr>
            </w:pPr>
            <w:r w:rsidRPr="001775D9">
              <w:rPr>
                <w:rFonts w:eastAsia="Times New Roman"/>
                <w:color w:val="000000"/>
                <w:sz w:val="20"/>
                <w:vertAlign w:val="superscript"/>
              </w:rPr>
              <w:t xml:space="preserve">b </w:t>
            </w:r>
            <w:r w:rsidRPr="001775D9">
              <w:rPr>
                <w:rFonts w:eastAsia="Times New Roman"/>
                <w:color w:val="000000"/>
                <w:sz w:val="20"/>
              </w:rPr>
              <w:t>Patients meeting protocol-specified criteria for loss of response or no improvement were required to discontinue from the studies and were counted as non-responders</w:t>
            </w:r>
            <w:r w:rsidRPr="001775D9">
              <w:rPr>
                <w:rFonts w:eastAsia="Times New Roman"/>
                <w:color w:val="000000"/>
                <w:szCs w:val="22"/>
              </w:rPr>
              <w:t xml:space="preserve"> </w:t>
            </w:r>
          </w:p>
        </w:tc>
      </w:tr>
    </w:tbl>
    <w:p w14:paraId="1213D83D"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1E5B64EB"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Among patients who were at least partial responders at </w:t>
      </w:r>
      <w:r w:rsidRPr="001775D9">
        <w:rPr>
          <w:szCs w:val="22"/>
        </w:rPr>
        <w:t>week</w:t>
      </w:r>
      <w:r w:rsidRPr="001775D9">
        <w:rPr>
          <w:rFonts w:eastAsia="Times New Roman"/>
          <w:color w:val="000000"/>
          <w:szCs w:val="22"/>
        </w:rPr>
        <w:t xml:space="preserve"> 12, and who received continuous weekly adalimumab therapy, the HiSCR rate at </w:t>
      </w:r>
      <w:r w:rsidRPr="001775D9">
        <w:rPr>
          <w:szCs w:val="22"/>
        </w:rPr>
        <w:t>week</w:t>
      </w:r>
      <w:r w:rsidRPr="001775D9">
        <w:rPr>
          <w:rFonts w:eastAsia="Times New Roman"/>
          <w:color w:val="000000"/>
          <w:szCs w:val="22"/>
        </w:rPr>
        <w:t xml:space="preserve"> 48 was </w:t>
      </w:r>
      <w:r w:rsidRPr="001775D9">
        <w:rPr>
          <w:szCs w:val="22"/>
        </w:rPr>
        <w:t xml:space="preserve">68.3% and at week 96 was 65.1%. Longer term treatment with </w:t>
      </w:r>
      <w:r w:rsidRPr="001775D9">
        <w:rPr>
          <w:rFonts w:eastAsia="Times New Roman"/>
          <w:color w:val="000000"/>
          <w:szCs w:val="22"/>
        </w:rPr>
        <w:t>adalimumab</w:t>
      </w:r>
      <w:r w:rsidRPr="001775D9">
        <w:rPr>
          <w:szCs w:val="22"/>
        </w:rPr>
        <w:t xml:space="preserve"> 40 mg weekly for 96 weeks identified no new safety findings</w:t>
      </w:r>
      <w:r w:rsidRPr="001775D9">
        <w:rPr>
          <w:rFonts w:eastAsia="Times New Roman"/>
          <w:color w:val="000000"/>
          <w:szCs w:val="22"/>
        </w:rPr>
        <w:t>.</w:t>
      </w:r>
    </w:p>
    <w:p w14:paraId="333B4D29"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050BE3CE" w14:textId="77777777" w:rsidR="001778AA" w:rsidRPr="001775D9" w:rsidRDefault="001778AA" w:rsidP="001778AA">
      <w:pPr>
        <w:shd w:val="clear" w:color="auto" w:fill="FFFFFF"/>
        <w:tabs>
          <w:tab w:val="clear" w:pos="567"/>
        </w:tabs>
        <w:spacing w:line="240" w:lineRule="auto"/>
        <w:rPr>
          <w:rFonts w:eastAsia="Times New Roman"/>
          <w:color w:val="000000"/>
          <w:szCs w:val="22"/>
        </w:rPr>
      </w:pPr>
      <w:r w:rsidRPr="001775D9">
        <w:rPr>
          <w:rFonts w:eastAsia="Times New Roman"/>
          <w:color w:val="000000"/>
          <w:szCs w:val="22"/>
        </w:rPr>
        <w:t xml:space="preserve">Among patients whose adalimumab treatment was withdrawn at </w:t>
      </w:r>
      <w:r w:rsidRPr="001775D9">
        <w:rPr>
          <w:szCs w:val="22"/>
        </w:rPr>
        <w:t>week</w:t>
      </w:r>
      <w:r w:rsidRPr="001775D9">
        <w:rPr>
          <w:rFonts w:eastAsia="Times New Roman"/>
          <w:color w:val="000000"/>
          <w:szCs w:val="22"/>
        </w:rPr>
        <w:t xml:space="preserve"> 12 in Studies HS-I and HS-II, the HiSCR rate 12 weeks after re-introduction of adalimumab 40</w:t>
      </w:r>
      <w:r w:rsidRPr="001775D9">
        <w:rPr>
          <w:color w:val="000000"/>
          <w:szCs w:val="22"/>
        </w:rPr>
        <w:t> </w:t>
      </w:r>
      <w:r w:rsidRPr="001775D9">
        <w:rPr>
          <w:rFonts w:eastAsia="Times New Roman"/>
          <w:color w:val="000000"/>
          <w:szCs w:val="22"/>
        </w:rPr>
        <w:t>mg weekly returned to levels similar to that observed before withdrawal (56.0%).</w:t>
      </w:r>
    </w:p>
    <w:p w14:paraId="342F1B5F"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5B9C9C56"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color w:val="000000"/>
          <w:szCs w:val="22"/>
          <w:lang w:eastAsia="en-GB"/>
        </w:rPr>
        <w:t xml:space="preserve">Crohn’s disease </w:t>
      </w:r>
    </w:p>
    <w:p w14:paraId="22266B08"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36E4D8F0" w14:textId="43F45121"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 safety and efficacy of </w:t>
      </w:r>
      <w:r w:rsidRPr="001775D9">
        <w:rPr>
          <w:rFonts w:eastAsia="Times New Roman"/>
          <w:color w:val="000000"/>
          <w:szCs w:val="22"/>
        </w:rPr>
        <w:t>adalimumab</w:t>
      </w:r>
      <w:r w:rsidRPr="001775D9">
        <w:rPr>
          <w:szCs w:val="22"/>
          <w:lang w:eastAsia="en-GB"/>
        </w:rPr>
        <w:t xml:space="preserve"> were assessed in over 1</w:t>
      </w:r>
      <w:r w:rsidR="004B2470" w:rsidRPr="001775D9">
        <w:rPr>
          <w:szCs w:val="22"/>
          <w:lang w:eastAsia="en-GB"/>
        </w:rPr>
        <w:t> </w:t>
      </w:r>
      <w:r w:rsidRPr="001775D9">
        <w:rPr>
          <w:szCs w:val="22"/>
          <w:lang w:eastAsia="en-GB"/>
        </w:rPr>
        <w:t>500 patients with moderately to severely active Crohn’s disease (Crohn’s Disease Activity Index (CDAI) ≥</w:t>
      </w:r>
      <w:r w:rsidRPr="001775D9">
        <w:rPr>
          <w:szCs w:val="22"/>
        </w:rPr>
        <w:t> </w:t>
      </w:r>
      <w:r w:rsidRPr="001775D9">
        <w:rPr>
          <w:szCs w:val="22"/>
          <w:lang w:eastAsia="en-GB"/>
        </w:rPr>
        <w:t>220 and ≤</w:t>
      </w:r>
      <w:r w:rsidRPr="001775D9">
        <w:rPr>
          <w:szCs w:val="22"/>
        </w:rPr>
        <w:t> </w:t>
      </w:r>
      <w:r w:rsidRPr="001775D9">
        <w:rPr>
          <w:szCs w:val="22"/>
          <w:lang w:eastAsia="en-GB"/>
        </w:rPr>
        <w:t xml:space="preserve">450) in randomised, double-blind, placebo-controlled studies. Concomitant stable doses of aminosalicylates, corticosteroids, and/or immunomodulatory agents were permitted and 80% of patients continued to receive at least one of these medications. </w:t>
      </w:r>
    </w:p>
    <w:p w14:paraId="04635086"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114D648" w14:textId="0ED92E44" w:rsidR="001778AA" w:rsidRPr="001775D9" w:rsidRDefault="001778AA" w:rsidP="00D5121D">
      <w:pPr>
        <w:tabs>
          <w:tab w:val="clear" w:pos="567"/>
        </w:tabs>
        <w:autoSpaceDE w:val="0"/>
        <w:autoSpaceDN w:val="0"/>
        <w:adjustRightInd w:val="0"/>
        <w:spacing w:line="240" w:lineRule="auto"/>
        <w:rPr>
          <w:szCs w:val="22"/>
          <w:u w:val="single"/>
          <w:lang w:eastAsia="en-GB"/>
        </w:rPr>
      </w:pPr>
      <w:r w:rsidRPr="001775D9">
        <w:rPr>
          <w:szCs w:val="22"/>
          <w:lang w:eastAsia="en-GB"/>
        </w:rPr>
        <w:t>Induction of clinical remission (defined as CDAI &lt;</w:t>
      </w:r>
      <w:r w:rsidRPr="001775D9">
        <w:rPr>
          <w:szCs w:val="22"/>
        </w:rPr>
        <w:t> </w:t>
      </w:r>
      <w:r w:rsidRPr="001775D9">
        <w:rPr>
          <w:szCs w:val="22"/>
          <w:lang w:eastAsia="en-GB"/>
        </w:rPr>
        <w:t>150) was evaluated in two studies, CD study I (CLASSIC I) and CD study II (GAIN). In CD study I, 299 TNF-antagonist naïve</w:t>
      </w:r>
      <w:r w:rsidRPr="001775D9" w:rsidDel="004F0D18">
        <w:rPr>
          <w:szCs w:val="22"/>
          <w:lang w:eastAsia="en-GB"/>
        </w:rPr>
        <w:t xml:space="preserve"> </w:t>
      </w:r>
      <w:r w:rsidRPr="001775D9">
        <w:rPr>
          <w:szCs w:val="22"/>
          <w:lang w:eastAsia="en-GB"/>
        </w:rPr>
        <w:t xml:space="preserve">patients were randomised to one of four treatment groups; placebo at </w:t>
      </w:r>
      <w:r w:rsidRPr="001775D9">
        <w:rPr>
          <w:szCs w:val="22"/>
        </w:rPr>
        <w:t>week</w:t>
      </w:r>
      <w:r w:rsidRPr="001775D9">
        <w:rPr>
          <w:szCs w:val="22"/>
          <w:lang w:eastAsia="en-GB"/>
        </w:rPr>
        <w:t>s 0 and 2, 160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at </w:t>
      </w:r>
      <w:r w:rsidRPr="001775D9">
        <w:rPr>
          <w:szCs w:val="22"/>
        </w:rPr>
        <w:t>week</w:t>
      </w:r>
      <w:r w:rsidRPr="001775D9">
        <w:rPr>
          <w:szCs w:val="22"/>
          <w:lang w:eastAsia="en-GB"/>
        </w:rPr>
        <w:t> 0 and 80</w:t>
      </w:r>
      <w:r w:rsidRPr="001775D9">
        <w:rPr>
          <w:szCs w:val="22"/>
        </w:rPr>
        <w:t> </w:t>
      </w:r>
      <w:r w:rsidRPr="001775D9">
        <w:rPr>
          <w:szCs w:val="22"/>
          <w:lang w:eastAsia="en-GB"/>
        </w:rPr>
        <w:t xml:space="preserve">mg at </w:t>
      </w:r>
      <w:r w:rsidRPr="001775D9">
        <w:rPr>
          <w:szCs w:val="22"/>
        </w:rPr>
        <w:t>week</w:t>
      </w:r>
      <w:r w:rsidRPr="001775D9">
        <w:rPr>
          <w:szCs w:val="22"/>
          <w:lang w:eastAsia="en-GB"/>
        </w:rPr>
        <w:t xml:space="preserve"> 2, 80</w:t>
      </w:r>
      <w:r w:rsidRPr="001775D9">
        <w:rPr>
          <w:szCs w:val="22"/>
        </w:rPr>
        <w:t> </w:t>
      </w:r>
      <w:r w:rsidRPr="001775D9">
        <w:rPr>
          <w:szCs w:val="22"/>
          <w:lang w:eastAsia="en-GB"/>
        </w:rPr>
        <w:t xml:space="preserve">mg at </w:t>
      </w:r>
      <w:r w:rsidRPr="001775D9">
        <w:rPr>
          <w:szCs w:val="22"/>
        </w:rPr>
        <w:t>week</w:t>
      </w:r>
      <w:r w:rsidRPr="001775D9">
        <w:rPr>
          <w:szCs w:val="22"/>
          <w:lang w:eastAsia="en-GB"/>
        </w:rPr>
        <w:t xml:space="preserve"> 0 and 40</w:t>
      </w:r>
      <w:r w:rsidRPr="001775D9">
        <w:rPr>
          <w:szCs w:val="22"/>
        </w:rPr>
        <w:t> </w:t>
      </w:r>
      <w:r w:rsidRPr="001775D9">
        <w:rPr>
          <w:szCs w:val="22"/>
          <w:lang w:eastAsia="en-GB"/>
        </w:rPr>
        <w:t xml:space="preserve">mg at </w:t>
      </w:r>
      <w:r w:rsidRPr="001775D9">
        <w:rPr>
          <w:szCs w:val="22"/>
        </w:rPr>
        <w:t>week</w:t>
      </w:r>
      <w:r w:rsidRPr="001775D9">
        <w:rPr>
          <w:szCs w:val="22"/>
          <w:lang w:eastAsia="en-GB"/>
        </w:rPr>
        <w:t xml:space="preserve"> 2, and 40</w:t>
      </w:r>
      <w:r w:rsidRPr="001775D9">
        <w:rPr>
          <w:szCs w:val="22"/>
        </w:rPr>
        <w:t> </w:t>
      </w:r>
      <w:r w:rsidRPr="001775D9">
        <w:rPr>
          <w:szCs w:val="22"/>
          <w:lang w:eastAsia="en-GB"/>
        </w:rPr>
        <w:t xml:space="preserve">mg at </w:t>
      </w:r>
      <w:r w:rsidRPr="001775D9">
        <w:rPr>
          <w:szCs w:val="22"/>
        </w:rPr>
        <w:t>week</w:t>
      </w:r>
      <w:r w:rsidRPr="001775D9">
        <w:rPr>
          <w:szCs w:val="22"/>
          <w:lang w:eastAsia="en-GB"/>
        </w:rPr>
        <w:t xml:space="preserve"> 0 and 20</w:t>
      </w:r>
      <w:r w:rsidRPr="001775D9">
        <w:rPr>
          <w:szCs w:val="22"/>
        </w:rPr>
        <w:t> </w:t>
      </w:r>
      <w:r w:rsidRPr="001775D9">
        <w:rPr>
          <w:szCs w:val="22"/>
          <w:lang w:eastAsia="en-GB"/>
        </w:rPr>
        <w:t xml:space="preserve">mg at </w:t>
      </w:r>
      <w:r w:rsidRPr="001775D9">
        <w:rPr>
          <w:szCs w:val="22"/>
        </w:rPr>
        <w:t>week</w:t>
      </w:r>
      <w:r w:rsidR="00D5121D" w:rsidRPr="001775D9">
        <w:rPr>
          <w:szCs w:val="22"/>
          <w:lang w:eastAsia="en-GB"/>
        </w:rPr>
        <w:t> </w:t>
      </w:r>
      <w:r w:rsidRPr="001775D9">
        <w:rPr>
          <w:szCs w:val="22"/>
          <w:lang w:eastAsia="en-GB"/>
        </w:rPr>
        <w:t>2. In CD study II, 325 patients who had lost response or were intolerant to infliximab were randomised to receive either 160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at </w:t>
      </w:r>
      <w:r w:rsidRPr="001775D9">
        <w:rPr>
          <w:szCs w:val="22"/>
        </w:rPr>
        <w:t>week</w:t>
      </w:r>
      <w:r w:rsidRPr="001775D9">
        <w:rPr>
          <w:szCs w:val="22"/>
          <w:lang w:eastAsia="en-GB"/>
        </w:rPr>
        <w:t xml:space="preserve"> 0 and 80</w:t>
      </w:r>
      <w:r w:rsidRPr="001775D9">
        <w:rPr>
          <w:szCs w:val="22"/>
        </w:rPr>
        <w:t> </w:t>
      </w:r>
      <w:r w:rsidRPr="001775D9">
        <w:rPr>
          <w:szCs w:val="22"/>
          <w:lang w:eastAsia="en-GB"/>
        </w:rPr>
        <w:t xml:space="preserve">mg at </w:t>
      </w:r>
      <w:r w:rsidRPr="001775D9">
        <w:rPr>
          <w:szCs w:val="22"/>
        </w:rPr>
        <w:t>week</w:t>
      </w:r>
      <w:r w:rsidRPr="001775D9">
        <w:rPr>
          <w:szCs w:val="22"/>
          <w:lang w:eastAsia="en-GB"/>
        </w:rPr>
        <w:t xml:space="preserve"> 2 or placebo at </w:t>
      </w:r>
      <w:r w:rsidRPr="001775D9">
        <w:rPr>
          <w:szCs w:val="22"/>
        </w:rPr>
        <w:t>week</w:t>
      </w:r>
      <w:r w:rsidRPr="001775D9">
        <w:rPr>
          <w:szCs w:val="22"/>
          <w:lang w:eastAsia="en-GB"/>
        </w:rPr>
        <w:t>s 0 and 2. The primary non-responders were excluded from the studies and therefore these patients were not further evaluated.</w:t>
      </w:r>
    </w:p>
    <w:p w14:paraId="476D6B70"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4BBF7517" w14:textId="3CD0A0EC"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Maintenance of clinical remission was evaluated in CD study III (CHARM). In CD study III, 854</w:t>
      </w:r>
      <w:r w:rsidR="00C656DE" w:rsidRPr="001775D9">
        <w:rPr>
          <w:szCs w:val="22"/>
          <w:lang w:eastAsia="en-GB"/>
        </w:rPr>
        <w:t> </w:t>
      </w:r>
      <w:r w:rsidRPr="001775D9">
        <w:rPr>
          <w:szCs w:val="22"/>
          <w:lang w:eastAsia="en-GB"/>
        </w:rPr>
        <w:t>patients received open-label 80</w:t>
      </w:r>
      <w:r w:rsidRPr="001775D9">
        <w:rPr>
          <w:szCs w:val="22"/>
        </w:rPr>
        <w:t> </w:t>
      </w:r>
      <w:r w:rsidRPr="001775D9">
        <w:rPr>
          <w:szCs w:val="22"/>
          <w:lang w:eastAsia="en-GB"/>
        </w:rPr>
        <w:t xml:space="preserve">mg at </w:t>
      </w:r>
      <w:r w:rsidRPr="001775D9">
        <w:rPr>
          <w:szCs w:val="22"/>
        </w:rPr>
        <w:t>week</w:t>
      </w:r>
      <w:r w:rsidRPr="001775D9">
        <w:rPr>
          <w:szCs w:val="22"/>
          <w:lang w:eastAsia="en-GB"/>
        </w:rPr>
        <w:t xml:space="preserve"> 0 and 40</w:t>
      </w:r>
      <w:r w:rsidRPr="001775D9">
        <w:rPr>
          <w:szCs w:val="22"/>
        </w:rPr>
        <w:t> </w:t>
      </w:r>
      <w:r w:rsidRPr="001775D9">
        <w:rPr>
          <w:szCs w:val="22"/>
          <w:lang w:eastAsia="en-GB"/>
        </w:rPr>
        <w:t xml:space="preserve">mg at </w:t>
      </w:r>
      <w:r w:rsidRPr="001775D9">
        <w:rPr>
          <w:szCs w:val="22"/>
        </w:rPr>
        <w:t>week</w:t>
      </w:r>
      <w:r w:rsidRPr="001775D9">
        <w:rPr>
          <w:szCs w:val="22"/>
          <w:lang w:eastAsia="en-GB"/>
        </w:rPr>
        <w:t xml:space="preserve"> 2. At </w:t>
      </w:r>
      <w:r w:rsidRPr="001775D9">
        <w:rPr>
          <w:szCs w:val="22"/>
        </w:rPr>
        <w:t>week</w:t>
      </w:r>
      <w:r w:rsidRPr="001775D9">
        <w:rPr>
          <w:szCs w:val="22"/>
          <w:lang w:eastAsia="en-GB"/>
        </w:rPr>
        <w:t xml:space="preserve"> 4 patients were randomised to 40</w:t>
      </w:r>
      <w:r w:rsidRPr="001775D9">
        <w:rPr>
          <w:szCs w:val="22"/>
        </w:rPr>
        <w:t> </w:t>
      </w:r>
      <w:r w:rsidRPr="001775D9">
        <w:rPr>
          <w:szCs w:val="22"/>
          <w:lang w:eastAsia="en-GB"/>
        </w:rPr>
        <w:t xml:space="preserve">mg every other </w:t>
      </w:r>
      <w:r w:rsidRPr="001775D9">
        <w:rPr>
          <w:szCs w:val="22"/>
        </w:rPr>
        <w:t>week</w:t>
      </w:r>
      <w:r w:rsidRPr="001775D9">
        <w:rPr>
          <w:szCs w:val="22"/>
          <w:lang w:eastAsia="en-GB"/>
        </w:rPr>
        <w:t>, 40</w:t>
      </w:r>
      <w:r w:rsidRPr="001775D9">
        <w:rPr>
          <w:szCs w:val="22"/>
        </w:rPr>
        <w:t> </w:t>
      </w:r>
      <w:r w:rsidRPr="001775D9">
        <w:rPr>
          <w:szCs w:val="22"/>
          <w:lang w:eastAsia="en-GB"/>
        </w:rPr>
        <w:t xml:space="preserve">mg every </w:t>
      </w:r>
      <w:r w:rsidRPr="001775D9">
        <w:rPr>
          <w:szCs w:val="22"/>
        </w:rPr>
        <w:t>week</w:t>
      </w:r>
      <w:r w:rsidRPr="001775D9">
        <w:rPr>
          <w:szCs w:val="22"/>
          <w:lang w:eastAsia="en-GB"/>
        </w:rPr>
        <w:t xml:space="preserve">, or placebo with a total study duration of 56 </w:t>
      </w:r>
      <w:r w:rsidRPr="001775D9">
        <w:rPr>
          <w:szCs w:val="22"/>
        </w:rPr>
        <w:t>week</w:t>
      </w:r>
      <w:r w:rsidRPr="001775D9">
        <w:rPr>
          <w:szCs w:val="22"/>
          <w:lang w:eastAsia="en-GB"/>
        </w:rPr>
        <w:t>s. Patients in clinical response (decrease in CDAI</w:t>
      </w:r>
      <w:r w:rsidRPr="001775D9">
        <w:rPr>
          <w:szCs w:val="22"/>
        </w:rPr>
        <w:t> </w:t>
      </w:r>
      <w:r w:rsidRPr="001775D9">
        <w:rPr>
          <w:szCs w:val="22"/>
          <w:lang w:eastAsia="en-GB"/>
        </w:rPr>
        <w:t>≥</w:t>
      </w:r>
      <w:r w:rsidRPr="001775D9">
        <w:rPr>
          <w:szCs w:val="22"/>
        </w:rPr>
        <w:t> </w:t>
      </w:r>
      <w:r w:rsidRPr="001775D9">
        <w:rPr>
          <w:szCs w:val="22"/>
          <w:lang w:eastAsia="en-GB"/>
        </w:rPr>
        <w:t xml:space="preserve">70) at </w:t>
      </w:r>
      <w:r w:rsidRPr="001775D9">
        <w:rPr>
          <w:szCs w:val="22"/>
        </w:rPr>
        <w:t>week</w:t>
      </w:r>
      <w:r w:rsidRPr="001775D9">
        <w:rPr>
          <w:szCs w:val="22"/>
          <w:lang w:eastAsia="en-GB"/>
        </w:rPr>
        <w:t xml:space="preserve"> 4 were stratified and analysed separately from those not in clinical response at </w:t>
      </w:r>
      <w:r w:rsidRPr="001775D9">
        <w:rPr>
          <w:szCs w:val="22"/>
        </w:rPr>
        <w:t>week</w:t>
      </w:r>
      <w:r w:rsidRPr="001775D9">
        <w:rPr>
          <w:szCs w:val="22"/>
          <w:lang w:eastAsia="en-GB"/>
        </w:rPr>
        <w:t xml:space="preserve"> 4. Corticosteroid taper was permitted after </w:t>
      </w:r>
      <w:r w:rsidRPr="001775D9">
        <w:rPr>
          <w:szCs w:val="22"/>
        </w:rPr>
        <w:t>week</w:t>
      </w:r>
      <w:r w:rsidRPr="001775D9">
        <w:rPr>
          <w:szCs w:val="22"/>
          <w:lang w:eastAsia="en-GB"/>
        </w:rPr>
        <w:t xml:space="preserve"> 8. </w:t>
      </w:r>
    </w:p>
    <w:p w14:paraId="0AFBBF3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6E24104"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lang w:eastAsia="en-GB"/>
        </w:rPr>
        <w:t>CD study I and CD study II induction of remission and response rates are presented in table 21.</w:t>
      </w:r>
    </w:p>
    <w:p w14:paraId="60E53993"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54DEB7CF" w14:textId="77777777" w:rsidR="001778AA" w:rsidRPr="001775D9" w:rsidRDefault="001778AA" w:rsidP="001778AA">
      <w:pPr>
        <w:keepNext/>
        <w:keepLines/>
        <w:tabs>
          <w:tab w:val="clear" w:pos="567"/>
        </w:tabs>
        <w:autoSpaceDE w:val="0"/>
        <w:autoSpaceDN w:val="0"/>
        <w:adjustRightInd w:val="0"/>
        <w:spacing w:line="240" w:lineRule="auto"/>
        <w:rPr>
          <w:b/>
          <w:bCs/>
          <w:szCs w:val="22"/>
          <w:lang w:eastAsia="en-GB"/>
        </w:rPr>
      </w:pPr>
      <w:r w:rsidRPr="001775D9">
        <w:rPr>
          <w:b/>
          <w:bCs/>
          <w:szCs w:val="22"/>
          <w:lang w:eastAsia="en-GB"/>
        </w:rPr>
        <w:t>Table 21. Induction of clinical remission and response (percent of patients)</w:t>
      </w:r>
    </w:p>
    <w:p w14:paraId="7F3E6041" w14:textId="77777777" w:rsidR="001778AA" w:rsidRPr="001775D9" w:rsidRDefault="001778AA" w:rsidP="001778AA">
      <w:pPr>
        <w:keepNext/>
        <w:keepLines/>
        <w:spacing w:line="240" w:lineRule="auto"/>
        <w:rPr>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134"/>
        <w:gridCol w:w="1559"/>
        <w:gridCol w:w="1559"/>
        <w:gridCol w:w="1134"/>
        <w:gridCol w:w="1559"/>
      </w:tblGrid>
      <w:tr w:rsidR="001778AA" w:rsidRPr="00F04F82" w14:paraId="63221461" w14:textId="77777777" w:rsidTr="00D47253">
        <w:trPr>
          <w:trHeight w:val="269"/>
        </w:trPr>
        <w:tc>
          <w:tcPr>
            <w:tcW w:w="2127" w:type="dxa"/>
          </w:tcPr>
          <w:p w14:paraId="16FF9893"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p>
        </w:tc>
        <w:tc>
          <w:tcPr>
            <w:tcW w:w="4252" w:type="dxa"/>
            <w:gridSpan w:val="3"/>
          </w:tcPr>
          <w:p w14:paraId="668CF5B9"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CD study I: infliximab </w:t>
            </w:r>
            <w:r w:rsidRPr="001775D9">
              <w:rPr>
                <w:b/>
                <w:szCs w:val="22"/>
                <w:lang w:eastAsia="en-GB"/>
              </w:rPr>
              <w:t>naïve</w:t>
            </w:r>
            <w:r w:rsidRPr="001775D9">
              <w:rPr>
                <w:b/>
                <w:bCs/>
                <w:szCs w:val="22"/>
                <w:lang w:eastAsia="en-GB"/>
              </w:rPr>
              <w:t xml:space="preserve"> patients</w:t>
            </w:r>
          </w:p>
        </w:tc>
        <w:tc>
          <w:tcPr>
            <w:tcW w:w="2693" w:type="dxa"/>
            <w:gridSpan w:val="2"/>
          </w:tcPr>
          <w:p w14:paraId="48BBAE7F"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b/>
                <w:bCs/>
                <w:szCs w:val="22"/>
                <w:lang w:eastAsia="en-GB"/>
              </w:rPr>
              <w:t xml:space="preserve">CD study II: infliximab experienced patients </w:t>
            </w:r>
          </w:p>
        </w:tc>
      </w:tr>
      <w:tr w:rsidR="001778AA" w:rsidRPr="00F04F82" w14:paraId="08754CC5" w14:textId="77777777" w:rsidTr="00D47253">
        <w:trPr>
          <w:trHeight w:val="485"/>
        </w:trPr>
        <w:tc>
          <w:tcPr>
            <w:tcW w:w="2127" w:type="dxa"/>
          </w:tcPr>
          <w:p w14:paraId="2D74A9B4"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p>
        </w:tc>
        <w:tc>
          <w:tcPr>
            <w:tcW w:w="1134" w:type="dxa"/>
          </w:tcPr>
          <w:p w14:paraId="6F9F1769"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p w14:paraId="4551F9C0"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74</w:t>
            </w:r>
          </w:p>
        </w:tc>
        <w:tc>
          <w:tcPr>
            <w:tcW w:w="1559" w:type="dxa"/>
          </w:tcPr>
          <w:p w14:paraId="74E71616" w14:textId="77777777" w:rsidR="001778AA" w:rsidRPr="001775D9" w:rsidRDefault="001778AA" w:rsidP="00D47253">
            <w:pPr>
              <w:keepNext/>
              <w:keepLines/>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Pr="001775D9">
              <w:rPr>
                <w:b/>
                <w:szCs w:val="22"/>
                <w:lang w:eastAsia="en-GB"/>
              </w:rPr>
              <w:t xml:space="preserve"> </w:t>
            </w:r>
            <w:r w:rsidRPr="001775D9">
              <w:rPr>
                <w:b/>
                <w:bCs/>
                <w:szCs w:val="22"/>
                <w:lang w:eastAsia="en-GB"/>
              </w:rPr>
              <w:t>80/40</w:t>
            </w:r>
            <w:r w:rsidRPr="001775D9">
              <w:rPr>
                <w:b/>
                <w:szCs w:val="22"/>
              </w:rPr>
              <w:t> </w:t>
            </w:r>
            <w:r w:rsidRPr="001775D9">
              <w:rPr>
                <w:b/>
                <w:bCs/>
                <w:szCs w:val="22"/>
                <w:lang w:eastAsia="en-GB"/>
              </w:rPr>
              <w:t>mg</w:t>
            </w:r>
          </w:p>
          <w:p w14:paraId="604733F0" w14:textId="77777777" w:rsidR="001778AA" w:rsidRPr="001775D9" w:rsidRDefault="001778AA" w:rsidP="00D47253">
            <w:pPr>
              <w:keepNext/>
              <w:keepLines/>
              <w:tabs>
                <w:tab w:val="clear" w:pos="567"/>
              </w:tabs>
              <w:autoSpaceDE w:val="0"/>
              <w:autoSpaceDN w:val="0"/>
              <w:adjustRightInd w:val="0"/>
              <w:spacing w:line="240" w:lineRule="auto"/>
              <w:jc w:val="center"/>
              <w:rPr>
                <w:b/>
                <w:szCs w:val="22"/>
                <w:lang w:eastAsia="en-GB"/>
              </w:rPr>
            </w:pPr>
            <w:r w:rsidRPr="001775D9">
              <w:rPr>
                <w:b/>
                <w:bCs/>
                <w:szCs w:val="22"/>
                <w:lang w:eastAsia="en-GB"/>
              </w:rPr>
              <w:t>N</w:t>
            </w:r>
            <w:r w:rsidRPr="001775D9">
              <w:rPr>
                <w:b/>
                <w:szCs w:val="22"/>
              </w:rPr>
              <w:t> </w:t>
            </w:r>
            <w:r w:rsidRPr="001775D9">
              <w:rPr>
                <w:b/>
                <w:bCs/>
                <w:szCs w:val="22"/>
                <w:lang w:eastAsia="en-GB"/>
              </w:rPr>
              <w:t>=</w:t>
            </w:r>
            <w:r w:rsidRPr="001775D9">
              <w:rPr>
                <w:b/>
                <w:szCs w:val="22"/>
              </w:rPr>
              <w:t> </w:t>
            </w:r>
            <w:r w:rsidRPr="001775D9">
              <w:rPr>
                <w:b/>
                <w:bCs/>
                <w:szCs w:val="22"/>
                <w:lang w:eastAsia="en-GB"/>
              </w:rPr>
              <w:t>75</w:t>
            </w:r>
          </w:p>
        </w:tc>
        <w:tc>
          <w:tcPr>
            <w:tcW w:w="1559" w:type="dxa"/>
          </w:tcPr>
          <w:p w14:paraId="26A07866" w14:textId="77777777" w:rsidR="001778AA" w:rsidRPr="001775D9" w:rsidRDefault="001778AA" w:rsidP="00D47253">
            <w:pPr>
              <w:keepNext/>
              <w:keepLines/>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Pr="001775D9">
              <w:rPr>
                <w:b/>
                <w:szCs w:val="22"/>
                <w:lang w:eastAsia="en-GB"/>
              </w:rPr>
              <w:t xml:space="preserve"> </w:t>
            </w:r>
            <w:r w:rsidRPr="001775D9">
              <w:rPr>
                <w:b/>
                <w:bCs/>
                <w:szCs w:val="22"/>
                <w:lang w:eastAsia="en-GB"/>
              </w:rPr>
              <w:t>160/80</w:t>
            </w:r>
            <w:r w:rsidRPr="001775D9">
              <w:rPr>
                <w:b/>
                <w:szCs w:val="22"/>
              </w:rPr>
              <w:t> </w:t>
            </w:r>
            <w:r w:rsidRPr="001775D9">
              <w:rPr>
                <w:b/>
                <w:bCs/>
                <w:szCs w:val="22"/>
                <w:lang w:eastAsia="en-GB"/>
              </w:rPr>
              <w:t>mg N</w:t>
            </w:r>
            <w:r w:rsidRPr="001775D9">
              <w:rPr>
                <w:b/>
                <w:szCs w:val="22"/>
              </w:rPr>
              <w:t> </w:t>
            </w:r>
            <w:r w:rsidRPr="001775D9">
              <w:rPr>
                <w:b/>
                <w:bCs/>
                <w:szCs w:val="22"/>
                <w:lang w:eastAsia="en-GB"/>
              </w:rPr>
              <w:t>=</w:t>
            </w:r>
            <w:r w:rsidRPr="001775D9">
              <w:rPr>
                <w:b/>
                <w:szCs w:val="22"/>
              </w:rPr>
              <w:t> </w:t>
            </w:r>
            <w:r w:rsidRPr="001775D9">
              <w:rPr>
                <w:b/>
                <w:bCs/>
                <w:szCs w:val="22"/>
                <w:lang w:eastAsia="en-GB"/>
              </w:rPr>
              <w:t>76</w:t>
            </w:r>
          </w:p>
        </w:tc>
        <w:tc>
          <w:tcPr>
            <w:tcW w:w="1134" w:type="dxa"/>
          </w:tcPr>
          <w:p w14:paraId="75379E58" w14:textId="77777777" w:rsidR="001778AA" w:rsidRPr="001775D9" w:rsidRDefault="001778AA" w:rsidP="00D47253">
            <w:pPr>
              <w:keepNext/>
              <w:keepLines/>
              <w:tabs>
                <w:tab w:val="clear" w:pos="567"/>
              </w:tabs>
              <w:autoSpaceDE w:val="0"/>
              <w:autoSpaceDN w:val="0"/>
              <w:adjustRightInd w:val="0"/>
              <w:spacing w:line="240" w:lineRule="auto"/>
              <w:jc w:val="center"/>
              <w:rPr>
                <w:b/>
                <w:szCs w:val="22"/>
                <w:lang w:eastAsia="en-GB"/>
              </w:rPr>
            </w:pPr>
            <w:r w:rsidRPr="001775D9">
              <w:rPr>
                <w:b/>
                <w:bCs/>
                <w:szCs w:val="22"/>
                <w:lang w:eastAsia="en-GB"/>
              </w:rPr>
              <w:t>Placebo N</w:t>
            </w:r>
            <w:r w:rsidRPr="001775D9">
              <w:rPr>
                <w:b/>
                <w:szCs w:val="22"/>
              </w:rPr>
              <w:t> </w:t>
            </w:r>
            <w:r w:rsidRPr="001775D9">
              <w:rPr>
                <w:b/>
                <w:bCs/>
                <w:szCs w:val="22"/>
                <w:lang w:eastAsia="en-GB"/>
              </w:rPr>
              <w:t>=</w:t>
            </w:r>
            <w:r w:rsidRPr="001775D9">
              <w:rPr>
                <w:b/>
                <w:szCs w:val="22"/>
              </w:rPr>
              <w:t> </w:t>
            </w:r>
            <w:r w:rsidRPr="001775D9">
              <w:rPr>
                <w:b/>
                <w:bCs/>
                <w:szCs w:val="22"/>
                <w:lang w:eastAsia="en-GB"/>
              </w:rPr>
              <w:t>166</w:t>
            </w:r>
          </w:p>
        </w:tc>
        <w:tc>
          <w:tcPr>
            <w:tcW w:w="1559" w:type="dxa"/>
          </w:tcPr>
          <w:p w14:paraId="71C28622" w14:textId="77777777" w:rsidR="001778AA" w:rsidRPr="001775D9" w:rsidRDefault="001778AA" w:rsidP="00D47253">
            <w:pPr>
              <w:keepNext/>
              <w:keepLines/>
              <w:tabs>
                <w:tab w:val="clear" w:pos="567"/>
              </w:tabs>
              <w:autoSpaceDE w:val="0"/>
              <w:autoSpaceDN w:val="0"/>
              <w:adjustRightInd w:val="0"/>
              <w:spacing w:line="240" w:lineRule="auto"/>
              <w:jc w:val="center"/>
              <w:rPr>
                <w:b/>
                <w:szCs w:val="22"/>
                <w:lang w:eastAsia="en-GB"/>
              </w:rPr>
            </w:pPr>
            <w:r w:rsidRPr="001775D9">
              <w:rPr>
                <w:rFonts w:eastAsia="Times New Roman"/>
                <w:b/>
                <w:color w:val="000000"/>
                <w:szCs w:val="22"/>
              </w:rPr>
              <w:t>Adalimumab</w:t>
            </w:r>
            <w:r w:rsidRPr="001775D9">
              <w:rPr>
                <w:b/>
                <w:szCs w:val="22"/>
                <w:lang w:eastAsia="en-GB"/>
              </w:rPr>
              <w:t xml:space="preserve"> </w:t>
            </w:r>
            <w:r w:rsidRPr="001775D9">
              <w:rPr>
                <w:b/>
                <w:bCs/>
                <w:szCs w:val="22"/>
                <w:lang w:eastAsia="en-GB"/>
              </w:rPr>
              <w:t>160/80</w:t>
            </w:r>
            <w:r w:rsidRPr="001775D9">
              <w:rPr>
                <w:b/>
                <w:szCs w:val="22"/>
              </w:rPr>
              <w:t> </w:t>
            </w:r>
            <w:r w:rsidRPr="001775D9">
              <w:rPr>
                <w:b/>
                <w:bCs/>
                <w:szCs w:val="22"/>
                <w:lang w:eastAsia="en-GB"/>
              </w:rPr>
              <w:t>mg</w:t>
            </w:r>
          </w:p>
          <w:p w14:paraId="4EA0C368" w14:textId="77777777" w:rsidR="001778AA" w:rsidRPr="001775D9" w:rsidRDefault="001778AA" w:rsidP="00D47253">
            <w:pPr>
              <w:keepNext/>
              <w:keepLines/>
              <w:tabs>
                <w:tab w:val="clear" w:pos="567"/>
              </w:tabs>
              <w:autoSpaceDE w:val="0"/>
              <w:autoSpaceDN w:val="0"/>
              <w:adjustRightInd w:val="0"/>
              <w:spacing w:line="240" w:lineRule="auto"/>
              <w:jc w:val="center"/>
              <w:rPr>
                <w:b/>
                <w:szCs w:val="22"/>
                <w:lang w:eastAsia="en-GB"/>
              </w:rPr>
            </w:pPr>
            <w:r w:rsidRPr="001775D9">
              <w:rPr>
                <w:b/>
                <w:bCs/>
                <w:szCs w:val="22"/>
                <w:lang w:eastAsia="en-GB"/>
              </w:rPr>
              <w:t>N</w:t>
            </w:r>
            <w:r w:rsidRPr="001775D9">
              <w:rPr>
                <w:b/>
                <w:szCs w:val="22"/>
              </w:rPr>
              <w:t> </w:t>
            </w:r>
            <w:r w:rsidRPr="001775D9">
              <w:rPr>
                <w:b/>
                <w:bCs/>
                <w:szCs w:val="22"/>
                <w:lang w:eastAsia="en-GB"/>
              </w:rPr>
              <w:t>=</w:t>
            </w:r>
            <w:r w:rsidRPr="001775D9">
              <w:rPr>
                <w:b/>
                <w:szCs w:val="22"/>
              </w:rPr>
              <w:t> </w:t>
            </w:r>
            <w:r w:rsidRPr="001775D9">
              <w:rPr>
                <w:b/>
                <w:bCs/>
                <w:szCs w:val="22"/>
                <w:lang w:eastAsia="en-GB"/>
              </w:rPr>
              <w:t>159</w:t>
            </w:r>
          </w:p>
        </w:tc>
      </w:tr>
      <w:tr w:rsidR="001778AA" w:rsidRPr="00F04F82" w14:paraId="2D3B4DC0" w14:textId="77777777" w:rsidTr="00D47253">
        <w:trPr>
          <w:trHeight w:val="147"/>
        </w:trPr>
        <w:tc>
          <w:tcPr>
            <w:tcW w:w="9072" w:type="dxa"/>
            <w:gridSpan w:val="6"/>
          </w:tcPr>
          <w:p w14:paraId="170EC8D5"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 xml:space="preserve">Week 4 </w:t>
            </w:r>
          </w:p>
        </w:tc>
      </w:tr>
      <w:tr w:rsidR="001778AA" w:rsidRPr="00F04F82" w14:paraId="54CCB74C" w14:textId="77777777" w:rsidTr="00D47253">
        <w:trPr>
          <w:trHeight w:val="154"/>
        </w:trPr>
        <w:tc>
          <w:tcPr>
            <w:tcW w:w="2127" w:type="dxa"/>
          </w:tcPr>
          <w:p w14:paraId="57228555"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 xml:space="preserve">Clinical remission </w:t>
            </w:r>
          </w:p>
        </w:tc>
        <w:tc>
          <w:tcPr>
            <w:tcW w:w="1134" w:type="dxa"/>
          </w:tcPr>
          <w:p w14:paraId="6261EBC3"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12%</w:t>
            </w:r>
          </w:p>
        </w:tc>
        <w:tc>
          <w:tcPr>
            <w:tcW w:w="1559" w:type="dxa"/>
          </w:tcPr>
          <w:p w14:paraId="619E8888"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24%</w:t>
            </w:r>
          </w:p>
        </w:tc>
        <w:tc>
          <w:tcPr>
            <w:tcW w:w="1559" w:type="dxa"/>
          </w:tcPr>
          <w:p w14:paraId="19E8AA71"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36%*</w:t>
            </w:r>
          </w:p>
        </w:tc>
        <w:tc>
          <w:tcPr>
            <w:tcW w:w="1134" w:type="dxa"/>
          </w:tcPr>
          <w:p w14:paraId="0DDF6D26"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7%</w:t>
            </w:r>
          </w:p>
        </w:tc>
        <w:tc>
          <w:tcPr>
            <w:tcW w:w="1559" w:type="dxa"/>
          </w:tcPr>
          <w:p w14:paraId="4F6AF1D7"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21%*</w:t>
            </w:r>
          </w:p>
        </w:tc>
      </w:tr>
      <w:tr w:rsidR="001778AA" w:rsidRPr="00F04F82" w14:paraId="79AC6D43" w14:textId="77777777" w:rsidTr="00D47253">
        <w:trPr>
          <w:trHeight w:val="274"/>
        </w:trPr>
        <w:tc>
          <w:tcPr>
            <w:tcW w:w="2127" w:type="dxa"/>
          </w:tcPr>
          <w:p w14:paraId="4CA0B18E"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 xml:space="preserve">Clinical response (CR-100) </w:t>
            </w:r>
          </w:p>
        </w:tc>
        <w:tc>
          <w:tcPr>
            <w:tcW w:w="1134" w:type="dxa"/>
          </w:tcPr>
          <w:p w14:paraId="4BC8715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24%</w:t>
            </w:r>
          </w:p>
        </w:tc>
        <w:tc>
          <w:tcPr>
            <w:tcW w:w="1559" w:type="dxa"/>
          </w:tcPr>
          <w:p w14:paraId="63B1383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37%</w:t>
            </w:r>
          </w:p>
        </w:tc>
        <w:tc>
          <w:tcPr>
            <w:tcW w:w="1559" w:type="dxa"/>
          </w:tcPr>
          <w:p w14:paraId="20C6DB32"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49%**</w:t>
            </w:r>
          </w:p>
        </w:tc>
        <w:tc>
          <w:tcPr>
            <w:tcW w:w="1134" w:type="dxa"/>
          </w:tcPr>
          <w:p w14:paraId="07D3C3A4"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25%</w:t>
            </w:r>
          </w:p>
        </w:tc>
        <w:tc>
          <w:tcPr>
            <w:tcW w:w="1559" w:type="dxa"/>
          </w:tcPr>
          <w:p w14:paraId="62052013"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38%**</w:t>
            </w:r>
          </w:p>
        </w:tc>
      </w:tr>
    </w:tbl>
    <w:p w14:paraId="66E8A6E9"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lang w:eastAsia="en-GB"/>
        </w:rPr>
        <w:t xml:space="preserve">All p-values are pairwise comparisons of proportions for </w:t>
      </w:r>
      <w:r w:rsidRPr="001775D9">
        <w:rPr>
          <w:rFonts w:eastAsia="Times New Roman"/>
          <w:color w:val="000000"/>
          <w:sz w:val="20"/>
        </w:rPr>
        <w:t>adalimumab</w:t>
      </w:r>
      <w:r w:rsidRPr="001775D9">
        <w:rPr>
          <w:i/>
          <w:iCs/>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w:t>
      </w:r>
    </w:p>
    <w:p w14:paraId="0658375A" w14:textId="77777777" w:rsidR="001778AA" w:rsidRPr="001775D9" w:rsidRDefault="001778AA" w:rsidP="001778AA">
      <w:pPr>
        <w:tabs>
          <w:tab w:val="clear" w:pos="567"/>
        </w:tabs>
        <w:autoSpaceDE w:val="0"/>
        <w:autoSpaceDN w:val="0"/>
        <w:adjustRightInd w:val="0"/>
        <w:spacing w:line="240" w:lineRule="auto"/>
        <w:rPr>
          <w:color w:val="000000"/>
          <w:sz w:val="20"/>
          <w:lang w:eastAsia="en-GB"/>
        </w:rPr>
      </w:pPr>
      <w:r w:rsidRPr="001775D9">
        <w:rPr>
          <w:color w:val="000000"/>
          <w:sz w:val="20"/>
          <w:lang w:eastAsia="en-GB"/>
        </w:rPr>
        <w:t>* p</w:t>
      </w:r>
      <w:r w:rsidRPr="001775D9">
        <w:rPr>
          <w:sz w:val="20"/>
        </w:rPr>
        <w:t> </w:t>
      </w:r>
      <w:r w:rsidRPr="001775D9">
        <w:rPr>
          <w:color w:val="000000"/>
          <w:sz w:val="20"/>
          <w:lang w:eastAsia="en-GB"/>
        </w:rPr>
        <w:t>&lt;</w:t>
      </w:r>
      <w:r w:rsidRPr="001775D9">
        <w:rPr>
          <w:sz w:val="20"/>
        </w:rPr>
        <w:t> </w:t>
      </w:r>
      <w:r w:rsidRPr="001775D9">
        <w:rPr>
          <w:color w:val="000000"/>
          <w:sz w:val="20"/>
          <w:lang w:eastAsia="en-GB"/>
        </w:rPr>
        <w:t xml:space="preserve">0.001 </w:t>
      </w:r>
    </w:p>
    <w:p w14:paraId="01503118" w14:textId="77777777" w:rsidR="001778AA" w:rsidRPr="001775D9" w:rsidRDefault="001778AA" w:rsidP="001778AA">
      <w:pPr>
        <w:spacing w:line="240" w:lineRule="auto"/>
        <w:rPr>
          <w:sz w:val="20"/>
        </w:rPr>
      </w:pPr>
      <w:r w:rsidRPr="001775D9">
        <w:rPr>
          <w:color w:val="000000"/>
          <w:sz w:val="20"/>
          <w:lang w:eastAsia="en-GB"/>
        </w:rPr>
        <w:t>** p</w:t>
      </w:r>
      <w:r w:rsidRPr="001775D9">
        <w:rPr>
          <w:sz w:val="20"/>
        </w:rPr>
        <w:t> </w:t>
      </w:r>
      <w:r w:rsidRPr="001775D9">
        <w:rPr>
          <w:color w:val="000000"/>
          <w:sz w:val="20"/>
          <w:lang w:eastAsia="en-GB"/>
        </w:rPr>
        <w:t>&lt;</w:t>
      </w:r>
      <w:r w:rsidRPr="001775D9">
        <w:rPr>
          <w:sz w:val="20"/>
        </w:rPr>
        <w:t> </w:t>
      </w:r>
      <w:r w:rsidRPr="001775D9">
        <w:rPr>
          <w:color w:val="000000"/>
          <w:sz w:val="20"/>
          <w:lang w:eastAsia="en-GB"/>
        </w:rPr>
        <w:t xml:space="preserve">0.01 </w:t>
      </w:r>
    </w:p>
    <w:p w14:paraId="7C781E70"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p>
    <w:p w14:paraId="27349BC9"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Similar remission rates were observed for the 160/80</w:t>
      </w:r>
      <w:r w:rsidRPr="001775D9">
        <w:rPr>
          <w:szCs w:val="22"/>
        </w:rPr>
        <w:t> </w:t>
      </w:r>
      <w:r w:rsidRPr="001775D9">
        <w:rPr>
          <w:color w:val="000000"/>
          <w:szCs w:val="22"/>
          <w:lang w:eastAsia="en-GB"/>
        </w:rPr>
        <w:t>mg and 80/40</w:t>
      </w:r>
      <w:r w:rsidRPr="001775D9">
        <w:rPr>
          <w:szCs w:val="22"/>
        </w:rPr>
        <w:t> </w:t>
      </w:r>
      <w:r w:rsidRPr="001775D9">
        <w:rPr>
          <w:color w:val="000000"/>
          <w:szCs w:val="22"/>
          <w:lang w:eastAsia="en-GB"/>
        </w:rPr>
        <w:t xml:space="preserve">mg induction regimens by </w:t>
      </w:r>
      <w:r w:rsidRPr="001775D9">
        <w:rPr>
          <w:szCs w:val="22"/>
        </w:rPr>
        <w:t>week</w:t>
      </w:r>
      <w:r w:rsidRPr="001775D9">
        <w:rPr>
          <w:color w:val="000000"/>
          <w:szCs w:val="22"/>
          <w:lang w:eastAsia="en-GB"/>
        </w:rPr>
        <w:t xml:space="preserve"> 8 and adverse events were more frequently noted in the 160/80</w:t>
      </w:r>
      <w:r w:rsidRPr="001775D9">
        <w:rPr>
          <w:szCs w:val="22"/>
        </w:rPr>
        <w:t> </w:t>
      </w:r>
      <w:r w:rsidRPr="001775D9">
        <w:rPr>
          <w:color w:val="000000"/>
          <w:szCs w:val="22"/>
          <w:lang w:eastAsia="en-GB"/>
        </w:rPr>
        <w:t xml:space="preserve">mg group. </w:t>
      </w:r>
    </w:p>
    <w:p w14:paraId="28493F05"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1D0363DB"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In CD study III, at </w:t>
      </w:r>
      <w:r w:rsidRPr="001775D9">
        <w:rPr>
          <w:szCs w:val="22"/>
        </w:rPr>
        <w:t>week</w:t>
      </w:r>
      <w:r w:rsidRPr="001775D9">
        <w:rPr>
          <w:color w:val="000000"/>
          <w:szCs w:val="22"/>
          <w:lang w:eastAsia="en-GB"/>
        </w:rPr>
        <w:t xml:space="preserve"> 4, 58% (499/854) of patients were in clinical response and were assessed in the primary analysis. Of those in clinical response at </w:t>
      </w:r>
      <w:r w:rsidRPr="001775D9">
        <w:rPr>
          <w:szCs w:val="22"/>
        </w:rPr>
        <w:t>week</w:t>
      </w:r>
      <w:r w:rsidRPr="001775D9">
        <w:rPr>
          <w:color w:val="000000"/>
          <w:szCs w:val="22"/>
          <w:lang w:eastAsia="en-GB"/>
        </w:rPr>
        <w:t xml:space="preserve"> 4, 48% had been previously exposed to other TNF-antagonists. Maintenance of remission and response rates are presented in table 22. Clinical remission results remained relatively constant irrespective of previous TNF-antagonist exposure. </w:t>
      </w:r>
    </w:p>
    <w:p w14:paraId="261A9583"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64E68AF8"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Disease-related hospitalisations and surgeries were statistically significantly reduced with adalimumab compared with placebo at </w:t>
      </w:r>
      <w:r w:rsidRPr="001775D9">
        <w:rPr>
          <w:szCs w:val="22"/>
        </w:rPr>
        <w:t>week</w:t>
      </w:r>
      <w:r w:rsidRPr="001775D9">
        <w:rPr>
          <w:color w:val="000000"/>
          <w:szCs w:val="22"/>
          <w:lang w:eastAsia="en-GB"/>
        </w:rPr>
        <w:t xml:space="preserve"> 56.</w:t>
      </w:r>
    </w:p>
    <w:p w14:paraId="7B6E37C3"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4E5E34B7"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b/>
          <w:bCs/>
          <w:color w:val="000000"/>
          <w:szCs w:val="22"/>
          <w:lang w:eastAsia="en-GB"/>
        </w:rPr>
        <w:t xml:space="preserve">Table 22. Maintenance of clinical </w:t>
      </w:r>
      <w:r w:rsidRPr="001775D9">
        <w:rPr>
          <w:b/>
          <w:bCs/>
          <w:szCs w:val="22"/>
          <w:lang w:eastAsia="en-GB"/>
        </w:rPr>
        <w:t>remission and response (percent of patients)</w:t>
      </w:r>
    </w:p>
    <w:p w14:paraId="0F193A82" w14:textId="77777777" w:rsidR="001778AA" w:rsidRPr="001775D9" w:rsidRDefault="001778AA" w:rsidP="001778AA">
      <w:pPr>
        <w:keepNext/>
        <w:spacing w:line="240" w:lineRule="auto"/>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667"/>
        <w:gridCol w:w="2551"/>
        <w:gridCol w:w="2160"/>
      </w:tblGrid>
      <w:tr w:rsidR="001778AA" w:rsidRPr="00F04F82" w14:paraId="7EC0CEB5" w14:textId="77777777" w:rsidTr="00610C0B">
        <w:trPr>
          <w:trHeight w:val="437"/>
          <w:tblHeader/>
        </w:trPr>
        <w:tc>
          <w:tcPr>
            <w:tcW w:w="2694" w:type="dxa"/>
          </w:tcPr>
          <w:p w14:paraId="55E64187"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p>
        </w:tc>
        <w:tc>
          <w:tcPr>
            <w:tcW w:w="1667" w:type="dxa"/>
          </w:tcPr>
          <w:p w14:paraId="7D6CA9A3"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tc>
        <w:tc>
          <w:tcPr>
            <w:tcW w:w="2551" w:type="dxa"/>
          </w:tcPr>
          <w:p w14:paraId="4CB4CB00"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40</w:t>
            </w:r>
            <w:r w:rsidRPr="001775D9">
              <w:rPr>
                <w:b/>
                <w:szCs w:val="22"/>
              </w:rPr>
              <w:t> </w:t>
            </w:r>
            <w:r w:rsidRPr="001775D9">
              <w:rPr>
                <w:b/>
                <w:bCs/>
                <w:szCs w:val="22"/>
                <w:lang w:eastAsia="en-GB"/>
              </w:rPr>
              <w:t xml:space="preserve">mg </w:t>
            </w:r>
            <w:r w:rsidRPr="001775D9">
              <w:rPr>
                <w:rFonts w:eastAsia="Times New Roman"/>
                <w:b/>
                <w:color w:val="000000"/>
                <w:szCs w:val="22"/>
              </w:rPr>
              <w:t>adalimumab</w:t>
            </w:r>
            <w:r w:rsidRPr="001775D9">
              <w:rPr>
                <w:b/>
                <w:bCs/>
                <w:szCs w:val="22"/>
                <w:lang w:eastAsia="en-GB"/>
              </w:rPr>
              <w:t xml:space="preserve"> every other week</w:t>
            </w:r>
          </w:p>
        </w:tc>
        <w:tc>
          <w:tcPr>
            <w:tcW w:w="2160" w:type="dxa"/>
          </w:tcPr>
          <w:p w14:paraId="4EDC9158"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40</w:t>
            </w:r>
            <w:r w:rsidRPr="001775D9">
              <w:rPr>
                <w:b/>
                <w:szCs w:val="22"/>
              </w:rPr>
              <w:t> </w:t>
            </w:r>
            <w:r w:rsidRPr="001775D9">
              <w:rPr>
                <w:b/>
                <w:bCs/>
                <w:szCs w:val="22"/>
                <w:lang w:eastAsia="en-GB"/>
              </w:rPr>
              <w:t xml:space="preserve">mg </w:t>
            </w:r>
            <w:r w:rsidRPr="001775D9">
              <w:rPr>
                <w:rFonts w:eastAsia="Times New Roman"/>
                <w:b/>
                <w:color w:val="000000"/>
                <w:szCs w:val="22"/>
              </w:rPr>
              <w:t>adalimumab</w:t>
            </w:r>
            <w:r w:rsidRPr="001775D9">
              <w:rPr>
                <w:b/>
                <w:bCs/>
                <w:szCs w:val="22"/>
                <w:lang w:eastAsia="en-GB"/>
              </w:rPr>
              <w:t xml:space="preserve"> every week</w:t>
            </w:r>
          </w:p>
        </w:tc>
      </w:tr>
      <w:tr w:rsidR="001778AA" w:rsidRPr="00F04F82" w14:paraId="4670E600" w14:textId="77777777" w:rsidTr="00610C0B">
        <w:trPr>
          <w:trHeight w:val="147"/>
        </w:trPr>
        <w:tc>
          <w:tcPr>
            <w:tcW w:w="2694" w:type="dxa"/>
          </w:tcPr>
          <w:p w14:paraId="45C6EB9E"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b/>
                <w:bCs/>
                <w:szCs w:val="22"/>
                <w:lang w:eastAsia="en-GB"/>
              </w:rPr>
              <w:t>Week 26</w:t>
            </w:r>
          </w:p>
        </w:tc>
        <w:tc>
          <w:tcPr>
            <w:tcW w:w="1667" w:type="dxa"/>
          </w:tcPr>
          <w:p w14:paraId="7B49DB98" w14:textId="7777777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170</w:t>
            </w:r>
          </w:p>
        </w:tc>
        <w:tc>
          <w:tcPr>
            <w:tcW w:w="2551" w:type="dxa"/>
          </w:tcPr>
          <w:p w14:paraId="5B7A5632"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172</w:t>
            </w:r>
          </w:p>
        </w:tc>
        <w:tc>
          <w:tcPr>
            <w:tcW w:w="2160" w:type="dxa"/>
          </w:tcPr>
          <w:p w14:paraId="7F499F4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157</w:t>
            </w:r>
          </w:p>
        </w:tc>
      </w:tr>
      <w:tr w:rsidR="001778AA" w:rsidRPr="00F04F82" w14:paraId="26441404" w14:textId="77777777" w:rsidTr="00610C0B">
        <w:trPr>
          <w:trHeight w:val="147"/>
        </w:trPr>
        <w:tc>
          <w:tcPr>
            <w:tcW w:w="2694" w:type="dxa"/>
          </w:tcPr>
          <w:p w14:paraId="74345B40"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Clinical remission </w:t>
            </w:r>
          </w:p>
        </w:tc>
        <w:tc>
          <w:tcPr>
            <w:tcW w:w="1667" w:type="dxa"/>
          </w:tcPr>
          <w:p w14:paraId="179D8A82"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17%</w:t>
            </w:r>
          </w:p>
        </w:tc>
        <w:tc>
          <w:tcPr>
            <w:tcW w:w="2551" w:type="dxa"/>
          </w:tcPr>
          <w:p w14:paraId="11D75234"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40%*</w:t>
            </w:r>
          </w:p>
        </w:tc>
        <w:tc>
          <w:tcPr>
            <w:tcW w:w="2160" w:type="dxa"/>
          </w:tcPr>
          <w:p w14:paraId="0C79587B"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47%*</w:t>
            </w:r>
          </w:p>
        </w:tc>
      </w:tr>
      <w:tr w:rsidR="001778AA" w:rsidRPr="00F04F82" w14:paraId="4DBADAA2" w14:textId="77777777" w:rsidTr="00610C0B">
        <w:trPr>
          <w:trHeight w:val="147"/>
        </w:trPr>
        <w:tc>
          <w:tcPr>
            <w:tcW w:w="2694" w:type="dxa"/>
            <w:tcBorders>
              <w:bottom w:val="single" w:sz="4" w:space="0" w:color="auto"/>
            </w:tcBorders>
          </w:tcPr>
          <w:p w14:paraId="1CC0B32C"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Clinical response (CR-100) </w:t>
            </w:r>
          </w:p>
        </w:tc>
        <w:tc>
          <w:tcPr>
            <w:tcW w:w="1667" w:type="dxa"/>
            <w:tcBorders>
              <w:bottom w:val="single" w:sz="4" w:space="0" w:color="auto"/>
            </w:tcBorders>
          </w:tcPr>
          <w:p w14:paraId="27A67108"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27%</w:t>
            </w:r>
          </w:p>
        </w:tc>
        <w:tc>
          <w:tcPr>
            <w:tcW w:w="2551" w:type="dxa"/>
            <w:tcBorders>
              <w:bottom w:val="single" w:sz="4" w:space="0" w:color="auto"/>
            </w:tcBorders>
          </w:tcPr>
          <w:p w14:paraId="374B15C6"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52%*</w:t>
            </w:r>
          </w:p>
        </w:tc>
        <w:tc>
          <w:tcPr>
            <w:tcW w:w="2160" w:type="dxa"/>
            <w:tcBorders>
              <w:bottom w:val="single" w:sz="4" w:space="0" w:color="auto"/>
            </w:tcBorders>
          </w:tcPr>
          <w:p w14:paraId="568F2CE9"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52%*</w:t>
            </w:r>
          </w:p>
        </w:tc>
      </w:tr>
      <w:tr w:rsidR="001778AA" w:rsidRPr="00F04F82" w14:paraId="7C4C6E25" w14:textId="77777777" w:rsidTr="00610C0B">
        <w:trPr>
          <w:trHeight w:val="147"/>
        </w:trPr>
        <w:tc>
          <w:tcPr>
            <w:tcW w:w="2694" w:type="dxa"/>
            <w:tcBorders>
              <w:top w:val="single" w:sz="4" w:space="0" w:color="auto"/>
              <w:left w:val="single" w:sz="4" w:space="0" w:color="auto"/>
              <w:bottom w:val="single" w:sz="4" w:space="0" w:color="auto"/>
              <w:right w:val="single" w:sz="4" w:space="0" w:color="auto"/>
            </w:tcBorders>
          </w:tcPr>
          <w:p w14:paraId="14625996" w14:textId="637260BF"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Patients in steroid-free remission for </w:t>
            </w:r>
            <w:r w:rsidR="00B9607E" w:rsidRPr="001775D9">
              <w:rPr>
                <w:szCs w:val="22"/>
                <w:lang w:eastAsia="en-GB"/>
              </w:rPr>
              <w:t>≥</w:t>
            </w:r>
            <w:r w:rsidRPr="001775D9">
              <w:rPr>
                <w:szCs w:val="22"/>
              </w:rPr>
              <w:t> </w:t>
            </w:r>
            <w:r w:rsidRPr="001775D9">
              <w:rPr>
                <w:szCs w:val="22"/>
                <w:lang w:eastAsia="en-GB"/>
              </w:rPr>
              <w:t>90 days</w:t>
            </w:r>
            <w:r w:rsidRPr="001775D9">
              <w:rPr>
                <w:szCs w:val="22"/>
                <w:vertAlign w:val="superscript"/>
                <w:lang w:eastAsia="en-GB"/>
              </w:rPr>
              <w:t>a</w:t>
            </w:r>
          </w:p>
        </w:tc>
        <w:tc>
          <w:tcPr>
            <w:tcW w:w="1667" w:type="dxa"/>
            <w:tcBorders>
              <w:top w:val="single" w:sz="4" w:space="0" w:color="auto"/>
              <w:left w:val="single" w:sz="4" w:space="0" w:color="auto"/>
              <w:bottom w:val="single" w:sz="4" w:space="0" w:color="auto"/>
              <w:right w:val="single" w:sz="4" w:space="0" w:color="auto"/>
            </w:tcBorders>
          </w:tcPr>
          <w:p w14:paraId="1C139614"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3% (2/66)</w:t>
            </w:r>
          </w:p>
        </w:tc>
        <w:tc>
          <w:tcPr>
            <w:tcW w:w="2551" w:type="dxa"/>
            <w:tcBorders>
              <w:top w:val="single" w:sz="4" w:space="0" w:color="auto"/>
              <w:left w:val="single" w:sz="4" w:space="0" w:color="auto"/>
              <w:bottom w:val="single" w:sz="4" w:space="0" w:color="auto"/>
              <w:right w:val="single" w:sz="4" w:space="0" w:color="auto"/>
            </w:tcBorders>
          </w:tcPr>
          <w:p w14:paraId="367134C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19% (11/58)**</w:t>
            </w:r>
          </w:p>
        </w:tc>
        <w:tc>
          <w:tcPr>
            <w:tcW w:w="2160" w:type="dxa"/>
            <w:tcBorders>
              <w:top w:val="single" w:sz="4" w:space="0" w:color="auto"/>
              <w:left w:val="single" w:sz="4" w:space="0" w:color="auto"/>
              <w:bottom w:val="single" w:sz="4" w:space="0" w:color="auto"/>
              <w:right w:val="single" w:sz="4" w:space="0" w:color="auto"/>
            </w:tcBorders>
          </w:tcPr>
          <w:p w14:paraId="3002F3B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15% (11/74)**</w:t>
            </w:r>
          </w:p>
        </w:tc>
      </w:tr>
      <w:tr w:rsidR="001778AA" w:rsidRPr="00F04F82" w14:paraId="682AE93E" w14:textId="77777777" w:rsidTr="00610C0B">
        <w:trPr>
          <w:trHeight w:val="147"/>
        </w:trPr>
        <w:tc>
          <w:tcPr>
            <w:tcW w:w="2694" w:type="dxa"/>
            <w:tcBorders>
              <w:top w:val="single" w:sz="4" w:space="0" w:color="auto"/>
            </w:tcBorders>
          </w:tcPr>
          <w:p w14:paraId="1B2A8A43"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b/>
                <w:bCs/>
                <w:szCs w:val="22"/>
                <w:lang w:eastAsia="en-GB"/>
              </w:rPr>
              <w:t xml:space="preserve">Week 56 </w:t>
            </w:r>
          </w:p>
        </w:tc>
        <w:tc>
          <w:tcPr>
            <w:tcW w:w="1667" w:type="dxa"/>
            <w:tcBorders>
              <w:top w:val="single" w:sz="4" w:space="0" w:color="auto"/>
            </w:tcBorders>
          </w:tcPr>
          <w:p w14:paraId="4A06F9E4"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170</w:t>
            </w:r>
          </w:p>
        </w:tc>
        <w:tc>
          <w:tcPr>
            <w:tcW w:w="2551" w:type="dxa"/>
            <w:tcBorders>
              <w:top w:val="single" w:sz="4" w:space="0" w:color="auto"/>
            </w:tcBorders>
          </w:tcPr>
          <w:p w14:paraId="08AD7999"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172</w:t>
            </w:r>
          </w:p>
        </w:tc>
        <w:tc>
          <w:tcPr>
            <w:tcW w:w="2160" w:type="dxa"/>
            <w:tcBorders>
              <w:top w:val="single" w:sz="4" w:space="0" w:color="auto"/>
            </w:tcBorders>
          </w:tcPr>
          <w:p w14:paraId="021E86ED"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157</w:t>
            </w:r>
          </w:p>
        </w:tc>
      </w:tr>
      <w:tr w:rsidR="001778AA" w:rsidRPr="00F04F82" w14:paraId="7AAB6EC2" w14:textId="77777777" w:rsidTr="00610C0B">
        <w:trPr>
          <w:trHeight w:val="147"/>
        </w:trPr>
        <w:tc>
          <w:tcPr>
            <w:tcW w:w="2694" w:type="dxa"/>
          </w:tcPr>
          <w:p w14:paraId="5142E3BD"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Clinical remission </w:t>
            </w:r>
          </w:p>
        </w:tc>
        <w:tc>
          <w:tcPr>
            <w:tcW w:w="1667" w:type="dxa"/>
          </w:tcPr>
          <w:p w14:paraId="0E27AFF1"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12%</w:t>
            </w:r>
          </w:p>
        </w:tc>
        <w:tc>
          <w:tcPr>
            <w:tcW w:w="2551" w:type="dxa"/>
          </w:tcPr>
          <w:p w14:paraId="239561B5"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36%*</w:t>
            </w:r>
          </w:p>
        </w:tc>
        <w:tc>
          <w:tcPr>
            <w:tcW w:w="2160" w:type="dxa"/>
          </w:tcPr>
          <w:p w14:paraId="34D2163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41%*</w:t>
            </w:r>
          </w:p>
        </w:tc>
      </w:tr>
      <w:tr w:rsidR="001778AA" w:rsidRPr="00F04F82" w14:paraId="6DF5EA90" w14:textId="77777777" w:rsidTr="00610C0B">
        <w:trPr>
          <w:trHeight w:val="147"/>
        </w:trPr>
        <w:tc>
          <w:tcPr>
            <w:tcW w:w="2694" w:type="dxa"/>
          </w:tcPr>
          <w:p w14:paraId="1DC4F174"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Clinical response (CR-100) </w:t>
            </w:r>
          </w:p>
        </w:tc>
        <w:tc>
          <w:tcPr>
            <w:tcW w:w="1667" w:type="dxa"/>
          </w:tcPr>
          <w:p w14:paraId="276FB50D"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17%</w:t>
            </w:r>
          </w:p>
        </w:tc>
        <w:tc>
          <w:tcPr>
            <w:tcW w:w="2551" w:type="dxa"/>
          </w:tcPr>
          <w:p w14:paraId="03817943"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41%*</w:t>
            </w:r>
          </w:p>
        </w:tc>
        <w:tc>
          <w:tcPr>
            <w:tcW w:w="2160" w:type="dxa"/>
          </w:tcPr>
          <w:p w14:paraId="1915A209"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48%*</w:t>
            </w:r>
          </w:p>
        </w:tc>
      </w:tr>
      <w:tr w:rsidR="001778AA" w:rsidRPr="00F04F82" w14:paraId="03F47C44" w14:textId="77777777" w:rsidTr="00610C0B">
        <w:trPr>
          <w:trHeight w:val="147"/>
        </w:trPr>
        <w:tc>
          <w:tcPr>
            <w:tcW w:w="2694" w:type="dxa"/>
          </w:tcPr>
          <w:p w14:paraId="0E349877" w14:textId="20A904A4"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Patients in steroid-free remission for </w:t>
            </w:r>
            <w:r w:rsidR="00B9607E" w:rsidRPr="001775D9">
              <w:rPr>
                <w:szCs w:val="22"/>
                <w:lang w:eastAsia="en-GB"/>
              </w:rPr>
              <w:t>≥</w:t>
            </w:r>
            <w:r w:rsidRPr="001775D9">
              <w:rPr>
                <w:szCs w:val="22"/>
              </w:rPr>
              <w:t> </w:t>
            </w:r>
            <w:r w:rsidRPr="001775D9">
              <w:rPr>
                <w:szCs w:val="22"/>
                <w:lang w:eastAsia="en-GB"/>
              </w:rPr>
              <w:t>90 days</w:t>
            </w:r>
            <w:r w:rsidRPr="001775D9">
              <w:rPr>
                <w:szCs w:val="22"/>
                <w:vertAlign w:val="superscript"/>
                <w:lang w:eastAsia="en-GB"/>
              </w:rPr>
              <w:t>a</w:t>
            </w:r>
            <w:r w:rsidRPr="001775D9">
              <w:rPr>
                <w:szCs w:val="22"/>
                <w:lang w:eastAsia="en-GB"/>
              </w:rPr>
              <w:t xml:space="preserve"> </w:t>
            </w:r>
          </w:p>
        </w:tc>
        <w:tc>
          <w:tcPr>
            <w:tcW w:w="1667" w:type="dxa"/>
          </w:tcPr>
          <w:p w14:paraId="12C9D45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5% (3/66)</w:t>
            </w:r>
          </w:p>
        </w:tc>
        <w:tc>
          <w:tcPr>
            <w:tcW w:w="2551" w:type="dxa"/>
          </w:tcPr>
          <w:p w14:paraId="63E3CF8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29% (17/58)*</w:t>
            </w:r>
          </w:p>
        </w:tc>
        <w:tc>
          <w:tcPr>
            <w:tcW w:w="2160" w:type="dxa"/>
          </w:tcPr>
          <w:p w14:paraId="359DDB58"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20% (15/74)**</w:t>
            </w:r>
          </w:p>
        </w:tc>
      </w:tr>
    </w:tbl>
    <w:p w14:paraId="554FE025"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lang w:eastAsia="en-GB"/>
        </w:rPr>
        <w:t>* p</w:t>
      </w:r>
      <w:r w:rsidRPr="001775D9">
        <w:rPr>
          <w:sz w:val="20"/>
        </w:rPr>
        <w:t> </w:t>
      </w:r>
      <w:r w:rsidRPr="001775D9">
        <w:rPr>
          <w:sz w:val="20"/>
          <w:lang w:eastAsia="en-GB"/>
        </w:rPr>
        <w:t>&lt;</w:t>
      </w:r>
      <w:r w:rsidRPr="001775D9">
        <w:rPr>
          <w:sz w:val="20"/>
        </w:rPr>
        <w:t> </w:t>
      </w:r>
      <w:r w:rsidRPr="001775D9">
        <w:rPr>
          <w:sz w:val="20"/>
          <w:lang w:eastAsia="en-GB"/>
        </w:rPr>
        <w:t xml:space="preserve">0.001 for </w:t>
      </w:r>
      <w:r w:rsidRPr="001775D9">
        <w:rPr>
          <w:rFonts w:eastAsia="Times New Roman"/>
          <w:color w:val="000000"/>
          <w:sz w:val="20"/>
        </w:rPr>
        <w:t>adalimumab</w:t>
      </w:r>
      <w:r w:rsidRPr="001775D9">
        <w:rPr>
          <w:i/>
          <w:iCs/>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pairwise comparisons of proportions </w:t>
      </w:r>
    </w:p>
    <w:p w14:paraId="7456C20E"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lang w:eastAsia="en-GB"/>
        </w:rPr>
        <w:t>** p</w:t>
      </w:r>
      <w:r w:rsidRPr="001775D9">
        <w:rPr>
          <w:sz w:val="20"/>
        </w:rPr>
        <w:t> </w:t>
      </w:r>
      <w:r w:rsidRPr="001775D9">
        <w:rPr>
          <w:sz w:val="20"/>
          <w:lang w:eastAsia="en-GB"/>
        </w:rPr>
        <w:t>&lt;</w:t>
      </w:r>
      <w:r w:rsidRPr="001775D9">
        <w:rPr>
          <w:sz w:val="20"/>
        </w:rPr>
        <w:t> </w:t>
      </w:r>
      <w:r w:rsidRPr="001775D9">
        <w:rPr>
          <w:sz w:val="20"/>
          <w:lang w:eastAsia="en-GB"/>
        </w:rPr>
        <w:t xml:space="preserve">0.02 for </w:t>
      </w:r>
      <w:r w:rsidRPr="001775D9">
        <w:rPr>
          <w:rFonts w:eastAsia="Times New Roman"/>
          <w:color w:val="000000"/>
          <w:sz w:val="20"/>
        </w:rPr>
        <w:t>adalimumab</w:t>
      </w:r>
      <w:r w:rsidRPr="001775D9">
        <w:rPr>
          <w:i/>
          <w:iCs/>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pairwise comparisons of proportions </w:t>
      </w:r>
    </w:p>
    <w:p w14:paraId="3F5F9264" w14:textId="77777777" w:rsidR="001778AA" w:rsidRPr="001775D9" w:rsidRDefault="001778AA" w:rsidP="001778AA">
      <w:pPr>
        <w:tabs>
          <w:tab w:val="clear" w:pos="567"/>
        </w:tabs>
        <w:autoSpaceDE w:val="0"/>
        <w:autoSpaceDN w:val="0"/>
        <w:adjustRightInd w:val="0"/>
        <w:spacing w:line="240" w:lineRule="auto"/>
        <w:rPr>
          <w:sz w:val="20"/>
          <w:u w:val="single"/>
          <w:lang w:eastAsia="en-GB"/>
        </w:rPr>
      </w:pPr>
      <w:r w:rsidRPr="001775D9">
        <w:rPr>
          <w:sz w:val="20"/>
          <w:vertAlign w:val="superscript"/>
          <w:lang w:eastAsia="en-GB"/>
        </w:rPr>
        <w:t>a</w:t>
      </w:r>
      <w:r w:rsidRPr="001775D9">
        <w:rPr>
          <w:sz w:val="20"/>
          <w:lang w:eastAsia="en-GB"/>
        </w:rPr>
        <w:t xml:space="preserve"> Of those receiving corticosteroids at baseline </w:t>
      </w:r>
    </w:p>
    <w:p w14:paraId="507FD12E"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5288BD28"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Among patients who were not in response at </w:t>
      </w:r>
      <w:r w:rsidRPr="001775D9">
        <w:rPr>
          <w:szCs w:val="22"/>
        </w:rPr>
        <w:t>week</w:t>
      </w:r>
      <w:r w:rsidRPr="001775D9">
        <w:rPr>
          <w:szCs w:val="22"/>
          <w:lang w:eastAsia="en-GB"/>
        </w:rPr>
        <w:t xml:space="preserve"> 4, 43% of </w:t>
      </w:r>
      <w:r w:rsidRPr="001775D9">
        <w:rPr>
          <w:rFonts w:eastAsia="Times New Roman"/>
          <w:color w:val="000000"/>
          <w:szCs w:val="22"/>
        </w:rPr>
        <w:t>adalimumab</w:t>
      </w:r>
      <w:r w:rsidRPr="001775D9">
        <w:rPr>
          <w:szCs w:val="22"/>
          <w:lang w:eastAsia="en-GB"/>
        </w:rPr>
        <w:t xml:space="preserve"> maintenance patients responded by </w:t>
      </w:r>
      <w:r w:rsidRPr="001775D9">
        <w:rPr>
          <w:szCs w:val="22"/>
        </w:rPr>
        <w:t>week</w:t>
      </w:r>
      <w:r w:rsidRPr="001775D9">
        <w:rPr>
          <w:szCs w:val="22"/>
          <w:lang w:eastAsia="en-GB"/>
        </w:rPr>
        <w:t xml:space="preserve"> 12 compared to 30% of placebo maintenance patients. These results suggest that some patients who have not responded by </w:t>
      </w:r>
      <w:r w:rsidRPr="001775D9">
        <w:rPr>
          <w:szCs w:val="22"/>
        </w:rPr>
        <w:t>week</w:t>
      </w:r>
      <w:r w:rsidRPr="001775D9">
        <w:rPr>
          <w:szCs w:val="22"/>
          <w:lang w:eastAsia="en-GB"/>
        </w:rPr>
        <w:t xml:space="preserve"> 4 benefit from continued maintenance therapy through </w:t>
      </w:r>
      <w:r w:rsidRPr="001775D9">
        <w:rPr>
          <w:szCs w:val="22"/>
        </w:rPr>
        <w:t>week</w:t>
      </w:r>
      <w:r w:rsidRPr="001775D9">
        <w:rPr>
          <w:szCs w:val="22"/>
          <w:lang w:eastAsia="en-GB"/>
        </w:rPr>
        <w:t xml:space="preserve"> 12. Therapy continued beyond 12 </w:t>
      </w:r>
      <w:r w:rsidRPr="001775D9">
        <w:rPr>
          <w:szCs w:val="22"/>
        </w:rPr>
        <w:t>week</w:t>
      </w:r>
      <w:r w:rsidRPr="001775D9">
        <w:rPr>
          <w:szCs w:val="22"/>
          <w:lang w:eastAsia="en-GB"/>
        </w:rPr>
        <w:t xml:space="preserve">s did not result in significantly more responses (see section 4.2). </w:t>
      </w:r>
    </w:p>
    <w:p w14:paraId="62CD938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3A08BE4"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lang w:eastAsia="en-GB"/>
        </w:rPr>
        <w:t xml:space="preserve">117/276 patients from CD study I and 272/777 patients from CD studies II and III were followed through at least 3 years of open-label </w:t>
      </w:r>
      <w:r w:rsidRPr="001775D9">
        <w:rPr>
          <w:rFonts w:eastAsia="Times New Roman"/>
          <w:color w:val="000000"/>
          <w:szCs w:val="22"/>
        </w:rPr>
        <w:t>adalimumab</w:t>
      </w:r>
      <w:r w:rsidRPr="001775D9">
        <w:rPr>
          <w:szCs w:val="22"/>
          <w:lang w:eastAsia="en-GB"/>
        </w:rPr>
        <w:t xml:space="preserve"> therapy. 88 and 189 patients, respectively, continued to be in clinical remission. Clinical response (CR-100) was maintained in 102 and 233 patients, respectively.</w:t>
      </w:r>
    </w:p>
    <w:p w14:paraId="41235D01"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04B3CB87" w14:textId="77777777" w:rsidR="001778AA" w:rsidRPr="001775D9" w:rsidRDefault="001778AA" w:rsidP="001778AA">
      <w:pPr>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Quality of life </w:t>
      </w:r>
    </w:p>
    <w:p w14:paraId="0093BD8F"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EDBBD50"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lang w:eastAsia="en-GB"/>
        </w:rPr>
        <w:t xml:space="preserve">In CD study I and CD study II, statistically significant improvement in the disease-specific inflammatory bowel disease questionnaire (IBDQ) total score was achieved at </w:t>
      </w:r>
      <w:r w:rsidRPr="001775D9">
        <w:rPr>
          <w:szCs w:val="22"/>
        </w:rPr>
        <w:t>week</w:t>
      </w:r>
      <w:r w:rsidRPr="001775D9">
        <w:rPr>
          <w:szCs w:val="22"/>
          <w:lang w:eastAsia="en-GB"/>
        </w:rPr>
        <w:t xml:space="preserve"> 4 in patients randomised to </w:t>
      </w:r>
      <w:r w:rsidRPr="001775D9">
        <w:rPr>
          <w:rFonts w:eastAsia="Times New Roman"/>
          <w:color w:val="000000"/>
          <w:szCs w:val="22"/>
        </w:rPr>
        <w:t>adalimumab</w:t>
      </w:r>
      <w:r w:rsidRPr="001775D9">
        <w:rPr>
          <w:szCs w:val="22"/>
          <w:lang w:eastAsia="en-GB"/>
        </w:rPr>
        <w:t xml:space="preserve"> 80/40</w:t>
      </w:r>
      <w:r w:rsidRPr="001775D9">
        <w:rPr>
          <w:szCs w:val="22"/>
        </w:rPr>
        <w:t> </w:t>
      </w:r>
      <w:r w:rsidRPr="001775D9">
        <w:rPr>
          <w:szCs w:val="22"/>
          <w:lang w:eastAsia="en-GB"/>
        </w:rPr>
        <w:t>mg and 160/80</w:t>
      </w:r>
      <w:r w:rsidRPr="001775D9">
        <w:rPr>
          <w:szCs w:val="22"/>
        </w:rPr>
        <w:t> </w:t>
      </w:r>
      <w:r w:rsidRPr="001775D9">
        <w:rPr>
          <w:szCs w:val="22"/>
          <w:lang w:eastAsia="en-GB"/>
        </w:rPr>
        <w:t xml:space="preserve">mg compared to placebo and was seen at </w:t>
      </w:r>
      <w:r w:rsidRPr="001775D9">
        <w:rPr>
          <w:szCs w:val="22"/>
        </w:rPr>
        <w:t>week</w:t>
      </w:r>
      <w:r w:rsidRPr="001775D9">
        <w:rPr>
          <w:szCs w:val="22"/>
          <w:lang w:eastAsia="en-GB"/>
        </w:rPr>
        <w:t>s 26 and 56 in CD study III as well among the adalimumab treatment groups compared to the placebo group.</w:t>
      </w:r>
    </w:p>
    <w:p w14:paraId="0EFA7FE8"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3B099E0E" w14:textId="77777777" w:rsidR="001778AA" w:rsidRPr="001775D9" w:rsidRDefault="001778AA" w:rsidP="001778AA">
      <w:pPr>
        <w:tabs>
          <w:tab w:val="clear" w:pos="567"/>
        </w:tabs>
        <w:autoSpaceDE w:val="0"/>
        <w:autoSpaceDN w:val="0"/>
        <w:adjustRightInd w:val="0"/>
        <w:spacing w:line="240" w:lineRule="auto"/>
        <w:rPr>
          <w:i/>
          <w:color w:val="000000"/>
          <w:szCs w:val="22"/>
          <w:lang w:eastAsia="en-GB"/>
        </w:rPr>
      </w:pPr>
      <w:r w:rsidRPr="001775D9">
        <w:rPr>
          <w:i/>
          <w:color w:val="000000"/>
          <w:szCs w:val="22"/>
          <w:lang w:eastAsia="en-GB"/>
        </w:rPr>
        <w:t xml:space="preserve">Ulcerative colitis </w:t>
      </w:r>
    </w:p>
    <w:p w14:paraId="7B015074"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7C787C61"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The safety and efficacy of </w:t>
      </w:r>
      <w:r w:rsidRPr="001775D9">
        <w:rPr>
          <w:szCs w:val="22"/>
          <w:lang w:eastAsia="en-GB"/>
        </w:rPr>
        <w:t xml:space="preserve">multiple doses of </w:t>
      </w:r>
      <w:r w:rsidRPr="001775D9">
        <w:rPr>
          <w:rFonts w:eastAsia="Times New Roman"/>
          <w:color w:val="000000"/>
          <w:szCs w:val="22"/>
        </w:rPr>
        <w:t>adalimumab</w:t>
      </w:r>
      <w:r w:rsidRPr="001775D9">
        <w:rPr>
          <w:szCs w:val="22"/>
          <w:lang w:eastAsia="en-GB"/>
        </w:rPr>
        <w:t xml:space="preserve"> were assessed in adult patients with moderately to severely active ulcerative colitis (Mayo score 6 to 12 with endoscopy subscore of 2 to 3) in randomised, double-blind, placebo-controlled studies. </w:t>
      </w:r>
    </w:p>
    <w:p w14:paraId="35489A6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D579943"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In study UC-I, 390 TNF-antagonist naïve patients were randomised to receive either placebo at </w:t>
      </w:r>
      <w:r w:rsidRPr="001775D9">
        <w:rPr>
          <w:color w:val="000000"/>
          <w:szCs w:val="22"/>
          <w:lang w:eastAsia="en-GB"/>
        </w:rPr>
        <w:t>week</w:t>
      </w:r>
      <w:r w:rsidRPr="001775D9">
        <w:rPr>
          <w:szCs w:val="22"/>
          <w:lang w:eastAsia="en-GB"/>
        </w:rPr>
        <w:t>s 0 and 2, 160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at </w:t>
      </w:r>
      <w:r w:rsidRPr="001775D9">
        <w:rPr>
          <w:color w:val="000000"/>
          <w:szCs w:val="22"/>
          <w:lang w:eastAsia="en-GB"/>
        </w:rPr>
        <w:t>week</w:t>
      </w:r>
      <w:r w:rsidRPr="001775D9">
        <w:rPr>
          <w:szCs w:val="22"/>
          <w:lang w:eastAsia="en-GB"/>
        </w:rPr>
        <w:t xml:space="preserve"> 0 followed by 80</w:t>
      </w:r>
      <w:r w:rsidRPr="001775D9">
        <w:rPr>
          <w:szCs w:val="22"/>
        </w:rPr>
        <w:t> </w:t>
      </w:r>
      <w:r w:rsidRPr="001775D9">
        <w:rPr>
          <w:szCs w:val="22"/>
          <w:lang w:eastAsia="en-GB"/>
        </w:rPr>
        <w:t xml:space="preserve">mg at </w:t>
      </w:r>
      <w:r w:rsidRPr="001775D9">
        <w:rPr>
          <w:color w:val="000000"/>
          <w:szCs w:val="22"/>
          <w:lang w:eastAsia="en-GB"/>
        </w:rPr>
        <w:t>week</w:t>
      </w:r>
      <w:r w:rsidRPr="001775D9">
        <w:rPr>
          <w:szCs w:val="22"/>
          <w:lang w:eastAsia="en-GB"/>
        </w:rPr>
        <w:t xml:space="preserve"> 2, or 80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at </w:t>
      </w:r>
      <w:r w:rsidRPr="001775D9">
        <w:rPr>
          <w:color w:val="000000"/>
          <w:szCs w:val="22"/>
          <w:lang w:eastAsia="en-GB"/>
        </w:rPr>
        <w:t>week</w:t>
      </w:r>
      <w:r w:rsidRPr="001775D9">
        <w:rPr>
          <w:szCs w:val="22"/>
          <w:lang w:eastAsia="en-GB"/>
        </w:rPr>
        <w:t xml:space="preserve"> 0 followed by 40</w:t>
      </w:r>
      <w:r w:rsidRPr="001775D9">
        <w:rPr>
          <w:szCs w:val="22"/>
        </w:rPr>
        <w:t> </w:t>
      </w:r>
      <w:r w:rsidRPr="001775D9">
        <w:rPr>
          <w:szCs w:val="22"/>
          <w:lang w:eastAsia="en-GB"/>
        </w:rPr>
        <w:t xml:space="preserve">mg at </w:t>
      </w:r>
      <w:r w:rsidRPr="001775D9">
        <w:rPr>
          <w:color w:val="000000"/>
          <w:szCs w:val="22"/>
          <w:lang w:eastAsia="en-GB"/>
        </w:rPr>
        <w:t>week</w:t>
      </w:r>
      <w:r w:rsidRPr="001775D9">
        <w:rPr>
          <w:szCs w:val="22"/>
          <w:lang w:eastAsia="en-GB"/>
        </w:rPr>
        <w:t xml:space="preserve"> 2. After </w:t>
      </w:r>
      <w:r w:rsidRPr="001775D9">
        <w:rPr>
          <w:color w:val="000000"/>
          <w:szCs w:val="22"/>
          <w:lang w:eastAsia="en-GB"/>
        </w:rPr>
        <w:t>week</w:t>
      </w:r>
      <w:r w:rsidRPr="001775D9">
        <w:rPr>
          <w:szCs w:val="22"/>
          <w:lang w:eastAsia="en-GB"/>
        </w:rPr>
        <w:t xml:space="preserve"> 2, patients in both adalimumab arms received 40</w:t>
      </w:r>
      <w:r w:rsidRPr="001775D9">
        <w:rPr>
          <w:szCs w:val="22"/>
        </w:rPr>
        <w:t> </w:t>
      </w:r>
      <w:r w:rsidRPr="001775D9">
        <w:rPr>
          <w:szCs w:val="22"/>
          <w:lang w:eastAsia="en-GB"/>
        </w:rPr>
        <w:t xml:space="preserve">mg </w:t>
      </w:r>
      <w:r w:rsidRPr="001775D9">
        <w:rPr>
          <w:szCs w:val="22"/>
        </w:rPr>
        <w:t>every other week</w:t>
      </w:r>
      <w:r w:rsidRPr="001775D9">
        <w:rPr>
          <w:szCs w:val="22"/>
          <w:lang w:eastAsia="en-GB"/>
        </w:rPr>
        <w:t>. Clinical remission (defined as Mayo score ≤</w:t>
      </w:r>
      <w:r w:rsidRPr="001775D9">
        <w:rPr>
          <w:szCs w:val="22"/>
        </w:rPr>
        <w:t> </w:t>
      </w:r>
      <w:r w:rsidRPr="001775D9">
        <w:rPr>
          <w:szCs w:val="22"/>
          <w:lang w:eastAsia="en-GB"/>
        </w:rPr>
        <w:t>2 with no subscore &gt;</w:t>
      </w:r>
      <w:r w:rsidRPr="001775D9">
        <w:rPr>
          <w:szCs w:val="22"/>
        </w:rPr>
        <w:t> </w:t>
      </w:r>
      <w:r w:rsidRPr="001775D9">
        <w:rPr>
          <w:szCs w:val="22"/>
          <w:lang w:eastAsia="en-GB"/>
        </w:rPr>
        <w:t xml:space="preserve">1) was assessed at </w:t>
      </w:r>
      <w:r w:rsidRPr="001775D9">
        <w:rPr>
          <w:color w:val="000000"/>
          <w:szCs w:val="22"/>
          <w:lang w:eastAsia="en-GB"/>
        </w:rPr>
        <w:t>week</w:t>
      </w:r>
      <w:r w:rsidRPr="001775D9">
        <w:rPr>
          <w:szCs w:val="22"/>
          <w:lang w:eastAsia="en-GB"/>
        </w:rPr>
        <w:t xml:space="preserve"> 8. </w:t>
      </w:r>
    </w:p>
    <w:p w14:paraId="649F7C4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56E861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study UC-II, 248 patients received 160</w:t>
      </w:r>
      <w:r w:rsidRPr="001775D9">
        <w:rPr>
          <w:szCs w:val="22"/>
        </w:rPr>
        <w:t> </w:t>
      </w:r>
      <w:r w:rsidRPr="001775D9">
        <w:rPr>
          <w:szCs w:val="22"/>
          <w:lang w:eastAsia="en-GB"/>
        </w:rPr>
        <w:t xml:space="preserve">mg of </w:t>
      </w:r>
      <w:r w:rsidRPr="001775D9">
        <w:rPr>
          <w:rFonts w:eastAsia="Times New Roman"/>
          <w:color w:val="000000"/>
          <w:szCs w:val="22"/>
        </w:rPr>
        <w:t>adalimumab</w:t>
      </w:r>
      <w:r w:rsidRPr="001775D9">
        <w:rPr>
          <w:szCs w:val="22"/>
          <w:lang w:eastAsia="en-GB"/>
        </w:rPr>
        <w:t xml:space="preserve"> at </w:t>
      </w:r>
      <w:r w:rsidRPr="001775D9">
        <w:rPr>
          <w:color w:val="000000"/>
          <w:szCs w:val="22"/>
          <w:lang w:eastAsia="en-GB"/>
        </w:rPr>
        <w:t>week</w:t>
      </w:r>
      <w:r w:rsidRPr="001775D9">
        <w:rPr>
          <w:szCs w:val="22"/>
          <w:lang w:eastAsia="en-GB"/>
        </w:rPr>
        <w:t xml:space="preserve"> 0, 80</w:t>
      </w:r>
      <w:r w:rsidRPr="001775D9">
        <w:rPr>
          <w:szCs w:val="22"/>
        </w:rPr>
        <w:t> </w:t>
      </w:r>
      <w:r w:rsidRPr="001775D9">
        <w:rPr>
          <w:szCs w:val="22"/>
          <w:lang w:eastAsia="en-GB"/>
        </w:rPr>
        <w:t xml:space="preserve">mg at </w:t>
      </w:r>
      <w:r w:rsidRPr="001775D9">
        <w:rPr>
          <w:color w:val="000000"/>
          <w:szCs w:val="22"/>
          <w:lang w:eastAsia="en-GB"/>
        </w:rPr>
        <w:t>week</w:t>
      </w:r>
      <w:r w:rsidRPr="001775D9">
        <w:rPr>
          <w:szCs w:val="22"/>
          <w:lang w:eastAsia="en-GB"/>
        </w:rPr>
        <w:t xml:space="preserve"> 2 and 40</w:t>
      </w:r>
      <w:r w:rsidRPr="001775D9">
        <w:rPr>
          <w:szCs w:val="22"/>
        </w:rPr>
        <w:t> </w:t>
      </w:r>
      <w:r w:rsidRPr="001775D9">
        <w:rPr>
          <w:szCs w:val="22"/>
          <w:lang w:eastAsia="en-GB"/>
        </w:rPr>
        <w:t xml:space="preserve">mg </w:t>
      </w:r>
      <w:r w:rsidRPr="001775D9">
        <w:rPr>
          <w:szCs w:val="22"/>
        </w:rPr>
        <w:t>every other week</w:t>
      </w:r>
      <w:r w:rsidRPr="001775D9">
        <w:rPr>
          <w:szCs w:val="22"/>
          <w:lang w:eastAsia="en-GB"/>
        </w:rPr>
        <w:t xml:space="preserve"> thereafter, and 246 patients received placebo. Clinical results were assessed for induction of remission at </w:t>
      </w:r>
      <w:r w:rsidRPr="001775D9">
        <w:rPr>
          <w:color w:val="000000"/>
          <w:szCs w:val="22"/>
          <w:lang w:eastAsia="en-GB"/>
        </w:rPr>
        <w:t>week</w:t>
      </w:r>
      <w:r w:rsidRPr="001775D9">
        <w:rPr>
          <w:szCs w:val="22"/>
          <w:lang w:eastAsia="en-GB"/>
        </w:rPr>
        <w:t xml:space="preserve"> 8 and for maintenance of remission at </w:t>
      </w:r>
      <w:r w:rsidRPr="001775D9">
        <w:rPr>
          <w:color w:val="000000"/>
          <w:szCs w:val="22"/>
          <w:lang w:eastAsia="en-GB"/>
        </w:rPr>
        <w:t>week</w:t>
      </w:r>
      <w:r w:rsidRPr="001775D9">
        <w:rPr>
          <w:szCs w:val="22"/>
          <w:lang w:eastAsia="en-GB"/>
        </w:rPr>
        <w:t xml:space="preserve"> 52. </w:t>
      </w:r>
    </w:p>
    <w:p w14:paraId="0C1A9D8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41961CF"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Patients induced with 160/80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achieved clinical remission versus placebo at </w:t>
      </w:r>
      <w:r w:rsidRPr="001775D9">
        <w:rPr>
          <w:color w:val="000000"/>
          <w:szCs w:val="22"/>
          <w:lang w:eastAsia="en-GB"/>
        </w:rPr>
        <w:t>week</w:t>
      </w:r>
      <w:r w:rsidRPr="001775D9">
        <w:rPr>
          <w:szCs w:val="22"/>
          <w:lang w:eastAsia="en-GB"/>
        </w:rPr>
        <w:t xml:space="preserve"> 8 in statistically significantly greater percentages in study UC-I (18% versus 9% respectively, p</w:t>
      </w:r>
      <w:r w:rsidRPr="001775D9">
        <w:rPr>
          <w:szCs w:val="22"/>
        </w:rPr>
        <w:t> </w:t>
      </w:r>
      <w:r w:rsidRPr="001775D9">
        <w:rPr>
          <w:szCs w:val="22"/>
          <w:lang w:eastAsia="en-GB"/>
        </w:rPr>
        <w:t>=</w:t>
      </w:r>
      <w:r w:rsidRPr="001775D9">
        <w:rPr>
          <w:szCs w:val="22"/>
        </w:rPr>
        <w:t> </w:t>
      </w:r>
      <w:r w:rsidRPr="001775D9">
        <w:rPr>
          <w:szCs w:val="22"/>
          <w:lang w:eastAsia="en-GB"/>
        </w:rPr>
        <w:t>0.031) and study UC-II (17% versus 9% respectively, p</w:t>
      </w:r>
      <w:r w:rsidRPr="001775D9">
        <w:rPr>
          <w:szCs w:val="22"/>
        </w:rPr>
        <w:t> </w:t>
      </w:r>
      <w:r w:rsidRPr="001775D9">
        <w:rPr>
          <w:szCs w:val="22"/>
          <w:lang w:eastAsia="en-GB"/>
        </w:rPr>
        <w:t>=</w:t>
      </w:r>
      <w:r w:rsidRPr="001775D9">
        <w:rPr>
          <w:szCs w:val="22"/>
        </w:rPr>
        <w:t> </w:t>
      </w:r>
      <w:r w:rsidRPr="001775D9">
        <w:rPr>
          <w:szCs w:val="22"/>
          <w:lang w:eastAsia="en-GB"/>
        </w:rPr>
        <w:t xml:space="preserve">0.019). In study UC-II, among those treated with </w:t>
      </w:r>
      <w:r w:rsidRPr="001775D9">
        <w:rPr>
          <w:rFonts w:eastAsia="Times New Roman"/>
          <w:color w:val="000000"/>
          <w:szCs w:val="22"/>
        </w:rPr>
        <w:t>adalimumab</w:t>
      </w:r>
      <w:r w:rsidRPr="001775D9">
        <w:rPr>
          <w:szCs w:val="22"/>
          <w:lang w:eastAsia="en-GB"/>
        </w:rPr>
        <w:t xml:space="preserve"> who were in remission at </w:t>
      </w:r>
      <w:r w:rsidRPr="001775D9">
        <w:rPr>
          <w:color w:val="000000"/>
          <w:szCs w:val="22"/>
          <w:lang w:eastAsia="en-GB"/>
        </w:rPr>
        <w:t>week</w:t>
      </w:r>
      <w:r w:rsidRPr="001775D9">
        <w:rPr>
          <w:szCs w:val="22"/>
          <w:lang w:eastAsia="en-GB"/>
        </w:rPr>
        <w:t xml:space="preserve"> 8, 21/41 (51%) were in remission at </w:t>
      </w:r>
      <w:r w:rsidRPr="001775D9">
        <w:rPr>
          <w:color w:val="000000"/>
          <w:szCs w:val="22"/>
          <w:lang w:eastAsia="en-GB"/>
        </w:rPr>
        <w:t>week</w:t>
      </w:r>
      <w:r w:rsidRPr="001775D9">
        <w:rPr>
          <w:szCs w:val="22"/>
          <w:lang w:eastAsia="en-GB"/>
        </w:rPr>
        <w:t xml:space="preserve"> 52. </w:t>
      </w:r>
    </w:p>
    <w:p w14:paraId="0CCA3D63" w14:textId="77777777" w:rsidR="001778AA" w:rsidRPr="001775D9" w:rsidRDefault="001778AA" w:rsidP="001778AA">
      <w:pPr>
        <w:spacing w:line="240" w:lineRule="auto"/>
        <w:rPr>
          <w:szCs w:val="22"/>
          <w:lang w:eastAsia="en-GB"/>
        </w:rPr>
      </w:pPr>
    </w:p>
    <w:p w14:paraId="45A1A3C1" w14:textId="77777777" w:rsidR="001778AA" w:rsidRPr="001775D9" w:rsidRDefault="001778AA" w:rsidP="001778AA">
      <w:pPr>
        <w:spacing w:line="240" w:lineRule="auto"/>
        <w:rPr>
          <w:szCs w:val="22"/>
        </w:rPr>
      </w:pPr>
      <w:r w:rsidRPr="001775D9">
        <w:rPr>
          <w:szCs w:val="22"/>
          <w:lang w:eastAsia="en-GB"/>
        </w:rPr>
        <w:t>Results from the overall UC-II study population are shown in table 23.</w:t>
      </w:r>
    </w:p>
    <w:p w14:paraId="65140412" w14:textId="77777777" w:rsidR="001778AA" w:rsidRPr="001775D9" w:rsidRDefault="001778AA" w:rsidP="001778AA">
      <w:pPr>
        <w:spacing w:line="240" w:lineRule="auto"/>
        <w:rPr>
          <w:szCs w:val="22"/>
        </w:rPr>
      </w:pPr>
    </w:p>
    <w:p w14:paraId="4BED0207" w14:textId="77777777" w:rsidR="001778AA" w:rsidRPr="001775D9" w:rsidRDefault="001778AA" w:rsidP="001778AA">
      <w:pPr>
        <w:keepNext/>
        <w:keepLines/>
        <w:tabs>
          <w:tab w:val="clear" w:pos="567"/>
        </w:tabs>
        <w:autoSpaceDE w:val="0"/>
        <w:autoSpaceDN w:val="0"/>
        <w:adjustRightInd w:val="0"/>
        <w:spacing w:line="240" w:lineRule="auto"/>
        <w:rPr>
          <w:szCs w:val="22"/>
        </w:rPr>
      </w:pPr>
      <w:r w:rsidRPr="001775D9">
        <w:rPr>
          <w:b/>
          <w:bCs/>
          <w:szCs w:val="22"/>
          <w:lang w:eastAsia="en-GB"/>
        </w:rPr>
        <w:t>Table 23. Response, remission and mucosal healing in study UC-II (percent of patients)</w:t>
      </w:r>
    </w:p>
    <w:p w14:paraId="5E739810" w14:textId="77777777" w:rsidR="001778AA" w:rsidRPr="001775D9" w:rsidRDefault="001778AA" w:rsidP="001778AA">
      <w:pPr>
        <w:keepNext/>
        <w:keepLines/>
        <w:spacing w:line="240" w:lineRule="auto"/>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2693"/>
        <w:gridCol w:w="2551"/>
      </w:tblGrid>
      <w:tr w:rsidR="001778AA" w:rsidRPr="00F04F82" w14:paraId="3874651E" w14:textId="77777777" w:rsidTr="00D47253">
        <w:trPr>
          <w:trHeight w:val="269"/>
        </w:trPr>
        <w:tc>
          <w:tcPr>
            <w:tcW w:w="3828" w:type="dxa"/>
          </w:tcPr>
          <w:p w14:paraId="139D8FA2"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p>
        </w:tc>
        <w:tc>
          <w:tcPr>
            <w:tcW w:w="2693" w:type="dxa"/>
          </w:tcPr>
          <w:p w14:paraId="1E9BE9F5"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Placebo</w:t>
            </w:r>
          </w:p>
        </w:tc>
        <w:tc>
          <w:tcPr>
            <w:tcW w:w="2551" w:type="dxa"/>
          </w:tcPr>
          <w:p w14:paraId="5E6B2701"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rFonts w:eastAsia="Times New Roman"/>
                <w:b/>
                <w:color w:val="000000"/>
                <w:szCs w:val="22"/>
              </w:rPr>
              <w:t>Adalimumab</w:t>
            </w:r>
            <w:r w:rsidRPr="001775D9">
              <w:rPr>
                <w:b/>
                <w:bCs/>
                <w:szCs w:val="22"/>
                <w:lang w:eastAsia="en-GB"/>
              </w:rPr>
              <w:t xml:space="preserve"> 40</w:t>
            </w:r>
            <w:r w:rsidRPr="001775D9">
              <w:rPr>
                <w:szCs w:val="22"/>
              </w:rPr>
              <w:t> </w:t>
            </w:r>
            <w:r w:rsidRPr="001775D9">
              <w:rPr>
                <w:b/>
                <w:bCs/>
                <w:szCs w:val="22"/>
                <w:lang w:eastAsia="en-GB"/>
              </w:rPr>
              <w:t>mg</w:t>
            </w:r>
          </w:p>
          <w:p w14:paraId="4FC44ABF"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t xml:space="preserve"> </w:t>
            </w:r>
            <w:r w:rsidRPr="001775D9">
              <w:rPr>
                <w:b/>
                <w:bCs/>
                <w:szCs w:val="22"/>
                <w:lang w:eastAsia="en-GB"/>
              </w:rPr>
              <w:t>every other week</w:t>
            </w:r>
          </w:p>
        </w:tc>
      </w:tr>
      <w:tr w:rsidR="001778AA" w:rsidRPr="00F04F82" w14:paraId="67362BC1" w14:textId="77777777" w:rsidTr="00D47253">
        <w:trPr>
          <w:trHeight w:val="149"/>
        </w:trPr>
        <w:tc>
          <w:tcPr>
            <w:tcW w:w="3828" w:type="dxa"/>
          </w:tcPr>
          <w:p w14:paraId="645800AB"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Week 52</w:t>
            </w:r>
          </w:p>
        </w:tc>
        <w:tc>
          <w:tcPr>
            <w:tcW w:w="2693" w:type="dxa"/>
          </w:tcPr>
          <w:p w14:paraId="1F1E98FC"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b/>
                <w:bCs/>
                <w:szCs w:val="22"/>
                <w:lang w:eastAsia="en-GB"/>
              </w:rPr>
              <w:t>N</w:t>
            </w:r>
            <w:r w:rsidRPr="001775D9">
              <w:rPr>
                <w:szCs w:val="22"/>
              </w:rPr>
              <w:t> </w:t>
            </w:r>
            <w:r w:rsidRPr="001775D9">
              <w:rPr>
                <w:b/>
                <w:bCs/>
                <w:szCs w:val="22"/>
                <w:lang w:eastAsia="en-GB"/>
              </w:rPr>
              <w:t>=</w:t>
            </w:r>
            <w:r w:rsidRPr="001775D9">
              <w:rPr>
                <w:szCs w:val="22"/>
              </w:rPr>
              <w:t> </w:t>
            </w:r>
            <w:r w:rsidRPr="001775D9">
              <w:rPr>
                <w:b/>
                <w:bCs/>
                <w:szCs w:val="22"/>
                <w:lang w:eastAsia="en-GB"/>
              </w:rPr>
              <w:t>246</w:t>
            </w:r>
          </w:p>
        </w:tc>
        <w:tc>
          <w:tcPr>
            <w:tcW w:w="2551" w:type="dxa"/>
          </w:tcPr>
          <w:p w14:paraId="73DFAE7F" w14:textId="77777777" w:rsidR="001778AA" w:rsidRPr="00D55B59" w:rsidRDefault="001778AA" w:rsidP="00D47253">
            <w:pPr>
              <w:pStyle w:val="Default"/>
              <w:keepNext/>
              <w:keepLines/>
              <w:jc w:val="center"/>
              <w:rPr>
                <w:color w:val="auto"/>
                <w:sz w:val="22"/>
                <w:szCs w:val="22"/>
                <w:lang w:val="en-GB"/>
                <w:rPrChange w:id="1877" w:author="Author">
                  <w:rPr>
                    <w:color w:val="auto"/>
                    <w:sz w:val="22"/>
                    <w:szCs w:val="22"/>
                  </w:rPr>
                </w:rPrChange>
              </w:rPr>
            </w:pPr>
            <w:r w:rsidRPr="00D55B59">
              <w:rPr>
                <w:b/>
                <w:bCs/>
                <w:color w:val="auto"/>
                <w:sz w:val="22"/>
                <w:szCs w:val="22"/>
                <w:lang w:val="en-GB"/>
                <w:rPrChange w:id="1878" w:author="Author">
                  <w:rPr>
                    <w:b/>
                    <w:bCs/>
                    <w:color w:val="auto"/>
                    <w:sz w:val="22"/>
                    <w:szCs w:val="22"/>
                  </w:rPr>
                </w:rPrChange>
              </w:rPr>
              <w:t>N = 248</w:t>
            </w:r>
          </w:p>
        </w:tc>
      </w:tr>
      <w:tr w:rsidR="001778AA" w:rsidRPr="00F04F82" w14:paraId="6C8DE16A" w14:textId="77777777" w:rsidTr="00D47253">
        <w:trPr>
          <w:trHeight w:val="147"/>
        </w:trPr>
        <w:tc>
          <w:tcPr>
            <w:tcW w:w="3828" w:type="dxa"/>
          </w:tcPr>
          <w:p w14:paraId="2439816D"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Clinical response </w:t>
            </w:r>
          </w:p>
        </w:tc>
        <w:tc>
          <w:tcPr>
            <w:tcW w:w="2693" w:type="dxa"/>
          </w:tcPr>
          <w:p w14:paraId="4D27052B"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18%</w:t>
            </w:r>
          </w:p>
        </w:tc>
        <w:tc>
          <w:tcPr>
            <w:tcW w:w="2551" w:type="dxa"/>
          </w:tcPr>
          <w:p w14:paraId="6CFE22E7"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30%*</w:t>
            </w:r>
          </w:p>
        </w:tc>
      </w:tr>
      <w:tr w:rsidR="001778AA" w:rsidRPr="00F04F82" w14:paraId="7057DA17" w14:textId="77777777" w:rsidTr="00D47253">
        <w:trPr>
          <w:trHeight w:val="147"/>
        </w:trPr>
        <w:tc>
          <w:tcPr>
            <w:tcW w:w="3828" w:type="dxa"/>
          </w:tcPr>
          <w:p w14:paraId="1A0D961F"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Clinical remission </w:t>
            </w:r>
          </w:p>
        </w:tc>
        <w:tc>
          <w:tcPr>
            <w:tcW w:w="2693" w:type="dxa"/>
          </w:tcPr>
          <w:p w14:paraId="1644EB6C"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9%</w:t>
            </w:r>
          </w:p>
        </w:tc>
        <w:tc>
          <w:tcPr>
            <w:tcW w:w="2551" w:type="dxa"/>
          </w:tcPr>
          <w:p w14:paraId="6D083EA3"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17%*</w:t>
            </w:r>
          </w:p>
        </w:tc>
      </w:tr>
      <w:tr w:rsidR="001778AA" w:rsidRPr="00F04F82" w14:paraId="172B554D" w14:textId="77777777" w:rsidTr="00D47253">
        <w:trPr>
          <w:trHeight w:val="267"/>
        </w:trPr>
        <w:tc>
          <w:tcPr>
            <w:tcW w:w="3828" w:type="dxa"/>
          </w:tcPr>
          <w:p w14:paraId="75568D54"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Mucosal healing </w:t>
            </w:r>
          </w:p>
        </w:tc>
        <w:tc>
          <w:tcPr>
            <w:tcW w:w="2693" w:type="dxa"/>
          </w:tcPr>
          <w:p w14:paraId="1478BBCA"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15%</w:t>
            </w:r>
          </w:p>
        </w:tc>
        <w:tc>
          <w:tcPr>
            <w:tcW w:w="2551" w:type="dxa"/>
          </w:tcPr>
          <w:p w14:paraId="76C8F9FD"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25%*</w:t>
            </w:r>
          </w:p>
        </w:tc>
      </w:tr>
      <w:tr w:rsidR="001778AA" w:rsidRPr="00F04F82" w14:paraId="3D622E40" w14:textId="77777777" w:rsidTr="00D47253">
        <w:trPr>
          <w:trHeight w:val="149"/>
        </w:trPr>
        <w:tc>
          <w:tcPr>
            <w:tcW w:w="3828" w:type="dxa"/>
          </w:tcPr>
          <w:p w14:paraId="74741E25"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Steroid-free remission for ≥</w:t>
            </w:r>
            <w:r w:rsidRPr="001775D9">
              <w:rPr>
                <w:szCs w:val="22"/>
              </w:rPr>
              <w:t> </w:t>
            </w:r>
            <w:r w:rsidRPr="001775D9">
              <w:rPr>
                <w:szCs w:val="22"/>
                <w:lang w:eastAsia="en-GB"/>
              </w:rPr>
              <w:t>90 days</w:t>
            </w:r>
            <w:r w:rsidRPr="001775D9">
              <w:rPr>
                <w:szCs w:val="22"/>
                <w:vertAlign w:val="superscript"/>
                <w:lang w:eastAsia="en-GB"/>
              </w:rPr>
              <w:t>a</w:t>
            </w:r>
            <w:r w:rsidRPr="001775D9">
              <w:rPr>
                <w:szCs w:val="22"/>
                <w:lang w:eastAsia="en-GB"/>
              </w:rPr>
              <w:t xml:space="preserve"> </w:t>
            </w:r>
          </w:p>
        </w:tc>
        <w:tc>
          <w:tcPr>
            <w:tcW w:w="2693" w:type="dxa"/>
          </w:tcPr>
          <w:p w14:paraId="25B573F8"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6%</w:t>
            </w:r>
          </w:p>
          <w:p w14:paraId="3D2EB4C1"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140)</w:t>
            </w:r>
          </w:p>
        </w:tc>
        <w:tc>
          <w:tcPr>
            <w:tcW w:w="2551" w:type="dxa"/>
          </w:tcPr>
          <w:p w14:paraId="43D92AC7"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13%*</w:t>
            </w:r>
          </w:p>
          <w:p w14:paraId="7D4AE5E3"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150)</w:t>
            </w:r>
          </w:p>
        </w:tc>
      </w:tr>
      <w:tr w:rsidR="001778AA" w:rsidRPr="00F04F82" w14:paraId="43CC6284" w14:textId="77777777" w:rsidTr="00D47253">
        <w:trPr>
          <w:trHeight w:val="147"/>
        </w:trPr>
        <w:tc>
          <w:tcPr>
            <w:tcW w:w="3828" w:type="dxa"/>
          </w:tcPr>
          <w:p w14:paraId="7A951F98"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Week 8 and 52 </w:t>
            </w:r>
          </w:p>
        </w:tc>
        <w:tc>
          <w:tcPr>
            <w:tcW w:w="2693" w:type="dxa"/>
          </w:tcPr>
          <w:p w14:paraId="45E9FBF6"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p>
        </w:tc>
        <w:tc>
          <w:tcPr>
            <w:tcW w:w="2551" w:type="dxa"/>
          </w:tcPr>
          <w:p w14:paraId="3C73DC04"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p>
        </w:tc>
      </w:tr>
      <w:tr w:rsidR="001778AA" w:rsidRPr="00F04F82" w14:paraId="686974CB" w14:textId="77777777" w:rsidTr="00D47253">
        <w:trPr>
          <w:trHeight w:val="147"/>
        </w:trPr>
        <w:tc>
          <w:tcPr>
            <w:tcW w:w="3828" w:type="dxa"/>
          </w:tcPr>
          <w:p w14:paraId="12EC2C5C"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Sustained response </w:t>
            </w:r>
          </w:p>
        </w:tc>
        <w:tc>
          <w:tcPr>
            <w:tcW w:w="2693" w:type="dxa"/>
          </w:tcPr>
          <w:p w14:paraId="096E8710"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12%</w:t>
            </w:r>
          </w:p>
        </w:tc>
        <w:tc>
          <w:tcPr>
            <w:tcW w:w="2551" w:type="dxa"/>
          </w:tcPr>
          <w:p w14:paraId="704028C8"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24%**</w:t>
            </w:r>
          </w:p>
        </w:tc>
      </w:tr>
      <w:tr w:rsidR="001778AA" w:rsidRPr="00F04F82" w14:paraId="5640344E" w14:textId="77777777" w:rsidTr="00D47253">
        <w:trPr>
          <w:trHeight w:val="147"/>
        </w:trPr>
        <w:tc>
          <w:tcPr>
            <w:tcW w:w="3828" w:type="dxa"/>
          </w:tcPr>
          <w:p w14:paraId="30B27E91"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Sustained remission </w:t>
            </w:r>
          </w:p>
        </w:tc>
        <w:tc>
          <w:tcPr>
            <w:tcW w:w="2693" w:type="dxa"/>
          </w:tcPr>
          <w:p w14:paraId="4AAE4CF4"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4%</w:t>
            </w:r>
          </w:p>
        </w:tc>
        <w:tc>
          <w:tcPr>
            <w:tcW w:w="2551" w:type="dxa"/>
          </w:tcPr>
          <w:p w14:paraId="1BCB0309"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8%*</w:t>
            </w:r>
          </w:p>
        </w:tc>
      </w:tr>
      <w:tr w:rsidR="001778AA" w:rsidRPr="00F04F82" w14:paraId="515302EC" w14:textId="77777777" w:rsidTr="00D47253">
        <w:trPr>
          <w:trHeight w:val="267"/>
        </w:trPr>
        <w:tc>
          <w:tcPr>
            <w:tcW w:w="3828" w:type="dxa"/>
          </w:tcPr>
          <w:p w14:paraId="78236B79"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Sustained mucosal healing </w:t>
            </w:r>
          </w:p>
        </w:tc>
        <w:tc>
          <w:tcPr>
            <w:tcW w:w="2693" w:type="dxa"/>
          </w:tcPr>
          <w:p w14:paraId="01DF0AAE"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11%</w:t>
            </w:r>
          </w:p>
        </w:tc>
        <w:tc>
          <w:tcPr>
            <w:tcW w:w="2551" w:type="dxa"/>
          </w:tcPr>
          <w:p w14:paraId="64A9634A"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19%*</w:t>
            </w:r>
          </w:p>
        </w:tc>
      </w:tr>
    </w:tbl>
    <w:p w14:paraId="78A3FDEF"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lang w:eastAsia="en-GB"/>
        </w:rPr>
        <w:t>Clinical remission is Mayo score ≤</w:t>
      </w:r>
      <w:r w:rsidRPr="001775D9">
        <w:rPr>
          <w:sz w:val="20"/>
        </w:rPr>
        <w:t> </w:t>
      </w:r>
      <w:r w:rsidRPr="001775D9">
        <w:rPr>
          <w:sz w:val="20"/>
          <w:lang w:eastAsia="en-GB"/>
        </w:rPr>
        <w:t>2 with no subscore &gt;</w:t>
      </w:r>
      <w:r w:rsidRPr="001775D9">
        <w:rPr>
          <w:sz w:val="20"/>
        </w:rPr>
        <w:t> </w:t>
      </w:r>
      <w:r w:rsidRPr="001775D9">
        <w:rPr>
          <w:sz w:val="20"/>
          <w:lang w:eastAsia="en-GB"/>
        </w:rPr>
        <w:t xml:space="preserve">1; </w:t>
      </w:r>
    </w:p>
    <w:p w14:paraId="4651B0BC"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lang w:eastAsia="en-GB"/>
        </w:rPr>
        <w:t>Clinical response is decrease from baseline in Mayo score ≥</w:t>
      </w:r>
      <w:r w:rsidRPr="001775D9">
        <w:rPr>
          <w:sz w:val="20"/>
        </w:rPr>
        <w:t> </w:t>
      </w:r>
      <w:r w:rsidRPr="001775D9">
        <w:rPr>
          <w:sz w:val="20"/>
          <w:lang w:eastAsia="en-GB"/>
        </w:rPr>
        <w:t>3 points and ≥</w:t>
      </w:r>
      <w:r w:rsidRPr="001775D9">
        <w:rPr>
          <w:sz w:val="20"/>
        </w:rPr>
        <w:t> </w:t>
      </w:r>
      <w:r w:rsidRPr="001775D9">
        <w:rPr>
          <w:sz w:val="20"/>
          <w:lang w:eastAsia="en-GB"/>
        </w:rPr>
        <w:t>30% plus a decrease in the rectal bleeding subscore [RBS] ≥</w:t>
      </w:r>
      <w:r w:rsidRPr="001775D9">
        <w:rPr>
          <w:sz w:val="20"/>
        </w:rPr>
        <w:t> </w:t>
      </w:r>
      <w:r w:rsidRPr="001775D9">
        <w:rPr>
          <w:sz w:val="20"/>
          <w:lang w:eastAsia="en-GB"/>
        </w:rPr>
        <w:t xml:space="preserve">1 or an absolute RBS of 0 or 1; </w:t>
      </w:r>
    </w:p>
    <w:p w14:paraId="46F60053"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lang w:eastAsia="en-GB"/>
        </w:rPr>
        <w:t>* p</w:t>
      </w:r>
      <w:r w:rsidRPr="001775D9">
        <w:rPr>
          <w:sz w:val="20"/>
        </w:rPr>
        <w:t> </w:t>
      </w:r>
      <w:r w:rsidRPr="001775D9">
        <w:rPr>
          <w:sz w:val="20"/>
          <w:lang w:eastAsia="en-GB"/>
        </w:rPr>
        <w:t>&lt;</w:t>
      </w:r>
      <w:r w:rsidRPr="001775D9">
        <w:rPr>
          <w:sz w:val="20"/>
        </w:rPr>
        <w:t> </w:t>
      </w:r>
      <w:r w:rsidRPr="001775D9">
        <w:rPr>
          <w:sz w:val="20"/>
          <w:lang w:eastAsia="en-GB"/>
        </w:rPr>
        <w:t xml:space="preserve">0.05 for </w:t>
      </w:r>
      <w:r w:rsidRPr="001775D9">
        <w:rPr>
          <w:rFonts w:eastAsia="Times New Roman"/>
          <w:color w:val="000000"/>
          <w:sz w:val="20"/>
        </w:rPr>
        <w:t>adalimumab</w:t>
      </w:r>
      <w:r w:rsidRPr="001775D9">
        <w:rPr>
          <w:i/>
          <w:iCs/>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pairwise comparison of proportions </w:t>
      </w:r>
    </w:p>
    <w:p w14:paraId="66775CCC"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lang w:eastAsia="en-GB"/>
        </w:rPr>
        <w:t>** p</w:t>
      </w:r>
      <w:r w:rsidRPr="001775D9">
        <w:rPr>
          <w:sz w:val="20"/>
        </w:rPr>
        <w:t> </w:t>
      </w:r>
      <w:r w:rsidRPr="001775D9">
        <w:rPr>
          <w:sz w:val="20"/>
          <w:lang w:eastAsia="en-GB"/>
        </w:rPr>
        <w:t>&lt;</w:t>
      </w:r>
      <w:r w:rsidRPr="001775D9">
        <w:rPr>
          <w:sz w:val="20"/>
        </w:rPr>
        <w:t> </w:t>
      </w:r>
      <w:r w:rsidRPr="001775D9">
        <w:rPr>
          <w:sz w:val="20"/>
          <w:lang w:eastAsia="en-GB"/>
        </w:rPr>
        <w:t xml:space="preserve">0.001 for </w:t>
      </w:r>
      <w:r w:rsidRPr="001775D9">
        <w:rPr>
          <w:rFonts w:eastAsia="Times New Roman"/>
          <w:color w:val="000000"/>
          <w:sz w:val="20"/>
        </w:rPr>
        <w:t>adalimumab</w:t>
      </w:r>
      <w:r w:rsidRPr="001775D9">
        <w:rPr>
          <w:sz w:val="20"/>
          <w:lang w:eastAsia="en-GB"/>
        </w:rPr>
        <w:t xml:space="preserve"> </w:t>
      </w:r>
      <w:r w:rsidRPr="001775D9">
        <w:rPr>
          <w:iCs/>
          <w:sz w:val="20"/>
          <w:lang w:eastAsia="en-GB"/>
        </w:rPr>
        <w:t>versus</w:t>
      </w:r>
      <w:r w:rsidRPr="001775D9">
        <w:rPr>
          <w:i/>
          <w:iCs/>
          <w:sz w:val="20"/>
          <w:lang w:eastAsia="en-GB"/>
        </w:rPr>
        <w:t xml:space="preserve"> </w:t>
      </w:r>
      <w:r w:rsidRPr="001775D9">
        <w:rPr>
          <w:sz w:val="20"/>
          <w:lang w:eastAsia="en-GB"/>
        </w:rPr>
        <w:t xml:space="preserve">placebo pairwise comparison of proportions </w:t>
      </w:r>
    </w:p>
    <w:p w14:paraId="0C2FE67D" w14:textId="77777777" w:rsidR="001778AA" w:rsidRPr="001775D9" w:rsidRDefault="001778AA" w:rsidP="001778AA">
      <w:pPr>
        <w:spacing w:line="240" w:lineRule="auto"/>
        <w:rPr>
          <w:sz w:val="20"/>
        </w:rPr>
      </w:pPr>
      <w:r w:rsidRPr="001775D9">
        <w:rPr>
          <w:sz w:val="20"/>
          <w:vertAlign w:val="superscript"/>
          <w:lang w:eastAsia="en-GB"/>
        </w:rPr>
        <w:t>a</w:t>
      </w:r>
      <w:r w:rsidRPr="001775D9">
        <w:rPr>
          <w:sz w:val="20"/>
          <w:lang w:eastAsia="en-GB"/>
        </w:rPr>
        <w:t xml:space="preserve"> Of those receiving corticosteroids at baseline </w:t>
      </w:r>
    </w:p>
    <w:p w14:paraId="24A9FDDD" w14:textId="77777777" w:rsidR="001778AA" w:rsidRPr="001775D9" w:rsidRDefault="001778AA" w:rsidP="001778AA">
      <w:pPr>
        <w:spacing w:line="240" w:lineRule="auto"/>
        <w:rPr>
          <w:szCs w:val="22"/>
        </w:rPr>
      </w:pPr>
    </w:p>
    <w:p w14:paraId="287CC075"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rPr>
        <w:t xml:space="preserve">Of those patients who had a response at </w:t>
      </w:r>
      <w:r w:rsidRPr="001775D9">
        <w:rPr>
          <w:color w:val="000000"/>
          <w:szCs w:val="22"/>
          <w:lang w:eastAsia="en-GB"/>
        </w:rPr>
        <w:t>week</w:t>
      </w:r>
      <w:r w:rsidRPr="001775D9">
        <w:rPr>
          <w:szCs w:val="22"/>
        </w:rPr>
        <w:t xml:space="preserve"> 8, 47% were in response, 29% were in remission, </w:t>
      </w:r>
      <w:r w:rsidRPr="001775D9">
        <w:rPr>
          <w:color w:val="000000"/>
          <w:szCs w:val="22"/>
          <w:lang w:eastAsia="en-GB"/>
        </w:rPr>
        <w:t>41% had mucosal healing, and 20% were in steroid-free remission for ≥</w:t>
      </w:r>
      <w:r w:rsidRPr="001775D9">
        <w:rPr>
          <w:szCs w:val="22"/>
        </w:rPr>
        <w:t> </w:t>
      </w:r>
      <w:r w:rsidRPr="001775D9">
        <w:rPr>
          <w:color w:val="000000"/>
          <w:szCs w:val="22"/>
          <w:lang w:eastAsia="en-GB"/>
        </w:rPr>
        <w:t xml:space="preserve">90 days at week 52. </w:t>
      </w:r>
    </w:p>
    <w:p w14:paraId="54F012AF"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190996AC"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Approximately 40% of patients in study UC-II had failed prior anti-TNF treatment with infliximab. The efficacy of adalimumab in those patients was reduced compared to that in anti-TNF naïve patients. Among patients who had failed prior anti-TNF treatment, week 52 remission was achieved by 3% on placebo and 10% on adalimumab. </w:t>
      </w:r>
    </w:p>
    <w:p w14:paraId="1FE608D2" w14:textId="77777777" w:rsidR="001778AA" w:rsidRPr="001775D9" w:rsidRDefault="001778AA" w:rsidP="001778AA">
      <w:pPr>
        <w:spacing w:line="240" w:lineRule="auto"/>
        <w:rPr>
          <w:color w:val="000000"/>
          <w:szCs w:val="22"/>
          <w:lang w:eastAsia="en-GB"/>
        </w:rPr>
      </w:pPr>
    </w:p>
    <w:p w14:paraId="56ED2CF1" w14:textId="77777777" w:rsidR="001778AA" w:rsidRPr="001775D9" w:rsidRDefault="001778AA" w:rsidP="001778AA">
      <w:pPr>
        <w:spacing w:line="240" w:lineRule="auto"/>
        <w:rPr>
          <w:color w:val="000000"/>
          <w:szCs w:val="22"/>
          <w:lang w:eastAsia="en-GB"/>
        </w:rPr>
      </w:pPr>
      <w:r w:rsidRPr="001775D9">
        <w:rPr>
          <w:color w:val="000000"/>
          <w:szCs w:val="22"/>
          <w:lang w:eastAsia="en-GB"/>
        </w:rPr>
        <w:t>Patients from studies UC-I and UC-II had the option to roll over into an open-label long-term extension study (UC III). Following 3 years of adalimumab therapy, 75% (301/402) continued to be in clinical remission per partial Mayo score.</w:t>
      </w:r>
    </w:p>
    <w:p w14:paraId="63E1EC6B" w14:textId="77777777" w:rsidR="001778AA" w:rsidRPr="001775D9" w:rsidRDefault="001778AA" w:rsidP="001778AA">
      <w:pPr>
        <w:spacing w:line="240" w:lineRule="auto"/>
        <w:rPr>
          <w:color w:val="000000"/>
          <w:szCs w:val="22"/>
          <w:lang w:eastAsia="en-GB"/>
        </w:rPr>
      </w:pPr>
    </w:p>
    <w:p w14:paraId="6D37C106"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r w:rsidRPr="001775D9">
        <w:rPr>
          <w:i/>
          <w:iCs/>
          <w:color w:val="000000"/>
          <w:szCs w:val="22"/>
          <w:u w:val="single"/>
          <w:lang w:eastAsia="en-GB"/>
        </w:rPr>
        <w:t xml:space="preserve">Hospitalisation rates </w:t>
      </w:r>
    </w:p>
    <w:p w14:paraId="0EF50290" w14:textId="77777777" w:rsidR="001778AA" w:rsidRPr="001775D9" w:rsidRDefault="001778AA" w:rsidP="001778AA">
      <w:pPr>
        <w:keepNext/>
        <w:spacing w:line="240" w:lineRule="auto"/>
        <w:rPr>
          <w:color w:val="000000"/>
          <w:szCs w:val="22"/>
          <w:lang w:eastAsia="en-GB"/>
        </w:rPr>
      </w:pPr>
    </w:p>
    <w:p w14:paraId="686FF9B2" w14:textId="77777777" w:rsidR="001778AA" w:rsidRPr="001775D9" w:rsidRDefault="001778AA" w:rsidP="001778AA">
      <w:pPr>
        <w:spacing w:line="240" w:lineRule="auto"/>
        <w:rPr>
          <w:szCs w:val="22"/>
        </w:rPr>
      </w:pPr>
      <w:r w:rsidRPr="001775D9">
        <w:rPr>
          <w:color w:val="000000"/>
          <w:szCs w:val="22"/>
          <w:lang w:eastAsia="en-GB"/>
        </w:rPr>
        <w:t xml:space="preserve">During 52 weeks of studies UC-I and UC-II, lower rates of all-cause hospitalisations and UC-related hospitalisations were observed for the adalimumab-treated arm compared to the placebo arm. The number of all cause hospitalisations in the adalimumab treatment group was 0.18 per patient year </w:t>
      </w:r>
      <w:r w:rsidRPr="001775D9">
        <w:rPr>
          <w:iCs/>
          <w:color w:val="000000"/>
          <w:szCs w:val="22"/>
          <w:lang w:eastAsia="en-GB"/>
        </w:rPr>
        <w:t>versus</w:t>
      </w:r>
      <w:r w:rsidRPr="001775D9">
        <w:rPr>
          <w:color w:val="000000"/>
          <w:szCs w:val="22"/>
          <w:lang w:eastAsia="en-GB"/>
        </w:rPr>
        <w:t xml:space="preserve"> 0.26 per patient year in the placebo group and the corresponding figures for UC-related hospitalisations were 0.12 per patient year </w:t>
      </w:r>
      <w:r w:rsidRPr="001775D9">
        <w:rPr>
          <w:iCs/>
          <w:color w:val="000000"/>
          <w:szCs w:val="22"/>
          <w:lang w:eastAsia="en-GB"/>
        </w:rPr>
        <w:t>versus</w:t>
      </w:r>
      <w:r w:rsidRPr="001775D9">
        <w:rPr>
          <w:i/>
          <w:iCs/>
          <w:color w:val="000000"/>
          <w:szCs w:val="22"/>
          <w:lang w:eastAsia="en-GB"/>
        </w:rPr>
        <w:t xml:space="preserve"> </w:t>
      </w:r>
      <w:r w:rsidRPr="001775D9">
        <w:rPr>
          <w:color w:val="000000"/>
          <w:szCs w:val="22"/>
          <w:lang w:eastAsia="en-GB"/>
        </w:rPr>
        <w:t>0.22 per patient year.</w:t>
      </w:r>
    </w:p>
    <w:p w14:paraId="2ACB0206" w14:textId="77777777" w:rsidR="001778AA" w:rsidRPr="001775D9" w:rsidRDefault="001778AA" w:rsidP="001778AA">
      <w:pPr>
        <w:spacing w:line="240" w:lineRule="auto"/>
        <w:rPr>
          <w:szCs w:val="22"/>
        </w:rPr>
      </w:pPr>
    </w:p>
    <w:p w14:paraId="49196A49" w14:textId="77777777" w:rsidR="001778AA" w:rsidRPr="001775D9" w:rsidRDefault="001778AA" w:rsidP="001778AA">
      <w:pPr>
        <w:tabs>
          <w:tab w:val="clear" w:pos="567"/>
        </w:tabs>
        <w:autoSpaceDE w:val="0"/>
        <w:autoSpaceDN w:val="0"/>
        <w:adjustRightInd w:val="0"/>
        <w:spacing w:line="240" w:lineRule="auto"/>
        <w:rPr>
          <w:i/>
          <w:iCs/>
          <w:color w:val="000000"/>
          <w:szCs w:val="22"/>
          <w:u w:val="single"/>
          <w:lang w:eastAsia="en-GB"/>
        </w:rPr>
      </w:pPr>
      <w:r w:rsidRPr="001775D9">
        <w:rPr>
          <w:i/>
          <w:iCs/>
          <w:color w:val="000000"/>
          <w:szCs w:val="22"/>
          <w:u w:val="single"/>
          <w:lang w:eastAsia="en-GB"/>
        </w:rPr>
        <w:t xml:space="preserve">Quality of life </w:t>
      </w:r>
    </w:p>
    <w:p w14:paraId="6F0F3EA5"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p>
    <w:p w14:paraId="36E32EC3" w14:textId="77777777" w:rsidR="001778AA" w:rsidRPr="001775D9" w:rsidRDefault="001778AA" w:rsidP="001778AA">
      <w:pPr>
        <w:spacing w:line="240" w:lineRule="auto"/>
        <w:rPr>
          <w:szCs w:val="22"/>
        </w:rPr>
      </w:pPr>
      <w:r w:rsidRPr="001775D9">
        <w:rPr>
          <w:color w:val="000000"/>
          <w:szCs w:val="22"/>
          <w:lang w:eastAsia="en-GB"/>
        </w:rPr>
        <w:t>In study UC-II, treatment with adalimumab resulted in improvements in the Inflammatory Bowel Disease Questionnaire (IBDQ) score.</w:t>
      </w:r>
    </w:p>
    <w:p w14:paraId="4485BB31" w14:textId="77777777" w:rsidR="001778AA" w:rsidRPr="001775D9" w:rsidRDefault="001778AA" w:rsidP="001778AA">
      <w:pPr>
        <w:spacing w:line="240" w:lineRule="auto"/>
        <w:rPr>
          <w:szCs w:val="22"/>
        </w:rPr>
      </w:pPr>
    </w:p>
    <w:p w14:paraId="596B2429" w14:textId="77777777" w:rsidR="001778AA" w:rsidRPr="001775D9" w:rsidRDefault="001778AA" w:rsidP="001778AA">
      <w:pPr>
        <w:tabs>
          <w:tab w:val="clear" w:pos="567"/>
        </w:tabs>
        <w:autoSpaceDE w:val="0"/>
        <w:autoSpaceDN w:val="0"/>
        <w:adjustRightInd w:val="0"/>
        <w:spacing w:line="240" w:lineRule="auto"/>
        <w:rPr>
          <w:i/>
          <w:iCs/>
          <w:szCs w:val="22"/>
          <w:lang w:eastAsia="en-GB"/>
        </w:rPr>
      </w:pPr>
      <w:r w:rsidRPr="001775D9">
        <w:rPr>
          <w:i/>
          <w:iCs/>
          <w:szCs w:val="22"/>
          <w:lang w:eastAsia="en-GB"/>
        </w:rPr>
        <w:t>Uveitis</w:t>
      </w:r>
    </w:p>
    <w:p w14:paraId="7E571F2B" w14:textId="77777777" w:rsidR="001778AA" w:rsidRPr="001775D9" w:rsidRDefault="001778AA" w:rsidP="001778AA">
      <w:pPr>
        <w:tabs>
          <w:tab w:val="clear" w:pos="567"/>
        </w:tabs>
        <w:autoSpaceDE w:val="0"/>
        <w:autoSpaceDN w:val="0"/>
        <w:adjustRightInd w:val="0"/>
        <w:spacing w:line="240" w:lineRule="auto"/>
        <w:rPr>
          <w:i/>
          <w:iCs/>
          <w:szCs w:val="22"/>
          <w:lang w:eastAsia="en-GB"/>
        </w:rPr>
      </w:pPr>
    </w:p>
    <w:p w14:paraId="6F53B28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The safety and efficacy of adalimumab were assessed in adult patients with non-infectious intermediate, posterior, and panuveitis, excluding patients with isolated anterior uveitis, in two randomised, double-masked, placebo-controlled studies (UV I and II). Patients received placebo or adalimumab at an initial dose of 80 mg followed by 40 mg every other week starting one week after the initial dose. Concomitant stable doses of one non-biologic immunosuppressant were permitted.</w:t>
      </w:r>
    </w:p>
    <w:p w14:paraId="78F3B85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8F37B02" w14:textId="0F23D043"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Study UV I evaluated 217 patients with active uveitis despite treatment with corticosteroids (oral prednisone at a dose of 10 to 60 mg/day). All patients received a 2</w:t>
      </w:r>
      <w:r w:rsidR="004876E7" w:rsidRPr="001775D9">
        <w:rPr>
          <w:szCs w:val="22"/>
          <w:lang w:eastAsia="en-GB"/>
        </w:rPr>
        <w:t> </w:t>
      </w:r>
      <w:r w:rsidRPr="001775D9">
        <w:rPr>
          <w:szCs w:val="22"/>
          <w:lang w:eastAsia="en-GB"/>
        </w:rPr>
        <w:t>week standardised dose of prednisone 60</w:t>
      </w:r>
      <w:r w:rsidR="009008E9" w:rsidRPr="001775D9">
        <w:rPr>
          <w:szCs w:val="22"/>
          <w:lang w:eastAsia="en-GB"/>
        </w:rPr>
        <w:t> </w:t>
      </w:r>
      <w:r w:rsidRPr="001775D9">
        <w:rPr>
          <w:szCs w:val="22"/>
          <w:lang w:eastAsia="en-GB"/>
        </w:rPr>
        <w:t>mg/day at study entry followed by a mandatory taper schedule, with complete corticosteroid discontinuation by week 15.</w:t>
      </w:r>
    </w:p>
    <w:p w14:paraId="6FC2C56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E1B0949"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Study UV II evaluated 226 patients with inactive uveitis requiring chronic corticosteroid treatment (oral prednisone 10 to 35 mg/day) at baseline to control their disease. Patients subsequently underwent a mandatory taper schedule, with complete corticosteroid discontinuation by week 19.</w:t>
      </w:r>
    </w:p>
    <w:p w14:paraId="0E3FF07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5F9C360"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The primary efficacy endpoint in both studies was ‘time to treatment failure’. Treatment failure was defined by a multi-component outcome based on inflammatory chorioretinal and/or inflammatory retinal vascular lesions, anterior chamber (AC) cell grade, vitreous haze (VH) grade and best corrected visual acuity (BCVA).</w:t>
      </w:r>
    </w:p>
    <w:p w14:paraId="19C91D2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1E60FB9" w14:textId="5744CFEC"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Patients who completed Studies UV I and UV II were eligible to enroll in an uncontrolled long-term</w:t>
      </w:r>
      <w:r w:rsidR="00736144" w:rsidRPr="001775D9">
        <w:rPr>
          <w:szCs w:val="22"/>
          <w:lang w:eastAsia="en-GB"/>
        </w:rPr>
        <w:t xml:space="preserve"> </w:t>
      </w:r>
      <w:r w:rsidRPr="001775D9">
        <w:rPr>
          <w:szCs w:val="22"/>
          <w:lang w:eastAsia="en-GB"/>
        </w:rPr>
        <w:t>extension study with an originally planned duration of 78 weeks. Patients were allowed to continue on</w:t>
      </w:r>
      <w:r w:rsidR="00736144" w:rsidRPr="001775D9">
        <w:rPr>
          <w:szCs w:val="22"/>
          <w:lang w:eastAsia="en-GB"/>
        </w:rPr>
        <w:t xml:space="preserve"> </w:t>
      </w:r>
      <w:r w:rsidRPr="001775D9">
        <w:rPr>
          <w:szCs w:val="22"/>
          <w:lang w:eastAsia="en-GB"/>
        </w:rPr>
        <w:t>study medication beyond week 78 until they had access to adalimumab.</w:t>
      </w:r>
    </w:p>
    <w:p w14:paraId="51F60898"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6B487A2" w14:textId="77777777" w:rsidR="001778AA" w:rsidRPr="001775D9" w:rsidRDefault="001778AA" w:rsidP="001778AA">
      <w:pPr>
        <w:tabs>
          <w:tab w:val="clear" w:pos="567"/>
        </w:tabs>
        <w:autoSpaceDE w:val="0"/>
        <w:autoSpaceDN w:val="0"/>
        <w:adjustRightInd w:val="0"/>
        <w:spacing w:line="240" w:lineRule="auto"/>
        <w:rPr>
          <w:i/>
          <w:iCs/>
          <w:szCs w:val="22"/>
          <w:u w:val="single"/>
          <w:lang w:eastAsia="en-GB"/>
        </w:rPr>
      </w:pPr>
      <w:r w:rsidRPr="001775D9">
        <w:rPr>
          <w:i/>
          <w:iCs/>
          <w:szCs w:val="22"/>
          <w:u w:val="single"/>
          <w:lang w:eastAsia="en-GB"/>
        </w:rPr>
        <w:t>Clinical response</w:t>
      </w:r>
    </w:p>
    <w:p w14:paraId="36C43894" w14:textId="77777777" w:rsidR="001778AA" w:rsidRPr="001775D9" w:rsidRDefault="001778AA" w:rsidP="001778AA">
      <w:pPr>
        <w:tabs>
          <w:tab w:val="clear" w:pos="567"/>
        </w:tabs>
        <w:autoSpaceDE w:val="0"/>
        <w:autoSpaceDN w:val="0"/>
        <w:adjustRightInd w:val="0"/>
        <w:spacing w:line="240" w:lineRule="auto"/>
        <w:rPr>
          <w:i/>
          <w:iCs/>
          <w:szCs w:val="22"/>
          <w:u w:val="single"/>
          <w:lang w:eastAsia="en-GB"/>
        </w:rPr>
      </w:pPr>
    </w:p>
    <w:p w14:paraId="20BB60BB"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Results from both studies demonstrated statistically significant reduction of the risk of treatment failure in patients treated with adalimumab versus patients receiving placebo (see table 24). Both studies demonstrated an early and sustained effect of adalimumab on the treatment failure rate versus placebo (see figure 2).</w:t>
      </w:r>
    </w:p>
    <w:p w14:paraId="4F7AAD0A"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04D40EF" w14:textId="77777777" w:rsidR="001778AA" w:rsidRPr="001775D9" w:rsidRDefault="001778AA" w:rsidP="001778AA">
      <w:pPr>
        <w:keepNext/>
        <w:tabs>
          <w:tab w:val="clear" w:pos="567"/>
        </w:tabs>
        <w:autoSpaceDE w:val="0"/>
        <w:autoSpaceDN w:val="0"/>
        <w:adjustRightInd w:val="0"/>
        <w:spacing w:line="240" w:lineRule="auto"/>
        <w:rPr>
          <w:b/>
          <w:bCs/>
          <w:szCs w:val="22"/>
          <w:lang w:eastAsia="en-GB"/>
        </w:rPr>
      </w:pPr>
      <w:r w:rsidRPr="001775D9">
        <w:rPr>
          <w:b/>
          <w:bCs/>
          <w:szCs w:val="22"/>
          <w:lang w:eastAsia="en-GB"/>
        </w:rPr>
        <w:t>Table 24. Time to treatment failure in studies UV I and UV II</w:t>
      </w:r>
    </w:p>
    <w:p w14:paraId="1EC0E4AC" w14:textId="77777777" w:rsidR="001778AA" w:rsidRPr="001775D9" w:rsidRDefault="001778AA" w:rsidP="001778AA">
      <w:pPr>
        <w:keepNext/>
        <w:tabs>
          <w:tab w:val="clear" w:pos="567"/>
        </w:tabs>
        <w:autoSpaceDE w:val="0"/>
        <w:autoSpaceDN w:val="0"/>
        <w:adjustRightInd w:val="0"/>
        <w:spacing w:line="240" w:lineRule="auto"/>
        <w:rPr>
          <w:b/>
          <w:bCs/>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134"/>
        <w:gridCol w:w="233"/>
        <w:gridCol w:w="1326"/>
        <w:gridCol w:w="1276"/>
        <w:gridCol w:w="1134"/>
        <w:gridCol w:w="1134"/>
        <w:gridCol w:w="1054"/>
      </w:tblGrid>
      <w:tr w:rsidR="00E03C85" w:rsidRPr="00F04F82" w14:paraId="100B55A8" w14:textId="77777777" w:rsidTr="00610C0B">
        <w:tc>
          <w:tcPr>
            <w:tcW w:w="1951" w:type="dxa"/>
          </w:tcPr>
          <w:p w14:paraId="691157C6"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r w:rsidRPr="001775D9">
              <w:rPr>
                <w:b/>
                <w:bCs/>
                <w:szCs w:val="22"/>
                <w:lang w:eastAsia="en-GB"/>
              </w:rPr>
              <w:t>Analysis</w:t>
            </w:r>
          </w:p>
          <w:p w14:paraId="59613719"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r w:rsidRPr="001775D9">
              <w:rPr>
                <w:b/>
                <w:bCs/>
                <w:szCs w:val="22"/>
                <w:lang w:eastAsia="en-GB"/>
              </w:rPr>
              <w:t>Treatment</w:t>
            </w:r>
          </w:p>
          <w:p w14:paraId="018B90B4"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p>
        </w:tc>
        <w:tc>
          <w:tcPr>
            <w:tcW w:w="1134" w:type="dxa"/>
          </w:tcPr>
          <w:p w14:paraId="623AFBF7"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r w:rsidRPr="001775D9">
              <w:rPr>
                <w:b/>
                <w:bCs/>
                <w:szCs w:val="22"/>
                <w:lang w:eastAsia="en-GB"/>
              </w:rPr>
              <w:t>N</w:t>
            </w:r>
          </w:p>
        </w:tc>
        <w:tc>
          <w:tcPr>
            <w:tcW w:w="1559" w:type="dxa"/>
            <w:gridSpan w:val="2"/>
          </w:tcPr>
          <w:p w14:paraId="0BE123E0"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r w:rsidRPr="001775D9">
              <w:rPr>
                <w:b/>
                <w:bCs/>
                <w:szCs w:val="22"/>
                <w:lang w:eastAsia="en-GB"/>
              </w:rPr>
              <w:t>Failure</w:t>
            </w:r>
          </w:p>
          <w:p w14:paraId="572A11F4"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r w:rsidRPr="001775D9">
              <w:rPr>
                <w:b/>
                <w:bCs/>
                <w:szCs w:val="22"/>
                <w:lang w:eastAsia="en-GB"/>
              </w:rPr>
              <w:t>N (%)</w:t>
            </w:r>
          </w:p>
          <w:p w14:paraId="03FFA5B8"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p>
        </w:tc>
        <w:tc>
          <w:tcPr>
            <w:tcW w:w="1276" w:type="dxa"/>
          </w:tcPr>
          <w:p w14:paraId="018542CA"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r w:rsidRPr="001775D9">
              <w:rPr>
                <w:b/>
                <w:bCs/>
                <w:szCs w:val="22"/>
                <w:lang w:eastAsia="en-GB"/>
              </w:rPr>
              <w:t>Median time to failure (months)</w:t>
            </w:r>
          </w:p>
          <w:p w14:paraId="705FE2AC"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p>
        </w:tc>
        <w:tc>
          <w:tcPr>
            <w:tcW w:w="1134" w:type="dxa"/>
          </w:tcPr>
          <w:p w14:paraId="2987CF88"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r w:rsidRPr="001775D9">
              <w:rPr>
                <w:b/>
                <w:bCs/>
                <w:szCs w:val="22"/>
                <w:lang w:eastAsia="en-GB"/>
              </w:rPr>
              <w:t>HR</w:t>
            </w:r>
            <w:r w:rsidRPr="001775D9">
              <w:rPr>
                <w:b/>
                <w:bCs/>
                <w:szCs w:val="22"/>
                <w:vertAlign w:val="superscript"/>
                <w:lang w:eastAsia="en-GB"/>
              </w:rPr>
              <w:t>a</w:t>
            </w:r>
          </w:p>
        </w:tc>
        <w:tc>
          <w:tcPr>
            <w:tcW w:w="1134" w:type="dxa"/>
          </w:tcPr>
          <w:p w14:paraId="5A315AC3" w14:textId="1BE0093C" w:rsidR="001778AA" w:rsidRPr="001775D9" w:rsidRDefault="001778AA" w:rsidP="00D47253">
            <w:pPr>
              <w:keepNext/>
              <w:tabs>
                <w:tab w:val="clear" w:pos="567"/>
              </w:tabs>
              <w:autoSpaceDE w:val="0"/>
              <w:autoSpaceDN w:val="0"/>
              <w:adjustRightInd w:val="0"/>
              <w:spacing w:line="240" w:lineRule="auto"/>
              <w:rPr>
                <w:b/>
                <w:bCs/>
                <w:szCs w:val="22"/>
                <w:lang w:eastAsia="en-GB"/>
              </w:rPr>
            </w:pPr>
            <w:r w:rsidRPr="001775D9">
              <w:rPr>
                <w:b/>
                <w:bCs/>
                <w:szCs w:val="22"/>
                <w:lang w:eastAsia="en-GB"/>
              </w:rPr>
              <w:t>CI 95%</w:t>
            </w:r>
            <w:r w:rsidR="00390DE5" w:rsidRPr="001775D9">
              <w:rPr>
                <w:b/>
                <w:bCs/>
                <w:szCs w:val="22"/>
                <w:lang w:eastAsia="en-GB"/>
              </w:rPr>
              <w:t xml:space="preserve"> </w:t>
            </w:r>
          </w:p>
          <w:p w14:paraId="3273DA2F" w14:textId="77777777" w:rsidR="001778AA" w:rsidRPr="001775D9" w:rsidRDefault="001778AA" w:rsidP="00D47253">
            <w:pPr>
              <w:keepNext/>
              <w:tabs>
                <w:tab w:val="clear" w:pos="567"/>
              </w:tabs>
              <w:autoSpaceDE w:val="0"/>
              <w:autoSpaceDN w:val="0"/>
              <w:adjustRightInd w:val="0"/>
              <w:spacing w:line="240" w:lineRule="auto"/>
              <w:rPr>
                <w:b/>
                <w:bCs/>
                <w:sz w:val="14"/>
                <w:szCs w:val="14"/>
                <w:lang w:eastAsia="en-GB"/>
              </w:rPr>
            </w:pPr>
            <w:r w:rsidRPr="001775D9">
              <w:rPr>
                <w:b/>
                <w:bCs/>
                <w:szCs w:val="22"/>
                <w:lang w:eastAsia="en-GB"/>
              </w:rPr>
              <w:t>for HR</w:t>
            </w:r>
            <w:r w:rsidRPr="001775D9">
              <w:rPr>
                <w:b/>
                <w:bCs/>
                <w:szCs w:val="22"/>
                <w:vertAlign w:val="superscript"/>
                <w:lang w:eastAsia="en-GB"/>
              </w:rPr>
              <w:t>a</w:t>
            </w:r>
          </w:p>
          <w:p w14:paraId="218613C5"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p>
        </w:tc>
        <w:tc>
          <w:tcPr>
            <w:tcW w:w="1054" w:type="dxa"/>
          </w:tcPr>
          <w:p w14:paraId="2FB1261D" w14:textId="05E97C43" w:rsidR="001778AA" w:rsidRPr="001775D9" w:rsidRDefault="001778AA" w:rsidP="00D47253">
            <w:pPr>
              <w:keepNext/>
              <w:tabs>
                <w:tab w:val="clear" w:pos="567"/>
              </w:tabs>
              <w:autoSpaceDE w:val="0"/>
              <w:autoSpaceDN w:val="0"/>
              <w:adjustRightInd w:val="0"/>
              <w:spacing w:line="240" w:lineRule="auto"/>
              <w:rPr>
                <w:b/>
                <w:bCs/>
                <w:sz w:val="14"/>
                <w:szCs w:val="14"/>
                <w:lang w:eastAsia="en-GB"/>
              </w:rPr>
            </w:pPr>
            <w:r w:rsidRPr="001775D9">
              <w:rPr>
                <w:b/>
                <w:bCs/>
                <w:i/>
                <w:iCs/>
                <w:szCs w:val="22"/>
                <w:lang w:eastAsia="en-GB"/>
              </w:rPr>
              <w:t xml:space="preserve">P </w:t>
            </w:r>
            <w:r w:rsidRPr="001775D9">
              <w:rPr>
                <w:b/>
                <w:bCs/>
                <w:szCs w:val="22"/>
                <w:lang w:eastAsia="en-GB"/>
              </w:rPr>
              <w:t>Value</w:t>
            </w:r>
            <w:r w:rsidRPr="001775D9">
              <w:rPr>
                <w:b/>
                <w:bCs/>
                <w:szCs w:val="22"/>
                <w:vertAlign w:val="superscript"/>
                <w:lang w:eastAsia="en-GB"/>
              </w:rPr>
              <w:t>b</w:t>
            </w:r>
          </w:p>
          <w:p w14:paraId="3A0FED31"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p>
        </w:tc>
      </w:tr>
      <w:tr w:rsidR="001778AA" w:rsidRPr="00F04F82" w14:paraId="196FE5E9" w14:textId="77777777" w:rsidTr="00D47253">
        <w:tc>
          <w:tcPr>
            <w:tcW w:w="9242" w:type="dxa"/>
            <w:gridSpan w:val="8"/>
          </w:tcPr>
          <w:p w14:paraId="1DE1D43E"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r w:rsidRPr="001775D9">
              <w:rPr>
                <w:b/>
                <w:bCs/>
                <w:szCs w:val="22"/>
                <w:lang w:eastAsia="en-GB"/>
              </w:rPr>
              <w:t>Time to treatment failure at or after week 6 in study UV I</w:t>
            </w:r>
          </w:p>
          <w:p w14:paraId="7B980990"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Primary analysis (ITT)</w:t>
            </w:r>
          </w:p>
          <w:p w14:paraId="12B3DE9D" w14:textId="77777777" w:rsidR="001778AA" w:rsidRPr="001775D9" w:rsidRDefault="001778AA" w:rsidP="00D47253">
            <w:pPr>
              <w:keepNext/>
              <w:tabs>
                <w:tab w:val="clear" w:pos="567"/>
              </w:tabs>
              <w:autoSpaceDE w:val="0"/>
              <w:autoSpaceDN w:val="0"/>
              <w:adjustRightInd w:val="0"/>
              <w:spacing w:line="240" w:lineRule="auto"/>
              <w:rPr>
                <w:b/>
                <w:bCs/>
                <w:szCs w:val="22"/>
                <w:lang w:eastAsia="en-GB"/>
              </w:rPr>
            </w:pPr>
          </w:p>
        </w:tc>
      </w:tr>
      <w:tr w:rsidR="00E03C85" w:rsidRPr="00F04F82" w14:paraId="66883A87" w14:textId="77777777" w:rsidTr="00610C0B">
        <w:tc>
          <w:tcPr>
            <w:tcW w:w="1951" w:type="dxa"/>
          </w:tcPr>
          <w:p w14:paraId="74D3C9F3"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Placebo</w:t>
            </w:r>
          </w:p>
        </w:tc>
        <w:tc>
          <w:tcPr>
            <w:tcW w:w="1367" w:type="dxa"/>
            <w:gridSpan w:val="2"/>
          </w:tcPr>
          <w:p w14:paraId="7BF752DB"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107</w:t>
            </w:r>
          </w:p>
        </w:tc>
        <w:tc>
          <w:tcPr>
            <w:tcW w:w="1326" w:type="dxa"/>
          </w:tcPr>
          <w:p w14:paraId="5A3284D5"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84 (78.5)</w:t>
            </w:r>
          </w:p>
        </w:tc>
        <w:tc>
          <w:tcPr>
            <w:tcW w:w="1276" w:type="dxa"/>
          </w:tcPr>
          <w:p w14:paraId="5F1EC129"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3.0</w:t>
            </w:r>
          </w:p>
        </w:tc>
        <w:tc>
          <w:tcPr>
            <w:tcW w:w="1134" w:type="dxa"/>
          </w:tcPr>
          <w:p w14:paraId="39E51D4F"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b/>
                <w:bCs/>
                <w:szCs w:val="22"/>
                <w:lang w:eastAsia="en-GB"/>
              </w:rPr>
              <w:t>--</w:t>
            </w:r>
          </w:p>
        </w:tc>
        <w:tc>
          <w:tcPr>
            <w:tcW w:w="1134" w:type="dxa"/>
          </w:tcPr>
          <w:p w14:paraId="25A22A41"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b/>
                <w:bCs/>
                <w:szCs w:val="22"/>
                <w:lang w:eastAsia="en-GB"/>
              </w:rPr>
              <w:t>--</w:t>
            </w:r>
          </w:p>
        </w:tc>
        <w:tc>
          <w:tcPr>
            <w:tcW w:w="1054" w:type="dxa"/>
          </w:tcPr>
          <w:p w14:paraId="593BCF30"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b/>
                <w:bCs/>
                <w:szCs w:val="22"/>
                <w:lang w:eastAsia="en-GB"/>
              </w:rPr>
              <w:t>--</w:t>
            </w:r>
          </w:p>
        </w:tc>
      </w:tr>
      <w:tr w:rsidR="00E03C85" w:rsidRPr="00F04F82" w14:paraId="5BCFF52F" w14:textId="77777777" w:rsidTr="00610C0B">
        <w:tc>
          <w:tcPr>
            <w:tcW w:w="1951" w:type="dxa"/>
          </w:tcPr>
          <w:p w14:paraId="133A41EF"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Adalimumab</w:t>
            </w:r>
          </w:p>
        </w:tc>
        <w:tc>
          <w:tcPr>
            <w:tcW w:w="1367" w:type="dxa"/>
            <w:gridSpan w:val="2"/>
          </w:tcPr>
          <w:p w14:paraId="3D002F16"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110</w:t>
            </w:r>
          </w:p>
        </w:tc>
        <w:tc>
          <w:tcPr>
            <w:tcW w:w="1326" w:type="dxa"/>
          </w:tcPr>
          <w:p w14:paraId="4B1B40D9"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60 (54.5)</w:t>
            </w:r>
          </w:p>
        </w:tc>
        <w:tc>
          <w:tcPr>
            <w:tcW w:w="1276" w:type="dxa"/>
          </w:tcPr>
          <w:p w14:paraId="6F93A736"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5.6</w:t>
            </w:r>
          </w:p>
        </w:tc>
        <w:tc>
          <w:tcPr>
            <w:tcW w:w="1134" w:type="dxa"/>
          </w:tcPr>
          <w:p w14:paraId="0E82AF6B"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0.50</w:t>
            </w:r>
          </w:p>
        </w:tc>
        <w:tc>
          <w:tcPr>
            <w:tcW w:w="1134" w:type="dxa"/>
          </w:tcPr>
          <w:p w14:paraId="46904575"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0.36, 0.70</w:t>
            </w:r>
          </w:p>
        </w:tc>
        <w:tc>
          <w:tcPr>
            <w:tcW w:w="1054" w:type="dxa"/>
          </w:tcPr>
          <w:p w14:paraId="27C56C14"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&lt; 0.001</w:t>
            </w:r>
          </w:p>
        </w:tc>
      </w:tr>
      <w:tr w:rsidR="001778AA" w:rsidRPr="00F04F82" w14:paraId="7EED038C" w14:textId="77777777" w:rsidTr="00D47253">
        <w:tc>
          <w:tcPr>
            <w:tcW w:w="9242" w:type="dxa"/>
            <w:gridSpan w:val="8"/>
          </w:tcPr>
          <w:p w14:paraId="53FDF593"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b/>
                <w:bCs/>
                <w:szCs w:val="22"/>
                <w:lang w:eastAsia="en-GB"/>
              </w:rPr>
              <w:t>Time to treatment failure at or after week 2 in study UV II</w:t>
            </w:r>
          </w:p>
          <w:p w14:paraId="50C2D8A6"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Primary analysis (ITT)</w:t>
            </w:r>
          </w:p>
          <w:p w14:paraId="5DFE46BF" w14:textId="77777777" w:rsidR="001778AA" w:rsidRPr="001775D9" w:rsidRDefault="001778AA" w:rsidP="00D47253">
            <w:pPr>
              <w:tabs>
                <w:tab w:val="clear" w:pos="567"/>
              </w:tabs>
              <w:autoSpaceDE w:val="0"/>
              <w:autoSpaceDN w:val="0"/>
              <w:adjustRightInd w:val="0"/>
              <w:spacing w:line="240" w:lineRule="auto"/>
              <w:rPr>
                <w:b/>
                <w:bCs/>
                <w:szCs w:val="22"/>
                <w:lang w:eastAsia="en-GB"/>
              </w:rPr>
            </w:pPr>
          </w:p>
        </w:tc>
      </w:tr>
      <w:tr w:rsidR="00E03C85" w:rsidRPr="00F04F82" w14:paraId="06766F7C" w14:textId="77777777" w:rsidTr="00610C0B">
        <w:tc>
          <w:tcPr>
            <w:tcW w:w="1951" w:type="dxa"/>
          </w:tcPr>
          <w:p w14:paraId="65ADFCDB"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Placebo</w:t>
            </w:r>
          </w:p>
        </w:tc>
        <w:tc>
          <w:tcPr>
            <w:tcW w:w="1134" w:type="dxa"/>
          </w:tcPr>
          <w:p w14:paraId="5ECA4615"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111</w:t>
            </w:r>
          </w:p>
        </w:tc>
        <w:tc>
          <w:tcPr>
            <w:tcW w:w="1559" w:type="dxa"/>
            <w:gridSpan w:val="2"/>
          </w:tcPr>
          <w:p w14:paraId="10EF7C62"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61 (55.0)</w:t>
            </w:r>
          </w:p>
        </w:tc>
        <w:tc>
          <w:tcPr>
            <w:tcW w:w="1276" w:type="dxa"/>
          </w:tcPr>
          <w:p w14:paraId="4E836C87"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8.3</w:t>
            </w:r>
          </w:p>
        </w:tc>
        <w:tc>
          <w:tcPr>
            <w:tcW w:w="1134" w:type="dxa"/>
          </w:tcPr>
          <w:p w14:paraId="22E76856"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b/>
                <w:bCs/>
                <w:szCs w:val="22"/>
                <w:lang w:eastAsia="en-GB"/>
              </w:rPr>
              <w:t>--</w:t>
            </w:r>
          </w:p>
        </w:tc>
        <w:tc>
          <w:tcPr>
            <w:tcW w:w="1134" w:type="dxa"/>
          </w:tcPr>
          <w:p w14:paraId="229A774C"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b/>
                <w:bCs/>
                <w:szCs w:val="22"/>
                <w:lang w:eastAsia="en-GB"/>
              </w:rPr>
              <w:t>--</w:t>
            </w:r>
          </w:p>
        </w:tc>
        <w:tc>
          <w:tcPr>
            <w:tcW w:w="1054" w:type="dxa"/>
          </w:tcPr>
          <w:p w14:paraId="1ADF6019"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b/>
                <w:bCs/>
                <w:szCs w:val="22"/>
                <w:lang w:eastAsia="en-GB"/>
              </w:rPr>
              <w:t>--</w:t>
            </w:r>
          </w:p>
        </w:tc>
      </w:tr>
      <w:tr w:rsidR="00E03C85" w:rsidRPr="00F04F82" w14:paraId="45F65E41" w14:textId="77777777" w:rsidTr="00610C0B">
        <w:tc>
          <w:tcPr>
            <w:tcW w:w="1951" w:type="dxa"/>
          </w:tcPr>
          <w:p w14:paraId="089F97B4"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Adalimumab</w:t>
            </w:r>
          </w:p>
        </w:tc>
        <w:tc>
          <w:tcPr>
            <w:tcW w:w="1134" w:type="dxa"/>
          </w:tcPr>
          <w:p w14:paraId="6D8B9BF2"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115</w:t>
            </w:r>
          </w:p>
        </w:tc>
        <w:tc>
          <w:tcPr>
            <w:tcW w:w="1559" w:type="dxa"/>
            <w:gridSpan w:val="2"/>
          </w:tcPr>
          <w:p w14:paraId="1FEA7EAA"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45 (39.1)</w:t>
            </w:r>
          </w:p>
        </w:tc>
        <w:tc>
          <w:tcPr>
            <w:tcW w:w="1276" w:type="dxa"/>
          </w:tcPr>
          <w:p w14:paraId="0209FB08"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NE</w:t>
            </w:r>
            <w:r w:rsidRPr="001775D9">
              <w:rPr>
                <w:szCs w:val="22"/>
                <w:vertAlign w:val="superscript"/>
                <w:lang w:eastAsia="en-GB"/>
              </w:rPr>
              <w:t>c</w:t>
            </w:r>
          </w:p>
        </w:tc>
        <w:tc>
          <w:tcPr>
            <w:tcW w:w="1134" w:type="dxa"/>
          </w:tcPr>
          <w:p w14:paraId="53F00905"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0.57</w:t>
            </w:r>
          </w:p>
        </w:tc>
        <w:tc>
          <w:tcPr>
            <w:tcW w:w="1134" w:type="dxa"/>
          </w:tcPr>
          <w:p w14:paraId="3A96D79D" w14:textId="77777777" w:rsidR="001778AA" w:rsidRPr="001775D9" w:rsidRDefault="001778AA" w:rsidP="00D47253">
            <w:pPr>
              <w:tabs>
                <w:tab w:val="clear" w:pos="567"/>
              </w:tabs>
              <w:autoSpaceDE w:val="0"/>
              <w:autoSpaceDN w:val="0"/>
              <w:adjustRightInd w:val="0"/>
              <w:spacing w:line="240" w:lineRule="auto"/>
              <w:rPr>
                <w:b/>
                <w:bCs/>
                <w:szCs w:val="22"/>
                <w:lang w:eastAsia="en-GB"/>
              </w:rPr>
            </w:pPr>
            <w:r w:rsidRPr="001775D9">
              <w:rPr>
                <w:szCs w:val="22"/>
                <w:lang w:eastAsia="en-GB"/>
              </w:rPr>
              <w:t>0.39, 0.84</w:t>
            </w:r>
          </w:p>
        </w:tc>
        <w:tc>
          <w:tcPr>
            <w:tcW w:w="1054" w:type="dxa"/>
          </w:tcPr>
          <w:p w14:paraId="47DA87DD"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0.004</w:t>
            </w:r>
          </w:p>
          <w:p w14:paraId="259AFD5B" w14:textId="77777777" w:rsidR="001778AA" w:rsidRPr="001775D9" w:rsidRDefault="001778AA" w:rsidP="00D47253">
            <w:pPr>
              <w:tabs>
                <w:tab w:val="clear" w:pos="567"/>
              </w:tabs>
              <w:autoSpaceDE w:val="0"/>
              <w:autoSpaceDN w:val="0"/>
              <w:adjustRightInd w:val="0"/>
              <w:spacing w:line="240" w:lineRule="auto"/>
              <w:rPr>
                <w:b/>
                <w:bCs/>
                <w:szCs w:val="22"/>
                <w:lang w:eastAsia="en-GB"/>
              </w:rPr>
            </w:pPr>
          </w:p>
        </w:tc>
      </w:tr>
    </w:tbl>
    <w:p w14:paraId="178AC76C"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lang w:eastAsia="en-GB"/>
        </w:rPr>
        <w:t>Note: Treatment failure at or after week 6 (study UV I), or at or after week 2 (study UV II), was counted as event. Drop outs due to reasons other than treatment failure were censored at the time of dropping out.</w:t>
      </w:r>
    </w:p>
    <w:p w14:paraId="42112B9D"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HR of adalimumab versus placebo from proportional hazards regression with treatment as factor.</w:t>
      </w:r>
    </w:p>
    <w:p w14:paraId="27C2F469"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vertAlign w:val="superscript"/>
          <w:lang w:eastAsia="en-GB"/>
        </w:rPr>
        <w:t xml:space="preserve">b </w:t>
      </w:r>
      <w:r w:rsidRPr="001775D9">
        <w:rPr>
          <w:sz w:val="20"/>
          <w:lang w:eastAsia="en-GB"/>
        </w:rPr>
        <w:t xml:space="preserve">2-sided </w:t>
      </w:r>
      <w:r w:rsidRPr="001775D9">
        <w:rPr>
          <w:i/>
          <w:iCs/>
          <w:sz w:val="20"/>
          <w:lang w:eastAsia="en-GB"/>
        </w:rPr>
        <w:t xml:space="preserve">P </w:t>
      </w:r>
      <w:r w:rsidRPr="001775D9">
        <w:rPr>
          <w:sz w:val="20"/>
          <w:lang w:eastAsia="en-GB"/>
        </w:rPr>
        <w:t>value from log rank test.</w:t>
      </w:r>
    </w:p>
    <w:p w14:paraId="7D2739D5" w14:textId="77777777" w:rsidR="001778AA" w:rsidRPr="001775D9" w:rsidRDefault="001778AA" w:rsidP="001778AA">
      <w:pPr>
        <w:spacing w:line="240" w:lineRule="auto"/>
        <w:rPr>
          <w:sz w:val="20"/>
          <w:lang w:eastAsia="en-GB"/>
        </w:rPr>
      </w:pPr>
      <w:r w:rsidRPr="001775D9">
        <w:rPr>
          <w:sz w:val="20"/>
          <w:vertAlign w:val="superscript"/>
          <w:lang w:eastAsia="en-GB"/>
        </w:rPr>
        <w:t xml:space="preserve">c </w:t>
      </w:r>
      <w:r w:rsidRPr="001775D9">
        <w:rPr>
          <w:sz w:val="20"/>
          <w:lang w:eastAsia="en-GB"/>
        </w:rPr>
        <w:t>NE = not estimable. Fewer than half of at-risk subjects had an event.</w:t>
      </w:r>
    </w:p>
    <w:p w14:paraId="64E28A7A" w14:textId="77777777" w:rsidR="001778AA" w:rsidRPr="001775D9" w:rsidRDefault="001778AA" w:rsidP="001778AA">
      <w:pPr>
        <w:spacing w:line="240" w:lineRule="auto"/>
        <w:rPr>
          <w:sz w:val="20"/>
          <w:lang w:eastAsia="en-GB"/>
        </w:rPr>
      </w:pPr>
    </w:p>
    <w:p w14:paraId="61E74BF3" w14:textId="77777777" w:rsidR="001778AA" w:rsidRPr="001775D9" w:rsidRDefault="001778AA" w:rsidP="001778AA">
      <w:pPr>
        <w:keepNext/>
        <w:tabs>
          <w:tab w:val="clear" w:pos="567"/>
        </w:tabs>
        <w:autoSpaceDE w:val="0"/>
        <w:autoSpaceDN w:val="0"/>
        <w:adjustRightInd w:val="0"/>
        <w:spacing w:line="240" w:lineRule="auto"/>
        <w:rPr>
          <w:b/>
          <w:bCs/>
          <w:szCs w:val="22"/>
          <w:lang w:eastAsia="ja-JP"/>
        </w:rPr>
      </w:pPr>
      <w:r w:rsidRPr="001775D9">
        <w:rPr>
          <w:b/>
          <w:bCs/>
          <w:szCs w:val="22"/>
          <w:lang w:eastAsia="ja-JP"/>
        </w:rPr>
        <w:t>Figure 2. Kaplan-Meier curves summarising time to treatment failure on or after week 6 (study UV I) or week 2 (study UV II)</w:t>
      </w:r>
    </w:p>
    <w:p w14:paraId="01599D1F" w14:textId="77777777" w:rsidR="001778AA" w:rsidRPr="001775D9" w:rsidRDefault="001778AA" w:rsidP="001778AA">
      <w:pPr>
        <w:keepNext/>
        <w:spacing w:line="240" w:lineRule="auto"/>
        <w:rPr>
          <w:sz w:val="20"/>
          <w:lang w:eastAsia="en-GB"/>
        </w:rPr>
      </w:pPr>
    </w:p>
    <w:p w14:paraId="65ED5AB1" w14:textId="710A550A" w:rsidR="001778AA" w:rsidRPr="001775D9" w:rsidRDefault="00D96030" w:rsidP="001778AA">
      <w:pPr>
        <w:tabs>
          <w:tab w:val="left" w:pos="6379"/>
        </w:tabs>
        <w:spacing w:line="240" w:lineRule="auto"/>
        <w:rPr>
          <w:sz w:val="20"/>
          <w:lang w:eastAsia="en-GB"/>
        </w:rPr>
      </w:pPr>
      <w:r>
        <w:rPr>
          <w:sz w:val="20"/>
          <w:lang w:eastAsia="en-GB"/>
        </w:rPr>
        <w:pict w14:anchorId="2C1868EF">
          <v:shape id="Picture 111" o:spid="_x0000_i1036" type="#_x0000_t75" alt="test 18 1" style="width:451.5pt;height:210.5pt;visibility:visible;mso-wrap-style:square">
            <v:imagedata r:id="rId13" o:title="test 18 1"/>
          </v:shape>
        </w:pict>
      </w:r>
    </w:p>
    <w:p w14:paraId="136BFDCC" w14:textId="77777777" w:rsidR="00E24D6F" w:rsidRPr="001775D9" w:rsidRDefault="00E24D6F" w:rsidP="001778AA">
      <w:pPr>
        <w:tabs>
          <w:tab w:val="left" w:pos="6379"/>
        </w:tabs>
        <w:spacing w:line="240" w:lineRule="auto"/>
        <w:rPr>
          <w:sz w:val="20"/>
          <w:lang w:eastAsia="en-GB"/>
        </w:rPr>
      </w:pPr>
    </w:p>
    <w:p w14:paraId="5DBD2D7D" w14:textId="0D40F361" w:rsidR="001778AA" w:rsidRPr="001775D9" w:rsidRDefault="00D96030" w:rsidP="001778AA">
      <w:pPr>
        <w:tabs>
          <w:tab w:val="clear" w:pos="567"/>
        </w:tabs>
        <w:autoSpaceDE w:val="0"/>
        <w:autoSpaceDN w:val="0"/>
        <w:adjustRightInd w:val="0"/>
        <w:spacing w:line="240" w:lineRule="auto"/>
        <w:rPr>
          <w:sz w:val="20"/>
          <w:lang w:eastAsia="ja-JP"/>
        </w:rPr>
      </w:pPr>
      <w:r>
        <w:rPr>
          <w:sz w:val="20"/>
          <w:lang w:eastAsia="ja-JP"/>
        </w:rPr>
        <w:pict w14:anchorId="2B2B1D3D">
          <v:shape id="Picture 112" o:spid="_x0000_i1037" type="#_x0000_t75" alt="test18 2" style="width:452.5pt;height:211pt;visibility:visible;mso-wrap-style:square">
            <v:imagedata r:id="rId14" o:title="test18 2"/>
          </v:shape>
        </w:pict>
      </w:r>
      <w:r w:rsidR="001778AA" w:rsidRPr="001775D9">
        <w:rPr>
          <w:sz w:val="20"/>
          <w:lang w:eastAsia="ja-JP"/>
        </w:rPr>
        <w:t>Note: P# = Placebo (number of events/number at risk); A# = Adalimumab (number of events/number at risk).</w:t>
      </w:r>
    </w:p>
    <w:p w14:paraId="3D86FD03" w14:textId="77777777" w:rsidR="001778AA" w:rsidRPr="001775D9" w:rsidRDefault="001778AA" w:rsidP="001778AA">
      <w:pPr>
        <w:spacing w:line="240" w:lineRule="auto"/>
        <w:rPr>
          <w:sz w:val="20"/>
          <w:lang w:eastAsia="en-GB"/>
        </w:rPr>
      </w:pPr>
    </w:p>
    <w:p w14:paraId="7EA52571"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study UV I statistically significant differences in favour of adalimumab versus placebo were observed for each component of treatment failure. In study UV II, statistically significant differences were observed for visual acuity only, but the other components were numerically in favour of adalimumab.</w:t>
      </w:r>
    </w:p>
    <w:p w14:paraId="209A5996" w14:textId="77777777" w:rsidR="001778AA" w:rsidRPr="001775D9" w:rsidRDefault="001778AA" w:rsidP="001778AA">
      <w:pPr>
        <w:tabs>
          <w:tab w:val="clear" w:pos="567"/>
        </w:tabs>
        <w:autoSpaceDE w:val="0"/>
        <w:autoSpaceDN w:val="0"/>
        <w:adjustRightInd w:val="0"/>
        <w:spacing w:line="240" w:lineRule="auto"/>
        <w:rPr>
          <w:i/>
          <w:iCs/>
          <w:szCs w:val="22"/>
          <w:lang w:eastAsia="en-GB"/>
        </w:rPr>
      </w:pPr>
    </w:p>
    <w:p w14:paraId="5C6B9AF2" w14:textId="6950BC8D" w:rsidR="001778AA" w:rsidRPr="001775D9" w:rsidRDefault="001778AA" w:rsidP="00B61D9D">
      <w:pPr>
        <w:spacing w:line="240" w:lineRule="auto"/>
      </w:pPr>
      <w:r w:rsidRPr="001775D9">
        <w:t>Of the 424 subjects included in the uncontrolled long-term extension of Studies UV I and UV II, 60</w:t>
      </w:r>
      <w:r w:rsidR="00C656DE" w:rsidRPr="001775D9">
        <w:t> </w:t>
      </w:r>
      <w:r w:rsidRPr="001775D9">
        <w:t>subjects were regarded ineligible (e.g. due to deviations or due to complications secondary to diabetic retinopathy, due to cataract surgery or vitrectomy) and were excluded from the primary analysis of efficacy. Of the 364 remaining patients, 269 evaluable patients (74%) reached 78</w:t>
      </w:r>
      <w:r w:rsidRPr="001775D9">
        <w:rPr>
          <w:szCs w:val="22"/>
          <w:lang w:eastAsia="en-GB"/>
        </w:rPr>
        <w:t> </w:t>
      </w:r>
      <w:r w:rsidRPr="001775D9">
        <w:t>weeks of open-label adalimumab treatment. Based on the observed data approach, 216</w:t>
      </w:r>
      <w:r w:rsidRPr="001775D9">
        <w:rPr>
          <w:szCs w:val="22"/>
          <w:lang w:eastAsia="en-GB"/>
        </w:rPr>
        <w:t> </w:t>
      </w:r>
      <w:r w:rsidRPr="001775D9">
        <w:t>(80.3%) were in quiescence (no active inflammatory lesions, AC cell grade ≤</w:t>
      </w:r>
      <w:r w:rsidRPr="001775D9">
        <w:rPr>
          <w:szCs w:val="22"/>
          <w:lang w:eastAsia="en-GB"/>
        </w:rPr>
        <w:t> </w:t>
      </w:r>
      <w:r w:rsidRPr="001775D9">
        <w:t>0.5+, VH grade ≤</w:t>
      </w:r>
      <w:r w:rsidRPr="001775D9">
        <w:rPr>
          <w:szCs w:val="22"/>
          <w:lang w:eastAsia="en-GB"/>
        </w:rPr>
        <w:t> </w:t>
      </w:r>
      <w:r w:rsidRPr="001775D9">
        <w:t>0.5+) with a concomitant steroid dose ≤</w:t>
      </w:r>
      <w:r w:rsidRPr="001775D9">
        <w:rPr>
          <w:szCs w:val="22"/>
          <w:lang w:eastAsia="en-GB"/>
        </w:rPr>
        <w:t> </w:t>
      </w:r>
      <w:r w:rsidRPr="001775D9">
        <w:t>7.5</w:t>
      </w:r>
      <w:r w:rsidRPr="001775D9">
        <w:rPr>
          <w:szCs w:val="22"/>
          <w:lang w:eastAsia="en-GB"/>
        </w:rPr>
        <w:t> </w:t>
      </w:r>
      <w:r w:rsidRPr="001775D9">
        <w:t>mg per day, and 178</w:t>
      </w:r>
      <w:r w:rsidRPr="001775D9">
        <w:rPr>
          <w:szCs w:val="22"/>
          <w:lang w:eastAsia="en-GB"/>
        </w:rPr>
        <w:t> </w:t>
      </w:r>
      <w:r w:rsidRPr="001775D9">
        <w:t>(66.2%) were in steroid-free quiescence. BCVA was either improved or maintained (&lt;</w:t>
      </w:r>
      <w:r w:rsidRPr="001775D9">
        <w:rPr>
          <w:szCs w:val="22"/>
          <w:lang w:eastAsia="en-GB"/>
        </w:rPr>
        <w:t> </w:t>
      </w:r>
      <w:r w:rsidRPr="001775D9">
        <w:t>5 letters deterioration) in 88.6% of the eyes at week 78. Data beyond week 78 were generally consistent with these results but the number of enrolled subjects declined after this time. Overall, among the patients who discontinued the study, 18% discontinued due to adverse events, and 8% due to insufficient response to adalimumab treatment.</w:t>
      </w:r>
    </w:p>
    <w:p w14:paraId="27240C62" w14:textId="77777777" w:rsidR="001778AA" w:rsidRPr="001775D9" w:rsidRDefault="001778AA" w:rsidP="001778AA">
      <w:pPr>
        <w:tabs>
          <w:tab w:val="clear" w:pos="567"/>
        </w:tabs>
        <w:autoSpaceDE w:val="0"/>
        <w:autoSpaceDN w:val="0"/>
        <w:adjustRightInd w:val="0"/>
        <w:spacing w:line="240" w:lineRule="auto"/>
        <w:rPr>
          <w:i/>
          <w:iCs/>
          <w:szCs w:val="22"/>
          <w:u w:val="single"/>
          <w:lang w:eastAsia="en-GB"/>
        </w:rPr>
      </w:pPr>
    </w:p>
    <w:p w14:paraId="2CFBD69B" w14:textId="77777777" w:rsidR="001778AA" w:rsidRPr="001775D9" w:rsidRDefault="001778AA" w:rsidP="001778AA">
      <w:pPr>
        <w:keepNext/>
        <w:tabs>
          <w:tab w:val="clear" w:pos="567"/>
        </w:tabs>
        <w:autoSpaceDE w:val="0"/>
        <w:autoSpaceDN w:val="0"/>
        <w:adjustRightInd w:val="0"/>
        <w:spacing w:line="240" w:lineRule="auto"/>
        <w:rPr>
          <w:i/>
          <w:iCs/>
          <w:szCs w:val="22"/>
          <w:u w:val="single"/>
          <w:lang w:eastAsia="en-GB"/>
        </w:rPr>
      </w:pPr>
      <w:r w:rsidRPr="001775D9">
        <w:rPr>
          <w:i/>
          <w:iCs/>
          <w:szCs w:val="22"/>
          <w:u w:val="single"/>
          <w:lang w:eastAsia="en-GB"/>
        </w:rPr>
        <w:t>Quality of life</w:t>
      </w:r>
    </w:p>
    <w:p w14:paraId="5464CB54" w14:textId="77777777" w:rsidR="001778AA" w:rsidRPr="001775D9" w:rsidRDefault="001778AA" w:rsidP="001778AA">
      <w:pPr>
        <w:keepNext/>
        <w:tabs>
          <w:tab w:val="clear" w:pos="567"/>
        </w:tabs>
        <w:autoSpaceDE w:val="0"/>
        <w:autoSpaceDN w:val="0"/>
        <w:adjustRightInd w:val="0"/>
        <w:spacing w:line="240" w:lineRule="auto"/>
        <w:rPr>
          <w:i/>
          <w:iCs/>
          <w:szCs w:val="22"/>
          <w:u w:val="single"/>
          <w:lang w:eastAsia="en-GB"/>
        </w:rPr>
      </w:pPr>
    </w:p>
    <w:p w14:paraId="39D9393F" w14:textId="3621CB2D"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Patient reported outcomes regarding vision-related functioning were measured in both clinical studies, using the NEI VFQ-25. Adalimumab was numerically favoured for the majority of subscores with statistically significant mean differences for general vision, ocular pain, near vision, mental health, and total score in study UV I, and for general vision and mental health in study UV II. vision related effects were not numerically in favour of adalimumab for colour vision in study UV</w:t>
      </w:r>
      <w:r w:rsidR="00895D9A" w:rsidRPr="001775D9">
        <w:rPr>
          <w:szCs w:val="22"/>
          <w:lang w:eastAsia="en-GB"/>
        </w:rPr>
        <w:t xml:space="preserve"> </w:t>
      </w:r>
      <w:r w:rsidRPr="001775D9">
        <w:rPr>
          <w:szCs w:val="22"/>
          <w:lang w:eastAsia="en-GB"/>
        </w:rPr>
        <w:t>I and for colour vision, peripheral vision and near vision in study UV II.</w:t>
      </w:r>
    </w:p>
    <w:p w14:paraId="5D75F6A8" w14:textId="77777777" w:rsidR="001778AA" w:rsidRPr="001775D9" w:rsidRDefault="001778AA" w:rsidP="001778AA">
      <w:pPr>
        <w:pStyle w:val="EMEANormal"/>
        <w:keepNext/>
        <w:rPr>
          <w:bCs/>
          <w:szCs w:val="22"/>
          <w:lang w:val="en-GB"/>
        </w:rPr>
      </w:pPr>
    </w:p>
    <w:p w14:paraId="118483E5"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r w:rsidRPr="001775D9">
        <w:rPr>
          <w:color w:val="000000"/>
          <w:szCs w:val="22"/>
          <w:u w:val="single"/>
          <w:lang w:eastAsia="en-GB"/>
        </w:rPr>
        <w:t xml:space="preserve">Immunogenicity </w:t>
      </w:r>
    </w:p>
    <w:p w14:paraId="23C49B25" w14:textId="77777777" w:rsidR="001778AA" w:rsidRPr="001775D9" w:rsidRDefault="001778AA" w:rsidP="001778AA">
      <w:pPr>
        <w:keepNext/>
        <w:suppressLineNumbers/>
        <w:spacing w:line="240" w:lineRule="auto"/>
        <w:rPr>
          <w:b/>
          <w:i/>
          <w:caps/>
          <w:szCs w:val="22"/>
        </w:rPr>
      </w:pPr>
    </w:p>
    <w:p w14:paraId="4880A1B3" w14:textId="595E5F7D" w:rsidR="001778AA" w:rsidRPr="001775D9" w:rsidRDefault="001778AA" w:rsidP="001778AA">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Anti-adalimumab antibodies may develop during adalimumab treatment. Formation of anti</w:t>
      </w:r>
      <w:r w:rsidR="00C656DE" w:rsidRPr="001775D9">
        <w:rPr>
          <w:color w:val="000000"/>
          <w:szCs w:val="22"/>
          <w:lang w:eastAsia="en-GB"/>
        </w:rPr>
        <w:noBreakHyphen/>
      </w:r>
      <w:r w:rsidRPr="001775D9">
        <w:rPr>
          <w:color w:val="000000"/>
          <w:szCs w:val="22"/>
          <w:lang w:eastAsia="en-GB"/>
        </w:rPr>
        <w:t xml:space="preserve">adalimumab antibodies is associated with increased clearance and reduced efficacy of adalimumab. There is no apparent correlation between the presence of anti-adalimumab antibodies and the occurrence of adverse events. </w:t>
      </w:r>
    </w:p>
    <w:p w14:paraId="09C81FE8"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p>
    <w:p w14:paraId="5D7CAC85" w14:textId="77777777" w:rsidR="001778AA" w:rsidRPr="001775D9" w:rsidRDefault="001778AA" w:rsidP="001778AA">
      <w:pPr>
        <w:keepNext/>
        <w:tabs>
          <w:tab w:val="clear" w:pos="567"/>
        </w:tabs>
        <w:autoSpaceDE w:val="0"/>
        <w:autoSpaceDN w:val="0"/>
        <w:adjustRightInd w:val="0"/>
        <w:spacing w:line="240" w:lineRule="auto"/>
        <w:rPr>
          <w:iCs/>
          <w:szCs w:val="22"/>
          <w:u w:val="single"/>
          <w:lang w:eastAsia="en-GB"/>
        </w:rPr>
      </w:pPr>
      <w:r w:rsidRPr="001775D9">
        <w:rPr>
          <w:iCs/>
          <w:szCs w:val="22"/>
          <w:u w:val="single"/>
          <w:lang w:eastAsia="en-GB"/>
        </w:rPr>
        <w:t>Paediatric population</w:t>
      </w:r>
    </w:p>
    <w:p w14:paraId="12F34EB9"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p>
    <w:p w14:paraId="1B1FD1F9" w14:textId="77777777" w:rsidR="001778AA" w:rsidRPr="001775D9" w:rsidRDefault="001778AA" w:rsidP="001778AA">
      <w:pPr>
        <w:keepNext/>
        <w:tabs>
          <w:tab w:val="clear" w:pos="567"/>
        </w:tabs>
        <w:autoSpaceDE w:val="0"/>
        <w:autoSpaceDN w:val="0"/>
        <w:adjustRightInd w:val="0"/>
        <w:spacing w:line="240" w:lineRule="auto"/>
        <w:rPr>
          <w:i/>
          <w:szCs w:val="22"/>
          <w:lang w:eastAsia="en-GB"/>
        </w:rPr>
      </w:pPr>
      <w:r w:rsidRPr="001775D9">
        <w:rPr>
          <w:i/>
          <w:szCs w:val="22"/>
          <w:lang w:eastAsia="en-GB"/>
        </w:rPr>
        <w:t xml:space="preserve">Juvenile idiopathic arthritis (JIA) </w:t>
      </w:r>
    </w:p>
    <w:p w14:paraId="2EC6EADD"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202CFCF9" w14:textId="77777777" w:rsidR="001778AA" w:rsidRPr="001775D9" w:rsidRDefault="001778AA" w:rsidP="001778AA">
      <w:pPr>
        <w:keepNext/>
        <w:tabs>
          <w:tab w:val="clear" w:pos="567"/>
        </w:tabs>
        <w:autoSpaceDE w:val="0"/>
        <w:autoSpaceDN w:val="0"/>
        <w:adjustRightInd w:val="0"/>
        <w:spacing w:line="240" w:lineRule="auto"/>
        <w:rPr>
          <w:i/>
          <w:szCs w:val="22"/>
          <w:u w:val="single"/>
          <w:lang w:eastAsia="en-GB"/>
        </w:rPr>
      </w:pPr>
      <w:r w:rsidRPr="001775D9">
        <w:rPr>
          <w:i/>
          <w:szCs w:val="22"/>
          <w:u w:val="single"/>
          <w:lang w:eastAsia="en-GB"/>
        </w:rPr>
        <w:t xml:space="preserve">Polyarticular juvenile idiopathic arthritis (pJIA) </w:t>
      </w:r>
    </w:p>
    <w:p w14:paraId="78F1AA61"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6A2247D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The safety and efficacy of </w:t>
      </w:r>
      <w:r w:rsidRPr="001775D9">
        <w:rPr>
          <w:rFonts w:eastAsia="Times New Roman"/>
          <w:color w:val="000000"/>
          <w:szCs w:val="22"/>
        </w:rPr>
        <w:t>adalimumab</w:t>
      </w:r>
      <w:r w:rsidRPr="001775D9">
        <w:rPr>
          <w:szCs w:val="22"/>
          <w:lang w:eastAsia="en-GB"/>
        </w:rPr>
        <w:t xml:space="preserve"> was assessed in two studies (pJIA I and II) in children with active polyarticular or polyarticular course juvenile idiopathic arthritis, who had a variety of JIA onset types (most frequently rheumatoid-factor negative or positive polyarthritis and extended oligoarthritis). </w:t>
      </w:r>
    </w:p>
    <w:p w14:paraId="402B060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D923AB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pJIA-I </w:t>
      </w:r>
    </w:p>
    <w:p w14:paraId="7DE35CF6" w14:textId="77777777" w:rsidR="001778AA" w:rsidRPr="001775D9" w:rsidRDefault="001778AA" w:rsidP="001778AA">
      <w:pPr>
        <w:spacing w:line="240" w:lineRule="auto"/>
        <w:rPr>
          <w:szCs w:val="22"/>
          <w:lang w:eastAsia="en-GB"/>
        </w:rPr>
      </w:pPr>
    </w:p>
    <w:p w14:paraId="16724B72" w14:textId="14821854" w:rsidR="001778AA" w:rsidRPr="001775D9" w:rsidRDefault="001778AA" w:rsidP="001778AA">
      <w:pPr>
        <w:spacing w:line="240" w:lineRule="auto"/>
        <w:rPr>
          <w:szCs w:val="22"/>
        </w:rPr>
      </w:pPr>
      <w:r w:rsidRPr="001775D9">
        <w:rPr>
          <w:szCs w:val="22"/>
          <w:lang w:eastAsia="en-GB"/>
        </w:rPr>
        <w:t xml:space="preserve">The safety and efficacy of </w:t>
      </w:r>
      <w:r w:rsidRPr="001775D9">
        <w:rPr>
          <w:rFonts w:eastAsia="Times New Roman"/>
          <w:color w:val="000000"/>
          <w:szCs w:val="22"/>
        </w:rPr>
        <w:t>adalimumab</w:t>
      </w:r>
      <w:r w:rsidRPr="001775D9">
        <w:rPr>
          <w:szCs w:val="22"/>
          <w:lang w:eastAsia="en-GB"/>
        </w:rPr>
        <w:t xml:space="preserve"> were assessed in a multicentre, randomised, double-blind, parallel-group study in 171 children (4-17</w:t>
      </w:r>
      <w:r w:rsidRPr="001775D9">
        <w:rPr>
          <w:szCs w:val="22"/>
        </w:rPr>
        <w:t> </w:t>
      </w:r>
      <w:r w:rsidRPr="001775D9">
        <w:rPr>
          <w:szCs w:val="22"/>
          <w:lang w:eastAsia="en-GB"/>
        </w:rPr>
        <w:t>years old) with polyarticular JIA. In the open-label lead in phase (OL LI) patients were stratified into two groups, MTX (methotrexate)-treated or non-</w:t>
      </w:r>
      <w:r w:rsidRPr="001775D9">
        <w:rPr>
          <w:szCs w:val="22"/>
        </w:rPr>
        <w:t>MTX-treated. Patients who were in the non-MTX stratum were either naïve to or had been withdrawn from MTX at least two weeks prior to study drug administration. Patients remained on stable doses of non</w:t>
      </w:r>
      <w:r w:rsidR="00C656DE" w:rsidRPr="001775D9">
        <w:rPr>
          <w:szCs w:val="22"/>
        </w:rPr>
        <w:noBreakHyphen/>
      </w:r>
      <w:r w:rsidRPr="001775D9">
        <w:rPr>
          <w:szCs w:val="22"/>
        </w:rPr>
        <w:t>steroidal anti-inflammatory drugs (NSAIDs) and or prednisone (≤ 0.2 mg/kg/day or 10 mg/day maximum). In the OL LI phase all patients received 24 mg/m</w:t>
      </w:r>
      <w:r w:rsidRPr="001775D9">
        <w:rPr>
          <w:szCs w:val="22"/>
          <w:vertAlign w:val="superscript"/>
        </w:rPr>
        <w:t>2</w:t>
      </w:r>
      <w:r w:rsidRPr="001775D9">
        <w:rPr>
          <w:szCs w:val="22"/>
        </w:rPr>
        <w:t xml:space="preserve"> up to a maximum of 40 mg </w:t>
      </w:r>
      <w:r w:rsidRPr="001775D9">
        <w:rPr>
          <w:rFonts w:eastAsia="Times New Roman"/>
          <w:color w:val="000000"/>
          <w:szCs w:val="22"/>
        </w:rPr>
        <w:t>adalimumab</w:t>
      </w:r>
      <w:r w:rsidRPr="001775D9">
        <w:rPr>
          <w:szCs w:val="22"/>
        </w:rPr>
        <w:t xml:space="preserve"> every other week for 16 weeks. The distribution of patients by age and minimum, median and maximum dose received during the OL LI phase is presented in </w:t>
      </w:r>
      <w:r w:rsidRPr="001775D9">
        <w:rPr>
          <w:szCs w:val="22"/>
          <w:lang w:eastAsia="en-GB"/>
        </w:rPr>
        <w:t>table</w:t>
      </w:r>
      <w:r w:rsidRPr="001775D9">
        <w:rPr>
          <w:szCs w:val="22"/>
        </w:rPr>
        <w:t xml:space="preserve"> 25.</w:t>
      </w:r>
    </w:p>
    <w:p w14:paraId="39C5147A" w14:textId="77777777" w:rsidR="001778AA" w:rsidRPr="001775D9" w:rsidRDefault="001778AA" w:rsidP="001778AA">
      <w:pPr>
        <w:spacing w:line="240" w:lineRule="auto"/>
        <w:rPr>
          <w:szCs w:val="22"/>
        </w:rPr>
      </w:pPr>
    </w:p>
    <w:p w14:paraId="58AF71C6" w14:textId="77777777" w:rsidR="001778AA" w:rsidRPr="001775D9" w:rsidRDefault="001778AA" w:rsidP="001778AA">
      <w:pPr>
        <w:keepNext/>
        <w:tabs>
          <w:tab w:val="clear" w:pos="567"/>
        </w:tabs>
        <w:autoSpaceDE w:val="0"/>
        <w:autoSpaceDN w:val="0"/>
        <w:adjustRightInd w:val="0"/>
        <w:spacing w:line="240" w:lineRule="auto"/>
        <w:rPr>
          <w:b/>
          <w:szCs w:val="22"/>
          <w:lang w:eastAsia="en-GB"/>
        </w:rPr>
      </w:pPr>
      <w:r w:rsidRPr="001775D9">
        <w:rPr>
          <w:b/>
          <w:szCs w:val="22"/>
          <w:lang w:eastAsia="en-GB"/>
        </w:rPr>
        <w:t>Table 25. Distribution of patients by age and adalimumab dose received during the OL LI phase</w:t>
      </w:r>
    </w:p>
    <w:p w14:paraId="5DAC9085"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4"/>
        <w:gridCol w:w="3024"/>
        <w:gridCol w:w="3024"/>
      </w:tblGrid>
      <w:tr w:rsidR="001778AA" w:rsidRPr="00F04F82" w14:paraId="758C2775" w14:textId="77777777" w:rsidTr="00D47253">
        <w:trPr>
          <w:trHeight w:val="293"/>
        </w:trPr>
        <w:tc>
          <w:tcPr>
            <w:tcW w:w="3024" w:type="dxa"/>
          </w:tcPr>
          <w:p w14:paraId="4031251E"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b/>
                <w:bCs/>
                <w:szCs w:val="22"/>
                <w:lang w:eastAsia="en-GB"/>
              </w:rPr>
              <w:t xml:space="preserve">Age Group </w:t>
            </w:r>
          </w:p>
        </w:tc>
        <w:tc>
          <w:tcPr>
            <w:tcW w:w="3024" w:type="dxa"/>
          </w:tcPr>
          <w:p w14:paraId="3869D1D5"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Number of patients at baseline n (%)</w:t>
            </w:r>
          </w:p>
        </w:tc>
        <w:tc>
          <w:tcPr>
            <w:tcW w:w="3024" w:type="dxa"/>
          </w:tcPr>
          <w:p w14:paraId="4EA39B5D"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b/>
                <w:bCs/>
                <w:szCs w:val="22"/>
                <w:lang w:eastAsia="en-GB"/>
              </w:rPr>
              <w:t>Minimum, median and maximum dose</w:t>
            </w:r>
          </w:p>
        </w:tc>
      </w:tr>
      <w:tr w:rsidR="001778AA" w:rsidRPr="00F04F82" w14:paraId="7A035C61" w14:textId="77777777" w:rsidTr="00D47253">
        <w:trPr>
          <w:trHeight w:val="147"/>
        </w:trPr>
        <w:tc>
          <w:tcPr>
            <w:tcW w:w="3024" w:type="dxa"/>
          </w:tcPr>
          <w:p w14:paraId="1CD2AA31"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 xml:space="preserve">4 to 7 years </w:t>
            </w:r>
          </w:p>
        </w:tc>
        <w:tc>
          <w:tcPr>
            <w:tcW w:w="3024" w:type="dxa"/>
          </w:tcPr>
          <w:p w14:paraId="58D7E8D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31 (18.1)</w:t>
            </w:r>
          </w:p>
        </w:tc>
        <w:tc>
          <w:tcPr>
            <w:tcW w:w="3024" w:type="dxa"/>
          </w:tcPr>
          <w:p w14:paraId="6E0CBEDF"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lang w:eastAsia="en-GB"/>
              </w:rPr>
              <w:t>10, 20 and 25</w:t>
            </w:r>
            <w:r w:rsidRPr="001775D9">
              <w:rPr>
                <w:szCs w:val="22"/>
              </w:rPr>
              <w:t> </w:t>
            </w:r>
            <w:r w:rsidRPr="001775D9">
              <w:rPr>
                <w:szCs w:val="22"/>
                <w:lang w:eastAsia="en-GB"/>
              </w:rPr>
              <w:t>mg</w:t>
            </w:r>
          </w:p>
        </w:tc>
      </w:tr>
      <w:tr w:rsidR="001778AA" w:rsidRPr="00F04F82" w14:paraId="48FC970F" w14:textId="77777777" w:rsidTr="00D47253">
        <w:trPr>
          <w:trHeight w:val="147"/>
        </w:trPr>
        <w:tc>
          <w:tcPr>
            <w:tcW w:w="3024" w:type="dxa"/>
          </w:tcPr>
          <w:p w14:paraId="6DFC00AD"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8 to 12 years </w:t>
            </w:r>
          </w:p>
        </w:tc>
        <w:tc>
          <w:tcPr>
            <w:tcW w:w="3024" w:type="dxa"/>
          </w:tcPr>
          <w:p w14:paraId="77B2EE65"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71 (41.5)</w:t>
            </w:r>
          </w:p>
        </w:tc>
        <w:tc>
          <w:tcPr>
            <w:tcW w:w="3024" w:type="dxa"/>
          </w:tcPr>
          <w:p w14:paraId="26709B25"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20, 25 and 40</w:t>
            </w:r>
            <w:r w:rsidRPr="001775D9">
              <w:rPr>
                <w:szCs w:val="22"/>
              </w:rPr>
              <w:t> </w:t>
            </w:r>
            <w:r w:rsidRPr="001775D9">
              <w:rPr>
                <w:szCs w:val="22"/>
                <w:lang w:eastAsia="en-GB"/>
              </w:rPr>
              <w:t>mg</w:t>
            </w:r>
          </w:p>
        </w:tc>
      </w:tr>
      <w:tr w:rsidR="001778AA" w:rsidRPr="00F04F82" w14:paraId="37245B92" w14:textId="77777777" w:rsidTr="00D47253">
        <w:trPr>
          <w:trHeight w:val="147"/>
        </w:trPr>
        <w:tc>
          <w:tcPr>
            <w:tcW w:w="3024" w:type="dxa"/>
          </w:tcPr>
          <w:p w14:paraId="1D3BF245"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 xml:space="preserve">13 to 17 years </w:t>
            </w:r>
          </w:p>
        </w:tc>
        <w:tc>
          <w:tcPr>
            <w:tcW w:w="3024" w:type="dxa"/>
          </w:tcPr>
          <w:p w14:paraId="1FC9F00C"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69 (40.4)</w:t>
            </w:r>
          </w:p>
        </w:tc>
        <w:tc>
          <w:tcPr>
            <w:tcW w:w="3024" w:type="dxa"/>
          </w:tcPr>
          <w:p w14:paraId="210AD1EE"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25, 40 and 40</w:t>
            </w:r>
            <w:r w:rsidRPr="001775D9">
              <w:rPr>
                <w:szCs w:val="22"/>
              </w:rPr>
              <w:t> </w:t>
            </w:r>
            <w:r w:rsidRPr="001775D9">
              <w:rPr>
                <w:szCs w:val="22"/>
                <w:lang w:eastAsia="en-GB"/>
              </w:rPr>
              <w:t>mg</w:t>
            </w:r>
          </w:p>
        </w:tc>
      </w:tr>
    </w:tbl>
    <w:p w14:paraId="08D9CE27" w14:textId="77777777" w:rsidR="001778AA" w:rsidRPr="001775D9" w:rsidRDefault="001778AA" w:rsidP="001778AA">
      <w:pPr>
        <w:spacing w:line="240" w:lineRule="auto"/>
        <w:rPr>
          <w:szCs w:val="22"/>
        </w:rPr>
      </w:pPr>
    </w:p>
    <w:p w14:paraId="26C6670A" w14:textId="4A7E55F4" w:rsidR="001778AA" w:rsidRPr="001775D9" w:rsidRDefault="001778AA" w:rsidP="001778AA">
      <w:pPr>
        <w:spacing w:line="240" w:lineRule="auto"/>
        <w:rPr>
          <w:szCs w:val="22"/>
        </w:rPr>
      </w:pPr>
      <w:r w:rsidRPr="001775D9">
        <w:rPr>
          <w:szCs w:val="22"/>
        </w:rPr>
        <w:t xml:space="preserve">Patients demonstrating a paediatric ACR 30 response at </w:t>
      </w:r>
      <w:r w:rsidRPr="001775D9">
        <w:rPr>
          <w:szCs w:val="22"/>
          <w:lang w:eastAsia="en-GB"/>
        </w:rPr>
        <w:t>week</w:t>
      </w:r>
      <w:r w:rsidRPr="001775D9">
        <w:rPr>
          <w:szCs w:val="22"/>
        </w:rPr>
        <w:t xml:space="preserve"> 16 were eligible to be randomised into the double</w:t>
      </w:r>
      <w:r w:rsidR="00E24D6F" w:rsidRPr="001775D9">
        <w:rPr>
          <w:szCs w:val="22"/>
        </w:rPr>
        <w:t xml:space="preserve"> </w:t>
      </w:r>
      <w:r w:rsidRPr="001775D9">
        <w:rPr>
          <w:szCs w:val="22"/>
        </w:rPr>
        <w:t xml:space="preserve">blind (DB) phase and received either </w:t>
      </w:r>
      <w:r w:rsidRPr="001775D9">
        <w:rPr>
          <w:rFonts w:eastAsia="Times New Roman"/>
          <w:color w:val="000000"/>
          <w:szCs w:val="22"/>
        </w:rPr>
        <w:t>adalimumab</w:t>
      </w:r>
      <w:r w:rsidRPr="001775D9">
        <w:rPr>
          <w:szCs w:val="22"/>
        </w:rPr>
        <w:t xml:space="preserve"> 24 mg/m</w:t>
      </w:r>
      <w:r w:rsidRPr="001775D9">
        <w:rPr>
          <w:szCs w:val="22"/>
          <w:vertAlign w:val="superscript"/>
        </w:rPr>
        <w:t>2</w:t>
      </w:r>
      <w:r w:rsidRPr="001775D9">
        <w:rPr>
          <w:szCs w:val="22"/>
        </w:rPr>
        <w:t xml:space="preserve"> up to a maximum of 40 mg, or placebo every other week for an additional 32 weeks or until disease flare. Disease flare criteria were defined as a worsening of ≥ 30% from baseline in ≥ 3 of 6 paediatric ACR core criteria, ≥ 2 active joints, and improvement of &gt; 30% in no more than 1 of the 6 criteria. After 32 weeks or at disease flare, patients were eligible to enrol into the open-label extension phase.</w:t>
      </w:r>
    </w:p>
    <w:p w14:paraId="246BBF4E" w14:textId="77777777" w:rsidR="001778AA" w:rsidRPr="001775D9" w:rsidRDefault="001778AA" w:rsidP="001778AA">
      <w:pPr>
        <w:spacing w:line="240" w:lineRule="auto"/>
        <w:rPr>
          <w:szCs w:val="22"/>
        </w:rPr>
      </w:pPr>
    </w:p>
    <w:p w14:paraId="5496D08D" w14:textId="77777777" w:rsidR="001778AA" w:rsidRPr="001775D9" w:rsidRDefault="001778AA" w:rsidP="001778AA">
      <w:pPr>
        <w:keepNext/>
        <w:keepLines/>
        <w:tabs>
          <w:tab w:val="clear" w:pos="567"/>
        </w:tabs>
        <w:autoSpaceDE w:val="0"/>
        <w:autoSpaceDN w:val="0"/>
        <w:adjustRightInd w:val="0"/>
        <w:spacing w:line="240" w:lineRule="auto"/>
        <w:rPr>
          <w:b/>
          <w:color w:val="000000"/>
          <w:szCs w:val="22"/>
          <w:lang w:eastAsia="en-GB"/>
        </w:rPr>
      </w:pPr>
      <w:r w:rsidRPr="001775D9">
        <w:rPr>
          <w:b/>
          <w:color w:val="000000"/>
          <w:szCs w:val="22"/>
          <w:lang w:eastAsia="en-GB"/>
        </w:rPr>
        <w:t>Table 26. Paediatric ACR 30 responses in the JIA study</w:t>
      </w:r>
    </w:p>
    <w:p w14:paraId="38CB9A6C" w14:textId="77777777" w:rsidR="001778AA" w:rsidRPr="001775D9" w:rsidRDefault="001778AA" w:rsidP="001778AA">
      <w:pPr>
        <w:keepNext/>
        <w:keepLines/>
        <w:tabs>
          <w:tab w:val="clear" w:pos="567"/>
        </w:tabs>
        <w:autoSpaceDE w:val="0"/>
        <w:autoSpaceDN w:val="0"/>
        <w:adjustRightInd w:val="0"/>
        <w:spacing w:line="240" w:lineRule="auto"/>
        <w:rPr>
          <w:color w:val="000000"/>
          <w:szCs w:val="22"/>
          <w:lang w:eastAsia="en-GB"/>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701"/>
        <w:gridCol w:w="1701"/>
        <w:gridCol w:w="1701"/>
        <w:gridCol w:w="1701"/>
      </w:tblGrid>
      <w:tr w:rsidR="001778AA" w:rsidRPr="00F04F82" w14:paraId="1C467D26" w14:textId="77777777" w:rsidTr="00D47253">
        <w:trPr>
          <w:trHeight w:val="149"/>
        </w:trPr>
        <w:tc>
          <w:tcPr>
            <w:tcW w:w="2268" w:type="dxa"/>
          </w:tcPr>
          <w:p w14:paraId="75EFFBF8"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Stratum </w:t>
            </w:r>
          </w:p>
        </w:tc>
        <w:tc>
          <w:tcPr>
            <w:tcW w:w="3402" w:type="dxa"/>
            <w:gridSpan w:val="2"/>
          </w:tcPr>
          <w:p w14:paraId="12A25806"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MTX</w:t>
            </w:r>
          </w:p>
        </w:tc>
        <w:tc>
          <w:tcPr>
            <w:tcW w:w="3402" w:type="dxa"/>
            <w:gridSpan w:val="2"/>
          </w:tcPr>
          <w:p w14:paraId="7917ACA0"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Without MTX</w:t>
            </w:r>
          </w:p>
        </w:tc>
      </w:tr>
      <w:tr w:rsidR="001778AA" w:rsidRPr="00F04F82" w14:paraId="2E3CDC9F" w14:textId="77777777" w:rsidTr="00D47253">
        <w:trPr>
          <w:trHeight w:val="149"/>
        </w:trPr>
        <w:tc>
          <w:tcPr>
            <w:tcW w:w="9072" w:type="dxa"/>
            <w:gridSpan w:val="5"/>
          </w:tcPr>
          <w:p w14:paraId="573BDA91"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Phase </w:t>
            </w:r>
          </w:p>
        </w:tc>
      </w:tr>
      <w:tr w:rsidR="001778AA" w:rsidRPr="00F04F82" w14:paraId="69A9AA51" w14:textId="77777777" w:rsidTr="00D47253">
        <w:trPr>
          <w:trHeight w:val="147"/>
        </w:trPr>
        <w:tc>
          <w:tcPr>
            <w:tcW w:w="2268" w:type="dxa"/>
          </w:tcPr>
          <w:p w14:paraId="6FE88179"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OL-LI 16 weeks </w:t>
            </w:r>
          </w:p>
        </w:tc>
        <w:tc>
          <w:tcPr>
            <w:tcW w:w="3402" w:type="dxa"/>
            <w:gridSpan w:val="2"/>
          </w:tcPr>
          <w:p w14:paraId="45BBE443"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p>
        </w:tc>
        <w:tc>
          <w:tcPr>
            <w:tcW w:w="3402" w:type="dxa"/>
            <w:gridSpan w:val="2"/>
          </w:tcPr>
          <w:p w14:paraId="5430A7FE"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p>
        </w:tc>
      </w:tr>
      <w:tr w:rsidR="001778AA" w:rsidRPr="00F04F82" w14:paraId="5CB3CBCC" w14:textId="77777777" w:rsidTr="00D47253">
        <w:trPr>
          <w:trHeight w:val="283"/>
        </w:trPr>
        <w:tc>
          <w:tcPr>
            <w:tcW w:w="2268" w:type="dxa"/>
          </w:tcPr>
          <w:p w14:paraId="2CF7C69C" w14:textId="77777777" w:rsidR="001778AA" w:rsidRPr="00D55B59" w:rsidRDefault="001778AA" w:rsidP="00D47253">
            <w:pPr>
              <w:keepNext/>
              <w:keepLines/>
              <w:tabs>
                <w:tab w:val="clear" w:pos="567"/>
              </w:tabs>
              <w:autoSpaceDE w:val="0"/>
              <w:autoSpaceDN w:val="0"/>
              <w:adjustRightInd w:val="0"/>
              <w:spacing w:line="240" w:lineRule="auto"/>
              <w:rPr>
                <w:szCs w:val="22"/>
                <w:lang w:eastAsia="en-GB"/>
                <w:rPrChange w:id="1879" w:author="Author">
                  <w:rPr>
                    <w:szCs w:val="22"/>
                    <w:lang w:val="pt-PT" w:eastAsia="en-GB"/>
                  </w:rPr>
                </w:rPrChange>
              </w:rPr>
            </w:pPr>
            <w:r w:rsidRPr="00D55B59">
              <w:rPr>
                <w:color w:val="000000"/>
                <w:szCs w:val="22"/>
                <w:lang w:eastAsia="en-GB"/>
                <w:rPrChange w:id="1880" w:author="Author">
                  <w:rPr>
                    <w:color w:val="000000"/>
                    <w:szCs w:val="22"/>
                    <w:lang w:val="pt-PT" w:eastAsia="en-GB"/>
                  </w:rPr>
                </w:rPrChange>
              </w:rPr>
              <w:t>Paediatric</w:t>
            </w:r>
            <w:r w:rsidRPr="00D55B59">
              <w:rPr>
                <w:szCs w:val="22"/>
                <w:lang w:eastAsia="en-GB"/>
                <w:rPrChange w:id="1881" w:author="Author">
                  <w:rPr>
                    <w:szCs w:val="22"/>
                    <w:lang w:val="pt-PT" w:eastAsia="en-GB"/>
                  </w:rPr>
                </w:rPrChange>
              </w:rPr>
              <w:t xml:space="preserve"> ACR 30 response (n/N)</w:t>
            </w:r>
          </w:p>
        </w:tc>
        <w:tc>
          <w:tcPr>
            <w:tcW w:w="3402" w:type="dxa"/>
            <w:gridSpan w:val="2"/>
          </w:tcPr>
          <w:p w14:paraId="388B18B4"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94.1% (80/85)</w:t>
            </w:r>
          </w:p>
        </w:tc>
        <w:tc>
          <w:tcPr>
            <w:tcW w:w="3402" w:type="dxa"/>
            <w:gridSpan w:val="2"/>
          </w:tcPr>
          <w:p w14:paraId="4B3F768D"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74.4% (64/86)</w:t>
            </w:r>
          </w:p>
        </w:tc>
      </w:tr>
      <w:tr w:rsidR="001778AA" w:rsidRPr="00F04F82" w14:paraId="6A8B93C9" w14:textId="77777777" w:rsidTr="00D47253">
        <w:trPr>
          <w:trHeight w:val="147"/>
        </w:trPr>
        <w:tc>
          <w:tcPr>
            <w:tcW w:w="9072" w:type="dxa"/>
            <w:gridSpan w:val="5"/>
          </w:tcPr>
          <w:p w14:paraId="789E435F"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Efficacy Outcomes</w:t>
            </w:r>
          </w:p>
        </w:tc>
      </w:tr>
      <w:tr w:rsidR="001778AA" w:rsidRPr="00F04F82" w14:paraId="18F2E982" w14:textId="77777777" w:rsidTr="00D47253">
        <w:trPr>
          <w:trHeight w:val="283"/>
        </w:trPr>
        <w:tc>
          <w:tcPr>
            <w:tcW w:w="2268" w:type="dxa"/>
          </w:tcPr>
          <w:p w14:paraId="07B18507" w14:textId="41E74104"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Double</w:t>
            </w:r>
            <w:r w:rsidR="00DA23EE" w:rsidRPr="001775D9">
              <w:rPr>
                <w:szCs w:val="22"/>
                <w:lang w:eastAsia="en-GB"/>
              </w:rPr>
              <w:t xml:space="preserve"> </w:t>
            </w:r>
            <w:r w:rsidRPr="001775D9">
              <w:rPr>
                <w:szCs w:val="22"/>
                <w:lang w:eastAsia="en-GB"/>
              </w:rPr>
              <w:t>blind 32</w:t>
            </w:r>
            <w:r w:rsidRPr="001775D9">
              <w:rPr>
                <w:szCs w:val="22"/>
              </w:rPr>
              <w:t> </w:t>
            </w:r>
            <w:r w:rsidRPr="001775D9">
              <w:rPr>
                <w:szCs w:val="22"/>
                <w:lang w:eastAsia="en-GB"/>
              </w:rPr>
              <w:t xml:space="preserve">weeks </w:t>
            </w:r>
          </w:p>
        </w:tc>
        <w:tc>
          <w:tcPr>
            <w:tcW w:w="1701" w:type="dxa"/>
          </w:tcPr>
          <w:p w14:paraId="40490C73"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rFonts w:eastAsia="Times New Roman"/>
                <w:color w:val="000000"/>
                <w:szCs w:val="22"/>
              </w:rPr>
              <w:t>Adalimumab</w:t>
            </w:r>
            <w:r w:rsidRPr="001775D9">
              <w:rPr>
                <w:szCs w:val="22"/>
                <w:lang w:eastAsia="en-GB"/>
              </w:rPr>
              <w:t xml:space="preserve"> / MTX</w:t>
            </w:r>
          </w:p>
          <w:p w14:paraId="4D6F6660"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38)</w:t>
            </w:r>
          </w:p>
        </w:tc>
        <w:tc>
          <w:tcPr>
            <w:tcW w:w="1701" w:type="dxa"/>
          </w:tcPr>
          <w:p w14:paraId="45B75F78"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Placebo / MTX</w:t>
            </w:r>
          </w:p>
          <w:p w14:paraId="26D65C55"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37)</w:t>
            </w:r>
          </w:p>
        </w:tc>
        <w:tc>
          <w:tcPr>
            <w:tcW w:w="1701" w:type="dxa"/>
          </w:tcPr>
          <w:p w14:paraId="08A0E546"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rFonts w:eastAsia="Times New Roman"/>
                <w:color w:val="000000"/>
                <w:szCs w:val="22"/>
              </w:rPr>
              <w:t>Adalimumab</w:t>
            </w:r>
            <w:r w:rsidRPr="001775D9">
              <w:rPr>
                <w:szCs w:val="22"/>
              </w:rPr>
              <w:t xml:space="preserve"> </w:t>
            </w: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30)</w:t>
            </w:r>
          </w:p>
        </w:tc>
        <w:tc>
          <w:tcPr>
            <w:tcW w:w="1701" w:type="dxa"/>
          </w:tcPr>
          <w:p w14:paraId="1F887158"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Placebo</w:t>
            </w:r>
          </w:p>
          <w:p w14:paraId="5070F850"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(N</w:t>
            </w:r>
            <w:r w:rsidRPr="001775D9">
              <w:rPr>
                <w:szCs w:val="22"/>
              </w:rPr>
              <w:t> </w:t>
            </w:r>
            <w:r w:rsidRPr="001775D9">
              <w:rPr>
                <w:szCs w:val="22"/>
                <w:lang w:eastAsia="en-GB"/>
              </w:rPr>
              <w:t>=</w:t>
            </w:r>
            <w:r w:rsidRPr="001775D9">
              <w:rPr>
                <w:szCs w:val="22"/>
              </w:rPr>
              <w:t> </w:t>
            </w:r>
            <w:r w:rsidRPr="001775D9">
              <w:rPr>
                <w:szCs w:val="22"/>
                <w:lang w:eastAsia="en-GB"/>
              </w:rPr>
              <w:t>28)</w:t>
            </w:r>
          </w:p>
        </w:tc>
      </w:tr>
      <w:tr w:rsidR="001778AA" w:rsidRPr="00F04F82" w14:paraId="11D7E18F" w14:textId="77777777" w:rsidTr="00D47253">
        <w:trPr>
          <w:trHeight w:val="426"/>
        </w:trPr>
        <w:tc>
          <w:tcPr>
            <w:tcW w:w="2268" w:type="dxa"/>
          </w:tcPr>
          <w:p w14:paraId="39F4EEE7"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Disease flares at the end of 32</w:t>
            </w:r>
            <w:r w:rsidRPr="001775D9">
              <w:rPr>
                <w:szCs w:val="22"/>
              </w:rPr>
              <w:t> </w:t>
            </w:r>
            <w:r w:rsidRPr="001775D9">
              <w:rPr>
                <w:szCs w:val="22"/>
                <w:lang w:eastAsia="en-GB"/>
              </w:rPr>
              <w:t>weeks</w:t>
            </w:r>
            <w:r w:rsidRPr="001775D9">
              <w:rPr>
                <w:szCs w:val="22"/>
                <w:vertAlign w:val="superscript"/>
                <w:lang w:eastAsia="en-GB"/>
              </w:rPr>
              <w:t>a</w:t>
            </w:r>
            <w:r w:rsidRPr="001775D9">
              <w:rPr>
                <w:szCs w:val="22"/>
                <w:lang w:eastAsia="en-GB"/>
              </w:rPr>
              <w:t xml:space="preserve"> (n/N) </w:t>
            </w:r>
          </w:p>
        </w:tc>
        <w:tc>
          <w:tcPr>
            <w:tcW w:w="1701" w:type="dxa"/>
          </w:tcPr>
          <w:p w14:paraId="047DE31F"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36.8% (14/38)</w:t>
            </w:r>
          </w:p>
        </w:tc>
        <w:tc>
          <w:tcPr>
            <w:tcW w:w="1701" w:type="dxa"/>
          </w:tcPr>
          <w:p w14:paraId="6C7ECF83"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64.9% (24/37)</w:t>
            </w:r>
            <w:r w:rsidRPr="001775D9">
              <w:rPr>
                <w:szCs w:val="22"/>
                <w:vertAlign w:val="superscript"/>
                <w:lang w:eastAsia="en-GB"/>
              </w:rPr>
              <w:t>b</w:t>
            </w:r>
          </w:p>
        </w:tc>
        <w:tc>
          <w:tcPr>
            <w:tcW w:w="1701" w:type="dxa"/>
          </w:tcPr>
          <w:p w14:paraId="57EBB7B8"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43.3% (13/30)</w:t>
            </w:r>
          </w:p>
        </w:tc>
        <w:tc>
          <w:tcPr>
            <w:tcW w:w="1701" w:type="dxa"/>
          </w:tcPr>
          <w:p w14:paraId="08F3F3AD"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71.4% (20/28)</w:t>
            </w:r>
            <w:r w:rsidRPr="001775D9">
              <w:rPr>
                <w:szCs w:val="22"/>
                <w:vertAlign w:val="superscript"/>
                <w:lang w:eastAsia="en-GB"/>
              </w:rPr>
              <w:t>c</w:t>
            </w:r>
          </w:p>
        </w:tc>
      </w:tr>
      <w:tr w:rsidR="001778AA" w:rsidRPr="00F04F82" w14:paraId="22C30347" w14:textId="77777777" w:rsidTr="00D47253">
        <w:trPr>
          <w:trHeight w:val="70"/>
        </w:trPr>
        <w:tc>
          <w:tcPr>
            <w:tcW w:w="2268" w:type="dxa"/>
          </w:tcPr>
          <w:p w14:paraId="21F4D6C9"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 xml:space="preserve">Median time to disease flare </w:t>
            </w:r>
          </w:p>
        </w:tc>
        <w:tc>
          <w:tcPr>
            <w:tcW w:w="1701" w:type="dxa"/>
          </w:tcPr>
          <w:p w14:paraId="48E09A76"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&gt;</w:t>
            </w:r>
            <w:r w:rsidRPr="001775D9">
              <w:rPr>
                <w:szCs w:val="22"/>
              </w:rPr>
              <w:t> </w:t>
            </w:r>
            <w:r w:rsidRPr="001775D9">
              <w:rPr>
                <w:szCs w:val="22"/>
                <w:lang w:eastAsia="en-GB"/>
              </w:rPr>
              <w:t>32</w:t>
            </w:r>
            <w:r w:rsidRPr="001775D9">
              <w:rPr>
                <w:szCs w:val="22"/>
              </w:rPr>
              <w:t> </w:t>
            </w:r>
            <w:r w:rsidRPr="001775D9">
              <w:rPr>
                <w:szCs w:val="22"/>
                <w:lang w:eastAsia="en-GB"/>
              </w:rPr>
              <w:t>weeks</w:t>
            </w:r>
          </w:p>
        </w:tc>
        <w:tc>
          <w:tcPr>
            <w:tcW w:w="1701" w:type="dxa"/>
          </w:tcPr>
          <w:p w14:paraId="6B92789B"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20</w:t>
            </w:r>
            <w:r w:rsidRPr="001775D9">
              <w:rPr>
                <w:szCs w:val="22"/>
              </w:rPr>
              <w:t> </w:t>
            </w:r>
            <w:r w:rsidRPr="001775D9">
              <w:rPr>
                <w:szCs w:val="22"/>
                <w:lang w:eastAsia="en-GB"/>
              </w:rPr>
              <w:t>weeks</w:t>
            </w:r>
          </w:p>
        </w:tc>
        <w:tc>
          <w:tcPr>
            <w:tcW w:w="1701" w:type="dxa"/>
          </w:tcPr>
          <w:p w14:paraId="6D29C70B"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&gt;</w:t>
            </w:r>
            <w:r w:rsidRPr="001775D9">
              <w:rPr>
                <w:szCs w:val="22"/>
              </w:rPr>
              <w:t> </w:t>
            </w:r>
            <w:r w:rsidRPr="001775D9">
              <w:rPr>
                <w:szCs w:val="22"/>
                <w:lang w:eastAsia="en-GB"/>
              </w:rPr>
              <w:t>32</w:t>
            </w:r>
            <w:r w:rsidRPr="001775D9">
              <w:rPr>
                <w:szCs w:val="22"/>
              </w:rPr>
              <w:t> </w:t>
            </w:r>
            <w:r w:rsidRPr="001775D9">
              <w:rPr>
                <w:szCs w:val="22"/>
                <w:lang w:eastAsia="en-GB"/>
              </w:rPr>
              <w:t>weeks</w:t>
            </w:r>
          </w:p>
        </w:tc>
        <w:tc>
          <w:tcPr>
            <w:tcW w:w="1701" w:type="dxa"/>
          </w:tcPr>
          <w:p w14:paraId="76C5F132"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14</w:t>
            </w:r>
            <w:r w:rsidRPr="001775D9">
              <w:rPr>
                <w:szCs w:val="22"/>
              </w:rPr>
              <w:t> </w:t>
            </w:r>
            <w:r w:rsidRPr="001775D9">
              <w:rPr>
                <w:szCs w:val="22"/>
                <w:lang w:eastAsia="en-GB"/>
              </w:rPr>
              <w:t>weeks</w:t>
            </w:r>
          </w:p>
        </w:tc>
      </w:tr>
    </w:tbl>
    <w:p w14:paraId="2E6174DD"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w:t>
      </w:r>
      <w:r w:rsidRPr="001775D9">
        <w:rPr>
          <w:color w:val="000000"/>
          <w:sz w:val="20"/>
          <w:lang w:eastAsia="en-GB"/>
        </w:rPr>
        <w:t>Paediatric</w:t>
      </w:r>
      <w:r w:rsidRPr="001775D9">
        <w:rPr>
          <w:sz w:val="18"/>
          <w:szCs w:val="18"/>
          <w:lang w:eastAsia="en-GB"/>
        </w:rPr>
        <w:t xml:space="preserve"> </w:t>
      </w:r>
      <w:r w:rsidRPr="001775D9">
        <w:rPr>
          <w:sz w:val="20"/>
          <w:lang w:eastAsia="en-GB"/>
        </w:rPr>
        <w:t xml:space="preserve">ACR 30/50/70 responses week 48 significantly greater than those of placebo treated patients </w:t>
      </w:r>
    </w:p>
    <w:p w14:paraId="6BCD135B" w14:textId="77777777" w:rsidR="001778AA" w:rsidRPr="001775D9" w:rsidRDefault="001778AA" w:rsidP="001778AA">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p</w:t>
      </w:r>
      <w:r w:rsidRPr="001775D9">
        <w:rPr>
          <w:sz w:val="20"/>
        </w:rPr>
        <w:t> </w:t>
      </w:r>
      <w:r w:rsidRPr="001775D9">
        <w:rPr>
          <w:sz w:val="20"/>
          <w:lang w:eastAsia="en-GB"/>
        </w:rPr>
        <w:t>=</w:t>
      </w:r>
      <w:r w:rsidRPr="001775D9">
        <w:rPr>
          <w:sz w:val="20"/>
        </w:rPr>
        <w:t> </w:t>
      </w:r>
      <w:r w:rsidRPr="001775D9">
        <w:rPr>
          <w:sz w:val="20"/>
          <w:lang w:eastAsia="en-GB"/>
        </w:rPr>
        <w:t xml:space="preserve">0.015 </w:t>
      </w:r>
    </w:p>
    <w:p w14:paraId="356C786E" w14:textId="77777777" w:rsidR="001778AA" w:rsidRPr="001775D9" w:rsidRDefault="001778AA" w:rsidP="001778AA">
      <w:pPr>
        <w:spacing w:line="240" w:lineRule="auto"/>
        <w:rPr>
          <w:sz w:val="20"/>
        </w:rPr>
      </w:pPr>
      <w:r w:rsidRPr="001775D9">
        <w:rPr>
          <w:sz w:val="20"/>
          <w:vertAlign w:val="superscript"/>
          <w:lang w:eastAsia="en-GB"/>
        </w:rPr>
        <w:t>c</w:t>
      </w:r>
      <w:r w:rsidRPr="001775D9">
        <w:rPr>
          <w:sz w:val="20"/>
          <w:lang w:eastAsia="en-GB"/>
        </w:rPr>
        <w:t xml:space="preserve"> p</w:t>
      </w:r>
      <w:r w:rsidRPr="001775D9">
        <w:rPr>
          <w:sz w:val="20"/>
        </w:rPr>
        <w:t> </w:t>
      </w:r>
      <w:r w:rsidRPr="001775D9">
        <w:rPr>
          <w:sz w:val="20"/>
          <w:lang w:eastAsia="en-GB"/>
        </w:rPr>
        <w:t>=</w:t>
      </w:r>
      <w:r w:rsidRPr="001775D9">
        <w:rPr>
          <w:sz w:val="20"/>
        </w:rPr>
        <w:t> </w:t>
      </w:r>
      <w:r w:rsidRPr="001775D9">
        <w:rPr>
          <w:sz w:val="20"/>
          <w:lang w:eastAsia="en-GB"/>
        </w:rPr>
        <w:t>0.031</w:t>
      </w:r>
    </w:p>
    <w:p w14:paraId="1D54DCD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BAA005F"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Amongst those who responded at week 16 (n</w:t>
      </w:r>
      <w:r w:rsidRPr="001775D9">
        <w:rPr>
          <w:szCs w:val="22"/>
        </w:rPr>
        <w:t> </w:t>
      </w:r>
      <w:r w:rsidRPr="001775D9">
        <w:rPr>
          <w:szCs w:val="22"/>
          <w:lang w:eastAsia="en-GB"/>
        </w:rPr>
        <w:t>=</w:t>
      </w:r>
      <w:r w:rsidRPr="001775D9">
        <w:rPr>
          <w:szCs w:val="22"/>
        </w:rPr>
        <w:t> </w:t>
      </w:r>
      <w:r w:rsidRPr="001775D9">
        <w:rPr>
          <w:szCs w:val="22"/>
          <w:lang w:eastAsia="en-GB"/>
        </w:rPr>
        <w:t xml:space="preserve">144), the paediatric ACR 30/50/70/90 responses were maintained for up to six years in the OLE phase in patients who received </w:t>
      </w:r>
      <w:r w:rsidRPr="001775D9">
        <w:rPr>
          <w:rFonts w:eastAsia="Times New Roman"/>
          <w:color w:val="000000"/>
          <w:szCs w:val="22"/>
        </w:rPr>
        <w:t>adalimumab</w:t>
      </w:r>
      <w:r w:rsidRPr="001775D9">
        <w:rPr>
          <w:szCs w:val="22"/>
          <w:lang w:eastAsia="en-GB"/>
        </w:rPr>
        <w:t xml:space="preserve"> throughout the study. Over all 19 subjects, of which 11 of the baseline age group 4 to 12 and 8 of the baseline age group 13 to 17</w:t>
      </w:r>
      <w:r w:rsidRPr="001775D9">
        <w:rPr>
          <w:szCs w:val="22"/>
        </w:rPr>
        <w:t> </w:t>
      </w:r>
      <w:r w:rsidRPr="001775D9">
        <w:rPr>
          <w:szCs w:val="22"/>
          <w:lang w:eastAsia="en-GB"/>
        </w:rPr>
        <w:t xml:space="preserve">years were treated 6 years or longer. </w:t>
      </w:r>
    </w:p>
    <w:p w14:paraId="23DD208B" w14:textId="77777777" w:rsidR="001778AA" w:rsidRPr="001775D9" w:rsidRDefault="001778AA" w:rsidP="001778AA">
      <w:pPr>
        <w:spacing w:line="240" w:lineRule="auto"/>
        <w:rPr>
          <w:szCs w:val="22"/>
          <w:lang w:eastAsia="en-GB"/>
        </w:rPr>
      </w:pPr>
    </w:p>
    <w:p w14:paraId="75363AC7" w14:textId="77777777" w:rsidR="001778AA" w:rsidRPr="001775D9" w:rsidRDefault="001778AA" w:rsidP="001778AA">
      <w:pPr>
        <w:spacing w:line="240" w:lineRule="auto"/>
        <w:rPr>
          <w:szCs w:val="22"/>
          <w:lang w:eastAsia="en-GB"/>
        </w:rPr>
      </w:pPr>
      <w:r w:rsidRPr="001775D9">
        <w:rPr>
          <w:szCs w:val="22"/>
          <w:lang w:eastAsia="en-GB"/>
        </w:rPr>
        <w:t xml:space="preserve">Overall responses were generally better and, fewer patients developed antibodies when treated with the combination of </w:t>
      </w:r>
      <w:r w:rsidRPr="001775D9">
        <w:rPr>
          <w:rFonts w:eastAsia="Times New Roman"/>
          <w:color w:val="000000"/>
          <w:szCs w:val="22"/>
        </w:rPr>
        <w:t>adalimumab</w:t>
      </w:r>
      <w:r w:rsidRPr="001775D9">
        <w:rPr>
          <w:szCs w:val="22"/>
          <w:lang w:eastAsia="en-GB"/>
        </w:rPr>
        <w:t xml:space="preserve"> and MTX compared to </w:t>
      </w:r>
      <w:r w:rsidRPr="001775D9">
        <w:rPr>
          <w:rFonts w:eastAsia="Times New Roman"/>
          <w:color w:val="000000"/>
          <w:szCs w:val="22"/>
        </w:rPr>
        <w:t>adalimumab</w:t>
      </w:r>
      <w:r w:rsidRPr="001775D9">
        <w:rPr>
          <w:szCs w:val="22"/>
          <w:lang w:eastAsia="en-GB"/>
        </w:rPr>
        <w:t xml:space="preserve"> alone. Taking these results into consideration, </w:t>
      </w:r>
      <w:r w:rsidRPr="001775D9">
        <w:rPr>
          <w:rFonts w:eastAsia="Times New Roman"/>
          <w:color w:val="000000"/>
          <w:szCs w:val="22"/>
        </w:rPr>
        <w:t>adalimumab</w:t>
      </w:r>
      <w:r w:rsidRPr="001775D9">
        <w:rPr>
          <w:szCs w:val="22"/>
          <w:lang w:eastAsia="en-GB"/>
        </w:rPr>
        <w:t xml:space="preserve"> is recommended for use in combination with MTX and for use as monotherapy in patients for whom MTX use is not appropriate (see section 4.2).</w:t>
      </w:r>
    </w:p>
    <w:p w14:paraId="3C79CCAB" w14:textId="77777777" w:rsidR="001778AA" w:rsidRPr="001775D9" w:rsidRDefault="001778AA" w:rsidP="001778AA">
      <w:pPr>
        <w:spacing w:line="240" w:lineRule="auto"/>
        <w:rPr>
          <w:szCs w:val="22"/>
          <w:lang w:eastAsia="en-GB"/>
        </w:rPr>
      </w:pPr>
    </w:p>
    <w:p w14:paraId="27AD9703" w14:textId="77777777" w:rsidR="001778AA" w:rsidRPr="001775D9" w:rsidRDefault="001778AA" w:rsidP="001778AA">
      <w:pPr>
        <w:spacing w:line="240" w:lineRule="auto"/>
        <w:rPr>
          <w:szCs w:val="22"/>
          <w:lang w:eastAsia="en-GB"/>
        </w:rPr>
      </w:pPr>
      <w:r w:rsidRPr="001775D9">
        <w:rPr>
          <w:szCs w:val="22"/>
          <w:lang w:eastAsia="en-GB"/>
        </w:rPr>
        <w:t>pJIA II</w:t>
      </w:r>
    </w:p>
    <w:p w14:paraId="49870E3A" w14:textId="77777777" w:rsidR="001778AA" w:rsidRPr="001775D9" w:rsidRDefault="001778AA" w:rsidP="001778AA">
      <w:pPr>
        <w:spacing w:line="240" w:lineRule="auto"/>
        <w:rPr>
          <w:szCs w:val="22"/>
          <w:lang w:eastAsia="en-GB"/>
        </w:rPr>
      </w:pPr>
    </w:p>
    <w:p w14:paraId="5D39B37D" w14:textId="77777777" w:rsidR="001778AA" w:rsidRPr="001775D9" w:rsidRDefault="001778AA" w:rsidP="001778AA">
      <w:pPr>
        <w:spacing w:line="240" w:lineRule="auto"/>
        <w:rPr>
          <w:szCs w:val="22"/>
          <w:lang w:eastAsia="en-GB"/>
        </w:rPr>
      </w:pPr>
      <w:r w:rsidRPr="001775D9">
        <w:rPr>
          <w:szCs w:val="22"/>
          <w:lang w:eastAsia="en-GB"/>
        </w:rPr>
        <w:t>The safety and efficacy of adalimumab was assessed in an open-label, multicentre study in 32 children (2 </w:t>
      </w:r>
      <w:r w:rsidRPr="001775D9">
        <w:rPr>
          <w:szCs w:val="22"/>
          <w:lang w:eastAsia="en-GB"/>
        </w:rPr>
        <w:noBreakHyphen/>
        <w:t> &lt; 4 years old or aged 4 and above weighing &lt; 15</w:t>
      </w:r>
      <w:r w:rsidRPr="001775D9">
        <w:rPr>
          <w:color w:val="000000"/>
          <w:szCs w:val="22"/>
        </w:rPr>
        <w:t> </w:t>
      </w:r>
      <w:r w:rsidRPr="001775D9">
        <w:rPr>
          <w:szCs w:val="22"/>
          <w:lang w:eastAsia="en-GB"/>
        </w:rPr>
        <w:t>kg) with moderately to severely active polyarticular JIA. The patients received 24 mg/m</w:t>
      </w:r>
      <w:r w:rsidRPr="001775D9">
        <w:rPr>
          <w:szCs w:val="22"/>
          <w:vertAlign w:val="superscript"/>
          <w:lang w:eastAsia="en-GB"/>
        </w:rPr>
        <w:t>2</w:t>
      </w:r>
      <w:r w:rsidRPr="001775D9">
        <w:rPr>
          <w:szCs w:val="22"/>
          <w:lang w:eastAsia="en-GB"/>
        </w:rPr>
        <w:t xml:space="preserve"> body surface area (BSA) of adalimumab up to a maximum of 20 mg every other week as a single dose via SC injection for at least 24 weeks. During the study, most subjects used concomitant MTX, with fewer reporting use of corticosteroids or NSAIDs.</w:t>
      </w:r>
    </w:p>
    <w:p w14:paraId="09A7BC3F" w14:textId="77777777" w:rsidR="001778AA" w:rsidRPr="001775D9" w:rsidRDefault="001778AA" w:rsidP="001778AA">
      <w:pPr>
        <w:spacing w:line="240" w:lineRule="auto"/>
        <w:rPr>
          <w:szCs w:val="22"/>
          <w:lang w:eastAsia="en-GB"/>
        </w:rPr>
      </w:pPr>
    </w:p>
    <w:p w14:paraId="02ED7DB4" w14:textId="77777777" w:rsidR="001778AA" w:rsidRPr="001775D9" w:rsidRDefault="001778AA" w:rsidP="001778AA">
      <w:pPr>
        <w:spacing w:line="240" w:lineRule="auto"/>
        <w:rPr>
          <w:szCs w:val="22"/>
          <w:lang w:eastAsia="en-GB"/>
        </w:rPr>
      </w:pPr>
      <w:r w:rsidRPr="001775D9">
        <w:rPr>
          <w:szCs w:val="22"/>
          <w:lang w:eastAsia="en-GB"/>
        </w:rPr>
        <w:t>At week 12 and week 24, PedACR30 response was 93.5% and 90.0%, respectively, using the observed data approach. The proportions of subjects with PedACR50/70/90 at week 12 and week 24 were 90.3%/61.3%/38.7% and 83.3%/73.3%/36.7%, respectively. Amongst those who responded (paediatric ACR 30) at week 24 (n = 27 out of 30 patients), the paediatric ACR 30 responses were maintained for up to 60 weeks in the OLE phase in patients who received adalimumab throughout this time period. Overall, 20 subjects were treated for 60 weeks or longer.</w:t>
      </w:r>
    </w:p>
    <w:p w14:paraId="6BFC1A6F" w14:textId="77777777" w:rsidR="001778AA" w:rsidRPr="001775D9" w:rsidRDefault="001778AA" w:rsidP="001778AA">
      <w:pPr>
        <w:spacing w:line="240" w:lineRule="auto"/>
        <w:rPr>
          <w:szCs w:val="22"/>
          <w:lang w:eastAsia="en-GB"/>
        </w:rPr>
      </w:pPr>
    </w:p>
    <w:p w14:paraId="418F0F6F" w14:textId="77777777" w:rsidR="001778AA" w:rsidRPr="001775D9" w:rsidRDefault="001778AA" w:rsidP="001778AA">
      <w:pPr>
        <w:keepNext/>
        <w:spacing w:line="240" w:lineRule="auto"/>
        <w:rPr>
          <w:i/>
          <w:szCs w:val="22"/>
          <w:u w:val="single"/>
          <w:lang w:eastAsia="en-GB"/>
        </w:rPr>
      </w:pPr>
      <w:r w:rsidRPr="001775D9">
        <w:rPr>
          <w:i/>
          <w:szCs w:val="22"/>
          <w:u w:val="single"/>
          <w:lang w:eastAsia="en-GB"/>
        </w:rPr>
        <w:t>Enthesitis-related arthritis</w:t>
      </w:r>
    </w:p>
    <w:p w14:paraId="284FF084" w14:textId="77777777" w:rsidR="001778AA" w:rsidRPr="001775D9" w:rsidRDefault="001778AA" w:rsidP="001778AA">
      <w:pPr>
        <w:keepNext/>
        <w:spacing w:line="240" w:lineRule="auto"/>
        <w:rPr>
          <w:szCs w:val="22"/>
          <w:lang w:eastAsia="en-GB"/>
        </w:rPr>
      </w:pPr>
    </w:p>
    <w:p w14:paraId="1DCAAD9B" w14:textId="5FB6050D" w:rsidR="001778AA" w:rsidRPr="001775D9" w:rsidRDefault="001778AA" w:rsidP="001778AA">
      <w:pPr>
        <w:keepNext/>
        <w:spacing w:line="240" w:lineRule="auto"/>
        <w:rPr>
          <w:szCs w:val="22"/>
          <w:lang w:eastAsia="en-GB"/>
        </w:rPr>
      </w:pPr>
      <w:r w:rsidRPr="001775D9">
        <w:rPr>
          <w:szCs w:val="22"/>
          <w:lang w:eastAsia="en-GB"/>
        </w:rPr>
        <w:t>The safety and efficacy of adalimumab were assessed in a multicentre, randomised, double-blind study in 46 paediatric patients (6 to 17 years old) with moderate enthesitis-related arthritis. Patients were randomised to receive either 24 mg/m</w:t>
      </w:r>
      <w:r w:rsidRPr="001775D9">
        <w:rPr>
          <w:szCs w:val="22"/>
          <w:vertAlign w:val="superscript"/>
          <w:lang w:eastAsia="en-GB"/>
        </w:rPr>
        <w:t>2</w:t>
      </w:r>
      <w:r w:rsidRPr="001775D9">
        <w:rPr>
          <w:szCs w:val="22"/>
          <w:lang w:eastAsia="en-GB"/>
        </w:rPr>
        <w:t xml:space="preserve"> body surface area (BSA) of adalimumab up to a maximum of 40 mg, or placebo every other week for 12 weeks. The double-blind period is followed by an open</w:t>
      </w:r>
      <w:r w:rsidR="002C3129" w:rsidRPr="001775D9">
        <w:rPr>
          <w:szCs w:val="22"/>
          <w:lang w:eastAsia="en-GB"/>
        </w:rPr>
        <w:noBreakHyphen/>
      </w:r>
      <w:r w:rsidRPr="001775D9">
        <w:rPr>
          <w:szCs w:val="22"/>
          <w:lang w:eastAsia="en-GB"/>
        </w:rPr>
        <w:t>label (OL) period during which patients received 24 mg/m</w:t>
      </w:r>
      <w:r w:rsidRPr="001775D9">
        <w:rPr>
          <w:szCs w:val="22"/>
          <w:vertAlign w:val="superscript"/>
          <w:lang w:eastAsia="en-GB"/>
        </w:rPr>
        <w:t>2</w:t>
      </w:r>
      <w:r w:rsidRPr="001775D9">
        <w:rPr>
          <w:szCs w:val="22"/>
          <w:lang w:eastAsia="en-GB"/>
        </w:rPr>
        <w:t xml:space="preserve"> BSA of adalimumab up to a maximum of 40 mg every other week subcutaneously for up to an additional 192 weeks. The primary endpoint was the percent change from baseline to week 12 in the number of active joints with arthritis (swelling not due to deformity or joints with loss of motion plus pain and/or tenderness), which was achieved with mean percent decrease of -62.6% (median percent change -88.9%) in patients in the adalimumab group compared to -11.6% (median percent change -50.0%) in patients in the placebo group. Improvement in number of active joints with arthritis was maintained during the OL period through week </w:t>
      </w:r>
      <w:r w:rsidRPr="001775D9">
        <w:rPr>
          <w:szCs w:val="22"/>
        </w:rPr>
        <w:t>156 for the 26</w:t>
      </w:r>
      <w:r w:rsidRPr="001775D9">
        <w:rPr>
          <w:szCs w:val="22"/>
          <w:lang w:eastAsia="en-GB"/>
        </w:rPr>
        <w:t xml:space="preserve"> of </w:t>
      </w:r>
      <w:r w:rsidRPr="001775D9">
        <w:rPr>
          <w:szCs w:val="22"/>
        </w:rPr>
        <w:t xml:space="preserve">31 (84%) patients in the </w:t>
      </w:r>
      <w:r w:rsidRPr="001775D9">
        <w:rPr>
          <w:szCs w:val="22"/>
          <w:lang w:eastAsia="en-GB"/>
        </w:rPr>
        <w:t>adalimumab</w:t>
      </w:r>
      <w:r w:rsidRPr="001775D9">
        <w:rPr>
          <w:szCs w:val="22"/>
        </w:rPr>
        <w:t xml:space="preserve"> group who remained in </w:t>
      </w:r>
      <w:r w:rsidRPr="001775D9">
        <w:rPr>
          <w:szCs w:val="22"/>
          <w:lang w:eastAsia="en-GB"/>
        </w:rPr>
        <w:t>the study. Although not statistically significant, the majority of patients demonstrated clinical improvement in secondary endpoints such as number of sites of enthesitis, tender joint count (TJC), swollen joint count (SJC), paediatric ACR 50 response, and paediatric ACR 70 response.</w:t>
      </w:r>
    </w:p>
    <w:p w14:paraId="0372C8E3"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p>
    <w:p w14:paraId="65915B11" w14:textId="77777777" w:rsidR="001778AA" w:rsidRPr="001775D9" w:rsidRDefault="001778AA" w:rsidP="001778AA">
      <w:pPr>
        <w:tabs>
          <w:tab w:val="clear" w:pos="567"/>
        </w:tabs>
        <w:autoSpaceDE w:val="0"/>
        <w:autoSpaceDN w:val="0"/>
        <w:adjustRightInd w:val="0"/>
        <w:spacing w:line="240" w:lineRule="auto"/>
        <w:rPr>
          <w:i/>
          <w:color w:val="000000"/>
          <w:szCs w:val="22"/>
        </w:rPr>
      </w:pPr>
      <w:r w:rsidRPr="001775D9">
        <w:rPr>
          <w:i/>
          <w:color w:val="000000"/>
          <w:szCs w:val="22"/>
        </w:rPr>
        <w:t xml:space="preserve">Paediatric plaque psoriasis </w:t>
      </w:r>
    </w:p>
    <w:p w14:paraId="145F9AA2"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32BBEB34"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rPr>
        <w:t xml:space="preserve">The efficacy of </w:t>
      </w:r>
      <w:r w:rsidRPr="001775D9">
        <w:rPr>
          <w:rFonts w:eastAsia="Times New Roman"/>
          <w:color w:val="000000"/>
          <w:szCs w:val="22"/>
        </w:rPr>
        <w:t>adalimumab</w:t>
      </w:r>
      <w:r w:rsidRPr="001775D9">
        <w:rPr>
          <w:color w:val="000000"/>
          <w:szCs w:val="22"/>
        </w:rPr>
        <w:t xml:space="preserve"> was assessed in a randomised, double-blind, controlled study of 114 paediatric patients from 4 years of age with severe chronic plaque psoriasis (as defined by a PGA ≥ 4 or &gt; 20% BSA involvement or &gt; 10% BSA involvement with very thick lesions or PASI ≥ 20 or ≥ 10 with clinically relevant facial, genital, or hand/foot involvement) who were inadequately controlled with topical therapy and heliotherapy or phototherapy.</w:t>
      </w:r>
    </w:p>
    <w:p w14:paraId="6E3B0620"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6966EA77" w14:textId="77777777" w:rsidR="001778AA" w:rsidRPr="001775D9" w:rsidRDefault="001778AA" w:rsidP="001778AA">
      <w:pPr>
        <w:tabs>
          <w:tab w:val="clear" w:pos="567"/>
        </w:tabs>
        <w:autoSpaceDE w:val="0"/>
        <w:autoSpaceDN w:val="0"/>
        <w:adjustRightInd w:val="0"/>
        <w:spacing w:line="240" w:lineRule="auto"/>
        <w:rPr>
          <w:szCs w:val="22"/>
        </w:rPr>
      </w:pPr>
      <w:r w:rsidRPr="001775D9">
        <w:rPr>
          <w:szCs w:val="22"/>
        </w:rPr>
        <w:t xml:space="preserve">Patients received </w:t>
      </w:r>
      <w:r w:rsidRPr="001775D9">
        <w:rPr>
          <w:rFonts w:eastAsia="Times New Roman"/>
          <w:color w:val="000000"/>
          <w:szCs w:val="22"/>
        </w:rPr>
        <w:t>adalimumab</w:t>
      </w:r>
      <w:r w:rsidRPr="001775D9">
        <w:rPr>
          <w:szCs w:val="22"/>
        </w:rPr>
        <w:t xml:space="preserve"> 0.8</w:t>
      </w:r>
      <w:r w:rsidRPr="001775D9">
        <w:rPr>
          <w:color w:val="000000"/>
          <w:szCs w:val="22"/>
        </w:rPr>
        <w:t> </w:t>
      </w:r>
      <w:r w:rsidRPr="001775D9">
        <w:rPr>
          <w:szCs w:val="22"/>
        </w:rPr>
        <w:t>mg/kg every other week (up to 40</w:t>
      </w:r>
      <w:r w:rsidRPr="001775D9">
        <w:rPr>
          <w:color w:val="000000"/>
          <w:szCs w:val="22"/>
        </w:rPr>
        <w:t> </w:t>
      </w:r>
      <w:r w:rsidRPr="001775D9">
        <w:rPr>
          <w:szCs w:val="22"/>
        </w:rPr>
        <w:t>mg), 0.4</w:t>
      </w:r>
      <w:r w:rsidRPr="001775D9">
        <w:rPr>
          <w:color w:val="000000"/>
          <w:szCs w:val="22"/>
        </w:rPr>
        <w:t> </w:t>
      </w:r>
      <w:r w:rsidRPr="001775D9">
        <w:rPr>
          <w:szCs w:val="22"/>
        </w:rPr>
        <w:t>mg/kg every other week (up to 20</w:t>
      </w:r>
      <w:r w:rsidRPr="001775D9">
        <w:rPr>
          <w:color w:val="000000"/>
          <w:szCs w:val="22"/>
        </w:rPr>
        <w:t> </w:t>
      </w:r>
      <w:r w:rsidRPr="001775D9">
        <w:rPr>
          <w:szCs w:val="22"/>
        </w:rPr>
        <w:t>mg), or methotrexate 0.1–0.4</w:t>
      </w:r>
      <w:r w:rsidRPr="001775D9">
        <w:rPr>
          <w:color w:val="000000"/>
          <w:szCs w:val="22"/>
        </w:rPr>
        <w:t> </w:t>
      </w:r>
      <w:r w:rsidRPr="001775D9">
        <w:rPr>
          <w:szCs w:val="22"/>
        </w:rPr>
        <w:t>mg/kg weekly (up to 25</w:t>
      </w:r>
      <w:r w:rsidRPr="001775D9">
        <w:rPr>
          <w:color w:val="000000"/>
          <w:szCs w:val="22"/>
        </w:rPr>
        <w:t> </w:t>
      </w:r>
      <w:r w:rsidRPr="001775D9">
        <w:rPr>
          <w:szCs w:val="22"/>
        </w:rPr>
        <w:t xml:space="preserve">mg). At week 16, more patients randomised to </w:t>
      </w:r>
      <w:r w:rsidRPr="001775D9">
        <w:rPr>
          <w:rFonts w:eastAsia="Times New Roman"/>
          <w:color w:val="000000"/>
          <w:szCs w:val="22"/>
        </w:rPr>
        <w:t>adalimumab</w:t>
      </w:r>
      <w:r w:rsidRPr="001775D9">
        <w:rPr>
          <w:szCs w:val="22"/>
        </w:rPr>
        <w:t xml:space="preserve"> 0.8</w:t>
      </w:r>
      <w:r w:rsidRPr="001775D9">
        <w:rPr>
          <w:color w:val="000000"/>
          <w:szCs w:val="22"/>
        </w:rPr>
        <w:t> </w:t>
      </w:r>
      <w:r w:rsidRPr="001775D9">
        <w:rPr>
          <w:szCs w:val="22"/>
        </w:rPr>
        <w:t>mg/kg had positive efficacy responses (e.g. PASI 75) than those randomised to 0.4 mg/kg every other week or MTX.</w:t>
      </w:r>
    </w:p>
    <w:p w14:paraId="2C3DC65A"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58EF2C7B" w14:textId="77777777" w:rsidR="001778AA" w:rsidRPr="00D55B59" w:rsidRDefault="001778AA" w:rsidP="001778AA">
      <w:pPr>
        <w:pStyle w:val="Default"/>
        <w:keepNext/>
        <w:rPr>
          <w:rFonts w:eastAsia="Times New Roman"/>
          <w:b/>
          <w:sz w:val="22"/>
          <w:szCs w:val="22"/>
          <w:lang w:val="en-GB" w:eastAsia="en-US"/>
          <w:rPrChange w:id="1882" w:author="Author">
            <w:rPr>
              <w:rFonts w:eastAsia="Times New Roman"/>
              <w:b/>
              <w:sz w:val="22"/>
              <w:szCs w:val="22"/>
              <w:lang w:eastAsia="en-US"/>
            </w:rPr>
          </w:rPrChange>
        </w:rPr>
      </w:pPr>
      <w:r w:rsidRPr="00D55B59">
        <w:rPr>
          <w:b/>
          <w:bCs/>
          <w:sz w:val="22"/>
          <w:szCs w:val="22"/>
          <w:lang w:val="en-GB" w:eastAsia="en-GB"/>
          <w:rPrChange w:id="1883" w:author="Author">
            <w:rPr>
              <w:b/>
              <w:bCs/>
              <w:sz w:val="22"/>
              <w:szCs w:val="22"/>
              <w:lang w:eastAsia="en-GB"/>
            </w:rPr>
          </w:rPrChange>
        </w:rPr>
        <w:t xml:space="preserve">Table 27. </w:t>
      </w:r>
      <w:r w:rsidRPr="00D55B59">
        <w:rPr>
          <w:rFonts w:eastAsia="Times New Roman"/>
          <w:b/>
          <w:sz w:val="22"/>
          <w:szCs w:val="22"/>
          <w:lang w:val="en-GB" w:eastAsia="en-US"/>
          <w:rPrChange w:id="1884" w:author="Author">
            <w:rPr>
              <w:rFonts w:eastAsia="Times New Roman"/>
              <w:b/>
              <w:sz w:val="22"/>
              <w:szCs w:val="22"/>
              <w:lang w:eastAsia="en-US"/>
            </w:rPr>
          </w:rPrChange>
        </w:rPr>
        <w:t xml:space="preserve">Paediatric plaque psoriasis efficacy results at 16 weeks </w:t>
      </w:r>
    </w:p>
    <w:p w14:paraId="6A8A56F4" w14:textId="77777777" w:rsidR="001778AA" w:rsidRPr="001775D9" w:rsidRDefault="001778AA" w:rsidP="001778AA">
      <w:pPr>
        <w:keepNext/>
        <w:tabs>
          <w:tab w:val="clear" w:pos="567"/>
        </w:tabs>
        <w:autoSpaceDE w:val="0"/>
        <w:autoSpaceDN w:val="0"/>
        <w:adjustRightInd w:val="0"/>
        <w:spacing w:line="240" w:lineRule="auto"/>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2694"/>
        <w:gridCol w:w="2976"/>
      </w:tblGrid>
      <w:tr w:rsidR="001778AA" w:rsidRPr="00F04F82" w14:paraId="1C7D517C" w14:textId="77777777" w:rsidTr="00D47253">
        <w:trPr>
          <w:trHeight w:val="437"/>
        </w:trPr>
        <w:tc>
          <w:tcPr>
            <w:tcW w:w="3402" w:type="dxa"/>
          </w:tcPr>
          <w:p w14:paraId="5836BA89"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bCs/>
                <w:szCs w:val="22"/>
                <w:lang w:eastAsia="en-GB"/>
              </w:rPr>
              <w:t xml:space="preserve"> </w:t>
            </w:r>
          </w:p>
        </w:tc>
        <w:tc>
          <w:tcPr>
            <w:tcW w:w="2694" w:type="dxa"/>
          </w:tcPr>
          <w:p w14:paraId="469F0930" w14:textId="77777777"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MTX</w:t>
            </w:r>
            <w:r w:rsidRPr="001775D9">
              <w:rPr>
                <w:b/>
                <w:bCs/>
                <w:szCs w:val="22"/>
                <w:vertAlign w:val="superscript"/>
                <w:lang w:eastAsia="en-GB"/>
              </w:rPr>
              <w:t>a</w:t>
            </w:r>
          </w:p>
          <w:p w14:paraId="5E305419"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N = 37</w:t>
            </w:r>
          </w:p>
        </w:tc>
        <w:tc>
          <w:tcPr>
            <w:tcW w:w="2976" w:type="dxa"/>
          </w:tcPr>
          <w:p w14:paraId="7F171EDE" w14:textId="77777777"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rFonts w:eastAsia="Times New Roman"/>
                <w:b/>
                <w:color w:val="000000"/>
                <w:szCs w:val="22"/>
              </w:rPr>
              <w:t>Adalimumab</w:t>
            </w:r>
            <w:r w:rsidRPr="001775D9">
              <w:rPr>
                <w:b/>
                <w:bCs/>
                <w:szCs w:val="22"/>
                <w:lang w:eastAsia="en-GB"/>
              </w:rPr>
              <w:t xml:space="preserve"> 0.8</w:t>
            </w:r>
            <w:r w:rsidRPr="001775D9">
              <w:rPr>
                <w:color w:val="000000"/>
                <w:szCs w:val="22"/>
              </w:rPr>
              <w:t> </w:t>
            </w:r>
            <w:r w:rsidRPr="001775D9">
              <w:rPr>
                <w:b/>
                <w:bCs/>
                <w:szCs w:val="22"/>
                <w:lang w:eastAsia="en-GB"/>
              </w:rPr>
              <w:t xml:space="preserve">mg/kg </w:t>
            </w:r>
          </w:p>
          <w:p w14:paraId="3508180B"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szCs w:val="22"/>
                <w:lang w:eastAsia="en-GB"/>
              </w:rPr>
              <w:t>every other week</w:t>
            </w:r>
          </w:p>
          <w:p w14:paraId="128F3F55" w14:textId="77777777" w:rsidR="001778AA" w:rsidRPr="001775D9" w:rsidRDefault="001778AA" w:rsidP="00D47253">
            <w:pPr>
              <w:keepNext/>
              <w:tabs>
                <w:tab w:val="clear" w:pos="567"/>
              </w:tabs>
              <w:autoSpaceDE w:val="0"/>
              <w:autoSpaceDN w:val="0"/>
              <w:adjustRightInd w:val="0"/>
              <w:spacing w:line="240" w:lineRule="auto"/>
              <w:jc w:val="center"/>
              <w:rPr>
                <w:b/>
                <w:szCs w:val="22"/>
                <w:lang w:eastAsia="en-GB"/>
              </w:rPr>
            </w:pPr>
            <w:r w:rsidRPr="001775D9">
              <w:rPr>
                <w:b/>
                <w:bCs/>
                <w:szCs w:val="22"/>
                <w:lang w:eastAsia="en-GB"/>
              </w:rPr>
              <w:t>N</w:t>
            </w:r>
            <w:r w:rsidRPr="001775D9">
              <w:rPr>
                <w:b/>
                <w:szCs w:val="22"/>
              </w:rPr>
              <w:t> </w:t>
            </w:r>
            <w:r w:rsidRPr="001775D9">
              <w:rPr>
                <w:b/>
                <w:bCs/>
                <w:szCs w:val="22"/>
                <w:lang w:eastAsia="en-GB"/>
              </w:rPr>
              <w:t>=</w:t>
            </w:r>
            <w:r w:rsidRPr="001775D9">
              <w:rPr>
                <w:b/>
                <w:szCs w:val="22"/>
              </w:rPr>
              <w:t> </w:t>
            </w:r>
            <w:r w:rsidRPr="001775D9">
              <w:rPr>
                <w:b/>
                <w:bCs/>
                <w:szCs w:val="22"/>
                <w:lang w:eastAsia="en-GB"/>
              </w:rPr>
              <w:t>38</w:t>
            </w:r>
          </w:p>
        </w:tc>
      </w:tr>
      <w:tr w:rsidR="001778AA" w:rsidRPr="00F04F82" w14:paraId="4A59F0D7" w14:textId="77777777" w:rsidTr="00D47253">
        <w:trPr>
          <w:trHeight w:val="162"/>
        </w:trPr>
        <w:tc>
          <w:tcPr>
            <w:tcW w:w="3402" w:type="dxa"/>
          </w:tcPr>
          <w:p w14:paraId="0EABBEF8"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szCs w:val="22"/>
                <w:lang w:eastAsia="en-GB"/>
              </w:rPr>
              <w:t>PASI 75</w:t>
            </w:r>
            <w:r w:rsidRPr="001775D9">
              <w:rPr>
                <w:szCs w:val="22"/>
                <w:vertAlign w:val="superscript"/>
                <w:lang w:eastAsia="en-GB"/>
              </w:rPr>
              <w:t>b</w:t>
            </w:r>
            <w:r w:rsidRPr="001775D9">
              <w:rPr>
                <w:szCs w:val="22"/>
                <w:lang w:eastAsia="en-GB"/>
              </w:rPr>
              <w:t xml:space="preserve"> </w:t>
            </w:r>
          </w:p>
        </w:tc>
        <w:tc>
          <w:tcPr>
            <w:tcW w:w="2694" w:type="dxa"/>
          </w:tcPr>
          <w:p w14:paraId="6DC9D70E"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rPr>
              <w:t xml:space="preserve">12 (32.4%) </w:t>
            </w:r>
          </w:p>
        </w:tc>
        <w:tc>
          <w:tcPr>
            <w:tcW w:w="2976" w:type="dxa"/>
          </w:tcPr>
          <w:p w14:paraId="734C1F4E"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rPr>
              <w:t xml:space="preserve">22 (57.9%) </w:t>
            </w:r>
          </w:p>
        </w:tc>
      </w:tr>
      <w:tr w:rsidR="001778AA" w:rsidRPr="00F04F82" w14:paraId="3FB46F06" w14:textId="77777777" w:rsidTr="00D47253">
        <w:trPr>
          <w:trHeight w:val="162"/>
        </w:trPr>
        <w:tc>
          <w:tcPr>
            <w:tcW w:w="3402" w:type="dxa"/>
            <w:tcBorders>
              <w:bottom w:val="single" w:sz="4" w:space="0" w:color="auto"/>
            </w:tcBorders>
          </w:tcPr>
          <w:p w14:paraId="77794B88" w14:textId="77777777" w:rsidR="001778AA" w:rsidRPr="001775D9" w:rsidRDefault="001778AA" w:rsidP="00D47253">
            <w:pPr>
              <w:keepNext/>
              <w:tabs>
                <w:tab w:val="clear" w:pos="567"/>
              </w:tabs>
              <w:autoSpaceDE w:val="0"/>
              <w:autoSpaceDN w:val="0"/>
              <w:adjustRightInd w:val="0"/>
              <w:spacing w:line="240" w:lineRule="auto"/>
              <w:rPr>
                <w:szCs w:val="22"/>
                <w:lang w:eastAsia="en-GB"/>
              </w:rPr>
            </w:pPr>
            <w:r w:rsidRPr="001775D9">
              <w:rPr>
                <w:bCs/>
                <w:szCs w:val="22"/>
                <w:lang w:eastAsia="en-GB"/>
              </w:rPr>
              <w:t>PGA: Clear/minimal</w:t>
            </w:r>
            <w:r w:rsidRPr="001775D9">
              <w:rPr>
                <w:szCs w:val="22"/>
                <w:vertAlign w:val="superscript"/>
                <w:lang w:eastAsia="en-GB"/>
              </w:rPr>
              <w:t>c</w:t>
            </w:r>
          </w:p>
        </w:tc>
        <w:tc>
          <w:tcPr>
            <w:tcW w:w="2694" w:type="dxa"/>
            <w:tcBorders>
              <w:bottom w:val="single" w:sz="4" w:space="0" w:color="auto"/>
            </w:tcBorders>
          </w:tcPr>
          <w:p w14:paraId="0353A20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rPr>
              <w:t xml:space="preserve">15 (40.5%) </w:t>
            </w:r>
          </w:p>
        </w:tc>
        <w:tc>
          <w:tcPr>
            <w:tcW w:w="2976" w:type="dxa"/>
            <w:tcBorders>
              <w:bottom w:val="single" w:sz="4" w:space="0" w:color="auto"/>
            </w:tcBorders>
          </w:tcPr>
          <w:p w14:paraId="3A7BF009" w14:textId="77777777" w:rsidR="001778AA" w:rsidRPr="001775D9" w:rsidRDefault="001778AA" w:rsidP="00D47253">
            <w:pPr>
              <w:keepNext/>
              <w:tabs>
                <w:tab w:val="clear" w:pos="567"/>
              </w:tabs>
              <w:autoSpaceDE w:val="0"/>
              <w:autoSpaceDN w:val="0"/>
              <w:adjustRightInd w:val="0"/>
              <w:spacing w:line="240" w:lineRule="auto"/>
              <w:jc w:val="center"/>
              <w:rPr>
                <w:szCs w:val="22"/>
                <w:lang w:eastAsia="en-GB"/>
              </w:rPr>
            </w:pPr>
            <w:r w:rsidRPr="001775D9">
              <w:rPr>
                <w:szCs w:val="22"/>
              </w:rPr>
              <w:t xml:space="preserve">23 (60.5%) </w:t>
            </w:r>
          </w:p>
        </w:tc>
      </w:tr>
      <w:tr w:rsidR="001778AA" w:rsidRPr="00F04F82" w14:paraId="5A636E7A" w14:textId="77777777" w:rsidTr="00D47253">
        <w:trPr>
          <w:trHeight w:val="306"/>
        </w:trPr>
        <w:tc>
          <w:tcPr>
            <w:tcW w:w="9072" w:type="dxa"/>
            <w:gridSpan w:val="3"/>
            <w:tcBorders>
              <w:top w:val="single" w:sz="4" w:space="0" w:color="auto"/>
              <w:left w:val="nil"/>
              <w:bottom w:val="nil"/>
              <w:right w:val="nil"/>
            </w:tcBorders>
          </w:tcPr>
          <w:p w14:paraId="08141D4A" w14:textId="77777777" w:rsidR="001778AA" w:rsidRPr="00D55B59" w:rsidRDefault="001778AA" w:rsidP="00D47253">
            <w:pPr>
              <w:pStyle w:val="Default"/>
              <w:keepNext/>
              <w:rPr>
                <w:sz w:val="20"/>
                <w:szCs w:val="20"/>
                <w:lang w:val="en-GB"/>
                <w:rPrChange w:id="1885" w:author="Author">
                  <w:rPr>
                    <w:sz w:val="20"/>
                    <w:szCs w:val="20"/>
                  </w:rPr>
                </w:rPrChange>
              </w:rPr>
            </w:pPr>
            <w:r w:rsidRPr="00D55B59">
              <w:rPr>
                <w:sz w:val="20"/>
                <w:szCs w:val="20"/>
                <w:vertAlign w:val="superscript"/>
                <w:lang w:val="en-GB"/>
                <w:rPrChange w:id="1886" w:author="Author">
                  <w:rPr>
                    <w:sz w:val="20"/>
                    <w:szCs w:val="20"/>
                    <w:vertAlign w:val="superscript"/>
                  </w:rPr>
                </w:rPrChange>
              </w:rPr>
              <w:t xml:space="preserve">a </w:t>
            </w:r>
            <w:r w:rsidRPr="00D55B59">
              <w:rPr>
                <w:sz w:val="20"/>
                <w:szCs w:val="20"/>
                <w:lang w:val="en-GB"/>
                <w:rPrChange w:id="1887" w:author="Author">
                  <w:rPr>
                    <w:sz w:val="20"/>
                    <w:szCs w:val="20"/>
                  </w:rPr>
                </w:rPrChange>
              </w:rPr>
              <w:t xml:space="preserve">MTX = methotrexate </w:t>
            </w:r>
          </w:p>
          <w:p w14:paraId="06B446C6" w14:textId="77777777" w:rsidR="001778AA" w:rsidRPr="00D55B59" w:rsidRDefault="001778AA" w:rsidP="00D47253">
            <w:pPr>
              <w:pStyle w:val="Default"/>
              <w:keepNext/>
              <w:rPr>
                <w:sz w:val="20"/>
                <w:szCs w:val="20"/>
                <w:lang w:val="en-GB"/>
                <w:rPrChange w:id="1888" w:author="Author">
                  <w:rPr>
                    <w:sz w:val="20"/>
                    <w:szCs w:val="20"/>
                  </w:rPr>
                </w:rPrChange>
              </w:rPr>
            </w:pPr>
            <w:r w:rsidRPr="00D55B59">
              <w:rPr>
                <w:sz w:val="20"/>
                <w:szCs w:val="20"/>
                <w:vertAlign w:val="superscript"/>
                <w:lang w:val="en-GB"/>
                <w:rPrChange w:id="1889" w:author="Author">
                  <w:rPr>
                    <w:sz w:val="20"/>
                    <w:szCs w:val="20"/>
                    <w:vertAlign w:val="superscript"/>
                  </w:rPr>
                </w:rPrChange>
              </w:rPr>
              <w:t xml:space="preserve">b </w:t>
            </w:r>
            <w:r w:rsidRPr="00D55B59">
              <w:rPr>
                <w:sz w:val="20"/>
                <w:szCs w:val="20"/>
                <w:lang w:val="en-GB"/>
                <w:rPrChange w:id="1890" w:author="Author">
                  <w:rPr>
                    <w:sz w:val="20"/>
                    <w:szCs w:val="20"/>
                  </w:rPr>
                </w:rPrChange>
              </w:rPr>
              <w:t xml:space="preserve">P = 0.027, </w:t>
            </w:r>
            <w:r w:rsidRPr="00D55B59">
              <w:rPr>
                <w:rFonts w:eastAsia="Times New Roman"/>
                <w:sz w:val="20"/>
                <w:szCs w:val="20"/>
                <w:lang w:val="en-GB"/>
                <w:rPrChange w:id="1891" w:author="Author">
                  <w:rPr>
                    <w:rFonts w:eastAsia="Times New Roman"/>
                    <w:sz w:val="20"/>
                    <w:szCs w:val="20"/>
                  </w:rPr>
                </w:rPrChange>
              </w:rPr>
              <w:t>adalimumab</w:t>
            </w:r>
            <w:r w:rsidRPr="00D55B59">
              <w:rPr>
                <w:sz w:val="20"/>
                <w:szCs w:val="20"/>
                <w:lang w:val="en-GB"/>
                <w:rPrChange w:id="1892" w:author="Author">
                  <w:rPr>
                    <w:sz w:val="20"/>
                    <w:szCs w:val="20"/>
                  </w:rPr>
                </w:rPrChange>
              </w:rPr>
              <w:t xml:space="preserve"> 0.8 mg/kg versus MTX </w:t>
            </w:r>
          </w:p>
          <w:p w14:paraId="4D0BD7D2" w14:textId="77777777" w:rsidR="001778AA" w:rsidRPr="00D55B59" w:rsidRDefault="001778AA" w:rsidP="00D47253">
            <w:pPr>
              <w:keepNext/>
              <w:tabs>
                <w:tab w:val="clear" w:pos="567"/>
              </w:tabs>
              <w:autoSpaceDE w:val="0"/>
              <w:autoSpaceDN w:val="0"/>
              <w:adjustRightInd w:val="0"/>
              <w:spacing w:line="240" w:lineRule="auto"/>
              <w:rPr>
                <w:sz w:val="20"/>
                <w:lang w:eastAsia="en-GB"/>
                <w:rPrChange w:id="1893" w:author="Author">
                  <w:rPr>
                    <w:sz w:val="20"/>
                    <w:lang w:val="de-DE" w:eastAsia="en-GB"/>
                  </w:rPr>
                </w:rPrChange>
              </w:rPr>
            </w:pPr>
            <w:r w:rsidRPr="00D55B59">
              <w:rPr>
                <w:sz w:val="20"/>
                <w:vertAlign w:val="superscript"/>
                <w:rPrChange w:id="1894" w:author="Author">
                  <w:rPr>
                    <w:sz w:val="20"/>
                    <w:vertAlign w:val="superscript"/>
                    <w:lang w:val="de-DE"/>
                  </w:rPr>
                </w:rPrChange>
              </w:rPr>
              <w:t xml:space="preserve">c </w:t>
            </w:r>
            <w:r w:rsidRPr="00D55B59">
              <w:rPr>
                <w:sz w:val="20"/>
                <w:rPrChange w:id="1895" w:author="Author">
                  <w:rPr>
                    <w:sz w:val="20"/>
                    <w:lang w:val="de-DE"/>
                  </w:rPr>
                </w:rPrChange>
              </w:rPr>
              <w:t xml:space="preserve">P = 0.083, </w:t>
            </w:r>
            <w:r w:rsidRPr="00D55B59">
              <w:rPr>
                <w:rFonts w:eastAsia="Times New Roman"/>
                <w:color w:val="000000"/>
                <w:sz w:val="20"/>
                <w:rPrChange w:id="1896" w:author="Author">
                  <w:rPr>
                    <w:rFonts w:eastAsia="Times New Roman"/>
                    <w:color w:val="000000"/>
                    <w:sz w:val="20"/>
                    <w:lang w:val="de-DE"/>
                  </w:rPr>
                </w:rPrChange>
              </w:rPr>
              <w:t>adalimumab</w:t>
            </w:r>
            <w:r w:rsidRPr="00D55B59">
              <w:rPr>
                <w:sz w:val="20"/>
                <w:rPrChange w:id="1897" w:author="Author">
                  <w:rPr>
                    <w:sz w:val="20"/>
                    <w:lang w:val="de-DE"/>
                  </w:rPr>
                </w:rPrChange>
              </w:rPr>
              <w:t xml:space="preserve"> 0.8</w:t>
            </w:r>
            <w:r w:rsidRPr="00D55B59">
              <w:rPr>
                <w:color w:val="000000"/>
                <w:szCs w:val="22"/>
                <w:rPrChange w:id="1898" w:author="Author">
                  <w:rPr>
                    <w:color w:val="000000"/>
                    <w:szCs w:val="22"/>
                    <w:lang w:val="de-DE"/>
                  </w:rPr>
                </w:rPrChange>
              </w:rPr>
              <w:t> </w:t>
            </w:r>
            <w:r w:rsidRPr="00D55B59">
              <w:rPr>
                <w:sz w:val="20"/>
                <w:rPrChange w:id="1899" w:author="Author">
                  <w:rPr>
                    <w:sz w:val="20"/>
                    <w:lang w:val="de-DE"/>
                  </w:rPr>
                </w:rPrChange>
              </w:rPr>
              <w:t xml:space="preserve">mg/kg versus MTX </w:t>
            </w:r>
          </w:p>
        </w:tc>
      </w:tr>
    </w:tbl>
    <w:p w14:paraId="33921A55" w14:textId="77777777" w:rsidR="001778AA" w:rsidRPr="00D55B59" w:rsidRDefault="001778AA" w:rsidP="001778AA">
      <w:pPr>
        <w:tabs>
          <w:tab w:val="clear" w:pos="567"/>
        </w:tabs>
        <w:autoSpaceDE w:val="0"/>
        <w:autoSpaceDN w:val="0"/>
        <w:adjustRightInd w:val="0"/>
        <w:spacing w:line="240" w:lineRule="auto"/>
        <w:rPr>
          <w:szCs w:val="22"/>
          <w:rPrChange w:id="1900" w:author="Author">
            <w:rPr>
              <w:szCs w:val="22"/>
              <w:lang w:val="de-DE"/>
            </w:rPr>
          </w:rPrChange>
        </w:rPr>
      </w:pPr>
    </w:p>
    <w:p w14:paraId="07090AD2"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rPr>
        <w:t xml:space="preserve">Patients who achieved PASI 75 and PGA clear or minimal were withdrawn from treatment for up to 36 weeks and monitored for loss of disease control (i.e. a worsening of PGA by at least 2 grades). Patients were then retreated with adalimumab 0.8 mg/kg </w:t>
      </w:r>
      <w:r w:rsidRPr="001775D9">
        <w:rPr>
          <w:szCs w:val="22"/>
        </w:rPr>
        <w:t xml:space="preserve">every other week </w:t>
      </w:r>
      <w:r w:rsidRPr="001775D9">
        <w:rPr>
          <w:color w:val="000000"/>
          <w:szCs w:val="22"/>
        </w:rPr>
        <w:t xml:space="preserve">for an additional 16 weeks and response rates observed during retreatment were similar to the previous double-blind period: PASI 75 response of 78.9% (15 of 19 subjects) and PGA clear or minimal of 52.6% (10 of 19 subjects). </w:t>
      </w:r>
    </w:p>
    <w:p w14:paraId="00F0C8E6"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3057D248"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rPr>
        <w:t>In the open-label period of the study, PASI 75 and PGA clear or minimal responses were maintained for up to an additional 52 weeks with no new safety findings.</w:t>
      </w:r>
    </w:p>
    <w:p w14:paraId="342AECE0"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6DCE0EBF" w14:textId="77777777" w:rsidR="001778AA" w:rsidRPr="001775D9" w:rsidRDefault="001778AA" w:rsidP="001778AA">
      <w:pPr>
        <w:shd w:val="clear" w:color="auto" w:fill="FFFFFF"/>
        <w:tabs>
          <w:tab w:val="clear" w:pos="567"/>
        </w:tabs>
        <w:spacing w:line="240" w:lineRule="auto"/>
        <w:rPr>
          <w:rFonts w:eastAsia="Times New Roman"/>
          <w:i/>
          <w:color w:val="000000"/>
          <w:szCs w:val="22"/>
        </w:rPr>
      </w:pPr>
      <w:r w:rsidRPr="001775D9">
        <w:rPr>
          <w:rFonts w:eastAsia="Times New Roman"/>
          <w:i/>
          <w:color w:val="000000"/>
          <w:szCs w:val="22"/>
        </w:rPr>
        <w:t>Adolescent hidradenitis suppurativa</w:t>
      </w:r>
    </w:p>
    <w:p w14:paraId="1518B4E1" w14:textId="77777777" w:rsidR="001778AA" w:rsidRPr="001775D9" w:rsidRDefault="001778AA" w:rsidP="001778AA">
      <w:pPr>
        <w:shd w:val="clear" w:color="auto" w:fill="FFFFFF"/>
        <w:tabs>
          <w:tab w:val="clear" w:pos="567"/>
        </w:tabs>
        <w:spacing w:line="240" w:lineRule="auto"/>
        <w:rPr>
          <w:rFonts w:eastAsia="Times New Roman"/>
          <w:color w:val="000000"/>
          <w:szCs w:val="22"/>
        </w:rPr>
      </w:pPr>
    </w:p>
    <w:p w14:paraId="6FDFE4CA" w14:textId="77777777" w:rsidR="001778AA" w:rsidRPr="001775D9" w:rsidRDefault="001778AA" w:rsidP="001778AA">
      <w:pPr>
        <w:tabs>
          <w:tab w:val="clear" w:pos="567"/>
        </w:tabs>
        <w:autoSpaceDE w:val="0"/>
        <w:autoSpaceDN w:val="0"/>
        <w:adjustRightInd w:val="0"/>
        <w:spacing w:line="240" w:lineRule="auto"/>
        <w:rPr>
          <w:rFonts w:eastAsia="TimesNewRoman,Bold"/>
          <w:bCs/>
          <w:szCs w:val="22"/>
        </w:rPr>
      </w:pPr>
      <w:r w:rsidRPr="001775D9">
        <w:rPr>
          <w:rFonts w:eastAsia="Times New Roman"/>
          <w:color w:val="000000"/>
          <w:szCs w:val="22"/>
        </w:rPr>
        <w:t>There are no clinical trials with adalimumab in adolescent patients with HS. Efficacy of adalimumab for the treatment of adolescent patients with HS is predicted based on the demonstrated efficacy and exposure-response relationship in adult HS patients and the likelihood that the disease course, pathophysiology, and drug effects are substantially similar to that of adults at the same exposure levels. Safety of the recommended adalimumab dose in the adolescent HS population is based on cross-indication safety profile of adalimumab in both adults and paediatric patients at similar or more frequent doses (see section 5.2).</w:t>
      </w:r>
    </w:p>
    <w:p w14:paraId="7B591D67"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24C9FAB8" w14:textId="77777777" w:rsidR="001778AA" w:rsidRPr="001775D9" w:rsidRDefault="001778AA" w:rsidP="001778AA">
      <w:pPr>
        <w:tabs>
          <w:tab w:val="clear" w:pos="567"/>
        </w:tabs>
        <w:autoSpaceDE w:val="0"/>
        <w:autoSpaceDN w:val="0"/>
        <w:adjustRightInd w:val="0"/>
        <w:spacing w:line="240" w:lineRule="auto"/>
        <w:rPr>
          <w:i/>
          <w:szCs w:val="22"/>
          <w:lang w:eastAsia="en-GB"/>
        </w:rPr>
      </w:pPr>
      <w:r w:rsidRPr="001775D9">
        <w:rPr>
          <w:i/>
          <w:szCs w:val="22"/>
          <w:lang w:eastAsia="en-GB"/>
        </w:rPr>
        <w:t xml:space="preserve">Paediatric Crohn’s disease </w:t>
      </w:r>
    </w:p>
    <w:p w14:paraId="73A439E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E4D9985"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rFonts w:eastAsia="Times New Roman"/>
          <w:color w:val="000000"/>
          <w:szCs w:val="22"/>
        </w:rPr>
        <w:t>Adalimumab</w:t>
      </w:r>
      <w:r w:rsidRPr="001775D9">
        <w:rPr>
          <w:szCs w:val="22"/>
          <w:lang w:eastAsia="en-GB"/>
        </w:rPr>
        <w:t xml:space="preserve"> was assessed in a multicentre, randomised, double-blind clinical trial designed to evaluate the efficacy and safety of induction and maintenance treatment with doses dependent on body weight (&lt;</w:t>
      </w:r>
      <w:r w:rsidRPr="001775D9">
        <w:rPr>
          <w:szCs w:val="22"/>
        </w:rPr>
        <w:t> </w:t>
      </w:r>
      <w:r w:rsidRPr="001775D9">
        <w:rPr>
          <w:szCs w:val="22"/>
          <w:lang w:eastAsia="en-GB"/>
        </w:rPr>
        <w:t>40</w:t>
      </w:r>
      <w:r w:rsidRPr="001775D9">
        <w:rPr>
          <w:szCs w:val="22"/>
        </w:rPr>
        <w:t> </w:t>
      </w:r>
      <w:r w:rsidRPr="001775D9">
        <w:rPr>
          <w:szCs w:val="22"/>
          <w:lang w:eastAsia="en-GB"/>
        </w:rPr>
        <w:t>kg or ≥</w:t>
      </w:r>
      <w:r w:rsidRPr="001775D9">
        <w:rPr>
          <w:szCs w:val="22"/>
        </w:rPr>
        <w:t> </w:t>
      </w:r>
      <w:r w:rsidRPr="001775D9">
        <w:rPr>
          <w:szCs w:val="22"/>
          <w:lang w:eastAsia="en-GB"/>
        </w:rPr>
        <w:t>40</w:t>
      </w:r>
      <w:r w:rsidRPr="001775D9">
        <w:rPr>
          <w:szCs w:val="22"/>
        </w:rPr>
        <w:t> </w:t>
      </w:r>
      <w:r w:rsidRPr="001775D9">
        <w:rPr>
          <w:szCs w:val="22"/>
          <w:lang w:eastAsia="en-GB"/>
        </w:rPr>
        <w:t>kg) in 192 paediatric subjects between the ages of 6 and 17 (inclusive) years, with moderate to severe Crohn´s disease (CD) defined as Paediatric Crohn's Disease Activity Index (PCDAI) score &gt;</w:t>
      </w:r>
      <w:r w:rsidRPr="001775D9">
        <w:rPr>
          <w:szCs w:val="22"/>
        </w:rPr>
        <w:t> </w:t>
      </w:r>
      <w:r w:rsidRPr="001775D9">
        <w:rPr>
          <w:szCs w:val="22"/>
          <w:lang w:eastAsia="en-GB"/>
        </w:rPr>
        <w:t>30.</w:t>
      </w:r>
      <w:r w:rsidRPr="001775D9">
        <w:rPr>
          <w:color w:val="000000"/>
          <w:szCs w:val="22"/>
          <w:lang w:eastAsia="en-GB"/>
        </w:rPr>
        <w:t xml:space="preserve"> Subjects had to have failed conventional therapy (including a corticosteroid and/or an immunomodulator) for CD. Subjects may also have previously lost response or been intolerant to infliximab. </w:t>
      </w:r>
    </w:p>
    <w:p w14:paraId="02077E6D"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7489DFDB"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All subjects received open-label induction therapy at a dose based on their baseline body weight: 160</w:t>
      </w:r>
      <w:r w:rsidRPr="001775D9">
        <w:rPr>
          <w:szCs w:val="22"/>
        </w:rPr>
        <w:t> </w:t>
      </w:r>
      <w:r w:rsidRPr="001775D9">
        <w:rPr>
          <w:color w:val="000000"/>
          <w:szCs w:val="22"/>
          <w:lang w:eastAsia="en-GB"/>
        </w:rPr>
        <w:t xml:space="preserve">mg at </w:t>
      </w:r>
      <w:r w:rsidRPr="001775D9">
        <w:rPr>
          <w:szCs w:val="22"/>
        </w:rPr>
        <w:t>week</w:t>
      </w:r>
      <w:r w:rsidRPr="001775D9">
        <w:rPr>
          <w:color w:val="000000"/>
          <w:szCs w:val="22"/>
          <w:lang w:eastAsia="en-GB"/>
        </w:rPr>
        <w:t xml:space="preserve"> 0 and 80</w:t>
      </w:r>
      <w:r w:rsidRPr="001775D9">
        <w:rPr>
          <w:szCs w:val="22"/>
        </w:rPr>
        <w:t> </w:t>
      </w:r>
      <w:r w:rsidRPr="001775D9">
        <w:rPr>
          <w:color w:val="000000"/>
          <w:szCs w:val="22"/>
          <w:lang w:eastAsia="en-GB"/>
        </w:rPr>
        <w:t xml:space="preserve">mg at </w:t>
      </w:r>
      <w:r w:rsidRPr="001775D9">
        <w:rPr>
          <w:szCs w:val="22"/>
        </w:rPr>
        <w:t>week</w:t>
      </w:r>
      <w:r w:rsidRPr="001775D9">
        <w:rPr>
          <w:color w:val="000000"/>
          <w:szCs w:val="22"/>
          <w:lang w:eastAsia="en-GB"/>
        </w:rPr>
        <w:t xml:space="preserve"> 2 for subjects ≥</w:t>
      </w:r>
      <w:r w:rsidRPr="001775D9">
        <w:rPr>
          <w:szCs w:val="22"/>
        </w:rPr>
        <w:t> </w:t>
      </w:r>
      <w:r w:rsidRPr="001775D9">
        <w:rPr>
          <w:color w:val="000000"/>
          <w:szCs w:val="22"/>
          <w:lang w:eastAsia="en-GB"/>
        </w:rPr>
        <w:t>40</w:t>
      </w:r>
      <w:r w:rsidRPr="001775D9">
        <w:rPr>
          <w:szCs w:val="22"/>
        </w:rPr>
        <w:t> </w:t>
      </w:r>
      <w:r w:rsidRPr="001775D9">
        <w:rPr>
          <w:color w:val="000000"/>
          <w:szCs w:val="22"/>
          <w:lang w:eastAsia="en-GB"/>
        </w:rPr>
        <w:t>kg, and 80</w:t>
      </w:r>
      <w:r w:rsidRPr="001775D9">
        <w:rPr>
          <w:szCs w:val="22"/>
        </w:rPr>
        <w:t> </w:t>
      </w:r>
      <w:r w:rsidRPr="001775D9">
        <w:rPr>
          <w:color w:val="000000"/>
          <w:szCs w:val="22"/>
          <w:lang w:eastAsia="en-GB"/>
        </w:rPr>
        <w:t>mg and 40</w:t>
      </w:r>
      <w:r w:rsidRPr="001775D9">
        <w:rPr>
          <w:szCs w:val="22"/>
        </w:rPr>
        <w:t> </w:t>
      </w:r>
      <w:r w:rsidRPr="001775D9">
        <w:rPr>
          <w:color w:val="000000"/>
          <w:szCs w:val="22"/>
          <w:lang w:eastAsia="en-GB"/>
        </w:rPr>
        <w:t>mg, respectively, for subjects &lt;</w:t>
      </w:r>
      <w:r w:rsidRPr="001775D9">
        <w:rPr>
          <w:szCs w:val="22"/>
        </w:rPr>
        <w:t> </w:t>
      </w:r>
      <w:r w:rsidRPr="001775D9">
        <w:rPr>
          <w:color w:val="000000"/>
          <w:szCs w:val="22"/>
          <w:lang w:eastAsia="en-GB"/>
        </w:rPr>
        <w:t>40</w:t>
      </w:r>
      <w:r w:rsidRPr="001775D9">
        <w:rPr>
          <w:szCs w:val="22"/>
        </w:rPr>
        <w:t> </w:t>
      </w:r>
      <w:r w:rsidRPr="001775D9">
        <w:rPr>
          <w:color w:val="000000"/>
          <w:szCs w:val="22"/>
          <w:lang w:eastAsia="en-GB"/>
        </w:rPr>
        <w:t xml:space="preserve">kg. </w:t>
      </w:r>
    </w:p>
    <w:p w14:paraId="685DC09B" w14:textId="77777777" w:rsidR="001778AA" w:rsidRPr="001775D9" w:rsidRDefault="001778AA" w:rsidP="001778AA">
      <w:pPr>
        <w:spacing w:line="240" w:lineRule="auto"/>
        <w:rPr>
          <w:color w:val="000000"/>
          <w:szCs w:val="22"/>
          <w:lang w:eastAsia="en-GB"/>
        </w:rPr>
      </w:pPr>
    </w:p>
    <w:p w14:paraId="6FB2E860" w14:textId="77777777" w:rsidR="001778AA" w:rsidRPr="001775D9" w:rsidRDefault="001778AA" w:rsidP="001778AA">
      <w:pPr>
        <w:spacing w:line="240" w:lineRule="auto"/>
        <w:rPr>
          <w:color w:val="000000"/>
          <w:szCs w:val="22"/>
          <w:lang w:eastAsia="en-GB"/>
        </w:rPr>
      </w:pPr>
      <w:r w:rsidRPr="001775D9">
        <w:rPr>
          <w:color w:val="000000"/>
          <w:szCs w:val="22"/>
          <w:lang w:eastAsia="en-GB"/>
        </w:rPr>
        <w:t xml:space="preserve">At </w:t>
      </w:r>
      <w:r w:rsidRPr="001775D9">
        <w:rPr>
          <w:szCs w:val="22"/>
        </w:rPr>
        <w:t>week</w:t>
      </w:r>
      <w:r w:rsidRPr="001775D9">
        <w:rPr>
          <w:color w:val="000000"/>
          <w:szCs w:val="22"/>
          <w:lang w:eastAsia="en-GB"/>
        </w:rPr>
        <w:t xml:space="preserve"> 4, subjects were randomised 1:1 based on their body weight at the time to either the low dose or standard dose maintenance regimens as shown in table 28.</w:t>
      </w:r>
    </w:p>
    <w:p w14:paraId="3D89A48F"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647ADB30"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Table 28. Maintenance regimen</w:t>
      </w:r>
    </w:p>
    <w:p w14:paraId="5837A717" w14:textId="77777777" w:rsidR="001778AA" w:rsidRPr="001775D9" w:rsidRDefault="001778AA" w:rsidP="001778AA">
      <w:pPr>
        <w:keepNext/>
        <w:spacing w:line="240" w:lineRule="auto"/>
        <w:rPr>
          <w:szCs w:val="22"/>
        </w:rPr>
      </w:pP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59"/>
        <w:gridCol w:w="3060"/>
        <w:gridCol w:w="3060"/>
      </w:tblGrid>
      <w:tr w:rsidR="00E03C85" w:rsidRPr="00F04F82" w14:paraId="5E2402DA" w14:textId="77777777" w:rsidTr="00D47253">
        <w:trPr>
          <w:trHeight w:val="293"/>
          <w:jc w:val="center"/>
        </w:trPr>
        <w:tc>
          <w:tcPr>
            <w:tcW w:w="1666" w:type="pct"/>
          </w:tcPr>
          <w:p w14:paraId="6A11F159"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Patient weight </w:t>
            </w:r>
          </w:p>
        </w:tc>
        <w:tc>
          <w:tcPr>
            <w:tcW w:w="1667" w:type="pct"/>
          </w:tcPr>
          <w:p w14:paraId="4D64D4EC"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Low dose </w:t>
            </w:r>
          </w:p>
        </w:tc>
        <w:tc>
          <w:tcPr>
            <w:tcW w:w="1667" w:type="pct"/>
          </w:tcPr>
          <w:p w14:paraId="304949A9"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Standard dose </w:t>
            </w:r>
          </w:p>
        </w:tc>
      </w:tr>
      <w:tr w:rsidR="00E03C85" w:rsidRPr="00F04F82" w14:paraId="59545304" w14:textId="77777777" w:rsidTr="00D47253">
        <w:trPr>
          <w:trHeight w:val="283"/>
          <w:jc w:val="center"/>
        </w:trPr>
        <w:tc>
          <w:tcPr>
            <w:tcW w:w="1666" w:type="pct"/>
          </w:tcPr>
          <w:p w14:paraId="1DB29DBD"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&lt;</w:t>
            </w:r>
            <w:r w:rsidRPr="001775D9">
              <w:rPr>
                <w:szCs w:val="22"/>
              </w:rPr>
              <w:t> </w:t>
            </w:r>
            <w:r w:rsidRPr="001775D9">
              <w:rPr>
                <w:color w:val="000000"/>
                <w:szCs w:val="22"/>
                <w:lang w:eastAsia="en-GB"/>
              </w:rPr>
              <w:t>40</w:t>
            </w:r>
            <w:r w:rsidRPr="001775D9">
              <w:rPr>
                <w:szCs w:val="22"/>
              </w:rPr>
              <w:t> </w:t>
            </w:r>
            <w:r w:rsidRPr="001775D9">
              <w:rPr>
                <w:color w:val="000000"/>
                <w:szCs w:val="22"/>
                <w:lang w:eastAsia="en-GB"/>
              </w:rPr>
              <w:t xml:space="preserve">kg </w:t>
            </w:r>
          </w:p>
        </w:tc>
        <w:tc>
          <w:tcPr>
            <w:tcW w:w="1667" w:type="pct"/>
          </w:tcPr>
          <w:p w14:paraId="685A2397"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10</w:t>
            </w:r>
            <w:r w:rsidRPr="001775D9">
              <w:rPr>
                <w:szCs w:val="22"/>
              </w:rPr>
              <w:t> </w:t>
            </w:r>
            <w:r w:rsidRPr="001775D9">
              <w:rPr>
                <w:color w:val="000000"/>
                <w:szCs w:val="22"/>
                <w:lang w:eastAsia="en-GB"/>
              </w:rPr>
              <w:t xml:space="preserve">mg </w:t>
            </w:r>
            <w:r w:rsidRPr="00D55B59">
              <w:rPr>
                <w:rFonts w:eastAsia="Times New Roman"/>
                <w:szCs w:val="22"/>
                <w:rPrChange w:id="1901" w:author="Author">
                  <w:rPr>
                    <w:rFonts w:eastAsia="Times New Roman"/>
                    <w:szCs w:val="22"/>
                    <w:lang w:val="en-US"/>
                  </w:rPr>
                </w:rPrChange>
              </w:rPr>
              <w:t>every other week</w:t>
            </w:r>
          </w:p>
        </w:tc>
        <w:tc>
          <w:tcPr>
            <w:tcW w:w="1667" w:type="pct"/>
          </w:tcPr>
          <w:p w14:paraId="65144014"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20</w:t>
            </w:r>
            <w:r w:rsidRPr="001775D9">
              <w:rPr>
                <w:szCs w:val="22"/>
              </w:rPr>
              <w:t> </w:t>
            </w:r>
            <w:r w:rsidRPr="001775D9">
              <w:rPr>
                <w:color w:val="000000"/>
                <w:szCs w:val="22"/>
                <w:lang w:eastAsia="en-GB"/>
              </w:rPr>
              <w:t xml:space="preserve">mg </w:t>
            </w:r>
            <w:r w:rsidRPr="00D55B59">
              <w:rPr>
                <w:rFonts w:eastAsia="Times New Roman"/>
                <w:szCs w:val="22"/>
                <w:rPrChange w:id="1902" w:author="Author">
                  <w:rPr>
                    <w:rFonts w:eastAsia="Times New Roman"/>
                    <w:szCs w:val="22"/>
                    <w:lang w:val="en-US"/>
                  </w:rPr>
                </w:rPrChange>
              </w:rPr>
              <w:t>every other week</w:t>
            </w:r>
          </w:p>
        </w:tc>
      </w:tr>
      <w:tr w:rsidR="00E03C85" w:rsidRPr="00F04F82" w14:paraId="5D01F29A" w14:textId="77777777" w:rsidTr="00D47253">
        <w:trPr>
          <w:trHeight w:val="283"/>
          <w:jc w:val="center"/>
        </w:trPr>
        <w:tc>
          <w:tcPr>
            <w:tcW w:w="1666" w:type="pct"/>
          </w:tcPr>
          <w:p w14:paraId="5DFD66A3"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w:t>
            </w:r>
            <w:r w:rsidRPr="001775D9">
              <w:rPr>
                <w:szCs w:val="22"/>
              </w:rPr>
              <w:t> </w:t>
            </w:r>
            <w:r w:rsidRPr="001775D9">
              <w:rPr>
                <w:color w:val="000000"/>
                <w:szCs w:val="22"/>
                <w:lang w:eastAsia="en-GB"/>
              </w:rPr>
              <w:t>40</w:t>
            </w:r>
            <w:r w:rsidRPr="001775D9">
              <w:rPr>
                <w:szCs w:val="22"/>
              </w:rPr>
              <w:t> </w:t>
            </w:r>
            <w:r w:rsidRPr="001775D9">
              <w:rPr>
                <w:color w:val="000000"/>
                <w:szCs w:val="22"/>
                <w:lang w:eastAsia="en-GB"/>
              </w:rPr>
              <w:t xml:space="preserve">kg </w:t>
            </w:r>
          </w:p>
        </w:tc>
        <w:tc>
          <w:tcPr>
            <w:tcW w:w="1667" w:type="pct"/>
          </w:tcPr>
          <w:p w14:paraId="5D576B0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20</w:t>
            </w:r>
            <w:r w:rsidRPr="001775D9">
              <w:rPr>
                <w:szCs w:val="22"/>
              </w:rPr>
              <w:t> </w:t>
            </w:r>
            <w:r w:rsidRPr="001775D9">
              <w:rPr>
                <w:color w:val="000000"/>
                <w:szCs w:val="22"/>
                <w:lang w:eastAsia="en-GB"/>
              </w:rPr>
              <w:t xml:space="preserve">mg </w:t>
            </w:r>
            <w:r w:rsidRPr="00D55B59">
              <w:rPr>
                <w:rFonts w:eastAsia="Times New Roman"/>
                <w:szCs w:val="22"/>
                <w:rPrChange w:id="1903" w:author="Author">
                  <w:rPr>
                    <w:rFonts w:eastAsia="Times New Roman"/>
                    <w:szCs w:val="22"/>
                    <w:lang w:val="en-US"/>
                  </w:rPr>
                </w:rPrChange>
              </w:rPr>
              <w:t>every other week</w:t>
            </w:r>
          </w:p>
        </w:tc>
        <w:tc>
          <w:tcPr>
            <w:tcW w:w="1667" w:type="pct"/>
          </w:tcPr>
          <w:p w14:paraId="7DB105DD"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40</w:t>
            </w:r>
            <w:r w:rsidRPr="001775D9">
              <w:rPr>
                <w:szCs w:val="22"/>
              </w:rPr>
              <w:t> </w:t>
            </w:r>
            <w:r w:rsidRPr="001775D9">
              <w:rPr>
                <w:color w:val="000000"/>
                <w:szCs w:val="22"/>
                <w:lang w:eastAsia="en-GB"/>
              </w:rPr>
              <w:t xml:space="preserve">mg </w:t>
            </w:r>
            <w:r w:rsidRPr="00D55B59">
              <w:rPr>
                <w:rFonts w:eastAsia="Times New Roman"/>
                <w:szCs w:val="22"/>
                <w:rPrChange w:id="1904" w:author="Author">
                  <w:rPr>
                    <w:rFonts w:eastAsia="Times New Roman"/>
                    <w:szCs w:val="22"/>
                    <w:lang w:val="en-US"/>
                  </w:rPr>
                </w:rPrChange>
              </w:rPr>
              <w:t>every other week</w:t>
            </w:r>
          </w:p>
        </w:tc>
      </w:tr>
    </w:tbl>
    <w:p w14:paraId="6C36A06E" w14:textId="77777777" w:rsidR="001778AA" w:rsidRPr="001775D9" w:rsidRDefault="001778AA" w:rsidP="001778AA">
      <w:pPr>
        <w:spacing w:line="240" w:lineRule="auto"/>
        <w:rPr>
          <w:szCs w:val="22"/>
        </w:rPr>
      </w:pPr>
    </w:p>
    <w:p w14:paraId="06B59FFD" w14:textId="77777777" w:rsidR="001778AA" w:rsidRPr="001775D9" w:rsidRDefault="001778AA" w:rsidP="001778AA">
      <w:pPr>
        <w:tabs>
          <w:tab w:val="clear" w:pos="567"/>
        </w:tabs>
        <w:autoSpaceDE w:val="0"/>
        <w:autoSpaceDN w:val="0"/>
        <w:adjustRightInd w:val="0"/>
        <w:spacing w:line="240" w:lineRule="auto"/>
        <w:rPr>
          <w:color w:val="000000"/>
          <w:szCs w:val="22"/>
          <w:u w:val="single"/>
          <w:lang w:eastAsia="en-GB"/>
        </w:rPr>
      </w:pPr>
      <w:r w:rsidRPr="001775D9">
        <w:rPr>
          <w:i/>
          <w:iCs/>
          <w:color w:val="000000"/>
          <w:szCs w:val="22"/>
          <w:u w:val="single"/>
          <w:lang w:eastAsia="en-GB"/>
        </w:rPr>
        <w:t xml:space="preserve">Efficacy results </w:t>
      </w:r>
    </w:p>
    <w:p w14:paraId="00C7627D"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7C1A0403"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The primary endpoint of the study was clinical remission at </w:t>
      </w:r>
      <w:r w:rsidRPr="001775D9">
        <w:rPr>
          <w:szCs w:val="22"/>
        </w:rPr>
        <w:t>week</w:t>
      </w:r>
      <w:r w:rsidRPr="001775D9">
        <w:rPr>
          <w:color w:val="000000"/>
          <w:szCs w:val="22"/>
          <w:lang w:eastAsia="en-GB"/>
        </w:rPr>
        <w:t xml:space="preserve"> 26, defined as PCDAI score ≤</w:t>
      </w:r>
      <w:r w:rsidRPr="001775D9">
        <w:rPr>
          <w:szCs w:val="22"/>
        </w:rPr>
        <w:t> </w:t>
      </w:r>
      <w:r w:rsidRPr="001775D9">
        <w:rPr>
          <w:color w:val="000000"/>
          <w:szCs w:val="22"/>
          <w:lang w:eastAsia="en-GB"/>
        </w:rPr>
        <w:t xml:space="preserve">10. </w:t>
      </w:r>
    </w:p>
    <w:p w14:paraId="0D18E68C" w14:textId="77777777" w:rsidR="001778AA" w:rsidRPr="001775D9" w:rsidRDefault="001778AA" w:rsidP="001778AA">
      <w:pPr>
        <w:spacing w:line="240" w:lineRule="auto"/>
        <w:rPr>
          <w:color w:val="000000"/>
          <w:szCs w:val="22"/>
          <w:lang w:eastAsia="en-GB"/>
        </w:rPr>
      </w:pPr>
    </w:p>
    <w:p w14:paraId="0F5146D4" w14:textId="77777777" w:rsidR="001778AA" w:rsidRPr="001775D9" w:rsidRDefault="001778AA" w:rsidP="001778AA">
      <w:pPr>
        <w:spacing w:line="240" w:lineRule="auto"/>
        <w:rPr>
          <w:color w:val="000000"/>
          <w:szCs w:val="22"/>
          <w:lang w:eastAsia="en-GB"/>
        </w:rPr>
      </w:pPr>
      <w:r w:rsidRPr="001775D9">
        <w:rPr>
          <w:color w:val="000000"/>
          <w:szCs w:val="22"/>
          <w:lang w:eastAsia="en-GB"/>
        </w:rPr>
        <w:t>Clinical remission and clinical response (defined as reduction in PCDAI score of at least 15 points from baseline) rates are presented in table 29. Rates of discontinuation of corticosteroids or immunomodulators are presented in table 30.</w:t>
      </w:r>
    </w:p>
    <w:p w14:paraId="3C16EECF" w14:textId="77777777" w:rsidR="001778AA" w:rsidRPr="001775D9" w:rsidRDefault="001778AA" w:rsidP="001778AA">
      <w:pPr>
        <w:spacing w:line="240" w:lineRule="auto"/>
        <w:rPr>
          <w:szCs w:val="22"/>
        </w:rPr>
      </w:pPr>
    </w:p>
    <w:p w14:paraId="56D45317" w14:textId="77777777" w:rsidR="001778AA" w:rsidRPr="001775D9" w:rsidRDefault="001778AA" w:rsidP="001778AA">
      <w:pPr>
        <w:keepNext/>
        <w:keepLines/>
        <w:tabs>
          <w:tab w:val="clear" w:pos="567"/>
        </w:tabs>
        <w:autoSpaceDE w:val="0"/>
        <w:autoSpaceDN w:val="0"/>
        <w:adjustRightInd w:val="0"/>
        <w:spacing w:line="240" w:lineRule="auto"/>
        <w:rPr>
          <w:b/>
          <w:bCs/>
          <w:color w:val="000000"/>
          <w:szCs w:val="22"/>
          <w:lang w:eastAsia="en-GB"/>
        </w:rPr>
      </w:pPr>
      <w:r w:rsidRPr="001775D9">
        <w:rPr>
          <w:b/>
          <w:bCs/>
          <w:color w:val="000000"/>
          <w:szCs w:val="22"/>
          <w:lang w:eastAsia="en-GB"/>
        </w:rPr>
        <w:t>Table 29. Paediatric CD study PCDAI clinical remission and response</w:t>
      </w:r>
    </w:p>
    <w:p w14:paraId="2A8475AB" w14:textId="77777777" w:rsidR="001778AA" w:rsidRPr="001775D9" w:rsidRDefault="001778AA" w:rsidP="001778AA">
      <w:pPr>
        <w:keepNext/>
        <w:keepLines/>
        <w:tabs>
          <w:tab w:val="clear" w:pos="567"/>
        </w:tabs>
        <w:autoSpaceDE w:val="0"/>
        <w:autoSpaceDN w:val="0"/>
        <w:adjustRightInd w:val="0"/>
        <w:spacing w:line="240" w:lineRule="auto"/>
        <w:rPr>
          <w:color w:val="000000"/>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2268"/>
        <w:gridCol w:w="2268"/>
        <w:gridCol w:w="1842"/>
      </w:tblGrid>
      <w:tr w:rsidR="001778AA" w:rsidRPr="00F04F82" w14:paraId="20DF8525" w14:textId="77777777" w:rsidTr="00D47253">
        <w:trPr>
          <w:trHeight w:val="437"/>
        </w:trPr>
        <w:tc>
          <w:tcPr>
            <w:tcW w:w="2694" w:type="dxa"/>
          </w:tcPr>
          <w:p w14:paraId="36A2F292"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p>
        </w:tc>
        <w:tc>
          <w:tcPr>
            <w:tcW w:w="2268" w:type="dxa"/>
          </w:tcPr>
          <w:p w14:paraId="24408F8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Standard dose</w:t>
            </w:r>
          </w:p>
          <w:p w14:paraId="5BCEE244" w14:textId="77777777" w:rsidR="001778AA" w:rsidRPr="001775D9" w:rsidRDefault="001778AA" w:rsidP="00D47253">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40/20</w:t>
            </w:r>
            <w:r w:rsidRPr="001775D9">
              <w:rPr>
                <w:szCs w:val="22"/>
              </w:rPr>
              <w:t> </w:t>
            </w:r>
            <w:r w:rsidRPr="001775D9">
              <w:rPr>
                <w:b/>
                <w:bCs/>
                <w:color w:val="000000"/>
                <w:szCs w:val="22"/>
                <w:lang w:eastAsia="en-GB"/>
              </w:rPr>
              <w:t xml:space="preserve">mg </w:t>
            </w:r>
          </w:p>
          <w:p w14:paraId="2ACB3BB2" w14:textId="77777777" w:rsidR="001778AA" w:rsidRPr="001775D9" w:rsidRDefault="001778AA" w:rsidP="00D47253">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 xml:space="preserve">every other week </w:t>
            </w:r>
          </w:p>
          <w:p w14:paraId="51BDF235"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93</w:t>
            </w:r>
          </w:p>
        </w:tc>
        <w:tc>
          <w:tcPr>
            <w:tcW w:w="2268" w:type="dxa"/>
          </w:tcPr>
          <w:p w14:paraId="7F01AD39"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Low dose</w:t>
            </w:r>
          </w:p>
          <w:p w14:paraId="7E5F58F7" w14:textId="77777777" w:rsidR="001778AA" w:rsidRPr="001775D9" w:rsidRDefault="001778AA" w:rsidP="00D47253">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20/10</w:t>
            </w:r>
            <w:r w:rsidRPr="001775D9">
              <w:rPr>
                <w:szCs w:val="22"/>
              </w:rPr>
              <w:t> </w:t>
            </w:r>
            <w:r w:rsidRPr="001775D9">
              <w:rPr>
                <w:b/>
                <w:bCs/>
                <w:color w:val="000000"/>
                <w:szCs w:val="22"/>
                <w:lang w:eastAsia="en-GB"/>
              </w:rPr>
              <w:t xml:space="preserve">mg </w:t>
            </w:r>
          </w:p>
          <w:p w14:paraId="2AE50646" w14:textId="77777777" w:rsidR="001778AA" w:rsidRPr="001775D9" w:rsidRDefault="001778AA" w:rsidP="00D47253">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every other week</w:t>
            </w:r>
          </w:p>
          <w:p w14:paraId="2F2E7FBA"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95</w:t>
            </w:r>
          </w:p>
        </w:tc>
        <w:tc>
          <w:tcPr>
            <w:tcW w:w="1842" w:type="dxa"/>
          </w:tcPr>
          <w:p w14:paraId="25E6C34F"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P value*</w:t>
            </w:r>
          </w:p>
        </w:tc>
      </w:tr>
      <w:tr w:rsidR="001778AA" w:rsidRPr="00F04F82" w14:paraId="358F9DBA" w14:textId="77777777" w:rsidTr="00D47253">
        <w:trPr>
          <w:trHeight w:val="149"/>
        </w:trPr>
        <w:tc>
          <w:tcPr>
            <w:tcW w:w="9072" w:type="dxa"/>
            <w:gridSpan w:val="4"/>
          </w:tcPr>
          <w:p w14:paraId="3A038EF2"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Week 26</w:t>
            </w:r>
          </w:p>
        </w:tc>
      </w:tr>
      <w:tr w:rsidR="001778AA" w:rsidRPr="00F04F82" w14:paraId="04244431" w14:textId="77777777" w:rsidTr="00D47253">
        <w:trPr>
          <w:trHeight w:val="147"/>
        </w:trPr>
        <w:tc>
          <w:tcPr>
            <w:tcW w:w="2694" w:type="dxa"/>
          </w:tcPr>
          <w:p w14:paraId="61A2AAC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Clinical remission</w:t>
            </w:r>
          </w:p>
        </w:tc>
        <w:tc>
          <w:tcPr>
            <w:tcW w:w="2268" w:type="dxa"/>
          </w:tcPr>
          <w:p w14:paraId="387F908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38.7%</w:t>
            </w:r>
          </w:p>
        </w:tc>
        <w:tc>
          <w:tcPr>
            <w:tcW w:w="2268" w:type="dxa"/>
          </w:tcPr>
          <w:p w14:paraId="10D96AC2"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28.4%</w:t>
            </w:r>
          </w:p>
        </w:tc>
        <w:tc>
          <w:tcPr>
            <w:tcW w:w="1842" w:type="dxa"/>
          </w:tcPr>
          <w:p w14:paraId="7FE15FC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0.075</w:t>
            </w:r>
          </w:p>
        </w:tc>
      </w:tr>
      <w:tr w:rsidR="001778AA" w:rsidRPr="00F04F82" w14:paraId="4560D3F9" w14:textId="77777777" w:rsidTr="00D47253">
        <w:trPr>
          <w:trHeight w:val="147"/>
        </w:trPr>
        <w:tc>
          <w:tcPr>
            <w:tcW w:w="2694" w:type="dxa"/>
          </w:tcPr>
          <w:p w14:paraId="7E58B8A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Clinical response</w:t>
            </w:r>
          </w:p>
        </w:tc>
        <w:tc>
          <w:tcPr>
            <w:tcW w:w="2268" w:type="dxa"/>
          </w:tcPr>
          <w:p w14:paraId="2CB1E3D9"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59.1%</w:t>
            </w:r>
          </w:p>
        </w:tc>
        <w:tc>
          <w:tcPr>
            <w:tcW w:w="2268" w:type="dxa"/>
          </w:tcPr>
          <w:p w14:paraId="3F7EC064"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48.4%</w:t>
            </w:r>
          </w:p>
        </w:tc>
        <w:tc>
          <w:tcPr>
            <w:tcW w:w="1842" w:type="dxa"/>
          </w:tcPr>
          <w:p w14:paraId="7CA79DE2"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0.073</w:t>
            </w:r>
          </w:p>
        </w:tc>
      </w:tr>
      <w:tr w:rsidR="001778AA" w:rsidRPr="00F04F82" w14:paraId="4FECE732" w14:textId="77777777" w:rsidTr="00D47253">
        <w:trPr>
          <w:trHeight w:val="149"/>
        </w:trPr>
        <w:tc>
          <w:tcPr>
            <w:tcW w:w="9072" w:type="dxa"/>
            <w:gridSpan w:val="4"/>
          </w:tcPr>
          <w:p w14:paraId="2EB0CE73"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Week 52</w:t>
            </w:r>
          </w:p>
        </w:tc>
      </w:tr>
      <w:tr w:rsidR="001778AA" w:rsidRPr="00F04F82" w14:paraId="6C8F92AB" w14:textId="77777777" w:rsidTr="00D47253">
        <w:trPr>
          <w:trHeight w:val="147"/>
        </w:trPr>
        <w:tc>
          <w:tcPr>
            <w:tcW w:w="2694" w:type="dxa"/>
          </w:tcPr>
          <w:p w14:paraId="4E6E45B3"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Clinical remission</w:t>
            </w:r>
          </w:p>
        </w:tc>
        <w:tc>
          <w:tcPr>
            <w:tcW w:w="2268" w:type="dxa"/>
          </w:tcPr>
          <w:p w14:paraId="7774CA60"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33.3%</w:t>
            </w:r>
          </w:p>
        </w:tc>
        <w:tc>
          <w:tcPr>
            <w:tcW w:w="2268" w:type="dxa"/>
          </w:tcPr>
          <w:p w14:paraId="5684C9B9"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23.2%</w:t>
            </w:r>
          </w:p>
        </w:tc>
        <w:tc>
          <w:tcPr>
            <w:tcW w:w="1842" w:type="dxa"/>
          </w:tcPr>
          <w:p w14:paraId="3F3B99FF"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0.100</w:t>
            </w:r>
          </w:p>
        </w:tc>
      </w:tr>
      <w:tr w:rsidR="001778AA" w:rsidRPr="00F04F82" w14:paraId="55D275A3" w14:textId="77777777" w:rsidTr="00D47253">
        <w:trPr>
          <w:trHeight w:val="147"/>
        </w:trPr>
        <w:tc>
          <w:tcPr>
            <w:tcW w:w="2694" w:type="dxa"/>
            <w:tcBorders>
              <w:bottom w:val="single" w:sz="4" w:space="0" w:color="auto"/>
            </w:tcBorders>
          </w:tcPr>
          <w:p w14:paraId="5AFA8B74"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Clinical response</w:t>
            </w:r>
          </w:p>
        </w:tc>
        <w:tc>
          <w:tcPr>
            <w:tcW w:w="2268" w:type="dxa"/>
            <w:tcBorders>
              <w:bottom w:val="single" w:sz="4" w:space="0" w:color="auto"/>
            </w:tcBorders>
          </w:tcPr>
          <w:p w14:paraId="58C4B92E"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41.9%</w:t>
            </w:r>
          </w:p>
        </w:tc>
        <w:tc>
          <w:tcPr>
            <w:tcW w:w="2268" w:type="dxa"/>
            <w:tcBorders>
              <w:bottom w:val="single" w:sz="4" w:space="0" w:color="auto"/>
            </w:tcBorders>
          </w:tcPr>
          <w:p w14:paraId="0E0103F6"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28.4%</w:t>
            </w:r>
          </w:p>
        </w:tc>
        <w:tc>
          <w:tcPr>
            <w:tcW w:w="1842" w:type="dxa"/>
            <w:tcBorders>
              <w:bottom w:val="single" w:sz="4" w:space="0" w:color="auto"/>
            </w:tcBorders>
          </w:tcPr>
          <w:p w14:paraId="5801BD92"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0.038</w:t>
            </w:r>
          </w:p>
        </w:tc>
      </w:tr>
      <w:tr w:rsidR="001778AA" w:rsidRPr="00F04F82" w14:paraId="0CD11DA0" w14:textId="77777777" w:rsidTr="00D47253">
        <w:trPr>
          <w:trHeight w:val="148"/>
        </w:trPr>
        <w:tc>
          <w:tcPr>
            <w:tcW w:w="9072" w:type="dxa"/>
            <w:gridSpan w:val="4"/>
            <w:tcBorders>
              <w:top w:val="single" w:sz="4" w:space="0" w:color="auto"/>
              <w:left w:val="nil"/>
              <w:bottom w:val="nil"/>
              <w:right w:val="nil"/>
            </w:tcBorders>
          </w:tcPr>
          <w:p w14:paraId="05F7C1C4"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 w:val="20"/>
                <w:lang w:eastAsia="en-GB"/>
              </w:rPr>
              <w:t xml:space="preserve">* p value for standard dose </w:t>
            </w:r>
            <w:r w:rsidRPr="001775D9">
              <w:rPr>
                <w:iCs/>
                <w:color w:val="000000"/>
                <w:sz w:val="20"/>
                <w:lang w:eastAsia="en-GB"/>
              </w:rPr>
              <w:t>versus</w:t>
            </w:r>
            <w:r w:rsidRPr="001775D9">
              <w:rPr>
                <w:i/>
                <w:iCs/>
                <w:color w:val="000000"/>
                <w:sz w:val="20"/>
                <w:lang w:eastAsia="en-GB"/>
              </w:rPr>
              <w:t xml:space="preserve"> </w:t>
            </w:r>
            <w:r w:rsidRPr="001775D9">
              <w:rPr>
                <w:color w:val="000000"/>
                <w:sz w:val="20"/>
                <w:lang w:eastAsia="en-GB"/>
              </w:rPr>
              <w:t>low dose comparison</w:t>
            </w:r>
          </w:p>
        </w:tc>
      </w:tr>
    </w:tbl>
    <w:p w14:paraId="4D6A370D" w14:textId="77777777" w:rsidR="001778AA" w:rsidRPr="001775D9" w:rsidRDefault="001778AA" w:rsidP="001778AA">
      <w:pPr>
        <w:spacing w:line="240" w:lineRule="auto"/>
        <w:rPr>
          <w:szCs w:val="22"/>
        </w:rPr>
      </w:pPr>
    </w:p>
    <w:p w14:paraId="7ECEC2D6" w14:textId="77777777" w:rsidR="001778AA" w:rsidRPr="001775D9" w:rsidRDefault="001778AA" w:rsidP="001778AA">
      <w:pPr>
        <w:keepNext/>
        <w:keepLines/>
        <w:tabs>
          <w:tab w:val="clear" w:pos="567"/>
        </w:tabs>
        <w:autoSpaceDE w:val="0"/>
        <w:autoSpaceDN w:val="0"/>
        <w:adjustRightInd w:val="0"/>
        <w:spacing w:line="240" w:lineRule="auto"/>
        <w:rPr>
          <w:b/>
          <w:bCs/>
          <w:color w:val="000000"/>
          <w:szCs w:val="22"/>
          <w:lang w:eastAsia="en-GB"/>
        </w:rPr>
      </w:pPr>
      <w:r w:rsidRPr="001775D9">
        <w:rPr>
          <w:b/>
          <w:bCs/>
          <w:color w:val="000000"/>
          <w:szCs w:val="22"/>
          <w:lang w:eastAsia="en-GB"/>
        </w:rPr>
        <w:t xml:space="preserve">Table 30. Paediatric CD study discontinuation of corticosteroids or immunomodulators and fistula remission </w:t>
      </w:r>
    </w:p>
    <w:p w14:paraId="5D159921" w14:textId="77777777" w:rsidR="001778AA" w:rsidRPr="001775D9" w:rsidRDefault="001778AA" w:rsidP="001778AA">
      <w:pPr>
        <w:spacing w:line="240" w:lineRule="auto"/>
        <w:rPr>
          <w:szCs w:val="22"/>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2126"/>
        <w:gridCol w:w="2126"/>
        <w:gridCol w:w="1701"/>
      </w:tblGrid>
      <w:tr w:rsidR="001778AA" w:rsidRPr="00F04F82" w14:paraId="26BBA0F6" w14:textId="77777777" w:rsidTr="00D47253">
        <w:trPr>
          <w:trHeight w:val="300"/>
        </w:trPr>
        <w:tc>
          <w:tcPr>
            <w:tcW w:w="3119" w:type="dxa"/>
            <w:tcBorders>
              <w:top w:val="single" w:sz="4" w:space="0" w:color="auto"/>
            </w:tcBorders>
          </w:tcPr>
          <w:p w14:paraId="20A07DE7"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p>
        </w:tc>
        <w:tc>
          <w:tcPr>
            <w:tcW w:w="2126" w:type="dxa"/>
            <w:tcBorders>
              <w:top w:val="single" w:sz="4" w:space="0" w:color="auto"/>
            </w:tcBorders>
          </w:tcPr>
          <w:p w14:paraId="480AC482" w14:textId="77777777" w:rsidR="001778AA" w:rsidRPr="001775D9" w:rsidRDefault="001778AA" w:rsidP="00D47253">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Standard dose 40/20</w:t>
            </w:r>
            <w:r w:rsidRPr="001775D9">
              <w:rPr>
                <w:szCs w:val="22"/>
              </w:rPr>
              <w:t> </w:t>
            </w:r>
            <w:r w:rsidRPr="001775D9">
              <w:rPr>
                <w:b/>
                <w:bCs/>
                <w:color w:val="000000"/>
                <w:szCs w:val="22"/>
                <w:lang w:eastAsia="en-GB"/>
              </w:rPr>
              <w:t xml:space="preserve">mg </w:t>
            </w:r>
          </w:p>
          <w:p w14:paraId="602194E7" w14:textId="77777777" w:rsidR="001778AA" w:rsidRPr="001775D9" w:rsidRDefault="001778AA" w:rsidP="00D47253">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every other week</w:t>
            </w:r>
          </w:p>
        </w:tc>
        <w:tc>
          <w:tcPr>
            <w:tcW w:w="2126" w:type="dxa"/>
            <w:tcBorders>
              <w:top w:val="single" w:sz="4" w:space="0" w:color="auto"/>
            </w:tcBorders>
          </w:tcPr>
          <w:p w14:paraId="035A4E6B"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Low dose</w:t>
            </w:r>
          </w:p>
          <w:p w14:paraId="3A7F12F2" w14:textId="77777777" w:rsidR="001778AA" w:rsidRPr="001775D9" w:rsidRDefault="001778AA" w:rsidP="00D47253">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20/10</w:t>
            </w:r>
            <w:r w:rsidRPr="001775D9">
              <w:rPr>
                <w:szCs w:val="22"/>
              </w:rPr>
              <w:t> </w:t>
            </w:r>
            <w:r w:rsidRPr="001775D9">
              <w:rPr>
                <w:b/>
                <w:bCs/>
                <w:color w:val="000000"/>
                <w:szCs w:val="22"/>
                <w:lang w:eastAsia="en-GB"/>
              </w:rPr>
              <w:t xml:space="preserve">mg </w:t>
            </w:r>
          </w:p>
          <w:p w14:paraId="3806B0F8" w14:textId="77777777" w:rsidR="001778AA" w:rsidRPr="001775D9" w:rsidRDefault="001778AA" w:rsidP="00D47253">
            <w:pPr>
              <w:keepNext/>
              <w:keepLines/>
              <w:tabs>
                <w:tab w:val="clear" w:pos="567"/>
              </w:tabs>
              <w:autoSpaceDE w:val="0"/>
              <w:autoSpaceDN w:val="0"/>
              <w:adjustRightInd w:val="0"/>
              <w:spacing w:line="240" w:lineRule="auto"/>
              <w:jc w:val="center"/>
              <w:rPr>
                <w:b/>
                <w:bCs/>
                <w:color w:val="000000"/>
                <w:szCs w:val="22"/>
                <w:lang w:eastAsia="en-GB"/>
              </w:rPr>
            </w:pPr>
            <w:r w:rsidRPr="001775D9">
              <w:rPr>
                <w:b/>
                <w:bCs/>
                <w:color w:val="000000"/>
                <w:szCs w:val="22"/>
                <w:lang w:eastAsia="en-GB"/>
              </w:rPr>
              <w:t>every other week</w:t>
            </w:r>
          </w:p>
        </w:tc>
        <w:tc>
          <w:tcPr>
            <w:tcW w:w="1701" w:type="dxa"/>
            <w:tcBorders>
              <w:top w:val="single" w:sz="4" w:space="0" w:color="auto"/>
            </w:tcBorders>
          </w:tcPr>
          <w:p w14:paraId="73BFF8E0"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P value</w:t>
            </w:r>
            <w:r w:rsidRPr="001775D9">
              <w:rPr>
                <w:b/>
                <w:bCs/>
                <w:color w:val="000000"/>
                <w:szCs w:val="22"/>
                <w:vertAlign w:val="superscript"/>
                <w:lang w:eastAsia="en-GB"/>
              </w:rPr>
              <w:t>1</w:t>
            </w:r>
          </w:p>
        </w:tc>
      </w:tr>
      <w:tr w:rsidR="001778AA" w:rsidRPr="00F04F82" w14:paraId="5A4894C7" w14:textId="77777777" w:rsidTr="00D47253">
        <w:trPr>
          <w:trHeight w:val="149"/>
        </w:trPr>
        <w:tc>
          <w:tcPr>
            <w:tcW w:w="3119" w:type="dxa"/>
          </w:tcPr>
          <w:p w14:paraId="071AD350"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 xml:space="preserve">Discontinued corticosteroids </w:t>
            </w:r>
          </w:p>
        </w:tc>
        <w:tc>
          <w:tcPr>
            <w:tcW w:w="2126" w:type="dxa"/>
          </w:tcPr>
          <w:p w14:paraId="2B2964A7"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33</w:t>
            </w:r>
          </w:p>
        </w:tc>
        <w:tc>
          <w:tcPr>
            <w:tcW w:w="2126" w:type="dxa"/>
          </w:tcPr>
          <w:p w14:paraId="6E07242C"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38</w:t>
            </w:r>
          </w:p>
        </w:tc>
        <w:tc>
          <w:tcPr>
            <w:tcW w:w="1701" w:type="dxa"/>
          </w:tcPr>
          <w:p w14:paraId="23038D18"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p>
        </w:tc>
      </w:tr>
      <w:tr w:rsidR="001778AA" w:rsidRPr="00F04F82" w14:paraId="416258D5" w14:textId="77777777" w:rsidTr="00D47253">
        <w:trPr>
          <w:trHeight w:val="147"/>
        </w:trPr>
        <w:tc>
          <w:tcPr>
            <w:tcW w:w="3119" w:type="dxa"/>
          </w:tcPr>
          <w:p w14:paraId="2D8085F0"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26 </w:t>
            </w:r>
          </w:p>
        </w:tc>
        <w:tc>
          <w:tcPr>
            <w:tcW w:w="2126" w:type="dxa"/>
          </w:tcPr>
          <w:p w14:paraId="369F1464"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84.8%</w:t>
            </w:r>
          </w:p>
        </w:tc>
        <w:tc>
          <w:tcPr>
            <w:tcW w:w="2126" w:type="dxa"/>
          </w:tcPr>
          <w:p w14:paraId="0FDE0FC1"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65.8%</w:t>
            </w:r>
          </w:p>
        </w:tc>
        <w:tc>
          <w:tcPr>
            <w:tcW w:w="1701" w:type="dxa"/>
          </w:tcPr>
          <w:p w14:paraId="550F2745"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0.066</w:t>
            </w:r>
          </w:p>
        </w:tc>
      </w:tr>
      <w:tr w:rsidR="001778AA" w:rsidRPr="00F04F82" w14:paraId="6838B39F" w14:textId="77777777" w:rsidTr="00D47253">
        <w:trPr>
          <w:trHeight w:val="147"/>
        </w:trPr>
        <w:tc>
          <w:tcPr>
            <w:tcW w:w="3119" w:type="dxa"/>
          </w:tcPr>
          <w:p w14:paraId="74F6CA41" w14:textId="77777777" w:rsidR="001778AA" w:rsidRPr="001775D9" w:rsidRDefault="001778AA" w:rsidP="00D47253">
            <w:pPr>
              <w:keepNext/>
              <w:keepLines/>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52 </w:t>
            </w:r>
          </w:p>
        </w:tc>
        <w:tc>
          <w:tcPr>
            <w:tcW w:w="2126" w:type="dxa"/>
          </w:tcPr>
          <w:p w14:paraId="3ABA0883"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69.7%</w:t>
            </w:r>
          </w:p>
        </w:tc>
        <w:tc>
          <w:tcPr>
            <w:tcW w:w="2126" w:type="dxa"/>
          </w:tcPr>
          <w:p w14:paraId="0DE56ED2" w14:textId="77777777" w:rsidR="001778AA" w:rsidRPr="001775D9" w:rsidRDefault="001778AA" w:rsidP="00D47253">
            <w:pPr>
              <w:keepNext/>
              <w:keepLines/>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60.5%</w:t>
            </w:r>
          </w:p>
        </w:tc>
        <w:tc>
          <w:tcPr>
            <w:tcW w:w="1701" w:type="dxa"/>
          </w:tcPr>
          <w:p w14:paraId="35D930FA"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0.420</w:t>
            </w:r>
          </w:p>
        </w:tc>
      </w:tr>
      <w:tr w:rsidR="001778AA" w:rsidRPr="00F04F82" w14:paraId="2DBEF3BE" w14:textId="77777777" w:rsidTr="00D47253">
        <w:trPr>
          <w:trHeight w:val="156"/>
        </w:trPr>
        <w:tc>
          <w:tcPr>
            <w:tcW w:w="3119" w:type="dxa"/>
          </w:tcPr>
          <w:p w14:paraId="624FBB91"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Discontinuation of Immunomodulators</w:t>
            </w:r>
            <w:r w:rsidRPr="001775D9">
              <w:rPr>
                <w:b/>
                <w:bCs/>
                <w:color w:val="000000"/>
                <w:szCs w:val="22"/>
                <w:vertAlign w:val="superscript"/>
                <w:lang w:eastAsia="en-GB"/>
              </w:rPr>
              <w:t>2</w:t>
            </w:r>
            <w:r w:rsidRPr="001775D9">
              <w:rPr>
                <w:b/>
                <w:bCs/>
                <w:color w:val="000000"/>
                <w:szCs w:val="22"/>
                <w:lang w:eastAsia="en-GB"/>
              </w:rPr>
              <w:t xml:space="preserve"> </w:t>
            </w:r>
          </w:p>
        </w:tc>
        <w:tc>
          <w:tcPr>
            <w:tcW w:w="2126" w:type="dxa"/>
          </w:tcPr>
          <w:p w14:paraId="27DB9D97"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60</w:t>
            </w:r>
          </w:p>
        </w:tc>
        <w:tc>
          <w:tcPr>
            <w:tcW w:w="2126" w:type="dxa"/>
          </w:tcPr>
          <w:p w14:paraId="2F39839F"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57</w:t>
            </w:r>
          </w:p>
        </w:tc>
        <w:tc>
          <w:tcPr>
            <w:tcW w:w="1701" w:type="dxa"/>
          </w:tcPr>
          <w:p w14:paraId="4C7B3577"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p>
        </w:tc>
      </w:tr>
      <w:tr w:rsidR="001778AA" w:rsidRPr="00F04F82" w14:paraId="093C3C17" w14:textId="77777777" w:rsidTr="00D47253">
        <w:trPr>
          <w:trHeight w:val="147"/>
        </w:trPr>
        <w:tc>
          <w:tcPr>
            <w:tcW w:w="3119" w:type="dxa"/>
          </w:tcPr>
          <w:p w14:paraId="11998DE1"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52 </w:t>
            </w:r>
          </w:p>
        </w:tc>
        <w:tc>
          <w:tcPr>
            <w:tcW w:w="2126" w:type="dxa"/>
          </w:tcPr>
          <w:p w14:paraId="4AE499A6"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30.0%</w:t>
            </w:r>
          </w:p>
        </w:tc>
        <w:tc>
          <w:tcPr>
            <w:tcW w:w="2126" w:type="dxa"/>
          </w:tcPr>
          <w:p w14:paraId="3EE755E3"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29.8%</w:t>
            </w:r>
          </w:p>
        </w:tc>
        <w:tc>
          <w:tcPr>
            <w:tcW w:w="1701" w:type="dxa"/>
          </w:tcPr>
          <w:p w14:paraId="4BD6C479"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0.983</w:t>
            </w:r>
          </w:p>
        </w:tc>
      </w:tr>
      <w:tr w:rsidR="001778AA" w:rsidRPr="00F04F82" w14:paraId="4758E185" w14:textId="77777777" w:rsidTr="00D47253">
        <w:trPr>
          <w:trHeight w:val="156"/>
        </w:trPr>
        <w:tc>
          <w:tcPr>
            <w:tcW w:w="3119" w:type="dxa"/>
          </w:tcPr>
          <w:p w14:paraId="66D9E192"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b/>
                <w:bCs/>
                <w:color w:val="000000"/>
                <w:szCs w:val="22"/>
                <w:lang w:eastAsia="en-GB"/>
              </w:rPr>
              <w:t>Fistula remission</w:t>
            </w:r>
            <w:r w:rsidRPr="001775D9">
              <w:rPr>
                <w:b/>
                <w:bCs/>
                <w:color w:val="000000"/>
                <w:szCs w:val="22"/>
                <w:vertAlign w:val="superscript"/>
                <w:lang w:eastAsia="en-GB"/>
              </w:rPr>
              <w:t>3</w:t>
            </w:r>
            <w:r w:rsidRPr="001775D9">
              <w:rPr>
                <w:b/>
                <w:bCs/>
                <w:color w:val="000000"/>
                <w:szCs w:val="22"/>
                <w:lang w:eastAsia="en-GB"/>
              </w:rPr>
              <w:t xml:space="preserve"> </w:t>
            </w:r>
          </w:p>
        </w:tc>
        <w:tc>
          <w:tcPr>
            <w:tcW w:w="2126" w:type="dxa"/>
          </w:tcPr>
          <w:p w14:paraId="4FAF861D"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15</w:t>
            </w:r>
          </w:p>
        </w:tc>
        <w:tc>
          <w:tcPr>
            <w:tcW w:w="2126" w:type="dxa"/>
          </w:tcPr>
          <w:p w14:paraId="1BB8EBD7"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b/>
                <w:bCs/>
                <w:color w:val="000000"/>
                <w:szCs w:val="22"/>
                <w:lang w:eastAsia="en-GB"/>
              </w:rPr>
              <w:t>N</w:t>
            </w:r>
            <w:r w:rsidRPr="001775D9">
              <w:rPr>
                <w:szCs w:val="22"/>
              </w:rPr>
              <w:t> </w:t>
            </w:r>
            <w:r w:rsidRPr="001775D9">
              <w:rPr>
                <w:b/>
                <w:bCs/>
                <w:color w:val="000000"/>
                <w:szCs w:val="22"/>
                <w:lang w:eastAsia="en-GB"/>
              </w:rPr>
              <w:t>=</w:t>
            </w:r>
            <w:r w:rsidRPr="001775D9">
              <w:rPr>
                <w:szCs w:val="22"/>
              </w:rPr>
              <w:t> </w:t>
            </w:r>
            <w:r w:rsidRPr="001775D9">
              <w:rPr>
                <w:b/>
                <w:bCs/>
                <w:color w:val="000000"/>
                <w:szCs w:val="22"/>
                <w:lang w:eastAsia="en-GB"/>
              </w:rPr>
              <w:t>21</w:t>
            </w:r>
          </w:p>
        </w:tc>
        <w:tc>
          <w:tcPr>
            <w:tcW w:w="1701" w:type="dxa"/>
          </w:tcPr>
          <w:p w14:paraId="203C60C3"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p>
        </w:tc>
      </w:tr>
      <w:tr w:rsidR="001778AA" w:rsidRPr="00F04F82" w14:paraId="19B68EAB" w14:textId="77777777" w:rsidTr="00D47253">
        <w:trPr>
          <w:trHeight w:val="147"/>
        </w:trPr>
        <w:tc>
          <w:tcPr>
            <w:tcW w:w="3119" w:type="dxa"/>
          </w:tcPr>
          <w:p w14:paraId="37D08C80"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Week 26 </w:t>
            </w:r>
          </w:p>
        </w:tc>
        <w:tc>
          <w:tcPr>
            <w:tcW w:w="2126" w:type="dxa"/>
          </w:tcPr>
          <w:p w14:paraId="56AAD487"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46.7%</w:t>
            </w:r>
          </w:p>
        </w:tc>
        <w:tc>
          <w:tcPr>
            <w:tcW w:w="2126" w:type="dxa"/>
          </w:tcPr>
          <w:p w14:paraId="72A82A90"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38.1%</w:t>
            </w:r>
          </w:p>
        </w:tc>
        <w:tc>
          <w:tcPr>
            <w:tcW w:w="1701" w:type="dxa"/>
          </w:tcPr>
          <w:p w14:paraId="3875C941"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0.608</w:t>
            </w:r>
          </w:p>
        </w:tc>
      </w:tr>
      <w:tr w:rsidR="001778AA" w:rsidRPr="00F04F82" w14:paraId="07A7E59D" w14:textId="77777777" w:rsidTr="00D47253">
        <w:trPr>
          <w:trHeight w:val="147"/>
        </w:trPr>
        <w:tc>
          <w:tcPr>
            <w:tcW w:w="3119" w:type="dxa"/>
          </w:tcPr>
          <w:p w14:paraId="0B8BF79D" w14:textId="77777777" w:rsidR="001778AA" w:rsidRPr="001775D9" w:rsidRDefault="001778AA" w:rsidP="00D47253">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Week 52</w:t>
            </w:r>
          </w:p>
        </w:tc>
        <w:tc>
          <w:tcPr>
            <w:tcW w:w="2126" w:type="dxa"/>
          </w:tcPr>
          <w:p w14:paraId="13A6EC13"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40.0%</w:t>
            </w:r>
          </w:p>
        </w:tc>
        <w:tc>
          <w:tcPr>
            <w:tcW w:w="2126" w:type="dxa"/>
          </w:tcPr>
          <w:p w14:paraId="05BB4490"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23.8%</w:t>
            </w:r>
          </w:p>
        </w:tc>
        <w:tc>
          <w:tcPr>
            <w:tcW w:w="1701" w:type="dxa"/>
          </w:tcPr>
          <w:p w14:paraId="7C41E981" w14:textId="77777777" w:rsidR="001778AA" w:rsidRPr="001775D9" w:rsidRDefault="001778AA" w:rsidP="00D47253">
            <w:pPr>
              <w:tabs>
                <w:tab w:val="clear" w:pos="567"/>
              </w:tabs>
              <w:autoSpaceDE w:val="0"/>
              <w:autoSpaceDN w:val="0"/>
              <w:adjustRightInd w:val="0"/>
              <w:spacing w:line="240" w:lineRule="auto"/>
              <w:jc w:val="center"/>
              <w:rPr>
                <w:color w:val="000000"/>
                <w:szCs w:val="22"/>
                <w:lang w:eastAsia="en-GB"/>
              </w:rPr>
            </w:pPr>
            <w:r w:rsidRPr="001775D9">
              <w:rPr>
                <w:color w:val="000000"/>
                <w:szCs w:val="22"/>
                <w:lang w:eastAsia="en-GB"/>
              </w:rPr>
              <w:t>0.303</w:t>
            </w:r>
          </w:p>
        </w:tc>
      </w:tr>
    </w:tbl>
    <w:p w14:paraId="4F20734E" w14:textId="77777777" w:rsidR="001778AA" w:rsidRPr="001775D9" w:rsidRDefault="001778AA" w:rsidP="001778AA">
      <w:pPr>
        <w:tabs>
          <w:tab w:val="clear" w:pos="567"/>
        </w:tabs>
        <w:autoSpaceDE w:val="0"/>
        <w:autoSpaceDN w:val="0"/>
        <w:adjustRightInd w:val="0"/>
        <w:spacing w:line="240" w:lineRule="auto"/>
        <w:rPr>
          <w:color w:val="000000"/>
          <w:sz w:val="20"/>
          <w:lang w:eastAsia="en-GB"/>
        </w:rPr>
      </w:pPr>
      <w:r w:rsidRPr="001775D9">
        <w:rPr>
          <w:color w:val="000000"/>
          <w:sz w:val="20"/>
          <w:vertAlign w:val="superscript"/>
          <w:lang w:eastAsia="en-GB"/>
        </w:rPr>
        <w:t>1</w:t>
      </w:r>
      <w:r w:rsidRPr="001775D9">
        <w:rPr>
          <w:color w:val="000000"/>
          <w:sz w:val="20"/>
          <w:lang w:eastAsia="en-GB"/>
        </w:rPr>
        <w:t xml:space="preserve"> p value for standard dose </w:t>
      </w:r>
      <w:r w:rsidRPr="001775D9">
        <w:rPr>
          <w:iCs/>
          <w:color w:val="000000"/>
          <w:sz w:val="20"/>
          <w:lang w:eastAsia="en-GB"/>
        </w:rPr>
        <w:t>versus</w:t>
      </w:r>
      <w:r w:rsidRPr="001775D9">
        <w:rPr>
          <w:i/>
          <w:iCs/>
          <w:color w:val="000000"/>
          <w:sz w:val="20"/>
          <w:lang w:eastAsia="en-GB"/>
        </w:rPr>
        <w:t xml:space="preserve"> </w:t>
      </w:r>
      <w:r w:rsidRPr="001775D9">
        <w:rPr>
          <w:color w:val="000000"/>
          <w:sz w:val="20"/>
          <w:lang w:eastAsia="en-GB"/>
        </w:rPr>
        <w:t xml:space="preserve">low dose comparison </w:t>
      </w:r>
    </w:p>
    <w:p w14:paraId="2AF444D0" w14:textId="77777777" w:rsidR="001778AA" w:rsidRPr="001775D9" w:rsidRDefault="001778AA" w:rsidP="001778AA">
      <w:pPr>
        <w:tabs>
          <w:tab w:val="clear" w:pos="567"/>
        </w:tabs>
        <w:autoSpaceDE w:val="0"/>
        <w:autoSpaceDN w:val="0"/>
        <w:adjustRightInd w:val="0"/>
        <w:spacing w:line="240" w:lineRule="auto"/>
        <w:rPr>
          <w:color w:val="000000"/>
          <w:sz w:val="20"/>
          <w:lang w:eastAsia="en-GB"/>
        </w:rPr>
      </w:pPr>
      <w:r w:rsidRPr="001775D9">
        <w:rPr>
          <w:color w:val="000000"/>
          <w:sz w:val="20"/>
          <w:vertAlign w:val="superscript"/>
          <w:lang w:eastAsia="en-GB"/>
        </w:rPr>
        <w:t>2</w:t>
      </w:r>
      <w:r w:rsidRPr="001775D9">
        <w:rPr>
          <w:color w:val="000000"/>
          <w:sz w:val="20"/>
          <w:lang w:eastAsia="en-GB"/>
        </w:rPr>
        <w:t xml:space="preserve"> Immunosuppressant therapy could only be discontinued at or after week 26 at the investigator's discretion if the subject met the clinical response criterion </w:t>
      </w:r>
    </w:p>
    <w:p w14:paraId="7800B25B" w14:textId="77777777" w:rsidR="001778AA" w:rsidRPr="001775D9" w:rsidRDefault="001778AA" w:rsidP="001778AA">
      <w:pPr>
        <w:spacing w:line="240" w:lineRule="auto"/>
        <w:rPr>
          <w:sz w:val="20"/>
        </w:rPr>
      </w:pPr>
      <w:r w:rsidRPr="001775D9">
        <w:rPr>
          <w:color w:val="000000"/>
          <w:sz w:val="20"/>
          <w:vertAlign w:val="superscript"/>
          <w:lang w:eastAsia="en-GB"/>
        </w:rPr>
        <w:t>3</w:t>
      </w:r>
      <w:r w:rsidRPr="001775D9">
        <w:rPr>
          <w:color w:val="000000"/>
          <w:sz w:val="20"/>
          <w:lang w:eastAsia="en-GB"/>
        </w:rPr>
        <w:t xml:space="preserve"> defined as a closure of all fistulas that were draining at baseline for at least 2 consecutive post-baseline visits </w:t>
      </w:r>
    </w:p>
    <w:p w14:paraId="4DC7423F" w14:textId="77777777" w:rsidR="001778AA" w:rsidRPr="001775D9" w:rsidRDefault="001778AA" w:rsidP="001778AA">
      <w:pPr>
        <w:spacing w:line="240" w:lineRule="auto"/>
        <w:rPr>
          <w:szCs w:val="22"/>
        </w:rPr>
      </w:pPr>
    </w:p>
    <w:p w14:paraId="70454805"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Statistically significant increases (improvement) from baseline to week 26 and 52 in body mass index and height velocity were observed for both treatment groups. </w:t>
      </w:r>
    </w:p>
    <w:p w14:paraId="2CE8DF8E" w14:textId="77777777" w:rsidR="001778AA" w:rsidRPr="001775D9" w:rsidRDefault="001778AA" w:rsidP="001778AA">
      <w:pPr>
        <w:spacing w:line="240" w:lineRule="auto"/>
        <w:rPr>
          <w:color w:val="000000"/>
          <w:szCs w:val="22"/>
          <w:lang w:eastAsia="en-GB"/>
        </w:rPr>
      </w:pPr>
    </w:p>
    <w:p w14:paraId="7CD50840" w14:textId="77777777" w:rsidR="001778AA" w:rsidRPr="001775D9" w:rsidRDefault="001778AA" w:rsidP="001778AA">
      <w:pPr>
        <w:spacing w:line="240" w:lineRule="auto"/>
        <w:rPr>
          <w:color w:val="000000"/>
          <w:szCs w:val="22"/>
          <w:lang w:eastAsia="en-GB"/>
        </w:rPr>
      </w:pPr>
      <w:r w:rsidRPr="001775D9">
        <w:rPr>
          <w:color w:val="000000"/>
          <w:szCs w:val="22"/>
          <w:lang w:eastAsia="en-GB"/>
        </w:rPr>
        <w:t>Statistically and clinically significant improvements from baseline were also observed in both treatment groups for quality of life parameters (including IMPACT III).</w:t>
      </w:r>
    </w:p>
    <w:p w14:paraId="13AA6BE6" w14:textId="77777777" w:rsidR="001778AA" w:rsidRPr="001775D9" w:rsidRDefault="001778AA" w:rsidP="001778AA">
      <w:pPr>
        <w:spacing w:line="240" w:lineRule="auto"/>
        <w:rPr>
          <w:color w:val="000000"/>
          <w:szCs w:val="22"/>
          <w:lang w:eastAsia="en-GB"/>
        </w:rPr>
      </w:pPr>
    </w:p>
    <w:p w14:paraId="0BFA18B8" w14:textId="77777777" w:rsidR="001778AA" w:rsidRPr="001775D9" w:rsidRDefault="001778AA" w:rsidP="001778AA">
      <w:pPr>
        <w:tabs>
          <w:tab w:val="clear" w:pos="567"/>
        </w:tabs>
        <w:autoSpaceDE w:val="0"/>
        <w:autoSpaceDN w:val="0"/>
        <w:adjustRightInd w:val="0"/>
        <w:spacing w:line="240" w:lineRule="auto"/>
        <w:rPr>
          <w:szCs w:val="22"/>
        </w:rPr>
      </w:pPr>
      <w:r w:rsidRPr="00D55B59">
        <w:rPr>
          <w:szCs w:val="22"/>
          <w:rPrChange w:id="1905" w:author="Author">
            <w:rPr>
              <w:szCs w:val="22"/>
              <w:lang w:val="en-US"/>
            </w:rPr>
          </w:rPrChange>
        </w:rPr>
        <w:t>One hundred patients (n = 100) from the Paediatric CD Study continued in an open-label long-term extension study. After 5 years of adalimumab therapy, 74.0% (37/50) of the 50 patients remaining in the study continued to be in clinical remission, and 92.0% (46/50) of patients continued to be in clinical response per PCDAI.</w:t>
      </w:r>
    </w:p>
    <w:p w14:paraId="14930D3C"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686F67B9" w14:textId="77777777" w:rsidR="001778AA" w:rsidRPr="001775D9" w:rsidRDefault="001778AA" w:rsidP="001778AA">
      <w:pPr>
        <w:tabs>
          <w:tab w:val="clear" w:pos="567"/>
        </w:tabs>
        <w:autoSpaceDE w:val="0"/>
        <w:autoSpaceDN w:val="0"/>
        <w:adjustRightInd w:val="0"/>
        <w:spacing w:line="240" w:lineRule="auto"/>
        <w:rPr>
          <w:i/>
          <w:iCs/>
          <w:szCs w:val="22"/>
          <w:lang w:eastAsia="en-GB"/>
        </w:rPr>
      </w:pPr>
      <w:r w:rsidRPr="001775D9">
        <w:rPr>
          <w:i/>
          <w:iCs/>
          <w:szCs w:val="22"/>
          <w:lang w:eastAsia="en-GB"/>
        </w:rPr>
        <w:t>Paediatric ulcerative colitis</w:t>
      </w:r>
    </w:p>
    <w:p w14:paraId="14EB1580" w14:textId="77777777" w:rsidR="001778AA" w:rsidRPr="001775D9" w:rsidRDefault="001778AA" w:rsidP="001778AA">
      <w:pPr>
        <w:tabs>
          <w:tab w:val="clear" w:pos="567"/>
        </w:tabs>
        <w:autoSpaceDE w:val="0"/>
        <w:autoSpaceDN w:val="0"/>
        <w:adjustRightInd w:val="0"/>
        <w:spacing w:line="240" w:lineRule="auto"/>
        <w:rPr>
          <w:i/>
          <w:iCs/>
          <w:szCs w:val="22"/>
          <w:lang w:eastAsia="en-GB"/>
        </w:rPr>
      </w:pPr>
    </w:p>
    <w:p w14:paraId="19A49B8E" w14:textId="64ECB251"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The safety and efficacy of adalimumab was assessed in a multicent</w:t>
      </w:r>
      <w:r w:rsidR="00DA62E8" w:rsidRPr="001775D9">
        <w:rPr>
          <w:szCs w:val="22"/>
          <w:lang w:eastAsia="en-GB"/>
        </w:rPr>
        <w:t>r</w:t>
      </w:r>
      <w:r w:rsidRPr="001775D9">
        <w:rPr>
          <w:szCs w:val="22"/>
          <w:lang w:eastAsia="en-GB"/>
        </w:rPr>
        <w:t>e, randomised, double-blind, trial in 93 paediatric patients from 5 to 17 years of age with moderate to severe ulcerative colitis (Mayo score 6 to 12 with endoscopy subscore of 2 to 3 points, confirmed by centrally read endoscopy) who had an inadequate response or intolerance to conventional therapy. Approximately 16% of patients in the study had failed prior anti-TNF treatment. Patients who received corticosteroids at enrollment were allowed to taper their corticosteroid therapy after week 4.</w:t>
      </w:r>
    </w:p>
    <w:p w14:paraId="5AF0581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28BDCFE" w14:textId="6215E536" w:rsidR="001778AA" w:rsidRPr="001775D9" w:rsidRDefault="001778AA" w:rsidP="00FF2330">
      <w:pPr>
        <w:tabs>
          <w:tab w:val="clear" w:pos="567"/>
        </w:tabs>
        <w:autoSpaceDE w:val="0"/>
        <w:autoSpaceDN w:val="0"/>
        <w:adjustRightInd w:val="0"/>
        <w:spacing w:line="240" w:lineRule="auto"/>
        <w:rPr>
          <w:szCs w:val="22"/>
          <w:lang w:eastAsia="en-GB"/>
        </w:rPr>
      </w:pPr>
      <w:r w:rsidRPr="001775D9">
        <w:rPr>
          <w:szCs w:val="22"/>
          <w:lang w:eastAsia="en-GB"/>
        </w:rPr>
        <w:t>In the induction period of the study, 77 patients were randomised 3:2 to receive double-blind treatment</w:t>
      </w:r>
      <w:r w:rsidR="00FF2330" w:rsidRPr="001775D9">
        <w:rPr>
          <w:szCs w:val="22"/>
          <w:lang w:eastAsia="en-GB"/>
        </w:rPr>
        <w:t xml:space="preserve"> </w:t>
      </w:r>
      <w:r w:rsidRPr="001775D9">
        <w:rPr>
          <w:szCs w:val="22"/>
          <w:lang w:eastAsia="en-GB"/>
        </w:rPr>
        <w:t xml:space="preserve">with </w:t>
      </w:r>
      <w:r w:rsidRPr="001775D9">
        <w:rPr>
          <w:color w:val="000000"/>
          <w:szCs w:val="22"/>
          <w:lang w:eastAsia="en-GB"/>
        </w:rPr>
        <w:t>adalimumab</w:t>
      </w:r>
      <w:r w:rsidRPr="001775D9">
        <w:rPr>
          <w:szCs w:val="22"/>
          <w:lang w:eastAsia="en-GB"/>
        </w:rPr>
        <w:t xml:space="preserve"> at an induction dose of 2.4</w:t>
      </w:r>
      <w:r w:rsidR="002C3129" w:rsidRPr="001775D9">
        <w:rPr>
          <w:szCs w:val="22"/>
          <w:lang w:eastAsia="en-GB"/>
        </w:rPr>
        <w:t> </w:t>
      </w:r>
      <w:r w:rsidRPr="001775D9">
        <w:rPr>
          <w:szCs w:val="22"/>
          <w:lang w:eastAsia="en-GB"/>
        </w:rPr>
        <w:t>mg/kg (maximum of 160</w:t>
      </w:r>
      <w:r w:rsidR="002C3129" w:rsidRPr="001775D9">
        <w:rPr>
          <w:szCs w:val="22"/>
          <w:lang w:eastAsia="en-GB"/>
        </w:rPr>
        <w:t> </w:t>
      </w:r>
      <w:r w:rsidRPr="001775D9">
        <w:rPr>
          <w:szCs w:val="22"/>
          <w:lang w:eastAsia="en-GB"/>
        </w:rPr>
        <w:t>mg) at week 0 and week 1, and 1.2 mg/kg (maximum of 80</w:t>
      </w:r>
      <w:r w:rsidR="002C3129" w:rsidRPr="001775D9">
        <w:rPr>
          <w:szCs w:val="22"/>
          <w:lang w:eastAsia="en-GB"/>
        </w:rPr>
        <w:t> </w:t>
      </w:r>
      <w:r w:rsidRPr="001775D9">
        <w:rPr>
          <w:szCs w:val="22"/>
          <w:lang w:eastAsia="en-GB"/>
        </w:rPr>
        <w:t>mg) at week 2; or an induction dose of 2.4</w:t>
      </w:r>
      <w:r w:rsidR="002C3129" w:rsidRPr="001775D9">
        <w:rPr>
          <w:szCs w:val="22"/>
          <w:lang w:eastAsia="en-GB"/>
        </w:rPr>
        <w:t> </w:t>
      </w:r>
      <w:r w:rsidRPr="001775D9">
        <w:rPr>
          <w:szCs w:val="22"/>
          <w:lang w:eastAsia="en-GB"/>
        </w:rPr>
        <w:t>mg/kg (maximum of 160 mg) at week 0, placebo at week 1, and 1.2</w:t>
      </w:r>
      <w:r w:rsidR="002C3129" w:rsidRPr="001775D9">
        <w:rPr>
          <w:szCs w:val="22"/>
          <w:lang w:eastAsia="en-GB"/>
        </w:rPr>
        <w:t> </w:t>
      </w:r>
      <w:r w:rsidRPr="001775D9">
        <w:rPr>
          <w:szCs w:val="22"/>
          <w:lang w:eastAsia="en-GB"/>
        </w:rPr>
        <w:t>mg/kg (maximum of 80</w:t>
      </w:r>
      <w:r w:rsidR="002C3129" w:rsidRPr="001775D9">
        <w:rPr>
          <w:szCs w:val="22"/>
          <w:lang w:eastAsia="en-GB"/>
        </w:rPr>
        <w:t> </w:t>
      </w:r>
      <w:r w:rsidRPr="001775D9">
        <w:rPr>
          <w:szCs w:val="22"/>
          <w:lang w:eastAsia="en-GB"/>
        </w:rPr>
        <w:t>mg) at week 2. Both groups received 0.6</w:t>
      </w:r>
      <w:r w:rsidR="002C3129" w:rsidRPr="001775D9">
        <w:rPr>
          <w:szCs w:val="22"/>
          <w:lang w:eastAsia="en-GB"/>
        </w:rPr>
        <w:t> </w:t>
      </w:r>
      <w:r w:rsidRPr="001775D9">
        <w:rPr>
          <w:szCs w:val="22"/>
          <w:lang w:eastAsia="en-GB"/>
        </w:rPr>
        <w:t>mg/kg (maximum of 40</w:t>
      </w:r>
      <w:r w:rsidR="002C3129" w:rsidRPr="001775D9">
        <w:rPr>
          <w:szCs w:val="22"/>
          <w:lang w:eastAsia="en-GB"/>
        </w:rPr>
        <w:t> </w:t>
      </w:r>
      <w:r w:rsidRPr="001775D9">
        <w:rPr>
          <w:szCs w:val="22"/>
          <w:lang w:eastAsia="en-GB"/>
        </w:rPr>
        <w:t xml:space="preserve">mg) at week 4 and week 6. Following an amendment to the study design, the remaining 16 patients who enrolled in the induction period received open-label treatment with </w:t>
      </w:r>
      <w:r w:rsidRPr="001775D9">
        <w:rPr>
          <w:color w:val="000000"/>
          <w:szCs w:val="22"/>
          <w:lang w:eastAsia="en-GB"/>
        </w:rPr>
        <w:t>adalimumab</w:t>
      </w:r>
      <w:r w:rsidRPr="001775D9">
        <w:rPr>
          <w:szCs w:val="22"/>
          <w:lang w:eastAsia="en-GB"/>
        </w:rPr>
        <w:t xml:space="preserve"> at the induction dose of 2.4</w:t>
      </w:r>
      <w:r w:rsidR="002C3129" w:rsidRPr="001775D9">
        <w:rPr>
          <w:szCs w:val="22"/>
          <w:lang w:eastAsia="en-GB"/>
        </w:rPr>
        <w:t> </w:t>
      </w:r>
      <w:r w:rsidRPr="001775D9">
        <w:rPr>
          <w:szCs w:val="22"/>
          <w:lang w:eastAsia="en-GB"/>
        </w:rPr>
        <w:t>mg/kg (maximum of 160</w:t>
      </w:r>
      <w:r w:rsidR="002C3129" w:rsidRPr="001775D9">
        <w:rPr>
          <w:szCs w:val="22"/>
          <w:lang w:eastAsia="en-GB"/>
        </w:rPr>
        <w:t> </w:t>
      </w:r>
      <w:r w:rsidRPr="001775D9">
        <w:rPr>
          <w:szCs w:val="22"/>
          <w:lang w:eastAsia="en-GB"/>
        </w:rPr>
        <w:t>mg) at week 0 and week 1, and 1.2 mg/kg (maximum of 80</w:t>
      </w:r>
      <w:r w:rsidR="002C3129" w:rsidRPr="001775D9">
        <w:rPr>
          <w:szCs w:val="22"/>
          <w:lang w:eastAsia="en-GB"/>
        </w:rPr>
        <w:t> </w:t>
      </w:r>
      <w:r w:rsidRPr="001775D9">
        <w:rPr>
          <w:szCs w:val="22"/>
          <w:lang w:eastAsia="en-GB"/>
        </w:rPr>
        <w:t>mg) at week 2.</w:t>
      </w:r>
    </w:p>
    <w:p w14:paraId="0AA9C3D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DC72552" w14:textId="604CEA4E" w:rsidR="001778AA" w:rsidRPr="001775D9" w:rsidRDefault="001778AA" w:rsidP="00FF2330">
      <w:pPr>
        <w:tabs>
          <w:tab w:val="clear" w:pos="567"/>
        </w:tabs>
        <w:autoSpaceDE w:val="0"/>
        <w:autoSpaceDN w:val="0"/>
        <w:adjustRightInd w:val="0"/>
        <w:spacing w:line="240" w:lineRule="auto"/>
        <w:rPr>
          <w:szCs w:val="22"/>
          <w:lang w:eastAsia="en-GB"/>
        </w:rPr>
      </w:pPr>
      <w:r w:rsidRPr="001775D9">
        <w:rPr>
          <w:szCs w:val="22"/>
          <w:lang w:eastAsia="en-GB"/>
        </w:rPr>
        <w:t>At week 8, 62 patients who demonstrated clinical response per Partial Mayo Score (PMS; defined as a</w:t>
      </w:r>
      <w:r w:rsidR="00FF2330" w:rsidRPr="001775D9">
        <w:rPr>
          <w:szCs w:val="22"/>
          <w:lang w:eastAsia="en-GB"/>
        </w:rPr>
        <w:t xml:space="preserve"> </w:t>
      </w:r>
      <w:r w:rsidRPr="001775D9">
        <w:rPr>
          <w:szCs w:val="22"/>
          <w:lang w:eastAsia="en-GB"/>
        </w:rPr>
        <w:t>decrease in PMS</w:t>
      </w:r>
      <w:r w:rsidRPr="00D55B59">
        <w:rPr>
          <w:szCs w:val="22"/>
          <w:rPrChange w:id="1906" w:author="Author">
            <w:rPr>
              <w:szCs w:val="22"/>
              <w:lang w:val="en-US"/>
            </w:rPr>
          </w:rPrChange>
        </w:rPr>
        <w:t> </w:t>
      </w:r>
      <w:r w:rsidRPr="001775D9">
        <w:rPr>
          <w:szCs w:val="22"/>
          <w:lang w:eastAsia="en-GB"/>
        </w:rPr>
        <w:t>≥</w:t>
      </w:r>
      <w:r w:rsidRPr="00D55B59">
        <w:rPr>
          <w:szCs w:val="22"/>
          <w:rPrChange w:id="1907" w:author="Author">
            <w:rPr>
              <w:szCs w:val="22"/>
              <w:lang w:val="en-US"/>
            </w:rPr>
          </w:rPrChange>
        </w:rPr>
        <w:t> </w:t>
      </w:r>
      <w:r w:rsidRPr="001775D9">
        <w:rPr>
          <w:szCs w:val="22"/>
          <w:lang w:eastAsia="en-GB"/>
        </w:rPr>
        <w:t>2 points and</w:t>
      </w:r>
      <w:r w:rsidRPr="00D55B59">
        <w:rPr>
          <w:szCs w:val="22"/>
          <w:rPrChange w:id="1908" w:author="Author">
            <w:rPr>
              <w:szCs w:val="22"/>
              <w:lang w:val="en-US"/>
            </w:rPr>
          </w:rPrChange>
        </w:rPr>
        <w:t> </w:t>
      </w:r>
      <w:r w:rsidRPr="001775D9">
        <w:rPr>
          <w:szCs w:val="22"/>
          <w:lang w:eastAsia="en-GB"/>
        </w:rPr>
        <w:t>≥</w:t>
      </w:r>
      <w:r w:rsidRPr="00D55B59">
        <w:rPr>
          <w:szCs w:val="22"/>
          <w:rPrChange w:id="1909" w:author="Author">
            <w:rPr>
              <w:szCs w:val="22"/>
              <w:lang w:val="en-US"/>
            </w:rPr>
          </w:rPrChange>
        </w:rPr>
        <w:t> </w:t>
      </w:r>
      <w:r w:rsidRPr="001775D9">
        <w:rPr>
          <w:szCs w:val="22"/>
          <w:lang w:eastAsia="en-GB"/>
        </w:rPr>
        <w:t>30% from Baseline) were randomised equally to receive double</w:t>
      </w:r>
      <w:r w:rsidR="00FF2330" w:rsidRPr="001775D9">
        <w:rPr>
          <w:szCs w:val="22"/>
          <w:lang w:eastAsia="en-GB"/>
        </w:rPr>
        <w:noBreakHyphen/>
      </w:r>
      <w:r w:rsidRPr="001775D9">
        <w:rPr>
          <w:szCs w:val="22"/>
          <w:lang w:eastAsia="en-GB"/>
        </w:rPr>
        <w:t xml:space="preserve">blind maintenance treatment with </w:t>
      </w:r>
      <w:r w:rsidRPr="001775D9">
        <w:rPr>
          <w:color w:val="000000"/>
          <w:szCs w:val="22"/>
          <w:lang w:eastAsia="en-GB"/>
        </w:rPr>
        <w:t>adalimumab</w:t>
      </w:r>
      <w:r w:rsidRPr="001775D9">
        <w:rPr>
          <w:szCs w:val="22"/>
          <w:lang w:eastAsia="en-GB"/>
        </w:rPr>
        <w:t xml:space="preserve"> at a dose of 0.6</w:t>
      </w:r>
      <w:r w:rsidRPr="00D55B59">
        <w:rPr>
          <w:szCs w:val="22"/>
          <w:rPrChange w:id="1910" w:author="Author">
            <w:rPr>
              <w:szCs w:val="22"/>
              <w:lang w:val="en-US"/>
            </w:rPr>
          </w:rPrChange>
        </w:rPr>
        <w:t> </w:t>
      </w:r>
      <w:r w:rsidRPr="001775D9">
        <w:rPr>
          <w:szCs w:val="22"/>
          <w:lang w:eastAsia="en-GB"/>
        </w:rPr>
        <w:t>mg/kg (maximum of 40</w:t>
      </w:r>
      <w:r w:rsidRPr="00D55B59">
        <w:rPr>
          <w:szCs w:val="22"/>
          <w:rPrChange w:id="1911" w:author="Author">
            <w:rPr>
              <w:szCs w:val="22"/>
              <w:lang w:val="en-US"/>
            </w:rPr>
          </w:rPrChange>
        </w:rPr>
        <w:t> </w:t>
      </w:r>
      <w:r w:rsidRPr="001775D9">
        <w:rPr>
          <w:szCs w:val="22"/>
          <w:lang w:eastAsia="en-GB"/>
        </w:rPr>
        <w:t>mg) every week, or a maintenance dose of 0.6</w:t>
      </w:r>
      <w:r w:rsidR="00FF2330" w:rsidRPr="001775D9">
        <w:rPr>
          <w:szCs w:val="22"/>
          <w:lang w:eastAsia="en-GB"/>
        </w:rPr>
        <w:t> </w:t>
      </w:r>
      <w:r w:rsidRPr="001775D9">
        <w:rPr>
          <w:szCs w:val="22"/>
          <w:lang w:eastAsia="en-GB"/>
        </w:rPr>
        <w:t>mg/kg (maximum of 40</w:t>
      </w:r>
      <w:r w:rsidRPr="00D55B59">
        <w:rPr>
          <w:szCs w:val="22"/>
          <w:rPrChange w:id="1912" w:author="Author">
            <w:rPr>
              <w:szCs w:val="22"/>
              <w:lang w:val="en-US"/>
            </w:rPr>
          </w:rPrChange>
        </w:rPr>
        <w:t> </w:t>
      </w:r>
      <w:r w:rsidRPr="001775D9">
        <w:rPr>
          <w:szCs w:val="22"/>
          <w:lang w:eastAsia="en-GB"/>
        </w:rPr>
        <w:t>mg) every other week. Prior to an amendment to the study design, 12 additional patients who demonstrated clinical response per PMS were randomised to receive placebo but were not included in the confirmatory analysis of efficacy.</w:t>
      </w:r>
    </w:p>
    <w:p w14:paraId="6BEFA0B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912B4C1" w14:textId="01C58B5B" w:rsidR="001778AA" w:rsidRPr="001775D9" w:rsidRDefault="001778AA" w:rsidP="00FF2330">
      <w:pPr>
        <w:tabs>
          <w:tab w:val="clear" w:pos="567"/>
        </w:tabs>
        <w:autoSpaceDE w:val="0"/>
        <w:autoSpaceDN w:val="0"/>
        <w:adjustRightInd w:val="0"/>
        <w:spacing w:line="240" w:lineRule="auto"/>
        <w:rPr>
          <w:szCs w:val="22"/>
          <w:lang w:eastAsia="en-GB"/>
        </w:rPr>
      </w:pPr>
      <w:r w:rsidRPr="001775D9">
        <w:rPr>
          <w:szCs w:val="22"/>
          <w:lang w:eastAsia="en-GB"/>
        </w:rPr>
        <w:t>Disease flare was defined as an increase in PMS of at least 3 points (for patients with PMS of 0 to 2 at</w:t>
      </w:r>
      <w:r w:rsidR="00FF2330" w:rsidRPr="001775D9">
        <w:rPr>
          <w:szCs w:val="22"/>
          <w:lang w:eastAsia="en-GB"/>
        </w:rPr>
        <w:t xml:space="preserve"> </w:t>
      </w:r>
      <w:r w:rsidRPr="001775D9">
        <w:rPr>
          <w:szCs w:val="22"/>
          <w:lang w:eastAsia="en-GB"/>
        </w:rPr>
        <w:t>week 8), at least 2 points (for patients with PMS of 3 to 4 at week 8), or at least 1 point (for patients with PMS of 5 to 6 at week 8).</w:t>
      </w:r>
    </w:p>
    <w:p w14:paraId="3DAD3B4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9C74970" w14:textId="127FCD72"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Patients who met criteria for disease flare at or after week 12 were randomised to receive a re</w:t>
      </w:r>
      <w:r w:rsidR="00BF1B65" w:rsidRPr="001775D9">
        <w:rPr>
          <w:szCs w:val="22"/>
          <w:lang w:eastAsia="en-GB"/>
        </w:rPr>
        <w:noBreakHyphen/>
      </w:r>
      <w:r w:rsidRPr="001775D9">
        <w:rPr>
          <w:szCs w:val="22"/>
          <w:lang w:eastAsia="en-GB"/>
        </w:rPr>
        <w:t>induction dose of 2.4</w:t>
      </w:r>
      <w:r w:rsidRPr="00D55B59">
        <w:rPr>
          <w:szCs w:val="22"/>
          <w:rPrChange w:id="1913" w:author="Author">
            <w:rPr>
              <w:szCs w:val="22"/>
              <w:lang w:val="en-US"/>
            </w:rPr>
          </w:rPrChange>
        </w:rPr>
        <w:t> </w:t>
      </w:r>
      <w:r w:rsidRPr="001775D9">
        <w:rPr>
          <w:szCs w:val="22"/>
          <w:lang w:eastAsia="en-GB"/>
        </w:rPr>
        <w:t>mg/kg (maximum of 160</w:t>
      </w:r>
      <w:r w:rsidRPr="00D55B59">
        <w:rPr>
          <w:szCs w:val="22"/>
          <w:rPrChange w:id="1914" w:author="Author">
            <w:rPr>
              <w:szCs w:val="22"/>
              <w:lang w:val="en-US"/>
            </w:rPr>
          </w:rPrChange>
        </w:rPr>
        <w:t> </w:t>
      </w:r>
      <w:r w:rsidRPr="001775D9">
        <w:rPr>
          <w:szCs w:val="22"/>
          <w:lang w:eastAsia="en-GB"/>
        </w:rPr>
        <w:t>mg) or a dose of 0.6</w:t>
      </w:r>
      <w:r w:rsidRPr="00D55B59">
        <w:rPr>
          <w:szCs w:val="22"/>
          <w:rPrChange w:id="1915" w:author="Author">
            <w:rPr>
              <w:szCs w:val="22"/>
              <w:lang w:val="en-US"/>
            </w:rPr>
          </w:rPrChange>
        </w:rPr>
        <w:t> </w:t>
      </w:r>
      <w:r w:rsidRPr="001775D9">
        <w:rPr>
          <w:szCs w:val="22"/>
          <w:lang w:eastAsia="en-GB"/>
        </w:rPr>
        <w:t>mg/kg (maximum of 40</w:t>
      </w:r>
      <w:r w:rsidRPr="00D55B59">
        <w:rPr>
          <w:szCs w:val="22"/>
          <w:rPrChange w:id="1916" w:author="Author">
            <w:rPr>
              <w:szCs w:val="22"/>
              <w:lang w:val="en-US"/>
            </w:rPr>
          </w:rPrChange>
        </w:rPr>
        <w:t> </w:t>
      </w:r>
      <w:r w:rsidRPr="001775D9">
        <w:rPr>
          <w:szCs w:val="22"/>
          <w:lang w:eastAsia="en-GB"/>
        </w:rPr>
        <w:t>mg) and continued to receive their respective maintenance dose regimen afterwards.</w:t>
      </w:r>
    </w:p>
    <w:p w14:paraId="2D592E32" w14:textId="77777777" w:rsidR="001778AA" w:rsidRPr="001775D9" w:rsidRDefault="001778AA" w:rsidP="001778AA">
      <w:pPr>
        <w:tabs>
          <w:tab w:val="clear" w:pos="567"/>
        </w:tabs>
        <w:autoSpaceDE w:val="0"/>
        <w:autoSpaceDN w:val="0"/>
        <w:adjustRightInd w:val="0"/>
        <w:spacing w:line="240" w:lineRule="auto"/>
        <w:rPr>
          <w:i/>
          <w:iCs/>
          <w:szCs w:val="22"/>
          <w:lang w:eastAsia="en-GB"/>
        </w:rPr>
      </w:pPr>
    </w:p>
    <w:p w14:paraId="514E0C34" w14:textId="77777777" w:rsidR="001778AA" w:rsidRPr="001775D9" w:rsidRDefault="001778AA" w:rsidP="001778AA">
      <w:pPr>
        <w:tabs>
          <w:tab w:val="clear" w:pos="567"/>
        </w:tabs>
        <w:autoSpaceDE w:val="0"/>
        <w:autoSpaceDN w:val="0"/>
        <w:adjustRightInd w:val="0"/>
        <w:spacing w:line="240" w:lineRule="auto"/>
        <w:rPr>
          <w:i/>
          <w:iCs/>
          <w:szCs w:val="22"/>
          <w:lang w:eastAsia="en-GB"/>
        </w:rPr>
      </w:pPr>
      <w:r w:rsidRPr="001775D9">
        <w:rPr>
          <w:i/>
          <w:iCs/>
          <w:szCs w:val="22"/>
          <w:lang w:eastAsia="en-GB"/>
        </w:rPr>
        <w:t>Efficacy Results</w:t>
      </w:r>
    </w:p>
    <w:p w14:paraId="3A37112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F4FC4C1" w14:textId="4BF94869" w:rsidR="001778AA" w:rsidRPr="001775D9" w:rsidRDefault="001778AA" w:rsidP="00FF2330">
      <w:pPr>
        <w:tabs>
          <w:tab w:val="clear" w:pos="567"/>
        </w:tabs>
        <w:autoSpaceDE w:val="0"/>
        <w:autoSpaceDN w:val="0"/>
        <w:adjustRightInd w:val="0"/>
        <w:spacing w:line="240" w:lineRule="auto"/>
        <w:rPr>
          <w:szCs w:val="22"/>
          <w:lang w:eastAsia="en-GB"/>
        </w:rPr>
      </w:pPr>
      <w:r w:rsidRPr="001775D9">
        <w:rPr>
          <w:szCs w:val="22"/>
          <w:lang w:eastAsia="en-GB"/>
        </w:rPr>
        <w:t>The co-primary endpoints of the study were clinical remission per PMS (defined as PMS</w:t>
      </w:r>
      <w:r w:rsidRPr="00D55B59">
        <w:rPr>
          <w:szCs w:val="22"/>
          <w:rPrChange w:id="1917" w:author="Author">
            <w:rPr>
              <w:szCs w:val="22"/>
              <w:lang w:val="en-US"/>
            </w:rPr>
          </w:rPrChange>
        </w:rPr>
        <w:t> </w:t>
      </w:r>
      <w:r w:rsidRPr="001775D9">
        <w:rPr>
          <w:szCs w:val="22"/>
          <w:lang w:eastAsia="en-GB"/>
        </w:rPr>
        <w:t>≤</w:t>
      </w:r>
      <w:r w:rsidRPr="00D55B59">
        <w:rPr>
          <w:szCs w:val="22"/>
          <w:rPrChange w:id="1918" w:author="Author">
            <w:rPr>
              <w:szCs w:val="22"/>
              <w:lang w:val="en-US"/>
            </w:rPr>
          </w:rPrChange>
        </w:rPr>
        <w:t> </w:t>
      </w:r>
      <w:r w:rsidRPr="001775D9">
        <w:rPr>
          <w:szCs w:val="22"/>
          <w:lang w:eastAsia="en-GB"/>
        </w:rPr>
        <w:t>2 and no</w:t>
      </w:r>
      <w:r w:rsidR="00FF2330" w:rsidRPr="001775D9">
        <w:rPr>
          <w:szCs w:val="22"/>
          <w:lang w:eastAsia="en-GB"/>
        </w:rPr>
        <w:t xml:space="preserve"> </w:t>
      </w:r>
      <w:r w:rsidRPr="001775D9">
        <w:rPr>
          <w:szCs w:val="22"/>
          <w:lang w:eastAsia="en-GB"/>
        </w:rPr>
        <w:t>individual subscore</w:t>
      </w:r>
      <w:r w:rsidRPr="00D55B59">
        <w:rPr>
          <w:szCs w:val="22"/>
          <w:rPrChange w:id="1919" w:author="Author">
            <w:rPr>
              <w:szCs w:val="22"/>
              <w:lang w:val="en-US"/>
            </w:rPr>
          </w:rPrChange>
        </w:rPr>
        <w:t> </w:t>
      </w:r>
      <w:r w:rsidRPr="001775D9">
        <w:rPr>
          <w:szCs w:val="22"/>
          <w:lang w:eastAsia="en-GB"/>
        </w:rPr>
        <w:t>&gt;</w:t>
      </w:r>
      <w:r w:rsidRPr="00D55B59">
        <w:rPr>
          <w:szCs w:val="22"/>
          <w:rPrChange w:id="1920" w:author="Author">
            <w:rPr>
              <w:szCs w:val="22"/>
              <w:lang w:val="en-US"/>
            </w:rPr>
          </w:rPrChange>
        </w:rPr>
        <w:t> </w:t>
      </w:r>
      <w:r w:rsidRPr="001775D9">
        <w:rPr>
          <w:szCs w:val="22"/>
          <w:lang w:eastAsia="en-GB"/>
        </w:rPr>
        <w:t>1) at week 8, and clinical remission per FMS (Full Mayo Score) (defined as a Mayo Score</w:t>
      </w:r>
      <w:r w:rsidRPr="00D55B59">
        <w:rPr>
          <w:szCs w:val="22"/>
          <w:rPrChange w:id="1921" w:author="Author">
            <w:rPr>
              <w:szCs w:val="22"/>
              <w:lang w:val="en-US"/>
            </w:rPr>
          </w:rPrChange>
        </w:rPr>
        <w:t> </w:t>
      </w:r>
      <w:r w:rsidRPr="001775D9">
        <w:rPr>
          <w:szCs w:val="22"/>
          <w:lang w:eastAsia="en-GB"/>
        </w:rPr>
        <w:t>≤</w:t>
      </w:r>
      <w:r w:rsidRPr="00D55B59">
        <w:rPr>
          <w:szCs w:val="22"/>
          <w:rPrChange w:id="1922" w:author="Author">
            <w:rPr>
              <w:szCs w:val="22"/>
              <w:lang w:val="en-US"/>
            </w:rPr>
          </w:rPrChange>
        </w:rPr>
        <w:t> </w:t>
      </w:r>
      <w:r w:rsidRPr="001775D9">
        <w:rPr>
          <w:szCs w:val="22"/>
          <w:lang w:eastAsia="en-GB"/>
        </w:rPr>
        <w:t>2 and no individual subscore</w:t>
      </w:r>
      <w:r w:rsidRPr="00D55B59">
        <w:rPr>
          <w:szCs w:val="22"/>
          <w:rPrChange w:id="1923" w:author="Author">
            <w:rPr>
              <w:szCs w:val="22"/>
              <w:lang w:val="en-US"/>
            </w:rPr>
          </w:rPrChange>
        </w:rPr>
        <w:t> </w:t>
      </w:r>
      <w:r w:rsidRPr="001775D9">
        <w:rPr>
          <w:szCs w:val="22"/>
          <w:lang w:eastAsia="en-GB"/>
        </w:rPr>
        <w:t>&gt;</w:t>
      </w:r>
      <w:r w:rsidRPr="00D55B59">
        <w:rPr>
          <w:szCs w:val="22"/>
          <w:rPrChange w:id="1924" w:author="Author">
            <w:rPr>
              <w:szCs w:val="22"/>
              <w:lang w:val="en-US"/>
            </w:rPr>
          </w:rPrChange>
        </w:rPr>
        <w:t> </w:t>
      </w:r>
      <w:r w:rsidRPr="001775D9">
        <w:rPr>
          <w:szCs w:val="22"/>
          <w:lang w:eastAsia="en-GB"/>
        </w:rPr>
        <w:t>1) at week 52 in patients who achieved clinical response per PMS at Week 8.</w:t>
      </w:r>
    </w:p>
    <w:p w14:paraId="223BF3A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0FF622C"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Clinical remission rates per PMS at week 8 for patients in each of the </w:t>
      </w:r>
      <w:r w:rsidRPr="001775D9">
        <w:rPr>
          <w:color w:val="000000"/>
          <w:szCs w:val="22"/>
          <w:lang w:eastAsia="en-GB"/>
        </w:rPr>
        <w:t>adalimumab</w:t>
      </w:r>
      <w:r w:rsidRPr="001775D9">
        <w:rPr>
          <w:szCs w:val="22"/>
          <w:lang w:eastAsia="en-GB"/>
        </w:rPr>
        <w:t xml:space="preserve"> double-blind induction groups are presented in table 31.</w:t>
      </w:r>
    </w:p>
    <w:p w14:paraId="106632A4" w14:textId="77777777" w:rsidR="001778AA" w:rsidRPr="001775D9" w:rsidRDefault="001778AA" w:rsidP="00463323">
      <w:pPr>
        <w:keepNext/>
        <w:tabs>
          <w:tab w:val="clear" w:pos="567"/>
        </w:tabs>
        <w:autoSpaceDE w:val="0"/>
        <w:autoSpaceDN w:val="0"/>
        <w:adjustRightInd w:val="0"/>
        <w:spacing w:line="240" w:lineRule="auto"/>
        <w:rPr>
          <w:szCs w:val="22"/>
          <w:lang w:eastAsia="en-GB"/>
        </w:rPr>
      </w:pPr>
    </w:p>
    <w:p w14:paraId="3BB16C69" w14:textId="77777777" w:rsidR="001778AA" w:rsidRPr="001775D9" w:rsidRDefault="001778AA" w:rsidP="001778AA">
      <w:pPr>
        <w:keepNext/>
        <w:tabs>
          <w:tab w:val="clear" w:pos="567"/>
        </w:tabs>
        <w:autoSpaceDE w:val="0"/>
        <w:autoSpaceDN w:val="0"/>
        <w:adjustRightInd w:val="0"/>
        <w:spacing w:line="240" w:lineRule="auto"/>
        <w:rPr>
          <w:b/>
          <w:bCs/>
          <w:szCs w:val="22"/>
          <w:lang w:eastAsia="en-GB"/>
        </w:rPr>
      </w:pPr>
      <w:r w:rsidRPr="001775D9">
        <w:rPr>
          <w:b/>
          <w:bCs/>
          <w:szCs w:val="22"/>
          <w:lang w:eastAsia="en-GB"/>
        </w:rPr>
        <w:t>Table 31. Clinical remission per PMS at 8 weeks</w:t>
      </w:r>
    </w:p>
    <w:p w14:paraId="2098BFC7" w14:textId="77777777" w:rsidR="001778AA" w:rsidRPr="001775D9" w:rsidRDefault="001778AA" w:rsidP="001778AA">
      <w:pPr>
        <w:keepNext/>
        <w:tabs>
          <w:tab w:val="clear" w:pos="567"/>
        </w:tabs>
        <w:autoSpaceDE w:val="0"/>
        <w:autoSpaceDN w:val="0"/>
        <w:adjustRightInd w:val="0"/>
        <w:spacing w:line="240" w:lineRule="auto"/>
        <w:rPr>
          <w:i/>
          <w:iCs/>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1"/>
      </w:tblGrid>
      <w:tr w:rsidR="001778AA" w:rsidRPr="00F04F82" w14:paraId="43C15309" w14:textId="77777777" w:rsidTr="00D47253">
        <w:trPr>
          <w:cantSplit/>
        </w:trPr>
        <w:tc>
          <w:tcPr>
            <w:tcW w:w="3020" w:type="dxa"/>
          </w:tcPr>
          <w:p w14:paraId="1F0201A6" w14:textId="77777777" w:rsidR="001778AA" w:rsidRPr="001775D9" w:rsidRDefault="001778AA" w:rsidP="00D47253">
            <w:pPr>
              <w:keepNext/>
              <w:tabs>
                <w:tab w:val="clear" w:pos="567"/>
              </w:tabs>
              <w:autoSpaceDE w:val="0"/>
              <w:autoSpaceDN w:val="0"/>
              <w:adjustRightInd w:val="0"/>
              <w:spacing w:line="240" w:lineRule="auto"/>
              <w:rPr>
                <w:szCs w:val="22"/>
                <w:lang w:eastAsia="en-GB"/>
              </w:rPr>
            </w:pPr>
          </w:p>
        </w:tc>
        <w:tc>
          <w:tcPr>
            <w:tcW w:w="3020" w:type="dxa"/>
          </w:tcPr>
          <w:p w14:paraId="2B05F44E" w14:textId="77777777"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a</w:t>
            </w:r>
          </w:p>
          <w:p w14:paraId="1E7A1441" w14:textId="355BC541"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160</w:t>
            </w:r>
            <w:r w:rsidR="00FF2330" w:rsidRPr="001775D9">
              <w:rPr>
                <w:b/>
                <w:bCs/>
                <w:szCs w:val="22"/>
                <w:lang w:eastAsia="en-GB"/>
              </w:rPr>
              <w:t> </w:t>
            </w:r>
            <w:r w:rsidRPr="001775D9">
              <w:rPr>
                <w:b/>
                <w:bCs/>
                <w:szCs w:val="22"/>
                <w:lang w:eastAsia="en-GB"/>
              </w:rPr>
              <w:t>mg at week 0 / Placebo at week 1</w:t>
            </w:r>
          </w:p>
          <w:p w14:paraId="4C67B2C4" w14:textId="22A3C0C5"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00676F07" w:rsidRPr="001775D9">
              <w:rPr>
                <w:b/>
                <w:bCs/>
                <w:szCs w:val="22"/>
                <w:lang w:eastAsia="en-GB"/>
              </w:rPr>
              <w:t> </w:t>
            </w:r>
            <w:r w:rsidRPr="001775D9">
              <w:rPr>
                <w:b/>
                <w:bCs/>
                <w:szCs w:val="22"/>
                <w:lang w:eastAsia="en-GB"/>
              </w:rPr>
              <w:t>=</w:t>
            </w:r>
            <w:r w:rsidR="00676F07" w:rsidRPr="001775D9">
              <w:rPr>
                <w:b/>
                <w:bCs/>
                <w:szCs w:val="22"/>
                <w:lang w:eastAsia="en-GB"/>
              </w:rPr>
              <w:t> </w:t>
            </w:r>
            <w:r w:rsidRPr="001775D9">
              <w:rPr>
                <w:b/>
                <w:bCs/>
                <w:szCs w:val="22"/>
                <w:lang w:eastAsia="en-GB"/>
              </w:rPr>
              <w:t>30</w:t>
            </w:r>
          </w:p>
        </w:tc>
        <w:tc>
          <w:tcPr>
            <w:tcW w:w="3021" w:type="dxa"/>
          </w:tcPr>
          <w:p w14:paraId="4141E909" w14:textId="77777777" w:rsidR="001778AA" w:rsidRPr="001775D9" w:rsidRDefault="001778AA" w:rsidP="00D47253">
            <w:pPr>
              <w:keepNext/>
              <w:tabs>
                <w:tab w:val="clear" w:pos="567"/>
              </w:tabs>
              <w:autoSpaceDE w:val="0"/>
              <w:autoSpaceDN w:val="0"/>
              <w:adjustRightInd w:val="0"/>
              <w:spacing w:line="240" w:lineRule="auto"/>
              <w:jc w:val="center"/>
              <w:rPr>
                <w:b/>
                <w:bCs/>
                <w:szCs w:val="22"/>
                <w:vertAlign w:val="superscript"/>
                <w:lang w:eastAsia="en-GB"/>
              </w:rPr>
            </w:pPr>
            <w:r w:rsidRPr="001775D9">
              <w:rPr>
                <w:b/>
                <w:bCs/>
                <w:color w:val="000000"/>
                <w:szCs w:val="22"/>
                <w:lang w:eastAsia="en-GB"/>
              </w:rPr>
              <w:t>Adalimumab</w:t>
            </w:r>
            <w:r w:rsidRPr="001775D9">
              <w:rPr>
                <w:b/>
                <w:bCs/>
                <w:szCs w:val="22"/>
                <w:vertAlign w:val="superscript"/>
                <w:lang w:eastAsia="en-GB"/>
              </w:rPr>
              <w:t>b, c</w:t>
            </w:r>
          </w:p>
          <w:p w14:paraId="1895E453" w14:textId="1CAB11AD"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160</w:t>
            </w:r>
            <w:r w:rsidR="00FF2330" w:rsidRPr="001775D9">
              <w:rPr>
                <w:b/>
                <w:bCs/>
                <w:szCs w:val="22"/>
                <w:lang w:eastAsia="en-GB"/>
              </w:rPr>
              <w:t> </w:t>
            </w:r>
            <w:r w:rsidRPr="001775D9">
              <w:rPr>
                <w:b/>
                <w:bCs/>
                <w:szCs w:val="22"/>
                <w:lang w:eastAsia="en-GB"/>
              </w:rPr>
              <w:t>mg at week 0 and week 1</w:t>
            </w:r>
          </w:p>
          <w:p w14:paraId="496506C3" w14:textId="722F1209" w:rsidR="001778AA" w:rsidRPr="001775D9" w:rsidRDefault="001778AA" w:rsidP="00D47253">
            <w:pPr>
              <w:keepNext/>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00676F07" w:rsidRPr="001775D9">
              <w:rPr>
                <w:b/>
                <w:bCs/>
                <w:szCs w:val="22"/>
                <w:lang w:eastAsia="en-GB"/>
              </w:rPr>
              <w:t> </w:t>
            </w:r>
            <w:r w:rsidRPr="001775D9">
              <w:rPr>
                <w:b/>
                <w:bCs/>
                <w:szCs w:val="22"/>
                <w:lang w:eastAsia="en-GB"/>
              </w:rPr>
              <w:t>=</w:t>
            </w:r>
            <w:r w:rsidR="00676F07" w:rsidRPr="001775D9">
              <w:rPr>
                <w:b/>
                <w:bCs/>
                <w:szCs w:val="22"/>
                <w:lang w:eastAsia="en-GB"/>
              </w:rPr>
              <w:t> </w:t>
            </w:r>
            <w:r w:rsidRPr="001775D9">
              <w:rPr>
                <w:b/>
                <w:bCs/>
                <w:szCs w:val="22"/>
                <w:lang w:eastAsia="en-GB"/>
              </w:rPr>
              <w:t>47</w:t>
            </w:r>
          </w:p>
        </w:tc>
      </w:tr>
      <w:tr w:rsidR="001778AA" w:rsidRPr="00F04F82" w14:paraId="46CE3C28" w14:textId="77777777" w:rsidTr="00D47253">
        <w:tc>
          <w:tcPr>
            <w:tcW w:w="3020" w:type="dxa"/>
          </w:tcPr>
          <w:p w14:paraId="6A9B6532"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Clinical remission</w:t>
            </w:r>
          </w:p>
        </w:tc>
        <w:tc>
          <w:tcPr>
            <w:tcW w:w="3020" w:type="dxa"/>
          </w:tcPr>
          <w:p w14:paraId="668622B4"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13/30 (43.3%)</w:t>
            </w:r>
          </w:p>
        </w:tc>
        <w:tc>
          <w:tcPr>
            <w:tcW w:w="3021" w:type="dxa"/>
          </w:tcPr>
          <w:p w14:paraId="42EE30AD"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28/47 (59.6%)</w:t>
            </w:r>
          </w:p>
        </w:tc>
      </w:tr>
      <w:tr w:rsidR="001778AA" w:rsidRPr="00F04F82" w14:paraId="6B58CB30" w14:textId="77777777" w:rsidTr="00D47253">
        <w:tc>
          <w:tcPr>
            <w:tcW w:w="9061" w:type="dxa"/>
            <w:gridSpan w:val="3"/>
          </w:tcPr>
          <w:p w14:paraId="70E6A62A" w14:textId="2ED7413A"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 xml:space="preserve">a </w:t>
            </w:r>
            <w:r w:rsidRPr="001775D9">
              <w:rPr>
                <w:sz w:val="20"/>
                <w:lang w:eastAsia="en-GB"/>
              </w:rPr>
              <w:t>A</w:t>
            </w:r>
            <w:r w:rsidRPr="001775D9">
              <w:rPr>
                <w:color w:val="000000"/>
                <w:sz w:val="20"/>
                <w:lang w:eastAsia="en-GB"/>
              </w:rPr>
              <w:t>dalimumab</w:t>
            </w:r>
            <w:r w:rsidRPr="001775D9">
              <w:rPr>
                <w:sz w:val="20"/>
                <w:lang w:eastAsia="en-GB"/>
              </w:rPr>
              <w:t xml:space="preserve"> 2.4</w:t>
            </w:r>
            <w:r w:rsidR="00FF2330" w:rsidRPr="001775D9">
              <w:rPr>
                <w:sz w:val="20"/>
                <w:lang w:eastAsia="en-GB"/>
              </w:rPr>
              <w:t> </w:t>
            </w:r>
            <w:r w:rsidRPr="001775D9">
              <w:rPr>
                <w:sz w:val="20"/>
                <w:lang w:eastAsia="en-GB"/>
              </w:rPr>
              <w:t>mg/kg (maximum of 160</w:t>
            </w:r>
            <w:r w:rsidR="00FF2330" w:rsidRPr="001775D9">
              <w:rPr>
                <w:sz w:val="20"/>
                <w:lang w:eastAsia="en-GB"/>
              </w:rPr>
              <w:t> </w:t>
            </w:r>
            <w:r w:rsidRPr="001775D9">
              <w:rPr>
                <w:sz w:val="20"/>
                <w:lang w:eastAsia="en-GB"/>
              </w:rPr>
              <w:t>mg) at week 0, placebo at week 1, and 1.2</w:t>
            </w:r>
            <w:r w:rsidR="00FF2330" w:rsidRPr="001775D9">
              <w:rPr>
                <w:sz w:val="20"/>
                <w:lang w:eastAsia="en-GB"/>
              </w:rPr>
              <w:t> </w:t>
            </w:r>
            <w:r w:rsidRPr="001775D9">
              <w:rPr>
                <w:sz w:val="20"/>
                <w:lang w:eastAsia="en-GB"/>
              </w:rPr>
              <w:t>mg/kg (maximum of 80</w:t>
            </w:r>
            <w:r w:rsidR="00FF2330" w:rsidRPr="001775D9">
              <w:rPr>
                <w:sz w:val="20"/>
                <w:lang w:eastAsia="en-GB"/>
              </w:rPr>
              <w:t> </w:t>
            </w:r>
            <w:r w:rsidRPr="001775D9">
              <w:rPr>
                <w:sz w:val="20"/>
                <w:lang w:eastAsia="en-GB"/>
              </w:rPr>
              <w:t>mg) at week 2</w:t>
            </w:r>
          </w:p>
          <w:p w14:paraId="5B819F14" w14:textId="1F1F5C31" w:rsidR="001778AA" w:rsidRPr="001775D9" w:rsidRDefault="001778AA" w:rsidP="00FF2330">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A</w:t>
            </w:r>
            <w:r w:rsidRPr="001775D9">
              <w:rPr>
                <w:color w:val="000000"/>
                <w:sz w:val="20"/>
                <w:lang w:eastAsia="en-GB"/>
              </w:rPr>
              <w:t>dalimumab</w:t>
            </w:r>
            <w:r w:rsidRPr="001775D9">
              <w:rPr>
                <w:sz w:val="20"/>
                <w:lang w:eastAsia="en-GB"/>
              </w:rPr>
              <w:t xml:space="preserve"> 2.4</w:t>
            </w:r>
            <w:r w:rsidR="00FF2330" w:rsidRPr="001775D9">
              <w:rPr>
                <w:sz w:val="20"/>
                <w:lang w:eastAsia="en-GB"/>
              </w:rPr>
              <w:t> </w:t>
            </w:r>
            <w:r w:rsidRPr="001775D9">
              <w:rPr>
                <w:sz w:val="20"/>
                <w:lang w:eastAsia="en-GB"/>
              </w:rPr>
              <w:t>mg/kg (maximum of 160</w:t>
            </w:r>
            <w:r w:rsidR="00FF2330" w:rsidRPr="001775D9">
              <w:rPr>
                <w:sz w:val="20"/>
                <w:lang w:eastAsia="en-GB"/>
              </w:rPr>
              <w:t> </w:t>
            </w:r>
            <w:r w:rsidRPr="001775D9">
              <w:rPr>
                <w:sz w:val="20"/>
                <w:lang w:eastAsia="en-GB"/>
              </w:rPr>
              <w:t>mg) at week 0 and week 1, and 1.2</w:t>
            </w:r>
            <w:r w:rsidR="00FF2330" w:rsidRPr="001775D9">
              <w:rPr>
                <w:sz w:val="20"/>
                <w:lang w:eastAsia="en-GB"/>
              </w:rPr>
              <w:t> </w:t>
            </w:r>
            <w:r w:rsidRPr="001775D9">
              <w:rPr>
                <w:sz w:val="20"/>
                <w:lang w:eastAsia="en-GB"/>
              </w:rPr>
              <w:t>mg/kg (maximum of 80 mg) at week 2</w:t>
            </w:r>
          </w:p>
          <w:p w14:paraId="16C0ABFE" w14:textId="325137D3"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Not including open-label Induction dose of </w:t>
            </w:r>
            <w:r w:rsidRPr="001775D9">
              <w:rPr>
                <w:color w:val="000000"/>
                <w:sz w:val="20"/>
                <w:lang w:eastAsia="en-GB"/>
              </w:rPr>
              <w:t>adalimumab</w:t>
            </w:r>
            <w:r w:rsidRPr="001775D9">
              <w:rPr>
                <w:sz w:val="20"/>
                <w:lang w:eastAsia="en-GB"/>
              </w:rPr>
              <w:t xml:space="preserve"> 2.4</w:t>
            </w:r>
            <w:r w:rsidR="00FF2330" w:rsidRPr="001775D9">
              <w:rPr>
                <w:sz w:val="20"/>
                <w:lang w:eastAsia="en-GB"/>
              </w:rPr>
              <w:t> </w:t>
            </w:r>
            <w:r w:rsidRPr="001775D9">
              <w:rPr>
                <w:sz w:val="20"/>
                <w:lang w:eastAsia="en-GB"/>
              </w:rPr>
              <w:t>mg/kg (maximum of 160</w:t>
            </w:r>
            <w:r w:rsidR="00FF2330" w:rsidRPr="001775D9">
              <w:rPr>
                <w:sz w:val="20"/>
                <w:lang w:eastAsia="en-GB"/>
              </w:rPr>
              <w:t> </w:t>
            </w:r>
            <w:r w:rsidRPr="001775D9">
              <w:rPr>
                <w:sz w:val="20"/>
                <w:lang w:eastAsia="en-GB"/>
              </w:rPr>
              <w:t>mg) at week 0 and week 1, and 1.2</w:t>
            </w:r>
            <w:r w:rsidR="00FF2330" w:rsidRPr="001775D9">
              <w:rPr>
                <w:sz w:val="20"/>
                <w:lang w:eastAsia="en-GB"/>
              </w:rPr>
              <w:t> </w:t>
            </w:r>
            <w:r w:rsidRPr="001775D9">
              <w:rPr>
                <w:sz w:val="20"/>
                <w:lang w:eastAsia="en-GB"/>
              </w:rPr>
              <w:t>mg/kg (maximum of 80</w:t>
            </w:r>
            <w:r w:rsidR="00FF2330" w:rsidRPr="001775D9">
              <w:rPr>
                <w:sz w:val="20"/>
                <w:lang w:eastAsia="en-GB"/>
              </w:rPr>
              <w:t> </w:t>
            </w:r>
            <w:r w:rsidRPr="001775D9">
              <w:rPr>
                <w:sz w:val="20"/>
                <w:lang w:eastAsia="en-GB"/>
              </w:rPr>
              <w:t>mg) at week 2</w:t>
            </w:r>
          </w:p>
          <w:p w14:paraId="7892EE0F" w14:textId="0FFB8E0D"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lang w:eastAsia="en-GB"/>
              </w:rPr>
              <w:t>Note 1: Both induction groups received 0.6</w:t>
            </w:r>
            <w:r w:rsidR="00FF2330" w:rsidRPr="001775D9">
              <w:rPr>
                <w:sz w:val="20"/>
                <w:lang w:eastAsia="en-GB"/>
              </w:rPr>
              <w:t> </w:t>
            </w:r>
            <w:r w:rsidRPr="001775D9">
              <w:rPr>
                <w:sz w:val="20"/>
                <w:lang w:eastAsia="en-GB"/>
              </w:rPr>
              <w:t>mg/kg (maximum of 40</w:t>
            </w:r>
            <w:r w:rsidR="00FF2330" w:rsidRPr="001775D9">
              <w:rPr>
                <w:sz w:val="20"/>
                <w:lang w:eastAsia="en-GB"/>
              </w:rPr>
              <w:t> </w:t>
            </w:r>
            <w:r w:rsidRPr="001775D9">
              <w:rPr>
                <w:sz w:val="20"/>
                <w:lang w:eastAsia="en-GB"/>
              </w:rPr>
              <w:t>mg) at week 4 and week 6</w:t>
            </w:r>
          </w:p>
          <w:p w14:paraId="37C3BDE5"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 w:val="20"/>
                <w:lang w:eastAsia="en-GB"/>
              </w:rPr>
              <w:t>Note 2: Patients with missing values at week 8 were considered as not having met the endpoint</w:t>
            </w:r>
          </w:p>
        </w:tc>
      </w:tr>
    </w:tbl>
    <w:p w14:paraId="4877D7D7"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8A0200F" w14:textId="40853681" w:rsidR="001778AA" w:rsidRPr="001775D9" w:rsidRDefault="001778AA" w:rsidP="001778AA">
      <w:pPr>
        <w:tabs>
          <w:tab w:val="clear" w:pos="567"/>
        </w:tabs>
        <w:autoSpaceDE w:val="0"/>
        <w:autoSpaceDN w:val="0"/>
        <w:adjustRightInd w:val="0"/>
        <w:spacing w:line="240" w:lineRule="auto"/>
        <w:rPr>
          <w:i/>
          <w:iCs/>
          <w:szCs w:val="22"/>
          <w:lang w:eastAsia="en-GB"/>
        </w:rPr>
      </w:pPr>
      <w:r w:rsidRPr="001775D9">
        <w:rPr>
          <w:szCs w:val="22"/>
          <w:lang w:eastAsia="en-GB"/>
        </w:rPr>
        <w:t xml:space="preserve">At week 52, clinical remission per FMS in week 8 responders, clinical response per FMS (defined as a decrease in Mayo Score ≥ 3 points and ≥ 30% from Baseline) in week 8 responders, mucosal healing per FMS (defined as Mayo endoscopy score ≤ 1) in week 8 responders, clinical remission per FMS in week 8 remitters, and the proportion of subjects in corticosteroid-free remission per FMS in week 8 responders were assessed in patients who received </w:t>
      </w:r>
      <w:r w:rsidRPr="001775D9">
        <w:rPr>
          <w:color w:val="000000"/>
          <w:szCs w:val="22"/>
          <w:lang w:eastAsia="en-GB"/>
        </w:rPr>
        <w:t>adalimumab</w:t>
      </w:r>
      <w:r w:rsidRPr="001775D9">
        <w:rPr>
          <w:szCs w:val="22"/>
          <w:lang w:eastAsia="en-GB"/>
        </w:rPr>
        <w:t xml:space="preserve"> at the double-blind maximum 40</w:t>
      </w:r>
      <w:r w:rsidR="003D49C8" w:rsidRPr="001775D9">
        <w:rPr>
          <w:szCs w:val="22"/>
          <w:lang w:eastAsia="en-GB"/>
        </w:rPr>
        <w:t> </w:t>
      </w:r>
      <w:r w:rsidRPr="001775D9">
        <w:rPr>
          <w:szCs w:val="22"/>
          <w:lang w:eastAsia="en-GB"/>
        </w:rPr>
        <w:t>mg every other week (0.6 mg/kg) and maximum 40 mg every week (0.6 mg/kg) maintenance doses (table 32).</w:t>
      </w:r>
    </w:p>
    <w:p w14:paraId="71FAA7D4" w14:textId="77777777" w:rsidR="001778AA" w:rsidRPr="001775D9" w:rsidRDefault="001778AA" w:rsidP="001778AA">
      <w:pPr>
        <w:tabs>
          <w:tab w:val="clear" w:pos="567"/>
        </w:tabs>
        <w:autoSpaceDE w:val="0"/>
        <w:autoSpaceDN w:val="0"/>
        <w:adjustRightInd w:val="0"/>
        <w:spacing w:line="240" w:lineRule="auto"/>
        <w:rPr>
          <w:i/>
          <w:iCs/>
          <w:szCs w:val="22"/>
          <w:lang w:eastAsia="en-GB"/>
        </w:rPr>
      </w:pPr>
    </w:p>
    <w:p w14:paraId="38055BB0" w14:textId="77777777" w:rsidR="001778AA" w:rsidRPr="001775D9" w:rsidRDefault="001778AA" w:rsidP="001778AA">
      <w:pPr>
        <w:tabs>
          <w:tab w:val="clear" w:pos="567"/>
        </w:tabs>
        <w:autoSpaceDE w:val="0"/>
        <w:autoSpaceDN w:val="0"/>
        <w:adjustRightInd w:val="0"/>
        <w:spacing w:line="240" w:lineRule="auto"/>
        <w:rPr>
          <w:b/>
          <w:bCs/>
          <w:szCs w:val="22"/>
          <w:lang w:eastAsia="en-GB"/>
        </w:rPr>
      </w:pPr>
      <w:r w:rsidRPr="001775D9">
        <w:rPr>
          <w:b/>
          <w:bCs/>
          <w:szCs w:val="22"/>
          <w:lang w:eastAsia="en-GB"/>
        </w:rPr>
        <w:t>Table 32. Efficacy results at 52 weeks</w:t>
      </w:r>
    </w:p>
    <w:p w14:paraId="409B4987" w14:textId="77777777" w:rsidR="001778AA" w:rsidRPr="001775D9" w:rsidRDefault="001778AA" w:rsidP="001778AA">
      <w:pPr>
        <w:tabs>
          <w:tab w:val="clear" w:pos="567"/>
        </w:tabs>
        <w:autoSpaceDE w:val="0"/>
        <w:autoSpaceDN w:val="0"/>
        <w:adjustRightInd w:val="0"/>
        <w:spacing w:line="240" w:lineRule="auto"/>
        <w:rPr>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1"/>
      </w:tblGrid>
      <w:tr w:rsidR="001778AA" w:rsidRPr="00F04F82" w14:paraId="41928385" w14:textId="77777777" w:rsidTr="00D47253">
        <w:tc>
          <w:tcPr>
            <w:tcW w:w="3020" w:type="dxa"/>
          </w:tcPr>
          <w:p w14:paraId="20608AAC" w14:textId="77777777" w:rsidR="001778AA" w:rsidRPr="001775D9" w:rsidRDefault="001778AA" w:rsidP="00D47253">
            <w:pPr>
              <w:tabs>
                <w:tab w:val="clear" w:pos="567"/>
              </w:tabs>
              <w:autoSpaceDE w:val="0"/>
              <w:autoSpaceDN w:val="0"/>
              <w:adjustRightInd w:val="0"/>
              <w:spacing w:line="240" w:lineRule="auto"/>
              <w:rPr>
                <w:szCs w:val="22"/>
                <w:lang w:eastAsia="en-GB"/>
              </w:rPr>
            </w:pPr>
          </w:p>
        </w:tc>
        <w:tc>
          <w:tcPr>
            <w:tcW w:w="3020" w:type="dxa"/>
          </w:tcPr>
          <w:p w14:paraId="32B4BF07" w14:textId="7777777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a</w:t>
            </w:r>
          </w:p>
          <w:p w14:paraId="5B114183" w14:textId="5188CC0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40</w:t>
            </w:r>
            <w:r w:rsidR="00FB4766" w:rsidRPr="001775D9">
              <w:rPr>
                <w:b/>
                <w:bCs/>
                <w:szCs w:val="22"/>
                <w:lang w:eastAsia="en-GB"/>
              </w:rPr>
              <w:t> </w:t>
            </w:r>
            <w:r w:rsidRPr="001775D9">
              <w:rPr>
                <w:b/>
                <w:bCs/>
                <w:szCs w:val="22"/>
                <w:lang w:eastAsia="en-GB"/>
              </w:rPr>
              <w:t xml:space="preserve">mg </w:t>
            </w:r>
          </w:p>
          <w:p w14:paraId="400B33DA" w14:textId="7777777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every other week</w:t>
            </w:r>
          </w:p>
          <w:p w14:paraId="08D1164E" w14:textId="02990070"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00676F07" w:rsidRPr="001775D9">
              <w:rPr>
                <w:b/>
                <w:bCs/>
                <w:szCs w:val="22"/>
                <w:lang w:eastAsia="en-GB"/>
              </w:rPr>
              <w:t> </w:t>
            </w:r>
            <w:r w:rsidRPr="001775D9">
              <w:rPr>
                <w:b/>
                <w:bCs/>
                <w:szCs w:val="22"/>
                <w:lang w:eastAsia="en-GB"/>
              </w:rPr>
              <w:t>=</w:t>
            </w:r>
            <w:r w:rsidR="00676F07" w:rsidRPr="001775D9">
              <w:rPr>
                <w:b/>
                <w:bCs/>
                <w:szCs w:val="22"/>
                <w:lang w:eastAsia="en-GB"/>
              </w:rPr>
              <w:t> </w:t>
            </w:r>
            <w:r w:rsidRPr="001775D9">
              <w:rPr>
                <w:b/>
                <w:bCs/>
                <w:szCs w:val="22"/>
                <w:lang w:eastAsia="en-GB"/>
              </w:rPr>
              <w:t>31</w:t>
            </w:r>
          </w:p>
        </w:tc>
        <w:tc>
          <w:tcPr>
            <w:tcW w:w="3021" w:type="dxa"/>
          </w:tcPr>
          <w:p w14:paraId="58515539" w14:textId="7777777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Adalimumab</w:t>
            </w:r>
            <w:r w:rsidRPr="001775D9">
              <w:rPr>
                <w:b/>
                <w:bCs/>
                <w:szCs w:val="22"/>
                <w:vertAlign w:val="superscript"/>
                <w:lang w:eastAsia="en-GB"/>
              </w:rPr>
              <w:t>b</w:t>
            </w:r>
          </w:p>
          <w:p w14:paraId="433F4FF6" w14:textId="0808083B"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40</w:t>
            </w:r>
            <w:r w:rsidR="00FB4766" w:rsidRPr="001775D9">
              <w:rPr>
                <w:b/>
                <w:bCs/>
                <w:szCs w:val="22"/>
                <w:lang w:eastAsia="en-GB"/>
              </w:rPr>
              <w:t> </w:t>
            </w:r>
            <w:r w:rsidRPr="001775D9">
              <w:rPr>
                <w:b/>
                <w:bCs/>
                <w:szCs w:val="22"/>
                <w:lang w:eastAsia="en-GB"/>
              </w:rPr>
              <w:t xml:space="preserve">mg </w:t>
            </w:r>
          </w:p>
          <w:p w14:paraId="6EEB6B8D" w14:textId="7777777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every week</w:t>
            </w:r>
          </w:p>
          <w:p w14:paraId="588A0299" w14:textId="494B2FFE"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00676F07" w:rsidRPr="001775D9">
              <w:rPr>
                <w:b/>
                <w:bCs/>
                <w:szCs w:val="22"/>
                <w:lang w:eastAsia="en-GB"/>
              </w:rPr>
              <w:t> </w:t>
            </w:r>
            <w:r w:rsidRPr="001775D9">
              <w:rPr>
                <w:b/>
                <w:bCs/>
                <w:szCs w:val="22"/>
                <w:lang w:eastAsia="en-GB"/>
              </w:rPr>
              <w:t>=</w:t>
            </w:r>
            <w:r w:rsidR="00676F07" w:rsidRPr="001775D9">
              <w:rPr>
                <w:b/>
                <w:bCs/>
                <w:szCs w:val="22"/>
                <w:lang w:eastAsia="en-GB"/>
              </w:rPr>
              <w:t> </w:t>
            </w:r>
            <w:r w:rsidRPr="001775D9">
              <w:rPr>
                <w:b/>
                <w:bCs/>
                <w:szCs w:val="22"/>
                <w:lang w:eastAsia="en-GB"/>
              </w:rPr>
              <w:t>31</w:t>
            </w:r>
          </w:p>
        </w:tc>
      </w:tr>
      <w:tr w:rsidR="001778AA" w:rsidRPr="00F04F82" w14:paraId="5819FA33" w14:textId="77777777" w:rsidTr="00D47253">
        <w:tc>
          <w:tcPr>
            <w:tcW w:w="3020" w:type="dxa"/>
          </w:tcPr>
          <w:p w14:paraId="2CCC5A49"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Clinical remission in week 8 PMS responders</w:t>
            </w:r>
          </w:p>
        </w:tc>
        <w:tc>
          <w:tcPr>
            <w:tcW w:w="3020" w:type="dxa"/>
          </w:tcPr>
          <w:p w14:paraId="36B07B9C"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9/31 (29.0%)</w:t>
            </w:r>
          </w:p>
        </w:tc>
        <w:tc>
          <w:tcPr>
            <w:tcW w:w="3021" w:type="dxa"/>
          </w:tcPr>
          <w:p w14:paraId="2B82E863"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14/31 (45.2%)</w:t>
            </w:r>
          </w:p>
        </w:tc>
      </w:tr>
      <w:tr w:rsidR="001778AA" w:rsidRPr="00F04F82" w14:paraId="05194B8F" w14:textId="77777777" w:rsidTr="00D47253">
        <w:tc>
          <w:tcPr>
            <w:tcW w:w="3020" w:type="dxa"/>
          </w:tcPr>
          <w:p w14:paraId="77A0675E"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Clinical response in week 8 PMS responders</w:t>
            </w:r>
          </w:p>
        </w:tc>
        <w:tc>
          <w:tcPr>
            <w:tcW w:w="3020" w:type="dxa"/>
          </w:tcPr>
          <w:p w14:paraId="5FAA701E"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19/31 (61.3%)</w:t>
            </w:r>
          </w:p>
        </w:tc>
        <w:tc>
          <w:tcPr>
            <w:tcW w:w="3021" w:type="dxa"/>
          </w:tcPr>
          <w:p w14:paraId="289C0930"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21/31 (67.7%)</w:t>
            </w:r>
          </w:p>
        </w:tc>
      </w:tr>
      <w:tr w:rsidR="001778AA" w:rsidRPr="00F04F82" w14:paraId="2C16696B" w14:textId="77777777" w:rsidTr="00D47253">
        <w:tc>
          <w:tcPr>
            <w:tcW w:w="3020" w:type="dxa"/>
          </w:tcPr>
          <w:p w14:paraId="36746D9D"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Mucosal healing in week 8 PMS responders</w:t>
            </w:r>
          </w:p>
        </w:tc>
        <w:tc>
          <w:tcPr>
            <w:tcW w:w="3020" w:type="dxa"/>
          </w:tcPr>
          <w:p w14:paraId="2B9DF082"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12/31 (38.7%)</w:t>
            </w:r>
          </w:p>
        </w:tc>
        <w:tc>
          <w:tcPr>
            <w:tcW w:w="3021" w:type="dxa"/>
          </w:tcPr>
          <w:p w14:paraId="65208836"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16/31 (51.6%)</w:t>
            </w:r>
          </w:p>
        </w:tc>
      </w:tr>
      <w:tr w:rsidR="001778AA" w:rsidRPr="00F04F82" w14:paraId="018A5B8F" w14:textId="77777777" w:rsidTr="00D47253">
        <w:tc>
          <w:tcPr>
            <w:tcW w:w="3020" w:type="dxa"/>
          </w:tcPr>
          <w:p w14:paraId="72D6F3A0"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Clinical remission in week 8 PMS remitters</w:t>
            </w:r>
          </w:p>
        </w:tc>
        <w:tc>
          <w:tcPr>
            <w:tcW w:w="3020" w:type="dxa"/>
          </w:tcPr>
          <w:p w14:paraId="3B4D4573"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9/21 (42.9%)</w:t>
            </w:r>
          </w:p>
        </w:tc>
        <w:tc>
          <w:tcPr>
            <w:tcW w:w="3021" w:type="dxa"/>
          </w:tcPr>
          <w:p w14:paraId="1E6E1E3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10/22 (45.5%)</w:t>
            </w:r>
          </w:p>
        </w:tc>
      </w:tr>
      <w:tr w:rsidR="001778AA" w:rsidRPr="00F04F82" w14:paraId="2011B3F2" w14:textId="77777777" w:rsidTr="00D47253">
        <w:tc>
          <w:tcPr>
            <w:tcW w:w="3020" w:type="dxa"/>
          </w:tcPr>
          <w:p w14:paraId="33E7312D"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Corticosteroid-free remission in week 8 PMS responders</w:t>
            </w:r>
            <w:r w:rsidRPr="001775D9">
              <w:rPr>
                <w:szCs w:val="22"/>
                <w:vertAlign w:val="superscript"/>
                <w:lang w:eastAsia="en-GB"/>
              </w:rPr>
              <w:t>c</w:t>
            </w:r>
          </w:p>
        </w:tc>
        <w:tc>
          <w:tcPr>
            <w:tcW w:w="3020" w:type="dxa"/>
          </w:tcPr>
          <w:p w14:paraId="475655F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4/13 (30.8%)</w:t>
            </w:r>
          </w:p>
        </w:tc>
        <w:tc>
          <w:tcPr>
            <w:tcW w:w="3021" w:type="dxa"/>
          </w:tcPr>
          <w:p w14:paraId="562D39DD"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5/16 (31.3%)</w:t>
            </w:r>
          </w:p>
        </w:tc>
      </w:tr>
      <w:tr w:rsidR="001778AA" w:rsidRPr="00F04F82" w14:paraId="10F6841E" w14:textId="77777777" w:rsidTr="00D47253">
        <w:tc>
          <w:tcPr>
            <w:tcW w:w="9061" w:type="dxa"/>
            <w:gridSpan w:val="3"/>
          </w:tcPr>
          <w:p w14:paraId="62310A87"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A</w:t>
            </w:r>
            <w:r w:rsidRPr="001775D9">
              <w:rPr>
                <w:color w:val="000000"/>
                <w:sz w:val="20"/>
                <w:lang w:eastAsia="en-GB"/>
              </w:rPr>
              <w:t>dalimumab</w:t>
            </w:r>
            <w:r w:rsidRPr="001775D9">
              <w:rPr>
                <w:sz w:val="20"/>
                <w:lang w:eastAsia="en-GB"/>
              </w:rPr>
              <w:t xml:space="preserve"> 0.6 mg/kg (maximum of 40 mg) every other week</w:t>
            </w:r>
          </w:p>
          <w:p w14:paraId="0E6DBF0D"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A</w:t>
            </w:r>
            <w:r w:rsidRPr="001775D9">
              <w:rPr>
                <w:color w:val="000000"/>
                <w:sz w:val="20"/>
                <w:lang w:eastAsia="en-GB"/>
              </w:rPr>
              <w:t>dalimumab</w:t>
            </w:r>
            <w:r w:rsidRPr="001775D9">
              <w:rPr>
                <w:sz w:val="20"/>
                <w:lang w:eastAsia="en-GB"/>
              </w:rPr>
              <w:t xml:space="preserve"> 0.6 mg/kg (maximum of 40 mg) every week</w:t>
            </w:r>
          </w:p>
          <w:p w14:paraId="23471FAE"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In patients receiving concomitant corticosteroids at baseline</w:t>
            </w:r>
          </w:p>
          <w:p w14:paraId="7A971466"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 w:val="20"/>
                <w:lang w:eastAsia="en-GB"/>
              </w:rPr>
              <w:t>Note: Patients with missing values at week 52 or who were randomised to receive re-induction or maintenance treatment were considered non-responders for week 52 endpoints</w:t>
            </w:r>
          </w:p>
        </w:tc>
      </w:tr>
    </w:tbl>
    <w:p w14:paraId="5C373E8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E6598E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Additional exploratory efficacy endpoints included clinical response per the Paediatric Ulcerative Colitis Activity Index (PUCAI) (defined as a decrease in PUCAI ≥ 20 points from Baseline) and clinical remission per PUCAI (defined as PUCAI &lt; 10) at week 8 and week 52 (table 33).</w:t>
      </w:r>
    </w:p>
    <w:p w14:paraId="2AA7BF0B"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0058DCC5" w14:textId="77777777" w:rsidR="001778AA" w:rsidRPr="001775D9" w:rsidRDefault="001778AA" w:rsidP="001778AA">
      <w:pPr>
        <w:keepNext/>
        <w:keepLines/>
        <w:tabs>
          <w:tab w:val="clear" w:pos="567"/>
        </w:tabs>
        <w:autoSpaceDE w:val="0"/>
        <w:autoSpaceDN w:val="0"/>
        <w:adjustRightInd w:val="0"/>
        <w:spacing w:line="240" w:lineRule="auto"/>
        <w:rPr>
          <w:b/>
          <w:bCs/>
          <w:szCs w:val="22"/>
          <w:lang w:eastAsia="en-GB"/>
        </w:rPr>
      </w:pPr>
      <w:r w:rsidRPr="001775D9">
        <w:rPr>
          <w:b/>
          <w:bCs/>
          <w:szCs w:val="22"/>
          <w:lang w:eastAsia="en-GB"/>
        </w:rPr>
        <w:t>Table 33. Exploratory endpoints results per PUCAI</w:t>
      </w:r>
    </w:p>
    <w:p w14:paraId="6C1A27E3" w14:textId="77777777" w:rsidR="001778AA" w:rsidRPr="001775D9" w:rsidRDefault="001778AA" w:rsidP="001778AA">
      <w:pPr>
        <w:keepNext/>
        <w:keepLines/>
        <w:tabs>
          <w:tab w:val="clear" w:pos="567"/>
        </w:tabs>
        <w:autoSpaceDE w:val="0"/>
        <w:autoSpaceDN w:val="0"/>
        <w:adjustRightInd w:val="0"/>
        <w:spacing w:line="240" w:lineRule="auto"/>
        <w:rPr>
          <w:szCs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0"/>
        <w:gridCol w:w="3021"/>
      </w:tblGrid>
      <w:tr w:rsidR="001778AA" w:rsidRPr="00F04F82" w14:paraId="6B2D5BB0" w14:textId="77777777" w:rsidTr="00D47253">
        <w:tc>
          <w:tcPr>
            <w:tcW w:w="3020" w:type="dxa"/>
          </w:tcPr>
          <w:p w14:paraId="427923C1"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p>
        </w:tc>
        <w:tc>
          <w:tcPr>
            <w:tcW w:w="6041" w:type="dxa"/>
            <w:gridSpan w:val="2"/>
          </w:tcPr>
          <w:p w14:paraId="3C5D87BE" w14:textId="77777777" w:rsidR="001778AA" w:rsidRPr="001775D9" w:rsidRDefault="001778AA" w:rsidP="00D47253">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Week 8</w:t>
            </w:r>
          </w:p>
        </w:tc>
      </w:tr>
      <w:tr w:rsidR="001778AA" w:rsidRPr="00F04F82" w14:paraId="29E9E49F" w14:textId="77777777" w:rsidTr="00D47253">
        <w:tc>
          <w:tcPr>
            <w:tcW w:w="3020" w:type="dxa"/>
          </w:tcPr>
          <w:p w14:paraId="46235CB5"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p>
        </w:tc>
        <w:tc>
          <w:tcPr>
            <w:tcW w:w="3020" w:type="dxa"/>
          </w:tcPr>
          <w:p w14:paraId="55A869A3" w14:textId="77777777" w:rsidR="001778AA" w:rsidRPr="001775D9" w:rsidRDefault="001778AA" w:rsidP="00D47253">
            <w:pPr>
              <w:keepNext/>
              <w:keepLines/>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a</w:t>
            </w:r>
          </w:p>
          <w:p w14:paraId="38E982E8" w14:textId="37307130" w:rsidR="001778AA" w:rsidRPr="001775D9" w:rsidRDefault="001778AA" w:rsidP="00D47253">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160</w:t>
            </w:r>
            <w:r w:rsidR="00FF2330" w:rsidRPr="001775D9">
              <w:rPr>
                <w:b/>
                <w:bCs/>
                <w:szCs w:val="22"/>
                <w:lang w:eastAsia="en-GB"/>
              </w:rPr>
              <w:t> </w:t>
            </w:r>
            <w:r w:rsidRPr="001775D9">
              <w:rPr>
                <w:b/>
                <w:bCs/>
                <w:szCs w:val="22"/>
                <w:lang w:eastAsia="en-GB"/>
              </w:rPr>
              <w:t>mg at</w:t>
            </w:r>
          </w:p>
          <w:p w14:paraId="714FDF50" w14:textId="77777777" w:rsidR="001778AA" w:rsidRPr="001775D9" w:rsidRDefault="001778AA" w:rsidP="00D47253">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week 0 / Placebo at week 1</w:t>
            </w:r>
          </w:p>
          <w:p w14:paraId="2036E285" w14:textId="142DB2C6" w:rsidR="001778AA" w:rsidRPr="001775D9" w:rsidRDefault="001778AA" w:rsidP="00D47253">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00676F07" w:rsidRPr="001775D9">
              <w:rPr>
                <w:b/>
                <w:bCs/>
                <w:szCs w:val="22"/>
                <w:lang w:eastAsia="en-GB"/>
              </w:rPr>
              <w:t> </w:t>
            </w:r>
            <w:r w:rsidRPr="001775D9">
              <w:rPr>
                <w:b/>
                <w:bCs/>
                <w:szCs w:val="22"/>
                <w:lang w:eastAsia="en-GB"/>
              </w:rPr>
              <w:t>=</w:t>
            </w:r>
            <w:r w:rsidR="00676F07" w:rsidRPr="001775D9">
              <w:rPr>
                <w:b/>
                <w:bCs/>
                <w:szCs w:val="22"/>
                <w:lang w:eastAsia="en-GB"/>
              </w:rPr>
              <w:t> </w:t>
            </w:r>
            <w:r w:rsidRPr="001775D9">
              <w:rPr>
                <w:b/>
                <w:bCs/>
                <w:szCs w:val="22"/>
                <w:lang w:eastAsia="en-GB"/>
              </w:rPr>
              <w:t>30</w:t>
            </w:r>
          </w:p>
        </w:tc>
        <w:tc>
          <w:tcPr>
            <w:tcW w:w="3021" w:type="dxa"/>
          </w:tcPr>
          <w:p w14:paraId="749CD5DD" w14:textId="77777777" w:rsidR="001778AA" w:rsidRPr="001775D9" w:rsidRDefault="001778AA" w:rsidP="00D47253">
            <w:pPr>
              <w:keepNext/>
              <w:keepLines/>
              <w:tabs>
                <w:tab w:val="clear" w:pos="567"/>
              </w:tabs>
              <w:autoSpaceDE w:val="0"/>
              <w:autoSpaceDN w:val="0"/>
              <w:adjustRightInd w:val="0"/>
              <w:spacing w:line="240" w:lineRule="auto"/>
              <w:jc w:val="center"/>
              <w:rPr>
                <w:b/>
                <w:bCs/>
                <w:szCs w:val="22"/>
                <w:vertAlign w:val="superscript"/>
                <w:lang w:eastAsia="en-GB"/>
              </w:rPr>
            </w:pPr>
            <w:r w:rsidRPr="001775D9">
              <w:rPr>
                <w:b/>
                <w:bCs/>
                <w:color w:val="000000"/>
                <w:szCs w:val="22"/>
                <w:lang w:eastAsia="en-GB"/>
              </w:rPr>
              <w:t>Adalimumab</w:t>
            </w:r>
            <w:r w:rsidRPr="001775D9">
              <w:rPr>
                <w:b/>
                <w:bCs/>
                <w:szCs w:val="22"/>
                <w:vertAlign w:val="superscript"/>
                <w:lang w:eastAsia="en-GB"/>
              </w:rPr>
              <w:t>b,c</w:t>
            </w:r>
          </w:p>
          <w:p w14:paraId="3FC57F6A" w14:textId="5873094A" w:rsidR="001778AA" w:rsidRPr="001775D9" w:rsidRDefault="001778AA" w:rsidP="00D47253">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160</w:t>
            </w:r>
            <w:r w:rsidR="00FF2330" w:rsidRPr="001775D9">
              <w:rPr>
                <w:b/>
                <w:bCs/>
                <w:szCs w:val="22"/>
                <w:lang w:eastAsia="en-GB"/>
              </w:rPr>
              <w:t> </w:t>
            </w:r>
            <w:r w:rsidRPr="001775D9">
              <w:rPr>
                <w:b/>
                <w:bCs/>
                <w:szCs w:val="22"/>
                <w:lang w:eastAsia="en-GB"/>
              </w:rPr>
              <w:t>mg at</w:t>
            </w:r>
          </w:p>
          <w:p w14:paraId="16B5D05D" w14:textId="77777777" w:rsidR="001778AA" w:rsidRPr="001775D9" w:rsidRDefault="001778AA" w:rsidP="00D47253">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week 0 and week 1</w:t>
            </w:r>
          </w:p>
          <w:p w14:paraId="580744DE" w14:textId="5CBB6AAD" w:rsidR="001778AA" w:rsidRPr="001775D9" w:rsidRDefault="001778AA" w:rsidP="00D47253">
            <w:pPr>
              <w:keepNext/>
              <w:keepLines/>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00676F07" w:rsidRPr="001775D9">
              <w:rPr>
                <w:b/>
                <w:bCs/>
                <w:szCs w:val="22"/>
                <w:lang w:eastAsia="en-GB"/>
              </w:rPr>
              <w:t> </w:t>
            </w:r>
            <w:r w:rsidRPr="001775D9">
              <w:rPr>
                <w:b/>
                <w:bCs/>
                <w:szCs w:val="22"/>
                <w:lang w:eastAsia="en-GB"/>
              </w:rPr>
              <w:t>=</w:t>
            </w:r>
            <w:r w:rsidR="00676F07" w:rsidRPr="001775D9">
              <w:rPr>
                <w:b/>
                <w:bCs/>
                <w:szCs w:val="22"/>
                <w:lang w:eastAsia="en-GB"/>
              </w:rPr>
              <w:t> </w:t>
            </w:r>
            <w:r w:rsidRPr="001775D9">
              <w:rPr>
                <w:b/>
                <w:bCs/>
                <w:szCs w:val="22"/>
                <w:lang w:eastAsia="en-GB"/>
              </w:rPr>
              <w:t>47</w:t>
            </w:r>
          </w:p>
        </w:tc>
      </w:tr>
      <w:tr w:rsidR="001778AA" w:rsidRPr="00F04F82" w14:paraId="7615090B" w14:textId="77777777" w:rsidTr="00D47253">
        <w:tc>
          <w:tcPr>
            <w:tcW w:w="3020" w:type="dxa"/>
          </w:tcPr>
          <w:p w14:paraId="0CF477CA" w14:textId="77777777" w:rsidR="001778AA" w:rsidRPr="001775D9" w:rsidRDefault="001778AA" w:rsidP="00D47253">
            <w:pPr>
              <w:keepNext/>
              <w:keepLines/>
              <w:tabs>
                <w:tab w:val="clear" w:pos="567"/>
              </w:tabs>
              <w:autoSpaceDE w:val="0"/>
              <w:autoSpaceDN w:val="0"/>
              <w:adjustRightInd w:val="0"/>
              <w:spacing w:line="240" w:lineRule="auto"/>
              <w:rPr>
                <w:szCs w:val="22"/>
                <w:lang w:eastAsia="en-GB"/>
              </w:rPr>
            </w:pPr>
            <w:r w:rsidRPr="001775D9">
              <w:rPr>
                <w:szCs w:val="22"/>
                <w:lang w:eastAsia="en-GB"/>
              </w:rPr>
              <w:t>Clinical remission per PUCAI</w:t>
            </w:r>
          </w:p>
        </w:tc>
        <w:tc>
          <w:tcPr>
            <w:tcW w:w="3020" w:type="dxa"/>
          </w:tcPr>
          <w:p w14:paraId="19A43390"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10/30 (33.3%)</w:t>
            </w:r>
          </w:p>
        </w:tc>
        <w:tc>
          <w:tcPr>
            <w:tcW w:w="3021" w:type="dxa"/>
          </w:tcPr>
          <w:p w14:paraId="4B5AD11C" w14:textId="77777777" w:rsidR="001778AA" w:rsidRPr="001775D9" w:rsidRDefault="001778AA" w:rsidP="00D47253">
            <w:pPr>
              <w:keepNext/>
              <w:keepLines/>
              <w:tabs>
                <w:tab w:val="clear" w:pos="567"/>
              </w:tabs>
              <w:autoSpaceDE w:val="0"/>
              <w:autoSpaceDN w:val="0"/>
              <w:adjustRightInd w:val="0"/>
              <w:spacing w:line="240" w:lineRule="auto"/>
              <w:jc w:val="center"/>
              <w:rPr>
                <w:szCs w:val="22"/>
                <w:lang w:eastAsia="en-GB"/>
              </w:rPr>
            </w:pPr>
            <w:r w:rsidRPr="001775D9">
              <w:rPr>
                <w:szCs w:val="22"/>
                <w:lang w:eastAsia="en-GB"/>
              </w:rPr>
              <w:t>22/47 (46.8%)</w:t>
            </w:r>
          </w:p>
        </w:tc>
      </w:tr>
      <w:tr w:rsidR="001778AA" w:rsidRPr="00F04F82" w14:paraId="6BF7D81C" w14:textId="77777777" w:rsidTr="00D47253">
        <w:tc>
          <w:tcPr>
            <w:tcW w:w="3020" w:type="dxa"/>
          </w:tcPr>
          <w:p w14:paraId="2008DE17"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Clinical response per PUCAI</w:t>
            </w:r>
          </w:p>
        </w:tc>
        <w:tc>
          <w:tcPr>
            <w:tcW w:w="3020" w:type="dxa"/>
          </w:tcPr>
          <w:p w14:paraId="0F3CCBD6"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15/30 (50.0%)</w:t>
            </w:r>
          </w:p>
        </w:tc>
        <w:tc>
          <w:tcPr>
            <w:tcW w:w="3021" w:type="dxa"/>
          </w:tcPr>
          <w:p w14:paraId="2A647C0D"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32/47 (68.1%)</w:t>
            </w:r>
          </w:p>
        </w:tc>
      </w:tr>
      <w:tr w:rsidR="001778AA" w:rsidRPr="00F04F82" w14:paraId="3E1B1532" w14:textId="77777777" w:rsidTr="00D47253">
        <w:tc>
          <w:tcPr>
            <w:tcW w:w="3020" w:type="dxa"/>
          </w:tcPr>
          <w:p w14:paraId="1E2A9EC3" w14:textId="77777777" w:rsidR="001778AA" w:rsidRPr="001775D9" w:rsidRDefault="001778AA" w:rsidP="00D47253">
            <w:pPr>
              <w:tabs>
                <w:tab w:val="clear" w:pos="567"/>
              </w:tabs>
              <w:autoSpaceDE w:val="0"/>
              <w:autoSpaceDN w:val="0"/>
              <w:adjustRightInd w:val="0"/>
              <w:spacing w:line="240" w:lineRule="auto"/>
              <w:rPr>
                <w:szCs w:val="22"/>
                <w:lang w:eastAsia="en-GB"/>
              </w:rPr>
            </w:pPr>
          </w:p>
        </w:tc>
        <w:tc>
          <w:tcPr>
            <w:tcW w:w="6041" w:type="dxa"/>
            <w:gridSpan w:val="2"/>
          </w:tcPr>
          <w:p w14:paraId="64196A9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b/>
                <w:bCs/>
                <w:szCs w:val="22"/>
                <w:lang w:eastAsia="en-IN"/>
              </w:rPr>
              <w:t>Week 52</w:t>
            </w:r>
          </w:p>
        </w:tc>
      </w:tr>
      <w:tr w:rsidR="001778AA" w:rsidRPr="00F04F82" w14:paraId="621794F6" w14:textId="77777777" w:rsidTr="00D47253">
        <w:tc>
          <w:tcPr>
            <w:tcW w:w="3020" w:type="dxa"/>
          </w:tcPr>
          <w:p w14:paraId="3009000C" w14:textId="77777777" w:rsidR="001778AA" w:rsidRPr="001775D9" w:rsidRDefault="001778AA" w:rsidP="00D47253">
            <w:pPr>
              <w:tabs>
                <w:tab w:val="clear" w:pos="567"/>
              </w:tabs>
              <w:autoSpaceDE w:val="0"/>
              <w:autoSpaceDN w:val="0"/>
              <w:adjustRightInd w:val="0"/>
              <w:spacing w:line="240" w:lineRule="auto"/>
              <w:rPr>
                <w:szCs w:val="22"/>
                <w:lang w:eastAsia="en-GB"/>
              </w:rPr>
            </w:pPr>
          </w:p>
        </w:tc>
        <w:tc>
          <w:tcPr>
            <w:tcW w:w="3020" w:type="dxa"/>
          </w:tcPr>
          <w:p w14:paraId="6453A0E0" w14:textId="7777777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d</w:t>
            </w:r>
          </w:p>
          <w:p w14:paraId="774FAD61" w14:textId="50384754"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40</w:t>
            </w:r>
            <w:r w:rsidR="00FF2330" w:rsidRPr="001775D9">
              <w:rPr>
                <w:b/>
                <w:bCs/>
                <w:szCs w:val="22"/>
                <w:lang w:eastAsia="en-GB"/>
              </w:rPr>
              <w:t> </w:t>
            </w:r>
            <w:r w:rsidRPr="001775D9">
              <w:rPr>
                <w:b/>
                <w:bCs/>
                <w:szCs w:val="22"/>
                <w:lang w:eastAsia="en-GB"/>
              </w:rPr>
              <w:t xml:space="preserve">mg </w:t>
            </w:r>
          </w:p>
          <w:p w14:paraId="46BB53AE" w14:textId="7777777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every other week</w:t>
            </w:r>
          </w:p>
          <w:p w14:paraId="1B86145A" w14:textId="68EA559D"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00676F07" w:rsidRPr="001775D9">
              <w:rPr>
                <w:b/>
                <w:bCs/>
                <w:szCs w:val="22"/>
                <w:lang w:eastAsia="en-GB"/>
              </w:rPr>
              <w:t> </w:t>
            </w:r>
            <w:r w:rsidRPr="001775D9">
              <w:rPr>
                <w:b/>
                <w:bCs/>
                <w:szCs w:val="22"/>
                <w:lang w:eastAsia="en-GB"/>
              </w:rPr>
              <w:t>=</w:t>
            </w:r>
            <w:r w:rsidR="00676F07" w:rsidRPr="001775D9">
              <w:rPr>
                <w:b/>
                <w:bCs/>
                <w:szCs w:val="22"/>
                <w:lang w:eastAsia="en-GB"/>
              </w:rPr>
              <w:t> </w:t>
            </w:r>
            <w:r w:rsidRPr="001775D9">
              <w:rPr>
                <w:b/>
                <w:bCs/>
                <w:szCs w:val="22"/>
                <w:lang w:eastAsia="en-GB"/>
              </w:rPr>
              <w:t>31</w:t>
            </w:r>
          </w:p>
        </w:tc>
        <w:tc>
          <w:tcPr>
            <w:tcW w:w="3021" w:type="dxa"/>
          </w:tcPr>
          <w:p w14:paraId="01C787E2" w14:textId="7777777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color w:val="000000"/>
                <w:szCs w:val="22"/>
                <w:lang w:eastAsia="en-GB"/>
              </w:rPr>
              <w:t>Adalimumab</w:t>
            </w:r>
            <w:r w:rsidRPr="001775D9">
              <w:rPr>
                <w:b/>
                <w:bCs/>
                <w:szCs w:val="22"/>
                <w:vertAlign w:val="superscript"/>
                <w:lang w:eastAsia="en-GB"/>
              </w:rPr>
              <w:t>e</w:t>
            </w:r>
          </w:p>
          <w:p w14:paraId="5EB48BA4" w14:textId="1A154D7D"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Maximum of 40</w:t>
            </w:r>
            <w:r w:rsidR="00FF2330" w:rsidRPr="001775D9">
              <w:rPr>
                <w:b/>
                <w:bCs/>
                <w:szCs w:val="22"/>
                <w:lang w:eastAsia="en-GB"/>
              </w:rPr>
              <w:t> </w:t>
            </w:r>
            <w:r w:rsidRPr="001775D9">
              <w:rPr>
                <w:b/>
                <w:bCs/>
                <w:szCs w:val="22"/>
                <w:lang w:eastAsia="en-GB"/>
              </w:rPr>
              <w:t xml:space="preserve">mg </w:t>
            </w:r>
          </w:p>
          <w:p w14:paraId="4F5E08AB" w14:textId="77777777"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every week</w:t>
            </w:r>
          </w:p>
          <w:p w14:paraId="657F5CCA" w14:textId="410E89DA" w:rsidR="001778AA" w:rsidRPr="001775D9" w:rsidRDefault="001778AA" w:rsidP="00D47253">
            <w:pPr>
              <w:tabs>
                <w:tab w:val="clear" w:pos="567"/>
              </w:tabs>
              <w:autoSpaceDE w:val="0"/>
              <w:autoSpaceDN w:val="0"/>
              <w:adjustRightInd w:val="0"/>
              <w:spacing w:line="240" w:lineRule="auto"/>
              <w:jc w:val="center"/>
              <w:rPr>
                <w:b/>
                <w:bCs/>
                <w:szCs w:val="22"/>
                <w:lang w:eastAsia="en-GB"/>
              </w:rPr>
            </w:pPr>
            <w:r w:rsidRPr="001775D9">
              <w:rPr>
                <w:b/>
                <w:bCs/>
                <w:szCs w:val="22"/>
                <w:lang w:eastAsia="en-GB"/>
              </w:rPr>
              <w:t>N</w:t>
            </w:r>
            <w:r w:rsidR="00676F07" w:rsidRPr="001775D9">
              <w:rPr>
                <w:b/>
                <w:bCs/>
                <w:szCs w:val="22"/>
                <w:lang w:eastAsia="en-GB"/>
              </w:rPr>
              <w:t> </w:t>
            </w:r>
            <w:r w:rsidRPr="001775D9">
              <w:rPr>
                <w:b/>
                <w:bCs/>
                <w:szCs w:val="22"/>
                <w:lang w:eastAsia="en-GB"/>
              </w:rPr>
              <w:t>=</w:t>
            </w:r>
            <w:r w:rsidR="00676F07" w:rsidRPr="001775D9">
              <w:rPr>
                <w:b/>
                <w:bCs/>
                <w:szCs w:val="22"/>
                <w:lang w:eastAsia="en-GB"/>
              </w:rPr>
              <w:t> </w:t>
            </w:r>
            <w:r w:rsidRPr="001775D9">
              <w:rPr>
                <w:b/>
                <w:bCs/>
                <w:szCs w:val="22"/>
                <w:lang w:eastAsia="en-GB"/>
              </w:rPr>
              <w:t>31</w:t>
            </w:r>
          </w:p>
        </w:tc>
      </w:tr>
      <w:tr w:rsidR="001778AA" w:rsidRPr="00F04F82" w14:paraId="67DE4533" w14:textId="77777777" w:rsidTr="00D47253">
        <w:tc>
          <w:tcPr>
            <w:tcW w:w="3020" w:type="dxa"/>
          </w:tcPr>
          <w:p w14:paraId="3DBA8A91"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Clinical remission per PUCAI in week 8 PMS responders</w:t>
            </w:r>
          </w:p>
        </w:tc>
        <w:tc>
          <w:tcPr>
            <w:tcW w:w="3020" w:type="dxa"/>
          </w:tcPr>
          <w:p w14:paraId="3862B76A"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14/31 (45.2%)</w:t>
            </w:r>
          </w:p>
        </w:tc>
        <w:tc>
          <w:tcPr>
            <w:tcW w:w="3021" w:type="dxa"/>
          </w:tcPr>
          <w:p w14:paraId="3E233613"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18/31 (58.1%)</w:t>
            </w:r>
          </w:p>
        </w:tc>
      </w:tr>
      <w:tr w:rsidR="001778AA" w:rsidRPr="00F04F82" w14:paraId="5B17FD4F" w14:textId="77777777" w:rsidTr="00D47253">
        <w:tc>
          <w:tcPr>
            <w:tcW w:w="3020" w:type="dxa"/>
          </w:tcPr>
          <w:p w14:paraId="5511AE9C"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Clinical response per PUCAI</w:t>
            </w:r>
          </w:p>
          <w:p w14:paraId="226484E5" w14:textId="77777777" w:rsidR="001778AA" w:rsidRPr="001775D9" w:rsidRDefault="001778AA" w:rsidP="00D47253">
            <w:pPr>
              <w:tabs>
                <w:tab w:val="clear" w:pos="567"/>
              </w:tabs>
              <w:autoSpaceDE w:val="0"/>
              <w:autoSpaceDN w:val="0"/>
              <w:adjustRightInd w:val="0"/>
              <w:spacing w:line="240" w:lineRule="auto"/>
              <w:rPr>
                <w:szCs w:val="22"/>
                <w:lang w:eastAsia="en-GB"/>
              </w:rPr>
            </w:pPr>
            <w:r w:rsidRPr="001775D9">
              <w:rPr>
                <w:szCs w:val="22"/>
                <w:lang w:eastAsia="en-GB"/>
              </w:rPr>
              <w:t>in week 8 PMS responders</w:t>
            </w:r>
          </w:p>
        </w:tc>
        <w:tc>
          <w:tcPr>
            <w:tcW w:w="3020" w:type="dxa"/>
          </w:tcPr>
          <w:p w14:paraId="054B0017"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18/31 (58.1%)</w:t>
            </w:r>
          </w:p>
        </w:tc>
        <w:tc>
          <w:tcPr>
            <w:tcW w:w="3021" w:type="dxa"/>
          </w:tcPr>
          <w:p w14:paraId="294F1CFE" w14:textId="77777777" w:rsidR="001778AA" w:rsidRPr="001775D9" w:rsidRDefault="001778AA" w:rsidP="00D47253">
            <w:pPr>
              <w:tabs>
                <w:tab w:val="clear" w:pos="567"/>
              </w:tabs>
              <w:autoSpaceDE w:val="0"/>
              <w:autoSpaceDN w:val="0"/>
              <w:adjustRightInd w:val="0"/>
              <w:spacing w:line="240" w:lineRule="auto"/>
              <w:jc w:val="center"/>
              <w:rPr>
                <w:szCs w:val="22"/>
                <w:lang w:eastAsia="en-GB"/>
              </w:rPr>
            </w:pPr>
            <w:r w:rsidRPr="001775D9">
              <w:rPr>
                <w:szCs w:val="22"/>
                <w:lang w:eastAsia="en-GB"/>
              </w:rPr>
              <w:t>16/31 (51.6%)</w:t>
            </w:r>
          </w:p>
        </w:tc>
      </w:tr>
      <w:tr w:rsidR="001778AA" w:rsidRPr="00F04F82" w14:paraId="4DE77887" w14:textId="77777777" w:rsidTr="00D47253">
        <w:tc>
          <w:tcPr>
            <w:tcW w:w="9061" w:type="dxa"/>
            <w:gridSpan w:val="3"/>
          </w:tcPr>
          <w:p w14:paraId="425DB304"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a</w:t>
            </w:r>
            <w:r w:rsidRPr="001775D9">
              <w:rPr>
                <w:sz w:val="20"/>
                <w:lang w:eastAsia="en-GB"/>
              </w:rPr>
              <w:t xml:space="preserve"> A</w:t>
            </w:r>
            <w:r w:rsidRPr="001775D9">
              <w:rPr>
                <w:color w:val="000000"/>
                <w:sz w:val="20"/>
                <w:lang w:eastAsia="en-GB"/>
              </w:rPr>
              <w:t>dalimumab</w:t>
            </w:r>
            <w:r w:rsidRPr="001775D9">
              <w:rPr>
                <w:sz w:val="20"/>
                <w:lang w:eastAsia="en-GB"/>
              </w:rPr>
              <w:t xml:space="preserve"> 2.4 mg/kg (maximum of 160 mg) at week 0, placebo at week 1, and 1.2 mg/kg (maximum of 80 mg) at week 2</w:t>
            </w:r>
          </w:p>
          <w:p w14:paraId="1FA968D6" w14:textId="3E4A846F"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b</w:t>
            </w:r>
            <w:r w:rsidRPr="001775D9">
              <w:rPr>
                <w:sz w:val="20"/>
                <w:lang w:eastAsia="en-GB"/>
              </w:rPr>
              <w:t xml:space="preserve"> A</w:t>
            </w:r>
            <w:r w:rsidRPr="001775D9">
              <w:rPr>
                <w:color w:val="000000"/>
                <w:sz w:val="20"/>
                <w:lang w:eastAsia="en-GB"/>
              </w:rPr>
              <w:t>dalimumab</w:t>
            </w:r>
            <w:r w:rsidRPr="001775D9">
              <w:rPr>
                <w:sz w:val="20"/>
                <w:lang w:eastAsia="en-GB"/>
              </w:rPr>
              <w:t xml:space="preserve"> 2.4 mg/kg (maximum of 160 mg) at week 0 and week 1, and 1.2</w:t>
            </w:r>
            <w:r w:rsidR="003D49C8" w:rsidRPr="001775D9">
              <w:rPr>
                <w:sz w:val="20"/>
                <w:lang w:eastAsia="en-GB"/>
              </w:rPr>
              <w:t> </w:t>
            </w:r>
            <w:r w:rsidRPr="001775D9">
              <w:rPr>
                <w:sz w:val="20"/>
                <w:lang w:eastAsia="en-GB"/>
              </w:rPr>
              <w:t>mg/kg (maximum of 80 mg) at week 2</w:t>
            </w:r>
          </w:p>
          <w:p w14:paraId="280D903D" w14:textId="7E1FFB9B"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c</w:t>
            </w:r>
            <w:r w:rsidRPr="001775D9">
              <w:rPr>
                <w:sz w:val="20"/>
                <w:lang w:eastAsia="en-GB"/>
              </w:rPr>
              <w:t xml:space="preserve"> Not including open-label Induction dose of </w:t>
            </w:r>
            <w:r w:rsidRPr="001775D9">
              <w:rPr>
                <w:color w:val="000000"/>
                <w:sz w:val="20"/>
                <w:lang w:eastAsia="en-GB"/>
              </w:rPr>
              <w:t>adalimumab</w:t>
            </w:r>
            <w:r w:rsidRPr="001775D9">
              <w:rPr>
                <w:sz w:val="20"/>
                <w:lang w:eastAsia="en-GB"/>
              </w:rPr>
              <w:t xml:space="preserve"> 2.4</w:t>
            </w:r>
            <w:r w:rsidR="003D49C8" w:rsidRPr="001775D9">
              <w:rPr>
                <w:sz w:val="20"/>
                <w:lang w:eastAsia="en-GB"/>
              </w:rPr>
              <w:t> </w:t>
            </w:r>
            <w:r w:rsidRPr="001775D9">
              <w:rPr>
                <w:sz w:val="20"/>
                <w:lang w:eastAsia="en-GB"/>
              </w:rPr>
              <w:t>mg/kg (maximum of 160</w:t>
            </w:r>
            <w:r w:rsidR="003D49C8" w:rsidRPr="001775D9">
              <w:rPr>
                <w:sz w:val="20"/>
                <w:lang w:eastAsia="en-GB"/>
              </w:rPr>
              <w:t> </w:t>
            </w:r>
            <w:r w:rsidRPr="001775D9">
              <w:rPr>
                <w:sz w:val="20"/>
                <w:lang w:eastAsia="en-GB"/>
              </w:rPr>
              <w:t>mg) at</w:t>
            </w:r>
            <w:r w:rsidR="0056780E" w:rsidRPr="001775D9">
              <w:rPr>
                <w:sz w:val="20"/>
                <w:lang w:eastAsia="en-GB"/>
              </w:rPr>
              <w:t xml:space="preserve"> </w:t>
            </w:r>
            <w:r w:rsidRPr="001775D9">
              <w:rPr>
                <w:sz w:val="20"/>
                <w:lang w:eastAsia="en-GB"/>
              </w:rPr>
              <w:t>week 0 and week 1, and 1.2</w:t>
            </w:r>
            <w:r w:rsidR="003D49C8" w:rsidRPr="001775D9">
              <w:rPr>
                <w:sz w:val="20"/>
                <w:lang w:eastAsia="en-GB"/>
              </w:rPr>
              <w:t> </w:t>
            </w:r>
            <w:r w:rsidRPr="001775D9">
              <w:rPr>
                <w:sz w:val="20"/>
                <w:lang w:eastAsia="en-GB"/>
              </w:rPr>
              <w:t>mg/kg (maximum of 80 mg) at week 2</w:t>
            </w:r>
          </w:p>
          <w:p w14:paraId="2B6337D2"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d</w:t>
            </w:r>
            <w:r w:rsidRPr="001775D9">
              <w:rPr>
                <w:sz w:val="20"/>
                <w:lang w:eastAsia="en-GB"/>
              </w:rPr>
              <w:t xml:space="preserve"> A</w:t>
            </w:r>
            <w:r w:rsidRPr="001775D9">
              <w:rPr>
                <w:color w:val="000000"/>
                <w:sz w:val="20"/>
                <w:lang w:eastAsia="en-GB"/>
              </w:rPr>
              <w:t>dalimumab</w:t>
            </w:r>
            <w:r w:rsidRPr="001775D9">
              <w:rPr>
                <w:sz w:val="20"/>
                <w:lang w:eastAsia="en-GB"/>
              </w:rPr>
              <w:t xml:space="preserve"> 0.6 mg/kg (maximum of 40 mg) every other week</w:t>
            </w:r>
          </w:p>
          <w:p w14:paraId="18614DF4"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vertAlign w:val="superscript"/>
                <w:lang w:eastAsia="en-GB"/>
              </w:rPr>
              <w:t>e</w:t>
            </w:r>
            <w:r w:rsidRPr="001775D9">
              <w:rPr>
                <w:sz w:val="20"/>
                <w:lang w:eastAsia="en-GB"/>
              </w:rPr>
              <w:t xml:space="preserve"> A</w:t>
            </w:r>
            <w:r w:rsidRPr="001775D9">
              <w:rPr>
                <w:color w:val="000000"/>
                <w:sz w:val="20"/>
                <w:lang w:eastAsia="en-GB"/>
              </w:rPr>
              <w:t>dalimumab</w:t>
            </w:r>
            <w:r w:rsidRPr="001775D9">
              <w:rPr>
                <w:sz w:val="20"/>
                <w:lang w:eastAsia="en-GB"/>
              </w:rPr>
              <w:t xml:space="preserve"> 0.6 mg/kg (maximum of 40 mg) every week</w:t>
            </w:r>
          </w:p>
          <w:p w14:paraId="67F85B3C" w14:textId="40509856" w:rsidR="001778AA" w:rsidRPr="001775D9" w:rsidRDefault="001778AA" w:rsidP="003D49C8">
            <w:pPr>
              <w:tabs>
                <w:tab w:val="clear" w:pos="567"/>
              </w:tabs>
              <w:autoSpaceDE w:val="0"/>
              <w:autoSpaceDN w:val="0"/>
              <w:adjustRightInd w:val="0"/>
              <w:spacing w:line="240" w:lineRule="auto"/>
              <w:rPr>
                <w:sz w:val="20"/>
                <w:lang w:eastAsia="en-GB"/>
              </w:rPr>
            </w:pPr>
            <w:r w:rsidRPr="001775D9">
              <w:rPr>
                <w:sz w:val="20"/>
                <w:lang w:eastAsia="en-GB"/>
              </w:rPr>
              <w:t>Note 1: Both induction groups received 0.6</w:t>
            </w:r>
            <w:r w:rsidR="003D49C8" w:rsidRPr="001775D9">
              <w:rPr>
                <w:sz w:val="20"/>
                <w:lang w:eastAsia="en-GB"/>
              </w:rPr>
              <w:t> </w:t>
            </w:r>
            <w:r w:rsidRPr="001775D9">
              <w:rPr>
                <w:sz w:val="20"/>
                <w:lang w:eastAsia="en-GB"/>
              </w:rPr>
              <w:t>mg/kg (maximum of 40</w:t>
            </w:r>
            <w:r w:rsidR="003D49C8" w:rsidRPr="001775D9">
              <w:rPr>
                <w:sz w:val="20"/>
                <w:lang w:eastAsia="en-GB"/>
              </w:rPr>
              <w:t> </w:t>
            </w:r>
            <w:r w:rsidRPr="001775D9">
              <w:rPr>
                <w:sz w:val="20"/>
                <w:lang w:eastAsia="en-GB"/>
              </w:rPr>
              <w:t>mg) at week 4 and week 6</w:t>
            </w:r>
          </w:p>
          <w:p w14:paraId="3DD10595" w14:textId="77777777" w:rsidR="001778AA" w:rsidRPr="001775D9" w:rsidRDefault="001778AA" w:rsidP="00D47253">
            <w:pPr>
              <w:tabs>
                <w:tab w:val="clear" w:pos="567"/>
              </w:tabs>
              <w:autoSpaceDE w:val="0"/>
              <w:autoSpaceDN w:val="0"/>
              <w:adjustRightInd w:val="0"/>
              <w:spacing w:line="240" w:lineRule="auto"/>
              <w:rPr>
                <w:sz w:val="20"/>
                <w:lang w:eastAsia="en-GB"/>
              </w:rPr>
            </w:pPr>
            <w:r w:rsidRPr="001775D9">
              <w:rPr>
                <w:sz w:val="20"/>
                <w:lang w:eastAsia="en-GB"/>
              </w:rPr>
              <w:t>Note 2: Patients with missing values at week 8 were considered as not having met the endpoints</w:t>
            </w:r>
          </w:p>
          <w:p w14:paraId="4355CEB3" w14:textId="6EF0FB99" w:rsidR="001778AA" w:rsidRPr="001775D9" w:rsidRDefault="001778AA" w:rsidP="00D47253">
            <w:pPr>
              <w:tabs>
                <w:tab w:val="clear" w:pos="567"/>
              </w:tabs>
              <w:autoSpaceDE w:val="0"/>
              <w:autoSpaceDN w:val="0"/>
              <w:adjustRightInd w:val="0"/>
              <w:spacing w:line="240" w:lineRule="auto"/>
              <w:rPr>
                <w:szCs w:val="22"/>
                <w:lang w:eastAsia="en-GB"/>
              </w:rPr>
            </w:pPr>
            <w:r w:rsidRPr="001775D9">
              <w:rPr>
                <w:sz w:val="20"/>
                <w:lang w:eastAsia="en-GB"/>
              </w:rPr>
              <w:t>Note 3: Patients with missing values at week 52 or who were randomised to receive re-induction</w:t>
            </w:r>
            <w:r w:rsidR="0056780E" w:rsidRPr="001775D9">
              <w:rPr>
                <w:sz w:val="20"/>
                <w:lang w:eastAsia="en-GB"/>
              </w:rPr>
              <w:t xml:space="preserve"> </w:t>
            </w:r>
            <w:r w:rsidRPr="001775D9">
              <w:rPr>
                <w:sz w:val="20"/>
                <w:lang w:eastAsia="en-GB"/>
              </w:rPr>
              <w:t>or maintenance treatment were considered non-responders for week 52 endpoints</w:t>
            </w:r>
          </w:p>
        </w:tc>
      </w:tr>
    </w:tbl>
    <w:p w14:paraId="4407A22B"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3E51E4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Of the </w:t>
      </w:r>
      <w:r w:rsidRPr="001775D9">
        <w:rPr>
          <w:color w:val="000000"/>
          <w:szCs w:val="22"/>
          <w:lang w:eastAsia="en-GB"/>
        </w:rPr>
        <w:t>adalimumab</w:t>
      </w:r>
      <w:r w:rsidRPr="001775D9">
        <w:rPr>
          <w:szCs w:val="22"/>
          <w:lang w:eastAsia="en-GB"/>
        </w:rPr>
        <w:t>-treated patients who received re-induction treatment during the maintenance period, 2/6 (33%) achieved clinical response per FMS at week 52.</w:t>
      </w:r>
    </w:p>
    <w:p w14:paraId="37C6FDF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8095F2B" w14:textId="77777777" w:rsidR="001778AA" w:rsidRPr="001775D9" w:rsidRDefault="001778AA" w:rsidP="001778AA">
      <w:pPr>
        <w:tabs>
          <w:tab w:val="clear" w:pos="567"/>
        </w:tabs>
        <w:autoSpaceDE w:val="0"/>
        <w:autoSpaceDN w:val="0"/>
        <w:adjustRightInd w:val="0"/>
        <w:spacing w:line="240" w:lineRule="auto"/>
        <w:rPr>
          <w:i/>
          <w:iCs/>
          <w:szCs w:val="22"/>
          <w:u w:val="single"/>
          <w:lang w:eastAsia="en-GB"/>
        </w:rPr>
      </w:pPr>
      <w:r w:rsidRPr="001775D9">
        <w:rPr>
          <w:i/>
          <w:iCs/>
          <w:szCs w:val="22"/>
          <w:u w:val="single"/>
          <w:lang w:eastAsia="en-GB"/>
        </w:rPr>
        <w:t>Quality of life</w:t>
      </w:r>
    </w:p>
    <w:p w14:paraId="4A94D32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A766E64"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Clinically meaningful improvements from Baseline were observed in IMPACT III and the caregiver Work Productivity and Activity Impairment (WPAI) scores for the groups treated with </w:t>
      </w:r>
      <w:r w:rsidRPr="001775D9">
        <w:rPr>
          <w:color w:val="000000"/>
          <w:szCs w:val="22"/>
          <w:lang w:eastAsia="en-GB"/>
        </w:rPr>
        <w:t>adalimumab</w:t>
      </w:r>
      <w:r w:rsidRPr="001775D9">
        <w:rPr>
          <w:szCs w:val="22"/>
          <w:lang w:eastAsia="en-GB"/>
        </w:rPr>
        <w:t>.</w:t>
      </w:r>
    </w:p>
    <w:p w14:paraId="3C75D4A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C1C375A" w14:textId="138E77EE"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Clinically meaningful increases (improvement) from Baseline in height velocity were observed for the</w:t>
      </w:r>
      <w:r w:rsidR="0056780E" w:rsidRPr="001775D9">
        <w:rPr>
          <w:szCs w:val="22"/>
          <w:lang w:eastAsia="en-GB"/>
        </w:rPr>
        <w:t xml:space="preserve"> </w:t>
      </w:r>
      <w:r w:rsidRPr="001775D9">
        <w:rPr>
          <w:szCs w:val="22"/>
          <w:lang w:eastAsia="en-GB"/>
        </w:rPr>
        <w:t>groups treated with adalimumab, and clinically meaningful increases (improvement) from Baseline in</w:t>
      </w:r>
      <w:r w:rsidR="0056780E" w:rsidRPr="001775D9">
        <w:rPr>
          <w:szCs w:val="22"/>
          <w:lang w:eastAsia="en-GB"/>
        </w:rPr>
        <w:t xml:space="preserve"> </w:t>
      </w:r>
      <w:r w:rsidRPr="001775D9">
        <w:rPr>
          <w:szCs w:val="22"/>
          <w:lang w:eastAsia="en-GB"/>
        </w:rPr>
        <w:t>Body Mass Index were observed for subjects on the high maintenance dose of maximum 40 mg (0.6 mg/kg) every week.</w:t>
      </w:r>
    </w:p>
    <w:p w14:paraId="71845B7F" w14:textId="77777777" w:rsidR="001778AA" w:rsidRPr="001775D9" w:rsidRDefault="001778AA" w:rsidP="001778AA">
      <w:pPr>
        <w:keepNext/>
        <w:tabs>
          <w:tab w:val="clear" w:pos="567"/>
        </w:tabs>
        <w:autoSpaceDE w:val="0"/>
        <w:autoSpaceDN w:val="0"/>
        <w:adjustRightInd w:val="0"/>
        <w:spacing w:line="240" w:lineRule="auto"/>
        <w:rPr>
          <w:color w:val="000000"/>
          <w:szCs w:val="22"/>
          <w:u w:val="single"/>
          <w:lang w:eastAsia="en-GB"/>
        </w:rPr>
      </w:pPr>
    </w:p>
    <w:p w14:paraId="7DB7153D" w14:textId="77777777" w:rsidR="001778AA" w:rsidRPr="001775D9" w:rsidRDefault="001778AA" w:rsidP="00B61D9D">
      <w:pPr>
        <w:spacing w:line="240" w:lineRule="auto"/>
        <w:rPr>
          <w:i/>
        </w:rPr>
      </w:pPr>
      <w:r w:rsidRPr="001775D9">
        <w:rPr>
          <w:i/>
        </w:rPr>
        <w:t>Paediatric uveitis</w:t>
      </w:r>
    </w:p>
    <w:p w14:paraId="73B6B9F8" w14:textId="77777777" w:rsidR="001778AA" w:rsidRPr="001775D9" w:rsidRDefault="001778AA" w:rsidP="00B61D9D">
      <w:pPr>
        <w:spacing w:line="240" w:lineRule="auto"/>
        <w:rPr>
          <w:i/>
        </w:rPr>
      </w:pPr>
    </w:p>
    <w:p w14:paraId="44096631" w14:textId="5B9B8E85" w:rsidR="001778AA" w:rsidRPr="001775D9" w:rsidRDefault="001778AA" w:rsidP="00B61D9D">
      <w:pPr>
        <w:spacing w:line="240" w:lineRule="auto"/>
      </w:pPr>
      <w:r w:rsidRPr="001775D9">
        <w:t>The safety and efficacy of adalimumab was assessed in a randomised, double-masked, controlled study of 90 paediatric patients from 2 to &lt;</w:t>
      </w:r>
      <w:r w:rsidRPr="001775D9">
        <w:rPr>
          <w:szCs w:val="22"/>
          <w:lang w:eastAsia="en-GB"/>
        </w:rPr>
        <w:t> </w:t>
      </w:r>
      <w:r w:rsidRPr="001775D9">
        <w:t>18 years of age with active JIA-associated noninfectious anterior uveitis who were refractory to at least 12 weeks of methotrexate treatment. Patients received either placebo or 20</w:t>
      </w:r>
      <w:r w:rsidRPr="001775D9">
        <w:rPr>
          <w:szCs w:val="22"/>
          <w:lang w:eastAsia="en-GB"/>
        </w:rPr>
        <w:t> </w:t>
      </w:r>
      <w:r w:rsidRPr="001775D9">
        <w:t>mg adalimumab (if &lt;</w:t>
      </w:r>
      <w:r w:rsidRPr="001775D9">
        <w:rPr>
          <w:szCs w:val="22"/>
          <w:lang w:eastAsia="en-GB"/>
        </w:rPr>
        <w:t> </w:t>
      </w:r>
      <w:r w:rsidRPr="001775D9">
        <w:t>30</w:t>
      </w:r>
      <w:r w:rsidRPr="001775D9">
        <w:rPr>
          <w:color w:val="000000"/>
          <w:szCs w:val="22"/>
        </w:rPr>
        <w:t> </w:t>
      </w:r>
      <w:r w:rsidRPr="001775D9">
        <w:t>kg) or 40</w:t>
      </w:r>
      <w:r w:rsidRPr="001775D9">
        <w:rPr>
          <w:szCs w:val="22"/>
        </w:rPr>
        <w:t> </w:t>
      </w:r>
      <w:r w:rsidRPr="001775D9">
        <w:t>mg adalimumab (if ≥</w:t>
      </w:r>
      <w:r w:rsidRPr="001775D9">
        <w:rPr>
          <w:szCs w:val="22"/>
          <w:lang w:eastAsia="en-GB"/>
        </w:rPr>
        <w:t> </w:t>
      </w:r>
      <w:r w:rsidRPr="001775D9">
        <w:t>30</w:t>
      </w:r>
      <w:r w:rsidRPr="001775D9">
        <w:rPr>
          <w:color w:val="000000"/>
          <w:szCs w:val="22"/>
        </w:rPr>
        <w:t> </w:t>
      </w:r>
      <w:r w:rsidRPr="001775D9">
        <w:t>kg) every other week in combination with their baseline dose of methotrexate.</w:t>
      </w:r>
    </w:p>
    <w:p w14:paraId="37A22C76" w14:textId="77777777" w:rsidR="001778AA" w:rsidRPr="001775D9" w:rsidRDefault="001778AA" w:rsidP="00B61D9D">
      <w:pPr>
        <w:spacing w:line="240" w:lineRule="auto"/>
      </w:pPr>
    </w:p>
    <w:p w14:paraId="3626B4A1" w14:textId="79B772D5" w:rsidR="001778AA" w:rsidRPr="001775D9" w:rsidRDefault="001778AA">
      <w:r w:rsidRPr="001775D9">
        <w:t>The primary endpoint was ‘time to treatment failure’. The criteria determining treatment failure were</w:t>
      </w:r>
      <w:r w:rsidR="0056780E" w:rsidRPr="001775D9">
        <w:t xml:space="preserve"> </w:t>
      </w:r>
      <w:r w:rsidRPr="001775D9">
        <w:t>worsening or sustained non-improvement in ocular inflammation, partial improvement with development of sustained ocular co-morbidities or worsening of ocular co-morbidities, non-permitted use of concomitant medications, and suspension of treatment for an extended period of time.</w:t>
      </w:r>
    </w:p>
    <w:p w14:paraId="05EC65E6" w14:textId="77777777" w:rsidR="001778AA" w:rsidRPr="001775D9" w:rsidRDefault="001778AA" w:rsidP="00B61D9D">
      <w:pPr>
        <w:spacing w:line="240" w:lineRule="auto"/>
      </w:pPr>
    </w:p>
    <w:p w14:paraId="590DE120" w14:textId="77777777" w:rsidR="001778AA" w:rsidRPr="001775D9" w:rsidRDefault="001778AA" w:rsidP="00B61D9D">
      <w:pPr>
        <w:keepNext/>
        <w:spacing w:line="240" w:lineRule="auto"/>
        <w:rPr>
          <w:i/>
        </w:rPr>
      </w:pPr>
      <w:r w:rsidRPr="001775D9">
        <w:rPr>
          <w:i/>
        </w:rPr>
        <w:t>Clinical Response</w:t>
      </w:r>
    </w:p>
    <w:p w14:paraId="048267CA" w14:textId="77777777" w:rsidR="001778AA" w:rsidRPr="001775D9" w:rsidRDefault="001778AA" w:rsidP="00B61D9D">
      <w:pPr>
        <w:tabs>
          <w:tab w:val="clear" w:pos="567"/>
        </w:tabs>
        <w:spacing w:line="240" w:lineRule="auto"/>
        <w:rPr>
          <w:i/>
          <w:sz w:val="24"/>
          <w:u w:val="single"/>
        </w:rPr>
      </w:pPr>
    </w:p>
    <w:p w14:paraId="19D457B9" w14:textId="77777777" w:rsidR="001778AA" w:rsidRPr="001775D9" w:rsidRDefault="001778AA" w:rsidP="00B61D9D">
      <w:pPr>
        <w:tabs>
          <w:tab w:val="clear" w:pos="567"/>
        </w:tabs>
        <w:spacing w:line="240" w:lineRule="auto"/>
        <w:rPr>
          <w:bCs/>
        </w:rPr>
      </w:pPr>
      <w:r w:rsidRPr="001775D9">
        <w:rPr>
          <w:bCs/>
        </w:rPr>
        <w:t>Adalimumab significantly delayed the time to treatment failure, as compared to placebo (see figure 3, P &lt; 0.0001 from log rank test). The median time to treatment failure was 24.1 weeks for subjects treated with placebo, whereas the median time to treatment failure was not estimable for subjects treated with adalimumab because less than one-half of these subjects experienced treatment failure. Adalimumab significantly decreased the risk of treatment failure by 75% relative to placebo, as shown by the hazard ratio (HR</w:t>
      </w:r>
      <w:r w:rsidRPr="001775D9">
        <w:rPr>
          <w:szCs w:val="22"/>
        </w:rPr>
        <w:t> </w:t>
      </w:r>
      <w:r w:rsidRPr="001775D9">
        <w:rPr>
          <w:bCs/>
        </w:rPr>
        <w:t>=</w:t>
      </w:r>
      <w:r w:rsidRPr="001775D9">
        <w:rPr>
          <w:szCs w:val="22"/>
        </w:rPr>
        <w:t> </w:t>
      </w:r>
      <w:r w:rsidRPr="001775D9">
        <w:rPr>
          <w:bCs/>
        </w:rPr>
        <w:t>0.25 [95% CI: 0.12, 0.49]).</w:t>
      </w:r>
    </w:p>
    <w:p w14:paraId="0236158C" w14:textId="77777777" w:rsidR="001778AA" w:rsidRPr="001775D9" w:rsidRDefault="001778AA" w:rsidP="00B61D9D">
      <w:pPr>
        <w:tabs>
          <w:tab w:val="clear" w:pos="567"/>
        </w:tabs>
        <w:spacing w:line="240" w:lineRule="auto"/>
        <w:rPr>
          <w:bCs/>
        </w:rPr>
      </w:pPr>
    </w:p>
    <w:p w14:paraId="6FE55E51" w14:textId="77777777" w:rsidR="001778AA" w:rsidRPr="001775D9" w:rsidRDefault="001778AA" w:rsidP="00B61D9D">
      <w:pPr>
        <w:keepNext/>
        <w:tabs>
          <w:tab w:val="clear" w:pos="567"/>
        </w:tabs>
        <w:spacing w:line="240" w:lineRule="auto"/>
        <w:rPr>
          <w:szCs w:val="22"/>
        </w:rPr>
      </w:pPr>
      <w:r w:rsidRPr="001775D9">
        <w:rPr>
          <w:b/>
          <w:szCs w:val="22"/>
        </w:rPr>
        <w:t>Figure 3. Kaplan-Meier curves summarising time to treatment failure in the paediatric uveitis study</w:t>
      </w:r>
    </w:p>
    <w:p w14:paraId="4D604E0D" w14:textId="77777777" w:rsidR="001778AA" w:rsidRPr="001775D9" w:rsidRDefault="001778AA" w:rsidP="001778AA">
      <w:pPr>
        <w:keepNext/>
        <w:tabs>
          <w:tab w:val="clear" w:pos="567"/>
        </w:tabs>
        <w:autoSpaceDE w:val="0"/>
        <w:autoSpaceDN w:val="0"/>
        <w:adjustRightInd w:val="0"/>
        <w:spacing w:line="240" w:lineRule="auto"/>
        <w:rPr>
          <w:b/>
          <w:szCs w:val="22"/>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1778AA" w:rsidRPr="00F04F82" w14:paraId="3D955609" w14:textId="77777777" w:rsidTr="00D47253">
        <w:trPr>
          <w:cantSplit/>
          <w:trHeight w:val="3806"/>
        </w:trPr>
        <w:tc>
          <w:tcPr>
            <w:tcW w:w="468" w:type="dxa"/>
            <w:textDirection w:val="btLr"/>
            <w:vAlign w:val="bottom"/>
          </w:tcPr>
          <w:p w14:paraId="029F269D" w14:textId="77777777" w:rsidR="001778AA" w:rsidRPr="00D55B59" w:rsidRDefault="001778AA" w:rsidP="00D47253">
            <w:pPr>
              <w:pStyle w:val="EMEANormal"/>
              <w:keepNext/>
              <w:ind w:left="113" w:right="113"/>
              <w:jc w:val="center"/>
              <w:rPr>
                <w:b/>
                <w:szCs w:val="22"/>
                <w:lang w:val="en-GB"/>
                <w:rPrChange w:id="1925" w:author="Author">
                  <w:rPr>
                    <w:b/>
                    <w:szCs w:val="22"/>
                  </w:rPr>
                </w:rPrChange>
              </w:rPr>
            </w:pPr>
            <w:r w:rsidRPr="00D55B59">
              <w:rPr>
                <w:b/>
                <w:szCs w:val="22"/>
                <w:lang w:val="en-GB"/>
                <w:rPrChange w:id="1926" w:author="Author">
                  <w:rPr>
                    <w:b/>
                    <w:szCs w:val="22"/>
                  </w:rPr>
                </w:rPrChange>
              </w:rPr>
              <w:t>PROBABILITY OF FAILING TREATMENT</w:t>
            </w:r>
          </w:p>
        </w:tc>
        <w:tc>
          <w:tcPr>
            <w:tcW w:w="8820" w:type="dxa"/>
            <w:gridSpan w:val="5"/>
            <w:vAlign w:val="bottom"/>
          </w:tcPr>
          <w:p w14:paraId="2E98F901" w14:textId="160752D3" w:rsidR="001778AA" w:rsidRPr="00D55B59" w:rsidRDefault="00D96030" w:rsidP="00D47253">
            <w:pPr>
              <w:pStyle w:val="EMEANormal"/>
              <w:keepNext/>
              <w:rPr>
                <w:szCs w:val="22"/>
                <w:lang w:val="en-GB"/>
                <w:rPrChange w:id="1927" w:author="Author">
                  <w:rPr>
                    <w:szCs w:val="22"/>
                  </w:rPr>
                </w:rPrChange>
              </w:rPr>
            </w:pPr>
            <w:r>
              <w:rPr>
                <w:szCs w:val="22"/>
                <w:lang w:val="en-GB"/>
              </w:rPr>
              <w:pict w14:anchorId="75E38958">
                <v:shape id="Picture 113" o:spid="_x0000_i1038" type="#_x0000_t75" alt="Humira PED UV KM Curve REVISED 3" style="width:6in;height:5in;visibility:visible;mso-wrap-style:square">
                  <v:imagedata r:id="rId15" o:title="Humira PED UV KM Curve REVISED 3"/>
                </v:shape>
              </w:pict>
            </w:r>
          </w:p>
        </w:tc>
      </w:tr>
      <w:tr w:rsidR="001778AA" w:rsidRPr="00F04F82" w14:paraId="39F3CDB3" w14:textId="77777777" w:rsidTr="00D47253">
        <w:tc>
          <w:tcPr>
            <w:tcW w:w="468" w:type="dxa"/>
          </w:tcPr>
          <w:p w14:paraId="25126A5E" w14:textId="77777777" w:rsidR="001778AA" w:rsidRPr="00D55B59" w:rsidRDefault="001778AA" w:rsidP="00D47253">
            <w:pPr>
              <w:pStyle w:val="EMEANormal"/>
              <w:keepNext/>
              <w:rPr>
                <w:szCs w:val="22"/>
                <w:lang w:val="en-GB"/>
                <w:rPrChange w:id="1928" w:author="Author">
                  <w:rPr>
                    <w:szCs w:val="22"/>
                  </w:rPr>
                </w:rPrChange>
              </w:rPr>
            </w:pPr>
          </w:p>
        </w:tc>
        <w:tc>
          <w:tcPr>
            <w:tcW w:w="8820" w:type="dxa"/>
            <w:gridSpan w:val="5"/>
          </w:tcPr>
          <w:p w14:paraId="4E875C7C" w14:textId="77777777" w:rsidR="001778AA" w:rsidRPr="00D55B59" w:rsidRDefault="001778AA" w:rsidP="00D47253">
            <w:pPr>
              <w:pStyle w:val="EMEANormal"/>
              <w:keepNext/>
              <w:jc w:val="center"/>
              <w:rPr>
                <w:b/>
                <w:szCs w:val="22"/>
                <w:lang w:val="en-GB"/>
                <w:rPrChange w:id="1929" w:author="Author">
                  <w:rPr>
                    <w:b/>
                    <w:szCs w:val="22"/>
                  </w:rPr>
                </w:rPrChange>
              </w:rPr>
            </w:pPr>
            <w:r w:rsidRPr="00D55B59">
              <w:rPr>
                <w:b/>
                <w:szCs w:val="22"/>
                <w:lang w:val="en-GB"/>
                <w:rPrChange w:id="1930" w:author="Author">
                  <w:rPr>
                    <w:b/>
                    <w:szCs w:val="22"/>
                  </w:rPr>
                </w:rPrChange>
              </w:rPr>
              <w:t>TIME (WEEKS)</w:t>
            </w:r>
          </w:p>
        </w:tc>
      </w:tr>
      <w:tr w:rsidR="001778AA" w:rsidRPr="00F04F82" w14:paraId="0D364C90" w14:textId="77777777" w:rsidTr="00D47253">
        <w:tc>
          <w:tcPr>
            <w:tcW w:w="468" w:type="dxa"/>
          </w:tcPr>
          <w:p w14:paraId="59271EE6" w14:textId="77777777" w:rsidR="001778AA" w:rsidRPr="00D55B59" w:rsidRDefault="001778AA" w:rsidP="00D47253">
            <w:pPr>
              <w:pStyle w:val="EMEANormal"/>
              <w:keepNext/>
              <w:rPr>
                <w:szCs w:val="22"/>
                <w:lang w:val="en-GB"/>
                <w:rPrChange w:id="1931" w:author="Author">
                  <w:rPr>
                    <w:szCs w:val="22"/>
                  </w:rPr>
                </w:rPrChange>
              </w:rPr>
            </w:pPr>
          </w:p>
        </w:tc>
        <w:tc>
          <w:tcPr>
            <w:tcW w:w="3510" w:type="dxa"/>
          </w:tcPr>
          <w:p w14:paraId="4CD93359" w14:textId="77777777" w:rsidR="001778AA" w:rsidRPr="00D55B59" w:rsidRDefault="001778AA" w:rsidP="00D47253">
            <w:pPr>
              <w:pStyle w:val="EMEANormal"/>
              <w:keepNext/>
              <w:rPr>
                <w:szCs w:val="22"/>
                <w:lang w:val="en-GB"/>
                <w:rPrChange w:id="1932" w:author="Author">
                  <w:rPr>
                    <w:szCs w:val="22"/>
                  </w:rPr>
                </w:rPrChange>
              </w:rPr>
            </w:pPr>
            <w:r w:rsidRPr="00D55B59">
              <w:rPr>
                <w:szCs w:val="22"/>
                <w:lang w:val="en-GB"/>
                <w:rPrChange w:id="1933" w:author="Author">
                  <w:rPr>
                    <w:szCs w:val="22"/>
                  </w:rPr>
                </w:rPrChange>
              </w:rPr>
              <w:t>Treatment</w:t>
            </w:r>
          </w:p>
        </w:tc>
        <w:tc>
          <w:tcPr>
            <w:tcW w:w="1170" w:type="dxa"/>
            <w:vAlign w:val="bottom"/>
          </w:tcPr>
          <w:p w14:paraId="4393B659" w14:textId="04C17FE0" w:rsidR="001778AA" w:rsidRPr="00D55B59" w:rsidRDefault="00D96030" w:rsidP="00D47253">
            <w:pPr>
              <w:pStyle w:val="EMEANormal"/>
              <w:keepNext/>
              <w:jc w:val="center"/>
              <w:rPr>
                <w:szCs w:val="22"/>
                <w:lang w:val="en-GB"/>
                <w:rPrChange w:id="1934" w:author="Author">
                  <w:rPr>
                    <w:szCs w:val="22"/>
                  </w:rPr>
                </w:rPrChange>
              </w:rPr>
            </w:pPr>
            <w:r>
              <w:rPr>
                <w:szCs w:val="22"/>
                <w:lang w:val="en-GB"/>
              </w:rPr>
              <w:pict w14:anchorId="7B226B90">
                <v:shape id="Picture 114" o:spid="_x0000_i1039" type="#_x0000_t75" alt="Humira PED UV KM Curve 11" style="width:37pt;height:9pt;visibility:visible;mso-wrap-style:square">
                  <v:imagedata r:id="rId16" o:title="Humira PED UV KM Curve 11"/>
                </v:shape>
              </w:pict>
            </w:r>
          </w:p>
        </w:tc>
        <w:tc>
          <w:tcPr>
            <w:tcW w:w="1350" w:type="dxa"/>
          </w:tcPr>
          <w:p w14:paraId="14C74615" w14:textId="77777777" w:rsidR="001778AA" w:rsidRPr="00D55B59" w:rsidRDefault="001778AA" w:rsidP="00D47253">
            <w:pPr>
              <w:pStyle w:val="EMEANormal"/>
              <w:keepNext/>
              <w:rPr>
                <w:szCs w:val="22"/>
                <w:lang w:val="en-GB"/>
                <w:rPrChange w:id="1935" w:author="Author">
                  <w:rPr>
                    <w:szCs w:val="22"/>
                  </w:rPr>
                </w:rPrChange>
              </w:rPr>
            </w:pPr>
            <w:r w:rsidRPr="00D55B59">
              <w:rPr>
                <w:szCs w:val="22"/>
                <w:lang w:val="en-GB"/>
                <w:rPrChange w:id="1936" w:author="Author">
                  <w:rPr>
                    <w:szCs w:val="22"/>
                  </w:rPr>
                </w:rPrChange>
              </w:rPr>
              <w:t>Placebo</w:t>
            </w:r>
          </w:p>
        </w:tc>
        <w:tc>
          <w:tcPr>
            <w:tcW w:w="900" w:type="dxa"/>
            <w:vAlign w:val="center"/>
          </w:tcPr>
          <w:p w14:paraId="3BD84DA0" w14:textId="4C6B33AF" w:rsidR="001778AA" w:rsidRPr="00D55B59" w:rsidRDefault="00D96030" w:rsidP="00D47253">
            <w:pPr>
              <w:pStyle w:val="EMEANormal"/>
              <w:keepNext/>
              <w:rPr>
                <w:szCs w:val="22"/>
                <w:lang w:val="en-GB"/>
                <w:rPrChange w:id="1937" w:author="Author">
                  <w:rPr>
                    <w:szCs w:val="22"/>
                  </w:rPr>
                </w:rPrChange>
              </w:rPr>
            </w:pPr>
            <w:r>
              <w:rPr>
                <w:szCs w:val="22"/>
                <w:lang w:val="en-GB"/>
              </w:rPr>
              <w:pict w14:anchorId="6F823363">
                <v:shape id="Picture 115" o:spid="_x0000_i1040" type="#_x0000_t75" alt="Humira PED UV KM Curve 11" style="width:35pt;height:6pt;visibility:visible;mso-wrap-style:square">
                  <v:imagedata r:id="rId17" o:title="Humira PED UV KM Curve 11"/>
                </v:shape>
              </w:pict>
            </w:r>
          </w:p>
        </w:tc>
        <w:tc>
          <w:tcPr>
            <w:tcW w:w="1890" w:type="dxa"/>
          </w:tcPr>
          <w:p w14:paraId="7426BD3A" w14:textId="77777777" w:rsidR="001778AA" w:rsidRPr="00D55B59" w:rsidRDefault="001778AA" w:rsidP="00D47253">
            <w:pPr>
              <w:pStyle w:val="EMEANormal"/>
              <w:keepNext/>
              <w:rPr>
                <w:szCs w:val="22"/>
                <w:lang w:val="en-GB"/>
                <w:rPrChange w:id="1938" w:author="Author">
                  <w:rPr>
                    <w:szCs w:val="22"/>
                  </w:rPr>
                </w:rPrChange>
              </w:rPr>
            </w:pPr>
            <w:r w:rsidRPr="00D55B59">
              <w:rPr>
                <w:szCs w:val="22"/>
                <w:lang w:val="en-GB"/>
                <w:rPrChange w:id="1939" w:author="Author">
                  <w:rPr>
                    <w:szCs w:val="22"/>
                  </w:rPr>
                </w:rPrChange>
              </w:rPr>
              <w:t>Adalimumab</w:t>
            </w:r>
          </w:p>
        </w:tc>
      </w:tr>
      <w:tr w:rsidR="001778AA" w:rsidRPr="00F04F82" w14:paraId="62E85A02" w14:textId="77777777" w:rsidTr="00D47253">
        <w:tc>
          <w:tcPr>
            <w:tcW w:w="468" w:type="dxa"/>
          </w:tcPr>
          <w:p w14:paraId="7723F8C4" w14:textId="77777777" w:rsidR="001778AA" w:rsidRPr="00D55B59" w:rsidRDefault="001778AA" w:rsidP="00D47253">
            <w:pPr>
              <w:pStyle w:val="EMEANormal"/>
              <w:rPr>
                <w:szCs w:val="22"/>
                <w:lang w:val="en-GB"/>
                <w:rPrChange w:id="1940" w:author="Author">
                  <w:rPr>
                    <w:szCs w:val="22"/>
                  </w:rPr>
                </w:rPrChange>
              </w:rPr>
            </w:pPr>
          </w:p>
        </w:tc>
        <w:tc>
          <w:tcPr>
            <w:tcW w:w="8820" w:type="dxa"/>
            <w:gridSpan w:val="5"/>
          </w:tcPr>
          <w:p w14:paraId="3A0B69D8" w14:textId="77777777" w:rsidR="001778AA" w:rsidRPr="00D55B59" w:rsidRDefault="001778AA" w:rsidP="00D47253">
            <w:pPr>
              <w:pStyle w:val="EMEANormal"/>
              <w:rPr>
                <w:szCs w:val="22"/>
                <w:lang w:val="en-GB"/>
                <w:rPrChange w:id="1941" w:author="Author">
                  <w:rPr>
                    <w:szCs w:val="22"/>
                  </w:rPr>
                </w:rPrChange>
              </w:rPr>
            </w:pPr>
            <w:r w:rsidRPr="00D55B59">
              <w:rPr>
                <w:szCs w:val="22"/>
                <w:lang w:val="en-GB"/>
                <w:rPrChange w:id="1942" w:author="Author">
                  <w:rPr>
                    <w:szCs w:val="22"/>
                  </w:rPr>
                </w:rPrChange>
              </w:rPr>
              <w:t>Note: P = Placebo (Number at Risk); H = Adalimumab (Number at Risk).</w:t>
            </w:r>
          </w:p>
        </w:tc>
      </w:tr>
    </w:tbl>
    <w:p w14:paraId="06D1F711" w14:textId="77777777" w:rsidR="001778AA" w:rsidRPr="001775D9" w:rsidRDefault="001778AA" w:rsidP="00B61D9D">
      <w:pPr>
        <w:tabs>
          <w:tab w:val="clear" w:pos="567"/>
        </w:tabs>
        <w:autoSpaceDE w:val="0"/>
        <w:autoSpaceDN w:val="0"/>
        <w:adjustRightInd w:val="0"/>
        <w:spacing w:line="240" w:lineRule="auto"/>
        <w:rPr>
          <w:color w:val="000000"/>
          <w:szCs w:val="22"/>
          <w:u w:val="single"/>
          <w:lang w:eastAsia="en-GB"/>
        </w:rPr>
      </w:pPr>
    </w:p>
    <w:p w14:paraId="3FFFEFB6" w14:textId="0DBD5283" w:rsidR="001778AA" w:rsidRPr="001775D9" w:rsidRDefault="001778AA" w:rsidP="00B61D9D">
      <w:pPr>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5.2</w:t>
      </w:r>
      <w:r w:rsidRPr="001775D9">
        <w:rPr>
          <w:b/>
          <w:bCs/>
          <w:szCs w:val="22"/>
          <w:lang w:eastAsia="en-GB"/>
        </w:rPr>
        <w:tab/>
        <w:t xml:space="preserve">Pharmacokinetic properties </w:t>
      </w:r>
    </w:p>
    <w:p w14:paraId="589BFD38" w14:textId="77777777" w:rsidR="001778AA" w:rsidRPr="001775D9" w:rsidRDefault="001778AA" w:rsidP="00B61D9D">
      <w:pPr>
        <w:tabs>
          <w:tab w:val="clear" w:pos="567"/>
        </w:tabs>
        <w:autoSpaceDE w:val="0"/>
        <w:autoSpaceDN w:val="0"/>
        <w:adjustRightInd w:val="0"/>
        <w:spacing w:line="240" w:lineRule="auto"/>
        <w:rPr>
          <w:szCs w:val="22"/>
          <w:lang w:eastAsia="en-GB"/>
        </w:rPr>
      </w:pPr>
    </w:p>
    <w:p w14:paraId="734E40F5" w14:textId="77777777" w:rsidR="001778AA" w:rsidRPr="001775D9" w:rsidRDefault="001778AA" w:rsidP="00B61D9D">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Absorption and distribution </w:t>
      </w:r>
    </w:p>
    <w:p w14:paraId="1C1EDB43" w14:textId="77777777" w:rsidR="001778AA" w:rsidRPr="001775D9" w:rsidRDefault="001778AA" w:rsidP="00B61D9D">
      <w:pPr>
        <w:tabs>
          <w:tab w:val="clear" w:pos="567"/>
        </w:tabs>
        <w:autoSpaceDE w:val="0"/>
        <w:autoSpaceDN w:val="0"/>
        <w:adjustRightInd w:val="0"/>
        <w:spacing w:line="240" w:lineRule="auto"/>
        <w:rPr>
          <w:szCs w:val="22"/>
          <w:lang w:eastAsia="en-GB"/>
        </w:rPr>
      </w:pPr>
    </w:p>
    <w:p w14:paraId="66CE4E50" w14:textId="77777777" w:rsidR="001778AA" w:rsidRPr="001775D9" w:rsidRDefault="001778AA" w:rsidP="00B61D9D">
      <w:pPr>
        <w:tabs>
          <w:tab w:val="clear" w:pos="567"/>
        </w:tabs>
        <w:autoSpaceDE w:val="0"/>
        <w:autoSpaceDN w:val="0"/>
        <w:adjustRightInd w:val="0"/>
        <w:spacing w:line="240" w:lineRule="auto"/>
        <w:rPr>
          <w:color w:val="000000"/>
          <w:szCs w:val="22"/>
          <w:lang w:eastAsia="en-GB"/>
        </w:rPr>
      </w:pPr>
      <w:r w:rsidRPr="001775D9">
        <w:rPr>
          <w:szCs w:val="22"/>
          <w:lang w:eastAsia="en-GB"/>
        </w:rPr>
        <w:t>After subcutaneous administration of a single 40</w:t>
      </w:r>
      <w:r w:rsidRPr="001775D9">
        <w:rPr>
          <w:szCs w:val="22"/>
        </w:rPr>
        <w:t> </w:t>
      </w:r>
      <w:r w:rsidRPr="001775D9">
        <w:rPr>
          <w:szCs w:val="22"/>
          <w:lang w:eastAsia="en-GB"/>
        </w:rPr>
        <w:t>mg dose, absorption and distribution of adalimumab was slow, with peak serum concentrations being reached about 5 days after</w:t>
      </w:r>
      <w:r w:rsidRPr="001775D9">
        <w:rPr>
          <w:color w:val="000000"/>
          <w:szCs w:val="22"/>
          <w:lang w:eastAsia="en-GB"/>
        </w:rPr>
        <w:t xml:space="preserve"> administration. The average absolute bioavailability of adalimumab estimated from three studies conducted with the reference product following a single 40</w:t>
      </w:r>
      <w:r w:rsidRPr="001775D9">
        <w:rPr>
          <w:szCs w:val="22"/>
        </w:rPr>
        <w:t> </w:t>
      </w:r>
      <w:r w:rsidRPr="001775D9">
        <w:rPr>
          <w:color w:val="000000"/>
          <w:szCs w:val="22"/>
          <w:lang w:eastAsia="en-GB"/>
        </w:rPr>
        <w:t>mg subcutaneous dose was 64%. After single intravenous doses ranging from 0.25 to 10</w:t>
      </w:r>
      <w:r w:rsidRPr="001775D9">
        <w:rPr>
          <w:szCs w:val="22"/>
        </w:rPr>
        <w:t> </w:t>
      </w:r>
      <w:r w:rsidRPr="001775D9">
        <w:rPr>
          <w:color w:val="000000"/>
          <w:szCs w:val="22"/>
          <w:lang w:eastAsia="en-GB"/>
        </w:rPr>
        <w:t>mg/kg, concentrations were dose proportional. After doses of 0.5</w:t>
      </w:r>
      <w:r w:rsidRPr="001775D9">
        <w:rPr>
          <w:szCs w:val="22"/>
        </w:rPr>
        <w:t> </w:t>
      </w:r>
      <w:r w:rsidRPr="001775D9">
        <w:rPr>
          <w:color w:val="000000"/>
          <w:szCs w:val="22"/>
          <w:lang w:eastAsia="en-GB"/>
        </w:rPr>
        <w:t>mg/kg (~40</w:t>
      </w:r>
      <w:r w:rsidRPr="001775D9">
        <w:rPr>
          <w:szCs w:val="22"/>
        </w:rPr>
        <w:t> </w:t>
      </w:r>
      <w:r w:rsidRPr="001775D9">
        <w:rPr>
          <w:color w:val="000000"/>
          <w:szCs w:val="22"/>
          <w:lang w:eastAsia="en-GB"/>
        </w:rPr>
        <w:t>mg), clearances ranged from 11 to 15</w:t>
      </w:r>
      <w:r w:rsidRPr="001775D9">
        <w:rPr>
          <w:szCs w:val="22"/>
        </w:rPr>
        <w:t> </w:t>
      </w:r>
      <w:r w:rsidRPr="001775D9">
        <w:rPr>
          <w:color w:val="000000"/>
          <w:szCs w:val="22"/>
          <w:lang w:eastAsia="en-GB"/>
        </w:rPr>
        <w:t>mL/hour, the distribution volume (V</w:t>
      </w:r>
      <w:r w:rsidRPr="001775D9">
        <w:rPr>
          <w:color w:val="000000"/>
          <w:szCs w:val="22"/>
          <w:vertAlign w:val="subscript"/>
          <w:lang w:eastAsia="en-GB"/>
        </w:rPr>
        <w:t>ss</w:t>
      </w:r>
      <w:r w:rsidRPr="001775D9">
        <w:rPr>
          <w:color w:val="000000"/>
          <w:szCs w:val="22"/>
          <w:lang w:eastAsia="en-GB"/>
        </w:rPr>
        <w:t xml:space="preserve">) ranged from 5 to 6 litres and the mean terminal phase half-life was approximately two weeks. Adalimumab concentrations in the synovial fluid from several rheumatoid arthritis patients ranged from 31-96% of those in serum. </w:t>
      </w:r>
    </w:p>
    <w:p w14:paraId="139F3D04"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5EF46FC8" w14:textId="01958A1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Following subcutaneous administration of 40</w:t>
      </w:r>
      <w:r w:rsidRPr="001775D9">
        <w:rPr>
          <w:szCs w:val="22"/>
        </w:rPr>
        <w:t> </w:t>
      </w:r>
      <w:r w:rsidRPr="001775D9">
        <w:rPr>
          <w:color w:val="000000"/>
          <w:szCs w:val="22"/>
          <w:lang w:eastAsia="en-GB"/>
        </w:rPr>
        <w:t>mg of adalimumab every other week in adult rheumatoid arthritis (RA) patients the mean steady-state trough concentrations were approximately 5</w:t>
      </w:r>
      <w:r w:rsidRPr="001775D9">
        <w:rPr>
          <w:szCs w:val="22"/>
        </w:rPr>
        <w:t> </w:t>
      </w:r>
      <w:r w:rsidR="002C5EC2" w:rsidRPr="001775D9">
        <w:rPr>
          <w:color w:val="000000"/>
          <w:szCs w:val="22"/>
          <w:lang w:eastAsia="en-GB"/>
        </w:rPr>
        <w:t>µ</w:t>
      </w:r>
      <w:r w:rsidRPr="001775D9">
        <w:rPr>
          <w:color w:val="000000"/>
          <w:szCs w:val="22"/>
          <w:lang w:eastAsia="en-GB"/>
        </w:rPr>
        <w:t>g/mL (without concomitant methotrexate) and 8 to 9</w:t>
      </w:r>
      <w:r w:rsidRPr="001775D9">
        <w:rPr>
          <w:szCs w:val="22"/>
        </w:rPr>
        <w:t> </w:t>
      </w:r>
      <w:r w:rsidR="002C5EC2" w:rsidRPr="001775D9">
        <w:rPr>
          <w:color w:val="000000"/>
          <w:szCs w:val="22"/>
          <w:lang w:eastAsia="en-GB"/>
        </w:rPr>
        <w:t>µ</w:t>
      </w:r>
      <w:r w:rsidRPr="001775D9">
        <w:rPr>
          <w:color w:val="000000"/>
          <w:szCs w:val="22"/>
          <w:lang w:eastAsia="en-GB"/>
        </w:rPr>
        <w:t>g/mL (with concomitant methotrexate), respectively. The serum adalimumab trough levels at steady-state increased roughly proportionally with dose following 20, 40 and 80</w:t>
      </w:r>
      <w:r w:rsidRPr="001775D9">
        <w:rPr>
          <w:szCs w:val="22"/>
        </w:rPr>
        <w:t> </w:t>
      </w:r>
      <w:r w:rsidRPr="001775D9">
        <w:rPr>
          <w:color w:val="000000"/>
          <w:szCs w:val="22"/>
          <w:lang w:eastAsia="en-GB"/>
        </w:rPr>
        <w:t xml:space="preserve">mg subcutaneous dosing every other week and every week. </w:t>
      </w:r>
    </w:p>
    <w:p w14:paraId="627147BC"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2ED9EFB5" w14:textId="714C429E"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Following the administration of 24</w:t>
      </w:r>
      <w:r w:rsidRPr="001775D9">
        <w:rPr>
          <w:szCs w:val="22"/>
        </w:rPr>
        <w:t> </w:t>
      </w:r>
      <w:r w:rsidRPr="001775D9">
        <w:rPr>
          <w:color w:val="000000"/>
          <w:szCs w:val="22"/>
          <w:lang w:eastAsia="en-GB"/>
        </w:rPr>
        <w:t>mg/m</w:t>
      </w:r>
      <w:r w:rsidRPr="001775D9">
        <w:rPr>
          <w:color w:val="000000"/>
          <w:szCs w:val="22"/>
          <w:vertAlign w:val="superscript"/>
          <w:lang w:eastAsia="en-GB"/>
        </w:rPr>
        <w:t>2</w:t>
      </w:r>
      <w:r w:rsidRPr="001775D9">
        <w:rPr>
          <w:color w:val="000000"/>
          <w:szCs w:val="22"/>
          <w:lang w:eastAsia="en-GB"/>
        </w:rPr>
        <w:t xml:space="preserve"> (maximum of 40</w:t>
      </w:r>
      <w:r w:rsidRPr="001775D9">
        <w:rPr>
          <w:szCs w:val="22"/>
        </w:rPr>
        <w:t> </w:t>
      </w:r>
      <w:r w:rsidRPr="001775D9">
        <w:rPr>
          <w:color w:val="000000"/>
          <w:szCs w:val="22"/>
          <w:lang w:eastAsia="en-GB"/>
        </w:rPr>
        <w:t>mg) subcutaneously every other week to patients with polyarticular juvenile idiopathic arthritis (JIA) who were 4 to 17 years the mean trough steady-state (values measured from week 20 to 48) serum adalimumab concentration was 5.6 ± 5.6</w:t>
      </w:r>
      <w:r w:rsidRPr="001775D9">
        <w:rPr>
          <w:szCs w:val="22"/>
        </w:rPr>
        <w:t> </w:t>
      </w:r>
      <w:r w:rsidR="002C5EC2" w:rsidRPr="001775D9">
        <w:rPr>
          <w:color w:val="000000"/>
          <w:szCs w:val="22"/>
          <w:lang w:eastAsia="en-GB"/>
        </w:rPr>
        <w:t>µ</w:t>
      </w:r>
      <w:r w:rsidRPr="001775D9">
        <w:rPr>
          <w:color w:val="000000"/>
          <w:szCs w:val="22"/>
          <w:lang w:eastAsia="en-GB"/>
        </w:rPr>
        <w:t>g/mL (102% CV) for adalimumab without concomitant methotrexate and 10.9</w:t>
      </w:r>
      <w:r w:rsidRPr="001775D9">
        <w:rPr>
          <w:szCs w:val="22"/>
          <w:lang w:eastAsia="en-GB"/>
        </w:rPr>
        <w:t> </w:t>
      </w:r>
      <w:r w:rsidRPr="001775D9">
        <w:rPr>
          <w:color w:val="000000"/>
          <w:szCs w:val="22"/>
          <w:lang w:eastAsia="en-GB"/>
        </w:rPr>
        <w:t>±</w:t>
      </w:r>
      <w:r w:rsidRPr="001775D9">
        <w:rPr>
          <w:szCs w:val="22"/>
          <w:lang w:eastAsia="en-GB"/>
        </w:rPr>
        <w:t> </w:t>
      </w:r>
      <w:r w:rsidRPr="001775D9">
        <w:rPr>
          <w:color w:val="000000"/>
          <w:szCs w:val="22"/>
          <w:lang w:eastAsia="en-GB"/>
        </w:rPr>
        <w:t>5.2</w:t>
      </w:r>
      <w:r w:rsidRPr="001775D9">
        <w:rPr>
          <w:szCs w:val="22"/>
        </w:rPr>
        <w:t> </w:t>
      </w:r>
      <w:r w:rsidR="002C5EC2" w:rsidRPr="001775D9">
        <w:rPr>
          <w:color w:val="000000"/>
          <w:szCs w:val="22"/>
          <w:lang w:eastAsia="en-GB"/>
        </w:rPr>
        <w:t>µ</w:t>
      </w:r>
      <w:r w:rsidRPr="001775D9">
        <w:rPr>
          <w:color w:val="000000"/>
          <w:szCs w:val="22"/>
          <w:lang w:eastAsia="en-GB"/>
        </w:rPr>
        <w:t xml:space="preserve">g/mL (47.7% CV) with concomitant methotrexate. </w:t>
      </w:r>
    </w:p>
    <w:p w14:paraId="79CDC89E"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66965BBE"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patients with polyarticular JIA who were 2 to &lt; 4 years old or aged 4 and above weighing &lt; 15 kg dosed with adalimumab 24 mg/m</w:t>
      </w:r>
      <w:r w:rsidRPr="001775D9">
        <w:rPr>
          <w:szCs w:val="22"/>
          <w:vertAlign w:val="superscript"/>
          <w:lang w:eastAsia="en-GB"/>
        </w:rPr>
        <w:t>2</w:t>
      </w:r>
      <w:r w:rsidRPr="001775D9">
        <w:rPr>
          <w:szCs w:val="22"/>
          <w:lang w:eastAsia="en-GB"/>
        </w:rPr>
        <w:t>, the mean trough steady-state serum adalimumab concentrations was 6.0 ± 6.1 µg/mL (101% CV) for adalimumab without concomitant methotrexate and 7.9 ± 5.6 µg/mL (71.2% CV) with concomitant methotrexate.</w:t>
      </w:r>
    </w:p>
    <w:p w14:paraId="314A7C17"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1873FB2"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Following the administration of 24 mg/m</w:t>
      </w:r>
      <w:r w:rsidRPr="001775D9">
        <w:rPr>
          <w:szCs w:val="22"/>
          <w:vertAlign w:val="superscript"/>
          <w:lang w:eastAsia="en-GB"/>
        </w:rPr>
        <w:t>2</w:t>
      </w:r>
      <w:r w:rsidRPr="001775D9">
        <w:rPr>
          <w:szCs w:val="22"/>
          <w:lang w:eastAsia="en-GB"/>
        </w:rPr>
        <w:t xml:space="preserve"> (maximum of 40 mg) subcutaneously every other week to patients with enthesitis-related arthritis who were 6 to 17 years, the mean trough steady-state (values measured at week 24) serum adalimumab concentrations were 8.8 ± 6.6 µg/mL for adalimumab without concomitant methotrexate and 11.8 ± 4.3</w:t>
      </w:r>
      <w:r w:rsidRPr="001775D9">
        <w:rPr>
          <w:color w:val="000000"/>
          <w:szCs w:val="22"/>
        </w:rPr>
        <w:t> </w:t>
      </w:r>
      <w:r w:rsidRPr="001775D9">
        <w:rPr>
          <w:szCs w:val="22"/>
          <w:lang w:eastAsia="en-GB"/>
        </w:rPr>
        <w:t>µg/mL with concomitant methotrexate.</w:t>
      </w:r>
    </w:p>
    <w:p w14:paraId="0CA3522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09273E2" w14:textId="6773FF7D" w:rsidR="001778AA" w:rsidRPr="001775D9" w:rsidRDefault="001778AA" w:rsidP="001778AA">
      <w:pPr>
        <w:suppressAutoHyphens/>
        <w:autoSpaceDE w:val="0"/>
        <w:autoSpaceDN w:val="0"/>
        <w:adjustRightInd w:val="0"/>
        <w:spacing w:line="240" w:lineRule="auto"/>
        <w:rPr>
          <w:rFonts w:eastAsia="Times New Roman"/>
          <w:szCs w:val="24"/>
        </w:rPr>
      </w:pPr>
      <w:r w:rsidRPr="001775D9">
        <w:rPr>
          <w:rFonts w:eastAsia="Times New Roman"/>
          <w:szCs w:val="24"/>
        </w:rPr>
        <w:t>Following subcutaneous administration of 40 mg of adalimumab every other week in adult non</w:t>
      </w:r>
      <w:r w:rsidR="00384ED0" w:rsidRPr="001775D9">
        <w:rPr>
          <w:rFonts w:eastAsia="Times New Roman"/>
          <w:szCs w:val="24"/>
        </w:rPr>
        <w:noBreakHyphen/>
      </w:r>
      <w:r w:rsidRPr="001775D9">
        <w:rPr>
          <w:rFonts w:eastAsia="Times New Roman"/>
          <w:szCs w:val="24"/>
        </w:rPr>
        <w:t xml:space="preserve">radiographic </w:t>
      </w:r>
      <w:r w:rsidRPr="00D55B59">
        <w:rPr>
          <w:rFonts w:eastAsia="Times New Roman"/>
          <w:szCs w:val="24"/>
          <w:rPrChange w:id="1943" w:author="Author">
            <w:rPr>
              <w:rFonts w:eastAsia="Times New Roman"/>
              <w:szCs w:val="24"/>
              <w:lang w:val="en-US"/>
            </w:rPr>
          </w:rPrChange>
        </w:rPr>
        <w:t>axial spondyloarthritis</w:t>
      </w:r>
      <w:r w:rsidRPr="001775D9">
        <w:rPr>
          <w:rFonts w:eastAsia="Times New Roman"/>
          <w:szCs w:val="24"/>
        </w:rPr>
        <w:t xml:space="preserve"> patients, the mean (±SD) trough steady-state concentration at week 68 was 8.0 </w:t>
      </w:r>
      <w:r w:rsidRPr="00D55B59">
        <w:rPr>
          <w:rFonts w:eastAsia="Times New Roman"/>
          <w:szCs w:val="24"/>
          <w:rPrChange w:id="1944" w:author="Author">
            <w:rPr>
              <w:rFonts w:eastAsia="Times New Roman"/>
              <w:szCs w:val="24"/>
              <w:lang w:val="en-US"/>
            </w:rPr>
          </w:rPrChange>
        </w:rPr>
        <w:t>±</w:t>
      </w:r>
      <w:r w:rsidRPr="001775D9">
        <w:rPr>
          <w:rFonts w:eastAsia="Times New Roman"/>
          <w:szCs w:val="24"/>
        </w:rPr>
        <w:t> </w:t>
      </w:r>
      <w:r w:rsidRPr="00D55B59">
        <w:rPr>
          <w:rFonts w:eastAsia="Times New Roman"/>
          <w:szCs w:val="24"/>
          <w:rPrChange w:id="1945" w:author="Author">
            <w:rPr>
              <w:rFonts w:eastAsia="Times New Roman"/>
              <w:szCs w:val="24"/>
              <w:lang w:val="en-US"/>
            </w:rPr>
          </w:rPrChange>
        </w:rPr>
        <w:t>4.6 </w:t>
      </w:r>
      <w:r w:rsidRPr="001775D9">
        <w:rPr>
          <w:rFonts w:ascii="Symbol" w:eastAsia="Times New Roman" w:hAnsi="Symbol"/>
          <w:szCs w:val="24"/>
        </w:rPr>
        <w:t></w:t>
      </w:r>
      <w:r w:rsidRPr="001775D9">
        <w:rPr>
          <w:rFonts w:eastAsia="Times New Roman"/>
          <w:szCs w:val="24"/>
        </w:rPr>
        <w:t>g/m</w:t>
      </w:r>
      <w:r w:rsidR="005C65C3" w:rsidRPr="001775D9">
        <w:rPr>
          <w:rFonts w:eastAsia="Times New Roman"/>
          <w:szCs w:val="24"/>
        </w:rPr>
        <w:t>L</w:t>
      </w:r>
      <w:r w:rsidRPr="001775D9">
        <w:rPr>
          <w:rFonts w:eastAsia="Times New Roman"/>
          <w:szCs w:val="24"/>
        </w:rPr>
        <w:t>.</w:t>
      </w:r>
    </w:p>
    <w:p w14:paraId="3D749246"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3C1C53EF" w14:textId="681D455C"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In adult patients with psoriasis, the mean steady-state trough concentration was 5</w:t>
      </w:r>
      <w:r w:rsidRPr="001775D9">
        <w:rPr>
          <w:szCs w:val="22"/>
        </w:rPr>
        <w:t> </w:t>
      </w:r>
      <w:r w:rsidR="002C5EC2" w:rsidRPr="001775D9">
        <w:rPr>
          <w:color w:val="000000"/>
          <w:szCs w:val="22"/>
          <w:lang w:eastAsia="en-GB"/>
        </w:rPr>
        <w:t>µ</w:t>
      </w:r>
      <w:r w:rsidRPr="001775D9">
        <w:rPr>
          <w:color w:val="000000"/>
          <w:szCs w:val="22"/>
          <w:lang w:eastAsia="en-GB"/>
        </w:rPr>
        <w:t>g/mL during adalimumab 40</w:t>
      </w:r>
      <w:r w:rsidRPr="001775D9">
        <w:rPr>
          <w:szCs w:val="22"/>
        </w:rPr>
        <w:t> </w:t>
      </w:r>
      <w:r w:rsidRPr="001775D9">
        <w:rPr>
          <w:color w:val="000000"/>
          <w:szCs w:val="22"/>
          <w:lang w:eastAsia="en-GB"/>
        </w:rPr>
        <w:t xml:space="preserve">mg every other week monotherapy treatment. </w:t>
      </w:r>
    </w:p>
    <w:p w14:paraId="25CCBCC3"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3A723C83" w14:textId="45FACA4A" w:rsidR="001778AA" w:rsidRPr="001775D9" w:rsidRDefault="001778AA" w:rsidP="001778AA">
      <w:pPr>
        <w:tabs>
          <w:tab w:val="clear" w:pos="567"/>
        </w:tabs>
        <w:autoSpaceDE w:val="0"/>
        <w:autoSpaceDN w:val="0"/>
        <w:adjustRightInd w:val="0"/>
        <w:spacing w:line="240" w:lineRule="auto"/>
        <w:rPr>
          <w:szCs w:val="22"/>
        </w:rPr>
      </w:pPr>
      <w:r w:rsidRPr="001775D9">
        <w:rPr>
          <w:szCs w:val="22"/>
        </w:rPr>
        <w:t>Following the administration of 0.8 mg/kg (maximum of 40 mg) subcutaneously every other week to paediatric patients with chronic plaque psoriasis, the mean ± SD steady-state adalimumab trough concentration was approximately 7.4 ± 5.8 </w:t>
      </w:r>
      <w:r w:rsidR="002C5EC2" w:rsidRPr="001775D9">
        <w:rPr>
          <w:szCs w:val="22"/>
        </w:rPr>
        <w:t>µ</w:t>
      </w:r>
      <w:r w:rsidRPr="001775D9">
        <w:rPr>
          <w:szCs w:val="22"/>
        </w:rPr>
        <w:t>g/mL (79% CV).</w:t>
      </w:r>
    </w:p>
    <w:p w14:paraId="4B8845DB"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p>
    <w:p w14:paraId="45ECBB59" w14:textId="509C2855"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rPr>
        <w:t xml:space="preserve">In adult patients with hidradenitis suppurativa, a dose of 160 mg </w:t>
      </w:r>
      <w:r w:rsidRPr="001775D9">
        <w:rPr>
          <w:rFonts w:eastAsia="Times New Roman"/>
          <w:color w:val="000000"/>
          <w:szCs w:val="22"/>
        </w:rPr>
        <w:t>adalimumab</w:t>
      </w:r>
      <w:r w:rsidRPr="001775D9">
        <w:rPr>
          <w:color w:val="000000"/>
          <w:szCs w:val="22"/>
        </w:rPr>
        <w:t xml:space="preserve"> on </w:t>
      </w:r>
      <w:r w:rsidRPr="001775D9">
        <w:rPr>
          <w:color w:val="000000"/>
          <w:szCs w:val="22"/>
          <w:lang w:eastAsia="en-GB"/>
        </w:rPr>
        <w:t>week</w:t>
      </w:r>
      <w:r w:rsidRPr="001775D9">
        <w:rPr>
          <w:color w:val="000000"/>
          <w:szCs w:val="22"/>
        </w:rPr>
        <w:t xml:space="preserve"> 0 followed by 80 mg on </w:t>
      </w:r>
      <w:r w:rsidRPr="001775D9">
        <w:rPr>
          <w:color w:val="000000"/>
          <w:szCs w:val="22"/>
          <w:lang w:eastAsia="en-GB"/>
        </w:rPr>
        <w:t>week</w:t>
      </w:r>
      <w:r w:rsidRPr="001775D9">
        <w:rPr>
          <w:color w:val="000000"/>
          <w:szCs w:val="22"/>
        </w:rPr>
        <w:t xml:space="preserve"> 2 achieved serum adalimumab trough concentrations of approximately 7 to 8 </w:t>
      </w:r>
      <w:r w:rsidR="002C5EC2" w:rsidRPr="001775D9">
        <w:rPr>
          <w:color w:val="000000"/>
          <w:szCs w:val="22"/>
        </w:rPr>
        <w:t>µ</w:t>
      </w:r>
      <w:r w:rsidRPr="001775D9">
        <w:rPr>
          <w:color w:val="000000"/>
          <w:szCs w:val="22"/>
        </w:rPr>
        <w:t xml:space="preserve">g/mL at </w:t>
      </w:r>
      <w:r w:rsidRPr="001775D9">
        <w:rPr>
          <w:color w:val="000000"/>
          <w:szCs w:val="22"/>
          <w:lang w:eastAsia="en-GB"/>
        </w:rPr>
        <w:t>week</w:t>
      </w:r>
      <w:r w:rsidRPr="001775D9">
        <w:rPr>
          <w:color w:val="000000"/>
          <w:szCs w:val="22"/>
        </w:rPr>
        <w:t xml:space="preserve"> 2 and </w:t>
      </w:r>
      <w:r w:rsidRPr="001775D9">
        <w:rPr>
          <w:color w:val="000000"/>
          <w:szCs w:val="22"/>
          <w:lang w:eastAsia="en-GB"/>
        </w:rPr>
        <w:t>week</w:t>
      </w:r>
      <w:r w:rsidRPr="001775D9">
        <w:rPr>
          <w:color w:val="000000"/>
          <w:szCs w:val="22"/>
        </w:rPr>
        <w:t xml:space="preserve"> 4. The mean steady-state trough concentration at </w:t>
      </w:r>
      <w:r w:rsidRPr="001775D9">
        <w:rPr>
          <w:color w:val="000000"/>
          <w:szCs w:val="22"/>
          <w:lang w:eastAsia="en-GB"/>
        </w:rPr>
        <w:t>week</w:t>
      </w:r>
      <w:r w:rsidRPr="001775D9">
        <w:rPr>
          <w:color w:val="000000"/>
          <w:szCs w:val="22"/>
        </w:rPr>
        <w:t xml:space="preserve"> 12 through </w:t>
      </w:r>
      <w:r w:rsidRPr="001775D9">
        <w:rPr>
          <w:color w:val="000000"/>
          <w:szCs w:val="22"/>
          <w:lang w:eastAsia="en-GB"/>
        </w:rPr>
        <w:t>week</w:t>
      </w:r>
      <w:r w:rsidRPr="001775D9">
        <w:rPr>
          <w:color w:val="000000"/>
          <w:szCs w:val="22"/>
        </w:rPr>
        <w:t xml:space="preserve"> 36 were approximately 8 to 10 </w:t>
      </w:r>
      <w:r w:rsidR="002C5EC2" w:rsidRPr="001775D9">
        <w:rPr>
          <w:color w:val="000000"/>
          <w:szCs w:val="22"/>
        </w:rPr>
        <w:t>µ</w:t>
      </w:r>
      <w:r w:rsidRPr="001775D9">
        <w:rPr>
          <w:color w:val="000000"/>
          <w:szCs w:val="22"/>
        </w:rPr>
        <w:t xml:space="preserve">g/mL during adalimumab 40 mg every week treatment. </w:t>
      </w:r>
    </w:p>
    <w:p w14:paraId="25DC288A" w14:textId="77777777" w:rsidR="001778AA" w:rsidRPr="001775D9" w:rsidRDefault="001778AA" w:rsidP="001778AA">
      <w:pPr>
        <w:tabs>
          <w:tab w:val="clear" w:pos="567"/>
        </w:tabs>
        <w:autoSpaceDE w:val="0"/>
        <w:autoSpaceDN w:val="0"/>
        <w:adjustRightInd w:val="0"/>
        <w:spacing w:line="240" w:lineRule="auto"/>
        <w:rPr>
          <w:color w:val="000000"/>
          <w:szCs w:val="22"/>
        </w:rPr>
      </w:pPr>
    </w:p>
    <w:p w14:paraId="0A0BFC7E" w14:textId="77777777" w:rsidR="001778AA" w:rsidRPr="001775D9" w:rsidRDefault="001778AA" w:rsidP="001778AA">
      <w:pPr>
        <w:tabs>
          <w:tab w:val="clear" w:pos="567"/>
        </w:tabs>
        <w:autoSpaceDE w:val="0"/>
        <w:autoSpaceDN w:val="0"/>
        <w:adjustRightInd w:val="0"/>
        <w:spacing w:line="240" w:lineRule="auto"/>
        <w:rPr>
          <w:color w:val="000000"/>
          <w:szCs w:val="22"/>
        </w:rPr>
      </w:pPr>
      <w:r w:rsidRPr="001775D9">
        <w:rPr>
          <w:color w:val="000000"/>
          <w:szCs w:val="22"/>
        </w:rPr>
        <w:t>Adalimumab exposure in adolescent HS patients was predicted using population pharmacokinetic modelling and simulation based on cross-indication pharmacokinetics in other paediatric patients (paediatric psoriasis, juvenile idiopathic arthritis, paediatric Crohn’s disease, and enthesitis-related arthritis). The recommended adolescent HS dosing schedule is 40</w:t>
      </w:r>
      <w:r w:rsidRPr="001775D9">
        <w:rPr>
          <w:szCs w:val="22"/>
          <w:lang w:eastAsia="en-GB"/>
        </w:rPr>
        <w:t> </w:t>
      </w:r>
      <w:r w:rsidRPr="001775D9">
        <w:rPr>
          <w:color w:val="000000"/>
          <w:szCs w:val="22"/>
        </w:rPr>
        <w:t>mg every other week. Since exposure to adalimumab can be affected by body size, adolescents with higher body weight and inadequate response may benefit from receiving the recommended adult dose of 40</w:t>
      </w:r>
      <w:r w:rsidRPr="001775D9">
        <w:rPr>
          <w:szCs w:val="22"/>
          <w:lang w:eastAsia="en-GB"/>
        </w:rPr>
        <w:t> </w:t>
      </w:r>
      <w:r w:rsidRPr="001775D9">
        <w:rPr>
          <w:color w:val="000000"/>
          <w:szCs w:val="22"/>
        </w:rPr>
        <w:t>mg every week.</w:t>
      </w:r>
    </w:p>
    <w:p w14:paraId="08E236C2" w14:textId="77777777" w:rsidR="001778AA" w:rsidRPr="001775D9" w:rsidRDefault="001778AA" w:rsidP="001778AA">
      <w:pPr>
        <w:tabs>
          <w:tab w:val="clear" w:pos="567"/>
        </w:tabs>
        <w:autoSpaceDE w:val="0"/>
        <w:autoSpaceDN w:val="0"/>
        <w:adjustRightInd w:val="0"/>
        <w:spacing w:line="240" w:lineRule="auto"/>
        <w:rPr>
          <w:color w:val="000000"/>
        </w:rPr>
      </w:pPr>
    </w:p>
    <w:p w14:paraId="695B60CE" w14:textId="70D0E186" w:rsidR="001778AA" w:rsidRPr="001775D9" w:rsidRDefault="001778AA" w:rsidP="001778AA">
      <w:pPr>
        <w:tabs>
          <w:tab w:val="clear" w:pos="567"/>
        </w:tabs>
        <w:autoSpaceDE w:val="0"/>
        <w:autoSpaceDN w:val="0"/>
        <w:adjustRightInd w:val="0"/>
        <w:spacing w:line="240" w:lineRule="auto"/>
        <w:rPr>
          <w:szCs w:val="22"/>
          <w:lang w:eastAsia="en-GB"/>
        </w:rPr>
      </w:pPr>
      <w:r w:rsidRPr="001775D9">
        <w:rPr>
          <w:color w:val="000000"/>
          <w:szCs w:val="22"/>
          <w:lang w:eastAsia="en-GB"/>
        </w:rPr>
        <w:t xml:space="preserve">In patients with </w:t>
      </w:r>
      <w:r w:rsidRPr="001775D9">
        <w:rPr>
          <w:szCs w:val="22"/>
          <w:lang w:eastAsia="en-GB"/>
        </w:rPr>
        <w:t>Crohn’s disease, the loading dose of 80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on </w:t>
      </w:r>
      <w:r w:rsidRPr="001775D9">
        <w:rPr>
          <w:color w:val="000000"/>
          <w:szCs w:val="22"/>
          <w:lang w:eastAsia="en-GB"/>
        </w:rPr>
        <w:t>week</w:t>
      </w:r>
      <w:r w:rsidRPr="001775D9">
        <w:rPr>
          <w:szCs w:val="22"/>
          <w:lang w:eastAsia="en-GB"/>
        </w:rPr>
        <w:t xml:space="preserve"> 0 followed by 40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on </w:t>
      </w:r>
      <w:r w:rsidRPr="001775D9">
        <w:rPr>
          <w:color w:val="000000"/>
          <w:szCs w:val="22"/>
          <w:lang w:eastAsia="en-GB"/>
        </w:rPr>
        <w:t>week</w:t>
      </w:r>
      <w:r w:rsidRPr="001775D9">
        <w:rPr>
          <w:szCs w:val="22"/>
          <w:lang w:eastAsia="en-GB"/>
        </w:rPr>
        <w:t xml:space="preserve"> 2 achieves serum adalimumab trough concentrations of approximately 5.5</w:t>
      </w:r>
      <w:r w:rsidRPr="001775D9">
        <w:rPr>
          <w:szCs w:val="22"/>
        </w:rPr>
        <w:t> </w:t>
      </w:r>
      <w:r w:rsidR="002C5EC2" w:rsidRPr="001775D9">
        <w:rPr>
          <w:szCs w:val="22"/>
          <w:lang w:eastAsia="en-GB"/>
        </w:rPr>
        <w:t>µ</w:t>
      </w:r>
      <w:r w:rsidRPr="001775D9">
        <w:rPr>
          <w:szCs w:val="22"/>
          <w:lang w:eastAsia="en-GB"/>
        </w:rPr>
        <w:t>g/mL during the induction period. A loading dose of 160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on </w:t>
      </w:r>
      <w:r w:rsidRPr="001775D9">
        <w:rPr>
          <w:color w:val="000000"/>
          <w:szCs w:val="22"/>
          <w:lang w:eastAsia="en-GB"/>
        </w:rPr>
        <w:t>week</w:t>
      </w:r>
      <w:r w:rsidRPr="001775D9">
        <w:rPr>
          <w:szCs w:val="22"/>
          <w:lang w:eastAsia="en-GB"/>
        </w:rPr>
        <w:t xml:space="preserve"> 0 followed by 80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on </w:t>
      </w:r>
      <w:r w:rsidRPr="001775D9">
        <w:rPr>
          <w:color w:val="000000"/>
          <w:szCs w:val="22"/>
          <w:lang w:eastAsia="en-GB"/>
        </w:rPr>
        <w:t>week</w:t>
      </w:r>
      <w:r w:rsidRPr="001775D9">
        <w:rPr>
          <w:szCs w:val="22"/>
          <w:lang w:eastAsia="en-GB"/>
        </w:rPr>
        <w:t xml:space="preserve"> 2 achieves serum adalimumab trough concentrations of approximately 12</w:t>
      </w:r>
      <w:r w:rsidRPr="001775D9">
        <w:rPr>
          <w:szCs w:val="22"/>
        </w:rPr>
        <w:t> </w:t>
      </w:r>
      <w:r w:rsidR="002C5EC2" w:rsidRPr="001775D9">
        <w:rPr>
          <w:szCs w:val="22"/>
          <w:lang w:eastAsia="en-GB"/>
        </w:rPr>
        <w:t>µ</w:t>
      </w:r>
      <w:r w:rsidRPr="001775D9">
        <w:rPr>
          <w:szCs w:val="22"/>
          <w:lang w:eastAsia="en-GB"/>
        </w:rPr>
        <w:t>g/mL during the induction period. Mean steady-state trough levels of approximately 7</w:t>
      </w:r>
      <w:r w:rsidRPr="001775D9">
        <w:rPr>
          <w:szCs w:val="22"/>
        </w:rPr>
        <w:t> </w:t>
      </w:r>
      <w:r w:rsidR="002C5EC2" w:rsidRPr="001775D9">
        <w:rPr>
          <w:szCs w:val="22"/>
          <w:lang w:eastAsia="en-GB"/>
        </w:rPr>
        <w:t>µ</w:t>
      </w:r>
      <w:r w:rsidRPr="001775D9">
        <w:rPr>
          <w:szCs w:val="22"/>
          <w:lang w:eastAsia="en-GB"/>
        </w:rPr>
        <w:t>g/mL were observed in Crohn’s disease patients who received a maintenance dose of 40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every other week.</w:t>
      </w:r>
    </w:p>
    <w:p w14:paraId="719D9EB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6DFCC0B" w14:textId="05A23B60"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paediatric patients with moderate to severe CD, the open-label adalimumab induction dose was 160/80</w:t>
      </w:r>
      <w:r w:rsidRPr="001775D9">
        <w:rPr>
          <w:szCs w:val="22"/>
        </w:rPr>
        <w:t> </w:t>
      </w:r>
      <w:r w:rsidRPr="001775D9">
        <w:rPr>
          <w:szCs w:val="22"/>
          <w:lang w:eastAsia="en-GB"/>
        </w:rPr>
        <w:t>mg or 80/40</w:t>
      </w:r>
      <w:r w:rsidRPr="001775D9">
        <w:rPr>
          <w:szCs w:val="22"/>
        </w:rPr>
        <w:t> </w:t>
      </w:r>
      <w:r w:rsidRPr="001775D9">
        <w:rPr>
          <w:szCs w:val="22"/>
          <w:lang w:eastAsia="en-GB"/>
        </w:rPr>
        <w:t xml:space="preserve">mg at </w:t>
      </w:r>
      <w:r w:rsidRPr="001775D9">
        <w:rPr>
          <w:color w:val="000000"/>
          <w:szCs w:val="22"/>
          <w:lang w:eastAsia="en-GB"/>
        </w:rPr>
        <w:t>week</w:t>
      </w:r>
      <w:r w:rsidRPr="001775D9">
        <w:rPr>
          <w:szCs w:val="22"/>
          <w:lang w:eastAsia="en-GB"/>
        </w:rPr>
        <w:t>s 0 and 2, respectively, dependent on a body weight cut-off of 40</w:t>
      </w:r>
      <w:r w:rsidRPr="001775D9">
        <w:rPr>
          <w:szCs w:val="22"/>
        </w:rPr>
        <w:t> </w:t>
      </w:r>
      <w:r w:rsidRPr="001775D9">
        <w:rPr>
          <w:szCs w:val="22"/>
          <w:lang w:eastAsia="en-GB"/>
        </w:rPr>
        <w:t xml:space="preserve">kg. At </w:t>
      </w:r>
      <w:r w:rsidRPr="001775D9">
        <w:rPr>
          <w:color w:val="000000"/>
          <w:szCs w:val="22"/>
          <w:lang w:eastAsia="en-GB"/>
        </w:rPr>
        <w:t>week</w:t>
      </w:r>
      <w:r w:rsidRPr="001775D9">
        <w:rPr>
          <w:szCs w:val="22"/>
          <w:lang w:eastAsia="en-GB"/>
        </w:rPr>
        <w:t xml:space="preserve"> 4, patients were randomised 1:1 to either the Standard Dose (40/20</w:t>
      </w:r>
      <w:r w:rsidRPr="001775D9">
        <w:rPr>
          <w:szCs w:val="22"/>
        </w:rPr>
        <w:t> </w:t>
      </w:r>
      <w:r w:rsidRPr="001775D9">
        <w:rPr>
          <w:szCs w:val="22"/>
          <w:lang w:eastAsia="en-GB"/>
        </w:rPr>
        <w:t>mg every other week) or Low Dose (20/10</w:t>
      </w:r>
      <w:r w:rsidRPr="001775D9">
        <w:rPr>
          <w:szCs w:val="22"/>
        </w:rPr>
        <w:t> </w:t>
      </w:r>
      <w:r w:rsidRPr="001775D9">
        <w:rPr>
          <w:szCs w:val="22"/>
          <w:lang w:eastAsia="en-GB"/>
        </w:rPr>
        <w:t xml:space="preserve">mg every other week) maintenance treatment groups based on their body weight. The mean (±SD) serum adalimumab trough concentrations achieved at </w:t>
      </w:r>
      <w:r w:rsidRPr="001775D9">
        <w:rPr>
          <w:color w:val="000000"/>
          <w:szCs w:val="22"/>
          <w:lang w:eastAsia="en-GB"/>
        </w:rPr>
        <w:t>week</w:t>
      </w:r>
      <w:r w:rsidRPr="001775D9">
        <w:rPr>
          <w:szCs w:val="22"/>
          <w:lang w:eastAsia="en-GB"/>
        </w:rPr>
        <w:t xml:space="preserve"> 4 were 15.7 ± 6.6</w:t>
      </w:r>
      <w:r w:rsidRPr="001775D9">
        <w:rPr>
          <w:szCs w:val="22"/>
        </w:rPr>
        <w:t> </w:t>
      </w:r>
      <w:r w:rsidR="002C5EC2" w:rsidRPr="001775D9">
        <w:rPr>
          <w:szCs w:val="22"/>
          <w:lang w:eastAsia="en-GB"/>
        </w:rPr>
        <w:t>µ</w:t>
      </w:r>
      <w:r w:rsidRPr="001775D9">
        <w:rPr>
          <w:szCs w:val="22"/>
          <w:lang w:eastAsia="en-GB"/>
        </w:rPr>
        <w:t>g/mL for patients ≥</w:t>
      </w:r>
      <w:r w:rsidRPr="001775D9">
        <w:rPr>
          <w:szCs w:val="22"/>
        </w:rPr>
        <w:t> </w:t>
      </w:r>
      <w:r w:rsidRPr="001775D9">
        <w:rPr>
          <w:szCs w:val="22"/>
          <w:lang w:eastAsia="en-GB"/>
        </w:rPr>
        <w:t>40</w:t>
      </w:r>
      <w:r w:rsidRPr="001775D9">
        <w:rPr>
          <w:szCs w:val="22"/>
        </w:rPr>
        <w:t> </w:t>
      </w:r>
      <w:r w:rsidRPr="001775D9">
        <w:rPr>
          <w:szCs w:val="22"/>
          <w:lang w:eastAsia="en-GB"/>
        </w:rPr>
        <w:t>kg (160/80</w:t>
      </w:r>
      <w:r w:rsidRPr="001775D9">
        <w:rPr>
          <w:szCs w:val="22"/>
        </w:rPr>
        <w:t> </w:t>
      </w:r>
      <w:r w:rsidRPr="001775D9">
        <w:rPr>
          <w:szCs w:val="22"/>
          <w:lang w:eastAsia="en-GB"/>
        </w:rPr>
        <w:t>mg) and 10.6 ± 6.1</w:t>
      </w:r>
      <w:r w:rsidRPr="001775D9">
        <w:rPr>
          <w:szCs w:val="22"/>
        </w:rPr>
        <w:t> </w:t>
      </w:r>
      <w:r w:rsidR="002C5EC2" w:rsidRPr="001775D9">
        <w:rPr>
          <w:szCs w:val="22"/>
          <w:lang w:eastAsia="en-GB"/>
        </w:rPr>
        <w:t>µ</w:t>
      </w:r>
      <w:r w:rsidRPr="001775D9">
        <w:rPr>
          <w:szCs w:val="22"/>
          <w:lang w:eastAsia="en-GB"/>
        </w:rPr>
        <w:t>g/mL for patients &lt;</w:t>
      </w:r>
      <w:r w:rsidRPr="001775D9">
        <w:rPr>
          <w:szCs w:val="22"/>
        </w:rPr>
        <w:t> </w:t>
      </w:r>
      <w:r w:rsidRPr="001775D9">
        <w:rPr>
          <w:szCs w:val="22"/>
          <w:lang w:eastAsia="en-GB"/>
        </w:rPr>
        <w:t>40</w:t>
      </w:r>
      <w:r w:rsidRPr="001775D9">
        <w:rPr>
          <w:szCs w:val="22"/>
        </w:rPr>
        <w:t> </w:t>
      </w:r>
      <w:r w:rsidRPr="001775D9">
        <w:rPr>
          <w:szCs w:val="22"/>
          <w:lang w:eastAsia="en-GB"/>
        </w:rPr>
        <w:t>kg (80/40</w:t>
      </w:r>
      <w:r w:rsidRPr="001775D9">
        <w:rPr>
          <w:szCs w:val="22"/>
        </w:rPr>
        <w:t> </w:t>
      </w:r>
      <w:r w:rsidRPr="001775D9">
        <w:rPr>
          <w:szCs w:val="22"/>
          <w:lang w:eastAsia="en-GB"/>
        </w:rPr>
        <w:t xml:space="preserve">mg). </w:t>
      </w:r>
    </w:p>
    <w:p w14:paraId="12A3A6ED"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2B479F46" w14:textId="427F64AE"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For patients who stayed on their randomised therapy, the mean (±SD) adalimumab trough concentrations at </w:t>
      </w:r>
      <w:r w:rsidRPr="001775D9">
        <w:rPr>
          <w:color w:val="000000"/>
          <w:szCs w:val="22"/>
          <w:lang w:eastAsia="en-GB"/>
        </w:rPr>
        <w:t>week</w:t>
      </w:r>
      <w:r w:rsidRPr="001775D9">
        <w:rPr>
          <w:szCs w:val="22"/>
          <w:lang w:eastAsia="en-GB"/>
        </w:rPr>
        <w:t xml:space="preserve"> 52 were 9.5 ± 5.6</w:t>
      </w:r>
      <w:r w:rsidRPr="001775D9">
        <w:rPr>
          <w:szCs w:val="22"/>
        </w:rPr>
        <w:t> </w:t>
      </w:r>
      <w:r w:rsidR="002C5EC2" w:rsidRPr="001775D9">
        <w:rPr>
          <w:szCs w:val="22"/>
          <w:lang w:eastAsia="en-GB"/>
        </w:rPr>
        <w:t>µ</w:t>
      </w:r>
      <w:r w:rsidRPr="001775D9">
        <w:rPr>
          <w:szCs w:val="22"/>
          <w:lang w:eastAsia="en-GB"/>
        </w:rPr>
        <w:t>g/mL for the standard dose group and 3.5 ± 2.2</w:t>
      </w:r>
      <w:r w:rsidRPr="001775D9">
        <w:rPr>
          <w:szCs w:val="22"/>
        </w:rPr>
        <w:t> </w:t>
      </w:r>
      <w:r w:rsidR="002C5EC2" w:rsidRPr="001775D9">
        <w:rPr>
          <w:szCs w:val="22"/>
          <w:lang w:eastAsia="en-GB"/>
        </w:rPr>
        <w:t>µ</w:t>
      </w:r>
      <w:r w:rsidRPr="001775D9">
        <w:rPr>
          <w:szCs w:val="22"/>
          <w:lang w:eastAsia="en-GB"/>
        </w:rPr>
        <w:t xml:space="preserve">g/mL for the </w:t>
      </w:r>
      <w:r w:rsidRPr="001775D9">
        <w:rPr>
          <w:szCs w:val="22"/>
          <w:lang w:eastAsia="zh-TW"/>
        </w:rPr>
        <w:t>l</w:t>
      </w:r>
      <w:r w:rsidRPr="001775D9">
        <w:rPr>
          <w:szCs w:val="22"/>
          <w:lang w:eastAsia="en-GB"/>
        </w:rPr>
        <w:t xml:space="preserve">ow </w:t>
      </w:r>
      <w:r w:rsidRPr="001775D9">
        <w:rPr>
          <w:szCs w:val="22"/>
          <w:lang w:eastAsia="zh-TW"/>
        </w:rPr>
        <w:t>d</w:t>
      </w:r>
      <w:r w:rsidRPr="001775D9">
        <w:rPr>
          <w:szCs w:val="22"/>
          <w:lang w:eastAsia="en-GB"/>
        </w:rPr>
        <w:t xml:space="preserve">ose group. The mean trough concentrations were maintained in patients who continued to receive adalimumab treatment </w:t>
      </w:r>
      <w:r w:rsidRPr="001775D9">
        <w:rPr>
          <w:szCs w:val="22"/>
        </w:rPr>
        <w:t>every other week</w:t>
      </w:r>
      <w:r w:rsidRPr="001775D9">
        <w:rPr>
          <w:szCs w:val="22"/>
          <w:lang w:eastAsia="en-GB"/>
        </w:rPr>
        <w:t xml:space="preserve"> for 52 weeks. For patients who dose escalated from </w:t>
      </w:r>
      <w:r w:rsidRPr="001775D9">
        <w:rPr>
          <w:szCs w:val="22"/>
        </w:rPr>
        <w:t>every other week</w:t>
      </w:r>
      <w:r w:rsidRPr="001775D9">
        <w:rPr>
          <w:szCs w:val="22"/>
          <w:lang w:eastAsia="en-GB"/>
        </w:rPr>
        <w:t xml:space="preserve"> to weekly regimen, the mean (±SD) serum concentrations of adalimumab at </w:t>
      </w:r>
      <w:r w:rsidRPr="001775D9">
        <w:rPr>
          <w:color w:val="000000"/>
          <w:szCs w:val="22"/>
          <w:lang w:eastAsia="en-GB"/>
        </w:rPr>
        <w:t>week</w:t>
      </w:r>
      <w:r w:rsidRPr="001775D9">
        <w:rPr>
          <w:szCs w:val="22"/>
          <w:lang w:eastAsia="en-GB"/>
        </w:rPr>
        <w:t xml:space="preserve"> 52 were 15.3 ± 11.4</w:t>
      </w:r>
      <w:r w:rsidRPr="001775D9">
        <w:rPr>
          <w:szCs w:val="22"/>
        </w:rPr>
        <w:t> </w:t>
      </w:r>
      <w:r w:rsidR="002C5EC2" w:rsidRPr="001775D9">
        <w:rPr>
          <w:szCs w:val="22"/>
          <w:lang w:eastAsia="en-GB"/>
        </w:rPr>
        <w:t>µ</w:t>
      </w:r>
      <w:r w:rsidRPr="001775D9">
        <w:rPr>
          <w:szCs w:val="22"/>
          <w:lang w:eastAsia="en-GB"/>
        </w:rPr>
        <w:t>g/mL (40/20</w:t>
      </w:r>
      <w:r w:rsidRPr="001775D9">
        <w:rPr>
          <w:szCs w:val="22"/>
        </w:rPr>
        <w:t> </w:t>
      </w:r>
      <w:r w:rsidRPr="001775D9">
        <w:rPr>
          <w:szCs w:val="22"/>
          <w:lang w:eastAsia="en-GB"/>
        </w:rPr>
        <w:t>mg, weekly) and 6.7 ± 3.5</w:t>
      </w:r>
      <w:r w:rsidRPr="001775D9">
        <w:rPr>
          <w:szCs w:val="22"/>
        </w:rPr>
        <w:t> </w:t>
      </w:r>
      <w:r w:rsidR="002C5EC2" w:rsidRPr="001775D9">
        <w:rPr>
          <w:szCs w:val="22"/>
          <w:lang w:eastAsia="en-GB"/>
        </w:rPr>
        <w:t>µ</w:t>
      </w:r>
      <w:r w:rsidRPr="001775D9">
        <w:rPr>
          <w:szCs w:val="22"/>
          <w:lang w:eastAsia="en-GB"/>
        </w:rPr>
        <w:t>g/mL (20/10</w:t>
      </w:r>
      <w:r w:rsidRPr="001775D9">
        <w:rPr>
          <w:szCs w:val="22"/>
        </w:rPr>
        <w:t> </w:t>
      </w:r>
      <w:r w:rsidRPr="001775D9">
        <w:rPr>
          <w:szCs w:val="22"/>
          <w:lang w:eastAsia="en-GB"/>
        </w:rPr>
        <w:t xml:space="preserve">mg, weekly). </w:t>
      </w:r>
    </w:p>
    <w:p w14:paraId="75B61DB6"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69ED4CA" w14:textId="1EF2591F"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patients with ulcerative colitis, a loading dose of 160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on </w:t>
      </w:r>
      <w:r w:rsidRPr="001775D9">
        <w:rPr>
          <w:color w:val="000000"/>
          <w:szCs w:val="22"/>
          <w:lang w:eastAsia="en-GB"/>
        </w:rPr>
        <w:t>week</w:t>
      </w:r>
      <w:r w:rsidRPr="001775D9">
        <w:rPr>
          <w:szCs w:val="22"/>
          <w:lang w:eastAsia="en-GB"/>
        </w:rPr>
        <w:t xml:space="preserve"> 0 followed by 80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on </w:t>
      </w:r>
      <w:r w:rsidRPr="001775D9">
        <w:rPr>
          <w:color w:val="000000"/>
          <w:szCs w:val="22"/>
          <w:lang w:eastAsia="en-GB"/>
        </w:rPr>
        <w:t>week</w:t>
      </w:r>
      <w:r w:rsidRPr="001775D9">
        <w:rPr>
          <w:szCs w:val="22"/>
          <w:lang w:eastAsia="en-GB"/>
        </w:rPr>
        <w:t xml:space="preserve"> 2 achieves serum adalimumab trough concentrations of approximately 12</w:t>
      </w:r>
      <w:r w:rsidRPr="001775D9">
        <w:rPr>
          <w:szCs w:val="22"/>
        </w:rPr>
        <w:t> </w:t>
      </w:r>
      <w:r w:rsidR="002C5EC2" w:rsidRPr="001775D9">
        <w:rPr>
          <w:szCs w:val="22"/>
          <w:lang w:eastAsia="en-GB"/>
        </w:rPr>
        <w:t>µ</w:t>
      </w:r>
      <w:r w:rsidRPr="001775D9">
        <w:rPr>
          <w:szCs w:val="22"/>
          <w:lang w:eastAsia="en-GB"/>
        </w:rPr>
        <w:t>g/mL during the induction period. Mean steady-state trough levels of approximately 8</w:t>
      </w:r>
      <w:r w:rsidRPr="001775D9">
        <w:rPr>
          <w:szCs w:val="22"/>
        </w:rPr>
        <w:t> </w:t>
      </w:r>
      <w:r w:rsidR="002C5EC2" w:rsidRPr="001775D9">
        <w:rPr>
          <w:szCs w:val="22"/>
          <w:lang w:eastAsia="en-GB"/>
        </w:rPr>
        <w:t>µ</w:t>
      </w:r>
      <w:r w:rsidRPr="001775D9">
        <w:rPr>
          <w:szCs w:val="22"/>
          <w:lang w:eastAsia="en-GB"/>
        </w:rPr>
        <w:t>g/mL were observed in ulcerative colitis patients who received a maintenance dose of 40</w:t>
      </w:r>
      <w:r w:rsidRPr="001775D9">
        <w:rPr>
          <w:szCs w:val="22"/>
        </w:rPr>
        <w:t> </w:t>
      </w:r>
      <w:r w:rsidRPr="001775D9">
        <w:rPr>
          <w:szCs w:val="22"/>
          <w:lang w:eastAsia="en-GB"/>
        </w:rPr>
        <w:t xml:space="preserve">mg </w:t>
      </w:r>
      <w:r w:rsidRPr="001775D9">
        <w:rPr>
          <w:rFonts w:eastAsia="Times New Roman"/>
          <w:color w:val="000000"/>
          <w:szCs w:val="22"/>
        </w:rPr>
        <w:t>adalimumab</w:t>
      </w:r>
      <w:r w:rsidRPr="001775D9">
        <w:rPr>
          <w:szCs w:val="22"/>
          <w:lang w:eastAsia="en-GB"/>
        </w:rPr>
        <w:t xml:space="preserve"> every other week.</w:t>
      </w:r>
    </w:p>
    <w:p w14:paraId="7656250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12983728" w14:textId="007AFC68"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Following the subcutaneous administration of body weight-based dosing of 0.6</w:t>
      </w:r>
      <w:r w:rsidRPr="001775D9">
        <w:rPr>
          <w:szCs w:val="22"/>
        </w:rPr>
        <w:t> </w:t>
      </w:r>
      <w:r w:rsidRPr="001775D9">
        <w:rPr>
          <w:szCs w:val="22"/>
          <w:lang w:eastAsia="en-GB"/>
        </w:rPr>
        <w:t>mg/kg (maximum of</w:t>
      </w:r>
      <w:r w:rsidR="00705C50" w:rsidRPr="001775D9">
        <w:rPr>
          <w:szCs w:val="22"/>
          <w:lang w:eastAsia="en-GB"/>
        </w:rPr>
        <w:t xml:space="preserve"> </w:t>
      </w:r>
      <w:r w:rsidRPr="001775D9">
        <w:rPr>
          <w:szCs w:val="22"/>
          <w:lang w:eastAsia="en-GB"/>
        </w:rPr>
        <w:t>40</w:t>
      </w:r>
      <w:r w:rsidRPr="001775D9">
        <w:rPr>
          <w:szCs w:val="22"/>
        </w:rPr>
        <w:t> </w:t>
      </w:r>
      <w:r w:rsidRPr="001775D9">
        <w:rPr>
          <w:szCs w:val="22"/>
          <w:lang w:eastAsia="en-GB"/>
        </w:rPr>
        <w:t>mg) every other week to paediatric patients with ulcerative colitis, the mean trough steady-state serum adalimumab concentration was 5.01</w:t>
      </w:r>
      <w:r w:rsidRPr="001775D9">
        <w:rPr>
          <w:szCs w:val="22"/>
        </w:rPr>
        <w:t> </w:t>
      </w:r>
      <w:r w:rsidRPr="001775D9">
        <w:rPr>
          <w:szCs w:val="22"/>
          <w:lang w:eastAsia="en-GB"/>
        </w:rPr>
        <w:t>±</w:t>
      </w:r>
      <w:r w:rsidRPr="001775D9">
        <w:rPr>
          <w:szCs w:val="22"/>
        </w:rPr>
        <w:t> </w:t>
      </w:r>
      <w:r w:rsidRPr="001775D9">
        <w:rPr>
          <w:szCs w:val="22"/>
          <w:lang w:eastAsia="en-GB"/>
        </w:rPr>
        <w:t>3.28</w:t>
      </w:r>
      <w:r w:rsidRPr="001775D9">
        <w:rPr>
          <w:szCs w:val="22"/>
        </w:rPr>
        <w:t> </w:t>
      </w:r>
      <w:r w:rsidR="002C5EC2" w:rsidRPr="001775D9">
        <w:rPr>
          <w:szCs w:val="22"/>
          <w:lang w:eastAsia="en-GB"/>
        </w:rPr>
        <w:t>µ</w:t>
      </w:r>
      <w:r w:rsidRPr="001775D9">
        <w:rPr>
          <w:szCs w:val="22"/>
          <w:lang w:eastAsia="en-GB"/>
        </w:rPr>
        <w:t>g/m</w:t>
      </w:r>
      <w:r w:rsidR="005334E2" w:rsidRPr="001775D9">
        <w:rPr>
          <w:szCs w:val="22"/>
          <w:lang w:eastAsia="en-GB"/>
        </w:rPr>
        <w:t>L</w:t>
      </w:r>
      <w:r w:rsidRPr="001775D9">
        <w:rPr>
          <w:szCs w:val="22"/>
          <w:lang w:eastAsia="en-GB"/>
        </w:rPr>
        <w:t xml:space="preserve"> at week 52. For patients who received 0.6 mg/kg (maximum of 40</w:t>
      </w:r>
      <w:r w:rsidRPr="001775D9">
        <w:rPr>
          <w:szCs w:val="22"/>
        </w:rPr>
        <w:t> </w:t>
      </w:r>
      <w:r w:rsidRPr="001775D9">
        <w:rPr>
          <w:szCs w:val="22"/>
          <w:lang w:eastAsia="en-GB"/>
        </w:rPr>
        <w:t>mg) every week, the mean (±SD) trough steady-state serum adalimumab concentration was 15.7</w:t>
      </w:r>
      <w:r w:rsidRPr="001775D9">
        <w:rPr>
          <w:szCs w:val="22"/>
        </w:rPr>
        <w:t> </w:t>
      </w:r>
      <w:r w:rsidRPr="001775D9">
        <w:rPr>
          <w:szCs w:val="22"/>
          <w:lang w:eastAsia="en-GB"/>
        </w:rPr>
        <w:t>±</w:t>
      </w:r>
      <w:r w:rsidRPr="001775D9">
        <w:rPr>
          <w:szCs w:val="22"/>
        </w:rPr>
        <w:t> </w:t>
      </w:r>
      <w:r w:rsidRPr="001775D9">
        <w:rPr>
          <w:szCs w:val="22"/>
          <w:lang w:eastAsia="en-GB"/>
        </w:rPr>
        <w:t>5.60</w:t>
      </w:r>
      <w:r w:rsidRPr="001775D9">
        <w:rPr>
          <w:szCs w:val="22"/>
        </w:rPr>
        <w:t> </w:t>
      </w:r>
      <w:r w:rsidR="002C5EC2" w:rsidRPr="001775D9">
        <w:rPr>
          <w:szCs w:val="22"/>
          <w:lang w:eastAsia="en-GB"/>
        </w:rPr>
        <w:t>µ</w:t>
      </w:r>
      <w:r w:rsidRPr="001775D9">
        <w:rPr>
          <w:szCs w:val="22"/>
          <w:lang w:eastAsia="en-GB"/>
        </w:rPr>
        <w:t>g/m</w:t>
      </w:r>
      <w:r w:rsidR="005334E2" w:rsidRPr="001775D9">
        <w:rPr>
          <w:szCs w:val="22"/>
          <w:lang w:eastAsia="en-GB"/>
        </w:rPr>
        <w:t>L</w:t>
      </w:r>
      <w:r w:rsidRPr="001775D9">
        <w:rPr>
          <w:szCs w:val="22"/>
          <w:lang w:eastAsia="en-GB"/>
        </w:rPr>
        <w:t xml:space="preserve"> at week 52.</w:t>
      </w:r>
    </w:p>
    <w:p w14:paraId="7488B85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C1403DF" w14:textId="0931C18E"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In adult patients with uveitis, a loading dose of 80 mg adalimumab on week 0 followed by 40 mg adalimumab every other week starting at week 1, resulted in mean steady-state concentrations of approximately 8 to 10 </w:t>
      </w:r>
      <w:r w:rsidR="002C5EC2" w:rsidRPr="001775D9">
        <w:rPr>
          <w:szCs w:val="22"/>
          <w:lang w:eastAsia="en-GB"/>
        </w:rPr>
        <w:t>µ</w:t>
      </w:r>
      <w:r w:rsidRPr="001775D9">
        <w:rPr>
          <w:szCs w:val="22"/>
          <w:lang w:eastAsia="en-GB"/>
        </w:rPr>
        <w:t>g/mL.</w:t>
      </w:r>
    </w:p>
    <w:p w14:paraId="66E5530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6AE5B22"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Adalimumab exposure in paediatric uveitis patients was predicted using population pharmacokinetic modelling and simulation based on cross-indication pharmacokinetics in other paediatric patients (paediatric psoriasis, juvenile idiopathic arthritis, paediatric Crohn’s disease, and enthesitis-related arthritis). No clinical exposure data are available on the use of a loading dose in children &lt; 6 years. The predicted exposures indicate that in the absence of methotrexate, a loading dose may lead to an initial increase in systemic exposure.</w:t>
      </w:r>
    </w:p>
    <w:p w14:paraId="69EACDF0"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FEB5EEE"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Population pharmacokinetic and pharmacokinetic/pharmacodynamic modelling and simulation predicted comparable adalimumab exposure and efficacy in patients treated with 80 mg every other week when compared with 40 mg every week (including adult patients with RA, HS, UC, CD or Ps, patients with adolescent HS, and paediatric patients ≥ 40 kg with CD and UC).</w:t>
      </w:r>
    </w:p>
    <w:p w14:paraId="33A5BC22"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82F3EF0"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Exposure-response relationship in paediatric population</w:t>
      </w:r>
    </w:p>
    <w:p w14:paraId="478E6E2E"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3E25B141" w14:textId="780AC3D0"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On the basis of clinical trial data in patients with JIA (pJIA and ERA), an exposure-response relationship was established between plasma concentrations and PedACR 50 response. The apparent adalimumab plasma concentration that produces half the maximum probability of PedACR 50 response (EC50) was 3 </w:t>
      </w:r>
      <w:r w:rsidR="002C5EC2" w:rsidRPr="001775D9">
        <w:rPr>
          <w:szCs w:val="22"/>
          <w:lang w:eastAsia="en-GB"/>
        </w:rPr>
        <w:t>µ</w:t>
      </w:r>
      <w:r w:rsidRPr="001775D9">
        <w:rPr>
          <w:szCs w:val="22"/>
          <w:lang w:eastAsia="en-GB"/>
        </w:rPr>
        <w:t>g/m</w:t>
      </w:r>
      <w:r w:rsidR="005334E2" w:rsidRPr="001775D9">
        <w:rPr>
          <w:szCs w:val="22"/>
          <w:lang w:eastAsia="en-GB"/>
        </w:rPr>
        <w:t>L</w:t>
      </w:r>
      <w:r w:rsidRPr="001775D9">
        <w:rPr>
          <w:szCs w:val="22"/>
          <w:lang w:eastAsia="en-GB"/>
        </w:rPr>
        <w:t xml:space="preserve"> (95% CI: 1-6</w:t>
      </w:r>
      <w:r w:rsidRPr="001775D9">
        <w:rPr>
          <w:szCs w:val="22"/>
        </w:rPr>
        <w:t> </w:t>
      </w:r>
      <w:r w:rsidR="002C5EC2" w:rsidRPr="001775D9">
        <w:rPr>
          <w:szCs w:val="22"/>
          <w:lang w:eastAsia="en-GB"/>
        </w:rPr>
        <w:t>µ</w:t>
      </w:r>
      <w:r w:rsidRPr="001775D9">
        <w:rPr>
          <w:szCs w:val="22"/>
          <w:lang w:eastAsia="en-GB"/>
        </w:rPr>
        <w:t>g/m</w:t>
      </w:r>
      <w:r w:rsidR="005334E2" w:rsidRPr="001775D9">
        <w:rPr>
          <w:szCs w:val="22"/>
          <w:lang w:eastAsia="en-GB"/>
        </w:rPr>
        <w:t>L</w:t>
      </w:r>
      <w:r w:rsidRPr="001775D9">
        <w:rPr>
          <w:szCs w:val="22"/>
          <w:lang w:eastAsia="en-GB"/>
        </w:rPr>
        <w:t>).</w:t>
      </w:r>
    </w:p>
    <w:p w14:paraId="470DDC96"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9D43563" w14:textId="500700F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Exposure-response relationships between adalimumab concentration and efficacy in paediatric patients with severe chronic plaque psoriasis were established for PASI 75 and PGA clear or minimal, respectively. PASI 75 and PGA clear or minimal increased with increasing adalimumab concentrations, both with a similar apparent EC50 of approximately 4.5 </w:t>
      </w:r>
      <w:r w:rsidR="002C5EC2" w:rsidRPr="001775D9">
        <w:rPr>
          <w:szCs w:val="22"/>
          <w:lang w:eastAsia="en-GB"/>
        </w:rPr>
        <w:t>µ</w:t>
      </w:r>
      <w:r w:rsidRPr="001775D9">
        <w:rPr>
          <w:szCs w:val="22"/>
          <w:lang w:eastAsia="en-GB"/>
        </w:rPr>
        <w:t>g/mL (95% CI 0.4-47.6 and 1.9-10.5, respectively).</w:t>
      </w:r>
    </w:p>
    <w:p w14:paraId="5D11216E"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753C6C93" w14:textId="77777777" w:rsidR="001778AA" w:rsidRPr="001775D9" w:rsidRDefault="001778AA" w:rsidP="001778AA">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Elimination </w:t>
      </w:r>
    </w:p>
    <w:p w14:paraId="2A1E27A8"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61E4335E" w14:textId="37BCEE0E"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Population pharmacokinetic analyses with data from over 1</w:t>
      </w:r>
      <w:r w:rsidR="00384ED0" w:rsidRPr="001775D9">
        <w:rPr>
          <w:szCs w:val="22"/>
          <w:lang w:eastAsia="en-GB"/>
        </w:rPr>
        <w:t> </w:t>
      </w:r>
      <w:r w:rsidRPr="001775D9">
        <w:rPr>
          <w:szCs w:val="22"/>
          <w:lang w:eastAsia="en-GB"/>
        </w:rPr>
        <w:t xml:space="preserve">300 RA patients revealed a trend toward higher apparent clearance of adalimumab with increasing body weight. After adjustment for weight differences, gender and age appeared to have a minimal effect on adalimumab clearance. The serum levels of free adalimumab (not bound to anti-adalimumab antibodies, AAA) were observed to be lower in patients with measurable AAA. </w:t>
      </w:r>
    </w:p>
    <w:p w14:paraId="0A93871A"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p>
    <w:p w14:paraId="58B29DC7" w14:textId="77777777" w:rsidR="001778AA" w:rsidRPr="001775D9" w:rsidRDefault="001778AA" w:rsidP="001778AA">
      <w:pPr>
        <w:tabs>
          <w:tab w:val="clear" w:pos="567"/>
        </w:tabs>
        <w:autoSpaceDE w:val="0"/>
        <w:autoSpaceDN w:val="0"/>
        <w:adjustRightInd w:val="0"/>
        <w:spacing w:line="240" w:lineRule="auto"/>
        <w:rPr>
          <w:szCs w:val="22"/>
          <w:u w:val="single"/>
          <w:lang w:eastAsia="en-GB"/>
        </w:rPr>
      </w:pPr>
      <w:r w:rsidRPr="001775D9">
        <w:rPr>
          <w:szCs w:val="22"/>
          <w:u w:val="single"/>
          <w:lang w:eastAsia="en-GB"/>
        </w:rPr>
        <w:t xml:space="preserve">Hepatic or renal impairment </w:t>
      </w:r>
    </w:p>
    <w:p w14:paraId="575BB103"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73A29222"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 xml:space="preserve">Adalimumab has not been studied in patients with hepatic or renal impairment. </w:t>
      </w:r>
    </w:p>
    <w:p w14:paraId="3ECD1E95"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5E1B1A43" w14:textId="66055F42" w:rsidR="001778AA" w:rsidRPr="001775D9" w:rsidRDefault="001778AA" w:rsidP="00B61D9D">
      <w:pPr>
        <w:keepNext/>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5.3</w:t>
      </w:r>
      <w:r w:rsidRPr="001775D9">
        <w:rPr>
          <w:b/>
          <w:bCs/>
          <w:szCs w:val="22"/>
          <w:lang w:eastAsia="en-GB"/>
        </w:rPr>
        <w:tab/>
        <w:t xml:space="preserve">Preclinical safety data </w:t>
      </w:r>
    </w:p>
    <w:p w14:paraId="50CB57E7" w14:textId="77777777" w:rsidR="001778AA" w:rsidRPr="001775D9" w:rsidRDefault="001778AA" w:rsidP="001778AA">
      <w:pPr>
        <w:keepNext/>
        <w:suppressLineNumbers/>
        <w:spacing w:line="240" w:lineRule="auto"/>
        <w:rPr>
          <w:b/>
          <w:i/>
          <w:caps/>
          <w:szCs w:val="22"/>
        </w:rPr>
      </w:pPr>
    </w:p>
    <w:p w14:paraId="23F81169"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 xml:space="preserve">Non-clinical data reveal no special hazard for humans based on studies of single dose toxicity, repeated dose toxicity, and genotoxicity. </w:t>
      </w:r>
    </w:p>
    <w:p w14:paraId="7EC0B079"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413F0F2A"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An embryo-foetal developmental toxicity/perinatal developmental study has been performed in Cynomolgus monkeys at 0, 30 and 100</w:t>
      </w:r>
      <w:r w:rsidRPr="001775D9">
        <w:rPr>
          <w:szCs w:val="22"/>
        </w:rPr>
        <w:t> </w:t>
      </w:r>
      <w:r w:rsidRPr="001775D9">
        <w:rPr>
          <w:szCs w:val="22"/>
          <w:lang w:eastAsia="en-GB"/>
        </w:rPr>
        <w:t>mg/kg (9-17</w:t>
      </w:r>
      <w:r w:rsidRPr="001775D9">
        <w:rPr>
          <w:szCs w:val="22"/>
        </w:rPr>
        <w:t> </w:t>
      </w:r>
      <w:r w:rsidRPr="001775D9">
        <w:rPr>
          <w:szCs w:val="22"/>
          <w:lang w:eastAsia="en-GB"/>
        </w:rPr>
        <w:t xml:space="preserve">monkeys/group) and has revealed no evidence of harm to the foetuses due to adalimumab. Neither carcinogenicity studies, nor a standard assessment of fertility and postnatal toxicity, were performed with adalimumab due to the lack of appropriate models for an antibody with limited cross-reactivity to rodent TNF and to the development of neutralising antibodies in rodents. </w:t>
      </w:r>
    </w:p>
    <w:p w14:paraId="2B3585D1" w14:textId="77777777" w:rsidR="001778AA" w:rsidRPr="001775D9" w:rsidRDefault="001778AA" w:rsidP="001778AA">
      <w:pPr>
        <w:tabs>
          <w:tab w:val="clear" w:pos="567"/>
        </w:tabs>
        <w:autoSpaceDE w:val="0"/>
        <w:autoSpaceDN w:val="0"/>
        <w:adjustRightInd w:val="0"/>
        <w:spacing w:line="240" w:lineRule="auto"/>
        <w:rPr>
          <w:b/>
          <w:bCs/>
          <w:szCs w:val="22"/>
          <w:lang w:eastAsia="zh-TW"/>
        </w:rPr>
      </w:pPr>
    </w:p>
    <w:p w14:paraId="3F5B684F" w14:textId="77777777" w:rsidR="001778AA" w:rsidRPr="001775D9" w:rsidRDefault="001778AA" w:rsidP="001778AA">
      <w:pPr>
        <w:tabs>
          <w:tab w:val="clear" w:pos="567"/>
        </w:tabs>
        <w:autoSpaceDE w:val="0"/>
        <w:autoSpaceDN w:val="0"/>
        <w:adjustRightInd w:val="0"/>
        <w:spacing w:line="240" w:lineRule="auto"/>
        <w:rPr>
          <w:b/>
          <w:bCs/>
          <w:szCs w:val="22"/>
          <w:lang w:eastAsia="zh-TW"/>
        </w:rPr>
      </w:pPr>
    </w:p>
    <w:p w14:paraId="30BD802F" w14:textId="77244E73" w:rsidR="001778AA" w:rsidRPr="001775D9" w:rsidRDefault="001778AA" w:rsidP="00B61D9D">
      <w:pPr>
        <w:keepNext/>
        <w:tabs>
          <w:tab w:val="clear" w:pos="567"/>
        </w:tabs>
        <w:autoSpaceDE w:val="0"/>
        <w:autoSpaceDN w:val="0"/>
        <w:adjustRightInd w:val="0"/>
        <w:spacing w:line="240" w:lineRule="auto"/>
        <w:ind w:left="567" w:hanging="567"/>
        <w:rPr>
          <w:szCs w:val="22"/>
          <w:lang w:eastAsia="en-GB"/>
        </w:rPr>
      </w:pPr>
      <w:r w:rsidRPr="001775D9">
        <w:rPr>
          <w:b/>
          <w:bCs/>
          <w:szCs w:val="22"/>
          <w:lang w:eastAsia="en-GB"/>
        </w:rPr>
        <w:t>6.</w:t>
      </w:r>
      <w:r w:rsidRPr="001775D9">
        <w:rPr>
          <w:b/>
          <w:bCs/>
          <w:szCs w:val="22"/>
          <w:lang w:eastAsia="en-GB"/>
        </w:rPr>
        <w:tab/>
        <w:t xml:space="preserve">PHARMACEUTICAL PARTICULARS </w:t>
      </w:r>
    </w:p>
    <w:p w14:paraId="70EB4A9C" w14:textId="77777777" w:rsidR="001778AA" w:rsidRPr="001775D9" w:rsidRDefault="001778AA" w:rsidP="001778AA">
      <w:pPr>
        <w:keepNext/>
        <w:tabs>
          <w:tab w:val="clear" w:pos="567"/>
        </w:tabs>
        <w:autoSpaceDE w:val="0"/>
        <w:autoSpaceDN w:val="0"/>
        <w:adjustRightInd w:val="0"/>
        <w:spacing w:line="240" w:lineRule="auto"/>
        <w:rPr>
          <w:b/>
          <w:bCs/>
          <w:szCs w:val="22"/>
          <w:lang w:eastAsia="en-GB"/>
        </w:rPr>
      </w:pPr>
    </w:p>
    <w:p w14:paraId="0D9A4414" w14:textId="46E28C0F" w:rsidR="001778AA" w:rsidRPr="001775D9" w:rsidRDefault="001778AA" w:rsidP="00B61D9D">
      <w:pPr>
        <w:keepNext/>
        <w:tabs>
          <w:tab w:val="clear" w:pos="567"/>
        </w:tabs>
        <w:autoSpaceDE w:val="0"/>
        <w:autoSpaceDN w:val="0"/>
        <w:adjustRightInd w:val="0"/>
        <w:spacing w:line="240" w:lineRule="auto"/>
        <w:ind w:left="567" w:hanging="567"/>
        <w:rPr>
          <w:szCs w:val="22"/>
          <w:lang w:eastAsia="en-GB"/>
        </w:rPr>
      </w:pPr>
      <w:r w:rsidRPr="001775D9">
        <w:rPr>
          <w:b/>
          <w:bCs/>
          <w:szCs w:val="22"/>
          <w:lang w:eastAsia="en-GB"/>
        </w:rPr>
        <w:t>6.1</w:t>
      </w:r>
      <w:r w:rsidRPr="001775D9">
        <w:rPr>
          <w:b/>
          <w:bCs/>
          <w:szCs w:val="22"/>
          <w:lang w:eastAsia="en-GB"/>
        </w:rPr>
        <w:tab/>
        <w:t xml:space="preserve">List of excipients </w:t>
      </w:r>
    </w:p>
    <w:p w14:paraId="72325B0D"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10DBECE0"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L-lactic acid</w:t>
      </w:r>
    </w:p>
    <w:p w14:paraId="601AF742"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 xml:space="preserve">Sucrose </w:t>
      </w:r>
    </w:p>
    <w:p w14:paraId="058C8D6D"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Polysorbate 80</w:t>
      </w:r>
    </w:p>
    <w:p w14:paraId="7C1A3808"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Sodium hydroxide (for pH adjustment)</w:t>
      </w:r>
    </w:p>
    <w:p w14:paraId="14E475E8" w14:textId="77777777" w:rsidR="001778AA" w:rsidRPr="001775D9" w:rsidRDefault="001778AA" w:rsidP="001778AA">
      <w:pPr>
        <w:keepNext/>
        <w:tabs>
          <w:tab w:val="clear" w:pos="567"/>
        </w:tabs>
        <w:autoSpaceDE w:val="0"/>
        <w:autoSpaceDN w:val="0"/>
        <w:adjustRightInd w:val="0"/>
        <w:spacing w:line="240" w:lineRule="auto"/>
        <w:rPr>
          <w:szCs w:val="22"/>
          <w:lang w:eastAsia="en-GB"/>
        </w:rPr>
      </w:pPr>
      <w:r w:rsidRPr="001775D9">
        <w:rPr>
          <w:szCs w:val="22"/>
          <w:lang w:eastAsia="en-GB"/>
        </w:rPr>
        <w:t>Water for injections</w:t>
      </w:r>
    </w:p>
    <w:p w14:paraId="1B8C0772"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660662CC" w14:textId="7C240612" w:rsidR="001778AA" w:rsidRPr="001775D9" w:rsidRDefault="001778AA" w:rsidP="00B61D9D">
      <w:pPr>
        <w:tabs>
          <w:tab w:val="clear" w:pos="567"/>
        </w:tabs>
        <w:autoSpaceDE w:val="0"/>
        <w:autoSpaceDN w:val="0"/>
        <w:adjustRightInd w:val="0"/>
        <w:spacing w:line="240" w:lineRule="auto"/>
        <w:ind w:left="567" w:hanging="567"/>
        <w:rPr>
          <w:szCs w:val="22"/>
          <w:lang w:eastAsia="en-GB"/>
        </w:rPr>
      </w:pPr>
      <w:r w:rsidRPr="001775D9">
        <w:rPr>
          <w:b/>
          <w:bCs/>
          <w:szCs w:val="22"/>
          <w:lang w:eastAsia="en-GB"/>
        </w:rPr>
        <w:t>6.2</w:t>
      </w:r>
      <w:r w:rsidRPr="001775D9">
        <w:rPr>
          <w:b/>
          <w:bCs/>
          <w:szCs w:val="22"/>
          <w:lang w:eastAsia="en-GB"/>
        </w:rPr>
        <w:tab/>
        <w:t xml:space="preserve">Incompatibilities </w:t>
      </w:r>
    </w:p>
    <w:p w14:paraId="1E0929C4"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60940F21"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szCs w:val="22"/>
          <w:lang w:eastAsia="en-GB"/>
        </w:rPr>
        <w:t>In the absence of compatibility</w:t>
      </w:r>
      <w:r w:rsidRPr="001775D9">
        <w:rPr>
          <w:color w:val="000000"/>
          <w:szCs w:val="22"/>
          <w:lang w:eastAsia="en-GB"/>
        </w:rPr>
        <w:t xml:space="preserve"> studies, this medicinal product must not be mixed with other medicinal products. </w:t>
      </w:r>
    </w:p>
    <w:p w14:paraId="2B155768"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6CC6F244" w14:textId="0D09CC97" w:rsidR="001778AA" w:rsidRPr="001775D9" w:rsidRDefault="001778AA"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6.3</w:t>
      </w:r>
      <w:r w:rsidRPr="001775D9">
        <w:rPr>
          <w:b/>
          <w:bCs/>
          <w:color w:val="000000"/>
          <w:szCs w:val="22"/>
          <w:lang w:eastAsia="en-GB"/>
        </w:rPr>
        <w:tab/>
        <w:t xml:space="preserve">Shelf life </w:t>
      </w:r>
    </w:p>
    <w:p w14:paraId="27491177"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392FD853" w14:textId="614CC334" w:rsidR="001778AA" w:rsidRPr="001775D9" w:rsidRDefault="00BD5261"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3</w:t>
      </w:r>
      <w:r w:rsidR="00183690" w:rsidRPr="001775D9">
        <w:rPr>
          <w:color w:val="000000"/>
          <w:szCs w:val="22"/>
          <w:lang w:eastAsia="en-GB"/>
        </w:rPr>
        <w:t> </w:t>
      </w:r>
      <w:r w:rsidR="001778AA" w:rsidRPr="001775D9">
        <w:rPr>
          <w:color w:val="000000"/>
          <w:szCs w:val="22"/>
          <w:lang w:eastAsia="en-GB"/>
        </w:rPr>
        <w:t>years</w:t>
      </w:r>
    </w:p>
    <w:p w14:paraId="7B8AB6AD"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138EF27A" w14:textId="58E99C8C" w:rsidR="001778AA" w:rsidRPr="001775D9" w:rsidRDefault="001778AA"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6.4</w:t>
      </w:r>
      <w:r w:rsidRPr="001775D9">
        <w:rPr>
          <w:b/>
          <w:bCs/>
          <w:color w:val="000000"/>
          <w:szCs w:val="22"/>
          <w:lang w:eastAsia="en-GB"/>
        </w:rPr>
        <w:tab/>
        <w:t xml:space="preserve">Special precautions for storage </w:t>
      </w:r>
    </w:p>
    <w:p w14:paraId="6DF8EDE3"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01CB06D1" w14:textId="77777777" w:rsidR="001778AA" w:rsidRPr="001775D9" w:rsidRDefault="001778AA" w:rsidP="001778AA">
      <w:pPr>
        <w:keepNext/>
        <w:suppressLineNumbers/>
        <w:spacing w:line="240" w:lineRule="auto"/>
        <w:rPr>
          <w:szCs w:val="22"/>
          <w:lang w:eastAsia="en-GB"/>
        </w:rPr>
      </w:pPr>
      <w:r w:rsidRPr="001775D9">
        <w:rPr>
          <w:szCs w:val="22"/>
          <w:lang w:eastAsia="en-GB"/>
        </w:rPr>
        <w:t xml:space="preserve">Store in a refrigerator (2°C – 8°C). </w:t>
      </w:r>
    </w:p>
    <w:p w14:paraId="64D14263" w14:textId="77777777" w:rsidR="001778AA" w:rsidRPr="001775D9" w:rsidRDefault="001778AA" w:rsidP="001778AA">
      <w:pPr>
        <w:keepNext/>
        <w:suppressLineNumbers/>
        <w:spacing w:line="240" w:lineRule="auto"/>
        <w:rPr>
          <w:szCs w:val="22"/>
          <w:lang w:eastAsia="en-GB"/>
        </w:rPr>
      </w:pPr>
      <w:r w:rsidRPr="001775D9">
        <w:rPr>
          <w:szCs w:val="22"/>
          <w:lang w:eastAsia="en-GB"/>
        </w:rPr>
        <w:t xml:space="preserve">Do not freeze. </w:t>
      </w:r>
    </w:p>
    <w:p w14:paraId="4AECAE3A" w14:textId="77777777" w:rsidR="001778AA" w:rsidRPr="001775D9" w:rsidRDefault="001778AA" w:rsidP="001778AA">
      <w:pPr>
        <w:keepNext/>
        <w:suppressLineNumbers/>
        <w:spacing w:line="240" w:lineRule="auto"/>
        <w:rPr>
          <w:szCs w:val="22"/>
        </w:rPr>
      </w:pPr>
      <w:r w:rsidRPr="001775D9">
        <w:rPr>
          <w:szCs w:val="22"/>
        </w:rPr>
        <w:t>Keep the pre-filled syringe or pre-filled pen</w:t>
      </w:r>
      <w:r w:rsidRPr="001775D9" w:rsidDel="005B7D32">
        <w:rPr>
          <w:szCs w:val="22"/>
        </w:rPr>
        <w:t xml:space="preserve"> </w:t>
      </w:r>
      <w:r w:rsidRPr="001775D9">
        <w:rPr>
          <w:szCs w:val="22"/>
        </w:rPr>
        <w:t>in the outer carton in order to protect from light.</w:t>
      </w:r>
    </w:p>
    <w:p w14:paraId="74E4C4E1" w14:textId="77777777" w:rsidR="001778AA" w:rsidRPr="001775D9" w:rsidRDefault="001778AA" w:rsidP="001778AA">
      <w:pPr>
        <w:tabs>
          <w:tab w:val="clear" w:pos="567"/>
        </w:tabs>
        <w:autoSpaceDE w:val="0"/>
        <w:autoSpaceDN w:val="0"/>
        <w:adjustRightInd w:val="0"/>
        <w:spacing w:line="240" w:lineRule="auto"/>
        <w:rPr>
          <w:szCs w:val="22"/>
          <w:lang w:eastAsia="en-GB"/>
        </w:rPr>
      </w:pPr>
    </w:p>
    <w:p w14:paraId="0761D577" w14:textId="77777777" w:rsidR="001778AA" w:rsidRPr="001775D9" w:rsidRDefault="001778AA" w:rsidP="001778AA">
      <w:pPr>
        <w:tabs>
          <w:tab w:val="clear" w:pos="567"/>
        </w:tabs>
        <w:autoSpaceDE w:val="0"/>
        <w:autoSpaceDN w:val="0"/>
        <w:adjustRightInd w:val="0"/>
        <w:spacing w:line="240" w:lineRule="auto"/>
        <w:rPr>
          <w:szCs w:val="22"/>
          <w:lang w:eastAsia="en-GB"/>
        </w:rPr>
      </w:pPr>
      <w:r w:rsidRPr="001775D9">
        <w:rPr>
          <w:szCs w:val="22"/>
          <w:lang w:eastAsia="en-GB"/>
        </w:rPr>
        <w:t>The pre-filled syringe or pre-filled pen may be stored at temperatures up to a maximum of 25°C for a period of up to 14 days. The pre-filled syringe or pre-filled pen must be protected from light, and discarded if not used within the 14-day period.</w:t>
      </w:r>
    </w:p>
    <w:p w14:paraId="4F46F518"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703582C4" w14:textId="15278DF7" w:rsidR="001778AA" w:rsidRPr="001775D9" w:rsidRDefault="001778AA" w:rsidP="00B61D9D">
      <w:pPr>
        <w:keepNext/>
        <w:tabs>
          <w:tab w:val="clear" w:pos="567"/>
        </w:tabs>
        <w:autoSpaceDE w:val="0"/>
        <w:autoSpaceDN w:val="0"/>
        <w:adjustRightInd w:val="0"/>
        <w:spacing w:line="240" w:lineRule="auto"/>
        <w:ind w:left="567" w:hanging="567"/>
        <w:rPr>
          <w:b/>
          <w:bCs/>
          <w:szCs w:val="22"/>
          <w:lang w:eastAsia="en-GB"/>
        </w:rPr>
      </w:pPr>
      <w:r w:rsidRPr="001775D9">
        <w:rPr>
          <w:b/>
          <w:bCs/>
          <w:szCs w:val="22"/>
          <w:lang w:eastAsia="en-GB"/>
        </w:rPr>
        <w:t>6.5</w:t>
      </w:r>
      <w:r w:rsidRPr="001775D9">
        <w:rPr>
          <w:b/>
          <w:bCs/>
          <w:szCs w:val="22"/>
          <w:lang w:eastAsia="en-GB"/>
        </w:rPr>
        <w:tab/>
        <w:t xml:space="preserve">Nature and contents of container </w:t>
      </w:r>
    </w:p>
    <w:p w14:paraId="4FE68C5E" w14:textId="77777777" w:rsidR="001778AA" w:rsidRPr="001775D9" w:rsidRDefault="001778AA" w:rsidP="001778AA">
      <w:pPr>
        <w:keepNext/>
        <w:tabs>
          <w:tab w:val="clear" w:pos="567"/>
        </w:tabs>
        <w:autoSpaceDE w:val="0"/>
        <w:autoSpaceDN w:val="0"/>
        <w:adjustRightInd w:val="0"/>
        <w:spacing w:line="240" w:lineRule="auto"/>
        <w:rPr>
          <w:bCs/>
          <w:szCs w:val="22"/>
          <w:lang w:eastAsia="en-GB"/>
        </w:rPr>
      </w:pPr>
    </w:p>
    <w:p w14:paraId="5AA3D308" w14:textId="77777777" w:rsidR="001778AA" w:rsidRPr="00D55B59" w:rsidRDefault="001778AA" w:rsidP="001778AA">
      <w:pPr>
        <w:pStyle w:val="Default"/>
        <w:rPr>
          <w:sz w:val="22"/>
          <w:szCs w:val="22"/>
          <w:u w:val="single"/>
          <w:lang w:val="en-GB" w:eastAsia="en-GB"/>
          <w:rPrChange w:id="1946" w:author="Author">
            <w:rPr>
              <w:sz w:val="22"/>
              <w:szCs w:val="22"/>
              <w:u w:val="single"/>
              <w:lang w:eastAsia="en-GB"/>
            </w:rPr>
          </w:rPrChange>
        </w:rPr>
      </w:pPr>
      <w:r w:rsidRPr="00D55B59">
        <w:rPr>
          <w:sz w:val="22"/>
          <w:szCs w:val="22"/>
          <w:u w:val="single"/>
          <w:lang w:val="en-GB" w:eastAsia="en-GB"/>
          <w:rPrChange w:id="1947" w:author="Author">
            <w:rPr>
              <w:sz w:val="22"/>
              <w:szCs w:val="22"/>
              <w:u w:val="single"/>
              <w:lang w:eastAsia="en-GB"/>
            </w:rPr>
          </w:rPrChange>
        </w:rPr>
        <w:t>AMGEVITA 20 mg solution for injection in pre-filled syringe</w:t>
      </w:r>
    </w:p>
    <w:p w14:paraId="59E3AE6D" w14:textId="77777777" w:rsidR="001778AA" w:rsidRPr="00D55B59" w:rsidRDefault="001778AA" w:rsidP="001778AA">
      <w:pPr>
        <w:pStyle w:val="Default"/>
        <w:rPr>
          <w:sz w:val="22"/>
          <w:szCs w:val="22"/>
          <w:u w:val="single"/>
          <w:lang w:val="en-GB" w:eastAsia="en-GB"/>
          <w:rPrChange w:id="1948" w:author="Author">
            <w:rPr>
              <w:sz w:val="22"/>
              <w:szCs w:val="22"/>
              <w:u w:val="single"/>
              <w:lang w:eastAsia="en-GB"/>
            </w:rPr>
          </w:rPrChange>
        </w:rPr>
      </w:pPr>
    </w:p>
    <w:p w14:paraId="0EA7613E" w14:textId="369E7863" w:rsidR="001778AA" w:rsidRPr="001775D9" w:rsidRDefault="001778AA" w:rsidP="001778AA">
      <w:pPr>
        <w:spacing w:line="240" w:lineRule="auto"/>
      </w:pPr>
      <w:r w:rsidRPr="001775D9">
        <w:t xml:space="preserve">0.2 mL solution in pre-filled syringe (type I glass) with a plunger stopper (bromobutyl rubber) and a </w:t>
      </w:r>
      <w:r w:rsidR="007C1751" w:rsidRPr="001775D9">
        <w:t>stainless-steel</w:t>
      </w:r>
      <w:r w:rsidRPr="001775D9">
        <w:t xml:space="preserve"> needle with a needle shield (thermoplastic elastomer). </w:t>
      </w:r>
    </w:p>
    <w:p w14:paraId="464A529A" w14:textId="77777777" w:rsidR="001778AA" w:rsidRPr="00D55B59" w:rsidRDefault="001778AA" w:rsidP="001778AA">
      <w:pPr>
        <w:pStyle w:val="Default"/>
        <w:rPr>
          <w:color w:val="auto"/>
          <w:sz w:val="22"/>
          <w:szCs w:val="22"/>
          <w:lang w:val="en-GB"/>
          <w:rPrChange w:id="1949" w:author="Author">
            <w:rPr>
              <w:color w:val="auto"/>
              <w:sz w:val="22"/>
              <w:szCs w:val="22"/>
            </w:rPr>
          </w:rPrChange>
        </w:rPr>
      </w:pPr>
    </w:p>
    <w:p w14:paraId="2C4FB7F0" w14:textId="2FB9BCAE" w:rsidR="001778AA" w:rsidRPr="00D55B59" w:rsidRDefault="001778AA" w:rsidP="001778AA">
      <w:pPr>
        <w:pStyle w:val="Default"/>
        <w:rPr>
          <w:color w:val="auto"/>
          <w:sz w:val="22"/>
          <w:szCs w:val="22"/>
          <w:lang w:val="en-GB"/>
          <w:rPrChange w:id="1950" w:author="Author">
            <w:rPr>
              <w:color w:val="auto"/>
              <w:sz w:val="22"/>
              <w:szCs w:val="22"/>
            </w:rPr>
          </w:rPrChange>
        </w:rPr>
      </w:pPr>
      <w:r w:rsidRPr="00D55B59">
        <w:rPr>
          <w:color w:val="auto"/>
          <w:sz w:val="22"/>
          <w:szCs w:val="22"/>
          <w:lang w:val="en-GB"/>
          <w:rPrChange w:id="1951" w:author="Author">
            <w:rPr>
              <w:color w:val="auto"/>
              <w:sz w:val="22"/>
              <w:szCs w:val="22"/>
            </w:rPr>
          </w:rPrChange>
        </w:rPr>
        <w:t xml:space="preserve">Pack size of </w:t>
      </w:r>
      <w:r w:rsidR="00EC771E" w:rsidRPr="00D55B59">
        <w:rPr>
          <w:color w:val="auto"/>
          <w:sz w:val="22"/>
          <w:szCs w:val="22"/>
          <w:lang w:val="en-GB"/>
          <w:rPrChange w:id="1952" w:author="Author">
            <w:rPr>
              <w:color w:val="auto"/>
              <w:sz w:val="22"/>
              <w:szCs w:val="22"/>
            </w:rPr>
          </w:rPrChange>
        </w:rPr>
        <w:t>1</w:t>
      </w:r>
      <w:r w:rsidRPr="00D55B59">
        <w:rPr>
          <w:color w:val="auto"/>
          <w:sz w:val="22"/>
          <w:szCs w:val="22"/>
          <w:lang w:val="en-GB"/>
          <w:rPrChange w:id="1953" w:author="Author">
            <w:rPr>
              <w:color w:val="auto"/>
              <w:sz w:val="22"/>
              <w:szCs w:val="22"/>
            </w:rPr>
          </w:rPrChange>
        </w:rPr>
        <w:t xml:space="preserve"> pre</w:t>
      </w:r>
      <w:r w:rsidRPr="00D55B59">
        <w:rPr>
          <w:rFonts w:eastAsia="PMingLiU"/>
          <w:color w:val="auto"/>
          <w:sz w:val="22"/>
          <w:szCs w:val="22"/>
          <w:lang w:val="en-GB" w:eastAsia="zh-TW"/>
          <w:rPrChange w:id="1954" w:author="Author">
            <w:rPr>
              <w:rFonts w:eastAsia="PMingLiU"/>
              <w:color w:val="auto"/>
              <w:sz w:val="22"/>
              <w:szCs w:val="22"/>
              <w:lang w:eastAsia="zh-TW"/>
            </w:rPr>
          </w:rPrChange>
        </w:rPr>
        <w:t>-</w:t>
      </w:r>
      <w:r w:rsidRPr="00D55B59">
        <w:rPr>
          <w:color w:val="auto"/>
          <w:sz w:val="22"/>
          <w:szCs w:val="22"/>
          <w:lang w:val="en-GB"/>
          <w:rPrChange w:id="1955" w:author="Author">
            <w:rPr>
              <w:color w:val="auto"/>
              <w:sz w:val="22"/>
              <w:szCs w:val="22"/>
            </w:rPr>
          </w:rPrChange>
        </w:rPr>
        <w:t>filled syringe.</w:t>
      </w:r>
    </w:p>
    <w:p w14:paraId="09502B70" w14:textId="77777777" w:rsidR="001778AA" w:rsidRPr="001775D9" w:rsidRDefault="001778AA" w:rsidP="001778AA">
      <w:pPr>
        <w:spacing w:line="240" w:lineRule="auto"/>
      </w:pPr>
    </w:p>
    <w:p w14:paraId="639F1278" w14:textId="77777777" w:rsidR="001778AA" w:rsidRPr="00D55B59" w:rsidRDefault="001778AA" w:rsidP="001778AA">
      <w:pPr>
        <w:pStyle w:val="Default"/>
        <w:keepNext/>
        <w:rPr>
          <w:color w:val="auto"/>
          <w:sz w:val="22"/>
          <w:szCs w:val="22"/>
          <w:u w:val="single"/>
          <w:lang w:val="en-GB" w:eastAsia="en-GB"/>
          <w:rPrChange w:id="1956" w:author="Author">
            <w:rPr>
              <w:color w:val="auto"/>
              <w:sz w:val="22"/>
              <w:szCs w:val="22"/>
              <w:u w:val="single"/>
              <w:lang w:eastAsia="en-GB"/>
            </w:rPr>
          </w:rPrChange>
        </w:rPr>
      </w:pPr>
      <w:r w:rsidRPr="00D55B59">
        <w:rPr>
          <w:color w:val="auto"/>
          <w:sz w:val="22"/>
          <w:szCs w:val="22"/>
          <w:u w:val="single"/>
          <w:lang w:val="en-GB" w:eastAsia="en-GB"/>
          <w:rPrChange w:id="1957" w:author="Author">
            <w:rPr>
              <w:color w:val="auto"/>
              <w:sz w:val="22"/>
              <w:szCs w:val="22"/>
              <w:u w:val="single"/>
              <w:lang w:eastAsia="en-GB"/>
            </w:rPr>
          </w:rPrChange>
        </w:rPr>
        <w:t>AMGEVITA 40</w:t>
      </w:r>
      <w:r w:rsidRPr="00D55B59">
        <w:rPr>
          <w:color w:val="auto"/>
          <w:sz w:val="22"/>
          <w:szCs w:val="22"/>
          <w:u w:val="single"/>
          <w:lang w:val="en-GB"/>
          <w:rPrChange w:id="1958" w:author="Author">
            <w:rPr>
              <w:color w:val="auto"/>
              <w:sz w:val="22"/>
              <w:szCs w:val="22"/>
              <w:u w:val="single"/>
            </w:rPr>
          </w:rPrChange>
        </w:rPr>
        <w:t> </w:t>
      </w:r>
      <w:r w:rsidRPr="00D55B59">
        <w:rPr>
          <w:color w:val="auto"/>
          <w:sz w:val="22"/>
          <w:szCs w:val="22"/>
          <w:u w:val="single"/>
          <w:lang w:val="en-GB" w:eastAsia="en-GB"/>
          <w:rPrChange w:id="1959" w:author="Author">
            <w:rPr>
              <w:color w:val="auto"/>
              <w:sz w:val="22"/>
              <w:szCs w:val="22"/>
              <w:u w:val="single"/>
              <w:lang w:eastAsia="en-GB"/>
            </w:rPr>
          </w:rPrChange>
        </w:rPr>
        <w:t>mg solution for injection in pre-filled syringe</w:t>
      </w:r>
    </w:p>
    <w:p w14:paraId="68947AEE" w14:textId="77777777" w:rsidR="001778AA" w:rsidRPr="00D55B59" w:rsidRDefault="001778AA" w:rsidP="001778AA">
      <w:pPr>
        <w:pStyle w:val="Default"/>
        <w:keepNext/>
        <w:rPr>
          <w:color w:val="auto"/>
          <w:sz w:val="22"/>
          <w:szCs w:val="22"/>
          <w:u w:val="single"/>
          <w:lang w:val="en-GB" w:eastAsia="en-GB"/>
          <w:rPrChange w:id="1960" w:author="Author">
            <w:rPr>
              <w:color w:val="auto"/>
              <w:sz w:val="22"/>
              <w:szCs w:val="22"/>
              <w:u w:val="single"/>
              <w:lang w:eastAsia="en-GB"/>
            </w:rPr>
          </w:rPrChange>
        </w:rPr>
      </w:pPr>
    </w:p>
    <w:p w14:paraId="233CE789" w14:textId="3F19280F" w:rsidR="001778AA" w:rsidRPr="00D55B59" w:rsidRDefault="001778AA" w:rsidP="001778AA">
      <w:pPr>
        <w:pStyle w:val="Default"/>
        <w:keepNext/>
        <w:rPr>
          <w:sz w:val="22"/>
          <w:szCs w:val="22"/>
          <w:lang w:val="en-GB"/>
          <w:rPrChange w:id="1961" w:author="Author">
            <w:rPr>
              <w:sz w:val="22"/>
              <w:szCs w:val="22"/>
            </w:rPr>
          </w:rPrChange>
        </w:rPr>
      </w:pPr>
      <w:r w:rsidRPr="00D55B59">
        <w:rPr>
          <w:sz w:val="22"/>
          <w:szCs w:val="22"/>
          <w:lang w:val="en-GB" w:eastAsia="en-GB"/>
          <w:rPrChange w:id="1962" w:author="Author">
            <w:rPr>
              <w:sz w:val="22"/>
              <w:szCs w:val="22"/>
              <w:lang w:eastAsia="en-GB"/>
            </w:rPr>
          </w:rPrChange>
        </w:rPr>
        <w:t xml:space="preserve">0.4 mL solution in pre-filled syringe (type I glass) with a </w:t>
      </w:r>
      <w:r w:rsidRPr="00D55B59">
        <w:rPr>
          <w:sz w:val="22"/>
          <w:szCs w:val="22"/>
          <w:lang w:val="en-GB"/>
          <w:rPrChange w:id="1963" w:author="Author">
            <w:rPr>
              <w:sz w:val="22"/>
              <w:szCs w:val="22"/>
            </w:rPr>
          </w:rPrChange>
        </w:rPr>
        <w:t xml:space="preserve">plunger stopper (bromobutyl rubber) and a </w:t>
      </w:r>
      <w:r w:rsidR="007C1751" w:rsidRPr="00D55B59">
        <w:rPr>
          <w:sz w:val="22"/>
          <w:szCs w:val="22"/>
          <w:lang w:val="en-GB"/>
          <w:rPrChange w:id="1964" w:author="Author">
            <w:rPr>
              <w:sz w:val="22"/>
              <w:szCs w:val="22"/>
            </w:rPr>
          </w:rPrChange>
        </w:rPr>
        <w:t>stainless-steel</w:t>
      </w:r>
      <w:r w:rsidRPr="00D55B59">
        <w:rPr>
          <w:sz w:val="22"/>
          <w:szCs w:val="22"/>
          <w:lang w:val="en-GB"/>
          <w:rPrChange w:id="1965" w:author="Author">
            <w:rPr>
              <w:sz w:val="22"/>
              <w:szCs w:val="22"/>
            </w:rPr>
          </w:rPrChange>
        </w:rPr>
        <w:t xml:space="preserve"> needle with a needle shield (thermoplastic elastomer). </w:t>
      </w:r>
    </w:p>
    <w:p w14:paraId="4162A855" w14:textId="669874B4" w:rsidR="008824E9" w:rsidRPr="00D55B59" w:rsidRDefault="008824E9" w:rsidP="001778AA">
      <w:pPr>
        <w:pStyle w:val="Default"/>
        <w:keepNext/>
        <w:rPr>
          <w:sz w:val="22"/>
          <w:szCs w:val="22"/>
          <w:lang w:val="en-GB"/>
          <w:rPrChange w:id="1966" w:author="Author">
            <w:rPr>
              <w:sz w:val="22"/>
              <w:szCs w:val="22"/>
            </w:rPr>
          </w:rPrChange>
        </w:rPr>
      </w:pPr>
    </w:p>
    <w:p w14:paraId="165B5279" w14:textId="297DEDCF" w:rsidR="008824E9" w:rsidRPr="00D55B59" w:rsidRDefault="008824E9" w:rsidP="008824E9">
      <w:pPr>
        <w:pStyle w:val="Default"/>
        <w:keepNext/>
        <w:rPr>
          <w:color w:val="auto"/>
          <w:sz w:val="22"/>
          <w:szCs w:val="22"/>
          <w:lang w:val="en-GB"/>
          <w:rPrChange w:id="1967" w:author="Author">
            <w:rPr>
              <w:color w:val="auto"/>
              <w:sz w:val="22"/>
              <w:szCs w:val="22"/>
            </w:rPr>
          </w:rPrChange>
        </w:rPr>
      </w:pPr>
      <w:r w:rsidRPr="00D55B59">
        <w:rPr>
          <w:color w:val="auto"/>
          <w:sz w:val="22"/>
          <w:szCs w:val="22"/>
          <w:lang w:val="en-GB"/>
          <w:rPrChange w:id="1968" w:author="Author">
            <w:rPr>
              <w:color w:val="auto"/>
              <w:sz w:val="22"/>
              <w:szCs w:val="22"/>
            </w:rPr>
          </w:rPrChange>
        </w:rPr>
        <w:t xml:space="preserve">Pack sizes of </w:t>
      </w:r>
      <w:r w:rsidR="00EC771E" w:rsidRPr="00D55B59">
        <w:rPr>
          <w:color w:val="auto"/>
          <w:sz w:val="22"/>
          <w:szCs w:val="22"/>
          <w:lang w:val="en-GB"/>
          <w:rPrChange w:id="1969" w:author="Author">
            <w:rPr>
              <w:color w:val="auto"/>
              <w:sz w:val="22"/>
              <w:szCs w:val="22"/>
            </w:rPr>
          </w:rPrChange>
        </w:rPr>
        <w:t>1</w:t>
      </w:r>
      <w:r w:rsidRPr="00D55B59">
        <w:rPr>
          <w:color w:val="auto"/>
          <w:sz w:val="22"/>
          <w:szCs w:val="22"/>
          <w:lang w:val="en-GB"/>
          <w:rPrChange w:id="1970" w:author="Author">
            <w:rPr>
              <w:color w:val="auto"/>
              <w:sz w:val="22"/>
              <w:szCs w:val="22"/>
            </w:rPr>
          </w:rPrChange>
        </w:rPr>
        <w:t xml:space="preserve">, </w:t>
      </w:r>
      <w:r w:rsidR="00EC771E" w:rsidRPr="00D55B59">
        <w:rPr>
          <w:color w:val="auto"/>
          <w:sz w:val="22"/>
          <w:szCs w:val="22"/>
          <w:lang w:val="en-GB"/>
          <w:rPrChange w:id="1971" w:author="Author">
            <w:rPr>
              <w:color w:val="auto"/>
              <w:sz w:val="22"/>
              <w:szCs w:val="22"/>
            </w:rPr>
          </w:rPrChange>
        </w:rPr>
        <w:t>2</w:t>
      </w:r>
      <w:r w:rsidRPr="00D55B59">
        <w:rPr>
          <w:color w:val="auto"/>
          <w:sz w:val="22"/>
          <w:szCs w:val="22"/>
          <w:lang w:val="en-GB"/>
          <w:rPrChange w:id="1972" w:author="Author">
            <w:rPr>
              <w:color w:val="auto"/>
              <w:sz w:val="22"/>
              <w:szCs w:val="22"/>
            </w:rPr>
          </w:rPrChange>
        </w:rPr>
        <w:t xml:space="preserve"> or multipack </w:t>
      </w:r>
      <w:r w:rsidR="00EC771E" w:rsidRPr="00D55B59">
        <w:rPr>
          <w:color w:val="auto"/>
          <w:sz w:val="22"/>
          <w:szCs w:val="22"/>
          <w:lang w:val="en-GB"/>
          <w:rPrChange w:id="1973" w:author="Author">
            <w:rPr>
              <w:color w:val="auto"/>
              <w:sz w:val="22"/>
              <w:szCs w:val="22"/>
            </w:rPr>
          </w:rPrChange>
        </w:rPr>
        <w:t>containing 6</w:t>
      </w:r>
      <w:r w:rsidRPr="00D55B59">
        <w:rPr>
          <w:color w:val="auto"/>
          <w:sz w:val="22"/>
          <w:szCs w:val="22"/>
          <w:lang w:val="en-GB"/>
          <w:rPrChange w:id="1974" w:author="Author">
            <w:rPr>
              <w:color w:val="auto"/>
              <w:sz w:val="22"/>
              <w:szCs w:val="22"/>
            </w:rPr>
          </w:rPrChange>
        </w:rPr>
        <w:t xml:space="preserve"> (3</w:t>
      </w:r>
      <w:r w:rsidR="00EC771E" w:rsidRPr="00D55B59">
        <w:rPr>
          <w:color w:val="auto"/>
          <w:sz w:val="22"/>
          <w:szCs w:val="22"/>
          <w:lang w:val="en-GB"/>
          <w:rPrChange w:id="1975" w:author="Author">
            <w:rPr>
              <w:color w:val="auto"/>
              <w:sz w:val="22"/>
              <w:szCs w:val="22"/>
            </w:rPr>
          </w:rPrChange>
        </w:rPr>
        <w:t xml:space="preserve"> packs of </w:t>
      </w:r>
      <w:r w:rsidRPr="00D55B59">
        <w:rPr>
          <w:color w:val="auto"/>
          <w:sz w:val="22"/>
          <w:szCs w:val="22"/>
          <w:lang w:val="en-GB"/>
          <w:rPrChange w:id="1976" w:author="Author">
            <w:rPr>
              <w:color w:val="auto"/>
              <w:sz w:val="22"/>
              <w:szCs w:val="22"/>
            </w:rPr>
          </w:rPrChange>
        </w:rPr>
        <w:t>2) pre</w:t>
      </w:r>
      <w:r w:rsidRPr="00D55B59">
        <w:rPr>
          <w:rFonts w:eastAsia="PMingLiU"/>
          <w:color w:val="auto"/>
          <w:sz w:val="22"/>
          <w:szCs w:val="22"/>
          <w:lang w:val="en-GB" w:eastAsia="zh-TW"/>
          <w:rPrChange w:id="1977" w:author="Author">
            <w:rPr>
              <w:rFonts w:eastAsia="PMingLiU"/>
              <w:color w:val="auto"/>
              <w:sz w:val="22"/>
              <w:szCs w:val="22"/>
              <w:lang w:eastAsia="zh-TW"/>
            </w:rPr>
          </w:rPrChange>
        </w:rPr>
        <w:t>-</w:t>
      </w:r>
      <w:r w:rsidRPr="00D55B59">
        <w:rPr>
          <w:color w:val="auto"/>
          <w:sz w:val="22"/>
          <w:szCs w:val="22"/>
          <w:lang w:val="en-GB"/>
          <w:rPrChange w:id="1978" w:author="Author">
            <w:rPr>
              <w:color w:val="auto"/>
              <w:sz w:val="22"/>
              <w:szCs w:val="22"/>
            </w:rPr>
          </w:rPrChange>
        </w:rPr>
        <w:t>filled syringes.</w:t>
      </w:r>
    </w:p>
    <w:p w14:paraId="01C20492" w14:textId="2B072DFE" w:rsidR="008824E9" w:rsidRPr="001775D9" w:rsidRDefault="008824E9" w:rsidP="000E67AC">
      <w:pPr>
        <w:spacing w:line="240" w:lineRule="auto"/>
        <w:rPr>
          <w:szCs w:val="22"/>
        </w:rPr>
      </w:pPr>
      <w:r w:rsidRPr="001775D9">
        <w:t>Not all pack sizes may be marketed.</w:t>
      </w:r>
    </w:p>
    <w:p w14:paraId="728B3BE6" w14:textId="77777777" w:rsidR="001778AA" w:rsidRPr="00D55B59" w:rsidRDefault="001778AA" w:rsidP="001778AA">
      <w:pPr>
        <w:pStyle w:val="Default"/>
        <w:keepNext/>
        <w:rPr>
          <w:color w:val="auto"/>
          <w:sz w:val="22"/>
          <w:szCs w:val="22"/>
          <w:lang w:val="en-GB"/>
          <w:rPrChange w:id="1979" w:author="Author">
            <w:rPr>
              <w:color w:val="auto"/>
              <w:sz w:val="22"/>
              <w:szCs w:val="22"/>
            </w:rPr>
          </w:rPrChange>
        </w:rPr>
      </w:pPr>
    </w:p>
    <w:p w14:paraId="6285CB2E" w14:textId="77777777" w:rsidR="001778AA" w:rsidRPr="00D55B59" w:rsidRDefault="001778AA" w:rsidP="001778AA">
      <w:pPr>
        <w:pStyle w:val="Default"/>
        <w:keepNext/>
        <w:rPr>
          <w:color w:val="auto"/>
          <w:sz w:val="22"/>
          <w:szCs w:val="22"/>
          <w:u w:val="single"/>
          <w:lang w:val="en-GB" w:eastAsia="en-GB"/>
          <w:rPrChange w:id="1980" w:author="Author">
            <w:rPr>
              <w:color w:val="auto"/>
              <w:sz w:val="22"/>
              <w:szCs w:val="22"/>
              <w:u w:val="single"/>
              <w:lang w:eastAsia="en-GB"/>
            </w:rPr>
          </w:rPrChange>
        </w:rPr>
      </w:pPr>
      <w:r w:rsidRPr="00D55B59">
        <w:rPr>
          <w:color w:val="auto"/>
          <w:sz w:val="22"/>
          <w:szCs w:val="22"/>
          <w:u w:val="single"/>
          <w:lang w:val="en-GB" w:eastAsia="en-GB"/>
          <w:rPrChange w:id="1981" w:author="Author">
            <w:rPr>
              <w:color w:val="auto"/>
              <w:sz w:val="22"/>
              <w:szCs w:val="22"/>
              <w:u w:val="single"/>
              <w:lang w:eastAsia="en-GB"/>
            </w:rPr>
          </w:rPrChange>
        </w:rPr>
        <w:t>AMGEVITA 80</w:t>
      </w:r>
      <w:r w:rsidRPr="00D55B59">
        <w:rPr>
          <w:color w:val="auto"/>
          <w:sz w:val="22"/>
          <w:szCs w:val="22"/>
          <w:u w:val="single"/>
          <w:lang w:val="en-GB"/>
          <w:rPrChange w:id="1982" w:author="Author">
            <w:rPr>
              <w:color w:val="auto"/>
              <w:sz w:val="22"/>
              <w:szCs w:val="22"/>
              <w:u w:val="single"/>
            </w:rPr>
          </w:rPrChange>
        </w:rPr>
        <w:t> </w:t>
      </w:r>
      <w:r w:rsidRPr="00D55B59">
        <w:rPr>
          <w:color w:val="auto"/>
          <w:sz w:val="22"/>
          <w:szCs w:val="22"/>
          <w:u w:val="single"/>
          <w:lang w:val="en-GB" w:eastAsia="en-GB"/>
          <w:rPrChange w:id="1983" w:author="Author">
            <w:rPr>
              <w:color w:val="auto"/>
              <w:sz w:val="22"/>
              <w:szCs w:val="22"/>
              <w:u w:val="single"/>
              <w:lang w:eastAsia="en-GB"/>
            </w:rPr>
          </w:rPrChange>
        </w:rPr>
        <w:t>mg solution for injection in pre-filled syringe</w:t>
      </w:r>
    </w:p>
    <w:p w14:paraId="41D0A1D1" w14:textId="77777777" w:rsidR="001778AA" w:rsidRPr="00D55B59" w:rsidRDefault="001778AA" w:rsidP="001778AA">
      <w:pPr>
        <w:pStyle w:val="Default"/>
        <w:keepNext/>
        <w:rPr>
          <w:color w:val="auto"/>
          <w:sz w:val="22"/>
          <w:szCs w:val="22"/>
          <w:u w:val="single"/>
          <w:lang w:val="en-GB" w:eastAsia="en-GB"/>
          <w:rPrChange w:id="1984" w:author="Author">
            <w:rPr>
              <w:color w:val="auto"/>
              <w:sz w:val="22"/>
              <w:szCs w:val="22"/>
              <w:u w:val="single"/>
              <w:lang w:eastAsia="en-GB"/>
            </w:rPr>
          </w:rPrChange>
        </w:rPr>
      </w:pPr>
    </w:p>
    <w:p w14:paraId="7BDC9D4C" w14:textId="69B5EE99" w:rsidR="001778AA" w:rsidRPr="00D55B59" w:rsidRDefault="001778AA" w:rsidP="001778AA">
      <w:pPr>
        <w:pStyle w:val="Default"/>
        <w:keepNext/>
        <w:rPr>
          <w:color w:val="auto"/>
          <w:sz w:val="22"/>
          <w:szCs w:val="22"/>
          <w:lang w:val="en-GB"/>
          <w:rPrChange w:id="1985" w:author="Author">
            <w:rPr>
              <w:color w:val="auto"/>
              <w:sz w:val="22"/>
              <w:szCs w:val="22"/>
            </w:rPr>
          </w:rPrChange>
        </w:rPr>
      </w:pPr>
      <w:r w:rsidRPr="00D55B59">
        <w:rPr>
          <w:sz w:val="22"/>
          <w:szCs w:val="22"/>
          <w:lang w:val="en-GB" w:eastAsia="en-GB"/>
          <w:rPrChange w:id="1986" w:author="Author">
            <w:rPr>
              <w:sz w:val="22"/>
              <w:szCs w:val="22"/>
              <w:lang w:eastAsia="en-GB"/>
            </w:rPr>
          </w:rPrChange>
        </w:rPr>
        <w:t xml:space="preserve">0.8 mL solution in pre-filled syringe (type I glass) with a </w:t>
      </w:r>
      <w:r w:rsidRPr="00D55B59">
        <w:rPr>
          <w:sz w:val="22"/>
          <w:szCs w:val="22"/>
          <w:lang w:val="en-GB"/>
          <w:rPrChange w:id="1987" w:author="Author">
            <w:rPr>
              <w:sz w:val="22"/>
              <w:szCs w:val="22"/>
            </w:rPr>
          </w:rPrChange>
        </w:rPr>
        <w:t xml:space="preserve">plunger stopper (bromobutyl rubber) and a </w:t>
      </w:r>
      <w:r w:rsidR="007C1751" w:rsidRPr="00D55B59">
        <w:rPr>
          <w:sz w:val="22"/>
          <w:szCs w:val="22"/>
          <w:lang w:val="en-GB"/>
          <w:rPrChange w:id="1988" w:author="Author">
            <w:rPr>
              <w:sz w:val="22"/>
              <w:szCs w:val="22"/>
            </w:rPr>
          </w:rPrChange>
        </w:rPr>
        <w:t>stainless-steel</w:t>
      </w:r>
      <w:r w:rsidRPr="00D55B59">
        <w:rPr>
          <w:sz w:val="22"/>
          <w:szCs w:val="22"/>
          <w:lang w:val="en-GB"/>
          <w:rPrChange w:id="1989" w:author="Author">
            <w:rPr>
              <w:sz w:val="22"/>
              <w:szCs w:val="22"/>
            </w:rPr>
          </w:rPrChange>
        </w:rPr>
        <w:t xml:space="preserve"> needle with a needle shield (thermoplastic elastomer). </w:t>
      </w:r>
    </w:p>
    <w:p w14:paraId="598B6CA9" w14:textId="77777777" w:rsidR="001778AA" w:rsidRPr="00D55B59" w:rsidRDefault="001778AA" w:rsidP="001778AA">
      <w:pPr>
        <w:pStyle w:val="Default"/>
        <w:keepNext/>
        <w:rPr>
          <w:color w:val="auto"/>
          <w:sz w:val="22"/>
          <w:szCs w:val="22"/>
          <w:lang w:val="en-GB"/>
          <w:rPrChange w:id="1990" w:author="Author">
            <w:rPr>
              <w:color w:val="auto"/>
              <w:sz w:val="22"/>
              <w:szCs w:val="22"/>
            </w:rPr>
          </w:rPrChange>
        </w:rPr>
      </w:pPr>
    </w:p>
    <w:p w14:paraId="54D47991" w14:textId="5F18F710" w:rsidR="001778AA" w:rsidRPr="00D55B59" w:rsidRDefault="001778AA" w:rsidP="001778AA">
      <w:pPr>
        <w:pStyle w:val="Default"/>
        <w:keepNext/>
        <w:rPr>
          <w:color w:val="auto"/>
          <w:sz w:val="22"/>
          <w:szCs w:val="22"/>
          <w:lang w:val="en-GB"/>
          <w:rPrChange w:id="1991" w:author="Author">
            <w:rPr>
              <w:color w:val="auto"/>
              <w:sz w:val="22"/>
              <w:szCs w:val="22"/>
            </w:rPr>
          </w:rPrChange>
        </w:rPr>
      </w:pPr>
      <w:r w:rsidRPr="00D55B59">
        <w:rPr>
          <w:color w:val="auto"/>
          <w:sz w:val="22"/>
          <w:szCs w:val="22"/>
          <w:lang w:val="en-GB"/>
          <w:rPrChange w:id="1992" w:author="Author">
            <w:rPr>
              <w:color w:val="auto"/>
              <w:sz w:val="22"/>
              <w:szCs w:val="22"/>
            </w:rPr>
          </w:rPrChange>
        </w:rPr>
        <w:t xml:space="preserve">Pack sizes of </w:t>
      </w:r>
      <w:r w:rsidR="00EC771E" w:rsidRPr="00D55B59">
        <w:rPr>
          <w:color w:val="auto"/>
          <w:sz w:val="22"/>
          <w:szCs w:val="22"/>
          <w:lang w:val="en-GB"/>
          <w:rPrChange w:id="1993" w:author="Author">
            <w:rPr>
              <w:color w:val="auto"/>
              <w:sz w:val="22"/>
              <w:szCs w:val="22"/>
            </w:rPr>
          </w:rPrChange>
        </w:rPr>
        <w:t>1</w:t>
      </w:r>
      <w:r w:rsidRPr="00D55B59">
        <w:rPr>
          <w:color w:val="auto"/>
          <w:sz w:val="22"/>
          <w:szCs w:val="22"/>
          <w:lang w:val="en-GB"/>
          <w:rPrChange w:id="1994" w:author="Author">
            <w:rPr>
              <w:color w:val="auto"/>
              <w:sz w:val="22"/>
              <w:szCs w:val="22"/>
            </w:rPr>
          </w:rPrChange>
        </w:rPr>
        <w:t xml:space="preserve">, </w:t>
      </w:r>
      <w:r w:rsidR="00EC771E" w:rsidRPr="00D55B59">
        <w:rPr>
          <w:color w:val="auto"/>
          <w:sz w:val="22"/>
          <w:szCs w:val="22"/>
          <w:lang w:val="en-GB"/>
          <w:rPrChange w:id="1995" w:author="Author">
            <w:rPr>
              <w:color w:val="auto"/>
              <w:sz w:val="22"/>
              <w:szCs w:val="22"/>
            </w:rPr>
          </w:rPrChange>
        </w:rPr>
        <w:t>2</w:t>
      </w:r>
      <w:r w:rsidR="008824E9" w:rsidRPr="00D55B59">
        <w:rPr>
          <w:color w:val="auto"/>
          <w:sz w:val="22"/>
          <w:szCs w:val="22"/>
          <w:lang w:val="en-GB"/>
          <w:rPrChange w:id="1996" w:author="Author">
            <w:rPr>
              <w:color w:val="auto"/>
              <w:sz w:val="22"/>
              <w:szCs w:val="22"/>
            </w:rPr>
          </w:rPrChange>
        </w:rPr>
        <w:t xml:space="preserve"> </w:t>
      </w:r>
      <w:r w:rsidR="00C164FC" w:rsidRPr="00D55B59">
        <w:rPr>
          <w:color w:val="auto"/>
          <w:sz w:val="22"/>
          <w:szCs w:val="22"/>
          <w:lang w:val="en-GB"/>
          <w:rPrChange w:id="1997" w:author="Author">
            <w:rPr>
              <w:color w:val="auto"/>
              <w:sz w:val="22"/>
              <w:szCs w:val="22"/>
            </w:rPr>
          </w:rPrChange>
        </w:rPr>
        <w:t>or multipack</w:t>
      </w:r>
      <w:r w:rsidR="00EC771E" w:rsidRPr="00D55B59">
        <w:rPr>
          <w:color w:val="auto"/>
          <w:sz w:val="22"/>
          <w:szCs w:val="22"/>
          <w:lang w:val="en-GB"/>
          <w:rPrChange w:id="1998" w:author="Author">
            <w:rPr>
              <w:color w:val="auto"/>
              <w:sz w:val="22"/>
              <w:szCs w:val="22"/>
            </w:rPr>
          </w:rPrChange>
        </w:rPr>
        <w:t xml:space="preserve"> containing 3</w:t>
      </w:r>
      <w:r w:rsidRPr="00D55B59">
        <w:rPr>
          <w:color w:val="auto"/>
          <w:sz w:val="22"/>
          <w:szCs w:val="22"/>
          <w:lang w:val="en-GB"/>
          <w:rPrChange w:id="1999" w:author="Author">
            <w:rPr>
              <w:color w:val="auto"/>
              <w:sz w:val="22"/>
              <w:szCs w:val="22"/>
            </w:rPr>
          </w:rPrChange>
        </w:rPr>
        <w:t xml:space="preserve"> (3</w:t>
      </w:r>
      <w:r w:rsidR="00EC771E" w:rsidRPr="00D55B59">
        <w:rPr>
          <w:color w:val="auto"/>
          <w:sz w:val="22"/>
          <w:szCs w:val="22"/>
          <w:lang w:val="en-GB"/>
          <w:rPrChange w:id="2000" w:author="Author">
            <w:rPr>
              <w:color w:val="auto"/>
              <w:sz w:val="22"/>
              <w:szCs w:val="22"/>
            </w:rPr>
          </w:rPrChange>
        </w:rPr>
        <w:t xml:space="preserve"> packs of </w:t>
      </w:r>
      <w:r w:rsidR="00E97064" w:rsidRPr="00D55B59">
        <w:rPr>
          <w:color w:val="auto"/>
          <w:sz w:val="22"/>
          <w:szCs w:val="22"/>
          <w:lang w:val="en-GB"/>
          <w:rPrChange w:id="2001" w:author="Author">
            <w:rPr>
              <w:color w:val="auto"/>
              <w:sz w:val="22"/>
              <w:szCs w:val="22"/>
            </w:rPr>
          </w:rPrChange>
        </w:rPr>
        <w:t>1</w:t>
      </w:r>
      <w:r w:rsidRPr="00D55B59">
        <w:rPr>
          <w:color w:val="auto"/>
          <w:sz w:val="22"/>
          <w:szCs w:val="22"/>
          <w:lang w:val="en-GB"/>
          <w:rPrChange w:id="2002" w:author="Author">
            <w:rPr>
              <w:color w:val="auto"/>
              <w:sz w:val="22"/>
              <w:szCs w:val="22"/>
            </w:rPr>
          </w:rPrChange>
        </w:rPr>
        <w:t>) pre</w:t>
      </w:r>
      <w:r w:rsidRPr="00D55B59">
        <w:rPr>
          <w:rFonts w:eastAsia="PMingLiU"/>
          <w:color w:val="auto"/>
          <w:sz w:val="22"/>
          <w:szCs w:val="22"/>
          <w:lang w:val="en-GB" w:eastAsia="zh-TW"/>
          <w:rPrChange w:id="2003" w:author="Author">
            <w:rPr>
              <w:rFonts w:eastAsia="PMingLiU"/>
              <w:color w:val="auto"/>
              <w:sz w:val="22"/>
              <w:szCs w:val="22"/>
              <w:lang w:eastAsia="zh-TW"/>
            </w:rPr>
          </w:rPrChange>
        </w:rPr>
        <w:t>-</w:t>
      </w:r>
      <w:r w:rsidRPr="00D55B59">
        <w:rPr>
          <w:color w:val="auto"/>
          <w:sz w:val="22"/>
          <w:szCs w:val="22"/>
          <w:lang w:val="en-GB"/>
          <w:rPrChange w:id="2004" w:author="Author">
            <w:rPr>
              <w:color w:val="auto"/>
              <w:sz w:val="22"/>
              <w:szCs w:val="22"/>
            </w:rPr>
          </w:rPrChange>
        </w:rPr>
        <w:t>filled syringes.</w:t>
      </w:r>
    </w:p>
    <w:p w14:paraId="76489846" w14:textId="77777777" w:rsidR="001778AA" w:rsidRPr="001775D9" w:rsidRDefault="001778AA" w:rsidP="001778AA">
      <w:pPr>
        <w:spacing w:line="240" w:lineRule="auto"/>
        <w:rPr>
          <w:szCs w:val="22"/>
        </w:rPr>
      </w:pPr>
      <w:r w:rsidRPr="001775D9">
        <w:t>Not all pack sizes may be marketed.</w:t>
      </w:r>
    </w:p>
    <w:p w14:paraId="5A06A526" w14:textId="77777777" w:rsidR="001778AA" w:rsidRPr="001775D9" w:rsidRDefault="001778AA" w:rsidP="001778AA">
      <w:pPr>
        <w:spacing w:line="240" w:lineRule="auto"/>
      </w:pPr>
    </w:p>
    <w:p w14:paraId="4BFA760D" w14:textId="77777777" w:rsidR="001778AA" w:rsidRPr="00D55B59" w:rsidRDefault="001778AA" w:rsidP="001778AA">
      <w:pPr>
        <w:pStyle w:val="Default"/>
        <w:keepNext/>
        <w:rPr>
          <w:color w:val="auto"/>
          <w:sz w:val="22"/>
          <w:szCs w:val="22"/>
          <w:u w:val="single"/>
          <w:lang w:val="en-GB" w:eastAsia="en-GB"/>
          <w:rPrChange w:id="2005" w:author="Author">
            <w:rPr>
              <w:color w:val="auto"/>
              <w:sz w:val="22"/>
              <w:szCs w:val="22"/>
              <w:u w:val="single"/>
              <w:lang w:eastAsia="en-GB"/>
            </w:rPr>
          </w:rPrChange>
        </w:rPr>
      </w:pPr>
      <w:r w:rsidRPr="00D55B59">
        <w:rPr>
          <w:color w:val="auto"/>
          <w:sz w:val="22"/>
          <w:szCs w:val="22"/>
          <w:u w:val="single"/>
          <w:lang w:val="en-GB" w:eastAsia="en-GB"/>
          <w:rPrChange w:id="2006" w:author="Author">
            <w:rPr>
              <w:color w:val="auto"/>
              <w:sz w:val="22"/>
              <w:szCs w:val="22"/>
              <w:u w:val="single"/>
              <w:lang w:eastAsia="en-GB"/>
            </w:rPr>
          </w:rPrChange>
        </w:rPr>
        <w:t>AMGEVITA 40</w:t>
      </w:r>
      <w:r w:rsidRPr="00D55B59">
        <w:rPr>
          <w:color w:val="auto"/>
          <w:sz w:val="22"/>
          <w:szCs w:val="22"/>
          <w:u w:val="single"/>
          <w:lang w:val="en-GB"/>
          <w:rPrChange w:id="2007" w:author="Author">
            <w:rPr>
              <w:color w:val="auto"/>
              <w:sz w:val="22"/>
              <w:szCs w:val="22"/>
              <w:u w:val="single"/>
            </w:rPr>
          </w:rPrChange>
        </w:rPr>
        <w:t> </w:t>
      </w:r>
      <w:r w:rsidRPr="00D55B59">
        <w:rPr>
          <w:color w:val="auto"/>
          <w:sz w:val="22"/>
          <w:szCs w:val="22"/>
          <w:u w:val="single"/>
          <w:lang w:val="en-GB" w:eastAsia="en-GB"/>
          <w:rPrChange w:id="2008" w:author="Author">
            <w:rPr>
              <w:color w:val="auto"/>
              <w:sz w:val="22"/>
              <w:szCs w:val="22"/>
              <w:u w:val="single"/>
              <w:lang w:eastAsia="en-GB"/>
            </w:rPr>
          </w:rPrChange>
        </w:rPr>
        <w:t>mg solution for injection in pre-filled pen</w:t>
      </w:r>
    </w:p>
    <w:p w14:paraId="628FA2FE" w14:textId="77777777" w:rsidR="001778AA" w:rsidRPr="00D55B59" w:rsidRDefault="001778AA" w:rsidP="001778AA">
      <w:pPr>
        <w:pStyle w:val="Default"/>
        <w:keepNext/>
        <w:rPr>
          <w:color w:val="auto"/>
          <w:sz w:val="22"/>
          <w:szCs w:val="22"/>
          <w:u w:val="single"/>
          <w:lang w:val="en-GB" w:eastAsia="en-GB"/>
          <w:rPrChange w:id="2009" w:author="Author">
            <w:rPr>
              <w:color w:val="auto"/>
              <w:sz w:val="22"/>
              <w:szCs w:val="22"/>
              <w:u w:val="single"/>
              <w:lang w:eastAsia="en-GB"/>
            </w:rPr>
          </w:rPrChange>
        </w:rPr>
      </w:pPr>
    </w:p>
    <w:p w14:paraId="3B6CD50C" w14:textId="55AB2939" w:rsidR="001778AA" w:rsidRPr="001775D9" w:rsidRDefault="001778AA" w:rsidP="00B61D9D">
      <w:pPr>
        <w:spacing w:line="240" w:lineRule="auto"/>
        <w:rPr>
          <w:szCs w:val="22"/>
          <w:lang w:eastAsia="en-GB"/>
        </w:rPr>
      </w:pPr>
      <w:r w:rsidRPr="001775D9">
        <w:rPr>
          <w:szCs w:val="22"/>
          <w:lang w:eastAsia="en-GB"/>
        </w:rPr>
        <w:t xml:space="preserve">0.4 mL solution for injection in pre-filled pen for patient use containing a pre-filled syringe (type I glass). </w:t>
      </w:r>
      <w:r w:rsidRPr="001775D9">
        <w:t xml:space="preserve">The </w:t>
      </w:r>
      <w:r w:rsidRPr="001775D9">
        <w:rPr>
          <w:szCs w:val="22"/>
        </w:rPr>
        <w:t>pen</w:t>
      </w:r>
      <w:r w:rsidRPr="001775D9">
        <w:t xml:space="preserve"> is a single use, disposable, handheld, mechanical injection device. </w:t>
      </w:r>
      <w:r w:rsidRPr="001775D9">
        <w:rPr>
          <w:szCs w:val="22"/>
          <w:lang w:eastAsia="en-GB"/>
        </w:rPr>
        <w:t>The needle cover of the pre-filled pen is made from synthetic rubber.</w:t>
      </w:r>
    </w:p>
    <w:p w14:paraId="2259413B" w14:textId="568BCA4A" w:rsidR="008824E9" w:rsidRPr="001775D9" w:rsidRDefault="008824E9" w:rsidP="00B61D9D">
      <w:pPr>
        <w:spacing w:line="240" w:lineRule="auto"/>
        <w:rPr>
          <w:szCs w:val="22"/>
          <w:lang w:eastAsia="en-GB"/>
        </w:rPr>
      </w:pPr>
    </w:p>
    <w:p w14:paraId="55AFE140" w14:textId="5F082B87" w:rsidR="008824E9" w:rsidRPr="00D55B59" w:rsidRDefault="008824E9" w:rsidP="008824E9">
      <w:pPr>
        <w:pStyle w:val="Default"/>
        <w:rPr>
          <w:color w:val="auto"/>
          <w:sz w:val="22"/>
          <w:szCs w:val="22"/>
          <w:lang w:val="en-GB"/>
          <w:rPrChange w:id="2010" w:author="Author">
            <w:rPr>
              <w:color w:val="auto"/>
              <w:sz w:val="22"/>
              <w:szCs w:val="22"/>
            </w:rPr>
          </w:rPrChange>
        </w:rPr>
      </w:pPr>
      <w:r w:rsidRPr="00D55B59">
        <w:rPr>
          <w:color w:val="auto"/>
          <w:sz w:val="22"/>
          <w:szCs w:val="22"/>
          <w:lang w:val="en-GB"/>
          <w:rPrChange w:id="2011" w:author="Author">
            <w:rPr>
              <w:color w:val="auto"/>
              <w:sz w:val="22"/>
              <w:szCs w:val="22"/>
            </w:rPr>
          </w:rPrChange>
        </w:rPr>
        <w:t xml:space="preserve">Pack sizes of </w:t>
      </w:r>
      <w:r w:rsidR="00EC771E" w:rsidRPr="00D55B59">
        <w:rPr>
          <w:color w:val="auto"/>
          <w:sz w:val="22"/>
          <w:szCs w:val="22"/>
          <w:lang w:val="en-GB"/>
          <w:rPrChange w:id="2012" w:author="Author">
            <w:rPr>
              <w:color w:val="auto"/>
              <w:sz w:val="22"/>
              <w:szCs w:val="22"/>
            </w:rPr>
          </w:rPrChange>
        </w:rPr>
        <w:t>1</w:t>
      </w:r>
      <w:r w:rsidRPr="00D55B59">
        <w:rPr>
          <w:color w:val="auto"/>
          <w:sz w:val="22"/>
          <w:szCs w:val="22"/>
          <w:lang w:val="en-GB"/>
          <w:rPrChange w:id="2013" w:author="Author">
            <w:rPr>
              <w:color w:val="auto"/>
              <w:sz w:val="22"/>
              <w:szCs w:val="22"/>
            </w:rPr>
          </w:rPrChange>
        </w:rPr>
        <w:t xml:space="preserve">, </w:t>
      </w:r>
      <w:r w:rsidR="00EC771E" w:rsidRPr="00D55B59">
        <w:rPr>
          <w:color w:val="auto"/>
          <w:sz w:val="22"/>
          <w:szCs w:val="22"/>
          <w:lang w:val="en-GB"/>
          <w:rPrChange w:id="2014" w:author="Author">
            <w:rPr>
              <w:color w:val="auto"/>
              <w:sz w:val="22"/>
              <w:szCs w:val="22"/>
            </w:rPr>
          </w:rPrChange>
        </w:rPr>
        <w:t>2</w:t>
      </w:r>
      <w:r w:rsidRPr="00D55B59">
        <w:rPr>
          <w:color w:val="auto"/>
          <w:sz w:val="22"/>
          <w:szCs w:val="22"/>
          <w:lang w:val="en-GB"/>
          <w:rPrChange w:id="2015" w:author="Author">
            <w:rPr>
              <w:color w:val="auto"/>
              <w:sz w:val="22"/>
              <w:szCs w:val="22"/>
            </w:rPr>
          </w:rPrChange>
        </w:rPr>
        <w:t xml:space="preserve"> or multipack </w:t>
      </w:r>
      <w:r w:rsidR="00EC771E" w:rsidRPr="00D55B59">
        <w:rPr>
          <w:color w:val="auto"/>
          <w:sz w:val="22"/>
          <w:szCs w:val="22"/>
          <w:lang w:val="en-GB"/>
          <w:rPrChange w:id="2016" w:author="Author">
            <w:rPr>
              <w:color w:val="auto"/>
              <w:sz w:val="22"/>
              <w:szCs w:val="22"/>
            </w:rPr>
          </w:rPrChange>
        </w:rPr>
        <w:t>containing 6</w:t>
      </w:r>
      <w:r w:rsidRPr="00D55B59">
        <w:rPr>
          <w:color w:val="auto"/>
          <w:sz w:val="22"/>
          <w:szCs w:val="22"/>
          <w:lang w:val="en-GB"/>
          <w:rPrChange w:id="2017" w:author="Author">
            <w:rPr>
              <w:color w:val="auto"/>
              <w:sz w:val="22"/>
              <w:szCs w:val="22"/>
            </w:rPr>
          </w:rPrChange>
        </w:rPr>
        <w:t xml:space="preserve"> (3</w:t>
      </w:r>
      <w:r w:rsidR="00EC771E" w:rsidRPr="00D55B59">
        <w:rPr>
          <w:color w:val="auto"/>
          <w:sz w:val="22"/>
          <w:szCs w:val="22"/>
          <w:lang w:val="en-GB"/>
          <w:rPrChange w:id="2018" w:author="Author">
            <w:rPr>
              <w:color w:val="auto"/>
              <w:sz w:val="22"/>
              <w:szCs w:val="22"/>
            </w:rPr>
          </w:rPrChange>
        </w:rPr>
        <w:t xml:space="preserve"> packs of </w:t>
      </w:r>
      <w:r w:rsidR="00297B68" w:rsidRPr="00D55B59">
        <w:rPr>
          <w:color w:val="auto"/>
          <w:sz w:val="22"/>
          <w:szCs w:val="22"/>
          <w:lang w:val="en-GB"/>
          <w:rPrChange w:id="2019" w:author="Author">
            <w:rPr>
              <w:color w:val="auto"/>
              <w:sz w:val="22"/>
              <w:szCs w:val="22"/>
            </w:rPr>
          </w:rPrChange>
        </w:rPr>
        <w:t>2</w:t>
      </w:r>
      <w:r w:rsidRPr="00D55B59">
        <w:rPr>
          <w:color w:val="auto"/>
          <w:sz w:val="22"/>
          <w:szCs w:val="22"/>
          <w:lang w:val="en-GB"/>
          <w:rPrChange w:id="2020" w:author="Author">
            <w:rPr>
              <w:color w:val="auto"/>
              <w:sz w:val="22"/>
              <w:szCs w:val="22"/>
            </w:rPr>
          </w:rPrChange>
        </w:rPr>
        <w:t>) pre</w:t>
      </w:r>
      <w:r w:rsidRPr="00D55B59">
        <w:rPr>
          <w:rFonts w:eastAsia="PMingLiU"/>
          <w:color w:val="auto"/>
          <w:sz w:val="22"/>
          <w:szCs w:val="22"/>
          <w:lang w:val="en-GB" w:eastAsia="zh-TW"/>
          <w:rPrChange w:id="2021" w:author="Author">
            <w:rPr>
              <w:rFonts w:eastAsia="PMingLiU"/>
              <w:color w:val="auto"/>
              <w:sz w:val="22"/>
              <w:szCs w:val="22"/>
              <w:lang w:eastAsia="zh-TW"/>
            </w:rPr>
          </w:rPrChange>
        </w:rPr>
        <w:t>-</w:t>
      </w:r>
      <w:r w:rsidRPr="00D55B59">
        <w:rPr>
          <w:color w:val="auto"/>
          <w:sz w:val="22"/>
          <w:szCs w:val="22"/>
          <w:lang w:val="en-GB"/>
          <w:rPrChange w:id="2022" w:author="Author">
            <w:rPr>
              <w:color w:val="auto"/>
              <w:sz w:val="22"/>
              <w:szCs w:val="22"/>
            </w:rPr>
          </w:rPrChange>
        </w:rPr>
        <w:t>filled pens.</w:t>
      </w:r>
    </w:p>
    <w:p w14:paraId="4BDC5E8F" w14:textId="76BB6707" w:rsidR="008824E9" w:rsidRPr="001775D9" w:rsidRDefault="008824E9" w:rsidP="000E67AC">
      <w:pPr>
        <w:tabs>
          <w:tab w:val="clear" w:pos="567"/>
        </w:tabs>
        <w:autoSpaceDE w:val="0"/>
        <w:autoSpaceDN w:val="0"/>
        <w:adjustRightInd w:val="0"/>
        <w:spacing w:line="240" w:lineRule="auto"/>
      </w:pPr>
      <w:r w:rsidRPr="001775D9">
        <w:t>Not all pack sizes may be marketed.</w:t>
      </w:r>
    </w:p>
    <w:p w14:paraId="593600FA" w14:textId="77777777" w:rsidR="001778AA" w:rsidRPr="001775D9" w:rsidRDefault="001778AA" w:rsidP="00B61D9D">
      <w:pPr>
        <w:spacing w:line="240" w:lineRule="auto"/>
        <w:rPr>
          <w:szCs w:val="22"/>
          <w:lang w:eastAsia="en-GB"/>
        </w:rPr>
      </w:pPr>
    </w:p>
    <w:p w14:paraId="07D06BF0" w14:textId="77777777" w:rsidR="001778AA" w:rsidRPr="00D55B59" w:rsidRDefault="001778AA" w:rsidP="001778AA">
      <w:pPr>
        <w:pStyle w:val="Default"/>
        <w:keepNext/>
        <w:rPr>
          <w:color w:val="auto"/>
          <w:sz w:val="22"/>
          <w:szCs w:val="22"/>
          <w:u w:val="single"/>
          <w:lang w:val="en-GB" w:eastAsia="en-GB"/>
          <w:rPrChange w:id="2023" w:author="Author">
            <w:rPr>
              <w:color w:val="auto"/>
              <w:sz w:val="22"/>
              <w:szCs w:val="22"/>
              <w:u w:val="single"/>
              <w:lang w:eastAsia="en-GB"/>
            </w:rPr>
          </w:rPrChange>
        </w:rPr>
      </w:pPr>
      <w:r w:rsidRPr="00D55B59">
        <w:rPr>
          <w:color w:val="auto"/>
          <w:sz w:val="22"/>
          <w:szCs w:val="22"/>
          <w:u w:val="single"/>
          <w:lang w:val="en-GB" w:eastAsia="en-GB"/>
          <w:rPrChange w:id="2024" w:author="Author">
            <w:rPr>
              <w:color w:val="auto"/>
              <w:sz w:val="22"/>
              <w:szCs w:val="22"/>
              <w:u w:val="single"/>
              <w:lang w:eastAsia="en-GB"/>
            </w:rPr>
          </w:rPrChange>
        </w:rPr>
        <w:t>AMGEVITA 80</w:t>
      </w:r>
      <w:r w:rsidRPr="00D55B59">
        <w:rPr>
          <w:color w:val="auto"/>
          <w:sz w:val="22"/>
          <w:szCs w:val="22"/>
          <w:u w:val="single"/>
          <w:lang w:val="en-GB"/>
          <w:rPrChange w:id="2025" w:author="Author">
            <w:rPr>
              <w:color w:val="auto"/>
              <w:sz w:val="22"/>
              <w:szCs w:val="22"/>
              <w:u w:val="single"/>
            </w:rPr>
          </w:rPrChange>
        </w:rPr>
        <w:t> </w:t>
      </w:r>
      <w:r w:rsidRPr="00D55B59">
        <w:rPr>
          <w:color w:val="auto"/>
          <w:sz w:val="22"/>
          <w:szCs w:val="22"/>
          <w:u w:val="single"/>
          <w:lang w:val="en-GB" w:eastAsia="en-GB"/>
          <w:rPrChange w:id="2026" w:author="Author">
            <w:rPr>
              <w:color w:val="auto"/>
              <w:sz w:val="22"/>
              <w:szCs w:val="22"/>
              <w:u w:val="single"/>
              <w:lang w:eastAsia="en-GB"/>
            </w:rPr>
          </w:rPrChange>
        </w:rPr>
        <w:t>mg solution for injection in pre-filled pen</w:t>
      </w:r>
    </w:p>
    <w:p w14:paraId="61C985FD" w14:textId="77777777" w:rsidR="001778AA" w:rsidRPr="00D55B59" w:rsidRDefault="001778AA" w:rsidP="001778AA">
      <w:pPr>
        <w:pStyle w:val="Default"/>
        <w:keepNext/>
        <w:rPr>
          <w:color w:val="auto"/>
          <w:sz w:val="22"/>
          <w:szCs w:val="22"/>
          <w:u w:val="single"/>
          <w:lang w:val="en-GB" w:eastAsia="en-GB"/>
          <w:rPrChange w:id="2027" w:author="Author">
            <w:rPr>
              <w:color w:val="auto"/>
              <w:sz w:val="22"/>
              <w:szCs w:val="22"/>
              <w:u w:val="single"/>
              <w:lang w:eastAsia="en-GB"/>
            </w:rPr>
          </w:rPrChange>
        </w:rPr>
      </w:pPr>
    </w:p>
    <w:p w14:paraId="0B2636C5" w14:textId="77777777" w:rsidR="001778AA" w:rsidRPr="001775D9" w:rsidRDefault="001778AA" w:rsidP="00B61D9D">
      <w:pPr>
        <w:spacing w:line="240" w:lineRule="auto"/>
      </w:pPr>
      <w:r w:rsidRPr="001775D9">
        <w:rPr>
          <w:szCs w:val="22"/>
          <w:lang w:eastAsia="en-GB"/>
        </w:rPr>
        <w:t xml:space="preserve">0.8 mL solution for injection in pre-filled pen for patient use containing a pre-filled syringe (type I glass). </w:t>
      </w:r>
      <w:r w:rsidRPr="001775D9">
        <w:t xml:space="preserve">The </w:t>
      </w:r>
      <w:r w:rsidRPr="001775D9">
        <w:rPr>
          <w:szCs w:val="22"/>
        </w:rPr>
        <w:t>pen</w:t>
      </w:r>
      <w:r w:rsidRPr="001775D9">
        <w:t xml:space="preserve"> is a single use, disposable, handheld, mechanical injection device. </w:t>
      </w:r>
      <w:r w:rsidRPr="001775D9">
        <w:rPr>
          <w:szCs w:val="22"/>
          <w:lang w:eastAsia="en-GB"/>
        </w:rPr>
        <w:t>The needle cover of the pre-filled pen is made from synthetic rubber.</w:t>
      </w:r>
    </w:p>
    <w:p w14:paraId="540FE0B5" w14:textId="77777777" w:rsidR="001778AA" w:rsidRPr="00D55B59" w:rsidRDefault="001778AA" w:rsidP="001778AA">
      <w:pPr>
        <w:pStyle w:val="Default"/>
        <w:rPr>
          <w:color w:val="auto"/>
          <w:sz w:val="22"/>
          <w:szCs w:val="22"/>
          <w:lang w:val="en-GB"/>
          <w:rPrChange w:id="2028" w:author="Author">
            <w:rPr>
              <w:color w:val="auto"/>
              <w:sz w:val="22"/>
              <w:szCs w:val="22"/>
            </w:rPr>
          </w:rPrChange>
        </w:rPr>
      </w:pPr>
    </w:p>
    <w:p w14:paraId="2A00D914" w14:textId="2D24AB2F" w:rsidR="00E42DB6" w:rsidRPr="00D55B59" w:rsidRDefault="00E42DB6" w:rsidP="00E42DB6">
      <w:pPr>
        <w:pStyle w:val="Default"/>
        <w:rPr>
          <w:color w:val="auto"/>
          <w:sz w:val="22"/>
          <w:szCs w:val="22"/>
          <w:lang w:val="en-GB"/>
          <w:rPrChange w:id="2029" w:author="Author">
            <w:rPr>
              <w:color w:val="auto"/>
              <w:sz w:val="22"/>
              <w:szCs w:val="22"/>
            </w:rPr>
          </w:rPrChange>
        </w:rPr>
      </w:pPr>
      <w:r w:rsidRPr="00D55B59">
        <w:rPr>
          <w:color w:val="auto"/>
          <w:sz w:val="22"/>
          <w:szCs w:val="22"/>
          <w:lang w:val="en-GB"/>
          <w:rPrChange w:id="2030" w:author="Author">
            <w:rPr>
              <w:color w:val="auto"/>
              <w:sz w:val="22"/>
              <w:szCs w:val="22"/>
            </w:rPr>
          </w:rPrChange>
        </w:rPr>
        <w:t xml:space="preserve">Pack sizes of </w:t>
      </w:r>
      <w:r w:rsidR="00EC771E" w:rsidRPr="00D55B59">
        <w:rPr>
          <w:color w:val="auto"/>
          <w:sz w:val="22"/>
          <w:szCs w:val="22"/>
          <w:lang w:val="en-GB"/>
          <w:rPrChange w:id="2031" w:author="Author">
            <w:rPr>
              <w:color w:val="auto"/>
              <w:sz w:val="22"/>
              <w:szCs w:val="22"/>
            </w:rPr>
          </w:rPrChange>
        </w:rPr>
        <w:t>1</w:t>
      </w:r>
      <w:r w:rsidRPr="00D55B59">
        <w:rPr>
          <w:color w:val="auto"/>
          <w:sz w:val="22"/>
          <w:szCs w:val="22"/>
          <w:lang w:val="en-GB"/>
          <w:rPrChange w:id="2032" w:author="Author">
            <w:rPr>
              <w:color w:val="auto"/>
              <w:sz w:val="22"/>
              <w:szCs w:val="22"/>
            </w:rPr>
          </w:rPrChange>
        </w:rPr>
        <w:t xml:space="preserve">, </w:t>
      </w:r>
      <w:r w:rsidR="00EC771E" w:rsidRPr="00D55B59">
        <w:rPr>
          <w:color w:val="auto"/>
          <w:sz w:val="22"/>
          <w:szCs w:val="22"/>
          <w:lang w:val="en-GB"/>
          <w:rPrChange w:id="2033" w:author="Author">
            <w:rPr>
              <w:color w:val="auto"/>
              <w:sz w:val="22"/>
              <w:szCs w:val="22"/>
            </w:rPr>
          </w:rPrChange>
        </w:rPr>
        <w:t>2</w:t>
      </w:r>
      <w:r w:rsidRPr="00D55B59">
        <w:rPr>
          <w:color w:val="auto"/>
          <w:sz w:val="22"/>
          <w:szCs w:val="22"/>
          <w:lang w:val="en-GB"/>
          <w:rPrChange w:id="2034" w:author="Author">
            <w:rPr>
              <w:color w:val="auto"/>
              <w:sz w:val="22"/>
              <w:szCs w:val="22"/>
            </w:rPr>
          </w:rPrChange>
        </w:rPr>
        <w:t xml:space="preserve"> or multipack</w:t>
      </w:r>
      <w:r w:rsidR="00EC771E" w:rsidRPr="00D55B59">
        <w:rPr>
          <w:color w:val="auto"/>
          <w:sz w:val="22"/>
          <w:szCs w:val="22"/>
          <w:lang w:val="en-GB"/>
          <w:rPrChange w:id="2035" w:author="Author">
            <w:rPr>
              <w:color w:val="auto"/>
              <w:sz w:val="22"/>
              <w:szCs w:val="22"/>
            </w:rPr>
          </w:rPrChange>
        </w:rPr>
        <w:t xml:space="preserve"> containing 3</w:t>
      </w:r>
      <w:r w:rsidRPr="00D55B59">
        <w:rPr>
          <w:color w:val="auto"/>
          <w:sz w:val="22"/>
          <w:szCs w:val="22"/>
          <w:lang w:val="en-GB"/>
          <w:rPrChange w:id="2036" w:author="Author">
            <w:rPr>
              <w:color w:val="auto"/>
              <w:sz w:val="22"/>
              <w:szCs w:val="22"/>
            </w:rPr>
          </w:rPrChange>
        </w:rPr>
        <w:t xml:space="preserve"> (3</w:t>
      </w:r>
      <w:r w:rsidR="00EC771E" w:rsidRPr="00D55B59">
        <w:rPr>
          <w:color w:val="auto"/>
          <w:sz w:val="22"/>
          <w:szCs w:val="22"/>
          <w:lang w:val="en-GB"/>
          <w:rPrChange w:id="2037" w:author="Author">
            <w:rPr>
              <w:color w:val="auto"/>
              <w:sz w:val="22"/>
              <w:szCs w:val="22"/>
            </w:rPr>
          </w:rPrChange>
        </w:rPr>
        <w:t xml:space="preserve"> pack</w:t>
      </w:r>
      <w:r w:rsidR="00F1109D" w:rsidRPr="00D55B59">
        <w:rPr>
          <w:color w:val="auto"/>
          <w:sz w:val="22"/>
          <w:szCs w:val="22"/>
          <w:lang w:val="en-GB"/>
          <w:rPrChange w:id="2038" w:author="Author">
            <w:rPr>
              <w:color w:val="auto"/>
              <w:sz w:val="22"/>
              <w:szCs w:val="22"/>
            </w:rPr>
          </w:rPrChange>
        </w:rPr>
        <w:t>s</w:t>
      </w:r>
      <w:r w:rsidR="00EC771E" w:rsidRPr="00D55B59">
        <w:rPr>
          <w:color w:val="auto"/>
          <w:sz w:val="22"/>
          <w:szCs w:val="22"/>
          <w:lang w:val="en-GB"/>
          <w:rPrChange w:id="2039" w:author="Author">
            <w:rPr>
              <w:color w:val="auto"/>
              <w:sz w:val="22"/>
              <w:szCs w:val="22"/>
            </w:rPr>
          </w:rPrChange>
        </w:rPr>
        <w:t xml:space="preserve"> of </w:t>
      </w:r>
      <w:r w:rsidRPr="00D55B59">
        <w:rPr>
          <w:color w:val="auto"/>
          <w:sz w:val="22"/>
          <w:szCs w:val="22"/>
          <w:lang w:val="en-GB"/>
          <w:rPrChange w:id="2040" w:author="Author">
            <w:rPr>
              <w:color w:val="auto"/>
              <w:sz w:val="22"/>
              <w:szCs w:val="22"/>
            </w:rPr>
          </w:rPrChange>
        </w:rPr>
        <w:t>1) pre</w:t>
      </w:r>
      <w:r w:rsidRPr="00D55B59">
        <w:rPr>
          <w:rFonts w:eastAsia="PMingLiU"/>
          <w:color w:val="auto"/>
          <w:sz w:val="22"/>
          <w:szCs w:val="22"/>
          <w:lang w:val="en-GB" w:eastAsia="zh-TW"/>
          <w:rPrChange w:id="2041" w:author="Author">
            <w:rPr>
              <w:rFonts w:eastAsia="PMingLiU"/>
              <w:color w:val="auto"/>
              <w:sz w:val="22"/>
              <w:szCs w:val="22"/>
              <w:lang w:eastAsia="zh-TW"/>
            </w:rPr>
          </w:rPrChange>
        </w:rPr>
        <w:t>-</w:t>
      </w:r>
      <w:r w:rsidRPr="00D55B59">
        <w:rPr>
          <w:color w:val="auto"/>
          <w:sz w:val="22"/>
          <w:szCs w:val="22"/>
          <w:lang w:val="en-GB"/>
          <w:rPrChange w:id="2042" w:author="Author">
            <w:rPr>
              <w:color w:val="auto"/>
              <w:sz w:val="22"/>
              <w:szCs w:val="22"/>
            </w:rPr>
          </w:rPrChange>
        </w:rPr>
        <w:t>filled pens.</w:t>
      </w:r>
    </w:p>
    <w:p w14:paraId="7D949A52" w14:textId="77777777" w:rsidR="00E42DB6" w:rsidRPr="001775D9" w:rsidRDefault="00E42DB6" w:rsidP="00E42DB6">
      <w:pPr>
        <w:tabs>
          <w:tab w:val="clear" w:pos="567"/>
        </w:tabs>
        <w:autoSpaceDE w:val="0"/>
        <w:autoSpaceDN w:val="0"/>
        <w:adjustRightInd w:val="0"/>
        <w:spacing w:line="240" w:lineRule="auto"/>
      </w:pPr>
      <w:r w:rsidRPr="001775D9">
        <w:t>Not all pack sizes may be marketed.</w:t>
      </w:r>
    </w:p>
    <w:p w14:paraId="460270F9" w14:textId="77777777" w:rsidR="001778AA" w:rsidRPr="001775D9" w:rsidRDefault="001778AA" w:rsidP="001778AA">
      <w:pPr>
        <w:tabs>
          <w:tab w:val="clear" w:pos="567"/>
        </w:tabs>
        <w:autoSpaceDE w:val="0"/>
        <w:autoSpaceDN w:val="0"/>
        <w:adjustRightInd w:val="0"/>
        <w:spacing w:line="240" w:lineRule="auto"/>
      </w:pPr>
    </w:p>
    <w:p w14:paraId="66B4E0AA" w14:textId="5BCB0AFC" w:rsidR="001778AA" w:rsidRPr="001775D9" w:rsidRDefault="001778AA" w:rsidP="00B61D9D">
      <w:pPr>
        <w:keepNext/>
        <w:keepLines/>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6.6</w:t>
      </w:r>
      <w:r w:rsidRPr="001775D9">
        <w:rPr>
          <w:b/>
          <w:bCs/>
          <w:color w:val="000000"/>
          <w:szCs w:val="22"/>
          <w:lang w:eastAsia="en-GB"/>
        </w:rPr>
        <w:tab/>
        <w:t>Special precautions for disposal and other handling</w:t>
      </w:r>
    </w:p>
    <w:p w14:paraId="441BBC4A" w14:textId="77777777" w:rsidR="001778AA" w:rsidRPr="001775D9" w:rsidRDefault="001778AA" w:rsidP="001778AA">
      <w:pPr>
        <w:keepNext/>
        <w:keepLines/>
        <w:tabs>
          <w:tab w:val="clear" w:pos="567"/>
        </w:tabs>
        <w:autoSpaceDE w:val="0"/>
        <w:autoSpaceDN w:val="0"/>
        <w:adjustRightInd w:val="0"/>
        <w:spacing w:line="240" w:lineRule="auto"/>
        <w:rPr>
          <w:color w:val="000000"/>
          <w:szCs w:val="22"/>
          <w:lang w:eastAsia="en-GB"/>
        </w:rPr>
      </w:pPr>
    </w:p>
    <w:p w14:paraId="77133740" w14:textId="77777777" w:rsidR="001778AA" w:rsidRPr="001775D9" w:rsidRDefault="001778AA" w:rsidP="001778AA">
      <w:pPr>
        <w:tabs>
          <w:tab w:val="clear" w:pos="567"/>
        </w:tabs>
        <w:autoSpaceDE w:val="0"/>
        <w:autoSpaceDN w:val="0"/>
        <w:adjustRightInd w:val="0"/>
        <w:spacing w:line="240" w:lineRule="auto"/>
        <w:rPr>
          <w:color w:val="000000"/>
          <w:szCs w:val="22"/>
          <w:lang w:eastAsia="en-GB"/>
        </w:rPr>
      </w:pPr>
      <w:r w:rsidRPr="001775D9">
        <w:rPr>
          <w:color w:val="000000"/>
          <w:szCs w:val="22"/>
          <w:lang w:eastAsia="en-GB"/>
        </w:rPr>
        <w:t xml:space="preserve">Any unused medicinal product or waste material should be disposed of in accordance with local requirements. </w:t>
      </w:r>
    </w:p>
    <w:p w14:paraId="373B8052"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00B69D30"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78B8F447" w14:textId="17714E26" w:rsidR="001778AA" w:rsidRPr="001775D9" w:rsidRDefault="001778AA"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7.</w:t>
      </w:r>
      <w:r w:rsidRPr="001775D9">
        <w:rPr>
          <w:b/>
          <w:bCs/>
          <w:color w:val="000000"/>
          <w:szCs w:val="22"/>
          <w:lang w:eastAsia="en-GB"/>
        </w:rPr>
        <w:tab/>
        <w:t xml:space="preserve">MARKETING AUTHORISATION HOLDER </w:t>
      </w:r>
    </w:p>
    <w:p w14:paraId="6A8050B0" w14:textId="77777777" w:rsidR="001778AA" w:rsidRPr="001775D9" w:rsidRDefault="001778AA" w:rsidP="001778AA">
      <w:pPr>
        <w:keepNext/>
        <w:tabs>
          <w:tab w:val="clear" w:pos="567"/>
        </w:tabs>
        <w:autoSpaceDE w:val="0"/>
        <w:autoSpaceDN w:val="0"/>
        <w:adjustRightInd w:val="0"/>
        <w:spacing w:line="240" w:lineRule="auto"/>
        <w:rPr>
          <w:szCs w:val="22"/>
          <w:lang w:eastAsia="en-GB"/>
        </w:rPr>
      </w:pPr>
    </w:p>
    <w:p w14:paraId="57A44FEB" w14:textId="77777777" w:rsidR="001778AA" w:rsidRPr="00D55B59" w:rsidRDefault="001778AA" w:rsidP="00B61D9D">
      <w:pPr>
        <w:keepNext/>
        <w:keepLines/>
        <w:spacing w:line="240" w:lineRule="auto"/>
        <w:rPr>
          <w:szCs w:val="22"/>
          <w:rPrChange w:id="2043" w:author="Author">
            <w:rPr>
              <w:szCs w:val="22"/>
              <w:lang w:val="en-US"/>
            </w:rPr>
          </w:rPrChange>
        </w:rPr>
      </w:pPr>
      <w:r w:rsidRPr="00D55B59">
        <w:rPr>
          <w:szCs w:val="22"/>
          <w:rPrChange w:id="2044" w:author="Author">
            <w:rPr>
              <w:szCs w:val="22"/>
              <w:lang w:val="en-US"/>
            </w:rPr>
          </w:rPrChange>
        </w:rPr>
        <w:t>Amgen Europe B.V.</w:t>
      </w:r>
    </w:p>
    <w:p w14:paraId="559ADE5C" w14:textId="77777777" w:rsidR="001778AA" w:rsidRPr="00D55B59" w:rsidRDefault="001778AA" w:rsidP="00B61D9D">
      <w:pPr>
        <w:keepNext/>
        <w:keepLines/>
        <w:spacing w:line="240" w:lineRule="auto"/>
        <w:rPr>
          <w:szCs w:val="22"/>
          <w:rPrChange w:id="2045" w:author="Author">
            <w:rPr>
              <w:szCs w:val="22"/>
              <w:lang w:val="en-US"/>
            </w:rPr>
          </w:rPrChange>
        </w:rPr>
      </w:pPr>
      <w:r w:rsidRPr="00D55B59">
        <w:rPr>
          <w:szCs w:val="22"/>
          <w:rPrChange w:id="2046" w:author="Author">
            <w:rPr>
              <w:szCs w:val="22"/>
              <w:lang w:val="en-US"/>
            </w:rPr>
          </w:rPrChange>
        </w:rPr>
        <w:t>Minervum 7061</w:t>
      </w:r>
    </w:p>
    <w:p w14:paraId="31515028" w14:textId="77777777" w:rsidR="001778AA" w:rsidRPr="001775D9" w:rsidRDefault="001778AA" w:rsidP="00B61D9D">
      <w:pPr>
        <w:keepNext/>
        <w:keepLines/>
        <w:spacing w:line="240" w:lineRule="auto"/>
        <w:rPr>
          <w:szCs w:val="22"/>
        </w:rPr>
      </w:pPr>
      <w:r w:rsidRPr="001775D9">
        <w:rPr>
          <w:szCs w:val="22"/>
        </w:rPr>
        <w:t>4817 ZK Breda</w:t>
      </w:r>
    </w:p>
    <w:p w14:paraId="177CD51E" w14:textId="77777777" w:rsidR="001778AA" w:rsidRPr="001775D9" w:rsidRDefault="001778AA" w:rsidP="00B61D9D">
      <w:pPr>
        <w:keepNext/>
        <w:keepLines/>
        <w:spacing w:line="240" w:lineRule="auto"/>
        <w:rPr>
          <w:szCs w:val="22"/>
        </w:rPr>
      </w:pPr>
      <w:r w:rsidRPr="001775D9">
        <w:rPr>
          <w:szCs w:val="22"/>
        </w:rPr>
        <w:t>The Netherlands</w:t>
      </w:r>
    </w:p>
    <w:p w14:paraId="2B08976C" w14:textId="77777777" w:rsidR="001778AA" w:rsidRPr="001775D9" w:rsidRDefault="001778AA" w:rsidP="001778AA">
      <w:pPr>
        <w:tabs>
          <w:tab w:val="clear" w:pos="567"/>
        </w:tabs>
        <w:autoSpaceDE w:val="0"/>
        <w:autoSpaceDN w:val="0"/>
        <w:adjustRightInd w:val="0"/>
        <w:spacing w:line="240" w:lineRule="auto"/>
        <w:rPr>
          <w:b/>
          <w:bCs/>
          <w:szCs w:val="22"/>
          <w:lang w:eastAsia="en-GB"/>
        </w:rPr>
      </w:pPr>
    </w:p>
    <w:p w14:paraId="03A5D491" w14:textId="77777777" w:rsidR="001778AA" w:rsidRPr="001775D9" w:rsidRDefault="001778AA" w:rsidP="001778AA">
      <w:pPr>
        <w:tabs>
          <w:tab w:val="clear" w:pos="567"/>
        </w:tabs>
        <w:autoSpaceDE w:val="0"/>
        <w:autoSpaceDN w:val="0"/>
        <w:adjustRightInd w:val="0"/>
        <w:spacing w:line="240" w:lineRule="auto"/>
        <w:rPr>
          <w:b/>
          <w:bCs/>
          <w:color w:val="000000"/>
          <w:szCs w:val="22"/>
          <w:lang w:eastAsia="en-GB"/>
        </w:rPr>
      </w:pPr>
    </w:p>
    <w:p w14:paraId="0BD87959" w14:textId="70CFD128" w:rsidR="001778AA" w:rsidRPr="001775D9" w:rsidRDefault="001778AA" w:rsidP="00E55760">
      <w:pPr>
        <w:tabs>
          <w:tab w:val="clear" w:pos="567"/>
        </w:tabs>
        <w:autoSpaceDE w:val="0"/>
        <w:autoSpaceDN w:val="0"/>
        <w:adjustRightInd w:val="0"/>
        <w:spacing w:line="240" w:lineRule="auto"/>
        <w:ind w:left="567" w:hanging="567"/>
        <w:rPr>
          <w:b/>
          <w:bCs/>
          <w:color w:val="000000"/>
          <w:szCs w:val="22"/>
          <w:lang w:eastAsia="en-GB"/>
        </w:rPr>
      </w:pPr>
      <w:r w:rsidRPr="001775D9">
        <w:rPr>
          <w:b/>
          <w:bCs/>
          <w:color w:val="000000"/>
          <w:szCs w:val="22"/>
          <w:lang w:eastAsia="en-GB"/>
        </w:rPr>
        <w:t>8.</w:t>
      </w:r>
      <w:r w:rsidRPr="001775D9">
        <w:rPr>
          <w:b/>
          <w:bCs/>
          <w:color w:val="000000"/>
          <w:szCs w:val="22"/>
          <w:lang w:eastAsia="en-GB"/>
        </w:rPr>
        <w:tab/>
        <w:t>MARKETING AUTHORISATION NUMBER(S)</w:t>
      </w:r>
    </w:p>
    <w:p w14:paraId="0AB4076E" w14:textId="77777777" w:rsidR="001778AA" w:rsidRPr="001775D9" w:rsidRDefault="001778AA" w:rsidP="00E55760">
      <w:pPr>
        <w:tabs>
          <w:tab w:val="clear" w:pos="567"/>
        </w:tabs>
        <w:autoSpaceDE w:val="0"/>
        <w:autoSpaceDN w:val="0"/>
        <w:adjustRightInd w:val="0"/>
        <w:spacing w:line="240" w:lineRule="auto"/>
        <w:rPr>
          <w:b/>
          <w:bCs/>
          <w:color w:val="000000"/>
          <w:szCs w:val="22"/>
          <w:lang w:eastAsia="en-GB"/>
        </w:rPr>
      </w:pPr>
    </w:p>
    <w:p w14:paraId="378DAE00" w14:textId="77777777" w:rsidR="001778AA" w:rsidRPr="00D55B59" w:rsidRDefault="001778AA" w:rsidP="00E55760">
      <w:pPr>
        <w:pStyle w:val="Default"/>
        <w:rPr>
          <w:sz w:val="22"/>
          <w:szCs w:val="22"/>
          <w:u w:val="single"/>
          <w:lang w:val="en-GB" w:eastAsia="en-GB"/>
          <w:rPrChange w:id="2047" w:author="Author">
            <w:rPr>
              <w:sz w:val="22"/>
              <w:szCs w:val="22"/>
              <w:u w:val="single"/>
              <w:lang w:eastAsia="en-GB"/>
            </w:rPr>
          </w:rPrChange>
        </w:rPr>
      </w:pPr>
      <w:r w:rsidRPr="00D55B59">
        <w:rPr>
          <w:sz w:val="22"/>
          <w:szCs w:val="22"/>
          <w:u w:val="single"/>
          <w:lang w:val="en-GB" w:eastAsia="en-GB"/>
          <w:rPrChange w:id="2048" w:author="Author">
            <w:rPr>
              <w:sz w:val="22"/>
              <w:szCs w:val="22"/>
              <w:u w:val="single"/>
              <w:lang w:eastAsia="en-GB"/>
            </w:rPr>
          </w:rPrChange>
        </w:rPr>
        <w:t>AMGEVITA 20 mg solution for injection in pre-filled syringe</w:t>
      </w:r>
    </w:p>
    <w:p w14:paraId="515901D4" w14:textId="77777777" w:rsidR="001778AA" w:rsidRPr="00D55B59" w:rsidRDefault="001778AA" w:rsidP="00E55760">
      <w:pPr>
        <w:pStyle w:val="Default"/>
        <w:rPr>
          <w:sz w:val="22"/>
          <w:szCs w:val="22"/>
          <w:u w:val="single"/>
          <w:lang w:val="en-GB" w:eastAsia="en-GB"/>
          <w:rPrChange w:id="2049" w:author="Author">
            <w:rPr>
              <w:sz w:val="22"/>
              <w:szCs w:val="22"/>
              <w:u w:val="single"/>
              <w:lang w:eastAsia="en-GB"/>
            </w:rPr>
          </w:rPrChange>
        </w:rPr>
      </w:pPr>
    </w:p>
    <w:p w14:paraId="5EA7F4F6" w14:textId="77777777" w:rsidR="001778AA" w:rsidRPr="001775D9" w:rsidRDefault="001778AA" w:rsidP="00E55760">
      <w:pPr>
        <w:spacing w:line="240" w:lineRule="auto"/>
        <w:rPr>
          <w:color w:val="000000"/>
        </w:rPr>
      </w:pPr>
      <w:r w:rsidRPr="001775D9">
        <w:rPr>
          <w:color w:val="000000"/>
        </w:rPr>
        <w:t>EU/1/16/1164/010 – 1 pack</w:t>
      </w:r>
    </w:p>
    <w:p w14:paraId="6C6D5E20" w14:textId="77777777" w:rsidR="001778AA" w:rsidRPr="001775D9" w:rsidRDefault="001778AA" w:rsidP="00E55760">
      <w:pPr>
        <w:rPr>
          <w:color w:val="000000"/>
        </w:rPr>
      </w:pPr>
    </w:p>
    <w:p w14:paraId="3AC0ECE2" w14:textId="77777777" w:rsidR="001778AA" w:rsidRPr="00D55B59" w:rsidRDefault="001778AA" w:rsidP="00E55760">
      <w:pPr>
        <w:pStyle w:val="Default"/>
        <w:keepNext/>
        <w:keepLines/>
        <w:rPr>
          <w:sz w:val="22"/>
          <w:szCs w:val="22"/>
          <w:u w:val="single"/>
          <w:lang w:val="en-GB" w:eastAsia="en-GB"/>
          <w:rPrChange w:id="2050" w:author="Author">
            <w:rPr>
              <w:sz w:val="22"/>
              <w:szCs w:val="22"/>
              <w:u w:val="single"/>
              <w:lang w:eastAsia="en-GB"/>
            </w:rPr>
          </w:rPrChange>
        </w:rPr>
      </w:pPr>
      <w:r w:rsidRPr="00D55B59">
        <w:rPr>
          <w:sz w:val="22"/>
          <w:szCs w:val="22"/>
          <w:u w:val="single"/>
          <w:lang w:val="en-GB" w:eastAsia="en-GB"/>
          <w:rPrChange w:id="2051" w:author="Author">
            <w:rPr>
              <w:sz w:val="22"/>
              <w:szCs w:val="22"/>
              <w:u w:val="single"/>
              <w:lang w:eastAsia="en-GB"/>
            </w:rPr>
          </w:rPrChange>
        </w:rPr>
        <w:t>AMGEVITA 40 mg solution for injection in pre-filled syringe</w:t>
      </w:r>
    </w:p>
    <w:p w14:paraId="164C6C4D" w14:textId="77777777" w:rsidR="001778AA" w:rsidRPr="00D55B59" w:rsidRDefault="001778AA" w:rsidP="00E55760">
      <w:pPr>
        <w:pStyle w:val="Default"/>
        <w:keepNext/>
        <w:keepLines/>
        <w:rPr>
          <w:sz w:val="22"/>
          <w:szCs w:val="22"/>
          <w:u w:val="single"/>
          <w:lang w:val="en-GB" w:eastAsia="en-GB"/>
          <w:rPrChange w:id="2052" w:author="Author">
            <w:rPr>
              <w:sz w:val="22"/>
              <w:szCs w:val="22"/>
              <w:u w:val="single"/>
              <w:lang w:eastAsia="en-GB"/>
            </w:rPr>
          </w:rPrChange>
        </w:rPr>
      </w:pPr>
    </w:p>
    <w:p w14:paraId="0CE3836B" w14:textId="77777777" w:rsidR="001778AA" w:rsidRPr="00D55B59" w:rsidRDefault="001778AA" w:rsidP="00E55760">
      <w:pPr>
        <w:spacing w:line="240" w:lineRule="auto"/>
        <w:rPr>
          <w:color w:val="000000"/>
          <w:lang w:val="fr-FR"/>
          <w:rPrChange w:id="2053" w:author="Author">
            <w:rPr>
              <w:color w:val="000000"/>
              <w:lang w:val="de-DE"/>
            </w:rPr>
          </w:rPrChange>
        </w:rPr>
      </w:pPr>
      <w:r w:rsidRPr="00D55B59">
        <w:rPr>
          <w:color w:val="000000"/>
          <w:lang w:val="fr-FR"/>
          <w:rPrChange w:id="2054" w:author="Author">
            <w:rPr>
              <w:color w:val="000000"/>
              <w:lang w:val="de-DE"/>
            </w:rPr>
          </w:rPrChange>
        </w:rPr>
        <w:t>EU/1/16/1164/011 – 1 pack</w:t>
      </w:r>
    </w:p>
    <w:p w14:paraId="0F355141" w14:textId="77777777" w:rsidR="001778AA" w:rsidRPr="00D55B59" w:rsidRDefault="001778AA" w:rsidP="00B61D9D">
      <w:pPr>
        <w:spacing w:line="240" w:lineRule="auto"/>
        <w:rPr>
          <w:color w:val="000000"/>
          <w:lang w:val="fr-FR"/>
          <w:rPrChange w:id="2055" w:author="Author">
            <w:rPr>
              <w:color w:val="000000"/>
              <w:lang w:val="de-DE"/>
            </w:rPr>
          </w:rPrChange>
        </w:rPr>
      </w:pPr>
      <w:r w:rsidRPr="00D55B59">
        <w:rPr>
          <w:color w:val="000000"/>
          <w:lang w:val="fr-FR"/>
          <w:rPrChange w:id="2056" w:author="Author">
            <w:rPr>
              <w:color w:val="000000"/>
              <w:lang w:val="de-DE"/>
            </w:rPr>
          </w:rPrChange>
        </w:rPr>
        <w:t>EU/1/16/1164/012 – 2 pack</w:t>
      </w:r>
    </w:p>
    <w:p w14:paraId="0B7AD2A1" w14:textId="5E835724" w:rsidR="001778AA" w:rsidRPr="00D55B59" w:rsidRDefault="001778AA" w:rsidP="00B61D9D">
      <w:pPr>
        <w:spacing w:line="240" w:lineRule="auto"/>
        <w:rPr>
          <w:color w:val="000000"/>
          <w:lang w:val="fr-FR"/>
          <w:rPrChange w:id="2057" w:author="Author">
            <w:rPr>
              <w:color w:val="000000"/>
              <w:lang w:val="de-DE"/>
            </w:rPr>
          </w:rPrChange>
        </w:rPr>
      </w:pPr>
      <w:r w:rsidRPr="00D55B59">
        <w:rPr>
          <w:color w:val="000000"/>
          <w:lang w:val="fr-FR"/>
          <w:rPrChange w:id="2058" w:author="Author">
            <w:rPr>
              <w:color w:val="000000"/>
              <w:lang w:val="de-DE"/>
            </w:rPr>
          </w:rPrChange>
        </w:rPr>
        <w:t>EU/1/16/1164/013 – 6 (3</w:t>
      </w:r>
      <w:r w:rsidR="00FA0311" w:rsidRPr="00D55B59">
        <w:rPr>
          <w:color w:val="000000"/>
          <w:lang w:val="fr-FR"/>
          <w:rPrChange w:id="2059" w:author="Author">
            <w:rPr>
              <w:color w:val="000000"/>
              <w:lang w:val="de-DE"/>
            </w:rPr>
          </w:rPrChange>
        </w:rPr>
        <w:t>×</w:t>
      </w:r>
      <w:r w:rsidRPr="00D55B59">
        <w:rPr>
          <w:color w:val="000000"/>
          <w:lang w:val="fr-FR"/>
          <w:rPrChange w:id="2060" w:author="Author">
            <w:rPr>
              <w:color w:val="000000"/>
              <w:lang w:val="de-DE"/>
            </w:rPr>
          </w:rPrChange>
        </w:rPr>
        <w:t>2) multipack</w:t>
      </w:r>
    </w:p>
    <w:p w14:paraId="01EF1DD1" w14:textId="77777777" w:rsidR="001778AA" w:rsidRPr="00D55B59" w:rsidRDefault="001778AA" w:rsidP="001778AA">
      <w:pPr>
        <w:pStyle w:val="Default"/>
        <w:keepNext/>
        <w:rPr>
          <w:sz w:val="22"/>
          <w:szCs w:val="22"/>
          <w:u w:val="single"/>
          <w:lang w:val="fr-FR" w:eastAsia="en-GB"/>
          <w:rPrChange w:id="2061" w:author="Author">
            <w:rPr>
              <w:sz w:val="22"/>
              <w:szCs w:val="22"/>
              <w:u w:val="single"/>
              <w:lang w:val="fr-CH" w:eastAsia="en-GB"/>
            </w:rPr>
          </w:rPrChange>
        </w:rPr>
      </w:pPr>
    </w:p>
    <w:p w14:paraId="4D579EA9" w14:textId="77777777" w:rsidR="001778AA" w:rsidRPr="00A166A8" w:rsidRDefault="001778AA" w:rsidP="001778AA">
      <w:pPr>
        <w:pStyle w:val="Default"/>
        <w:keepNext/>
        <w:rPr>
          <w:sz w:val="22"/>
          <w:szCs w:val="22"/>
          <w:u w:val="single"/>
          <w:lang w:val="en-US" w:eastAsia="en-GB"/>
        </w:rPr>
      </w:pPr>
      <w:r w:rsidRPr="00A166A8">
        <w:rPr>
          <w:sz w:val="22"/>
          <w:szCs w:val="22"/>
          <w:u w:val="single"/>
          <w:lang w:val="en-US" w:eastAsia="en-GB"/>
        </w:rPr>
        <w:t>AMGEVITA 80 mg solution for injection in pre-filled syringe</w:t>
      </w:r>
    </w:p>
    <w:p w14:paraId="356E9B08" w14:textId="77777777" w:rsidR="001778AA" w:rsidRPr="00A166A8" w:rsidRDefault="001778AA" w:rsidP="001778AA">
      <w:pPr>
        <w:pStyle w:val="Default"/>
        <w:keepNext/>
        <w:rPr>
          <w:sz w:val="22"/>
          <w:szCs w:val="22"/>
          <w:u w:val="single"/>
          <w:lang w:val="en-US" w:eastAsia="en-GB"/>
        </w:rPr>
      </w:pPr>
    </w:p>
    <w:p w14:paraId="6F3E4005" w14:textId="77777777" w:rsidR="001778AA" w:rsidRPr="00D55B59" w:rsidRDefault="001778AA" w:rsidP="00B61D9D">
      <w:pPr>
        <w:keepNext/>
        <w:spacing w:line="240" w:lineRule="auto"/>
        <w:rPr>
          <w:color w:val="000000"/>
          <w:lang w:val="fr-FR"/>
          <w:rPrChange w:id="2062" w:author="Author">
            <w:rPr>
              <w:color w:val="000000"/>
              <w:lang w:val="pt-PT"/>
            </w:rPr>
          </w:rPrChange>
        </w:rPr>
      </w:pPr>
      <w:r w:rsidRPr="00D55B59">
        <w:rPr>
          <w:color w:val="000000"/>
          <w:lang w:val="fr-FR"/>
          <w:rPrChange w:id="2063" w:author="Author">
            <w:rPr>
              <w:color w:val="000000"/>
              <w:lang w:val="pt-PT"/>
            </w:rPr>
          </w:rPrChange>
        </w:rPr>
        <w:t>EU/1/16/1164/017 – 1 pack</w:t>
      </w:r>
    </w:p>
    <w:p w14:paraId="422AEFE9" w14:textId="77777777" w:rsidR="001778AA" w:rsidRPr="00D55B59" w:rsidRDefault="001778AA" w:rsidP="00B61D9D">
      <w:pPr>
        <w:spacing w:line="240" w:lineRule="auto"/>
        <w:rPr>
          <w:color w:val="000000"/>
          <w:lang w:val="fr-FR"/>
          <w:rPrChange w:id="2064" w:author="Author">
            <w:rPr>
              <w:color w:val="000000"/>
              <w:lang w:val="pt-PT"/>
            </w:rPr>
          </w:rPrChange>
        </w:rPr>
      </w:pPr>
      <w:r w:rsidRPr="00D55B59">
        <w:rPr>
          <w:color w:val="000000"/>
          <w:lang w:val="fr-FR"/>
          <w:rPrChange w:id="2065" w:author="Author">
            <w:rPr>
              <w:color w:val="000000"/>
              <w:lang w:val="pt-PT"/>
            </w:rPr>
          </w:rPrChange>
        </w:rPr>
        <w:t>EU/1/16/1164/018 – 2 pack</w:t>
      </w:r>
    </w:p>
    <w:p w14:paraId="04428D4C" w14:textId="1FFC23C6" w:rsidR="001778AA" w:rsidRPr="00D55B59" w:rsidRDefault="001778AA" w:rsidP="00B61D9D">
      <w:pPr>
        <w:spacing w:line="240" w:lineRule="auto"/>
        <w:rPr>
          <w:color w:val="000000"/>
          <w:lang w:val="fr-FR"/>
          <w:rPrChange w:id="2066" w:author="Author">
            <w:rPr>
              <w:color w:val="000000"/>
              <w:lang w:val="pt-PT"/>
            </w:rPr>
          </w:rPrChange>
        </w:rPr>
      </w:pPr>
      <w:r w:rsidRPr="00D55B59">
        <w:rPr>
          <w:color w:val="000000"/>
          <w:lang w:val="fr-FR"/>
          <w:rPrChange w:id="2067" w:author="Author">
            <w:rPr>
              <w:color w:val="000000"/>
              <w:lang w:val="pt-PT"/>
            </w:rPr>
          </w:rPrChange>
        </w:rPr>
        <w:t>EU/1/16/1164/019 – 3 (3</w:t>
      </w:r>
      <w:r w:rsidR="00FA0311" w:rsidRPr="00D55B59">
        <w:rPr>
          <w:color w:val="000000"/>
          <w:lang w:val="fr-FR"/>
          <w:rPrChange w:id="2068" w:author="Author">
            <w:rPr>
              <w:color w:val="000000"/>
              <w:lang w:val="pt-PT"/>
            </w:rPr>
          </w:rPrChange>
        </w:rPr>
        <w:t>×</w:t>
      </w:r>
      <w:r w:rsidRPr="00D55B59">
        <w:rPr>
          <w:color w:val="000000"/>
          <w:lang w:val="fr-FR"/>
          <w:rPrChange w:id="2069" w:author="Author">
            <w:rPr>
              <w:color w:val="000000"/>
              <w:lang w:val="pt-PT"/>
            </w:rPr>
          </w:rPrChange>
        </w:rPr>
        <w:t>1) multipack</w:t>
      </w:r>
    </w:p>
    <w:p w14:paraId="08335350" w14:textId="77777777" w:rsidR="001778AA" w:rsidRPr="00D55B59" w:rsidRDefault="001778AA" w:rsidP="00B61D9D">
      <w:pPr>
        <w:spacing w:line="240" w:lineRule="auto"/>
        <w:rPr>
          <w:color w:val="000000"/>
          <w:lang w:val="fr-FR"/>
          <w:rPrChange w:id="2070" w:author="Author">
            <w:rPr>
              <w:color w:val="000000"/>
              <w:lang w:val="pt-PT"/>
            </w:rPr>
          </w:rPrChange>
        </w:rPr>
      </w:pPr>
    </w:p>
    <w:p w14:paraId="340FC81B" w14:textId="77777777" w:rsidR="001778AA" w:rsidRPr="00D55B59" w:rsidRDefault="001778AA" w:rsidP="001778AA">
      <w:pPr>
        <w:pStyle w:val="Default"/>
        <w:keepNext/>
        <w:keepLines/>
        <w:rPr>
          <w:color w:val="auto"/>
          <w:sz w:val="22"/>
          <w:szCs w:val="22"/>
          <w:u w:val="single"/>
          <w:lang w:val="en-GB" w:eastAsia="en-GB"/>
          <w:rPrChange w:id="2071" w:author="Author">
            <w:rPr>
              <w:color w:val="auto"/>
              <w:sz w:val="22"/>
              <w:szCs w:val="22"/>
              <w:u w:val="single"/>
              <w:lang w:eastAsia="en-GB"/>
            </w:rPr>
          </w:rPrChange>
        </w:rPr>
      </w:pPr>
      <w:r w:rsidRPr="00D55B59">
        <w:rPr>
          <w:sz w:val="22"/>
          <w:szCs w:val="22"/>
          <w:u w:val="single"/>
          <w:lang w:val="en-GB" w:eastAsia="en-GB"/>
          <w:rPrChange w:id="2072" w:author="Author">
            <w:rPr>
              <w:sz w:val="22"/>
              <w:szCs w:val="22"/>
              <w:u w:val="single"/>
              <w:lang w:eastAsia="en-GB"/>
            </w:rPr>
          </w:rPrChange>
        </w:rPr>
        <w:t>AMGEVITA</w:t>
      </w:r>
      <w:r w:rsidRPr="00D55B59">
        <w:rPr>
          <w:color w:val="auto"/>
          <w:sz w:val="22"/>
          <w:szCs w:val="22"/>
          <w:u w:val="single"/>
          <w:lang w:val="en-GB" w:eastAsia="en-GB"/>
          <w:rPrChange w:id="2073" w:author="Author">
            <w:rPr>
              <w:color w:val="auto"/>
              <w:sz w:val="22"/>
              <w:szCs w:val="22"/>
              <w:u w:val="single"/>
              <w:lang w:eastAsia="en-GB"/>
            </w:rPr>
          </w:rPrChange>
        </w:rPr>
        <w:t xml:space="preserve"> 40</w:t>
      </w:r>
      <w:r w:rsidRPr="00D55B59">
        <w:rPr>
          <w:color w:val="auto"/>
          <w:sz w:val="22"/>
          <w:szCs w:val="22"/>
          <w:u w:val="single"/>
          <w:lang w:val="en-GB"/>
          <w:rPrChange w:id="2074" w:author="Author">
            <w:rPr>
              <w:color w:val="auto"/>
              <w:sz w:val="22"/>
              <w:szCs w:val="22"/>
              <w:u w:val="single"/>
            </w:rPr>
          </w:rPrChange>
        </w:rPr>
        <w:t> </w:t>
      </w:r>
      <w:r w:rsidRPr="00D55B59">
        <w:rPr>
          <w:color w:val="auto"/>
          <w:sz w:val="22"/>
          <w:szCs w:val="22"/>
          <w:u w:val="single"/>
          <w:lang w:val="en-GB" w:eastAsia="en-GB"/>
          <w:rPrChange w:id="2075" w:author="Author">
            <w:rPr>
              <w:color w:val="auto"/>
              <w:sz w:val="22"/>
              <w:szCs w:val="22"/>
              <w:u w:val="single"/>
              <w:lang w:eastAsia="en-GB"/>
            </w:rPr>
          </w:rPrChange>
        </w:rPr>
        <w:t xml:space="preserve">mg solution for injection in pre-filled pen </w:t>
      </w:r>
    </w:p>
    <w:p w14:paraId="5C7C7572" w14:textId="77777777" w:rsidR="001778AA" w:rsidRPr="00D55B59" w:rsidRDefault="001778AA" w:rsidP="001778AA">
      <w:pPr>
        <w:pStyle w:val="Default"/>
        <w:keepNext/>
        <w:keepLines/>
        <w:rPr>
          <w:color w:val="auto"/>
          <w:sz w:val="22"/>
          <w:szCs w:val="22"/>
          <w:u w:val="single"/>
          <w:lang w:val="en-GB" w:eastAsia="en-GB"/>
          <w:rPrChange w:id="2076" w:author="Author">
            <w:rPr>
              <w:color w:val="auto"/>
              <w:sz w:val="22"/>
              <w:szCs w:val="22"/>
              <w:u w:val="single"/>
              <w:lang w:eastAsia="en-GB"/>
            </w:rPr>
          </w:rPrChange>
        </w:rPr>
      </w:pPr>
    </w:p>
    <w:p w14:paraId="2DB274C0" w14:textId="77777777" w:rsidR="001778AA" w:rsidRPr="00D55B59" w:rsidRDefault="001778AA" w:rsidP="00B61D9D">
      <w:pPr>
        <w:keepNext/>
        <w:keepLines/>
        <w:spacing w:line="240" w:lineRule="auto"/>
        <w:rPr>
          <w:color w:val="000000"/>
          <w:lang w:val="fr-FR"/>
          <w:rPrChange w:id="2077" w:author="Author">
            <w:rPr>
              <w:color w:val="000000"/>
              <w:lang w:val="pt-PT"/>
            </w:rPr>
          </w:rPrChange>
        </w:rPr>
      </w:pPr>
      <w:r w:rsidRPr="00D55B59">
        <w:rPr>
          <w:color w:val="000000"/>
          <w:lang w:val="fr-FR"/>
          <w:rPrChange w:id="2078" w:author="Author">
            <w:rPr>
              <w:color w:val="000000"/>
              <w:lang w:val="pt-PT"/>
            </w:rPr>
          </w:rPrChange>
        </w:rPr>
        <w:t>EU/1/16/1164/014 – 1 pack</w:t>
      </w:r>
    </w:p>
    <w:p w14:paraId="3235B787" w14:textId="77777777" w:rsidR="001778AA" w:rsidRPr="00D55B59" w:rsidRDefault="001778AA" w:rsidP="00B61D9D">
      <w:pPr>
        <w:keepNext/>
        <w:keepLines/>
        <w:spacing w:line="240" w:lineRule="auto"/>
        <w:rPr>
          <w:color w:val="000000"/>
          <w:lang w:val="fr-FR"/>
          <w:rPrChange w:id="2079" w:author="Author">
            <w:rPr>
              <w:color w:val="000000"/>
              <w:lang w:val="pt-PT"/>
            </w:rPr>
          </w:rPrChange>
        </w:rPr>
      </w:pPr>
      <w:r w:rsidRPr="00D55B59">
        <w:rPr>
          <w:color w:val="000000"/>
          <w:lang w:val="fr-FR"/>
          <w:rPrChange w:id="2080" w:author="Author">
            <w:rPr>
              <w:color w:val="000000"/>
              <w:lang w:val="pt-PT"/>
            </w:rPr>
          </w:rPrChange>
        </w:rPr>
        <w:t>EU/1/16/1164/015 – 2 pack</w:t>
      </w:r>
    </w:p>
    <w:p w14:paraId="51CE7E59" w14:textId="1AB2B481" w:rsidR="001778AA" w:rsidRPr="00D55B59" w:rsidRDefault="001778AA" w:rsidP="00B61D9D">
      <w:pPr>
        <w:spacing w:line="240" w:lineRule="auto"/>
        <w:rPr>
          <w:color w:val="000000"/>
          <w:lang w:val="fr-FR"/>
          <w:rPrChange w:id="2081" w:author="Author">
            <w:rPr>
              <w:color w:val="000000"/>
              <w:lang w:val="pt-PT"/>
            </w:rPr>
          </w:rPrChange>
        </w:rPr>
      </w:pPr>
      <w:r w:rsidRPr="00D55B59">
        <w:rPr>
          <w:color w:val="000000"/>
          <w:lang w:val="fr-FR"/>
          <w:rPrChange w:id="2082" w:author="Author">
            <w:rPr>
              <w:color w:val="000000"/>
              <w:lang w:val="pt-PT"/>
            </w:rPr>
          </w:rPrChange>
        </w:rPr>
        <w:t>EU/1/16/1164/016 – 6 (3</w:t>
      </w:r>
      <w:r w:rsidR="00FA0311" w:rsidRPr="00D55B59">
        <w:rPr>
          <w:color w:val="000000"/>
          <w:lang w:val="fr-FR"/>
          <w:rPrChange w:id="2083" w:author="Author">
            <w:rPr>
              <w:color w:val="000000"/>
              <w:lang w:val="pt-PT"/>
            </w:rPr>
          </w:rPrChange>
        </w:rPr>
        <w:t>×</w:t>
      </w:r>
      <w:r w:rsidRPr="00D55B59">
        <w:rPr>
          <w:color w:val="000000"/>
          <w:lang w:val="fr-FR"/>
          <w:rPrChange w:id="2084" w:author="Author">
            <w:rPr>
              <w:color w:val="000000"/>
              <w:lang w:val="pt-PT"/>
            </w:rPr>
          </w:rPrChange>
        </w:rPr>
        <w:t>2) multipack</w:t>
      </w:r>
    </w:p>
    <w:p w14:paraId="79D20108" w14:textId="77777777" w:rsidR="001778AA" w:rsidRPr="00D55B59" w:rsidRDefault="001778AA" w:rsidP="00B61D9D">
      <w:pPr>
        <w:spacing w:line="240" w:lineRule="auto"/>
        <w:rPr>
          <w:color w:val="000000"/>
          <w:lang w:val="fr-FR"/>
          <w:rPrChange w:id="2085" w:author="Author">
            <w:rPr>
              <w:color w:val="000000"/>
              <w:lang w:val="pt-PT"/>
            </w:rPr>
          </w:rPrChange>
        </w:rPr>
      </w:pPr>
    </w:p>
    <w:p w14:paraId="087E94E8" w14:textId="77777777" w:rsidR="001778AA" w:rsidRPr="00D55B59" w:rsidRDefault="001778AA" w:rsidP="001778AA">
      <w:pPr>
        <w:pStyle w:val="Default"/>
        <w:keepNext/>
        <w:keepLines/>
        <w:rPr>
          <w:color w:val="auto"/>
          <w:sz w:val="22"/>
          <w:szCs w:val="22"/>
          <w:u w:val="single"/>
          <w:lang w:val="en-GB" w:eastAsia="en-GB"/>
          <w:rPrChange w:id="2086" w:author="Author">
            <w:rPr>
              <w:color w:val="auto"/>
              <w:sz w:val="22"/>
              <w:szCs w:val="22"/>
              <w:u w:val="single"/>
              <w:lang w:eastAsia="en-GB"/>
            </w:rPr>
          </w:rPrChange>
        </w:rPr>
      </w:pPr>
      <w:r w:rsidRPr="00D55B59">
        <w:rPr>
          <w:sz w:val="22"/>
          <w:szCs w:val="22"/>
          <w:u w:val="single"/>
          <w:lang w:val="en-GB" w:eastAsia="en-GB"/>
          <w:rPrChange w:id="2087" w:author="Author">
            <w:rPr>
              <w:sz w:val="22"/>
              <w:szCs w:val="22"/>
              <w:u w:val="single"/>
              <w:lang w:eastAsia="en-GB"/>
            </w:rPr>
          </w:rPrChange>
        </w:rPr>
        <w:t>AMGEVITA</w:t>
      </w:r>
      <w:r w:rsidRPr="00D55B59">
        <w:rPr>
          <w:color w:val="auto"/>
          <w:sz w:val="22"/>
          <w:szCs w:val="22"/>
          <w:u w:val="single"/>
          <w:lang w:val="en-GB" w:eastAsia="en-GB"/>
          <w:rPrChange w:id="2088" w:author="Author">
            <w:rPr>
              <w:color w:val="auto"/>
              <w:sz w:val="22"/>
              <w:szCs w:val="22"/>
              <w:u w:val="single"/>
              <w:lang w:eastAsia="en-GB"/>
            </w:rPr>
          </w:rPrChange>
        </w:rPr>
        <w:t xml:space="preserve"> 80</w:t>
      </w:r>
      <w:r w:rsidRPr="00D55B59">
        <w:rPr>
          <w:color w:val="auto"/>
          <w:sz w:val="22"/>
          <w:szCs w:val="22"/>
          <w:u w:val="single"/>
          <w:lang w:val="en-GB"/>
          <w:rPrChange w:id="2089" w:author="Author">
            <w:rPr>
              <w:color w:val="auto"/>
              <w:sz w:val="22"/>
              <w:szCs w:val="22"/>
              <w:u w:val="single"/>
            </w:rPr>
          </w:rPrChange>
        </w:rPr>
        <w:t> </w:t>
      </w:r>
      <w:r w:rsidRPr="00D55B59">
        <w:rPr>
          <w:color w:val="auto"/>
          <w:sz w:val="22"/>
          <w:szCs w:val="22"/>
          <w:u w:val="single"/>
          <w:lang w:val="en-GB" w:eastAsia="en-GB"/>
          <w:rPrChange w:id="2090" w:author="Author">
            <w:rPr>
              <w:color w:val="auto"/>
              <w:sz w:val="22"/>
              <w:szCs w:val="22"/>
              <w:u w:val="single"/>
              <w:lang w:eastAsia="en-GB"/>
            </w:rPr>
          </w:rPrChange>
        </w:rPr>
        <w:t xml:space="preserve">mg solution for injection in pre-filled pen </w:t>
      </w:r>
    </w:p>
    <w:p w14:paraId="7B234BA3" w14:textId="77777777" w:rsidR="001778AA" w:rsidRPr="00D55B59" w:rsidRDefault="001778AA" w:rsidP="001778AA">
      <w:pPr>
        <w:pStyle w:val="Default"/>
        <w:keepNext/>
        <w:keepLines/>
        <w:rPr>
          <w:color w:val="auto"/>
          <w:sz w:val="22"/>
          <w:szCs w:val="22"/>
          <w:u w:val="single"/>
          <w:lang w:val="en-GB" w:eastAsia="en-GB"/>
          <w:rPrChange w:id="2091" w:author="Author">
            <w:rPr>
              <w:color w:val="auto"/>
              <w:sz w:val="22"/>
              <w:szCs w:val="22"/>
              <w:u w:val="single"/>
              <w:lang w:eastAsia="en-GB"/>
            </w:rPr>
          </w:rPrChange>
        </w:rPr>
      </w:pPr>
    </w:p>
    <w:p w14:paraId="1419B7BC" w14:textId="77777777" w:rsidR="001778AA" w:rsidRPr="00D55B59" w:rsidRDefault="001778AA" w:rsidP="00B61D9D">
      <w:pPr>
        <w:keepNext/>
        <w:keepLines/>
        <w:spacing w:line="240" w:lineRule="auto"/>
        <w:rPr>
          <w:color w:val="000000"/>
          <w:lang w:val="fr-FR"/>
          <w:rPrChange w:id="2092" w:author="Author">
            <w:rPr>
              <w:color w:val="000000"/>
              <w:lang w:val="pt-PT"/>
            </w:rPr>
          </w:rPrChange>
        </w:rPr>
      </w:pPr>
      <w:r w:rsidRPr="00D55B59">
        <w:rPr>
          <w:color w:val="000000"/>
          <w:lang w:val="fr-FR"/>
          <w:rPrChange w:id="2093" w:author="Author">
            <w:rPr>
              <w:color w:val="000000"/>
              <w:lang w:val="pt-PT"/>
            </w:rPr>
          </w:rPrChange>
        </w:rPr>
        <w:t>EU/1/16/1164/020 – 1 pack</w:t>
      </w:r>
    </w:p>
    <w:p w14:paraId="39AA632A" w14:textId="77777777" w:rsidR="001778AA" w:rsidRPr="00D55B59" w:rsidRDefault="001778AA" w:rsidP="00B61D9D">
      <w:pPr>
        <w:keepNext/>
        <w:keepLines/>
        <w:spacing w:line="240" w:lineRule="auto"/>
        <w:rPr>
          <w:color w:val="000000"/>
          <w:lang w:val="fr-FR"/>
          <w:rPrChange w:id="2094" w:author="Author">
            <w:rPr>
              <w:color w:val="000000"/>
              <w:lang w:val="pt-PT"/>
            </w:rPr>
          </w:rPrChange>
        </w:rPr>
      </w:pPr>
      <w:r w:rsidRPr="00D55B59">
        <w:rPr>
          <w:color w:val="000000"/>
          <w:lang w:val="fr-FR"/>
          <w:rPrChange w:id="2095" w:author="Author">
            <w:rPr>
              <w:color w:val="000000"/>
              <w:lang w:val="pt-PT"/>
            </w:rPr>
          </w:rPrChange>
        </w:rPr>
        <w:t>EU/1/16/1164/021 – 2 pack</w:t>
      </w:r>
    </w:p>
    <w:p w14:paraId="58AB211E" w14:textId="1CB10207" w:rsidR="001778AA" w:rsidRPr="00D55B59" w:rsidRDefault="001778AA" w:rsidP="00B61D9D">
      <w:pPr>
        <w:spacing w:line="240" w:lineRule="auto"/>
        <w:rPr>
          <w:color w:val="000000"/>
          <w:lang w:val="fr-FR"/>
          <w:rPrChange w:id="2096" w:author="Author">
            <w:rPr>
              <w:color w:val="000000"/>
              <w:lang w:val="pt-PT"/>
            </w:rPr>
          </w:rPrChange>
        </w:rPr>
      </w:pPr>
      <w:r w:rsidRPr="00D55B59">
        <w:rPr>
          <w:color w:val="000000"/>
          <w:lang w:val="fr-FR"/>
          <w:rPrChange w:id="2097" w:author="Author">
            <w:rPr>
              <w:color w:val="000000"/>
              <w:lang w:val="pt-PT"/>
            </w:rPr>
          </w:rPrChange>
        </w:rPr>
        <w:t>EU/1/16/1164/022 – 3 (3</w:t>
      </w:r>
      <w:r w:rsidR="00FA0311" w:rsidRPr="00D55B59">
        <w:rPr>
          <w:color w:val="000000"/>
          <w:lang w:val="fr-FR"/>
          <w:rPrChange w:id="2098" w:author="Author">
            <w:rPr>
              <w:color w:val="000000"/>
              <w:lang w:val="pt-PT"/>
            </w:rPr>
          </w:rPrChange>
        </w:rPr>
        <w:t>×</w:t>
      </w:r>
      <w:r w:rsidRPr="00D55B59">
        <w:rPr>
          <w:color w:val="000000"/>
          <w:lang w:val="fr-FR"/>
          <w:rPrChange w:id="2099" w:author="Author">
            <w:rPr>
              <w:color w:val="000000"/>
              <w:lang w:val="pt-PT"/>
            </w:rPr>
          </w:rPrChange>
        </w:rPr>
        <w:t>1) multipack</w:t>
      </w:r>
    </w:p>
    <w:p w14:paraId="1800C82E" w14:textId="77777777" w:rsidR="001778AA" w:rsidRPr="00D55B59" w:rsidRDefault="001778AA" w:rsidP="001778AA">
      <w:pPr>
        <w:tabs>
          <w:tab w:val="clear" w:pos="567"/>
        </w:tabs>
        <w:autoSpaceDE w:val="0"/>
        <w:autoSpaceDN w:val="0"/>
        <w:adjustRightInd w:val="0"/>
        <w:spacing w:line="240" w:lineRule="auto"/>
        <w:rPr>
          <w:color w:val="000000"/>
          <w:szCs w:val="22"/>
          <w:lang w:val="fr-FR" w:eastAsia="en-GB"/>
          <w:rPrChange w:id="2100" w:author="Author">
            <w:rPr>
              <w:color w:val="000000"/>
              <w:szCs w:val="22"/>
              <w:lang w:val="fr-CH" w:eastAsia="en-GB"/>
            </w:rPr>
          </w:rPrChange>
        </w:rPr>
      </w:pPr>
    </w:p>
    <w:p w14:paraId="710C4DAC" w14:textId="77777777" w:rsidR="001778AA" w:rsidRPr="00D55B59" w:rsidRDefault="001778AA" w:rsidP="001778AA">
      <w:pPr>
        <w:tabs>
          <w:tab w:val="clear" w:pos="567"/>
        </w:tabs>
        <w:autoSpaceDE w:val="0"/>
        <w:autoSpaceDN w:val="0"/>
        <w:adjustRightInd w:val="0"/>
        <w:spacing w:line="240" w:lineRule="auto"/>
        <w:rPr>
          <w:bCs/>
          <w:color w:val="000000"/>
          <w:szCs w:val="22"/>
          <w:lang w:val="fr-FR" w:eastAsia="en-GB"/>
          <w:rPrChange w:id="2101" w:author="Author">
            <w:rPr>
              <w:bCs/>
              <w:color w:val="000000"/>
              <w:szCs w:val="22"/>
              <w:lang w:val="fr-CH" w:eastAsia="en-GB"/>
            </w:rPr>
          </w:rPrChange>
        </w:rPr>
      </w:pPr>
    </w:p>
    <w:p w14:paraId="000CABD6" w14:textId="6F97E510" w:rsidR="001778AA" w:rsidRPr="001775D9" w:rsidRDefault="001778AA"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9.</w:t>
      </w:r>
      <w:r w:rsidRPr="001775D9">
        <w:rPr>
          <w:b/>
          <w:bCs/>
          <w:color w:val="000000"/>
          <w:szCs w:val="22"/>
          <w:lang w:eastAsia="en-GB"/>
        </w:rPr>
        <w:tab/>
        <w:t xml:space="preserve">DATE OF FIRST AUTHORISATION/RENEWAL OF THE AUTHORISATION </w:t>
      </w:r>
    </w:p>
    <w:p w14:paraId="0128D709"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16CE20C8"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r w:rsidRPr="001775D9">
        <w:rPr>
          <w:color w:val="000000"/>
          <w:szCs w:val="22"/>
          <w:lang w:eastAsia="en-GB"/>
        </w:rPr>
        <w:t>Date of first authorisation: 22 March 2017</w:t>
      </w:r>
    </w:p>
    <w:p w14:paraId="7CCC55BD" w14:textId="2E3DC6D1" w:rsidR="001778AA" w:rsidRPr="001775D9" w:rsidRDefault="001778AA" w:rsidP="001778AA">
      <w:pPr>
        <w:spacing w:line="240" w:lineRule="auto"/>
        <w:rPr>
          <w:color w:val="000000"/>
          <w:szCs w:val="22"/>
          <w:lang w:eastAsia="en-GB"/>
        </w:rPr>
      </w:pPr>
      <w:r w:rsidRPr="001775D9">
        <w:rPr>
          <w:color w:val="000000"/>
          <w:szCs w:val="22"/>
          <w:lang w:eastAsia="en-GB"/>
        </w:rPr>
        <w:t xml:space="preserve">Date of latest renewal: </w:t>
      </w:r>
      <w:r w:rsidR="004807CF" w:rsidRPr="001775D9">
        <w:rPr>
          <w:color w:val="000000"/>
          <w:szCs w:val="22"/>
          <w:lang w:eastAsia="en-GB"/>
        </w:rPr>
        <w:t>09 December 2021</w:t>
      </w:r>
    </w:p>
    <w:p w14:paraId="460221F0" w14:textId="77777777" w:rsidR="001778AA" w:rsidRPr="001775D9" w:rsidRDefault="001778AA" w:rsidP="001778AA">
      <w:pPr>
        <w:spacing w:line="240" w:lineRule="auto"/>
        <w:rPr>
          <w:color w:val="000000"/>
          <w:szCs w:val="22"/>
          <w:lang w:eastAsia="en-GB"/>
        </w:rPr>
      </w:pPr>
    </w:p>
    <w:p w14:paraId="5ADCBDFE" w14:textId="77777777" w:rsidR="001778AA" w:rsidRPr="001775D9" w:rsidRDefault="001778AA" w:rsidP="001778AA">
      <w:pPr>
        <w:spacing w:line="240" w:lineRule="auto"/>
        <w:rPr>
          <w:color w:val="000000"/>
          <w:szCs w:val="22"/>
          <w:lang w:eastAsia="en-GB"/>
        </w:rPr>
      </w:pPr>
    </w:p>
    <w:p w14:paraId="61718FE4" w14:textId="313B88A1" w:rsidR="001778AA" w:rsidRPr="001775D9" w:rsidRDefault="001778AA" w:rsidP="00B61D9D">
      <w:pPr>
        <w:keepNext/>
        <w:tabs>
          <w:tab w:val="clear" w:pos="567"/>
        </w:tabs>
        <w:autoSpaceDE w:val="0"/>
        <w:autoSpaceDN w:val="0"/>
        <w:adjustRightInd w:val="0"/>
        <w:spacing w:line="240" w:lineRule="auto"/>
        <w:ind w:left="567" w:hanging="567"/>
        <w:rPr>
          <w:color w:val="000000"/>
          <w:szCs w:val="22"/>
          <w:lang w:eastAsia="en-GB"/>
        </w:rPr>
      </w:pPr>
      <w:r w:rsidRPr="001775D9">
        <w:rPr>
          <w:b/>
          <w:bCs/>
          <w:color w:val="000000"/>
          <w:szCs w:val="22"/>
          <w:lang w:eastAsia="en-GB"/>
        </w:rPr>
        <w:t>10.</w:t>
      </w:r>
      <w:r w:rsidRPr="001775D9">
        <w:rPr>
          <w:b/>
          <w:bCs/>
          <w:color w:val="000000"/>
          <w:szCs w:val="22"/>
          <w:lang w:eastAsia="en-GB"/>
        </w:rPr>
        <w:tab/>
        <w:t xml:space="preserve">DATE OF REVISION OF THE TEXT </w:t>
      </w:r>
    </w:p>
    <w:p w14:paraId="5CA9F6C4"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7F6CAE57" w14:textId="77777777" w:rsidR="001778AA" w:rsidRPr="001775D9" w:rsidRDefault="001778AA" w:rsidP="001778AA">
      <w:pPr>
        <w:keepNext/>
        <w:tabs>
          <w:tab w:val="clear" w:pos="567"/>
        </w:tabs>
        <w:autoSpaceDE w:val="0"/>
        <w:autoSpaceDN w:val="0"/>
        <w:adjustRightInd w:val="0"/>
        <w:spacing w:line="240" w:lineRule="auto"/>
        <w:rPr>
          <w:color w:val="000000"/>
          <w:szCs w:val="22"/>
          <w:lang w:eastAsia="en-GB"/>
        </w:rPr>
      </w:pPr>
    </w:p>
    <w:p w14:paraId="07694A74" w14:textId="77777777" w:rsidR="001778AA" w:rsidRPr="001775D9" w:rsidRDefault="001778AA" w:rsidP="001778AA">
      <w:pPr>
        <w:keepNext/>
        <w:spacing w:line="240" w:lineRule="auto"/>
        <w:rPr>
          <w:color w:val="000000"/>
          <w:szCs w:val="22"/>
          <w:lang w:eastAsia="en-GB"/>
        </w:rPr>
      </w:pPr>
    </w:p>
    <w:p w14:paraId="6D59E794" w14:textId="77777777" w:rsidR="001778AA" w:rsidRPr="001775D9" w:rsidRDefault="001778AA" w:rsidP="001778AA">
      <w:pPr>
        <w:keepNext/>
        <w:spacing w:line="240" w:lineRule="auto"/>
        <w:rPr>
          <w:szCs w:val="22"/>
        </w:rPr>
      </w:pPr>
      <w:r w:rsidRPr="001775D9">
        <w:rPr>
          <w:color w:val="000000"/>
          <w:szCs w:val="22"/>
          <w:lang w:eastAsia="en-GB"/>
        </w:rPr>
        <w:t xml:space="preserve">Detailed information on this medicinal product is available on the website of the European Medicines Agency </w:t>
      </w:r>
      <w:hyperlink r:id="rId21" w:history="1">
        <w:r w:rsidRPr="001775D9">
          <w:rPr>
            <w:rStyle w:val="Hyperlink"/>
            <w:szCs w:val="22"/>
          </w:rPr>
          <w:t>http://www.ema.europa.eu</w:t>
        </w:r>
      </w:hyperlink>
      <w:r w:rsidRPr="001775D9">
        <w:rPr>
          <w:rStyle w:val="Hyperlink"/>
          <w:color w:val="auto"/>
          <w:szCs w:val="22"/>
          <w:u w:val="none"/>
        </w:rPr>
        <w:t>.</w:t>
      </w:r>
    </w:p>
    <w:p w14:paraId="189A713D" w14:textId="36B9547B" w:rsidR="005240DA" w:rsidRPr="001775D9" w:rsidRDefault="001778AA" w:rsidP="001778AA">
      <w:pPr>
        <w:autoSpaceDE w:val="0"/>
        <w:autoSpaceDN w:val="0"/>
        <w:adjustRightInd w:val="0"/>
        <w:spacing w:line="240" w:lineRule="auto"/>
        <w:ind w:left="125" w:right="119"/>
        <w:jc w:val="center"/>
        <w:rPr>
          <w:b/>
          <w:color w:val="000000"/>
          <w:szCs w:val="22"/>
        </w:rPr>
      </w:pPr>
      <w:r w:rsidRPr="001775D9">
        <w:rPr>
          <w:b/>
          <w:color w:val="000000"/>
          <w:szCs w:val="22"/>
        </w:rPr>
        <w:br w:type="page"/>
      </w:r>
    </w:p>
    <w:p w14:paraId="77F6EE4C" w14:textId="77777777" w:rsidR="005240DA" w:rsidRPr="001775D9" w:rsidRDefault="005240DA" w:rsidP="00FB5458">
      <w:pPr>
        <w:autoSpaceDE w:val="0"/>
        <w:autoSpaceDN w:val="0"/>
        <w:adjustRightInd w:val="0"/>
        <w:spacing w:line="240" w:lineRule="auto"/>
        <w:ind w:left="125" w:right="119"/>
        <w:jc w:val="center"/>
        <w:rPr>
          <w:b/>
          <w:color w:val="000000"/>
          <w:szCs w:val="22"/>
        </w:rPr>
      </w:pPr>
    </w:p>
    <w:p w14:paraId="5720E234" w14:textId="77777777" w:rsidR="005240DA" w:rsidRPr="001775D9" w:rsidRDefault="005240DA" w:rsidP="00FB5458">
      <w:pPr>
        <w:autoSpaceDE w:val="0"/>
        <w:autoSpaceDN w:val="0"/>
        <w:adjustRightInd w:val="0"/>
        <w:spacing w:line="240" w:lineRule="auto"/>
        <w:ind w:left="125" w:right="119"/>
        <w:jc w:val="center"/>
        <w:rPr>
          <w:b/>
          <w:color w:val="000000"/>
          <w:szCs w:val="22"/>
        </w:rPr>
      </w:pPr>
    </w:p>
    <w:p w14:paraId="2392C3D4" w14:textId="77777777" w:rsidR="005240DA" w:rsidRPr="001775D9" w:rsidRDefault="005240DA" w:rsidP="00FB5458">
      <w:pPr>
        <w:autoSpaceDE w:val="0"/>
        <w:autoSpaceDN w:val="0"/>
        <w:adjustRightInd w:val="0"/>
        <w:spacing w:line="240" w:lineRule="auto"/>
        <w:ind w:left="125" w:right="119"/>
        <w:jc w:val="center"/>
        <w:rPr>
          <w:b/>
          <w:color w:val="000000"/>
          <w:szCs w:val="22"/>
        </w:rPr>
      </w:pPr>
    </w:p>
    <w:p w14:paraId="506F54D0" w14:textId="77777777" w:rsidR="005240DA" w:rsidRPr="001775D9" w:rsidRDefault="005240DA" w:rsidP="00FB5458">
      <w:pPr>
        <w:autoSpaceDE w:val="0"/>
        <w:autoSpaceDN w:val="0"/>
        <w:adjustRightInd w:val="0"/>
        <w:spacing w:line="240" w:lineRule="auto"/>
        <w:ind w:left="125" w:right="119"/>
        <w:jc w:val="center"/>
        <w:rPr>
          <w:b/>
          <w:color w:val="000000"/>
          <w:szCs w:val="22"/>
        </w:rPr>
      </w:pPr>
    </w:p>
    <w:p w14:paraId="5A157D43" w14:textId="77777777" w:rsidR="005240DA" w:rsidRPr="001775D9" w:rsidRDefault="005240DA" w:rsidP="00FB5458">
      <w:pPr>
        <w:autoSpaceDE w:val="0"/>
        <w:autoSpaceDN w:val="0"/>
        <w:adjustRightInd w:val="0"/>
        <w:spacing w:line="240" w:lineRule="auto"/>
        <w:ind w:left="125" w:right="119"/>
        <w:jc w:val="center"/>
        <w:rPr>
          <w:b/>
          <w:color w:val="000000"/>
          <w:szCs w:val="22"/>
        </w:rPr>
      </w:pPr>
    </w:p>
    <w:p w14:paraId="05735B0B" w14:textId="77777777" w:rsidR="005240DA" w:rsidRPr="001775D9" w:rsidRDefault="005240DA" w:rsidP="00FB5458">
      <w:pPr>
        <w:autoSpaceDE w:val="0"/>
        <w:autoSpaceDN w:val="0"/>
        <w:adjustRightInd w:val="0"/>
        <w:spacing w:line="240" w:lineRule="auto"/>
        <w:ind w:left="125" w:right="119"/>
        <w:jc w:val="center"/>
        <w:rPr>
          <w:b/>
          <w:color w:val="000000"/>
          <w:szCs w:val="22"/>
        </w:rPr>
      </w:pPr>
    </w:p>
    <w:p w14:paraId="35787775" w14:textId="77777777" w:rsidR="005240DA" w:rsidRPr="001775D9" w:rsidRDefault="005240DA" w:rsidP="00FB5458">
      <w:pPr>
        <w:autoSpaceDE w:val="0"/>
        <w:autoSpaceDN w:val="0"/>
        <w:adjustRightInd w:val="0"/>
        <w:spacing w:line="240" w:lineRule="auto"/>
        <w:ind w:left="125" w:right="119"/>
        <w:jc w:val="center"/>
        <w:rPr>
          <w:b/>
          <w:color w:val="000000"/>
          <w:szCs w:val="22"/>
        </w:rPr>
      </w:pPr>
    </w:p>
    <w:p w14:paraId="698BA1C3" w14:textId="77777777" w:rsidR="005240DA" w:rsidRPr="001775D9" w:rsidRDefault="005240DA" w:rsidP="00FB5458">
      <w:pPr>
        <w:autoSpaceDE w:val="0"/>
        <w:autoSpaceDN w:val="0"/>
        <w:adjustRightInd w:val="0"/>
        <w:spacing w:line="240" w:lineRule="auto"/>
        <w:ind w:left="125" w:right="119"/>
        <w:jc w:val="center"/>
        <w:rPr>
          <w:b/>
          <w:color w:val="000000"/>
          <w:szCs w:val="22"/>
        </w:rPr>
      </w:pPr>
    </w:p>
    <w:p w14:paraId="4E7F7684"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0AF28A49"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15AFCE51"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148AAAF5"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26CD2EF4"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288F1817"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149BEED8"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3D2688B2"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0A56DF4C" w14:textId="77777777" w:rsidR="00A66CE9" w:rsidRPr="001775D9" w:rsidRDefault="00A66CE9" w:rsidP="00FB5458">
      <w:pPr>
        <w:autoSpaceDE w:val="0"/>
        <w:autoSpaceDN w:val="0"/>
        <w:adjustRightInd w:val="0"/>
        <w:spacing w:line="240" w:lineRule="auto"/>
        <w:ind w:left="127" w:right="120"/>
        <w:jc w:val="center"/>
        <w:rPr>
          <w:rFonts w:eastAsia="SimSun"/>
          <w:b/>
          <w:bCs/>
          <w:color w:val="000000"/>
          <w:szCs w:val="22"/>
          <w:lang w:eastAsia="en-GB"/>
        </w:rPr>
      </w:pPr>
    </w:p>
    <w:p w14:paraId="41C116CA"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2794155B"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770412F4"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7258251B"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3A94706C"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p>
    <w:p w14:paraId="6BA9C390" w14:textId="77777777" w:rsidR="005240DA" w:rsidRPr="001775D9" w:rsidRDefault="005240DA" w:rsidP="00FB5458">
      <w:pPr>
        <w:autoSpaceDE w:val="0"/>
        <w:autoSpaceDN w:val="0"/>
        <w:adjustRightInd w:val="0"/>
        <w:spacing w:line="240" w:lineRule="auto"/>
        <w:ind w:left="127" w:right="120"/>
        <w:jc w:val="center"/>
        <w:rPr>
          <w:rFonts w:eastAsia="SimSun"/>
          <w:b/>
          <w:bCs/>
          <w:color w:val="000000"/>
          <w:szCs w:val="22"/>
          <w:lang w:eastAsia="en-GB"/>
        </w:rPr>
      </w:pPr>
      <w:r w:rsidRPr="001775D9">
        <w:rPr>
          <w:rFonts w:eastAsia="SimSun"/>
          <w:b/>
          <w:bCs/>
          <w:color w:val="000000"/>
          <w:szCs w:val="22"/>
          <w:lang w:eastAsia="en-GB"/>
        </w:rPr>
        <w:t>ANNEX II</w:t>
      </w:r>
    </w:p>
    <w:p w14:paraId="6AC04D77" w14:textId="77777777" w:rsidR="005240DA" w:rsidRPr="001775D9" w:rsidRDefault="005240DA" w:rsidP="00FB5458">
      <w:pPr>
        <w:tabs>
          <w:tab w:val="clear" w:pos="567"/>
        </w:tabs>
        <w:autoSpaceDE w:val="0"/>
        <w:autoSpaceDN w:val="0"/>
        <w:adjustRightInd w:val="0"/>
        <w:spacing w:line="240" w:lineRule="auto"/>
        <w:ind w:left="127" w:right="120"/>
        <w:rPr>
          <w:rFonts w:eastAsia="SimSun"/>
          <w:color w:val="000000"/>
          <w:szCs w:val="22"/>
          <w:lang w:eastAsia="en-GB"/>
        </w:rPr>
      </w:pPr>
    </w:p>
    <w:p w14:paraId="6E68CCA2" w14:textId="77777777" w:rsidR="00DE0EA8" w:rsidRPr="001775D9" w:rsidRDefault="005240DA" w:rsidP="00DE0EA8">
      <w:pPr>
        <w:tabs>
          <w:tab w:val="clear" w:pos="567"/>
        </w:tabs>
        <w:autoSpaceDE w:val="0"/>
        <w:autoSpaceDN w:val="0"/>
        <w:adjustRightInd w:val="0"/>
        <w:spacing w:line="240" w:lineRule="auto"/>
        <w:ind w:left="1701" w:right="119" w:hanging="709"/>
        <w:rPr>
          <w:rFonts w:eastAsia="SimSun"/>
          <w:b/>
          <w:bCs/>
          <w:color w:val="000000"/>
          <w:szCs w:val="22"/>
          <w:lang w:eastAsia="en-GB"/>
        </w:rPr>
      </w:pPr>
      <w:r w:rsidRPr="001775D9">
        <w:rPr>
          <w:rFonts w:eastAsia="SimSun"/>
          <w:b/>
          <w:bCs/>
          <w:color w:val="000000"/>
          <w:szCs w:val="22"/>
          <w:lang w:eastAsia="en-GB"/>
        </w:rPr>
        <w:t>A.</w:t>
      </w:r>
      <w:r w:rsidRPr="001775D9">
        <w:rPr>
          <w:rFonts w:eastAsia="SimSun"/>
          <w:b/>
          <w:bCs/>
          <w:color w:val="000000"/>
          <w:szCs w:val="22"/>
          <w:lang w:eastAsia="en-GB"/>
        </w:rPr>
        <w:tab/>
      </w:r>
      <w:r w:rsidR="00DE0EA8" w:rsidRPr="001775D9">
        <w:rPr>
          <w:rFonts w:eastAsia="SimSun"/>
          <w:b/>
          <w:bCs/>
          <w:color w:val="000000"/>
          <w:szCs w:val="22"/>
          <w:lang w:eastAsia="en-GB"/>
        </w:rPr>
        <w:t>MANUFACTURER</w:t>
      </w:r>
      <w:r w:rsidR="005E394D" w:rsidRPr="001775D9">
        <w:rPr>
          <w:rFonts w:eastAsia="SimSun"/>
          <w:b/>
          <w:bCs/>
          <w:color w:val="000000"/>
          <w:szCs w:val="22"/>
          <w:lang w:eastAsia="en-GB"/>
        </w:rPr>
        <w:t>S</w:t>
      </w:r>
      <w:r w:rsidR="00DE0EA8" w:rsidRPr="001775D9">
        <w:rPr>
          <w:rFonts w:eastAsia="SimSun"/>
          <w:b/>
          <w:bCs/>
          <w:color w:val="000000"/>
          <w:szCs w:val="22"/>
          <w:lang w:eastAsia="en-GB"/>
        </w:rPr>
        <w:t xml:space="preserve"> OF THE BIOLOGICAL ACTIVE SUBSTANCE AND MANUFACTURERS RESPONSIBLE FOR BATCH RELEASE </w:t>
      </w:r>
    </w:p>
    <w:p w14:paraId="457F4D1A" w14:textId="77777777" w:rsidR="005240DA" w:rsidRPr="001775D9" w:rsidRDefault="005240DA" w:rsidP="00FB5458">
      <w:pPr>
        <w:tabs>
          <w:tab w:val="clear" w:pos="567"/>
        </w:tabs>
        <w:autoSpaceDE w:val="0"/>
        <w:autoSpaceDN w:val="0"/>
        <w:adjustRightInd w:val="0"/>
        <w:spacing w:line="240" w:lineRule="auto"/>
        <w:ind w:left="1701" w:right="119" w:hanging="709"/>
        <w:rPr>
          <w:rFonts w:eastAsia="SimSun"/>
          <w:b/>
          <w:bCs/>
          <w:color w:val="000000"/>
          <w:szCs w:val="22"/>
          <w:lang w:eastAsia="en-GB"/>
        </w:rPr>
      </w:pPr>
    </w:p>
    <w:p w14:paraId="3FBDA7CD" w14:textId="77777777" w:rsidR="005240DA" w:rsidRPr="001775D9" w:rsidRDefault="005240DA" w:rsidP="00FB5458">
      <w:pPr>
        <w:tabs>
          <w:tab w:val="clear" w:pos="567"/>
        </w:tabs>
        <w:autoSpaceDE w:val="0"/>
        <w:autoSpaceDN w:val="0"/>
        <w:adjustRightInd w:val="0"/>
        <w:spacing w:line="240" w:lineRule="auto"/>
        <w:ind w:left="1701" w:right="119" w:hanging="709"/>
        <w:rPr>
          <w:rFonts w:eastAsia="SimSun"/>
          <w:b/>
          <w:bCs/>
          <w:color w:val="000000"/>
          <w:szCs w:val="22"/>
          <w:lang w:eastAsia="en-GB"/>
        </w:rPr>
      </w:pPr>
      <w:r w:rsidRPr="001775D9">
        <w:rPr>
          <w:rFonts w:eastAsia="SimSun"/>
          <w:b/>
          <w:bCs/>
          <w:color w:val="000000"/>
          <w:szCs w:val="22"/>
          <w:lang w:eastAsia="en-GB"/>
        </w:rPr>
        <w:t>B.</w:t>
      </w:r>
      <w:r w:rsidRPr="001775D9">
        <w:rPr>
          <w:rFonts w:eastAsia="SimSun"/>
          <w:b/>
          <w:bCs/>
          <w:color w:val="000000"/>
          <w:szCs w:val="22"/>
          <w:lang w:eastAsia="en-GB"/>
        </w:rPr>
        <w:tab/>
        <w:t>CONDITIONS OR RESTRICTIONS REGARDING SUPPLY AND USE</w:t>
      </w:r>
    </w:p>
    <w:p w14:paraId="69DB36A4" w14:textId="77777777" w:rsidR="005240DA" w:rsidRPr="001775D9" w:rsidRDefault="005240DA" w:rsidP="00FB5458">
      <w:pPr>
        <w:tabs>
          <w:tab w:val="clear" w:pos="567"/>
        </w:tabs>
        <w:autoSpaceDE w:val="0"/>
        <w:autoSpaceDN w:val="0"/>
        <w:adjustRightInd w:val="0"/>
        <w:spacing w:line="240" w:lineRule="auto"/>
        <w:ind w:left="1701" w:right="119" w:hanging="709"/>
        <w:rPr>
          <w:rFonts w:eastAsia="SimSun"/>
          <w:b/>
          <w:bCs/>
          <w:color w:val="000000"/>
          <w:szCs w:val="22"/>
          <w:lang w:eastAsia="en-GB"/>
        </w:rPr>
      </w:pPr>
    </w:p>
    <w:p w14:paraId="19CC233F" w14:textId="77777777" w:rsidR="005240DA" w:rsidRPr="001775D9" w:rsidRDefault="005240DA" w:rsidP="00FB5458">
      <w:pPr>
        <w:tabs>
          <w:tab w:val="clear" w:pos="567"/>
        </w:tabs>
        <w:autoSpaceDE w:val="0"/>
        <w:autoSpaceDN w:val="0"/>
        <w:adjustRightInd w:val="0"/>
        <w:spacing w:line="240" w:lineRule="auto"/>
        <w:ind w:left="1701" w:right="119" w:hanging="709"/>
        <w:rPr>
          <w:rFonts w:eastAsia="SimSun"/>
          <w:b/>
          <w:bCs/>
          <w:color w:val="000000"/>
          <w:szCs w:val="22"/>
          <w:lang w:eastAsia="en-GB"/>
        </w:rPr>
      </w:pPr>
      <w:r w:rsidRPr="001775D9">
        <w:rPr>
          <w:rFonts w:eastAsia="SimSun"/>
          <w:b/>
          <w:bCs/>
          <w:color w:val="000000"/>
          <w:szCs w:val="22"/>
          <w:lang w:eastAsia="en-GB"/>
        </w:rPr>
        <w:t>C.</w:t>
      </w:r>
      <w:r w:rsidRPr="001775D9">
        <w:rPr>
          <w:rFonts w:eastAsia="SimSun"/>
          <w:b/>
          <w:bCs/>
          <w:color w:val="000000"/>
          <w:szCs w:val="22"/>
          <w:lang w:eastAsia="en-GB"/>
        </w:rPr>
        <w:tab/>
        <w:t>OTHER CONDITIONS AND REQUIREMENTS OF THE MARKETING AUTHORISATION</w:t>
      </w:r>
    </w:p>
    <w:p w14:paraId="4770F06B" w14:textId="77777777" w:rsidR="005240DA" w:rsidRPr="001775D9" w:rsidRDefault="005240DA" w:rsidP="00FB5458">
      <w:pPr>
        <w:tabs>
          <w:tab w:val="clear" w:pos="567"/>
        </w:tabs>
        <w:autoSpaceDE w:val="0"/>
        <w:autoSpaceDN w:val="0"/>
        <w:adjustRightInd w:val="0"/>
        <w:spacing w:line="240" w:lineRule="auto"/>
        <w:ind w:left="1701" w:right="119" w:hanging="709"/>
        <w:rPr>
          <w:rFonts w:eastAsia="SimSun"/>
          <w:color w:val="000000"/>
          <w:szCs w:val="22"/>
          <w:lang w:eastAsia="en-GB"/>
        </w:rPr>
      </w:pPr>
    </w:p>
    <w:p w14:paraId="52C40C1E" w14:textId="77777777" w:rsidR="005240DA" w:rsidRPr="001775D9" w:rsidRDefault="005240DA" w:rsidP="00FB5458">
      <w:pPr>
        <w:tabs>
          <w:tab w:val="clear" w:pos="567"/>
        </w:tabs>
        <w:autoSpaceDE w:val="0"/>
        <w:autoSpaceDN w:val="0"/>
        <w:adjustRightInd w:val="0"/>
        <w:spacing w:line="240" w:lineRule="auto"/>
        <w:ind w:left="1701" w:right="119" w:hanging="709"/>
        <w:rPr>
          <w:rFonts w:eastAsia="SimSun"/>
          <w:b/>
          <w:bCs/>
          <w:color w:val="000000"/>
          <w:szCs w:val="22"/>
          <w:lang w:eastAsia="en-GB"/>
        </w:rPr>
      </w:pPr>
      <w:r w:rsidRPr="001775D9">
        <w:rPr>
          <w:rFonts w:eastAsia="SimSun"/>
          <w:b/>
          <w:bCs/>
          <w:color w:val="000000"/>
          <w:szCs w:val="22"/>
          <w:lang w:eastAsia="en-GB"/>
        </w:rPr>
        <w:t>D.</w:t>
      </w:r>
      <w:r w:rsidRPr="001775D9">
        <w:rPr>
          <w:rFonts w:eastAsia="SimSun"/>
          <w:b/>
          <w:bCs/>
          <w:color w:val="000000"/>
          <w:szCs w:val="22"/>
          <w:lang w:eastAsia="en-GB"/>
        </w:rPr>
        <w:tab/>
        <w:t>CONDITIONS OR RESTRICTIONS WITH REGARD TO THE SAFE AND EFFECTIVE USE OF THE MEDICINAL PRODUCT</w:t>
      </w:r>
    </w:p>
    <w:p w14:paraId="4611AD2B" w14:textId="77777777" w:rsidR="005240DA" w:rsidRPr="001775D9" w:rsidRDefault="005240DA" w:rsidP="00FB5458">
      <w:pPr>
        <w:tabs>
          <w:tab w:val="clear" w:pos="567"/>
        </w:tabs>
        <w:autoSpaceDE w:val="0"/>
        <w:autoSpaceDN w:val="0"/>
        <w:adjustRightInd w:val="0"/>
        <w:spacing w:line="240" w:lineRule="auto"/>
        <w:ind w:left="127" w:right="120"/>
        <w:rPr>
          <w:rFonts w:eastAsia="SimSun"/>
          <w:color w:val="000000"/>
          <w:szCs w:val="22"/>
          <w:lang w:eastAsia="en-GB"/>
        </w:rPr>
      </w:pPr>
    </w:p>
    <w:p w14:paraId="2F2D3565" w14:textId="53F55F08" w:rsidR="00DE0EA8" w:rsidRPr="00D55B59" w:rsidRDefault="005240DA" w:rsidP="00882152">
      <w:pPr>
        <w:pStyle w:val="TitleB"/>
        <w:spacing w:line="240" w:lineRule="auto"/>
        <w:ind w:left="567" w:right="0" w:hanging="567"/>
        <w:rPr>
          <w:noProof w:val="0"/>
          <w:lang w:eastAsia="en-GB"/>
          <w:rPrChange w:id="2102" w:author="Author">
            <w:rPr>
              <w:lang w:eastAsia="en-GB"/>
            </w:rPr>
          </w:rPrChange>
        </w:rPr>
      </w:pPr>
      <w:r w:rsidRPr="00D55B59">
        <w:rPr>
          <w:noProof w:val="0"/>
          <w:lang w:eastAsia="en-GB"/>
          <w:rPrChange w:id="2103" w:author="Author">
            <w:rPr>
              <w:lang w:eastAsia="en-GB"/>
            </w:rPr>
          </w:rPrChange>
        </w:rPr>
        <w:br w:type="page"/>
        <w:t>A.</w:t>
      </w:r>
      <w:r w:rsidRPr="00D55B59">
        <w:rPr>
          <w:noProof w:val="0"/>
          <w:lang w:eastAsia="en-GB"/>
          <w:rPrChange w:id="2104" w:author="Author">
            <w:rPr>
              <w:lang w:eastAsia="en-GB"/>
            </w:rPr>
          </w:rPrChange>
        </w:rPr>
        <w:tab/>
      </w:r>
      <w:r w:rsidR="00DE0EA8" w:rsidRPr="00D55B59">
        <w:rPr>
          <w:noProof w:val="0"/>
          <w:lang w:eastAsia="en-GB"/>
          <w:rPrChange w:id="2105" w:author="Author">
            <w:rPr>
              <w:lang w:eastAsia="en-GB"/>
            </w:rPr>
          </w:rPrChange>
        </w:rPr>
        <w:t>MANUFACTURER</w:t>
      </w:r>
      <w:r w:rsidR="005E394D" w:rsidRPr="00D55B59">
        <w:rPr>
          <w:noProof w:val="0"/>
          <w:lang w:eastAsia="en-GB"/>
          <w:rPrChange w:id="2106" w:author="Author">
            <w:rPr>
              <w:lang w:eastAsia="en-GB"/>
            </w:rPr>
          </w:rPrChange>
        </w:rPr>
        <w:t>S</w:t>
      </w:r>
      <w:r w:rsidR="00DE0EA8" w:rsidRPr="00D55B59">
        <w:rPr>
          <w:noProof w:val="0"/>
          <w:lang w:eastAsia="en-GB"/>
          <w:rPrChange w:id="2107" w:author="Author">
            <w:rPr>
              <w:lang w:eastAsia="en-GB"/>
            </w:rPr>
          </w:rPrChange>
        </w:rPr>
        <w:t xml:space="preserve"> OF THE BIOLOGICAL ACTIVE SUBSTANCE AND MANUFACTURERS RESPONSIBLE FOR BATCH RELEASE</w:t>
      </w:r>
    </w:p>
    <w:p w14:paraId="7466374F" w14:textId="77777777" w:rsidR="005240DA" w:rsidRPr="001775D9" w:rsidRDefault="005240DA" w:rsidP="00DE0EA8">
      <w:pPr>
        <w:keepNext/>
        <w:tabs>
          <w:tab w:val="clear" w:pos="567"/>
        </w:tabs>
        <w:autoSpaceDE w:val="0"/>
        <w:autoSpaceDN w:val="0"/>
        <w:adjustRightInd w:val="0"/>
        <w:spacing w:line="240" w:lineRule="auto"/>
        <w:ind w:left="567" w:hanging="567"/>
        <w:rPr>
          <w:rFonts w:eastAsia="SimSun"/>
          <w:b/>
          <w:bCs/>
          <w:color w:val="000000"/>
          <w:szCs w:val="22"/>
          <w:lang w:eastAsia="en-GB"/>
        </w:rPr>
      </w:pPr>
    </w:p>
    <w:p w14:paraId="1064C6D1" w14:textId="77777777" w:rsidR="00DE0EA8" w:rsidRPr="001775D9" w:rsidRDefault="00DE0EA8" w:rsidP="00DE0EA8">
      <w:pPr>
        <w:tabs>
          <w:tab w:val="clear" w:pos="567"/>
        </w:tabs>
        <w:autoSpaceDE w:val="0"/>
        <w:autoSpaceDN w:val="0"/>
        <w:adjustRightInd w:val="0"/>
        <w:spacing w:line="240" w:lineRule="auto"/>
        <w:rPr>
          <w:rFonts w:eastAsia="SimSun"/>
          <w:i/>
          <w:iCs/>
          <w:color w:val="000000"/>
          <w:szCs w:val="22"/>
          <w:lang w:eastAsia="en-GB"/>
        </w:rPr>
      </w:pPr>
      <w:r w:rsidRPr="001775D9">
        <w:rPr>
          <w:rFonts w:eastAsia="SimSun"/>
          <w:color w:val="000000"/>
          <w:szCs w:val="22"/>
          <w:u w:val="single"/>
          <w:lang w:eastAsia="en-GB"/>
        </w:rPr>
        <w:t>Name and address of the manufacturer</w:t>
      </w:r>
      <w:r w:rsidR="00CB786F" w:rsidRPr="001775D9">
        <w:rPr>
          <w:rFonts w:eastAsia="SimSun"/>
          <w:color w:val="000000"/>
          <w:szCs w:val="22"/>
          <w:u w:val="single"/>
          <w:lang w:eastAsia="en-GB"/>
        </w:rPr>
        <w:t>s</w:t>
      </w:r>
      <w:r w:rsidRPr="001775D9">
        <w:rPr>
          <w:rFonts w:eastAsia="SimSun"/>
          <w:color w:val="000000"/>
          <w:szCs w:val="22"/>
          <w:u w:val="single"/>
          <w:lang w:eastAsia="en-GB"/>
        </w:rPr>
        <w:t xml:space="preserve"> of the biological active substance</w:t>
      </w:r>
      <w:r w:rsidRPr="001775D9">
        <w:rPr>
          <w:rFonts w:eastAsia="SimSun"/>
          <w:color w:val="000000"/>
          <w:szCs w:val="22"/>
          <w:lang w:eastAsia="en-GB"/>
        </w:rPr>
        <w:t xml:space="preserve"> </w:t>
      </w:r>
    </w:p>
    <w:p w14:paraId="052BEFCF"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Amgen Inc</w:t>
      </w:r>
      <w:r w:rsidRPr="001775D9">
        <w:rPr>
          <w:rFonts w:eastAsia="SimSun"/>
          <w:color w:val="000000"/>
          <w:szCs w:val="22"/>
          <w:lang w:eastAsia="en-GB"/>
        </w:rPr>
        <w:br/>
      </w:r>
      <w:r w:rsidR="00135999" w:rsidRPr="001775D9">
        <w:rPr>
          <w:rFonts w:eastAsia="SimSun"/>
          <w:color w:val="000000"/>
          <w:szCs w:val="22"/>
          <w:lang w:eastAsia="en-GB"/>
        </w:rPr>
        <w:t xml:space="preserve">One </w:t>
      </w:r>
      <w:r w:rsidRPr="001775D9">
        <w:rPr>
          <w:rFonts w:eastAsia="SimSun"/>
          <w:color w:val="000000"/>
          <w:szCs w:val="22"/>
          <w:lang w:eastAsia="en-GB"/>
        </w:rPr>
        <w:t>Amgen Center Drive</w:t>
      </w:r>
      <w:r w:rsidRPr="001775D9">
        <w:rPr>
          <w:rFonts w:eastAsia="SimSun"/>
          <w:color w:val="000000"/>
          <w:szCs w:val="22"/>
          <w:lang w:eastAsia="en-GB"/>
        </w:rPr>
        <w:br/>
      </w:r>
      <w:r w:rsidR="00135999" w:rsidRPr="001775D9">
        <w:rPr>
          <w:rFonts w:eastAsia="SimSun"/>
          <w:color w:val="000000"/>
          <w:szCs w:val="22"/>
          <w:lang w:eastAsia="en-GB"/>
        </w:rPr>
        <w:t xml:space="preserve">Thousand Oaks, </w:t>
      </w:r>
      <w:r w:rsidRPr="001775D9">
        <w:rPr>
          <w:rFonts w:eastAsia="SimSun"/>
          <w:color w:val="000000"/>
          <w:szCs w:val="22"/>
          <w:lang w:eastAsia="en-GB"/>
        </w:rPr>
        <w:t>California</w:t>
      </w:r>
      <w:r w:rsidRPr="001775D9">
        <w:rPr>
          <w:rFonts w:eastAsia="SimSun"/>
          <w:color w:val="000000"/>
          <w:szCs w:val="22"/>
          <w:lang w:eastAsia="en-GB"/>
        </w:rPr>
        <w:br/>
        <w:t xml:space="preserve">91320 </w:t>
      </w:r>
      <w:r w:rsidRPr="001775D9">
        <w:rPr>
          <w:rFonts w:eastAsia="SimSun"/>
          <w:color w:val="000000"/>
          <w:szCs w:val="22"/>
          <w:lang w:eastAsia="en-GB"/>
        </w:rPr>
        <w:br/>
        <w:t>United States</w:t>
      </w:r>
    </w:p>
    <w:p w14:paraId="019B8E4D" w14:textId="77777777" w:rsidR="00CB786F" w:rsidRPr="001775D9" w:rsidRDefault="00CB786F" w:rsidP="00FB5458">
      <w:pPr>
        <w:tabs>
          <w:tab w:val="clear" w:pos="567"/>
        </w:tabs>
        <w:autoSpaceDE w:val="0"/>
        <w:autoSpaceDN w:val="0"/>
        <w:adjustRightInd w:val="0"/>
        <w:spacing w:line="240" w:lineRule="auto"/>
        <w:rPr>
          <w:rFonts w:eastAsia="SimSun"/>
          <w:color w:val="000000"/>
          <w:szCs w:val="22"/>
          <w:lang w:eastAsia="en-GB"/>
        </w:rPr>
      </w:pPr>
    </w:p>
    <w:p w14:paraId="47AED8FE" w14:textId="77777777" w:rsidR="00CB786F" w:rsidRPr="001775D9" w:rsidRDefault="00CB786F" w:rsidP="00CB786F">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Immunex Rhode Island Corporation</w:t>
      </w:r>
    </w:p>
    <w:p w14:paraId="19C76AE2" w14:textId="77777777" w:rsidR="00CB786F" w:rsidRPr="001775D9" w:rsidRDefault="00CB786F" w:rsidP="00CB786F">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40 Technology Way</w:t>
      </w:r>
    </w:p>
    <w:p w14:paraId="125C208B" w14:textId="77777777" w:rsidR="00CB786F" w:rsidRPr="001775D9" w:rsidRDefault="00CB786F" w:rsidP="00CB786F">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West Greenwich</w:t>
      </w:r>
    </w:p>
    <w:p w14:paraId="73593010" w14:textId="77777777" w:rsidR="00CB786F" w:rsidRPr="001775D9" w:rsidRDefault="00CB786F" w:rsidP="00CB786F">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Rhode Island, 02817</w:t>
      </w:r>
    </w:p>
    <w:p w14:paraId="3F95BF29" w14:textId="77777777" w:rsidR="00CB786F" w:rsidRPr="001775D9" w:rsidRDefault="00CB786F" w:rsidP="00CB786F">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United States</w:t>
      </w:r>
    </w:p>
    <w:p w14:paraId="6ED370B7"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p>
    <w:p w14:paraId="4098211B" w14:textId="77777777" w:rsidR="00DE0EA8" w:rsidRPr="001775D9" w:rsidRDefault="00DE0EA8" w:rsidP="00DE0EA8">
      <w:pPr>
        <w:tabs>
          <w:tab w:val="clear" w:pos="567"/>
        </w:tabs>
        <w:autoSpaceDE w:val="0"/>
        <w:autoSpaceDN w:val="0"/>
        <w:adjustRightInd w:val="0"/>
        <w:spacing w:line="240" w:lineRule="auto"/>
        <w:rPr>
          <w:rFonts w:eastAsia="SimSun"/>
          <w:color w:val="000000"/>
          <w:szCs w:val="22"/>
          <w:u w:val="single"/>
          <w:lang w:eastAsia="en-GB"/>
        </w:rPr>
      </w:pPr>
      <w:r w:rsidRPr="001775D9">
        <w:rPr>
          <w:rFonts w:eastAsia="SimSun"/>
          <w:color w:val="000000"/>
          <w:szCs w:val="22"/>
          <w:u w:val="single"/>
          <w:lang w:eastAsia="en-GB"/>
        </w:rPr>
        <w:t>Name and address of the manufacturers responsible for batch release</w:t>
      </w:r>
    </w:p>
    <w:p w14:paraId="273ACFC4" w14:textId="4400B42F"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Amgen Europe B.V.</w:t>
      </w:r>
      <w:r w:rsidRPr="001775D9">
        <w:rPr>
          <w:rFonts w:eastAsia="SimSun"/>
          <w:color w:val="000000"/>
          <w:szCs w:val="22"/>
          <w:lang w:eastAsia="en-GB"/>
        </w:rPr>
        <w:br/>
        <w:t>Minervum 7061</w:t>
      </w:r>
      <w:r w:rsidRPr="001775D9">
        <w:rPr>
          <w:rFonts w:eastAsia="SimSun"/>
          <w:color w:val="000000"/>
          <w:szCs w:val="22"/>
          <w:lang w:eastAsia="en-GB"/>
        </w:rPr>
        <w:br/>
        <w:t>4817 ZK Breda</w:t>
      </w:r>
      <w:r w:rsidRPr="001775D9">
        <w:rPr>
          <w:rFonts w:eastAsia="SimSun"/>
          <w:color w:val="000000"/>
          <w:szCs w:val="22"/>
          <w:lang w:eastAsia="en-GB"/>
        </w:rPr>
        <w:br/>
        <w:t>The Netherlands</w:t>
      </w:r>
      <w:r w:rsidRPr="001775D9">
        <w:rPr>
          <w:rFonts w:eastAsia="SimSun"/>
          <w:color w:val="000000"/>
          <w:szCs w:val="22"/>
          <w:lang w:eastAsia="en-GB"/>
        </w:rPr>
        <w:br/>
      </w:r>
      <w:r w:rsidRPr="001775D9">
        <w:rPr>
          <w:rFonts w:eastAsia="SimSun"/>
          <w:color w:val="000000"/>
          <w:szCs w:val="22"/>
          <w:lang w:eastAsia="en-GB"/>
        </w:rPr>
        <w:br/>
        <w:t>Amgen Technology Ireland</w:t>
      </w:r>
      <w:r w:rsidR="00135999" w:rsidRPr="001775D9">
        <w:rPr>
          <w:rFonts w:eastAsia="SimSun"/>
          <w:color w:val="000000"/>
          <w:szCs w:val="22"/>
          <w:lang w:eastAsia="en-GB"/>
        </w:rPr>
        <w:t xml:space="preserve"> UC</w:t>
      </w:r>
      <w:r w:rsidRPr="001775D9">
        <w:rPr>
          <w:rFonts w:eastAsia="SimSun"/>
          <w:color w:val="000000"/>
          <w:szCs w:val="22"/>
          <w:lang w:eastAsia="en-GB"/>
        </w:rPr>
        <w:br/>
        <w:t>Pottery Road</w:t>
      </w:r>
      <w:r w:rsidRPr="001775D9">
        <w:rPr>
          <w:rFonts w:eastAsia="SimSun"/>
          <w:color w:val="000000"/>
          <w:szCs w:val="22"/>
          <w:lang w:eastAsia="en-GB"/>
        </w:rPr>
        <w:br/>
        <w:t>Dun Laoghaire, Co Dublin</w:t>
      </w:r>
      <w:r w:rsidRPr="001775D9">
        <w:rPr>
          <w:rFonts w:eastAsia="SimSun"/>
          <w:color w:val="000000"/>
          <w:szCs w:val="22"/>
          <w:lang w:eastAsia="en-GB"/>
        </w:rPr>
        <w:br/>
        <w:t>Ireland</w:t>
      </w:r>
    </w:p>
    <w:p w14:paraId="16416C92" w14:textId="77777777" w:rsidR="00DE0EA8" w:rsidRPr="001775D9" w:rsidRDefault="00DE0EA8" w:rsidP="00DE0EA8">
      <w:pPr>
        <w:tabs>
          <w:tab w:val="clear" w:pos="567"/>
        </w:tabs>
        <w:autoSpaceDE w:val="0"/>
        <w:autoSpaceDN w:val="0"/>
        <w:adjustRightInd w:val="0"/>
        <w:spacing w:line="240" w:lineRule="auto"/>
        <w:rPr>
          <w:rFonts w:eastAsia="SimSun"/>
          <w:color w:val="000000"/>
          <w:szCs w:val="22"/>
          <w:lang w:eastAsia="en-GB"/>
        </w:rPr>
      </w:pPr>
    </w:p>
    <w:p w14:paraId="66EED2C3" w14:textId="77777777" w:rsidR="00DE0EA8" w:rsidRPr="00D55B59" w:rsidRDefault="00DE0EA8" w:rsidP="00DE0EA8">
      <w:pPr>
        <w:spacing w:line="240" w:lineRule="auto"/>
        <w:rPr>
          <w:lang w:eastAsia="ja-JP"/>
          <w:rPrChange w:id="2108" w:author="Author">
            <w:rPr>
              <w:lang w:val="en-US" w:eastAsia="ja-JP"/>
            </w:rPr>
          </w:rPrChange>
        </w:rPr>
      </w:pPr>
      <w:r w:rsidRPr="00D55B59">
        <w:rPr>
          <w:lang w:eastAsia="ja-JP"/>
          <w:rPrChange w:id="2109" w:author="Author">
            <w:rPr>
              <w:lang w:val="en-US" w:eastAsia="ja-JP"/>
            </w:rPr>
          </w:rPrChange>
        </w:rPr>
        <w:t>Amgen NV</w:t>
      </w:r>
    </w:p>
    <w:p w14:paraId="731865BE" w14:textId="77777777" w:rsidR="00601A61" w:rsidRPr="001775D9" w:rsidRDefault="00601A61" w:rsidP="00B61D9D">
      <w:pPr>
        <w:autoSpaceDE w:val="0"/>
        <w:autoSpaceDN w:val="0"/>
        <w:spacing w:line="240" w:lineRule="auto"/>
        <w:rPr>
          <w:rFonts w:eastAsia="SimSun"/>
          <w:color w:val="000000"/>
          <w:szCs w:val="22"/>
          <w:lang w:eastAsia="en-GB"/>
        </w:rPr>
      </w:pPr>
      <w:r w:rsidRPr="001775D9">
        <w:rPr>
          <w:rFonts w:eastAsia="SimSun"/>
          <w:color w:val="000000"/>
          <w:szCs w:val="22"/>
          <w:lang w:eastAsia="en-GB"/>
        </w:rPr>
        <w:t>Telecomlaan 5-7</w:t>
      </w:r>
    </w:p>
    <w:p w14:paraId="0A04213D" w14:textId="77777777" w:rsidR="00601A61" w:rsidRPr="001775D9" w:rsidRDefault="00601A61" w:rsidP="00601A61">
      <w:pPr>
        <w:spacing w:line="240" w:lineRule="auto"/>
        <w:rPr>
          <w:rFonts w:eastAsia="SimSun"/>
          <w:color w:val="000000"/>
          <w:szCs w:val="22"/>
          <w:lang w:eastAsia="en-GB"/>
        </w:rPr>
      </w:pPr>
      <w:r w:rsidRPr="001775D9">
        <w:rPr>
          <w:rFonts w:eastAsia="SimSun"/>
          <w:color w:val="000000"/>
          <w:szCs w:val="22"/>
          <w:lang w:eastAsia="en-GB"/>
        </w:rPr>
        <w:t>1831 Diegem</w:t>
      </w:r>
    </w:p>
    <w:p w14:paraId="5B7BD456" w14:textId="77777777" w:rsidR="00DE0EA8" w:rsidRPr="00D55B59" w:rsidRDefault="00DE0EA8" w:rsidP="00DE0EA8">
      <w:pPr>
        <w:tabs>
          <w:tab w:val="clear" w:pos="567"/>
        </w:tabs>
        <w:autoSpaceDE w:val="0"/>
        <w:autoSpaceDN w:val="0"/>
        <w:adjustRightInd w:val="0"/>
        <w:spacing w:line="240" w:lineRule="auto"/>
        <w:rPr>
          <w:lang w:eastAsia="ja-JP"/>
          <w:rPrChange w:id="2110" w:author="Author">
            <w:rPr>
              <w:lang w:val="en-US" w:eastAsia="ja-JP"/>
            </w:rPr>
          </w:rPrChange>
        </w:rPr>
      </w:pPr>
      <w:r w:rsidRPr="00D55B59">
        <w:rPr>
          <w:lang w:eastAsia="ja-JP"/>
          <w:rPrChange w:id="2111" w:author="Author">
            <w:rPr>
              <w:lang w:val="en-US" w:eastAsia="ja-JP"/>
            </w:rPr>
          </w:rPrChange>
        </w:rPr>
        <w:t>Belgium</w:t>
      </w:r>
    </w:p>
    <w:p w14:paraId="388DC368" w14:textId="77777777" w:rsidR="00FB5458" w:rsidRPr="001775D9" w:rsidRDefault="00FB5458" w:rsidP="00FB5458">
      <w:pPr>
        <w:tabs>
          <w:tab w:val="clear" w:pos="567"/>
        </w:tabs>
        <w:autoSpaceDE w:val="0"/>
        <w:autoSpaceDN w:val="0"/>
        <w:adjustRightInd w:val="0"/>
        <w:spacing w:line="240" w:lineRule="auto"/>
        <w:rPr>
          <w:rFonts w:eastAsia="SimSun"/>
          <w:color w:val="000000"/>
          <w:szCs w:val="22"/>
          <w:lang w:eastAsia="en-GB"/>
        </w:rPr>
      </w:pPr>
    </w:p>
    <w:p w14:paraId="318E304B"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The printed package leaflet of the medicinal product must state the name and address of the manufacturer responsible for the release of the concerned batch.</w:t>
      </w:r>
    </w:p>
    <w:p w14:paraId="36DF79F9" w14:textId="77777777" w:rsidR="005240DA" w:rsidRPr="001775D9" w:rsidRDefault="005240DA" w:rsidP="00FB5458">
      <w:pPr>
        <w:tabs>
          <w:tab w:val="clear" w:pos="567"/>
        </w:tabs>
        <w:autoSpaceDE w:val="0"/>
        <w:autoSpaceDN w:val="0"/>
        <w:adjustRightInd w:val="0"/>
        <w:spacing w:line="240" w:lineRule="auto"/>
        <w:ind w:left="127" w:right="120"/>
        <w:rPr>
          <w:rFonts w:eastAsia="SimSun"/>
          <w:color w:val="000000"/>
          <w:szCs w:val="22"/>
          <w:lang w:eastAsia="en-GB"/>
        </w:rPr>
      </w:pPr>
    </w:p>
    <w:p w14:paraId="36571F4C" w14:textId="77777777" w:rsidR="005240DA" w:rsidRPr="001775D9" w:rsidRDefault="005240DA" w:rsidP="00FB5458">
      <w:pPr>
        <w:tabs>
          <w:tab w:val="clear" w:pos="567"/>
        </w:tabs>
        <w:autoSpaceDE w:val="0"/>
        <w:autoSpaceDN w:val="0"/>
        <w:adjustRightInd w:val="0"/>
        <w:spacing w:line="240" w:lineRule="auto"/>
        <w:ind w:left="127" w:right="120"/>
        <w:rPr>
          <w:rFonts w:eastAsia="SimSun"/>
          <w:color w:val="000000"/>
          <w:szCs w:val="22"/>
          <w:lang w:eastAsia="en-GB"/>
        </w:rPr>
      </w:pPr>
    </w:p>
    <w:p w14:paraId="47587848" w14:textId="77777777" w:rsidR="005240DA" w:rsidRPr="00D55B59" w:rsidRDefault="005240DA" w:rsidP="00882152">
      <w:pPr>
        <w:pStyle w:val="TitleB"/>
        <w:spacing w:line="240" w:lineRule="auto"/>
        <w:ind w:left="567" w:right="0" w:hanging="567"/>
        <w:rPr>
          <w:rFonts w:eastAsia="SimSun"/>
          <w:b w:val="0"/>
          <w:bCs/>
          <w:noProof w:val="0"/>
          <w:color w:val="000000"/>
          <w:szCs w:val="22"/>
          <w:lang w:eastAsia="en-GB"/>
          <w:rPrChange w:id="2112" w:author="Author">
            <w:rPr>
              <w:rFonts w:eastAsia="SimSun"/>
              <w:b w:val="0"/>
              <w:bCs/>
              <w:color w:val="000000"/>
              <w:szCs w:val="22"/>
              <w:lang w:eastAsia="en-GB"/>
            </w:rPr>
          </w:rPrChange>
        </w:rPr>
      </w:pPr>
      <w:r w:rsidRPr="00D55B59">
        <w:rPr>
          <w:rFonts w:eastAsia="SimSun"/>
          <w:bCs/>
          <w:noProof w:val="0"/>
          <w:color w:val="000000"/>
          <w:szCs w:val="22"/>
          <w:lang w:eastAsia="en-GB"/>
          <w:rPrChange w:id="2113" w:author="Author">
            <w:rPr>
              <w:rFonts w:eastAsia="SimSun"/>
              <w:bCs/>
              <w:color w:val="000000"/>
              <w:szCs w:val="22"/>
              <w:lang w:eastAsia="en-GB"/>
            </w:rPr>
          </w:rPrChange>
        </w:rPr>
        <w:t>B.</w:t>
      </w:r>
      <w:r w:rsidRPr="00D55B59">
        <w:rPr>
          <w:rFonts w:eastAsia="SimSun"/>
          <w:bCs/>
          <w:noProof w:val="0"/>
          <w:color w:val="000000"/>
          <w:szCs w:val="22"/>
          <w:lang w:eastAsia="en-GB"/>
          <w:rPrChange w:id="2114" w:author="Author">
            <w:rPr>
              <w:rFonts w:eastAsia="SimSun"/>
              <w:bCs/>
              <w:color w:val="000000"/>
              <w:szCs w:val="22"/>
              <w:lang w:eastAsia="en-GB"/>
            </w:rPr>
          </w:rPrChange>
        </w:rPr>
        <w:tab/>
        <w:t xml:space="preserve">CONDITIONS OR </w:t>
      </w:r>
      <w:r w:rsidRPr="00D55B59">
        <w:rPr>
          <w:noProof w:val="0"/>
          <w:lang w:eastAsia="en-GB"/>
          <w:rPrChange w:id="2115" w:author="Author">
            <w:rPr>
              <w:lang w:eastAsia="en-GB"/>
            </w:rPr>
          </w:rPrChange>
        </w:rPr>
        <w:t>RESTRICTIONS</w:t>
      </w:r>
      <w:r w:rsidRPr="00D55B59">
        <w:rPr>
          <w:rFonts w:eastAsia="SimSun"/>
          <w:bCs/>
          <w:noProof w:val="0"/>
          <w:color w:val="000000"/>
          <w:szCs w:val="22"/>
          <w:lang w:eastAsia="en-GB"/>
          <w:rPrChange w:id="2116" w:author="Author">
            <w:rPr>
              <w:rFonts w:eastAsia="SimSun"/>
              <w:bCs/>
              <w:color w:val="000000"/>
              <w:szCs w:val="22"/>
              <w:lang w:eastAsia="en-GB"/>
            </w:rPr>
          </w:rPrChange>
        </w:rPr>
        <w:t xml:space="preserve"> REGARDING SUPPLY AND USE</w:t>
      </w:r>
    </w:p>
    <w:p w14:paraId="280B3B8C" w14:textId="77777777" w:rsidR="005240DA" w:rsidRPr="001775D9" w:rsidRDefault="005240DA" w:rsidP="00FB5458">
      <w:pPr>
        <w:tabs>
          <w:tab w:val="clear" w:pos="567"/>
        </w:tabs>
        <w:autoSpaceDE w:val="0"/>
        <w:autoSpaceDN w:val="0"/>
        <w:adjustRightInd w:val="0"/>
        <w:spacing w:line="240" w:lineRule="auto"/>
        <w:ind w:left="127" w:right="120"/>
        <w:rPr>
          <w:rFonts w:eastAsia="SimSun"/>
          <w:color w:val="000000"/>
          <w:szCs w:val="22"/>
          <w:lang w:eastAsia="en-GB"/>
        </w:rPr>
      </w:pPr>
    </w:p>
    <w:p w14:paraId="51F83815"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Medicinal product subject to restricted medical prescription (see Annex I: Summary of Product Characteristics, section 4.2).</w:t>
      </w:r>
    </w:p>
    <w:p w14:paraId="3A8C6FBF" w14:textId="77777777" w:rsidR="005240DA" w:rsidRPr="001775D9" w:rsidRDefault="005240DA" w:rsidP="00FB5458">
      <w:pPr>
        <w:tabs>
          <w:tab w:val="clear" w:pos="567"/>
        </w:tabs>
        <w:autoSpaceDE w:val="0"/>
        <w:autoSpaceDN w:val="0"/>
        <w:adjustRightInd w:val="0"/>
        <w:spacing w:line="240" w:lineRule="auto"/>
        <w:ind w:left="127" w:right="120"/>
        <w:rPr>
          <w:rFonts w:eastAsia="SimSun"/>
          <w:color w:val="000000"/>
          <w:szCs w:val="22"/>
          <w:lang w:eastAsia="en-GB"/>
        </w:rPr>
      </w:pPr>
    </w:p>
    <w:p w14:paraId="38A7BE5D" w14:textId="77777777" w:rsidR="005240DA" w:rsidRPr="001775D9" w:rsidRDefault="005240DA" w:rsidP="00FB5458">
      <w:pPr>
        <w:tabs>
          <w:tab w:val="clear" w:pos="567"/>
        </w:tabs>
        <w:autoSpaceDE w:val="0"/>
        <w:autoSpaceDN w:val="0"/>
        <w:adjustRightInd w:val="0"/>
        <w:spacing w:line="240" w:lineRule="auto"/>
        <w:ind w:left="127" w:right="120"/>
        <w:rPr>
          <w:rFonts w:eastAsia="SimSun"/>
          <w:color w:val="000000"/>
          <w:szCs w:val="22"/>
          <w:lang w:eastAsia="en-GB"/>
        </w:rPr>
      </w:pPr>
    </w:p>
    <w:p w14:paraId="163ED6AC" w14:textId="77777777" w:rsidR="005240DA" w:rsidRPr="00D55B59" w:rsidRDefault="005240DA" w:rsidP="00882152">
      <w:pPr>
        <w:pStyle w:val="TitleB"/>
        <w:spacing w:line="240" w:lineRule="auto"/>
        <w:ind w:left="567" w:right="0" w:hanging="567"/>
        <w:rPr>
          <w:rFonts w:eastAsia="SimSun"/>
          <w:b w:val="0"/>
          <w:bCs/>
          <w:noProof w:val="0"/>
          <w:color w:val="000000"/>
          <w:szCs w:val="22"/>
          <w:lang w:eastAsia="en-GB"/>
          <w:rPrChange w:id="2117" w:author="Author">
            <w:rPr>
              <w:rFonts w:eastAsia="SimSun"/>
              <w:b w:val="0"/>
              <w:bCs/>
              <w:color w:val="000000"/>
              <w:szCs w:val="22"/>
              <w:lang w:eastAsia="en-GB"/>
            </w:rPr>
          </w:rPrChange>
        </w:rPr>
      </w:pPr>
      <w:r w:rsidRPr="00D55B59">
        <w:rPr>
          <w:rFonts w:eastAsia="SimSun"/>
          <w:bCs/>
          <w:noProof w:val="0"/>
          <w:color w:val="000000"/>
          <w:szCs w:val="22"/>
          <w:lang w:eastAsia="en-GB"/>
          <w:rPrChange w:id="2118" w:author="Author">
            <w:rPr>
              <w:rFonts w:eastAsia="SimSun"/>
              <w:bCs/>
              <w:color w:val="000000"/>
              <w:szCs w:val="22"/>
              <w:lang w:eastAsia="en-GB"/>
            </w:rPr>
          </w:rPrChange>
        </w:rPr>
        <w:t>C.</w:t>
      </w:r>
      <w:r w:rsidRPr="00D55B59">
        <w:rPr>
          <w:rFonts w:eastAsia="SimSun"/>
          <w:bCs/>
          <w:noProof w:val="0"/>
          <w:color w:val="000000"/>
          <w:szCs w:val="22"/>
          <w:lang w:eastAsia="en-GB"/>
          <w:rPrChange w:id="2119" w:author="Author">
            <w:rPr>
              <w:rFonts w:eastAsia="SimSun"/>
              <w:bCs/>
              <w:color w:val="000000"/>
              <w:szCs w:val="22"/>
              <w:lang w:eastAsia="en-GB"/>
            </w:rPr>
          </w:rPrChange>
        </w:rPr>
        <w:tab/>
        <w:t xml:space="preserve">OTHER </w:t>
      </w:r>
      <w:r w:rsidRPr="00D55B59">
        <w:rPr>
          <w:noProof w:val="0"/>
          <w:lang w:eastAsia="en-GB"/>
          <w:rPrChange w:id="2120" w:author="Author">
            <w:rPr>
              <w:lang w:eastAsia="en-GB"/>
            </w:rPr>
          </w:rPrChange>
        </w:rPr>
        <w:t>CONDITIONS</w:t>
      </w:r>
      <w:r w:rsidRPr="00D55B59">
        <w:rPr>
          <w:rFonts w:eastAsia="SimSun"/>
          <w:bCs/>
          <w:noProof w:val="0"/>
          <w:color w:val="000000"/>
          <w:szCs w:val="22"/>
          <w:lang w:eastAsia="en-GB"/>
          <w:rPrChange w:id="2121" w:author="Author">
            <w:rPr>
              <w:rFonts w:eastAsia="SimSun"/>
              <w:bCs/>
              <w:color w:val="000000"/>
              <w:szCs w:val="22"/>
              <w:lang w:eastAsia="en-GB"/>
            </w:rPr>
          </w:rPrChange>
        </w:rPr>
        <w:t xml:space="preserve"> AND REQUIREMENTS OF THE MARKETING AUTHORISATION </w:t>
      </w:r>
    </w:p>
    <w:p w14:paraId="03BE32A5" w14:textId="77777777" w:rsidR="005240DA" w:rsidRPr="001775D9" w:rsidRDefault="005240DA" w:rsidP="00FB5458">
      <w:pPr>
        <w:keepNext/>
        <w:tabs>
          <w:tab w:val="clear" w:pos="567"/>
        </w:tabs>
        <w:autoSpaceDE w:val="0"/>
        <w:autoSpaceDN w:val="0"/>
        <w:adjustRightInd w:val="0"/>
        <w:spacing w:line="240" w:lineRule="auto"/>
        <w:ind w:left="567" w:right="120" w:hanging="440"/>
        <w:rPr>
          <w:rFonts w:eastAsia="SimSun"/>
          <w:b/>
          <w:bCs/>
          <w:color w:val="000000"/>
          <w:szCs w:val="22"/>
          <w:lang w:eastAsia="en-GB"/>
        </w:rPr>
      </w:pPr>
    </w:p>
    <w:p w14:paraId="32A99339" w14:textId="77777777" w:rsidR="005240DA" w:rsidRPr="001775D9" w:rsidRDefault="005240DA" w:rsidP="009F1D2F">
      <w:pPr>
        <w:numPr>
          <w:ilvl w:val="0"/>
          <w:numId w:val="7"/>
        </w:numPr>
        <w:tabs>
          <w:tab w:val="clear" w:pos="720"/>
        </w:tabs>
        <w:autoSpaceDE w:val="0"/>
        <w:autoSpaceDN w:val="0"/>
        <w:adjustRightInd w:val="0"/>
        <w:spacing w:line="240" w:lineRule="auto"/>
        <w:ind w:left="567" w:hanging="567"/>
        <w:rPr>
          <w:rFonts w:eastAsia="SimSun"/>
          <w:color w:val="000000"/>
          <w:szCs w:val="22"/>
          <w:lang w:eastAsia="en-GB"/>
        </w:rPr>
      </w:pPr>
      <w:r w:rsidRPr="001775D9">
        <w:rPr>
          <w:rFonts w:eastAsia="SimSun"/>
          <w:b/>
          <w:bCs/>
          <w:color w:val="000000"/>
          <w:szCs w:val="22"/>
          <w:lang w:eastAsia="en-GB"/>
        </w:rPr>
        <w:t xml:space="preserve">Periodic safety update reports </w:t>
      </w:r>
      <w:r w:rsidR="00647B7B" w:rsidRPr="001775D9">
        <w:rPr>
          <w:rFonts w:eastAsia="SimSun"/>
          <w:b/>
          <w:bCs/>
          <w:color w:val="000000"/>
          <w:szCs w:val="22"/>
          <w:lang w:eastAsia="en-GB"/>
        </w:rPr>
        <w:t>(PSURs)</w:t>
      </w:r>
    </w:p>
    <w:p w14:paraId="2E81BCC9" w14:textId="77777777" w:rsidR="005240DA" w:rsidRPr="001775D9" w:rsidRDefault="005240DA" w:rsidP="00FB5458">
      <w:pPr>
        <w:tabs>
          <w:tab w:val="clear" w:pos="567"/>
        </w:tabs>
        <w:autoSpaceDE w:val="0"/>
        <w:autoSpaceDN w:val="0"/>
        <w:adjustRightInd w:val="0"/>
        <w:spacing w:line="240" w:lineRule="auto"/>
        <w:ind w:left="127" w:right="120"/>
        <w:rPr>
          <w:rFonts w:eastAsia="SimSun"/>
          <w:color w:val="000000"/>
          <w:szCs w:val="22"/>
          <w:lang w:eastAsia="en-GB"/>
        </w:rPr>
      </w:pPr>
    </w:p>
    <w:p w14:paraId="42344502"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 xml:space="preserve">The requirements for submission of </w:t>
      </w:r>
      <w:r w:rsidR="00647B7B" w:rsidRPr="001775D9">
        <w:rPr>
          <w:rFonts w:eastAsia="SimSun"/>
          <w:color w:val="000000"/>
          <w:szCs w:val="22"/>
          <w:lang w:eastAsia="en-GB"/>
        </w:rPr>
        <w:t>PSURs</w:t>
      </w:r>
      <w:r w:rsidRPr="001775D9">
        <w:rPr>
          <w:rFonts w:eastAsia="SimSun"/>
          <w:color w:val="000000"/>
          <w:szCs w:val="22"/>
          <w:lang w:eastAsia="en-GB"/>
        </w:rPr>
        <w:t xml:space="preserve"> for this medicinal product are set out in the list of Union reference dates (EURD list) provided for under Article 107c(7) of Directive 2001/83/EC and any subsequent updates published on the European medicines web-portal.</w:t>
      </w:r>
    </w:p>
    <w:p w14:paraId="6A483D55"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p>
    <w:p w14:paraId="7065DD63"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p>
    <w:p w14:paraId="0EEB144E" w14:textId="77777777" w:rsidR="005240DA" w:rsidRPr="00D55B59" w:rsidRDefault="005240DA" w:rsidP="00882152">
      <w:pPr>
        <w:pStyle w:val="TitleB"/>
        <w:keepNext/>
        <w:keepLines/>
        <w:spacing w:line="240" w:lineRule="auto"/>
        <w:ind w:left="567" w:right="0" w:hanging="567"/>
        <w:rPr>
          <w:rFonts w:eastAsia="SimSun"/>
          <w:b w:val="0"/>
          <w:bCs/>
          <w:noProof w:val="0"/>
          <w:color w:val="000000"/>
          <w:szCs w:val="22"/>
          <w:lang w:eastAsia="en-GB"/>
          <w:rPrChange w:id="2122" w:author="Author">
            <w:rPr>
              <w:rFonts w:eastAsia="SimSun"/>
              <w:b w:val="0"/>
              <w:bCs/>
              <w:color w:val="000000"/>
              <w:szCs w:val="22"/>
              <w:lang w:eastAsia="en-GB"/>
            </w:rPr>
          </w:rPrChange>
        </w:rPr>
      </w:pPr>
      <w:r w:rsidRPr="00D55B59">
        <w:rPr>
          <w:rFonts w:eastAsia="SimSun"/>
          <w:bCs/>
          <w:noProof w:val="0"/>
          <w:color w:val="000000"/>
          <w:szCs w:val="22"/>
          <w:lang w:eastAsia="en-GB"/>
          <w:rPrChange w:id="2123" w:author="Author">
            <w:rPr>
              <w:rFonts w:eastAsia="SimSun"/>
              <w:bCs/>
              <w:color w:val="000000"/>
              <w:szCs w:val="22"/>
              <w:lang w:eastAsia="en-GB"/>
            </w:rPr>
          </w:rPrChange>
        </w:rPr>
        <w:t>D.</w:t>
      </w:r>
      <w:r w:rsidRPr="00D55B59">
        <w:rPr>
          <w:rFonts w:eastAsia="SimSun"/>
          <w:bCs/>
          <w:noProof w:val="0"/>
          <w:color w:val="000000"/>
          <w:szCs w:val="22"/>
          <w:lang w:eastAsia="en-GB"/>
          <w:rPrChange w:id="2124" w:author="Author">
            <w:rPr>
              <w:rFonts w:eastAsia="SimSun"/>
              <w:bCs/>
              <w:color w:val="000000"/>
              <w:szCs w:val="22"/>
              <w:lang w:eastAsia="en-GB"/>
            </w:rPr>
          </w:rPrChange>
        </w:rPr>
        <w:tab/>
        <w:t>CONDITIONS OR RESTRICTIONS WITH REGARD TO THE SAFE AND EFFECTIVE USE OF THE MEDICINAL PRODUCT</w:t>
      </w:r>
    </w:p>
    <w:p w14:paraId="6B76B931" w14:textId="77777777" w:rsidR="005240DA" w:rsidRPr="001775D9" w:rsidRDefault="005240DA" w:rsidP="00EF15E3">
      <w:pPr>
        <w:keepNext/>
        <w:tabs>
          <w:tab w:val="clear" w:pos="567"/>
        </w:tabs>
        <w:autoSpaceDE w:val="0"/>
        <w:autoSpaceDN w:val="0"/>
        <w:adjustRightInd w:val="0"/>
        <w:spacing w:line="240" w:lineRule="auto"/>
        <w:ind w:left="847" w:right="120" w:hanging="720"/>
        <w:rPr>
          <w:rFonts w:eastAsia="SimSun"/>
          <w:b/>
          <w:bCs/>
          <w:color w:val="000000"/>
          <w:szCs w:val="22"/>
          <w:lang w:eastAsia="en-GB"/>
        </w:rPr>
      </w:pPr>
    </w:p>
    <w:p w14:paraId="44AB8A3B" w14:textId="77A891A2" w:rsidR="005240DA" w:rsidRPr="001775D9" w:rsidRDefault="005240DA" w:rsidP="00EF15E3">
      <w:pPr>
        <w:keepNext/>
        <w:numPr>
          <w:ilvl w:val="0"/>
          <w:numId w:val="7"/>
        </w:numPr>
        <w:tabs>
          <w:tab w:val="clear" w:pos="720"/>
        </w:tabs>
        <w:autoSpaceDE w:val="0"/>
        <w:autoSpaceDN w:val="0"/>
        <w:adjustRightInd w:val="0"/>
        <w:spacing w:line="240" w:lineRule="auto"/>
        <w:ind w:left="567" w:hanging="567"/>
        <w:rPr>
          <w:rFonts w:eastAsia="SimSun"/>
          <w:color w:val="000000"/>
          <w:szCs w:val="22"/>
          <w:lang w:eastAsia="en-GB"/>
        </w:rPr>
      </w:pPr>
      <w:r w:rsidRPr="001775D9">
        <w:rPr>
          <w:rFonts w:eastAsia="SimSun"/>
          <w:b/>
          <w:bCs/>
          <w:color w:val="000000"/>
          <w:szCs w:val="22"/>
          <w:lang w:eastAsia="en-GB"/>
        </w:rPr>
        <w:t xml:space="preserve">Risk </w:t>
      </w:r>
      <w:r w:rsidR="00602090" w:rsidRPr="001775D9">
        <w:rPr>
          <w:rFonts w:eastAsia="SimSun"/>
          <w:b/>
          <w:bCs/>
          <w:color w:val="000000"/>
          <w:szCs w:val="22"/>
          <w:lang w:eastAsia="en-GB"/>
        </w:rPr>
        <w:t>m</w:t>
      </w:r>
      <w:r w:rsidRPr="001775D9">
        <w:rPr>
          <w:rFonts w:eastAsia="SimSun"/>
          <w:b/>
          <w:bCs/>
          <w:color w:val="000000"/>
          <w:szCs w:val="22"/>
          <w:lang w:eastAsia="en-GB"/>
        </w:rPr>
        <w:t xml:space="preserve">anagement </w:t>
      </w:r>
      <w:r w:rsidR="00602090" w:rsidRPr="001775D9">
        <w:rPr>
          <w:rFonts w:eastAsia="SimSun"/>
          <w:b/>
          <w:bCs/>
          <w:color w:val="000000"/>
          <w:szCs w:val="22"/>
          <w:lang w:eastAsia="en-GB"/>
        </w:rPr>
        <w:t>p</w:t>
      </w:r>
      <w:r w:rsidRPr="001775D9">
        <w:rPr>
          <w:rFonts w:eastAsia="SimSun"/>
          <w:b/>
          <w:bCs/>
          <w:color w:val="000000"/>
          <w:szCs w:val="22"/>
          <w:lang w:eastAsia="en-GB"/>
        </w:rPr>
        <w:t>lan (RMP)</w:t>
      </w:r>
    </w:p>
    <w:p w14:paraId="03E2D5F9" w14:textId="77777777" w:rsidR="005240DA" w:rsidRPr="001775D9" w:rsidRDefault="005240DA" w:rsidP="00EF15E3">
      <w:pPr>
        <w:keepNext/>
        <w:tabs>
          <w:tab w:val="clear" w:pos="567"/>
        </w:tabs>
        <w:autoSpaceDE w:val="0"/>
        <w:autoSpaceDN w:val="0"/>
        <w:adjustRightInd w:val="0"/>
        <w:spacing w:line="240" w:lineRule="auto"/>
        <w:ind w:left="127" w:right="120"/>
        <w:rPr>
          <w:rFonts w:eastAsia="SimSun"/>
          <w:color w:val="000000"/>
          <w:szCs w:val="22"/>
          <w:lang w:eastAsia="en-GB"/>
        </w:rPr>
      </w:pPr>
    </w:p>
    <w:p w14:paraId="30377172"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The</w:t>
      </w:r>
      <w:r w:rsidR="00647B7B" w:rsidRPr="001775D9">
        <w:rPr>
          <w:rFonts w:eastAsia="SimSun"/>
          <w:color w:val="000000"/>
          <w:szCs w:val="22"/>
          <w:lang w:eastAsia="en-GB"/>
        </w:rPr>
        <w:t xml:space="preserve"> marketing authorisation holder</w:t>
      </w:r>
      <w:r w:rsidRPr="001775D9">
        <w:rPr>
          <w:rFonts w:eastAsia="SimSun"/>
          <w:color w:val="000000"/>
          <w:szCs w:val="22"/>
          <w:lang w:eastAsia="en-GB"/>
        </w:rPr>
        <w:t xml:space="preserve"> </w:t>
      </w:r>
      <w:r w:rsidR="00647B7B" w:rsidRPr="001775D9">
        <w:rPr>
          <w:rFonts w:eastAsia="SimSun"/>
          <w:color w:val="000000"/>
          <w:szCs w:val="22"/>
          <w:lang w:eastAsia="en-GB"/>
        </w:rPr>
        <w:t>(</w:t>
      </w:r>
      <w:r w:rsidRPr="001775D9">
        <w:rPr>
          <w:rFonts w:eastAsia="SimSun"/>
          <w:color w:val="000000"/>
          <w:szCs w:val="22"/>
          <w:lang w:eastAsia="en-GB"/>
        </w:rPr>
        <w:t>MAH</w:t>
      </w:r>
      <w:r w:rsidR="00647B7B" w:rsidRPr="001775D9">
        <w:rPr>
          <w:rFonts w:eastAsia="SimSun"/>
          <w:color w:val="000000"/>
          <w:szCs w:val="22"/>
          <w:lang w:eastAsia="en-GB"/>
        </w:rPr>
        <w:t>)</w:t>
      </w:r>
      <w:r w:rsidRPr="001775D9">
        <w:rPr>
          <w:rFonts w:eastAsia="SimSun"/>
          <w:color w:val="000000"/>
          <w:szCs w:val="22"/>
          <w:lang w:eastAsia="en-GB"/>
        </w:rPr>
        <w:t xml:space="preserve"> shall perform the required pharmacovigilance activities and interventions detailed in the agreed RMP presented in Module 1.8.2 of the marketing authorisation and any agreed subsequent updates of the RMP.</w:t>
      </w:r>
    </w:p>
    <w:p w14:paraId="5A0800E6"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p>
    <w:p w14:paraId="00175345" w14:textId="77777777" w:rsidR="005240DA" w:rsidRPr="001775D9" w:rsidRDefault="005240DA" w:rsidP="00FB5458">
      <w:pPr>
        <w:keepNext/>
        <w:tabs>
          <w:tab w:val="clear" w:pos="567"/>
        </w:tabs>
        <w:autoSpaceDE w:val="0"/>
        <w:autoSpaceDN w:val="0"/>
        <w:adjustRightInd w:val="0"/>
        <w:spacing w:line="240" w:lineRule="auto"/>
        <w:rPr>
          <w:rFonts w:eastAsia="SimSun"/>
          <w:color w:val="000000"/>
          <w:szCs w:val="22"/>
          <w:lang w:eastAsia="en-GB"/>
        </w:rPr>
      </w:pPr>
      <w:r w:rsidRPr="001775D9">
        <w:rPr>
          <w:rFonts w:eastAsia="SimSun"/>
          <w:color w:val="000000"/>
          <w:szCs w:val="22"/>
          <w:lang w:eastAsia="en-GB"/>
        </w:rPr>
        <w:t>An updated RMP should be submitted:</w:t>
      </w:r>
    </w:p>
    <w:p w14:paraId="19E23E22" w14:textId="77777777" w:rsidR="005240DA" w:rsidRPr="001775D9" w:rsidRDefault="005240DA" w:rsidP="00FB5458">
      <w:pPr>
        <w:numPr>
          <w:ilvl w:val="0"/>
          <w:numId w:val="7"/>
        </w:numPr>
        <w:tabs>
          <w:tab w:val="clear" w:pos="720"/>
          <w:tab w:val="num" w:pos="567"/>
        </w:tabs>
        <w:autoSpaceDE w:val="0"/>
        <w:autoSpaceDN w:val="0"/>
        <w:adjustRightInd w:val="0"/>
        <w:spacing w:line="240" w:lineRule="auto"/>
        <w:ind w:left="567" w:hanging="567"/>
        <w:rPr>
          <w:rFonts w:eastAsia="SimSun"/>
          <w:color w:val="000000"/>
          <w:szCs w:val="22"/>
          <w:lang w:eastAsia="en-GB"/>
        </w:rPr>
      </w:pPr>
      <w:r w:rsidRPr="001775D9">
        <w:rPr>
          <w:rFonts w:eastAsia="SimSun"/>
          <w:color w:val="000000"/>
          <w:szCs w:val="22"/>
          <w:lang w:eastAsia="en-GB"/>
        </w:rPr>
        <w:t>At the request of the European Medicines Agency;</w:t>
      </w:r>
    </w:p>
    <w:p w14:paraId="17765D72" w14:textId="77777777" w:rsidR="005240DA" w:rsidRPr="001775D9" w:rsidRDefault="005240DA" w:rsidP="00FB5458">
      <w:pPr>
        <w:numPr>
          <w:ilvl w:val="0"/>
          <w:numId w:val="7"/>
        </w:numPr>
        <w:tabs>
          <w:tab w:val="clear" w:pos="720"/>
          <w:tab w:val="num" w:pos="567"/>
        </w:tabs>
        <w:autoSpaceDE w:val="0"/>
        <w:autoSpaceDN w:val="0"/>
        <w:adjustRightInd w:val="0"/>
        <w:spacing w:line="240" w:lineRule="auto"/>
        <w:ind w:left="567" w:hanging="567"/>
        <w:rPr>
          <w:rFonts w:eastAsia="SimSun"/>
          <w:color w:val="000000"/>
          <w:szCs w:val="22"/>
          <w:lang w:eastAsia="en-GB"/>
        </w:rPr>
      </w:pPr>
      <w:r w:rsidRPr="001775D9">
        <w:rPr>
          <w:rFonts w:eastAsia="SimSun"/>
          <w:color w:val="000000"/>
          <w:szCs w:val="22"/>
          <w:lang w:eastAsia="en-GB"/>
        </w:rPr>
        <w:t xml:space="preserve">Whenever the risk management system is modified, especially as the result of new information being received that may lead to a significant change to the benefit/risk profile or as the result of an important (pharmacovigilance or risk minimisation) milestone being reached. </w:t>
      </w:r>
    </w:p>
    <w:p w14:paraId="32EB9D4C" w14:textId="77777777" w:rsidR="005240DA" w:rsidRPr="001775D9" w:rsidRDefault="005240DA" w:rsidP="00FB5458">
      <w:pPr>
        <w:tabs>
          <w:tab w:val="clear" w:pos="567"/>
        </w:tabs>
        <w:autoSpaceDE w:val="0"/>
        <w:autoSpaceDN w:val="0"/>
        <w:adjustRightInd w:val="0"/>
        <w:spacing w:line="240" w:lineRule="auto"/>
        <w:ind w:left="567"/>
        <w:rPr>
          <w:rFonts w:eastAsia="SimSun"/>
          <w:color w:val="000000"/>
          <w:szCs w:val="22"/>
          <w:lang w:eastAsia="en-GB"/>
        </w:rPr>
      </w:pPr>
    </w:p>
    <w:p w14:paraId="13FE4DD0" w14:textId="77777777" w:rsidR="005240DA" w:rsidRPr="001775D9" w:rsidRDefault="005240DA" w:rsidP="0067002D">
      <w:pPr>
        <w:numPr>
          <w:ilvl w:val="0"/>
          <w:numId w:val="7"/>
        </w:numPr>
        <w:tabs>
          <w:tab w:val="clear" w:pos="720"/>
        </w:tabs>
        <w:autoSpaceDE w:val="0"/>
        <w:autoSpaceDN w:val="0"/>
        <w:adjustRightInd w:val="0"/>
        <w:spacing w:line="240" w:lineRule="auto"/>
        <w:ind w:left="567" w:hanging="567"/>
        <w:rPr>
          <w:rFonts w:eastAsia="SimSun"/>
          <w:color w:val="000000"/>
          <w:szCs w:val="22"/>
          <w:lang w:eastAsia="en-GB"/>
        </w:rPr>
      </w:pPr>
      <w:bookmarkStart w:id="2125" w:name="_Hlk529301138"/>
      <w:r w:rsidRPr="001775D9">
        <w:rPr>
          <w:rFonts w:eastAsia="SimSun"/>
          <w:b/>
          <w:bCs/>
          <w:color w:val="000000"/>
          <w:szCs w:val="22"/>
          <w:lang w:eastAsia="en-GB"/>
        </w:rPr>
        <w:t xml:space="preserve">Additional risk minimisation measures </w:t>
      </w:r>
    </w:p>
    <w:p w14:paraId="1DFBE6BA" w14:textId="77777777" w:rsidR="0067002D" w:rsidRPr="001775D9" w:rsidRDefault="0067002D" w:rsidP="00B61D9D">
      <w:pPr>
        <w:numPr>
          <w:ilvl w:val="12"/>
          <w:numId w:val="0"/>
        </w:numPr>
        <w:tabs>
          <w:tab w:val="left" w:pos="720"/>
        </w:tabs>
        <w:spacing w:line="240" w:lineRule="auto"/>
      </w:pPr>
    </w:p>
    <w:p w14:paraId="63CF2FF4" w14:textId="77777777" w:rsidR="0067002D" w:rsidRPr="001775D9" w:rsidRDefault="0067002D" w:rsidP="00B61D9D">
      <w:pPr>
        <w:numPr>
          <w:ilvl w:val="12"/>
          <w:numId w:val="0"/>
        </w:numPr>
        <w:tabs>
          <w:tab w:val="left" w:pos="720"/>
        </w:tabs>
        <w:spacing w:line="240" w:lineRule="auto"/>
      </w:pPr>
      <w:r w:rsidRPr="001775D9">
        <w:t>The Patient Reminder Cards (adult and paediatric) contain the following key elements</w:t>
      </w:r>
    </w:p>
    <w:p w14:paraId="1E6FA14C" w14:textId="77777777" w:rsidR="0067002D" w:rsidRPr="001775D9" w:rsidRDefault="0067002D" w:rsidP="00B61D9D">
      <w:pPr>
        <w:numPr>
          <w:ilvl w:val="12"/>
          <w:numId w:val="0"/>
        </w:numPr>
        <w:tabs>
          <w:tab w:val="left" w:pos="720"/>
        </w:tabs>
        <w:spacing w:line="240" w:lineRule="auto"/>
      </w:pPr>
    </w:p>
    <w:p w14:paraId="3B8BAB8A" w14:textId="77777777" w:rsidR="0067002D" w:rsidRPr="001775D9" w:rsidRDefault="0067002D">
      <w:pPr>
        <w:numPr>
          <w:ilvl w:val="0"/>
          <w:numId w:val="37"/>
        </w:numPr>
        <w:tabs>
          <w:tab w:val="left" w:pos="720"/>
        </w:tabs>
        <w:suppressAutoHyphens/>
        <w:spacing w:line="240" w:lineRule="auto"/>
      </w:pPr>
      <w:r w:rsidRPr="001775D9">
        <w:t>infections, including tuberculosis</w:t>
      </w:r>
    </w:p>
    <w:p w14:paraId="7840992F" w14:textId="77777777" w:rsidR="0067002D" w:rsidRPr="001775D9" w:rsidRDefault="0067002D">
      <w:pPr>
        <w:numPr>
          <w:ilvl w:val="0"/>
          <w:numId w:val="37"/>
        </w:numPr>
        <w:tabs>
          <w:tab w:val="left" w:pos="720"/>
        </w:tabs>
        <w:suppressAutoHyphens/>
        <w:spacing w:line="240" w:lineRule="auto"/>
      </w:pPr>
      <w:r w:rsidRPr="001775D9">
        <w:t>cancer</w:t>
      </w:r>
    </w:p>
    <w:p w14:paraId="614187EC" w14:textId="77777777" w:rsidR="0067002D" w:rsidRPr="001775D9" w:rsidRDefault="0067002D">
      <w:pPr>
        <w:numPr>
          <w:ilvl w:val="0"/>
          <w:numId w:val="37"/>
        </w:numPr>
        <w:tabs>
          <w:tab w:val="left" w:pos="720"/>
        </w:tabs>
        <w:suppressAutoHyphens/>
        <w:spacing w:line="240" w:lineRule="auto"/>
      </w:pPr>
      <w:r w:rsidRPr="001775D9">
        <w:t>nervous system problems</w:t>
      </w:r>
    </w:p>
    <w:p w14:paraId="2A085FA6" w14:textId="77777777" w:rsidR="0067002D" w:rsidRPr="001775D9" w:rsidRDefault="0067002D">
      <w:pPr>
        <w:numPr>
          <w:ilvl w:val="0"/>
          <w:numId w:val="37"/>
        </w:numPr>
        <w:tabs>
          <w:tab w:val="left" w:pos="720"/>
        </w:tabs>
        <w:suppressAutoHyphens/>
        <w:spacing w:line="240" w:lineRule="auto"/>
      </w:pPr>
      <w:r w:rsidRPr="001775D9">
        <w:t>vaccinations</w:t>
      </w:r>
    </w:p>
    <w:p w14:paraId="1E4A20E6" w14:textId="77777777" w:rsidR="005240DA" w:rsidRPr="001775D9" w:rsidRDefault="005240DA" w:rsidP="00FB5458">
      <w:pPr>
        <w:tabs>
          <w:tab w:val="clear" w:pos="567"/>
        </w:tabs>
        <w:autoSpaceDE w:val="0"/>
        <w:autoSpaceDN w:val="0"/>
        <w:adjustRightInd w:val="0"/>
        <w:spacing w:line="240" w:lineRule="auto"/>
        <w:rPr>
          <w:rFonts w:eastAsia="SimSun"/>
          <w:color w:val="000000"/>
          <w:szCs w:val="22"/>
          <w:lang w:eastAsia="en-GB"/>
        </w:rPr>
      </w:pPr>
    </w:p>
    <w:p w14:paraId="1CDCD6DF" w14:textId="77777777" w:rsidR="00C42229" w:rsidRPr="001775D9" w:rsidRDefault="005240DA" w:rsidP="00B61D9D">
      <w:pPr>
        <w:spacing w:line="240" w:lineRule="auto"/>
        <w:ind w:right="566"/>
        <w:rPr>
          <w:szCs w:val="22"/>
        </w:rPr>
      </w:pPr>
      <w:bookmarkStart w:id="2126" w:name="page_total_master7"/>
      <w:bookmarkStart w:id="2127" w:name="page_total"/>
      <w:bookmarkEnd w:id="2126"/>
      <w:bookmarkEnd w:id="2127"/>
      <w:r w:rsidRPr="001775D9">
        <w:rPr>
          <w:szCs w:val="22"/>
        </w:rPr>
        <w:br w:type="page"/>
      </w:r>
      <w:bookmarkEnd w:id="2125"/>
    </w:p>
    <w:p w14:paraId="5F2BEF25" w14:textId="77777777" w:rsidR="00C42229" w:rsidRPr="001775D9" w:rsidRDefault="00C42229" w:rsidP="00B61D9D">
      <w:pPr>
        <w:spacing w:line="240" w:lineRule="auto"/>
        <w:rPr>
          <w:szCs w:val="22"/>
        </w:rPr>
      </w:pPr>
    </w:p>
    <w:p w14:paraId="338238E2" w14:textId="77777777" w:rsidR="00C42229" w:rsidRPr="001775D9" w:rsidRDefault="00C42229" w:rsidP="00B61D9D">
      <w:pPr>
        <w:spacing w:line="240" w:lineRule="auto"/>
        <w:rPr>
          <w:szCs w:val="22"/>
        </w:rPr>
      </w:pPr>
    </w:p>
    <w:p w14:paraId="25CCF2CC" w14:textId="77777777" w:rsidR="00C42229" w:rsidRPr="001775D9" w:rsidRDefault="00C42229" w:rsidP="00B61D9D">
      <w:pPr>
        <w:spacing w:line="240" w:lineRule="auto"/>
        <w:rPr>
          <w:szCs w:val="22"/>
        </w:rPr>
      </w:pPr>
    </w:p>
    <w:p w14:paraId="428B3488" w14:textId="77777777" w:rsidR="00C42229" w:rsidRPr="001775D9" w:rsidRDefault="00C42229" w:rsidP="00B61D9D">
      <w:pPr>
        <w:spacing w:line="240" w:lineRule="auto"/>
        <w:rPr>
          <w:szCs w:val="22"/>
        </w:rPr>
      </w:pPr>
    </w:p>
    <w:p w14:paraId="716B16A0" w14:textId="77777777" w:rsidR="00C42229" w:rsidRPr="001775D9" w:rsidRDefault="00C42229" w:rsidP="00B61D9D">
      <w:pPr>
        <w:spacing w:line="240" w:lineRule="auto"/>
      </w:pPr>
    </w:p>
    <w:p w14:paraId="344FF46F" w14:textId="77777777" w:rsidR="00C42229" w:rsidRPr="001775D9" w:rsidRDefault="00C42229" w:rsidP="00B61D9D">
      <w:pPr>
        <w:spacing w:line="240" w:lineRule="auto"/>
      </w:pPr>
    </w:p>
    <w:p w14:paraId="7755E861" w14:textId="77777777" w:rsidR="00C42229" w:rsidRPr="001775D9" w:rsidRDefault="00C42229" w:rsidP="00B61D9D">
      <w:pPr>
        <w:spacing w:line="240" w:lineRule="auto"/>
      </w:pPr>
    </w:p>
    <w:p w14:paraId="35C0D4BD" w14:textId="77777777" w:rsidR="00C42229" w:rsidRPr="001775D9" w:rsidRDefault="00C42229" w:rsidP="00B61D9D">
      <w:pPr>
        <w:spacing w:line="240" w:lineRule="auto"/>
      </w:pPr>
    </w:p>
    <w:p w14:paraId="41AE281C" w14:textId="77777777" w:rsidR="00C42229" w:rsidRPr="001775D9" w:rsidRDefault="00C42229" w:rsidP="00B61D9D">
      <w:pPr>
        <w:spacing w:line="240" w:lineRule="auto"/>
        <w:rPr>
          <w:szCs w:val="22"/>
        </w:rPr>
      </w:pPr>
    </w:p>
    <w:p w14:paraId="51457EA8" w14:textId="77777777" w:rsidR="00C42229" w:rsidRPr="001775D9" w:rsidRDefault="00C42229" w:rsidP="00B61D9D">
      <w:pPr>
        <w:spacing w:line="240" w:lineRule="auto"/>
        <w:rPr>
          <w:szCs w:val="22"/>
        </w:rPr>
      </w:pPr>
    </w:p>
    <w:p w14:paraId="7218CD9E" w14:textId="77777777" w:rsidR="00C42229" w:rsidRPr="001775D9" w:rsidRDefault="00C42229" w:rsidP="00B61D9D">
      <w:pPr>
        <w:spacing w:line="240" w:lineRule="auto"/>
        <w:rPr>
          <w:szCs w:val="22"/>
        </w:rPr>
      </w:pPr>
    </w:p>
    <w:p w14:paraId="3C951764" w14:textId="77777777" w:rsidR="00C42229" w:rsidRPr="001775D9" w:rsidRDefault="00C42229" w:rsidP="00B61D9D">
      <w:pPr>
        <w:spacing w:line="240" w:lineRule="auto"/>
        <w:rPr>
          <w:szCs w:val="22"/>
        </w:rPr>
      </w:pPr>
    </w:p>
    <w:p w14:paraId="3EAF2DDF" w14:textId="77777777" w:rsidR="00C42229" w:rsidRPr="001775D9" w:rsidRDefault="00C42229" w:rsidP="00B61D9D">
      <w:pPr>
        <w:spacing w:line="240" w:lineRule="auto"/>
        <w:rPr>
          <w:szCs w:val="22"/>
        </w:rPr>
      </w:pPr>
    </w:p>
    <w:p w14:paraId="617F95FB" w14:textId="77777777" w:rsidR="00C42229" w:rsidRPr="001775D9" w:rsidRDefault="00C42229" w:rsidP="00B61D9D">
      <w:pPr>
        <w:spacing w:line="240" w:lineRule="auto"/>
        <w:rPr>
          <w:szCs w:val="22"/>
        </w:rPr>
      </w:pPr>
    </w:p>
    <w:p w14:paraId="76A9B371" w14:textId="77777777" w:rsidR="00C42229" w:rsidRPr="001775D9" w:rsidRDefault="00C42229" w:rsidP="00B61D9D">
      <w:pPr>
        <w:spacing w:line="240" w:lineRule="auto"/>
        <w:rPr>
          <w:szCs w:val="22"/>
        </w:rPr>
      </w:pPr>
    </w:p>
    <w:p w14:paraId="67560084" w14:textId="77777777" w:rsidR="00C42229" w:rsidRPr="001775D9" w:rsidRDefault="00C42229" w:rsidP="00B61D9D">
      <w:pPr>
        <w:spacing w:line="240" w:lineRule="auto"/>
        <w:outlineLvl w:val="0"/>
        <w:rPr>
          <w:b/>
          <w:szCs w:val="22"/>
        </w:rPr>
      </w:pPr>
    </w:p>
    <w:p w14:paraId="695EBB91" w14:textId="77777777" w:rsidR="00E26D69" w:rsidRPr="001775D9" w:rsidRDefault="00E26D69" w:rsidP="00B61D9D">
      <w:pPr>
        <w:spacing w:line="240" w:lineRule="auto"/>
        <w:outlineLvl w:val="0"/>
        <w:rPr>
          <w:b/>
          <w:szCs w:val="22"/>
        </w:rPr>
      </w:pPr>
    </w:p>
    <w:p w14:paraId="724E8DED" w14:textId="77777777" w:rsidR="00C42229" w:rsidRPr="001775D9" w:rsidRDefault="00C42229" w:rsidP="00B61D9D">
      <w:pPr>
        <w:spacing w:line="240" w:lineRule="auto"/>
        <w:outlineLvl w:val="0"/>
        <w:rPr>
          <w:b/>
          <w:szCs w:val="22"/>
        </w:rPr>
      </w:pPr>
    </w:p>
    <w:p w14:paraId="4AA7BEA6" w14:textId="77777777" w:rsidR="00C42229" w:rsidRPr="001775D9" w:rsidRDefault="00C42229" w:rsidP="00B61D9D">
      <w:pPr>
        <w:spacing w:line="240" w:lineRule="auto"/>
        <w:outlineLvl w:val="0"/>
        <w:rPr>
          <w:b/>
          <w:szCs w:val="22"/>
        </w:rPr>
      </w:pPr>
    </w:p>
    <w:p w14:paraId="2049C265" w14:textId="77777777" w:rsidR="00C42229" w:rsidRPr="001775D9" w:rsidRDefault="00C42229" w:rsidP="00B61D9D">
      <w:pPr>
        <w:spacing w:line="240" w:lineRule="auto"/>
        <w:outlineLvl w:val="0"/>
        <w:rPr>
          <w:b/>
          <w:szCs w:val="22"/>
        </w:rPr>
      </w:pPr>
    </w:p>
    <w:p w14:paraId="48B3593C" w14:textId="77777777" w:rsidR="00C42229" w:rsidRPr="001775D9" w:rsidRDefault="00C42229" w:rsidP="00B61D9D">
      <w:pPr>
        <w:spacing w:line="240" w:lineRule="auto"/>
        <w:outlineLvl w:val="0"/>
        <w:rPr>
          <w:b/>
          <w:szCs w:val="22"/>
        </w:rPr>
      </w:pPr>
    </w:p>
    <w:p w14:paraId="237323A6" w14:textId="77777777" w:rsidR="00C42229" w:rsidRPr="001775D9" w:rsidRDefault="00C42229" w:rsidP="00B61D9D">
      <w:pPr>
        <w:spacing w:line="240" w:lineRule="auto"/>
        <w:outlineLvl w:val="0"/>
        <w:rPr>
          <w:b/>
          <w:szCs w:val="22"/>
        </w:rPr>
      </w:pPr>
    </w:p>
    <w:p w14:paraId="132B4A69" w14:textId="77777777" w:rsidR="003C504B" w:rsidRPr="001775D9" w:rsidRDefault="003C504B" w:rsidP="00FB5458">
      <w:pPr>
        <w:spacing w:line="240" w:lineRule="auto"/>
        <w:jc w:val="center"/>
        <w:rPr>
          <w:szCs w:val="22"/>
        </w:rPr>
      </w:pPr>
      <w:r w:rsidRPr="001775D9">
        <w:rPr>
          <w:b/>
          <w:szCs w:val="22"/>
        </w:rPr>
        <w:t>ANNEX II</w:t>
      </w:r>
      <w:r w:rsidR="0019131C" w:rsidRPr="001775D9">
        <w:rPr>
          <w:b/>
          <w:szCs w:val="22"/>
        </w:rPr>
        <w:t>I</w:t>
      </w:r>
    </w:p>
    <w:p w14:paraId="7ED24CF9" w14:textId="77777777" w:rsidR="00C42229" w:rsidRPr="001775D9" w:rsidRDefault="00C42229" w:rsidP="00B61D9D">
      <w:pPr>
        <w:spacing w:line="240" w:lineRule="auto"/>
        <w:jc w:val="center"/>
        <w:rPr>
          <w:b/>
          <w:szCs w:val="22"/>
        </w:rPr>
      </w:pPr>
    </w:p>
    <w:p w14:paraId="64DFDA73" w14:textId="79A22EF4" w:rsidR="00C42229" w:rsidRPr="001775D9" w:rsidRDefault="00C42229" w:rsidP="00B61D9D">
      <w:pPr>
        <w:spacing w:line="240" w:lineRule="auto"/>
        <w:jc w:val="center"/>
        <w:outlineLvl w:val="0"/>
        <w:rPr>
          <w:b/>
          <w:szCs w:val="22"/>
        </w:rPr>
      </w:pPr>
      <w:r w:rsidRPr="001775D9">
        <w:rPr>
          <w:b/>
          <w:szCs w:val="22"/>
        </w:rPr>
        <w:t>LABELLING AND PACKAGE LEAFLET</w:t>
      </w:r>
      <w:r w:rsidR="001C55FB" w:rsidRPr="001775D9">
        <w:rPr>
          <w:b/>
          <w:szCs w:val="22"/>
        </w:rPr>
        <w:fldChar w:fldCharType="begin"/>
      </w:r>
      <w:r w:rsidR="001C55FB" w:rsidRPr="001775D9">
        <w:rPr>
          <w:b/>
          <w:szCs w:val="22"/>
        </w:rPr>
        <w:instrText xml:space="preserve"> DOCVARIABLE VAULT_ND_3977a4d1-82a6-4121-9cba-e4d6701e0930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ACC607D" w14:textId="77777777" w:rsidR="0055045A" w:rsidRPr="001775D9" w:rsidRDefault="0055045A" w:rsidP="00B61D9D">
      <w:pPr>
        <w:spacing w:line="240" w:lineRule="auto"/>
        <w:jc w:val="center"/>
        <w:outlineLvl w:val="0"/>
        <w:rPr>
          <w:b/>
          <w:szCs w:val="22"/>
        </w:rPr>
      </w:pPr>
    </w:p>
    <w:p w14:paraId="0D9E9F23" w14:textId="77777777" w:rsidR="00C42229" w:rsidRPr="001775D9" w:rsidRDefault="00C42229" w:rsidP="00B61D9D">
      <w:pPr>
        <w:spacing w:line="240" w:lineRule="auto"/>
        <w:rPr>
          <w:b/>
          <w:szCs w:val="22"/>
        </w:rPr>
      </w:pPr>
      <w:r w:rsidRPr="001775D9">
        <w:rPr>
          <w:b/>
          <w:szCs w:val="22"/>
        </w:rPr>
        <w:br w:type="page"/>
      </w:r>
    </w:p>
    <w:p w14:paraId="194BC1C8" w14:textId="77777777" w:rsidR="00C42229" w:rsidRPr="001775D9" w:rsidRDefault="00C42229" w:rsidP="00B61D9D">
      <w:pPr>
        <w:spacing w:line="240" w:lineRule="auto"/>
        <w:outlineLvl w:val="0"/>
        <w:rPr>
          <w:b/>
          <w:szCs w:val="22"/>
        </w:rPr>
      </w:pPr>
    </w:p>
    <w:p w14:paraId="0A55D4C0" w14:textId="77777777" w:rsidR="00C42229" w:rsidRPr="001775D9" w:rsidRDefault="00C42229" w:rsidP="00B61D9D">
      <w:pPr>
        <w:spacing w:line="240" w:lineRule="auto"/>
        <w:outlineLvl w:val="0"/>
        <w:rPr>
          <w:b/>
          <w:szCs w:val="22"/>
        </w:rPr>
      </w:pPr>
    </w:p>
    <w:p w14:paraId="19CF7AFB" w14:textId="77777777" w:rsidR="00C42229" w:rsidRPr="001775D9" w:rsidRDefault="00C42229" w:rsidP="00B61D9D">
      <w:pPr>
        <w:spacing w:line="240" w:lineRule="auto"/>
        <w:outlineLvl w:val="0"/>
        <w:rPr>
          <w:b/>
          <w:szCs w:val="22"/>
        </w:rPr>
      </w:pPr>
    </w:p>
    <w:p w14:paraId="47ADAF9F" w14:textId="77777777" w:rsidR="00C42229" w:rsidRPr="001775D9" w:rsidRDefault="00C42229" w:rsidP="00B61D9D">
      <w:pPr>
        <w:spacing w:line="240" w:lineRule="auto"/>
        <w:outlineLvl w:val="0"/>
        <w:rPr>
          <w:b/>
          <w:szCs w:val="22"/>
        </w:rPr>
      </w:pPr>
    </w:p>
    <w:p w14:paraId="6D3748B1" w14:textId="77777777" w:rsidR="00C42229" w:rsidRPr="001775D9" w:rsidRDefault="00C42229" w:rsidP="00B61D9D">
      <w:pPr>
        <w:spacing w:line="240" w:lineRule="auto"/>
        <w:outlineLvl w:val="0"/>
        <w:rPr>
          <w:b/>
          <w:szCs w:val="22"/>
        </w:rPr>
      </w:pPr>
    </w:p>
    <w:p w14:paraId="7CEC97A6" w14:textId="77777777" w:rsidR="00C42229" w:rsidRPr="001775D9" w:rsidRDefault="00C42229" w:rsidP="00B61D9D">
      <w:pPr>
        <w:spacing w:line="240" w:lineRule="auto"/>
        <w:outlineLvl w:val="0"/>
        <w:rPr>
          <w:b/>
          <w:szCs w:val="22"/>
        </w:rPr>
      </w:pPr>
    </w:p>
    <w:p w14:paraId="1B82A422" w14:textId="77777777" w:rsidR="00C42229" w:rsidRPr="001775D9" w:rsidRDefault="00C42229" w:rsidP="00B61D9D">
      <w:pPr>
        <w:spacing w:line="240" w:lineRule="auto"/>
        <w:outlineLvl w:val="0"/>
        <w:rPr>
          <w:b/>
          <w:szCs w:val="22"/>
        </w:rPr>
      </w:pPr>
    </w:p>
    <w:p w14:paraId="7DDF6452" w14:textId="77777777" w:rsidR="00C42229" w:rsidRPr="001775D9" w:rsidRDefault="00C42229" w:rsidP="00B61D9D">
      <w:pPr>
        <w:spacing w:line="240" w:lineRule="auto"/>
        <w:outlineLvl w:val="0"/>
        <w:rPr>
          <w:b/>
          <w:szCs w:val="22"/>
        </w:rPr>
      </w:pPr>
    </w:p>
    <w:p w14:paraId="0FA31FEB" w14:textId="77777777" w:rsidR="00C42229" w:rsidRPr="001775D9" w:rsidRDefault="00C42229" w:rsidP="00B61D9D">
      <w:pPr>
        <w:spacing w:line="240" w:lineRule="auto"/>
        <w:outlineLvl w:val="0"/>
        <w:rPr>
          <w:b/>
          <w:szCs w:val="22"/>
        </w:rPr>
      </w:pPr>
    </w:p>
    <w:p w14:paraId="000C46BA" w14:textId="77777777" w:rsidR="00C42229" w:rsidRPr="001775D9" w:rsidRDefault="00C42229" w:rsidP="00B61D9D">
      <w:pPr>
        <w:spacing w:line="240" w:lineRule="auto"/>
        <w:outlineLvl w:val="0"/>
        <w:rPr>
          <w:b/>
          <w:szCs w:val="22"/>
        </w:rPr>
      </w:pPr>
    </w:p>
    <w:p w14:paraId="72020491" w14:textId="77777777" w:rsidR="00C42229" w:rsidRPr="001775D9" w:rsidRDefault="00C42229" w:rsidP="00B61D9D">
      <w:pPr>
        <w:spacing w:line="240" w:lineRule="auto"/>
        <w:outlineLvl w:val="0"/>
        <w:rPr>
          <w:b/>
          <w:szCs w:val="22"/>
        </w:rPr>
      </w:pPr>
    </w:p>
    <w:p w14:paraId="527614F4" w14:textId="77777777" w:rsidR="00C42229" w:rsidRPr="001775D9" w:rsidRDefault="00C42229" w:rsidP="00B61D9D">
      <w:pPr>
        <w:spacing w:line="240" w:lineRule="auto"/>
        <w:outlineLvl w:val="0"/>
        <w:rPr>
          <w:b/>
          <w:szCs w:val="22"/>
        </w:rPr>
      </w:pPr>
    </w:p>
    <w:p w14:paraId="170EB9DF" w14:textId="77777777" w:rsidR="00C42229" w:rsidRPr="001775D9" w:rsidRDefault="00C42229" w:rsidP="00B61D9D">
      <w:pPr>
        <w:spacing w:line="240" w:lineRule="auto"/>
        <w:outlineLvl w:val="0"/>
        <w:rPr>
          <w:b/>
          <w:szCs w:val="22"/>
        </w:rPr>
      </w:pPr>
    </w:p>
    <w:p w14:paraId="2AFD62B3" w14:textId="77777777" w:rsidR="00C42229" w:rsidRPr="001775D9" w:rsidRDefault="00C42229" w:rsidP="00B61D9D">
      <w:pPr>
        <w:spacing w:line="240" w:lineRule="auto"/>
        <w:outlineLvl w:val="0"/>
        <w:rPr>
          <w:b/>
          <w:szCs w:val="22"/>
        </w:rPr>
      </w:pPr>
    </w:p>
    <w:p w14:paraId="55C039D4" w14:textId="77777777" w:rsidR="00E26D69" w:rsidRPr="001775D9" w:rsidRDefault="00E26D69" w:rsidP="00B61D9D">
      <w:pPr>
        <w:spacing w:line="240" w:lineRule="auto"/>
        <w:outlineLvl w:val="0"/>
        <w:rPr>
          <w:b/>
          <w:szCs w:val="22"/>
        </w:rPr>
      </w:pPr>
    </w:p>
    <w:p w14:paraId="4A775AD3" w14:textId="77777777" w:rsidR="00C42229" w:rsidRPr="001775D9" w:rsidRDefault="00C42229" w:rsidP="00B61D9D">
      <w:pPr>
        <w:spacing w:line="240" w:lineRule="auto"/>
        <w:outlineLvl w:val="0"/>
        <w:rPr>
          <w:b/>
          <w:szCs w:val="22"/>
        </w:rPr>
      </w:pPr>
    </w:p>
    <w:p w14:paraId="5FE41E34" w14:textId="77777777" w:rsidR="00C42229" w:rsidRPr="001775D9" w:rsidRDefault="00C42229" w:rsidP="00B61D9D">
      <w:pPr>
        <w:spacing w:line="240" w:lineRule="auto"/>
        <w:outlineLvl w:val="0"/>
        <w:rPr>
          <w:b/>
          <w:szCs w:val="22"/>
        </w:rPr>
      </w:pPr>
    </w:p>
    <w:p w14:paraId="4D678AA7" w14:textId="77777777" w:rsidR="00C42229" w:rsidRPr="001775D9" w:rsidRDefault="00C42229" w:rsidP="00B61D9D">
      <w:pPr>
        <w:spacing w:line="240" w:lineRule="auto"/>
        <w:outlineLvl w:val="0"/>
        <w:rPr>
          <w:b/>
          <w:szCs w:val="22"/>
        </w:rPr>
      </w:pPr>
    </w:p>
    <w:p w14:paraId="183F19BD" w14:textId="77777777" w:rsidR="00C42229" w:rsidRPr="001775D9" w:rsidRDefault="00C42229" w:rsidP="00B61D9D">
      <w:pPr>
        <w:spacing w:line="240" w:lineRule="auto"/>
        <w:outlineLvl w:val="0"/>
        <w:rPr>
          <w:b/>
          <w:szCs w:val="22"/>
        </w:rPr>
      </w:pPr>
    </w:p>
    <w:p w14:paraId="47CB1ECF" w14:textId="77777777" w:rsidR="00C42229" w:rsidRPr="001775D9" w:rsidRDefault="00C42229" w:rsidP="00B61D9D">
      <w:pPr>
        <w:spacing w:line="240" w:lineRule="auto"/>
        <w:outlineLvl w:val="0"/>
        <w:rPr>
          <w:b/>
          <w:szCs w:val="22"/>
        </w:rPr>
      </w:pPr>
    </w:p>
    <w:p w14:paraId="5669B90C" w14:textId="77777777" w:rsidR="00C42229" w:rsidRPr="001775D9" w:rsidRDefault="00C42229" w:rsidP="00B61D9D">
      <w:pPr>
        <w:spacing w:line="240" w:lineRule="auto"/>
        <w:outlineLvl w:val="0"/>
        <w:rPr>
          <w:b/>
          <w:szCs w:val="22"/>
        </w:rPr>
      </w:pPr>
    </w:p>
    <w:p w14:paraId="30ECF6FF" w14:textId="77777777" w:rsidR="00C42229" w:rsidRPr="001775D9" w:rsidRDefault="00C42229" w:rsidP="00B61D9D">
      <w:pPr>
        <w:spacing w:line="240" w:lineRule="auto"/>
        <w:outlineLvl w:val="0"/>
        <w:rPr>
          <w:b/>
          <w:szCs w:val="22"/>
        </w:rPr>
      </w:pPr>
    </w:p>
    <w:p w14:paraId="0DCC7539" w14:textId="77777777" w:rsidR="00C42229" w:rsidRPr="001775D9" w:rsidRDefault="00C42229" w:rsidP="00FB5458">
      <w:pPr>
        <w:pStyle w:val="TitleA"/>
        <w:rPr>
          <w:noProof w:val="0"/>
          <w:szCs w:val="22"/>
        </w:rPr>
      </w:pPr>
      <w:r w:rsidRPr="001775D9">
        <w:rPr>
          <w:noProof w:val="0"/>
          <w:szCs w:val="22"/>
        </w:rPr>
        <w:t>A. LABELLING</w:t>
      </w:r>
    </w:p>
    <w:p w14:paraId="77B9C45A" w14:textId="77777777" w:rsidR="00615103" w:rsidRPr="001775D9" w:rsidRDefault="00C42229" w:rsidP="00FB5458">
      <w:pPr>
        <w:shd w:val="clear" w:color="auto" w:fill="FFFFFF"/>
        <w:rPr>
          <w:szCs w:val="22"/>
        </w:rPr>
      </w:pPr>
      <w:r w:rsidRPr="001775D9">
        <w:rPr>
          <w:szCs w:val="22"/>
        </w:rPr>
        <w:br w:type="page"/>
      </w:r>
    </w:p>
    <w:p w14:paraId="2CAE96D3" w14:textId="77777777" w:rsidR="00615103" w:rsidRPr="001775D9" w:rsidRDefault="00615103"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40DCE64F" w14:textId="77777777" w:rsidR="00615103" w:rsidRPr="001775D9" w:rsidRDefault="00615103"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757C2D60" w14:textId="77777777" w:rsidR="00615103" w:rsidRPr="001775D9" w:rsidRDefault="00615103"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CARTON PRE-FILLED SYRINGE</w:t>
      </w:r>
    </w:p>
    <w:p w14:paraId="37E5C36C" w14:textId="77777777" w:rsidR="00615103" w:rsidRPr="001775D9" w:rsidRDefault="00615103" w:rsidP="00B61D9D">
      <w:pPr>
        <w:keepNext/>
        <w:spacing w:line="240" w:lineRule="auto"/>
      </w:pPr>
    </w:p>
    <w:p w14:paraId="0486D058" w14:textId="77777777" w:rsidR="00615103" w:rsidRPr="001775D9" w:rsidRDefault="00615103" w:rsidP="00B61D9D">
      <w:pPr>
        <w:keepNext/>
        <w:spacing w:line="240" w:lineRule="auto"/>
        <w:rPr>
          <w:szCs w:val="22"/>
        </w:rPr>
      </w:pPr>
    </w:p>
    <w:p w14:paraId="42F365BC" w14:textId="3A0985EC" w:rsidR="00615103" w:rsidRPr="001775D9" w:rsidRDefault="00615103"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VAULT_ND_dbe3f02e-b0ec-4c10-b372-4fe076274868 \* MERGEFORMAT </w:instrText>
      </w:r>
      <w:r w:rsidR="001C55FB" w:rsidRPr="001775D9">
        <w:rPr>
          <w:b/>
        </w:rPr>
        <w:fldChar w:fldCharType="separate"/>
      </w:r>
      <w:r w:rsidR="001C55FB" w:rsidRPr="001775D9">
        <w:rPr>
          <w:b/>
        </w:rPr>
        <w:t xml:space="preserve"> </w:t>
      </w:r>
      <w:r w:rsidR="001C55FB" w:rsidRPr="001775D9">
        <w:rPr>
          <w:b/>
        </w:rPr>
        <w:fldChar w:fldCharType="end"/>
      </w:r>
    </w:p>
    <w:p w14:paraId="0E92A5C2" w14:textId="77777777" w:rsidR="00615103" w:rsidRPr="001775D9" w:rsidRDefault="00615103" w:rsidP="00B61D9D">
      <w:pPr>
        <w:keepNext/>
        <w:spacing w:line="240" w:lineRule="auto"/>
        <w:rPr>
          <w:szCs w:val="22"/>
        </w:rPr>
      </w:pPr>
    </w:p>
    <w:p w14:paraId="2AEDA964" w14:textId="77777777" w:rsidR="00DD5232" w:rsidRPr="001775D9" w:rsidRDefault="00DD5232" w:rsidP="00B61D9D">
      <w:pPr>
        <w:keepNext/>
        <w:spacing w:line="240" w:lineRule="auto"/>
        <w:rPr>
          <w:szCs w:val="22"/>
        </w:rPr>
      </w:pPr>
      <w:r w:rsidRPr="001775D9">
        <w:rPr>
          <w:szCs w:val="22"/>
        </w:rPr>
        <w:t>AMGEVITA 20</w:t>
      </w:r>
      <w:r w:rsidR="00662641" w:rsidRPr="001775D9">
        <w:rPr>
          <w:szCs w:val="22"/>
        </w:rPr>
        <w:t> </w:t>
      </w:r>
      <w:r w:rsidRPr="001775D9">
        <w:rPr>
          <w:szCs w:val="22"/>
        </w:rPr>
        <w:t>mg solution for injection in pre-filled syringe</w:t>
      </w:r>
    </w:p>
    <w:p w14:paraId="7A8837B8" w14:textId="77777777" w:rsidR="00DD5232" w:rsidRPr="001775D9" w:rsidRDefault="00DD5232" w:rsidP="00B61D9D">
      <w:pPr>
        <w:keepNext/>
        <w:spacing w:line="240" w:lineRule="auto"/>
        <w:rPr>
          <w:szCs w:val="22"/>
        </w:rPr>
      </w:pPr>
      <w:r w:rsidRPr="001775D9">
        <w:rPr>
          <w:szCs w:val="22"/>
        </w:rPr>
        <w:t>adalimumab</w:t>
      </w:r>
    </w:p>
    <w:p w14:paraId="56CE783E" w14:textId="77777777" w:rsidR="00615103" w:rsidRPr="001775D9" w:rsidRDefault="00615103" w:rsidP="00B61D9D">
      <w:pPr>
        <w:keepNext/>
        <w:spacing w:line="240" w:lineRule="auto"/>
        <w:rPr>
          <w:szCs w:val="22"/>
        </w:rPr>
      </w:pPr>
    </w:p>
    <w:p w14:paraId="49E7B9AA" w14:textId="77777777" w:rsidR="00615103" w:rsidRPr="001775D9" w:rsidRDefault="00615103" w:rsidP="00B61D9D">
      <w:pPr>
        <w:keepNext/>
        <w:spacing w:line="240" w:lineRule="auto"/>
        <w:rPr>
          <w:szCs w:val="22"/>
        </w:rPr>
      </w:pPr>
    </w:p>
    <w:p w14:paraId="59CA921D" w14:textId="5FBDA1F5"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VAULT_ND_6c0a3617-9125-4d65-93c3-68a293d24eb6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B5436D4" w14:textId="77777777" w:rsidR="00615103" w:rsidRPr="001775D9" w:rsidRDefault="00615103" w:rsidP="00B61D9D">
      <w:pPr>
        <w:spacing w:line="240" w:lineRule="auto"/>
        <w:rPr>
          <w:szCs w:val="22"/>
        </w:rPr>
      </w:pPr>
    </w:p>
    <w:p w14:paraId="78C84A1D" w14:textId="77777777" w:rsidR="00DD5232" w:rsidRPr="001775D9" w:rsidRDefault="00DD5232" w:rsidP="00A306C2">
      <w:pPr>
        <w:suppressLineNumbers/>
        <w:spacing w:line="240" w:lineRule="auto"/>
        <w:rPr>
          <w:szCs w:val="22"/>
        </w:rPr>
      </w:pPr>
      <w:r w:rsidRPr="001775D9">
        <w:rPr>
          <w:szCs w:val="22"/>
        </w:rPr>
        <w:t>Each pre-filled syringe contains 20</w:t>
      </w:r>
      <w:r w:rsidR="00662641" w:rsidRPr="001775D9">
        <w:rPr>
          <w:szCs w:val="22"/>
        </w:rPr>
        <w:t> </w:t>
      </w:r>
      <w:r w:rsidRPr="001775D9">
        <w:rPr>
          <w:szCs w:val="22"/>
        </w:rPr>
        <w:t>mg of adalimumab in 0.4</w:t>
      </w:r>
      <w:r w:rsidR="00EF1767" w:rsidRPr="001775D9">
        <w:rPr>
          <w:szCs w:val="22"/>
        </w:rPr>
        <w:t> </w:t>
      </w:r>
      <w:r w:rsidRPr="001775D9">
        <w:rPr>
          <w:szCs w:val="22"/>
        </w:rPr>
        <w:t>mL of solution.</w:t>
      </w:r>
    </w:p>
    <w:p w14:paraId="36D03857" w14:textId="77777777" w:rsidR="00615103" w:rsidRPr="001775D9" w:rsidRDefault="00615103" w:rsidP="00B61D9D">
      <w:pPr>
        <w:spacing w:line="240" w:lineRule="auto"/>
        <w:rPr>
          <w:szCs w:val="22"/>
        </w:rPr>
      </w:pPr>
    </w:p>
    <w:p w14:paraId="6D0E3A8B" w14:textId="77777777" w:rsidR="00615103" w:rsidRPr="001775D9" w:rsidRDefault="00615103" w:rsidP="00B61D9D">
      <w:pPr>
        <w:spacing w:line="240" w:lineRule="auto"/>
        <w:rPr>
          <w:szCs w:val="22"/>
        </w:rPr>
      </w:pPr>
    </w:p>
    <w:p w14:paraId="55E8D7A3" w14:textId="23C71653"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VAULT_ND_e9b9d826-5979-4f9f-adc6-dc1af931c538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0A56CD8" w14:textId="77777777" w:rsidR="00615103" w:rsidRPr="001775D9" w:rsidRDefault="00615103" w:rsidP="00B61D9D">
      <w:pPr>
        <w:spacing w:line="240" w:lineRule="auto"/>
        <w:rPr>
          <w:szCs w:val="22"/>
        </w:rPr>
      </w:pPr>
    </w:p>
    <w:p w14:paraId="454D7223" w14:textId="46401BF7" w:rsidR="00DD5232" w:rsidRPr="001775D9" w:rsidRDefault="00DD5232" w:rsidP="00A306C2">
      <w:pPr>
        <w:tabs>
          <w:tab w:val="clear" w:pos="567"/>
        </w:tabs>
        <w:autoSpaceDE w:val="0"/>
        <w:autoSpaceDN w:val="0"/>
        <w:adjustRightInd w:val="0"/>
        <w:spacing w:line="240" w:lineRule="auto"/>
        <w:rPr>
          <w:szCs w:val="22"/>
          <w:lang w:eastAsia="en-GB"/>
        </w:rPr>
      </w:pPr>
      <w:r w:rsidRPr="001775D9">
        <w:rPr>
          <w:szCs w:val="22"/>
          <w:lang w:eastAsia="en-GB"/>
        </w:rPr>
        <w:t>Glacial acetic acid</w:t>
      </w:r>
      <w:r w:rsidRPr="001775D9">
        <w:rPr>
          <w:szCs w:val="22"/>
        </w:rPr>
        <w:t>, sucrose</w:t>
      </w:r>
      <w:r w:rsidRPr="001775D9">
        <w:rPr>
          <w:szCs w:val="22"/>
          <w:lang w:eastAsia="en-GB"/>
        </w:rPr>
        <w:t>, polysorbate 80, sodium hydroxide and water for injection</w:t>
      </w:r>
      <w:r w:rsidR="00503B55" w:rsidRPr="001775D9">
        <w:rPr>
          <w:szCs w:val="22"/>
          <w:lang w:eastAsia="en-GB"/>
        </w:rPr>
        <w:t>s</w:t>
      </w:r>
      <w:r w:rsidRPr="001775D9">
        <w:rPr>
          <w:szCs w:val="22"/>
          <w:lang w:eastAsia="en-GB"/>
        </w:rPr>
        <w:t xml:space="preserve">. </w:t>
      </w:r>
    </w:p>
    <w:p w14:paraId="4720701F" w14:textId="77777777" w:rsidR="00615103" w:rsidRPr="001775D9" w:rsidRDefault="00615103" w:rsidP="00B61D9D">
      <w:pPr>
        <w:spacing w:line="240" w:lineRule="auto"/>
        <w:rPr>
          <w:szCs w:val="22"/>
        </w:rPr>
      </w:pPr>
    </w:p>
    <w:p w14:paraId="427A3312" w14:textId="77777777" w:rsidR="00615103" w:rsidRPr="001775D9" w:rsidRDefault="00615103" w:rsidP="00B61D9D">
      <w:pPr>
        <w:spacing w:line="240" w:lineRule="auto"/>
        <w:rPr>
          <w:szCs w:val="22"/>
        </w:rPr>
      </w:pPr>
    </w:p>
    <w:p w14:paraId="65062343" w14:textId="63509327"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VAULT_ND_bdf10428-d3b1-420d-9c14-05f96ff7523f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783A67E" w14:textId="77777777" w:rsidR="00615103" w:rsidRPr="001775D9" w:rsidRDefault="00615103" w:rsidP="00B61D9D">
      <w:pPr>
        <w:spacing w:line="240" w:lineRule="auto"/>
        <w:rPr>
          <w:szCs w:val="22"/>
        </w:rPr>
      </w:pPr>
    </w:p>
    <w:p w14:paraId="509711DB" w14:textId="3D353D2D" w:rsidR="00627193" w:rsidRPr="001775D9" w:rsidRDefault="00627193" w:rsidP="00A306C2">
      <w:pPr>
        <w:spacing w:line="240" w:lineRule="auto"/>
        <w:rPr>
          <w:szCs w:val="22"/>
        </w:rPr>
      </w:pPr>
      <w:r>
        <w:rPr>
          <w:szCs w:val="22"/>
          <w:highlight w:val="lightGray"/>
        </w:rPr>
        <w:t>Solution for injection</w:t>
      </w:r>
    </w:p>
    <w:p w14:paraId="6476578C" w14:textId="2F2BD8A8" w:rsidR="00204623" w:rsidRPr="00D55B59" w:rsidRDefault="00204623" w:rsidP="00A306C2">
      <w:pPr>
        <w:spacing w:line="240" w:lineRule="auto"/>
        <w:rPr>
          <w:szCs w:val="22"/>
          <w:lang w:val="da-DK"/>
          <w:rPrChange w:id="2128" w:author="Author">
            <w:rPr>
              <w:szCs w:val="22"/>
              <w:lang w:val="nb-NO"/>
            </w:rPr>
          </w:rPrChange>
        </w:rPr>
      </w:pPr>
      <w:r w:rsidRPr="00D55B59">
        <w:rPr>
          <w:szCs w:val="22"/>
          <w:lang w:val="da-DK"/>
          <w:rPrChange w:id="2129" w:author="Author">
            <w:rPr>
              <w:szCs w:val="22"/>
              <w:lang w:val="nb-NO"/>
            </w:rPr>
          </w:rPrChange>
        </w:rPr>
        <w:t>20 mg/0.4 mL</w:t>
      </w:r>
    </w:p>
    <w:p w14:paraId="4E94CF7B" w14:textId="02A08E0E" w:rsidR="00627193" w:rsidRPr="00D55B59" w:rsidRDefault="00627193" w:rsidP="00A306C2">
      <w:pPr>
        <w:spacing w:line="240" w:lineRule="auto"/>
        <w:rPr>
          <w:szCs w:val="22"/>
          <w:lang w:val="da-DK"/>
          <w:rPrChange w:id="2130" w:author="Author">
            <w:rPr>
              <w:szCs w:val="22"/>
              <w:lang w:val="nb-NO"/>
            </w:rPr>
          </w:rPrChange>
        </w:rPr>
      </w:pPr>
      <w:r w:rsidRPr="00D55B59">
        <w:rPr>
          <w:szCs w:val="22"/>
          <w:lang w:val="da-DK"/>
          <w:rPrChange w:id="2131" w:author="Author">
            <w:rPr>
              <w:szCs w:val="22"/>
              <w:lang w:val="nb-NO"/>
            </w:rPr>
          </w:rPrChange>
        </w:rPr>
        <w:t>1 pre-filled syringe.</w:t>
      </w:r>
    </w:p>
    <w:p w14:paraId="3DE8821E" w14:textId="77777777" w:rsidR="00615103" w:rsidRPr="00D55B59" w:rsidRDefault="00615103" w:rsidP="00B61D9D">
      <w:pPr>
        <w:spacing w:line="240" w:lineRule="auto"/>
        <w:rPr>
          <w:szCs w:val="22"/>
          <w:lang w:val="da-DK"/>
          <w:rPrChange w:id="2132" w:author="Author">
            <w:rPr>
              <w:szCs w:val="22"/>
              <w:lang w:val="nb-NO"/>
            </w:rPr>
          </w:rPrChange>
        </w:rPr>
      </w:pPr>
    </w:p>
    <w:p w14:paraId="1BD489F9" w14:textId="77777777" w:rsidR="00600D61" w:rsidRPr="00D55B59" w:rsidRDefault="00600D61" w:rsidP="00B61D9D">
      <w:pPr>
        <w:spacing w:line="240" w:lineRule="auto"/>
        <w:rPr>
          <w:szCs w:val="22"/>
          <w:lang w:val="da-DK"/>
          <w:rPrChange w:id="2133" w:author="Author">
            <w:rPr>
              <w:szCs w:val="22"/>
              <w:lang w:val="nb-NO"/>
            </w:rPr>
          </w:rPrChange>
        </w:rPr>
      </w:pPr>
    </w:p>
    <w:p w14:paraId="43BDDD77" w14:textId="44F3A93E"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VAULT_ND_42f10ee3-68c6-44e5-982e-db0cba061b3f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5E5E70F" w14:textId="77777777" w:rsidR="00615103" w:rsidRPr="001775D9" w:rsidRDefault="00615103" w:rsidP="00B61D9D">
      <w:pPr>
        <w:spacing w:line="240" w:lineRule="auto"/>
        <w:rPr>
          <w:szCs w:val="22"/>
        </w:rPr>
      </w:pPr>
    </w:p>
    <w:p w14:paraId="3FDE1991" w14:textId="77777777" w:rsidR="00615103" w:rsidRPr="001775D9" w:rsidRDefault="00627193" w:rsidP="00A306C2">
      <w:pPr>
        <w:spacing w:line="240" w:lineRule="auto"/>
        <w:rPr>
          <w:szCs w:val="22"/>
        </w:rPr>
      </w:pPr>
      <w:r w:rsidRPr="001775D9">
        <w:rPr>
          <w:szCs w:val="22"/>
        </w:rPr>
        <w:t>For s</w:t>
      </w:r>
      <w:r w:rsidR="00615103" w:rsidRPr="001775D9">
        <w:rPr>
          <w:szCs w:val="22"/>
        </w:rPr>
        <w:t>ubcutaneous use</w:t>
      </w:r>
      <w:r w:rsidRPr="001775D9">
        <w:rPr>
          <w:szCs w:val="22"/>
        </w:rPr>
        <w:t>.</w:t>
      </w:r>
    </w:p>
    <w:p w14:paraId="4687B7D3" w14:textId="77777777" w:rsidR="00615103" w:rsidRPr="001775D9" w:rsidRDefault="00615103" w:rsidP="00B61D9D">
      <w:pPr>
        <w:spacing w:line="240" w:lineRule="auto"/>
        <w:rPr>
          <w:szCs w:val="22"/>
        </w:rPr>
      </w:pPr>
      <w:r w:rsidRPr="001775D9">
        <w:rPr>
          <w:szCs w:val="22"/>
        </w:rPr>
        <w:t>Read the package leaflet before use.</w:t>
      </w:r>
    </w:p>
    <w:p w14:paraId="5FA405EC" w14:textId="77777777" w:rsidR="000F7B7C" w:rsidRPr="001775D9" w:rsidRDefault="001E0330" w:rsidP="00B61D9D">
      <w:pPr>
        <w:spacing w:line="240" w:lineRule="auto"/>
        <w:rPr>
          <w:szCs w:val="22"/>
        </w:rPr>
      </w:pPr>
      <w:r w:rsidRPr="001775D9">
        <w:rPr>
          <w:szCs w:val="22"/>
        </w:rPr>
        <w:t>S</w:t>
      </w:r>
      <w:r w:rsidR="000F7B7C" w:rsidRPr="001775D9">
        <w:rPr>
          <w:szCs w:val="22"/>
        </w:rPr>
        <w:t>ingle use only</w:t>
      </w:r>
      <w:r w:rsidR="001E0C77" w:rsidRPr="001775D9">
        <w:rPr>
          <w:szCs w:val="22"/>
        </w:rPr>
        <w:t>.</w:t>
      </w:r>
    </w:p>
    <w:p w14:paraId="32841AA2" w14:textId="77777777" w:rsidR="00615103" w:rsidRPr="001775D9" w:rsidRDefault="00615103" w:rsidP="00B61D9D">
      <w:pPr>
        <w:spacing w:line="240" w:lineRule="auto"/>
        <w:rPr>
          <w:szCs w:val="22"/>
        </w:rPr>
      </w:pPr>
    </w:p>
    <w:p w14:paraId="10FE81E9" w14:textId="77777777" w:rsidR="00615103" w:rsidRPr="001775D9" w:rsidRDefault="00615103" w:rsidP="00B61D9D">
      <w:pPr>
        <w:spacing w:line="240" w:lineRule="auto"/>
        <w:rPr>
          <w:szCs w:val="22"/>
        </w:rPr>
      </w:pPr>
    </w:p>
    <w:p w14:paraId="0ECA7EF2" w14:textId="01D7CB9A"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VAULT_ND_ebacf299-d3ff-4ac6-99c4-1deec4d7fe3e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974BF57" w14:textId="77777777" w:rsidR="00615103" w:rsidRPr="001775D9" w:rsidRDefault="00615103" w:rsidP="00B61D9D">
      <w:pPr>
        <w:spacing w:line="240" w:lineRule="auto"/>
        <w:rPr>
          <w:szCs w:val="22"/>
        </w:rPr>
      </w:pPr>
    </w:p>
    <w:p w14:paraId="5EDD33A3" w14:textId="6BEBBA94" w:rsidR="00615103" w:rsidRPr="001775D9" w:rsidRDefault="00615103"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vault_nd_b5ec9cbd-5c43-405e-b30f-f3dd0c21f791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6712D58B" w14:textId="77777777" w:rsidR="00615103" w:rsidRPr="001775D9" w:rsidRDefault="00615103" w:rsidP="00B61D9D">
      <w:pPr>
        <w:spacing w:line="240" w:lineRule="auto"/>
        <w:rPr>
          <w:szCs w:val="22"/>
        </w:rPr>
      </w:pPr>
    </w:p>
    <w:p w14:paraId="589733D3" w14:textId="77777777" w:rsidR="00615103" w:rsidRPr="001775D9" w:rsidRDefault="00615103" w:rsidP="00B61D9D">
      <w:pPr>
        <w:spacing w:line="240" w:lineRule="auto"/>
        <w:rPr>
          <w:szCs w:val="22"/>
        </w:rPr>
      </w:pPr>
    </w:p>
    <w:p w14:paraId="3BAC08EF" w14:textId="4CD5639F"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VAULT_ND_a0669f89-d5c4-4c2e-8f40-91de62471cba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1DF8626" w14:textId="77777777" w:rsidR="00EA6648" w:rsidRPr="001775D9" w:rsidRDefault="00EA6648" w:rsidP="00B61D9D">
      <w:pPr>
        <w:tabs>
          <w:tab w:val="left" w:pos="749"/>
        </w:tabs>
        <w:spacing w:line="240" w:lineRule="auto"/>
      </w:pPr>
    </w:p>
    <w:p w14:paraId="072A4B08" w14:textId="77777777" w:rsidR="00EA6648" w:rsidRPr="001775D9" w:rsidRDefault="00EA6648" w:rsidP="00B61D9D">
      <w:pPr>
        <w:tabs>
          <w:tab w:val="left" w:pos="749"/>
        </w:tabs>
        <w:spacing w:line="240" w:lineRule="auto"/>
      </w:pPr>
    </w:p>
    <w:p w14:paraId="7C8D229B" w14:textId="619A2134"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VAULT_ND_57e26c85-bb7e-4681-a30f-1cc5121ba40a \* MERGEFORMAT </w:instrText>
      </w:r>
      <w:r w:rsidR="001C55FB" w:rsidRPr="001775D9">
        <w:rPr>
          <w:b/>
        </w:rPr>
        <w:fldChar w:fldCharType="separate"/>
      </w:r>
      <w:r w:rsidR="001C55FB" w:rsidRPr="001775D9">
        <w:rPr>
          <w:b/>
        </w:rPr>
        <w:t xml:space="preserve"> </w:t>
      </w:r>
      <w:r w:rsidR="001C55FB" w:rsidRPr="001775D9">
        <w:rPr>
          <w:b/>
        </w:rPr>
        <w:fldChar w:fldCharType="end"/>
      </w:r>
    </w:p>
    <w:p w14:paraId="4D75970F" w14:textId="77777777" w:rsidR="00615103" w:rsidRPr="001775D9" w:rsidRDefault="00615103" w:rsidP="00B61D9D">
      <w:pPr>
        <w:spacing w:line="240" w:lineRule="auto"/>
      </w:pPr>
    </w:p>
    <w:p w14:paraId="3330F2F1" w14:textId="77777777" w:rsidR="00615103" w:rsidRPr="001775D9" w:rsidRDefault="00615103" w:rsidP="00B61D9D">
      <w:pPr>
        <w:spacing w:line="240" w:lineRule="auto"/>
      </w:pPr>
      <w:r w:rsidRPr="001775D9">
        <w:rPr>
          <w:szCs w:val="22"/>
        </w:rPr>
        <w:t>EXP</w:t>
      </w:r>
      <w:r w:rsidR="000B07B9" w:rsidRPr="001775D9">
        <w:rPr>
          <w:szCs w:val="22"/>
        </w:rPr>
        <w:t xml:space="preserve"> </w:t>
      </w:r>
    </w:p>
    <w:p w14:paraId="77E4CEE1" w14:textId="77777777" w:rsidR="00615103" w:rsidRPr="001775D9" w:rsidRDefault="00615103" w:rsidP="00B61D9D">
      <w:pPr>
        <w:spacing w:line="240" w:lineRule="auto"/>
        <w:rPr>
          <w:szCs w:val="22"/>
        </w:rPr>
      </w:pPr>
    </w:p>
    <w:p w14:paraId="1FE18AF2" w14:textId="77777777" w:rsidR="00615103" w:rsidRPr="001775D9" w:rsidRDefault="00615103" w:rsidP="00B61D9D">
      <w:pPr>
        <w:spacing w:line="240" w:lineRule="auto"/>
        <w:rPr>
          <w:szCs w:val="22"/>
        </w:rPr>
      </w:pPr>
    </w:p>
    <w:p w14:paraId="2A9C2D79" w14:textId="0E3D2186" w:rsidR="00615103" w:rsidRPr="001775D9" w:rsidRDefault="00615103"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VAULT_ND_cae8790d-3064-4132-8aaa-35a03ee411ac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4894057" w14:textId="77777777" w:rsidR="00615103" w:rsidRPr="001775D9" w:rsidRDefault="00615103" w:rsidP="00B61D9D">
      <w:pPr>
        <w:keepNext/>
        <w:spacing w:line="240" w:lineRule="auto"/>
        <w:rPr>
          <w:szCs w:val="22"/>
        </w:rPr>
      </w:pPr>
    </w:p>
    <w:p w14:paraId="60762B16" w14:textId="77777777" w:rsidR="00615103" w:rsidRPr="001775D9" w:rsidRDefault="00615103" w:rsidP="00A306C2">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305FD0E5" w14:textId="77777777" w:rsidR="00615103" w:rsidRPr="001775D9" w:rsidRDefault="00615103" w:rsidP="00A306C2">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638AF182" w14:textId="77777777" w:rsidR="00615103" w:rsidRPr="001775D9" w:rsidRDefault="00627193" w:rsidP="00A306C2">
      <w:pPr>
        <w:keepNext/>
        <w:spacing w:line="240" w:lineRule="auto"/>
        <w:rPr>
          <w:rFonts w:eastAsia="SimSun"/>
          <w:szCs w:val="22"/>
          <w:lang w:eastAsia="en-GB"/>
        </w:rPr>
      </w:pPr>
      <w:r w:rsidRPr="001775D9">
        <w:rPr>
          <w:rFonts w:eastAsia="SimSun"/>
          <w:szCs w:val="22"/>
          <w:lang w:eastAsia="en-GB"/>
        </w:rPr>
        <w:t>Store in the original carton in order to protect from light.</w:t>
      </w:r>
    </w:p>
    <w:p w14:paraId="645FEC67" w14:textId="77777777" w:rsidR="00627193" w:rsidRPr="001775D9" w:rsidRDefault="00627193" w:rsidP="00A306C2">
      <w:pPr>
        <w:spacing w:line="240" w:lineRule="auto"/>
        <w:rPr>
          <w:rFonts w:eastAsia="SimSun"/>
          <w:szCs w:val="22"/>
          <w:lang w:eastAsia="en-GB"/>
        </w:rPr>
      </w:pPr>
    </w:p>
    <w:p w14:paraId="4EFD2600" w14:textId="77777777" w:rsidR="00615103" w:rsidRPr="001775D9" w:rsidRDefault="00615103" w:rsidP="00B61D9D">
      <w:pPr>
        <w:spacing w:line="240" w:lineRule="auto"/>
        <w:ind w:left="567" w:hanging="567"/>
        <w:rPr>
          <w:szCs w:val="22"/>
        </w:rPr>
      </w:pPr>
    </w:p>
    <w:p w14:paraId="60A7AE22" w14:textId="5BD2B67C"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VAULT_ND_8ab68344-9638-4bc4-b77c-c72c060c650d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BD029EB" w14:textId="77777777" w:rsidR="00615103" w:rsidRPr="001775D9" w:rsidRDefault="00615103" w:rsidP="00B61D9D">
      <w:pPr>
        <w:spacing w:line="240" w:lineRule="auto"/>
        <w:rPr>
          <w:szCs w:val="22"/>
        </w:rPr>
      </w:pPr>
    </w:p>
    <w:p w14:paraId="1BE4CE80" w14:textId="77777777" w:rsidR="00615103" w:rsidRPr="001775D9" w:rsidRDefault="00615103" w:rsidP="00B61D9D">
      <w:pPr>
        <w:spacing w:line="240" w:lineRule="auto"/>
        <w:rPr>
          <w:szCs w:val="22"/>
        </w:rPr>
      </w:pPr>
    </w:p>
    <w:p w14:paraId="33D2CBD5" w14:textId="59ED28C5"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VAULT_ND_be5acddf-fde9-41cd-b639-f32b6beb9229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8E28139" w14:textId="77777777" w:rsidR="00615103" w:rsidRPr="001775D9" w:rsidRDefault="00615103" w:rsidP="00B61D9D">
      <w:pPr>
        <w:spacing w:line="240" w:lineRule="auto"/>
        <w:rPr>
          <w:szCs w:val="22"/>
        </w:rPr>
      </w:pPr>
    </w:p>
    <w:p w14:paraId="64842F30" w14:textId="77777777" w:rsidR="00627193" w:rsidRPr="00D55B59" w:rsidRDefault="00627193" w:rsidP="00A306C2">
      <w:pPr>
        <w:tabs>
          <w:tab w:val="clear" w:pos="567"/>
        </w:tabs>
        <w:autoSpaceDE w:val="0"/>
        <w:autoSpaceDN w:val="0"/>
        <w:adjustRightInd w:val="0"/>
        <w:spacing w:line="240" w:lineRule="auto"/>
        <w:rPr>
          <w:rFonts w:eastAsia="SimSun"/>
          <w:szCs w:val="22"/>
          <w:lang w:eastAsia="en-GB"/>
          <w:rPrChange w:id="2134" w:author="Author">
            <w:rPr>
              <w:rFonts w:eastAsia="SimSun"/>
              <w:szCs w:val="22"/>
              <w:lang w:val="sv-SE" w:eastAsia="en-GB"/>
            </w:rPr>
          </w:rPrChange>
        </w:rPr>
      </w:pPr>
      <w:r w:rsidRPr="00D55B59">
        <w:rPr>
          <w:rFonts w:eastAsia="SimSun"/>
          <w:szCs w:val="22"/>
          <w:lang w:eastAsia="en-GB"/>
          <w:rPrChange w:id="2135" w:author="Author">
            <w:rPr>
              <w:rFonts w:eastAsia="SimSun"/>
              <w:szCs w:val="22"/>
              <w:lang w:val="sv-SE" w:eastAsia="en-GB"/>
            </w:rPr>
          </w:rPrChange>
        </w:rPr>
        <w:t>Amgen Europe B.V.</w:t>
      </w:r>
    </w:p>
    <w:p w14:paraId="3E132937" w14:textId="77777777" w:rsidR="00627193" w:rsidRPr="00D55B59" w:rsidRDefault="00627193" w:rsidP="00A306C2">
      <w:pPr>
        <w:tabs>
          <w:tab w:val="clear" w:pos="567"/>
        </w:tabs>
        <w:autoSpaceDE w:val="0"/>
        <w:autoSpaceDN w:val="0"/>
        <w:adjustRightInd w:val="0"/>
        <w:spacing w:line="240" w:lineRule="auto"/>
        <w:rPr>
          <w:rFonts w:eastAsia="SimSun"/>
          <w:szCs w:val="22"/>
          <w:lang w:eastAsia="en-GB"/>
          <w:rPrChange w:id="2136" w:author="Author">
            <w:rPr>
              <w:rFonts w:eastAsia="SimSun"/>
              <w:szCs w:val="22"/>
              <w:lang w:val="sv-SE" w:eastAsia="en-GB"/>
            </w:rPr>
          </w:rPrChange>
        </w:rPr>
      </w:pPr>
      <w:r w:rsidRPr="00D55B59">
        <w:rPr>
          <w:rFonts w:eastAsia="SimSun"/>
          <w:szCs w:val="22"/>
          <w:lang w:eastAsia="en-GB"/>
          <w:rPrChange w:id="2137" w:author="Author">
            <w:rPr>
              <w:rFonts w:eastAsia="SimSun"/>
              <w:szCs w:val="22"/>
              <w:lang w:val="sv-SE" w:eastAsia="en-GB"/>
            </w:rPr>
          </w:rPrChange>
        </w:rPr>
        <w:t>Minervum 7061,</w:t>
      </w:r>
    </w:p>
    <w:p w14:paraId="00210896" w14:textId="3B52CC32" w:rsidR="00627193" w:rsidRPr="001775D9" w:rsidRDefault="00627193" w:rsidP="00A306C2">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0E5321A9" w14:textId="77777777" w:rsidR="00627193" w:rsidRPr="001775D9" w:rsidRDefault="00627193" w:rsidP="00A306C2">
      <w:pPr>
        <w:spacing w:line="240" w:lineRule="auto"/>
        <w:rPr>
          <w:szCs w:val="22"/>
        </w:rPr>
      </w:pPr>
      <w:r w:rsidRPr="001775D9">
        <w:rPr>
          <w:rFonts w:eastAsia="SimSun"/>
          <w:szCs w:val="22"/>
          <w:lang w:eastAsia="en-GB"/>
        </w:rPr>
        <w:t>The Netherlands</w:t>
      </w:r>
      <w:r w:rsidRPr="001775D9">
        <w:rPr>
          <w:i/>
          <w:szCs w:val="22"/>
        </w:rPr>
        <w:t xml:space="preserve"> </w:t>
      </w:r>
    </w:p>
    <w:p w14:paraId="263F0898" w14:textId="77777777" w:rsidR="00615103" w:rsidRPr="001775D9" w:rsidRDefault="00615103" w:rsidP="00B61D9D">
      <w:pPr>
        <w:spacing w:line="240" w:lineRule="auto"/>
        <w:rPr>
          <w:szCs w:val="22"/>
        </w:rPr>
      </w:pPr>
    </w:p>
    <w:p w14:paraId="5B3979E7" w14:textId="77777777" w:rsidR="00615103" w:rsidRPr="001775D9" w:rsidRDefault="00615103" w:rsidP="00B61D9D">
      <w:pPr>
        <w:spacing w:line="240" w:lineRule="auto"/>
        <w:rPr>
          <w:szCs w:val="22"/>
        </w:rPr>
      </w:pPr>
    </w:p>
    <w:p w14:paraId="4706784C" w14:textId="1E971A40"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VAULT_ND_cc9f5895-9bc1-4584-ab46-b04865b8a7ac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E41CC3B" w14:textId="77777777" w:rsidR="00615103" w:rsidRPr="001775D9" w:rsidRDefault="00615103" w:rsidP="00B61D9D">
      <w:pPr>
        <w:spacing w:line="240" w:lineRule="auto"/>
        <w:rPr>
          <w:szCs w:val="22"/>
        </w:rPr>
      </w:pPr>
    </w:p>
    <w:p w14:paraId="1D44DE5C" w14:textId="77777777" w:rsidR="00CD755D" w:rsidRPr="001775D9" w:rsidRDefault="00CD755D" w:rsidP="00B61D9D">
      <w:pPr>
        <w:spacing w:line="240" w:lineRule="auto"/>
        <w:rPr>
          <w:color w:val="000000"/>
        </w:rPr>
      </w:pPr>
      <w:r w:rsidRPr="001775D9">
        <w:rPr>
          <w:color w:val="000000"/>
        </w:rPr>
        <w:t xml:space="preserve">EU/1/16/1164/001 </w:t>
      </w:r>
    </w:p>
    <w:p w14:paraId="76132A9D" w14:textId="77777777" w:rsidR="00615103" w:rsidRPr="001775D9" w:rsidRDefault="00615103" w:rsidP="00B61D9D">
      <w:pPr>
        <w:spacing w:line="240" w:lineRule="auto"/>
        <w:rPr>
          <w:szCs w:val="22"/>
        </w:rPr>
      </w:pPr>
    </w:p>
    <w:p w14:paraId="5856B5E8" w14:textId="77777777" w:rsidR="00615103" w:rsidRPr="001775D9" w:rsidRDefault="00615103" w:rsidP="00B61D9D">
      <w:pPr>
        <w:spacing w:line="240" w:lineRule="auto"/>
        <w:rPr>
          <w:szCs w:val="22"/>
        </w:rPr>
      </w:pPr>
    </w:p>
    <w:p w14:paraId="118D5C47" w14:textId="0387CDA6"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VAULT_ND_b1fa7ec0-81f0-4dff-a5df-9070f8f1b816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719BED8" w14:textId="77777777" w:rsidR="00615103" w:rsidRPr="001775D9" w:rsidRDefault="00615103" w:rsidP="00B61D9D">
      <w:pPr>
        <w:spacing w:line="240" w:lineRule="auto"/>
        <w:rPr>
          <w:i/>
          <w:szCs w:val="22"/>
        </w:rPr>
      </w:pPr>
    </w:p>
    <w:p w14:paraId="31BB675F" w14:textId="77777777" w:rsidR="00615103" w:rsidRPr="001775D9" w:rsidRDefault="00615103" w:rsidP="00B61D9D">
      <w:pPr>
        <w:spacing w:line="240" w:lineRule="auto"/>
        <w:rPr>
          <w:szCs w:val="22"/>
        </w:rPr>
      </w:pPr>
      <w:r w:rsidRPr="001775D9">
        <w:rPr>
          <w:szCs w:val="22"/>
        </w:rPr>
        <w:t>Lot</w:t>
      </w:r>
    </w:p>
    <w:p w14:paraId="7D796792" w14:textId="77777777" w:rsidR="00615103" w:rsidRPr="001775D9" w:rsidRDefault="00615103" w:rsidP="00B61D9D">
      <w:pPr>
        <w:spacing w:line="240" w:lineRule="auto"/>
        <w:rPr>
          <w:szCs w:val="22"/>
        </w:rPr>
      </w:pPr>
    </w:p>
    <w:p w14:paraId="358757DB" w14:textId="77777777" w:rsidR="00615103" w:rsidRPr="001775D9" w:rsidRDefault="00615103" w:rsidP="00B61D9D">
      <w:pPr>
        <w:spacing w:line="240" w:lineRule="auto"/>
        <w:rPr>
          <w:szCs w:val="22"/>
        </w:rPr>
      </w:pPr>
    </w:p>
    <w:p w14:paraId="2442444D" w14:textId="0A135374"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VAULT_ND_77549806-bafa-4e2c-85ff-a2262ae9a3f7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D430C5A" w14:textId="77777777" w:rsidR="00627193" w:rsidRPr="001775D9" w:rsidRDefault="00627193" w:rsidP="00B61D9D">
      <w:pPr>
        <w:spacing w:line="240" w:lineRule="auto"/>
        <w:rPr>
          <w:szCs w:val="22"/>
        </w:rPr>
      </w:pPr>
    </w:p>
    <w:p w14:paraId="303D8C06" w14:textId="77777777" w:rsidR="00627193" w:rsidRPr="001775D9" w:rsidRDefault="00627193" w:rsidP="00B61D9D">
      <w:pPr>
        <w:spacing w:line="240" w:lineRule="auto"/>
        <w:rPr>
          <w:szCs w:val="22"/>
        </w:rPr>
      </w:pPr>
    </w:p>
    <w:p w14:paraId="443185EA" w14:textId="51B3E0CF" w:rsidR="00615103" w:rsidRPr="001775D9" w:rsidRDefault="00615103"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VAULT_ND_a0101a7c-2438-48be-a8cb-71c9c7dab161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AEB43A4" w14:textId="77777777" w:rsidR="00615103" w:rsidRPr="001775D9" w:rsidRDefault="00615103" w:rsidP="00B61D9D">
      <w:pPr>
        <w:spacing w:line="240" w:lineRule="auto"/>
        <w:rPr>
          <w:szCs w:val="22"/>
        </w:rPr>
      </w:pPr>
    </w:p>
    <w:p w14:paraId="6E8EB80D" w14:textId="77777777" w:rsidR="00615103" w:rsidRPr="001775D9" w:rsidRDefault="00615103" w:rsidP="00B61D9D">
      <w:pPr>
        <w:spacing w:line="240" w:lineRule="auto"/>
        <w:rPr>
          <w:szCs w:val="22"/>
        </w:rPr>
      </w:pPr>
    </w:p>
    <w:p w14:paraId="7437C3E1" w14:textId="77777777" w:rsidR="00615103" w:rsidRPr="001775D9" w:rsidRDefault="00615103"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1A628401" w14:textId="77777777" w:rsidR="00615103" w:rsidRPr="001775D9" w:rsidRDefault="00615103" w:rsidP="00B61D9D">
      <w:pPr>
        <w:spacing w:line="240" w:lineRule="auto"/>
      </w:pPr>
    </w:p>
    <w:p w14:paraId="506ED82E" w14:textId="5A4E9A91" w:rsidR="00174470" w:rsidRPr="00D55B59" w:rsidRDefault="00627193" w:rsidP="00A306C2">
      <w:pPr>
        <w:spacing w:line="240" w:lineRule="auto"/>
        <w:rPr>
          <w:szCs w:val="22"/>
          <w:highlight w:val="yellow"/>
          <w:shd w:val="clear" w:color="auto" w:fill="CCCCCC"/>
          <w:rPrChange w:id="2138" w:author="Author">
            <w:rPr>
              <w:noProof/>
              <w:szCs w:val="22"/>
              <w:highlight w:val="yellow"/>
              <w:shd w:val="clear" w:color="auto" w:fill="CCCCCC"/>
            </w:rPr>
          </w:rPrChange>
        </w:rPr>
      </w:pPr>
      <w:r w:rsidRPr="001775D9">
        <w:t>AMGEVITA 20</w:t>
      </w:r>
      <w:r w:rsidR="00662641" w:rsidRPr="001775D9">
        <w:t> </w:t>
      </w:r>
      <w:r w:rsidRPr="001775D9">
        <w:t>mg</w:t>
      </w:r>
      <w:r w:rsidR="00204623" w:rsidRPr="001775D9">
        <w:t>/0.4 mL</w:t>
      </w:r>
      <w:r w:rsidRPr="001775D9">
        <w:t xml:space="preserve"> </w:t>
      </w:r>
      <w:r w:rsidR="00615103" w:rsidRPr="001775D9">
        <w:t>syringe</w:t>
      </w:r>
    </w:p>
    <w:p w14:paraId="476830EE" w14:textId="77777777" w:rsidR="00174470" w:rsidRPr="00D55B59" w:rsidRDefault="00174470" w:rsidP="00A306C2">
      <w:pPr>
        <w:spacing w:line="240" w:lineRule="auto"/>
        <w:rPr>
          <w:szCs w:val="22"/>
          <w:shd w:val="clear" w:color="auto" w:fill="CCCCCC"/>
          <w:rPrChange w:id="2139" w:author="Author">
            <w:rPr>
              <w:noProof/>
              <w:szCs w:val="22"/>
              <w:shd w:val="clear" w:color="auto" w:fill="CCCCCC"/>
            </w:rPr>
          </w:rPrChange>
        </w:rPr>
      </w:pPr>
    </w:p>
    <w:p w14:paraId="0329FA99" w14:textId="77777777" w:rsidR="00174470" w:rsidRPr="00D55B59" w:rsidRDefault="00174470" w:rsidP="00A306C2">
      <w:pPr>
        <w:spacing w:line="240" w:lineRule="auto"/>
        <w:rPr>
          <w:szCs w:val="22"/>
          <w:shd w:val="clear" w:color="auto" w:fill="CCCCCC"/>
          <w:rPrChange w:id="2140" w:author="Author">
            <w:rPr>
              <w:noProof/>
              <w:szCs w:val="22"/>
              <w:shd w:val="clear" w:color="auto" w:fill="CCCCCC"/>
            </w:rPr>
          </w:rPrChange>
        </w:rPr>
      </w:pPr>
    </w:p>
    <w:p w14:paraId="7C7F74C7" w14:textId="77777777" w:rsidR="00174470" w:rsidRPr="00D55B59" w:rsidRDefault="00174470" w:rsidP="00A306C2">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141" w:author="Author">
            <w:rPr>
              <w:i/>
              <w:noProof/>
            </w:rPr>
          </w:rPrChange>
        </w:rPr>
      </w:pPr>
      <w:r w:rsidRPr="00D55B59">
        <w:rPr>
          <w:b/>
          <w:rPrChange w:id="2142" w:author="Author">
            <w:rPr>
              <w:b/>
              <w:noProof/>
            </w:rPr>
          </w:rPrChange>
        </w:rPr>
        <w:t>17.</w:t>
      </w:r>
      <w:r w:rsidRPr="00D55B59">
        <w:rPr>
          <w:b/>
          <w:rPrChange w:id="2143" w:author="Author">
            <w:rPr>
              <w:b/>
              <w:noProof/>
            </w:rPr>
          </w:rPrChange>
        </w:rPr>
        <w:tab/>
        <w:t>UNIQUE IDENTIFIER – 2D BARCODE</w:t>
      </w:r>
    </w:p>
    <w:p w14:paraId="40AFF526" w14:textId="77777777" w:rsidR="00174470" w:rsidRPr="00D55B59" w:rsidRDefault="00174470" w:rsidP="00A306C2">
      <w:pPr>
        <w:tabs>
          <w:tab w:val="clear" w:pos="567"/>
        </w:tabs>
        <w:spacing w:line="240" w:lineRule="auto"/>
        <w:rPr>
          <w:rPrChange w:id="2144" w:author="Author">
            <w:rPr>
              <w:noProof/>
            </w:rPr>
          </w:rPrChange>
        </w:rPr>
      </w:pPr>
    </w:p>
    <w:p w14:paraId="395C9124" w14:textId="77777777" w:rsidR="00174470" w:rsidRPr="00D55B59" w:rsidRDefault="00174470" w:rsidP="00A306C2">
      <w:pPr>
        <w:spacing w:line="240" w:lineRule="auto"/>
        <w:rPr>
          <w:szCs w:val="22"/>
          <w:shd w:val="clear" w:color="auto" w:fill="CCCCCC"/>
          <w:rPrChange w:id="2145" w:author="Author">
            <w:rPr>
              <w:noProof/>
              <w:szCs w:val="22"/>
              <w:shd w:val="clear" w:color="auto" w:fill="CCCCCC"/>
            </w:rPr>
          </w:rPrChange>
        </w:rPr>
      </w:pPr>
      <w:r w:rsidRPr="00D55B59">
        <w:rPr>
          <w:highlight w:val="lightGray"/>
          <w:rPrChange w:id="2146" w:author="Author">
            <w:rPr>
              <w:noProof/>
              <w:highlight w:val="lightGray"/>
            </w:rPr>
          </w:rPrChange>
        </w:rPr>
        <w:t>2D barcode carrying the unique identifier included.</w:t>
      </w:r>
    </w:p>
    <w:p w14:paraId="2F38DFDB" w14:textId="77777777" w:rsidR="00174470" w:rsidRPr="00D55B59" w:rsidRDefault="00174470" w:rsidP="00A306C2">
      <w:pPr>
        <w:spacing w:line="240" w:lineRule="auto"/>
        <w:rPr>
          <w:szCs w:val="22"/>
          <w:shd w:val="clear" w:color="auto" w:fill="CCCCCC"/>
          <w:rPrChange w:id="2147" w:author="Author">
            <w:rPr>
              <w:noProof/>
              <w:szCs w:val="22"/>
              <w:shd w:val="clear" w:color="auto" w:fill="CCCCCC"/>
            </w:rPr>
          </w:rPrChange>
        </w:rPr>
      </w:pPr>
    </w:p>
    <w:p w14:paraId="33F09CDE" w14:textId="77777777" w:rsidR="00174470" w:rsidRPr="00D55B59" w:rsidRDefault="00174470" w:rsidP="00A306C2">
      <w:pPr>
        <w:tabs>
          <w:tab w:val="clear" w:pos="567"/>
        </w:tabs>
        <w:spacing w:line="240" w:lineRule="auto"/>
        <w:rPr>
          <w:rPrChange w:id="2148" w:author="Author">
            <w:rPr>
              <w:noProof/>
            </w:rPr>
          </w:rPrChange>
        </w:rPr>
      </w:pPr>
    </w:p>
    <w:p w14:paraId="30BEAEFD" w14:textId="77777777" w:rsidR="00174470" w:rsidRPr="00D55B59" w:rsidRDefault="00174470" w:rsidP="00A306C2">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149" w:author="Author">
            <w:rPr>
              <w:i/>
              <w:noProof/>
            </w:rPr>
          </w:rPrChange>
        </w:rPr>
      </w:pPr>
      <w:r w:rsidRPr="00D55B59">
        <w:rPr>
          <w:b/>
          <w:rPrChange w:id="2150" w:author="Author">
            <w:rPr>
              <w:b/>
              <w:noProof/>
            </w:rPr>
          </w:rPrChange>
        </w:rPr>
        <w:t>18.</w:t>
      </w:r>
      <w:r w:rsidRPr="00D55B59">
        <w:rPr>
          <w:b/>
          <w:rPrChange w:id="2151" w:author="Author">
            <w:rPr>
              <w:b/>
              <w:noProof/>
            </w:rPr>
          </w:rPrChange>
        </w:rPr>
        <w:tab/>
        <w:t xml:space="preserve">UNIQUE IDENTIFIER </w:t>
      </w:r>
      <w:r w:rsidRPr="001775D9">
        <w:rPr>
          <w:rFonts w:eastAsia="Calibri"/>
        </w:rPr>
        <w:t>-</w:t>
      </w:r>
      <w:r w:rsidRPr="00D55B59">
        <w:rPr>
          <w:b/>
          <w:rPrChange w:id="2152" w:author="Author">
            <w:rPr>
              <w:b/>
              <w:noProof/>
            </w:rPr>
          </w:rPrChange>
        </w:rPr>
        <w:t xml:space="preserve"> HUMAN READABLE DATA</w:t>
      </w:r>
    </w:p>
    <w:p w14:paraId="1E4BFE8C" w14:textId="77777777" w:rsidR="00174470" w:rsidRPr="00D55B59" w:rsidRDefault="00174470" w:rsidP="00A306C2">
      <w:pPr>
        <w:tabs>
          <w:tab w:val="clear" w:pos="567"/>
        </w:tabs>
        <w:spacing w:line="240" w:lineRule="auto"/>
        <w:rPr>
          <w:rPrChange w:id="2153" w:author="Author">
            <w:rPr>
              <w:noProof/>
            </w:rPr>
          </w:rPrChange>
        </w:rPr>
      </w:pPr>
    </w:p>
    <w:p w14:paraId="64710425" w14:textId="77777777" w:rsidR="00174470" w:rsidRPr="001775D9" w:rsidRDefault="00174470" w:rsidP="00A306C2">
      <w:pPr>
        <w:spacing w:line="240" w:lineRule="auto"/>
        <w:rPr>
          <w:szCs w:val="22"/>
        </w:rPr>
      </w:pPr>
      <w:r w:rsidRPr="001775D9">
        <w:rPr>
          <w:szCs w:val="22"/>
        </w:rPr>
        <w:t>PC</w:t>
      </w:r>
    </w:p>
    <w:p w14:paraId="5EB8DDA0" w14:textId="77777777" w:rsidR="00174470" w:rsidRPr="001775D9" w:rsidRDefault="00174470" w:rsidP="00B61D9D">
      <w:pPr>
        <w:spacing w:line="240" w:lineRule="auto"/>
        <w:rPr>
          <w:szCs w:val="22"/>
        </w:rPr>
      </w:pPr>
      <w:r w:rsidRPr="001775D9">
        <w:rPr>
          <w:szCs w:val="22"/>
        </w:rPr>
        <w:t>SN</w:t>
      </w:r>
    </w:p>
    <w:p w14:paraId="751B2953" w14:textId="77777777" w:rsidR="00174470" w:rsidRPr="00D55B59" w:rsidRDefault="00174470" w:rsidP="00B61D9D">
      <w:pPr>
        <w:spacing w:line="240" w:lineRule="auto"/>
        <w:rPr>
          <w:vanish/>
          <w:szCs w:val="22"/>
          <w:rPrChange w:id="2154" w:author="Author">
            <w:rPr>
              <w:noProof/>
              <w:vanish/>
              <w:szCs w:val="22"/>
            </w:rPr>
          </w:rPrChange>
        </w:rPr>
      </w:pPr>
      <w:r w:rsidRPr="001775D9">
        <w:rPr>
          <w:szCs w:val="22"/>
        </w:rPr>
        <w:t>NN</w:t>
      </w:r>
    </w:p>
    <w:p w14:paraId="2E0D4C11" w14:textId="77777777" w:rsidR="00615103" w:rsidRPr="001775D9" w:rsidRDefault="00615103" w:rsidP="00B61D9D">
      <w:pPr>
        <w:spacing w:line="240" w:lineRule="auto"/>
      </w:pPr>
    </w:p>
    <w:p w14:paraId="4F2BE5D7" w14:textId="77777777" w:rsidR="00615103" w:rsidRPr="001775D9" w:rsidRDefault="00615103"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br w:type="page"/>
        <w:t>MINIMUM PARTICULARS TO APPEAR ON SMALL IMMEDIATE PACKAGING UNITS</w:t>
      </w:r>
    </w:p>
    <w:p w14:paraId="621D55C0" w14:textId="77777777" w:rsidR="00615103" w:rsidRPr="001775D9" w:rsidRDefault="00615103" w:rsidP="00B61D9D">
      <w:pPr>
        <w:keepNext/>
        <w:pBdr>
          <w:top w:val="single" w:sz="4" w:space="1" w:color="auto"/>
          <w:left w:val="single" w:sz="4" w:space="4" w:color="auto"/>
          <w:bottom w:val="single" w:sz="4" w:space="1" w:color="auto"/>
          <w:right w:val="single" w:sz="4" w:space="4" w:color="auto"/>
        </w:pBdr>
        <w:spacing w:line="240" w:lineRule="auto"/>
        <w:rPr>
          <w:b/>
          <w:szCs w:val="22"/>
        </w:rPr>
      </w:pPr>
    </w:p>
    <w:p w14:paraId="1A6F8F21" w14:textId="72705EB8" w:rsidR="00615103" w:rsidRPr="001775D9" w:rsidRDefault="00E041E4" w:rsidP="00A306C2">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SYRINGE </w:t>
      </w:r>
      <w:r w:rsidR="00615103" w:rsidRPr="001775D9">
        <w:rPr>
          <w:b/>
          <w:szCs w:val="22"/>
        </w:rPr>
        <w:t xml:space="preserve">LABEL </w:t>
      </w:r>
    </w:p>
    <w:p w14:paraId="44D29970" w14:textId="77777777" w:rsidR="00615103" w:rsidRPr="001775D9" w:rsidRDefault="00615103" w:rsidP="00B61D9D">
      <w:pPr>
        <w:keepNext/>
        <w:spacing w:line="240" w:lineRule="auto"/>
        <w:rPr>
          <w:szCs w:val="22"/>
        </w:rPr>
      </w:pPr>
    </w:p>
    <w:p w14:paraId="5E553D38" w14:textId="77777777" w:rsidR="00615103" w:rsidRPr="001775D9" w:rsidRDefault="00615103" w:rsidP="00B61D9D">
      <w:pPr>
        <w:keepNext/>
        <w:spacing w:line="240" w:lineRule="auto"/>
        <w:rPr>
          <w:szCs w:val="22"/>
        </w:rPr>
      </w:pPr>
    </w:p>
    <w:p w14:paraId="071A7DE4" w14:textId="412DA5C9" w:rsidR="00615103" w:rsidRPr="001775D9" w:rsidRDefault="00615103"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w:t>
      </w:r>
      <w:r w:rsidRPr="001775D9">
        <w:rPr>
          <w:b/>
          <w:szCs w:val="22"/>
        </w:rPr>
        <w:tab/>
        <w:t>NAME OF THE MEDICINAL PRODUCT AND ROUTE(S) OF ADMINISTRATION</w:t>
      </w:r>
      <w:r w:rsidR="001C55FB" w:rsidRPr="001775D9">
        <w:rPr>
          <w:b/>
          <w:szCs w:val="22"/>
        </w:rPr>
        <w:fldChar w:fldCharType="begin"/>
      </w:r>
      <w:r w:rsidR="001C55FB" w:rsidRPr="001775D9">
        <w:rPr>
          <w:b/>
          <w:szCs w:val="22"/>
        </w:rPr>
        <w:instrText xml:space="preserve"> DOCVARIABLE VAULT_ND_820cde59-20f6-4d56-8560-ae32218bcf6e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E5C4090" w14:textId="77777777" w:rsidR="00615103" w:rsidRPr="001775D9" w:rsidRDefault="00615103" w:rsidP="00B61D9D">
      <w:pPr>
        <w:keepNext/>
        <w:spacing w:line="240" w:lineRule="auto"/>
        <w:ind w:left="567" w:hanging="567"/>
        <w:rPr>
          <w:szCs w:val="22"/>
        </w:rPr>
      </w:pPr>
    </w:p>
    <w:p w14:paraId="542598A5" w14:textId="77777777" w:rsidR="00947941" w:rsidRPr="001775D9" w:rsidRDefault="00947941" w:rsidP="00B61D9D">
      <w:pPr>
        <w:keepNext/>
        <w:spacing w:line="240" w:lineRule="auto"/>
        <w:rPr>
          <w:szCs w:val="22"/>
        </w:rPr>
      </w:pPr>
      <w:r w:rsidRPr="001775D9">
        <w:rPr>
          <w:szCs w:val="22"/>
        </w:rPr>
        <w:t>AMGEVITA 20</w:t>
      </w:r>
      <w:r w:rsidR="00662641" w:rsidRPr="001775D9">
        <w:rPr>
          <w:szCs w:val="22"/>
        </w:rPr>
        <w:t> </w:t>
      </w:r>
      <w:r w:rsidRPr="001775D9">
        <w:rPr>
          <w:szCs w:val="22"/>
        </w:rPr>
        <w:t>mg injection</w:t>
      </w:r>
    </w:p>
    <w:p w14:paraId="415DE4F5" w14:textId="77777777" w:rsidR="00947941" w:rsidRPr="001775D9" w:rsidRDefault="00947941" w:rsidP="00B61D9D">
      <w:pPr>
        <w:keepNext/>
        <w:spacing w:line="240" w:lineRule="auto"/>
        <w:rPr>
          <w:szCs w:val="22"/>
        </w:rPr>
      </w:pPr>
      <w:r w:rsidRPr="001775D9">
        <w:rPr>
          <w:szCs w:val="22"/>
        </w:rPr>
        <w:t>adalimumab</w:t>
      </w:r>
    </w:p>
    <w:p w14:paraId="4A255DE0" w14:textId="77777777" w:rsidR="00947941" w:rsidRPr="001775D9" w:rsidRDefault="00947941" w:rsidP="00B61D9D">
      <w:pPr>
        <w:keepNext/>
        <w:spacing w:line="240" w:lineRule="auto"/>
        <w:rPr>
          <w:szCs w:val="22"/>
        </w:rPr>
      </w:pPr>
      <w:r w:rsidRPr="001775D9">
        <w:rPr>
          <w:szCs w:val="22"/>
        </w:rPr>
        <w:t>SC</w:t>
      </w:r>
    </w:p>
    <w:p w14:paraId="168F302C" w14:textId="77777777" w:rsidR="00615103" w:rsidRPr="001775D9" w:rsidRDefault="00615103" w:rsidP="00B61D9D">
      <w:pPr>
        <w:keepNext/>
        <w:spacing w:line="240" w:lineRule="auto"/>
        <w:rPr>
          <w:szCs w:val="22"/>
        </w:rPr>
      </w:pPr>
    </w:p>
    <w:p w14:paraId="0E37BAA4" w14:textId="77777777" w:rsidR="00615103" w:rsidRPr="001775D9" w:rsidRDefault="00615103" w:rsidP="00B61D9D">
      <w:pPr>
        <w:keepNext/>
        <w:spacing w:line="240" w:lineRule="auto"/>
        <w:rPr>
          <w:szCs w:val="22"/>
        </w:rPr>
      </w:pPr>
    </w:p>
    <w:p w14:paraId="0AFFD0F7" w14:textId="1D59CD1E"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METHOD OF ADMINISTRATION</w:t>
      </w:r>
      <w:r w:rsidR="001C55FB" w:rsidRPr="001775D9">
        <w:rPr>
          <w:b/>
          <w:szCs w:val="22"/>
        </w:rPr>
        <w:fldChar w:fldCharType="begin"/>
      </w:r>
      <w:r w:rsidR="001C55FB" w:rsidRPr="001775D9">
        <w:rPr>
          <w:b/>
          <w:szCs w:val="22"/>
        </w:rPr>
        <w:instrText xml:space="preserve"> DOCVARIABLE VAULT_ND_22eed4ad-13cb-491c-a595-902f59b756ac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3004DBA" w14:textId="77777777" w:rsidR="00615103" w:rsidRPr="001775D9" w:rsidRDefault="00615103" w:rsidP="00B61D9D">
      <w:pPr>
        <w:spacing w:line="240" w:lineRule="auto"/>
        <w:rPr>
          <w:szCs w:val="22"/>
        </w:rPr>
      </w:pPr>
    </w:p>
    <w:p w14:paraId="0DB2A2AE" w14:textId="77777777" w:rsidR="00615103" w:rsidRPr="001775D9" w:rsidRDefault="00615103" w:rsidP="00B61D9D">
      <w:pPr>
        <w:spacing w:line="240" w:lineRule="auto"/>
        <w:rPr>
          <w:szCs w:val="22"/>
        </w:rPr>
      </w:pPr>
    </w:p>
    <w:p w14:paraId="191792FA" w14:textId="2CC07709"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3.</w:t>
      </w:r>
      <w:r w:rsidRPr="001775D9">
        <w:rPr>
          <w:b/>
          <w:szCs w:val="22"/>
        </w:rPr>
        <w:tab/>
        <w:t>EXPIRY DATE</w:t>
      </w:r>
      <w:r w:rsidR="001C55FB" w:rsidRPr="001775D9">
        <w:rPr>
          <w:b/>
          <w:szCs w:val="22"/>
        </w:rPr>
        <w:fldChar w:fldCharType="begin"/>
      </w:r>
      <w:r w:rsidR="001C55FB" w:rsidRPr="001775D9">
        <w:rPr>
          <w:b/>
          <w:szCs w:val="22"/>
        </w:rPr>
        <w:instrText xml:space="preserve"> DOCVARIABLE VAULT_ND_25837e90-1be6-47a9-9834-c960bc8599ad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86E4947" w14:textId="77777777" w:rsidR="00615103" w:rsidRPr="001775D9" w:rsidRDefault="00615103" w:rsidP="00B61D9D">
      <w:pPr>
        <w:spacing w:line="240" w:lineRule="auto"/>
      </w:pPr>
    </w:p>
    <w:p w14:paraId="79FDF511" w14:textId="77777777" w:rsidR="00615103" w:rsidRPr="001775D9" w:rsidRDefault="00615103" w:rsidP="00B61D9D">
      <w:pPr>
        <w:spacing w:line="240" w:lineRule="auto"/>
        <w:rPr>
          <w:lang w:eastAsia="zh-TW"/>
        </w:rPr>
      </w:pPr>
      <w:r w:rsidRPr="001775D9">
        <w:t>EXP</w:t>
      </w:r>
      <w:r w:rsidR="000B07B9" w:rsidRPr="001775D9">
        <w:t xml:space="preserve"> </w:t>
      </w:r>
    </w:p>
    <w:p w14:paraId="1EAF89EF" w14:textId="77777777" w:rsidR="0080593B" w:rsidRPr="001775D9" w:rsidRDefault="0080593B" w:rsidP="00B61D9D">
      <w:pPr>
        <w:spacing w:line="240" w:lineRule="auto"/>
        <w:rPr>
          <w:lang w:eastAsia="zh-TW"/>
        </w:rPr>
      </w:pPr>
    </w:p>
    <w:p w14:paraId="4F4B59EF" w14:textId="77777777" w:rsidR="00615103" w:rsidRPr="001775D9" w:rsidRDefault="00615103" w:rsidP="00B61D9D">
      <w:pPr>
        <w:spacing w:line="240" w:lineRule="auto"/>
      </w:pPr>
    </w:p>
    <w:p w14:paraId="18C603F0" w14:textId="2817B314"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rPr>
      </w:pPr>
      <w:r w:rsidRPr="001775D9">
        <w:rPr>
          <w:b/>
        </w:rPr>
        <w:t>4.</w:t>
      </w:r>
      <w:r w:rsidRPr="001775D9">
        <w:rPr>
          <w:b/>
        </w:rPr>
        <w:tab/>
        <w:t>BATCH NUMBER</w:t>
      </w:r>
      <w:r w:rsidR="001C55FB" w:rsidRPr="001775D9">
        <w:rPr>
          <w:b/>
        </w:rPr>
        <w:fldChar w:fldCharType="begin"/>
      </w:r>
      <w:r w:rsidR="001C55FB" w:rsidRPr="001775D9">
        <w:rPr>
          <w:b/>
        </w:rPr>
        <w:instrText xml:space="preserve"> DOCVARIABLE VAULT_ND_7515ae68-36a5-48ed-a6e0-b313601e07c4 \* MERGEFORMAT </w:instrText>
      </w:r>
      <w:r w:rsidR="001C55FB" w:rsidRPr="001775D9">
        <w:rPr>
          <w:b/>
        </w:rPr>
        <w:fldChar w:fldCharType="separate"/>
      </w:r>
      <w:r w:rsidR="001C55FB" w:rsidRPr="001775D9">
        <w:rPr>
          <w:b/>
        </w:rPr>
        <w:t xml:space="preserve"> </w:t>
      </w:r>
      <w:r w:rsidR="001C55FB" w:rsidRPr="001775D9">
        <w:rPr>
          <w:b/>
        </w:rPr>
        <w:fldChar w:fldCharType="end"/>
      </w:r>
    </w:p>
    <w:p w14:paraId="7F91C70E" w14:textId="77777777" w:rsidR="00615103" w:rsidRPr="001775D9" w:rsidRDefault="00615103" w:rsidP="00B61D9D">
      <w:pPr>
        <w:spacing w:line="240" w:lineRule="auto"/>
        <w:ind w:right="113"/>
      </w:pPr>
    </w:p>
    <w:p w14:paraId="168E5F1F" w14:textId="77777777" w:rsidR="00615103" w:rsidRPr="001775D9" w:rsidRDefault="00615103" w:rsidP="00B61D9D">
      <w:pPr>
        <w:spacing w:line="240" w:lineRule="auto"/>
        <w:ind w:right="113"/>
      </w:pPr>
      <w:r w:rsidRPr="001775D9">
        <w:t>Lot</w:t>
      </w:r>
    </w:p>
    <w:p w14:paraId="6EE3E5A0" w14:textId="77777777" w:rsidR="00615103" w:rsidRPr="001775D9" w:rsidRDefault="00615103" w:rsidP="00B61D9D">
      <w:pPr>
        <w:spacing w:line="240" w:lineRule="auto"/>
        <w:ind w:right="113"/>
      </w:pPr>
    </w:p>
    <w:p w14:paraId="37ED2243" w14:textId="77777777" w:rsidR="00615103" w:rsidRPr="001775D9" w:rsidRDefault="00615103" w:rsidP="00B61D9D">
      <w:pPr>
        <w:spacing w:line="240" w:lineRule="auto"/>
        <w:ind w:right="113"/>
      </w:pPr>
    </w:p>
    <w:p w14:paraId="1F4836FD" w14:textId="15166201"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5.</w:t>
      </w:r>
      <w:r w:rsidRPr="001775D9">
        <w:rPr>
          <w:b/>
          <w:szCs w:val="22"/>
        </w:rPr>
        <w:tab/>
        <w:t>CONTENTS BY WEIGHT, BY VOLUME OR BY UNIT</w:t>
      </w:r>
      <w:r w:rsidR="001C55FB" w:rsidRPr="001775D9">
        <w:rPr>
          <w:b/>
          <w:szCs w:val="22"/>
        </w:rPr>
        <w:fldChar w:fldCharType="begin"/>
      </w:r>
      <w:r w:rsidR="001C55FB" w:rsidRPr="001775D9">
        <w:rPr>
          <w:b/>
          <w:szCs w:val="22"/>
        </w:rPr>
        <w:instrText xml:space="preserve"> DOCVARIABLE VAULT_ND_2cfca3cf-59e2-46e2-b752-2ac1813c9413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07248CD" w14:textId="77777777" w:rsidR="00615103" w:rsidRPr="001775D9" w:rsidRDefault="00615103" w:rsidP="00B61D9D">
      <w:pPr>
        <w:spacing w:line="240" w:lineRule="auto"/>
        <w:ind w:right="113"/>
        <w:rPr>
          <w:szCs w:val="22"/>
        </w:rPr>
      </w:pPr>
    </w:p>
    <w:p w14:paraId="2B5F9F7D" w14:textId="77777777" w:rsidR="00615103" w:rsidRPr="001775D9" w:rsidRDefault="00615103" w:rsidP="00B61D9D">
      <w:pPr>
        <w:spacing w:line="240" w:lineRule="auto"/>
        <w:ind w:right="113"/>
        <w:rPr>
          <w:szCs w:val="22"/>
        </w:rPr>
      </w:pPr>
      <w:r w:rsidRPr="001775D9">
        <w:rPr>
          <w:szCs w:val="22"/>
        </w:rPr>
        <w:t>0.</w:t>
      </w:r>
      <w:r w:rsidR="00702129" w:rsidRPr="001775D9">
        <w:rPr>
          <w:szCs w:val="22"/>
        </w:rPr>
        <w:t>4</w:t>
      </w:r>
      <w:r w:rsidR="00662641" w:rsidRPr="001775D9">
        <w:rPr>
          <w:szCs w:val="22"/>
        </w:rPr>
        <w:t> </w:t>
      </w:r>
      <w:r w:rsidRPr="001775D9">
        <w:rPr>
          <w:szCs w:val="22"/>
        </w:rPr>
        <w:t>m</w:t>
      </w:r>
      <w:r w:rsidR="00947941" w:rsidRPr="001775D9">
        <w:rPr>
          <w:szCs w:val="22"/>
        </w:rPr>
        <w:t>L</w:t>
      </w:r>
    </w:p>
    <w:p w14:paraId="0E764F09" w14:textId="77777777" w:rsidR="00615103" w:rsidRPr="001775D9" w:rsidRDefault="00615103" w:rsidP="00B61D9D">
      <w:pPr>
        <w:spacing w:line="240" w:lineRule="auto"/>
        <w:ind w:right="113"/>
        <w:rPr>
          <w:szCs w:val="22"/>
        </w:rPr>
      </w:pPr>
    </w:p>
    <w:p w14:paraId="6BC2D0D4" w14:textId="77777777" w:rsidR="00615103" w:rsidRPr="001775D9" w:rsidRDefault="00615103" w:rsidP="00B61D9D">
      <w:pPr>
        <w:spacing w:line="240" w:lineRule="auto"/>
        <w:ind w:right="113"/>
        <w:rPr>
          <w:szCs w:val="22"/>
        </w:rPr>
      </w:pPr>
    </w:p>
    <w:p w14:paraId="2BD23693" w14:textId="78A93E74" w:rsidR="00615103" w:rsidRPr="001775D9" w:rsidRDefault="00615103"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6.</w:t>
      </w:r>
      <w:r w:rsidRPr="001775D9">
        <w:rPr>
          <w:b/>
          <w:szCs w:val="22"/>
        </w:rPr>
        <w:tab/>
        <w:t>OTHER</w:t>
      </w:r>
      <w:r w:rsidR="001C55FB" w:rsidRPr="001775D9">
        <w:rPr>
          <w:b/>
          <w:szCs w:val="22"/>
        </w:rPr>
        <w:fldChar w:fldCharType="begin"/>
      </w:r>
      <w:r w:rsidR="001C55FB" w:rsidRPr="001775D9">
        <w:rPr>
          <w:b/>
          <w:szCs w:val="22"/>
        </w:rPr>
        <w:instrText xml:space="preserve"> DOCVARIABLE VAULT_ND_ff20cb9c-fd6c-4ebd-abca-a3087af13a39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A846C0F" w14:textId="77777777" w:rsidR="00615103" w:rsidRPr="001775D9" w:rsidRDefault="00615103" w:rsidP="00B61D9D">
      <w:pPr>
        <w:spacing w:line="240" w:lineRule="auto"/>
        <w:ind w:right="113"/>
        <w:rPr>
          <w:szCs w:val="22"/>
        </w:rPr>
      </w:pPr>
    </w:p>
    <w:p w14:paraId="0532604E" w14:textId="77777777" w:rsidR="00615103" w:rsidRPr="001775D9" w:rsidRDefault="00615103" w:rsidP="00B61D9D">
      <w:pPr>
        <w:spacing w:line="240" w:lineRule="auto"/>
        <w:ind w:right="113"/>
      </w:pPr>
    </w:p>
    <w:p w14:paraId="78A5568A" w14:textId="77777777" w:rsidR="00615103" w:rsidRPr="001775D9" w:rsidRDefault="00615103" w:rsidP="00B61D9D">
      <w:pPr>
        <w:spacing w:line="240" w:lineRule="auto"/>
        <w:ind w:right="113"/>
      </w:pPr>
    </w:p>
    <w:p w14:paraId="79F5F3E6" w14:textId="77777777" w:rsidR="00615103" w:rsidRPr="001775D9" w:rsidRDefault="00615103" w:rsidP="00B61D9D">
      <w:pPr>
        <w:spacing w:line="240" w:lineRule="auto"/>
        <w:ind w:right="113"/>
      </w:pPr>
    </w:p>
    <w:p w14:paraId="6B9AC3DA" w14:textId="77777777" w:rsidR="00615103" w:rsidRPr="001775D9" w:rsidRDefault="00615103" w:rsidP="00B61D9D">
      <w:pPr>
        <w:spacing w:line="240" w:lineRule="auto"/>
        <w:ind w:right="113"/>
      </w:pPr>
    </w:p>
    <w:p w14:paraId="2B58616E" w14:textId="77777777" w:rsidR="00615103" w:rsidRPr="001775D9" w:rsidRDefault="00615103" w:rsidP="00B61D9D">
      <w:pPr>
        <w:spacing w:line="240" w:lineRule="auto"/>
        <w:ind w:right="113"/>
      </w:pPr>
    </w:p>
    <w:p w14:paraId="789E8DB4" w14:textId="77777777" w:rsidR="00615103" w:rsidRPr="001775D9" w:rsidRDefault="00615103" w:rsidP="00B61D9D">
      <w:pPr>
        <w:spacing w:line="240" w:lineRule="auto"/>
        <w:ind w:right="113"/>
      </w:pPr>
    </w:p>
    <w:p w14:paraId="75AF1CF0" w14:textId="77777777" w:rsidR="00615103" w:rsidRPr="001775D9" w:rsidRDefault="00615103" w:rsidP="00B61D9D">
      <w:pPr>
        <w:spacing w:line="240" w:lineRule="auto"/>
        <w:ind w:right="113"/>
      </w:pPr>
    </w:p>
    <w:p w14:paraId="59F6086A" w14:textId="77777777" w:rsidR="00615103" w:rsidRPr="001775D9" w:rsidRDefault="00615103" w:rsidP="00B61D9D">
      <w:pPr>
        <w:spacing w:line="240" w:lineRule="auto"/>
        <w:ind w:right="113"/>
      </w:pPr>
    </w:p>
    <w:p w14:paraId="4EADB3A2" w14:textId="77777777" w:rsidR="00615103" w:rsidRPr="001775D9" w:rsidRDefault="00615103" w:rsidP="00B61D9D">
      <w:pPr>
        <w:spacing w:line="240" w:lineRule="auto"/>
        <w:ind w:right="113"/>
      </w:pPr>
    </w:p>
    <w:p w14:paraId="78D1219E" w14:textId="77777777" w:rsidR="00615103" w:rsidRPr="001775D9" w:rsidRDefault="00615103" w:rsidP="00B61D9D">
      <w:pPr>
        <w:spacing w:line="240" w:lineRule="auto"/>
        <w:ind w:right="113"/>
      </w:pPr>
    </w:p>
    <w:p w14:paraId="0A03AD74" w14:textId="77777777" w:rsidR="00615103" w:rsidRPr="001775D9" w:rsidRDefault="00615103" w:rsidP="00B61D9D">
      <w:pPr>
        <w:spacing w:line="240" w:lineRule="auto"/>
        <w:ind w:right="113"/>
      </w:pPr>
    </w:p>
    <w:p w14:paraId="4A21E2C7" w14:textId="77777777" w:rsidR="00615103" w:rsidRPr="001775D9" w:rsidRDefault="00615103" w:rsidP="00B61D9D">
      <w:pPr>
        <w:spacing w:line="240" w:lineRule="auto"/>
        <w:ind w:right="113"/>
      </w:pPr>
    </w:p>
    <w:p w14:paraId="1105C982" w14:textId="77777777" w:rsidR="00615103" w:rsidRPr="001775D9" w:rsidRDefault="00615103" w:rsidP="00B61D9D">
      <w:pPr>
        <w:spacing w:line="240" w:lineRule="auto"/>
        <w:ind w:right="113"/>
      </w:pPr>
    </w:p>
    <w:p w14:paraId="26103235" w14:textId="77777777" w:rsidR="00615103" w:rsidRPr="001775D9" w:rsidRDefault="00615103" w:rsidP="00B61D9D">
      <w:pPr>
        <w:spacing w:line="240" w:lineRule="auto"/>
        <w:ind w:right="113"/>
      </w:pPr>
    </w:p>
    <w:p w14:paraId="5662D4A6" w14:textId="77777777" w:rsidR="00615103" w:rsidRPr="001775D9" w:rsidRDefault="00615103" w:rsidP="00B61D9D">
      <w:pPr>
        <w:spacing w:line="240" w:lineRule="auto"/>
        <w:ind w:right="113"/>
      </w:pPr>
    </w:p>
    <w:p w14:paraId="2884C364" w14:textId="77777777" w:rsidR="00615103" w:rsidRPr="001775D9" w:rsidRDefault="00615103" w:rsidP="00B61D9D">
      <w:pPr>
        <w:spacing w:line="240" w:lineRule="auto"/>
        <w:ind w:right="113"/>
      </w:pPr>
    </w:p>
    <w:p w14:paraId="08489A10" w14:textId="77777777" w:rsidR="00615103" w:rsidRPr="001775D9" w:rsidRDefault="00615103" w:rsidP="00B61D9D">
      <w:pPr>
        <w:spacing w:line="240" w:lineRule="auto"/>
        <w:ind w:right="113"/>
      </w:pPr>
    </w:p>
    <w:p w14:paraId="644B1D45" w14:textId="77777777" w:rsidR="00615103" w:rsidRPr="001775D9" w:rsidRDefault="00615103" w:rsidP="00B61D9D">
      <w:pPr>
        <w:spacing w:line="240" w:lineRule="auto"/>
        <w:ind w:right="113"/>
      </w:pPr>
    </w:p>
    <w:p w14:paraId="30AEC885" w14:textId="77777777" w:rsidR="00615103" w:rsidRPr="001775D9" w:rsidRDefault="00615103" w:rsidP="00B61D9D">
      <w:pPr>
        <w:spacing w:line="240" w:lineRule="auto"/>
        <w:ind w:right="113"/>
      </w:pPr>
    </w:p>
    <w:p w14:paraId="3C4F51BC" w14:textId="77777777" w:rsidR="00615103" w:rsidRPr="001775D9" w:rsidRDefault="00615103" w:rsidP="00B61D9D">
      <w:pPr>
        <w:spacing w:line="240" w:lineRule="auto"/>
        <w:ind w:right="113"/>
      </w:pPr>
    </w:p>
    <w:p w14:paraId="49FF74B6" w14:textId="77777777" w:rsidR="00615103" w:rsidRPr="001775D9" w:rsidRDefault="00615103" w:rsidP="00B61D9D">
      <w:pPr>
        <w:spacing w:line="240" w:lineRule="auto"/>
        <w:ind w:right="113"/>
      </w:pPr>
    </w:p>
    <w:p w14:paraId="682D34AB" w14:textId="77777777" w:rsidR="00C42229" w:rsidRPr="001775D9" w:rsidRDefault="00C42229" w:rsidP="00B61D9D">
      <w:pPr>
        <w:shd w:val="clear" w:color="auto" w:fill="FFFFFF"/>
        <w:spacing w:line="240" w:lineRule="auto"/>
        <w:rPr>
          <w:szCs w:val="22"/>
        </w:rPr>
      </w:pPr>
    </w:p>
    <w:p w14:paraId="294A7A0F" w14:textId="77777777" w:rsidR="00966452" w:rsidRPr="001775D9" w:rsidRDefault="00966452" w:rsidP="00966452">
      <w:pPr>
        <w:keepNext/>
        <w:pBdr>
          <w:top w:val="single" w:sz="4" w:space="1" w:color="auto"/>
          <w:left w:val="single" w:sz="4" w:space="4" w:color="auto"/>
          <w:bottom w:val="single" w:sz="4" w:space="1" w:color="auto"/>
          <w:right w:val="single" w:sz="4" w:space="4" w:color="auto"/>
        </w:pBdr>
        <w:rPr>
          <w:b/>
          <w:szCs w:val="22"/>
        </w:rPr>
        <w:sectPr w:rsidR="00966452" w:rsidRPr="001775D9" w:rsidSect="0065239D">
          <w:footerReference w:type="default" r:id="rId22"/>
          <w:headerReference w:type="first" r:id="rId23"/>
          <w:footerReference w:type="first" r:id="rId24"/>
          <w:endnotePr>
            <w:numFmt w:val="decimal"/>
          </w:endnotePr>
          <w:pgSz w:w="11907" w:h="16840" w:code="9"/>
          <w:pgMar w:top="1134" w:right="1418" w:bottom="1134" w:left="1418" w:header="737" w:footer="737" w:gutter="0"/>
          <w:cols w:space="720"/>
          <w:titlePg/>
        </w:sectPr>
      </w:pPr>
    </w:p>
    <w:p w14:paraId="2939678B" w14:textId="77777777"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1A460E06" w14:textId="77777777"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0C94BD72" w14:textId="77777777"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CARTON PRE-FILLED SYRINGE</w:t>
      </w:r>
    </w:p>
    <w:p w14:paraId="413479E8" w14:textId="77777777" w:rsidR="00C42229" w:rsidRPr="001775D9" w:rsidRDefault="00C42229" w:rsidP="00B61D9D">
      <w:pPr>
        <w:keepNext/>
        <w:spacing w:line="240" w:lineRule="auto"/>
      </w:pPr>
    </w:p>
    <w:p w14:paraId="15359BAA" w14:textId="77777777" w:rsidR="00C42229" w:rsidRPr="001775D9" w:rsidRDefault="00C42229" w:rsidP="00B61D9D">
      <w:pPr>
        <w:keepNext/>
        <w:spacing w:line="240" w:lineRule="auto"/>
        <w:rPr>
          <w:szCs w:val="22"/>
        </w:rPr>
      </w:pPr>
    </w:p>
    <w:p w14:paraId="44A18F31" w14:textId="322A0B9A"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VAULT_ND_12a74805-9a98-470a-836d-4bd9af403dba \* MERGEFORMAT </w:instrText>
      </w:r>
      <w:r w:rsidR="001C55FB" w:rsidRPr="001775D9">
        <w:rPr>
          <w:b/>
        </w:rPr>
        <w:fldChar w:fldCharType="separate"/>
      </w:r>
      <w:r w:rsidR="001C55FB" w:rsidRPr="001775D9">
        <w:rPr>
          <w:b/>
        </w:rPr>
        <w:t xml:space="preserve"> </w:t>
      </w:r>
      <w:r w:rsidR="001C55FB" w:rsidRPr="001775D9">
        <w:rPr>
          <w:b/>
        </w:rPr>
        <w:fldChar w:fldCharType="end"/>
      </w:r>
    </w:p>
    <w:p w14:paraId="04FF1AC1" w14:textId="77777777" w:rsidR="00C42229" w:rsidRPr="001775D9" w:rsidRDefault="00C42229" w:rsidP="00B61D9D">
      <w:pPr>
        <w:keepNext/>
        <w:spacing w:line="240" w:lineRule="auto"/>
        <w:rPr>
          <w:szCs w:val="22"/>
        </w:rPr>
      </w:pPr>
    </w:p>
    <w:p w14:paraId="49B20A52" w14:textId="77777777" w:rsidR="00947941" w:rsidRPr="001775D9" w:rsidRDefault="00947941" w:rsidP="00B61D9D">
      <w:pPr>
        <w:keepNext/>
        <w:spacing w:line="240" w:lineRule="auto"/>
        <w:rPr>
          <w:szCs w:val="22"/>
        </w:rPr>
      </w:pPr>
      <w:r w:rsidRPr="001775D9">
        <w:rPr>
          <w:szCs w:val="22"/>
        </w:rPr>
        <w:t>AMGEVITA 40</w:t>
      </w:r>
      <w:r w:rsidR="00662641" w:rsidRPr="001775D9">
        <w:rPr>
          <w:szCs w:val="22"/>
        </w:rPr>
        <w:t> </w:t>
      </w:r>
      <w:r w:rsidRPr="001775D9">
        <w:rPr>
          <w:szCs w:val="22"/>
        </w:rPr>
        <w:t>mg solution for injection in pre-filled syringe</w:t>
      </w:r>
    </w:p>
    <w:p w14:paraId="4E42CC12" w14:textId="77777777" w:rsidR="00947941" w:rsidRPr="001775D9" w:rsidRDefault="00947941" w:rsidP="00B61D9D">
      <w:pPr>
        <w:keepNext/>
        <w:spacing w:line="240" w:lineRule="auto"/>
        <w:rPr>
          <w:szCs w:val="22"/>
        </w:rPr>
      </w:pPr>
      <w:r w:rsidRPr="001775D9">
        <w:rPr>
          <w:szCs w:val="22"/>
        </w:rPr>
        <w:t>adalimumab</w:t>
      </w:r>
    </w:p>
    <w:p w14:paraId="739BB809" w14:textId="77777777" w:rsidR="00587758" w:rsidRPr="001775D9" w:rsidRDefault="00587758" w:rsidP="00B61D9D">
      <w:pPr>
        <w:keepNext/>
        <w:spacing w:line="240" w:lineRule="auto"/>
        <w:rPr>
          <w:szCs w:val="22"/>
        </w:rPr>
      </w:pPr>
    </w:p>
    <w:p w14:paraId="37F027E2" w14:textId="77777777" w:rsidR="00947941" w:rsidRPr="001775D9" w:rsidRDefault="00947941" w:rsidP="00B61D9D">
      <w:pPr>
        <w:keepNext/>
        <w:spacing w:line="240" w:lineRule="auto"/>
        <w:rPr>
          <w:szCs w:val="22"/>
        </w:rPr>
      </w:pPr>
    </w:p>
    <w:p w14:paraId="1336D143" w14:textId="4D068808"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VAULT_ND_1cd5a67c-cc4c-4a56-9795-9c18dfe4fc6b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906A7BF" w14:textId="77777777" w:rsidR="00C42229" w:rsidRPr="001775D9" w:rsidRDefault="00C42229" w:rsidP="00B61D9D">
      <w:pPr>
        <w:keepNext/>
        <w:spacing w:line="240" w:lineRule="auto"/>
        <w:rPr>
          <w:szCs w:val="22"/>
        </w:rPr>
      </w:pPr>
    </w:p>
    <w:p w14:paraId="4F5E0AE6" w14:textId="77777777" w:rsidR="00947941" w:rsidRPr="001775D9" w:rsidRDefault="00947941" w:rsidP="00A306C2">
      <w:pPr>
        <w:keepNext/>
        <w:suppressLineNumbers/>
        <w:spacing w:line="240" w:lineRule="auto"/>
        <w:rPr>
          <w:szCs w:val="22"/>
        </w:rPr>
      </w:pPr>
      <w:r w:rsidRPr="001775D9">
        <w:rPr>
          <w:szCs w:val="22"/>
        </w:rPr>
        <w:t>Each pre-filled syringe contains 40</w:t>
      </w:r>
      <w:r w:rsidR="00662641" w:rsidRPr="001775D9">
        <w:rPr>
          <w:szCs w:val="22"/>
        </w:rPr>
        <w:t> </w:t>
      </w:r>
      <w:r w:rsidRPr="001775D9">
        <w:rPr>
          <w:szCs w:val="22"/>
        </w:rPr>
        <w:t>mg of adalimumab in 0.8</w:t>
      </w:r>
      <w:r w:rsidR="00662641" w:rsidRPr="001775D9">
        <w:rPr>
          <w:szCs w:val="22"/>
        </w:rPr>
        <w:t> </w:t>
      </w:r>
      <w:r w:rsidRPr="001775D9">
        <w:rPr>
          <w:szCs w:val="22"/>
        </w:rPr>
        <w:t>mL of solution.</w:t>
      </w:r>
    </w:p>
    <w:p w14:paraId="65D50274" w14:textId="77777777" w:rsidR="00C42229" w:rsidRPr="001775D9" w:rsidRDefault="00C42229" w:rsidP="00B61D9D">
      <w:pPr>
        <w:spacing w:line="240" w:lineRule="auto"/>
        <w:rPr>
          <w:szCs w:val="22"/>
        </w:rPr>
      </w:pPr>
    </w:p>
    <w:p w14:paraId="37CC015F" w14:textId="77777777" w:rsidR="00C42229" w:rsidRPr="001775D9" w:rsidRDefault="00C42229" w:rsidP="00B61D9D">
      <w:pPr>
        <w:spacing w:line="240" w:lineRule="auto"/>
        <w:rPr>
          <w:szCs w:val="22"/>
        </w:rPr>
      </w:pPr>
    </w:p>
    <w:p w14:paraId="285D5C33" w14:textId="746A6F03"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VAULT_ND_1b213391-db1b-4097-baf3-384fb55adbc0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0A6DD55" w14:textId="77777777" w:rsidR="00C42229" w:rsidRPr="001775D9" w:rsidRDefault="00C42229" w:rsidP="00B61D9D">
      <w:pPr>
        <w:spacing w:line="240" w:lineRule="auto"/>
        <w:rPr>
          <w:szCs w:val="22"/>
        </w:rPr>
      </w:pPr>
    </w:p>
    <w:p w14:paraId="3C85C053" w14:textId="247DA9E0" w:rsidR="00947941" w:rsidRPr="001775D9" w:rsidRDefault="00947941" w:rsidP="00A306C2">
      <w:pPr>
        <w:tabs>
          <w:tab w:val="clear" w:pos="567"/>
        </w:tabs>
        <w:autoSpaceDE w:val="0"/>
        <w:autoSpaceDN w:val="0"/>
        <w:adjustRightInd w:val="0"/>
        <w:spacing w:line="240" w:lineRule="auto"/>
        <w:rPr>
          <w:szCs w:val="22"/>
          <w:lang w:eastAsia="en-GB"/>
        </w:rPr>
      </w:pPr>
      <w:r w:rsidRPr="001775D9">
        <w:rPr>
          <w:szCs w:val="22"/>
          <w:lang w:eastAsia="en-GB"/>
        </w:rPr>
        <w:t>Glacial acetic acid</w:t>
      </w:r>
      <w:r w:rsidRPr="001775D9">
        <w:rPr>
          <w:szCs w:val="22"/>
        </w:rPr>
        <w:t>, sucrose</w:t>
      </w:r>
      <w:r w:rsidRPr="001775D9">
        <w:rPr>
          <w:szCs w:val="22"/>
          <w:lang w:eastAsia="en-GB"/>
        </w:rPr>
        <w:t>, polysorbate 80, sodium hydroxide and water for injection</w:t>
      </w:r>
      <w:r w:rsidR="00503B55" w:rsidRPr="001775D9">
        <w:rPr>
          <w:szCs w:val="22"/>
          <w:lang w:eastAsia="en-GB"/>
        </w:rPr>
        <w:t>s</w:t>
      </w:r>
      <w:r w:rsidRPr="001775D9">
        <w:rPr>
          <w:szCs w:val="22"/>
          <w:lang w:eastAsia="en-GB"/>
        </w:rPr>
        <w:t xml:space="preserve">. </w:t>
      </w:r>
    </w:p>
    <w:p w14:paraId="722FFDB3" w14:textId="77777777" w:rsidR="00947941" w:rsidRPr="001775D9" w:rsidRDefault="00947941" w:rsidP="00B61D9D">
      <w:pPr>
        <w:spacing w:line="240" w:lineRule="auto"/>
        <w:rPr>
          <w:szCs w:val="22"/>
        </w:rPr>
      </w:pPr>
    </w:p>
    <w:p w14:paraId="3624BC28" w14:textId="77777777" w:rsidR="00C42229" w:rsidRPr="001775D9" w:rsidRDefault="00C42229" w:rsidP="00B61D9D">
      <w:pPr>
        <w:spacing w:line="240" w:lineRule="auto"/>
        <w:rPr>
          <w:szCs w:val="22"/>
        </w:rPr>
      </w:pPr>
    </w:p>
    <w:p w14:paraId="3A531563" w14:textId="7F727EBC"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VAULT_ND_c9c8e58a-ad44-47a7-aa71-f5a9d8fbd1a9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0683C0D" w14:textId="77777777" w:rsidR="00947941" w:rsidRPr="001775D9" w:rsidRDefault="00947941" w:rsidP="00B61D9D">
      <w:pPr>
        <w:spacing w:line="240" w:lineRule="auto"/>
        <w:rPr>
          <w:szCs w:val="22"/>
        </w:rPr>
      </w:pPr>
    </w:p>
    <w:p w14:paraId="59D48454" w14:textId="7165E5DC" w:rsidR="00947941" w:rsidRPr="001775D9" w:rsidRDefault="00947941" w:rsidP="00A306C2">
      <w:pPr>
        <w:spacing w:line="240" w:lineRule="auto"/>
        <w:rPr>
          <w:szCs w:val="22"/>
        </w:rPr>
      </w:pPr>
      <w:r>
        <w:rPr>
          <w:szCs w:val="22"/>
          <w:highlight w:val="lightGray"/>
        </w:rPr>
        <w:t>Solution for injection</w:t>
      </w:r>
    </w:p>
    <w:p w14:paraId="74233119" w14:textId="7FF72748" w:rsidR="00204623" w:rsidRPr="004E0216" w:rsidRDefault="00204623" w:rsidP="00A306C2">
      <w:pPr>
        <w:spacing w:line="240" w:lineRule="auto"/>
        <w:rPr>
          <w:szCs w:val="22"/>
          <w:lang w:val="da-DK"/>
        </w:rPr>
      </w:pPr>
      <w:r w:rsidRPr="004E0216">
        <w:rPr>
          <w:szCs w:val="22"/>
          <w:lang w:val="da-DK"/>
        </w:rPr>
        <w:t>40 mg/0.8 mL</w:t>
      </w:r>
    </w:p>
    <w:p w14:paraId="48E580E7" w14:textId="253EC548" w:rsidR="00947941" w:rsidRPr="004E0216" w:rsidRDefault="00947941" w:rsidP="00A306C2">
      <w:pPr>
        <w:spacing w:line="240" w:lineRule="auto"/>
        <w:rPr>
          <w:szCs w:val="22"/>
          <w:lang w:val="da-DK"/>
        </w:rPr>
      </w:pPr>
      <w:r w:rsidRPr="004E0216">
        <w:rPr>
          <w:szCs w:val="22"/>
          <w:lang w:val="da-DK"/>
        </w:rPr>
        <w:t>1 pre-filled syringe.</w:t>
      </w:r>
    </w:p>
    <w:p w14:paraId="278EF776" w14:textId="77777777" w:rsidR="00947941" w:rsidRDefault="00947941" w:rsidP="00A306C2">
      <w:pPr>
        <w:spacing w:line="240" w:lineRule="auto"/>
        <w:rPr>
          <w:szCs w:val="22"/>
          <w:highlight w:val="lightGray"/>
          <w:lang w:val="da-DK"/>
        </w:rPr>
      </w:pPr>
      <w:r>
        <w:rPr>
          <w:szCs w:val="22"/>
          <w:highlight w:val="lightGray"/>
          <w:lang w:val="da-DK"/>
        </w:rPr>
        <w:t>2 pre-filled syringes.</w:t>
      </w:r>
    </w:p>
    <w:p w14:paraId="32B81FAB" w14:textId="77777777" w:rsidR="00947941" w:rsidRPr="00D55B59" w:rsidRDefault="00947941" w:rsidP="00A306C2">
      <w:pPr>
        <w:spacing w:line="240" w:lineRule="auto"/>
        <w:rPr>
          <w:szCs w:val="22"/>
          <w:highlight w:val="lightGray"/>
          <w:lang w:val="da-DK"/>
          <w:rPrChange w:id="2158" w:author="Author">
            <w:rPr>
              <w:szCs w:val="22"/>
              <w:highlight w:val="lightGray"/>
            </w:rPr>
          </w:rPrChange>
        </w:rPr>
      </w:pPr>
      <w:r w:rsidRPr="00D55B59">
        <w:rPr>
          <w:szCs w:val="22"/>
          <w:highlight w:val="lightGray"/>
          <w:lang w:val="da-DK"/>
          <w:rPrChange w:id="2159" w:author="Author">
            <w:rPr>
              <w:szCs w:val="22"/>
              <w:highlight w:val="lightGray"/>
            </w:rPr>
          </w:rPrChange>
        </w:rPr>
        <w:t>4 pre-filled syringes.</w:t>
      </w:r>
    </w:p>
    <w:p w14:paraId="5CA3A6A1" w14:textId="77777777" w:rsidR="00C42229" w:rsidRPr="00D55B59" w:rsidRDefault="00C42229" w:rsidP="00B61D9D">
      <w:pPr>
        <w:spacing w:line="240" w:lineRule="auto"/>
        <w:rPr>
          <w:szCs w:val="22"/>
          <w:lang w:val="da-DK"/>
          <w:rPrChange w:id="2160" w:author="Author">
            <w:rPr>
              <w:szCs w:val="22"/>
            </w:rPr>
          </w:rPrChange>
        </w:rPr>
      </w:pPr>
    </w:p>
    <w:p w14:paraId="0D3C6195" w14:textId="77777777" w:rsidR="00C229AA" w:rsidRPr="00D55B59" w:rsidRDefault="00C229AA" w:rsidP="00B61D9D">
      <w:pPr>
        <w:spacing w:line="240" w:lineRule="auto"/>
        <w:rPr>
          <w:szCs w:val="22"/>
          <w:lang w:val="da-DK"/>
          <w:rPrChange w:id="2161" w:author="Author">
            <w:rPr>
              <w:szCs w:val="22"/>
            </w:rPr>
          </w:rPrChange>
        </w:rPr>
      </w:pPr>
    </w:p>
    <w:p w14:paraId="6078449A" w14:textId="732A490D"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VAULT_ND_ce68f21f-32ec-461b-9c26-160a2c7c2495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0ECBFFC" w14:textId="77777777" w:rsidR="00947941" w:rsidRPr="001775D9" w:rsidRDefault="00947941" w:rsidP="00B61D9D">
      <w:pPr>
        <w:spacing w:line="240" w:lineRule="auto"/>
        <w:rPr>
          <w:szCs w:val="22"/>
        </w:rPr>
      </w:pPr>
    </w:p>
    <w:p w14:paraId="158DD993" w14:textId="77777777" w:rsidR="00947941" w:rsidRPr="001775D9" w:rsidRDefault="00947941" w:rsidP="00A306C2">
      <w:pPr>
        <w:spacing w:line="240" w:lineRule="auto"/>
        <w:rPr>
          <w:szCs w:val="22"/>
        </w:rPr>
      </w:pPr>
      <w:r w:rsidRPr="001775D9">
        <w:rPr>
          <w:szCs w:val="22"/>
        </w:rPr>
        <w:t>For subcutaneous use.</w:t>
      </w:r>
    </w:p>
    <w:p w14:paraId="7DE0AAA0" w14:textId="77777777" w:rsidR="00947941" w:rsidRPr="001775D9" w:rsidRDefault="00947941" w:rsidP="00B61D9D">
      <w:pPr>
        <w:spacing w:line="240" w:lineRule="auto"/>
        <w:rPr>
          <w:szCs w:val="22"/>
        </w:rPr>
      </w:pPr>
      <w:r w:rsidRPr="001775D9">
        <w:rPr>
          <w:szCs w:val="22"/>
        </w:rPr>
        <w:t>Read the package leaflet before use.</w:t>
      </w:r>
    </w:p>
    <w:p w14:paraId="2EFEB9BE" w14:textId="77777777" w:rsidR="000F7B7C" w:rsidRPr="001775D9" w:rsidRDefault="001E0330" w:rsidP="00B61D9D">
      <w:pPr>
        <w:spacing w:line="240" w:lineRule="auto"/>
        <w:rPr>
          <w:szCs w:val="22"/>
        </w:rPr>
      </w:pPr>
      <w:r w:rsidRPr="001775D9">
        <w:rPr>
          <w:szCs w:val="22"/>
        </w:rPr>
        <w:t>S</w:t>
      </w:r>
      <w:r w:rsidR="000F7B7C" w:rsidRPr="001775D9">
        <w:rPr>
          <w:szCs w:val="22"/>
        </w:rPr>
        <w:t>ingle use only.</w:t>
      </w:r>
    </w:p>
    <w:p w14:paraId="7D2888C2" w14:textId="77777777" w:rsidR="00947941" w:rsidRPr="001775D9" w:rsidRDefault="00947941" w:rsidP="00B61D9D">
      <w:pPr>
        <w:spacing w:line="240" w:lineRule="auto"/>
        <w:rPr>
          <w:szCs w:val="22"/>
        </w:rPr>
      </w:pPr>
    </w:p>
    <w:p w14:paraId="17137968" w14:textId="77777777" w:rsidR="00C42229" w:rsidRPr="001775D9" w:rsidRDefault="00C42229" w:rsidP="00B61D9D">
      <w:pPr>
        <w:spacing w:line="240" w:lineRule="auto"/>
        <w:rPr>
          <w:szCs w:val="22"/>
        </w:rPr>
      </w:pPr>
    </w:p>
    <w:p w14:paraId="6125593B" w14:textId="77BDE4CC"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VAULT_ND_fa3e31da-67d2-4c08-a3ba-eb4d22155bb2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0DD0D17" w14:textId="77777777" w:rsidR="00C42229" w:rsidRPr="001775D9" w:rsidRDefault="00C42229" w:rsidP="00B61D9D">
      <w:pPr>
        <w:spacing w:line="240" w:lineRule="auto"/>
        <w:rPr>
          <w:szCs w:val="22"/>
        </w:rPr>
      </w:pPr>
    </w:p>
    <w:p w14:paraId="6B4C1155" w14:textId="5A3AF4D3" w:rsidR="00C42229" w:rsidRPr="001775D9" w:rsidRDefault="00C42229"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vault_nd_e548b996-47e8-4ce7-8cd0-c17b3da2ee6f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6041CBF5" w14:textId="77777777" w:rsidR="00C42229" w:rsidRPr="001775D9" w:rsidRDefault="00C42229" w:rsidP="00B61D9D">
      <w:pPr>
        <w:spacing w:line="240" w:lineRule="auto"/>
        <w:rPr>
          <w:szCs w:val="22"/>
        </w:rPr>
      </w:pPr>
    </w:p>
    <w:p w14:paraId="573A6D5D" w14:textId="77777777" w:rsidR="00C42229" w:rsidRPr="001775D9" w:rsidRDefault="00C42229" w:rsidP="00B61D9D">
      <w:pPr>
        <w:spacing w:line="240" w:lineRule="auto"/>
        <w:rPr>
          <w:szCs w:val="22"/>
        </w:rPr>
      </w:pPr>
    </w:p>
    <w:p w14:paraId="7782702F" w14:textId="3C5C2E1E"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VAULT_ND_cf6ead95-d194-4f07-8815-c5596cdf752c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216AE63" w14:textId="77777777" w:rsidR="00947941" w:rsidRPr="001775D9" w:rsidRDefault="00947941" w:rsidP="00B61D9D">
      <w:pPr>
        <w:tabs>
          <w:tab w:val="left" w:pos="749"/>
        </w:tabs>
        <w:spacing w:line="240" w:lineRule="auto"/>
      </w:pPr>
    </w:p>
    <w:p w14:paraId="1B2CFAC9" w14:textId="77777777" w:rsidR="00947941" w:rsidRPr="001775D9" w:rsidRDefault="00947941" w:rsidP="00B61D9D">
      <w:pPr>
        <w:tabs>
          <w:tab w:val="left" w:pos="749"/>
        </w:tabs>
        <w:spacing w:line="240" w:lineRule="auto"/>
      </w:pPr>
    </w:p>
    <w:p w14:paraId="279DBD4C" w14:textId="31718720"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VAULT_ND_2cc469a2-4b07-4edc-918b-3ca4b3f441b3 \* MERGEFORMAT </w:instrText>
      </w:r>
      <w:r w:rsidR="001C55FB" w:rsidRPr="001775D9">
        <w:rPr>
          <w:b/>
        </w:rPr>
        <w:fldChar w:fldCharType="separate"/>
      </w:r>
      <w:r w:rsidR="001C55FB" w:rsidRPr="001775D9">
        <w:rPr>
          <w:b/>
        </w:rPr>
        <w:t xml:space="preserve"> </w:t>
      </w:r>
      <w:r w:rsidR="001C55FB" w:rsidRPr="001775D9">
        <w:rPr>
          <w:b/>
        </w:rPr>
        <w:fldChar w:fldCharType="end"/>
      </w:r>
    </w:p>
    <w:p w14:paraId="6973E300" w14:textId="77777777" w:rsidR="00C42229" w:rsidRPr="001775D9" w:rsidRDefault="00C42229" w:rsidP="00B61D9D">
      <w:pPr>
        <w:spacing w:line="240" w:lineRule="auto"/>
      </w:pPr>
    </w:p>
    <w:p w14:paraId="1DD86167" w14:textId="77777777" w:rsidR="00C42229" w:rsidRPr="001775D9" w:rsidRDefault="00C42229" w:rsidP="00B61D9D">
      <w:pPr>
        <w:spacing w:line="240" w:lineRule="auto"/>
        <w:rPr>
          <w:szCs w:val="22"/>
        </w:rPr>
      </w:pPr>
      <w:r w:rsidRPr="001775D9">
        <w:rPr>
          <w:szCs w:val="22"/>
        </w:rPr>
        <w:t>EXP</w:t>
      </w:r>
      <w:r w:rsidR="000B07B9" w:rsidRPr="001775D9">
        <w:rPr>
          <w:szCs w:val="22"/>
        </w:rPr>
        <w:t xml:space="preserve"> </w:t>
      </w:r>
    </w:p>
    <w:p w14:paraId="111D5D33" w14:textId="77777777" w:rsidR="00C42229" w:rsidRPr="001775D9" w:rsidRDefault="00C42229" w:rsidP="00B61D9D">
      <w:pPr>
        <w:spacing w:line="240" w:lineRule="auto"/>
        <w:rPr>
          <w:szCs w:val="22"/>
        </w:rPr>
      </w:pPr>
    </w:p>
    <w:p w14:paraId="2E8D2A85" w14:textId="77777777" w:rsidR="00C42229" w:rsidRPr="001775D9" w:rsidRDefault="00C42229" w:rsidP="00B61D9D">
      <w:pPr>
        <w:spacing w:line="240" w:lineRule="auto"/>
        <w:rPr>
          <w:szCs w:val="22"/>
        </w:rPr>
      </w:pPr>
    </w:p>
    <w:p w14:paraId="78A5049C" w14:textId="42C85B71" w:rsidR="00C42229" w:rsidRPr="001775D9" w:rsidRDefault="00C42229" w:rsidP="00501E1E">
      <w:pPr>
        <w:keepNext/>
        <w:keepLines/>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VAULT_ND_739653f9-2b12-4b70-984e-c7cb98a3a40e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DAEBBC5" w14:textId="77777777" w:rsidR="00947941" w:rsidRPr="001775D9" w:rsidRDefault="00947941" w:rsidP="00501E1E">
      <w:pPr>
        <w:keepNext/>
        <w:keepLines/>
        <w:spacing w:line="240" w:lineRule="auto"/>
        <w:rPr>
          <w:szCs w:val="22"/>
        </w:rPr>
      </w:pPr>
    </w:p>
    <w:p w14:paraId="6366725F" w14:textId="77777777" w:rsidR="00947941" w:rsidRPr="001775D9" w:rsidRDefault="00947941" w:rsidP="00501E1E">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6C3E7F73" w14:textId="77777777" w:rsidR="00947941" w:rsidRPr="001775D9" w:rsidRDefault="00947941" w:rsidP="00501E1E">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5182CF00" w14:textId="77777777" w:rsidR="00947941" w:rsidRPr="001775D9" w:rsidRDefault="00947941" w:rsidP="00FB5458">
      <w:pPr>
        <w:spacing w:line="240" w:lineRule="auto"/>
        <w:rPr>
          <w:rFonts w:eastAsia="SimSun"/>
          <w:szCs w:val="22"/>
          <w:lang w:eastAsia="en-GB"/>
        </w:rPr>
      </w:pPr>
      <w:r w:rsidRPr="001775D9">
        <w:rPr>
          <w:rFonts w:eastAsia="SimSun"/>
          <w:szCs w:val="22"/>
          <w:lang w:eastAsia="en-GB"/>
        </w:rPr>
        <w:t>Store in the original carton in order to protect from light.</w:t>
      </w:r>
    </w:p>
    <w:p w14:paraId="224C0AAB" w14:textId="77777777" w:rsidR="00947941" w:rsidRPr="001775D9" w:rsidRDefault="00947941" w:rsidP="00A6458E">
      <w:pPr>
        <w:spacing w:line="240" w:lineRule="auto"/>
        <w:rPr>
          <w:rFonts w:eastAsia="SimSun"/>
          <w:szCs w:val="22"/>
          <w:lang w:eastAsia="en-GB"/>
        </w:rPr>
      </w:pPr>
    </w:p>
    <w:p w14:paraId="5A420987" w14:textId="77777777" w:rsidR="00947941" w:rsidRPr="001775D9" w:rsidRDefault="00947941" w:rsidP="00B61D9D">
      <w:pPr>
        <w:spacing w:line="240" w:lineRule="auto"/>
        <w:ind w:left="567" w:hanging="567"/>
        <w:rPr>
          <w:szCs w:val="22"/>
        </w:rPr>
      </w:pPr>
    </w:p>
    <w:p w14:paraId="32745DDB" w14:textId="62DE108D"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VAULT_ND_84985fbe-5950-4417-ad5c-b907fc77079b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5415DEC" w14:textId="77777777" w:rsidR="00C42229" w:rsidRPr="001775D9" w:rsidRDefault="00C42229" w:rsidP="00B61D9D">
      <w:pPr>
        <w:spacing w:line="240" w:lineRule="auto"/>
        <w:rPr>
          <w:szCs w:val="22"/>
        </w:rPr>
      </w:pPr>
    </w:p>
    <w:p w14:paraId="27BCE587" w14:textId="77777777" w:rsidR="00C42229" w:rsidRPr="001775D9" w:rsidRDefault="00C42229" w:rsidP="00B61D9D">
      <w:pPr>
        <w:spacing w:line="240" w:lineRule="auto"/>
        <w:rPr>
          <w:szCs w:val="22"/>
        </w:rPr>
      </w:pPr>
    </w:p>
    <w:p w14:paraId="14BE27C4" w14:textId="22F487C8"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VAULT_ND_01b299a9-806d-438a-ad4c-5dc4aa1f2fe0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E0834C3" w14:textId="77777777" w:rsidR="00947941" w:rsidRPr="001775D9" w:rsidRDefault="00947941" w:rsidP="00B61D9D">
      <w:pPr>
        <w:spacing w:line="240" w:lineRule="auto"/>
        <w:rPr>
          <w:szCs w:val="22"/>
        </w:rPr>
      </w:pPr>
    </w:p>
    <w:p w14:paraId="7BDCFD45" w14:textId="402C8317" w:rsidR="00947941" w:rsidRPr="00D55B59" w:rsidRDefault="00947941" w:rsidP="00A6458E">
      <w:pPr>
        <w:tabs>
          <w:tab w:val="clear" w:pos="567"/>
        </w:tabs>
        <w:autoSpaceDE w:val="0"/>
        <w:autoSpaceDN w:val="0"/>
        <w:adjustRightInd w:val="0"/>
        <w:spacing w:line="240" w:lineRule="auto"/>
        <w:rPr>
          <w:rFonts w:eastAsia="SimSun"/>
          <w:szCs w:val="22"/>
          <w:lang w:eastAsia="en-GB"/>
          <w:rPrChange w:id="2162" w:author="Author">
            <w:rPr>
              <w:rFonts w:eastAsia="SimSun"/>
              <w:szCs w:val="22"/>
              <w:lang w:val="sv-SE" w:eastAsia="en-GB"/>
            </w:rPr>
          </w:rPrChange>
        </w:rPr>
      </w:pPr>
      <w:r w:rsidRPr="00D55B59">
        <w:rPr>
          <w:rFonts w:eastAsia="SimSun"/>
          <w:szCs w:val="22"/>
          <w:lang w:eastAsia="en-GB"/>
          <w:rPrChange w:id="2163" w:author="Author">
            <w:rPr>
              <w:rFonts w:eastAsia="SimSun"/>
              <w:szCs w:val="22"/>
              <w:lang w:val="sv-SE" w:eastAsia="en-GB"/>
            </w:rPr>
          </w:rPrChange>
        </w:rPr>
        <w:t>Amgen Europe B.V.</w:t>
      </w:r>
    </w:p>
    <w:p w14:paraId="67ED3780" w14:textId="77777777" w:rsidR="00947941" w:rsidRPr="00D55B59" w:rsidRDefault="00947941" w:rsidP="00A6458E">
      <w:pPr>
        <w:tabs>
          <w:tab w:val="clear" w:pos="567"/>
        </w:tabs>
        <w:autoSpaceDE w:val="0"/>
        <w:autoSpaceDN w:val="0"/>
        <w:adjustRightInd w:val="0"/>
        <w:spacing w:line="240" w:lineRule="auto"/>
        <w:rPr>
          <w:rFonts w:eastAsia="SimSun"/>
          <w:szCs w:val="22"/>
          <w:lang w:eastAsia="en-GB"/>
          <w:rPrChange w:id="2164" w:author="Author">
            <w:rPr>
              <w:rFonts w:eastAsia="SimSun"/>
              <w:szCs w:val="22"/>
              <w:lang w:val="sv-SE" w:eastAsia="en-GB"/>
            </w:rPr>
          </w:rPrChange>
        </w:rPr>
      </w:pPr>
      <w:r w:rsidRPr="00D55B59">
        <w:rPr>
          <w:rFonts w:eastAsia="SimSun"/>
          <w:szCs w:val="22"/>
          <w:lang w:eastAsia="en-GB"/>
          <w:rPrChange w:id="2165" w:author="Author">
            <w:rPr>
              <w:rFonts w:eastAsia="SimSun"/>
              <w:szCs w:val="22"/>
              <w:lang w:val="sv-SE" w:eastAsia="en-GB"/>
            </w:rPr>
          </w:rPrChange>
        </w:rPr>
        <w:t>Minervum 7061,</w:t>
      </w:r>
    </w:p>
    <w:p w14:paraId="12771806" w14:textId="678D51A6" w:rsidR="00947941" w:rsidRPr="001775D9" w:rsidRDefault="00947941" w:rsidP="00A6458E">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7DE14E94" w14:textId="77777777" w:rsidR="00947941" w:rsidRPr="001775D9" w:rsidRDefault="00947941" w:rsidP="00A6458E">
      <w:pPr>
        <w:spacing w:line="240" w:lineRule="auto"/>
        <w:rPr>
          <w:szCs w:val="22"/>
        </w:rPr>
      </w:pPr>
      <w:r w:rsidRPr="001775D9">
        <w:rPr>
          <w:rFonts w:eastAsia="SimSun"/>
          <w:szCs w:val="22"/>
          <w:lang w:eastAsia="en-GB"/>
        </w:rPr>
        <w:t>The Netherlands</w:t>
      </w:r>
      <w:r w:rsidRPr="001775D9">
        <w:rPr>
          <w:i/>
          <w:szCs w:val="22"/>
        </w:rPr>
        <w:t xml:space="preserve"> </w:t>
      </w:r>
    </w:p>
    <w:p w14:paraId="47909101" w14:textId="77777777" w:rsidR="00947941" w:rsidRPr="001775D9" w:rsidRDefault="00947941" w:rsidP="00B61D9D">
      <w:pPr>
        <w:spacing w:line="240" w:lineRule="auto"/>
        <w:rPr>
          <w:szCs w:val="22"/>
        </w:rPr>
      </w:pPr>
    </w:p>
    <w:p w14:paraId="1017BC57" w14:textId="77777777" w:rsidR="00947941" w:rsidRPr="001775D9" w:rsidRDefault="00947941" w:rsidP="00B61D9D">
      <w:pPr>
        <w:spacing w:line="240" w:lineRule="auto"/>
        <w:rPr>
          <w:szCs w:val="22"/>
        </w:rPr>
      </w:pPr>
    </w:p>
    <w:p w14:paraId="79A11B6F" w14:textId="59BEE131" w:rsidR="00C42229" w:rsidRPr="00A166A8"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lang w:val="fr-FR"/>
        </w:rPr>
      </w:pPr>
      <w:r w:rsidRPr="00A166A8">
        <w:rPr>
          <w:b/>
          <w:szCs w:val="22"/>
          <w:lang w:val="fr-FR"/>
        </w:rPr>
        <w:t>12.</w:t>
      </w:r>
      <w:r w:rsidRPr="00A166A8">
        <w:rPr>
          <w:b/>
          <w:szCs w:val="22"/>
          <w:lang w:val="fr-FR"/>
        </w:rPr>
        <w:tab/>
        <w:t>MARKETING AUTHORISATION NUMBER(S)</w:t>
      </w:r>
      <w:r w:rsidR="001C55FB" w:rsidRPr="001775D9">
        <w:rPr>
          <w:b/>
          <w:szCs w:val="22"/>
        </w:rPr>
        <w:fldChar w:fldCharType="begin"/>
      </w:r>
      <w:r w:rsidR="001C55FB" w:rsidRPr="00A166A8">
        <w:rPr>
          <w:b/>
          <w:szCs w:val="22"/>
          <w:lang w:val="fr-FR"/>
        </w:rPr>
        <w:instrText xml:space="preserve"> DOCVARIABLE VAULT_ND_921277a3-8484-4830-b1c3-729d4b2f40f4 \* MERGEFORMAT </w:instrText>
      </w:r>
      <w:r w:rsidR="001C55FB" w:rsidRPr="001775D9">
        <w:rPr>
          <w:b/>
          <w:szCs w:val="22"/>
        </w:rPr>
        <w:fldChar w:fldCharType="separate"/>
      </w:r>
      <w:r w:rsidR="001C55FB" w:rsidRPr="00A166A8">
        <w:rPr>
          <w:b/>
          <w:szCs w:val="22"/>
          <w:lang w:val="fr-FR"/>
        </w:rPr>
        <w:t xml:space="preserve"> </w:t>
      </w:r>
      <w:r w:rsidR="001C55FB" w:rsidRPr="001775D9">
        <w:rPr>
          <w:b/>
          <w:szCs w:val="22"/>
        </w:rPr>
        <w:fldChar w:fldCharType="end"/>
      </w:r>
    </w:p>
    <w:p w14:paraId="34A67C9E" w14:textId="77777777" w:rsidR="00947941" w:rsidRPr="00A166A8" w:rsidRDefault="00947941" w:rsidP="00B61D9D">
      <w:pPr>
        <w:spacing w:line="240" w:lineRule="auto"/>
        <w:rPr>
          <w:szCs w:val="22"/>
          <w:lang w:val="fr-FR"/>
        </w:rPr>
      </w:pPr>
    </w:p>
    <w:p w14:paraId="720786A6" w14:textId="27067313" w:rsidR="00947941" w:rsidRPr="00D55B59" w:rsidRDefault="00CD755D" w:rsidP="00B61D9D">
      <w:pPr>
        <w:spacing w:line="240" w:lineRule="auto"/>
        <w:outlineLvl w:val="0"/>
        <w:rPr>
          <w:szCs w:val="22"/>
          <w:lang w:val="fr-FR"/>
          <w:rPrChange w:id="2166" w:author="Author">
            <w:rPr>
              <w:szCs w:val="22"/>
              <w:lang w:val="pt-PT"/>
            </w:rPr>
          </w:rPrChange>
        </w:rPr>
      </w:pPr>
      <w:r w:rsidRPr="00D55B59">
        <w:rPr>
          <w:color w:val="000000"/>
          <w:lang w:val="fr-FR"/>
          <w:rPrChange w:id="2167" w:author="Author">
            <w:rPr>
              <w:color w:val="000000"/>
              <w:lang w:val="pt-PT"/>
            </w:rPr>
          </w:rPrChange>
        </w:rPr>
        <w:t xml:space="preserve">EU/1/16/1164/002 </w:t>
      </w:r>
      <w:r w:rsidR="00947941" w:rsidRPr="00D55B59">
        <w:rPr>
          <w:szCs w:val="22"/>
          <w:highlight w:val="lightGray"/>
          <w:lang w:val="fr-FR"/>
          <w:rPrChange w:id="2168" w:author="Author">
            <w:rPr>
              <w:szCs w:val="22"/>
              <w:highlight w:val="lightGray"/>
              <w:lang w:val="pt-PT"/>
            </w:rPr>
          </w:rPrChange>
        </w:rPr>
        <w:t>1 pack</w:t>
      </w:r>
      <w:r w:rsidR="001C55FB" w:rsidRPr="00D55B59">
        <w:rPr>
          <w:szCs w:val="22"/>
          <w:highlight w:val="lightGray"/>
          <w:rPrChange w:id="2169" w:author="Author">
            <w:rPr>
              <w:szCs w:val="22"/>
              <w:highlight w:val="lightGray"/>
              <w:lang w:val="pt-PT"/>
            </w:rPr>
          </w:rPrChange>
        </w:rPr>
        <w:fldChar w:fldCharType="begin"/>
      </w:r>
      <w:r w:rsidR="001C55FB" w:rsidRPr="00D55B59">
        <w:rPr>
          <w:szCs w:val="22"/>
          <w:highlight w:val="lightGray"/>
          <w:lang w:val="fr-FR"/>
          <w:rPrChange w:id="2170" w:author="Author">
            <w:rPr>
              <w:szCs w:val="22"/>
              <w:highlight w:val="lightGray"/>
              <w:lang w:val="pt-PT"/>
            </w:rPr>
          </w:rPrChange>
        </w:rPr>
        <w:instrText xml:space="preserve"> DOCVARIABLE vault_nd_ca8f3579-e812-439a-a846-baf08ff50f8b \* MERGEFORMAT </w:instrText>
      </w:r>
      <w:r w:rsidR="001C55FB" w:rsidRPr="00D55B59">
        <w:rPr>
          <w:szCs w:val="22"/>
          <w:highlight w:val="lightGray"/>
          <w:rPrChange w:id="2171" w:author="Author">
            <w:rPr>
              <w:szCs w:val="22"/>
              <w:highlight w:val="lightGray"/>
              <w:lang w:val="pt-PT"/>
            </w:rPr>
          </w:rPrChange>
        </w:rPr>
        <w:fldChar w:fldCharType="separate"/>
      </w:r>
      <w:r w:rsidR="001C55FB" w:rsidRPr="00D55B59">
        <w:rPr>
          <w:szCs w:val="22"/>
          <w:highlight w:val="lightGray"/>
          <w:lang w:val="fr-FR"/>
          <w:rPrChange w:id="2172" w:author="Author">
            <w:rPr>
              <w:szCs w:val="22"/>
              <w:highlight w:val="lightGray"/>
              <w:lang w:val="pt-PT"/>
            </w:rPr>
          </w:rPrChange>
        </w:rPr>
        <w:t xml:space="preserve"> </w:t>
      </w:r>
      <w:r w:rsidR="001C55FB" w:rsidRPr="00D55B59">
        <w:rPr>
          <w:szCs w:val="22"/>
          <w:highlight w:val="lightGray"/>
          <w:rPrChange w:id="2173" w:author="Author">
            <w:rPr>
              <w:szCs w:val="22"/>
              <w:highlight w:val="lightGray"/>
              <w:lang w:val="pt-PT"/>
            </w:rPr>
          </w:rPrChange>
        </w:rPr>
        <w:fldChar w:fldCharType="end"/>
      </w:r>
    </w:p>
    <w:p w14:paraId="25C57290" w14:textId="56402236" w:rsidR="00947941" w:rsidRPr="00D55B59" w:rsidRDefault="00CD755D" w:rsidP="00B61D9D">
      <w:pPr>
        <w:spacing w:line="240" w:lineRule="auto"/>
        <w:outlineLvl w:val="0"/>
        <w:rPr>
          <w:szCs w:val="22"/>
          <w:highlight w:val="lightGray"/>
          <w:lang w:val="fr-FR"/>
          <w:rPrChange w:id="2174" w:author="Author">
            <w:rPr>
              <w:szCs w:val="22"/>
              <w:highlight w:val="lightGray"/>
              <w:lang w:val="pt-PT"/>
            </w:rPr>
          </w:rPrChange>
        </w:rPr>
      </w:pPr>
      <w:r w:rsidRPr="00D55B59">
        <w:rPr>
          <w:color w:val="000000"/>
          <w:highlight w:val="lightGray"/>
          <w:lang w:val="fr-FR"/>
          <w:rPrChange w:id="2175" w:author="Author">
            <w:rPr>
              <w:color w:val="000000"/>
              <w:highlight w:val="lightGray"/>
              <w:lang w:val="pt-PT"/>
            </w:rPr>
          </w:rPrChange>
        </w:rPr>
        <w:t xml:space="preserve">EU/1/16/1164/003 </w:t>
      </w:r>
      <w:r w:rsidR="00947941" w:rsidRPr="00D55B59">
        <w:rPr>
          <w:szCs w:val="22"/>
          <w:highlight w:val="lightGray"/>
          <w:lang w:val="fr-FR"/>
          <w:rPrChange w:id="2176" w:author="Author">
            <w:rPr>
              <w:szCs w:val="22"/>
              <w:highlight w:val="lightGray"/>
              <w:lang w:val="pt-PT"/>
            </w:rPr>
          </w:rPrChange>
        </w:rPr>
        <w:t>2 pack</w:t>
      </w:r>
      <w:r w:rsidR="001C55FB" w:rsidRPr="00D55B59">
        <w:rPr>
          <w:szCs w:val="22"/>
          <w:highlight w:val="lightGray"/>
          <w:rPrChange w:id="2177" w:author="Author">
            <w:rPr>
              <w:szCs w:val="22"/>
              <w:highlight w:val="lightGray"/>
              <w:lang w:val="pt-PT"/>
            </w:rPr>
          </w:rPrChange>
        </w:rPr>
        <w:fldChar w:fldCharType="begin"/>
      </w:r>
      <w:r w:rsidR="001C55FB" w:rsidRPr="00D55B59">
        <w:rPr>
          <w:szCs w:val="22"/>
          <w:highlight w:val="lightGray"/>
          <w:lang w:val="fr-FR"/>
          <w:rPrChange w:id="2178" w:author="Author">
            <w:rPr>
              <w:szCs w:val="22"/>
              <w:highlight w:val="lightGray"/>
              <w:lang w:val="pt-PT"/>
            </w:rPr>
          </w:rPrChange>
        </w:rPr>
        <w:instrText xml:space="preserve"> DOCVARIABLE vault_nd_0e99881f-e0ef-476a-96d0-157002dbf11b \* MERGEFORMAT </w:instrText>
      </w:r>
      <w:r w:rsidR="001C55FB" w:rsidRPr="00D55B59">
        <w:rPr>
          <w:szCs w:val="22"/>
          <w:highlight w:val="lightGray"/>
          <w:rPrChange w:id="2179" w:author="Author">
            <w:rPr>
              <w:szCs w:val="22"/>
              <w:highlight w:val="lightGray"/>
              <w:lang w:val="pt-PT"/>
            </w:rPr>
          </w:rPrChange>
        </w:rPr>
        <w:fldChar w:fldCharType="separate"/>
      </w:r>
      <w:r w:rsidR="001C55FB" w:rsidRPr="00D55B59">
        <w:rPr>
          <w:szCs w:val="22"/>
          <w:highlight w:val="lightGray"/>
          <w:lang w:val="fr-FR"/>
          <w:rPrChange w:id="2180" w:author="Author">
            <w:rPr>
              <w:szCs w:val="22"/>
              <w:highlight w:val="lightGray"/>
              <w:lang w:val="pt-PT"/>
            </w:rPr>
          </w:rPrChange>
        </w:rPr>
        <w:t xml:space="preserve"> </w:t>
      </w:r>
      <w:r w:rsidR="001C55FB" w:rsidRPr="00D55B59">
        <w:rPr>
          <w:szCs w:val="22"/>
          <w:highlight w:val="lightGray"/>
          <w:rPrChange w:id="2181" w:author="Author">
            <w:rPr>
              <w:szCs w:val="22"/>
              <w:highlight w:val="lightGray"/>
              <w:lang w:val="pt-PT"/>
            </w:rPr>
          </w:rPrChange>
        </w:rPr>
        <w:fldChar w:fldCharType="end"/>
      </w:r>
    </w:p>
    <w:p w14:paraId="22C8B34A" w14:textId="37B7EC8C" w:rsidR="00947941" w:rsidRPr="00D55B59" w:rsidRDefault="00CD755D" w:rsidP="00B61D9D">
      <w:pPr>
        <w:spacing w:line="240" w:lineRule="auto"/>
        <w:outlineLvl w:val="0"/>
        <w:rPr>
          <w:szCs w:val="22"/>
          <w:highlight w:val="lightGray"/>
          <w:lang w:val="fr-FR"/>
          <w:rPrChange w:id="2182" w:author="Author">
            <w:rPr>
              <w:szCs w:val="22"/>
              <w:highlight w:val="lightGray"/>
              <w:lang w:val="pt-PT"/>
            </w:rPr>
          </w:rPrChange>
        </w:rPr>
      </w:pPr>
      <w:r w:rsidRPr="00D55B59">
        <w:rPr>
          <w:color w:val="000000"/>
          <w:highlight w:val="lightGray"/>
          <w:lang w:val="fr-FR"/>
          <w:rPrChange w:id="2183" w:author="Author">
            <w:rPr>
              <w:color w:val="000000"/>
              <w:highlight w:val="lightGray"/>
              <w:lang w:val="pt-PT"/>
            </w:rPr>
          </w:rPrChange>
        </w:rPr>
        <w:t xml:space="preserve">EU/1/16/1164/004 </w:t>
      </w:r>
      <w:r w:rsidR="00947941" w:rsidRPr="00D55B59">
        <w:rPr>
          <w:szCs w:val="22"/>
          <w:highlight w:val="lightGray"/>
          <w:lang w:val="fr-FR"/>
          <w:rPrChange w:id="2184" w:author="Author">
            <w:rPr>
              <w:szCs w:val="22"/>
              <w:highlight w:val="lightGray"/>
              <w:lang w:val="pt-PT"/>
            </w:rPr>
          </w:rPrChange>
        </w:rPr>
        <w:t>4 pack</w:t>
      </w:r>
      <w:r w:rsidR="001C55FB" w:rsidRPr="00D55B59">
        <w:rPr>
          <w:szCs w:val="22"/>
          <w:highlight w:val="lightGray"/>
          <w:rPrChange w:id="2185" w:author="Author">
            <w:rPr>
              <w:szCs w:val="22"/>
              <w:highlight w:val="lightGray"/>
              <w:lang w:val="pt-PT"/>
            </w:rPr>
          </w:rPrChange>
        </w:rPr>
        <w:fldChar w:fldCharType="begin"/>
      </w:r>
      <w:r w:rsidR="001C55FB" w:rsidRPr="00D55B59">
        <w:rPr>
          <w:szCs w:val="22"/>
          <w:highlight w:val="lightGray"/>
          <w:lang w:val="fr-FR"/>
          <w:rPrChange w:id="2186" w:author="Author">
            <w:rPr>
              <w:szCs w:val="22"/>
              <w:highlight w:val="lightGray"/>
              <w:lang w:val="pt-PT"/>
            </w:rPr>
          </w:rPrChange>
        </w:rPr>
        <w:instrText xml:space="preserve"> DOCVARIABLE vault_nd_6f9e9a40-1b59-446c-9143-d822f5f0c35b \* MERGEFORMAT </w:instrText>
      </w:r>
      <w:r w:rsidR="001C55FB" w:rsidRPr="00D55B59">
        <w:rPr>
          <w:szCs w:val="22"/>
          <w:highlight w:val="lightGray"/>
          <w:rPrChange w:id="2187" w:author="Author">
            <w:rPr>
              <w:szCs w:val="22"/>
              <w:highlight w:val="lightGray"/>
              <w:lang w:val="pt-PT"/>
            </w:rPr>
          </w:rPrChange>
        </w:rPr>
        <w:fldChar w:fldCharType="separate"/>
      </w:r>
      <w:r w:rsidR="001C55FB" w:rsidRPr="00D55B59">
        <w:rPr>
          <w:szCs w:val="22"/>
          <w:highlight w:val="lightGray"/>
          <w:lang w:val="fr-FR"/>
          <w:rPrChange w:id="2188" w:author="Author">
            <w:rPr>
              <w:szCs w:val="22"/>
              <w:highlight w:val="lightGray"/>
              <w:lang w:val="pt-PT"/>
            </w:rPr>
          </w:rPrChange>
        </w:rPr>
        <w:t xml:space="preserve"> </w:t>
      </w:r>
      <w:r w:rsidR="001C55FB" w:rsidRPr="00D55B59">
        <w:rPr>
          <w:szCs w:val="22"/>
          <w:highlight w:val="lightGray"/>
          <w:rPrChange w:id="2189" w:author="Author">
            <w:rPr>
              <w:szCs w:val="22"/>
              <w:highlight w:val="lightGray"/>
              <w:lang w:val="pt-PT"/>
            </w:rPr>
          </w:rPrChange>
        </w:rPr>
        <w:fldChar w:fldCharType="end"/>
      </w:r>
    </w:p>
    <w:p w14:paraId="0892E179" w14:textId="77777777" w:rsidR="00E618E4" w:rsidRPr="00A166A8" w:rsidRDefault="00E618E4" w:rsidP="00B61D9D">
      <w:pPr>
        <w:spacing w:line="240" w:lineRule="auto"/>
        <w:rPr>
          <w:rFonts w:ascii="TimesNewRoman" w:hAnsi="TimesNewRoman" w:cs="TimesNewRoman"/>
          <w:szCs w:val="22"/>
          <w:lang w:val="fr-FR" w:eastAsia="en-GB"/>
        </w:rPr>
      </w:pPr>
    </w:p>
    <w:p w14:paraId="05E08C4B" w14:textId="77777777" w:rsidR="00947941" w:rsidRPr="00A166A8" w:rsidRDefault="00947941" w:rsidP="00B61D9D">
      <w:pPr>
        <w:spacing w:line="240" w:lineRule="auto"/>
        <w:rPr>
          <w:szCs w:val="22"/>
          <w:lang w:val="fr-FR"/>
        </w:rPr>
      </w:pPr>
    </w:p>
    <w:p w14:paraId="1272C89B" w14:textId="0D4A44E7"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VAULT_ND_0673ee21-4371-4067-a6f3-cd0ea7232048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8868DFE" w14:textId="77777777" w:rsidR="00C42229" w:rsidRPr="001775D9" w:rsidRDefault="00C42229" w:rsidP="00B61D9D">
      <w:pPr>
        <w:spacing w:line="240" w:lineRule="auto"/>
        <w:rPr>
          <w:i/>
          <w:szCs w:val="22"/>
        </w:rPr>
      </w:pPr>
    </w:p>
    <w:p w14:paraId="3D021F24" w14:textId="77777777" w:rsidR="00C42229" w:rsidRPr="001775D9" w:rsidRDefault="00C42229" w:rsidP="00B61D9D">
      <w:pPr>
        <w:spacing w:line="240" w:lineRule="auto"/>
        <w:rPr>
          <w:szCs w:val="22"/>
        </w:rPr>
      </w:pPr>
      <w:r w:rsidRPr="001775D9">
        <w:rPr>
          <w:szCs w:val="22"/>
        </w:rPr>
        <w:t>Lot</w:t>
      </w:r>
    </w:p>
    <w:p w14:paraId="15718810" w14:textId="77777777" w:rsidR="00C42229" w:rsidRPr="001775D9" w:rsidRDefault="00C42229" w:rsidP="00B61D9D">
      <w:pPr>
        <w:spacing w:line="240" w:lineRule="auto"/>
        <w:rPr>
          <w:szCs w:val="22"/>
        </w:rPr>
      </w:pPr>
    </w:p>
    <w:p w14:paraId="3F7D9B70" w14:textId="77777777" w:rsidR="00C42229" w:rsidRPr="001775D9" w:rsidRDefault="00C42229" w:rsidP="00B61D9D">
      <w:pPr>
        <w:spacing w:line="240" w:lineRule="auto"/>
        <w:rPr>
          <w:szCs w:val="22"/>
        </w:rPr>
      </w:pPr>
    </w:p>
    <w:p w14:paraId="50C0F86B" w14:textId="09BADD8C"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VAULT_ND_4c59f217-48ff-4b88-834a-385268c967c2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6070DD2" w14:textId="77777777" w:rsidR="00C42229" w:rsidRPr="001775D9" w:rsidRDefault="00C42229" w:rsidP="00B61D9D">
      <w:pPr>
        <w:spacing w:line="240" w:lineRule="auto"/>
        <w:rPr>
          <w:i/>
          <w:szCs w:val="22"/>
        </w:rPr>
      </w:pPr>
    </w:p>
    <w:p w14:paraId="27A9E8D0" w14:textId="77777777" w:rsidR="00C42229" w:rsidRPr="001775D9" w:rsidRDefault="00C42229" w:rsidP="00B61D9D">
      <w:pPr>
        <w:spacing w:line="240" w:lineRule="auto"/>
        <w:rPr>
          <w:szCs w:val="22"/>
        </w:rPr>
      </w:pPr>
    </w:p>
    <w:p w14:paraId="3C553DE4" w14:textId="2FD5FF4B" w:rsidR="00C42229" w:rsidRPr="001775D9" w:rsidRDefault="00C42229"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VAULT_ND_f10cf7c5-3b8b-41e9-aa7c-3b5053828782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D3434DD" w14:textId="77777777" w:rsidR="00C42229" w:rsidRPr="001775D9" w:rsidRDefault="00C42229" w:rsidP="00B61D9D">
      <w:pPr>
        <w:spacing w:line="240" w:lineRule="auto"/>
        <w:rPr>
          <w:szCs w:val="22"/>
        </w:rPr>
      </w:pPr>
    </w:p>
    <w:p w14:paraId="46DCBE61" w14:textId="77777777" w:rsidR="00C42229" w:rsidRPr="001775D9" w:rsidRDefault="00C42229" w:rsidP="00B61D9D">
      <w:pPr>
        <w:spacing w:line="240" w:lineRule="auto"/>
        <w:rPr>
          <w:szCs w:val="22"/>
        </w:rPr>
      </w:pPr>
    </w:p>
    <w:p w14:paraId="1D805CA4" w14:textId="77777777" w:rsidR="00C42229" w:rsidRPr="001775D9" w:rsidRDefault="00C42229"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606ECB67" w14:textId="77777777" w:rsidR="00C42229" w:rsidRPr="001775D9" w:rsidRDefault="00C42229" w:rsidP="00B61D9D">
      <w:pPr>
        <w:spacing w:line="240" w:lineRule="auto"/>
      </w:pPr>
    </w:p>
    <w:p w14:paraId="157E27BB" w14:textId="460404BD" w:rsidR="00B03F12" w:rsidRPr="001775D9" w:rsidRDefault="00947941" w:rsidP="00B61D9D">
      <w:pPr>
        <w:spacing w:line="240" w:lineRule="auto"/>
      </w:pPr>
      <w:r w:rsidRPr="001775D9">
        <w:t>AMGEVITA 40</w:t>
      </w:r>
      <w:r w:rsidR="00662641" w:rsidRPr="001775D9">
        <w:t> </w:t>
      </w:r>
      <w:r w:rsidRPr="001775D9">
        <w:t>mg</w:t>
      </w:r>
      <w:r w:rsidR="00204623" w:rsidRPr="001775D9">
        <w:t>/0.8 mL</w:t>
      </w:r>
      <w:r w:rsidRPr="001775D9">
        <w:t xml:space="preserve"> </w:t>
      </w:r>
      <w:r w:rsidR="00B03F12" w:rsidRPr="001775D9">
        <w:t>syringe</w:t>
      </w:r>
    </w:p>
    <w:p w14:paraId="23C6E755" w14:textId="77777777" w:rsidR="00174470" w:rsidRPr="00D55B59" w:rsidRDefault="00174470" w:rsidP="00A6458E">
      <w:pPr>
        <w:spacing w:line="240" w:lineRule="auto"/>
        <w:rPr>
          <w:szCs w:val="22"/>
          <w:highlight w:val="yellow"/>
          <w:shd w:val="clear" w:color="auto" w:fill="CCCCCC"/>
          <w:rPrChange w:id="2190" w:author="Author">
            <w:rPr>
              <w:noProof/>
              <w:szCs w:val="22"/>
              <w:highlight w:val="yellow"/>
              <w:shd w:val="clear" w:color="auto" w:fill="CCCCCC"/>
            </w:rPr>
          </w:rPrChange>
        </w:rPr>
      </w:pPr>
    </w:p>
    <w:p w14:paraId="20A57CC6" w14:textId="77777777" w:rsidR="00174470" w:rsidRPr="00D55B59" w:rsidRDefault="00174470" w:rsidP="00A6458E">
      <w:pPr>
        <w:spacing w:line="240" w:lineRule="auto"/>
        <w:rPr>
          <w:szCs w:val="22"/>
          <w:shd w:val="clear" w:color="auto" w:fill="CCCCCC"/>
          <w:rPrChange w:id="2191" w:author="Author">
            <w:rPr>
              <w:noProof/>
              <w:szCs w:val="22"/>
              <w:shd w:val="clear" w:color="auto" w:fill="CCCCCC"/>
            </w:rPr>
          </w:rPrChange>
        </w:rPr>
      </w:pPr>
    </w:p>
    <w:p w14:paraId="07B08A0E" w14:textId="77777777" w:rsidR="00174470" w:rsidRPr="00D55B59" w:rsidRDefault="00174470" w:rsidP="00A6458E">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192" w:author="Author">
            <w:rPr>
              <w:i/>
              <w:noProof/>
            </w:rPr>
          </w:rPrChange>
        </w:rPr>
      </w:pPr>
      <w:r w:rsidRPr="00D55B59">
        <w:rPr>
          <w:b/>
          <w:rPrChange w:id="2193" w:author="Author">
            <w:rPr>
              <w:b/>
              <w:noProof/>
            </w:rPr>
          </w:rPrChange>
        </w:rPr>
        <w:t>17.</w:t>
      </w:r>
      <w:r w:rsidRPr="00D55B59">
        <w:rPr>
          <w:b/>
          <w:rPrChange w:id="2194" w:author="Author">
            <w:rPr>
              <w:b/>
              <w:noProof/>
            </w:rPr>
          </w:rPrChange>
        </w:rPr>
        <w:tab/>
        <w:t>UNIQUE IDENTIFIER – 2D BARCODE</w:t>
      </w:r>
    </w:p>
    <w:p w14:paraId="1AACF190" w14:textId="77777777" w:rsidR="00174470" w:rsidRPr="00D55B59" w:rsidRDefault="00174470" w:rsidP="00A6458E">
      <w:pPr>
        <w:tabs>
          <w:tab w:val="clear" w:pos="567"/>
        </w:tabs>
        <w:spacing w:line="240" w:lineRule="auto"/>
        <w:rPr>
          <w:rPrChange w:id="2195" w:author="Author">
            <w:rPr>
              <w:noProof/>
            </w:rPr>
          </w:rPrChange>
        </w:rPr>
      </w:pPr>
    </w:p>
    <w:p w14:paraId="77BBD6CF" w14:textId="77777777" w:rsidR="00174470" w:rsidRPr="00D55B59" w:rsidRDefault="00174470" w:rsidP="00A6458E">
      <w:pPr>
        <w:spacing w:line="240" w:lineRule="auto"/>
        <w:rPr>
          <w:szCs w:val="22"/>
          <w:shd w:val="clear" w:color="auto" w:fill="CCCCCC"/>
          <w:rPrChange w:id="2196" w:author="Author">
            <w:rPr>
              <w:noProof/>
              <w:szCs w:val="22"/>
              <w:shd w:val="clear" w:color="auto" w:fill="CCCCCC"/>
            </w:rPr>
          </w:rPrChange>
        </w:rPr>
      </w:pPr>
      <w:r w:rsidRPr="00D55B59">
        <w:rPr>
          <w:highlight w:val="lightGray"/>
          <w:rPrChange w:id="2197" w:author="Author">
            <w:rPr>
              <w:noProof/>
              <w:highlight w:val="lightGray"/>
            </w:rPr>
          </w:rPrChange>
        </w:rPr>
        <w:t>2D barcode carrying the unique identifier included.</w:t>
      </w:r>
    </w:p>
    <w:p w14:paraId="7C2CB78F" w14:textId="77777777" w:rsidR="00174470" w:rsidRPr="00D55B59" w:rsidRDefault="00174470" w:rsidP="00A6458E">
      <w:pPr>
        <w:spacing w:line="240" w:lineRule="auto"/>
        <w:rPr>
          <w:szCs w:val="22"/>
          <w:shd w:val="clear" w:color="auto" w:fill="CCCCCC"/>
          <w:rPrChange w:id="2198" w:author="Author">
            <w:rPr>
              <w:noProof/>
              <w:szCs w:val="22"/>
              <w:shd w:val="clear" w:color="auto" w:fill="CCCCCC"/>
            </w:rPr>
          </w:rPrChange>
        </w:rPr>
      </w:pPr>
    </w:p>
    <w:p w14:paraId="5A8AEC99" w14:textId="77777777" w:rsidR="00174470" w:rsidRPr="00D55B59" w:rsidRDefault="00174470" w:rsidP="00A6458E">
      <w:pPr>
        <w:tabs>
          <w:tab w:val="clear" w:pos="567"/>
        </w:tabs>
        <w:spacing w:line="240" w:lineRule="auto"/>
        <w:rPr>
          <w:rPrChange w:id="2199" w:author="Author">
            <w:rPr>
              <w:noProof/>
            </w:rPr>
          </w:rPrChange>
        </w:rPr>
      </w:pPr>
    </w:p>
    <w:p w14:paraId="1EA388F8" w14:textId="77777777" w:rsidR="00174470" w:rsidRPr="00D55B59" w:rsidRDefault="00174470" w:rsidP="00A6458E">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200" w:author="Author">
            <w:rPr>
              <w:i/>
              <w:noProof/>
            </w:rPr>
          </w:rPrChange>
        </w:rPr>
      </w:pPr>
      <w:r w:rsidRPr="00D55B59">
        <w:rPr>
          <w:b/>
          <w:rPrChange w:id="2201" w:author="Author">
            <w:rPr>
              <w:b/>
              <w:noProof/>
            </w:rPr>
          </w:rPrChange>
        </w:rPr>
        <w:t>18.</w:t>
      </w:r>
      <w:r w:rsidRPr="00D55B59">
        <w:rPr>
          <w:b/>
          <w:rPrChange w:id="2202" w:author="Author">
            <w:rPr>
              <w:b/>
              <w:noProof/>
            </w:rPr>
          </w:rPrChange>
        </w:rPr>
        <w:tab/>
        <w:t xml:space="preserve">UNIQUE IDENTIFIER </w:t>
      </w:r>
      <w:r w:rsidRPr="001775D9">
        <w:rPr>
          <w:rFonts w:eastAsia="Calibri"/>
        </w:rPr>
        <w:t>-</w:t>
      </w:r>
      <w:r w:rsidRPr="00D55B59">
        <w:rPr>
          <w:b/>
          <w:rPrChange w:id="2203" w:author="Author">
            <w:rPr>
              <w:b/>
              <w:noProof/>
            </w:rPr>
          </w:rPrChange>
        </w:rPr>
        <w:t xml:space="preserve"> HUMAN READABLE DATA</w:t>
      </w:r>
    </w:p>
    <w:p w14:paraId="02CA4E57" w14:textId="77777777" w:rsidR="00174470" w:rsidRPr="00D55B59" w:rsidRDefault="00174470" w:rsidP="00A6458E">
      <w:pPr>
        <w:tabs>
          <w:tab w:val="clear" w:pos="567"/>
        </w:tabs>
        <w:spacing w:line="240" w:lineRule="auto"/>
        <w:rPr>
          <w:rPrChange w:id="2204" w:author="Author">
            <w:rPr>
              <w:noProof/>
            </w:rPr>
          </w:rPrChange>
        </w:rPr>
      </w:pPr>
    </w:p>
    <w:p w14:paraId="262C1495" w14:textId="77777777" w:rsidR="00174470" w:rsidRPr="001775D9" w:rsidRDefault="00174470" w:rsidP="00A6458E">
      <w:pPr>
        <w:spacing w:line="240" w:lineRule="auto"/>
        <w:rPr>
          <w:szCs w:val="22"/>
        </w:rPr>
      </w:pPr>
      <w:r w:rsidRPr="001775D9">
        <w:rPr>
          <w:szCs w:val="22"/>
        </w:rPr>
        <w:t>PC</w:t>
      </w:r>
    </w:p>
    <w:p w14:paraId="041E5BB8" w14:textId="77777777" w:rsidR="00174470" w:rsidRPr="001775D9" w:rsidRDefault="00174470" w:rsidP="00B61D9D">
      <w:pPr>
        <w:spacing w:line="240" w:lineRule="auto"/>
        <w:rPr>
          <w:szCs w:val="22"/>
        </w:rPr>
      </w:pPr>
      <w:r w:rsidRPr="001775D9">
        <w:rPr>
          <w:szCs w:val="22"/>
        </w:rPr>
        <w:t>SN</w:t>
      </w:r>
    </w:p>
    <w:p w14:paraId="1BB1662E" w14:textId="77777777" w:rsidR="00DD0B8C" w:rsidRPr="001775D9" w:rsidRDefault="00174470" w:rsidP="00B61D9D">
      <w:pPr>
        <w:spacing w:line="240" w:lineRule="auto"/>
      </w:pPr>
      <w:r w:rsidRPr="001775D9">
        <w:rPr>
          <w:szCs w:val="22"/>
        </w:rPr>
        <w:t>NN</w:t>
      </w:r>
    </w:p>
    <w:p w14:paraId="4AD09F98" w14:textId="77777777" w:rsidR="00DD0B8C" w:rsidRPr="001775D9" w:rsidRDefault="00DD0B8C" w:rsidP="00B61D9D">
      <w:pPr>
        <w:spacing w:line="240" w:lineRule="auto"/>
      </w:pPr>
    </w:p>
    <w:p w14:paraId="40876B07" w14:textId="77777777" w:rsidR="00966452" w:rsidRPr="001775D9" w:rsidRDefault="00966452" w:rsidP="005F1AA5">
      <w:pPr>
        <w:keepNext/>
        <w:pBdr>
          <w:top w:val="single" w:sz="4" w:space="1" w:color="auto"/>
          <w:left w:val="single" w:sz="4" w:space="4" w:color="auto"/>
          <w:bottom w:val="single" w:sz="4" w:space="1" w:color="auto"/>
          <w:right w:val="single" w:sz="4" w:space="4" w:color="auto"/>
        </w:pBdr>
        <w:rPr>
          <w:b/>
          <w:szCs w:val="22"/>
        </w:rPr>
        <w:sectPr w:rsidR="00966452" w:rsidRPr="001775D9" w:rsidSect="0065239D">
          <w:endnotePr>
            <w:numFmt w:val="decimal"/>
          </w:endnotePr>
          <w:pgSz w:w="11907" w:h="16840" w:code="9"/>
          <w:pgMar w:top="1134" w:right="1418" w:bottom="1134" w:left="1418" w:header="737" w:footer="737" w:gutter="0"/>
          <w:cols w:space="720"/>
          <w:titlePg/>
        </w:sectPr>
      </w:pPr>
    </w:p>
    <w:p w14:paraId="2621B918" w14:textId="77777777" w:rsidR="00DD0B8C" w:rsidRPr="001775D9" w:rsidRDefault="00DD0B8C"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76C6A77B" w14:textId="77777777" w:rsidR="00DD0B8C" w:rsidRPr="001775D9" w:rsidRDefault="00DD0B8C"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3E140AC0" w14:textId="74C88B51" w:rsidR="00DD0B8C" w:rsidRPr="001775D9" w:rsidRDefault="00B56C97"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 xml:space="preserve">OUTER </w:t>
      </w:r>
      <w:r w:rsidR="00DD0B8C" w:rsidRPr="001775D9">
        <w:rPr>
          <w:b/>
          <w:szCs w:val="22"/>
        </w:rPr>
        <w:t xml:space="preserve">CARTON </w:t>
      </w:r>
      <w:r w:rsidR="009103D7" w:rsidRPr="001775D9">
        <w:rPr>
          <w:b/>
          <w:szCs w:val="22"/>
        </w:rPr>
        <w:t xml:space="preserve">FOR </w:t>
      </w:r>
      <w:r w:rsidR="00DD0B8C" w:rsidRPr="001775D9">
        <w:rPr>
          <w:b/>
          <w:szCs w:val="22"/>
        </w:rPr>
        <w:t xml:space="preserve">PRE-FILLED SYRINGE </w:t>
      </w:r>
      <w:r w:rsidRPr="001775D9">
        <w:rPr>
          <w:b/>
          <w:szCs w:val="22"/>
        </w:rPr>
        <w:t xml:space="preserve">MULTIPACK </w:t>
      </w:r>
      <w:r w:rsidR="00DD0B8C" w:rsidRPr="001775D9">
        <w:rPr>
          <w:b/>
          <w:szCs w:val="22"/>
        </w:rPr>
        <w:t>(with blue box)</w:t>
      </w:r>
    </w:p>
    <w:p w14:paraId="21ED4556" w14:textId="77777777" w:rsidR="00DD0B8C" w:rsidRPr="001775D9" w:rsidRDefault="00DD0B8C" w:rsidP="00B61D9D">
      <w:pPr>
        <w:keepNext/>
        <w:spacing w:line="240" w:lineRule="auto"/>
      </w:pPr>
    </w:p>
    <w:p w14:paraId="2689C910" w14:textId="77777777" w:rsidR="00DD0B8C" w:rsidRPr="001775D9" w:rsidRDefault="00DD0B8C" w:rsidP="00B61D9D">
      <w:pPr>
        <w:keepNext/>
        <w:spacing w:line="240" w:lineRule="auto"/>
        <w:rPr>
          <w:szCs w:val="22"/>
        </w:rPr>
      </w:pPr>
    </w:p>
    <w:p w14:paraId="0EF335F8" w14:textId="32B8BEC5" w:rsidR="00DD0B8C" w:rsidRPr="001775D9" w:rsidRDefault="00DD0B8C"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VAULT_ND_d9497c48-6737-46c4-8a2f-af71c0f36d52 \* MERGEFORMAT </w:instrText>
      </w:r>
      <w:r w:rsidR="001C55FB" w:rsidRPr="001775D9">
        <w:rPr>
          <w:b/>
        </w:rPr>
        <w:fldChar w:fldCharType="separate"/>
      </w:r>
      <w:r w:rsidR="001C55FB" w:rsidRPr="001775D9">
        <w:rPr>
          <w:b/>
        </w:rPr>
        <w:t xml:space="preserve"> </w:t>
      </w:r>
      <w:r w:rsidR="001C55FB" w:rsidRPr="001775D9">
        <w:rPr>
          <w:b/>
        </w:rPr>
        <w:fldChar w:fldCharType="end"/>
      </w:r>
    </w:p>
    <w:p w14:paraId="236A25B1" w14:textId="77777777" w:rsidR="00DD0B8C" w:rsidRPr="001775D9" w:rsidRDefault="00DD0B8C" w:rsidP="00B61D9D">
      <w:pPr>
        <w:keepNext/>
        <w:spacing w:line="240" w:lineRule="auto"/>
        <w:rPr>
          <w:szCs w:val="22"/>
        </w:rPr>
      </w:pPr>
    </w:p>
    <w:p w14:paraId="3A34AC6D" w14:textId="77777777" w:rsidR="00DD0B8C" w:rsidRPr="001775D9" w:rsidRDefault="00DD0B8C" w:rsidP="00B61D9D">
      <w:pPr>
        <w:keepNext/>
        <w:spacing w:line="240" w:lineRule="auto"/>
        <w:rPr>
          <w:szCs w:val="22"/>
        </w:rPr>
      </w:pPr>
      <w:r w:rsidRPr="001775D9">
        <w:rPr>
          <w:szCs w:val="22"/>
        </w:rPr>
        <w:t>AMGEVITA 40 mg solution for injection in pre-filled syringe</w:t>
      </w:r>
    </w:p>
    <w:p w14:paraId="11C7A31F" w14:textId="77777777" w:rsidR="00DD0B8C" w:rsidRPr="001775D9" w:rsidRDefault="00DD0B8C" w:rsidP="00B61D9D">
      <w:pPr>
        <w:keepNext/>
        <w:spacing w:line="240" w:lineRule="auto"/>
        <w:rPr>
          <w:szCs w:val="22"/>
        </w:rPr>
      </w:pPr>
      <w:r w:rsidRPr="001775D9">
        <w:rPr>
          <w:szCs w:val="22"/>
        </w:rPr>
        <w:t>adalimumab</w:t>
      </w:r>
    </w:p>
    <w:p w14:paraId="32C9A7B7" w14:textId="77777777" w:rsidR="00DD0B8C" w:rsidRPr="001775D9" w:rsidRDefault="00DD0B8C" w:rsidP="00B61D9D">
      <w:pPr>
        <w:keepNext/>
        <w:spacing w:line="240" w:lineRule="auto"/>
        <w:rPr>
          <w:szCs w:val="22"/>
        </w:rPr>
      </w:pPr>
    </w:p>
    <w:p w14:paraId="7D33EDF2" w14:textId="77777777" w:rsidR="00DD0B8C" w:rsidRPr="001775D9" w:rsidRDefault="00DD0B8C" w:rsidP="00B61D9D">
      <w:pPr>
        <w:keepNext/>
        <w:spacing w:line="240" w:lineRule="auto"/>
        <w:rPr>
          <w:szCs w:val="22"/>
        </w:rPr>
      </w:pPr>
    </w:p>
    <w:p w14:paraId="4C3C4E48" w14:textId="06E70AB0"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VAULT_ND_9c9454db-7373-42ea-9c93-a6cb66120204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093F341" w14:textId="77777777" w:rsidR="00DD0B8C" w:rsidRPr="001775D9" w:rsidRDefault="00DD0B8C" w:rsidP="00B61D9D">
      <w:pPr>
        <w:spacing w:line="240" w:lineRule="auto"/>
        <w:rPr>
          <w:szCs w:val="22"/>
        </w:rPr>
      </w:pPr>
    </w:p>
    <w:p w14:paraId="06E7C8F4" w14:textId="77777777" w:rsidR="00DD0B8C" w:rsidRPr="001775D9" w:rsidRDefault="00DD0B8C" w:rsidP="00A6458E">
      <w:pPr>
        <w:suppressLineNumbers/>
        <w:spacing w:line="240" w:lineRule="auto"/>
        <w:rPr>
          <w:szCs w:val="22"/>
        </w:rPr>
      </w:pPr>
      <w:r w:rsidRPr="001775D9">
        <w:rPr>
          <w:szCs w:val="22"/>
        </w:rPr>
        <w:t>Each pre-filled syringe contains 40 mg of adalimumab in 0.8 mL of solution.</w:t>
      </w:r>
    </w:p>
    <w:p w14:paraId="0514DEEF" w14:textId="77777777" w:rsidR="00DD0B8C" w:rsidRPr="001775D9" w:rsidRDefault="00DD0B8C" w:rsidP="00B61D9D">
      <w:pPr>
        <w:spacing w:line="240" w:lineRule="auto"/>
        <w:rPr>
          <w:szCs w:val="22"/>
        </w:rPr>
      </w:pPr>
    </w:p>
    <w:p w14:paraId="0CB92356" w14:textId="77777777" w:rsidR="00DD0B8C" w:rsidRPr="001775D9" w:rsidRDefault="00DD0B8C" w:rsidP="00B61D9D">
      <w:pPr>
        <w:spacing w:line="240" w:lineRule="auto"/>
        <w:rPr>
          <w:szCs w:val="22"/>
        </w:rPr>
      </w:pPr>
    </w:p>
    <w:p w14:paraId="358D49AC" w14:textId="4A0264FE"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VAULT_ND_4ab520e1-eb2f-4011-8673-008964b9671c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8502481" w14:textId="77777777" w:rsidR="00DD0B8C" w:rsidRPr="001775D9" w:rsidRDefault="00DD0B8C" w:rsidP="00B61D9D">
      <w:pPr>
        <w:spacing w:line="240" w:lineRule="auto"/>
        <w:rPr>
          <w:szCs w:val="22"/>
        </w:rPr>
      </w:pPr>
    </w:p>
    <w:p w14:paraId="05951440" w14:textId="5DEFF171" w:rsidR="00DD0B8C" w:rsidRPr="001775D9" w:rsidRDefault="00DD0B8C" w:rsidP="00A6458E">
      <w:pPr>
        <w:tabs>
          <w:tab w:val="clear" w:pos="567"/>
        </w:tabs>
        <w:autoSpaceDE w:val="0"/>
        <w:autoSpaceDN w:val="0"/>
        <w:adjustRightInd w:val="0"/>
        <w:spacing w:line="240" w:lineRule="auto"/>
        <w:rPr>
          <w:szCs w:val="22"/>
          <w:lang w:eastAsia="en-GB"/>
        </w:rPr>
      </w:pPr>
      <w:r w:rsidRPr="001775D9">
        <w:rPr>
          <w:szCs w:val="22"/>
          <w:lang w:eastAsia="en-GB"/>
        </w:rPr>
        <w:t>Glacial acetic acid</w:t>
      </w:r>
      <w:r w:rsidRPr="001775D9">
        <w:rPr>
          <w:szCs w:val="22"/>
        </w:rPr>
        <w:t>, sucrose</w:t>
      </w:r>
      <w:r w:rsidRPr="001775D9">
        <w:rPr>
          <w:szCs w:val="22"/>
          <w:lang w:eastAsia="en-GB"/>
        </w:rPr>
        <w:t>, polysorbate 80, sodium hydroxide and water for injection</w:t>
      </w:r>
      <w:r w:rsidR="00503B55" w:rsidRPr="001775D9">
        <w:rPr>
          <w:szCs w:val="22"/>
          <w:lang w:eastAsia="en-GB"/>
        </w:rPr>
        <w:t>s</w:t>
      </w:r>
      <w:r w:rsidRPr="001775D9">
        <w:rPr>
          <w:szCs w:val="22"/>
          <w:lang w:eastAsia="en-GB"/>
        </w:rPr>
        <w:t xml:space="preserve">. </w:t>
      </w:r>
    </w:p>
    <w:p w14:paraId="4336953F" w14:textId="77777777" w:rsidR="00DD0B8C" w:rsidRPr="001775D9" w:rsidRDefault="00DD0B8C" w:rsidP="00B61D9D">
      <w:pPr>
        <w:spacing w:line="240" w:lineRule="auto"/>
        <w:rPr>
          <w:szCs w:val="22"/>
        </w:rPr>
      </w:pPr>
    </w:p>
    <w:p w14:paraId="20085BFE" w14:textId="77777777" w:rsidR="00DD0B8C" w:rsidRPr="001775D9" w:rsidRDefault="00DD0B8C" w:rsidP="00B61D9D">
      <w:pPr>
        <w:spacing w:line="240" w:lineRule="auto"/>
        <w:rPr>
          <w:szCs w:val="22"/>
        </w:rPr>
      </w:pPr>
    </w:p>
    <w:p w14:paraId="7BBDEB66" w14:textId="5F687013"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VAULT_ND_115a889a-fcc0-4e3f-9983-53f4eca75540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FFC96E0" w14:textId="77777777" w:rsidR="00DD0B8C" w:rsidRPr="001775D9" w:rsidRDefault="00DD0B8C" w:rsidP="00B61D9D">
      <w:pPr>
        <w:spacing w:line="240" w:lineRule="auto"/>
        <w:rPr>
          <w:szCs w:val="22"/>
        </w:rPr>
      </w:pPr>
    </w:p>
    <w:p w14:paraId="5834DBBA" w14:textId="4C958D59" w:rsidR="00DD0B8C" w:rsidRPr="001775D9" w:rsidRDefault="00DD0B8C" w:rsidP="00A6458E">
      <w:pPr>
        <w:spacing w:line="240" w:lineRule="auto"/>
        <w:rPr>
          <w:szCs w:val="22"/>
        </w:rPr>
      </w:pPr>
      <w:r>
        <w:rPr>
          <w:szCs w:val="22"/>
          <w:highlight w:val="lightGray"/>
        </w:rPr>
        <w:t>Solution for injection</w:t>
      </w:r>
    </w:p>
    <w:p w14:paraId="04CBAFB5" w14:textId="510F7FA8" w:rsidR="00204623" w:rsidRPr="001775D9" w:rsidRDefault="00204623" w:rsidP="00A6458E">
      <w:pPr>
        <w:spacing w:line="240" w:lineRule="auto"/>
        <w:rPr>
          <w:szCs w:val="22"/>
        </w:rPr>
      </w:pPr>
      <w:r w:rsidRPr="001775D9">
        <w:rPr>
          <w:szCs w:val="22"/>
        </w:rPr>
        <w:t>40 mg/0.8 mL</w:t>
      </w:r>
    </w:p>
    <w:p w14:paraId="7EDE4BED" w14:textId="17A3DFC1" w:rsidR="00DD0B8C" w:rsidRPr="001775D9" w:rsidRDefault="00DD0B8C" w:rsidP="00A6458E">
      <w:pPr>
        <w:spacing w:line="240" w:lineRule="auto"/>
        <w:rPr>
          <w:szCs w:val="22"/>
        </w:rPr>
      </w:pPr>
      <w:r w:rsidRPr="001775D9">
        <w:rPr>
          <w:szCs w:val="22"/>
        </w:rPr>
        <w:t>Multipack: 6 (3 packs of 2) pre-filled syringes.</w:t>
      </w:r>
    </w:p>
    <w:p w14:paraId="3113CFBD" w14:textId="77777777" w:rsidR="00DD0B8C" w:rsidRPr="001775D9" w:rsidRDefault="00DD0B8C" w:rsidP="00B61D9D">
      <w:pPr>
        <w:spacing w:line="240" w:lineRule="auto"/>
        <w:rPr>
          <w:szCs w:val="22"/>
        </w:rPr>
      </w:pPr>
    </w:p>
    <w:p w14:paraId="60155D40" w14:textId="77777777" w:rsidR="00DD0B8C" w:rsidRPr="001775D9" w:rsidRDefault="00DD0B8C" w:rsidP="00B61D9D">
      <w:pPr>
        <w:spacing w:line="240" w:lineRule="auto"/>
        <w:rPr>
          <w:szCs w:val="22"/>
        </w:rPr>
      </w:pPr>
    </w:p>
    <w:p w14:paraId="2EA7470E" w14:textId="0FE6FA6B"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VAULT_ND_c57bde4f-4730-44a6-9e2a-462acdf51461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25D9FA7" w14:textId="77777777" w:rsidR="00DD0B8C" w:rsidRPr="001775D9" w:rsidRDefault="00DD0B8C" w:rsidP="00B61D9D">
      <w:pPr>
        <w:spacing w:line="240" w:lineRule="auto"/>
        <w:rPr>
          <w:szCs w:val="22"/>
        </w:rPr>
      </w:pPr>
    </w:p>
    <w:p w14:paraId="3CC2B305" w14:textId="77777777" w:rsidR="00DD0B8C" w:rsidRPr="001775D9" w:rsidRDefault="00DD0B8C" w:rsidP="00A6458E">
      <w:pPr>
        <w:spacing w:line="240" w:lineRule="auto"/>
        <w:rPr>
          <w:szCs w:val="22"/>
        </w:rPr>
      </w:pPr>
      <w:r w:rsidRPr="001775D9">
        <w:rPr>
          <w:szCs w:val="22"/>
        </w:rPr>
        <w:t>For subcutaneous use.</w:t>
      </w:r>
    </w:p>
    <w:p w14:paraId="145A8922" w14:textId="77777777" w:rsidR="00DD0B8C" w:rsidRPr="001775D9" w:rsidRDefault="00DD0B8C" w:rsidP="00B61D9D">
      <w:pPr>
        <w:spacing w:line="240" w:lineRule="auto"/>
        <w:rPr>
          <w:szCs w:val="22"/>
        </w:rPr>
      </w:pPr>
      <w:r w:rsidRPr="001775D9">
        <w:rPr>
          <w:szCs w:val="22"/>
        </w:rPr>
        <w:t>Read the package leaflet before use.</w:t>
      </w:r>
    </w:p>
    <w:p w14:paraId="704B874F" w14:textId="77777777" w:rsidR="00DD0B8C" w:rsidRPr="001775D9" w:rsidRDefault="00DD0B8C" w:rsidP="00B61D9D">
      <w:pPr>
        <w:spacing w:line="240" w:lineRule="auto"/>
        <w:rPr>
          <w:szCs w:val="22"/>
        </w:rPr>
      </w:pPr>
      <w:r w:rsidRPr="001775D9">
        <w:rPr>
          <w:szCs w:val="22"/>
        </w:rPr>
        <w:t>Single use only.</w:t>
      </w:r>
    </w:p>
    <w:p w14:paraId="1C92D71D" w14:textId="77777777" w:rsidR="00DD0B8C" w:rsidRPr="001775D9" w:rsidRDefault="00DD0B8C" w:rsidP="00B61D9D">
      <w:pPr>
        <w:spacing w:line="240" w:lineRule="auto"/>
        <w:rPr>
          <w:szCs w:val="22"/>
        </w:rPr>
      </w:pPr>
    </w:p>
    <w:p w14:paraId="48533F4A" w14:textId="77777777" w:rsidR="00DD0B8C" w:rsidRPr="001775D9" w:rsidRDefault="00DD0B8C" w:rsidP="00B61D9D">
      <w:pPr>
        <w:spacing w:line="240" w:lineRule="auto"/>
        <w:rPr>
          <w:szCs w:val="22"/>
        </w:rPr>
      </w:pPr>
    </w:p>
    <w:p w14:paraId="3CAFC5DC" w14:textId="07683BCE"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VAULT_ND_0451b2a8-79ea-4b0c-8008-76cba1cfada7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E4669CE" w14:textId="77777777" w:rsidR="00DD0B8C" w:rsidRPr="001775D9" w:rsidRDefault="00DD0B8C" w:rsidP="00B61D9D">
      <w:pPr>
        <w:spacing w:line="240" w:lineRule="auto"/>
        <w:rPr>
          <w:szCs w:val="22"/>
        </w:rPr>
      </w:pPr>
    </w:p>
    <w:p w14:paraId="2E55D85B" w14:textId="40DE48DF" w:rsidR="00DD0B8C" w:rsidRPr="001775D9" w:rsidRDefault="00DD0B8C"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vault_nd_dfbe959b-aaa7-41d2-9f5f-cd502682f932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2E59F0B4" w14:textId="77777777" w:rsidR="00DD0B8C" w:rsidRPr="001775D9" w:rsidRDefault="00DD0B8C" w:rsidP="00B61D9D">
      <w:pPr>
        <w:spacing w:line="240" w:lineRule="auto"/>
        <w:rPr>
          <w:szCs w:val="22"/>
        </w:rPr>
      </w:pPr>
    </w:p>
    <w:p w14:paraId="4B73F478" w14:textId="77777777" w:rsidR="00DD0B8C" w:rsidRPr="001775D9" w:rsidRDefault="00DD0B8C" w:rsidP="00B61D9D">
      <w:pPr>
        <w:spacing w:line="240" w:lineRule="auto"/>
        <w:rPr>
          <w:szCs w:val="22"/>
        </w:rPr>
      </w:pPr>
    </w:p>
    <w:p w14:paraId="3A767995" w14:textId="3DE7B679"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VAULT_ND_7524cbc9-3934-4169-9656-56ce9ee5dddf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E2328BC" w14:textId="77777777" w:rsidR="00DD0B8C" w:rsidRPr="001775D9" w:rsidRDefault="00DD0B8C" w:rsidP="00B61D9D">
      <w:pPr>
        <w:tabs>
          <w:tab w:val="left" w:pos="749"/>
        </w:tabs>
        <w:spacing w:line="240" w:lineRule="auto"/>
      </w:pPr>
    </w:p>
    <w:p w14:paraId="55DEABCE" w14:textId="77777777" w:rsidR="00DD0B8C" w:rsidRPr="001775D9" w:rsidRDefault="00DD0B8C" w:rsidP="00B61D9D">
      <w:pPr>
        <w:tabs>
          <w:tab w:val="left" w:pos="749"/>
        </w:tabs>
        <w:spacing w:line="240" w:lineRule="auto"/>
      </w:pPr>
    </w:p>
    <w:p w14:paraId="5A71F33F" w14:textId="3875EAA3"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VAULT_ND_2c97ec2b-d79c-40dd-80a7-5083e23faf7a \* MERGEFORMAT </w:instrText>
      </w:r>
      <w:r w:rsidR="001C55FB" w:rsidRPr="001775D9">
        <w:rPr>
          <w:b/>
        </w:rPr>
        <w:fldChar w:fldCharType="separate"/>
      </w:r>
      <w:r w:rsidR="001C55FB" w:rsidRPr="001775D9">
        <w:rPr>
          <w:b/>
        </w:rPr>
        <w:t xml:space="preserve"> </w:t>
      </w:r>
      <w:r w:rsidR="001C55FB" w:rsidRPr="001775D9">
        <w:rPr>
          <w:b/>
        </w:rPr>
        <w:fldChar w:fldCharType="end"/>
      </w:r>
    </w:p>
    <w:p w14:paraId="608DA9ED" w14:textId="77777777" w:rsidR="00DD0B8C" w:rsidRPr="001775D9" w:rsidRDefault="00DD0B8C" w:rsidP="00B61D9D">
      <w:pPr>
        <w:spacing w:line="240" w:lineRule="auto"/>
      </w:pPr>
    </w:p>
    <w:p w14:paraId="35BCD479" w14:textId="77777777" w:rsidR="00DD0B8C" w:rsidRPr="001775D9" w:rsidRDefault="00DD0B8C" w:rsidP="00B61D9D">
      <w:pPr>
        <w:spacing w:line="240" w:lineRule="auto"/>
        <w:rPr>
          <w:szCs w:val="22"/>
        </w:rPr>
      </w:pPr>
      <w:r w:rsidRPr="001775D9">
        <w:rPr>
          <w:szCs w:val="22"/>
        </w:rPr>
        <w:t xml:space="preserve">EXP </w:t>
      </w:r>
    </w:p>
    <w:p w14:paraId="282FE499" w14:textId="77777777" w:rsidR="00DD0B8C" w:rsidRPr="001775D9" w:rsidRDefault="00DD0B8C" w:rsidP="00B61D9D">
      <w:pPr>
        <w:spacing w:line="240" w:lineRule="auto"/>
        <w:rPr>
          <w:szCs w:val="22"/>
        </w:rPr>
      </w:pPr>
    </w:p>
    <w:p w14:paraId="506195BA" w14:textId="77777777" w:rsidR="00DD0B8C" w:rsidRPr="001775D9" w:rsidRDefault="00DD0B8C" w:rsidP="00B61D9D">
      <w:pPr>
        <w:spacing w:line="240" w:lineRule="auto"/>
        <w:rPr>
          <w:szCs w:val="22"/>
        </w:rPr>
      </w:pPr>
    </w:p>
    <w:p w14:paraId="4AB9D9BC" w14:textId="01F4CE8F" w:rsidR="00DD0B8C" w:rsidRPr="001775D9" w:rsidRDefault="00DD0B8C"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VAULT_ND_86a48fa8-4af1-4d19-9d2f-957cddde4205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6E2E0FB" w14:textId="77777777" w:rsidR="00DD0B8C" w:rsidRPr="001775D9" w:rsidRDefault="00DD0B8C" w:rsidP="00B61D9D">
      <w:pPr>
        <w:keepNext/>
        <w:spacing w:line="240" w:lineRule="auto"/>
        <w:rPr>
          <w:szCs w:val="22"/>
        </w:rPr>
      </w:pPr>
    </w:p>
    <w:p w14:paraId="58DDD54C" w14:textId="77777777" w:rsidR="00DD0B8C" w:rsidRPr="001775D9" w:rsidRDefault="00DD0B8C" w:rsidP="00A6458E">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514CB5D3" w14:textId="77777777" w:rsidR="00DD0B8C" w:rsidRPr="001775D9" w:rsidRDefault="00DD0B8C" w:rsidP="00A6458E">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1895EA0E" w14:textId="77777777" w:rsidR="00DD0B8C" w:rsidRPr="001775D9" w:rsidRDefault="00DD0B8C" w:rsidP="00A6458E">
      <w:pPr>
        <w:keepNext/>
        <w:spacing w:line="240" w:lineRule="auto"/>
        <w:rPr>
          <w:rFonts w:eastAsia="SimSun"/>
          <w:szCs w:val="22"/>
          <w:lang w:eastAsia="en-GB"/>
        </w:rPr>
      </w:pPr>
      <w:r w:rsidRPr="001775D9">
        <w:rPr>
          <w:rFonts w:eastAsia="SimSun"/>
          <w:szCs w:val="22"/>
          <w:lang w:eastAsia="en-GB"/>
        </w:rPr>
        <w:t>Store in the original carton in order to protect from light.</w:t>
      </w:r>
    </w:p>
    <w:p w14:paraId="4A40EB1C" w14:textId="77777777" w:rsidR="00DD0B8C" w:rsidRPr="001775D9" w:rsidRDefault="00DD0B8C" w:rsidP="00A6458E">
      <w:pPr>
        <w:spacing w:line="240" w:lineRule="auto"/>
        <w:rPr>
          <w:rFonts w:eastAsia="SimSun"/>
          <w:szCs w:val="22"/>
          <w:lang w:eastAsia="en-GB"/>
        </w:rPr>
      </w:pPr>
    </w:p>
    <w:p w14:paraId="37886AB6" w14:textId="77777777" w:rsidR="00DD0B8C" w:rsidRPr="001775D9" w:rsidRDefault="00DD0B8C" w:rsidP="00B61D9D">
      <w:pPr>
        <w:spacing w:line="240" w:lineRule="auto"/>
        <w:ind w:left="567" w:hanging="567"/>
        <w:rPr>
          <w:szCs w:val="22"/>
        </w:rPr>
      </w:pPr>
    </w:p>
    <w:p w14:paraId="0772A448" w14:textId="2D9E8A02"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VAULT_ND_57ef69b2-91c2-4a5e-b28f-e23d2bdc3092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41521AA" w14:textId="77777777" w:rsidR="00DD0B8C" w:rsidRPr="001775D9" w:rsidRDefault="00DD0B8C" w:rsidP="00B61D9D">
      <w:pPr>
        <w:spacing w:line="240" w:lineRule="auto"/>
        <w:rPr>
          <w:szCs w:val="22"/>
        </w:rPr>
      </w:pPr>
    </w:p>
    <w:p w14:paraId="49B969D9" w14:textId="77777777" w:rsidR="00DD0B8C" w:rsidRPr="001775D9" w:rsidRDefault="00DD0B8C" w:rsidP="00B61D9D">
      <w:pPr>
        <w:spacing w:line="240" w:lineRule="auto"/>
        <w:rPr>
          <w:szCs w:val="22"/>
        </w:rPr>
      </w:pPr>
    </w:p>
    <w:p w14:paraId="691E83AB" w14:textId="797F2CE0"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VAULT_ND_87ca016d-d353-4bef-936a-1c4a7228e3e2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2AE2F28" w14:textId="77777777" w:rsidR="00DD0B8C" w:rsidRPr="001775D9" w:rsidRDefault="00DD0B8C" w:rsidP="00B61D9D">
      <w:pPr>
        <w:spacing w:line="240" w:lineRule="auto"/>
        <w:rPr>
          <w:szCs w:val="22"/>
        </w:rPr>
      </w:pPr>
    </w:p>
    <w:p w14:paraId="7F53EAEB" w14:textId="77777777" w:rsidR="00DD0B8C" w:rsidRPr="00D55B59" w:rsidRDefault="00DD0B8C" w:rsidP="00A6458E">
      <w:pPr>
        <w:tabs>
          <w:tab w:val="clear" w:pos="567"/>
        </w:tabs>
        <w:autoSpaceDE w:val="0"/>
        <w:autoSpaceDN w:val="0"/>
        <w:adjustRightInd w:val="0"/>
        <w:spacing w:line="240" w:lineRule="auto"/>
        <w:rPr>
          <w:rFonts w:eastAsia="SimSun"/>
          <w:szCs w:val="22"/>
          <w:lang w:eastAsia="en-GB"/>
          <w:rPrChange w:id="2205" w:author="Author">
            <w:rPr>
              <w:rFonts w:eastAsia="SimSun"/>
              <w:szCs w:val="22"/>
              <w:lang w:val="sv-SE" w:eastAsia="en-GB"/>
            </w:rPr>
          </w:rPrChange>
        </w:rPr>
      </w:pPr>
      <w:r w:rsidRPr="00D55B59">
        <w:rPr>
          <w:rFonts w:eastAsia="SimSun"/>
          <w:szCs w:val="22"/>
          <w:lang w:eastAsia="en-GB"/>
          <w:rPrChange w:id="2206" w:author="Author">
            <w:rPr>
              <w:rFonts w:eastAsia="SimSun"/>
              <w:szCs w:val="22"/>
              <w:lang w:val="sv-SE" w:eastAsia="en-GB"/>
            </w:rPr>
          </w:rPrChange>
        </w:rPr>
        <w:t>Amgen Europe B.V.</w:t>
      </w:r>
    </w:p>
    <w:p w14:paraId="51682DF5" w14:textId="77777777" w:rsidR="00DD0B8C" w:rsidRPr="00D55B59" w:rsidRDefault="00DD0B8C" w:rsidP="00A6458E">
      <w:pPr>
        <w:tabs>
          <w:tab w:val="clear" w:pos="567"/>
        </w:tabs>
        <w:autoSpaceDE w:val="0"/>
        <w:autoSpaceDN w:val="0"/>
        <w:adjustRightInd w:val="0"/>
        <w:spacing w:line="240" w:lineRule="auto"/>
        <w:rPr>
          <w:rFonts w:eastAsia="SimSun"/>
          <w:szCs w:val="22"/>
          <w:lang w:eastAsia="en-GB"/>
          <w:rPrChange w:id="2207" w:author="Author">
            <w:rPr>
              <w:rFonts w:eastAsia="SimSun"/>
              <w:szCs w:val="22"/>
              <w:lang w:val="sv-SE" w:eastAsia="en-GB"/>
            </w:rPr>
          </w:rPrChange>
        </w:rPr>
      </w:pPr>
      <w:r w:rsidRPr="00D55B59">
        <w:rPr>
          <w:rFonts w:eastAsia="SimSun"/>
          <w:szCs w:val="22"/>
          <w:lang w:eastAsia="en-GB"/>
          <w:rPrChange w:id="2208" w:author="Author">
            <w:rPr>
              <w:rFonts w:eastAsia="SimSun"/>
              <w:szCs w:val="22"/>
              <w:lang w:val="sv-SE" w:eastAsia="en-GB"/>
            </w:rPr>
          </w:rPrChange>
        </w:rPr>
        <w:t>Minervum 7061,</w:t>
      </w:r>
    </w:p>
    <w:p w14:paraId="24B8021F" w14:textId="15668136" w:rsidR="00DD0B8C" w:rsidRPr="001775D9" w:rsidRDefault="00DD0B8C" w:rsidP="00A6458E">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42362B3D" w14:textId="77777777" w:rsidR="00DD0B8C" w:rsidRPr="001775D9" w:rsidRDefault="00DD0B8C" w:rsidP="00A6458E">
      <w:pPr>
        <w:spacing w:line="240" w:lineRule="auto"/>
        <w:rPr>
          <w:szCs w:val="22"/>
        </w:rPr>
      </w:pPr>
      <w:r w:rsidRPr="001775D9">
        <w:rPr>
          <w:rFonts w:eastAsia="SimSun"/>
          <w:szCs w:val="22"/>
          <w:lang w:eastAsia="en-GB"/>
        </w:rPr>
        <w:t>The Netherlands</w:t>
      </w:r>
      <w:r w:rsidRPr="001775D9">
        <w:rPr>
          <w:i/>
          <w:szCs w:val="22"/>
        </w:rPr>
        <w:t xml:space="preserve"> </w:t>
      </w:r>
    </w:p>
    <w:p w14:paraId="3325A40B" w14:textId="77777777" w:rsidR="00DD0B8C" w:rsidRPr="001775D9" w:rsidRDefault="00DD0B8C" w:rsidP="00B61D9D">
      <w:pPr>
        <w:spacing w:line="240" w:lineRule="auto"/>
        <w:rPr>
          <w:szCs w:val="22"/>
        </w:rPr>
      </w:pPr>
    </w:p>
    <w:p w14:paraId="46130E84" w14:textId="77777777" w:rsidR="00DD0B8C" w:rsidRPr="001775D9" w:rsidRDefault="00DD0B8C" w:rsidP="00B61D9D">
      <w:pPr>
        <w:spacing w:line="240" w:lineRule="auto"/>
        <w:rPr>
          <w:szCs w:val="22"/>
        </w:rPr>
      </w:pPr>
    </w:p>
    <w:p w14:paraId="6420B398" w14:textId="740A82F7"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VAULT_ND_67854c4f-49ba-4cd4-b85e-e63c9d9d0eac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596BFA9" w14:textId="77777777" w:rsidR="00DD0B8C" w:rsidRPr="001775D9" w:rsidRDefault="00DD0B8C" w:rsidP="00B61D9D">
      <w:pPr>
        <w:spacing w:line="240" w:lineRule="auto"/>
        <w:rPr>
          <w:szCs w:val="22"/>
        </w:rPr>
      </w:pPr>
    </w:p>
    <w:p w14:paraId="13439063" w14:textId="1B8567DF" w:rsidR="00DD0B8C" w:rsidRPr="001775D9" w:rsidRDefault="00DD0B8C" w:rsidP="00B61D9D">
      <w:pPr>
        <w:spacing w:line="240" w:lineRule="auto"/>
        <w:outlineLvl w:val="0"/>
        <w:rPr>
          <w:szCs w:val="22"/>
        </w:rPr>
      </w:pPr>
      <w:r w:rsidRPr="001775D9">
        <w:rPr>
          <w:color w:val="000000"/>
        </w:rPr>
        <w:t>EU/1/16/1164/005</w:t>
      </w:r>
      <w:r w:rsidR="001C55FB" w:rsidRPr="001775D9">
        <w:rPr>
          <w:color w:val="000000"/>
        </w:rPr>
        <w:fldChar w:fldCharType="begin"/>
      </w:r>
      <w:r w:rsidR="001C55FB" w:rsidRPr="001775D9">
        <w:rPr>
          <w:color w:val="000000"/>
        </w:rPr>
        <w:instrText xml:space="preserve"> DOCVARIABLE VAULT_ND_0e88acfd-dc29-47d6-9c7c-e3191921c941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2206DF36" w14:textId="77777777" w:rsidR="00DD0B8C" w:rsidRPr="001775D9" w:rsidRDefault="00DD0B8C" w:rsidP="00B61D9D">
      <w:pPr>
        <w:spacing w:line="240" w:lineRule="auto"/>
        <w:rPr>
          <w:rFonts w:ascii="TimesNewRoman" w:hAnsi="TimesNewRoman" w:cs="TimesNewRoman"/>
          <w:szCs w:val="22"/>
          <w:lang w:eastAsia="en-GB"/>
        </w:rPr>
      </w:pPr>
    </w:p>
    <w:p w14:paraId="7CADEBC3" w14:textId="77777777" w:rsidR="00DD0B8C" w:rsidRPr="001775D9" w:rsidRDefault="00DD0B8C" w:rsidP="00B61D9D">
      <w:pPr>
        <w:spacing w:line="240" w:lineRule="auto"/>
        <w:rPr>
          <w:szCs w:val="22"/>
        </w:rPr>
      </w:pPr>
    </w:p>
    <w:p w14:paraId="373A8D2E" w14:textId="36194C71"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VAULT_ND_d058d59c-c40f-4d24-90ff-a32dc26cebaa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C46E292" w14:textId="77777777" w:rsidR="00DD0B8C" w:rsidRPr="001775D9" w:rsidRDefault="00DD0B8C" w:rsidP="00B61D9D">
      <w:pPr>
        <w:spacing w:line="240" w:lineRule="auto"/>
        <w:rPr>
          <w:i/>
          <w:szCs w:val="22"/>
        </w:rPr>
      </w:pPr>
    </w:p>
    <w:p w14:paraId="266ED21C" w14:textId="77777777" w:rsidR="00DD0B8C" w:rsidRPr="001775D9" w:rsidRDefault="00DD0B8C" w:rsidP="00B61D9D">
      <w:pPr>
        <w:spacing w:line="240" w:lineRule="auto"/>
        <w:rPr>
          <w:szCs w:val="22"/>
        </w:rPr>
      </w:pPr>
      <w:r w:rsidRPr="001775D9">
        <w:rPr>
          <w:szCs w:val="22"/>
        </w:rPr>
        <w:t>Lot</w:t>
      </w:r>
    </w:p>
    <w:p w14:paraId="047F3233" w14:textId="77777777" w:rsidR="00DD0B8C" w:rsidRPr="001775D9" w:rsidRDefault="00DD0B8C" w:rsidP="00B61D9D">
      <w:pPr>
        <w:spacing w:line="240" w:lineRule="auto"/>
        <w:rPr>
          <w:szCs w:val="22"/>
        </w:rPr>
      </w:pPr>
    </w:p>
    <w:p w14:paraId="1EB58095" w14:textId="77777777" w:rsidR="00DD0B8C" w:rsidRPr="001775D9" w:rsidRDefault="00DD0B8C" w:rsidP="00B61D9D">
      <w:pPr>
        <w:spacing w:line="240" w:lineRule="auto"/>
        <w:rPr>
          <w:szCs w:val="22"/>
        </w:rPr>
      </w:pPr>
    </w:p>
    <w:p w14:paraId="3412947E" w14:textId="67E06757" w:rsidR="00DD0B8C" w:rsidRPr="001775D9" w:rsidRDefault="00DD0B8C"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VAULT_ND_f1865bc7-7dfd-4784-b9b5-8507b30da243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7D780BC" w14:textId="77777777" w:rsidR="00DD0B8C" w:rsidRPr="001775D9" w:rsidRDefault="00DD0B8C" w:rsidP="00B61D9D">
      <w:pPr>
        <w:spacing w:line="240" w:lineRule="auto"/>
        <w:rPr>
          <w:i/>
          <w:szCs w:val="22"/>
        </w:rPr>
      </w:pPr>
    </w:p>
    <w:p w14:paraId="317299C5" w14:textId="77777777" w:rsidR="00DD0B8C" w:rsidRPr="001775D9" w:rsidRDefault="00DD0B8C" w:rsidP="00B61D9D">
      <w:pPr>
        <w:spacing w:line="240" w:lineRule="auto"/>
        <w:rPr>
          <w:szCs w:val="22"/>
        </w:rPr>
      </w:pPr>
    </w:p>
    <w:p w14:paraId="1481DC82" w14:textId="482E2ACD" w:rsidR="00DD0B8C" w:rsidRPr="001775D9" w:rsidRDefault="00DD0B8C"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VAULT_ND_4c4c3592-2ce4-473a-b57a-27b6f7d75f12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4F514B5" w14:textId="77777777" w:rsidR="00DD0B8C" w:rsidRPr="001775D9" w:rsidRDefault="00DD0B8C" w:rsidP="00B61D9D">
      <w:pPr>
        <w:spacing w:line="240" w:lineRule="auto"/>
        <w:rPr>
          <w:szCs w:val="22"/>
        </w:rPr>
      </w:pPr>
    </w:p>
    <w:p w14:paraId="59284768" w14:textId="77777777" w:rsidR="00DD0B8C" w:rsidRPr="001775D9" w:rsidRDefault="00DD0B8C" w:rsidP="00B61D9D">
      <w:pPr>
        <w:spacing w:line="240" w:lineRule="auto"/>
        <w:rPr>
          <w:szCs w:val="22"/>
        </w:rPr>
      </w:pPr>
    </w:p>
    <w:p w14:paraId="794850F2" w14:textId="77777777" w:rsidR="00DD0B8C" w:rsidRPr="001775D9" w:rsidRDefault="00DD0B8C"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665650E4" w14:textId="77777777" w:rsidR="00DD0B8C" w:rsidRPr="001775D9" w:rsidRDefault="00DD0B8C" w:rsidP="00B61D9D">
      <w:pPr>
        <w:spacing w:line="240" w:lineRule="auto"/>
      </w:pPr>
    </w:p>
    <w:p w14:paraId="186A3A22" w14:textId="3B8E55E3" w:rsidR="00DD0B8C" w:rsidRPr="001775D9" w:rsidRDefault="00DD0B8C" w:rsidP="00B61D9D">
      <w:pPr>
        <w:spacing w:line="240" w:lineRule="auto"/>
      </w:pPr>
      <w:r w:rsidRPr="001775D9">
        <w:t>AMGEVITA 40 mg</w:t>
      </w:r>
      <w:r w:rsidR="00204623" w:rsidRPr="001775D9">
        <w:t>/0.8 mL</w:t>
      </w:r>
      <w:r w:rsidRPr="001775D9">
        <w:t xml:space="preserve"> syringe</w:t>
      </w:r>
    </w:p>
    <w:p w14:paraId="3E44F521" w14:textId="77777777" w:rsidR="00DD0B8C" w:rsidRPr="00D55B59" w:rsidRDefault="00DD0B8C" w:rsidP="00A6458E">
      <w:pPr>
        <w:spacing w:line="240" w:lineRule="auto"/>
        <w:rPr>
          <w:szCs w:val="22"/>
          <w:highlight w:val="yellow"/>
          <w:shd w:val="clear" w:color="auto" w:fill="CCCCCC"/>
          <w:rPrChange w:id="2209" w:author="Author">
            <w:rPr>
              <w:noProof/>
              <w:szCs w:val="22"/>
              <w:highlight w:val="yellow"/>
              <w:shd w:val="clear" w:color="auto" w:fill="CCCCCC"/>
            </w:rPr>
          </w:rPrChange>
        </w:rPr>
      </w:pPr>
    </w:p>
    <w:p w14:paraId="767CD777" w14:textId="77777777" w:rsidR="00DD0B8C" w:rsidRPr="00D55B59" w:rsidRDefault="00DD0B8C" w:rsidP="00A6458E">
      <w:pPr>
        <w:spacing w:line="240" w:lineRule="auto"/>
        <w:rPr>
          <w:szCs w:val="22"/>
          <w:shd w:val="clear" w:color="auto" w:fill="CCCCCC"/>
          <w:rPrChange w:id="2210" w:author="Author">
            <w:rPr>
              <w:noProof/>
              <w:szCs w:val="22"/>
              <w:shd w:val="clear" w:color="auto" w:fill="CCCCCC"/>
            </w:rPr>
          </w:rPrChange>
        </w:rPr>
      </w:pPr>
    </w:p>
    <w:p w14:paraId="2E62E053" w14:textId="77777777" w:rsidR="00DD0B8C" w:rsidRPr="00D55B59" w:rsidRDefault="00DD0B8C" w:rsidP="00A6458E">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211" w:author="Author">
            <w:rPr>
              <w:i/>
              <w:noProof/>
            </w:rPr>
          </w:rPrChange>
        </w:rPr>
      </w:pPr>
      <w:r w:rsidRPr="00D55B59">
        <w:rPr>
          <w:b/>
          <w:rPrChange w:id="2212" w:author="Author">
            <w:rPr>
              <w:b/>
              <w:noProof/>
            </w:rPr>
          </w:rPrChange>
        </w:rPr>
        <w:t>17.</w:t>
      </w:r>
      <w:r w:rsidRPr="00D55B59">
        <w:rPr>
          <w:b/>
          <w:rPrChange w:id="2213" w:author="Author">
            <w:rPr>
              <w:b/>
              <w:noProof/>
            </w:rPr>
          </w:rPrChange>
        </w:rPr>
        <w:tab/>
        <w:t>UNIQUE IDENTIFIER – 2D BARCODE</w:t>
      </w:r>
    </w:p>
    <w:p w14:paraId="22449FCE" w14:textId="77777777" w:rsidR="00DD0B8C" w:rsidRPr="00D55B59" w:rsidRDefault="00DD0B8C" w:rsidP="00A6458E">
      <w:pPr>
        <w:tabs>
          <w:tab w:val="clear" w:pos="567"/>
        </w:tabs>
        <w:spacing w:line="240" w:lineRule="auto"/>
        <w:rPr>
          <w:rPrChange w:id="2214" w:author="Author">
            <w:rPr>
              <w:noProof/>
            </w:rPr>
          </w:rPrChange>
        </w:rPr>
      </w:pPr>
    </w:p>
    <w:p w14:paraId="3DB35889" w14:textId="77777777" w:rsidR="00DD0B8C" w:rsidRPr="00D55B59" w:rsidRDefault="00DD0B8C" w:rsidP="00A6458E">
      <w:pPr>
        <w:spacing w:line="240" w:lineRule="auto"/>
        <w:rPr>
          <w:szCs w:val="22"/>
          <w:shd w:val="clear" w:color="auto" w:fill="CCCCCC"/>
          <w:rPrChange w:id="2215" w:author="Author">
            <w:rPr>
              <w:noProof/>
              <w:szCs w:val="22"/>
              <w:shd w:val="clear" w:color="auto" w:fill="CCCCCC"/>
            </w:rPr>
          </w:rPrChange>
        </w:rPr>
      </w:pPr>
      <w:r w:rsidRPr="00D55B59">
        <w:rPr>
          <w:highlight w:val="lightGray"/>
          <w:rPrChange w:id="2216" w:author="Author">
            <w:rPr>
              <w:noProof/>
              <w:highlight w:val="lightGray"/>
            </w:rPr>
          </w:rPrChange>
        </w:rPr>
        <w:t>2D barcode carrying the unique identifier included.</w:t>
      </w:r>
    </w:p>
    <w:p w14:paraId="24584A2D" w14:textId="77777777" w:rsidR="00DD0B8C" w:rsidRPr="00D55B59" w:rsidRDefault="00DD0B8C" w:rsidP="00A6458E">
      <w:pPr>
        <w:spacing w:line="240" w:lineRule="auto"/>
        <w:rPr>
          <w:szCs w:val="22"/>
          <w:shd w:val="clear" w:color="auto" w:fill="CCCCCC"/>
          <w:rPrChange w:id="2217" w:author="Author">
            <w:rPr>
              <w:noProof/>
              <w:szCs w:val="22"/>
              <w:shd w:val="clear" w:color="auto" w:fill="CCCCCC"/>
            </w:rPr>
          </w:rPrChange>
        </w:rPr>
      </w:pPr>
    </w:p>
    <w:p w14:paraId="6A2261FC" w14:textId="77777777" w:rsidR="00DD0B8C" w:rsidRPr="00D55B59" w:rsidRDefault="00DD0B8C" w:rsidP="00A6458E">
      <w:pPr>
        <w:tabs>
          <w:tab w:val="clear" w:pos="567"/>
        </w:tabs>
        <w:spacing w:line="240" w:lineRule="auto"/>
        <w:rPr>
          <w:rPrChange w:id="2218" w:author="Author">
            <w:rPr>
              <w:noProof/>
            </w:rPr>
          </w:rPrChange>
        </w:rPr>
      </w:pPr>
    </w:p>
    <w:p w14:paraId="4415DEE2" w14:textId="77777777" w:rsidR="00DD0B8C" w:rsidRPr="00D55B59" w:rsidRDefault="00DD0B8C" w:rsidP="00A6458E">
      <w:pPr>
        <w:keepNext/>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219" w:author="Author">
            <w:rPr>
              <w:i/>
              <w:noProof/>
            </w:rPr>
          </w:rPrChange>
        </w:rPr>
      </w:pPr>
      <w:r w:rsidRPr="00D55B59">
        <w:rPr>
          <w:b/>
          <w:rPrChange w:id="2220" w:author="Author">
            <w:rPr>
              <w:b/>
              <w:noProof/>
            </w:rPr>
          </w:rPrChange>
        </w:rPr>
        <w:t>18.</w:t>
      </w:r>
      <w:r w:rsidRPr="00D55B59">
        <w:rPr>
          <w:b/>
          <w:rPrChange w:id="2221" w:author="Author">
            <w:rPr>
              <w:b/>
              <w:noProof/>
            </w:rPr>
          </w:rPrChange>
        </w:rPr>
        <w:tab/>
        <w:t xml:space="preserve">UNIQUE IDENTIFIER </w:t>
      </w:r>
      <w:r w:rsidRPr="001775D9">
        <w:rPr>
          <w:rFonts w:eastAsia="Calibri"/>
        </w:rPr>
        <w:t>-</w:t>
      </w:r>
      <w:r w:rsidRPr="00D55B59">
        <w:rPr>
          <w:b/>
          <w:rPrChange w:id="2222" w:author="Author">
            <w:rPr>
              <w:b/>
              <w:noProof/>
            </w:rPr>
          </w:rPrChange>
        </w:rPr>
        <w:t xml:space="preserve"> HUMAN READABLE DATA</w:t>
      </w:r>
    </w:p>
    <w:p w14:paraId="161451E1" w14:textId="77777777" w:rsidR="00DD0B8C" w:rsidRPr="00D55B59" w:rsidRDefault="00DD0B8C" w:rsidP="00A6458E">
      <w:pPr>
        <w:keepNext/>
        <w:tabs>
          <w:tab w:val="clear" w:pos="567"/>
        </w:tabs>
        <w:spacing w:line="240" w:lineRule="auto"/>
        <w:rPr>
          <w:rPrChange w:id="2223" w:author="Author">
            <w:rPr>
              <w:noProof/>
            </w:rPr>
          </w:rPrChange>
        </w:rPr>
      </w:pPr>
    </w:p>
    <w:p w14:paraId="2495ED0C" w14:textId="77777777" w:rsidR="00DD0B8C" w:rsidRPr="001775D9" w:rsidRDefault="00DD0B8C" w:rsidP="00A6458E">
      <w:pPr>
        <w:keepNext/>
        <w:spacing w:line="240" w:lineRule="auto"/>
        <w:rPr>
          <w:szCs w:val="22"/>
        </w:rPr>
      </w:pPr>
      <w:r w:rsidRPr="001775D9">
        <w:rPr>
          <w:szCs w:val="22"/>
        </w:rPr>
        <w:t>PC</w:t>
      </w:r>
    </w:p>
    <w:p w14:paraId="26B3A3B4" w14:textId="77777777" w:rsidR="00DD0B8C" w:rsidRPr="001775D9" w:rsidRDefault="00DD0B8C" w:rsidP="00B61D9D">
      <w:pPr>
        <w:keepNext/>
        <w:spacing w:line="240" w:lineRule="auto"/>
        <w:rPr>
          <w:szCs w:val="22"/>
        </w:rPr>
      </w:pPr>
      <w:r w:rsidRPr="001775D9">
        <w:rPr>
          <w:szCs w:val="22"/>
        </w:rPr>
        <w:t>SN</w:t>
      </w:r>
    </w:p>
    <w:p w14:paraId="549BE8A9" w14:textId="77777777" w:rsidR="00DD0B8C" w:rsidRPr="00D55B59" w:rsidRDefault="00DD0B8C" w:rsidP="00B61D9D">
      <w:pPr>
        <w:keepNext/>
        <w:spacing w:line="240" w:lineRule="auto"/>
        <w:rPr>
          <w:vanish/>
          <w:szCs w:val="22"/>
          <w:rPrChange w:id="2224" w:author="Author">
            <w:rPr>
              <w:noProof/>
              <w:vanish/>
              <w:szCs w:val="22"/>
            </w:rPr>
          </w:rPrChange>
        </w:rPr>
      </w:pPr>
      <w:r w:rsidRPr="001775D9">
        <w:rPr>
          <w:szCs w:val="22"/>
        </w:rPr>
        <w:t>NN</w:t>
      </w:r>
    </w:p>
    <w:p w14:paraId="7C39850A" w14:textId="77777777" w:rsidR="00A64BB6" w:rsidRPr="001775D9" w:rsidRDefault="00A64BB6" w:rsidP="00B61D9D">
      <w:pPr>
        <w:spacing w:line="240" w:lineRule="auto"/>
        <w:rPr>
          <w:b/>
          <w:szCs w:val="22"/>
        </w:rPr>
      </w:pPr>
    </w:p>
    <w:p w14:paraId="44967392" w14:textId="77777777" w:rsidR="004D6EFF" w:rsidRPr="001775D9" w:rsidRDefault="004D6EFF" w:rsidP="00A6458E">
      <w:pPr>
        <w:tabs>
          <w:tab w:val="clear" w:pos="567"/>
        </w:tabs>
        <w:spacing w:line="240" w:lineRule="auto"/>
        <w:rPr>
          <w:b/>
          <w:szCs w:val="22"/>
        </w:rPr>
      </w:pPr>
    </w:p>
    <w:p w14:paraId="5ADC7A89" w14:textId="77777777"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5755B315" w14:textId="77777777"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0DC41A41" w14:textId="406A3E8C"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INTERMEDIATE CARTON OF PRE-FILLED SYRINGE MULTIPACK (without blue box)</w:t>
      </w:r>
    </w:p>
    <w:p w14:paraId="372FD920" w14:textId="77777777" w:rsidR="004D6EFF" w:rsidRPr="001775D9" w:rsidRDefault="004D6EFF" w:rsidP="00B61D9D">
      <w:pPr>
        <w:keepNext/>
        <w:spacing w:line="240" w:lineRule="auto"/>
      </w:pPr>
    </w:p>
    <w:p w14:paraId="41A96C3A" w14:textId="77777777" w:rsidR="004D6EFF" w:rsidRPr="001775D9" w:rsidRDefault="004D6EFF" w:rsidP="00B61D9D">
      <w:pPr>
        <w:keepNext/>
        <w:spacing w:line="240" w:lineRule="auto"/>
        <w:rPr>
          <w:szCs w:val="22"/>
        </w:rPr>
      </w:pPr>
    </w:p>
    <w:p w14:paraId="1BA9D17A" w14:textId="2C0AEB6F"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VAULT_ND_4a33a2ae-3045-4f07-ab08-95def4f428a7 \* MERGEFORMAT </w:instrText>
      </w:r>
      <w:r w:rsidR="001C55FB" w:rsidRPr="001775D9">
        <w:rPr>
          <w:b/>
        </w:rPr>
        <w:fldChar w:fldCharType="separate"/>
      </w:r>
      <w:r w:rsidR="001C55FB" w:rsidRPr="001775D9">
        <w:rPr>
          <w:b/>
        </w:rPr>
        <w:t xml:space="preserve"> </w:t>
      </w:r>
      <w:r w:rsidR="001C55FB" w:rsidRPr="001775D9">
        <w:rPr>
          <w:b/>
        </w:rPr>
        <w:fldChar w:fldCharType="end"/>
      </w:r>
    </w:p>
    <w:p w14:paraId="5CD5F814" w14:textId="77777777" w:rsidR="004D6EFF" w:rsidRPr="001775D9" w:rsidRDefault="004D6EFF" w:rsidP="00B61D9D">
      <w:pPr>
        <w:keepNext/>
        <w:spacing w:line="240" w:lineRule="auto"/>
        <w:rPr>
          <w:szCs w:val="22"/>
        </w:rPr>
      </w:pPr>
    </w:p>
    <w:p w14:paraId="179B1167" w14:textId="77777777" w:rsidR="004D6EFF" w:rsidRPr="001775D9" w:rsidRDefault="004D6EFF" w:rsidP="00B61D9D">
      <w:pPr>
        <w:keepNext/>
        <w:spacing w:line="240" w:lineRule="auto"/>
        <w:rPr>
          <w:szCs w:val="22"/>
        </w:rPr>
      </w:pPr>
      <w:r w:rsidRPr="001775D9">
        <w:rPr>
          <w:szCs w:val="22"/>
        </w:rPr>
        <w:t>AMGEVITA 40 mg solution for injection in pre-filled syringe</w:t>
      </w:r>
    </w:p>
    <w:p w14:paraId="32F752BE" w14:textId="77777777" w:rsidR="004D6EFF" w:rsidRPr="001775D9" w:rsidRDefault="004D6EFF" w:rsidP="00B61D9D">
      <w:pPr>
        <w:keepNext/>
        <w:spacing w:line="240" w:lineRule="auto"/>
        <w:rPr>
          <w:szCs w:val="22"/>
        </w:rPr>
      </w:pPr>
      <w:r w:rsidRPr="001775D9">
        <w:rPr>
          <w:szCs w:val="22"/>
        </w:rPr>
        <w:t>adalimumab</w:t>
      </w:r>
    </w:p>
    <w:p w14:paraId="552E10F3" w14:textId="77777777" w:rsidR="004D6EFF" w:rsidRPr="001775D9" w:rsidRDefault="004D6EFF" w:rsidP="00B61D9D">
      <w:pPr>
        <w:keepNext/>
        <w:spacing w:line="240" w:lineRule="auto"/>
        <w:rPr>
          <w:szCs w:val="22"/>
        </w:rPr>
      </w:pPr>
    </w:p>
    <w:p w14:paraId="634D1085" w14:textId="77777777" w:rsidR="004D6EFF" w:rsidRPr="001775D9" w:rsidRDefault="004D6EFF" w:rsidP="00B61D9D">
      <w:pPr>
        <w:keepNext/>
        <w:spacing w:line="240" w:lineRule="auto"/>
        <w:rPr>
          <w:szCs w:val="22"/>
        </w:rPr>
      </w:pPr>
    </w:p>
    <w:p w14:paraId="1E7F9AC8" w14:textId="6D1F0E73"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VAULT_ND_2997d558-cbc6-475f-860f-4c892a85f5ae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061A3AE" w14:textId="77777777" w:rsidR="004D6EFF" w:rsidRPr="001775D9" w:rsidRDefault="004D6EFF" w:rsidP="00B61D9D">
      <w:pPr>
        <w:spacing w:line="240" w:lineRule="auto"/>
        <w:rPr>
          <w:szCs w:val="22"/>
        </w:rPr>
      </w:pPr>
    </w:p>
    <w:p w14:paraId="5CD10674" w14:textId="77777777" w:rsidR="004D6EFF" w:rsidRPr="001775D9" w:rsidRDefault="004D6EFF" w:rsidP="00A6458E">
      <w:pPr>
        <w:suppressLineNumbers/>
        <w:spacing w:line="240" w:lineRule="auto"/>
        <w:rPr>
          <w:szCs w:val="22"/>
        </w:rPr>
      </w:pPr>
      <w:r w:rsidRPr="001775D9">
        <w:rPr>
          <w:szCs w:val="22"/>
        </w:rPr>
        <w:t>Each pre-filled syringe contains 40 mg of adalimumab in 0.8 mL of solution.</w:t>
      </w:r>
    </w:p>
    <w:p w14:paraId="59F16B7A" w14:textId="77777777" w:rsidR="004D6EFF" w:rsidRPr="001775D9" w:rsidRDefault="004D6EFF" w:rsidP="00B61D9D">
      <w:pPr>
        <w:spacing w:line="240" w:lineRule="auto"/>
        <w:rPr>
          <w:szCs w:val="22"/>
        </w:rPr>
      </w:pPr>
    </w:p>
    <w:p w14:paraId="1DB51145" w14:textId="77777777" w:rsidR="004D6EFF" w:rsidRPr="001775D9" w:rsidRDefault="004D6EFF" w:rsidP="00B61D9D">
      <w:pPr>
        <w:spacing w:line="240" w:lineRule="auto"/>
        <w:rPr>
          <w:szCs w:val="22"/>
        </w:rPr>
      </w:pPr>
    </w:p>
    <w:p w14:paraId="466457C3" w14:textId="12FA5B8B"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VAULT_ND_db451a0c-cf4a-4c50-bff6-6c7b524ecc01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287A990" w14:textId="77777777" w:rsidR="004D6EFF" w:rsidRPr="001775D9" w:rsidRDefault="004D6EFF" w:rsidP="00B61D9D">
      <w:pPr>
        <w:spacing w:line="240" w:lineRule="auto"/>
        <w:rPr>
          <w:szCs w:val="22"/>
        </w:rPr>
      </w:pPr>
    </w:p>
    <w:p w14:paraId="7980A4FE" w14:textId="2CA72F41" w:rsidR="004D6EFF" w:rsidRPr="001775D9" w:rsidRDefault="004D6EFF" w:rsidP="00A6458E">
      <w:pPr>
        <w:tabs>
          <w:tab w:val="clear" w:pos="567"/>
        </w:tabs>
        <w:autoSpaceDE w:val="0"/>
        <w:autoSpaceDN w:val="0"/>
        <w:adjustRightInd w:val="0"/>
        <w:spacing w:line="240" w:lineRule="auto"/>
        <w:rPr>
          <w:szCs w:val="22"/>
          <w:lang w:eastAsia="en-GB"/>
        </w:rPr>
      </w:pPr>
      <w:r w:rsidRPr="001775D9">
        <w:rPr>
          <w:szCs w:val="22"/>
          <w:lang w:eastAsia="en-GB"/>
        </w:rPr>
        <w:t>Glacial acetic acid</w:t>
      </w:r>
      <w:r w:rsidRPr="001775D9">
        <w:rPr>
          <w:szCs w:val="22"/>
        </w:rPr>
        <w:t>, sucrose</w:t>
      </w:r>
      <w:r w:rsidRPr="001775D9">
        <w:rPr>
          <w:szCs w:val="22"/>
          <w:lang w:eastAsia="en-GB"/>
        </w:rPr>
        <w:t>, polysorbate 80, sodium hydroxide and water for injection</w:t>
      </w:r>
      <w:r w:rsidR="00EA5EBF" w:rsidRPr="001775D9">
        <w:rPr>
          <w:szCs w:val="22"/>
          <w:lang w:eastAsia="en-GB"/>
        </w:rPr>
        <w:t>s</w:t>
      </w:r>
      <w:r w:rsidRPr="001775D9">
        <w:rPr>
          <w:szCs w:val="22"/>
          <w:lang w:eastAsia="en-GB"/>
        </w:rPr>
        <w:t xml:space="preserve">. </w:t>
      </w:r>
    </w:p>
    <w:p w14:paraId="5746A081" w14:textId="77777777" w:rsidR="004D6EFF" w:rsidRPr="001775D9" w:rsidRDefault="004D6EFF" w:rsidP="00B61D9D">
      <w:pPr>
        <w:spacing w:line="240" w:lineRule="auto"/>
        <w:rPr>
          <w:szCs w:val="22"/>
        </w:rPr>
      </w:pPr>
    </w:p>
    <w:p w14:paraId="4B8854FF" w14:textId="77777777" w:rsidR="004D6EFF" w:rsidRPr="001775D9" w:rsidRDefault="004D6EFF" w:rsidP="00B61D9D">
      <w:pPr>
        <w:spacing w:line="240" w:lineRule="auto"/>
        <w:rPr>
          <w:szCs w:val="22"/>
        </w:rPr>
      </w:pPr>
    </w:p>
    <w:p w14:paraId="48319633" w14:textId="43ED5FE3"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VAULT_ND_b17a6e87-4f4c-4ab9-8109-70d70177a2be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15BFB05" w14:textId="77777777" w:rsidR="004D6EFF" w:rsidRPr="001775D9" w:rsidRDefault="004D6EFF" w:rsidP="00B61D9D">
      <w:pPr>
        <w:spacing w:line="240" w:lineRule="auto"/>
        <w:rPr>
          <w:szCs w:val="22"/>
        </w:rPr>
      </w:pPr>
    </w:p>
    <w:p w14:paraId="30B9B626" w14:textId="46EE5DFF" w:rsidR="004D6EFF" w:rsidRPr="001775D9" w:rsidRDefault="004D6EFF" w:rsidP="00A6458E">
      <w:pPr>
        <w:spacing w:line="240" w:lineRule="auto"/>
        <w:rPr>
          <w:szCs w:val="22"/>
        </w:rPr>
      </w:pPr>
      <w:r>
        <w:rPr>
          <w:szCs w:val="22"/>
          <w:highlight w:val="lightGray"/>
        </w:rPr>
        <w:t>Solution for injection</w:t>
      </w:r>
    </w:p>
    <w:p w14:paraId="54D93AFD" w14:textId="1036AB8D" w:rsidR="00204623" w:rsidRPr="00D55B59" w:rsidRDefault="00204623" w:rsidP="00A6458E">
      <w:pPr>
        <w:spacing w:line="240" w:lineRule="auto"/>
        <w:rPr>
          <w:szCs w:val="22"/>
          <w:lang w:val="da-DK"/>
          <w:rPrChange w:id="2225" w:author="Author">
            <w:rPr>
              <w:szCs w:val="22"/>
              <w:lang w:val="nb-NO"/>
            </w:rPr>
          </w:rPrChange>
        </w:rPr>
      </w:pPr>
      <w:r w:rsidRPr="00D55B59">
        <w:rPr>
          <w:szCs w:val="22"/>
          <w:lang w:val="da-DK"/>
          <w:rPrChange w:id="2226" w:author="Author">
            <w:rPr>
              <w:szCs w:val="22"/>
              <w:lang w:val="nb-NO"/>
            </w:rPr>
          </w:rPrChange>
        </w:rPr>
        <w:t>40 mg/0.8 mL</w:t>
      </w:r>
    </w:p>
    <w:p w14:paraId="5F8DA6A5" w14:textId="0E14F3CA" w:rsidR="004D6EFF" w:rsidRPr="001775D9" w:rsidRDefault="004D6EFF" w:rsidP="00A6458E">
      <w:pPr>
        <w:spacing w:line="240" w:lineRule="auto"/>
        <w:rPr>
          <w:szCs w:val="22"/>
        </w:rPr>
      </w:pPr>
      <w:r w:rsidRPr="00D55B59">
        <w:rPr>
          <w:szCs w:val="22"/>
          <w:lang w:val="da-DK"/>
          <w:rPrChange w:id="2227" w:author="Author">
            <w:rPr>
              <w:szCs w:val="22"/>
              <w:lang w:val="nb-NO"/>
            </w:rPr>
          </w:rPrChange>
        </w:rPr>
        <w:t xml:space="preserve">2 pre-filled syringes. </w:t>
      </w:r>
      <w:r w:rsidRPr="001775D9">
        <w:rPr>
          <w:rFonts w:eastAsia="SimSun"/>
        </w:rPr>
        <w:t>Component</w:t>
      </w:r>
      <w:r w:rsidRPr="001775D9">
        <w:rPr>
          <w:rFonts w:eastAsia="SimSun"/>
          <w:lang w:eastAsia="zh-TW"/>
        </w:rPr>
        <w:t xml:space="preserve"> of a multipack, can’t be sold separately.</w:t>
      </w:r>
    </w:p>
    <w:p w14:paraId="583EF5C9" w14:textId="77777777" w:rsidR="004D6EFF" w:rsidRPr="001775D9" w:rsidRDefault="004D6EFF" w:rsidP="00B61D9D">
      <w:pPr>
        <w:spacing w:line="240" w:lineRule="auto"/>
        <w:rPr>
          <w:szCs w:val="22"/>
        </w:rPr>
      </w:pPr>
    </w:p>
    <w:p w14:paraId="026804CD" w14:textId="77777777" w:rsidR="004D6EFF" w:rsidRPr="001775D9" w:rsidRDefault="004D6EFF" w:rsidP="00B61D9D">
      <w:pPr>
        <w:spacing w:line="240" w:lineRule="auto"/>
        <w:rPr>
          <w:szCs w:val="22"/>
        </w:rPr>
      </w:pPr>
    </w:p>
    <w:p w14:paraId="6B8CEBB6" w14:textId="7DEA0806"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VAULT_ND_8c14916a-876b-4178-a64a-7acc483cc5a1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83B8AA6" w14:textId="77777777" w:rsidR="004D6EFF" w:rsidRPr="001775D9" w:rsidRDefault="004D6EFF" w:rsidP="00B61D9D">
      <w:pPr>
        <w:spacing w:line="240" w:lineRule="auto"/>
        <w:rPr>
          <w:szCs w:val="22"/>
        </w:rPr>
      </w:pPr>
    </w:p>
    <w:p w14:paraId="3F42D181" w14:textId="77777777" w:rsidR="004D6EFF" w:rsidRPr="001775D9" w:rsidRDefault="004D6EFF" w:rsidP="00A6458E">
      <w:pPr>
        <w:spacing w:line="240" w:lineRule="auto"/>
        <w:rPr>
          <w:szCs w:val="22"/>
        </w:rPr>
      </w:pPr>
      <w:r w:rsidRPr="001775D9">
        <w:rPr>
          <w:szCs w:val="22"/>
        </w:rPr>
        <w:t>For subcutaneous use.</w:t>
      </w:r>
    </w:p>
    <w:p w14:paraId="016C1B7B" w14:textId="77777777" w:rsidR="004D6EFF" w:rsidRPr="001775D9" w:rsidRDefault="004D6EFF" w:rsidP="00B61D9D">
      <w:pPr>
        <w:spacing w:line="240" w:lineRule="auto"/>
        <w:rPr>
          <w:szCs w:val="22"/>
        </w:rPr>
      </w:pPr>
      <w:r w:rsidRPr="001775D9">
        <w:rPr>
          <w:szCs w:val="22"/>
        </w:rPr>
        <w:t>Read the package leaflet before use.</w:t>
      </w:r>
    </w:p>
    <w:p w14:paraId="2B66FA74" w14:textId="77777777" w:rsidR="004D6EFF" w:rsidRPr="001775D9" w:rsidRDefault="004D6EFF" w:rsidP="00B61D9D">
      <w:pPr>
        <w:spacing w:line="240" w:lineRule="auto"/>
        <w:rPr>
          <w:szCs w:val="22"/>
        </w:rPr>
      </w:pPr>
      <w:r w:rsidRPr="001775D9">
        <w:rPr>
          <w:szCs w:val="22"/>
        </w:rPr>
        <w:t>Single use only.</w:t>
      </w:r>
    </w:p>
    <w:p w14:paraId="28A2F388" w14:textId="77777777" w:rsidR="004D6EFF" w:rsidRPr="001775D9" w:rsidRDefault="004D6EFF" w:rsidP="00B61D9D">
      <w:pPr>
        <w:spacing w:line="240" w:lineRule="auto"/>
        <w:rPr>
          <w:szCs w:val="22"/>
        </w:rPr>
      </w:pPr>
    </w:p>
    <w:p w14:paraId="0E658103" w14:textId="77777777" w:rsidR="004D6EFF" w:rsidRPr="001775D9" w:rsidRDefault="004D6EFF" w:rsidP="00B61D9D">
      <w:pPr>
        <w:spacing w:line="240" w:lineRule="auto"/>
        <w:rPr>
          <w:szCs w:val="22"/>
        </w:rPr>
      </w:pPr>
    </w:p>
    <w:p w14:paraId="67130EB1" w14:textId="00CF34AA"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VAULT_ND_58c63cd0-b0ea-42e2-a3f6-d8bea1606fb0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1278024" w14:textId="77777777" w:rsidR="004D6EFF" w:rsidRPr="001775D9" w:rsidRDefault="004D6EFF" w:rsidP="00B61D9D">
      <w:pPr>
        <w:spacing w:line="240" w:lineRule="auto"/>
        <w:rPr>
          <w:szCs w:val="22"/>
        </w:rPr>
      </w:pPr>
    </w:p>
    <w:p w14:paraId="436BD386" w14:textId="0C0348B8" w:rsidR="004D6EFF" w:rsidRPr="001775D9" w:rsidRDefault="004D6EF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vault_nd_05330502-3513-4e9e-8cd8-7405f60576f4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1A9E8B7B" w14:textId="77777777" w:rsidR="004D6EFF" w:rsidRPr="001775D9" w:rsidRDefault="004D6EFF" w:rsidP="00B61D9D">
      <w:pPr>
        <w:spacing w:line="240" w:lineRule="auto"/>
        <w:rPr>
          <w:szCs w:val="22"/>
        </w:rPr>
      </w:pPr>
    </w:p>
    <w:p w14:paraId="4F59B251" w14:textId="77777777" w:rsidR="004D6EFF" w:rsidRPr="001775D9" w:rsidRDefault="004D6EFF" w:rsidP="00B61D9D">
      <w:pPr>
        <w:spacing w:line="240" w:lineRule="auto"/>
        <w:rPr>
          <w:szCs w:val="22"/>
        </w:rPr>
      </w:pPr>
    </w:p>
    <w:p w14:paraId="3F1AB5F3" w14:textId="462A1366"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VAULT_ND_22c9d4e8-9e64-48a0-9f61-2da5298a0b33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EC31406" w14:textId="77777777" w:rsidR="004D6EFF" w:rsidRPr="001775D9" w:rsidRDefault="004D6EFF" w:rsidP="00B61D9D">
      <w:pPr>
        <w:tabs>
          <w:tab w:val="left" w:pos="749"/>
        </w:tabs>
        <w:spacing w:line="240" w:lineRule="auto"/>
      </w:pPr>
    </w:p>
    <w:p w14:paraId="1CE427D6" w14:textId="77777777" w:rsidR="004D6EFF" w:rsidRPr="001775D9" w:rsidRDefault="004D6EFF" w:rsidP="00B61D9D">
      <w:pPr>
        <w:tabs>
          <w:tab w:val="left" w:pos="749"/>
        </w:tabs>
        <w:spacing w:line="240" w:lineRule="auto"/>
      </w:pPr>
    </w:p>
    <w:p w14:paraId="77D907BE" w14:textId="1D92525E"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VAULT_ND_0ce5fff0-8491-471f-b4c8-b313c2da3153 \* MERGEFORMAT </w:instrText>
      </w:r>
      <w:r w:rsidR="001C55FB" w:rsidRPr="001775D9">
        <w:rPr>
          <w:b/>
        </w:rPr>
        <w:fldChar w:fldCharType="separate"/>
      </w:r>
      <w:r w:rsidR="001C55FB" w:rsidRPr="001775D9">
        <w:rPr>
          <w:b/>
        </w:rPr>
        <w:t xml:space="preserve"> </w:t>
      </w:r>
      <w:r w:rsidR="001C55FB" w:rsidRPr="001775D9">
        <w:rPr>
          <w:b/>
        </w:rPr>
        <w:fldChar w:fldCharType="end"/>
      </w:r>
    </w:p>
    <w:p w14:paraId="5C0AFD68" w14:textId="77777777" w:rsidR="004D6EFF" w:rsidRPr="001775D9" w:rsidRDefault="004D6EFF" w:rsidP="00B61D9D">
      <w:pPr>
        <w:spacing w:line="240" w:lineRule="auto"/>
      </w:pPr>
    </w:p>
    <w:p w14:paraId="2CA86283" w14:textId="77777777" w:rsidR="004D6EFF" w:rsidRPr="001775D9" w:rsidRDefault="004D6EFF" w:rsidP="00B61D9D">
      <w:pPr>
        <w:spacing w:line="240" w:lineRule="auto"/>
        <w:rPr>
          <w:szCs w:val="22"/>
        </w:rPr>
      </w:pPr>
      <w:r w:rsidRPr="001775D9">
        <w:rPr>
          <w:szCs w:val="22"/>
        </w:rPr>
        <w:t xml:space="preserve">EXP </w:t>
      </w:r>
    </w:p>
    <w:p w14:paraId="52D80C5D" w14:textId="77777777" w:rsidR="004D6EFF" w:rsidRPr="001775D9" w:rsidRDefault="004D6EFF" w:rsidP="00B61D9D">
      <w:pPr>
        <w:spacing w:line="240" w:lineRule="auto"/>
        <w:rPr>
          <w:szCs w:val="22"/>
        </w:rPr>
      </w:pPr>
    </w:p>
    <w:p w14:paraId="455F1E48" w14:textId="77777777" w:rsidR="004D6EFF" w:rsidRPr="001775D9" w:rsidRDefault="004D6EFF" w:rsidP="00B61D9D">
      <w:pPr>
        <w:spacing w:line="240" w:lineRule="auto"/>
        <w:rPr>
          <w:szCs w:val="22"/>
        </w:rPr>
      </w:pPr>
    </w:p>
    <w:p w14:paraId="6D198978" w14:textId="074C283A"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VAULT_ND_34ff5a6c-07f5-4948-9628-4659cd0cbfad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7BBAE38" w14:textId="77777777" w:rsidR="004D6EFF" w:rsidRPr="001775D9" w:rsidRDefault="004D6EFF" w:rsidP="00B61D9D">
      <w:pPr>
        <w:keepNext/>
        <w:spacing w:line="240" w:lineRule="auto"/>
        <w:rPr>
          <w:szCs w:val="22"/>
        </w:rPr>
      </w:pPr>
    </w:p>
    <w:p w14:paraId="461743EE" w14:textId="77777777" w:rsidR="004D6EFF" w:rsidRPr="001775D9" w:rsidRDefault="004D6EFF" w:rsidP="00A6458E">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0595D409" w14:textId="77777777" w:rsidR="004D6EFF" w:rsidRPr="001775D9" w:rsidRDefault="004D6EFF" w:rsidP="00A6458E">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5FF41730" w14:textId="77777777" w:rsidR="004D6EFF" w:rsidRPr="001775D9" w:rsidRDefault="004D6EFF" w:rsidP="00A6458E">
      <w:pPr>
        <w:keepNext/>
        <w:spacing w:line="240" w:lineRule="auto"/>
        <w:rPr>
          <w:rFonts w:eastAsia="SimSun"/>
          <w:szCs w:val="22"/>
          <w:lang w:eastAsia="en-GB"/>
        </w:rPr>
      </w:pPr>
      <w:r w:rsidRPr="001775D9">
        <w:rPr>
          <w:rFonts w:eastAsia="SimSun"/>
          <w:szCs w:val="22"/>
          <w:lang w:eastAsia="en-GB"/>
        </w:rPr>
        <w:t>Store in the original carton in order to protect from light.</w:t>
      </w:r>
    </w:p>
    <w:p w14:paraId="322A75F0" w14:textId="77777777" w:rsidR="004D6EFF" w:rsidRPr="001775D9" w:rsidRDefault="004D6EFF" w:rsidP="00A6458E">
      <w:pPr>
        <w:spacing w:line="240" w:lineRule="auto"/>
        <w:rPr>
          <w:rFonts w:eastAsia="SimSun"/>
          <w:szCs w:val="22"/>
          <w:lang w:eastAsia="en-GB"/>
        </w:rPr>
      </w:pPr>
    </w:p>
    <w:p w14:paraId="21FB4870" w14:textId="77777777" w:rsidR="004D6EFF" w:rsidRPr="001775D9" w:rsidRDefault="004D6EFF" w:rsidP="00B61D9D">
      <w:pPr>
        <w:spacing w:line="240" w:lineRule="auto"/>
        <w:ind w:left="567" w:hanging="567"/>
        <w:rPr>
          <w:szCs w:val="22"/>
        </w:rPr>
      </w:pPr>
    </w:p>
    <w:p w14:paraId="4016B8C5" w14:textId="21F5DC8F"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VAULT_ND_b07fe964-630a-49e0-9450-985b66398fe8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2BB2D5D" w14:textId="77777777" w:rsidR="004D6EFF" w:rsidRPr="001775D9" w:rsidRDefault="004D6EFF" w:rsidP="00B61D9D">
      <w:pPr>
        <w:spacing w:line="240" w:lineRule="auto"/>
        <w:rPr>
          <w:szCs w:val="22"/>
        </w:rPr>
      </w:pPr>
    </w:p>
    <w:p w14:paraId="21C833C9" w14:textId="77777777" w:rsidR="004D6EFF" w:rsidRPr="001775D9" w:rsidRDefault="004D6EFF" w:rsidP="00B61D9D">
      <w:pPr>
        <w:spacing w:line="240" w:lineRule="auto"/>
        <w:rPr>
          <w:szCs w:val="22"/>
        </w:rPr>
      </w:pPr>
    </w:p>
    <w:p w14:paraId="1877682F" w14:textId="5E12C630"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VAULT_ND_2c4db366-4965-4248-9acd-2782af3d3fe2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7E49576" w14:textId="77777777" w:rsidR="004D6EFF" w:rsidRPr="001775D9" w:rsidRDefault="004D6EFF" w:rsidP="00B61D9D">
      <w:pPr>
        <w:spacing w:line="240" w:lineRule="auto"/>
        <w:rPr>
          <w:szCs w:val="22"/>
        </w:rPr>
      </w:pPr>
    </w:p>
    <w:p w14:paraId="5746A728" w14:textId="77777777" w:rsidR="004D6EFF" w:rsidRPr="00D55B59" w:rsidRDefault="004D6EFF" w:rsidP="00A6458E">
      <w:pPr>
        <w:tabs>
          <w:tab w:val="clear" w:pos="567"/>
        </w:tabs>
        <w:autoSpaceDE w:val="0"/>
        <w:autoSpaceDN w:val="0"/>
        <w:adjustRightInd w:val="0"/>
        <w:spacing w:line="240" w:lineRule="auto"/>
        <w:rPr>
          <w:rFonts w:eastAsia="SimSun"/>
          <w:szCs w:val="22"/>
          <w:lang w:eastAsia="en-GB"/>
          <w:rPrChange w:id="2228" w:author="Author">
            <w:rPr>
              <w:rFonts w:eastAsia="SimSun"/>
              <w:szCs w:val="22"/>
              <w:lang w:val="sv-SE" w:eastAsia="en-GB"/>
            </w:rPr>
          </w:rPrChange>
        </w:rPr>
      </w:pPr>
      <w:r w:rsidRPr="00D55B59">
        <w:rPr>
          <w:rFonts w:eastAsia="SimSun"/>
          <w:szCs w:val="22"/>
          <w:lang w:eastAsia="en-GB"/>
          <w:rPrChange w:id="2229" w:author="Author">
            <w:rPr>
              <w:rFonts w:eastAsia="SimSun"/>
              <w:szCs w:val="22"/>
              <w:lang w:val="sv-SE" w:eastAsia="en-GB"/>
            </w:rPr>
          </w:rPrChange>
        </w:rPr>
        <w:t>Amgen Europe B.V.</w:t>
      </w:r>
    </w:p>
    <w:p w14:paraId="4C879AD3" w14:textId="77777777" w:rsidR="004D6EFF" w:rsidRPr="00D55B59" w:rsidRDefault="004D6EFF" w:rsidP="00A6458E">
      <w:pPr>
        <w:tabs>
          <w:tab w:val="clear" w:pos="567"/>
        </w:tabs>
        <w:autoSpaceDE w:val="0"/>
        <w:autoSpaceDN w:val="0"/>
        <w:adjustRightInd w:val="0"/>
        <w:spacing w:line="240" w:lineRule="auto"/>
        <w:rPr>
          <w:rFonts w:eastAsia="SimSun"/>
          <w:szCs w:val="22"/>
          <w:lang w:eastAsia="en-GB"/>
          <w:rPrChange w:id="2230" w:author="Author">
            <w:rPr>
              <w:rFonts w:eastAsia="SimSun"/>
              <w:szCs w:val="22"/>
              <w:lang w:val="sv-SE" w:eastAsia="en-GB"/>
            </w:rPr>
          </w:rPrChange>
        </w:rPr>
      </w:pPr>
      <w:r w:rsidRPr="00D55B59">
        <w:rPr>
          <w:rFonts w:eastAsia="SimSun"/>
          <w:szCs w:val="22"/>
          <w:lang w:eastAsia="en-GB"/>
          <w:rPrChange w:id="2231" w:author="Author">
            <w:rPr>
              <w:rFonts w:eastAsia="SimSun"/>
              <w:szCs w:val="22"/>
              <w:lang w:val="sv-SE" w:eastAsia="en-GB"/>
            </w:rPr>
          </w:rPrChange>
        </w:rPr>
        <w:t>Minervum 7061,</w:t>
      </w:r>
    </w:p>
    <w:p w14:paraId="094B5CB5" w14:textId="1E971D9C" w:rsidR="004D6EFF" w:rsidRPr="001775D9" w:rsidRDefault="004D6EFF" w:rsidP="00A6458E">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2B304D3E" w14:textId="77777777" w:rsidR="004D6EFF" w:rsidRPr="001775D9" w:rsidRDefault="004D6EFF" w:rsidP="00A6458E">
      <w:pPr>
        <w:spacing w:line="240" w:lineRule="auto"/>
        <w:rPr>
          <w:szCs w:val="22"/>
        </w:rPr>
      </w:pPr>
      <w:r w:rsidRPr="001775D9">
        <w:rPr>
          <w:rFonts w:eastAsia="SimSun"/>
          <w:szCs w:val="22"/>
          <w:lang w:eastAsia="en-GB"/>
        </w:rPr>
        <w:t>The Netherlands</w:t>
      </w:r>
      <w:r w:rsidRPr="001775D9">
        <w:rPr>
          <w:i/>
          <w:szCs w:val="22"/>
        </w:rPr>
        <w:t xml:space="preserve"> </w:t>
      </w:r>
    </w:p>
    <w:p w14:paraId="771013EB" w14:textId="77777777" w:rsidR="004D6EFF" w:rsidRPr="001775D9" w:rsidRDefault="004D6EFF" w:rsidP="00B61D9D">
      <w:pPr>
        <w:spacing w:line="240" w:lineRule="auto"/>
        <w:rPr>
          <w:szCs w:val="22"/>
        </w:rPr>
      </w:pPr>
    </w:p>
    <w:p w14:paraId="3ED91AC1" w14:textId="77777777" w:rsidR="004D6EFF" w:rsidRPr="001775D9" w:rsidRDefault="004D6EFF" w:rsidP="00B61D9D">
      <w:pPr>
        <w:spacing w:line="240" w:lineRule="auto"/>
        <w:rPr>
          <w:szCs w:val="22"/>
        </w:rPr>
      </w:pPr>
    </w:p>
    <w:p w14:paraId="29E425AC" w14:textId="007483AB"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VAULT_ND_2b9574b5-ecb3-4b1f-a17c-e30b9d505b60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085FCDF" w14:textId="77777777" w:rsidR="004D6EFF" w:rsidRPr="001775D9" w:rsidRDefault="004D6EFF" w:rsidP="00B61D9D">
      <w:pPr>
        <w:spacing w:line="240" w:lineRule="auto"/>
        <w:rPr>
          <w:szCs w:val="22"/>
        </w:rPr>
      </w:pPr>
    </w:p>
    <w:p w14:paraId="1F42B222" w14:textId="5027D0B4" w:rsidR="004D6EFF" w:rsidRPr="001775D9" w:rsidRDefault="004D6EFF" w:rsidP="00B61D9D">
      <w:pPr>
        <w:spacing w:line="240" w:lineRule="auto"/>
        <w:outlineLvl w:val="0"/>
        <w:rPr>
          <w:szCs w:val="22"/>
        </w:rPr>
      </w:pPr>
      <w:r w:rsidRPr="001775D9">
        <w:rPr>
          <w:color w:val="000000"/>
        </w:rPr>
        <w:t>EU/1/16/1164/005</w:t>
      </w:r>
      <w:r w:rsidR="001C55FB" w:rsidRPr="001775D9">
        <w:rPr>
          <w:color w:val="000000"/>
        </w:rPr>
        <w:fldChar w:fldCharType="begin"/>
      </w:r>
      <w:r w:rsidR="001C55FB" w:rsidRPr="001775D9">
        <w:rPr>
          <w:color w:val="000000"/>
        </w:rPr>
        <w:instrText xml:space="preserve"> DOCVARIABLE VAULT_ND_bc94204b-a2d2-4431-8bdd-8b0acac899c6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5CB881E4" w14:textId="77777777" w:rsidR="004D6EFF" w:rsidRPr="001775D9" w:rsidRDefault="004D6EFF" w:rsidP="00B61D9D">
      <w:pPr>
        <w:spacing w:line="240" w:lineRule="auto"/>
        <w:rPr>
          <w:rFonts w:ascii="TimesNewRoman" w:hAnsi="TimesNewRoman" w:cs="TimesNewRoman"/>
          <w:szCs w:val="22"/>
          <w:lang w:eastAsia="en-GB"/>
        </w:rPr>
      </w:pPr>
    </w:p>
    <w:p w14:paraId="2D5BE2DE" w14:textId="77777777" w:rsidR="004D6EFF" w:rsidRPr="001775D9" w:rsidRDefault="004D6EFF" w:rsidP="00B61D9D">
      <w:pPr>
        <w:spacing w:line="240" w:lineRule="auto"/>
        <w:rPr>
          <w:szCs w:val="22"/>
        </w:rPr>
      </w:pPr>
    </w:p>
    <w:p w14:paraId="391B2CB9" w14:textId="555D1C92"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VAULT_ND_6705ac71-df02-4ba3-8e2c-f61259d7956b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28F9962" w14:textId="77777777" w:rsidR="004D6EFF" w:rsidRPr="001775D9" w:rsidRDefault="004D6EFF" w:rsidP="00B61D9D">
      <w:pPr>
        <w:spacing w:line="240" w:lineRule="auto"/>
        <w:rPr>
          <w:i/>
          <w:szCs w:val="22"/>
        </w:rPr>
      </w:pPr>
    </w:p>
    <w:p w14:paraId="39FC3F2F" w14:textId="77777777" w:rsidR="004D6EFF" w:rsidRPr="001775D9" w:rsidRDefault="004D6EFF" w:rsidP="00B61D9D">
      <w:pPr>
        <w:spacing w:line="240" w:lineRule="auto"/>
        <w:rPr>
          <w:szCs w:val="22"/>
        </w:rPr>
      </w:pPr>
      <w:r w:rsidRPr="001775D9">
        <w:rPr>
          <w:szCs w:val="22"/>
        </w:rPr>
        <w:t>Lot</w:t>
      </w:r>
    </w:p>
    <w:p w14:paraId="1D10CE36" w14:textId="77777777" w:rsidR="004D6EFF" w:rsidRPr="001775D9" w:rsidRDefault="004D6EFF" w:rsidP="00B61D9D">
      <w:pPr>
        <w:spacing w:line="240" w:lineRule="auto"/>
        <w:rPr>
          <w:szCs w:val="22"/>
        </w:rPr>
      </w:pPr>
    </w:p>
    <w:p w14:paraId="28C3A2D1" w14:textId="77777777" w:rsidR="004D6EFF" w:rsidRPr="001775D9" w:rsidRDefault="004D6EFF" w:rsidP="00B61D9D">
      <w:pPr>
        <w:spacing w:line="240" w:lineRule="auto"/>
        <w:rPr>
          <w:szCs w:val="22"/>
        </w:rPr>
      </w:pPr>
    </w:p>
    <w:p w14:paraId="744A046A" w14:textId="1D0EEFAF"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VAULT_ND_91e86b04-79ec-4b1a-8294-d7175b1b5088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6984434" w14:textId="77777777" w:rsidR="004D6EFF" w:rsidRPr="001775D9" w:rsidRDefault="004D6EFF" w:rsidP="00B61D9D">
      <w:pPr>
        <w:spacing w:line="240" w:lineRule="auto"/>
        <w:rPr>
          <w:i/>
          <w:szCs w:val="22"/>
        </w:rPr>
      </w:pPr>
    </w:p>
    <w:p w14:paraId="2A7D55BC" w14:textId="77777777" w:rsidR="004D6EFF" w:rsidRPr="001775D9" w:rsidRDefault="004D6EFF" w:rsidP="00B61D9D">
      <w:pPr>
        <w:spacing w:line="240" w:lineRule="auto"/>
        <w:rPr>
          <w:szCs w:val="22"/>
        </w:rPr>
      </w:pPr>
    </w:p>
    <w:p w14:paraId="254ED4C8" w14:textId="6DDEFB8C" w:rsidR="004D6EFF" w:rsidRPr="001775D9" w:rsidRDefault="004D6EF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VAULT_ND_a47cdc8c-1c9f-4cf3-85dc-c608c2550bfa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C45BB12" w14:textId="77777777" w:rsidR="004D6EFF" w:rsidRPr="001775D9" w:rsidRDefault="004D6EFF" w:rsidP="00B61D9D">
      <w:pPr>
        <w:spacing w:line="240" w:lineRule="auto"/>
        <w:rPr>
          <w:szCs w:val="22"/>
        </w:rPr>
      </w:pPr>
    </w:p>
    <w:p w14:paraId="7A268723" w14:textId="77777777" w:rsidR="004D6EFF" w:rsidRPr="001775D9" w:rsidRDefault="004D6EFF" w:rsidP="00B61D9D">
      <w:pPr>
        <w:spacing w:line="240" w:lineRule="auto"/>
        <w:rPr>
          <w:szCs w:val="22"/>
        </w:rPr>
      </w:pPr>
    </w:p>
    <w:p w14:paraId="331B559B" w14:textId="77777777" w:rsidR="004D6EFF" w:rsidRPr="001775D9" w:rsidRDefault="004D6EF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3AAFF9F2" w14:textId="77777777" w:rsidR="004D6EFF" w:rsidRPr="001775D9" w:rsidRDefault="004D6EFF" w:rsidP="00B61D9D">
      <w:pPr>
        <w:spacing w:line="240" w:lineRule="auto"/>
      </w:pPr>
    </w:p>
    <w:p w14:paraId="0C147C34" w14:textId="43CCB44A" w:rsidR="004D6EFF" w:rsidRPr="001775D9" w:rsidRDefault="004D6EFF" w:rsidP="00B61D9D">
      <w:pPr>
        <w:spacing w:line="240" w:lineRule="auto"/>
      </w:pPr>
      <w:r w:rsidRPr="001775D9">
        <w:t>AMGEVITA 40 mg</w:t>
      </w:r>
      <w:r w:rsidR="00204623" w:rsidRPr="001775D9">
        <w:t>/0.8 mL</w:t>
      </w:r>
      <w:r w:rsidRPr="001775D9">
        <w:t xml:space="preserve"> syringe</w:t>
      </w:r>
    </w:p>
    <w:p w14:paraId="47C25D90" w14:textId="77777777" w:rsidR="004D6EFF" w:rsidRPr="001775D9" w:rsidRDefault="004D6EFF" w:rsidP="00B61D9D">
      <w:pPr>
        <w:spacing w:line="240" w:lineRule="auto"/>
      </w:pPr>
    </w:p>
    <w:p w14:paraId="068C35BB" w14:textId="77777777" w:rsidR="004D6EFF" w:rsidRPr="00D55B59" w:rsidRDefault="004D6EFF" w:rsidP="00A6458E">
      <w:pPr>
        <w:spacing w:line="240" w:lineRule="auto"/>
        <w:rPr>
          <w:szCs w:val="22"/>
          <w:shd w:val="clear" w:color="auto" w:fill="CCCCCC"/>
          <w:rPrChange w:id="2232" w:author="Author">
            <w:rPr>
              <w:noProof/>
              <w:szCs w:val="22"/>
              <w:shd w:val="clear" w:color="auto" w:fill="CCCCCC"/>
            </w:rPr>
          </w:rPrChange>
        </w:rPr>
      </w:pPr>
    </w:p>
    <w:p w14:paraId="4BF6074C" w14:textId="77777777" w:rsidR="004D6EFF" w:rsidRPr="00D55B59" w:rsidRDefault="004D6EFF" w:rsidP="00A6458E">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233" w:author="Author">
            <w:rPr>
              <w:i/>
              <w:noProof/>
            </w:rPr>
          </w:rPrChange>
        </w:rPr>
      </w:pPr>
      <w:r w:rsidRPr="00D55B59">
        <w:rPr>
          <w:b/>
          <w:rPrChange w:id="2234" w:author="Author">
            <w:rPr>
              <w:b/>
              <w:noProof/>
            </w:rPr>
          </w:rPrChange>
        </w:rPr>
        <w:t>17.</w:t>
      </w:r>
      <w:r w:rsidRPr="00D55B59">
        <w:rPr>
          <w:b/>
          <w:rPrChange w:id="2235" w:author="Author">
            <w:rPr>
              <w:b/>
              <w:noProof/>
            </w:rPr>
          </w:rPrChange>
        </w:rPr>
        <w:tab/>
        <w:t>UNIQUE IDENTIFIER – 2D BARCODE</w:t>
      </w:r>
    </w:p>
    <w:p w14:paraId="3882C993" w14:textId="77777777" w:rsidR="004D6EFF" w:rsidRPr="00D55B59" w:rsidRDefault="004D6EFF" w:rsidP="00A6458E">
      <w:pPr>
        <w:tabs>
          <w:tab w:val="clear" w:pos="567"/>
        </w:tabs>
        <w:spacing w:line="240" w:lineRule="auto"/>
        <w:rPr>
          <w:rPrChange w:id="2236" w:author="Author">
            <w:rPr>
              <w:noProof/>
            </w:rPr>
          </w:rPrChange>
        </w:rPr>
      </w:pPr>
    </w:p>
    <w:p w14:paraId="0C7BD383" w14:textId="77777777" w:rsidR="004D6EFF" w:rsidRPr="00D55B59" w:rsidRDefault="004D6EFF" w:rsidP="00A6458E">
      <w:pPr>
        <w:tabs>
          <w:tab w:val="clear" w:pos="567"/>
        </w:tabs>
        <w:spacing w:line="240" w:lineRule="auto"/>
        <w:rPr>
          <w:rPrChange w:id="2237" w:author="Author">
            <w:rPr>
              <w:noProof/>
            </w:rPr>
          </w:rPrChange>
        </w:rPr>
      </w:pPr>
    </w:p>
    <w:p w14:paraId="056E0A88" w14:textId="77777777" w:rsidR="004D6EFF" w:rsidRPr="00D55B59" w:rsidRDefault="004D6EFF" w:rsidP="00A6458E">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238" w:author="Author">
            <w:rPr>
              <w:i/>
              <w:noProof/>
            </w:rPr>
          </w:rPrChange>
        </w:rPr>
      </w:pPr>
      <w:r w:rsidRPr="00D55B59">
        <w:rPr>
          <w:b/>
          <w:rPrChange w:id="2239" w:author="Author">
            <w:rPr>
              <w:b/>
              <w:noProof/>
            </w:rPr>
          </w:rPrChange>
        </w:rPr>
        <w:t>18.</w:t>
      </w:r>
      <w:r w:rsidRPr="00D55B59">
        <w:rPr>
          <w:b/>
          <w:rPrChange w:id="2240" w:author="Author">
            <w:rPr>
              <w:b/>
              <w:noProof/>
            </w:rPr>
          </w:rPrChange>
        </w:rPr>
        <w:tab/>
        <w:t xml:space="preserve">UNIQUE IDENTIFIER </w:t>
      </w:r>
      <w:r w:rsidRPr="001775D9">
        <w:rPr>
          <w:rFonts w:eastAsia="Calibri"/>
        </w:rPr>
        <w:t>-</w:t>
      </w:r>
      <w:r w:rsidRPr="00D55B59">
        <w:rPr>
          <w:b/>
          <w:rPrChange w:id="2241" w:author="Author">
            <w:rPr>
              <w:b/>
              <w:noProof/>
            </w:rPr>
          </w:rPrChange>
        </w:rPr>
        <w:t xml:space="preserve"> HUMAN READABLE DATA</w:t>
      </w:r>
    </w:p>
    <w:p w14:paraId="6996B0E3" w14:textId="77777777" w:rsidR="004D6EFF" w:rsidRPr="00D55B59" w:rsidRDefault="004D6EFF" w:rsidP="00A6458E">
      <w:pPr>
        <w:tabs>
          <w:tab w:val="clear" w:pos="567"/>
        </w:tabs>
        <w:spacing w:line="240" w:lineRule="auto"/>
        <w:rPr>
          <w:rPrChange w:id="2242" w:author="Author">
            <w:rPr>
              <w:noProof/>
            </w:rPr>
          </w:rPrChange>
        </w:rPr>
      </w:pPr>
    </w:p>
    <w:p w14:paraId="51375053" w14:textId="77777777" w:rsidR="00501E1E" w:rsidRPr="00D55B59" w:rsidRDefault="00501E1E" w:rsidP="00A6458E">
      <w:pPr>
        <w:tabs>
          <w:tab w:val="clear" w:pos="567"/>
        </w:tabs>
        <w:spacing w:line="240" w:lineRule="auto"/>
        <w:rPr>
          <w:rPrChange w:id="2243" w:author="Author">
            <w:rPr>
              <w:noProof/>
            </w:rPr>
          </w:rPrChange>
        </w:rPr>
      </w:pPr>
    </w:p>
    <w:p w14:paraId="524C2BFD" w14:textId="12E52031" w:rsidR="00DD0B8C" w:rsidRPr="001775D9" w:rsidRDefault="00A66CE9" w:rsidP="00A6458E">
      <w:pPr>
        <w:tabs>
          <w:tab w:val="clear" w:pos="567"/>
        </w:tabs>
        <w:spacing w:line="240" w:lineRule="auto"/>
        <w:rPr>
          <w:b/>
          <w:szCs w:val="22"/>
        </w:rPr>
      </w:pPr>
      <w:r w:rsidRPr="001775D9">
        <w:rPr>
          <w:b/>
          <w:szCs w:val="22"/>
        </w:rPr>
        <w:br w:type="page"/>
      </w:r>
    </w:p>
    <w:p w14:paraId="4F40606D" w14:textId="77777777"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MINIMUM PARTICULARS TO APPEAR ON SMALL IMMEDIATE PACKAGING UNITS</w:t>
      </w:r>
    </w:p>
    <w:p w14:paraId="73C0156E" w14:textId="77777777"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rPr>
          <w:b/>
          <w:szCs w:val="22"/>
        </w:rPr>
      </w:pPr>
    </w:p>
    <w:p w14:paraId="2B030304" w14:textId="2657A205" w:rsidR="00C42229" w:rsidRPr="001775D9" w:rsidRDefault="00B56C97" w:rsidP="00A6458E">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SYRINGE </w:t>
      </w:r>
      <w:r w:rsidR="00C42229" w:rsidRPr="001775D9">
        <w:rPr>
          <w:b/>
          <w:szCs w:val="22"/>
        </w:rPr>
        <w:t xml:space="preserve">LABEL </w:t>
      </w:r>
    </w:p>
    <w:p w14:paraId="2D977337" w14:textId="77777777" w:rsidR="00C42229" w:rsidRPr="001775D9" w:rsidRDefault="00C42229" w:rsidP="00B61D9D">
      <w:pPr>
        <w:keepNext/>
        <w:spacing w:line="240" w:lineRule="auto"/>
        <w:rPr>
          <w:szCs w:val="22"/>
        </w:rPr>
      </w:pPr>
    </w:p>
    <w:p w14:paraId="262BD8C1" w14:textId="77777777" w:rsidR="00C42229" w:rsidRPr="001775D9" w:rsidRDefault="00C42229" w:rsidP="00B61D9D">
      <w:pPr>
        <w:spacing w:line="240" w:lineRule="auto"/>
        <w:rPr>
          <w:szCs w:val="22"/>
        </w:rPr>
      </w:pPr>
    </w:p>
    <w:p w14:paraId="7B271A6F" w14:textId="46BC8D07"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w:t>
      </w:r>
      <w:r w:rsidRPr="001775D9">
        <w:rPr>
          <w:b/>
          <w:szCs w:val="22"/>
        </w:rPr>
        <w:tab/>
        <w:t>NAME OF THE MEDICINAL PRODUCT AND ROUTE(S) OF ADMINISTRATION</w:t>
      </w:r>
      <w:r w:rsidR="001C55FB" w:rsidRPr="001775D9">
        <w:rPr>
          <w:b/>
          <w:szCs w:val="22"/>
        </w:rPr>
        <w:fldChar w:fldCharType="begin"/>
      </w:r>
      <w:r w:rsidR="001C55FB" w:rsidRPr="001775D9">
        <w:rPr>
          <w:b/>
          <w:szCs w:val="22"/>
        </w:rPr>
        <w:instrText xml:space="preserve"> DOCVARIABLE VAULT_ND_c1ed7c14-90a6-4b36-bc7d-9c9b7ab24798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62E089D" w14:textId="77777777" w:rsidR="00947941" w:rsidRPr="001775D9" w:rsidRDefault="00947941" w:rsidP="00B61D9D">
      <w:pPr>
        <w:spacing w:line="240" w:lineRule="auto"/>
        <w:ind w:left="567" w:hanging="567"/>
        <w:rPr>
          <w:szCs w:val="22"/>
        </w:rPr>
      </w:pPr>
    </w:p>
    <w:p w14:paraId="4F0D4547" w14:textId="77777777" w:rsidR="00947941" w:rsidRPr="001775D9" w:rsidRDefault="00947941" w:rsidP="00B61D9D">
      <w:pPr>
        <w:spacing w:line="240" w:lineRule="auto"/>
        <w:rPr>
          <w:szCs w:val="22"/>
        </w:rPr>
      </w:pPr>
      <w:r w:rsidRPr="001775D9">
        <w:rPr>
          <w:szCs w:val="22"/>
        </w:rPr>
        <w:t>AMGEVITA 40</w:t>
      </w:r>
      <w:r w:rsidR="00662641" w:rsidRPr="001775D9">
        <w:rPr>
          <w:szCs w:val="22"/>
        </w:rPr>
        <w:t> </w:t>
      </w:r>
      <w:r w:rsidRPr="001775D9">
        <w:rPr>
          <w:szCs w:val="22"/>
        </w:rPr>
        <w:t>mg injection</w:t>
      </w:r>
    </w:p>
    <w:p w14:paraId="4B279141" w14:textId="77777777" w:rsidR="00947941" w:rsidRPr="001775D9" w:rsidRDefault="00947941" w:rsidP="00B61D9D">
      <w:pPr>
        <w:spacing w:line="240" w:lineRule="auto"/>
        <w:rPr>
          <w:szCs w:val="22"/>
        </w:rPr>
      </w:pPr>
      <w:r w:rsidRPr="001775D9">
        <w:rPr>
          <w:szCs w:val="22"/>
        </w:rPr>
        <w:t>adalimumab</w:t>
      </w:r>
    </w:p>
    <w:p w14:paraId="47FC49FF" w14:textId="77777777" w:rsidR="00947941" w:rsidRPr="001775D9" w:rsidRDefault="00947941" w:rsidP="00B61D9D">
      <w:pPr>
        <w:spacing w:line="240" w:lineRule="auto"/>
        <w:rPr>
          <w:szCs w:val="22"/>
        </w:rPr>
      </w:pPr>
      <w:r w:rsidRPr="001775D9">
        <w:rPr>
          <w:szCs w:val="22"/>
        </w:rPr>
        <w:t>SC</w:t>
      </w:r>
    </w:p>
    <w:p w14:paraId="34AF9E3E" w14:textId="77777777" w:rsidR="00947941" w:rsidRPr="001775D9" w:rsidRDefault="00947941" w:rsidP="00B61D9D">
      <w:pPr>
        <w:spacing w:line="240" w:lineRule="auto"/>
        <w:rPr>
          <w:szCs w:val="22"/>
        </w:rPr>
      </w:pPr>
    </w:p>
    <w:p w14:paraId="50568BDC" w14:textId="77777777" w:rsidR="005806F9" w:rsidRPr="001775D9" w:rsidRDefault="005806F9" w:rsidP="00B61D9D">
      <w:pPr>
        <w:spacing w:line="240" w:lineRule="auto"/>
        <w:rPr>
          <w:szCs w:val="22"/>
        </w:rPr>
      </w:pPr>
    </w:p>
    <w:p w14:paraId="234060DF" w14:textId="13240097"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METHOD OF ADMINISTRATION</w:t>
      </w:r>
      <w:r w:rsidR="001C55FB" w:rsidRPr="001775D9">
        <w:rPr>
          <w:b/>
          <w:szCs w:val="22"/>
        </w:rPr>
        <w:fldChar w:fldCharType="begin"/>
      </w:r>
      <w:r w:rsidR="001C55FB" w:rsidRPr="001775D9">
        <w:rPr>
          <w:b/>
          <w:szCs w:val="22"/>
        </w:rPr>
        <w:instrText xml:space="preserve"> DOCVARIABLE VAULT_ND_746ea071-8aac-4ae4-bc61-25235f7a810f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7D11EB4" w14:textId="77777777" w:rsidR="00C42229" w:rsidRPr="001775D9" w:rsidRDefault="00C42229" w:rsidP="00B61D9D">
      <w:pPr>
        <w:spacing w:line="240" w:lineRule="auto"/>
        <w:rPr>
          <w:szCs w:val="22"/>
        </w:rPr>
      </w:pPr>
    </w:p>
    <w:p w14:paraId="2C93DB79" w14:textId="77777777" w:rsidR="00C42229" w:rsidRPr="001775D9" w:rsidRDefault="00C42229" w:rsidP="00B61D9D">
      <w:pPr>
        <w:spacing w:line="240" w:lineRule="auto"/>
        <w:rPr>
          <w:szCs w:val="22"/>
        </w:rPr>
      </w:pPr>
    </w:p>
    <w:p w14:paraId="3F578301" w14:textId="3CFA0E0D"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3.</w:t>
      </w:r>
      <w:r w:rsidRPr="001775D9">
        <w:rPr>
          <w:b/>
          <w:szCs w:val="22"/>
        </w:rPr>
        <w:tab/>
        <w:t>EXPIRY DATE</w:t>
      </w:r>
      <w:r w:rsidR="001C55FB" w:rsidRPr="001775D9">
        <w:rPr>
          <w:b/>
          <w:szCs w:val="22"/>
        </w:rPr>
        <w:fldChar w:fldCharType="begin"/>
      </w:r>
      <w:r w:rsidR="001C55FB" w:rsidRPr="001775D9">
        <w:rPr>
          <w:b/>
          <w:szCs w:val="22"/>
        </w:rPr>
        <w:instrText xml:space="preserve"> DOCVARIABLE VAULT_ND_274b2334-455c-41d6-bcbe-6d4417cb569e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B49933C" w14:textId="77777777" w:rsidR="00C42229" w:rsidRPr="001775D9" w:rsidRDefault="00C42229" w:rsidP="00B61D9D">
      <w:pPr>
        <w:spacing w:line="240" w:lineRule="auto"/>
      </w:pPr>
    </w:p>
    <w:p w14:paraId="70A21E6A" w14:textId="77777777" w:rsidR="00C42229" w:rsidRPr="001775D9" w:rsidRDefault="00C42229" w:rsidP="00B61D9D">
      <w:pPr>
        <w:spacing w:line="240" w:lineRule="auto"/>
      </w:pPr>
      <w:r w:rsidRPr="001775D9">
        <w:t>EXP</w:t>
      </w:r>
      <w:r w:rsidR="00BD308F" w:rsidRPr="001775D9">
        <w:t xml:space="preserve"> </w:t>
      </w:r>
    </w:p>
    <w:p w14:paraId="1675BC80" w14:textId="77777777" w:rsidR="00C42229" w:rsidRPr="001775D9" w:rsidRDefault="00C42229" w:rsidP="00B61D9D">
      <w:pPr>
        <w:spacing w:line="240" w:lineRule="auto"/>
      </w:pPr>
    </w:p>
    <w:p w14:paraId="3DCD34DF" w14:textId="77777777" w:rsidR="00C42229" w:rsidRPr="001775D9" w:rsidRDefault="00C42229" w:rsidP="00B61D9D">
      <w:pPr>
        <w:spacing w:line="240" w:lineRule="auto"/>
      </w:pPr>
    </w:p>
    <w:p w14:paraId="04721599" w14:textId="224E6CE1"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rPr>
      </w:pPr>
      <w:r w:rsidRPr="001775D9">
        <w:rPr>
          <w:b/>
        </w:rPr>
        <w:t>4.</w:t>
      </w:r>
      <w:r w:rsidRPr="001775D9">
        <w:rPr>
          <w:b/>
        </w:rPr>
        <w:tab/>
        <w:t>BATCH NUMBER</w:t>
      </w:r>
      <w:r w:rsidR="001C55FB" w:rsidRPr="001775D9">
        <w:rPr>
          <w:b/>
        </w:rPr>
        <w:fldChar w:fldCharType="begin"/>
      </w:r>
      <w:r w:rsidR="001C55FB" w:rsidRPr="001775D9">
        <w:rPr>
          <w:b/>
        </w:rPr>
        <w:instrText xml:space="preserve"> DOCVARIABLE VAULT_ND_81952fdc-6429-4685-8e51-0f6156dd1b49 \* MERGEFORMAT </w:instrText>
      </w:r>
      <w:r w:rsidR="001C55FB" w:rsidRPr="001775D9">
        <w:rPr>
          <w:b/>
        </w:rPr>
        <w:fldChar w:fldCharType="separate"/>
      </w:r>
      <w:r w:rsidR="001C55FB" w:rsidRPr="001775D9">
        <w:rPr>
          <w:b/>
        </w:rPr>
        <w:t xml:space="preserve"> </w:t>
      </w:r>
      <w:r w:rsidR="001C55FB" w:rsidRPr="001775D9">
        <w:rPr>
          <w:b/>
        </w:rPr>
        <w:fldChar w:fldCharType="end"/>
      </w:r>
    </w:p>
    <w:p w14:paraId="27B3461B" w14:textId="77777777" w:rsidR="00C42229" w:rsidRPr="001775D9" w:rsidRDefault="00C42229" w:rsidP="00B61D9D">
      <w:pPr>
        <w:spacing w:line="240" w:lineRule="auto"/>
        <w:ind w:right="113"/>
      </w:pPr>
    </w:p>
    <w:p w14:paraId="23954424" w14:textId="77777777" w:rsidR="00C42229" w:rsidRPr="001775D9" w:rsidRDefault="00C42229" w:rsidP="00B61D9D">
      <w:pPr>
        <w:spacing w:line="240" w:lineRule="auto"/>
        <w:ind w:right="113"/>
      </w:pPr>
      <w:r w:rsidRPr="001775D9">
        <w:t>Lot</w:t>
      </w:r>
    </w:p>
    <w:p w14:paraId="3063D3C0" w14:textId="77777777" w:rsidR="00C42229" w:rsidRPr="001775D9" w:rsidRDefault="00C42229" w:rsidP="00B61D9D">
      <w:pPr>
        <w:spacing w:line="240" w:lineRule="auto"/>
        <w:ind w:right="113"/>
      </w:pPr>
    </w:p>
    <w:p w14:paraId="00BF28D9" w14:textId="77777777" w:rsidR="00C42229" w:rsidRPr="001775D9" w:rsidRDefault="00C42229" w:rsidP="00B61D9D">
      <w:pPr>
        <w:spacing w:line="240" w:lineRule="auto"/>
        <w:ind w:right="113"/>
      </w:pPr>
    </w:p>
    <w:p w14:paraId="408EB3DF" w14:textId="7E746563"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5.</w:t>
      </w:r>
      <w:r w:rsidRPr="001775D9">
        <w:rPr>
          <w:b/>
          <w:szCs w:val="22"/>
        </w:rPr>
        <w:tab/>
        <w:t>CONTENTS BY WEIGHT, BY VOLUME OR BY UNIT</w:t>
      </w:r>
      <w:r w:rsidR="001C55FB" w:rsidRPr="001775D9">
        <w:rPr>
          <w:b/>
          <w:szCs w:val="22"/>
        </w:rPr>
        <w:fldChar w:fldCharType="begin"/>
      </w:r>
      <w:r w:rsidR="001C55FB" w:rsidRPr="001775D9">
        <w:rPr>
          <w:b/>
          <w:szCs w:val="22"/>
        </w:rPr>
        <w:instrText xml:space="preserve"> DOCVARIABLE VAULT_ND_4a501e34-3de8-43e6-bd82-bbb36d77b478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D973DD7" w14:textId="77777777" w:rsidR="00947941" w:rsidRPr="001775D9" w:rsidRDefault="00947941" w:rsidP="00B61D9D">
      <w:pPr>
        <w:spacing w:line="240" w:lineRule="auto"/>
        <w:ind w:right="113"/>
        <w:rPr>
          <w:szCs w:val="22"/>
        </w:rPr>
      </w:pPr>
    </w:p>
    <w:p w14:paraId="6E2C3F83" w14:textId="77777777" w:rsidR="00947941" w:rsidRPr="001775D9" w:rsidRDefault="00947941" w:rsidP="00B61D9D">
      <w:pPr>
        <w:spacing w:line="240" w:lineRule="auto"/>
        <w:ind w:right="113"/>
        <w:rPr>
          <w:szCs w:val="22"/>
        </w:rPr>
      </w:pPr>
      <w:r w:rsidRPr="001775D9">
        <w:rPr>
          <w:szCs w:val="22"/>
        </w:rPr>
        <w:t>0.8</w:t>
      </w:r>
      <w:r w:rsidR="00662641" w:rsidRPr="001775D9">
        <w:rPr>
          <w:szCs w:val="22"/>
        </w:rPr>
        <w:t> </w:t>
      </w:r>
      <w:r w:rsidRPr="001775D9">
        <w:rPr>
          <w:szCs w:val="22"/>
        </w:rPr>
        <w:t>mL</w:t>
      </w:r>
    </w:p>
    <w:p w14:paraId="328D7FB3" w14:textId="77777777" w:rsidR="00C42229" w:rsidRPr="001775D9" w:rsidRDefault="00C42229" w:rsidP="00B61D9D">
      <w:pPr>
        <w:spacing w:line="240" w:lineRule="auto"/>
        <w:ind w:right="113"/>
        <w:rPr>
          <w:szCs w:val="22"/>
        </w:rPr>
      </w:pPr>
    </w:p>
    <w:p w14:paraId="7968BA49" w14:textId="77777777" w:rsidR="00947941" w:rsidRPr="001775D9" w:rsidRDefault="00947941" w:rsidP="00B61D9D">
      <w:pPr>
        <w:spacing w:line="240" w:lineRule="auto"/>
        <w:ind w:right="113"/>
        <w:rPr>
          <w:szCs w:val="22"/>
        </w:rPr>
      </w:pPr>
    </w:p>
    <w:p w14:paraId="41BF6E91" w14:textId="4964F17D"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6.</w:t>
      </w:r>
      <w:r w:rsidRPr="001775D9">
        <w:rPr>
          <w:b/>
          <w:szCs w:val="22"/>
        </w:rPr>
        <w:tab/>
        <w:t>OTHER</w:t>
      </w:r>
      <w:r w:rsidR="001C55FB" w:rsidRPr="001775D9">
        <w:rPr>
          <w:b/>
          <w:szCs w:val="22"/>
        </w:rPr>
        <w:fldChar w:fldCharType="begin"/>
      </w:r>
      <w:r w:rsidR="001C55FB" w:rsidRPr="001775D9">
        <w:rPr>
          <w:b/>
          <w:szCs w:val="22"/>
        </w:rPr>
        <w:instrText xml:space="preserve"> DOCVARIABLE VAULT_ND_1236c8e6-5319-45a7-9034-38ff55a32d71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80187D1" w14:textId="77777777" w:rsidR="00C42229" w:rsidRPr="001775D9" w:rsidRDefault="00C42229" w:rsidP="00B61D9D">
      <w:pPr>
        <w:spacing w:line="240" w:lineRule="auto"/>
        <w:ind w:right="113"/>
        <w:rPr>
          <w:szCs w:val="22"/>
        </w:rPr>
      </w:pPr>
    </w:p>
    <w:p w14:paraId="0CE2DE74" w14:textId="77777777" w:rsidR="00C42229" w:rsidRPr="001775D9" w:rsidRDefault="00C42229" w:rsidP="00B61D9D">
      <w:pPr>
        <w:spacing w:line="240" w:lineRule="auto"/>
        <w:ind w:right="113"/>
      </w:pPr>
    </w:p>
    <w:p w14:paraId="767CC8E0" w14:textId="77777777" w:rsidR="00C42229" w:rsidRPr="001775D9" w:rsidRDefault="00C42229" w:rsidP="00B61D9D">
      <w:pPr>
        <w:shd w:val="clear" w:color="auto" w:fill="FFFFFF"/>
        <w:spacing w:line="240" w:lineRule="auto"/>
        <w:rPr>
          <w:szCs w:val="22"/>
        </w:rPr>
      </w:pPr>
      <w:r w:rsidRPr="001775D9">
        <w:rPr>
          <w:b/>
        </w:rPr>
        <w:br w:type="page"/>
      </w:r>
    </w:p>
    <w:p w14:paraId="2C33372E" w14:textId="77777777"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43D8B8A7" w14:textId="77777777"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6C30A972" w14:textId="77777777"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 xml:space="preserve">CARTON PRE-FILLED </w:t>
      </w:r>
      <w:r w:rsidR="004626B4" w:rsidRPr="001775D9">
        <w:rPr>
          <w:b/>
          <w:szCs w:val="22"/>
        </w:rPr>
        <w:t>PEN</w:t>
      </w:r>
    </w:p>
    <w:p w14:paraId="21E15EE5" w14:textId="77777777" w:rsidR="00C42229" w:rsidRPr="001775D9" w:rsidRDefault="00C42229" w:rsidP="00B61D9D">
      <w:pPr>
        <w:keepNext/>
        <w:spacing w:line="240" w:lineRule="auto"/>
      </w:pPr>
    </w:p>
    <w:p w14:paraId="5E0240FF" w14:textId="77777777" w:rsidR="00C42229" w:rsidRPr="001775D9" w:rsidRDefault="00C42229" w:rsidP="00B61D9D">
      <w:pPr>
        <w:keepNext/>
        <w:spacing w:line="240" w:lineRule="auto"/>
        <w:rPr>
          <w:szCs w:val="22"/>
        </w:rPr>
      </w:pPr>
    </w:p>
    <w:p w14:paraId="17844D42" w14:textId="09BD55C4"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VAULT_ND_5c2f23d7-4af6-441e-a8a5-4aab804d86c8 \* MERGEFORMAT </w:instrText>
      </w:r>
      <w:r w:rsidR="001C55FB" w:rsidRPr="001775D9">
        <w:rPr>
          <w:b/>
        </w:rPr>
        <w:fldChar w:fldCharType="separate"/>
      </w:r>
      <w:r w:rsidR="001C55FB" w:rsidRPr="001775D9">
        <w:rPr>
          <w:b/>
        </w:rPr>
        <w:t xml:space="preserve"> </w:t>
      </w:r>
      <w:r w:rsidR="001C55FB" w:rsidRPr="001775D9">
        <w:rPr>
          <w:b/>
        </w:rPr>
        <w:fldChar w:fldCharType="end"/>
      </w:r>
    </w:p>
    <w:p w14:paraId="49948F8E" w14:textId="77777777" w:rsidR="00C42229" w:rsidRPr="001775D9" w:rsidRDefault="00C42229" w:rsidP="00B61D9D">
      <w:pPr>
        <w:keepNext/>
        <w:spacing w:line="240" w:lineRule="auto"/>
        <w:rPr>
          <w:szCs w:val="22"/>
        </w:rPr>
      </w:pPr>
    </w:p>
    <w:p w14:paraId="6354055D" w14:textId="77777777" w:rsidR="00C42229" w:rsidRPr="001775D9" w:rsidRDefault="00947941" w:rsidP="00B61D9D">
      <w:pPr>
        <w:keepNext/>
        <w:spacing w:line="240" w:lineRule="auto"/>
        <w:rPr>
          <w:szCs w:val="22"/>
        </w:rPr>
      </w:pPr>
      <w:r w:rsidRPr="001775D9">
        <w:rPr>
          <w:szCs w:val="22"/>
        </w:rPr>
        <w:t>AMGEVITA</w:t>
      </w:r>
      <w:r w:rsidR="00C42229" w:rsidRPr="001775D9">
        <w:rPr>
          <w:szCs w:val="22"/>
        </w:rPr>
        <w:t xml:space="preserve"> 40</w:t>
      </w:r>
      <w:r w:rsidR="00662641" w:rsidRPr="001775D9">
        <w:rPr>
          <w:szCs w:val="22"/>
        </w:rPr>
        <w:t> </w:t>
      </w:r>
      <w:r w:rsidR="00C42229" w:rsidRPr="001775D9">
        <w:rPr>
          <w:szCs w:val="22"/>
        </w:rPr>
        <w:t>mg solution for injection in pre-filled pen</w:t>
      </w:r>
    </w:p>
    <w:p w14:paraId="295EA544" w14:textId="77777777" w:rsidR="00C42229" w:rsidRPr="001775D9" w:rsidRDefault="00947941" w:rsidP="00B61D9D">
      <w:pPr>
        <w:keepNext/>
        <w:spacing w:line="240" w:lineRule="auto"/>
        <w:rPr>
          <w:szCs w:val="22"/>
        </w:rPr>
      </w:pPr>
      <w:r w:rsidRPr="001775D9">
        <w:t>a</w:t>
      </w:r>
      <w:r w:rsidR="00C8133A" w:rsidRPr="001775D9">
        <w:t>dalimumab</w:t>
      </w:r>
    </w:p>
    <w:p w14:paraId="2EF6EB6F" w14:textId="77777777" w:rsidR="00C42229" w:rsidRPr="001775D9" w:rsidRDefault="00C42229" w:rsidP="00B61D9D">
      <w:pPr>
        <w:keepNext/>
        <w:spacing w:line="240" w:lineRule="auto"/>
        <w:rPr>
          <w:szCs w:val="22"/>
        </w:rPr>
      </w:pPr>
    </w:p>
    <w:p w14:paraId="51B2D0F9" w14:textId="77777777" w:rsidR="00C42229" w:rsidRPr="001775D9" w:rsidRDefault="00C42229" w:rsidP="00B61D9D">
      <w:pPr>
        <w:keepNext/>
        <w:spacing w:line="240" w:lineRule="auto"/>
        <w:rPr>
          <w:szCs w:val="22"/>
        </w:rPr>
      </w:pPr>
    </w:p>
    <w:p w14:paraId="5407BD84" w14:textId="73872284"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VAULT_ND_f9fc734b-786d-47fb-b714-2ef36053f0e1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7FE61B8" w14:textId="77777777" w:rsidR="00C42229" w:rsidRPr="001775D9" w:rsidRDefault="00C42229" w:rsidP="00B61D9D">
      <w:pPr>
        <w:spacing w:line="240" w:lineRule="auto"/>
        <w:rPr>
          <w:szCs w:val="22"/>
        </w:rPr>
      </w:pPr>
    </w:p>
    <w:p w14:paraId="04F7B7D9" w14:textId="77777777" w:rsidR="00C42229" w:rsidRPr="001775D9" w:rsidRDefault="00947941" w:rsidP="00B61D9D">
      <w:pPr>
        <w:spacing w:line="240" w:lineRule="auto"/>
        <w:rPr>
          <w:szCs w:val="22"/>
        </w:rPr>
      </w:pPr>
      <w:r w:rsidRPr="001775D9">
        <w:rPr>
          <w:szCs w:val="22"/>
          <w:lang w:eastAsia="en-GB"/>
        </w:rPr>
        <w:t>Each pre-filled pen contains 40</w:t>
      </w:r>
      <w:r w:rsidR="00662641" w:rsidRPr="001775D9">
        <w:rPr>
          <w:szCs w:val="22"/>
          <w:lang w:eastAsia="en-GB"/>
        </w:rPr>
        <w:t> </w:t>
      </w:r>
      <w:r w:rsidRPr="001775D9">
        <w:rPr>
          <w:szCs w:val="22"/>
          <w:lang w:eastAsia="en-GB"/>
        </w:rPr>
        <w:t xml:space="preserve">mg of adalimumab </w:t>
      </w:r>
      <w:r w:rsidRPr="001775D9">
        <w:rPr>
          <w:szCs w:val="22"/>
        </w:rPr>
        <w:t>in 0.8</w:t>
      </w:r>
      <w:r w:rsidR="00662641" w:rsidRPr="001775D9">
        <w:rPr>
          <w:szCs w:val="22"/>
        </w:rPr>
        <w:t> </w:t>
      </w:r>
      <w:r w:rsidRPr="001775D9">
        <w:rPr>
          <w:szCs w:val="22"/>
        </w:rPr>
        <w:t>mL of solution.</w:t>
      </w:r>
    </w:p>
    <w:p w14:paraId="2E54B7CE" w14:textId="77777777" w:rsidR="00C42229" w:rsidRPr="001775D9" w:rsidRDefault="00C42229" w:rsidP="00B61D9D">
      <w:pPr>
        <w:spacing w:line="240" w:lineRule="auto"/>
        <w:rPr>
          <w:szCs w:val="22"/>
        </w:rPr>
      </w:pPr>
    </w:p>
    <w:p w14:paraId="031C279E" w14:textId="77777777" w:rsidR="00947941" w:rsidRPr="001775D9" w:rsidRDefault="00947941" w:rsidP="00B61D9D">
      <w:pPr>
        <w:spacing w:line="240" w:lineRule="auto"/>
        <w:rPr>
          <w:szCs w:val="22"/>
        </w:rPr>
      </w:pPr>
    </w:p>
    <w:p w14:paraId="6A287A57" w14:textId="543F4118"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VAULT_ND_032a3393-3994-4c9d-a278-ea7b702c2c55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DEA4050" w14:textId="77777777" w:rsidR="00947941" w:rsidRPr="001775D9" w:rsidRDefault="00947941" w:rsidP="00B61D9D">
      <w:pPr>
        <w:spacing w:line="240" w:lineRule="auto"/>
        <w:rPr>
          <w:szCs w:val="22"/>
        </w:rPr>
      </w:pPr>
    </w:p>
    <w:p w14:paraId="0EB20C57" w14:textId="590E6327" w:rsidR="00947941" w:rsidRPr="001775D9" w:rsidRDefault="00947941" w:rsidP="00A6458E">
      <w:pPr>
        <w:tabs>
          <w:tab w:val="clear" w:pos="567"/>
        </w:tabs>
        <w:autoSpaceDE w:val="0"/>
        <w:autoSpaceDN w:val="0"/>
        <w:adjustRightInd w:val="0"/>
        <w:spacing w:line="240" w:lineRule="auto"/>
        <w:rPr>
          <w:szCs w:val="22"/>
          <w:lang w:eastAsia="en-GB"/>
        </w:rPr>
      </w:pPr>
      <w:r w:rsidRPr="001775D9">
        <w:rPr>
          <w:szCs w:val="22"/>
          <w:lang w:eastAsia="en-GB"/>
        </w:rPr>
        <w:t>Glacial acetic acid</w:t>
      </w:r>
      <w:r w:rsidRPr="001775D9">
        <w:rPr>
          <w:szCs w:val="22"/>
        </w:rPr>
        <w:t>, sucrose</w:t>
      </w:r>
      <w:r w:rsidRPr="001775D9">
        <w:rPr>
          <w:szCs w:val="22"/>
          <w:lang w:eastAsia="en-GB"/>
        </w:rPr>
        <w:t>, polysorbate 80, sodium hydroxide and water for injection</w:t>
      </w:r>
      <w:r w:rsidR="00503B55" w:rsidRPr="001775D9">
        <w:rPr>
          <w:szCs w:val="22"/>
          <w:lang w:eastAsia="en-GB"/>
        </w:rPr>
        <w:t>s</w:t>
      </w:r>
      <w:r w:rsidRPr="001775D9">
        <w:rPr>
          <w:szCs w:val="22"/>
          <w:lang w:eastAsia="en-GB"/>
        </w:rPr>
        <w:t>.</w:t>
      </w:r>
    </w:p>
    <w:p w14:paraId="5F901FD3" w14:textId="77777777" w:rsidR="00947941" w:rsidRPr="001775D9" w:rsidRDefault="00947941" w:rsidP="00B61D9D">
      <w:pPr>
        <w:spacing w:line="240" w:lineRule="auto"/>
        <w:rPr>
          <w:szCs w:val="22"/>
        </w:rPr>
      </w:pPr>
    </w:p>
    <w:p w14:paraId="3721C0AA" w14:textId="77777777" w:rsidR="00947941" w:rsidRPr="001775D9" w:rsidRDefault="00947941" w:rsidP="00B61D9D">
      <w:pPr>
        <w:spacing w:line="240" w:lineRule="auto"/>
        <w:rPr>
          <w:szCs w:val="22"/>
        </w:rPr>
      </w:pPr>
    </w:p>
    <w:p w14:paraId="24E8F986" w14:textId="25F9BFEC"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VAULT_ND_890df2a1-e3a2-4050-9074-da5a7a11a338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8B95343" w14:textId="77777777" w:rsidR="00C42229" w:rsidRPr="001775D9" w:rsidRDefault="00C42229" w:rsidP="00B61D9D">
      <w:pPr>
        <w:spacing w:line="240" w:lineRule="auto"/>
        <w:rPr>
          <w:szCs w:val="22"/>
        </w:rPr>
      </w:pPr>
    </w:p>
    <w:p w14:paraId="18BBF30E" w14:textId="0AEF6413" w:rsidR="00920A0E" w:rsidRPr="001775D9" w:rsidRDefault="00920A0E" w:rsidP="00A6458E">
      <w:pPr>
        <w:tabs>
          <w:tab w:val="clear" w:pos="567"/>
        </w:tabs>
        <w:autoSpaceDE w:val="0"/>
        <w:autoSpaceDN w:val="0"/>
        <w:adjustRightInd w:val="0"/>
        <w:spacing w:line="240" w:lineRule="auto"/>
        <w:rPr>
          <w:szCs w:val="22"/>
          <w:shd w:val="pct15" w:color="auto" w:fill="FFFFFF"/>
          <w:lang w:eastAsia="en-GB"/>
        </w:rPr>
      </w:pPr>
      <w:r w:rsidRPr="001775D9">
        <w:rPr>
          <w:szCs w:val="22"/>
          <w:shd w:val="pct15" w:color="auto" w:fill="FFFFFF"/>
          <w:lang w:eastAsia="en-GB"/>
        </w:rPr>
        <w:t>Solution for injection</w:t>
      </w:r>
    </w:p>
    <w:p w14:paraId="4C7D1F6E" w14:textId="0C2C80C0" w:rsidR="00204623" w:rsidRPr="001775D9" w:rsidRDefault="00204623" w:rsidP="00A6458E">
      <w:pPr>
        <w:tabs>
          <w:tab w:val="clear" w:pos="567"/>
        </w:tabs>
        <w:autoSpaceDE w:val="0"/>
        <w:autoSpaceDN w:val="0"/>
        <w:adjustRightInd w:val="0"/>
        <w:spacing w:line="240" w:lineRule="auto"/>
        <w:rPr>
          <w:szCs w:val="22"/>
          <w:lang w:eastAsia="en-GB"/>
        </w:rPr>
      </w:pPr>
      <w:r w:rsidRPr="001775D9">
        <w:rPr>
          <w:szCs w:val="22"/>
          <w:lang w:eastAsia="en-GB"/>
        </w:rPr>
        <w:t>40 mg/0.8 mL</w:t>
      </w:r>
    </w:p>
    <w:p w14:paraId="7D681F06" w14:textId="2E213F10" w:rsidR="00947941" w:rsidRPr="001775D9" w:rsidRDefault="00947941" w:rsidP="00A6458E">
      <w:pPr>
        <w:tabs>
          <w:tab w:val="clear" w:pos="567"/>
        </w:tabs>
        <w:autoSpaceDE w:val="0"/>
        <w:autoSpaceDN w:val="0"/>
        <w:adjustRightInd w:val="0"/>
        <w:spacing w:line="240" w:lineRule="auto"/>
        <w:rPr>
          <w:szCs w:val="22"/>
          <w:lang w:eastAsia="en-GB"/>
        </w:rPr>
      </w:pPr>
      <w:r w:rsidRPr="001775D9">
        <w:rPr>
          <w:szCs w:val="22"/>
          <w:lang w:eastAsia="en-GB"/>
        </w:rPr>
        <w:t>1 SureClick pre-filled pen.</w:t>
      </w:r>
    </w:p>
    <w:p w14:paraId="1E7B1933" w14:textId="77777777" w:rsidR="00F46A98" w:rsidRDefault="00F46A98" w:rsidP="00A6458E">
      <w:pPr>
        <w:spacing w:line="240" w:lineRule="auto"/>
        <w:rPr>
          <w:szCs w:val="22"/>
          <w:highlight w:val="lightGray"/>
        </w:rPr>
      </w:pPr>
      <w:r>
        <w:rPr>
          <w:szCs w:val="22"/>
          <w:highlight w:val="lightGray"/>
        </w:rPr>
        <w:t>2 SureClick pre-filled pens.</w:t>
      </w:r>
    </w:p>
    <w:p w14:paraId="73828248" w14:textId="77777777" w:rsidR="00F46A98" w:rsidRDefault="00F46A98" w:rsidP="00A6458E">
      <w:pPr>
        <w:spacing w:line="240" w:lineRule="auto"/>
        <w:rPr>
          <w:szCs w:val="22"/>
          <w:highlight w:val="lightGray"/>
        </w:rPr>
      </w:pPr>
      <w:r>
        <w:rPr>
          <w:szCs w:val="22"/>
          <w:highlight w:val="lightGray"/>
        </w:rPr>
        <w:t>4 SureClick pre-filled pens.</w:t>
      </w:r>
    </w:p>
    <w:p w14:paraId="70CCEC4E" w14:textId="77777777" w:rsidR="00C42229" w:rsidRPr="001775D9" w:rsidRDefault="00C42229" w:rsidP="00B61D9D">
      <w:pPr>
        <w:spacing w:line="240" w:lineRule="auto"/>
        <w:rPr>
          <w:szCs w:val="22"/>
        </w:rPr>
      </w:pPr>
    </w:p>
    <w:p w14:paraId="009258C3" w14:textId="77777777" w:rsidR="00F46A98" w:rsidRPr="001775D9" w:rsidRDefault="00F46A98" w:rsidP="00B61D9D">
      <w:pPr>
        <w:spacing w:line="240" w:lineRule="auto"/>
        <w:rPr>
          <w:szCs w:val="22"/>
        </w:rPr>
      </w:pPr>
    </w:p>
    <w:p w14:paraId="0963DE06" w14:textId="2C5BC8BD"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VAULT_ND_7bdf456e-95a3-479b-afd3-d42836405644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74953F6" w14:textId="77777777" w:rsidR="00F46A98" w:rsidRPr="001775D9" w:rsidRDefault="00F46A98" w:rsidP="00B61D9D">
      <w:pPr>
        <w:spacing w:line="240" w:lineRule="auto"/>
        <w:rPr>
          <w:szCs w:val="22"/>
        </w:rPr>
      </w:pPr>
    </w:p>
    <w:p w14:paraId="3326EA29" w14:textId="77777777" w:rsidR="00F46A98" w:rsidRPr="001775D9" w:rsidRDefault="00F46A98" w:rsidP="00A6458E">
      <w:pPr>
        <w:spacing w:line="240" w:lineRule="auto"/>
        <w:rPr>
          <w:szCs w:val="22"/>
        </w:rPr>
      </w:pPr>
      <w:r w:rsidRPr="001775D9">
        <w:rPr>
          <w:szCs w:val="22"/>
        </w:rPr>
        <w:t>For subcutaneous use.</w:t>
      </w:r>
    </w:p>
    <w:p w14:paraId="76F1E455" w14:textId="77777777" w:rsidR="00F46A98" w:rsidRPr="001775D9" w:rsidRDefault="00F46A98" w:rsidP="00B61D9D">
      <w:pPr>
        <w:spacing w:line="240" w:lineRule="auto"/>
        <w:rPr>
          <w:szCs w:val="22"/>
        </w:rPr>
      </w:pPr>
      <w:r w:rsidRPr="001775D9">
        <w:rPr>
          <w:szCs w:val="22"/>
        </w:rPr>
        <w:t>Read the package leaflet before use.</w:t>
      </w:r>
    </w:p>
    <w:p w14:paraId="38D18EFC" w14:textId="77777777" w:rsidR="00F51FC5" w:rsidRPr="001775D9" w:rsidRDefault="001E0330" w:rsidP="00B61D9D">
      <w:pPr>
        <w:spacing w:line="240" w:lineRule="auto"/>
        <w:rPr>
          <w:szCs w:val="22"/>
        </w:rPr>
      </w:pPr>
      <w:r w:rsidRPr="001775D9">
        <w:rPr>
          <w:szCs w:val="22"/>
        </w:rPr>
        <w:t>S</w:t>
      </w:r>
      <w:r w:rsidR="00F51FC5" w:rsidRPr="001775D9">
        <w:rPr>
          <w:szCs w:val="22"/>
        </w:rPr>
        <w:t>ingle use only.</w:t>
      </w:r>
    </w:p>
    <w:p w14:paraId="5A6727FF" w14:textId="77777777" w:rsidR="00F46A98" w:rsidRPr="001775D9" w:rsidRDefault="00F46A98" w:rsidP="00B61D9D">
      <w:pPr>
        <w:spacing w:line="240" w:lineRule="auto"/>
        <w:rPr>
          <w:szCs w:val="22"/>
        </w:rPr>
      </w:pPr>
    </w:p>
    <w:p w14:paraId="4276424B" w14:textId="77777777" w:rsidR="00F46A98" w:rsidRPr="001775D9" w:rsidRDefault="00F46A98" w:rsidP="00B61D9D">
      <w:pPr>
        <w:spacing w:line="240" w:lineRule="auto"/>
        <w:rPr>
          <w:szCs w:val="22"/>
        </w:rPr>
      </w:pPr>
    </w:p>
    <w:p w14:paraId="4DDA1D39" w14:textId="0B870CF9"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VAULT_ND_0b491e6d-bcac-4bdb-99f0-2b75ef21615f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39FF5B7" w14:textId="77777777" w:rsidR="00C42229" w:rsidRPr="001775D9" w:rsidRDefault="00C42229" w:rsidP="00B61D9D">
      <w:pPr>
        <w:spacing w:line="240" w:lineRule="auto"/>
        <w:rPr>
          <w:szCs w:val="22"/>
        </w:rPr>
      </w:pPr>
    </w:p>
    <w:p w14:paraId="6AA2376F" w14:textId="2078AC15" w:rsidR="00C42229" w:rsidRPr="001775D9" w:rsidRDefault="00C42229"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vault_nd_594b619c-c985-41fb-a1fe-a26d3581e22e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6C3581E0" w14:textId="77777777" w:rsidR="00C42229" w:rsidRPr="001775D9" w:rsidRDefault="00C42229" w:rsidP="00B61D9D">
      <w:pPr>
        <w:spacing w:line="240" w:lineRule="auto"/>
        <w:rPr>
          <w:szCs w:val="22"/>
        </w:rPr>
      </w:pPr>
    </w:p>
    <w:p w14:paraId="5BC4656F" w14:textId="77777777" w:rsidR="00C42229" w:rsidRPr="001775D9" w:rsidRDefault="00C42229" w:rsidP="00B61D9D">
      <w:pPr>
        <w:spacing w:line="240" w:lineRule="auto"/>
        <w:rPr>
          <w:szCs w:val="22"/>
        </w:rPr>
      </w:pPr>
    </w:p>
    <w:p w14:paraId="1874454B" w14:textId="0028D07B"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VAULT_ND_4f99a506-5bd8-48fd-89ac-acdfd20d78a9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F930C49" w14:textId="77777777" w:rsidR="00C42229" w:rsidRPr="001775D9" w:rsidRDefault="00C42229" w:rsidP="00B61D9D">
      <w:pPr>
        <w:spacing w:line="240" w:lineRule="auto"/>
        <w:rPr>
          <w:szCs w:val="22"/>
        </w:rPr>
      </w:pPr>
    </w:p>
    <w:p w14:paraId="6B55CEB5" w14:textId="77777777" w:rsidR="00C42229" w:rsidRPr="001775D9" w:rsidRDefault="00C42229" w:rsidP="00B61D9D">
      <w:pPr>
        <w:tabs>
          <w:tab w:val="left" w:pos="749"/>
        </w:tabs>
        <w:spacing w:line="240" w:lineRule="auto"/>
      </w:pPr>
    </w:p>
    <w:p w14:paraId="3F40C4D6" w14:textId="4186D234"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VAULT_ND_076c52a5-4a8e-4093-bdab-e575d7187106 \* MERGEFORMAT </w:instrText>
      </w:r>
      <w:r w:rsidR="001C55FB" w:rsidRPr="001775D9">
        <w:rPr>
          <w:b/>
        </w:rPr>
        <w:fldChar w:fldCharType="separate"/>
      </w:r>
      <w:r w:rsidR="001C55FB" w:rsidRPr="001775D9">
        <w:rPr>
          <w:b/>
        </w:rPr>
        <w:t xml:space="preserve"> </w:t>
      </w:r>
      <w:r w:rsidR="001C55FB" w:rsidRPr="001775D9">
        <w:rPr>
          <w:b/>
        </w:rPr>
        <w:fldChar w:fldCharType="end"/>
      </w:r>
    </w:p>
    <w:p w14:paraId="32CC22F4" w14:textId="77777777" w:rsidR="00C42229" w:rsidRPr="001775D9" w:rsidRDefault="00C42229" w:rsidP="00B61D9D">
      <w:pPr>
        <w:spacing w:line="240" w:lineRule="auto"/>
      </w:pPr>
    </w:p>
    <w:p w14:paraId="5C65C2FB" w14:textId="77777777" w:rsidR="00C42229" w:rsidRPr="001775D9" w:rsidRDefault="00C42229" w:rsidP="00B61D9D">
      <w:pPr>
        <w:spacing w:line="240" w:lineRule="auto"/>
        <w:rPr>
          <w:szCs w:val="22"/>
        </w:rPr>
      </w:pPr>
      <w:r w:rsidRPr="001775D9">
        <w:rPr>
          <w:szCs w:val="22"/>
        </w:rPr>
        <w:t>EXP</w:t>
      </w:r>
      <w:r w:rsidR="000B07B9" w:rsidRPr="001775D9">
        <w:rPr>
          <w:szCs w:val="22"/>
        </w:rPr>
        <w:t xml:space="preserve"> </w:t>
      </w:r>
    </w:p>
    <w:p w14:paraId="46F5F6F1" w14:textId="77777777" w:rsidR="00C42229" w:rsidRPr="001775D9" w:rsidRDefault="00C42229" w:rsidP="00B61D9D">
      <w:pPr>
        <w:spacing w:line="240" w:lineRule="auto"/>
        <w:rPr>
          <w:szCs w:val="22"/>
        </w:rPr>
      </w:pPr>
    </w:p>
    <w:p w14:paraId="650F5AA2" w14:textId="77777777" w:rsidR="00C42229" w:rsidRPr="001775D9" w:rsidRDefault="00C42229" w:rsidP="00B61D9D">
      <w:pPr>
        <w:spacing w:line="240" w:lineRule="auto"/>
        <w:rPr>
          <w:szCs w:val="22"/>
        </w:rPr>
      </w:pPr>
    </w:p>
    <w:p w14:paraId="1914E5F3" w14:textId="0F2BA100" w:rsidR="00C42229" w:rsidRPr="001775D9" w:rsidRDefault="00C42229"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VAULT_ND_9caf90f2-9538-4f36-b894-dc6fdc5ba906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1C660BC" w14:textId="77777777" w:rsidR="00F46A98" w:rsidRPr="001775D9" w:rsidRDefault="00F46A98" w:rsidP="00B61D9D">
      <w:pPr>
        <w:keepNext/>
        <w:spacing w:line="240" w:lineRule="auto"/>
        <w:rPr>
          <w:szCs w:val="22"/>
        </w:rPr>
      </w:pPr>
    </w:p>
    <w:p w14:paraId="4279F4BF" w14:textId="77777777" w:rsidR="00F46A98" w:rsidRPr="001775D9" w:rsidRDefault="00F46A98" w:rsidP="00FB5458">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5BAF252B" w14:textId="77777777" w:rsidR="00F46A98" w:rsidRPr="001775D9" w:rsidRDefault="00F46A98" w:rsidP="00FB5458">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345429D3" w14:textId="77777777" w:rsidR="00F46A98" w:rsidRPr="001775D9" w:rsidRDefault="00F46A98" w:rsidP="00A6458E">
      <w:pPr>
        <w:spacing w:line="240" w:lineRule="auto"/>
        <w:rPr>
          <w:rFonts w:eastAsia="SimSun"/>
          <w:szCs w:val="22"/>
          <w:lang w:eastAsia="en-GB"/>
        </w:rPr>
      </w:pPr>
      <w:r w:rsidRPr="001775D9">
        <w:rPr>
          <w:rFonts w:eastAsia="SimSun"/>
          <w:szCs w:val="22"/>
          <w:lang w:eastAsia="en-GB"/>
        </w:rPr>
        <w:t>Store in the original carton in order to protect from light.</w:t>
      </w:r>
    </w:p>
    <w:p w14:paraId="1BD5533B" w14:textId="77777777" w:rsidR="00F46A98" w:rsidRPr="001775D9" w:rsidRDefault="00F46A98" w:rsidP="00A6458E">
      <w:pPr>
        <w:spacing w:line="240" w:lineRule="auto"/>
        <w:rPr>
          <w:rFonts w:eastAsia="SimSun"/>
          <w:szCs w:val="22"/>
          <w:lang w:eastAsia="en-GB"/>
        </w:rPr>
      </w:pPr>
    </w:p>
    <w:p w14:paraId="61E6AE29" w14:textId="77777777" w:rsidR="00F46A98" w:rsidRPr="001775D9" w:rsidRDefault="00F46A98" w:rsidP="00A6458E">
      <w:pPr>
        <w:spacing w:line="240" w:lineRule="auto"/>
        <w:rPr>
          <w:rFonts w:eastAsia="SimSun"/>
          <w:szCs w:val="22"/>
          <w:lang w:eastAsia="en-GB"/>
        </w:rPr>
      </w:pPr>
    </w:p>
    <w:p w14:paraId="69B44FC8" w14:textId="4977AB2C"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VAULT_ND_a857eaed-cf02-4148-a366-3a90b7a123df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5659348" w14:textId="77777777" w:rsidR="00C42229" w:rsidRPr="001775D9" w:rsidRDefault="00C42229" w:rsidP="00B61D9D">
      <w:pPr>
        <w:spacing w:line="240" w:lineRule="auto"/>
        <w:rPr>
          <w:szCs w:val="22"/>
        </w:rPr>
      </w:pPr>
    </w:p>
    <w:p w14:paraId="64D01303" w14:textId="77777777" w:rsidR="00C42229" w:rsidRPr="001775D9" w:rsidRDefault="00C42229" w:rsidP="00B61D9D">
      <w:pPr>
        <w:spacing w:line="240" w:lineRule="auto"/>
        <w:rPr>
          <w:szCs w:val="22"/>
        </w:rPr>
      </w:pPr>
    </w:p>
    <w:p w14:paraId="1D763C79" w14:textId="7C3F8806"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VAULT_ND_ec19ac53-3611-451a-b172-92374bf800cf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BFAB463" w14:textId="77777777" w:rsidR="00F46A98" w:rsidRPr="001775D9" w:rsidRDefault="00F46A98" w:rsidP="00B61D9D">
      <w:pPr>
        <w:spacing w:line="240" w:lineRule="auto"/>
        <w:rPr>
          <w:szCs w:val="22"/>
        </w:rPr>
      </w:pPr>
    </w:p>
    <w:p w14:paraId="3BE73047" w14:textId="77777777" w:rsidR="00F46A98" w:rsidRPr="00D55B59" w:rsidRDefault="00F46A98" w:rsidP="00A6458E">
      <w:pPr>
        <w:tabs>
          <w:tab w:val="clear" w:pos="567"/>
        </w:tabs>
        <w:autoSpaceDE w:val="0"/>
        <w:autoSpaceDN w:val="0"/>
        <w:adjustRightInd w:val="0"/>
        <w:spacing w:line="240" w:lineRule="auto"/>
        <w:rPr>
          <w:rFonts w:eastAsia="SimSun"/>
          <w:szCs w:val="22"/>
          <w:lang w:eastAsia="en-GB"/>
          <w:rPrChange w:id="2244" w:author="Author">
            <w:rPr>
              <w:rFonts w:eastAsia="SimSun"/>
              <w:szCs w:val="22"/>
              <w:lang w:val="sv-SE" w:eastAsia="en-GB"/>
            </w:rPr>
          </w:rPrChange>
        </w:rPr>
      </w:pPr>
      <w:r w:rsidRPr="00D55B59">
        <w:rPr>
          <w:rFonts w:eastAsia="SimSun"/>
          <w:szCs w:val="22"/>
          <w:lang w:eastAsia="en-GB"/>
          <w:rPrChange w:id="2245" w:author="Author">
            <w:rPr>
              <w:rFonts w:eastAsia="SimSun"/>
              <w:szCs w:val="22"/>
              <w:lang w:val="sv-SE" w:eastAsia="en-GB"/>
            </w:rPr>
          </w:rPrChange>
        </w:rPr>
        <w:t>Amgen Europe B.V.</w:t>
      </w:r>
    </w:p>
    <w:p w14:paraId="2F33E65E" w14:textId="77777777" w:rsidR="00F46A98" w:rsidRPr="00D55B59" w:rsidRDefault="00F46A98" w:rsidP="00A6458E">
      <w:pPr>
        <w:tabs>
          <w:tab w:val="clear" w:pos="567"/>
        </w:tabs>
        <w:autoSpaceDE w:val="0"/>
        <w:autoSpaceDN w:val="0"/>
        <w:adjustRightInd w:val="0"/>
        <w:spacing w:line="240" w:lineRule="auto"/>
        <w:rPr>
          <w:rFonts w:eastAsia="SimSun"/>
          <w:szCs w:val="22"/>
          <w:lang w:eastAsia="en-GB"/>
          <w:rPrChange w:id="2246" w:author="Author">
            <w:rPr>
              <w:rFonts w:eastAsia="SimSun"/>
              <w:szCs w:val="22"/>
              <w:lang w:val="sv-SE" w:eastAsia="en-GB"/>
            </w:rPr>
          </w:rPrChange>
        </w:rPr>
      </w:pPr>
      <w:r w:rsidRPr="00D55B59">
        <w:rPr>
          <w:rFonts w:eastAsia="SimSun"/>
          <w:szCs w:val="22"/>
          <w:lang w:eastAsia="en-GB"/>
          <w:rPrChange w:id="2247" w:author="Author">
            <w:rPr>
              <w:rFonts w:eastAsia="SimSun"/>
              <w:szCs w:val="22"/>
              <w:lang w:val="sv-SE" w:eastAsia="en-GB"/>
            </w:rPr>
          </w:rPrChange>
        </w:rPr>
        <w:t>Minervum 7061,</w:t>
      </w:r>
    </w:p>
    <w:p w14:paraId="75195E11" w14:textId="2D5B5A86" w:rsidR="00F46A98" w:rsidRPr="001775D9" w:rsidRDefault="00F46A98" w:rsidP="00A6458E">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693A9BAC" w14:textId="77777777" w:rsidR="00F46A98" w:rsidRPr="001775D9" w:rsidRDefault="00F46A98" w:rsidP="00A6458E">
      <w:pPr>
        <w:spacing w:line="240" w:lineRule="auto"/>
        <w:rPr>
          <w:szCs w:val="22"/>
        </w:rPr>
      </w:pPr>
      <w:r w:rsidRPr="001775D9">
        <w:rPr>
          <w:rFonts w:eastAsia="SimSun"/>
          <w:szCs w:val="22"/>
          <w:lang w:eastAsia="en-GB"/>
        </w:rPr>
        <w:t>The Netherlands</w:t>
      </w:r>
      <w:r w:rsidRPr="001775D9">
        <w:rPr>
          <w:i/>
          <w:szCs w:val="22"/>
        </w:rPr>
        <w:t xml:space="preserve"> </w:t>
      </w:r>
    </w:p>
    <w:p w14:paraId="08730C19" w14:textId="77777777" w:rsidR="00F46A98" w:rsidRPr="001775D9" w:rsidRDefault="00F46A98" w:rsidP="00B61D9D">
      <w:pPr>
        <w:spacing w:line="240" w:lineRule="auto"/>
        <w:rPr>
          <w:szCs w:val="22"/>
        </w:rPr>
      </w:pPr>
    </w:p>
    <w:p w14:paraId="40A3E32A" w14:textId="77777777" w:rsidR="00F46A98" w:rsidRPr="001775D9" w:rsidRDefault="00F46A98" w:rsidP="00B61D9D">
      <w:pPr>
        <w:spacing w:line="240" w:lineRule="auto"/>
        <w:rPr>
          <w:szCs w:val="22"/>
        </w:rPr>
      </w:pPr>
    </w:p>
    <w:p w14:paraId="6A4E920E" w14:textId="2B81DE6D" w:rsidR="00C42229" w:rsidRPr="00A166A8"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lang w:val="fr-FR"/>
        </w:rPr>
      </w:pPr>
      <w:r w:rsidRPr="00A166A8">
        <w:rPr>
          <w:b/>
          <w:szCs w:val="22"/>
          <w:lang w:val="fr-FR"/>
        </w:rPr>
        <w:t>12.</w:t>
      </w:r>
      <w:r w:rsidRPr="00A166A8">
        <w:rPr>
          <w:b/>
          <w:szCs w:val="22"/>
          <w:lang w:val="fr-FR"/>
        </w:rPr>
        <w:tab/>
        <w:t>MARKETING AUTHORISATION NUMBER(S)</w:t>
      </w:r>
      <w:r w:rsidR="001C55FB" w:rsidRPr="001775D9">
        <w:rPr>
          <w:b/>
          <w:szCs w:val="22"/>
        </w:rPr>
        <w:fldChar w:fldCharType="begin"/>
      </w:r>
      <w:r w:rsidR="001C55FB" w:rsidRPr="00A166A8">
        <w:rPr>
          <w:b/>
          <w:szCs w:val="22"/>
          <w:lang w:val="fr-FR"/>
        </w:rPr>
        <w:instrText xml:space="preserve"> DOCVARIABLE VAULT_ND_83dceb41-853d-4e45-87dd-de03926698d9 \* MERGEFORMAT </w:instrText>
      </w:r>
      <w:r w:rsidR="001C55FB" w:rsidRPr="001775D9">
        <w:rPr>
          <w:b/>
          <w:szCs w:val="22"/>
        </w:rPr>
        <w:fldChar w:fldCharType="separate"/>
      </w:r>
      <w:r w:rsidR="001C55FB" w:rsidRPr="00A166A8">
        <w:rPr>
          <w:b/>
          <w:szCs w:val="22"/>
          <w:lang w:val="fr-FR"/>
        </w:rPr>
        <w:t xml:space="preserve"> </w:t>
      </w:r>
      <w:r w:rsidR="001C55FB" w:rsidRPr="001775D9">
        <w:rPr>
          <w:b/>
          <w:szCs w:val="22"/>
        </w:rPr>
        <w:fldChar w:fldCharType="end"/>
      </w:r>
    </w:p>
    <w:p w14:paraId="63460E15" w14:textId="77777777" w:rsidR="00C42229" w:rsidRPr="00A166A8" w:rsidRDefault="00C42229" w:rsidP="00B61D9D">
      <w:pPr>
        <w:spacing w:line="240" w:lineRule="auto"/>
        <w:rPr>
          <w:szCs w:val="22"/>
          <w:lang w:val="fr-FR"/>
        </w:rPr>
      </w:pPr>
    </w:p>
    <w:p w14:paraId="11972428" w14:textId="5508C942" w:rsidR="00F46A98" w:rsidRPr="00D55B59" w:rsidRDefault="00CD755D" w:rsidP="00A6458E">
      <w:pPr>
        <w:spacing w:line="240" w:lineRule="auto"/>
        <w:outlineLvl w:val="0"/>
        <w:rPr>
          <w:szCs w:val="22"/>
          <w:lang w:val="fr-FR"/>
          <w:rPrChange w:id="2248" w:author="Author">
            <w:rPr>
              <w:szCs w:val="22"/>
              <w:lang w:val="pt-PT"/>
            </w:rPr>
          </w:rPrChange>
        </w:rPr>
      </w:pPr>
      <w:r w:rsidRPr="00D55B59">
        <w:rPr>
          <w:color w:val="000000"/>
          <w:lang w:val="fr-FR"/>
          <w:rPrChange w:id="2249" w:author="Author">
            <w:rPr>
              <w:color w:val="000000"/>
              <w:lang w:val="pt-PT"/>
            </w:rPr>
          </w:rPrChange>
        </w:rPr>
        <w:t xml:space="preserve">EU/1/16/1164/006 </w:t>
      </w:r>
      <w:r w:rsidR="00F46A98" w:rsidRPr="00D55B59">
        <w:rPr>
          <w:szCs w:val="22"/>
          <w:highlight w:val="lightGray"/>
          <w:lang w:val="fr-FR"/>
          <w:rPrChange w:id="2250" w:author="Author">
            <w:rPr>
              <w:szCs w:val="22"/>
              <w:highlight w:val="lightGray"/>
              <w:lang w:val="pt-PT"/>
            </w:rPr>
          </w:rPrChange>
        </w:rPr>
        <w:t>1 pack</w:t>
      </w:r>
      <w:r w:rsidR="001C55FB" w:rsidRPr="00D55B59">
        <w:rPr>
          <w:szCs w:val="22"/>
          <w:highlight w:val="lightGray"/>
          <w:rPrChange w:id="2251" w:author="Author">
            <w:rPr>
              <w:szCs w:val="22"/>
              <w:highlight w:val="lightGray"/>
              <w:lang w:val="pt-PT"/>
            </w:rPr>
          </w:rPrChange>
        </w:rPr>
        <w:fldChar w:fldCharType="begin"/>
      </w:r>
      <w:r w:rsidR="001C55FB" w:rsidRPr="00D55B59">
        <w:rPr>
          <w:szCs w:val="22"/>
          <w:highlight w:val="lightGray"/>
          <w:lang w:val="fr-FR"/>
          <w:rPrChange w:id="2252" w:author="Author">
            <w:rPr>
              <w:szCs w:val="22"/>
              <w:highlight w:val="lightGray"/>
              <w:lang w:val="pt-PT"/>
            </w:rPr>
          </w:rPrChange>
        </w:rPr>
        <w:instrText xml:space="preserve"> DOCVARIABLE vault_nd_ae0544be-d6f0-48d7-aaa6-00d535693aa5 \* MERGEFORMAT </w:instrText>
      </w:r>
      <w:r w:rsidR="001C55FB" w:rsidRPr="00D55B59">
        <w:rPr>
          <w:szCs w:val="22"/>
          <w:highlight w:val="lightGray"/>
          <w:rPrChange w:id="2253" w:author="Author">
            <w:rPr>
              <w:szCs w:val="22"/>
              <w:highlight w:val="lightGray"/>
              <w:lang w:val="pt-PT"/>
            </w:rPr>
          </w:rPrChange>
        </w:rPr>
        <w:fldChar w:fldCharType="separate"/>
      </w:r>
      <w:r w:rsidR="001C55FB" w:rsidRPr="00D55B59">
        <w:rPr>
          <w:szCs w:val="22"/>
          <w:highlight w:val="lightGray"/>
          <w:lang w:val="fr-FR"/>
          <w:rPrChange w:id="2254" w:author="Author">
            <w:rPr>
              <w:szCs w:val="22"/>
              <w:highlight w:val="lightGray"/>
              <w:lang w:val="pt-PT"/>
            </w:rPr>
          </w:rPrChange>
        </w:rPr>
        <w:t xml:space="preserve"> </w:t>
      </w:r>
      <w:r w:rsidR="001C55FB" w:rsidRPr="00D55B59">
        <w:rPr>
          <w:szCs w:val="22"/>
          <w:highlight w:val="lightGray"/>
          <w:rPrChange w:id="2255" w:author="Author">
            <w:rPr>
              <w:szCs w:val="22"/>
              <w:highlight w:val="lightGray"/>
              <w:lang w:val="pt-PT"/>
            </w:rPr>
          </w:rPrChange>
        </w:rPr>
        <w:fldChar w:fldCharType="end"/>
      </w:r>
    </w:p>
    <w:p w14:paraId="6E52D4EA" w14:textId="3CD2D3A8" w:rsidR="00F46A98" w:rsidRPr="00D55B59" w:rsidRDefault="00CD755D" w:rsidP="00A6458E">
      <w:pPr>
        <w:spacing w:line="240" w:lineRule="auto"/>
        <w:outlineLvl w:val="0"/>
        <w:rPr>
          <w:szCs w:val="22"/>
          <w:highlight w:val="lightGray"/>
          <w:lang w:val="fr-FR"/>
          <w:rPrChange w:id="2256" w:author="Author">
            <w:rPr>
              <w:szCs w:val="22"/>
              <w:highlight w:val="lightGray"/>
              <w:lang w:val="pt-PT"/>
            </w:rPr>
          </w:rPrChange>
        </w:rPr>
      </w:pPr>
      <w:r w:rsidRPr="00D55B59">
        <w:rPr>
          <w:color w:val="000000"/>
          <w:highlight w:val="lightGray"/>
          <w:lang w:val="fr-FR"/>
          <w:rPrChange w:id="2257" w:author="Author">
            <w:rPr>
              <w:color w:val="000000"/>
              <w:highlight w:val="lightGray"/>
              <w:lang w:val="pt-PT"/>
            </w:rPr>
          </w:rPrChange>
        </w:rPr>
        <w:t xml:space="preserve">EU/1/16/1164/007 </w:t>
      </w:r>
      <w:r w:rsidR="00F46A98" w:rsidRPr="00D55B59">
        <w:rPr>
          <w:szCs w:val="22"/>
          <w:highlight w:val="lightGray"/>
          <w:lang w:val="fr-FR"/>
          <w:rPrChange w:id="2258" w:author="Author">
            <w:rPr>
              <w:szCs w:val="22"/>
              <w:highlight w:val="lightGray"/>
              <w:lang w:val="pt-PT"/>
            </w:rPr>
          </w:rPrChange>
        </w:rPr>
        <w:t>2 pack</w:t>
      </w:r>
      <w:r w:rsidR="001C55FB" w:rsidRPr="00D55B59">
        <w:rPr>
          <w:szCs w:val="22"/>
          <w:highlight w:val="lightGray"/>
          <w:rPrChange w:id="2259" w:author="Author">
            <w:rPr>
              <w:szCs w:val="22"/>
              <w:highlight w:val="lightGray"/>
              <w:lang w:val="pt-PT"/>
            </w:rPr>
          </w:rPrChange>
        </w:rPr>
        <w:fldChar w:fldCharType="begin"/>
      </w:r>
      <w:r w:rsidR="001C55FB" w:rsidRPr="00D55B59">
        <w:rPr>
          <w:szCs w:val="22"/>
          <w:highlight w:val="lightGray"/>
          <w:lang w:val="fr-FR"/>
          <w:rPrChange w:id="2260" w:author="Author">
            <w:rPr>
              <w:szCs w:val="22"/>
              <w:highlight w:val="lightGray"/>
              <w:lang w:val="pt-PT"/>
            </w:rPr>
          </w:rPrChange>
        </w:rPr>
        <w:instrText xml:space="preserve"> DOCVARIABLE vault_nd_bd5b53bb-39ff-4ad2-8f01-2f17e023dfbf \* MERGEFORMAT </w:instrText>
      </w:r>
      <w:r w:rsidR="001C55FB" w:rsidRPr="00D55B59">
        <w:rPr>
          <w:szCs w:val="22"/>
          <w:highlight w:val="lightGray"/>
          <w:rPrChange w:id="2261" w:author="Author">
            <w:rPr>
              <w:szCs w:val="22"/>
              <w:highlight w:val="lightGray"/>
              <w:lang w:val="pt-PT"/>
            </w:rPr>
          </w:rPrChange>
        </w:rPr>
        <w:fldChar w:fldCharType="separate"/>
      </w:r>
      <w:r w:rsidR="001C55FB" w:rsidRPr="00D55B59">
        <w:rPr>
          <w:szCs w:val="22"/>
          <w:highlight w:val="lightGray"/>
          <w:lang w:val="fr-FR"/>
          <w:rPrChange w:id="2262" w:author="Author">
            <w:rPr>
              <w:szCs w:val="22"/>
              <w:highlight w:val="lightGray"/>
              <w:lang w:val="pt-PT"/>
            </w:rPr>
          </w:rPrChange>
        </w:rPr>
        <w:t xml:space="preserve"> </w:t>
      </w:r>
      <w:r w:rsidR="001C55FB" w:rsidRPr="00D55B59">
        <w:rPr>
          <w:szCs w:val="22"/>
          <w:highlight w:val="lightGray"/>
          <w:rPrChange w:id="2263" w:author="Author">
            <w:rPr>
              <w:szCs w:val="22"/>
              <w:highlight w:val="lightGray"/>
              <w:lang w:val="pt-PT"/>
            </w:rPr>
          </w:rPrChange>
        </w:rPr>
        <w:fldChar w:fldCharType="end"/>
      </w:r>
    </w:p>
    <w:p w14:paraId="7ABF12A9" w14:textId="6785D6BE" w:rsidR="00F46A98" w:rsidRPr="00D55B59" w:rsidRDefault="00CD755D" w:rsidP="00A6458E">
      <w:pPr>
        <w:spacing w:line="240" w:lineRule="auto"/>
        <w:outlineLvl w:val="0"/>
        <w:rPr>
          <w:szCs w:val="22"/>
          <w:highlight w:val="lightGray"/>
          <w:lang w:val="fr-FR"/>
          <w:rPrChange w:id="2264" w:author="Author">
            <w:rPr>
              <w:szCs w:val="22"/>
              <w:highlight w:val="lightGray"/>
              <w:lang w:val="pt-PT"/>
            </w:rPr>
          </w:rPrChange>
        </w:rPr>
      </w:pPr>
      <w:r w:rsidRPr="00D55B59">
        <w:rPr>
          <w:color w:val="000000"/>
          <w:highlight w:val="lightGray"/>
          <w:lang w:val="fr-FR"/>
          <w:rPrChange w:id="2265" w:author="Author">
            <w:rPr>
              <w:color w:val="000000"/>
              <w:highlight w:val="lightGray"/>
              <w:lang w:val="pt-PT"/>
            </w:rPr>
          </w:rPrChange>
        </w:rPr>
        <w:t xml:space="preserve">EU/1/16/1164/008 </w:t>
      </w:r>
      <w:r w:rsidR="00F46A98" w:rsidRPr="00D55B59">
        <w:rPr>
          <w:szCs w:val="22"/>
          <w:highlight w:val="lightGray"/>
          <w:lang w:val="fr-FR"/>
          <w:rPrChange w:id="2266" w:author="Author">
            <w:rPr>
              <w:szCs w:val="22"/>
              <w:highlight w:val="lightGray"/>
              <w:lang w:val="pt-PT"/>
            </w:rPr>
          </w:rPrChange>
        </w:rPr>
        <w:t>4 pack</w:t>
      </w:r>
      <w:r w:rsidR="001C55FB" w:rsidRPr="00D55B59">
        <w:rPr>
          <w:szCs w:val="22"/>
          <w:highlight w:val="lightGray"/>
          <w:rPrChange w:id="2267" w:author="Author">
            <w:rPr>
              <w:szCs w:val="22"/>
              <w:highlight w:val="lightGray"/>
              <w:lang w:val="pt-PT"/>
            </w:rPr>
          </w:rPrChange>
        </w:rPr>
        <w:fldChar w:fldCharType="begin"/>
      </w:r>
      <w:r w:rsidR="001C55FB" w:rsidRPr="00D55B59">
        <w:rPr>
          <w:szCs w:val="22"/>
          <w:highlight w:val="lightGray"/>
          <w:lang w:val="fr-FR"/>
          <w:rPrChange w:id="2268" w:author="Author">
            <w:rPr>
              <w:szCs w:val="22"/>
              <w:highlight w:val="lightGray"/>
              <w:lang w:val="pt-PT"/>
            </w:rPr>
          </w:rPrChange>
        </w:rPr>
        <w:instrText xml:space="preserve"> DOCVARIABLE vault_nd_58294c92-1dec-41ab-8e48-323e06127f6a \* MERGEFORMAT </w:instrText>
      </w:r>
      <w:r w:rsidR="001C55FB" w:rsidRPr="00D55B59">
        <w:rPr>
          <w:szCs w:val="22"/>
          <w:highlight w:val="lightGray"/>
          <w:rPrChange w:id="2269" w:author="Author">
            <w:rPr>
              <w:szCs w:val="22"/>
              <w:highlight w:val="lightGray"/>
              <w:lang w:val="pt-PT"/>
            </w:rPr>
          </w:rPrChange>
        </w:rPr>
        <w:fldChar w:fldCharType="separate"/>
      </w:r>
      <w:r w:rsidR="001C55FB" w:rsidRPr="00D55B59">
        <w:rPr>
          <w:szCs w:val="22"/>
          <w:highlight w:val="lightGray"/>
          <w:lang w:val="fr-FR"/>
          <w:rPrChange w:id="2270" w:author="Author">
            <w:rPr>
              <w:szCs w:val="22"/>
              <w:highlight w:val="lightGray"/>
              <w:lang w:val="pt-PT"/>
            </w:rPr>
          </w:rPrChange>
        </w:rPr>
        <w:t xml:space="preserve"> </w:t>
      </w:r>
      <w:r w:rsidR="001C55FB" w:rsidRPr="00D55B59">
        <w:rPr>
          <w:szCs w:val="22"/>
          <w:highlight w:val="lightGray"/>
          <w:rPrChange w:id="2271" w:author="Author">
            <w:rPr>
              <w:szCs w:val="22"/>
              <w:highlight w:val="lightGray"/>
              <w:lang w:val="pt-PT"/>
            </w:rPr>
          </w:rPrChange>
        </w:rPr>
        <w:fldChar w:fldCharType="end"/>
      </w:r>
    </w:p>
    <w:p w14:paraId="0F3BCEC4" w14:textId="77777777" w:rsidR="00C42229" w:rsidRPr="00A166A8" w:rsidRDefault="00C42229" w:rsidP="00B61D9D">
      <w:pPr>
        <w:spacing w:line="240" w:lineRule="auto"/>
        <w:rPr>
          <w:szCs w:val="22"/>
          <w:lang w:val="fr-FR"/>
        </w:rPr>
      </w:pPr>
    </w:p>
    <w:p w14:paraId="0477E1F0" w14:textId="77777777" w:rsidR="00C42229" w:rsidRPr="00A166A8" w:rsidRDefault="00C42229" w:rsidP="00B61D9D">
      <w:pPr>
        <w:spacing w:line="240" w:lineRule="auto"/>
        <w:rPr>
          <w:szCs w:val="22"/>
          <w:lang w:val="fr-FR"/>
        </w:rPr>
      </w:pPr>
    </w:p>
    <w:p w14:paraId="06237887" w14:textId="5F681290"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VAULT_ND_b88f01b0-dcdd-4199-abfb-1513b2add970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9D37956" w14:textId="77777777" w:rsidR="00C42229" w:rsidRPr="001775D9" w:rsidRDefault="00C42229" w:rsidP="00B61D9D">
      <w:pPr>
        <w:spacing w:line="240" w:lineRule="auto"/>
        <w:rPr>
          <w:i/>
          <w:szCs w:val="22"/>
        </w:rPr>
      </w:pPr>
    </w:p>
    <w:p w14:paraId="60E284BF" w14:textId="77777777" w:rsidR="00C42229" w:rsidRPr="001775D9" w:rsidRDefault="00C42229" w:rsidP="00B61D9D">
      <w:pPr>
        <w:spacing w:line="240" w:lineRule="auto"/>
        <w:rPr>
          <w:szCs w:val="22"/>
        </w:rPr>
      </w:pPr>
      <w:r w:rsidRPr="001775D9">
        <w:rPr>
          <w:szCs w:val="22"/>
        </w:rPr>
        <w:t>Lot</w:t>
      </w:r>
    </w:p>
    <w:p w14:paraId="6D0B8F8A" w14:textId="77777777" w:rsidR="00C42229" w:rsidRPr="001775D9" w:rsidRDefault="00C42229" w:rsidP="00B61D9D">
      <w:pPr>
        <w:spacing w:line="240" w:lineRule="auto"/>
        <w:rPr>
          <w:szCs w:val="22"/>
        </w:rPr>
      </w:pPr>
    </w:p>
    <w:p w14:paraId="6F8EA082" w14:textId="77777777" w:rsidR="00C42229" w:rsidRPr="001775D9" w:rsidRDefault="00C42229" w:rsidP="00B61D9D">
      <w:pPr>
        <w:spacing w:line="240" w:lineRule="auto"/>
        <w:rPr>
          <w:szCs w:val="22"/>
        </w:rPr>
      </w:pPr>
    </w:p>
    <w:p w14:paraId="4DB09356" w14:textId="54D47310"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VAULT_ND_ae6f26f9-1023-40b6-bca1-0746fdd4a82f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A112AAE" w14:textId="77777777" w:rsidR="00C42229" w:rsidRPr="001775D9" w:rsidRDefault="00C42229" w:rsidP="00B61D9D">
      <w:pPr>
        <w:spacing w:line="240" w:lineRule="auto"/>
        <w:rPr>
          <w:i/>
          <w:szCs w:val="22"/>
        </w:rPr>
      </w:pPr>
    </w:p>
    <w:p w14:paraId="4F9EFFEB" w14:textId="77777777" w:rsidR="00C42229" w:rsidRPr="001775D9" w:rsidRDefault="00C42229" w:rsidP="00B61D9D">
      <w:pPr>
        <w:spacing w:line="240" w:lineRule="auto"/>
        <w:rPr>
          <w:szCs w:val="22"/>
        </w:rPr>
      </w:pPr>
    </w:p>
    <w:p w14:paraId="21CCC8BE" w14:textId="2B9ECBDB" w:rsidR="00C42229" w:rsidRPr="001775D9" w:rsidRDefault="00C42229"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VAULT_ND_d239181b-e20e-484b-a47e-7ee371b7dece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83DE9DB" w14:textId="77777777" w:rsidR="00C42229" w:rsidRPr="001775D9" w:rsidRDefault="00C42229" w:rsidP="00B61D9D">
      <w:pPr>
        <w:spacing w:line="240" w:lineRule="auto"/>
        <w:rPr>
          <w:szCs w:val="22"/>
        </w:rPr>
      </w:pPr>
    </w:p>
    <w:p w14:paraId="0A413F51" w14:textId="77777777" w:rsidR="00C42229" w:rsidRPr="001775D9" w:rsidRDefault="00C42229" w:rsidP="00B61D9D">
      <w:pPr>
        <w:spacing w:line="240" w:lineRule="auto"/>
        <w:rPr>
          <w:szCs w:val="22"/>
        </w:rPr>
      </w:pPr>
    </w:p>
    <w:p w14:paraId="0426C838" w14:textId="77777777" w:rsidR="00C42229" w:rsidRPr="001775D9" w:rsidRDefault="00C42229"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5EDBABE3" w14:textId="77777777" w:rsidR="00C42229" w:rsidRPr="001775D9" w:rsidRDefault="00C42229" w:rsidP="00B61D9D">
      <w:pPr>
        <w:spacing w:line="240" w:lineRule="auto"/>
      </w:pPr>
    </w:p>
    <w:p w14:paraId="2C5E0F5D" w14:textId="17127173" w:rsidR="00C42229" w:rsidRPr="001775D9" w:rsidRDefault="00F46A98" w:rsidP="00B61D9D">
      <w:pPr>
        <w:spacing w:line="240" w:lineRule="auto"/>
      </w:pPr>
      <w:r w:rsidRPr="001775D9">
        <w:t xml:space="preserve">AMGEVITA </w:t>
      </w:r>
      <w:r w:rsidR="00C42229" w:rsidRPr="001775D9">
        <w:t>40</w:t>
      </w:r>
      <w:r w:rsidR="00662641" w:rsidRPr="001775D9">
        <w:t> </w:t>
      </w:r>
      <w:r w:rsidR="00C42229" w:rsidRPr="001775D9">
        <w:t>mg</w:t>
      </w:r>
      <w:r w:rsidR="00204623" w:rsidRPr="001775D9">
        <w:t>/0.8 mL</w:t>
      </w:r>
      <w:r w:rsidR="00C42229" w:rsidRPr="001775D9">
        <w:t xml:space="preserve"> </w:t>
      </w:r>
      <w:r w:rsidR="00B03F12" w:rsidRPr="001775D9">
        <w:t>pen</w:t>
      </w:r>
    </w:p>
    <w:p w14:paraId="2F802BD7" w14:textId="77777777" w:rsidR="001D5E0A" w:rsidRPr="00D55B59" w:rsidRDefault="001D5E0A" w:rsidP="00A6458E">
      <w:pPr>
        <w:spacing w:line="240" w:lineRule="auto"/>
        <w:rPr>
          <w:szCs w:val="22"/>
          <w:shd w:val="clear" w:color="auto" w:fill="CCCCCC"/>
          <w:rPrChange w:id="2272" w:author="Author">
            <w:rPr>
              <w:noProof/>
              <w:szCs w:val="22"/>
              <w:shd w:val="clear" w:color="auto" w:fill="CCCCCC"/>
            </w:rPr>
          </w:rPrChange>
        </w:rPr>
      </w:pPr>
    </w:p>
    <w:p w14:paraId="631EB4C4" w14:textId="77777777" w:rsidR="001D5E0A" w:rsidRPr="00D55B59" w:rsidRDefault="001D5E0A" w:rsidP="00A6458E">
      <w:pPr>
        <w:spacing w:line="240" w:lineRule="auto"/>
        <w:rPr>
          <w:szCs w:val="22"/>
          <w:shd w:val="clear" w:color="auto" w:fill="CCCCCC"/>
          <w:rPrChange w:id="2273" w:author="Author">
            <w:rPr>
              <w:noProof/>
              <w:szCs w:val="22"/>
              <w:shd w:val="clear" w:color="auto" w:fill="CCCCCC"/>
            </w:rPr>
          </w:rPrChange>
        </w:rPr>
      </w:pPr>
    </w:p>
    <w:p w14:paraId="2C099EFE" w14:textId="77777777" w:rsidR="001D5E0A" w:rsidRPr="00D55B59" w:rsidRDefault="001D5E0A" w:rsidP="00A6458E">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274" w:author="Author">
            <w:rPr>
              <w:i/>
              <w:noProof/>
            </w:rPr>
          </w:rPrChange>
        </w:rPr>
      </w:pPr>
      <w:r w:rsidRPr="00D55B59">
        <w:rPr>
          <w:b/>
          <w:rPrChange w:id="2275" w:author="Author">
            <w:rPr>
              <w:b/>
              <w:noProof/>
            </w:rPr>
          </w:rPrChange>
        </w:rPr>
        <w:t>17.</w:t>
      </w:r>
      <w:r w:rsidRPr="00D55B59">
        <w:rPr>
          <w:b/>
          <w:rPrChange w:id="2276" w:author="Author">
            <w:rPr>
              <w:b/>
              <w:noProof/>
            </w:rPr>
          </w:rPrChange>
        </w:rPr>
        <w:tab/>
        <w:t>UNIQUE IDENTIFIER – 2D BARCODE</w:t>
      </w:r>
    </w:p>
    <w:p w14:paraId="08253D4F" w14:textId="77777777" w:rsidR="001D5E0A" w:rsidRPr="00D55B59" w:rsidRDefault="001D5E0A" w:rsidP="00A6458E">
      <w:pPr>
        <w:tabs>
          <w:tab w:val="clear" w:pos="567"/>
        </w:tabs>
        <w:spacing w:line="240" w:lineRule="auto"/>
        <w:rPr>
          <w:rPrChange w:id="2277" w:author="Author">
            <w:rPr>
              <w:noProof/>
            </w:rPr>
          </w:rPrChange>
        </w:rPr>
      </w:pPr>
    </w:p>
    <w:p w14:paraId="17ADBAAC" w14:textId="77777777" w:rsidR="001D5E0A" w:rsidRPr="00D55B59" w:rsidRDefault="001D5E0A" w:rsidP="00A6458E">
      <w:pPr>
        <w:spacing w:line="240" w:lineRule="auto"/>
        <w:rPr>
          <w:szCs w:val="22"/>
          <w:shd w:val="clear" w:color="auto" w:fill="CCCCCC"/>
          <w:rPrChange w:id="2278" w:author="Author">
            <w:rPr>
              <w:noProof/>
              <w:szCs w:val="22"/>
              <w:shd w:val="clear" w:color="auto" w:fill="CCCCCC"/>
            </w:rPr>
          </w:rPrChange>
        </w:rPr>
      </w:pPr>
      <w:r w:rsidRPr="00D55B59">
        <w:rPr>
          <w:highlight w:val="lightGray"/>
          <w:rPrChange w:id="2279" w:author="Author">
            <w:rPr>
              <w:noProof/>
              <w:highlight w:val="lightGray"/>
            </w:rPr>
          </w:rPrChange>
        </w:rPr>
        <w:t>2D barcode carrying the unique identifier included.</w:t>
      </w:r>
    </w:p>
    <w:p w14:paraId="7EDF0A15" w14:textId="77777777" w:rsidR="001D5E0A" w:rsidRPr="00D55B59" w:rsidRDefault="001D5E0A" w:rsidP="00A6458E">
      <w:pPr>
        <w:spacing w:line="240" w:lineRule="auto"/>
        <w:rPr>
          <w:szCs w:val="22"/>
          <w:shd w:val="clear" w:color="auto" w:fill="CCCCCC"/>
          <w:rPrChange w:id="2280" w:author="Author">
            <w:rPr>
              <w:noProof/>
              <w:szCs w:val="22"/>
              <w:shd w:val="clear" w:color="auto" w:fill="CCCCCC"/>
            </w:rPr>
          </w:rPrChange>
        </w:rPr>
      </w:pPr>
    </w:p>
    <w:p w14:paraId="4D92D146" w14:textId="77777777" w:rsidR="001D5E0A" w:rsidRPr="00D55B59" w:rsidRDefault="001D5E0A" w:rsidP="00A6458E">
      <w:pPr>
        <w:tabs>
          <w:tab w:val="clear" w:pos="567"/>
        </w:tabs>
        <w:spacing w:line="240" w:lineRule="auto"/>
        <w:rPr>
          <w:rPrChange w:id="2281" w:author="Author">
            <w:rPr>
              <w:noProof/>
            </w:rPr>
          </w:rPrChange>
        </w:rPr>
      </w:pPr>
    </w:p>
    <w:p w14:paraId="147337D5" w14:textId="77777777" w:rsidR="001D5E0A" w:rsidRPr="00D55B59" w:rsidRDefault="001D5E0A" w:rsidP="00A6458E">
      <w:pPr>
        <w:keepNext/>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282" w:author="Author">
            <w:rPr>
              <w:i/>
              <w:noProof/>
            </w:rPr>
          </w:rPrChange>
        </w:rPr>
      </w:pPr>
      <w:r w:rsidRPr="00D55B59">
        <w:rPr>
          <w:b/>
          <w:rPrChange w:id="2283" w:author="Author">
            <w:rPr>
              <w:b/>
              <w:noProof/>
            </w:rPr>
          </w:rPrChange>
        </w:rPr>
        <w:t>18.</w:t>
      </w:r>
      <w:r w:rsidRPr="00D55B59">
        <w:rPr>
          <w:b/>
          <w:rPrChange w:id="2284" w:author="Author">
            <w:rPr>
              <w:b/>
              <w:noProof/>
            </w:rPr>
          </w:rPrChange>
        </w:rPr>
        <w:tab/>
        <w:t xml:space="preserve">UNIQUE IDENTIFIER </w:t>
      </w:r>
      <w:r w:rsidRPr="001775D9">
        <w:rPr>
          <w:rFonts w:eastAsia="Calibri"/>
        </w:rPr>
        <w:t>-</w:t>
      </w:r>
      <w:r w:rsidRPr="00D55B59">
        <w:rPr>
          <w:b/>
          <w:rPrChange w:id="2285" w:author="Author">
            <w:rPr>
              <w:b/>
              <w:noProof/>
            </w:rPr>
          </w:rPrChange>
        </w:rPr>
        <w:t xml:space="preserve"> HUMAN READABLE DATA</w:t>
      </w:r>
    </w:p>
    <w:p w14:paraId="2331B235" w14:textId="77777777" w:rsidR="001D5E0A" w:rsidRPr="00D55B59" w:rsidRDefault="001D5E0A" w:rsidP="00A6458E">
      <w:pPr>
        <w:keepNext/>
        <w:tabs>
          <w:tab w:val="clear" w:pos="567"/>
        </w:tabs>
        <w:spacing w:line="240" w:lineRule="auto"/>
        <w:rPr>
          <w:rPrChange w:id="2286" w:author="Author">
            <w:rPr>
              <w:noProof/>
            </w:rPr>
          </w:rPrChange>
        </w:rPr>
      </w:pPr>
    </w:p>
    <w:p w14:paraId="448E6E33" w14:textId="77777777" w:rsidR="001D5E0A" w:rsidRPr="001775D9" w:rsidRDefault="001D5E0A" w:rsidP="00A6458E">
      <w:pPr>
        <w:keepNext/>
        <w:spacing w:line="240" w:lineRule="auto"/>
        <w:rPr>
          <w:szCs w:val="22"/>
        </w:rPr>
      </w:pPr>
      <w:r w:rsidRPr="001775D9">
        <w:rPr>
          <w:szCs w:val="22"/>
        </w:rPr>
        <w:t>PC</w:t>
      </w:r>
    </w:p>
    <w:p w14:paraId="2726774A" w14:textId="77777777" w:rsidR="001D5E0A" w:rsidRPr="001775D9" w:rsidRDefault="001D5E0A" w:rsidP="00B61D9D">
      <w:pPr>
        <w:keepNext/>
        <w:spacing w:line="240" w:lineRule="auto"/>
        <w:rPr>
          <w:szCs w:val="22"/>
        </w:rPr>
      </w:pPr>
      <w:r w:rsidRPr="001775D9">
        <w:rPr>
          <w:szCs w:val="22"/>
        </w:rPr>
        <w:t>SN</w:t>
      </w:r>
    </w:p>
    <w:p w14:paraId="09BB26C8" w14:textId="77777777" w:rsidR="00D66FB1" w:rsidRPr="001775D9" w:rsidRDefault="001D5E0A" w:rsidP="00B61D9D">
      <w:pPr>
        <w:spacing w:line="240" w:lineRule="auto"/>
        <w:rPr>
          <w:szCs w:val="22"/>
        </w:rPr>
      </w:pPr>
      <w:r w:rsidRPr="001775D9">
        <w:rPr>
          <w:szCs w:val="22"/>
        </w:rPr>
        <w:t>NN</w:t>
      </w:r>
      <w:r w:rsidR="00D66FB1" w:rsidRPr="001775D9">
        <w:rPr>
          <w:szCs w:val="22"/>
        </w:rPr>
        <w:t xml:space="preserve"> </w:t>
      </w:r>
    </w:p>
    <w:p w14:paraId="3F38D6A0" w14:textId="77777777" w:rsidR="00D66FB1" w:rsidRPr="001775D9" w:rsidRDefault="00D66FB1" w:rsidP="00B61D9D">
      <w:pPr>
        <w:spacing w:line="240" w:lineRule="auto"/>
        <w:rPr>
          <w:szCs w:val="22"/>
        </w:rPr>
      </w:pPr>
      <w:r w:rsidRPr="001775D9">
        <w:br w:type="page"/>
      </w:r>
    </w:p>
    <w:p w14:paraId="028E7BB7" w14:textId="77777777" w:rsidR="00D66FB1" w:rsidRPr="001775D9" w:rsidRDefault="00D66FB1"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2F2CC8D0" w14:textId="77777777" w:rsidR="00D66FB1" w:rsidRPr="001775D9" w:rsidRDefault="00D66FB1"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6420A948" w14:textId="2B3EB0C2" w:rsidR="00D66FB1" w:rsidRPr="001775D9" w:rsidRDefault="009103D7"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OUTER</w:t>
      </w:r>
      <w:r w:rsidR="00D66FB1" w:rsidRPr="001775D9">
        <w:rPr>
          <w:b/>
          <w:szCs w:val="22"/>
        </w:rPr>
        <w:t xml:space="preserve"> CARTON </w:t>
      </w:r>
      <w:r w:rsidRPr="001775D9">
        <w:rPr>
          <w:b/>
          <w:szCs w:val="22"/>
        </w:rPr>
        <w:t xml:space="preserve">FOR </w:t>
      </w:r>
      <w:r w:rsidR="00D66FB1" w:rsidRPr="001775D9">
        <w:rPr>
          <w:b/>
          <w:szCs w:val="22"/>
        </w:rPr>
        <w:t xml:space="preserve">PRE-FILLED PEN </w:t>
      </w:r>
      <w:r w:rsidRPr="001775D9">
        <w:rPr>
          <w:b/>
          <w:szCs w:val="22"/>
        </w:rPr>
        <w:t xml:space="preserve">MULTIPACK </w:t>
      </w:r>
      <w:r w:rsidR="00D66FB1" w:rsidRPr="001775D9">
        <w:rPr>
          <w:b/>
          <w:szCs w:val="22"/>
        </w:rPr>
        <w:t>(with blue box)</w:t>
      </w:r>
    </w:p>
    <w:p w14:paraId="540B1834" w14:textId="77777777" w:rsidR="00D66FB1" w:rsidRPr="001775D9" w:rsidRDefault="00D66FB1" w:rsidP="00B61D9D">
      <w:pPr>
        <w:keepNext/>
        <w:spacing w:line="240" w:lineRule="auto"/>
      </w:pPr>
    </w:p>
    <w:p w14:paraId="48AC760E" w14:textId="77777777" w:rsidR="00D66FB1" w:rsidRPr="001775D9" w:rsidRDefault="00D66FB1" w:rsidP="00B61D9D">
      <w:pPr>
        <w:keepNext/>
        <w:spacing w:line="240" w:lineRule="auto"/>
        <w:rPr>
          <w:szCs w:val="22"/>
        </w:rPr>
      </w:pPr>
    </w:p>
    <w:p w14:paraId="1B39D7E5" w14:textId="54F45191" w:rsidR="00D66FB1" w:rsidRPr="001775D9" w:rsidRDefault="00D66FB1"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VAULT_ND_a3824d06-2bf0-4d19-9b76-789781c324fa \* MERGEFORMAT </w:instrText>
      </w:r>
      <w:r w:rsidR="001C55FB" w:rsidRPr="001775D9">
        <w:rPr>
          <w:b/>
        </w:rPr>
        <w:fldChar w:fldCharType="separate"/>
      </w:r>
      <w:r w:rsidR="001C55FB" w:rsidRPr="001775D9">
        <w:rPr>
          <w:b/>
        </w:rPr>
        <w:t xml:space="preserve"> </w:t>
      </w:r>
      <w:r w:rsidR="001C55FB" w:rsidRPr="001775D9">
        <w:rPr>
          <w:b/>
        </w:rPr>
        <w:fldChar w:fldCharType="end"/>
      </w:r>
    </w:p>
    <w:p w14:paraId="151C39BF" w14:textId="77777777" w:rsidR="00D66FB1" w:rsidRPr="001775D9" w:rsidRDefault="00D66FB1" w:rsidP="00B61D9D">
      <w:pPr>
        <w:keepNext/>
        <w:spacing w:line="240" w:lineRule="auto"/>
        <w:rPr>
          <w:szCs w:val="22"/>
        </w:rPr>
      </w:pPr>
    </w:p>
    <w:p w14:paraId="76E007C9" w14:textId="77777777" w:rsidR="00D66FB1" w:rsidRPr="001775D9" w:rsidRDefault="00D66FB1" w:rsidP="00B61D9D">
      <w:pPr>
        <w:keepNext/>
        <w:spacing w:line="240" w:lineRule="auto"/>
        <w:rPr>
          <w:szCs w:val="22"/>
        </w:rPr>
      </w:pPr>
      <w:r w:rsidRPr="001775D9">
        <w:rPr>
          <w:szCs w:val="22"/>
        </w:rPr>
        <w:t>AMGEVITA 40 mg solution for injection in pre-filled pen</w:t>
      </w:r>
    </w:p>
    <w:p w14:paraId="0B979B17" w14:textId="77777777" w:rsidR="00D66FB1" w:rsidRPr="001775D9" w:rsidRDefault="00D66FB1" w:rsidP="00B61D9D">
      <w:pPr>
        <w:keepNext/>
        <w:spacing w:line="240" w:lineRule="auto"/>
        <w:rPr>
          <w:szCs w:val="22"/>
        </w:rPr>
      </w:pPr>
      <w:r w:rsidRPr="001775D9">
        <w:t>adalimumab</w:t>
      </w:r>
    </w:p>
    <w:p w14:paraId="52257894" w14:textId="77777777" w:rsidR="00D66FB1" w:rsidRPr="001775D9" w:rsidRDefault="00D66FB1" w:rsidP="00B61D9D">
      <w:pPr>
        <w:keepNext/>
        <w:spacing w:line="240" w:lineRule="auto"/>
        <w:rPr>
          <w:szCs w:val="22"/>
        </w:rPr>
      </w:pPr>
    </w:p>
    <w:p w14:paraId="028F9A97" w14:textId="77777777" w:rsidR="00D66FB1" w:rsidRPr="001775D9" w:rsidRDefault="00D66FB1" w:rsidP="00B61D9D">
      <w:pPr>
        <w:keepNext/>
        <w:spacing w:line="240" w:lineRule="auto"/>
        <w:rPr>
          <w:szCs w:val="22"/>
        </w:rPr>
      </w:pPr>
    </w:p>
    <w:p w14:paraId="5A2A37A5" w14:textId="1B0BF227" w:rsidR="00D66FB1" w:rsidRPr="001775D9" w:rsidRDefault="00D66FB1"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VAULT_ND_8b772e56-0a15-4716-828b-e0ad98ebe9b1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0A595E7" w14:textId="77777777" w:rsidR="00D66FB1" w:rsidRPr="001775D9" w:rsidRDefault="00D66FB1" w:rsidP="00B61D9D">
      <w:pPr>
        <w:spacing w:line="240" w:lineRule="auto"/>
        <w:rPr>
          <w:szCs w:val="22"/>
        </w:rPr>
      </w:pPr>
    </w:p>
    <w:p w14:paraId="0B748B0C" w14:textId="77777777" w:rsidR="00D66FB1" w:rsidRPr="001775D9" w:rsidRDefault="00D66FB1" w:rsidP="00B61D9D">
      <w:pPr>
        <w:spacing w:line="240" w:lineRule="auto"/>
        <w:rPr>
          <w:szCs w:val="22"/>
        </w:rPr>
      </w:pPr>
      <w:r w:rsidRPr="001775D9">
        <w:rPr>
          <w:szCs w:val="22"/>
          <w:lang w:eastAsia="en-GB"/>
        </w:rPr>
        <w:t xml:space="preserve">Each pre-filled pen contains 40 mg of adalimumab </w:t>
      </w:r>
      <w:r w:rsidRPr="001775D9">
        <w:rPr>
          <w:szCs w:val="22"/>
        </w:rPr>
        <w:t>in 0.8 mL of solution.</w:t>
      </w:r>
    </w:p>
    <w:p w14:paraId="110713D1" w14:textId="77777777" w:rsidR="00D66FB1" w:rsidRPr="001775D9" w:rsidRDefault="00D66FB1" w:rsidP="00B61D9D">
      <w:pPr>
        <w:spacing w:line="240" w:lineRule="auto"/>
        <w:rPr>
          <w:szCs w:val="22"/>
        </w:rPr>
      </w:pPr>
    </w:p>
    <w:p w14:paraId="57900534" w14:textId="77777777" w:rsidR="00D66FB1" w:rsidRPr="001775D9" w:rsidRDefault="00D66FB1" w:rsidP="00B61D9D">
      <w:pPr>
        <w:spacing w:line="240" w:lineRule="auto"/>
        <w:rPr>
          <w:szCs w:val="22"/>
        </w:rPr>
      </w:pPr>
    </w:p>
    <w:p w14:paraId="4B247248" w14:textId="602E1C0F"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VAULT_ND_f0dde8e0-e944-4f4e-9868-a9947c53066d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0411E8E" w14:textId="77777777" w:rsidR="00D66FB1" w:rsidRPr="001775D9" w:rsidRDefault="00D66FB1" w:rsidP="00B61D9D">
      <w:pPr>
        <w:spacing w:line="240" w:lineRule="auto"/>
        <w:rPr>
          <w:szCs w:val="22"/>
        </w:rPr>
      </w:pPr>
    </w:p>
    <w:p w14:paraId="6D3E04BA" w14:textId="1F4A878A" w:rsidR="00D66FB1" w:rsidRPr="001775D9" w:rsidRDefault="00D66FB1" w:rsidP="00A6458E">
      <w:pPr>
        <w:tabs>
          <w:tab w:val="clear" w:pos="567"/>
        </w:tabs>
        <w:autoSpaceDE w:val="0"/>
        <w:autoSpaceDN w:val="0"/>
        <w:adjustRightInd w:val="0"/>
        <w:spacing w:line="240" w:lineRule="auto"/>
        <w:rPr>
          <w:szCs w:val="22"/>
          <w:lang w:eastAsia="en-GB"/>
        </w:rPr>
      </w:pPr>
      <w:r w:rsidRPr="001775D9">
        <w:rPr>
          <w:szCs w:val="22"/>
          <w:lang w:eastAsia="en-GB"/>
        </w:rPr>
        <w:t>Glacial acetic acid</w:t>
      </w:r>
      <w:r w:rsidRPr="001775D9">
        <w:rPr>
          <w:szCs w:val="22"/>
        </w:rPr>
        <w:t>, sucrose</w:t>
      </w:r>
      <w:r w:rsidRPr="001775D9">
        <w:rPr>
          <w:szCs w:val="22"/>
          <w:lang w:eastAsia="en-GB"/>
        </w:rPr>
        <w:t>, polysorbate 80, sodium hydroxide and water for injection</w:t>
      </w:r>
      <w:r w:rsidR="00503B55" w:rsidRPr="001775D9">
        <w:rPr>
          <w:szCs w:val="22"/>
          <w:lang w:eastAsia="en-GB"/>
        </w:rPr>
        <w:t>s</w:t>
      </w:r>
      <w:r w:rsidRPr="001775D9">
        <w:rPr>
          <w:szCs w:val="22"/>
          <w:lang w:eastAsia="en-GB"/>
        </w:rPr>
        <w:t>.</w:t>
      </w:r>
    </w:p>
    <w:p w14:paraId="7F4836EC" w14:textId="77777777" w:rsidR="00D66FB1" w:rsidRPr="001775D9" w:rsidRDefault="00D66FB1" w:rsidP="00B61D9D">
      <w:pPr>
        <w:spacing w:line="240" w:lineRule="auto"/>
        <w:rPr>
          <w:szCs w:val="22"/>
        </w:rPr>
      </w:pPr>
    </w:p>
    <w:p w14:paraId="106FF68C" w14:textId="77777777" w:rsidR="00D66FB1" w:rsidRPr="001775D9" w:rsidRDefault="00D66FB1" w:rsidP="00B61D9D">
      <w:pPr>
        <w:spacing w:line="240" w:lineRule="auto"/>
        <w:rPr>
          <w:szCs w:val="22"/>
        </w:rPr>
      </w:pPr>
    </w:p>
    <w:p w14:paraId="3252013F" w14:textId="5A974075"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VAULT_ND_ac8eae42-2841-41f4-9b1f-5004e66a82a6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F06A40F" w14:textId="77777777" w:rsidR="00D66FB1" w:rsidRPr="001775D9" w:rsidRDefault="00D66FB1" w:rsidP="00B61D9D">
      <w:pPr>
        <w:spacing w:line="240" w:lineRule="auto"/>
        <w:rPr>
          <w:szCs w:val="22"/>
        </w:rPr>
      </w:pPr>
    </w:p>
    <w:p w14:paraId="0CD08295" w14:textId="1F0FBAAD" w:rsidR="00D66FB1" w:rsidRPr="001775D9" w:rsidRDefault="00D66FB1" w:rsidP="00A6458E">
      <w:pPr>
        <w:tabs>
          <w:tab w:val="clear" w:pos="567"/>
        </w:tabs>
        <w:autoSpaceDE w:val="0"/>
        <w:autoSpaceDN w:val="0"/>
        <w:adjustRightInd w:val="0"/>
        <w:spacing w:line="240" w:lineRule="auto"/>
        <w:rPr>
          <w:szCs w:val="22"/>
          <w:shd w:val="pct15" w:color="auto" w:fill="FFFFFF"/>
          <w:lang w:eastAsia="en-GB"/>
        </w:rPr>
      </w:pPr>
      <w:r w:rsidRPr="001775D9">
        <w:rPr>
          <w:szCs w:val="22"/>
          <w:shd w:val="pct15" w:color="auto" w:fill="FFFFFF"/>
          <w:lang w:eastAsia="en-GB"/>
        </w:rPr>
        <w:t>Solution for injection</w:t>
      </w:r>
    </w:p>
    <w:p w14:paraId="16E75004" w14:textId="4E9E25F8" w:rsidR="00204623" w:rsidRPr="001775D9" w:rsidRDefault="00204623" w:rsidP="00A6458E">
      <w:pPr>
        <w:spacing w:line="240" w:lineRule="auto"/>
        <w:rPr>
          <w:szCs w:val="22"/>
        </w:rPr>
      </w:pPr>
      <w:r w:rsidRPr="001775D9">
        <w:rPr>
          <w:szCs w:val="22"/>
        </w:rPr>
        <w:t>40 mg/0.8 mL</w:t>
      </w:r>
    </w:p>
    <w:p w14:paraId="362E4B45" w14:textId="25BB20D5" w:rsidR="00D66FB1" w:rsidRPr="001775D9" w:rsidRDefault="00D66FB1" w:rsidP="00A6458E">
      <w:pPr>
        <w:spacing w:line="240" w:lineRule="auto"/>
        <w:rPr>
          <w:szCs w:val="22"/>
        </w:rPr>
      </w:pPr>
      <w:r w:rsidRPr="001775D9">
        <w:rPr>
          <w:szCs w:val="22"/>
        </w:rPr>
        <w:t xml:space="preserve">Multipack: 6 (3 packs of 2) </w:t>
      </w:r>
      <w:r w:rsidRPr="00D55B59">
        <w:rPr>
          <w:szCs w:val="22"/>
          <w:lang w:eastAsia="en-GB"/>
          <w:rPrChange w:id="2287" w:author="Author">
            <w:rPr>
              <w:szCs w:val="22"/>
              <w:lang w:val="en-US" w:eastAsia="en-GB"/>
            </w:rPr>
          </w:rPrChange>
        </w:rPr>
        <w:t>SureClick</w:t>
      </w:r>
      <w:r w:rsidRPr="001775D9">
        <w:rPr>
          <w:szCs w:val="22"/>
        </w:rPr>
        <w:t xml:space="preserve"> pre-filled pens.</w:t>
      </w:r>
    </w:p>
    <w:p w14:paraId="290A784D" w14:textId="77777777" w:rsidR="00D66FB1" w:rsidRPr="001775D9" w:rsidRDefault="00D66FB1" w:rsidP="00B61D9D">
      <w:pPr>
        <w:spacing w:line="240" w:lineRule="auto"/>
        <w:rPr>
          <w:szCs w:val="22"/>
        </w:rPr>
      </w:pPr>
    </w:p>
    <w:p w14:paraId="11B5DA79" w14:textId="77777777" w:rsidR="00D66FB1" w:rsidRPr="001775D9" w:rsidRDefault="00D66FB1" w:rsidP="00B61D9D">
      <w:pPr>
        <w:spacing w:line="240" w:lineRule="auto"/>
        <w:rPr>
          <w:szCs w:val="22"/>
        </w:rPr>
      </w:pPr>
    </w:p>
    <w:p w14:paraId="088B05CA" w14:textId="769210C3"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VAULT_ND_a5d6b352-ea9a-4c40-bf59-e7e30f02642a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869C1D7" w14:textId="77777777" w:rsidR="00D66FB1" w:rsidRPr="001775D9" w:rsidRDefault="00D66FB1" w:rsidP="00B61D9D">
      <w:pPr>
        <w:spacing w:line="240" w:lineRule="auto"/>
        <w:rPr>
          <w:szCs w:val="22"/>
        </w:rPr>
      </w:pPr>
    </w:p>
    <w:p w14:paraId="6C3E3C6E" w14:textId="77777777" w:rsidR="00D66FB1" w:rsidRPr="001775D9" w:rsidRDefault="00D66FB1" w:rsidP="00A6458E">
      <w:pPr>
        <w:spacing w:line="240" w:lineRule="auto"/>
        <w:rPr>
          <w:szCs w:val="22"/>
        </w:rPr>
      </w:pPr>
      <w:r w:rsidRPr="001775D9">
        <w:rPr>
          <w:szCs w:val="22"/>
        </w:rPr>
        <w:t>For subcutaneous use.</w:t>
      </w:r>
    </w:p>
    <w:p w14:paraId="2AA1344F" w14:textId="77777777" w:rsidR="00D66FB1" w:rsidRPr="001775D9" w:rsidRDefault="00D66FB1" w:rsidP="00B61D9D">
      <w:pPr>
        <w:spacing w:line="240" w:lineRule="auto"/>
        <w:rPr>
          <w:szCs w:val="22"/>
        </w:rPr>
      </w:pPr>
      <w:r w:rsidRPr="001775D9">
        <w:rPr>
          <w:szCs w:val="22"/>
        </w:rPr>
        <w:t>Read the package leaflet before use.</w:t>
      </w:r>
    </w:p>
    <w:p w14:paraId="0560875B" w14:textId="77777777" w:rsidR="00D66FB1" w:rsidRPr="001775D9" w:rsidRDefault="00D66FB1" w:rsidP="00B61D9D">
      <w:pPr>
        <w:spacing w:line="240" w:lineRule="auto"/>
        <w:rPr>
          <w:szCs w:val="22"/>
        </w:rPr>
      </w:pPr>
      <w:r w:rsidRPr="001775D9">
        <w:rPr>
          <w:szCs w:val="22"/>
        </w:rPr>
        <w:t>Single use only.</w:t>
      </w:r>
    </w:p>
    <w:p w14:paraId="63355A90" w14:textId="77777777" w:rsidR="00D66FB1" w:rsidRPr="001775D9" w:rsidRDefault="00D66FB1" w:rsidP="00B61D9D">
      <w:pPr>
        <w:spacing w:line="240" w:lineRule="auto"/>
        <w:rPr>
          <w:szCs w:val="22"/>
        </w:rPr>
      </w:pPr>
    </w:p>
    <w:p w14:paraId="10E04279" w14:textId="77777777" w:rsidR="00D66FB1" w:rsidRPr="001775D9" w:rsidRDefault="00D66FB1" w:rsidP="00B61D9D">
      <w:pPr>
        <w:spacing w:line="240" w:lineRule="auto"/>
        <w:rPr>
          <w:szCs w:val="22"/>
        </w:rPr>
      </w:pPr>
    </w:p>
    <w:p w14:paraId="0662CE9D" w14:textId="78C2E9CA"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VAULT_ND_406fb1f2-c746-4cae-8fa6-cd4f6539a7cc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79D086C" w14:textId="77777777" w:rsidR="00D66FB1" w:rsidRPr="001775D9" w:rsidRDefault="00D66FB1" w:rsidP="00B61D9D">
      <w:pPr>
        <w:spacing w:line="240" w:lineRule="auto"/>
        <w:rPr>
          <w:szCs w:val="22"/>
        </w:rPr>
      </w:pPr>
    </w:p>
    <w:p w14:paraId="7E58D13A" w14:textId="79EAF649" w:rsidR="00D66FB1" w:rsidRPr="001775D9" w:rsidRDefault="00D66FB1"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vault_nd_56dcef3f-851a-49e0-a98b-8833373fde0c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305F8E8A" w14:textId="77777777" w:rsidR="00D66FB1" w:rsidRPr="001775D9" w:rsidRDefault="00D66FB1" w:rsidP="00B61D9D">
      <w:pPr>
        <w:spacing w:line="240" w:lineRule="auto"/>
        <w:rPr>
          <w:szCs w:val="22"/>
        </w:rPr>
      </w:pPr>
    </w:p>
    <w:p w14:paraId="5CEC1055" w14:textId="77777777" w:rsidR="00D66FB1" w:rsidRPr="001775D9" w:rsidRDefault="00D66FB1" w:rsidP="00B61D9D">
      <w:pPr>
        <w:spacing w:line="240" w:lineRule="auto"/>
        <w:rPr>
          <w:szCs w:val="22"/>
        </w:rPr>
      </w:pPr>
    </w:p>
    <w:p w14:paraId="673B82AA" w14:textId="2593F5BF"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VAULT_ND_20708953-fa37-42a2-bc42-532ea89478e5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110A246" w14:textId="77777777" w:rsidR="00D66FB1" w:rsidRPr="001775D9" w:rsidRDefault="00D66FB1" w:rsidP="00B61D9D">
      <w:pPr>
        <w:spacing w:line="240" w:lineRule="auto"/>
        <w:rPr>
          <w:szCs w:val="22"/>
        </w:rPr>
      </w:pPr>
    </w:p>
    <w:p w14:paraId="5A6ED8F9" w14:textId="77777777" w:rsidR="00D66FB1" w:rsidRPr="001775D9" w:rsidRDefault="00D66FB1" w:rsidP="00B61D9D">
      <w:pPr>
        <w:tabs>
          <w:tab w:val="left" w:pos="749"/>
        </w:tabs>
        <w:spacing w:line="240" w:lineRule="auto"/>
      </w:pPr>
    </w:p>
    <w:p w14:paraId="71657D3B" w14:textId="7E358B53"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VAULT_ND_95334b63-0e2d-4685-a566-a62a91d7daf7 \* MERGEFORMAT </w:instrText>
      </w:r>
      <w:r w:rsidR="001C55FB" w:rsidRPr="001775D9">
        <w:rPr>
          <w:b/>
        </w:rPr>
        <w:fldChar w:fldCharType="separate"/>
      </w:r>
      <w:r w:rsidR="001C55FB" w:rsidRPr="001775D9">
        <w:rPr>
          <w:b/>
        </w:rPr>
        <w:t xml:space="preserve"> </w:t>
      </w:r>
      <w:r w:rsidR="001C55FB" w:rsidRPr="001775D9">
        <w:rPr>
          <w:b/>
        </w:rPr>
        <w:fldChar w:fldCharType="end"/>
      </w:r>
    </w:p>
    <w:p w14:paraId="5D822A3B" w14:textId="77777777" w:rsidR="00D66FB1" w:rsidRPr="001775D9" w:rsidRDefault="00D66FB1" w:rsidP="00B61D9D">
      <w:pPr>
        <w:spacing w:line="240" w:lineRule="auto"/>
      </w:pPr>
    </w:p>
    <w:p w14:paraId="659B058E" w14:textId="77777777" w:rsidR="00D66FB1" w:rsidRPr="001775D9" w:rsidRDefault="00D66FB1" w:rsidP="00B61D9D">
      <w:pPr>
        <w:spacing w:line="240" w:lineRule="auto"/>
        <w:rPr>
          <w:szCs w:val="22"/>
        </w:rPr>
      </w:pPr>
      <w:r w:rsidRPr="001775D9">
        <w:rPr>
          <w:szCs w:val="22"/>
        </w:rPr>
        <w:t xml:space="preserve">EXP </w:t>
      </w:r>
    </w:p>
    <w:p w14:paraId="0730F68D" w14:textId="77777777" w:rsidR="00D66FB1" w:rsidRPr="001775D9" w:rsidRDefault="00D66FB1" w:rsidP="00B61D9D">
      <w:pPr>
        <w:spacing w:line="240" w:lineRule="auto"/>
        <w:rPr>
          <w:szCs w:val="22"/>
        </w:rPr>
      </w:pPr>
    </w:p>
    <w:p w14:paraId="7C6F2A27" w14:textId="77777777" w:rsidR="00D66FB1" w:rsidRPr="001775D9" w:rsidRDefault="00D66FB1" w:rsidP="00B61D9D">
      <w:pPr>
        <w:spacing w:line="240" w:lineRule="auto"/>
        <w:rPr>
          <w:szCs w:val="22"/>
        </w:rPr>
      </w:pPr>
    </w:p>
    <w:p w14:paraId="4FB11D71" w14:textId="11B507CE" w:rsidR="00D66FB1" w:rsidRPr="001775D9" w:rsidRDefault="00D66FB1" w:rsidP="00B61D9D">
      <w:pPr>
        <w:keepNext/>
        <w:keepLines/>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VAULT_ND_9de10635-1954-413a-9cc1-0d055eb7e0d2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8C35AE1" w14:textId="77777777" w:rsidR="00D66FB1" w:rsidRPr="001775D9" w:rsidRDefault="00D66FB1" w:rsidP="00B61D9D">
      <w:pPr>
        <w:keepNext/>
        <w:keepLines/>
        <w:spacing w:line="240" w:lineRule="auto"/>
        <w:rPr>
          <w:szCs w:val="22"/>
        </w:rPr>
      </w:pPr>
    </w:p>
    <w:p w14:paraId="598259FB" w14:textId="77777777" w:rsidR="00D66FB1" w:rsidRPr="001775D9" w:rsidRDefault="00D66FB1" w:rsidP="00A6458E">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78C2CFC4" w14:textId="77777777" w:rsidR="00D66FB1" w:rsidRPr="001775D9" w:rsidRDefault="00D66FB1" w:rsidP="00A6458E">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57A1DA1E" w14:textId="77777777" w:rsidR="00D66FB1" w:rsidRPr="001775D9" w:rsidRDefault="00D66FB1" w:rsidP="00A6458E">
      <w:pPr>
        <w:keepNext/>
        <w:keepLines/>
        <w:spacing w:line="240" w:lineRule="auto"/>
        <w:rPr>
          <w:rFonts w:eastAsia="SimSun"/>
          <w:szCs w:val="22"/>
          <w:lang w:eastAsia="en-GB"/>
        </w:rPr>
      </w:pPr>
      <w:r w:rsidRPr="001775D9">
        <w:rPr>
          <w:rFonts w:eastAsia="SimSun"/>
          <w:szCs w:val="22"/>
          <w:lang w:eastAsia="en-GB"/>
        </w:rPr>
        <w:t>Store in the original carton in order to protect from light.</w:t>
      </w:r>
    </w:p>
    <w:p w14:paraId="773991DA" w14:textId="77777777" w:rsidR="00D66FB1" w:rsidRPr="001775D9" w:rsidRDefault="00D66FB1" w:rsidP="00A6458E">
      <w:pPr>
        <w:spacing w:line="240" w:lineRule="auto"/>
        <w:rPr>
          <w:rFonts w:eastAsia="SimSun"/>
          <w:szCs w:val="22"/>
          <w:lang w:eastAsia="en-GB"/>
        </w:rPr>
      </w:pPr>
    </w:p>
    <w:p w14:paraId="769D5A0B" w14:textId="77777777" w:rsidR="00D66FB1" w:rsidRPr="001775D9" w:rsidRDefault="00D66FB1" w:rsidP="00A6458E">
      <w:pPr>
        <w:spacing w:line="240" w:lineRule="auto"/>
        <w:rPr>
          <w:rFonts w:eastAsia="SimSun"/>
          <w:szCs w:val="22"/>
          <w:lang w:eastAsia="en-GB"/>
        </w:rPr>
      </w:pPr>
    </w:p>
    <w:p w14:paraId="0D944FF6" w14:textId="061FD277"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VAULT_ND_3c9b99f1-4d1d-4fd4-9d3b-f3216d8f66d2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DCC3C81" w14:textId="77777777" w:rsidR="00D66FB1" w:rsidRPr="001775D9" w:rsidRDefault="00D66FB1" w:rsidP="00B61D9D">
      <w:pPr>
        <w:spacing w:line="240" w:lineRule="auto"/>
        <w:rPr>
          <w:szCs w:val="22"/>
        </w:rPr>
      </w:pPr>
    </w:p>
    <w:p w14:paraId="6F39D3D0" w14:textId="77777777" w:rsidR="00D66FB1" w:rsidRPr="001775D9" w:rsidRDefault="00D66FB1" w:rsidP="00B61D9D">
      <w:pPr>
        <w:spacing w:line="240" w:lineRule="auto"/>
        <w:rPr>
          <w:szCs w:val="22"/>
        </w:rPr>
      </w:pPr>
    </w:p>
    <w:p w14:paraId="187FC02F" w14:textId="6792F79C"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VAULT_ND_9a34b588-cfb2-4fd9-a7a8-1fa330e659c1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7FC9B05" w14:textId="77777777" w:rsidR="00D66FB1" w:rsidRPr="001775D9" w:rsidRDefault="00D66FB1" w:rsidP="00B61D9D">
      <w:pPr>
        <w:spacing w:line="240" w:lineRule="auto"/>
        <w:rPr>
          <w:szCs w:val="22"/>
        </w:rPr>
      </w:pPr>
    </w:p>
    <w:p w14:paraId="30D407C0" w14:textId="77777777" w:rsidR="00D66FB1" w:rsidRPr="00D55B59" w:rsidRDefault="00D66FB1" w:rsidP="00A6458E">
      <w:pPr>
        <w:tabs>
          <w:tab w:val="clear" w:pos="567"/>
        </w:tabs>
        <w:autoSpaceDE w:val="0"/>
        <w:autoSpaceDN w:val="0"/>
        <w:adjustRightInd w:val="0"/>
        <w:spacing w:line="240" w:lineRule="auto"/>
        <w:rPr>
          <w:rFonts w:eastAsia="SimSun"/>
          <w:szCs w:val="22"/>
          <w:lang w:eastAsia="en-GB"/>
          <w:rPrChange w:id="2288" w:author="Author">
            <w:rPr>
              <w:rFonts w:eastAsia="SimSun"/>
              <w:szCs w:val="22"/>
              <w:lang w:val="sv-SE" w:eastAsia="en-GB"/>
            </w:rPr>
          </w:rPrChange>
        </w:rPr>
      </w:pPr>
      <w:r w:rsidRPr="00D55B59">
        <w:rPr>
          <w:rFonts w:eastAsia="SimSun"/>
          <w:szCs w:val="22"/>
          <w:lang w:eastAsia="en-GB"/>
          <w:rPrChange w:id="2289" w:author="Author">
            <w:rPr>
              <w:rFonts w:eastAsia="SimSun"/>
              <w:szCs w:val="22"/>
              <w:lang w:val="sv-SE" w:eastAsia="en-GB"/>
            </w:rPr>
          </w:rPrChange>
        </w:rPr>
        <w:t>Amgen Europe B.V.</w:t>
      </w:r>
    </w:p>
    <w:p w14:paraId="513A312F" w14:textId="77777777" w:rsidR="00D66FB1" w:rsidRPr="00D55B59" w:rsidRDefault="00D66FB1" w:rsidP="00A6458E">
      <w:pPr>
        <w:tabs>
          <w:tab w:val="clear" w:pos="567"/>
        </w:tabs>
        <w:autoSpaceDE w:val="0"/>
        <w:autoSpaceDN w:val="0"/>
        <w:adjustRightInd w:val="0"/>
        <w:spacing w:line="240" w:lineRule="auto"/>
        <w:rPr>
          <w:rFonts w:eastAsia="SimSun"/>
          <w:szCs w:val="22"/>
          <w:lang w:eastAsia="en-GB"/>
          <w:rPrChange w:id="2290" w:author="Author">
            <w:rPr>
              <w:rFonts w:eastAsia="SimSun"/>
              <w:szCs w:val="22"/>
              <w:lang w:val="sv-SE" w:eastAsia="en-GB"/>
            </w:rPr>
          </w:rPrChange>
        </w:rPr>
      </w:pPr>
      <w:r w:rsidRPr="00D55B59">
        <w:rPr>
          <w:rFonts w:eastAsia="SimSun"/>
          <w:szCs w:val="22"/>
          <w:lang w:eastAsia="en-GB"/>
          <w:rPrChange w:id="2291" w:author="Author">
            <w:rPr>
              <w:rFonts w:eastAsia="SimSun"/>
              <w:szCs w:val="22"/>
              <w:lang w:val="sv-SE" w:eastAsia="en-GB"/>
            </w:rPr>
          </w:rPrChange>
        </w:rPr>
        <w:t>Minervum 7061,</w:t>
      </w:r>
    </w:p>
    <w:p w14:paraId="407DA926" w14:textId="7ADF9C8F" w:rsidR="00D66FB1" w:rsidRPr="001775D9" w:rsidRDefault="00D66FB1" w:rsidP="00A6458E">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2FCEDED0" w14:textId="77777777" w:rsidR="00D66FB1" w:rsidRPr="001775D9" w:rsidRDefault="00D66FB1" w:rsidP="00A6458E">
      <w:pPr>
        <w:spacing w:line="240" w:lineRule="auto"/>
        <w:rPr>
          <w:szCs w:val="22"/>
        </w:rPr>
      </w:pPr>
      <w:r w:rsidRPr="001775D9">
        <w:rPr>
          <w:rFonts w:eastAsia="SimSun"/>
          <w:szCs w:val="22"/>
          <w:lang w:eastAsia="en-GB"/>
        </w:rPr>
        <w:t>The Netherlands</w:t>
      </w:r>
      <w:r w:rsidRPr="001775D9">
        <w:rPr>
          <w:i/>
          <w:szCs w:val="22"/>
        </w:rPr>
        <w:t xml:space="preserve"> </w:t>
      </w:r>
    </w:p>
    <w:p w14:paraId="2E469A65" w14:textId="77777777" w:rsidR="00D66FB1" w:rsidRPr="001775D9" w:rsidRDefault="00D66FB1" w:rsidP="00B61D9D">
      <w:pPr>
        <w:spacing w:line="240" w:lineRule="auto"/>
        <w:rPr>
          <w:szCs w:val="22"/>
        </w:rPr>
      </w:pPr>
    </w:p>
    <w:p w14:paraId="659DDD72" w14:textId="77777777" w:rsidR="00D66FB1" w:rsidRPr="001775D9" w:rsidRDefault="00D66FB1" w:rsidP="00B61D9D">
      <w:pPr>
        <w:spacing w:line="240" w:lineRule="auto"/>
        <w:rPr>
          <w:szCs w:val="22"/>
        </w:rPr>
      </w:pPr>
    </w:p>
    <w:p w14:paraId="74454690" w14:textId="372F7E17"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VAULT_ND_6e9b71f4-e3fb-4b94-b98a-d4d96e19f97c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0B0EE96" w14:textId="77777777" w:rsidR="00D66FB1" w:rsidRPr="001775D9" w:rsidRDefault="00D66FB1" w:rsidP="00B61D9D">
      <w:pPr>
        <w:spacing w:line="240" w:lineRule="auto"/>
        <w:rPr>
          <w:szCs w:val="22"/>
        </w:rPr>
      </w:pPr>
    </w:p>
    <w:p w14:paraId="3EBDB61A" w14:textId="6387D1AB" w:rsidR="00D66FB1" w:rsidRPr="001775D9" w:rsidRDefault="00D66FB1" w:rsidP="00A6458E">
      <w:pPr>
        <w:spacing w:line="240" w:lineRule="auto"/>
        <w:outlineLvl w:val="0"/>
        <w:rPr>
          <w:szCs w:val="22"/>
        </w:rPr>
      </w:pPr>
      <w:r w:rsidRPr="001775D9">
        <w:rPr>
          <w:color w:val="000000"/>
        </w:rPr>
        <w:t>EU/1/16/1164/009</w:t>
      </w:r>
      <w:r w:rsidR="001C55FB" w:rsidRPr="001775D9">
        <w:rPr>
          <w:color w:val="000000"/>
        </w:rPr>
        <w:fldChar w:fldCharType="begin"/>
      </w:r>
      <w:r w:rsidR="001C55FB" w:rsidRPr="001775D9">
        <w:rPr>
          <w:color w:val="000000"/>
        </w:rPr>
        <w:instrText xml:space="preserve"> DOCVARIABLE VAULT_ND_2d8d041a-e713-42fd-8983-5100d98bbf80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0EFFD379" w14:textId="77777777" w:rsidR="00D66FB1" w:rsidRPr="001775D9" w:rsidRDefault="00D66FB1" w:rsidP="00B61D9D">
      <w:pPr>
        <w:spacing w:line="240" w:lineRule="auto"/>
        <w:rPr>
          <w:szCs w:val="22"/>
        </w:rPr>
      </w:pPr>
    </w:p>
    <w:p w14:paraId="07607C23" w14:textId="77777777" w:rsidR="00D66FB1" w:rsidRPr="001775D9" w:rsidRDefault="00D66FB1" w:rsidP="00B61D9D">
      <w:pPr>
        <w:spacing w:line="240" w:lineRule="auto"/>
        <w:rPr>
          <w:szCs w:val="22"/>
        </w:rPr>
      </w:pPr>
    </w:p>
    <w:p w14:paraId="1B870084" w14:textId="3452C3B9"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VAULT_ND_2bc0665e-dda0-4d29-9b40-a075bc93c3f8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52B8B77" w14:textId="77777777" w:rsidR="00D66FB1" w:rsidRPr="001775D9" w:rsidRDefault="00D66FB1" w:rsidP="00B61D9D">
      <w:pPr>
        <w:spacing w:line="240" w:lineRule="auto"/>
        <w:rPr>
          <w:i/>
          <w:szCs w:val="22"/>
        </w:rPr>
      </w:pPr>
    </w:p>
    <w:p w14:paraId="129220F6" w14:textId="77777777" w:rsidR="00D66FB1" w:rsidRPr="001775D9" w:rsidRDefault="00D66FB1" w:rsidP="00B61D9D">
      <w:pPr>
        <w:spacing w:line="240" w:lineRule="auto"/>
        <w:rPr>
          <w:szCs w:val="22"/>
        </w:rPr>
      </w:pPr>
      <w:r w:rsidRPr="001775D9">
        <w:rPr>
          <w:szCs w:val="22"/>
        </w:rPr>
        <w:t>Lot</w:t>
      </w:r>
    </w:p>
    <w:p w14:paraId="0B0730D9" w14:textId="77777777" w:rsidR="00D66FB1" w:rsidRPr="001775D9" w:rsidRDefault="00D66FB1" w:rsidP="00B61D9D">
      <w:pPr>
        <w:spacing w:line="240" w:lineRule="auto"/>
        <w:rPr>
          <w:szCs w:val="22"/>
        </w:rPr>
      </w:pPr>
    </w:p>
    <w:p w14:paraId="2DE9A024" w14:textId="77777777" w:rsidR="00D66FB1" w:rsidRPr="001775D9" w:rsidRDefault="00D66FB1" w:rsidP="00B61D9D">
      <w:pPr>
        <w:spacing w:line="240" w:lineRule="auto"/>
        <w:rPr>
          <w:szCs w:val="22"/>
        </w:rPr>
      </w:pPr>
    </w:p>
    <w:p w14:paraId="76B15E77" w14:textId="752098A7" w:rsidR="00D66FB1" w:rsidRPr="001775D9" w:rsidRDefault="00D66FB1"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VAULT_ND_676f31df-27fc-4332-af24-a7177c5db4da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D81EFD3" w14:textId="77777777" w:rsidR="00D66FB1" w:rsidRPr="001775D9" w:rsidRDefault="00D66FB1" w:rsidP="00B61D9D">
      <w:pPr>
        <w:spacing w:line="240" w:lineRule="auto"/>
        <w:rPr>
          <w:i/>
          <w:szCs w:val="22"/>
        </w:rPr>
      </w:pPr>
    </w:p>
    <w:p w14:paraId="4CDA170B" w14:textId="77777777" w:rsidR="00D66FB1" w:rsidRPr="001775D9" w:rsidRDefault="00D66FB1" w:rsidP="00B61D9D">
      <w:pPr>
        <w:spacing w:line="240" w:lineRule="auto"/>
        <w:rPr>
          <w:szCs w:val="22"/>
        </w:rPr>
      </w:pPr>
    </w:p>
    <w:p w14:paraId="65B2CCF9" w14:textId="1C1FCAE1" w:rsidR="00D66FB1" w:rsidRPr="001775D9" w:rsidRDefault="00D66FB1"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VAULT_ND_34fb200f-f7be-4dd3-a147-a43282328108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76E4D58" w14:textId="77777777" w:rsidR="00D66FB1" w:rsidRPr="001775D9" w:rsidRDefault="00D66FB1" w:rsidP="00B61D9D">
      <w:pPr>
        <w:spacing w:line="240" w:lineRule="auto"/>
        <w:rPr>
          <w:szCs w:val="22"/>
        </w:rPr>
      </w:pPr>
    </w:p>
    <w:p w14:paraId="7D99D71F" w14:textId="77777777" w:rsidR="00D66FB1" w:rsidRPr="001775D9" w:rsidRDefault="00D66FB1" w:rsidP="00B61D9D">
      <w:pPr>
        <w:spacing w:line="240" w:lineRule="auto"/>
        <w:rPr>
          <w:szCs w:val="22"/>
        </w:rPr>
      </w:pPr>
    </w:p>
    <w:p w14:paraId="11DEBC45" w14:textId="77777777" w:rsidR="00D66FB1" w:rsidRPr="001775D9" w:rsidRDefault="00D66FB1"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28E96E39" w14:textId="77777777" w:rsidR="00D66FB1" w:rsidRPr="001775D9" w:rsidRDefault="00D66FB1" w:rsidP="00B61D9D">
      <w:pPr>
        <w:spacing w:line="240" w:lineRule="auto"/>
      </w:pPr>
    </w:p>
    <w:p w14:paraId="1E363B4E" w14:textId="1140076E" w:rsidR="00D66FB1" w:rsidRPr="001775D9" w:rsidRDefault="00D66FB1" w:rsidP="00B61D9D">
      <w:pPr>
        <w:spacing w:line="240" w:lineRule="auto"/>
      </w:pPr>
      <w:r w:rsidRPr="001775D9">
        <w:t>AMGEVITA 40 mg</w:t>
      </w:r>
      <w:r w:rsidR="00204623" w:rsidRPr="001775D9">
        <w:t>/0.8 mL</w:t>
      </w:r>
      <w:r w:rsidRPr="001775D9">
        <w:t xml:space="preserve"> pen</w:t>
      </w:r>
    </w:p>
    <w:p w14:paraId="218DD476" w14:textId="77777777" w:rsidR="00D66FB1" w:rsidRPr="00D55B59" w:rsidRDefault="00D66FB1" w:rsidP="00A6458E">
      <w:pPr>
        <w:spacing w:line="240" w:lineRule="auto"/>
        <w:rPr>
          <w:szCs w:val="22"/>
          <w:shd w:val="clear" w:color="auto" w:fill="CCCCCC"/>
          <w:rPrChange w:id="2292" w:author="Author">
            <w:rPr>
              <w:noProof/>
              <w:szCs w:val="22"/>
              <w:shd w:val="clear" w:color="auto" w:fill="CCCCCC"/>
            </w:rPr>
          </w:rPrChange>
        </w:rPr>
      </w:pPr>
    </w:p>
    <w:p w14:paraId="591C8463" w14:textId="77777777" w:rsidR="00D66FB1" w:rsidRPr="00D55B59" w:rsidRDefault="00D66FB1" w:rsidP="00A6458E">
      <w:pPr>
        <w:spacing w:line="240" w:lineRule="auto"/>
        <w:rPr>
          <w:szCs w:val="22"/>
          <w:shd w:val="clear" w:color="auto" w:fill="CCCCCC"/>
          <w:rPrChange w:id="2293" w:author="Author">
            <w:rPr>
              <w:noProof/>
              <w:szCs w:val="22"/>
              <w:shd w:val="clear" w:color="auto" w:fill="CCCCCC"/>
            </w:rPr>
          </w:rPrChange>
        </w:rPr>
      </w:pPr>
    </w:p>
    <w:p w14:paraId="360FBBC8" w14:textId="77777777" w:rsidR="00D66FB1" w:rsidRPr="00D55B59" w:rsidRDefault="00D66FB1" w:rsidP="00A6458E">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294" w:author="Author">
            <w:rPr>
              <w:i/>
              <w:noProof/>
            </w:rPr>
          </w:rPrChange>
        </w:rPr>
      </w:pPr>
      <w:r w:rsidRPr="00D55B59">
        <w:rPr>
          <w:b/>
          <w:rPrChange w:id="2295" w:author="Author">
            <w:rPr>
              <w:b/>
              <w:noProof/>
            </w:rPr>
          </w:rPrChange>
        </w:rPr>
        <w:t>17.</w:t>
      </w:r>
      <w:r w:rsidRPr="00D55B59">
        <w:rPr>
          <w:b/>
          <w:rPrChange w:id="2296" w:author="Author">
            <w:rPr>
              <w:b/>
              <w:noProof/>
            </w:rPr>
          </w:rPrChange>
        </w:rPr>
        <w:tab/>
        <w:t>UNIQUE IDENTIFIER – 2D BARCODE</w:t>
      </w:r>
    </w:p>
    <w:p w14:paraId="14A3BE20" w14:textId="77777777" w:rsidR="00D66FB1" w:rsidRPr="00D55B59" w:rsidRDefault="00D66FB1" w:rsidP="00A6458E">
      <w:pPr>
        <w:tabs>
          <w:tab w:val="clear" w:pos="567"/>
        </w:tabs>
        <w:spacing w:line="240" w:lineRule="auto"/>
        <w:rPr>
          <w:rPrChange w:id="2297" w:author="Author">
            <w:rPr>
              <w:noProof/>
            </w:rPr>
          </w:rPrChange>
        </w:rPr>
      </w:pPr>
    </w:p>
    <w:p w14:paraId="68C19CA0" w14:textId="77777777" w:rsidR="00D66FB1" w:rsidRPr="00D55B59" w:rsidRDefault="00D66FB1" w:rsidP="00A6458E">
      <w:pPr>
        <w:spacing w:line="240" w:lineRule="auto"/>
        <w:rPr>
          <w:szCs w:val="22"/>
          <w:shd w:val="clear" w:color="auto" w:fill="CCCCCC"/>
          <w:rPrChange w:id="2298" w:author="Author">
            <w:rPr>
              <w:noProof/>
              <w:szCs w:val="22"/>
              <w:shd w:val="clear" w:color="auto" w:fill="CCCCCC"/>
            </w:rPr>
          </w:rPrChange>
        </w:rPr>
      </w:pPr>
      <w:r w:rsidRPr="00D55B59">
        <w:rPr>
          <w:highlight w:val="lightGray"/>
          <w:rPrChange w:id="2299" w:author="Author">
            <w:rPr>
              <w:noProof/>
              <w:highlight w:val="lightGray"/>
            </w:rPr>
          </w:rPrChange>
        </w:rPr>
        <w:t>2D barcode carrying the unique identifier included.</w:t>
      </w:r>
    </w:p>
    <w:p w14:paraId="66A29F82" w14:textId="77777777" w:rsidR="00D66FB1" w:rsidRPr="00D55B59" w:rsidRDefault="00D66FB1" w:rsidP="00A6458E">
      <w:pPr>
        <w:spacing w:line="240" w:lineRule="auto"/>
        <w:rPr>
          <w:szCs w:val="22"/>
          <w:shd w:val="clear" w:color="auto" w:fill="CCCCCC"/>
          <w:rPrChange w:id="2300" w:author="Author">
            <w:rPr>
              <w:noProof/>
              <w:szCs w:val="22"/>
              <w:shd w:val="clear" w:color="auto" w:fill="CCCCCC"/>
            </w:rPr>
          </w:rPrChange>
        </w:rPr>
      </w:pPr>
    </w:p>
    <w:p w14:paraId="07CE21F6" w14:textId="77777777" w:rsidR="00D66FB1" w:rsidRPr="00D55B59" w:rsidRDefault="00D66FB1" w:rsidP="00A6458E">
      <w:pPr>
        <w:tabs>
          <w:tab w:val="clear" w:pos="567"/>
        </w:tabs>
        <w:spacing w:line="240" w:lineRule="auto"/>
        <w:rPr>
          <w:rPrChange w:id="2301" w:author="Author">
            <w:rPr>
              <w:noProof/>
            </w:rPr>
          </w:rPrChange>
        </w:rPr>
      </w:pPr>
    </w:p>
    <w:p w14:paraId="09F984C8" w14:textId="77777777" w:rsidR="00D66FB1" w:rsidRPr="00D55B59" w:rsidRDefault="00D66FB1" w:rsidP="00A6458E">
      <w:pPr>
        <w:keepNext/>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302" w:author="Author">
            <w:rPr>
              <w:i/>
              <w:noProof/>
            </w:rPr>
          </w:rPrChange>
        </w:rPr>
      </w:pPr>
      <w:r w:rsidRPr="00D55B59">
        <w:rPr>
          <w:b/>
          <w:rPrChange w:id="2303" w:author="Author">
            <w:rPr>
              <w:b/>
              <w:noProof/>
            </w:rPr>
          </w:rPrChange>
        </w:rPr>
        <w:t>18.</w:t>
      </w:r>
      <w:r w:rsidRPr="00D55B59">
        <w:rPr>
          <w:b/>
          <w:rPrChange w:id="2304" w:author="Author">
            <w:rPr>
              <w:b/>
              <w:noProof/>
            </w:rPr>
          </w:rPrChange>
        </w:rPr>
        <w:tab/>
        <w:t xml:space="preserve">UNIQUE IDENTIFIER </w:t>
      </w:r>
      <w:r w:rsidRPr="001775D9">
        <w:rPr>
          <w:rFonts w:eastAsia="Calibri"/>
        </w:rPr>
        <w:t>-</w:t>
      </w:r>
      <w:r w:rsidRPr="00D55B59">
        <w:rPr>
          <w:b/>
          <w:rPrChange w:id="2305" w:author="Author">
            <w:rPr>
              <w:b/>
              <w:noProof/>
            </w:rPr>
          </w:rPrChange>
        </w:rPr>
        <w:t xml:space="preserve"> HUMAN READABLE DATA</w:t>
      </w:r>
    </w:p>
    <w:p w14:paraId="446798CA" w14:textId="77777777" w:rsidR="00D66FB1" w:rsidRPr="00D55B59" w:rsidRDefault="00D66FB1" w:rsidP="00A6458E">
      <w:pPr>
        <w:keepNext/>
        <w:tabs>
          <w:tab w:val="clear" w:pos="567"/>
        </w:tabs>
        <w:spacing w:line="240" w:lineRule="auto"/>
        <w:rPr>
          <w:rPrChange w:id="2306" w:author="Author">
            <w:rPr>
              <w:noProof/>
            </w:rPr>
          </w:rPrChange>
        </w:rPr>
      </w:pPr>
    </w:p>
    <w:p w14:paraId="555D56B2" w14:textId="77777777" w:rsidR="00D66FB1" w:rsidRPr="001775D9" w:rsidRDefault="00D66FB1" w:rsidP="00A6458E">
      <w:pPr>
        <w:keepNext/>
        <w:spacing w:line="240" w:lineRule="auto"/>
        <w:rPr>
          <w:szCs w:val="22"/>
        </w:rPr>
      </w:pPr>
      <w:r w:rsidRPr="001775D9">
        <w:rPr>
          <w:szCs w:val="22"/>
        </w:rPr>
        <w:t>PC</w:t>
      </w:r>
    </w:p>
    <w:p w14:paraId="78D3D848" w14:textId="77777777" w:rsidR="00D66FB1" w:rsidRPr="001775D9" w:rsidRDefault="00D66FB1" w:rsidP="00B61D9D">
      <w:pPr>
        <w:keepNext/>
        <w:spacing w:line="240" w:lineRule="auto"/>
        <w:rPr>
          <w:szCs w:val="22"/>
        </w:rPr>
      </w:pPr>
      <w:r w:rsidRPr="001775D9">
        <w:rPr>
          <w:szCs w:val="22"/>
        </w:rPr>
        <w:t>SN</w:t>
      </w:r>
    </w:p>
    <w:p w14:paraId="721D3864" w14:textId="6A50B923" w:rsidR="00D66FB1" w:rsidRPr="001775D9" w:rsidRDefault="00D66FB1" w:rsidP="00B61D9D">
      <w:pPr>
        <w:keepNext/>
        <w:spacing w:line="240" w:lineRule="auto"/>
        <w:rPr>
          <w:szCs w:val="22"/>
        </w:rPr>
      </w:pPr>
      <w:r w:rsidRPr="001775D9">
        <w:rPr>
          <w:szCs w:val="22"/>
        </w:rPr>
        <w:t>NN</w:t>
      </w:r>
    </w:p>
    <w:p w14:paraId="35DB5DBD" w14:textId="3BA7F653" w:rsidR="00EE24A4" w:rsidRPr="00D55B59" w:rsidRDefault="00EE24A4" w:rsidP="00B61D9D">
      <w:pPr>
        <w:keepNext/>
        <w:spacing w:line="240" w:lineRule="auto"/>
        <w:rPr>
          <w:vanish/>
          <w:szCs w:val="22"/>
          <w:rPrChange w:id="2307" w:author="Author">
            <w:rPr>
              <w:noProof/>
              <w:vanish/>
              <w:szCs w:val="22"/>
            </w:rPr>
          </w:rPrChange>
        </w:rPr>
      </w:pPr>
      <w:r w:rsidRPr="001775D9">
        <w:rPr>
          <w:szCs w:val="22"/>
        </w:rPr>
        <w:br w:type="page"/>
      </w:r>
    </w:p>
    <w:p w14:paraId="66094671" w14:textId="77777777" w:rsidR="001D5E0A" w:rsidRPr="001775D9" w:rsidRDefault="001D5E0A" w:rsidP="00B61D9D">
      <w:pPr>
        <w:spacing w:line="240" w:lineRule="auto"/>
      </w:pPr>
    </w:p>
    <w:p w14:paraId="7064E110" w14:textId="77777777"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691B148D" w14:textId="77777777"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4EF05B3C" w14:textId="280844D8"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INTERMEDIATE CARTON OF PRE-FILLED PEN MULTIPACK (without blue box)</w:t>
      </w:r>
    </w:p>
    <w:p w14:paraId="75E8E9DB" w14:textId="77777777" w:rsidR="004D6EFF" w:rsidRPr="001775D9" w:rsidRDefault="004D6EFF" w:rsidP="00B61D9D">
      <w:pPr>
        <w:keepNext/>
        <w:spacing w:line="240" w:lineRule="auto"/>
      </w:pPr>
    </w:p>
    <w:p w14:paraId="03606754" w14:textId="77777777" w:rsidR="004D6EFF" w:rsidRPr="001775D9" w:rsidRDefault="004D6EFF" w:rsidP="00B61D9D">
      <w:pPr>
        <w:keepNext/>
        <w:spacing w:line="240" w:lineRule="auto"/>
        <w:rPr>
          <w:szCs w:val="22"/>
        </w:rPr>
      </w:pPr>
    </w:p>
    <w:p w14:paraId="2468C33B" w14:textId="30757451"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VAULT_ND_df0928c0-3f45-4f14-97bb-45d6f8d2efdc \* MERGEFORMAT </w:instrText>
      </w:r>
      <w:r w:rsidR="001C55FB" w:rsidRPr="001775D9">
        <w:rPr>
          <w:b/>
        </w:rPr>
        <w:fldChar w:fldCharType="separate"/>
      </w:r>
      <w:r w:rsidR="001C55FB" w:rsidRPr="001775D9">
        <w:rPr>
          <w:b/>
        </w:rPr>
        <w:t xml:space="preserve"> </w:t>
      </w:r>
      <w:r w:rsidR="001C55FB" w:rsidRPr="001775D9">
        <w:rPr>
          <w:b/>
        </w:rPr>
        <w:fldChar w:fldCharType="end"/>
      </w:r>
    </w:p>
    <w:p w14:paraId="62166D5F" w14:textId="77777777" w:rsidR="004D6EFF" w:rsidRPr="001775D9" w:rsidRDefault="004D6EFF" w:rsidP="00B61D9D">
      <w:pPr>
        <w:keepNext/>
        <w:spacing w:line="240" w:lineRule="auto"/>
        <w:rPr>
          <w:szCs w:val="22"/>
        </w:rPr>
      </w:pPr>
    </w:p>
    <w:p w14:paraId="116EC588" w14:textId="77777777" w:rsidR="004D6EFF" w:rsidRPr="001775D9" w:rsidRDefault="004D6EFF" w:rsidP="00B61D9D">
      <w:pPr>
        <w:keepNext/>
        <w:spacing w:line="240" w:lineRule="auto"/>
        <w:rPr>
          <w:szCs w:val="22"/>
        </w:rPr>
      </w:pPr>
      <w:r w:rsidRPr="001775D9">
        <w:rPr>
          <w:szCs w:val="22"/>
        </w:rPr>
        <w:t>AMGEVITA 40 mg solution for injection in pre-filled pen</w:t>
      </w:r>
    </w:p>
    <w:p w14:paraId="619CBB16" w14:textId="77777777" w:rsidR="004D6EFF" w:rsidRPr="001775D9" w:rsidRDefault="004D6EFF" w:rsidP="00B61D9D">
      <w:pPr>
        <w:keepNext/>
        <w:spacing w:line="240" w:lineRule="auto"/>
        <w:rPr>
          <w:szCs w:val="22"/>
        </w:rPr>
      </w:pPr>
      <w:r w:rsidRPr="001775D9">
        <w:t>adalimumab</w:t>
      </w:r>
    </w:p>
    <w:p w14:paraId="54C21C2C" w14:textId="77777777" w:rsidR="004D6EFF" w:rsidRPr="001775D9" w:rsidRDefault="004D6EFF" w:rsidP="00B61D9D">
      <w:pPr>
        <w:keepNext/>
        <w:spacing w:line="240" w:lineRule="auto"/>
        <w:rPr>
          <w:szCs w:val="22"/>
        </w:rPr>
      </w:pPr>
    </w:p>
    <w:p w14:paraId="35BFB461" w14:textId="77777777" w:rsidR="004D6EFF" w:rsidRPr="001775D9" w:rsidRDefault="004D6EFF" w:rsidP="00B61D9D">
      <w:pPr>
        <w:keepNext/>
        <w:spacing w:line="240" w:lineRule="auto"/>
        <w:rPr>
          <w:szCs w:val="22"/>
        </w:rPr>
      </w:pPr>
    </w:p>
    <w:p w14:paraId="1677B266" w14:textId="4079D9CE" w:rsidR="004D6EFF" w:rsidRPr="001775D9" w:rsidRDefault="004D6EF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VAULT_ND_01310e8f-6b05-4d40-83dc-ccae6ded4a6d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903BFA3" w14:textId="77777777" w:rsidR="004D6EFF" w:rsidRPr="001775D9" w:rsidRDefault="004D6EFF" w:rsidP="00B61D9D">
      <w:pPr>
        <w:keepNext/>
        <w:spacing w:line="240" w:lineRule="auto"/>
        <w:rPr>
          <w:szCs w:val="22"/>
        </w:rPr>
      </w:pPr>
    </w:p>
    <w:p w14:paraId="6FDB75C0" w14:textId="77777777" w:rsidR="004D6EFF" w:rsidRPr="001775D9" w:rsidRDefault="004D6EFF" w:rsidP="00B61D9D">
      <w:pPr>
        <w:spacing w:line="240" w:lineRule="auto"/>
        <w:rPr>
          <w:szCs w:val="22"/>
        </w:rPr>
      </w:pPr>
      <w:r w:rsidRPr="001775D9">
        <w:rPr>
          <w:szCs w:val="22"/>
          <w:lang w:eastAsia="en-GB"/>
        </w:rPr>
        <w:t xml:space="preserve">Each pre-filled pen contains 40 mg of adalimumab </w:t>
      </w:r>
      <w:r w:rsidRPr="001775D9">
        <w:rPr>
          <w:szCs w:val="22"/>
        </w:rPr>
        <w:t>in 0.8 mL of solution.</w:t>
      </w:r>
    </w:p>
    <w:p w14:paraId="51414707" w14:textId="77777777" w:rsidR="004D6EFF" w:rsidRPr="001775D9" w:rsidRDefault="004D6EFF" w:rsidP="00B61D9D">
      <w:pPr>
        <w:spacing w:line="240" w:lineRule="auto"/>
        <w:rPr>
          <w:szCs w:val="22"/>
        </w:rPr>
      </w:pPr>
    </w:p>
    <w:p w14:paraId="504EB02F" w14:textId="77777777" w:rsidR="004D6EFF" w:rsidRPr="001775D9" w:rsidRDefault="004D6EFF" w:rsidP="00B61D9D">
      <w:pPr>
        <w:spacing w:line="240" w:lineRule="auto"/>
        <w:rPr>
          <w:szCs w:val="22"/>
        </w:rPr>
      </w:pPr>
    </w:p>
    <w:p w14:paraId="75C9D057" w14:textId="62DC7537"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VAULT_ND_60dd2993-d4be-48e1-98d2-4ab411e175a1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A4A8E91" w14:textId="77777777" w:rsidR="004D6EFF" w:rsidRPr="001775D9" w:rsidRDefault="004D6EFF" w:rsidP="00B61D9D">
      <w:pPr>
        <w:spacing w:line="240" w:lineRule="auto"/>
        <w:rPr>
          <w:szCs w:val="22"/>
        </w:rPr>
      </w:pPr>
    </w:p>
    <w:p w14:paraId="794C3F57" w14:textId="57165F74" w:rsidR="004D6EFF" w:rsidRPr="001775D9" w:rsidRDefault="004D6EFF" w:rsidP="00A6458E">
      <w:pPr>
        <w:tabs>
          <w:tab w:val="clear" w:pos="567"/>
        </w:tabs>
        <w:autoSpaceDE w:val="0"/>
        <w:autoSpaceDN w:val="0"/>
        <w:adjustRightInd w:val="0"/>
        <w:spacing w:line="240" w:lineRule="auto"/>
        <w:rPr>
          <w:szCs w:val="22"/>
          <w:lang w:eastAsia="en-GB"/>
        </w:rPr>
      </w:pPr>
      <w:r w:rsidRPr="001775D9">
        <w:rPr>
          <w:szCs w:val="22"/>
          <w:lang w:eastAsia="en-GB"/>
        </w:rPr>
        <w:t>Glacial acetic acid</w:t>
      </w:r>
      <w:r w:rsidRPr="001775D9">
        <w:rPr>
          <w:szCs w:val="22"/>
        </w:rPr>
        <w:t>, sucrose</w:t>
      </w:r>
      <w:r w:rsidRPr="001775D9">
        <w:rPr>
          <w:szCs w:val="22"/>
          <w:lang w:eastAsia="en-GB"/>
        </w:rPr>
        <w:t>, polysorbate 80, sodium hydroxide and water for injection</w:t>
      </w:r>
      <w:r w:rsidR="00EA5EBF" w:rsidRPr="001775D9">
        <w:rPr>
          <w:szCs w:val="22"/>
          <w:lang w:eastAsia="en-GB"/>
        </w:rPr>
        <w:t>s</w:t>
      </w:r>
      <w:r w:rsidRPr="001775D9">
        <w:rPr>
          <w:szCs w:val="22"/>
          <w:lang w:eastAsia="en-GB"/>
        </w:rPr>
        <w:t>.</w:t>
      </w:r>
    </w:p>
    <w:p w14:paraId="7D26F7AB" w14:textId="77777777" w:rsidR="004D6EFF" w:rsidRPr="001775D9" w:rsidRDefault="004D6EFF" w:rsidP="00B61D9D">
      <w:pPr>
        <w:spacing w:line="240" w:lineRule="auto"/>
        <w:rPr>
          <w:szCs w:val="22"/>
        </w:rPr>
      </w:pPr>
    </w:p>
    <w:p w14:paraId="5AF8601E" w14:textId="77777777" w:rsidR="004D6EFF" w:rsidRPr="001775D9" w:rsidRDefault="004D6EFF" w:rsidP="00B61D9D">
      <w:pPr>
        <w:spacing w:line="240" w:lineRule="auto"/>
        <w:rPr>
          <w:szCs w:val="22"/>
        </w:rPr>
      </w:pPr>
    </w:p>
    <w:p w14:paraId="058C48A0" w14:textId="3890BBDD"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VAULT_ND_90072bfe-3dff-4058-b907-81864aa63925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1CAE0EA" w14:textId="77777777" w:rsidR="004D6EFF" w:rsidRPr="001775D9" w:rsidRDefault="004D6EFF" w:rsidP="00B61D9D">
      <w:pPr>
        <w:spacing w:line="240" w:lineRule="auto"/>
        <w:rPr>
          <w:szCs w:val="22"/>
        </w:rPr>
      </w:pPr>
    </w:p>
    <w:p w14:paraId="0F235318" w14:textId="6F862623" w:rsidR="004D6EFF" w:rsidRPr="001775D9" w:rsidRDefault="004D6EFF" w:rsidP="00A6458E">
      <w:pPr>
        <w:tabs>
          <w:tab w:val="clear" w:pos="567"/>
        </w:tabs>
        <w:autoSpaceDE w:val="0"/>
        <w:autoSpaceDN w:val="0"/>
        <w:adjustRightInd w:val="0"/>
        <w:spacing w:line="240" w:lineRule="auto"/>
        <w:rPr>
          <w:szCs w:val="22"/>
          <w:shd w:val="pct15" w:color="auto" w:fill="FFFFFF"/>
          <w:lang w:eastAsia="en-GB"/>
        </w:rPr>
      </w:pPr>
      <w:r w:rsidRPr="001775D9">
        <w:rPr>
          <w:szCs w:val="22"/>
          <w:shd w:val="pct15" w:color="auto" w:fill="FFFFFF"/>
          <w:lang w:eastAsia="en-GB"/>
        </w:rPr>
        <w:t>Solution for injection</w:t>
      </w:r>
    </w:p>
    <w:p w14:paraId="60D7B5CE" w14:textId="2808F601" w:rsidR="00731948" w:rsidRPr="001775D9" w:rsidRDefault="00731948" w:rsidP="00A6458E">
      <w:pPr>
        <w:spacing w:line="240" w:lineRule="auto"/>
        <w:rPr>
          <w:szCs w:val="22"/>
        </w:rPr>
      </w:pPr>
      <w:r w:rsidRPr="001775D9">
        <w:rPr>
          <w:szCs w:val="22"/>
        </w:rPr>
        <w:t>40 mg/0.8 mL</w:t>
      </w:r>
    </w:p>
    <w:p w14:paraId="59376A5A" w14:textId="14AA359E" w:rsidR="004D6EFF" w:rsidRPr="001775D9" w:rsidRDefault="004D6EFF" w:rsidP="00A6458E">
      <w:pPr>
        <w:spacing w:line="240" w:lineRule="auto"/>
        <w:rPr>
          <w:szCs w:val="22"/>
        </w:rPr>
      </w:pPr>
      <w:r w:rsidRPr="001775D9">
        <w:rPr>
          <w:szCs w:val="22"/>
        </w:rPr>
        <w:t xml:space="preserve">2 </w:t>
      </w:r>
      <w:r w:rsidRPr="00D55B59">
        <w:rPr>
          <w:szCs w:val="22"/>
          <w:lang w:eastAsia="en-GB"/>
          <w:rPrChange w:id="2308" w:author="Author">
            <w:rPr>
              <w:szCs w:val="22"/>
              <w:lang w:val="en-US" w:eastAsia="en-GB"/>
            </w:rPr>
          </w:rPrChange>
        </w:rPr>
        <w:t>SureClick</w:t>
      </w:r>
      <w:r w:rsidRPr="001775D9">
        <w:rPr>
          <w:szCs w:val="22"/>
        </w:rPr>
        <w:t xml:space="preserve"> pre-filled pens. </w:t>
      </w:r>
      <w:r w:rsidRPr="001775D9">
        <w:rPr>
          <w:rFonts w:eastAsia="SimSun"/>
        </w:rPr>
        <w:t>Component</w:t>
      </w:r>
      <w:r w:rsidRPr="001775D9">
        <w:rPr>
          <w:rFonts w:eastAsia="SimSun"/>
          <w:lang w:eastAsia="zh-TW"/>
        </w:rPr>
        <w:t xml:space="preserve"> of a multipack, can’t be sold separately.</w:t>
      </w:r>
    </w:p>
    <w:p w14:paraId="3DF7E619" w14:textId="77777777" w:rsidR="004D6EFF" w:rsidRPr="001775D9" w:rsidRDefault="004D6EFF" w:rsidP="00B61D9D">
      <w:pPr>
        <w:spacing w:line="240" w:lineRule="auto"/>
        <w:rPr>
          <w:szCs w:val="22"/>
        </w:rPr>
      </w:pPr>
    </w:p>
    <w:p w14:paraId="6A431A08" w14:textId="77777777" w:rsidR="004D6EFF" w:rsidRPr="001775D9" w:rsidRDefault="004D6EFF" w:rsidP="00B61D9D">
      <w:pPr>
        <w:spacing w:line="240" w:lineRule="auto"/>
        <w:rPr>
          <w:szCs w:val="22"/>
        </w:rPr>
      </w:pPr>
    </w:p>
    <w:p w14:paraId="2B4A93A7" w14:textId="5673834C"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VAULT_ND_6ed9fdda-7d1b-4e11-94dd-4a9d68e51174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70F32F9" w14:textId="77777777" w:rsidR="004D6EFF" w:rsidRPr="001775D9" w:rsidRDefault="004D6EFF" w:rsidP="00B61D9D">
      <w:pPr>
        <w:spacing w:line="240" w:lineRule="auto"/>
        <w:rPr>
          <w:szCs w:val="22"/>
        </w:rPr>
      </w:pPr>
    </w:p>
    <w:p w14:paraId="4D237B55" w14:textId="77777777" w:rsidR="004D6EFF" w:rsidRPr="001775D9" w:rsidRDefault="004D6EFF" w:rsidP="00A6458E">
      <w:pPr>
        <w:spacing w:line="240" w:lineRule="auto"/>
        <w:rPr>
          <w:szCs w:val="22"/>
        </w:rPr>
      </w:pPr>
      <w:r w:rsidRPr="001775D9">
        <w:rPr>
          <w:szCs w:val="22"/>
        </w:rPr>
        <w:t>For subcutaneous use.</w:t>
      </w:r>
    </w:p>
    <w:p w14:paraId="653F55E7" w14:textId="77777777" w:rsidR="004D6EFF" w:rsidRPr="001775D9" w:rsidRDefault="004D6EFF" w:rsidP="00B61D9D">
      <w:pPr>
        <w:spacing w:line="240" w:lineRule="auto"/>
        <w:rPr>
          <w:szCs w:val="22"/>
        </w:rPr>
      </w:pPr>
      <w:r w:rsidRPr="001775D9">
        <w:rPr>
          <w:szCs w:val="22"/>
        </w:rPr>
        <w:t>Read the package leaflet before use.</w:t>
      </w:r>
    </w:p>
    <w:p w14:paraId="49CF5995" w14:textId="77777777" w:rsidR="004D6EFF" w:rsidRPr="001775D9" w:rsidRDefault="004D6EFF" w:rsidP="00B61D9D">
      <w:pPr>
        <w:spacing w:line="240" w:lineRule="auto"/>
        <w:rPr>
          <w:szCs w:val="22"/>
        </w:rPr>
      </w:pPr>
      <w:r w:rsidRPr="001775D9">
        <w:rPr>
          <w:szCs w:val="22"/>
        </w:rPr>
        <w:t>Single use only.</w:t>
      </w:r>
    </w:p>
    <w:p w14:paraId="32AC7ABA" w14:textId="77777777" w:rsidR="004D6EFF" w:rsidRPr="001775D9" w:rsidRDefault="004D6EFF" w:rsidP="00B61D9D">
      <w:pPr>
        <w:spacing w:line="240" w:lineRule="auto"/>
        <w:rPr>
          <w:szCs w:val="22"/>
        </w:rPr>
      </w:pPr>
    </w:p>
    <w:p w14:paraId="1DED03FE" w14:textId="77777777" w:rsidR="004D6EFF" w:rsidRPr="001775D9" w:rsidRDefault="004D6EFF" w:rsidP="00B61D9D">
      <w:pPr>
        <w:spacing w:line="240" w:lineRule="auto"/>
        <w:rPr>
          <w:szCs w:val="22"/>
        </w:rPr>
      </w:pPr>
    </w:p>
    <w:p w14:paraId="28BEF99F" w14:textId="1C26E5C6"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VAULT_ND_8d2874f5-4684-4f1d-96fa-33d36fc4a84c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17B1424" w14:textId="77777777" w:rsidR="004D6EFF" w:rsidRPr="001775D9" w:rsidRDefault="004D6EFF" w:rsidP="00B61D9D">
      <w:pPr>
        <w:spacing w:line="240" w:lineRule="auto"/>
        <w:rPr>
          <w:szCs w:val="22"/>
        </w:rPr>
      </w:pPr>
    </w:p>
    <w:p w14:paraId="29C07894" w14:textId="2CA30C72" w:rsidR="004D6EFF" w:rsidRPr="001775D9" w:rsidRDefault="004D6EF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vault_nd_34845182-e857-45e0-9c96-100ba17241f6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57DE94E4" w14:textId="77777777" w:rsidR="004D6EFF" w:rsidRPr="001775D9" w:rsidRDefault="004D6EFF" w:rsidP="00B61D9D">
      <w:pPr>
        <w:spacing w:line="240" w:lineRule="auto"/>
        <w:rPr>
          <w:szCs w:val="22"/>
        </w:rPr>
      </w:pPr>
    </w:p>
    <w:p w14:paraId="1102C17A" w14:textId="77777777" w:rsidR="004D6EFF" w:rsidRPr="001775D9" w:rsidRDefault="004D6EFF" w:rsidP="00B61D9D">
      <w:pPr>
        <w:spacing w:line="240" w:lineRule="auto"/>
        <w:rPr>
          <w:szCs w:val="22"/>
        </w:rPr>
      </w:pPr>
    </w:p>
    <w:p w14:paraId="31C52636" w14:textId="45DD21E7"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VAULT_ND_6a3db2b2-5601-4195-92b1-307c72e72d99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357A4A1" w14:textId="77777777" w:rsidR="004D6EFF" w:rsidRPr="001775D9" w:rsidRDefault="004D6EFF" w:rsidP="00B61D9D">
      <w:pPr>
        <w:spacing w:line="240" w:lineRule="auto"/>
        <w:rPr>
          <w:szCs w:val="22"/>
        </w:rPr>
      </w:pPr>
    </w:p>
    <w:p w14:paraId="18E62BE2" w14:textId="77777777" w:rsidR="004D6EFF" w:rsidRPr="001775D9" w:rsidRDefault="004D6EFF" w:rsidP="00B61D9D">
      <w:pPr>
        <w:tabs>
          <w:tab w:val="left" w:pos="749"/>
        </w:tabs>
        <w:spacing w:line="240" w:lineRule="auto"/>
      </w:pPr>
    </w:p>
    <w:p w14:paraId="7532821D" w14:textId="38B4D2E1"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VAULT_ND_941f9648-1ff0-4850-890f-c5336b876346 \* MERGEFORMAT </w:instrText>
      </w:r>
      <w:r w:rsidR="001C55FB" w:rsidRPr="001775D9">
        <w:rPr>
          <w:b/>
        </w:rPr>
        <w:fldChar w:fldCharType="separate"/>
      </w:r>
      <w:r w:rsidR="001C55FB" w:rsidRPr="001775D9">
        <w:rPr>
          <w:b/>
        </w:rPr>
        <w:t xml:space="preserve"> </w:t>
      </w:r>
      <w:r w:rsidR="001C55FB" w:rsidRPr="001775D9">
        <w:rPr>
          <w:b/>
        </w:rPr>
        <w:fldChar w:fldCharType="end"/>
      </w:r>
    </w:p>
    <w:p w14:paraId="2DB68FD1" w14:textId="77777777" w:rsidR="004D6EFF" w:rsidRPr="001775D9" w:rsidRDefault="004D6EFF" w:rsidP="00B61D9D">
      <w:pPr>
        <w:spacing w:line="240" w:lineRule="auto"/>
      </w:pPr>
    </w:p>
    <w:p w14:paraId="4FB81360" w14:textId="77777777" w:rsidR="004D6EFF" w:rsidRPr="001775D9" w:rsidRDefault="004D6EFF" w:rsidP="00B61D9D">
      <w:pPr>
        <w:spacing w:line="240" w:lineRule="auto"/>
        <w:rPr>
          <w:szCs w:val="22"/>
        </w:rPr>
      </w:pPr>
      <w:r w:rsidRPr="001775D9">
        <w:rPr>
          <w:szCs w:val="22"/>
        </w:rPr>
        <w:t xml:space="preserve">EXP </w:t>
      </w:r>
    </w:p>
    <w:p w14:paraId="63CC2A88" w14:textId="77777777" w:rsidR="004D6EFF" w:rsidRPr="001775D9" w:rsidRDefault="004D6EFF" w:rsidP="00B61D9D">
      <w:pPr>
        <w:spacing w:line="240" w:lineRule="auto"/>
        <w:rPr>
          <w:szCs w:val="22"/>
        </w:rPr>
      </w:pPr>
    </w:p>
    <w:p w14:paraId="2A888963" w14:textId="77777777" w:rsidR="004D6EFF" w:rsidRPr="001775D9" w:rsidRDefault="004D6EFF" w:rsidP="00B61D9D">
      <w:pPr>
        <w:spacing w:line="240" w:lineRule="auto"/>
        <w:rPr>
          <w:szCs w:val="22"/>
        </w:rPr>
      </w:pPr>
    </w:p>
    <w:p w14:paraId="530B569B" w14:textId="79FC1D07" w:rsidR="004D6EFF" w:rsidRPr="001775D9" w:rsidRDefault="004D6EFF" w:rsidP="00501E1E">
      <w:pPr>
        <w:keepNext/>
        <w:keepLines/>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VAULT_ND_dc6ca73b-8365-448d-a09f-e5f679583a02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50668A0" w14:textId="77777777" w:rsidR="004D6EFF" w:rsidRPr="001775D9" w:rsidRDefault="004D6EFF" w:rsidP="00501E1E">
      <w:pPr>
        <w:keepNext/>
        <w:keepLines/>
        <w:spacing w:line="240" w:lineRule="auto"/>
        <w:rPr>
          <w:szCs w:val="22"/>
        </w:rPr>
      </w:pPr>
    </w:p>
    <w:p w14:paraId="11E8A6AF" w14:textId="77777777" w:rsidR="004D6EFF" w:rsidRPr="001775D9" w:rsidRDefault="004D6EFF" w:rsidP="00501E1E">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254F320F" w14:textId="77777777" w:rsidR="004D6EFF" w:rsidRPr="001775D9" w:rsidRDefault="004D6EFF" w:rsidP="00501E1E">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3E53E034" w14:textId="77777777" w:rsidR="004D6EFF" w:rsidRPr="001775D9" w:rsidRDefault="004D6EFF" w:rsidP="004D6EFF">
      <w:pPr>
        <w:spacing w:line="240" w:lineRule="auto"/>
        <w:rPr>
          <w:rFonts w:eastAsia="SimSun"/>
          <w:szCs w:val="22"/>
          <w:lang w:eastAsia="en-GB"/>
        </w:rPr>
      </w:pPr>
      <w:r w:rsidRPr="001775D9">
        <w:rPr>
          <w:rFonts w:eastAsia="SimSun"/>
          <w:szCs w:val="22"/>
          <w:lang w:eastAsia="en-GB"/>
        </w:rPr>
        <w:t>Store in the original carton in order to protect from light.</w:t>
      </w:r>
    </w:p>
    <w:p w14:paraId="32CCF286" w14:textId="77777777" w:rsidR="004D6EFF" w:rsidRPr="001775D9" w:rsidRDefault="004D6EFF" w:rsidP="00A6458E">
      <w:pPr>
        <w:spacing w:line="240" w:lineRule="auto"/>
        <w:rPr>
          <w:rFonts w:eastAsia="SimSun"/>
          <w:szCs w:val="22"/>
          <w:lang w:eastAsia="en-GB"/>
        </w:rPr>
      </w:pPr>
    </w:p>
    <w:p w14:paraId="7B80CB07" w14:textId="77777777" w:rsidR="004D6EFF" w:rsidRPr="001775D9" w:rsidRDefault="004D6EFF" w:rsidP="00A6458E">
      <w:pPr>
        <w:spacing w:line="240" w:lineRule="auto"/>
        <w:rPr>
          <w:rFonts w:eastAsia="SimSun"/>
          <w:szCs w:val="22"/>
          <w:lang w:eastAsia="en-GB"/>
        </w:rPr>
      </w:pPr>
    </w:p>
    <w:p w14:paraId="16F9CF45" w14:textId="5EF10957"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VAULT_ND_5f0b53e5-8016-4ef2-9979-0bb1e12052eb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8914A22" w14:textId="77777777" w:rsidR="004D6EFF" w:rsidRPr="001775D9" w:rsidRDefault="004D6EFF" w:rsidP="00B61D9D">
      <w:pPr>
        <w:spacing w:line="240" w:lineRule="auto"/>
        <w:rPr>
          <w:szCs w:val="22"/>
        </w:rPr>
      </w:pPr>
    </w:p>
    <w:p w14:paraId="48D5B971" w14:textId="77777777" w:rsidR="004D6EFF" w:rsidRPr="001775D9" w:rsidRDefault="004D6EFF" w:rsidP="00B61D9D">
      <w:pPr>
        <w:spacing w:line="240" w:lineRule="auto"/>
        <w:rPr>
          <w:szCs w:val="22"/>
        </w:rPr>
      </w:pPr>
    </w:p>
    <w:p w14:paraId="4A37FBA4" w14:textId="56AB4188"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VAULT_ND_5988680e-e71b-4a97-a814-88209d1c81f0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0BDA961" w14:textId="77777777" w:rsidR="004D6EFF" w:rsidRPr="001775D9" w:rsidRDefault="004D6EFF" w:rsidP="00B61D9D">
      <w:pPr>
        <w:spacing w:line="240" w:lineRule="auto"/>
        <w:rPr>
          <w:szCs w:val="22"/>
        </w:rPr>
      </w:pPr>
    </w:p>
    <w:p w14:paraId="6717D02B" w14:textId="77777777" w:rsidR="004D6EFF" w:rsidRPr="00D55B59" w:rsidRDefault="004D6EFF" w:rsidP="00A6458E">
      <w:pPr>
        <w:tabs>
          <w:tab w:val="clear" w:pos="567"/>
        </w:tabs>
        <w:autoSpaceDE w:val="0"/>
        <w:autoSpaceDN w:val="0"/>
        <w:adjustRightInd w:val="0"/>
        <w:spacing w:line="240" w:lineRule="auto"/>
        <w:rPr>
          <w:rFonts w:eastAsia="SimSun"/>
          <w:szCs w:val="22"/>
          <w:lang w:eastAsia="en-GB"/>
          <w:rPrChange w:id="2309" w:author="Author">
            <w:rPr>
              <w:rFonts w:eastAsia="SimSun"/>
              <w:szCs w:val="22"/>
              <w:lang w:val="sv-SE" w:eastAsia="en-GB"/>
            </w:rPr>
          </w:rPrChange>
        </w:rPr>
      </w:pPr>
      <w:r w:rsidRPr="00D55B59">
        <w:rPr>
          <w:rFonts w:eastAsia="SimSun"/>
          <w:szCs w:val="22"/>
          <w:lang w:eastAsia="en-GB"/>
          <w:rPrChange w:id="2310" w:author="Author">
            <w:rPr>
              <w:rFonts w:eastAsia="SimSun"/>
              <w:szCs w:val="22"/>
              <w:lang w:val="sv-SE" w:eastAsia="en-GB"/>
            </w:rPr>
          </w:rPrChange>
        </w:rPr>
        <w:t>Amgen Europe B.V.</w:t>
      </w:r>
    </w:p>
    <w:p w14:paraId="1799EAF9" w14:textId="77777777" w:rsidR="004D6EFF" w:rsidRPr="00D55B59" w:rsidRDefault="004D6EFF" w:rsidP="00A6458E">
      <w:pPr>
        <w:tabs>
          <w:tab w:val="clear" w:pos="567"/>
        </w:tabs>
        <w:autoSpaceDE w:val="0"/>
        <w:autoSpaceDN w:val="0"/>
        <w:adjustRightInd w:val="0"/>
        <w:spacing w:line="240" w:lineRule="auto"/>
        <w:rPr>
          <w:rFonts w:eastAsia="SimSun"/>
          <w:szCs w:val="22"/>
          <w:lang w:eastAsia="en-GB"/>
          <w:rPrChange w:id="2311" w:author="Author">
            <w:rPr>
              <w:rFonts w:eastAsia="SimSun"/>
              <w:szCs w:val="22"/>
              <w:lang w:val="sv-SE" w:eastAsia="en-GB"/>
            </w:rPr>
          </w:rPrChange>
        </w:rPr>
      </w:pPr>
      <w:r w:rsidRPr="00D55B59">
        <w:rPr>
          <w:rFonts w:eastAsia="SimSun"/>
          <w:szCs w:val="22"/>
          <w:lang w:eastAsia="en-GB"/>
          <w:rPrChange w:id="2312" w:author="Author">
            <w:rPr>
              <w:rFonts w:eastAsia="SimSun"/>
              <w:szCs w:val="22"/>
              <w:lang w:val="sv-SE" w:eastAsia="en-GB"/>
            </w:rPr>
          </w:rPrChange>
        </w:rPr>
        <w:t>Minervum 7061,</w:t>
      </w:r>
    </w:p>
    <w:p w14:paraId="06D814C6" w14:textId="198BEEF3" w:rsidR="004D6EFF" w:rsidRPr="001775D9" w:rsidRDefault="004D6EFF" w:rsidP="00A6458E">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2AA199E4" w14:textId="77777777" w:rsidR="004D6EFF" w:rsidRPr="001775D9" w:rsidRDefault="004D6EFF" w:rsidP="00A6458E">
      <w:pPr>
        <w:spacing w:line="240" w:lineRule="auto"/>
        <w:rPr>
          <w:szCs w:val="22"/>
        </w:rPr>
      </w:pPr>
      <w:r w:rsidRPr="001775D9">
        <w:rPr>
          <w:rFonts w:eastAsia="SimSun"/>
          <w:szCs w:val="22"/>
          <w:lang w:eastAsia="en-GB"/>
        </w:rPr>
        <w:t>The Netherlands</w:t>
      </w:r>
      <w:r w:rsidRPr="001775D9">
        <w:rPr>
          <w:i/>
          <w:szCs w:val="22"/>
        </w:rPr>
        <w:t xml:space="preserve"> </w:t>
      </w:r>
    </w:p>
    <w:p w14:paraId="14998EE1" w14:textId="77777777" w:rsidR="004D6EFF" w:rsidRPr="001775D9" w:rsidRDefault="004D6EFF" w:rsidP="00B61D9D">
      <w:pPr>
        <w:spacing w:line="240" w:lineRule="auto"/>
        <w:rPr>
          <w:szCs w:val="22"/>
        </w:rPr>
      </w:pPr>
    </w:p>
    <w:p w14:paraId="620B196A" w14:textId="77777777" w:rsidR="004D6EFF" w:rsidRPr="001775D9" w:rsidRDefault="004D6EFF" w:rsidP="00B61D9D">
      <w:pPr>
        <w:spacing w:line="240" w:lineRule="auto"/>
        <w:rPr>
          <w:szCs w:val="22"/>
        </w:rPr>
      </w:pPr>
    </w:p>
    <w:p w14:paraId="5EDAE2E1" w14:textId="06DC32D4"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VAULT_ND_9e9ecfff-ce60-47f3-abb6-b69857b25804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E3EB6BF" w14:textId="77777777" w:rsidR="004D6EFF" w:rsidRPr="001775D9" w:rsidRDefault="004D6EFF" w:rsidP="00B61D9D">
      <w:pPr>
        <w:spacing w:line="240" w:lineRule="auto"/>
        <w:rPr>
          <w:szCs w:val="22"/>
        </w:rPr>
      </w:pPr>
    </w:p>
    <w:p w14:paraId="16F56B2C" w14:textId="58E01A9D" w:rsidR="004D6EFF" w:rsidRPr="001775D9" w:rsidRDefault="004D6EFF" w:rsidP="00A6458E">
      <w:pPr>
        <w:spacing w:line="240" w:lineRule="auto"/>
        <w:outlineLvl w:val="0"/>
        <w:rPr>
          <w:szCs w:val="22"/>
        </w:rPr>
      </w:pPr>
      <w:r w:rsidRPr="001775D9">
        <w:rPr>
          <w:color w:val="000000"/>
        </w:rPr>
        <w:t>EU/1/16/1164/009</w:t>
      </w:r>
      <w:r w:rsidR="001C55FB" w:rsidRPr="001775D9">
        <w:rPr>
          <w:color w:val="000000"/>
        </w:rPr>
        <w:fldChar w:fldCharType="begin"/>
      </w:r>
      <w:r w:rsidR="001C55FB" w:rsidRPr="001775D9">
        <w:rPr>
          <w:color w:val="000000"/>
        </w:rPr>
        <w:instrText xml:space="preserve"> DOCVARIABLE VAULT_ND_e054b8e4-b837-4e44-8d22-79f11d469c91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601D29C9" w14:textId="77777777" w:rsidR="004D6EFF" w:rsidRPr="001775D9" w:rsidRDefault="004D6EFF" w:rsidP="00B61D9D">
      <w:pPr>
        <w:spacing w:line="240" w:lineRule="auto"/>
        <w:rPr>
          <w:szCs w:val="22"/>
        </w:rPr>
      </w:pPr>
    </w:p>
    <w:p w14:paraId="59D8E3B4" w14:textId="77777777" w:rsidR="004D6EFF" w:rsidRPr="001775D9" w:rsidRDefault="004D6EFF" w:rsidP="00B61D9D">
      <w:pPr>
        <w:spacing w:line="240" w:lineRule="auto"/>
        <w:rPr>
          <w:szCs w:val="22"/>
        </w:rPr>
      </w:pPr>
    </w:p>
    <w:p w14:paraId="70A44881" w14:textId="6EAB9D33"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VAULT_ND_0ee91e55-9eda-4ec1-b3a9-cb2cbd5201cf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97E6E14" w14:textId="77777777" w:rsidR="004D6EFF" w:rsidRPr="001775D9" w:rsidRDefault="004D6EFF" w:rsidP="00B61D9D">
      <w:pPr>
        <w:spacing w:line="240" w:lineRule="auto"/>
        <w:rPr>
          <w:i/>
          <w:szCs w:val="22"/>
        </w:rPr>
      </w:pPr>
    </w:p>
    <w:p w14:paraId="3251E0CA" w14:textId="77777777" w:rsidR="004D6EFF" w:rsidRPr="001775D9" w:rsidRDefault="004D6EFF" w:rsidP="00B61D9D">
      <w:pPr>
        <w:spacing w:line="240" w:lineRule="auto"/>
        <w:rPr>
          <w:szCs w:val="22"/>
        </w:rPr>
      </w:pPr>
      <w:r w:rsidRPr="001775D9">
        <w:rPr>
          <w:szCs w:val="22"/>
        </w:rPr>
        <w:t>Lot</w:t>
      </w:r>
    </w:p>
    <w:p w14:paraId="0A2971F7" w14:textId="77777777" w:rsidR="004D6EFF" w:rsidRPr="001775D9" w:rsidRDefault="004D6EFF" w:rsidP="00B61D9D">
      <w:pPr>
        <w:spacing w:line="240" w:lineRule="auto"/>
        <w:rPr>
          <w:szCs w:val="22"/>
        </w:rPr>
      </w:pPr>
    </w:p>
    <w:p w14:paraId="7305B644" w14:textId="77777777" w:rsidR="004D6EFF" w:rsidRPr="001775D9" w:rsidRDefault="004D6EFF" w:rsidP="00B61D9D">
      <w:pPr>
        <w:spacing w:line="240" w:lineRule="auto"/>
        <w:rPr>
          <w:szCs w:val="22"/>
        </w:rPr>
      </w:pPr>
    </w:p>
    <w:p w14:paraId="3D2E4EFB" w14:textId="3A18F42D" w:rsidR="004D6EFF" w:rsidRPr="001775D9" w:rsidRDefault="004D6EF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VAULT_ND_449aa24f-ceec-4a56-a557-2f8e3c6a618f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498CBD3" w14:textId="77777777" w:rsidR="004D6EFF" w:rsidRPr="001775D9" w:rsidRDefault="004D6EFF" w:rsidP="00B61D9D">
      <w:pPr>
        <w:spacing w:line="240" w:lineRule="auto"/>
        <w:rPr>
          <w:i/>
          <w:szCs w:val="22"/>
        </w:rPr>
      </w:pPr>
    </w:p>
    <w:p w14:paraId="64D032EB" w14:textId="77777777" w:rsidR="004D6EFF" w:rsidRPr="001775D9" w:rsidRDefault="004D6EFF" w:rsidP="00B61D9D">
      <w:pPr>
        <w:spacing w:line="240" w:lineRule="auto"/>
        <w:rPr>
          <w:szCs w:val="22"/>
        </w:rPr>
      </w:pPr>
    </w:p>
    <w:p w14:paraId="223E5656" w14:textId="2E2F5528" w:rsidR="004D6EFF" w:rsidRPr="001775D9" w:rsidRDefault="004D6EF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VAULT_ND_57d8c267-6123-45a0-a07b-514957079f22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C82E979" w14:textId="77777777" w:rsidR="004D6EFF" w:rsidRPr="001775D9" w:rsidRDefault="004D6EFF" w:rsidP="00B61D9D">
      <w:pPr>
        <w:spacing w:line="240" w:lineRule="auto"/>
        <w:rPr>
          <w:szCs w:val="22"/>
        </w:rPr>
      </w:pPr>
    </w:p>
    <w:p w14:paraId="5543A4B1" w14:textId="77777777" w:rsidR="004D6EFF" w:rsidRPr="001775D9" w:rsidRDefault="004D6EFF" w:rsidP="00B61D9D">
      <w:pPr>
        <w:spacing w:line="240" w:lineRule="auto"/>
        <w:rPr>
          <w:szCs w:val="22"/>
        </w:rPr>
      </w:pPr>
    </w:p>
    <w:p w14:paraId="1F11FD0F" w14:textId="77777777" w:rsidR="004D6EFF" w:rsidRPr="001775D9" w:rsidRDefault="004D6EF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1025EB5D" w14:textId="77777777" w:rsidR="004D6EFF" w:rsidRPr="001775D9" w:rsidRDefault="004D6EFF" w:rsidP="00B61D9D">
      <w:pPr>
        <w:spacing w:line="240" w:lineRule="auto"/>
      </w:pPr>
    </w:p>
    <w:p w14:paraId="19C30A22" w14:textId="4DE8AD38" w:rsidR="004D6EFF" w:rsidRPr="001775D9" w:rsidRDefault="004D6EFF" w:rsidP="00B61D9D">
      <w:pPr>
        <w:spacing w:line="240" w:lineRule="auto"/>
      </w:pPr>
      <w:r w:rsidRPr="001775D9">
        <w:t>AMGEVITA 40 mg</w:t>
      </w:r>
      <w:r w:rsidR="00731948" w:rsidRPr="001775D9">
        <w:t>/0.8 mL</w:t>
      </w:r>
      <w:r w:rsidRPr="001775D9">
        <w:t xml:space="preserve"> pen</w:t>
      </w:r>
    </w:p>
    <w:p w14:paraId="6A68686E" w14:textId="77777777" w:rsidR="004D6EFF" w:rsidRPr="00D55B59" w:rsidRDefault="004D6EFF" w:rsidP="00A6458E">
      <w:pPr>
        <w:spacing w:line="240" w:lineRule="auto"/>
        <w:rPr>
          <w:szCs w:val="22"/>
          <w:shd w:val="clear" w:color="auto" w:fill="CCCCCC"/>
          <w:rPrChange w:id="2313" w:author="Author">
            <w:rPr>
              <w:noProof/>
              <w:szCs w:val="22"/>
              <w:shd w:val="clear" w:color="auto" w:fill="CCCCCC"/>
            </w:rPr>
          </w:rPrChange>
        </w:rPr>
      </w:pPr>
    </w:p>
    <w:p w14:paraId="723EE755" w14:textId="77777777" w:rsidR="004D6EFF" w:rsidRPr="00D55B59" w:rsidRDefault="004D6EFF" w:rsidP="00A6458E">
      <w:pPr>
        <w:spacing w:line="240" w:lineRule="auto"/>
        <w:rPr>
          <w:szCs w:val="22"/>
          <w:shd w:val="clear" w:color="auto" w:fill="CCCCCC"/>
          <w:rPrChange w:id="2314" w:author="Author">
            <w:rPr>
              <w:noProof/>
              <w:szCs w:val="22"/>
              <w:shd w:val="clear" w:color="auto" w:fill="CCCCCC"/>
            </w:rPr>
          </w:rPrChange>
        </w:rPr>
      </w:pPr>
    </w:p>
    <w:p w14:paraId="723DA5AE" w14:textId="77777777" w:rsidR="004D6EFF" w:rsidRPr="00D55B59" w:rsidRDefault="004D6EFF" w:rsidP="00A6458E">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315" w:author="Author">
            <w:rPr>
              <w:i/>
              <w:noProof/>
            </w:rPr>
          </w:rPrChange>
        </w:rPr>
      </w:pPr>
      <w:r w:rsidRPr="00D55B59">
        <w:rPr>
          <w:b/>
          <w:rPrChange w:id="2316" w:author="Author">
            <w:rPr>
              <w:b/>
              <w:noProof/>
            </w:rPr>
          </w:rPrChange>
        </w:rPr>
        <w:t>17.</w:t>
      </w:r>
      <w:r w:rsidRPr="00D55B59">
        <w:rPr>
          <w:b/>
          <w:rPrChange w:id="2317" w:author="Author">
            <w:rPr>
              <w:b/>
              <w:noProof/>
            </w:rPr>
          </w:rPrChange>
        </w:rPr>
        <w:tab/>
        <w:t>UNIQUE IDENTIFIER – 2D BARCODE</w:t>
      </w:r>
    </w:p>
    <w:p w14:paraId="420A0384" w14:textId="77777777" w:rsidR="004D6EFF" w:rsidRPr="00D55B59" w:rsidRDefault="004D6EFF" w:rsidP="00A6458E">
      <w:pPr>
        <w:tabs>
          <w:tab w:val="clear" w:pos="567"/>
        </w:tabs>
        <w:spacing w:line="240" w:lineRule="auto"/>
        <w:rPr>
          <w:rPrChange w:id="2318" w:author="Author">
            <w:rPr>
              <w:noProof/>
            </w:rPr>
          </w:rPrChange>
        </w:rPr>
      </w:pPr>
    </w:p>
    <w:p w14:paraId="1535A9CF" w14:textId="77777777" w:rsidR="004D6EFF" w:rsidRPr="00D55B59" w:rsidRDefault="004D6EFF" w:rsidP="00A6458E">
      <w:pPr>
        <w:tabs>
          <w:tab w:val="clear" w:pos="567"/>
        </w:tabs>
        <w:spacing w:line="240" w:lineRule="auto"/>
        <w:rPr>
          <w:rPrChange w:id="2319" w:author="Author">
            <w:rPr>
              <w:noProof/>
            </w:rPr>
          </w:rPrChange>
        </w:rPr>
      </w:pPr>
    </w:p>
    <w:p w14:paraId="46C02F48" w14:textId="77777777" w:rsidR="004D6EFF" w:rsidRPr="00D55B59" w:rsidRDefault="004D6EFF" w:rsidP="00A6458E">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320" w:author="Author">
            <w:rPr>
              <w:i/>
              <w:noProof/>
            </w:rPr>
          </w:rPrChange>
        </w:rPr>
      </w:pPr>
      <w:r w:rsidRPr="00D55B59">
        <w:rPr>
          <w:b/>
          <w:rPrChange w:id="2321" w:author="Author">
            <w:rPr>
              <w:b/>
              <w:noProof/>
            </w:rPr>
          </w:rPrChange>
        </w:rPr>
        <w:t>18.</w:t>
      </w:r>
      <w:r w:rsidRPr="00D55B59">
        <w:rPr>
          <w:b/>
          <w:rPrChange w:id="2322" w:author="Author">
            <w:rPr>
              <w:b/>
              <w:noProof/>
            </w:rPr>
          </w:rPrChange>
        </w:rPr>
        <w:tab/>
        <w:t xml:space="preserve">UNIQUE IDENTIFIER </w:t>
      </w:r>
      <w:r w:rsidRPr="001775D9">
        <w:rPr>
          <w:rFonts w:eastAsia="Calibri"/>
        </w:rPr>
        <w:t>-</w:t>
      </w:r>
      <w:r w:rsidRPr="00D55B59">
        <w:rPr>
          <w:b/>
          <w:rPrChange w:id="2323" w:author="Author">
            <w:rPr>
              <w:b/>
              <w:noProof/>
            </w:rPr>
          </w:rPrChange>
        </w:rPr>
        <w:t xml:space="preserve"> HUMAN READABLE DATA</w:t>
      </w:r>
    </w:p>
    <w:p w14:paraId="55E2C920" w14:textId="77777777" w:rsidR="004D6EFF" w:rsidRPr="00D55B59" w:rsidRDefault="004D6EFF" w:rsidP="00A6458E">
      <w:pPr>
        <w:tabs>
          <w:tab w:val="clear" w:pos="567"/>
        </w:tabs>
        <w:spacing w:line="240" w:lineRule="auto"/>
        <w:rPr>
          <w:rPrChange w:id="2324" w:author="Author">
            <w:rPr>
              <w:noProof/>
            </w:rPr>
          </w:rPrChange>
        </w:rPr>
      </w:pPr>
    </w:p>
    <w:p w14:paraId="0FFCF956" w14:textId="77777777" w:rsidR="004D6EFF" w:rsidRPr="00D55B59" w:rsidRDefault="004D6EFF" w:rsidP="00A6458E">
      <w:pPr>
        <w:spacing w:line="240" w:lineRule="auto"/>
        <w:rPr>
          <w:szCs w:val="22"/>
          <w:shd w:val="clear" w:color="auto" w:fill="CCCCCC"/>
          <w:rPrChange w:id="2325" w:author="Author">
            <w:rPr>
              <w:noProof/>
              <w:szCs w:val="22"/>
              <w:shd w:val="clear" w:color="auto" w:fill="CCCCCC"/>
            </w:rPr>
          </w:rPrChange>
        </w:rPr>
      </w:pPr>
    </w:p>
    <w:p w14:paraId="0CE04F78" w14:textId="77777777"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br w:type="page"/>
        <w:t>MINIMUM PARTICULARS TO APPEAR ON SMALL IMMEDIATE PACKAGING UNITS</w:t>
      </w:r>
    </w:p>
    <w:p w14:paraId="14557016" w14:textId="77777777"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rPr>
          <w:b/>
          <w:szCs w:val="22"/>
        </w:rPr>
      </w:pPr>
    </w:p>
    <w:p w14:paraId="2CB9A607" w14:textId="77777777" w:rsidR="00C42229" w:rsidRPr="001775D9" w:rsidRDefault="00C42229" w:rsidP="00A6458E">
      <w:pPr>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LABEL PRE-FILLED </w:t>
      </w:r>
      <w:r w:rsidR="00991CC4" w:rsidRPr="001775D9">
        <w:rPr>
          <w:b/>
          <w:szCs w:val="22"/>
        </w:rPr>
        <w:t>PEN</w:t>
      </w:r>
    </w:p>
    <w:p w14:paraId="6923308F" w14:textId="77777777" w:rsidR="00C42229" w:rsidRPr="001775D9" w:rsidRDefault="00C42229" w:rsidP="00B61D9D">
      <w:pPr>
        <w:spacing w:line="240" w:lineRule="auto"/>
        <w:rPr>
          <w:szCs w:val="22"/>
        </w:rPr>
      </w:pPr>
    </w:p>
    <w:p w14:paraId="060ACBDF" w14:textId="77777777" w:rsidR="00C42229" w:rsidRPr="001775D9" w:rsidRDefault="00C42229" w:rsidP="00B61D9D">
      <w:pPr>
        <w:spacing w:line="240" w:lineRule="auto"/>
        <w:rPr>
          <w:szCs w:val="22"/>
        </w:rPr>
      </w:pPr>
    </w:p>
    <w:p w14:paraId="673BEF65" w14:textId="4D012F9A"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w:t>
      </w:r>
      <w:r w:rsidRPr="001775D9">
        <w:rPr>
          <w:b/>
          <w:szCs w:val="22"/>
        </w:rPr>
        <w:tab/>
        <w:t>NAME OF THE MEDICINAL PRODUCT AND ROUTE(S) OF ADMINISTRATION</w:t>
      </w:r>
      <w:r w:rsidR="001C55FB" w:rsidRPr="001775D9">
        <w:rPr>
          <w:b/>
          <w:szCs w:val="22"/>
        </w:rPr>
        <w:fldChar w:fldCharType="begin"/>
      </w:r>
      <w:r w:rsidR="001C55FB" w:rsidRPr="001775D9">
        <w:rPr>
          <w:b/>
          <w:szCs w:val="22"/>
        </w:rPr>
        <w:instrText xml:space="preserve"> DOCVARIABLE VAULT_ND_a962b2b7-049f-43b9-9257-b7f640e491a2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15BD72D" w14:textId="77777777" w:rsidR="00C42229" w:rsidRPr="001775D9" w:rsidRDefault="00C42229" w:rsidP="00B61D9D">
      <w:pPr>
        <w:spacing w:line="240" w:lineRule="auto"/>
        <w:ind w:left="567" w:hanging="567"/>
        <w:rPr>
          <w:szCs w:val="22"/>
        </w:rPr>
      </w:pPr>
    </w:p>
    <w:p w14:paraId="3B5A98E3" w14:textId="77777777" w:rsidR="00F46A98" w:rsidRPr="001775D9" w:rsidRDefault="00F46A98" w:rsidP="00B61D9D">
      <w:pPr>
        <w:spacing w:line="240" w:lineRule="auto"/>
        <w:rPr>
          <w:szCs w:val="22"/>
        </w:rPr>
      </w:pPr>
      <w:r w:rsidRPr="001775D9">
        <w:rPr>
          <w:szCs w:val="22"/>
        </w:rPr>
        <w:t>AMGEVITA 40</w:t>
      </w:r>
      <w:r w:rsidR="00662641" w:rsidRPr="001775D9">
        <w:rPr>
          <w:szCs w:val="22"/>
        </w:rPr>
        <w:t> </w:t>
      </w:r>
      <w:r w:rsidRPr="001775D9">
        <w:rPr>
          <w:szCs w:val="22"/>
        </w:rPr>
        <w:t>mg injection</w:t>
      </w:r>
    </w:p>
    <w:p w14:paraId="1DA81782" w14:textId="77777777" w:rsidR="00F46A98" w:rsidRPr="001775D9" w:rsidRDefault="00F46A98" w:rsidP="00B61D9D">
      <w:pPr>
        <w:spacing w:line="240" w:lineRule="auto"/>
        <w:rPr>
          <w:szCs w:val="22"/>
        </w:rPr>
      </w:pPr>
      <w:r w:rsidRPr="001775D9">
        <w:rPr>
          <w:szCs w:val="22"/>
        </w:rPr>
        <w:t>adalimumab</w:t>
      </w:r>
    </w:p>
    <w:p w14:paraId="549A8967" w14:textId="77777777" w:rsidR="00F46A98" w:rsidRPr="001775D9" w:rsidRDefault="00F46A98" w:rsidP="00B61D9D">
      <w:pPr>
        <w:spacing w:line="240" w:lineRule="auto"/>
        <w:rPr>
          <w:szCs w:val="22"/>
        </w:rPr>
      </w:pPr>
      <w:r w:rsidRPr="001775D9">
        <w:rPr>
          <w:szCs w:val="22"/>
        </w:rPr>
        <w:t>SC</w:t>
      </w:r>
    </w:p>
    <w:p w14:paraId="47961094" w14:textId="77777777" w:rsidR="00C42229" w:rsidRPr="001775D9" w:rsidRDefault="00C42229" w:rsidP="00B61D9D">
      <w:pPr>
        <w:spacing w:line="240" w:lineRule="auto"/>
        <w:rPr>
          <w:szCs w:val="22"/>
        </w:rPr>
      </w:pPr>
    </w:p>
    <w:p w14:paraId="6306E7A3" w14:textId="77777777" w:rsidR="00C42229" w:rsidRPr="001775D9" w:rsidRDefault="00C42229" w:rsidP="00B61D9D">
      <w:pPr>
        <w:spacing w:line="240" w:lineRule="auto"/>
        <w:rPr>
          <w:szCs w:val="22"/>
        </w:rPr>
      </w:pPr>
    </w:p>
    <w:p w14:paraId="1AF14B4F" w14:textId="1C0FEA53"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METHOD OF ADMINISTRATION</w:t>
      </w:r>
      <w:r w:rsidR="001C55FB" w:rsidRPr="001775D9">
        <w:rPr>
          <w:b/>
          <w:szCs w:val="22"/>
        </w:rPr>
        <w:fldChar w:fldCharType="begin"/>
      </w:r>
      <w:r w:rsidR="001C55FB" w:rsidRPr="001775D9">
        <w:rPr>
          <w:b/>
          <w:szCs w:val="22"/>
        </w:rPr>
        <w:instrText xml:space="preserve"> DOCVARIABLE VAULT_ND_5e554f1f-6a07-4dcc-9bb8-d849c430a561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5E2C92D" w14:textId="77777777" w:rsidR="00C42229" w:rsidRPr="001775D9" w:rsidRDefault="00C42229" w:rsidP="00B61D9D">
      <w:pPr>
        <w:spacing w:line="240" w:lineRule="auto"/>
        <w:rPr>
          <w:szCs w:val="22"/>
        </w:rPr>
      </w:pPr>
    </w:p>
    <w:p w14:paraId="584C9505" w14:textId="77777777" w:rsidR="00C42229" w:rsidRPr="001775D9" w:rsidRDefault="00C42229" w:rsidP="00B61D9D">
      <w:pPr>
        <w:spacing w:line="240" w:lineRule="auto"/>
        <w:rPr>
          <w:szCs w:val="22"/>
        </w:rPr>
      </w:pPr>
    </w:p>
    <w:p w14:paraId="0CFDBA36" w14:textId="1DC6C854"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3.</w:t>
      </w:r>
      <w:r w:rsidRPr="001775D9">
        <w:rPr>
          <w:b/>
          <w:szCs w:val="22"/>
        </w:rPr>
        <w:tab/>
        <w:t>EXPIRY DATE</w:t>
      </w:r>
      <w:r w:rsidR="001C55FB" w:rsidRPr="001775D9">
        <w:rPr>
          <w:b/>
          <w:szCs w:val="22"/>
        </w:rPr>
        <w:fldChar w:fldCharType="begin"/>
      </w:r>
      <w:r w:rsidR="001C55FB" w:rsidRPr="001775D9">
        <w:rPr>
          <w:b/>
          <w:szCs w:val="22"/>
        </w:rPr>
        <w:instrText xml:space="preserve"> DOCVARIABLE VAULT_ND_f1c9647a-4a0b-4fdc-8c57-e0e85abb6ac2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CDD517A" w14:textId="77777777" w:rsidR="00C42229" w:rsidRPr="001775D9" w:rsidRDefault="00C42229" w:rsidP="00B61D9D">
      <w:pPr>
        <w:spacing w:line="240" w:lineRule="auto"/>
      </w:pPr>
    </w:p>
    <w:p w14:paraId="518BA76F" w14:textId="77777777" w:rsidR="00C42229" w:rsidRPr="001775D9" w:rsidRDefault="00C42229" w:rsidP="00B61D9D">
      <w:pPr>
        <w:spacing w:line="240" w:lineRule="auto"/>
      </w:pPr>
      <w:r w:rsidRPr="001775D9">
        <w:t>EXP</w:t>
      </w:r>
      <w:r w:rsidR="000B07B9" w:rsidRPr="001775D9">
        <w:t xml:space="preserve"> </w:t>
      </w:r>
    </w:p>
    <w:p w14:paraId="75A33FBD" w14:textId="77777777" w:rsidR="00C42229" w:rsidRPr="001775D9" w:rsidRDefault="00C42229" w:rsidP="00B61D9D">
      <w:pPr>
        <w:spacing w:line="240" w:lineRule="auto"/>
      </w:pPr>
    </w:p>
    <w:p w14:paraId="12D11D84" w14:textId="77777777" w:rsidR="00C42229" w:rsidRPr="001775D9" w:rsidRDefault="00C42229" w:rsidP="00B61D9D">
      <w:pPr>
        <w:spacing w:line="240" w:lineRule="auto"/>
      </w:pPr>
    </w:p>
    <w:p w14:paraId="7B65FB22" w14:textId="7B7E7DAF"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rPr>
      </w:pPr>
      <w:r w:rsidRPr="001775D9">
        <w:rPr>
          <w:b/>
        </w:rPr>
        <w:t>4.</w:t>
      </w:r>
      <w:r w:rsidRPr="001775D9">
        <w:rPr>
          <w:b/>
        </w:rPr>
        <w:tab/>
        <w:t>BATCH NUMBER</w:t>
      </w:r>
      <w:r w:rsidR="001C55FB" w:rsidRPr="001775D9">
        <w:rPr>
          <w:b/>
        </w:rPr>
        <w:fldChar w:fldCharType="begin"/>
      </w:r>
      <w:r w:rsidR="001C55FB" w:rsidRPr="001775D9">
        <w:rPr>
          <w:b/>
        </w:rPr>
        <w:instrText xml:space="preserve"> DOCVARIABLE VAULT_ND_fb54b422-aa59-4f78-a1a5-cfea210f9a66 \* MERGEFORMAT </w:instrText>
      </w:r>
      <w:r w:rsidR="001C55FB" w:rsidRPr="001775D9">
        <w:rPr>
          <w:b/>
        </w:rPr>
        <w:fldChar w:fldCharType="separate"/>
      </w:r>
      <w:r w:rsidR="001C55FB" w:rsidRPr="001775D9">
        <w:rPr>
          <w:b/>
        </w:rPr>
        <w:t xml:space="preserve"> </w:t>
      </w:r>
      <w:r w:rsidR="001C55FB" w:rsidRPr="001775D9">
        <w:rPr>
          <w:b/>
        </w:rPr>
        <w:fldChar w:fldCharType="end"/>
      </w:r>
    </w:p>
    <w:p w14:paraId="126051AC" w14:textId="77777777" w:rsidR="00C42229" w:rsidRPr="001775D9" w:rsidRDefault="00C42229" w:rsidP="00B61D9D">
      <w:pPr>
        <w:spacing w:line="240" w:lineRule="auto"/>
        <w:ind w:right="113"/>
      </w:pPr>
    </w:p>
    <w:p w14:paraId="1429F2F4" w14:textId="77777777" w:rsidR="00C42229" w:rsidRPr="001775D9" w:rsidRDefault="00C42229" w:rsidP="00B61D9D">
      <w:pPr>
        <w:spacing w:line="240" w:lineRule="auto"/>
        <w:ind w:right="113"/>
      </w:pPr>
      <w:r w:rsidRPr="001775D9">
        <w:t>Lot</w:t>
      </w:r>
    </w:p>
    <w:p w14:paraId="285A2859" w14:textId="77777777" w:rsidR="00C42229" w:rsidRPr="001775D9" w:rsidRDefault="00C42229" w:rsidP="00B61D9D">
      <w:pPr>
        <w:spacing w:line="240" w:lineRule="auto"/>
        <w:ind w:right="113"/>
      </w:pPr>
    </w:p>
    <w:p w14:paraId="25CAB088" w14:textId="77777777" w:rsidR="00C42229" w:rsidRPr="001775D9" w:rsidRDefault="00C42229" w:rsidP="00B61D9D">
      <w:pPr>
        <w:spacing w:line="240" w:lineRule="auto"/>
        <w:ind w:right="113"/>
      </w:pPr>
    </w:p>
    <w:p w14:paraId="6BE30ED8" w14:textId="106FBB01"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5.</w:t>
      </w:r>
      <w:r w:rsidRPr="001775D9">
        <w:rPr>
          <w:b/>
          <w:szCs w:val="22"/>
        </w:rPr>
        <w:tab/>
        <w:t>CONTENTS BY WEIGHT, BY VOLUME OR BY UNIT</w:t>
      </w:r>
      <w:r w:rsidR="001C55FB" w:rsidRPr="001775D9">
        <w:rPr>
          <w:b/>
          <w:szCs w:val="22"/>
        </w:rPr>
        <w:fldChar w:fldCharType="begin"/>
      </w:r>
      <w:r w:rsidR="001C55FB" w:rsidRPr="001775D9">
        <w:rPr>
          <w:b/>
          <w:szCs w:val="22"/>
        </w:rPr>
        <w:instrText xml:space="preserve"> DOCVARIABLE VAULT_ND_1fbd6bf7-7617-448c-90ef-db802a3f9dd5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0BD7294" w14:textId="77777777" w:rsidR="00C42229" w:rsidRPr="001775D9" w:rsidRDefault="00C42229" w:rsidP="00B61D9D">
      <w:pPr>
        <w:spacing w:line="240" w:lineRule="auto"/>
        <w:ind w:right="113"/>
        <w:rPr>
          <w:szCs w:val="22"/>
        </w:rPr>
      </w:pPr>
    </w:p>
    <w:p w14:paraId="7EE13FD9" w14:textId="77777777" w:rsidR="00C42229" w:rsidRPr="001775D9" w:rsidRDefault="00F46A98" w:rsidP="00B61D9D">
      <w:pPr>
        <w:spacing w:line="240" w:lineRule="auto"/>
        <w:ind w:right="113"/>
        <w:rPr>
          <w:szCs w:val="22"/>
        </w:rPr>
      </w:pPr>
      <w:r w:rsidRPr="001775D9">
        <w:rPr>
          <w:szCs w:val="22"/>
        </w:rPr>
        <w:t>0.8</w:t>
      </w:r>
      <w:r w:rsidR="00662641" w:rsidRPr="001775D9">
        <w:rPr>
          <w:szCs w:val="22"/>
        </w:rPr>
        <w:t> </w:t>
      </w:r>
      <w:r w:rsidRPr="001775D9">
        <w:rPr>
          <w:szCs w:val="22"/>
        </w:rPr>
        <w:t>mL</w:t>
      </w:r>
    </w:p>
    <w:p w14:paraId="225B6EDB" w14:textId="77777777" w:rsidR="00F46A98" w:rsidRPr="001775D9" w:rsidRDefault="00F46A98" w:rsidP="00B61D9D">
      <w:pPr>
        <w:spacing w:line="240" w:lineRule="auto"/>
        <w:ind w:right="113"/>
        <w:rPr>
          <w:szCs w:val="22"/>
        </w:rPr>
      </w:pPr>
    </w:p>
    <w:p w14:paraId="28B892B7" w14:textId="77777777" w:rsidR="00C42229" w:rsidRPr="001775D9" w:rsidRDefault="00C42229" w:rsidP="00B61D9D">
      <w:pPr>
        <w:spacing w:line="240" w:lineRule="auto"/>
        <w:ind w:right="113"/>
        <w:rPr>
          <w:szCs w:val="22"/>
        </w:rPr>
      </w:pPr>
    </w:p>
    <w:p w14:paraId="4BE13113" w14:textId="3EE07681" w:rsidR="00C42229" w:rsidRPr="001775D9" w:rsidRDefault="00C42229"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6.</w:t>
      </w:r>
      <w:r w:rsidRPr="001775D9">
        <w:rPr>
          <w:b/>
          <w:szCs w:val="22"/>
        </w:rPr>
        <w:tab/>
        <w:t>OTHER</w:t>
      </w:r>
      <w:r w:rsidR="001C55FB" w:rsidRPr="001775D9">
        <w:rPr>
          <w:b/>
          <w:szCs w:val="22"/>
        </w:rPr>
        <w:fldChar w:fldCharType="begin"/>
      </w:r>
      <w:r w:rsidR="001C55FB" w:rsidRPr="001775D9">
        <w:rPr>
          <w:b/>
          <w:szCs w:val="22"/>
        </w:rPr>
        <w:instrText xml:space="preserve"> DOCVARIABLE VAULT_ND_db4d38b0-ddae-476c-b644-89c01c794aab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9248164" w14:textId="77777777" w:rsidR="00C42229" w:rsidRPr="001775D9" w:rsidRDefault="00C42229" w:rsidP="00B61D9D">
      <w:pPr>
        <w:spacing w:line="240" w:lineRule="auto"/>
        <w:ind w:right="113"/>
        <w:rPr>
          <w:szCs w:val="22"/>
        </w:rPr>
      </w:pPr>
    </w:p>
    <w:p w14:paraId="1024FB3D" w14:textId="77777777" w:rsidR="00477B51" w:rsidRPr="001775D9" w:rsidRDefault="00477B51" w:rsidP="00B61D9D">
      <w:pPr>
        <w:spacing w:line="240" w:lineRule="auto"/>
        <w:ind w:right="113"/>
      </w:pPr>
    </w:p>
    <w:p w14:paraId="3EF9F220" w14:textId="77777777" w:rsidR="00966B8F" w:rsidRPr="001775D9" w:rsidRDefault="00477B51"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br w:type="page"/>
      </w:r>
      <w:r w:rsidR="00966B8F" w:rsidRPr="001775D9">
        <w:rPr>
          <w:b/>
          <w:szCs w:val="22"/>
        </w:rPr>
        <w:t xml:space="preserve">PARTICULARS TO APPEAR ON THE OUTER PACKAGING </w:t>
      </w:r>
    </w:p>
    <w:p w14:paraId="15CA7D8F"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143F98D0"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CARTON PRE-FILLED SYRINGE</w:t>
      </w:r>
    </w:p>
    <w:p w14:paraId="66D63070" w14:textId="77777777" w:rsidR="00966B8F" w:rsidRPr="001775D9" w:rsidRDefault="00966B8F" w:rsidP="00B61D9D">
      <w:pPr>
        <w:keepNext/>
        <w:spacing w:line="240" w:lineRule="auto"/>
      </w:pPr>
    </w:p>
    <w:p w14:paraId="420D2077" w14:textId="77777777" w:rsidR="00966B8F" w:rsidRPr="001775D9" w:rsidRDefault="00966B8F" w:rsidP="00B61D9D">
      <w:pPr>
        <w:keepNext/>
        <w:spacing w:line="240" w:lineRule="auto"/>
        <w:rPr>
          <w:szCs w:val="22"/>
        </w:rPr>
      </w:pPr>
    </w:p>
    <w:p w14:paraId="0CA33EAA" w14:textId="051086FA"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VAULT_ND_93d48646-5cec-41a2-9555-3f18bca6b5b7 \* MERGEFORMAT </w:instrText>
      </w:r>
      <w:r w:rsidR="001C55FB" w:rsidRPr="001775D9">
        <w:rPr>
          <w:b/>
        </w:rPr>
        <w:fldChar w:fldCharType="separate"/>
      </w:r>
      <w:r w:rsidR="001C55FB" w:rsidRPr="001775D9">
        <w:rPr>
          <w:b/>
        </w:rPr>
        <w:t xml:space="preserve"> </w:t>
      </w:r>
      <w:r w:rsidR="001C55FB" w:rsidRPr="001775D9">
        <w:rPr>
          <w:b/>
        </w:rPr>
        <w:fldChar w:fldCharType="end"/>
      </w:r>
    </w:p>
    <w:p w14:paraId="6DA7B388" w14:textId="77777777" w:rsidR="00966B8F" w:rsidRPr="001775D9" w:rsidRDefault="00966B8F" w:rsidP="00B61D9D">
      <w:pPr>
        <w:keepNext/>
        <w:spacing w:line="240" w:lineRule="auto"/>
        <w:rPr>
          <w:szCs w:val="22"/>
        </w:rPr>
      </w:pPr>
    </w:p>
    <w:p w14:paraId="559F55F3" w14:textId="2B6191FA" w:rsidR="00966B8F" w:rsidRPr="001775D9" w:rsidRDefault="00966B8F" w:rsidP="00B61D9D">
      <w:pPr>
        <w:keepNext/>
        <w:spacing w:line="240" w:lineRule="auto"/>
        <w:rPr>
          <w:szCs w:val="22"/>
        </w:rPr>
      </w:pPr>
      <w:r w:rsidRPr="001775D9">
        <w:rPr>
          <w:szCs w:val="22"/>
        </w:rPr>
        <w:t>AMGEVITA 20 mg solution for injection in pre-filled syringe</w:t>
      </w:r>
    </w:p>
    <w:p w14:paraId="5CB13AB2" w14:textId="77777777" w:rsidR="00966B8F" w:rsidRPr="001775D9" w:rsidRDefault="00966B8F" w:rsidP="00B61D9D">
      <w:pPr>
        <w:keepNext/>
        <w:spacing w:line="240" w:lineRule="auto"/>
        <w:rPr>
          <w:szCs w:val="22"/>
        </w:rPr>
      </w:pPr>
      <w:r w:rsidRPr="001775D9">
        <w:rPr>
          <w:szCs w:val="22"/>
        </w:rPr>
        <w:t>adalimumab</w:t>
      </w:r>
    </w:p>
    <w:p w14:paraId="16259C54" w14:textId="77777777" w:rsidR="00966B8F" w:rsidRPr="001775D9" w:rsidRDefault="00966B8F" w:rsidP="00B61D9D">
      <w:pPr>
        <w:keepNext/>
        <w:spacing w:line="240" w:lineRule="auto"/>
        <w:rPr>
          <w:szCs w:val="22"/>
        </w:rPr>
      </w:pPr>
    </w:p>
    <w:p w14:paraId="3BEAF7F1" w14:textId="77777777" w:rsidR="00966B8F" w:rsidRPr="001775D9" w:rsidRDefault="00966B8F" w:rsidP="00B61D9D">
      <w:pPr>
        <w:keepNext/>
        <w:spacing w:line="240" w:lineRule="auto"/>
        <w:rPr>
          <w:szCs w:val="22"/>
        </w:rPr>
      </w:pPr>
    </w:p>
    <w:p w14:paraId="40369F95" w14:textId="2D2E8E5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VAULT_ND_9c1c2c65-ad77-4d99-a5da-07215653ee8b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A94F877" w14:textId="77777777" w:rsidR="00966B8F" w:rsidRPr="001775D9" w:rsidRDefault="00966B8F" w:rsidP="00B61D9D">
      <w:pPr>
        <w:spacing w:line="240" w:lineRule="auto"/>
        <w:rPr>
          <w:szCs w:val="22"/>
        </w:rPr>
      </w:pPr>
    </w:p>
    <w:p w14:paraId="100C9ED6" w14:textId="77777777" w:rsidR="00966B8F" w:rsidRPr="001775D9" w:rsidRDefault="00966B8F" w:rsidP="007C5E41">
      <w:pPr>
        <w:suppressLineNumbers/>
        <w:spacing w:line="240" w:lineRule="auto"/>
        <w:rPr>
          <w:szCs w:val="22"/>
        </w:rPr>
      </w:pPr>
      <w:r w:rsidRPr="001775D9">
        <w:rPr>
          <w:szCs w:val="22"/>
        </w:rPr>
        <w:t>Each pre-filled syringe contains 20 mg of adalimumab in 0.2 mL of solution.</w:t>
      </w:r>
    </w:p>
    <w:p w14:paraId="386BF669" w14:textId="77777777" w:rsidR="00301860" w:rsidRPr="001775D9" w:rsidRDefault="00301860" w:rsidP="00B61D9D">
      <w:pPr>
        <w:spacing w:line="240" w:lineRule="auto"/>
        <w:rPr>
          <w:szCs w:val="22"/>
        </w:rPr>
      </w:pPr>
    </w:p>
    <w:p w14:paraId="6D8F04B8" w14:textId="77777777" w:rsidR="00966B8F" w:rsidRPr="001775D9" w:rsidRDefault="00966B8F" w:rsidP="00B61D9D">
      <w:pPr>
        <w:spacing w:line="240" w:lineRule="auto"/>
        <w:rPr>
          <w:szCs w:val="22"/>
        </w:rPr>
      </w:pPr>
    </w:p>
    <w:p w14:paraId="22B4F211" w14:textId="39A4C56D"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VAULT_ND_e57afc02-4cf7-474f-a83d-95ac12c6b92e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2B74D52" w14:textId="77777777" w:rsidR="00966B8F" w:rsidRPr="001775D9" w:rsidRDefault="00966B8F" w:rsidP="00B61D9D">
      <w:pPr>
        <w:spacing w:line="240" w:lineRule="auto"/>
        <w:rPr>
          <w:szCs w:val="22"/>
        </w:rPr>
      </w:pPr>
    </w:p>
    <w:p w14:paraId="1D1DFFC8" w14:textId="77777777" w:rsidR="00966B8F" w:rsidRPr="001775D9" w:rsidRDefault="00966B8F" w:rsidP="007C5E41">
      <w:pPr>
        <w:tabs>
          <w:tab w:val="clear" w:pos="567"/>
        </w:tabs>
        <w:autoSpaceDE w:val="0"/>
        <w:autoSpaceDN w:val="0"/>
        <w:adjustRightInd w:val="0"/>
        <w:spacing w:line="240" w:lineRule="auto"/>
        <w:rPr>
          <w:szCs w:val="22"/>
          <w:lang w:eastAsia="en-GB"/>
        </w:rPr>
      </w:pPr>
      <w:r w:rsidRPr="001775D9">
        <w:rPr>
          <w:szCs w:val="22"/>
          <w:lang w:eastAsia="en-GB"/>
        </w:rPr>
        <w:t>L-lactic</w:t>
      </w:r>
      <w:r w:rsidRPr="00D55B59">
        <w:rPr>
          <w:color w:val="FF0000"/>
          <w:rPrChange w:id="2326"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xml:space="preserve">, polysorbate 80, sodium hydroxide and water for injections. </w:t>
      </w:r>
    </w:p>
    <w:p w14:paraId="22EA6FF4" w14:textId="77777777" w:rsidR="00966B8F" w:rsidRPr="001775D9" w:rsidRDefault="00966B8F" w:rsidP="007C5E41">
      <w:pPr>
        <w:tabs>
          <w:tab w:val="clear" w:pos="567"/>
        </w:tabs>
        <w:autoSpaceDE w:val="0"/>
        <w:autoSpaceDN w:val="0"/>
        <w:adjustRightInd w:val="0"/>
        <w:spacing w:line="240" w:lineRule="auto"/>
        <w:rPr>
          <w:szCs w:val="22"/>
          <w:lang w:eastAsia="en-GB"/>
        </w:rPr>
      </w:pPr>
    </w:p>
    <w:p w14:paraId="16D5A462" w14:textId="77777777" w:rsidR="00966B8F" w:rsidRPr="001775D9" w:rsidRDefault="00966B8F" w:rsidP="00B61D9D">
      <w:pPr>
        <w:spacing w:line="240" w:lineRule="auto"/>
        <w:rPr>
          <w:szCs w:val="22"/>
        </w:rPr>
      </w:pPr>
    </w:p>
    <w:p w14:paraId="1D0FF4AF" w14:textId="1B9B644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VAULT_ND_430cbca1-6d2c-4357-95a9-a376cad29c5f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82A9014" w14:textId="77777777" w:rsidR="00966B8F" w:rsidRPr="001775D9" w:rsidRDefault="00966B8F" w:rsidP="00B61D9D">
      <w:pPr>
        <w:spacing w:line="240" w:lineRule="auto"/>
        <w:rPr>
          <w:szCs w:val="22"/>
        </w:rPr>
      </w:pPr>
    </w:p>
    <w:p w14:paraId="63E61313" w14:textId="77777777" w:rsidR="00966B8F" w:rsidRPr="001775D9" w:rsidRDefault="00966B8F" w:rsidP="007C5E41">
      <w:pPr>
        <w:spacing w:line="240" w:lineRule="auto"/>
        <w:rPr>
          <w:szCs w:val="22"/>
        </w:rPr>
      </w:pPr>
      <w:r>
        <w:rPr>
          <w:szCs w:val="22"/>
          <w:highlight w:val="lightGray"/>
        </w:rPr>
        <w:t>Solution for injection</w:t>
      </w:r>
    </w:p>
    <w:p w14:paraId="68D6CF9C" w14:textId="21E97699" w:rsidR="00F1109D" w:rsidRPr="00D55B59" w:rsidRDefault="00F1109D" w:rsidP="007C5E41">
      <w:pPr>
        <w:spacing w:line="240" w:lineRule="auto"/>
        <w:rPr>
          <w:szCs w:val="22"/>
          <w:lang w:val="da-DK"/>
          <w:rPrChange w:id="2327" w:author="Author">
            <w:rPr>
              <w:szCs w:val="22"/>
              <w:lang w:val="nb-NO"/>
            </w:rPr>
          </w:rPrChange>
        </w:rPr>
      </w:pPr>
      <w:r w:rsidRPr="00D55B59">
        <w:rPr>
          <w:szCs w:val="22"/>
          <w:lang w:val="da-DK"/>
          <w:rPrChange w:id="2328" w:author="Author">
            <w:rPr>
              <w:szCs w:val="22"/>
              <w:lang w:val="nb-NO"/>
            </w:rPr>
          </w:rPrChange>
        </w:rPr>
        <w:t>20 mg/0.2 mL</w:t>
      </w:r>
    </w:p>
    <w:p w14:paraId="0C76A881" w14:textId="24FF1509" w:rsidR="00966B8F" w:rsidRPr="00D55B59" w:rsidRDefault="00966B8F" w:rsidP="007C5E41">
      <w:pPr>
        <w:spacing w:line="240" w:lineRule="auto"/>
        <w:rPr>
          <w:szCs w:val="22"/>
          <w:lang w:val="da-DK"/>
          <w:rPrChange w:id="2329" w:author="Author">
            <w:rPr>
              <w:szCs w:val="22"/>
              <w:lang w:val="nb-NO"/>
            </w:rPr>
          </w:rPrChange>
        </w:rPr>
      </w:pPr>
      <w:r w:rsidRPr="00D55B59">
        <w:rPr>
          <w:szCs w:val="22"/>
          <w:lang w:val="da-DK"/>
          <w:rPrChange w:id="2330" w:author="Author">
            <w:rPr>
              <w:szCs w:val="22"/>
              <w:lang w:val="nb-NO"/>
            </w:rPr>
          </w:rPrChange>
        </w:rPr>
        <w:t>1 pre-filled syringe.</w:t>
      </w:r>
    </w:p>
    <w:p w14:paraId="3F2B2638" w14:textId="77777777" w:rsidR="00966B8F" w:rsidRPr="00D55B59" w:rsidRDefault="00966B8F" w:rsidP="00B61D9D">
      <w:pPr>
        <w:spacing w:line="240" w:lineRule="auto"/>
        <w:rPr>
          <w:szCs w:val="22"/>
          <w:lang w:val="da-DK"/>
          <w:rPrChange w:id="2331" w:author="Author">
            <w:rPr>
              <w:szCs w:val="22"/>
              <w:lang w:val="nb-NO"/>
            </w:rPr>
          </w:rPrChange>
        </w:rPr>
      </w:pPr>
    </w:p>
    <w:p w14:paraId="75660583" w14:textId="77777777" w:rsidR="00966B8F" w:rsidRPr="00D55B59" w:rsidRDefault="00966B8F" w:rsidP="00B61D9D">
      <w:pPr>
        <w:spacing w:line="240" w:lineRule="auto"/>
        <w:rPr>
          <w:szCs w:val="22"/>
          <w:lang w:val="da-DK"/>
          <w:rPrChange w:id="2332" w:author="Author">
            <w:rPr>
              <w:szCs w:val="22"/>
              <w:lang w:val="nb-NO"/>
            </w:rPr>
          </w:rPrChange>
        </w:rPr>
      </w:pPr>
    </w:p>
    <w:p w14:paraId="65EE6441" w14:textId="261C7ED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VAULT_ND_0ebb3fdc-7fef-4b40-834a-8a8a085ea93b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5890096" w14:textId="77777777" w:rsidR="00966B8F" w:rsidRPr="001775D9" w:rsidRDefault="00966B8F" w:rsidP="00B61D9D">
      <w:pPr>
        <w:spacing w:line="240" w:lineRule="auto"/>
        <w:rPr>
          <w:szCs w:val="22"/>
        </w:rPr>
      </w:pPr>
    </w:p>
    <w:p w14:paraId="73E82E57" w14:textId="77777777" w:rsidR="00966B8F" w:rsidRPr="001775D9" w:rsidRDefault="00966B8F" w:rsidP="007C5E41">
      <w:pPr>
        <w:spacing w:line="240" w:lineRule="auto"/>
        <w:rPr>
          <w:szCs w:val="22"/>
        </w:rPr>
      </w:pPr>
      <w:r w:rsidRPr="001775D9">
        <w:rPr>
          <w:szCs w:val="22"/>
        </w:rPr>
        <w:t>For subcutaneous use.</w:t>
      </w:r>
    </w:p>
    <w:p w14:paraId="2D46B41F" w14:textId="77777777" w:rsidR="00966B8F" w:rsidRPr="001775D9" w:rsidRDefault="00966B8F" w:rsidP="00B61D9D">
      <w:pPr>
        <w:spacing w:line="240" w:lineRule="auto"/>
        <w:rPr>
          <w:szCs w:val="22"/>
        </w:rPr>
      </w:pPr>
      <w:r w:rsidRPr="001775D9">
        <w:rPr>
          <w:szCs w:val="22"/>
        </w:rPr>
        <w:t>Read the package leaflet before use.</w:t>
      </w:r>
    </w:p>
    <w:p w14:paraId="0C78CE20" w14:textId="77777777" w:rsidR="00966B8F" w:rsidRPr="001775D9" w:rsidRDefault="00966B8F" w:rsidP="00B61D9D">
      <w:pPr>
        <w:spacing w:line="240" w:lineRule="auto"/>
        <w:rPr>
          <w:szCs w:val="22"/>
        </w:rPr>
      </w:pPr>
      <w:r w:rsidRPr="001775D9">
        <w:rPr>
          <w:szCs w:val="22"/>
        </w:rPr>
        <w:t>Single use only.</w:t>
      </w:r>
    </w:p>
    <w:p w14:paraId="11885255" w14:textId="77777777" w:rsidR="00966B8F" w:rsidRPr="001775D9" w:rsidRDefault="00966B8F" w:rsidP="00B61D9D">
      <w:pPr>
        <w:spacing w:line="240" w:lineRule="auto"/>
        <w:rPr>
          <w:szCs w:val="22"/>
        </w:rPr>
      </w:pPr>
    </w:p>
    <w:p w14:paraId="35CB3CE7" w14:textId="77777777" w:rsidR="00966B8F" w:rsidRPr="001775D9" w:rsidRDefault="00966B8F" w:rsidP="00B61D9D">
      <w:pPr>
        <w:spacing w:line="240" w:lineRule="auto"/>
        <w:rPr>
          <w:szCs w:val="22"/>
        </w:rPr>
      </w:pPr>
    </w:p>
    <w:p w14:paraId="50EC4255" w14:textId="112E44EC"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VAULT_ND_1b12f2da-a905-49b5-9c03-e8379f193c08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2B99D9C" w14:textId="77777777" w:rsidR="00966B8F" w:rsidRPr="001775D9" w:rsidRDefault="00966B8F" w:rsidP="00B61D9D">
      <w:pPr>
        <w:spacing w:line="240" w:lineRule="auto"/>
        <w:rPr>
          <w:szCs w:val="22"/>
        </w:rPr>
      </w:pPr>
    </w:p>
    <w:p w14:paraId="75E01E45" w14:textId="314A282F"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vault_nd_3d45bd28-45cf-4abb-9648-3555ade293a8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31F62A8A" w14:textId="77777777" w:rsidR="00966B8F" w:rsidRPr="001775D9" w:rsidRDefault="00966B8F" w:rsidP="00B61D9D">
      <w:pPr>
        <w:spacing w:line="240" w:lineRule="auto"/>
        <w:rPr>
          <w:szCs w:val="22"/>
        </w:rPr>
      </w:pPr>
    </w:p>
    <w:p w14:paraId="4BCAB225" w14:textId="77777777" w:rsidR="00966B8F" w:rsidRPr="001775D9" w:rsidRDefault="00966B8F" w:rsidP="00B61D9D">
      <w:pPr>
        <w:spacing w:line="240" w:lineRule="auto"/>
        <w:rPr>
          <w:szCs w:val="22"/>
        </w:rPr>
      </w:pPr>
    </w:p>
    <w:p w14:paraId="3A211041" w14:textId="2DA8468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VAULT_ND_1d3fcafb-c455-444a-af7d-425a234e5486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1796D26" w14:textId="77777777" w:rsidR="00966B8F" w:rsidRPr="001775D9" w:rsidRDefault="00966B8F" w:rsidP="00B61D9D">
      <w:pPr>
        <w:tabs>
          <w:tab w:val="left" w:pos="749"/>
        </w:tabs>
        <w:spacing w:line="240" w:lineRule="auto"/>
      </w:pPr>
    </w:p>
    <w:p w14:paraId="4A5D14FC" w14:textId="77777777" w:rsidR="00966B8F" w:rsidRPr="001775D9" w:rsidRDefault="00966B8F" w:rsidP="00B61D9D">
      <w:pPr>
        <w:tabs>
          <w:tab w:val="left" w:pos="749"/>
        </w:tabs>
        <w:spacing w:line="240" w:lineRule="auto"/>
      </w:pPr>
    </w:p>
    <w:p w14:paraId="6FFADAA4" w14:textId="0256987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VAULT_ND_400d3404-a5fe-49ae-bd46-1a3e80d9f3b8 \* MERGEFORMAT </w:instrText>
      </w:r>
      <w:r w:rsidR="001C55FB" w:rsidRPr="001775D9">
        <w:rPr>
          <w:b/>
        </w:rPr>
        <w:fldChar w:fldCharType="separate"/>
      </w:r>
      <w:r w:rsidR="001C55FB" w:rsidRPr="001775D9">
        <w:rPr>
          <w:b/>
        </w:rPr>
        <w:t xml:space="preserve"> </w:t>
      </w:r>
      <w:r w:rsidR="001C55FB" w:rsidRPr="001775D9">
        <w:rPr>
          <w:b/>
        </w:rPr>
        <w:fldChar w:fldCharType="end"/>
      </w:r>
    </w:p>
    <w:p w14:paraId="05A2B048" w14:textId="77777777" w:rsidR="00966B8F" w:rsidRPr="001775D9" w:rsidRDefault="00966B8F" w:rsidP="00B61D9D">
      <w:pPr>
        <w:spacing w:line="240" w:lineRule="auto"/>
      </w:pPr>
    </w:p>
    <w:p w14:paraId="4D516072" w14:textId="77777777" w:rsidR="00966B8F" w:rsidRPr="001775D9" w:rsidRDefault="00966B8F" w:rsidP="00B61D9D">
      <w:pPr>
        <w:spacing w:line="240" w:lineRule="auto"/>
      </w:pPr>
      <w:r w:rsidRPr="001775D9">
        <w:rPr>
          <w:szCs w:val="22"/>
        </w:rPr>
        <w:t xml:space="preserve">EXP </w:t>
      </w:r>
    </w:p>
    <w:p w14:paraId="45EDC849" w14:textId="77777777" w:rsidR="00966B8F" w:rsidRPr="001775D9" w:rsidRDefault="00966B8F" w:rsidP="00B61D9D">
      <w:pPr>
        <w:spacing w:line="240" w:lineRule="auto"/>
        <w:rPr>
          <w:szCs w:val="22"/>
        </w:rPr>
      </w:pPr>
    </w:p>
    <w:p w14:paraId="4E296E50" w14:textId="77777777" w:rsidR="00966B8F" w:rsidRPr="001775D9" w:rsidRDefault="00966B8F" w:rsidP="00B61D9D">
      <w:pPr>
        <w:spacing w:line="240" w:lineRule="auto"/>
        <w:rPr>
          <w:szCs w:val="22"/>
        </w:rPr>
      </w:pPr>
    </w:p>
    <w:p w14:paraId="2679CC14" w14:textId="4BF60391"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VAULT_ND_b6755a57-9f45-443c-8769-fecda9d3ad8c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996ED04" w14:textId="77777777" w:rsidR="00966B8F" w:rsidRPr="001775D9" w:rsidRDefault="00966B8F" w:rsidP="00B61D9D">
      <w:pPr>
        <w:keepNext/>
        <w:spacing w:line="240" w:lineRule="auto"/>
        <w:rPr>
          <w:szCs w:val="22"/>
        </w:rPr>
      </w:pPr>
    </w:p>
    <w:p w14:paraId="1E0F6C73" w14:textId="77777777" w:rsidR="00966B8F" w:rsidRPr="001775D9" w:rsidRDefault="00966B8F" w:rsidP="007C5E41">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50C041E1" w14:textId="77777777" w:rsidR="00966B8F" w:rsidRPr="001775D9" w:rsidRDefault="00966B8F" w:rsidP="007C5E41">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7AAC473A" w14:textId="77777777" w:rsidR="00966B8F" w:rsidRPr="001775D9" w:rsidRDefault="00966B8F" w:rsidP="007C5E41">
      <w:pPr>
        <w:keepNext/>
        <w:spacing w:line="240" w:lineRule="auto"/>
        <w:rPr>
          <w:rFonts w:eastAsia="SimSun"/>
          <w:szCs w:val="22"/>
          <w:lang w:eastAsia="en-GB"/>
        </w:rPr>
      </w:pPr>
      <w:r w:rsidRPr="001775D9">
        <w:rPr>
          <w:rFonts w:eastAsia="SimSun"/>
          <w:szCs w:val="22"/>
          <w:lang w:eastAsia="en-GB"/>
        </w:rPr>
        <w:t>Store in the original carton in order to protect from light.</w:t>
      </w:r>
    </w:p>
    <w:p w14:paraId="3E356AE4" w14:textId="77777777" w:rsidR="00966B8F" w:rsidRPr="001775D9" w:rsidRDefault="00966B8F" w:rsidP="007C5E41">
      <w:pPr>
        <w:spacing w:line="240" w:lineRule="auto"/>
        <w:rPr>
          <w:rFonts w:eastAsia="SimSun"/>
          <w:szCs w:val="22"/>
          <w:lang w:eastAsia="en-GB"/>
        </w:rPr>
      </w:pPr>
    </w:p>
    <w:p w14:paraId="2252792F" w14:textId="77777777" w:rsidR="00966B8F" w:rsidRPr="001775D9" w:rsidRDefault="00966B8F" w:rsidP="00B61D9D">
      <w:pPr>
        <w:spacing w:line="240" w:lineRule="auto"/>
        <w:ind w:left="567" w:hanging="567"/>
        <w:rPr>
          <w:szCs w:val="22"/>
        </w:rPr>
      </w:pPr>
    </w:p>
    <w:p w14:paraId="50FFB712" w14:textId="71A623C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VAULT_ND_76346c90-593a-4533-a711-8c64b52d0f4f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D1F13D0" w14:textId="77777777" w:rsidR="00966B8F" w:rsidRPr="001775D9" w:rsidRDefault="00966B8F" w:rsidP="00B61D9D">
      <w:pPr>
        <w:spacing w:line="240" w:lineRule="auto"/>
        <w:rPr>
          <w:szCs w:val="22"/>
        </w:rPr>
      </w:pPr>
    </w:p>
    <w:p w14:paraId="2C481072" w14:textId="77777777" w:rsidR="00966B8F" w:rsidRPr="001775D9" w:rsidRDefault="00966B8F" w:rsidP="00B61D9D">
      <w:pPr>
        <w:spacing w:line="240" w:lineRule="auto"/>
        <w:rPr>
          <w:szCs w:val="22"/>
        </w:rPr>
      </w:pPr>
    </w:p>
    <w:p w14:paraId="63AB9EE2" w14:textId="296335C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VAULT_ND_09820b2b-158f-454f-a711-f0345acd53da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9FB2A27" w14:textId="77777777" w:rsidR="00966B8F" w:rsidRPr="001775D9" w:rsidRDefault="00966B8F" w:rsidP="00B61D9D">
      <w:pPr>
        <w:spacing w:line="240" w:lineRule="auto"/>
        <w:rPr>
          <w:szCs w:val="22"/>
        </w:rPr>
      </w:pPr>
    </w:p>
    <w:p w14:paraId="438D0325" w14:textId="77777777" w:rsidR="00966B8F" w:rsidRPr="00D55B59" w:rsidRDefault="00966B8F" w:rsidP="007C5E41">
      <w:pPr>
        <w:tabs>
          <w:tab w:val="clear" w:pos="567"/>
        </w:tabs>
        <w:autoSpaceDE w:val="0"/>
        <w:autoSpaceDN w:val="0"/>
        <w:adjustRightInd w:val="0"/>
        <w:spacing w:line="240" w:lineRule="auto"/>
        <w:rPr>
          <w:rFonts w:eastAsia="SimSun"/>
          <w:szCs w:val="22"/>
          <w:lang w:eastAsia="en-GB"/>
          <w:rPrChange w:id="2333" w:author="Author">
            <w:rPr>
              <w:rFonts w:eastAsia="SimSun"/>
              <w:szCs w:val="22"/>
              <w:lang w:val="sv-SE" w:eastAsia="en-GB"/>
            </w:rPr>
          </w:rPrChange>
        </w:rPr>
      </w:pPr>
      <w:r w:rsidRPr="00D55B59">
        <w:rPr>
          <w:rFonts w:eastAsia="SimSun"/>
          <w:szCs w:val="22"/>
          <w:lang w:eastAsia="en-GB"/>
          <w:rPrChange w:id="2334" w:author="Author">
            <w:rPr>
              <w:rFonts w:eastAsia="SimSun"/>
              <w:szCs w:val="22"/>
              <w:lang w:val="sv-SE" w:eastAsia="en-GB"/>
            </w:rPr>
          </w:rPrChange>
        </w:rPr>
        <w:t>Amgen Europe B.V.</w:t>
      </w:r>
    </w:p>
    <w:p w14:paraId="13BE6847" w14:textId="77777777" w:rsidR="00966B8F" w:rsidRPr="00D55B59" w:rsidRDefault="00966B8F" w:rsidP="007C5E41">
      <w:pPr>
        <w:tabs>
          <w:tab w:val="clear" w:pos="567"/>
        </w:tabs>
        <w:autoSpaceDE w:val="0"/>
        <w:autoSpaceDN w:val="0"/>
        <w:adjustRightInd w:val="0"/>
        <w:spacing w:line="240" w:lineRule="auto"/>
        <w:rPr>
          <w:rFonts w:eastAsia="SimSun"/>
          <w:szCs w:val="22"/>
          <w:lang w:eastAsia="en-GB"/>
          <w:rPrChange w:id="2335" w:author="Author">
            <w:rPr>
              <w:rFonts w:eastAsia="SimSun"/>
              <w:szCs w:val="22"/>
              <w:lang w:val="sv-SE" w:eastAsia="en-GB"/>
            </w:rPr>
          </w:rPrChange>
        </w:rPr>
      </w:pPr>
      <w:r w:rsidRPr="00D55B59">
        <w:rPr>
          <w:rFonts w:eastAsia="SimSun"/>
          <w:szCs w:val="22"/>
          <w:lang w:eastAsia="en-GB"/>
          <w:rPrChange w:id="2336" w:author="Author">
            <w:rPr>
              <w:rFonts w:eastAsia="SimSun"/>
              <w:szCs w:val="22"/>
              <w:lang w:val="sv-SE" w:eastAsia="en-GB"/>
            </w:rPr>
          </w:rPrChange>
        </w:rPr>
        <w:t>Minervum 7061,</w:t>
      </w:r>
    </w:p>
    <w:p w14:paraId="0AB32A5D" w14:textId="77777777" w:rsidR="00966B8F" w:rsidRPr="001775D9" w:rsidRDefault="00966B8F" w:rsidP="007C5E41">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166CD89A" w14:textId="77777777" w:rsidR="00966B8F" w:rsidRPr="001775D9" w:rsidRDefault="00966B8F" w:rsidP="007C5E41">
      <w:pPr>
        <w:spacing w:line="240" w:lineRule="auto"/>
        <w:rPr>
          <w:szCs w:val="22"/>
        </w:rPr>
      </w:pPr>
      <w:r w:rsidRPr="001775D9">
        <w:rPr>
          <w:rFonts w:eastAsia="SimSun"/>
          <w:szCs w:val="22"/>
          <w:lang w:eastAsia="en-GB"/>
        </w:rPr>
        <w:t>The Netherlands</w:t>
      </w:r>
      <w:r w:rsidRPr="001775D9">
        <w:rPr>
          <w:i/>
          <w:szCs w:val="22"/>
        </w:rPr>
        <w:t xml:space="preserve"> </w:t>
      </w:r>
    </w:p>
    <w:p w14:paraId="68BE42DE" w14:textId="77777777" w:rsidR="00966B8F" w:rsidRPr="001775D9" w:rsidRDefault="00966B8F" w:rsidP="00B61D9D">
      <w:pPr>
        <w:spacing w:line="240" w:lineRule="auto"/>
        <w:rPr>
          <w:szCs w:val="22"/>
        </w:rPr>
      </w:pPr>
    </w:p>
    <w:p w14:paraId="66181DF5" w14:textId="77777777" w:rsidR="00966B8F" w:rsidRPr="001775D9" w:rsidRDefault="00966B8F" w:rsidP="00B61D9D">
      <w:pPr>
        <w:spacing w:line="240" w:lineRule="auto"/>
        <w:rPr>
          <w:szCs w:val="22"/>
        </w:rPr>
      </w:pPr>
    </w:p>
    <w:p w14:paraId="46421BA4" w14:textId="4419F5E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VAULT_ND_7b84c100-a943-43d5-bf41-e66066c186fa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12B4209" w14:textId="77777777" w:rsidR="00966B8F" w:rsidRPr="001775D9" w:rsidRDefault="00966B8F" w:rsidP="00B61D9D">
      <w:pPr>
        <w:spacing w:line="240" w:lineRule="auto"/>
        <w:rPr>
          <w:szCs w:val="22"/>
        </w:rPr>
      </w:pPr>
    </w:p>
    <w:p w14:paraId="23913CD8" w14:textId="77777777" w:rsidR="00966B8F" w:rsidRPr="001775D9" w:rsidRDefault="00966B8F" w:rsidP="00B61D9D">
      <w:pPr>
        <w:spacing w:line="240" w:lineRule="auto"/>
        <w:rPr>
          <w:color w:val="000000"/>
        </w:rPr>
      </w:pPr>
      <w:r w:rsidRPr="001775D9">
        <w:rPr>
          <w:color w:val="000000"/>
        </w:rPr>
        <w:t>EU/1/16/1164/010</w:t>
      </w:r>
    </w:p>
    <w:p w14:paraId="15D801C3" w14:textId="77777777" w:rsidR="00966B8F" w:rsidRPr="001775D9" w:rsidRDefault="00966B8F" w:rsidP="00B61D9D">
      <w:pPr>
        <w:spacing w:line="240" w:lineRule="auto"/>
        <w:rPr>
          <w:szCs w:val="22"/>
        </w:rPr>
      </w:pPr>
    </w:p>
    <w:p w14:paraId="1AC860C5" w14:textId="77777777" w:rsidR="00966B8F" w:rsidRPr="001775D9" w:rsidRDefault="00966B8F" w:rsidP="00B61D9D">
      <w:pPr>
        <w:spacing w:line="240" w:lineRule="auto"/>
        <w:rPr>
          <w:szCs w:val="22"/>
        </w:rPr>
      </w:pPr>
    </w:p>
    <w:p w14:paraId="1435319F" w14:textId="48BCA10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VAULT_ND_313ab1e2-026e-4117-992a-a0a97aebcbff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7BD623F" w14:textId="77777777" w:rsidR="00966B8F" w:rsidRPr="001775D9" w:rsidRDefault="00966B8F" w:rsidP="00B61D9D">
      <w:pPr>
        <w:spacing w:line="240" w:lineRule="auto"/>
        <w:rPr>
          <w:i/>
          <w:szCs w:val="22"/>
        </w:rPr>
      </w:pPr>
    </w:p>
    <w:p w14:paraId="176F01A7" w14:textId="77777777" w:rsidR="00966B8F" w:rsidRPr="001775D9" w:rsidRDefault="00966B8F" w:rsidP="00B61D9D">
      <w:pPr>
        <w:spacing w:line="240" w:lineRule="auto"/>
        <w:rPr>
          <w:szCs w:val="22"/>
        </w:rPr>
      </w:pPr>
      <w:r w:rsidRPr="001775D9">
        <w:rPr>
          <w:szCs w:val="22"/>
        </w:rPr>
        <w:t>Lot</w:t>
      </w:r>
    </w:p>
    <w:p w14:paraId="189F1353" w14:textId="77777777" w:rsidR="00966B8F" w:rsidRPr="001775D9" w:rsidRDefault="00966B8F" w:rsidP="00B61D9D">
      <w:pPr>
        <w:spacing w:line="240" w:lineRule="auto"/>
        <w:rPr>
          <w:szCs w:val="22"/>
        </w:rPr>
      </w:pPr>
    </w:p>
    <w:p w14:paraId="29B51EB6" w14:textId="77777777" w:rsidR="00966B8F" w:rsidRPr="001775D9" w:rsidRDefault="00966B8F" w:rsidP="00B61D9D">
      <w:pPr>
        <w:spacing w:line="240" w:lineRule="auto"/>
        <w:rPr>
          <w:szCs w:val="22"/>
        </w:rPr>
      </w:pPr>
    </w:p>
    <w:p w14:paraId="2467F181" w14:textId="7FC2E1D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VAULT_ND_6ae8c616-4513-4df1-b86f-5a0f060742ce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2A89CFB" w14:textId="77777777" w:rsidR="00966B8F" w:rsidRPr="001775D9" w:rsidRDefault="00966B8F" w:rsidP="00B61D9D">
      <w:pPr>
        <w:spacing w:line="240" w:lineRule="auto"/>
        <w:rPr>
          <w:szCs w:val="22"/>
        </w:rPr>
      </w:pPr>
    </w:p>
    <w:p w14:paraId="599B2F16" w14:textId="77777777" w:rsidR="00966B8F" w:rsidRPr="001775D9" w:rsidRDefault="00966B8F" w:rsidP="00B61D9D">
      <w:pPr>
        <w:spacing w:line="240" w:lineRule="auto"/>
        <w:rPr>
          <w:szCs w:val="22"/>
        </w:rPr>
      </w:pPr>
    </w:p>
    <w:p w14:paraId="316A3A08" w14:textId="63E75AE8"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VAULT_ND_c01aec08-2911-4852-b135-6082ccd80792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34112FB" w14:textId="77777777" w:rsidR="00966B8F" w:rsidRPr="001775D9" w:rsidRDefault="00966B8F" w:rsidP="00B61D9D">
      <w:pPr>
        <w:spacing w:line="240" w:lineRule="auto"/>
        <w:rPr>
          <w:szCs w:val="22"/>
        </w:rPr>
      </w:pPr>
    </w:p>
    <w:p w14:paraId="02820B5E" w14:textId="77777777" w:rsidR="00966B8F" w:rsidRPr="001775D9" w:rsidRDefault="00966B8F" w:rsidP="00B61D9D">
      <w:pPr>
        <w:spacing w:line="240" w:lineRule="auto"/>
        <w:rPr>
          <w:szCs w:val="22"/>
        </w:rPr>
      </w:pPr>
    </w:p>
    <w:p w14:paraId="51FAC301" w14:textId="77777777" w:rsidR="00966B8F" w:rsidRPr="001775D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1C17DD80" w14:textId="77777777" w:rsidR="00966B8F" w:rsidRPr="001775D9" w:rsidRDefault="00966B8F" w:rsidP="00B61D9D">
      <w:pPr>
        <w:spacing w:line="240" w:lineRule="auto"/>
      </w:pPr>
    </w:p>
    <w:p w14:paraId="5A9943B3" w14:textId="657C7D08" w:rsidR="00966B8F" w:rsidRPr="00D55B59" w:rsidRDefault="00966B8F" w:rsidP="007C5E41">
      <w:pPr>
        <w:spacing w:line="240" w:lineRule="auto"/>
        <w:rPr>
          <w:szCs w:val="22"/>
          <w:highlight w:val="yellow"/>
          <w:shd w:val="clear" w:color="auto" w:fill="CCCCCC"/>
          <w:rPrChange w:id="2337" w:author="Author">
            <w:rPr>
              <w:noProof/>
              <w:szCs w:val="22"/>
              <w:highlight w:val="yellow"/>
              <w:shd w:val="clear" w:color="auto" w:fill="CCCCCC"/>
            </w:rPr>
          </w:rPrChange>
        </w:rPr>
      </w:pPr>
      <w:r w:rsidRPr="001775D9">
        <w:t>AMGEVITA 20 mg</w:t>
      </w:r>
      <w:r w:rsidR="00F1109D" w:rsidRPr="001775D9">
        <w:t>/0.2 mL</w:t>
      </w:r>
      <w:r w:rsidRPr="001775D9">
        <w:t xml:space="preserve"> syringe</w:t>
      </w:r>
    </w:p>
    <w:p w14:paraId="44C71FD1" w14:textId="77777777" w:rsidR="00966B8F" w:rsidRPr="00D55B59" w:rsidRDefault="00966B8F" w:rsidP="007C5E41">
      <w:pPr>
        <w:spacing w:line="240" w:lineRule="auto"/>
        <w:rPr>
          <w:szCs w:val="22"/>
          <w:shd w:val="clear" w:color="auto" w:fill="CCCCCC"/>
          <w:rPrChange w:id="2338" w:author="Author">
            <w:rPr>
              <w:noProof/>
              <w:szCs w:val="22"/>
              <w:shd w:val="clear" w:color="auto" w:fill="CCCCCC"/>
            </w:rPr>
          </w:rPrChange>
        </w:rPr>
      </w:pPr>
    </w:p>
    <w:p w14:paraId="261C5D15" w14:textId="77777777" w:rsidR="00966B8F" w:rsidRPr="00D55B59" w:rsidRDefault="00966B8F" w:rsidP="007C5E41">
      <w:pPr>
        <w:spacing w:line="240" w:lineRule="auto"/>
        <w:rPr>
          <w:szCs w:val="22"/>
          <w:shd w:val="clear" w:color="auto" w:fill="CCCCCC"/>
          <w:rPrChange w:id="2339" w:author="Author">
            <w:rPr>
              <w:noProof/>
              <w:szCs w:val="22"/>
              <w:shd w:val="clear" w:color="auto" w:fill="CCCCCC"/>
            </w:rPr>
          </w:rPrChange>
        </w:rPr>
      </w:pPr>
    </w:p>
    <w:p w14:paraId="292BC566" w14:textId="77777777" w:rsidR="00966B8F" w:rsidRPr="00D55B59" w:rsidRDefault="00966B8F" w:rsidP="007C5E41">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340" w:author="Author">
            <w:rPr>
              <w:i/>
              <w:noProof/>
            </w:rPr>
          </w:rPrChange>
        </w:rPr>
      </w:pPr>
      <w:r w:rsidRPr="00D55B59">
        <w:rPr>
          <w:b/>
          <w:rPrChange w:id="2341" w:author="Author">
            <w:rPr>
              <w:b/>
              <w:noProof/>
            </w:rPr>
          </w:rPrChange>
        </w:rPr>
        <w:t>17.</w:t>
      </w:r>
      <w:r w:rsidRPr="00D55B59">
        <w:rPr>
          <w:b/>
          <w:rPrChange w:id="2342" w:author="Author">
            <w:rPr>
              <w:b/>
              <w:noProof/>
            </w:rPr>
          </w:rPrChange>
        </w:rPr>
        <w:tab/>
        <w:t>UNIQUE IDENTIFIER – 2D BARCODE</w:t>
      </w:r>
    </w:p>
    <w:p w14:paraId="0F409A92" w14:textId="77777777" w:rsidR="00966B8F" w:rsidRPr="00D55B59" w:rsidRDefault="00966B8F" w:rsidP="007C5E41">
      <w:pPr>
        <w:tabs>
          <w:tab w:val="clear" w:pos="567"/>
        </w:tabs>
        <w:spacing w:line="240" w:lineRule="auto"/>
        <w:rPr>
          <w:rPrChange w:id="2343" w:author="Author">
            <w:rPr>
              <w:noProof/>
            </w:rPr>
          </w:rPrChange>
        </w:rPr>
      </w:pPr>
    </w:p>
    <w:p w14:paraId="3C769593" w14:textId="77777777" w:rsidR="00966B8F" w:rsidRPr="00D55B59" w:rsidRDefault="00966B8F" w:rsidP="007C5E41">
      <w:pPr>
        <w:spacing w:line="240" w:lineRule="auto"/>
        <w:rPr>
          <w:szCs w:val="22"/>
          <w:shd w:val="clear" w:color="auto" w:fill="CCCCCC"/>
          <w:rPrChange w:id="2344" w:author="Author">
            <w:rPr>
              <w:noProof/>
              <w:szCs w:val="22"/>
              <w:shd w:val="clear" w:color="auto" w:fill="CCCCCC"/>
            </w:rPr>
          </w:rPrChange>
        </w:rPr>
      </w:pPr>
      <w:r w:rsidRPr="00D55B59">
        <w:rPr>
          <w:highlight w:val="lightGray"/>
          <w:rPrChange w:id="2345" w:author="Author">
            <w:rPr>
              <w:noProof/>
              <w:highlight w:val="lightGray"/>
            </w:rPr>
          </w:rPrChange>
        </w:rPr>
        <w:t>2D barcode carrying the unique identifier included.</w:t>
      </w:r>
    </w:p>
    <w:p w14:paraId="2C550DA2" w14:textId="77777777" w:rsidR="00966B8F" w:rsidRPr="00D55B59" w:rsidRDefault="00966B8F" w:rsidP="007C5E41">
      <w:pPr>
        <w:spacing w:line="240" w:lineRule="auto"/>
        <w:rPr>
          <w:szCs w:val="22"/>
          <w:shd w:val="clear" w:color="auto" w:fill="CCCCCC"/>
          <w:rPrChange w:id="2346" w:author="Author">
            <w:rPr>
              <w:noProof/>
              <w:szCs w:val="22"/>
              <w:shd w:val="clear" w:color="auto" w:fill="CCCCCC"/>
            </w:rPr>
          </w:rPrChange>
        </w:rPr>
      </w:pPr>
    </w:p>
    <w:p w14:paraId="55F8C289" w14:textId="77777777" w:rsidR="00966B8F" w:rsidRPr="00D55B59" w:rsidRDefault="00966B8F" w:rsidP="007C5E41">
      <w:pPr>
        <w:tabs>
          <w:tab w:val="clear" w:pos="567"/>
        </w:tabs>
        <w:spacing w:line="240" w:lineRule="auto"/>
        <w:rPr>
          <w:rPrChange w:id="2347" w:author="Author">
            <w:rPr>
              <w:noProof/>
            </w:rPr>
          </w:rPrChange>
        </w:rPr>
      </w:pPr>
    </w:p>
    <w:p w14:paraId="434BF4EF" w14:textId="17145D0B" w:rsidR="00966B8F" w:rsidRPr="00D55B59" w:rsidRDefault="00966B8F" w:rsidP="007C5E41">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348" w:author="Author">
            <w:rPr>
              <w:i/>
              <w:noProof/>
            </w:rPr>
          </w:rPrChange>
        </w:rPr>
      </w:pPr>
      <w:r w:rsidRPr="00D55B59">
        <w:rPr>
          <w:b/>
          <w:rPrChange w:id="2349" w:author="Author">
            <w:rPr>
              <w:b/>
              <w:noProof/>
            </w:rPr>
          </w:rPrChange>
        </w:rPr>
        <w:t>18.</w:t>
      </w:r>
      <w:r w:rsidRPr="00D55B59">
        <w:rPr>
          <w:b/>
          <w:rPrChange w:id="2350" w:author="Author">
            <w:rPr>
              <w:b/>
              <w:noProof/>
            </w:rPr>
          </w:rPrChange>
        </w:rPr>
        <w:tab/>
        <w:t xml:space="preserve">UNIQUE IDENTIFIER </w:t>
      </w:r>
      <w:r w:rsidR="00F1109D" w:rsidRPr="001775D9">
        <w:rPr>
          <w:rFonts w:eastAsia="Calibri"/>
        </w:rPr>
        <w:t>–</w:t>
      </w:r>
      <w:r w:rsidRPr="00D55B59">
        <w:rPr>
          <w:b/>
          <w:rPrChange w:id="2351" w:author="Author">
            <w:rPr>
              <w:b/>
              <w:noProof/>
            </w:rPr>
          </w:rPrChange>
        </w:rPr>
        <w:t xml:space="preserve"> HUMAN READABLE DATA</w:t>
      </w:r>
    </w:p>
    <w:p w14:paraId="540055A1" w14:textId="77777777" w:rsidR="00966B8F" w:rsidRPr="00D55B59" w:rsidRDefault="00966B8F" w:rsidP="007C5E41">
      <w:pPr>
        <w:tabs>
          <w:tab w:val="clear" w:pos="567"/>
        </w:tabs>
        <w:spacing w:line="240" w:lineRule="auto"/>
        <w:rPr>
          <w:rPrChange w:id="2352" w:author="Author">
            <w:rPr>
              <w:noProof/>
            </w:rPr>
          </w:rPrChange>
        </w:rPr>
      </w:pPr>
    </w:p>
    <w:p w14:paraId="2BE1F567" w14:textId="77777777" w:rsidR="00966B8F" w:rsidRPr="001775D9" w:rsidRDefault="00966B8F" w:rsidP="007C5E41">
      <w:pPr>
        <w:spacing w:line="240" w:lineRule="auto"/>
        <w:rPr>
          <w:szCs w:val="22"/>
        </w:rPr>
      </w:pPr>
      <w:r w:rsidRPr="001775D9">
        <w:rPr>
          <w:szCs w:val="22"/>
        </w:rPr>
        <w:t>PC</w:t>
      </w:r>
    </w:p>
    <w:p w14:paraId="16904A2F" w14:textId="77777777" w:rsidR="00966B8F" w:rsidRPr="001775D9" w:rsidRDefault="00966B8F" w:rsidP="00B61D9D">
      <w:pPr>
        <w:spacing w:line="240" w:lineRule="auto"/>
        <w:rPr>
          <w:szCs w:val="22"/>
        </w:rPr>
      </w:pPr>
      <w:r w:rsidRPr="001775D9">
        <w:rPr>
          <w:szCs w:val="22"/>
        </w:rPr>
        <w:t>SN</w:t>
      </w:r>
    </w:p>
    <w:p w14:paraId="387AB7C7" w14:textId="77777777" w:rsidR="00966B8F" w:rsidRPr="00D55B59" w:rsidRDefault="00966B8F" w:rsidP="00B61D9D">
      <w:pPr>
        <w:spacing w:line="240" w:lineRule="auto"/>
        <w:rPr>
          <w:vanish/>
          <w:szCs w:val="22"/>
          <w:rPrChange w:id="2353" w:author="Author">
            <w:rPr>
              <w:noProof/>
              <w:vanish/>
              <w:szCs w:val="22"/>
            </w:rPr>
          </w:rPrChange>
        </w:rPr>
      </w:pPr>
      <w:r w:rsidRPr="001775D9">
        <w:rPr>
          <w:szCs w:val="22"/>
        </w:rPr>
        <w:t>NN</w:t>
      </w:r>
    </w:p>
    <w:p w14:paraId="56E92ACD" w14:textId="77777777" w:rsidR="00966B8F" w:rsidRPr="001775D9" w:rsidRDefault="00966B8F" w:rsidP="00B61D9D">
      <w:pPr>
        <w:spacing w:line="240" w:lineRule="auto"/>
      </w:pPr>
    </w:p>
    <w:p w14:paraId="4A1BEEB0"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br w:type="page"/>
        <w:t>MINIMUM PARTICULARS TO APPEAR ON SMALL IMMEDIATE PACKAGING UNITS</w:t>
      </w:r>
    </w:p>
    <w:p w14:paraId="2CA0A537"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p>
    <w:p w14:paraId="29EEE934" w14:textId="77777777" w:rsidR="00966B8F" w:rsidRPr="001775D9" w:rsidRDefault="00966B8F" w:rsidP="007C5E41">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SYRINGE LABEL </w:t>
      </w:r>
    </w:p>
    <w:p w14:paraId="4D752889" w14:textId="77777777" w:rsidR="00966B8F" w:rsidRPr="001775D9" w:rsidRDefault="00966B8F" w:rsidP="00B61D9D">
      <w:pPr>
        <w:keepNext/>
        <w:spacing w:line="240" w:lineRule="auto"/>
        <w:rPr>
          <w:szCs w:val="22"/>
        </w:rPr>
      </w:pPr>
    </w:p>
    <w:p w14:paraId="22A0F5E6" w14:textId="77777777" w:rsidR="00966B8F" w:rsidRPr="001775D9" w:rsidRDefault="00966B8F" w:rsidP="00B61D9D">
      <w:pPr>
        <w:keepNext/>
        <w:spacing w:line="240" w:lineRule="auto"/>
        <w:rPr>
          <w:szCs w:val="22"/>
        </w:rPr>
      </w:pPr>
    </w:p>
    <w:p w14:paraId="14064223" w14:textId="03422CE4" w:rsidR="00966B8F" w:rsidRPr="001775D9" w:rsidRDefault="00966B8F" w:rsidP="000E67AC">
      <w:pPr>
        <w:pStyle w:val="ListParagraph"/>
        <w:keepNext/>
        <w:numPr>
          <w:ilvl w:val="0"/>
          <w:numId w:val="51"/>
        </w:numPr>
        <w:pBdr>
          <w:top w:val="single" w:sz="4" w:space="1" w:color="auto"/>
          <w:left w:val="single" w:sz="4" w:space="4" w:color="auto"/>
          <w:bottom w:val="single" w:sz="4" w:space="1" w:color="auto"/>
          <w:right w:val="single" w:sz="4" w:space="4" w:color="auto"/>
        </w:pBdr>
        <w:ind w:left="567" w:hanging="567"/>
        <w:outlineLvl w:val="0"/>
        <w:rPr>
          <w:b/>
          <w:szCs w:val="22"/>
        </w:rPr>
      </w:pPr>
      <w:r w:rsidRPr="001775D9">
        <w:rPr>
          <w:b/>
          <w:szCs w:val="22"/>
        </w:rPr>
        <w:t>NAME OF THE MEDICINAL PRODUCT AND ROUTE(S) OF ADMINISTRATION</w:t>
      </w:r>
      <w:r w:rsidR="001C55FB" w:rsidRPr="001775D9">
        <w:rPr>
          <w:b/>
          <w:szCs w:val="22"/>
        </w:rPr>
        <w:fldChar w:fldCharType="begin"/>
      </w:r>
      <w:r w:rsidR="001C55FB" w:rsidRPr="001775D9">
        <w:rPr>
          <w:b/>
          <w:szCs w:val="22"/>
        </w:rPr>
        <w:instrText xml:space="preserve"> DOCVARIABLE VAULT_ND_62417958-6645-4e48-be16-8777a7daa066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F23FA6D" w14:textId="77777777" w:rsidR="00966B8F" w:rsidRPr="001775D9" w:rsidRDefault="00966B8F" w:rsidP="00B61D9D">
      <w:pPr>
        <w:keepNext/>
        <w:spacing w:line="240" w:lineRule="auto"/>
        <w:ind w:left="567" w:hanging="567"/>
        <w:rPr>
          <w:szCs w:val="22"/>
        </w:rPr>
      </w:pPr>
    </w:p>
    <w:p w14:paraId="324B0CE7" w14:textId="16C2DC8B" w:rsidR="00966B8F" w:rsidRPr="001775D9" w:rsidRDefault="00966B8F" w:rsidP="00B61D9D">
      <w:pPr>
        <w:keepNext/>
        <w:spacing w:line="240" w:lineRule="auto"/>
        <w:rPr>
          <w:szCs w:val="22"/>
        </w:rPr>
      </w:pPr>
      <w:r w:rsidRPr="001775D9">
        <w:rPr>
          <w:szCs w:val="22"/>
        </w:rPr>
        <w:t>AMGEVITA 20 mg injection</w:t>
      </w:r>
    </w:p>
    <w:p w14:paraId="043AC394" w14:textId="77777777" w:rsidR="00966B8F" w:rsidRPr="001775D9" w:rsidRDefault="00966B8F" w:rsidP="00B61D9D">
      <w:pPr>
        <w:keepNext/>
        <w:spacing w:line="240" w:lineRule="auto"/>
        <w:rPr>
          <w:szCs w:val="22"/>
        </w:rPr>
      </w:pPr>
      <w:r w:rsidRPr="001775D9">
        <w:rPr>
          <w:szCs w:val="22"/>
        </w:rPr>
        <w:t>adalimumab</w:t>
      </w:r>
    </w:p>
    <w:p w14:paraId="5D6DA715" w14:textId="77777777" w:rsidR="00966B8F" w:rsidRPr="001775D9" w:rsidRDefault="00966B8F" w:rsidP="00B61D9D">
      <w:pPr>
        <w:keepNext/>
        <w:spacing w:line="240" w:lineRule="auto"/>
        <w:rPr>
          <w:szCs w:val="22"/>
        </w:rPr>
      </w:pPr>
      <w:r w:rsidRPr="001775D9">
        <w:rPr>
          <w:szCs w:val="22"/>
        </w:rPr>
        <w:t>SC</w:t>
      </w:r>
    </w:p>
    <w:p w14:paraId="52AFB1CF" w14:textId="77777777" w:rsidR="00966B8F" w:rsidRPr="001775D9" w:rsidRDefault="00966B8F" w:rsidP="00B61D9D">
      <w:pPr>
        <w:keepNext/>
        <w:spacing w:line="240" w:lineRule="auto"/>
        <w:rPr>
          <w:szCs w:val="22"/>
        </w:rPr>
      </w:pPr>
    </w:p>
    <w:p w14:paraId="39454298" w14:textId="77777777" w:rsidR="00966B8F" w:rsidRPr="001775D9" w:rsidRDefault="00966B8F" w:rsidP="00B61D9D">
      <w:pPr>
        <w:keepNext/>
        <w:spacing w:line="240" w:lineRule="auto"/>
        <w:rPr>
          <w:szCs w:val="22"/>
        </w:rPr>
      </w:pPr>
    </w:p>
    <w:p w14:paraId="31188661" w14:textId="378656BF"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METHOD OF ADMINISTRATION</w:t>
      </w:r>
      <w:r w:rsidR="001C55FB" w:rsidRPr="001775D9">
        <w:rPr>
          <w:b/>
          <w:szCs w:val="22"/>
        </w:rPr>
        <w:fldChar w:fldCharType="begin"/>
      </w:r>
      <w:r w:rsidR="001C55FB" w:rsidRPr="001775D9">
        <w:rPr>
          <w:b/>
          <w:szCs w:val="22"/>
        </w:rPr>
        <w:instrText xml:space="preserve"> DOCVARIABLE VAULT_ND_19cf6900-33ad-48da-b3f5-5659cd6d9948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4E803D1" w14:textId="77777777" w:rsidR="00966B8F" w:rsidRPr="001775D9" w:rsidRDefault="00966B8F" w:rsidP="00B61D9D">
      <w:pPr>
        <w:spacing w:line="240" w:lineRule="auto"/>
        <w:rPr>
          <w:szCs w:val="22"/>
        </w:rPr>
      </w:pPr>
    </w:p>
    <w:p w14:paraId="23E734D5" w14:textId="77777777" w:rsidR="00966B8F" w:rsidRPr="001775D9" w:rsidRDefault="00966B8F" w:rsidP="00B61D9D">
      <w:pPr>
        <w:spacing w:line="240" w:lineRule="auto"/>
        <w:rPr>
          <w:szCs w:val="22"/>
        </w:rPr>
      </w:pPr>
    </w:p>
    <w:p w14:paraId="77E282ED" w14:textId="003346C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3.</w:t>
      </w:r>
      <w:r w:rsidRPr="001775D9">
        <w:rPr>
          <w:b/>
          <w:szCs w:val="22"/>
        </w:rPr>
        <w:tab/>
        <w:t>EXPIRY DATE</w:t>
      </w:r>
      <w:r w:rsidR="001C55FB" w:rsidRPr="001775D9">
        <w:rPr>
          <w:b/>
          <w:szCs w:val="22"/>
        </w:rPr>
        <w:fldChar w:fldCharType="begin"/>
      </w:r>
      <w:r w:rsidR="001C55FB" w:rsidRPr="001775D9">
        <w:rPr>
          <w:b/>
          <w:szCs w:val="22"/>
        </w:rPr>
        <w:instrText xml:space="preserve"> DOCVARIABLE VAULT_ND_dafa7e2d-6fdc-41c2-acc3-a9e4870cccbb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7C5BD1A" w14:textId="77777777" w:rsidR="00966B8F" w:rsidRPr="001775D9" w:rsidRDefault="00966B8F" w:rsidP="00B61D9D">
      <w:pPr>
        <w:spacing w:line="240" w:lineRule="auto"/>
      </w:pPr>
    </w:p>
    <w:p w14:paraId="07F463CB" w14:textId="77777777" w:rsidR="00966B8F" w:rsidRPr="001775D9" w:rsidRDefault="00966B8F" w:rsidP="00B61D9D">
      <w:pPr>
        <w:spacing w:line="240" w:lineRule="auto"/>
        <w:rPr>
          <w:lang w:eastAsia="zh-TW"/>
        </w:rPr>
      </w:pPr>
      <w:r w:rsidRPr="001775D9">
        <w:t xml:space="preserve">EXP </w:t>
      </w:r>
    </w:p>
    <w:p w14:paraId="45A511F3" w14:textId="77777777" w:rsidR="00966B8F" w:rsidRPr="001775D9" w:rsidRDefault="00966B8F" w:rsidP="00B61D9D">
      <w:pPr>
        <w:spacing w:line="240" w:lineRule="auto"/>
        <w:rPr>
          <w:lang w:eastAsia="zh-TW"/>
        </w:rPr>
      </w:pPr>
    </w:p>
    <w:p w14:paraId="68AE81C0" w14:textId="77777777" w:rsidR="00966B8F" w:rsidRPr="001775D9" w:rsidRDefault="00966B8F" w:rsidP="00B61D9D">
      <w:pPr>
        <w:spacing w:line="240" w:lineRule="auto"/>
      </w:pPr>
    </w:p>
    <w:p w14:paraId="09B480DD" w14:textId="5E30CB8F"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rPr>
      </w:pPr>
      <w:r w:rsidRPr="001775D9">
        <w:rPr>
          <w:b/>
        </w:rPr>
        <w:t>4.</w:t>
      </w:r>
      <w:r w:rsidRPr="001775D9">
        <w:rPr>
          <w:b/>
        </w:rPr>
        <w:tab/>
        <w:t>BATCH NUMBER</w:t>
      </w:r>
      <w:r w:rsidR="001C55FB" w:rsidRPr="001775D9">
        <w:rPr>
          <w:b/>
        </w:rPr>
        <w:fldChar w:fldCharType="begin"/>
      </w:r>
      <w:r w:rsidR="001C55FB" w:rsidRPr="001775D9">
        <w:rPr>
          <w:b/>
        </w:rPr>
        <w:instrText xml:space="preserve"> DOCVARIABLE VAULT_ND_817756da-b5e1-43b2-b2d5-4f96f6525f9c \* MERGEFORMAT </w:instrText>
      </w:r>
      <w:r w:rsidR="001C55FB" w:rsidRPr="001775D9">
        <w:rPr>
          <w:b/>
        </w:rPr>
        <w:fldChar w:fldCharType="separate"/>
      </w:r>
      <w:r w:rsidR="001C55FB" w:rsidRPr="001775D9">
        <w:rPr>
          <w:b/>
        </w:rPr>
        <w:t xml:space="preserve"> </w:t>
      </w:r>
      <w:r w:rsidR="001C55FB" w:rsidRPr="001775D9">
        <w:rPr>
          <w:b/>
        </w:rPr>
        <w:fldChar w:fldCharType="end"/>
      </w:r>
    </w:p>
    <w:p w14:paraId="6CC05727" w14:textId="77777777" w:rsidR="00966B8F" w:rsidRPr="001775D9" w:rsidRDefault="00966B8F" w:rsidP="00B61D9D">
      <w:pPr>
        <w:spacing w:line="240" w:lineRule="auto"/>
        <w:ind w:right="113"/>
      </w:pPr>
    </w:p>
    <w:p w14:paraId="29DC6E34" w14:textId="77777777" w:rsidR="00966B8F" w:rsidRPr="001775D9" w:rsidRDefault="00966B8F" w:rsidP="00B61D9D">
      <w:pPr>
        <w:spacing w:line="240" w:lineRule="auto"/>
        <w:ind w:right="113"/>
      </w:pPr>
      <w:r w:rsidRPr="001775D9">
        <w:t>Lot</w:t>
      </w:r>
    </w:p>
    <w:p w14:paraId="087C7E43" w14:textId="77777777" w:rsidR="00966B8F" w:rsidRPr="001775D9" w:rsidRDefault="00966B8F" w:rsidP="00B61D9D">
      <w:pPr>
        <w:spacing w:line="240" w:lineRule="auto"/>
        <w:ind w:right="113"/>
      </w:pPr>
    </w:p>
    <w:p w14:paraId="2B047AC0" w14:textId="77777777" w:rsidR="00966B8F" w:rsidRPr="001775D9" w:rsidRDefault="00966B8F" w:rsidP="00B61D9D">
      <w:pPr>
        <w:spacing w:line="240" w:lineRule="auto"/>
        <w:ind w:right="113"/>
      </w:pPr>
    </w:p>
    <w:p w14:paraId="65E5EA3E" w14:textId="583C636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5.</w:t>
      </w:r>
      <w:r w:rsidRPr="001775D9">
        <w:rPr>
          <w:b/>
          <w:szCs w:val="22"/>
        </w:rPr>
        <w:tab/>
        <w:t>CONTENTS BY WEIGHT, BY VOLUME OR BY UNIT</w:t>
      </w:r>
      <w:r w:rsidR="001C55FB" w:rsidRPr="001775D9">
        <w:rPr>
          <w:b/>
          <w:szCs w:val="22"/>
        </w:rPr>
        <w:fldChar w:fldCharType="begin"/>
      </w:r>
      <w:r w:rsidR="001C55FB" w:rsidRPr="001775D9">
        <w:rPr>
          <w:b/>
          <w:szCs w:val="22"/>
        </w:rPr>
        <w:instrText xml:space="preserve"> DOCVARIABLE VAULT_ND_9e0ff239-2987-4c38-876a-56fc4bb75e72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0584C34" w14:textId="77777777" w:rsidR="00966B8F" w:rsidRPr="001775D9" w:rsidRDefault="00966B8F" w:rsidP="00B61D9D">
      <w:pPr>
        <w:spacing w:line="240" w:lineRule="auto"/>
        <w:ind w:right="113"/>
        <w:rPr>
          <w:szCs w:val="22"/>
        </w:rPr>
      </w:pPr>
    </w:p>
    <w:p w14:paraId="16702E26" w14:textId="77777777" w:rsidR="00966B8F" w:rsidRPr="001775D9" w:rsidRDefault="00966B8F" w:rsidP="00B61D9D">
      <w:pPr>
        <w:spacing w:line="240" w:lineRule="auto"/>
        <w:ind w:right="113"/>
        <w:rPr>
          <w:szCs w:val="22"/>
        </w:rPr>
      </w:pPr>
      <w:r w:rsidRPr="001775D9">
        <w:rPr>
          <w:szCs w:val="22"/>
        </w:rPr>
        <w:t>0.2 mL</w:t>
      </w:r>
    </w:p>
    <w:p w14:paraId="68A737AD" w14:textId="77777777" w:rsidR="00966B8F" w:rsidRPr="001775D9" w:rsidRDefault="00966B8F" w:rsidP="00B61D9D">
      <w:pPr>
        <w:spacing w:line="240" w:lineRule="auto"/>
        <w:ind w:right="113"/>
        <w:rPr>
          <w:szCs w:val="22"/>
        </w:rPr>
      </w:pPr>
    </w:p>
    <w:p w14:paraId="720FD9D0" w14:textId="77777777" w:rsidR="00966B8F" w:rsidRPr="001775D9" w:rsidRDefault="00966B8F" w:rsidP="00B61D9D">
      <w:pPr>
        <w:spacing w:line="240" w:lineRule="auto"/>
        <w:ind w:right="113"/>
        <w:rPr>
          <w:szCs w:val="22"/>
        </w:rPr>
      </w:pPr>
    </w:p>
    <w:p w14:paraId="6523E4F7" w14:textId="478CFFF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6.</w:t>
      </w:r>
      <w:r w:rsidRPr="001775D9">
        <w:rPr>
          <w:b/>
          <w:szCs w:val="22"/>
        </w:rPr>
        <w:tab/>
        <w:t>OTHER</w:t>
      </w:r>
      <w:r w:rsidR="001C55FB" w:rsidRPr="001775D9">
        <w:rPr>
          <w:b/>
          <w:szCs w:val="22"/>
        </w:rPr>
        <w:fldChar w:fldCharType="begin"/>
      </w:r>
      <w:r w:rsidR="001C55FB" w:rsidRPr="001775D9">
        <w:rPr>
          <w:b/>
          <w:szCs w:val="22"/>
        </w:rPr>
        <w:instrText xml:space="preserve"> DOCVARIABLE VAULT_ND_00a2337d-3faf-43b4-b66e-371a4ba08031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D13C0DB" w14:textId="77777777" w:rsidR="00966B8F" w:rsidRPr="001775D9" w:rsidRDefault="00966B8F" w:rsidP="00B61D9D">
      <w:pPr>
        <w:spacing w:line="240" w:lineRule="auto"/>
        <w:ind w:right="113"/>
        <w:rPr>
          <w:szCs w:val="22"/>
        </w:rPr>
      </w:pPr>
    </w:p>
    <w:p w14:paraId="69DA6554" w14:textId="77777777" w:rsidR="00966B8F" w:rsidRPr="001775D9" w:rsidRDefault="00966B8F" w:rsidP="00B61D9D">
      <w:pPr>
        <w:spacing w:line="240" w:lineRule="auto"/>
        <w:ind w:right="113"/>
      </w:pPr>
    </w:p>
    <w:p w14:paraId="7A6E2433" w14:textId="77777777" w:rsidR="00966B8F" w:rsidRPr="001775D9" w:rsidRDefault="00966B8F" w:rsidP="00B61D9D">
      <w:pPr>
        <w:spacing w:line="240" w:lineRule="auto"/>
        <w:ind w:right="113"/>
      </w:pPr>
    </w:p>
    <w:p w14:paraId="6E6FACD0" w14:textId="77777777" w:rsidR="00966B8F" w:rsidRPr="001775D9" w:rsidRDefault="00966B8F" w:rsidP="00B61D9D">
      <w:pPr>
        <w:spacing w:line="240" w:lineRule="auto"/>
        <w:ind w:right="113"/>
      </w:pPr>
    </w:p>
    <w:p w14:paraId="4D45A42B" w14:textId="77777777" w:rsidR="00966B8F" w:rsidRPr="001775D9" w:rsidRDefault="00966B8F" w:rsidP="00B61D9D">
      <w:pPr>
        <w:spacing w:line="240" w:lineRule="auto"/>
        <w:ind w:right="113"/>
      </w:pPr>
    </w:p>
    <w:p w14:paraId="03B7E229" w14:textId="77777777" w:rsidR="00966B8F" w:rsidRPr="001775D9" w:rsidRDefault="00966B8F" w:rsidP="00B61D9D">
      <w:pPr>
        <w:spacing w:line="240" w:lineRule="auto"/>
        <w:ind w:right="113"/>
      </w:pPr>
    </w:p>
    <w:p w14:paraId="406BFEE2" w14:textId="77777777" w:rsidR="00966B8F" w:rsidRPr="001775D9" w:rsidRDefault="00966B8F" w:rsidP="00B61D9D">
      <w:pPr>
        <w:spacing w:line="240" w:lineRule="auto"/>
        <w:ind w:right="113"/>
      </w:pPr>
    </w:p>
    <w:p w14:paraId="0A1E0297" w14:textId="77777777" w:rsidR="00966B8F" w:rsidRPr="001775D9" w:rsidRDefault="00966B8F" w:rsidP="00B61D9D">
      <w:pPr>
        <w:spacing w:line="240" w:lineRule="auto"/>
        <w:ind w:right="113"/>
      </w:pPr>
    </w:p>
    <w:p w14:paraId="3C561034" w14:textId="77777777" w:rsidR="00966B8F" w:rsidRPr="001775D9" w:rsidRDefault="00966B8F" w:rsidP="00B61D9D">
      <w:pPr>
        <w:spacing w:line="240" w:lineRule="auto"/>
        <w:ind w:right="113"/>
      </w:pPr>
    </w:p>
    <w:p w14:paraId="4CB88151" w14:textId="77777777" w:rsidR="00966B8F" w:rsidRPr="001775D9" w:rsidRDefault="00966B8F" w:rsidP="00B61D9D">
      <w:pPr>
        <w:spacing w:line="240" w:lineRule="auto"/>
        <w:ind w:right="113"/>
      </w:pPr>
    </w:p>
    <w:p w14:paraId="5D45E5E1" w14:textId="77777777" w:rsidR="00966B8F" w:rsidRPr="001775D9" w:rsidRDefault="00966B8F" w:rsidP="00B61D9D">
      <w:pPr>
        <w:spacing w:line="240" w:lineRule="auto"/>
        <w:ind w:right="113"/>
      </w:pPr>
    </w:p>
    <w:p w14:paraId="5D90C054" w14:textId="77777777" w:rsidR="00966B8F" w:rsidRPr="001775D9" w:rsidRDefault="00966B8F" w:rsidP="00B61D9D">
      <w:pPr>
        <w:spacing w:line="240" w:lineRule="auto"/>
        <w:ind w:right="113"/>
      </w:pPr>
    </w:p>
    <w:p w14:paraId="152F3D52" w14:textId="77777777" w:rsidR="00966B8F" w:rsidRPr="001775D9" w:rsidRDefault="00966B8F" w:rsidP="00B61D9D">
      <w:pPr>
        <w:spacing w:line="240" w:lineRule="auto"/>
        <w:ind w:right="113"/>
      </w:pPr>
    </w:p>
    <w:p w14:paraId="50502E5B" w14:textId="77777777" w:rsidR="00966B8F" w:rsidRPr="001775D9" w:rsidRDefault="00966B8F" w:rsidP="00B61D9D">
      <w:pPr>
        <w:spacing w:line="240" w:lineRule="auto"/>
        <w:ind w:right="113"/>
      </w:pPr>
    </w:p>
    <w:p w14:paraId="2F0F4269" w14:textId="77777777" w:rsidR="00966B8F" w:rsidRPr="001775D9" w:rsidRDefault="00966B8F" w:rsidP="00B61D9D">
      <w:pPr>
        <w:spacing w:line="240" w:lineRule="auto"/>
        <w:ind w:right="113"/>
      </w:pPr>
    </w:p>
    <w:p w14:paraId="77737874" w14:textId="77777777" w:rsidR="00966B8F" w:rsidRPr="001775D9" w:rsidRDefault="00966B8F" w:rsidP="00B61D9D">
      <w:pPr>
        <w:spacing w:line="240" w:lineRule="auto"/>
        <w:ind w:right="113"/>
      </w:pPr>
    </w:p>
    <w:p w14:paraId="23E0F0D4" w14:textId="77777777" w:rsidR="00966B8F" w:rsidRPr="001775D9" w:rsidRDefault="00966B8F" w:rsidP="00B61D9D">
      <w:pPr>
        <w:spacing w:line="240" w:lineRule="auto"/>
        <w:ind w:right="113"/>
      </w:pPr>
    </w:p>
    <w:p w14:paraId="0783C412" w14:textId="77777777" w:rsidR="00966B8F" w:rsidRPr="001775D9" w:rsidRDefault="00966B8F" w:rsidP="00B61D9D">
      <w:pPr>
        <w:spacing w:line="240" w:lineRule="auto"/>
        <w:ind w:right="113"/>
      </w:pPr>
    </w:p>
    <w:p w14:paraId="65058BDA" w14:textId="77777777" w:rsidR="00966B8F" w:rsidRPr="001775D9" w:rsidRDefault="00966B8F" w:rsidP="00B61D9D">
      <w:pPr>
        <w:spacing w:line="240" w:lineRule="auto"/>
        <w:ind w:right="113"/>
      </w:pPr>
    </w:p>
    <w:p w14:paraId="20D31592" w14:textId="77777777" w:rsidR="00966B8F" w:rsidRPr="001775D9" w:rsidRDefault="00966B8F" w:rsidP="00B61D9D">
      <w:pPr>
        <w:spacing w:line="240" w:lineRule="auto"/>
        <w:ind w:right="113"/>
      </w:pPr>
    </w:p>
    <w:p w14:paraId="5CEF40AD" w14:textId="77777777" w:rsidR="00966B8F" w:rsidRPr="001775D9" w:rsidRDefault="00966B8F" w:rsidP="00B61D9D">
      <w:pPr>
        <w:spacing w:line="240" w:lineRule="auto"/>
        <w:ind w:right="113"/>
      </w:pPr>
    </w:p>
    <w:p w14:paraId="6191275B" w14:textId="77777777" w:rsidR="00966B8F" w:rsidRPr="001775D9" w:rsidRDefault="00966B8F" w:rsidP="00B61D9D">
      <w:pPr>
        <w:spacing w:line="240" w:lineRule="auto"/>
        <w:ind w:right="113"/>
      </w:pPr>
    </w:p>
    <w:p w14:paraId="189FA73A" w14:textId="77777777" w:rsidR="00966B8F" w:rsidRPr="001775D9" w:rsidRDefault="00966B8F" w:rsidP="00B61D9D">
      <w:pPr>
        <w:shd w:val="clear" w:color="auto" w:fill="FFFFFF"/>
        <w:spacing w:line="240" w:lineRule="auto"/>
        <w:rPr>
          <w:szCs w:val="22"/>
        </w:rPr>
      </w:pPr>
    </w:p>
    <w:p w14:paraId="3FDF1564" w14:textId="77777777" w:rsidR="00966B8F" w:rsidRPr="001775D9" w:rsidRDefault="00966B8F" w:rsidP="00966B8F">
      <w:pPr>
        <w:keepNext/>
        <w:pBdr>
          <w:top w:val="single" w:sz="4" w:space="1" w:color="auto"/>
          <w:left w:val="single" w:sz="4" w:space="4" w:color="auto"/>
          <w:bottom w:val="single" w:sz="4" w:space="1" w:color="auto"/>
          <w:right w:val="single" w:sz="4" w:space="4" w:color="auto"/>
        </w:pBdr>
        <w:rPr>
          <w:b/>
          <w:szCs w:val="22"/>
        </w:rPr>
        <w:sectPr w:rsidR="00966B8F" w:rsidRPr="001775D9" w:rsidSect="0065239D">
          <w:headerReference w:type="even" r:id="rId25"/>
          <w:headerReference w:type="default" r:id="rId26"/>
          <w:footerReference w:type="even" r:id="rId27"/>
          <w:footerReference w:type="default" r:id="rId28"/>
          <w:headerReference w:type="first" r:id="rId29"/>
          <w:footerReference w:type="first" r:id="rId30"/>
          <w:endnotePr>
            <w:numFmt w:val="decimal"/>
          </w:endnotePr>
          <w:pgSz w:w="11907" w:h="16840" w:code="9"/>
          <w:pgMar w:top="1134" w:right="1418" w:bottom="1134" w:left="1418" w:header="737" w:footer="737" w:gutter="0"/>
          <w:cols w:space="720"/>
          <w:titlePg/>
        </w:sectPr>
      </w:pPr>
    </w:p>
    <w:p w14:paraId="6C447571"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195A6145"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3B52593A"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CARTON PRE-FILLED SYRINGE</w:t>
      </w:r>
    </w:p>
    <w:p w14:paraId="6135D2A5" w14:textId="77777777" w:rsidR="00966B8F" w:rsidRPr="001775D9" w:rsidRDefault="00966B8F" w:rsidP="00B61D9D">
      <w:pPr>
        <w:keepNext/>
        <w:spacing w:line="240" w:lineRule="auto"/>
      </w:pPr>
    </w:p>
    <w:p w14:paraId="68DEF634" w14:textId="77777777" w:rsidR="00966B8F" w:rsidRPr="001775D9" w:rsidRDefault="00966B8F" w:rsidP="000E67AC">
      <w:pPr>
        <w:keepNext/>
        <w:tabs>
          <w:tab w:val="clear" w:pos="567"/>
          <w:tab w:val="left" w:pos="426"/>
        </w:tabs>
        <w:spacing w:line="240" w:lineRule="auto"/>
        <w:rPr>
          <w:szCs w:val="22"/>
        </w:rPr>
      </w:pPr>
    </w:p>
    <w:p w14:paraId="4C98292B" w14:textId="1CC0DBA8" w:rsidR="00966B8F" w:rsidRPr="001775D9" w:rsidRDefault="00966B8F" w:rsidP="000E67AC">
      <w:pPr>
        <w:pStyle w:val="ListParagraph"/>
        <w:keepNext/>
        <w:numPr>
          <w:ilvl w:val="0"/>
          <w:numId w:val="54"/>
        </w:numPr>
        <w:pBdr>
          <w:top w:val="single" w:sz="4" w:space="0" w:color="auto"/>
          <w:left w:val="single" w:sz="4" w:space="4" w:color="auto"/>
          <w:bottom w:val="single" w:sz="4" w:space="1" w:color="auto"/>
          <w:right w:val="single" w:sz="4" w:space="4" w:color="auto"/>
        </w:pBdr>
        <w:ind w:left="567" w:hanging="567"/>
        <w:outlineLvl w:val="0"/>
      </w:pPr>
      <w:r w:rsidRPr="001775D9">
        <w:rPr>
          <w:b/>
        </w:rPr>
        <w:t>NAME OF THE MEDICINAL PRODUCT</w:t>
      </w:r>
      <w:r w:rsidR="001C55FB" w:rsidRPr="001775D9">
        <w:rPr>
          <w:b/>
        </w:rPr>
        <w:fldChar w:fldCharType="begin"/>
      </w:r>
      <w:r w:rsidR="001C55FB" w:rsidRPr="001775D9">
        <w:rPr>
          <w:b/>
        </w:rPr>
        <w:instrText xml:space="preserve"> DOCVARIABLE VAULT_ND_9bb54267-21b3-406a-85ca-f41ac6e40bfb \* MERGEFORMAT </w:instrText>
      </w:r>
      <w:r w:rsidR="001C55FB" w:rsidRPr="001775D9">
        <w:rPr>
          <w:b/>
        </w:rPr>
        <w:fldChar w:fldCharType="separate"/>
      </w:r>
      <w:r w:rsidR="001C55FB" w:rsidRPr="001775D9">
        <w:rPr>
          <w:b/>
        </w:rPr>
        <w:t xml:space="preserve"> </w:t>
      </w:r>
      <w:r w:rsidR="001C55FB" w:rsidRPr="001775D9">
        <w:rPr>
          <w:b/>
        </w:rPr>
        <w:fldChar w:fldCharType="end"/>
      </w:r>
    </w:p>
    <w:p w14:paraId="04702F44" w14:textId="77777777" w:rsidR="00966B8F" w:rsidRPr="001775D9" w:rsidRDefault="00966B8F" w:rsidP="00B61D9D">
      <w:pPr>
        <w:keepNext/>
        <w:spacing w:line="240" w:lineRule="auto"/>
        <w:rPr>
          <w:szCs w:val="22"/>
        </w:rPr>
      </w:pPr>
    </w:p>
    <w:p w14:paraId="5ED1F29B" w14:textId="1F84913C" w:rsidR="00966B8F" w:rsidRPr="001775D9" w:rsidRDefault="00966B8F" w:rsidP="00B61D9D">
      <w:pPr>
        <w:keepNext/>
        <w:spacing w:line="240" w:lineRule="auto"/>
        <w:rPr>
          <w:szCs w:val="22"/>
        </w:rPr>
      </w:pPr>
      <w:r w:rsidRPr="001775D9">
        <w:rPr>
          <w:szCs w:val="22"/>
        </w:rPr>
        <w:t>AMGEVITA 40 mg solution for injection in pre-filled syringe</w:t>
      </w:r>
    </w:p>
    <w:p w14:paraId="37551946" w14:textId="77777777" w:rsidR="00966B8F" w:rsidRPr="001775D9" w:rsidRDefault="00966B8F" w:rsidP="00B61D9D">
      <w:pPr>
        <w:keepNext/>
        <w:spacing w:line="240" w:lineRule="auto"/>
        <w:rPr>
          <w:szCs w:val="22"/>
        </w:rPr>
      </w:pPr>
      <w:r w:rsidRPr="001775D9">
        <w:rPr>
          <w:szCs w:val="22"/>
        </w:rPr>
        <w:t>adalimumab</w:t>
      </w:r>
    </w:p>
    <w:p w14:paraId="56B75AA9" w14:textId="77777777" w:rsidR="00966B8F" w:rsidRPr="001775D9" w:rsidRDefault="00966B8F" w:rsidP="00B61D9D">
      <w:pPr>
        <w:keepNext/>
        <w:spacing w:line="240" w:lineRule="auto"/>
        <w:rPr>
          <w:szCs w:val="22"/>
        </w:rPr>
      </w:pPr>
    </w:p>
    <w:p w14:paraId="531DE321" w14:textId="77777777" w:rsidR="00966B8F" w:rsidRPr="001775D9" w:rsidRDefault="00966B8F" w:rsidP="00B61D9D">
      <w:pPr>
        <w:keepNext/>
        <w:spacing w:line="240" w:lineRule="auto"/>
        <w:rPr>
          <w:szCs w:val="22"/>
        </w:rPr>
      </w:pPr>
    </w:p>
    <w:p w14:paraId="3C9F4BBF" w14:textId="01D79E71"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VAULT_ND_04c0c030-b7b6-4ccb-ba1a-1905af50f2ed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629A14C" w14:textId="77777777" w:rsidR="00966B8F" w:rsidRPr="001775D9" w:rsidRDefault="00966B8F" w:rsidP="00B61D9D">
      <w:pPr>
        <w:keepNext/>
        <w:spacing w:line="240" w:lineRule="auto"/>
        <w:rPr>
          <w:szCs w:val="22"/>
        </w:rPr>
      </w:pPr>
    </w:p>
    <w:p w14:paraId="461DC251" w14:textId="77777777" w:rsidR="00966B8F" w:rsidRPr="001775D9" w:rsidRDefault="00966B8F" w:rsidP="007C5E41">
      <w:pPr>
        <w:keepNext/>
        <w:suppressLineNumbers/>
        <w:spacing w:line="240" w:lineRule="auto"/>
        <w:rPr>
          <w:szCs w:val="22"/>
        </w:rPr>
      </w:pPr>
      <w:r w:rsidRPr="001775D9">
        <w:rPr>
          <w:szCs w:val="22"/>
        </w:rPr>
        <w:t>Each pre-filled syringe contains 40 mg of adalimumab in 0.4 mL of solution.</w:t>
      </w:r>
    </w:p>
    <w:p w14:paraId="7EB471DE" w14:textId="3E21F47A" w:rsidR="00966B8F" w:rsidRPr="001775D9" w:rsidRDefault="00966B8F" w:rsidP="00B61D9D">
      <w:pPr>
        <w:spacing w:line="240" w:lineRule="auto"/>
        <w:rPr>
          <w:szCs w:val="22"/>
        </w:rPr>
      </w:pPr>
    </w:p>
    <w:p w14:paraId="6B8146AF" w14:textId="77777777" w:rsidR="00966B8F" w:rsidRPr="001775D9" w:rsidRDefault="00966B8F" w:rsidP="00B61D9D">
      <w:pPr>
        <w:spacing w:line="240" w:lineRule="auto"/>
        <w:rPr>
          <w:szCs w:val="22"/>
        </w:rPr>
      </w:pPr>
    </w:p>
    <w:p w14:paraId="59819D49" w14:textId="73C53DD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VAULT_ND_e4f159f8-e54e-47a0-97b4-debf0d67e8eb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C7BE125" w14:textId="77777777" w:rsidR="00966B8F" w:rsidRPr="001775D9" w:rsidRDefault="00966B8F" w:rsidP="00B61D9D">
      <w:pPr>
        <w:spacing w:line="240" w:lineRule="auto"/>
        <w:rPr>
          <w:szCs w:val="22"/>
        </w:rPr>
      </w:pPr>
    </w:p>
    <w:p w14:paraId="17792A4D" w14:textId="77777777" w:rsidR="00966B8F" w:rsidRPr="001775D9" w:rsidRDefault="00966B8F" w:rsidP="007C5E41">
      <w:pPr>
        <w:tabs>
          <w:tab w:val="clear" w:pos="567"/>
        </w:tabs>
        <w:autoSpaceDE w:val="0"/>
        <w:autoSpaceDN w:val="0"/>
        <w:adjustRightInd w:val="0"/>
        <w:spacing w:line="240" w:lineRule="auto"/>
        <w:rPr>
          <w:szCs w:val="22"/>
          <w:lang w:eastAsia="en-GB"/>
        </w:rPr>
      </w:pPr>
      <w:r w:rsidRPr="001775D9">
        <w:rPr>
          <w:szCs w:val="22"/>
          <w:lang w:eastAsia="en-GB"/>
        </w:rPr>
        <w:t>L-lactic</w:t>
      </w:r>
      <w:r w:rsidRPr="00D55B59">
        <w:rPr>
          <w:color w:val="FF0000"/>
          <w:rPrChange w:id="2357"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1E5887FE" w14:textId="77777777" w:rsidR="00966B8F" w:rsidRPr="001775D9" w:rsidRDefault="00966B8F" w:rsidP="00B61D9D">
      <w:pPr>
        <w:spacing w:line="240" w:lineRule="auto"/>
        <w:rPr>
          <w:szCs w:val="22"/>
        </w:rPr>
      </w:pPr>
    </w:p>
    <w:p w14:paraId="4565E1B5" w14:textId="77777777" w:rsidR="00966B8F" w:rsidRPr="001775D9" w:rsidRDefault="00966B8F" w:rsidP="00B61D9D">
      <w:pPr>
        <w:spacing w:line="240" w:lineRule="auto"/>
        <w:rPr>
          <w:szCs w:val="22"/>
        </w:rPr>
      </w:pPr>
    </w:p>
    <w:p w14:paraId="7090ACB3" w14:textId="6FD9179F"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VAULT_ND_4194af11-b9d5-4782-bf48-8e6b6a4fd27a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93E47F5" w14:textId="77777777" w:rsidR="00966B8F" w:rsidRPr="001775D9" w:rsidRDefault="00966B8F" w:rsidP="00B61D9D">
      <w:pPr>
        <w:spacing w:line="240" w:lineRule="auto"/>
        <w:rPr>
          <w:szCs w:val="22"/>
        </w:rPr>
      </w:pPr>
    </w:p>
    <w:p w14:paraId="655B88CC" w14:textId="77777777" w:rsidR="00966B8F" w:rsidRPr="001775D9" w:rsidRDefault="00966B8F" w:rsidP="007C5E41">
      <w:pPr>
        <w:spacing w:line="240" w:lineRule="auto"/>
        <w:rPr>
          <w:szCs w:val="22"/>
        </w:rPr>
      </w:pPr>
      <w:r>
        <w:rPr>
          <w:szCs w:val="22"/>
          <w:highlight w:val="lightGray"/>
        </w:rPr>
        <w:t>Solution for injection</w:t>
      </w:r>
    </w:p>
    <w:p w14:paraId="0B87A08C" w14:textId="2601AAFF" w:rsidR="00F1109D" w:rsidRPr="004E0216" w:rsidRDefault="00F1109D" w:rsidP="007C5E41">
      <w:pPr>
        <w:spacing w:line="240" w:lineRule="auto"/>
        <w:rPr>
          <w:szCs w:val="22"/>
          <w:lang w:val="da-DK"/>
        </w:rPr>
      </w:pPr>
      <w:r w:rsidRPr="004E0216">
        <w:rPr>
          <w:szCs w:val="22"/>
          <w:lang w:val="da-DK"/>
        </w:rPr>
        <w:t>40 mg/0.4 mL</w:t>
      </w:r>
    </w:p>
    <w:p w14:paraId="039BF1A0" w14:textId="5B19E589" w:rsidR="00966B8F" w:rsidRPr="004E0216" w:rsidRDefault="00966B8F" w:rsidP="007C5E41">
      <w:pPr>
        <w:spacing w:line="240" w:lineRule="auto"/>
        <w:rPr>
          <w:szCs w:val="22"/>
          <w:lang w:val="da-DK"/>
        </w:rPr>
      </w:pPr>
      <w:r w:rsidRPr="004E0216">
        <w:rPr>
          <w:szCs w:val="22"/>
          <w:lang w:val="da-DK"/>
        </w:rPr>
        <w:t>1 pre-filled syringe.</w:t>
      </w:r>
    </w:p>
    <w:p w14:paraId="10912FBD" w14:textId="77777777" w:rsidR="00966B8F" w:rsidRPr="00D55B59" w:rsidRDefault="00966B8F" w:rsidP="007C5E41">
      <w:pPr>
        <w:spacing w:line="240" w:lineRule="auto"/>
        <w:rPr>
          <w:szCs w:val="22"/>
          <w:highlight w:val="lightGray"/>
          <w:rPrChange w:id="2358" w:author="Author">
            <w:rPr>
              <w:szCs w:val="22"/>
              <w:highlight w:val="lightGray"/>
              <w:lang w:val="da-DK"/>
            </w:rPr>
          </w:rPrChange>
        </w:rPr>
      </w:pPr>
      <w:r w:rsidRPr="00D55B59">
        <w:rPr>
          <w:szCs w:val="22"/>
          <w:highlight w:val="lightGray"/>
          <w:rPrChange w:id="2359" w:author="Author">
            <w:rPr>
              <w:szCs w:val="22"/>
              <w:highlight w:val="lightGray"/>
              <w:lang w:val="da-DK"/>
            </w:rPr>
          </w:rPrChange>
        </w:rPr>
        <w:t>2 pre-filled syringes.</w:t>
      </w:r>
    </w:p>
    <w:p w14:paraId="2CE12A5F" w14:textId="77777777" w:rsidR="00966B8F" w:rsidRPr="00D55B59" w:rsidRDefault="00966B8F" w:rsidP="00B61D9D">
      <w:pPr>
        <w:spacing w:line="240" w:lineRule="auto"/>
        <w:rPr>
          <w:szCs w:val="22"/>
          <w:rPrChange w:id="2360" w:author="Author">
            <w:rPr>
              <w:szCs w:val="22"/>
              <w:lang w:val="da-DK"/>
            </w:rPr>
          </w:rPrChange>
        </w:rPr>
      </w:pPr>
    </w:p>
    <w:p w14:paraId="552347A4" w14:textId="77777777" w:rsidR="00966B8F" w:rsidRPr="00D55B59" w:rsidRDefault="00966B8F" w:rsidP="00B61D9D">
      <w:pPr>
        <w:spacing w:line="240" w:lineRule="auto"/>
        <w:rPr>
          <w:szCs w:val="22"/>
          <w:rPrChange w:id="2361" w:author="Author">
            <w:rPr>
              <w:szCs w:val="22"/>
              <w:lang w:val="da-DK"/>
            </w:rPr>
          </w:rPrChange>
        </w:rPr>
      </w:pPr>
    </w:p>
    <w:p w14:paraId="45804335" w14:textId="154A0F1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VAULT_ND_76417059-8a79-4ad5-81f5-e46c5b04de15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49F1FEB" w14:textId="77777777" w:rsidR="00966B8F" w:rsidRPr="001775D9" w:rsidRDefault="00966B8F" w:rsidP="00B61D9D">
      <w:pPr>
        <w:spacing w:line="240" w:lineRule="auto"/>
        <w:rPr>
          <w:szCs w:val="22"/>
        </w:rPr>
      </w:pPr>
    </w:p>
    <w:p w14:paraId="47986824" w14:textId="77777777" w:rsidR="00966B8F" w:rsidRPr="001775D9" w:rsidRDefault="00966B8F" w:rsidP="007C5E41">
      <w:pPr>
        <w:spacing w:line="240" w:lineRule="auto"/>
        <w:rPr>
          <w:szCs w:val="22"/>
        </w:rPr>
      </w:pPr>
      <w:r w:rsidRPr="001775D9">
        <w:rPr>
          <w:szCs w:val="22"/>
        </w:rPr>
        <w:t>For subcutaneous use.</w:t>
      </w:r>
    </w:p>
    <w:p w14:paraId="3CE00AE4" w14:textId="77777777" w:rsidR="00966B8F" w:rsidRPr="001775D9" w:rsidRDefault="00966B8F" w:rsidP="00B61D9D">
      <w:pPr>
        <w:spacing w:line="240" w:lineRule="auto"/>
        <w:rPr>
          <w:szCs w:val="22"/>
        </w:rPr>
      </w:pPr>
      <w:r w:rsidRPr="001775D9">
        <w:rPr>
          <w:szCs w:val="22"/>
        </w:rPr>
        <w:t>Read the package leaflet before use.</w:t>
      </w:r>
    </w:p>
    <w:p w14:paraId="7A0E902F" w14:textId="77777777" w:rsidR="00966B8F" w:rsidRPr="001775D9" w:rsidRDefault="00966B8F" w:rsidP="00B61D9D">
      <w:pPr>
        <w:spacing w:line="240" w:lineRule="auto"/>
        <w:rPr>
          <w:szCs w:val="22"/>
        </w:rPr>
      </w:pPr>
      <w:r w:rsidRPr="001775D9">
        <w:rPr>
          <w:szCs w:val="22"/>
        </w:rPr>
        <w:t>Single use only.</w:t>
      </w:r>
    </w:p>
    <w:p w14:paraId="1BBE6698" w14:textId="77777777" w:rsidR="00966B8F" w:rsidRPr="001775D9" w:rsidRDefault="00966B8F" w:rsidP="00B61D9D">
      <w:pPr>
        <w:spacing w:line="240" w:lineRule="auto"/>
        <w:rPr>
          <w:szCs w:val="22"/>
        </w:rPr>
      </w:pPr>
    </w:p>
    <w:p w14:paraId="72729115" w14:textId="77777777" w:rsidR="00966B8F" w:rsidRPr="001775D9" w:rsidRDefault="00966B8F" w:rsidP="00B61D9D">
      <w:pPr>
        <w:spacing w:line="240" w:lineRule="auto"/>
        <w:rPr>
          <w:szCs w:val="22"/>
        </w:rPr>
      </w:pPr>
    </w:p>
    <w:p w14:paraId="3034D7DA" w14:textId="2A8F287D"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VAULT_ND_46f1048d-029a-42cd-940b-9763a1e8c8b5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6499E88" w14:textId="77777777" w:rsidR="00966B8F" w:rsidRPr="001775D9" w:rsidRDefault="00966B8F" w:rsidP="00B61D9D">
      <w:pPr>
        <w:spacing w:line="240" w:lineRule="auto"/>
        <w:rPr>
          <w:szCs w:val="22"/>
        </w:rPr>
      </w:pPr>
    </w:p>
    <w:p w14:paraId="0153CD88" w14:textId="5ADEF27A"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vault_nd_45483f14-88bb-4d83-8b1a-8358d30a8920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07009348" w14:textId="77777777" w:rsidR="00966B8F" w:rsidRPr="001775D9" w:rsidRDefault="00966B8F" w:rsidP="00B61D9D">
      <w:pPr>
        <w:spacing w:line="240" w:lineRule="auto"/>
        <w:rPr>
          <w:szCs w:val="22"/>
        </w:rPr>
      </w:pPr>
    </w:p>
    <w:p w14:paraId="3C1EDF77" w14:textId="77777777" w:rsidR="00966B8F" w:rsidRPr="001775D9" w:rsidRDefault="00966B8F" w:rsidP="00B61D9D">
      <w:pPr>
        <w:spacing w:line="240" w:lineRule="auto"/>
        <w:rPr>
          <w:szCs w:val="22"/>
        </w:rPr>
      </w:pPr>
    </w:p>
    <w:p w14:paraId="076FA0F4" w14:textId="237FCA5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VAULT_ND_757fe35f-f07e-4408-801d-fcabcf579a41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07E5BCC" w14:textId="77777777" w:rsidR="00966B8F" w:rsidRPr="001775D9" w:rsidRDefault="00966B8F" w:rsidP="00B61D9D">
      <w:pPr>
        <w:tabs>
          <w:tab w:val="left" w:pos="749"/>
        </w:tabs>
        <w:spacing w:line="240" w:lineRule="auto"/>
      </w:pPr>
    </w:p>
    <w:p w14:paraId="6A9492EC" w14:textId="77777777" w:rsidR="00966B8F" w:rsidRPr="001775D9" w:rsidRDefault="00966B8F" w:rsidP="00B61D9D">
      <w:pPr>
        <w:tabs>
          <w:tab w:val="left" w:pos="749"/>
        </w:tabs>
        <w:spacing w:line="240" w:lineRule="auto"/>
      </w:pPr>
    </w:p>
    <w:p w14:paraId="60D56490" w14:textId="3F4EAC38"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VAULT_ND_3e08fa4a-a87c-4f25-9d08-312f70205654 \* MERGEFORMAT </w:instrText>
      </w:r>
      <w:r w:rsidR="001C55FB" w:rsidRPr="001775D9">
        <w:rPr>
          <w:b/>
        </w:rPr>
        <w:fldChar w:fldCharType="separate"/>
      </w:r>
      <w:r w:rsidR="001C55FB" w:rsidRPr="001775D9">
        <w:rPr>
          <w:b/>
        </w:rPr>
        <w:t xml:space="preserve"> </w:t>
      </w:r>
      <w:r w:rsidR="001C55FB" w:rsidRPr="001775D9">
        <w:rPr>
          <w:b/>
        </w:rPr>
        <w:fldChar w:fldCharType="end"/>
      </w:r>
    </w:p>
    <w:p w14:paraId="757FD9AD" w14:textId="77777777" w:rsidR="00966B8F" w:rsidRPr="001775D9" w:rsidRDefault="00966B8F" w:rsidP="00B61D9D">
      <w:pPr>
        <w:spacing w:line="240" w:lineRule="auto"/>
      </w:pPr>
    </w:p>
    <w:p w14:paraId="44CEBB3B" w14:textId="77777777" w:rsidR="00966B8F" w:rsidRPr="001775D9" w:rsidRDefault="00966B8F" w:rsidP="00B61D9D">
      <w:pPr>
        <w:spacing w:line="240" w:lineRule="auto"/>
        <w:rPr>
          <w:szCs w:val="22"/>
        </w:rPr>
      </w:pPr>
      <w:r w:rsidRPr="001775D9">
        <w:rPr>
          <w:szCs w:val="22"/>
        </w:rPr>
        <w:t xml:space="preserve">EXP </w:t>
      </w:r>
    </w:p>
    <w:p w14:paraId="49F1AA2A" w14:textId="77777777" w:rsidR="00966B8F" w:rsidRPr="001775D9" w:rsidRDefault="00966B8F" w:rsidP="00B61D9D">
      <w:pPr>
        <w:spacing w:line="240" w:lineRule="auto"/>
        <w:rPr>
          <w:szCs w:val="22"/>
        </w:rPr>
      </w:pPr>
    </w:p>
    <w:p w14:paraId="5719DE08" w14:textId="77777777" w:rsidR="00966B8F" w:rsidRPr="001775D9" w:rsidRDefault="00966B8F" w:rsidP="00B61D9D">
      <w:pPr>
        <w:spacing w:line="240" w:lineRule="auto"/>
        <w:rPr>
          <w:szCs w:val="22"/>
        </w:rPr>
      </w:pPr>
    </w:p>
    <w:p w14:paraId="1667AB68" w14:textId="51F341FC"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VAULT_ND_f2420fde-119a-42b4-8fae-6746e02f4220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22767BC" w14:textId="77777777" w:rsidR="00966B8F" w:rsidRPr="001775D9" w:rsidRDefault="00966B8F" w:rsidP="00B61D9D">
      <w:pPr>
        <w:keepNext/>
        <w:spacing w:line="240" w:lineRule="auto"/>
        <w:rPr>
          <w:szCs w:val="22"/>
        </w:rPr>
      </w:pPr>
    </w:p>
    <w:p w14:paraId="5CC35E8D" w14:textId="77777777" w:rsidR="00966B8F" w:rsidRPr="001775D9" w:rsidRDefault="00966B8F" w:rsidP="00966B8F">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4E0F3D75" w14:textId="77777777" w:rsidR="00966B8F" w:rsidRPr="001775D9" w:rsidRDefault="00966B8F" w:rsidP="00966B8F">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39B5A378" w14:textId="77777777" w:rsidR="00966B8F" w:rsidRPr="001775D9" w:rsidRDefault="00966B8F" w:rsidP="00966B8F">
      <w:pPr>
        <w:spacing w:line="240" w:lineRule="auto"/>
        <w:rPr>
          <w:rFonts w:eastAsia="SimSun"/>
          <w:szCs w:val="22"/>
          <w:lang w:eastAsia="en-GB"/>
        </w:rPr>
      </w:pPr>
      <w:r w:rsidRPr="001775D9">
        <w:rPr>
          <w:rFonts w:eastAsia="SimSun"/>
          <w:szCs w:val="22"/>
          <w:lang w:eastAsia="en-GB"/>
        </w:rPr>
        <w:t>Store in the original carton in order to protect from light.</w:t>
      </w:r>
    </w:p>
    <w:p w14:paraId="084D1700" w14:textId="77777777" w:rsidR="00966B8F" w:rsidRPr="001775D9" w:rsidRDefault="00966B8F" w:rsidP="00966B8F">
      <w:pPr>
        <w:spacing w:line="240" w:lineRule="auto"/>
        <w:rPr>
          <w:rFonts w:eastAsia="SimSun"/>
          <w:szCs w:val="22"/>
          <w:lang w:eastAsia="en-GB"/>
        </w:rPr>
      </w:pPr>
    </w:p>
    <w:p w14:paraId="10781DC4" w14:textId="77777777" w:rsidR="00966B8F" w:rsidRPr="001775D9" w:rsidRDefault="00966B8F" w:rsidP="00B61D9D">
      <w:pPr>
        <w:spacing w:line="240" w:lineRule="auto"/>
        <w:ind w:left="567" w:hanging="567"/>
        <w:rPr>
          <w:szCs w:val="22"/>
        </w:rPr>
      </w:pPr>
    </w:p>
    <w:p w14:paraId="6B1A959B" w14:textId="01AD030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VAULT_ND_170f67a1-cf8c-41f3-bbc0-9665099fe1db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5EA5E5B" w14:textId="77777777" w:rsidR="00966B8F" w:rsidRPr="001775D9" w:rsidRDefault="00966B8F" w:rsidP="00B61D9D">
      <w:pPr>
        <w:spacing w:line="240" w:lineRule="auto"/>
        <w:rPr>
          <w:szCs w:val="22"/>
        </w:rPr>
      </w:pPr>
    </w:p>
    <w:p w14:paraId="3B32BD6C" w14:textId="77777777" w:rsidR="00966B8F" w:rsidRPr="001775D9" w:rsidRDefault="00966B8F" w:rsidP="00B61D9D">
      <w:pPr>
        <w:spacing w:line="240" w:lineRule="auto"/>
        <w:rPr>
          <w:szCs w:val="22"/>
        </w:rPr>
      </w:pPr>
    </w:p>
    <w:p w14:paraId="2499B586" w14:textId="48F6EC9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VAULT_ND_16b5ff05-ed5f-4e7f-9106-cc1ef8d0a870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7D58EA0" w14:textId="77777777" w:rsidR="00966B8F" w:rsidRPr="001775D9" w:rsidRDefault="00966B8F" w:rsidP="00B61D9D">
      <w:pPr>
        <w:spacing w:line="240" w:lineRule="auto"/>
        <w:rPr>
          <w:szCs w:val="22"/>
        </w:rPr>
      </w:pPr>
    </w:p>
    <w:p w14:paraId="16CD6BC4" w14:textId="77777777" w:rsidR="00966B8F" w:rsidRPr="00D55B59" w:rsidRDefault="00966B8F" w:rsidP="007C5E41">
      <w:pPr>
        <w:tabs>
          <w:tab w:val="clear" w:pos="567"/>
        </w:tabs>
        <w:autoSpaceDE w:val="0"/>
        <w:autoSpaceDN w:val="0"/>
        <w:adjustRightInd w:val="0"/>
        <w:spacing w:line="240" w:lineRule="auto"/>
        <w:rPr>
          <w:rFonts w:eastAsia="SimSun"/>
          <w:szCs w:val="22"/>
          <w:lang w:eastAsia="en-GB"/>
          <w:rPrChange w:id="2362" w:author="Author">
            <w:rPr>
              <w:rFonts w:eastAsia="SimSun"/>
              <w:szCs w:val="22"/>
              <w:lang w:val="sv-SE" w:eastAsia="en-GB"/>
            </w:rPr>
          </w:rPrChange>
        </w:rPr>
      </w:pPr>
      <w:r w:rsidRPr="00D55B59">
        <w:rPr>
          <w:rFonts w:eastAsia="SimSun"/>
          <w:szCs w:val="22"/>
          <w:lang w:eastAsia="en-GB"/>
          <w:rPrChange w:id="2363" w:author="Author">
            <w:rPr>
              <w:rFonts w:eastAsia="SimSun"/>
              <w:szCs w:val="22"/>
              <w:lang w:val="sv-SE" w:eastAsia="en-GB"/>
            </w:rPr>
          </w:rPrChange>
        </w:rPr>
        <w:t>Amgen Europe B.V.</w:t>
      </w:r>
    </w:p>
    <w:p w14:paraId="61ABF74C" w14:textId="77777777" w:rsidR="00966B8F" w:rsidRPr="00D55B59" w:rsidRDefault="00966B8F" w:rsidP="007C5E41">
      <w:pPr>
        <w:tabs>
          <w:tab w:val="clear" w:pos="567"/>
        </w:tabs>
        <w:autoSpaceDE w:val="0"/>
        <w:autoSpaceDN w:val="0"/>
        <w:adjustRightInd w:val="0"/>
        <w:spacing w:line="240" w:lineRule="auto"/>
        <w:rPr>
          <w:rFonts w:eastAsia="SimSun"/>
          <w:szCs w:val="22"/>
          <w:lang w:eastAsia="en-GB"/>
          <w:rPrChange w:id="2364" w:author="Author">
            <w:rPr>
              <w:rFonts w:eastAsia="SimSun"/>
              <w:szCs w:val="22"/>
              <w:lang w:val="sv-SE" w:eastAsia="en-GB"/>
            </w:rPr>
          </w:rPrChange>
        </w:rPr>
      </w:pPr>
      <w:r w:rsidRPr="00D55B59">
        <w:rPr>
          <w:rFonts w:eastAsia="SimSun"/>
          <w:szCs w:val="22"/>
          <w:lang w:eastAsia="en-GB"/>
          <w:rPrChange w:id="2365" w:author="Author">
            <w:rPr>
              <w:rFonts w:eastAsia="SimSun"/>
              <w:szCs w:val="22"/>
              <w:lang w:val="sv-SE" w:eastAsia="en-GB"/>
            </w:rPr>
          </w:rPrChange>
        </w:rPr>
        <w:t>Minervum 7061,</w:t>
      </w:r>
    </w:p>
    <w:p w14:paraId="1D3B0830" w14:textId="77777777" w:rsidR="00966B8F" w:rsidRPr="001775D9" w:rsidRDefault="00966B8F" w:rsidP="007C5E41">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7CB5CA4A" w14:textId="77777777" w:rsidR="00966B8F" w:rsidRPr="001775D9" w:rsidRDefault="00966B8F" w:rsidP="007C5E41">
      <w:pPr>
        <w:spacing w:line="240" w:lineRule="auto"/>
        <w:rPr>
          <w:szCs w:val="22"/>
        </w:rPr>
      </w:pPr>
      <w:r w:rsidRPr="001775D9">
        <w:rPr>
          <w:rFonts w:eastAsia="SimSun"/>
          <w:szCs w:val="22"/>
          <w:lang w:eastAsia="en-GB"/>
        </w:rPr>
        <w:t>The Netherlands</w:t>
      </w:r>
      <w:r w:rsidRPr="001775D9">
        <w:rPr>
          <w:i/>
          <w:szCs w:val="22"/>
        </w:rPr>
        <w:t xml:space="preserve"> </w:t>
      </w:r>
    </w:p>
    <w:p w14:paraId="651E6334" w14:textId="77777777" w:rsidR="00966B8F" w:rsidRPr="001775D9" w:rsidRDefault="00966B8F" w:rsidP="00B61D9D">
      <w:pPr>
        <w:spacing w:line="240" w:lineRule="auto"/>
        <w:rPr>
          <w:szCs w:val="22"/>
        </w:rPr>
      </w:pPr>
    </w:p>
    <w:p w14:paraId="59D0B880" w14:textId="77777777" w:rsidR="00966B8F" w:rsidRPr="001775D9" w:rsidRDefault="00966B8F" w:rsidP="00B61D9D">
      <w:pPr>
        <w:spacing w:line="240" w:lineRule="auto"/>
        <w:rPr>
          <w:szCs w:val="22"/>
        </w:rPr>
      </w:pPr>
    </w:p>
    <w:p w14:paraId="3742F4F2" w14:textId="28D35B18"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VAULT_ND_c0fc6406-da38-46d9-bc70-d2eb29ad18d2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EBBB7B7" w14:textId="77777777" w:rsidR="00966B8F" w:rsidRPr="001775D9" w:rsidRDefault="00966B8F" w:rsidP="00B61D9D">
      <w:pPr>
        <w:spacing w:line="240" w:lineRule="auto"/>
        <w:rPr>
          <w:szCs w:val="22"/>
        </w:rPr>
      </w:pPr>
    </w:p>
    <w:p w14:paraId="2283AC1E" w14:textId="6B7F82EC" w:rsidR="00966B8F" w:rsidRPr="001775D9" w:rsidRDefault="00966B8F" w:rsidP="00B61D9D">
      <w:pPr>
        <w:spacing w:line="240" w:lineRule="auto"/>
        <w:outlineLvl w:val="0"/>
        <w:rPr>
          <w:szCs w:val="22"/>
        </w:rPr>
      </w:pPr>
      <w:r w:rsidRPr="001775D9">
        <w:rPr>
          <w:color w:val="000000"/>
        </w:rPr>
        <w:t xml:space="preserve">EU/1/16/1164/011 </w:t>
      </w:r>
      <w:r>
        <w:rPr>
          <w:szCs w:val="22"/>
          <w:highlight w:val="lightGray"/>
        </w:rPr>
        <w:t>1 pack</w:t>
      </w:r>
      <w:r w:rsidR="001C55FB">
        <w:rPr>
          <w:szCs w:val="22"/>
          <w:highlight w:val="lightGray"/>
        </w:rPr>
        <w:fldChar w:fldCharType="begin"/>
      </w:r>
      <w:r w:rsidR="001C55FB">
        <w:rPr>
          <w:szCs w:val="22"/>
          <w:highlight w:val="lightGray"/>
        </w:rPr>
        <w:instrText xml:space="preserve"> DOCVARIABLE vault_nd_e66eb80e-fca9-4431-8da0-79157680ea82 \* MERGEFORMAT </w:instrText>
      </w:r>
      <w:r w:rsidR="001C55FB">
        <w:rPr>
          <w:szCs w:val="22"/>
          <w:highlight w:val="lightGray"/>
        </w:rPr>
        <w:fldChar w:fldCharType="separate"/>
      </w:r>
      <w:r w:rsidR="001C55FB">
        <w:rPr>
          <w:szCs w:val="22"/>
          <w:highlight w:val="lightGray"/>
        </w:rPr>
        <w:t xml:space="preserve"> </w:t>
      </w:r>
      <w:r w:rsidR="001C55FB">
        <w:rPr>
          <w:szCs w:val="22"/>
          <w:highlight w:val="lightGray"/>
        </w:rPr>
        <w:fldChar w:fldCharType="end"/>
      </w:r>
    </w:p>
    <w:p w14:paraId="306EBD10" w14:textId="788ABE43" w:rsidR="00966B8F" w:rsidRDefault="00966B8F" w:rsidP="00B61D9D">
      <w:pPr>
        <w:spacing w:line="240" w:lineRule="auto"/>
        <w:outlineLvl w:val="0"/>
        <w:rPr>
          <w:szCs w:val="22"/>
          <w:highlight w:val="lightGray"/>
        </w:rPr>
      </w:pPr>
      <w:r>
        <w:rPr>
          <w:color w:val="000000"/>
          <w:highlight w:val="lightGray"/>
        </w:rPr>
        <w:t xml:space="preserve">EU/1/16/1164/012 </w:t>
      </w:r>
      <w:r>
        <w:rPr>
          <w:szCs w:val="22"/>
          <w:highlight w:val="lightGray"/>
        </w:rPr>
        <w:t>2 pack</w:t>
      </w:r>
      <w:r w:rsidR="001C55FB">
        <w:rPr>
          <w:szCs w:val="22"/>
          <w:highlight w:val="lightGray"/>
        </w:rPr>
        <w:fldChar w:fldCharType="begin"/>
      </w:r>
      <w:r w:rsidR="001C55FB">
        <w:rPr>
          <w:szCs w:val="22"/>
          <w:highlight w:val="lightGray"/>
        </w:rPr>
        <w:instrText xml:space="preserve"> DOCVARIABLE vault_nd_3bba406f-89f2-40c4-b9b7-7d648a455e5c \* MERGEFORMAT </w:instrText>
      </w:r>
      <w:r w:rsidR="001C55FB">
        <w:rPr>
          <w:szCs w:val="22"/>
          <w:highlight w:val="lightGray"/>
        </w:rPr>
        <w:fldChar w:fldCharType="separate"/>
      </w:r>
      <w:r w:rsidR="001C55FB">
        <w:rPr>
          <w:szCs w:val="22"/>
          <w:highlight w:val="lightGray"/>
        </w:rPr>
        <w:t xml:space="preserve"> </w:t>
      </w:r>
      <w:r w:rsidR="001C55FB">
        <w:rPr>
          <w:szCs w:val="22"/>
          <w:highlight w:val="lightGray"/>
        </w:rPr>
        <w:fldChar w:fldCharType="end"/>
      </w:r>
    </w:p>
    <w:p w14:paraId="2357D133" w14:textId="77777777" w:rsidR="00966B8F" w:rsidRPr="001775D9" w:rsidRDefault="00966B8F" w:rsidP="00B61D9D">
      <w:pPr>
        <w:spacing w:line="240" w:lineRule="auto"/>
        <w:rPr>
          <w:rFonts w:ascii="TimesNewRoman" w:hAnsi="TimesNewRoman" w:cs="TimesNewRoman"/>
          <w:szCs w:val="22"/>
          <w:lang w:eastAsia="en-GB"/>
        </w:rPr>
      </w:pPr>
    </w:p>
    <w:p w14:paraId="7B0168D1" w14:textId="77777777" w:rsidR="00966B8F" w:rsidRPr="001775D9" w:rsidRDefault="00966B8F" w:rsidP="00B61D9D">
      <w:pPr>
        <w:spacing w:line="240" w:lineRule="auto"/>
        <w:rPr>
          <w:szCs w:val="22"/>
        </w:rPr>
      </w:pPr>
    </w:p>
    <w:p w14:paraId="001F0B39" w14:textId="6A1E794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VAULT_ND_efd6b103-231f-450e-be37-0751ad8e1160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1FE2F65" w14:textId="77777777" w:rsidR="00966B8F" w:rsidRPr="001775D9" w:rsidRDefault="00966B8F" w:rsidP="00B61D9D">
      <w:pPr>
        <w:spacing w:line="240" w:lineRule="auto"/>
        <w:rPr>
          <w:i/>
          <w:szCs w:val="22"/>
        </w:rPr>
      </w:pPr>
    </w:p>
    <w:p w14:paraId="4F6D1D8B" w14:textId="77777777" w:rsidR="00966B8F" w:rsidRPr="001775D9" w:rsidRDefault="00966B8F" w:rsidP="00B61D9D">
      <w:pPr>
        <w:spacing w:line="240" w:lineRule="auto"/>
        <w:rPr>
          <w:szCs w:val="22"/>
        </w:rPr>
      </w:pPr>
      <w:r w:rsidRPr="001775D9">
        <w:rPr>
          <w:szCs w:val="22"/>
        </w:rPr>
        <w:t>Lot</w:t>
      </w:r>
    </w:p>
    <w:p w14:paraId="28133C48" w14:textId="77777777" w:rsidR="00966B8F" w:rsidRPr="001775D9" w:rsidRDefault="00966B8F" w:rsidP="00B61D9D">
      <w:pPr>
        <w:spacing w:line="240" w:lineRule="auto"/>
        <w:rPr>
          <w:szCs w:val="22"/>
        </w:rPr>
      </w:pPr>
    </w:p>
    <w:p w14:paraId="04FC6762" w14:textId="77777777" w:rsidR="00966B8F" w:rsidRPr="001775D9" w:rsidRDefault="00966B8F" w:rsidP="00B61D9D">
      <w:pPr>
        <w:spacing w:line="240" w:lineRule="auto"/>
        <w:rPr>
          <w:szCs w:val="22"/>
        </w:rPr>
      </w:pPr>
    </w:p>
    <w:p w14:paraId="6216CA2E" w14:textId="3C9F6F8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VAULT_ND_64733da6-8ef3-4b2b-943f-a0adfcbe5b98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F572DAA" w14:textId="77777777" w:rsidR="00966B8F" w:rsidRPr="001775D9" w:rsidRDefault="00966B8F" w:rsidP="00B61D9D">
      <w:pPr>
        <w:spacing w:line="240" w:lineRule="auto"/>
        <w:rPr>
          <w:i/>
          <w:szCs w:val="22"/>
        </w:rPr>
      </w:pPr>
    </w:p>
    <w:p w14:paraId="6E7F9C43" w14:textId="77777777" w:rsidR="00966B8F" w:rsidRPr="001775D9" w:rsidRDefault="00966B8F" w:rsidP="00B61D9D">
      <w:pPr>
        <w:spacing w:line="240" w:lineRule="auto"/>
        <w:rPr>
          <w:szCs w:val="22"/>
        </w:rPr>
      </w:pPr>
    </w:p>
    <w:p w14:paraId="309A9773" w14:textId="2A38EBC6"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VAULT_ND_c0d0486e-f497-4589-adbb-121bfd8344b1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5B0D9D7" w14:textId="77777777" w:rsidR="00966B8F" w:rsidRPr="001775D9" w:rsidRDefault="00966B8F" w:rsidP="00B61D9D">
      <w:pPr>
        <w:spacing w:line="240" w:lineRule="auto"/>
        <w:rPr>
          <w:szCs w:val="22"/>
        </w:rPr>
      </w:pPr>
    </w:p>
    <w:p w14:paraId="5CA1D662" w14:textId="77777777" w:rsidR="00966B8F" w:rsidRPr="001775D9" w:rsidRDefault="00966B8F" w:rsidP="00B61D9D">
      <w:pPr>
        <w:spacing w:line="240" w:lineRule="auto"/>
        <w:rPr>
          <w:szCs w:val="22"/>
        </w:rPr>
      </w:pPr>
    </w:p>
    <w:p w14:paraId="47AA602B" w14:textId="77777777" w:rsidR="00966B8F" w:rsidRPr="00D55B5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Change w:id="2366" w:author="Author">
            <w:rPr>
              <w:szCs w:val="22"/>
              <w:lang w:val="sv-SE"/>
            </w:rPr>
          </w:rPrChange>
        </w:rPr>
      </w:pPr>
      <w:r w:rsidRPr="00D55B59">
        <w:rPr>
          <w:b/>
          <w:szCs w:val="22"/>
          <w:rPrChange w:id="2367" w:author="Author">
            <w:rPr>
              <w:b/>
              <w:szCs w:val="22"/>
              <w:lang w:val="sv-SE"/>
            </w:rPr>
          </w:rPrChange>
        </w:rPr>
        <w:t>16.</w:t>
      </w:r>
      <w:r w:rsidRPr="00D55B59">
        <w:rPr>
          <w:b/>
          <w:szCs w:val="22"/>
          <w:rPrChange w:id="2368" w:author="Author">
            <w:rPr>
              <w:b/>
              <w:szCs w:val="22"/>
              <w:lang w:val="sv-SE"/>
            </w:rPr>
          </w:rPrChange>
        </w:rPr>
        <w:tab/>
        <w:t>INFORMATION IN BRAILLE</w:t>
      </w:r>
    </w:p>
    <w:p w14:paraId="6E38210B" w14:textId="77777777" w:rsidR="00966B8F" w:rsidRPr="00D55B59" w:rsidRDefault="00966B8F" w:rsidP="00B61D9D">
      <w:pPr>
        <w:spacing w:line="240" w:lineRule="auto"/>
        <w:rPr>
          <w:rPrChange w:id="2369" w:author="Author">
            <w:rPr>
              <w:lang w:val="sv-SE"/>
            </w:rPr>
          </w:rPrChange>
        </w:rPr>
      </w:pPr>
    </w:p>
    <w:p w14:paraId="7A589183" w14:textId="35608416" w:rsidR="00966B8F" w:rsidRPr="00D55B59" w:rsidRDefault="00966B8F" w:rsidP="00B61D9D">
      <w:pPr>
        <w:spacing w:line="240" w:lineRule="auto"/>
        <w:rPr>
          <w:rPrChange w:id="2370" w:author="Author">
            <w:rPr>
              <w:lang w:val="sv-SE"/>
            </w:rPr>
          </w:rPrChange>
        </w:rPr>
      </w:pPr>
      <w:r w:rsidRPr="00D55B59">
        <w:rPr>
          <w:rPrChange w:id="2371" w:author="Author">
            <w:rPr>
              <w:lang w:val="sv-SE"/>
            </w:rPr>
          </w:rPrChange>
        </w:rPr>
        <w:t>AMGEVITA 40 mg</w:t>
      </w:r>
      <w:r w:rsidR="00F1109D" w:rsidRPr="00D55B59">
        <w:rPr>
          <w:rPrChange w:id="2372" w:author="Author">
            <w:rPr>
              <w:lang w:val="sv-SE"/>
            </w:rPr>
          </w:rPrChange>
        </w:rPr>
        <w:t>/0.4 mL</w:t>
      </w:r>
      <w:r w:rsidRPr="00D55B59">
        <w:rPr>
          <w:rPrChange w:id="2373" w:author="Author">
            <w:rPr>
              <w:lang w:val="sv-SE"/>
            </w:rPr>
          </w:rPrChange>
        </w:rPr>
        <w:t xml:space="preserve"> syringe</w:t>
      </w:r>
    </w:p>
    <w:p w14:paraId="32D34BCC" w14:textId="77777777" w:rsidR="00966B8F" w:rsidRPr="00D55B59" w:rsidRDefault="00966B8F" w:rsidP="007C5E41">
      <w:pPr>
        <w:spacing w:line="240" w:lineRule="auto"/>
        <w:rPr>
          <w:szCs w:val="22"/>
          <w:highlight w:val="yellow"/>
          <w:shd w:val="clear" w:color="auto" w:fill="CCCCCC"/>
          <w:rPrChange w:id="2374" w:author="Author">
            <w:rPr>
              <w:noProof/>
              <w:szCs w:val="22"/>
              <w:highlight w:val="yellow"/>
              <w:shd w:val="clear" w:color="auto" w:fill="CCCCCC"/>
              <w:lang w:val="sv-SE"/>
            </w:rPr>
          </w:rPrChange>
        </w:rPr>
      </w:pPr>
    </w:p>
    <w:p w14:paraId="6F0F98AA" w14:textId="77777777" w:rsidR="00966B8F" w:rsidRPr="00D55B59" w:rsidRDefault="00966B8F" w:rsidP="007C5E41">
      <w:pPr>
        <w:spacing w:line="240" w:lineRule="auto"/>
        <w:rPr>
          <w:szCs w:val="22"/>
          <w:shd w:val="clear" w:color="auto" w:fill="CCCCCC"/>
          <w:rPrChange w:id="2375" w:author="Author">
            <w:rPr>
              <w:noProof/>
              <w:szCs w:val="22"/>
              <w:shd w:val="clear" w:color="auto" w:fill="CCCCCC"/>
              <w:lang w:val="sv-SE"/>
            </w:rPr>
          </w:rPrChange>
        </w:rPr>
      </w:pPr>
    </w:p>
    <w:p w14:paraId="44609D81" w14:textId="77777777" w:rsidR="00966B8F" w:rsidRPr="00D55B59" w:rsidRDefault="00966B8F" w:rsidP="007C5E41">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376" w:author="Author">
            <w:rPr>
              <w:i/>
              <w:noProof/>
            </w:rPr>
          </w:rPrChange>
        </w:rPr>
      </w:pPr>
      <w:r w:rsidRPr="00D55B59">
        <w:rPr>
          <w:b/>
          <w:rPrChange w:id="2377" w:author="Author">
            <w:rPr>
              <w:b/>
              <w:noProof/>
            </w:rPr>
          </w:rPrChange>
        </w:rPr>
        <w:t>17.</w:t>
      </w:r>
      <w:r w:rsidRPr="00D55B59">
        <w:rPr>
          <w:b/>
          <w:rPrChange w:id="2378" w:author="Author">
            <w:rPr>
              <w:b/>
              <w:noProof/>
            </w:rPr>
          </w:rPrChange>
        </w:rPr>
        <w:tab/>
        <w:t>UNIQUE IDENTIFIER – 2D BARCODE</w:t>
      </w:r>
    </w:p>
    <w:p w14:paraId="49873F7F" w14:textId="77777777" w:rsidR="00966B8F" w:rsidRPr="00D55B59" w:rsidRDefault="00966B8F" w:rsidP="007C5E41">
      <w:pPr>
        <w:tabs>
          <w:tab w:val="clear" w:pos="567"/>
        </w:tabs>
        <w:spacing w:line="240" w:lineRule="auto"/>
        <w:rPr>
          <w:rPrChange w:id="2379" w:author="Author">
            <w:rPr>
              <w:noProof/>
            </w:rPr>
          </w:rPrChange>
        </w:rPr>
      </w:pPr>
    </w:p>
    <w:p w14:paraId="649BB89C" w14:textId="77777777" w:rsidR="00966B8F" w:rsidRPr="00D55B59" w:rsidRDefault="00966B8F" w:rsidP="007C5E41">
      <w:pPr>
        <w:spacing w:line="240" w:lineRule="auto"/>
        <w:rPr>
          <w:szCs w:val="22"/>
          <w:shd w:val="clear" w:color="auto" w:fill="CCCCCC"/>
          <w:rPrChange w:id="2380" w:author="Author">
            <w:rPr>
              <w:noProof/>
              <w:szCs w:val="22"/>
              <w:shd w:val="clear" w:color="auto" w:fill="CCCCCC"/>
            </w:rPr>
          </w:rPrChange>
        </w:rPr>
      </w:pPr>
      <w:r w:rsidRPr="00D55B59">
        <w:rPr>
          <w:highlight w:val="lightGray"/>
          <w:rPrChange w:id="2381" w:author="Author">
            <w:rPr>
              <w:noProof/>
              <w:highlight w:val="lightGray"/>
            </w:rPr>
          </w:rPrChange>
        </w:rPr>
        <w:t>2D barcode carrying the unique identifier included.</w:t>
      </w:r>
    </w:p>
    <w:p w14:paraId="450631D5" w14:textId="77777777" w:rsidR="00966B8F" w:rsidRPr="00D55B59" w:rsidRDefault="00966B8F" w:rsidP="007C5E41">
      <w:pPr>
        <w:spacing w:line="240" w:lineRule="auto"/>
        <w:rPr>
          <w:szCs w:val="22"/>
          <w:shd w:val="clear" w:color="auto" w:fill="CCCCCC"/>
          <w:rPrChange w:id="2382" w:author="Author">
            <w:rPr>
              <w:noProof/>
              <w:szCs w:val="22"/>
              <w:shd w:val="clear" w:color="auto" w:fill="CCCCCC"/>
            </w:rPr>
          </w:rPrChange>
        </w:rPr>
      </w:pPr>
    </w:p>
    <w:p w14:paraId="19B28735" w14:textId="77777777" w:rsidR="00966B8F" w:rsidRPr="00D55B59" w:rsidRDefault="00966B8F" w:rsidP="007C5E41">
      <w:pPr>
        <w:tabs>
          <w:tab w:val="clear" w:pos="567"/>
        </w:tabs>
        <w:spacing w:line="240" w:lineRule="auto"/>
        <w:rPr>
          <w:rPrChange w:id="2383" w:author="Author">
            <w:rPr>
              <w:noProof/>
            </w:rPr>
          </w:rPrChange>
        </w:rPr>
      </w:pPr>
    </w:p>
    <w:p w14:paraId="70F9B306" w14:textId="77777777" w:rsidR="00966B8F" w:rsidRPr="00D55B59" w:rsidRDefault="00966B8F" w:rsidP="007C5E41">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384" w:author="Author">
            <w:rPr>
              <w:i/>
              <w:noProof/>
            </w:rPr>
          </w:rPrChange>
        </w:rPr>
      </w:pPr>
      <w:r w:rsidRPr="00D55B59">
        <w:rPr>
          <w:b/>
          <w:rPrChange w:id="2385" w:author="Author">
            <w:rPr>
              <w:b/>
              <w:noProof/>
            </w:rPr>
          </w:rPrChange>
        </w:rPr>
        <w:t>18.</w:t>
      </w:r>
      <w:r w:rsidRPr="00D55B59">
        <w:rPr>
          <w:b/>
          <w:rPrChange w:id="2386" w:author="Author">
            <w:rPr>
              <w:b/>
              <w:noProof/>
            </w:rPr>
          </w:rPrChange>
        </w:rPr>
        <w:tab/>
        <w:t xml:space="preserve">UNIQUE IDENTIFIER </w:t>
      </w:r>
      <w:r w:rsidRPr="001775D9">
        <w:rPr>
          <w:rFonts w:eastAsia="Calibri"/>
        </w:rPr>
        <w:t>-</w:t>
      </w:r>
      <w:r w:rsidRPr="00D55B59">
        <w:rPr>
          <w:b/>
          <w:rPrChange w:id="2387" w:author="Author">
            <w:rPr>
              <w:b/>
              <w:noProof/>
            </w:rPr>
          </w:rPrChange>
        </w:rPr>
        <w:t xml:space="preserve"> HUMAN READABLE DATA</w:t>
      </w:r>
    </w:p>
    <w:p w14:paraId="3655E4EB" w14:textId="77777777" w:rsidR="00966B8F" w:rsidRPr="00D55B59" w:rsidRDefault="00966B8F" w:rsidP="007C5E41">
      <w:pPr>
        <w:tabs>
          <w:tab w:val="clear" w:pos="567"/>
        </w:tabs>
        <w:spacing w:line="240" w:lineRule="auto"/>
        <w:rPr>
          <w:rPrChange w:id="2388" w:author="Author">
            <w:rPr>
              <w:noProof/>
            </w:rPr>
          </w:rPrChange>
        </w:rPr>
      </w:pPr>
    </w:p>
    <w:p w14:paraId="183BC90A" w14:textId="77777777" w:rsidR="00966B8F" w:rsidRPr="001775D9" w:rsidRDefault="00966B8F" w:rsidP="007C5E41">
      <w:pPr>
        <w:spacing w:line="240" w:lineRule="auto"/>
        <w:rPr>
          <w:szCs w:val="22"/>
        </w:rPr>
      </w:pPr>
      <w:r w:rsidRPr="001775D9">
        <w:rPr>
          <w:szCs w:val="22"/>
        </w:rPr>
        <w:t>PC</w:t>
      </w:r>
    </w:p>
    <w:p w14:paraId="489C4AEA" w14:textId="77777777" w:rsidR="00966B8F" w:rsidRPr="001775D9" w:rsidRDefault="00966B8F" w:rsidP="00B61D9D">
      <w:pPr>
        <w:spacing w:line="240" w:lineRule="auto"/>
        <w:rPr>
          <w:szCs w:val="22"/>
        </w:rPr>
      </w:pPr>
      <w:r w:rsidRPr="001775D9">
        <w:rPr>
          <w:szCs w:val="22"/>
        </w:rPr>
        <w:t>SN</w:t>
      </w:r>
    </w:p>
    <w:p w14:paraId="2EF2DB62" w14:textId="77777777" w:rsidR="00966B8F" w:rsidRPr="001775D9" w:rsidRDefault="00966B8F" w:rsidP="00B61D9D">
      <w:pPr>
        <w:spacing w:line="240" w:lineRule="auto"/>
      </w:pPr>
      <w:r w:rsidRPr="001775D9">
        <w:rPr>
          <w:szCs w:val="22"/>
        </w:rPr>
        <w:t>NN</w:t>
      </w:r>
    </w:p>
    <w:p w14:paraId="35D7196A" w14:textId="77777777" w:rsidR="00966B8F" w:rsidRPr="001775D9" w:rsidRDefault="00966B8F" w:rsidP="00B61D9D">
      <w:pPr>
        <w:spacing w:line="240" w:lineRule="auto"/>
      </w:pPr>
    </w:p>
    <w:p w14:paraId="17F6D70B" w14:textId="77777777" w:rsidR="00966B8F" w:rsidRPr="001775D9" w:rsidRDefault="00966B8F" w:rsidP="00966B8F">
      <w:pPr>
        <w:keepNext/>
        <w:pBdr>
          <w:top w:val="single" w:sz="4" w:space="1" w:color="auto"/>
          <w:left w:val="single" w:sz="4" w:space="4" w:color="auto"/>
          <w:bottom w:val="single" w:sz="4" w:space="1" w:color="auto"/>
          <w:right w:val="single" w:sz="4" w:space="4" w:color="auto"/>
        </w:pBdr>
        <w:rPr>
          <w:b/>
          <w:szCs w:val="22"/>
        </w:rPr>
        <w:sectPr w:rsidR="00966B8F" w:rsidRPr="001775D9" w:rsidSect="0065239D">
          <w:endnotePr>
            <w:numFmt w:val="decimal"/>
          </w:endnotePr>
          <w:pgSz w:w="11907" w:h="16840" w:code="9"/>
          <w:pgMar w:top="1134" w:right="1418" w:bottom="1134" w:left="1418" w:header="737" w:footer="737" w:gutter="0"/>
          <w:cols w:space="720"/>
          <w:titlePg/>
        </w:sectPr>
      </w:pPr>
    </w:p>
    <w:p w14:paraId="73A48B2C"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0A7C1072"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548FA9D3"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OUTER CARTON FOR PRE-FILLED SYRINGE MULTIPACK (with blue box)</w:t>
      </w:r>
    </w:p>
    <w:p w14:paraId="2672D746" w14:textId="77777777" w:rsidR="00966B8F" w:rsidRPr="001775D9" w:rsidRDefault="00966B8F" w:rsidP="00B61D9D">
      <w:pPr>
        <w:keepNext/>
        <w:spacing w:line="240" w:lineRule="auto"/>
      </w:pPr>
    </w:p>
    <w:p w14:paraId="1EB9672F" w14:textId="77777777" w:rsidR="00966B8F" w:rsidRPr="001775D9" w:rsidRDefault="00966B8F" w:rsidP="00B61D9D">
      <w:pPr>
        <w:keepNext/>
        <w:spacing w:line="240" w:lineRule="auto"/>
        <w:rPr>
          <w:szCs w:val="22"/>
        </w:rPr>
      </w:pPr>
    </w:p>
    <w:p w14:paraId="49B825E1" w14:textId="07CDCBDD"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VAULT_ND_bcc44812-74d7-4286-95ee-e8fd6d6c543d \* MERGEFORMAT </w:instrText>
      </w:r>
      <w:r w:rsidR="001C55FB" w:rsidRPr="001775D9">
        <w:rPr>
          <w:b/>
        </w:rPr>
        <w:fldChar w:fldCharType="separate"/>
      </w:r>
      <w:r w:rsidR="001C55FB" w:rsidRPr="001775D9">
        <w:rPr>
          <w:b/>
        </w:rPr>
        <w:t xml:space="preserve"> </w:t>
      </w:r>
      <w:r w:rsidR="001C55FB" w:rsidRPr="001775D9">
        <w:rPr>
          <w:b/>
        </w:rPr>
        <w:fldChar w:fldCharType="end"/>
      </w:r>
    </w:p>
    <w:p w14:paraId="3891FE3B" w14:textId="77777777" w:rsidR="00966B8F" w:rsidRPr="001775D9" w:rsidRDefault="00966B8F" w:rsidP="00B61D9D">
      <w:pPr>
        <w:keepNext/>
        <w:spacing w:line="240" w:lineRule="auto"/>
        <w:rPr>
          <w:szCs w:val="22"/>
        </w:rPr>
      </w:pPr>
    </w:p>
    <w:p w14:paraId="53D300F0" w14:textId="0852E026" w:rsidR="00966B8F" w:rsidRPr="001775D9" w:rsidRDefault="00966B8F" w:rsidP="00B61D9D">
      <w:pPr>
        <w:keepNext/>
        <w:spacing w:line="240" w:lineRule="auto"/>
        <w:rPr>
          <w:szCs w:val="22"/>
        </w:rPr>
      </w:pPr>
      <w:r w:rsidRPr="001775D9">
        <w:rPr>
          <w:szCs w:val="22"/>
        </w:rPr>
        <w:t>AMGEVITA 40 mg solution for injection in pre-filled syringe</w:t>
      </w:r>
    </w:p>
    <w:p w14:paraId="60D7D96B" w14:textId="77777777" w:rsidR="00966B8F" w:rsidRPr="001775D9" w:rsidRDefault="00966B8F" w:rsidP="00B61D9D">
      <w:pPr>
        <w:keepNext/>
        <w:spacing w:line="240" w:lineRule="auto"/>
        <w:rPr>
          <w:szCs w:val="22"/>
        </w:rPr>
      </w:pPr>
      <w:r w:rsidRPr="001775D9">
        <w:rPr>
          <w:szCs w:val="22"/>
        </w:rPr>
        <w:t>adalimumab</w:t>
      </w:r>
    </w:p>
    <w:p w14:paraId="53BCBCBB" w14:textId="77777777" w:rsidR="00966B8F" w:rsidRPr="001775D9" w:rsidRDefault="00966B8F" w:rsidP="00B61D9D">
      <w:pPr>
        <w:keepNext/>
        <w:spacing w:line="240" w:lineRule="auto"/>
        <w:rPr>
          <w:szCs w:val="22"/>
        </w:rPr>
      </w:pPr>
    </w:p>
    <w:p w14:paraId="0AA12A21" w14:textId="77777777" w:rsidR="00966B8F" w:rsidRPr="001775D9" w:rsidRDefault="00966B8F" w:rsidP="00B61D9D">
      <w:pPr>
        <w:keepNext/>
        <w:spacing w:line="240" w:lineRule="auto"/>
        <w:rPr>
          <w:szCs w:val="22"/>
        </w:rPr>
      </w:pPr>
    </w:p>
    <w:p w14:paraId="63D9DF72" w14:textId="3BE6D4D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VAULT_ND_a7accf0e-e26c-4f74-b09b-c12ea008e570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85DFFBE" w14:textId="77777777" w:rsidR="00966B8F" w:rsidRPr="001775D9" w:rsidRDefault="00966B8F" w:rsidP="00B61D9D">
      <w:pPr>
        <w:spacing w:line="240" w:lineRule="auto"/>
        <w:rPr>
          <w:szCs w:val="22"/>
        </w:rPr>
      </w:pPr>
    </w:p>
    <w:p w14:paraId="0928E203" w14:textId="77777777" w:rsidR="00966B8F" w:rsidRPr="001775D9" w:rsidRDefault="00966B8F" w:rsidP="007C5E41">
      <w:pPr>
        <w:suppressLineNumbers/>
        <w:spacing w:line="240" w:lineRule="auto"/>
        <w:rPr>
          <w:szCs w:val="22"/>
        </w:rPr>
      </w:pPr>
      <w:r w:rsidRPr="001775D9">
        <w:rPr>
          <w:szCs w:val="22"/>
        </w:rPr>
        <w:t>Each pre-filled syringe contains 40 mg of adalimumab in 0.4 mL of solution.</w:t>
      </w:r>
    </w:p>
    <w:p w14:paraId="0073333C" w14:textId="127C26B3" w:rsidR="00966B8F" w:rsidRPr="001775D9" w:rsidRDefault="00966B8F" w:rsidP="00B61D9D">
      <w:pPr>
        <w:spacing w:line="240" w:lineRule="auto"/>
        <w:rPr>
          <w:szCs w:val="22"/>
        </w:rPr>
      </w:pPr>
    </w:p>
    <w:p w14:paraId="5E81235E" w14:textId="77777777" w:rsidR="00966B8F" w:rsidRPr="001775D9" w:rsidRDefault="00966B8F" w:rsidP="00B61D9D">
      <w:pPr>
        <w:spacing w:line="240" w:lineRule="auto"/>
        <w:rPr>
          <w:szCs w:val="22"/>
        </w:rPr>
      </w:pPr>
    </w:p>
    <w:p w14:paraId="1B36AB30" w14:textId="256BE61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VAULT_ND_b71b94e7-26fb-490a-926c-582ce4543726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B520DCE" w14:textId="77777777" w:rsidR="00966B8F" w:rsidRPr="001775D9" w:rsidRDefault="00966B8F" w:rsidP="00B61D9D">
      <w:pPr>
        <w:spacing w:line="240" w:lineRule="auto"/>
        <w:rPr>
          <w:szCs w:val="22"/>
        </w:rPr>
      </w:pPr>
    </w:p>
    <w:p w14:paraId="35E8689C"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389"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3001FB2B" w14:textId="77777777" w:rsidR="00966B8F" w:rsidRPr="001775D9" w:rsidRDefault="00966B8F" w:rsidP="00B61D9D">
      <w:pPr>
        <w:spacing w:line="240" w:lineRule="auto"/>
        <w:rPr>
          <w:szCs w:val="22"/>
        </w:rPr>
      </w:pPr>
    </w:p>
    <w:p w14:paraId="570D79EF" w14:textId="77777777" w:rsidR="00966B8F" w:rsidRPr="001775D9" w:rsidRDefault="00966B8F" w:rsidP="00B61D9D">
      <w:pPr>
        <w:spacing w:line="240" w:lineRule="auto"/>
        <w:rPr>
          <w:szCs w:val="22"/>
        </w:rPr>
      </w:pPr>
    </w:p>
    <w:p w14:paraId="3B0BB372" w14:textId="2D83D3C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VAULT_ND_861f2874-1e38-4b4e-a920-fec89b776bd1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AEFEC4A" w14:textId="77777777" w:rsidR="00966B8F" w:rsidRPr="001775D9" w:rsidRDefault="00966B8F" w:rsidP="00B61D9D">
      <w:pPr>
        <w:spacing w:line="240" w:lineRule="auto"/>
        <w:rPr>
          <w:szCs w:val="22"/>
        </w:rPr>
      </w:pPr>
    </w:p>
    <w:p w14:paraId="71489E7C" w14:textId="77777777" w:rsidR="00966B8F" w:rsidRPr="001775D9" w:rsidRDefault="00966B8F" w:rsidP="007C5E41">
      <w:pPr>
        <w:spacing w:line="240" w:lineRule="auto"/>
        <w:rPr>
          <w:szCs w:val="22"/>
        </w:rPr>
      </w:pPr>
      <w:r>
        <w:rPr>
          <w:szCs w:val="22"/>
          <w:highlight w:val="lightGray"/>
        </w:rPr>
        <w:t>Solution for injection</w:t>
      </w:r>
    </w:p>
    <w:p w14:paraId="425EE88D" w14:textId="5140CE35" w:rsidR="00F1109D" w:rsidRPr="001775D9" w:rsidRDefault="00F1109D" w:rsidP="007C5E41">
      <w:pPr>
        <w:spacing w:line="240" w:lineRule="auto"/>
        <w:rPr>
          <w:szCs w:val="22"/>
        </w:rPr>
      </w:pPr>
      <w:r w:rsidRPr="001775D9">
        <w:rPr>
          <w:szCs w:val="22"/>
        </w:rPr>
        <w:t>40 mg/0.4 mL</w:t>
      </w:r>
    </w:p>
    <w:p w14:paraId="09F4DF74" w14:textId="571B036A" w:rsidR="00966B8F" w:rsidRPr="001775D9" w:rsidRDefault="00966B8F" w:rsidP="007C5E41">
      <w:pPr>
        <w:spacing w:line="240" w:lineRule="auto"/>
        <w:rPr>
          <w:szCs w:val="22"/>
        </w:rPr>
      </w:pPr>
      <w:r w:rsidRPr="001775D9">
        <w:rPr>
          <w:szCs w:val="22"/>
        </w:rPr>
        <w:t>Multipack: 6 (3 packs of 2) pre-filled syringes.</w:t>
      </w:r>
    </w:p>
    <w:p w14:paraId="122D27E8" w14:textId="77777777" w:rsidR="00966B8F" w:rsidRPr="001775D9" w:rsidRDefault="00966B8F" w:rsidP="00B61D9D">
      <w:pPr>
        <w:spacing w:line="240" w:lineRule="auto"/>
        <w:rPr>
          <w:szCs w:val="22"/>
        </w:rPr>
      </w:pPr>
    </w:p>
    <w:p w14:paraId="69609CB0" w14:textId="77777777" w:rsidR="00966B8F" w:rsidRPr="001775D9" w:rsidRDefault="00966B8F" w:rsidP="00B61D9D">
      <w:pPr>
        <w:spacing w:line="240" w:lineRule="auto"/>
        <w:rPr>
          <w:szCs w:val="22"/>
        </w:rPr>
      </w:pPr>
    </w:p>
    <w:p w14:paraId="3A67E8A0" w14:textId="3270C08C"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VAULT_ND_0070d7fc-7ea3-4846-bac1-ff5db07bf68c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F54100D" w14:textId="77777777" w:rsidR="00966B8F" w:rsidRPr="001775D9" w:rsidRDefault="00966B8F" w:rsidP="00B61D9D">
      <w:pPr>
        <w:spacing w:line="240" w:lineRule="auto"/>
        <w:rPr>
          <w:szCs w:val="22"/>
        </w:rPr>
      </w:pPr>
    </w:p>
    <w:p w14:paraId="16F898F8" w14:textId="77777777" w:rsidR="00966B8F" w:rsidRPr="001775D9" w:rsidRDefault="00966B8F" w:rsidP="007C5E41">
      <w:pPr>
        <w:spacing w:line="240" w:lineRule="auto"/>
        <w:rPr>
          <w:szCs w:val="22"/>
        </w:rPr>
      </w:pPr>
      <w:r w:rsidRPr="001775D9">
        <w:rPr>
          <w:szCs w:val="22"/>
        </w:rPr>
        <w:t>For subcutaneous use.</w:t>
      </w:r>
    </w:p>
    <w:p w14:paraId="5A111831" w14:textId="77777777" w:rsidR="00966B8F" w:rsidRPr="001775D9" w:rsidRDefault="00966B8F" w:rsidP="00B61D9D">
      <w:pPr>
        <w:spacing w:line="240" w:lineRule="auto"/>
        <w:rPr>
          <w:szCs w:val="22"/>
        </w:rPr>
      </w:pPr>
      <w:r w:rsidRPr="001775D9">
        <w:rPr>
          <w:szCs w:val="22"/>
        </w:rPr>
        <w:t>Read the package leaflet before use.</w:t>
      </w:r>
    </w:p>
    <w:p w14:paraId="5CD9EF2F" w14:textId="77777777" w:rsidR="00966B8F" w:rsidRPr="001775D9" w:rsidRDefault="00966B8F" w:rsidP="00B61D9D">
      <w:pPr>
        <w:spacing w:line="240" w:lineRule="auto"/>
        <w:rPr>
          <w:szCs w:val="22"/>
        </w:rPr>
      </w:pPr>
      <w:r w:rsidRPr="001775D9">
        <w:rPr>
          <w:szCs w:val="22"/>
        </w:rPr>
        <w:t>Single use only.</w:t>
      </w:r>
    </w:p>
    <w:p w14:paraId="2FB9C0AE" w14:textId="77777777" w:rsidR="00966B8F" w:rsidRPr="001775D9" w:rsidRDefault="00966B8F" w:rsidP="00B61D9D">
      <w:pPr>
        <w:spacing w:line="240" w:lineRule="auto"/>
        <w:rPr>
          <w:szCs w:val="22"/>
        </w:rPr>
      </w:pPr>
    </w:p>
    <w:p w14:paraId="0421AE8D" w14:textId="77777777" w:rsidR="00966B8F" w:rsidRPr="001775D9" w:rsidRDefault="00966B8F" w:rsidP="00B61D9D">
      <w:pPr>
        <w:spacing w:line="240" w:lineRule="auto"/>
        <w:rPr>
          <w:szCs w:val="22"/>
        </w:rPr>
      </w:pPr>
    </w:p>
    <w:p w14:paraId="1B321AD0" w14:textId="270275F1"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VAULT_ND_3a238fad-4c16-4a00-a186-bbbbff243b28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C3B4AE4" w14:textId="77777777" w:rsidR="00966B8F" w:rsidRPr="001775D9" w:rsidRDefault="00966B8F" w:rsidP="00B61D9D">
      <w:pPr>
        <w:spacing w:line="240" w:lineRule="auto"/>
        <w:rPr>
          <w:szCs w:val="22"/>
        </w:rPr>
      </w:pPr>
    </w:p>
    <w:p w14:paraId="39B508E9" w14:textId="06D3B00E"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vault_nd_9d38a292-8320-492e-a863-8f12631acb7e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7123A4B0" w14:textId="77777777" w:rsidR="00966B8F" w:rsidRPr="001775D9" w:rsidRDefault="00966B8F" w:rsidP="00B61D9D">
      <w:pPr>
        <w:spacing w:line="240" w:lineRule="auto"/>
        <w:rPr>
          <w:szCs w:val="22"/>
        </w:rPr>
      </w:pPr>
    </w:p>
    <w:p w14:paraId="7F71F02A" w14:textId="77777777" w:rsidR="00966B8F" w:rsidRPr="001775D9" w:rsidRDefault="00966B8F" w:rsidP="00B61D9D">
      <w:pPr>
        <w:spacing w:line="240" w:lineRule="auto"/>
        <w:rPr>
          <w:szCs w:val="22"/>
        </w:rPr>
      </w:pPr>
    </w:p>
    <w:p w14:paraId="511781C1" w14:textId="7921542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VAULT_ND_bad05e2b-53a1-4fc8-b7dc-11002bd0a7a7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DD9A4C1" w14:textId="77777777" w:rsidR="00966B8F" w:rsidRPr="001775D9" w:rsidRDefault="00966B8F" w:rsidP="00B61D9D">
      <w:pPr>
        <w:tabs>
          <w:tab w:val="left" w:pos="749"/>
        </w:tabs>
        <w:spacing w:line="240" w:lineRule="auto"/>
      </w:pPr>
    </w:p>
    <w:p w14:paraId="71923935" w14:textId="77777777" w:rsidR="00966B8F" w:rsidRPr="001775D9" w:rsidRDefault="00966B8F" w:rsidP="00B61D9D">
      <w:pPr>
        <w:tabs>
          <w:tab w:val="left" w:pos="749"/>
        </w:tabs>
        <w:spacing w:line="240" w:lineRule="auto"/>
      </w:pPr>
    </w:p>
    <w:p w14:paraId="11A98FD5" w14:textId="32BD772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VAULT_ND_9bc01113-3f43-463f-96c8-0b2454bd6cf3 \* MERGEFORMAT </w:instrText>
      </w:r>
      <w:r w:rsidR="001C55FB" w:rsidRPr="001775D9">
        <w:rPr>
          <w:b/>
        </w:rPr>
        <w:fldChar w:fldCharType="separate"/>
      </w:r>
      <w:r w:rsidR="001C55FB" w:rsidRPr="001775D9">
        <w:rPr>
          <w:b/>
        </w:rPr>
        <w:t xml:space="preserve"> </w:t>
      </w:r>
      <w:r w:rsidR="001C55FB" w:rsidRPr="001775D9">
        <w:rPr>
          <w:b/>
        </w:rPr>
        <w:fldChar w:fldCharType="end"/>
      </w:r>
    </w:p>
    <w:p w14:paraId="30FF8F4F" w14:textId="77777777" w:rsidR="00966B8F" w:rsidRPr="001775D9" w:rsidRDefault="00966B8F" w:rsidP="00B61D9D">
      <w:pPr>
        <w:spacing w:line="240" w:lineRule="auto"/>
      </w:pPr>
    </w:p>
    <w:p w14:paraId="572994A0" w14:textId="77777777" w:rsidR="00966B8F" w:rsidRPr="001775D9" w:rsidRDefault="00966B8F" w:rsidP="00B61D9D">
      <w:pPr>
        <w:spacing w:line="240" w:lineRule="auto"/>
        <w:rPr>
          <w:szCs w:val="22"/>
        </w:rPr>
      </w:pPr>
      <w:r w:rsidRPr="001775D9">
        <w:rPr>
          <w:szCs w:val="22"/>
        </w:rPr>
        <w:t xml:space="preserve">EXP </w:t>
      </w:r>
    </w:p>
    <w:p w14:paraId="7137B08A" w14:textId="77777777" w:rsidR="00966B8F" w:rsidRPr="001775D9" w:rsidRDefault="00966B8F" w:rsidP="00B61D9D">
      <w:pPr>
        <w:spacing w:line="240" w:lineRule="auto"/>
        <w:rPr>
          <w:szCs w:val="22"/>
        </w:rPr>
      </w:pPr>
    </w:p>
    <w:p w14:paraId="007C85FD" w14:textId="77777777" w:rsidR="00966B8F" w:rsidRPr="001775D9" w:rsidRDefault="00966B8F" w:rsidP="00B61D9D">
      <w:pPr>
        <w:spacing w:line="240" w:lineRule="auto"/>
        <w:rPr>
          <w:szCs w:val="22"/>
        </w:rPr>
      </w:pPr>
    </w:p>
    <w:p w14:paraId="442CE518" w14:textId="1B116289"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VAULT_ND_458c2d5d-891c-4cfb-81ef-a5abca671e1d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95DADAE" w14:textId="77777777" w:rsidR="00966B8F" w:rsidRPr="001775D9" w:rsidRDefault="00966B8F" w:rsidP="00B61D9D">
      <w:pPr>
        <w:keepNext/>
        <w:spacing w:line="240" w:lineRule="auto"/>
        <w:rPr>
          <w:szCs w:val="22"/>
        </w:rPr>
      </w:pPr>
    </w:p>
    <w:p w14:paraId="69DC90A0" w14:textId="77777777" w:rsidR="00966B8F" w:rsidRPr="001775D9" w:rsidRDefault="00966B8F" w:rsidP="00966B8F">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4DA52E9A" w14:textId="77777777" w:rsidR="00966B8F" w:rsidRPr="001775D9" w:rsidRDefault="00966B8F" w:rsidP="00966B8F">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54F9BA09" w14:textId="77777777" w:rsidR="00966B8F" w:rsidRPr="001775D9" w:rsidRDefault="00966B8F" w:rsidP="00966B8F">
      <w:pPr>
        <w:keepNext/>
        <w:spacing w:line="240" w:lineRule="auto"/>
        <w:rPr>
          <w:rFonts w:eastAsia="SimSun"/>
          <w:szCs w:val="22"/>
          <w:lang w:eastAsia="en-GB"/>
        </w:rPr>
      </w:pPr>
      <w:r w:rsidRPr="001775D9">
        <w:rPr>
          <w:rFonts w:eastAsia="SimSun"/>
          <w:szCs w:val="22"/>
          <w:lang w:eastAsia="en-GB"/>
        </w:rPr>
        <w:t>Store in the original carton in order to protect from light.</w:t>
      </w:r>
    </w:p>
    <w:p w14:paraId="0B62E149" w14:textId="77777777" w:rsidR="00966B8F" w:rsidRPr="001775D9" w:rsidRDefault="00966B8F" w:rsidP="007C5E41">
      <w:pPr>
        <w:spacing w:line="240" w:lineRule="auto"/>
        <w:rPr>
          <w:rFonts w:eastAsia="SimSun"/>
          <w:szCs w:val="22"/>
          <w:lang w:eastAsia="en-GB"/>
        </w:rPr>
      </w:pPr>
    </w:p>
    <w:p w14:paraId="6B696437" w14:textId="77777777" w:rsidR="00966B8F" w:rsidRPr="001775D9" w:rsidRDefault="00966B8F" w:rsidP="00B61D9D">
      <w:pPr>
        <w:spacing w:line="240" w:lineRule="auto"/>
        <w:ind w:left="567" w:hanging="567"/>
        <w:rPr>
          <w:szCs w:val="22"/>
        </w:rPr>
      </w:pPr>
    </w:p>
    <w:p w14:paraId="453682BF" w14:textId="3726F45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VAULT_ND_2faa387d-a8c7-463b-999a-c7a439707c09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742C176" w14:textId="77777777" w:rsidR="00966B8F" w:rsidRPr="001775D9" w:rsidRDefault="00966B8F" w:rsidP="00B61D9D">
      <w:pPr>
        <w:spacing w:line="240" w:lineRule="auto"/>
        <w:rPr>
          <w:szCs w:val="22"/>
        </w:rPr>
      </w:pPr>
    </w:p>
    <w:p w14:paraId="3704B12C" w14:textId="77777777" w:rsidR="00966B8F" w:rsidRPr="001775D9" w:rsidRDefault="00966B8F" w:rsidP="00B61D9D">
      <w:pPr>
        <w:spacing w:line="240" w:lineRule="auto"/>
        <w:rPr>
          <w:szCs w:val="22"/>
        </w:rPr>
      </w:pPr>
    </w:p>
    <w:p w14:paraId="4A0DAEA3" w14:textId="5DB89CD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VAULT_ND_b7957cb3-43ef-47ce-bbe6-d25b38323ca5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9F19243" w14:textId="77777777" w:rsidR="00966B8F" w:rsidRPr="001775D9" w:rsidRDefault="00966B8F" w:rsidP="00B61D9D">
      <w:pPr>
        <w:spacing w:line="240" w:lineRule="auto"/>
        <w:rPr>
          <w:szCs w:val="22"/>
        </w:rPr>
      </w:pPr>
    </w:p>
    <w:p w14:paraId="1384CF29"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390" w:author="Author">
            <w:rPr>
              <w:rFonts w:eastAsia="SimSun"/>
              <w:szCs w:val="22"/>
              <w:lang w:val="sv-SE" w:eastAsia="en-GB"/>
            </w:rPr>
          </w:rPrChange>
        </w:rPr>
      </w:pPr>
      <w:r w:rsidRPr="00D55B59">
        <w:rPr>
          <w:rFonts w:eastAsia="SimSun"/>
          <w:szCs w:val="22"/>
          <w:lang w:eastAsia="en-GB"/>
          <w:rPrChange w:id="2391" w:author="Author">
            <w:rPr>
              <w:rFonts w:eastAsia="SimSun"/>
              <w:szCs w:val="22"/>
              <w:lang w:val="sv-SE" w:eastAsia="en-GB"/>
            </w:rPr>
          </w:rPrChange>
        </w:rPr>
        <w:t>Amgen Europe B.V.</w:t>
      </w:r>
    </w:p>
    <w:p w14:paraId="690C21EC"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392" w:author="Author">
            <w:rPr>
              <w:rFonts w:eastAsia="SimSun"/>
              <w:szCs w:val="22"/>
              <w:lang w:val="sv-SE" w:eastAsia="en-GB"/>
            </w:rPr>
          </w:rPrChange>
        </w:rPr>
      </w:pPr>
      <w:r w:rsidRPr="00D55B59">
        <w:rPr>
          <w:rFonts w:eastAsia="SimSun"/>
          <w:szCs w:val="22"/>
          <w:lang w:eastAsia="en-GB"/>
          <w:rPrChange w:id="2393" w:author="Author">
            <w:rPr>
              <w:rFonts w:eastAsia="SimSun"/>
              <w:szCs w:val="22"/>
              <w:lang w:val="sv-SE" w:eastAsia="en-GB"/>
            </w:rPr>
          </w:rPrChange>
        </w:rPr>
        <w:t>Minervum 7061,</w:t>
      </w:r>
    </w:p>
    <w:p w14:paraId="117E4642" w14:textId="77777777" w:rsidR="00966B8F" w:rsidRPr="001775D9" w:rsidRDefault="00966B8F" w:rsidP="00B63B7D">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345A1E8E" w14:textId="77777777" w:rsidR="00966B8F" w:rsidRPr="001775D9" w:rsidRDefault="00966B8F" w:rsidP="00B63B7D">
      <w:pPr>
        <w:spacing w:line="240" w:lineRule="auto"/>
        <w:rPr>
          <w:szCs w:val="22"/>
        </w:rPr>
      </w:pPr>
      <w:r w:rsidRPr="001775D9">
        <w:rPr>
          <w:rFonts w:eastAsia="SimSun"/>
          <w:szCs w:val="22"/>
          <w:lang w:eastAsia="en-GB"/>
        </w:rPr>
        <w:t>The Netherlands</w:t>
      </w:r>
      <w:r w:rsidRPr="001775D9">
        <w:rPr>
          <w:i/>
          <w:szCs w:val="22"/>
        </w:rPr>
        <w:t xml:space="preserve"> </w:t>
      </w:r>
    </w:p>
    <w:p w14:paraId="0052F97E" w14:textId="77777777" w:rsidR="00966B8F" w:rsidRPr="001775D9" w:rsidRDefault="00966B8F" w:rsidP="00B61D9D">
      <w:pPr>
        <w:spacing w:line="240" w:lineRule="auto"/>
        <w:rPr>
          <w:szCs w:val="22"/>
        </w:rPr>
      </w:pPr>
    </w:p>
    <w:p w14:paraId="0A3A0A54" w14:textId="77777777" w:rsidR="00966B8F" w:rsidRPr="001775D9" w:rsidRDefault="00966B8F" w:rsidP="00B61D9D">
      <w:pPr>
        <w:spacing w:line="240" w:lineRule="auto"/>
        <w:rPr>
          <w:szCs w:val="22"/>
        </w:rPr>
      </w:pPr>
    </w:p>
    <w:p w14:paraId="6FAAEACB" w14:textId="1AA80BF8"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VAULT_ND_8b89ab83-9144-4b06-a37a-ad39a01c4d0d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AFE5165" w14:textId="77777777" w:rsidR="00966B8F" w:rsidRPr="001775D9" w:rsidRDefault="00966B8F" w:rsidP="00B61D9D">
      <w:pPr>
        <w:spacing w:line="240" w:lineRule="auto"/>
        <w:rPr>
          <w:szCs w:val="22"/>
        </w:rPr>
      </w:pPr>
    </w:p>
    <w:p w14:paraId="59854A5C" w14:textId="60F37BA0" w:rsidR="00966B8F" w:rsidRPr="001775D9" w:rsidRDefault="00966B8F" w:rsidP="00B61D9D">
      <w:pPr>
        <w:spacing w:line="240" w:lineRule="auto"/>
        <w:outlineLvl w:val="0"/>
        <w:rPr>
          <w:szCs w:val="22"/>
        </w:rPr>
      </w:pPr>
      <w:r w:rsidRPr="001775D9">
        <w:rPr>
          <w:color w:val="000000"/>
        </w:rPr>
        <w:t>EU/1/16/1164/0</w:t>
      </w:r>
      <w:r w:rsidR="00D270FD" w:rsidRPr="001775D9">
        <w:rPr>
          <w:color w:val="000000"/>
        </w:rPr>
        <w:t>13</w:t>
      </w:r>
      <w:r w:rsidR="001C55FB" w:rsidRPr="001775D9">
        <w:rPr>
          <w:color w:val="000000"/>
        </w:rPr>
        <w:fldChar w:fldCharType="begin"/>
      </w:r>
      <w:r w:rsidR="001C55FB" w:rsidRPr="001775D9">
        <w:rPr>
          <w:color w:val="000000"/>
        </w:rPr>
        <w:instrText xml:space="preserve"> DOCVARIABLE VAULT_ND_8df371fd-ff62-4836-9fed-387cc1aaded5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69828DE0" w14:textId="77777777" w:rsidR="00966B8F" w:rsidRPr="001775D9" w:rsidRDefault="00966B8F" w:rsidP="00B61D9D">
      <w:pPr>
        <w:spacing w:line="240" w:lineRule="auto"/>
        <w:rPr>
          <w:rFonts w:ascii="TimesNewRoman" w:hAnsi="TimesNewRoman" w:cs="TimesNewRoman"/>
          <w:szCs w:val="22"/>
          <w:lang w:eastAsia="en-GB"/>
        </w:rPr>
      </w:pPr>
    </w:p>
    <w:p w14:paraId="5089BE23" w14:textId="77777777" w:rsidR="00966B8F" w:rsidRPr="001775D9" w:rsidRDefault="00966B8F" w:rsidP="00B61D9D">
      <w:pPr>
        <w:spacing w:line="240" w:lineRule="auto"/>
        <w:rPr>
          <w:szCs w:val="22"/>
        </w:rPr>
      </w:pPr>
    </w:p>
    <w:p w14:paraId="4F5036E8" w14:textId="0D13CCA8"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VAULT_ND_e76ed541-8450-4c90-b1e4-2f135907394b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357353A" w14:textId="77777777" w:rsidR="00966B8F" w:rsidRPr="001775D9" w:rsidRDefault="00966B8F" w:rsidP="00B61D9D">
      <w:pPr>
        <w:spacing w:line="240" w:lineRule="auto"/>
        <w:rPr>
          <w:i/>
          <w:szCs w:val="22"/>
        </w:rPr>
      </w:pPr>
    </w:p>
    <w:p w14:paraId="53A1CED5" w14:textId="77777777" w:rsidR="00966B8F" w:rsidRPr="001775D9" w:rsidRDefault="00966B8F" w:rsidP="00B61D9D">
      <w:pPr>
        <w:spacing w:line="240" w:lineRule="auto"/>
        <w:rPr>
          <w:szCs w:val="22"/>
        </w:rPr>
      </w:pPr>
      <w:r w:rsidRPr="001775D9">
        <w:rPr>
          <w:szCs w:val="22"/>
        </w:rPr>
        <w:t>Lot</w:t>
      </w:r>
    </w:p>
    <w:p w14:paraId="01889647" w14:textId="77777777" w:rsidR="00966B8F" w:rsidRPr="001775D9" w:rsidRDefault="00966B8F" w:rsidP="00B61D9D">
      <w:pPr>
        <w:spacing w:line="240" w:lineRule="auto"/>
        <w:rPr>
          <w:szCs w:val="22"/>
        </w:rPr>
      </w:pPr>
    </w:p>
    <w:p w14:paraId="6FF9CD8C" w14:textId="77777777" w:rsidR="00966B8F" w:rsidRPr="001775D9" w:rsidRDefault="00966B8F" w:rsidP="00B61D9D">
      <w:pPr>
        <w:spacing w:line="240" w:lineRule="auto"/>
        <w:rPr>
          <w:szCs w:val="22"/>
        </w:rPr>
      </w:pPr>
    </w:p>
    <w:p w14:paraId="5D4F770F" w14:textId="3FC740A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VAULT_ND_9efe1ccb-a347-41e3-96de-482624149b0d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C9761ED" w14:textId="77777777" w:rsidR="00966B8F" w:rsidRPr="001775D9" w:rsidRDefault="00966B8F" w:rsidP="00B61D9D">
      <w:pPr>
        <w:spacing w:line="240" w:lineRule="auto"/>
        <w:rPr>
          <w:i/>
          <w:szCs w:val="22"/>
        </w:rPr>
      </w:pPr>
    </w:p>
    <w:p w14:paraId="66949504" w14:textId="77777777" w:rsidR="00966B8F" w:rsidRPr="001775D9" w:rsidRDefault="00966B8F" w:rsidP="00B61D9D">
      <w:pPr>
        <w:spacing w:line="240" w:lineRule="auto"/>
        <w:rPr>
          <w:szCs w:val="22"/>
        </w:rPr>
      </w:pPr>
    </w:p>
    <w:p w14:paraId="6D25A513" w14:textId="106C1789"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VAULT_ND_47a124a1-3d4c-487b-a07a-eecdcef07c7f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83AB5F3" w14:textId="77777777" w:rsidR="00966B8F" w:rsidRPr="001775D9" w:rsidRDefault="00966B8F" w:rsidP="00B61D9D">
      <w:pPr>
        <w:spacing w:line="240" w:lineRule="auto"/>
        <w:rPr>
          <w:szCs w:val="22"/>
        </w:rPr>
      </w:pPr>
    </w:p>
    <w:p w14:paraId="5F63026B" w14:textId="77777777" w:rsidR="00966B8F" w:rsidRPr="001775D9" w:rsidRDefault="00966B8F" w:rsidP="00B61D9D">
      <w:pPr>
        <w:spacing w:line="240" w:lineRule="auto"/>
        <w:rPr>
          <w:szCs w:val="22"/>
        </w:rPr>
      </w:pPr>
    </w:p>
    <w:p w14:paraId="7460A639" w14:textId="77777777" w:rsidR="00966B8F" w:rsidRPr="001775D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3AD5D35E" w14:textId="77777777" w:rsidR="00966B8F" w:rsidRPr="001775D9" w:rsidRDefault="00966B8F" w:rsidP="00B61D9D">
      <w:pPr>
        <w:spacing w:line="240" w:lineRule="auto"/>
      </w:pPr>
    </w:p>
    <w:p w14:paraId="381A7DF6" w14:textId="4C89781E" w:rsidR="00966B8F" w:rsidRPr="001775D9" w:rsidRDefault="00966B8F" w:rsidP="00B61D9D">
      <w:pPr>
        <w:spacing w:line="240" w:lineRule="auto"/>
      </w:pPr>
      <w:r w:rsidRPr="001775D9">
        <w:t>AMGEVITA 40 mg</w:t>
      </w:r>
      <w:r w:rsidR="00F1109D" w:rsidRPr="001775D9">
        <w:t>/0.4 mL</w:t>
      </w:r>
      <w:r w:rsidRPr="001775D9">
        <w:t xml:space="preserve"> syringe</w:t>
      </w:r>
    </w:p>
    <w:p w14:paraId="6B5F24C6" w14:textId="77777777" w:rsidR="00966B8F" w:rsidRPr="00D55B59" w:rsidRDefault="00966B8F" w:rsidP="00B63B7D">
      <w:pPr>
        <w:spacing w:line="240" w:lineRule="auto"/>
        <w:rPr>
          <w:szCs w:val="22"/>
          <w:highlight w:val="yellow"/>
          <w:shd w:val="clear" w:color="auto" w:fill="CCCCCC"/>
          <w:rPrChange w:id="2394" w:author="Author">
            <w:rPr>
              <w:noProof/>
              <w:szCs w:val="22"/>
              <w:highlight w:val="yellow"/>
              <w:shd w:val="clear" w:color="auto" w:fill="CCCCCC"/>
            </w:rPr>
          </w:rPrChange>
        </w:rPr>
      </w:pPr>
    </w:p>
    <w:p w14:paraId="3C12BB0A" w14:textId="77777777" w:rsidR="00966B8F" w:rsidRPr="00D55B59" w:rsidRDefault="00966B8F" w:rsidP="00B63B7D">
      <w:pPr>
        <w:spacing w:line="240" w:lineRule="auto"/>
        <w:rPr>
          <w:szCs w:val="22"/>
          <w:shd w:val="clear" w:color="auto" w:fill="CCCCCC"/>
          <w:rPrChange w:id="2395" w:author="Author">
            <w:rPr>
              <w:noProof/>
              <w:szCs w:val="22"/>
              <w:shd w:val="clear" w:color="auto" w:fill="CCCCCC"/>
            </w:rPr>
          </w:rPrChange>
        </w:rPr>
      </w:pPr>
    </w:p>
    <w:p w14:paraId="359E32E5" w14:textId="77777777" w:rsidR="00966B8F" w:rsidRPr="00D55B59" w:rsidRDefault="00966B8F" w:rsidP="00B63B7D">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396" w:author="Author">
            <w:rPr>
              <w:i/>
              <w:noProof/>
            </w:rPr>
          </w:rPrChange>
        </w:rPr>
      </w:pPr>
      <w:r w:rsidRPr="00D55B59">
        <w:rPr>
          <w:b/>
          <w:rPrChange w:id="2397" w:author="Author">
            <w:rPr>
              <w:b/>
              <w:noProof/>
            </w:rPr>
          </w:rPrChange>
        </w:rPr>
        <w:t>17.</w:t>
      </w:r>
      <w:r w:rsidRPr="00D55B59">
        <w:rPr>
          <w:b/>
          <w:rPrChange w:id="2398" w:author="Author">
            <w:rPr>
              <w:b/>
              <w:noProof/>
            </w:rPr>
          </w:rPrChange>
        </w:rPr>
        <w:tab/>
        <w:t>UNIQUE IDENTIFIER – 2D BARCODE</w:t>
      </w:r>
    </w:p>
    <w:p w14:paraId="111340E1" w14:textId="77777777" w:rsidR="00966B8F" w:rsidRPr="00D55B59" w:rsidRDefault="00966B8F" w:rsidP="00B63B7D">
      <w:pPr>
        <w:tabs>
          <w:tab w:val="clear" w:pos="567"/>
        </w:tabs>
        <w:spacing w:line="240" w:lineRule="auto"/>
        <w:rPr>
          <w:rPrChange w:id="2399" w:author="Author">
            <w:rPr>
              <w:noProof/>
            </w:rPr>
          </w:rPrChange>
        </w:rPr>
      </w:pPr>
    </w:p>
    <w:p w14:paraId="2AACA85E" w14:textId="77777777" w:rsidR="00966B8F" w:rsidRPr="00D55B59" w:rsidRDefault="00966B8F" w:rsidP="00B63B7D">
      <w:pPr>
        <w:spacing w:line="240" w:lineRule="auto"/>
        <w:rPr>
          <w:szCs w:val="22"/>
          <w:shd w:val="clear" w:color="auto" w:fill="CCCCCC"/>
          <w:rPrChange w:id="2400" w:author="Author">
            <w:rPr>
              <w:noProof/>
              <w:szCs w:val="22"/>
              <w:shd w:val="clear" w:color="auto" w:fill="CCCCCC"/>
            </w:rPr>
          </w:rPrChange>
        </w:rPr>
      </w:pPr>
      <w:r w:rsidRPr="00D55B59">
        <w:rPr>
          <w:highlight w:val="lightGray"/>
          <w:rPrChange w:id="2401" w:author="Author">
            <w:rPr>
              <w:noProof/>
              <w:highlight w:val="lightGray"/>
            </w:rPr>
          </w:rPrChange>
        </w:rPr>
        <w:t>2D barcode carrying the unique identifier included.</w:t>
      </w:r>
    </w:p>
    <w:p w14:paraId="3CC3F391" w14:textId="77777777" w:rsidR="00966B8F" w:rsidRPr="00D55B59" w:rsidRDefault="00966B8F" w:rsidP="00B63B7D">
      <w:pPr>
        <w:spacing w:line="240" w:lineRule="auto"/>
        <w:rPr>
          <w:szCs w:val="22"/>
          <w:shd w:val="clear" w:color="auto" w:fill="CCCCCC"/>
          <w:rPrChange w:id="2402" w:author="Author">
            <w:rPr>
              <w:noProof/>
              <w:szCs w:val="22"/>
              <w:shd w:val="clear" w:color="auto" w:fill="CCCCCC"/>
            </w:rPr>
          </w:rPrChange>
        </w:rPr>
      </w:pPr>
    </w:p>
    <w:p w14:paraId="4463DE36" w14:textId="77777777" w:rsidR="00966B8F" w:rsidRPr="00D55B59" w:rsidRDefault="00966B8F" w:rsidP="00B63B7D">
      <w:pPr>
        <w:tabs>
          <w:tab w:val="clear" w:pos="567"/>
        </w:tabs>
        <w:spacing w:line="240" w:lineRule="auto"/>
        <w:rPr>
          <w:rPrChange w:id="2403" w:author="Author">
            <w:rPr>
              <w:noProof/>
            </w:rPr>
          </w:rPrChange>
        </w:rPr>
      </w:pPr>
    </w:p>
    <w:p w14:paraId="4650A3F8" w14:textId="77777777" w:rsidR="00966B8F" w:rsidRPr="00D55B59" w:rsidRDefault="00966B8F" w:rsidP="00B63B7D">
      <w:pPr>
        <w:keepNext/>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404" w:author="Author">
            <w:rPr>
              <w:i/>
              <w:noProof/>
            </w:rPr>
          </w:rPrChange>
        </w:rPr>
      </w:pPr>
      <w:r w:rsidRPr="00D55B59">
        <w:rPr>
          <w:b/>
          <w:rPrChange w:id="2405" w:author="Author">
            <w:rPr>
              <w:b/>
              <w:noProof/>
            </w:rPr>
          </w:rPrChange>
        </w:rPr>
        <w:t>18.</w:t>
      </w:r>
      <w:r w:rsidRPr="00D55B59">
        <w:rPr>
          <w:b/>
          <w:rPrChange w:id="2406" w:author="Author">
            <w:rPr>
              <w:b/>
              <w:noProof/>
            </w:rPr>
          </w:rPrChange>
        </w:rPr>
        <w:tab/>
        <w:t xml:space="preserve">UNIQUE IDENTIFIER </w:t>
      </w:r>
      <w:r w:rsidRPr="001775D9">
        <w:rPr>
          <w:rFonts w:eastAsia="Calibri"/>
        </w:rPr>
        <w:t>-</w:t>
      </w:r>
      <w:r w:rsidRPr="00D55B59">
        <w:rPr>
          <w:b/>
          <w:rPrChange w:id="2407" w:author="Author">
            <w:rPr>
              <w:b/>
              <w:noProof/>
            </w:rPr>
          </w:rPrChange>
        </w:rPr>
        <w:t xml:space="preserve"> HUMAN READABLE DATA</w:t>
      </w:r>
    </w:p>
    <w:p w14:paraId="1EAF3F95" w14:textId="77777777" w:rsidR="00966B8F" w:rsidRPr="00D55B59" w:rsidRDefault="00966B8F" w:rsidP="00B63B7D">
      <w:pPr>
        <w:keepNext/>
        <w:tabs>
          <w:tab w:val="clear" w:pos="567"/>
        </w:tabs>
        <w:spacing w:line="240" w:lineRule="auto"/>
        <w:rPr>
          <w:rPrChange w:id="2408" w:author="Author">
            <w:rPr>
              <w:noProof/>
            </w:rPr>
          </w:rPrChange>
        </w:rPr>
      </w:pPr>
    </w:p>
    <w:p w14:paraId="4426EC7A" w14:textId="77777777" w:rsidR="00966B8F" w:rsidRPr="001775D9" w:rsidRDefault="00966B8F" w:rsidP="00B63B7D">
      <w:pPr>
        <w:keepNext/>
        <w:spacing w:line="240" w:lineRule="auto"/>
        <w:rPr>
          <w:szCs w:val="22"/>
        </w:rPr>
      </w:pPr>
      <w:r w:rsidRPr="001775D9">
        <w:rPr>
          <w:szCs w:val="22"/>
        </w:rPr>
        <w:t>PC</w:t>
      </w:r>
    </w:p>
    <w:p w14:paraId="244AEAC0" w14:textId="77777777" w:rsidR="00966B8F" w:rsidRPr="001775D9" w:rsidRDefault="00966B8F" w:rsidP="00B61D9D">
      <w:pPr>
        <w:keepNext/>
        <w:spacing w:line="240" w:lineRule="auto"/>
        <w:rPr>
          <w:szCs w:val="22"/>
        </w:rPr>
      </w:pPr>
      <w:r w:rsidRPr="001775D9">
        <w:rPr>
          <w:szCs w:val="22"/>
        </w:rPr>
        <w:t>SN</w:t>
      </w:r>
    </w:p>
    <w:p w14:paraId="691C86D6" w14:textId="77777777" w:rsidR="00966B8F" w:rsidRPr="00D55B59" w:rsidRDefault="00966B8F" w:rsidP="00B61D9D">
      <w:pPr>
        <w:keepNext/>
        <w:spacing w:line="240" w:lineRule="auto"/>
        <w:rPr>
          <w:vanish/>
          <w:szCs w:val="22"/>
          <w:rPrChange w:id="2409" w:author="Author">
            <w:rPr>
              <w:noProof/>
              <w:vanish/>
              <w:szCs w:val="22"/>
            </w:rPr>
          </w:rPrChange>
        </w:rPr>
      </w:pPr>
      <w:r w:rsidRPr="001775D9">
        <w:rPr>
          <w:szCs w:val="22"/>
        </w:rPr>
        <w:t>NN</w:t>
      </w:r>
    </w:p>
    <w:p w14:paraId="066DBDB3" w14:textId="77777777" w:rsidR="00966B8F" w:rsidRPr="001775D9" w:rsidRDefault="00966B8F" w:rsidP="00B61D9D">
      <w:pPr>
        <w:spacing w:line="240" w:lineRule="auto"/>
        <w:rPr>
          <w:b/>
          <w:szCs w:val="22"/>
        </w:rPr>
      </w:pPr>
    </w:p>
    <w:p w14:paraId="6C038329" w14:textId="6390FAAB" w:rsidR="00966B8F" w:rsidRPr="001775D9" w:rsidRDefault="00966B8F" w:rsidP="00243966">
      <w:pPr>
        <w:tabs>
          <w:tab w:val="clear" w:pos="567"/>
        </w:tabs>
        <w:spacing w:line="240" w:lineRule="auto"/>
        <w:ind w:left="2494" w:hanging="1247"/>
        <w:rPr>
          <w:b/>
          <w:szCs w:val="22"/>
        </w:rPr>
      </w:pPr>
      <w:r w:rsidRPr="001775D9">
        <w:rPr>
          <w:b/>
          <w:szCs w:val="22"/>
        </w:rPr>
        <w:br w:type="page"/>
      </w:r>
    </w:p>
    <w:p w14:paraId="5DCBA53E"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688F2459"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56724897"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INTERMEDIATE CARTON OF PRE-FILLED SYRINGE MULTIPACK (without blue box)</w:t>
      </w:r>
    </w:p>
    <w:p w14:paraId="7957B606" w14:textId="77777777" w:rsidR="00966B8F" w:rsidRPr="001775D9" w:rsidRDefault="00966B8F" w:rsidP="00B61D9D">
      <w:pPr>
        <w:keepNext/>
        <w:spacing w:line="240" w:lineRule="auto"/>
      </w:pPr>
    </w:p>
    <w:p w14:paraId="34EEF6F9" w14:textId="77777777" w:rsidR="00966B8F" w:rsidRPr="001775D9" w:rsidRDefault="00966B8F" w:rsidP="00B61D9D">
      <w:pPr>
        <w:keepNext/>
        <w:spacing w:line="240" w:lineRule="auto"/>
        <w:rPr>
          <w:szCs w:val="22"/>
        </w:rPr>
      </w:pPr>
    </w:p>
    <w:p w14:paraId="4E856C6C" w14:textId="6A9C9BA8"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VAULT_ND_e92cd4d8-3e80-4496-813b-0ed1cd14a5c2 \* MERGEFORMAT </w:instrText>
      </w:r>
      <w:r w:rsidR="001C55FB" w:rsidRPr="001775D9">
        <w:rPr>
          <w:b/>
        </w:rPr>
        <w:fldChar w:fldCharType="separate"/>
      </w:r>
      <w:r w:rsidR="001C55FB" w:rsidRPr="001775D9">
        <w:rPr>
          <w:b/>
        </w:rPr>
        <w:t xml:space="preserve"> </w:t>
      </w:r>
      <w:r w:rsidR="001C55FB" w:rsidRPr="001775D9">
        <w:rPr>
          <w:b/>
        </w:rPr>
        <w:fldChar w:fldCharType="end"/>
      </w:r>
    </w:p>
    <w:p w14:paraId="6F9D4D63" w14:textId="77777777" w:rsidR="00966B8F" w:rsidRPr="001775D9" w:rsidRDefault="00966B8F" w:rsidP="00B61D9D">
      <w:pPr>
        <w:keepNext/>
        <w:spacing w:line="240" w:lineRule="auto"/>
        <w:rPr>
          <w:szCs w:val="22"/>
        </w:rPr>
      </w:pPr>
    </w:p>
    <w:p w14:paraId="00AECD39" w14:textId="3F9A40D9" w:rsidR="00966B8F" w:rsidRPr="001775D9" w:rsidRDefault="00966B8F" w:rsidP="00B61D9D">
      <w:pPr>
        <w:keepNext/>
        <w:spacing w:line="240" w:lineRule="auto"/>
        <w:rPr>
          <w:szCs w:val="22"/>
        </w:rPr>
      </w:pPr>
      <w:r w:rsidRPr="001775D9">
        <w:rPr>
          <w:szCs w:val="22"/>
        </w:rPr>
        <w:t>AMGEVITA 40 mg solution for injection in pre-filled syringe</w:t>
      </w:r>
    </w:p>
    <w:p w14:paraId="4D03B9BB" w14:textId="77777777" w:rsidR="00966B8F" w:rsidRPr="001775D9" w:rsidRDefault="00966B8F" w:rsidP="00B61D9D">
      <w:pPr>
        <w:keepNext/>
        <w:spacing w:line="240" w:lineRule="auto"/>
        <w:rPr>
          <w:szCs w:val="22"/>
        </w:rPr>
      </w:pPr>
      <w:r w:rsidRPr="001775D9">
        <w:rPr>
          <w:szCs w:val="22"/>
        </w:rPr>
        <w:t>adalimumab</w:t>
      </w:r>
    </w:p>
    <w:p w14:paraId="22F9135A" w14:textId="77777777" w:rsidR="00966B8F" w:rsidRPr="001775D9" w:rsidRDefault="00966B8F" w:rsidP="00B61D9D">
      <w:pPr>
        <w:keepNext/>
        <w:spacing w:line="240" w:lineRule="auto"/>
        <w:rPr>
          <w:szCs w:val="22"/>
        </w:rPr>
      </w:pPr>
    </w:p>
    <w:p w14:paraId="48682F86" w14:textId="77777777" w:rsidR="00966B8F" w:rsidRPr="001775D9" w:rsidRDefault="00966B8F" w:rsidP="00B61D9D">
      <w:pPr>
        <w:keepNext/>
        <w:spacing w:line="240" w:lineRule="auto"/>
        <w:rPr>
          <w:szCs w:val="22"/>
        </w:rPr>
      </w:pPr>
    </w:p>
    <w:p w14:paraId="5FF3FAA0" w14:textId="4A5E15E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VAULT_ND_3b2def58-8000-41a0-96a7-be7d4a698cbd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DE2A8E3" w14:textId="77777777" w:rsidR="00966B8F" w:rsidRPr="001775D9" w:rsidRDefault="00966B8F" w:rsidP="00B61D9D">
      <w:pPr>
        <w:spacing w:line="240" w:lineRule="auto"/>
        <w:rPr>
          <w:szCs w:val="22"/>
        </w:rPr>
      </w:pPr>
    </w:p>
    <w:p w14:paraId="2C78A955" w14:textId="2DB771AF" w:rsidR="00966B8F" w:rsidRPr="001775D9" w:rsidRDefault="00966B8F" w:rsidP="00B61D9D">
      <w:pPr>
        <w:spacing w:line="240" w:lineRule="auto"/>
        <w:rPr>
          <w:szCs w:val="22"/>
        </w:rPr>
      </w:pPr>
      <w:r w:rsidRPr="001775D9">
        <w:rPr>
          <w:szCs w:val="22"/>
        </w:rPr>
        <w:t>Each pre-filled syringe contains 40 mg of adalimumab in 0.4 mL of solution.</w:t>
      </w:r>
    </w:p>
    <w:p w14:paraId="647F5810" w14:textId="77777777" w:rsidR="007B02CA" w:rsidRPr="001775D9" w:rsidRDefault="007B02CA" w:rsidP="00B61D9D">
      <w:pPr>
        <w:spacing w:line="240" w:lineRule="auto"/>
        <w:rPr>
          <w:szCs w:val="22"/>
        </w:rPr>
      </w:pPr>
    </w:p>
    <w:p w14:paraId="4544CA0D" w14:textId="77777777" w:rsidR="00800396" w:rsidRPr="001775D9" w:rsidRDefault="00800396" w:rsidP="00B61D9D">
      <w:pPr>
        <w:spacing w:line="240" w:lineRule="auto"/>
        <w:rPr>
          <w:szCs w:val="22"/>
        </w:rPr>
      </w:pPr>
    </w:p>
    <w:p w14:paraId="2C04FDBE" w14:textId="2743676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VAULT_ND_e8491318-7c70-4718-8af7-6248ac26e127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6873006" w14:textId="77777777" w:rsidR="00966B8F" w:rsidRPr="001775D9" w:rsidRDefault="00966B8F" w:rsidP="00B61D9D">
      <w:pPr>
        <w:spacing w:line="240" w:lineRule="auto"/>
        <w:rPr>
          <w:szCs w:val="22"/>
        </w:rPr>
      </w:pPr>
    </w:p>
    <w:p w14:paraId="1B4A3365"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410"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08A25BAC" w14:textId="77777777" w:rsidR="00966B8F" w:rsidRPr="001775D9" w:rsidRDefault="00966B8F" w:rsidP="00B61D9D">
      <w:pPr>
        <w:spacing w:line="240" w:lineRule="auto"/>
        <w:rPr>
          <w:szCs w:val="22"/>
        </w:rPr>
      </w:pPr>
    </w:p>
    <w:p w14:paraId="57A38EE1" w14:textId="77777777" w:rsidR="00966B8F" w:rsidRPr="001775D9" w:rsidRDefault="00966B8F" w:rsidP="00B61D9D">
      <w:pPr>
        <w:spacing w:line="240" w:lineRule="auto"/>
        <w:rPr>
          <w:szCs w:val="22"/>
        </w:rPr>
      </w:pPr>
    </w:p>
    <w:p w14:paraId="38AD2CD3" w14:textId="4E03F02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VAULT_ND_aef69903-378e-4d73-94fe-c7a5cda7b447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69D6162" w14:textId="77777777" w:rsidR="00966B8F" w:rsidRPr="001775D9" w:rsidRDefault="00966B8F" w:rsidP="00B61D9D">
      <w:pPr>
        <w:spacing w:line="240" w:lineRule="auto"/>
        <w:rPr>
          <w:szCs w:val="22"/>
        </w:rPr>
      </w:pPr>
    </w:p>
    <w:p w14:paraId="3EADD86C" w14:textId="77777777" w:rsidR="00966B8F" w:rsidRPr="001775D9" w:rsidRDefault="00966B8F" w:rsidP="00B63B7D">
      <w:pPr>
        <w:spacing w:line="240" w:lineRule="auto"/>
        <w:rPr>
          <w:szCs w:val="22"/>
        </w:rPr>
      </w:pPr>
      <w:r>
        <w:rPr>
          <w:szCs w:val="22"/>
          <w:highlight w:val="lightGray"/>
        </w:rPr>
        <w:t>Solution for injection</w:t>
      </w:r>
    </w:p>
    <w:p w14:paraId="47DC8A3F" w14:textId="75630AF8" w:rsidR="00F1109D" w:rsidRPr="00D55B59" w:rsidRDefault="00F1109D" w:rsidP="00B63B7D">
      <w:pPr>
        <w:spacing w:line="240" w:lineRule="auto"/>
        <w:rPr>
          <w:szCs w:val="22"/>
          <w:lang w:val="da-DK"/>
          <w:rPrChange w:id="2411" w:author="Author">
            <w:rPr>
              <w:szCs w:val="22"/>
              <w:lang w:val="nb-NO"/>
            </w:rPr>
          </w:rPrChange>
        </w:rPr>
      </w:pPr>
      <w:r w:rsidRPr="00D55B59">
        <w:rPr>
          <w:szCs w:val="22"/>
          <w:lang w:val="da-DK"/>
          <w:rPrChange w:id="2412" w:author="Author">
            <w:rPr>
              <w:szCs w:val="22"/>
              <w:lang w:val="nb-NO"/>
            </w:rPr>
          </w:rPrChange>
        </w:rPr>
        <w:t>40 mg/0.4 mL</w:t>
      </w:r>
    </w:p>
    <w:p w14:paraId="2E548FB0" w14:textId="77777777" w:rsidR="00966B8F" w:rsidRPr="001775D9" w:rsidRDefault="00966B8F" w:rsidP="00B63B7D">
      <w:pPr>
        <w:spacing w:line="240" w:lineRule="auto"/>
        <w:rPr>
          <w:szCs w:val="22"/>
        </w:rPr>
      </w:pPr>
      <w:r w:rsidRPr="00D55B59">
        <w:rPr>
          <w:szCs w:val="22"/>
          <w:lang w:val="da-DK"/>
          <w:rPrChange w:id="2413" w:author="Author">
            <w:rPr>
              <w:szCs w:val="22"/>
              <w:lang w:val="nb-NO"/>
            </w:rPr>
          </w:rPrChange>
        </w:rPr>
        <w:t xml:space="preserve">2 pre-filled syringes. </w:t>
      </w:r>
      <w:r w:rsidRPr="001775D9">
        <w:rPr>
          <w:rFonts w:eastAsia="SimSun"/>
        </w:rPr>
        <w:t>Component</w:t>
      </w:r>
      <w:r w:rsidRPr="001775D9">
        <w:rPr>
          <w:rFonts w:eastAsia="SimSun"/>
          <w:lang w:eastAsia="zh-TW"/>
        </w:rPr>
        <w:t xml:space="preserve"> of a multipack, can’t be sold separately.</w:t>
      </w:r>
    </w:p>
    <w:p w14:paraId="7D190E5A" w14:textId="77777777" w:rsidR="00966B8F" w:rsidRPr="001775D9" w:rsidRDefault="00966B8F" w:rsidP="00B61D9D">
      <w:pPr>
        <w:spacing w:line="240" w:lineRule="auto"/>
        <w:rPr>
          <w:szCs w:val="22"/>
        </w:rPr>
      </w:pPr>
    </w:p>
    <w:p w14:paraId="45489479" w14:textId="77777777" w:rsidR="00966B8F" w:rsidRPr="001775D9" w:rsidRDefault="00966B8F" w:rsidP="00B61D9D">
      <w:pPr>
        <w:spacing w:line="240" w:lineRule="auto"/>
        <w:rPr>
          <w:szCs w:val="22"/>
        </w:rPr>
      </w:pPr>
    </w:p>
    <w:p w14:paraId="0C74B084" w14:textId="4EEBC428"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VAULT_ND_6a83a71b-895d-4e87-acca-f69338767e7f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3A46129" w14:textId="77777777" w:rsidR="00966B8F" w:rsidRPr="001775D9" w:rsidRDefault="00966B8F" w:rsidP="00B61D9D">
      <w:pPr>
        <w:spacing w:line="240" w:lineRule="auto"/>
        <w:rPr>
          <w:szCs w:val="22"/>
        </w:rPr>
      </w:pPr>
    </w:p>
    <w:p w14:paraId="04305E5B" w14:textId="77777777" w:rsidR="00966B8F" w:rsidRPr="001775D9" w:rsidRDefault="00966B8F" w:rsidP="00B63B7D">
      <w:pPr>
        <w:spacing w:line="240" w:lineRule="auto"/>
        <w:rPr>
          <w:szCs w:val="22"/>
        </w:rPr>
      </w:pPr>
      <w:r w:rsidRPr="001775D9">
        <w:rPr>
          <w:szCs w:val="22"/>
        </w:rPr>
        <w:t>For subcutaneous use.</w:t>
      </w:r>
    </w:p>
    <w:p w14:paraId="4EA0714B" w14:textId="77777777" w:rsidR="00966B8F" w:rsidRPr="001775D9" w:rsidRDefault="00966B8F" w:rsidP="00B61D9D">
      <w:pPr>
        <w:spacing w:line="240" w:lineRule="auto"/>
        <w:rPr>
          <w:szCs w:val="22"/>
        </w:rPr>
      </w:pPr>
      <w:r w:rsidRPr="001775D9">
        <w:rPr>
          <w:szCs w:val="22"/>
        </w:rPr>
        <w:t>Read the package leaflet before use.</w:t>
      </w:r>
    </w:p>
    <w:p w14:paraId="7C2738D6" w14:textId="77777777" w:rsidR="00966B8F" w:rsidRPr="001775D9" w:rsidRDefault="00966B8F" w:rsidP="00B61D9D">
      <w:pPr>
        <w:spacing w:line="240" w:lineRule="auto"/>
        <w:rPr>
          <w:szCs w:val="22"/>
        </w:rPr>
      </w:pPr>
      <w:r w:rsidRPr="001775D9">
        <w:rPr>
          <w:szCs w:val="22"/>
        </w:rPr>
        <w:t>Single use only.</w:t>
      </w:r>
    </w:p>
    <w:p w14:paraId="07BC6DD8" w14:textId="77777777" w:rsidR="00966B8F" w:rsidRPr="001775D9" w:rsidRDefault="00966B8F" w:rsidP="00B61D9D">
      <w:pPr>
        <w:spacing w:line="240" w:lineRule="auto"/>
        <w:rPr>
          <w:szCs w:val="22"/>
        </w:rPr>
      </w:pPr>
    </w:p>
    <w:p w14:paraId="62CEB3EF" w14:textId="77777777" w:rsidR="00966B8F" w:rsidRPr="001775D9" w:rsidRDefault="00966B8F" w:rsidP="00B61D9D">
      <w:pPr>
        <w:spacing w:line="240" w:lineRule="auto"/>
        <w:rPr>
          <w:szCs w:val="22"/>
        </w:rPr>
      </w:pPr>
    </w:p>
    <w:p w14:paraId="2ED9C811" w14:textId="6DB526D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VAULT_ND_7cb5c0d6-82b6-44a4-bbba-692541ea8554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3DD11C2" w14:textId="77777777" w:rsidR="00966B8F" w:rsidRPr="001775D9" w:rsidRDefault="00966B8F" w:rsidP="00B61D9D">
      <w:pPr>
        <w:spacing w:line="240" w:lineRule="auto"/>
        <w:rPr>
          <w:szCs w:val="22"/>
        </w:rPr>
      </w:pPr>
    </w:p>
    <w:p w14:paraId="02FF3AAA" w14:textId="0D6DD5E9"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vault_nd_e58683cd-0dc3-4e70-b3fb-3388ef2a88bb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147A308D" w14:textId="77777777" w:rsidR="00966B8F" w:rsidRPr="001775D9" w:rsidRDefault="00966B8F" w:rsidP="00B61D9D">
      <w:pPr>
        <w:spacing w:line="240" w:lineRule="auto"/>
        <w:rPr>
          <w:szCs w:val="22"/>
        </w:rPr>
      </w:pPr>
    </w:p>
    <w:p w14:paraId="2EA54BD2" w14:textId="77777777" w:rsidR="00966B8F" w:rsidRPr="001775D9" w:rsidRDefault="00966B8F" w:rsidP="00B61D9D">
      <w:pPr>
        <w:spacing w:line="240" w:lineRule="auto"/>
        <w:rPr>
          <w:szCs w:val="22"/>
        </w:rPr>
      </w:pPr>
    </w:p>
    <w:p w14:paraId="165A836B" w14:textId="5700D65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VAULT_ND_7ae52bf5-a5a7-4c56-85dd-3898b01a54de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9706854" w14:textId="77777777" w:rsidR="00966B8F" w:rsidRPr="001775D9" w:rsidRDefault="00966B8F" w:rsidP="00B61D9D">
      <w:pPr>
        <w:tabs>
          <w:tab w:val="left" w:pos="749"/>
        </w:tabs>
        <w:spacing w:line="240" w:lineRule="auto"/>
      </w:pPr>
    </w:p>
    <w:p w14:paraId="585F2ACB" w14:textId="77777777" w:rsidR="00966B8F" w:rsidRPr="001775D9" w:rsidRDefault="00966B8F" w:rsidP="00B61D9D">
      <w:pPr>
        <w:tabs>
          <w:tab w:val="left" w:pos="749"/>
        </w:tabs>
        <w:spacing w:line="240" w:lineRule="auto"/>
      </w:pPr>
    </w:p>
    <w:p w14:paraId="55F98423" w14:textId="52A4EFB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VAULT_ND_3062903f-b08f-4f36-83b4-dc3e0f1d6c2a \* MERGEFORMAT </w:instrText>
      </w:r>
      <w:r w:rsidR="001C55FB" w:rsidRPr="001775D9">
        <w:rPr>
          <w:b/>
        </w:rPr>
        <w:fldChar w:fldCharType="separate"/>
      </w:r>
      <w:r w:rsidR="001C55FB" w:rsidRPr="001775D9">
        <w:rPr>
          <w:b/>
        </w:rPr>
        <w:t xml:space="preserve"> </w:t>
      </w:r>
      <w:r w:rsidR="001C55FB" w:rsidRPr="001775D9">
        <w:rPr>
          <w:b/>
        </w:rPr>
        <w:fldChar w:fldCharType="end"/>
      </w:r>
    </w:p>
    <w:p w14:paraId="604F1D1D" w14:textId="77777777" w:rsidR="00966B8F" w:rsidRPr="001775D9" w:rsidRDefault="00966B8F" w:rsidP="00B61D9D">
      <w:pPr>
        <w:spacing w:line="240" w:lineRule="auto"/>
      </w:pPr>
    </w:p>
    <w:p w14:paraId="561CB8AD" w14:textId="77777777" w:rsidR="00966B8F" w:rsidRPr="001775D9" w:rsidRDefault="00966B8F" w:rsidP="00B61D9D">
      <w:pPr>
        <w:spacing w:line="240" w:lineRule="auto"/>
        <w:rPr>
          <w:szCs w:val="22"/>
        </w:rPr>
      </w:pPr>
      <w:r w:rsidRPr="001775D9">
        <w:rPr>
          <w:szCs w:val="22"/>
        </w:rPr>
        <w:t xml:space="preserve">EXP </w:t>
      </w:r>
    </w:p>
    <w:p w14:paraId="26E5A834" w14:textId="77777777" w:rsidR="00966B8F" w:rsidRPr="001775D9" w:rsidRDefault="00966B8F" w:rsidP="00B61D9D">
      <w:pPr>
        <w:spacing w:line="240" w:lineRule="auto"/>
        <w:rPr>
          <w:szCs w:val="22"/>
        </w:rPr>
      </w:pPr>
    </w:p>
    <w:p w14:paraId="5372A72F" w14:textId="77777777" w:rsidR="00966B8F" w:rsidRPr="001775D9" w:rsidRDefault="00966B8F" w:rsidP="00B61D9D">
      <w:pPr>
        <w:spacing w:line="240" w:lineRule="auto"/>
        <w:rPr>
          <w:szCs w:val="22"/>
        </w:rPr>
      </w:pPr>
    </w:p>
    <w:p w14:paraId="70849D2C" w14:textId="348485E5"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VAULT_ND_58f1be65-9b9f-4043-b236-5d7562bbb47c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A8E9ECA" w14:textId="77777777" w:rsidR="00966B8F" w:rsidRPr="001775D9" w:rsidRDefault="00966B8F" w:rsidP="00B61D9D">
      <w:pPr>
        <w:keepNext/>
        <w:spacing w:line="240" w:lineRule="auto"/>
        <w:rPr>
          <w:szCs w:val="22"/>
        </w:rPr>
      </w:pPr>
    </w:p>
    <w:p w14:paraId="3C6E8453" w14:textId="77777777" w:rsidR="00966B8F" w:rsidRPr="001775D9" w:rsidRDefault="00966B8F" w:rsidP="00B63B7D">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76D72EEE" w14:textId="77777777" w:rsidR="00966B8F" w:rsidRPr="001775D9" w:rsidRDefault="00966B8F" w:rsidP="00B63B7D">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383044F1" w14:textId="77777777" w:rsidR="00966B8F" w:rsidRPr="001775D9" w:rsidRDefault="00966B8F" w:rsidP="00B63B7D">
      <w:pPr>
        <w:keepNext/>
        <w:spacing w:line="240" w:lineRule="auto"/>
        <w:rPr>
          <w:rFonts w:eastAsia="SimSun"/>
          <w:szCs w:val="22"/>
          <w:lang w:eastAsia="en-GB"/>
        </w:rPr>
      </w:pPr>
      <w:r w:rsidRPr="001775D9">
        <w:rPr>
          <w:rFonts w:eastAsia="SimSun"/>
          <w:szCs w:val="22"/>
          <w:lang w:eastAsia="en-GB"/>
        </w:rPr>
        <w:t>Store in the original carton in order to protect from light.</w:t>
      </w:r>
    </w:p>
    <w:p w14:paraId="2ED19B5B" w14:textId="77777777" w:rsidR="00966B8F" w:rsidRPr="001775D9" w:rsidRDefault="00966B8F" w:rsidP="00B63B7D">
      <w:pPr>
        <w:spacing w:line="240" w:lineRule="auto"/>
        <w:rPr>
          <w:rFonts w:eastAsia="SimSun"/>
          <w:szCs w:val="22"/>
          <w:lang w:eastAsia="en-GB"/>
        </w:rPr>
      </w:pPr>
    </w:p>
    <w:p w14:paraId="3A41C8AD" w14:textId="77777777" w:rsidR="00966B8F" w:rsidRPr="001775D9" w:rsidRDefault="00966B8F" w:rsidP="00B61D9D">
      <w:pPr>
        <w:spacing w:line="240" w:lineRule="auto"/>
        <w:ind w:left="567" w:hanging="567"/>
        <w:rPr>
          <w:szCs w:val="22"/>
        </w:rPr>
      </w:pPr>
    </w:p>
    <w:p w14:paraId="08BC6DCB" w14:textId="701C3D2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VAULT_ND_c3fe0636-e3b4-4754-8bee-f3f23221e40c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FCCA929" w14:textId="77777777" w:rsidR="00966B8F" w:rsidRPr="001775D9" w:rsidRDefault="00966B8F" w:rsidP="00B61D9D">
      <w:pPr>
        <w:spacing w:line="240" w:lineRule="auto"/>
        <w:rPr>
          <w:szCs w:val="22"/>
        </w:rPr>
      </w:pPr>
    </w:p>
    <w:p w14:paraId="29826E60" w14:textId="77777777" w:rsidR="00966B8F" w:rsidRPr="001775D9" w:rsidRDefault="00966B8F" w:rsidP="00B61D9D">
      <w:pPr>
        <w:spacing w:line="240" w:lineRule="auto"/>
        <w:rPr>
          <w:szCs w:val="22"/>
        </w:rPr>
      </w:pPr>
    </w:p>
    <w:p w14:paraId="0BD1229C" w14:textId="400BBFEF"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VAULT_ND_d1417c5d-c29f-47fb-9da2-4b1211b31c41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12963F4" w14:textId="77777777" w:rsidR="00966B8F" w:rsidRPr="001775D9" w:rsidRDefault="00966B8F" w:rsidP="00B61D9D">
      <w:pPr>
        <w:spacing w:line="240" w:lineRule="auto"/>
        <w:rPr>
          <w:szCs w:val="22"/>
        </w:rPr>
      </w:pPr>
    </w:p>
    <w:p w14:paraId="5BEC8B10"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414" w:author="Author">
            <w:rPr>
              <w:rFonts w:eastAsia="SimSun"/>
              <w:szCs w:val="22"/>
              <w:lang w:val="sv-SE" w:eastAsia="en-GB"/>
            </w:rPr>
          </w:rPrChange>
        </w:rPr>
      </w:pPr>
      <w:r w:rsidRPr="00D55B59">
        <w:rPr>
          <w:rFonts w:eastAsia="SimSun"/>
          <w:szCs w:val="22"/>
          <w:lang w:eastAsia="en-GB"/>
          <w:rPrChange w:id="2415" w:author="Author">
            <w:rPr>
              <w:rFonts w:eastAsia="SimSun"/>
              <w:szCs w:val="22"/>
              <w:lang w:val="sv-SE" w:eastAsia="en-GB"/>
            </w:rPr>
          </w:rPrChange>
        </w:rPr>
        <w:t>Amgen Europe B.V.</w:t>
      </w:r>
    </w:p>
    <w:p w14:paraId="1C9FD5BB"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416" w:author="Author">
            <w:rPr>
              <w:rFonts w:eastAsia="SimSun"/>
              <w:szCs w:val="22"/>
              <w:lang w:val="sv-SE" w:eastAsia="en-GB"/>
            </w:rPr>
          </w:rPrChange>
        </w:rPr>
      </w:pPr>
      <w:r w:rsidRPr="00D55B59">
        <w:rPr>
          <w:rFonts w:eastAsia="SimSun"/>
          <w:szCs w:val="22"/>
          <w:lang w:eastAsia="en-GB"/>
          <w:rPrChange w:id="2417" w:author="Author">
            <w:rPr>
              <w:rFonts w:eastAsia="SimSun"/>
              <w:szCs w:val="22"/>
              <w:lang w:val="sv-SE" w:eastAsia="en-GB"/>
            </w:rPr>
          </w:rPrChange>
        </w:rPr>
        <w:t>Minervum 7061,</w:t>
      </w:r>
    </w:p>
    <w:p w14:paraId="3AD73682" w14:textId="77777777" w:rsidR="00966B8F" w:rsidRPr="001775D9" w:rsidRDefault="00966B8F" w:rsidP="00B63B7D">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6D52EF51" w14:textId="77777777" w:rsidR="00966B8F" w:rsidRPr="001775D9" w:rsidRDefault="00966B8F" w:rsidP="00B63B7D">
      <w:pPr>
        <w:spacing w:line="240" w:lineRule="auto"/>
        <w:rPr>
          <w:szCs w:val="22"/>
        </w:rPr>
      </w:pPr>
      <w:r w:rsidRPr="001775D9">
        <w:rPr>
          <w:rFonts w:eastAsia="SimSun"/>
          <w:szCs w:val="22"/>
          <w:lang w:eastAsia="en-GB"/>
        </w:rPr>
        <w:t>The Netherlands</w:t>
      </w:r>
      <w:r w:rsidRPr="001775D9">
        <w:rPr>
          <w:i/>
          <w:szCs w:val="22"/>
        </w:rPr>
        <w:t xml:space="preserve"> </w:t>
      </w:r>
    </w:p>
    <w:p w14:paraId="21B3EB51" w14:textId="77777777" w:rsidR="00966B8F" w:rsidRPr="001775D9" w:rsidRDefault="00966B8F" w:rsidP="00B61D9D">
      <w:pPr>
        <w:spacing w:line="240" w:lineRule="auto"/>
        <w:rPr>
          <w:szCs w:val="22"/>
        </w:rPr>
      </w:pPr>
    </w:p>
    <w:p w14:paraId="0E5743B1" w14:textId="77777777" w:rsidR="00966B8F" w:rsidRPr="001775D9" w:rsidRDefault="00966B8F" w:rsidP="00B61D9D">
      <w:pPr>
        <w:spacing w:line="240" w:lineRule="auto"/>
        <w:rPr>
          <w:szCs w:val="22"/>
        </w:rPr>
      </w:pPr>
    </w:p>
    <w:p w14:paraId="44CC98CB" w14:textId="44758EE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VAULT_ND_a25429f4-8c56-4848-8869-b8937a72c7e3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80E8620" w14:textId="77777777" w:rsidR="00966B8F" w:rsidRPr="001775D9" w:rsidRDefault="00966B8F" w:rsidP="00B61D9D">
      <w:pPr>
        <w:spacing w:line="240" w:lineRule="auto"/>
        <w:rPr>
          <w:szCs w:val="22"/>
        </w:rPr>
      </w:pPr>
    </w:p>
    <w:p w14:paraId="603C666B" w14:textId="6F0823FE" w:rsidR="00966B8F" w:rsidRPr="001775D9" w:rsidRDefault="00966B8F" w:rsidP="00B61D9D">
      <w:pPr>
        <w:spacing w:line="240" w:lineRule="auto"/>
        <w:outlineLvl w:val="0"/>
        <w:rPr>
          <w:szCs w:val="22"/>
        </w:rPr>
      </w:pPr>
      <w:r w:rsidRPr="001775D9">
        <w:rPr>
          <w:color w:val="000000"/>
        </w:rPr>
        <w:t>EU/1/16/1164/013</w:t>
      </w:r>
      <w:r w:rsidR="001C55FB" w:rsidRPr="001775D9">
        <w:rPr>
          <w:color w:val="000000"/>
        </w:rPr>
        <w:fldChar w:fldCharType="begin"/>
      </w:r>
      <w:r w:rsidR="001C55FB" w:rsidRPr="001775D9">
        <w:rPr>
          <w:color w:val="000000"/>
        </w:rPr>
        <w:instrText xml:space="preserve"> DOCVARIABLE VAULT_ND_6b4628a6-8a8d-4668-942a-38830827ec77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08320D30" w14:textId="77777777" w:rsidR="00966B8F" w:rsidRPr="001775D9" w:rsidRDefault="00966B8F" w:rsidP="00B61D9D">
      <w:pPr>
        <w:spacing w:line="240" w:lineRule="auto"/>
        <w:rPr>
          <w:rFonts w:ascii="TimesNewRoman" w:hAnsi="TimesNewRoman" w:cs="TimesNewRoman"/>
          <w:szCs w:val="22"/>
          <w:lang w:eastAsia="en-GB"/>
        </w:rPr>
      </w:pPr>
    </w:p>
    <w:p w14:paraId="033096A6" w14:textId="77777777" w:rsidR="00966B8F" w:rsidRPr="001775D9" w:rsidRDefault="00966B8F" w:rsidP="00B61D9D">
      <w:pPr>
        <w:spacing w:line="240" w:lineRule="auto"/>
        <w:rPr>
          <w:szCs w:val="22"/>
        </w:rPr>
      </w:pPr>
    </w:p>
    <w:p w14:paraId="7A101839" w14:textId="4665B2B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VAULT_ND_1a4bd716-5fef-4e6b-81ab-7fb83dd1c5c7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67E2C35" w14:textId="77777777" w:rsidR="00966B8F" w:rsidRPr="001775D9" w:rsidRDefault="00966B8F" w:rsidP="00B61D9D">
      <w:pPr>
        <w:spacing w:line="240" w:lineRule="auto"/>
        <w:rPr>
          <w:i/>
          <w:szCs w:val="22"/>
        </w:rPr>
      </w:pPr>
    </w:p>
    <w:p w14:paraId="4172D495" w14:textId="77777777" w:rsidR="00966B8F" w:rsidRPr="001775D9" w:rsidRDefault="00966B8F" w:rsidP="00B61D9D">
      <w:pPr>
        <w:spacing w:line="240" w:lineRule="auto"/>
        <w:rPr>
          <w:szCs w:val="22"/>
        </w:rPr>
      </w:pPr>
      <w:r w:rsidRPr="001775D9">
        <w:rPr>
          <w:szCs w:val="22"/>
        </w:rPr>
        <w:t>Lot</w:t>
      </w:r>
    </w:p>
    <w:p w14:paraId="6D521E1C" w14:textId="77777777" w:rsidR="00966B8F" w:rsidRPr="001775D9" w:rsidRDefault="00966B8F" w:rsidP="00B61D9D">
      <w:pPr>
        <w:spacing w:line="240" w:lineRule="auto"/>
        <w:rPr>
          <w:szCs w:val="22"/>
        </w:rPr>
      </w:pPr>
    </w:p>
    <w:p w14:paraId="025A0B0B" w14:textId="77777777" w:rsidR="00966B8F" w:rsidRPr="001775D9" w:rsidRDefault="00966B8F" w:rsidP="00B61D9D">
      <w:pPr>
        <w:spacing w:line="240" w:lineRule="auto"/>
        <w:rPr>
          <w:szCs w:val="22"/>
        </w:rPr>
      </w:pPr>
    </w:p>
    <w:p w14:paraId="536643A4" w14:textId="667249A8"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VAULT_ND_55b0edb9-c15f-455e-8c63-ea9e87945754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53DCF96" w14:textId="77777777" w:rsidR="00966B8F" w:rsidRPr="001775D9" w:rsidRDefault="00966B8F" w:rsidP="00B61D9D">
      <w:pPr>
        <w:spacing w:line="240" w:lineRule="auto"/>
        <w:rPr>
          <w:i/>
          <w:szCs w:val="22"/>
        </w:rPr>
      </w:pPr>
    </w:p>
    <w:p w14:paraId="7F517246" w14:textId="77777777" w:rsidR="00966B8F" w:rsidRPr="001775D9" w:rsidRDefault="00966B8F" w:rsidP="00B61D9D">
      <w:pPr>
        <w:spacing w:line="240" w:lineRule="auto"/>
        <w:rPr>
          <w:szCs w:val="22"/>
        </w:rPr>
      </w:pPr>
    </w:p>
    <w:p w14:paraId="7299DDE3" w14:textId="60990D53"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VAULT_ND_3747fed7-561a-4b6b-95c1-7938932470a1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3E2546A" w14:textId="77777777" w:rsidR="00966B8F" w:rsidRPr="001775D9" w:rsidRDefault="00966B8F" w:rsidP="00B61D9D">
      <w:pPr>
        <w:spacing w:line="240" w:lineRule="auto"/>
        <w:rPr>
          <w:szCs w:val="22"/>
        </w:rPr>
      </w:pPr>
    </w:p>
    <w:p w14:paraId="6CCD1F3A" w14:textId="77777777" w:rsidR="00966B8F" w:rsidRPr="001775D9" w:rsidRDefault="00966B8F" w:rsidP="00B61D9D">
      <w:pPr>
        <w:spacing w:line="240" w:lineRule="auto"/>
        <w:rPr>
          <w:szCs w:val="22"/>
        </w:rPr>
      </w:pPr>
    </w:p>
    <w:p w14:paraId="1433E12B" w14:textId="77777777" w:rsidR="00966B8F" w:rsidRPr="001775D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2551F415" w14:textId="77777777" w:rsidR="00966B8F" w:rsidRPr="001775D9" w:rsidRDefault="00966B8F" w:rsidP="00B61D9D">
      <w:pPr>
        <w:spacing w:line="240" w:lineRule="auto"/>
      </w:pPr>
    </w:p>
    <w:p w14:paraId="540D8BB7" w14:textId="636B4520" w:rsidR="00966B8F" w:rsidRPr="001775D9" w:rsidRDefault="00966B8F" w:rsidP="00B61D9D">
      <w:pPr>
        <w:spacing w:line="240" w:lineRule="auto"/>
      </w:pPr>
      <w:r w:rsidRPr="001775D9">
        <w:t>AMGEVITA 40 mg</w:t>
      </w:r>
      <w:r w:rsidR="00F1109D" w:rsidRPr="001775D9">
        <w:t>/0.4 mL</w:t>
      </w:r>
      <w:r w:rsidRPr="001775D9">
        <w:t xml:space="preserve"> syringe</w:t>
      </w:r>
    </w:p>
    <w:p w14:paraId="26B5CD44" w14:textId="77777777" w:rsidR="00966B8F" w:rsidRPr="001775D9" w:rsidRDefault="00966B8F" w:rsidP="00B61D9D">
      <w:pPr>
        <w:spacing w:line="240" w:lineRule="auto"/>
      </w:pPr>
    </w:p>
    <w:p w14:paraId="27905EC1" w14:textId="77777777" w:rsidR="00966B8F" w:rsidRPr="00D55B59" w:rsidRDefault="00966B8F" w:rsidP="00B63B7D">
      <w:pPr>
        <w:spacing w:line="240" w:lineRule="auto"/>
        <w:rPr>
          <w:szCs w:val="22"/>
          <w:shd w:val="clear" w:color="auto" w:fill="CCCCCC"/>
          <w:rPrChange w:id="2418" w:author="Author">
            <w:rPr>
              <w:noProof/>
              <w:szCs w:val="22"/>
              <w:shd w:val="clear" w:color="auto" w:fill="CCCCCC"/>
            </w:rPr>
          </w:rPrChange>
        </w:rPr>
      </w:pPr>
    </w:p>
    <w:p w14:paraId="688FDCAA" w14:textId="77777777" w:rsidR="00966B8F" w:rsidRPr="00D55B59" w:rsidRDefault="00966B8F" w:rsidP="00B63B7D">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419" w:author="Author">
            <w:rPr>
              <w:i/>
              <w:noProof/>
            </w:rPr>
          </w:rPrChange>
        </w:rPr>
      </w:pPr>
      <w:r w:rsidRPr="00D55B59">
        <w:rPr>
          <w:b/>
          <w:rPrChange w:id="2420" w:author="Author">
            <w:rPr>
              <w:b/>
              <w:noProof/>
            </w:rPr>
          </w:rPrChange>
        </w:rPr>
        <w:t>17.</w:t>
      </w:r>
      <w:r w:rsidRPr="00D55B59">
        <w:rPr>
          <w:b/>
          <w:rPrChange w:id="2421" w:author="Author">
            <w:rPr>
              <w:b/>
              <w:noProof/>
            </w:rPr>
          </w:rPrChange>
        </w:rPr>
        <w:tab/>
        <w:t>UNIQUE IDENTIFIER – 2D BARCODE</w:t>
      </w:r>
    </w:p>
    <w:p w14:paraId="72115BB1" w14:textId="77777777" w:rsidR="00966B8F" w:rsidRPr="00D55B59" w:rsidRDefault="00966B8F" w:rsidP="00B63B7D">
      <w:pPr>
        <w:tabs>
          <w:tab w:val="clear" w:pos="567"/>
        </w:tabs>
        <w:spacing w:line="240" w:lineRule="auto"/>
        <w:rPr>
          <w:rPrChange w:id="2422" w:author="Author">
            <w:rPr>
              <w:noProof/>
            </w:rPr>
          </w:rPrChange>
        </w:rPr>
      </w:pPr>
    </w:p>
    <w:p w14:paraId="1EF791C2" w14:textId="77777777" w:rsidR="00966B8F" w:rsidRPr="00D55B59" w:rsidRDefault="00966B8F" w:rsidP="00B63B7D">
      <w:pPr>
        <w:tabs>
          <w:tab w:val="clear" w:pos="567"/>
        </w:tabs>
        <w:spacing w:line="240" w:lineRule="auto"/>
        <w:rPr>
          <w:rPrChange w:id="2423" w:author="Author">
            <w:rPr>
              <w:noProof/>
            </w:rPr>
          </w:rPrChange>
        </w:rPr>
      </w:pPr>
    </w:p>
    <w:p w14:paraId="1A9F8E14" w14:textId="77777777" w:rsidR="00966B8F" w:rsidRPr="00D55B59" w:rsidRDefault="00966B8F" w:rsidP="00B63B7D">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424" w:author="Author">
            <w:rPr>
              <w:i/>
              <w:noProof/>
            </w:rPr>
          </w:rPrChange>
        </w:rPr>
      </w:pPr>
      <w:r w:rsidRPr="00D55B59">
        <w:rPr>
          <w:b/>
          <w:rPrChange w:id="2425" w:author="Author">
            <w:rPr>
              <w:b/>
              <w:noProof/>
            </w:rPr>
          </w:rPrChange>
        </w:rPr>
        <w:t>18.</w:t>
      </w:r>
      <w:r w:rsidRPr="00D55B59">
        <w:rPr>
          <w:b/>
          <w:rPrChange w:id="2426" w:author="Author">
            <w:rPr>
              <w:b/>
              <w:noProof/>
            </w:rPr>
          </w:rPrChange>
        </w:rPr>
        <w:tab/>
        <w:t xml:space="preserve">UNIQUE IDENTIFIER </w:t>
      </w:r>
      <w:r w:rsidRPr="001775D9">
        <w:rPr>
          <w:rFonts w:eastAsia="Calibri"/>
        </w:rPr>
        <w:t>-</w:t>
      </w:r>
      <w:r w:rsidRPr="00D55B59">
        <w:rPr>
          <w:b/>
          <w:rPrChange w:id="2427" w:author="Author">
            <w:rPr>
              <w:b/>
              <w:noProof/>
            </w:rPr>
          </w:rPrChange>
        </w:rPr>
        <w:t xml:space="preserve"> HUMAN READABLE DATA</w:t>
      </w:r>
    </w:p>
    <w:p w14:paraId="761A5D7E" w14:textId="77777777" w:rsidR="00966B8F" w:rsidRPr="00D55B59" w:rsidRDefault="00966B8F" w:rsidP="00B63B7D">
      <w:pPr>
        <w:tabs>
          <w:tab w:val="clear" w:pos="567"/>
        </w:tabs>
        <w:spacing w:line="240" w:lineRule="auto"/>
        <w:rPr>
          <w:rPrChange w:id="2428" w:author="Author">
            <w:rPr>
              <w:noProof/>
            </w:rPr>
          </w:rPrChange>
        </w:rPr>
      </w:pPr>
    </w:p>
    <w:p w14:paraId="244BB597" w14:textId="77777777" w:rsidR="00800396" w:rsidRPr="00D55B59" w:rsidRDefault="00800396" w:rsidP="00B63B7D">
      <w:pPr>
        <w:tabs>
          <w:tab w:val="clear" w:pos="567"/>
        </w:tabs>
        <w:spacing w:line="240" w:lineRule="auto"/>
        <w:rPr>
          <w:rPrChange w:id="2429" w:author="Author">
            <w:rPr>
              <w:noProof/>
            </w:rPr>
          </w:rPrChange>
        </w:rPr>
      </w:pPr>
    </w:p>
    <w:p w14:paraId="6C81AEDF" w14:textId="487B13B1" w:rsidR="00966B8F" w:rsidRPr="001775D9" w:rsidRDefault="00D270FD" w:rsidP="00B63B7D">
      <w:pPr>
        <w:tabs>
          <w:tab w:val="clear" w:pos="567"/>
        </w:tabs>
        <w:spacing w:line="240" w:lineRule="auto"/>
        <w:rPr>
          <w:b/>
          <w:szCs w:val="22"/>
        </w:rPr>
      </w:pPr>
      <w:r w:rsidRPr="001775D9">
        <w:rPr>
          <w:b/>
          <w:szCs w:val="22"/>
        </w:rPr>
        <w:br w:type="page"/>
      </w:r>
    </w:p>
    <w:p w14:paraId="461E83D8"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MINIMUM PARTICULARS TO APPEAR ON SMALL IMMEDIATE PACKAGING UNITS</w:t>
      </w:r>
    </w:p>
    <w:p w14:paraId="1BB4BF6D"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p>
    <w:p w14:paraId="002076CB" w14:textId="77777777" w:rsidR="00966B8F" w:rsidRPr="001775D9" w:rsidRDefault="00966B8F" w:rsidP="00B63B7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SYRINGE LABEL </w:t>
      </w:r>
    </w:p>
    <w:p w14:paraId="7879F414" w14:textId="77777777" w:rsidR="00966B8F" w:rsidRPr="001775D9" w:rsidRDefault="00966B8F" w:rsidP="00B61D9D">
      <w:pPr>
        <w:keepNext/>
        <w:spacing w:line="240" w:lineRule="auto"/>
        <w:rPr>
          <w:szCs w:val="22"/>
        </w:rPr>
      </w:pPr>
    </w:p>
    <w:p w14:paraId="79959528" w14:textId="77777777" w:rsidR="00966B8F" w:rsidRPr="001775D9" w:rsidRDefault="00966B8F" w:rsidP="00B61D9D">
      <w:pPr>
        <w:spacing w:line="240" w:lineRule="auto"/>
        <w:rPr>
          <w:szCs w:val="22"/>
        </w:rPr>
      </w:pPr>
    </w:p>
    <w:p w14:paraId="7A880B5A" w14:textId="0144005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w:t>
      </w:r>
      <w:r w:rsidRPr="001775D9">
        <w:rPr>
          <w:b/>
          <w:szCs w:val="22"/>
        </w:rPr>
        <w:tab/>
        <w:t>NAME OF THE MEDICINAL PRODUCT AND ROUTE(S) OF ADMINISTRATION</w:t>
      </w:r>
      <w:r w:rsidR="001C55FB" w:rsidRPr="001775D9">
        <w:rPr>
          <w:b/>
          <w:szCs w:val="22"/>
        </w:rPr>
        <w:fldChar w:fldCharType="begin"/>
      </w:r>
      <w:r w:rsidR="001C55FB" w:rsidRPr="001775D9">
        <w:rPr>
          <w:b/>
          <w:szCs w:val="22"/>
        </w:rPr>
        <w:instrText xml:space="preserve"> DOCVARIABLE VAULT_ND_d58c8264-42e2-43e9-ac50-0777f94b2834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0286438" w14:textId="77777777" w:rsidR="00966B8F" w:rsidRPr="001775D9" w:rsidRDefault="00966B8F" w:rsidP="00B61D9D">
      <w:pPr>
        <w:spacing w:line="240" w:lineRule="auto"/>
        <w:ind w:left="567" w:hanging="567"/>
        <w:rPr>
          <w:szCs w:val="22"/>
        </w:rPr>
      </w:pPr>
    </w:p>
    <w:p w14:paraId="3899A12B" w14:textId="188032BD" w:rsidR="00966B8F" w:rsidRPr="001775D9" w:rsidRDefault="00966B8F" w:rsidP="00B61D9D">
      <w:pPr>
        <w:spacing w:line="240" w:lineRule="auto"/>
        <w:rPr>
          <w:szCs w:val="22"/>
        </w:rPr>
      </w:pPr>
      <w:r w:rsidRPr="001775D9">
        <w:rPr>
          <w:szCs w:val="22"/>
        </w:rPr>
        <w:t>AMGEVITA 40 mg injection</w:t>
      </w:r>
    </w:p>
    <w:p w14:paraId="78C8CCE1" w14:textId="77777777" w:rsidR="00966B8F" w:rsidRPr="001775D9" w:rsidRDefault="00966B8F" w:rsidP="00B61D9D">
      <w:pPr>
        <w:spacing w:line="240" w:lineRule="auto"/>
        <w:rPr>
          <w:szCs w:val="22"/>
        </w:rPr>
      </w:pPr>
      <w:r w:rsidRPr="001775D9">
        <w:rPr>
          <w:szCs w:val="22"/>
        </w:rPr>
        <w:t>adalimumab</w:t>
      </w:r>
    </w:p>
    <w:p w14:paraId="4A68C0E9" w14:textId="77777777" w:rsidR="00966B8F" w:rsidRPr="001775D9" w:rsidRDefault="00966B8F" w:rsidP="00B61D9D">
      <w:pPr>
        <w:spacing w:line="240" w:lineRule="auto"/>
        <w:rPr>
          <w:szCs w:val="22"/>
        </w:rPr>
      </w:pPr>
      <w:r w:rsidRPr="001775D9">
        <w:rPr>
          <w:szCs w:val="22"/>
        </w:rPr>
        <w:t>SC</w:t>
      </w:r>
    </w:p>
    <w:p w14:paraId="2FBD7726" w14:textId="77777777" w:rsidR="00966B8F" w:rsidRPr="001775D9" w:rsidRDefault="00966B8F" w:rsidP="00B61D9D">
      <w:pPr>
        <w:spacing w:line="240" w:lineRule="auto"/>
        <w:rPr>
          <w:szCs w:val="22"/>
        </w:rPr>
      </w:pPr>
    </w:p>
    <w:p w14:paraId="1290B1BE" w14:textId="77777777" w:rsidR="00966B8F" w:rsidRPr="001775D9" w:rsidRDefault="00966B8F" w:rsidP="00B61D9D">
      <w:pPr>
        <w:spacing w:line="240" w:lineRule="auto"/>
        <w:rPr>
          <w:szCs w:val="22"/>
        </w:rPr>
      </w:pPr>
    </w:p>
    <w:p w14:paraId="53FF7DB2" w14:textId="7E6140A9"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METHOD OF ADMINISTRATION</w:t>
      </w:r>
      <w:r w:rsidR="001C55FB" w:rsidRPr="001775D9">
        <w:rPr>
          <w:b/>
          <w:szCs w:val="22"/>
        </w:rPr>
        <w:fldChar w:fldCharType="begin"/>
      </w:r>
      <w:r w:rsidR="001C55FB" w:rsidRPr="001775D9">
        <w:rPr>
          <w:b/>
          <w:szCs w:val="22"/>
        </w:rPr>
        <w:instrText xml:space="preserve"> DOCVARIABLE VAULT_ND_a1ae20ac-bad0-4c1d-9b6b-e68c5c1927e0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B85EDEF" w14:textId="77777777" w:rsidR="00966B8F" w:rsidRPr="001775D9" w:rsidRDefault="00966B8F" w:rsidP="00B61D9D">
      <w:pPr>
        <w:spacing w:line="240" w:lineRule="auto"/>
        <w:rPr>
          <w:szCs w:val="22"/>
        </w:rPr>
      </w:pPr>
    </w:p>
    <w:p w14:paraId="2C059C41" w14:textId="77777777" w:rsidR="00966B8F" w:rsidRPr="001775D9" w:rsidRDefault="00966B8F" w:rsidP="00B61D9D">
      <w:pPr>
        <w:spacing w:line="240" w:lineRule="auto"/>
        <w:rPr>
          <w:szCs w:val="22"/>
        </w:rPr>
      </w:pPr>
    </w:p>
    <w:p w14:paraId="6E482674" w14:textId="5010BB79"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3.</w:t>
      </w:r>
      <w:r w:rsidRPr="001775D9">
        <w:rPr>
          <w:b/>
          <w:szCs w:val="22"/>
        </w:rPr>
        <w:tab/>
        <w:t>EXPIRY DATE</w:t>
      </w:r>
      <w:r w:rsidR="001C55FB" w:rsidRPr="001775D9">
        <w:rPr>
          <w:b/>
          <w:szCs w:val="22"/>
        </w:rPr>
        <w:fldChar w:fldCharType="begin"/>
      </w:r>
      <w:r w:rsidR="001C55FB" w:rsidRPr="001775D9">
        <w:rPr>
          <w:b/>
          <w:szCs w:val="22"/>
        </w:rPr>
        <w:instrText xml:space="preserve"> DOCVARIABLE VAULT_ND_3e5a54ab-b1ee-4cc3-84c8-efcb59994a3a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0F81CDC" w14:textId="77777777" w:rsidR="00966B8F" w:rsidRPr="001775D9" w:rsidRDefault="00966B8F" w:rsidP="00B61D9D">
      <w:pPr>
        <w:spacing w:line="240" w:lineRule="auto"/>
      </w:pPr>
    </w:p>
    <w:p w14:paraId="29781358" w14:textId="77777777" w:rsidR="00966B8F" w:rsidRPr="001775D9" w:rsidRDefault="00966B8F" w:rsidP="00B61D9D">
      <w:pPr>
        <w:spacing w:line="240" w:lineRule="auto"/>
      </w:pPr>
      <w:r w:rsidRPr="001775D9">
        <w:t xml:space="preserve">EXP </w:t>
      </w:r>
    </w:p>
    <w:p w14:paraId="7E8ACE43" w14:textId="77777777" w:rsidR="00966B8F" w:rsidRPr="001775D9" w:rsidRDefault="00966B8F" w:rsidP="00B61D9D">
      <w:pPr>
        <w:spacing w:line="240" w:lineRule="auto"/>
      </w:pPr>
    </w:p>
    <w:p w14:paraId="2E17E27E" w14:textId="77777777" w:rsidR="00966B8F" w:rsidRPr="001775D9" w:rsidRDefault="00966B8F" w:rsidP="00B61D9D">
      <w:pPr>
        <w:spacing w:line="240" w:lineRule="auto"/>
      </w:pPr>
    </w:p>
    <w:p w14:paraId="6558C2E1" w14:textId="464D3EC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rPr>
      </w:pPr>
      <w:r w:rsidRPr="001775D9">
        <w:rPr>
          <w:b/>
        </w:rPr>
        <w:t>4.</w:t>
      </w:r>
      <w:r w:rsidRPr="001775D9">
        <w:rPr>
          <w:b/>
        </w:rPr>
        <w:tab/>
        <w:t>BATCH NUMBER</w:t>
      </w:r>
      <w:r w:rsidR="001C55FB" w:rsidRPr="001775D9">
        <w:rPr>
          <w:b/>
        </w:rPr>
        <w:fldChar w:fldCharType="begin"/>
      </w:r>
      <w:r w:rsidR="001C55FB" w:rsidRPr="001775D9">
        <w:rPr>
          <w:b/>
        </w:rPr>
        <w:instrText xml:space="preserve"> DOCVARIABLE VAULT_ND_dc93e0e2-1fe5-4303-be0a-4eed7a276bb5 \* MERGEFORMAT </w:instrText>
      </w:r>
      <w:r w:rsidR="001C55FB" w:rsidRPr="001775D9">
        <w:rPr>
          <w:b/>
        </w:rPr>
        <w:fldChar w:fldCharType="separate"/>
      </w:r>
      <w:r w:rsidR="001C55FB" w:rsidRPr="001775D9">
        <w:rPr>
          <w:b/>
        </w:rPr>
        <w:t xml:space="preserve"> </w:t>
      </w:r>
      <w:r w:rsidR="001C55FB" w:rsidRPr="001775D9">
        <w:rPr>
          <w:b/>
        </w:rPr>
        <w:fldChar w:fldCharType="end"/>
      </w:r>
    </w:p>
    <w:p w14:paraId="19391A0B" w14:textId="77777777" w:rsidR="00966B8F" w:rsidRPr="001775D9" w:rsidRDefault="00966B8F" w:rsidP="00B61D9D">
      <w:pPr>
        <w:spacing w:line="240" w:lineRule="auto"/>
        <w:ind w:right="113"/>
      </w:pPr>
    </w:p>
    <w:p w14:paraId="3EA8C57A" w14:textId="77777777" w:rsidR="00966B8F" w:rsidRPr="001775D9" w:rsidRDefault="00966B8F" w:rsidP="00B61D9D">
      <w:pPr>
        <w:spacing w:line="240" w:lineRule="auto"/>
        <w:ind w:right="113"/>
      </w:pPr>
      <w:r w:rsidRPr="001775D9">
        <w:t>Lot</w:t>
      </w:r>
    </w:p>
    <w:p w14:paraId="6BACBCF9" w14:textId="77777777" w:rsidR="00966B8F" w:rsidRPr="001775D9" w:rsidRDefault="00966B8F" w:rsidP="00B61D9D">
      <w:pPr>
        <w:spacing w:line="240" w:lineRule="auto"/>
        <w:ind w:right="113"/>
      </w:pPr>
    </w:p>
    <w:p w14:paraId="5CDA8CA0" w14:textId="77777777" w:rsidR="00966B8F" w:rsidRPr="001775D9" w:rsidRDefault="00966B8F" w:rsidP="00B61D9D">
      <w:pPr>
        <w:spacing w:line="240" w:lineRule="auto"/>
        <w:ind w:right="113"/>
      </w:pPr>
    </w:p>
    <w:p w14:paraId="4751ACD1" w14:textId="5ACD834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5.</w:t>
      </w:r>
      <w:r w:rsidRPr="001775D9">
        <w:rPr>
          <w:b/>
          <w:szCs w:val="22"/>
        </w:rPr>
        <w:tab/>
        <w:t>CONTENTS BY WEIGHT, BY VOLUME OR BY UNIT</w:t>
      </w:r>
      <w:r w:rsidR="001C55FB" w:rsidRPr="001775D9">
        <w:rPr>
          <w:b/>
          <w:szCs w:val="22"/>
        </w:rPr>
        <w:fldChar w:fldCharType="begin"/>
      </w:r>
      <w:r w:rsidR="001C55FB" w:rsidRPr="001775D9">
        <w:rPr>
          <w:b/>
          <w:szCs w:val="22"/>
        </w:rPr>
        <w:instrText xml:space="preserve"> DOCVARIABLE VAULT_ND_7bd94ecf-97bb-4e1c-9f29-4c6cbc43e24d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35FADD6" w14:textId="77777777" w:rsidR="00966B8F" w:rsidRPr="001775D9" w:rsidRDefault="00966B8F" w:rsidP="00B61D9D">
      <w:pPr>
        <w:spacing w:line="240" w:lineRule="auto"/>
        <w:ind w:right="113"/>
        <w:rPr>
          <w:szCs w:val="22"/>
        </w:rPr>
      </w:pPr>
    </w:p>
    <w:p w14:paraId="289CB167" w14:textId="77777777" w:rsidR="00966B8F" w:rsidRPr="001775D9" w:rsidRDefault="00966B8F" w:rsidP="00B61D9D">
      <w:pPr>
        <w:spacing w:line="240" w:lineRule="auto"/>
        <w:ind w:right="113"/>
        <w:rPr>
          <w:szCs w:val="22"/>
        </w:rPr>
      </w:pPr>
      <w:r w:rsidRPr="001775D9">
        <w:rPr>
          <w:szCs w:val="22"/>
        </w:rPr>
        <w:t>0.4 mL</w:t>
      </w:r>
    </w:p>
    <w:p w14:paraId="1E4E7AE9" w14:textId="77777777" w:rsidR="00966B8F" w:rsidRPr="001775D9" w:rsidRDefault="00966B8F" w:rsidP="00B61D9D">
      <w:pPr>
        <w:spacing w:line="240" w:lineRule="auto"/>
        <w:ind w:right="113"/>
        <w:rPr>
          <w:szCs w:val="22"/>
        </w:rPr>
      </w:pPr>
    </w:p>
    <w:p w14:paraId="43CE02DA" w14:textId="77777777" w:rsidR="00966B8F" w:rsidRPr="001775D9" w:rsidRDefault="00966B8F" w:rsidP="00B61D9D">
      <w:pPr>
        <w:spacing w:line="240" w:lineRule="auto"/>
        <w:ind w:right="113"/>
        <w:rPr>
          <w:szCs w:val="22"/>
        </w:rPr>
      </w:pPr>
    </w:p>
    <w:p w14:paraId="5150469A" w14:textId="599DA05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6.</w:t>
      </w:r>
      <w:r w:rsidRPr="001775D9">
        <w:rPr>
          <w:b/>
          <w:szCs w:val="22"/>
        </w:rPr>
        <w:tab/>
        <w:t>OTHER</w:t>
      </w:r>
      <w:r w:rsidR="001C55FB" w:rsidRPr="001775D9">
        <w:rPr>
          <w:b/>
          <w:szCs w:val="22"/>
        </w:rPr>
        <w:fldChar w:fldCharType="begin"/>
      </w:r>
      <w:r w:rsidR="001C55FB" w:rsidRPr="001775D9">
        <w:rPr>
          <w:b/>
          <w:szCs w:val="22"/>
        </w:rPr>
        <w:instrText xml:space="preserve"> DOCVARIABLE VAULT_ND_582d4720-1d49-489b-9b98-e8e173d2cc88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FB160E2" w14:textId="77777777" w:rsidR="00966B8F" w:rsidRPr="001775D9" w:rsidRDefault="00966B8F" w:rsidP="00B61D9D">
      <w:pPr>
        <w:spacing w:line="240" w:lineRule="auto"/>
        <w:ind w:right="113"/>
        <w:rPr>
          <w:szCs w:val="22"/>
        </w:rPr>
      </w:pPr>
    </w:p>
    <w:p w14:paraId="4B842341" w14:textId="77777777" w:rsidR="00966B8F" w:rsidRPr="001775D9" w:rsidRDefault="00966B8F" w:rsidP="00B61D9D">
      <w:pPr>
        <w:spacing w:line="240" w:lineRule="auto"/>
        <w:ind w:right="113"/>
      </w:pPr>
    </w:p>
    <w:p w14:paraId="27495C51" w14:textId="77777777" w:rsidR="00966B8F" w:rsidRPr="001775D9" w:rsidRDefault="00966B8F" w:rsidP="00B61D9D">
      <w:pPr>
        <w:shd w:val="clear" w:color="auto" w:fill="FFFFFF"/>
        <w:spacing w:line="240" w:lineRule="auto"/>
        <w:rPr>
          <w:szCs w:val="22"/>
        </w:rPr>
      </w:pPr>
      <w:r w:rsidRPr="001775D9">
        <w:rPr>
          <w:b/>
        </w:rPr>
        <w:br w:type="page"/>
      </w:r>
    </w:p>
    <w:p w14:paraId="446751E3"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4ABD4FB9"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5BA85960"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CARTON PRE-FILLED PEN</w:t>
      </w:r>
    </w:p>
    <w:p w14:paraId="6479AAAA" w14:textId="77777777" w:rsidR="00966B8F" w:rsidRPr="001775D9" w:rsidRDefault="00966B8F" w:rsidP="00B61D9D">
      <w:pPr>
        <w:keepNext/>
        <w:spacing w:line="240" w:lineRule="auto"/>
      </w:pPr>
    </w:p>
    <w:p w14:paraId="2A952017" w14:textId="77777777" w:rsidR="00966B8F" w:rsidRPr="001775D9" w:rsidRDefault="00966B8F" w:rsidP="00B61D9D">
      <w:pPr>
        <w:keepNext/>
        <w:spacing w:line="240" w:lineRule="auto"/>
        <w:rPr>
          <w:szCs w:val="22"/>
        </w:rPr>
      </w:pPr>
    </w:p>
    <w:p w14:paraId="35FCCE26" w14:textId="62C94CE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VAULT_ND_ab98b059-62f4-43c7-ba22-13f2a62ddd28 \* MERGEFORMAT </w:instrText>
      </w:r>
      <w:r w:rsidR="001C55FB" w:rsidRPr="001775D9">
        <w:rPr>
          <w:b/>
        </w:rPr>
        <w:fldChar w:fldCharType="separate"/>
      </w:r>
      <w:r w:rsidR="001C55FB" w:rsidRPr="001775D9">
        <w:rPr>
          <w:b/>
        </w:rPr>
        <w:t xml:space="preserve"> </w:t>
      </w:r>
      <w:r w:rsidR="001C55FB" w:rsidRPr="001775D9">
        <w:rPr>
          <w:b/>
        </w:rPr>
        <w:fldChar w:fldCharType="end"/>
      </w:r>
    </w:p>
    <w:p w14:paraId="3E7D5FB2" w14:textId="77777777" w:rsidR="00966B8F" w:rsidRPr="001775D9" w:rsidRDefault="00966B8F" w:rsidP="00B61D9D">
      <w:pPr>
        <w:keepNext/>
        <w:spacing w:line="240" w:lineRule="auto"/>
        <w:rPr>
          <w:szCs w:val="22"/>
        </w:rPr>
      </w:pPr>
    </w:p>
    <w:p w14:paraId="6ACD0BF9" w14:textId="2A814367" w:rsidR="00966B8F" w:rsidRPr="001775D9" w:rsidRDefault="00966B8F" w:rsidP="00B61D9D">
      <w:pPr>
        <w:keepNext/>
        <w:spacing w:line="240" w:lineRule="auto"/>
        <w:rPr>
          <w:szCs w:val="22"/>
        </w:rPr>
      </w:pPr>
      <w:r w:rsidRPr="001775D9">
        <w:rPr>
          <w:szCs w:val="22"/>
        </w:rPr>
        <w:t>AMGEVITA 40 mg solution for injection in pre-filled pen</w:t>
      </w:r>
    </w:p>
    <w:p w14:paraId="57514744" w14:textId="77777777" w:rsidR="00966B8F" w:rsidRPr="001775D9" w:rsidRDefault="00966B8F" w:rsidP="00B61D9D">
      <w:pPr>
        <w:keepNext/>
        <w:spacing w:line="240" w:lineRule="auto"/>
        <w:rPr>
          <w:szCs w:val="22"/>
        </w:rPr>
      </w:pPr>
      <w:r w:rsidRPr="001775D9">
        <w:t>adalimumab</w:t>
      </w:r>
    </w:p>
    <w:p w14:paraId="6427E6A0" w14:textId="77777777" w:rsidR="00966B8F" w:rsidRPr="001775D9" w:rsidRDefault="00966B8F" w:rsidP="00B61D9D">
      <w:pPr>
        <w:keepNext/>
        <w:spacing w:line="240" w:lineRule="auto"/>
        <w:rPr>
          <w:szCs w:val="22"/>
        </w:rPr>
      </w:pPr>
    </w:p>
    <w:p w14:paraId="69C769AE" w14:textId="77777777" w:rsidR="00966B8F" w:rsidRPr="001775D9" w:rsidRDefault="00966B8F" w:rsidP="00B61D9D">
      <w:pPr>
        <w:keepNext/>
        <w:spacing w:line="240" w:lineRule="auto"/>
        <w:rPr>
          <w:szCs w:val="22"/>
        </w:rPr>
      </w:pPr>
    </w:p>
    <w:p w14:paraId="222E2515" w14:textId="284EAAC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VAULT_ND_1eb44df4-6bbd-4b84-969b-b504af7bd7be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F516D8B" w14:textId="77777777" w:rsidR="00966B8F" w:rsidRPr="001775D9" w:rsidRDefault="00966B8F" w:rsidP="00B61D9D">
      <w:pPr>
        <w:spacing w:line="240" w:lineRule="auto"/>
        <w:rPr>
          <w:szCs w:val="22"/>
        </w:rPr>
      </w:pPr>
    </w:p>
    <w:p w14:paraId="51E4624F" w14:textId="77777777" w:rsidR="00966B8F" w:rsidRPr="001775D9" w:rsidRDefault="00966B8F" w:rsidP="00B61D9D">
      <w:pPr>
        <w:spacing w:line="240" w:lineRule="auto"/>
        <w:rPr>
          <w:szCs w:val="22"/>
        </w:rPr>
      </w:pPr>
      <w:r w:rsidRPr="001775D9">
        <w:rPr>
          <w:szCs w:val="22"/>
          <w:lang w:eastAsia="en-GB"/>
        </w:rPr>
        <w:t xml:space="preserve">Each pre-filled pen contains 40 mg of adalimumab </w:t>
      </w:r>
      <w:r w:rsidRPr="001775D9">
        <w:rPr>
          <w:szCs w:val="22"/>
        </w:rPr>
        <w:t>in 0.4 mL of solution.</w:t>
      </w:r>
    </w:p>
    <w:p w14:paraId="419C515B" w14:textId="77777777" w:rsidR="00966B8F" w:rsidRPr="001775D9" w:rsidRDefault="00966B8F" w:rsidP="00B61D9D">
      <w:pPr>
        <w:spacing w:line="240" w:lineRule="auto"/>
        <w:rPr>
          <w:szCs w:val="22"/>
        </w:rPr>
      </w:pPr>
    </w:p>
    <w:p w14:paraId="24E9F60A" w14:textId="77777777" w:rsidR="00966B8F" w:rsidRPr="001775D9" w:rsidRDefault="00966B8F" w:rsidP="00B61D9D">
      <w:pPr>
        <w:spacing w:line="240" w:lineRule="auto"/>
        <w:rPr>
          <w:szCs w:val="22"/>
        </w:rPr>
      </w:pPr>
    </w:p>
    <w:p w14:paraId="3E909947" w14:textId="02ABB7ED"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VAULT_ND_db1d6957-9819-4018-90b2-94e29c03d438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C5502BF" w14:textId="77777777" w:rsidR="00966B8F" w:rsidRPr="001775D9" w:rsidRDefault="00966B8F" w:rsidP="00B61D9D">
      <w:pPr>
        <w:spacing w:line="240" w:lineRule="auto"/>
        <w:rPr>
          <w:szCs w:val="22"/>
        </w:rPr>
      </w:pPr>
    </w:p>
    <w:p w14:paraId="74573DF0"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430"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51F0173F" w14:textId="77777777" w:rsidR="00966B8F" w:rsidRPr="001775D9" w:rsidRDefault="00966B8F" w:rsidP="00B61D9D">
      <w:pPr>
        <w:spacing w:line="240" w:lineRule="auto"/>
        <w:rPr>
          <w:szCs w:val="22"/>
        </w:rPr>
      </w:pPr>
    </w:p>
    <w:p w14:paraId="02B8BDDB" w14:textId="77777777" w:rsidR="00966B8F" w:rsidRPr="001775D9" w:rsidRDefault="00966B8F" w:rsidP="00B61D9D">
      <w:pPr>
        <w:spacing w:line="240" w:lineRule="auto"/>
        <w:rPr>
          <w:szCs w:val="22"/>
        </w:rPr>
      </w:pPr>
    </w:p>
    <w:p w14:paraId="0458389A" w14:textId="48C2245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VAULT_ND_24fa92e9-e75a-431d-8d3f-7a0124676357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7802EB5" w14:textId="77777777" w:rsidR="00966B8F" w:rsidRPr="001775D9" w:rsidRDefault="00966B8F" w:rsidP="00B61D9D">
      <w:pPr>
        <w:spacing w:line="240" w:lineRule="auto"/>
        <w:rPr>
          <w:szCs w:val="22"/>
        </w:rPr>
      </w:pPr>
    </w:p>
    <w:p w14:paraId="1B8CC085" w14:textId="77777777" w:rsidR="00966B8F" w:rsidRPr="001775D9" w:rsidRDefault="00966B8F" w:rsidP="00B63B7D">
      <w:pPr>
        <w:tabs>
          <w:tab w:val="clear" w:pos="567"/>
        </w:tabs>
        <w:autoSpaceDE w:val="0"/>
        <w:autoSpaceDN w:val="0"/>
        <w:adjustRightInd w:val="0"/>
        <w:spacing w:line="240" w:lineRule="auto"/>
        <w:rPr>
          <w:szCs w:val="22"/>
          <w:shd w:val="pct15" w:color="auto" w:fill="FFFFFF"/>
          <w:lang w:eastAsia="en-GB"/>
        </w:rPr>
      </w:pPr>
      <w:r w:rsidRPr="001775D9">
        <w:rPr>
          <w:szCs w:val="22"/>
          <w:shd w:val="pct15" w:color="auto" w:fill="FFFFFF"/>
          <w:lang w:eastAsia="en-GB"/>
        </w:rPr>
        <w:t>Solution for injection</w:t>
      </w:r>
    </w:p>
    <w:p w14:paraId="4B4B4771" w14:textId="0A3A18E7" w:rsidR="00F1109D" w:rsidRPr="001775D9" w:rsidRDefault="00F1109D" w:rsidP="00B63B7D">
      <w:pPr>
        <w:tabs>
          <w:tab w:val="clear" w:pos="567"/>
        </w:tabs>
        <w:autoSpaceDE w:val="0"/>
        <w:autoSpaceDN w:val="0"/>
        <w:adjustRightInd w:val="0"/>
        <w:spacing w:line="240" w:lineRule="auto"/>
        <w:rPr>
          <w:szCs w:val="22"/>
          <w:lang w:eastAsia="en-GB"/>
        </w:rPr>
      </w:pPr>
      <w:r w:rsidRPr="001775D9">
        <w:rPr>
          <w:szCs w:val="22"/>
          <w:lang w:eastAsia="en-GB"/>
        </w:rPr>
        <w:t>40 mg/0.4 mL</w:t>
      </w:r>
    </w:p>
    <w:p w14:paraId="01C272A8" w14:textId="77246BDF" w:rsidR="00966B8F" w:rsidRPr="001775D9" w:rsidRDefault="00966B8F" w:rsidP="00B63B7D">
      <w:pPr>
        <w:tabs>
          <w:tab w:val="clear" w:pos="567"/>
        </w:tabs>
        <w:autoSpaceDE w:val="0"/>
        <w:autoSpaceDN w:val="0"/>
        <w:adjustRightInd w:val="0"/>
        <w:spacing w:line="240" w:lineRule="auto"/>
        <w:rPr>
          <w:szCs w:val="22"/>
          <w:lang w:eastAsia="en-GB"/>
        </w:rPr>
      </w:pPr>
      <w:r w:rsidRPr="001775D9">
        <w:rPr>
          <w:szCs w:val="22"/>
          <w:lang w:eastAsia="en-GB"/>
        </w:rPr>
        <w:t>1 SureClick pre-filled pen.</w:t>
      </w:r>
    </w:p>
    <w:p w14:paraId="1BB53D52" w14:textId="77777777" w:rsidR="00966B8F" w:rsidRPr="001775D9" w:rsidRDefault="00966B8F" w:rsidP="00B63B7D">
      <w:pPr>
        <w:spacing w:line="240" w:lineRule="auto"/>
        <w:rPr>
          <w:szCs w:val="22"/>
        </w:rPr>
      </w:pPr>
      <w:r>
        <w:rPr>
          <w:szCs w:val="22"/>
          <w:highlight w:val="lightGray"/>
        </w:rPr>
        <w:t>2 SureClick pre-filled pens.</w:t>
      </w:r>
    </w:p>
    <w:p w14:paraId="12FE45AA" w14:textId="77777777" w:rsidR="00966B8F" w:rsidRPr="001775D9" w:rsidRDefault="00966B8F" w:rsidP="00B61D9D">
      <w:pPr>
        <w:spacing w:line="240" w:lineRule="auto"/>
        <w:rPr>
          <w:szCs w:val="22"/>
        </w:rPr>
      </w:pPr>
    </w:p>
    <w:p w14:paraId="3FC35131" w14:textId="77777777" w:rsidR="00966B8F" w:rsidRPr="001775D9" w:rsidRDefault="00966B8F" w:rsidP="00B61D9D">
      <w:pPr>
        <w:spacing w:line="240" w:lineRule="auto"/>
        <w:rPr>
          <w:szCs w:val="22"/>
        </w:rPr>
      </w:pPr>
    </w:p>
    <w:p w14:paraId="430E94C0" w14:textId="47BBA4B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VAULT_ND_97458af2-d0bf-4d27-a896-d7bc441f4b31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16D5C53" w14:textId="77777777" w:rsidR="00966B8F" w:rsidRPr="001775D9" w:rsidRDefault="00966B8F" w:rsidP="00B61D9D">
      <w:pPr>
        <w:spacing w:line="240" w:lineRule="auto"/>
        <w:rPr>
          <w:szCs w:val="22"/>
        </w:rPr>
      </w:pPr>
    </w:p>
    <w:p w14:paraId="7B7B9612" w14:textId="77777777" w:rsidR="00966B8F" w:rsidRPr="001775D9" w:rsidRDefault="00966B8F" w:rsidP="00B63B7D">
      <w:pPr>
        <w:spacing w:line="240" w:lineRule="auto"/>
        <w:rPr>
          <w:szCs w:val="22"/>
        </w:rPr>
      </w:pPr>
      <w:r w:rsidRPr="001775D9">
        <w:rPr>
          <w:szCs w:val="22"/>
        </w:rPr>
        <w:t>For subcutaneous use.</w:t>
      </w:r>
    </w:p>
    <w:p w14:paraId="4F391A0A" w14:textId="77777777" w:rsidR="00966B8F" w:rsidRPr="001775D9" w:rsidRDefault="00966B8F" w:rsidP="00B61D9D">
      <w:pPr>
        <w:spacing w:line="240" w:lineRule="auto"/>
        <w:rPr>
          <w:szCs w:val="22"/>
        </w:rPr>
      </w:pPr>
      <w:r w:rsidRPr="001775D9">
        <w:rPr>
          <w:szCs w:val="22"/>
        </w:rPr>
        <w:t>Read the package leaflet before use.</w:t>
      </w:r>
    </w:p>
    <w:p w14:paraId="5CA8C1E1" w14:textId="77777777" w:rsidR="00966B8F" w:rsidRPr="001775D9" w:rsidRDefault="00966B8F" w:rsidP="00B61D9D">
      <w:pPr>
        <w:spacing w:line="240" w:lineRule="auto"/>
        <w:rPr>
          <w:szCs w:val="22"/>
        </w:rPr>
      </w:pPr>
      <w:r w:rsidRPr="001775D9">
        <w:rPr>
          <w:szCs w:val="22"/>
        </w:rPr>
        <w:t>Single use only.</w:t>
      </w:r>
    </w:p>
    <w:p w14:paraId="5122C32F" w14:textId="77777777" w:rsidR="00966B8F" w:rsidRPr="001775D9" w:rsidRDefault="00966B8F" w:rsidP="00B61D9D">
      <w:pPr>
        <w:spacing w:line="240" w:lineRule="auto"/>
        <w:rPr>
          <w:szCs w:val="22"/>
        </w:rPr>
      </w:pPr>
    </w:p>
    <w:p w14:paraId="3DA6B1E0" w14:textId="77777777" w:rsidR="00966B8F" w:rsidRPr="001775D9" w:rsidRDefault="00966B8F" w:rsidP="00B61D9D">
      <w:pPr>
        <w:spacing w:line="240" w:lineRule="auto"/>
        <w:rPr>
          <w:szCs w:val="22"/>
        </w:rPr>
      </w:pPr>
    </w:p>
    <w:p w14:paraId="3F02A302" w14:textId="6FBD7B3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VAULT_ND_2bf5b5c6-6b63-4fa0-a374-6d43b70155d4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3346C40" w14:textId="77777777" w:rsidR="00966B8F" w:rsidRPr="001775D9" w:rsidRDefault="00966B8F" w:rsidP="00B61D9D">
      <w:pPr>
        <w:spacing w:line="240" w:lineRule="auto"/>
        <w:rPr>
          <w:szCs w:val="22"/>
        </w:rPr>
      </w:pPr>
    </w:p>
    <w:p w14:paraId="6D29BBFF" w14:textId="6F25BA4C"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vault_nd_a165015f-2074-4ce8-ae17-cc3a17b138ec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751E234A" w14:textId="77777777" w:rsidR="00966B8F" w:rsidRPr="001775D9" w:rsidRDefault="00966B8F" w:rsidP="00B61D9D">
      <w:pPr>
        <w:spacing w:line="240" w:lineRule="auto"/>
        <w:rPr>
          <w:szCs w:val="22"/>
        </w:rPr>
      </w:pPr>
    </w:p>
    <w:p w14:paraId="203CBF40" w14:textId="77777777" w:rsidR="00966B8F" w:rsidRPr="001775D9" w:rsidRDefault="00966B8F" w:rsidP="00B61D9D">
      <w:pPr>
        <w:spacing w:line="240" w:lineRule="auto"/>
        <w:rPr>
          <w:szCs w:val="22"/>
        </w:rPr>
      </w:pPr>
    </w:p>
    <w:p w14:paraId="5581CD58" w14:textId="70E8DC4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VAULT_ND_8c72fabf-0251-4fec-835d-1c1d5750b5ba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FAF93AA" w14:textId="77777777" w:rsidR="00966B8F" w:rsidRPr="001775D9" w:rsidRDefault="00966B8F" w:rsidP="00B61D9D">
      <w:pPr>
        <w:spacing w:line="240" w:lineRule="auto"/>
        <w:rPr>
          <w:szCs w:val="22"/>
        </w:rPr>
      </w:pPr>
    </w:p>
    <w:p w14:paraId="3DC0D3C6" w14:textId="77777777" w:rsidR="00966B8F" w:rsidRPr="001775D9" w:rsidRDefault="00966B8F" w:rsidP="00B61D9D">
      <w:pPr>
        <w:tabs>
          <w:tab w:val="left" w:pos="749"/>
        </w:tabs>
        <w:spacing w:line="240" w:lineRule="auto"/>
      </w:pPr>
    </w:p>
    <w:p w14:paraId="298925E1" w14:textId="0295625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VAULT_ND_bd5f0a4e-8877-4ab1-a86c-db191dbbc853 \* MERGEFORMAT </w:instrText>
      </w:r>
      <w:r w:rsidR="001C55FB" w:rsidRPr="001775D9">
        <w:rPr>
          <w:b/>
        </w:rPr>
        <w:fldChar w:fldCharType="separate"/>
      </w:r>
      <w:r w:rsidR="001C55FB" w:rsidRPr="001775D9">
        <w:rPr>
          <w:b/>
        </w:rPr>
        <w:t xml:space="preserve"> </w:t>
      </w:r>
      <w:r w:rsidR="001C55FB" w:rsidRPr="001775D9">
        <w:rPr>
          <w:b/>
        </w:rPr>
        <w:fldChar w:fldCharType="end"/>
      </w:r>
    </w:p>
    <w:p w14:paraId="0D7EDF24" w14:textId="77777777" w:rsidR="00966B8F" w:rsidRPr="001775D9" w:rsidRDefault="00966B8F" w:rsidP="00B61D9D">
      <w:pPr>
        <w:spacing w:line="240" w:lineRule="auto"/>
      </w:pPr>
    </w:p>
    <w:p w14:paraId="5743169C" w14:textId="77777777" w:rsidR="00966B8F" w:rsidRPr="001775D9" w:rsidRDefault="00966B8F" w:rsidP="00B61D9D">
      <w:pPr>
        <w:spacing w:line="240" w:lineRule="auto"/>
        <w:rPr>
          <w:szCs w:val="22"/>
        </w:rPr>
      </w:pPr>
      <w:r w:rsidRPr="001775D9">
        <w:rPr>
          <w:szCs w:val="22"/>
        </w:rPr>
        <w:t xml:space="preserve">EXP </w:t>
      </w:r>
    </w:p>
    <w:p w14:paraId="43C730CB" w14:textId="77777777" w:rsidR="00966B8F" w:rsidRPr="001775D9" w:rsidRDefault="00966B8F" w:rsidP="00B61D9D">
      <w:pPr>
        <w:spacing w:line="240" w:lineRule="auto"/>
        <w:rPr>
          <w:szCs w:val="22"/>
        </w:rPr>
      </w:pPr>
    </w:p>
    <w:p w14:paraId="4BA7B895" w14:textId="77777777" w:rsidR="00966B8F" w:rsidRPr="001775D9" w:rsidRDefault="00966B8F" w:rsidP="00B61D9D">
      <w:pPr>
        <w:spacing w:line="240" w:lineRule="auto"/>
        <w:rPr>
          <w:szCs w:val="22"/>
        </w:rPr>
      </w:pPr>
    </w:p>
    <w:p w14:paraId="7C6107FD" w14:textId="675520C4" w:rsidR="00966B8F" w:rsidRPr="001775D9" w:rsidRDefault="00966B8F" w:rsidP="00FA6272">
      <w:pPr>
        <w:keepNext/>
        <w:keepLines/>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VAULT_ND_46d34b84-5121-4081-b8cd-6b0b724b5077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17C6946" w14:textId="77777777" w:rsidR="00966B8F" w:rsidRPr="001775D9" w:rsidRDefault="00966B8F" w:rsidP="00FA6272">
      <w:pPr>
        <w:keepNext/>
        <w:keepLines/>
        <w:spacing w:line="240" w:lineRule="auto"/>
        <w:rPr>
          <w:szCs w:val="22"/>
        </w:rPr>
      </w:pPr>
    </w:p>
    <w:p w14:paraId="0CDF7FB8" w14:textId="77777777" w:rsidR="00966B8F" w:rsidRPr="001775D9" w:rsidRDefault="00966B8F" w:rsidP="00FA6272">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75336EC9" w14:textId="77777777" w:rsidR="00966B8F" w:rsidRPr="001775D9" w:rsidRDefault="00966B8F" w:rsidP="00FA6272">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512E1705" w14:textId="77777777" w:rsidR="00966B8F" w:rsidRPr="001775D9" w:rsidRDefault="00966B8F" w:rsidP="00966B8F">
      <w:pPr>
        <w:spacing w:line="240" w:lineRule="auto"/>
        <w:rPr>
          <w:rFonts w:eastAsia="SimSun"/>
          <w:szCs w:val="22"/>
          <w:lang w:eastAsia="en-GB"/>
        </w:rPr>
      </w:pPr>
      <w:r w:rsidRPr="001775D9">
        <w:rPr>
          <w:rFonts w:eastAsia="SimSun"/>
          <w:szCs w:val="22"/>
          <w:lang w:eastAsia="en-GB"/>
        </w:rPr>
        <w:t>Store in the original carton in order to protect from light.</w:t>
      </w:r>
    </w:p>
    <w:p w14:paraId="7035FA59" w14:textId="77777777" w:rsidR="00966B8F" w:rsidRPr="001775D9" w:rsidRDefault="00966B8F" w:rsidP="00966B8F">
      <w:pPr>
        <w:spacing w:line="240" w:lineRule="auto"/>
        <w:rPr>
          <w:rFonts w:eastAsia="SimSun"/>
          <w:szCs w:val="22"/>
          <w:lang w:eastAsia="en-GB"/>
        </w:rPr>
      </w:pPr>
    </w:p>
    <w:p w14:paraId="61D218DF" w14:textId="77777777" w:rsidR="00966B8F" w:rsidRPr="001775D9" w:rsidRDefault="00966B8F" w:rsidP="00966B8F">
      <w:pPr>
        <w:spacing w:line="240" w:lineRule="auto"/>
        <w:rPr>
          <w:rFonts w:eastAsia="SimSun"/>
          <w:szCs w:val="22"/>
          <w:lang w:eastAsia="en-GB"/>
        </w:rPr>
      </w:pPr>
    </w:p>
    <w:p w14:paraId="54111C9F" w14:textId="5B9BCF8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VAULT_ND_60f0102a-ba07-42dd-996d-cbc06e813bbb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F83D209" w14:textId="77777777" w:rsidR="00966B8F" w:rsidRPr="001775D9" w:rsidRDefault="00966B8F" w:rsidP="00B61D9D">
      <w:pPr>
        <w:spacing w:line="240" w:lineRule="auto"/>
        <w:rPr>
          <w:szCs w:val="22"/>
        </w:rPr>
      </w:pPr>
    </w:p>
    <w:p w14:paraId="6F1D67AD" w14:textId="77777777" w:rsidR="00966B8F" w:rsidRPr="001775D9" w:rsidRDefault="00966B8F" w:rsidP="00B61D9D">
      <w:pPr>
        <w:spacing w:line="240" w:lineRule="auto"/>
        <w:rPr>
          <w:szCs w:val="22"/>
        </w:rPr>
      </w:pPr>
    </w:p>
    <w:p w14:paraId="561F51D4" w14:textId="1E7046B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VAULT_ND_0d879344-8f7c-46b8-8977-ff31a535dbd5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A932722" w14:textId="77777777" w:rsidR="00966B8F" w:rsidRPr="001775D9" w:rsidRDefault="00966B8F" w:rsidP="00B61D9D">
      <w:pPr>
        <w:spacing w:line="240" w:lineRule="auto"/>
        <w:rPr>
          <w:szCs w:val="22"/>
        </w:rPr>
      </w:pPr>
    </w:p>
    <w:p w14:paraId="4A50F328"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431" w:author="Author">
            <w:rPr>
              <w:rFonts w:eastAsia="SimSun"/>
              <w:szCs w:val="22"/>
              <w:lang w:val="sv-SE" w:eastAsia="en-GB"/>
            </w:rPr>
          </w:rPrChange>
        </w:rPr>
      </w:pPr>
      <w:r w:rsidRPr="00D55B59">
        <w:rPr>
          <w:rFonts w:eastAsia="SimSun"/>
          <w:szCs w:val="22"/>
          <w:lang w:eastAsia="en-GB"/>
          <w:rPrChange w:id="2432" w:author="Author">
            <w:rPr>
              <w:rFonts w:eastAsia="SimSun"/>
              <w:szCs w:val="22"/>
              <w:lang w:val="sv-SE" w:eastAsia="en-GB"/>
            </w:rPr>
          </w:rPrChange>
        </w:rPr>
        <w:t>Amgen Europe B.V.</w:t>
      </w:r>
    </w:p>
    <w:p w14:paraId="1E8D1B07"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433" w:author="Author">
            <w:rPr>
              <w:rFonts w:eastAsia="SimSun"/>
              <w:szCs w:val="22"/>
              <w:lang w:val="sv-SE" w:eastAsia="en-GB"/>
            </w:rPr>
          </w:rPrChange>
        </w:rPr>
      </w:pPr>
      <w:r w:rsidRPr="00D55B59">
        <w:rPr>
          <w:rFonts w:eastAsia="SimSun"/>
          <w:szCs w:val="22"/>
          <w:lang w:eastAsia="en-GB"/>
          <w:rPrChange w:id="2434" w:author="Author">
            <w:rPr>
              <w:rFonts w:eastAsia="SimSun"/>
              <w:szCs w:val="22"/>
              <w:lang w:val="sv-SE" w:eastAsia="en-GB"/>
            </w:rPr>
          </w:rPrChange>
        </w:rPr>
        <w:t>Minervum 7061,</w:t>
      </w:r>
    </w:p>
    <w:p w14:paraId="265298B0" w14:textId="77777777" w:rsidR="00966B8F" w:rsidRPr="001775D9" w:rsidRDefault="00966B8F" w:rsidP="00B63B7D">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49B853CE" w14:textId="77777777" w:rsidR="00966B8F" w:rsidRPr="001775D9" w:rsidRDefault="00966B8F" w:rsidP="00B63B7D">
      <w:pPr>
        <w:spacing w:line="240" w:lineRule="auto"/>
        <w:rPr>
          <w:szCs w:val="22"/>
        </w:rPr>
      </w:pPr>
      <w:r w:rsidRPr="001775D9">
        <w:rPr>
          <w:rFonts w:eastAsia="SimSun"/>
          <w:szCs w:val="22"/>
          <w:lang w:eastAsia="en-GB"/>
        </w:rPr>
        <w:t>The Netherlands</w:t>
      </w:r>
      <w:r w:rsidRPr="001775D9">
        <w:rPr>
          <w:i/>
          <w:szCs w:val="22"/>
        </w:rPr>
        <w:t xml:space="preserve"> </w:t>
      </w:r>
    </w:p>
    <w:p w14:paraId="3F73E4B2" w14:textId="77777777" w:rsidR="00966B8F" w:rsidRPr="001775D9" w:rsidRDefault="00966B8F" w:rsidP="00B61D9D">
      <w:pPr>
        <w:spacing w:line="240" w:lineRule="auto"/>
        <w:rPr>
          <w:szCs w:val="22"/>
        </w:rPr>
      </w:pPr>
    </w:p>
    <w:p w14:paraId="5C1958DA" w14:textId="77777777" w:rsidR="00966B8F" w:rsidRPr="001775D9" w:rsidRDefault="00966B8F" w:rsidP="00B61D9D">
      <w:pPr>
        <w:spacing w:line="240" w:lineRule="auto"/>
        <w:rPr>
          <w:szCs w:val="22"/>
        </w:rPr>
      </w:pPr>
    </w:p>
    <w:p w14:paraId="53729B61" w14:textId="0C80FE7F"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VAULT_ND_c549aeeb-0e88-43cf-8093-98ca6756aa61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EBFBF90" w14:textId="77777777" w:rsidR="00966B8F" w:rsidRPr="001775D9" w:rsidRDefault="00966B8F" w:rsidP="00B61D9D">
      <w:pPr>
        <w:spacing w:line="240" w:lineRule="auto"/>
        <w:rPr>
          <w:szCs w:val="22"/>
        </w:rPr>
      </w:pPr>
    </w:p>
    <w:p w14:paraId="4D24E3A9" w14:textId="43D993D7" w:rsidR="00966B8F" w:rsidRPr="001775D9" w:rsidRDefault="00966B8F" w:rsidP="00B63B7D">
      <w:pPr>
        <w:spacing w:line="240" w:lineRule="auto"/>
        <w:outlineLvl w:val="0"/>
        <w:rPr>
          <w:szCs w:val="22"/>
        </w:rPr>
      </w:pPr>
      <w:r w:rsidRPr="001775D9">
        <w:rPr>
          <w:color w:val="000000"/>
        </w:rPr>
        <w:t xml:space="preserve">EU/1/16/1164/014 </w:t>
      </w:r>
      <w:r>
        <w:rPr>
          <w:szCs w:val="22"/>
          <w:highlight w:val="lightGray"/>
        </w:rPr>
        <w:t>1 pack</w:t>
      </w:r>
      <w:r w:rsidR="001C55FB">
        <w:rPr>
          <w:szCs w:val="22"/>
          <w:highlight w:val="lightGray"/>
        </w:rPr>
        <w:fldChar w:fldCharType="begin"/>
      </w:r>
      <w:r w:rsidR="001C55FB">
        <w:rPr>
          <w:szCs w:val="22"/>
          <w:highlight w:val="lightGray"/>
        </w:rPr>
        <w:instrText xml:space="preserve"> DOCVARIABLE vault_nd_4d108962-de94-4bcf-abd8-7ec19a18aa12 \* MERGEFORMAT </w:instrText>
      </w:r>
      <w:r w:rsidR="001C55FB">
        <w:rPr>
          <w:szCs w:val="22"/>
          <w:highlight w:val="lightGray"/>
        </w:rPr>
        <w:fldChar w:fldCharType="separate"/>
      </w:r>
      <w:r w:rsidR="001C55FB">
        <w:rPr>
          <w:szCs w:val="22"/>
          <w:highlight w:val="lightGray"/>
        </w:rPr>
        <w:t xml:space="preserve"> </w:t>
      </w:r>
      <w:r w:rsidR="001C55FB">
        <w:rPr>
          <w:szCs w:val="22"/>
          <w:highlight w:val="lightGray"/>
        </w:rPr>
        <w:fldChar w:fldCharType="end"/>
      </w:r>
    </w:p>
    <w:p w14:paraId="1B3E970C" w14:textId="18F3492B" w:rsidR="00966B8F" w:rsidRDefault="00966B8F" w:rsidP="00B63B7D">
      <w:pPr>
        <w:spacing w:line="240" w:lineRule="auto"/>
        <w:outlineLvl w:val="0"/>
        <w:rPr>
          <w:szCs w:val="22"/>
          <w:highlight w:val="lightGray"/>
        </w:rPr>
      </w:pPr>
      <w:r>
        <w:rPr>
          <w:color w:val="000000"/>
          <w:highlight w:val="lightGray"/>
        </w:rPr>
        <w:t xml:space="preserve">EU/1/16/1164/015 </w:t>
      </w:r>
      <w:r>
        <w:rPr>
          <w:szCs w:val="22"/>
          <w:highlight w:val="lightGray"/>
        </w:rPr>
        <w:t>2 pack</w:t>
      </w:r>
      <w:r w:rsidR="001C55FB">
        <w:rPr>
          <w:szCs w:val="22"/>
          <w:highlight w:val="lightGray"/>
        </w:rPr>
        <w:fldChar w:fldCharType="begin"/>
      </w:r>
      <w:r w:rsidR="001C55FB">
        <w:rPr>
          <w:szCs w:val="22"/>
          <w:highlight w:val="lightGray"/>
        </w:rPr>
        <w:instrText xml:space="preserve"> DOCVARIABLE vault_nd_6a016e5e-2e58-4063-8b7c-1ed16f0c7c02 \* MERGEFORMAT </w:instrText>
      </w:r>
      <w:r w:rsidR="001C55FB">
        <w:rPr>
          <w:szCs w:val="22"/>
          <w:highlight w:val="lightGray"/>
        </w:rPr>
        <w:fldChar w:fldCharType="separate"/>
      </w:r>
      <w:r w:rsidR="001C55FB">
        <w:rPr>
          <w:szCs w:val="22"/>
          <w:highlight w:val="lightGray"/>
        </w:rPr>
        <w:t xml:space="preserve"> </w:t>
      </w:r>
      <w:r w:rsidR="001C55FB">
        <w:rPr>
          <w:szCs w:val="22"/>
          <w:highlight w:val="lightGray"/>
        </w:rPr>
        <w:fldChar w:fldCharType="end"/>
      </w:r>
    </w:p>
    <w:p w14:paraId="4B357A3B" w14:textId="77777777" w:rsidR="00966B8F" w:rsidRDefault="00966B8F" w:rsidP="00B63B7D">
      <w:pPr>
        <w:spacing w:line="240" w:lineRule="auto"/>
        <w:outlineLvl w:val="0"/>
        <w:rPr>
          <w:szCs w:val="22"/>
          <w:highlight w:val="lightGray"/>
        </w:rPr>
      </w:pPr>
    </w:p>
    <w:p w14:paraId="37B22D16" w14:textId="77777777" w:rsidR="00966B8F" w:rsidRPr="001775D9" w:rsidRDefault="00966B8F" w:rsidP="00B61D9D">
      <w:pPr>
        <w:spacing w:line="240" w:lineRule="auto"/>
        <w:rPr>
          <w:szCs w:val="22"/>
        </w:rPr>
      </w:pPr>
    </w:p>
    <w:p w14:paraId="497876BD" w14:textId="41D3791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VAULT_ND_8b0f0c59-353a-4df7-8f64-450f5812cf5c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D701105" w14:textId="77777777" w:rsidR="00966B8F" w:rsidRPr="001775D9" w:rsidRDefault="00966B8F" w:rsidP="00B61D9D">
      <w:pPr>
        <w:spacing w:line="240" w:lineRule="auto"/>
        <w:rPr>
          <w:i/>
          <w:szCs w:val="22"/>
        </w:rPr>
      </w:pPr>
    </w:p>
    <w:p w14:paraId="3F49B6EC" w14:textId="77777777" w:rsidR="00966B8F" w:rsidRPr="001775D9" w:rsidRDefault="00966B8F" w:rsidP="00B61D9D">
      <w:pPr>
        <w:spacing w:line="240" w:lineRule="auto"/>
        <w:rPr>
          <w:szCs w:val="22"/>
        </w:rPr>
      </w:pPr>
      <w:r w:rsidRPr="001775D9">
        <w:rPr>
          <w:szCs w:val="22"/>
        </w:rPr>
        <w:t>Lot</w:t>
      </w:r>
    </w:p>
    <w:p w14:paraId="09FB47DD" w14:textId="77777777" w:rsidR="00966B8F" w:rsidRPr="001775D9" w:rsidRDefault="00966B8F" w:rsidP="00B61D9D">
      <w:pPr>
        <w:spacing w:line="240" w:lineRule="auto"/>
        <w:rPr>
          <w:szCs w:val="22"/>
        </w:rPr>
      </w:pPr>
    </w:p>
    <w:p w14:paraId="0800B1BF" w14:textId="77777777" w:rsidR="00966B8F" w:rsidRPr="001775D9" w:rsidRDefault="00966B8F" w:rsidP="00B61D9D">
      <w:pPr>
        <w:spacing w:line="240" w:lineRule="auto"/>
        <w:rPr>
          <w:szCs w:val="22"/>
        </w:rPr>
      </w:pPr>
    </w:p>
    <w:p w14:paraId="1DAF924E" w14:textId="32E5677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VAULT_ND_591d0389-a9d1-4618-b75f-8926f941a2fe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38C6A5D" w14:textId="77777777" w:rsidR="00966B8F" w:rsidRPr="001775D9" w:rsidRDefault="00966B8F" w:rsidP="00B61D9D">
      <w:pPr>
        <w:spacing w:line="240" w:lineRule="auto"/>
        <w:rPr>
          <w:i/>
          <w:szCs w:val="22"/>
        </w:rPr>
      </w:pPr>
    </w:p>
    <w:p w14:paraId="6CD95C2E" w14:textId="77777777" w:rsidR="00966B8F" w:rsidRPr="001775D9" w:rsidRDefault="00966B8F" w:rsidP="00B61D9D">
      <w:pPr>
        <w:spacing w:line="240" w:lineRule="auto"/>
        <w:rPr>
          <w:szCs w:val="22"/>
        </w:rPr>
      </w:pPr>
    </w:p>
    <w:p w14:paraId="69B24E37" w14:textId="57C97161"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VAULT_ND_0e71aa92-51a7-442b-a903-44da12cad213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86F7768" w14:textId="77777777" w:rsidR="00966B8F" w:rsidRPr="001775D9" w:rsidRDefault="00966B8F" w:rsidP="00B61D9D">
      <w:pPr>
        <w:spacing w:line="240" w:lineRule="auto"/>
        <w:rPr>
          <w:szCs w:val="22"/>
        </w:rPr>
      </w:pPr>
    </w:p>
    <w:p w14:paraId="6744D268" w14:textId="77777777" w:rsidR="00966B8F" w:rsidRPr="001775D9" w:rsidRDefault="00966B8F" w:rsidP="00B61D9D">
      <w:pPr>
        <w:spacing w:line="240" w:lineRule="auto"/>
        <w:rPr>
          <w:szCs w:val="22"/>
        </w:rPr>
      </w:pPr>
    </w:p>
    <w:p w14:paraId="5648C2E9" w14:textId="77777777" w:rsidR="00966B8F" w:rsidRPr="00D55B5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Change w:id="2435" w:author="Author">
            <w:rPr>
              <w:szCs w:val="22"/>
              <w:lang w:val="sv-SE"/>
            </w:rPr>
          </w:rPrChange>
        </w:rPr>
      </w:pPr>
      <w:r w:rsidRPr="00D55B59">
        <w:rPr>
          <w:b/>
          <w:szCs w:val="22"/>
          <w:rPrChange w:id="2436" w:author="Author">
            <w:rPr>
              <w:b/>
              <w:szCs w:val="22"/>
              <w:lang w:val="sv-SE"/>
            </w:rPr>
          </w:rPrChange>
        </w:rPr>
        <w:t>16.</w:t>
      </w:r>
      <w:r w:rsidRPr="00D55B59">
        <w:rPr>
          <w:b/>
          <w:szCs w:val="22"/>
          <w:rPrChange w:id="2437" w:author="Author">
            <w:rPr>
              <w:b/>
              <w:szCs w:val="22"/>
              <w:lang w:val="sv-SE"/>
            </w:rPr>
          </w:rPrChange>
        </w:rPr>
        <w:tab/>
        <w:t>INFORMATION IN BRAILLE</w:t>
      </w:r>
    </w:p>
    <w:p w14:paraId="406A4A66" w14:textId="77777777" w:rsidR="00966B8F" w:rsidRPr="00D55B59" w:rsidRDefault="00966B8F" w:rsidP="00B61D9D">
      <w:pPr>
        <w:spacing w:line="240" w:lineRule="auto"/>
        <w:rPr>
          <w:rPrChange w:id="2438" w:author="Author">
            <w:rPr>
              <w:lang w:val="sv-SE"/>
            </w:rPr>
          </w:rPrChange>
        </w:rPr>
      </w:pPr>
    </w:p>
    <w:p w14:paraId="48B4F828" w14:textId="420E1BBD" w:rsidR="00966B8F" w:rsidRPr="00D55B59" w:rsidRDefault="00966B8F" w:rsidP="00B61D9D">
      <w:pPr>
        <w:spacing w:line="240" w:lineRule="auto"/>
        <w:rPr>
          <w:rPrChange w:id="2439" w:author="Author">
            <w:rPr>
              <w:lang w:val="sv-SE"/>
            </w:rPr>
          </w:rPrChange>
        </w:rPr>
      </w:pPr>
      <w:r w:rsidRPr="00D55B59">
        <w:rPr>
          <w:rPrChange w:id="2440" w:author="Author">
            <w:rPr>
              <w:lang w:val="sv-SE"/>
            </w:rPr>
          </w:rPrChange>
        </w:rPr>
        <w:t>AMGEVITA 40 mg</w:t>
      </w:r>
      <w:r w:rsidR="00BB0876" w:rsidRPr="00D55B59">
        <w:rPr>
          <w:rPrChange w:id="2441" w:author="Author">
            <w:rPr>
              <w:lang w:val="sv-SE"/>
            </w:rPr>
          </w:rPrChange>
        </w:rPr>
        <w:t>/0.4 mL</w:t>
      </w:r>
      <w:r w:rsidRPr="00D55B59">
        <w:rPr>
          <w:rPrChange w:id="2442" w:author="Author">
            <w:rPr>
              <w:lang w:val="sv-SE"/>
            </w:rPr>
          </w:rPrChange>
        </w:rPr>
        <w:t xml:space="preserve"> pen</w:t>
      </w:r>
    </w:p>
    <w:p w14:paraId="61A0ECD9" w14:textId="77777777" w:rsidR="00966B8F" w:rsidRPr="00D55B59" w:rsidRDefault="00966B8F" w:rsidP="00B63B7D">
      <w:pPr>
        <w:spacing w:line="240" w:lineRule="auto"/>
        <w:rPr>
          <w:szCs w:val="22"/>
          <w:shd w:val="clear" w:color="auto" w:fill="CCCCCC"/>
          <w:rPrChange w:id="2443" w:author="Author">
            <w:rPr>
              <w:noProof/>
              <w:szCs w:val="22"/>
              <w:shd w:val="clear" w:color="auto" w:fill="CCCCCC"/>
              <w:lang w:val="sv-SE"/>
            </w:rPr>
          </w:rPrChange>
        </w:rPr>
      </w:pPr>
    </w:p>
    <w:p w14:paraId="75AB2442" w14:textId="77777777" w:rsidR="00966B8F" w:rsidRPr="00D55B59" w:rsidRDefault="00966B8F" w:rsidP="00B63B7D">
      <w:pPr>
        <w:spacing w:line="240" w:lineRule="auto"/>
        <w:rPr>
          <w:szCs w:val="22"/>
          <w:shd w:val="clear" w:color="auto" w:fill="CCCCCC"/>
          <w:rPrChange w:id="2444" w:author="Author">
            <w:rPr>
              <w:noProof/>
              <w:szCs w:val="22"/>
              <w:shd w:val="clear" w:color="auto" w:fill="CCCCCC"/>
              <w:lang w:val="sv-SE"/>
            </w:rPr>
          </w:rPrChange>
        </w:rPr>
      </w:pPr>
    </w:p>
    <w:p w14:paraId="419AF99A" w14:textId="77777777" w:rsidR="00966B8F" w:rsidRPr="00D55B59" w:rsidRDefault="00966B8F" w:rsidP="00B63B7D">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445" w:author="Author">
            <w:rPr>
              <w:i/>
              <w:noProof/>
            </w:rPr>
          </w:rPrChange>
        </w:rPr>
      </w:pPr>
      <w:r w:rsidRPr="00D55B59">
        <w:rPr>
          <w:b/>
          <w:rPrChange w:id="2446" w:author="Author">
            <w:rPr>
              <w:b/>
              <w:noProof/>
            </w:rPr>
          </w:rPrChange>
        </w:rPr>
        <w:t>17.</w:t>
      </w:r>
      <w:r w:rsidRPr="00D55B59">
        <w:rPr>
          <w:b/>
          <w:rPrChange w:id="2447" w:author="Author">
            <w:rPr>
              <w:b/>
              <w:noProof/>
            </w:rPr>
          </w:rPrChange>
        </w:rPr>
        <w:tab/>
        <w:t>UNIQUE IDENTIFIER – 2D BARCODE</w:t>
      </w:r>
    </w:p>
    <w:p w14:paraId="71666C13" w14:textId="77777777" w:rsidR="00966B8F" w:rsidRPr="00D55B59" w:rsidRDefault="00966B8F" w:rsidP="00B63B7D">
      <w:pPr>
        <w:tabs>
          <w:tab w:val="clear" w:pos="567"/>
        </w:tabs>
        <w:spacing w:line="240" w:lineRule="auto"/>
        <w:rPr>
          <w:rPrChange w:id="2448" w:author="Author">
            <w:rPr>
              <w:noProof/>
            </w:rPr>
          </w:rPrChange>
        </w:rPr>
      </w:pPr>
    </w:p>
    <w:p w14:paraId="014CFAA9" w14:textId="77777777" w:rsidR="00966B8F" w:rsidRPr="00D55B59" w:rsidRDefault="00966B8F" w:rsidP="00B63B7D">
      <w:pPr>
        <w:spacing w:line="240" w:lineRule="auto"/>
        <w:rPr>
          <w:szCs w:val="22"/>
          <w:shd w:val="clear" w:color="auto" w:fill="CCCCCC"/>
          <w:rPrChange w:id="2449" w:author="Author">
            <w:rPr>
              <w:noProof/>
              <w:szCs w:val="22"/>
              <w:shd w:val="clear" w:color="auto" w:fill="CCCCCC"/>
            </w:rPr>
          </w:rPrChange>
        </w:rPr>
      </w:pPr>
      <w:r w:rsidRPr="00D55B59">
        <w:rPr>
          <w:highlight w:val="lightGray"/>
          <w:rPrChange w:id="2450" w:author="Author">
            <w:rPr>
              <w:noProof/>
              <w:highlight w:val="lightGray"/>
            </w:rPr>
          </w:rPrChange>
        </w:rPr>
        <w:t>2D barcode carrying the unique identifier included.</w:t>
      </w:r>
    </w:p>
    <w:p w14:paraId="0138CC49" w14:textId="77777777" w:rsidR="00966B8F" w:rsidRPr="00D55B59" w:rsidRDefault="00966B8F" w:rsidP="00B63B7D">
      <w:pPr>
        <w:spacing w:line="240" w:lineRule="auto"/>
        <w:rPr>
          <w:szCs w:val="22"/>
          <w:shd w:val="clear" w:color="auto" w:fill="CCCCCC"/>
          <w:rPrChange w:id="2451" w:author="Author">
            <w:rPr>
              <w:noProof/>
              <w:szCs w:val="22"/>
              <w:shd w:val="clear" w:color="auto" w:fill="CCCCCC"/>
            </w:rPr>
          </w:rPrChange>
        </w:rPr>
      </w:pPr>
    </w:p>
    <w:p w14:paraId="7B01CA68" w14:textId="77777777" w:rsidR="00966B8F" w:rsidRPr="00D55B59" w:rsidRDefault="00966B8F" w:rsidP="00B63B7D">
      <w:pPr>
        <w:tabs>
          <w:tab w:val="clear" w:pos="567"/>
        </w:tabs>
        <w:spacing w:line="240" w:lineRule="auto"/>
        <w:rPr>
          <w:rPrChange w:id="2452" w:author="Author">
            <w:rPr>
              <w:noProof/>
            </w:rPr>
          </w:rPrChange>
        </w:rPr>
      </w:pPr>
    </w:p>
    <w:p w14:paraId="0EBF04D6" w14:textId="77777777" w:rsidR="00966B8F" w:rsidRPr="00D55B59" w:rsidRDefault="00966B8F" w:rsidP="00B63B7D">
      <w:pPr>
        <w:keepNext/>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453" w:author="Author">
            <w:rPr>
              <w:i/>
              <w:noProof/>
            </w:rPr>
          </w:rPrChange>
        </w:rPr>
      </w:pPr>
      <w:r w:rsidRPr="00D55B59">
        <w:rPr>
          <w:b/>
          <w:rPrChange w:id="2454" w:author="Author">
            <w:rPr>
              <w:b/>
              <w:noProof/>
            </w:rPr>
          </w:rPrChange>
        </w:rPr>
        <w:t>18.</w:t>
      </w:r>
      <w:r w:rsidRPr="00D55B59">
        <w:rPr>
          <w:b/>
          <w:rPrChange w:id="2455" w:author="Author">
            <w:rPr>
              <w:b/>
              <w:noProof/>
            </w:rPr>
          </w:rPrChange>
        </w:rPr>
        <w:tab/>
        <w:t xml:space="preserve">UNIQUE IDENTIFIER </w:t>
      </w:r>
      <w:r w:rsidRPr="001775D9">
        <w:rPr>
          <w:rFonts w:eastAsia="Calibri"/>
        </w:rPr>
        <w:t>-</w:t>
      </w:r>
      <w:r w:rsidRPr="00D55B59">
        <w:rPr>
          <w:b/>
          <w:rPrChange w:id="2456" w:author="Author">
            <w:rPr>
              <w:b/>
              <w:noProof/>
            </w:rPr>
          </w:rPrChange>
        </w:rPr>
        <w:t xml:space="preserve"> HUMAN READABLE DATA</w:t>
      </w:r>
    </w:p>
    <w:p w14:paraId="51293313" w14:textId="77777777" w:rsidR="00966B8F" w:rsidRPr="00D55B59" w:rsidRDefault="00966B8F" w:rsidP="00B63B7D">
      <w:pPr>
        <w:keepNext/>
        <w:tabs>
          <w:tab w:val="clear" w:pos="567"/>
        </w:tabs>
        <w:spacing w:line="240" w:lineRule="auto"/>
        <w:rPr>
          <w:rPrChange w:id="2457" w:author="Author">
            <w:rPr>
              <w:noProof/>
            </w:rPr>
          </w:rPrChange>
        </w:rPr>
      </w:pPr>
    </w:p>
    <w:p w14:paraId="3499359F" w14:textId="77777777" w:rsidR="00966B8F" w:rsidRPr="001775D9" w:rsidRDefault="00966B8F" w:rsidP="00B63B7D">
      <w:pPr>
        <w:keepNext/>
        <w:spacing w:line="240" w:lineRule="auto"/>
        <w:rPr>
          <w:szCs w:val="22"/>
        </w:rPr>
      </w:pPr>
      <w:r w:rsidRPr="001775D9">
        <w:rPr>
          <w:szCs w:val="22"/>
        </w:rPr>
        <w:t>PC</w:t>
      </w:r>
    </w:p>
    <w:p w14:paraId="74AAE6CE" w14:textId="77777777" w:rsidR="00966B8F" w:rsidRPr="001775D9" w:rsidRDefault="00966B8F" w:rsidP="00B61D9D">
      <w:pPr>
        <w:keepNext/>
        <w:spacing w:line="240" w:lineRule="auto"/>
        <w:rPr>
          <w:szCs w:val="22"/>
        </w:rPr>
      </w:pPr>
      <w:r w:rsidRPr="001775D9">
        <w:rPr>
          <w:szCs w:val="22"/>
        </w:rPr>
        <w:t>SN</w:t>
      </w:r>
    </w:p>
    <w:p w14:paraId="5B656911" w14:textId="77777777" w:rsidR="00966B8F" w:rsidRPr="001775D9" w:rsidRDefault="00966B8F" w:rsidP="00B61D9D">
      <w:pPr>
        <w:spacing w:line="240" w:lineRule="auto"/>
        <w:rPr>
          <w:szCs w:val="22"/>
        </w:rPr>
      </w:pPr>
      <w:r w:rsidRPr="001775D9">
        <w:rPr>
          <w:szCs w:val="22"/>
        </w:rPr>
        <w:t xml:space="preserve">NN </w:t>
      </w:r>
    </w:p>
    <w:p w14:paraId="5C7C914F" w14:textId="77777777" w:rsidR="00966B8F" w:rsidRPr="001775D9" w:rsidRDefault="00966B8F" w:rsidP="00B61D9D">
      <w:pPr>
        <w:spacing w:line="240" w:lineRule="auto"/>
        <w:rPr>
          <w:szCs w:val="22"/>
        </w:rPr>
      </w:pPr>
      <w:r w:rsidRPr="001775D9">
        <w:br w:type="page"/>
      </w:r>
    </w:p>
    <w:p w14:paraId="31DF5F43"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615665D4"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4A8D63B6"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OUTER CARTON FOR PRE-FILLED PEN MULTIPACK (with blue box)</w:t>
      </w:r>
    </w:p>
    <w:p w14:paraId="2D3713F6" w14:textId="77777777" w:rsidR="00966B8F" w:rsidRPr="001775D9" w:rsidRDefault="00966B8F" w:rsidP="00B61D9D">
      <w:pPr>
        <w:keepNext/>
        <w:spacing w:line="240" w:lineRule="auto"/>
      </w:pPr>
    </w:p>
    <w:p w14:paraId="35058BDA" w14:textId="77777777" w:rsidR="00966B8F" w:rsidRPr="001775D9" w:rsidRDefault="00966B8F" w:rsidP="00B61D9D">
      <w:pPr>
        <w:keepNext/>
        <w:spacing w:line="240" w:lineRule="auto"/>
        <w:rPr>
          <w:szCs w:val="22"/>
        </w:rPr>
      </w:pPr>
    </w:p>
    <w:p w14:paraId="30D2E89D" w14:textId="17A83072"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VAULT_ND_cd1e26cd-9e41-4e1a-8dca-294ae578c8b4 \* MERGEFORMAT </w:instrText>
      </w:r>
      <w:r w:rsidR="001C55FB" w:rsidRPr="001775D9">
        <w:rPr>
          <w:b/>
        </w:rPr>
        <w:fldChar w:fldCharType="separate"/>
      </w:r>
      <w:r w:rsidR="001C55FB" w:rsidRPr="001775D9">
        <w:rPr>
          <w:b/>
        </w:rPr>
        <w:t xml:space="preserve"> </w:t>
      </w:r>
      <w:r w:rsidR="001C55FB" w:rsidRPr="001775D9">
        <w:rPr>
          <w:b/>
        </w:rPr>
        <w:fldChar w:fldCharType="end"/>
      </w:r>
    </w:p>
    <w:p w14:paraId="26328E47" w14:textId="77777777" w:rsidR="00966B8F" w:rsidRPr="001775D9" w:rsidRDefault="00966B8F" w:rsidP="00B61D9D">
      <w:pPr>
        <w:keepNext/>
        <w:spacing w:line="240" w:lineRule="auto"/>
        <w:rPr>
          <w:szCs w:val="22"/>
        </w:rPr>
      </w:pPr>
    </w:p>
    <w:p w14:paraId="7C88F8F4" w14:textId="3F06E48F" w:rsidR="00966B8F" w:rsidRPr="001775D9" w:rsidRDefault="00966B8F" w:rsidP="00B61D9D">
      <w:pPr>
        <w:keepNext/>
        <w:spacing w:line="240" w:lineRule="auto"/>
        <w:rPr>
          <w:szCs w:val="22"/>
        </w:rPr>
      </w:pPr>
      <w:r w:rsidRPr="001775D9">
        <w:rPr>
          <w:szCs w:val="22"/>
        </w:rPr>
        <w:t>AMGEVITA 40 mg solution for injection in pre-filled pen</w:t>
      </w:r>
    </w:p>
    <w:p w14:paraId="2DC3AD91" w14:textId="77777777" w:rsidR="00966B8F" w:rsidRPr="001775D9" w:rsidRDefault="00966B8F" w:rsidP="00B61D9D">
      <w:pPr>
        <w:keepNext/>
        <w:spacing w:line="240" w:lineRule="auto"/>
        <w:rPr>
          <w:szCs w:val="22"/>
        </w:rPr>
      </w:pPr>
      <w:r w:rsidRPr="001775D9">
        <w:t>adalimumab</w:t>
      </w:r>
    </w:p>
    <w:p w14:paraId="46E65025" w14:textId="77777777" w:rsidR="00966B8F" w:rsidRPr="001775D9" w:rsidRDefault="00966B8F" w:rsidP="00B61D9D">
      <w:pPr>
        <w:keepNext/>
        <w:spacing w:line="240" w:lineRule="auto"/>
        <w:rPr>
          <w:szCs w:val="22"/>
        </w:rPr>
      </w:pPr>
    </w:p>
    <w:p w14:paraId="0C9D6553" w14:textId="77777777" w:rsidR="00966B8F" w:rsidRPr="001775D9" w:rsidRDefault="00966B8F" w:rsidP="00B61D9D">
      <w:pPr>
        <w:keepNext/>
        <w:spacing w:line="240" w:lineRule="auto"/>
        <w:rPr>
          <w:szCs w:val="22"/>
        </w:rPr>
      </w:pPr>
    </w:p>
    <w:p w14:paraId="0D44D861" w14:textId="40D9E05A"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VAULT_ND_d37e9f8d-f17f-4b3d-8a59-6ca0d2d71a87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52DAFB2" w14:textId="77777777" w:rsidR="00966B8F" w:rsidRPr="001775D9" w:rsidRDefault="00966B8F" w:rsidP="00B61D9D">
      <w:pPr>
        <w:spacing w:line="240" w:lineRule="auto"/>
        <w:rPr>
          <w:szCs w:val="22"/>
        </w:rPr>
      </w:pPr>
    </w:p>
    <w:p w14:paraId="64BA0AD1" w14:textId="77777777" w:rsidR="00966B8F" w:rsidRPr="001775D9" w:rsidRDefault="00966B8F" w:rsidP="00B61D9D">
      <w:pPr>
        <w:spacing w:line="240" w:lineRule="auto"/>
        <w:rPr>
          <w:szCs w:val="22"/>
        </w:rPr>
      </w:pPr>
      <w:r w:rsidRPr="001775D9">
        <w:rPr>
          <w:szCs w:val="22"/>
          <w:lang w:eastAsia="en-GB"/>
        </w:rPr>
        <w:t xml:space="preserve">Each pre-filled pen contains 40 mg of adalimumab </w:t>
      </w:r>
      <w:r w:rsidRPr="001775D9">
        <w:rPr>
          <w:szCs w:val="22"/>
        </w:rPr>
        <w:t>in 0.4 mL of solution.</w:t>
      </w:r>
    </w:p>
    <w:p w14:paraId="503DD4E2" w14:textId="77777777" w:rsidR="00966B8F" w:rsidRPr="001775D9" w:rsidRDefault="00966B8F" w:rsidP="00B61D9D">
      <w:pPr>
        <w:spacing w:line="240" w:lineRule="auto"/>
        <w:rPr>
          <w:szCs w:val="22"/>
        </w:rPr>
      </w:pPr>
    </w:p>
    <w:p w14:paraId="6F1CBD96" w14:textId="77777777" w:rsidR="00966B8F" w:rsidRPr="001775D9" w:rsidRDefault="00966B8F" w:rsidP="00B61D9D">
      <w:pPr>
        <w:spacing w:line="240" w:lineRule="auto"/>
        <w:rPr>
          <w:szCs w:val="22"/>
        </w:rPr>
      </w:pPr>
    </w:p>
    <w:p w14:paraId="3CA21B61" w14:textId="69D93EB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VAULT_ND_1281400d-9e5b-4da0-bd5a-623464e7a081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20123B1" w14:textId="77777777" w:rsidR="00966B8F" w:rsidRPr="001775D9" w:rsidRDefault="00966B8F" w:rsidP="00B61D9D">
      <w:pPr>
        <w:spacing w:line="240" w:lineRule="auto"/>
        <w:rPr>
          <w:szCs w:val="22"/>
        </w:rPr>
      </w:pPr>
    </w:p>
    <w:p w14:paraId="70C313C4"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458"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06DA3793" w14:textId="77777777" w:rsidR="00966B8F" w:rsidRPr="001775D9" w:rsidRDefault="00966B8F" w:rsidP="00B61D9D">
      <w:pPr>
        <w:spacing w:line="240" w:lineRule="auto"/>
        <w:rPr>
          <w:szCs w:val="22"/>
        </w:rPr>
      </w:pPr>
    </w:p>
    <w:p w14:paraId="7C92AF22" w14:textId="77777777" w:rsidR="00966B8F" w:rsidRPr="001775D9" w:rsidRDefault="00966B8F" w:rsidP="00B61D9D">
      <w:pPr>
        <w:spacing w:line="240" w:lineRule="auto"/>
        <w:rPr>
          <w:szCs w:val="22"/>
        </w:rPr>
      </w:pPr>
    </w:p>
    <w:p w14:paraId="2255960D" w14:textId="59D575FD"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VAULT_ND_0c15a938-d6da-4bdf-8cb6-1b4109a73762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86A3D60" w14:textId="77777777" w:rsidR="00966B8F" w:rsidRPr="001775D9" w:rsidRDefault="00966B8F" w:rsidP="00B61D9D">
      <w:pPr>
        <w:spacing w:line="240" w:lineRule="auto"/>
        <w:rPr>
          <w:szCs w:val="22"/>
        </w:rPr>
      </w:pPr>
    </w:p>
    <w:p w14:paraId="2EC15EBF" w14:textId="77777777" w:rsidR="00966B8F" w:rsidRPr="001775D9" w:rsidRDefault="00966B8F" w:rsidP="00B63B7D">
      <w:pPr>
        <w:tabs>
          <w:tab w:val="clear" w:pos="567"/>
        </w:tabs>
        <w:autoSpaceDE w:val="0"/>
        <w:autoSpaceDN w:val="0"/>
        <w:adjustRightInd w:val="0"/>
        <w:spacing w:line="240" w:lineRule="auto"/>
        <w:rPr>
          <w:szCs w:val="22"/>
          <w:shd w:val="pct15" w:color="auto" w:fill="FFFFFF"/>
          <w:lang w:eastAsia="en-GB"/>
        </w:rPr>
      </w:pPr>
      <w:r w:rsidRPr="001775D9">
        <w:rPr>
          <w:szCs w:val="22"/>
          <w:shd w:val="pct15" w:color="auto" w:fill="FFFFFF"/>
          <w:lang w:eastAsia="en-GB"/>
        </w:rPr>
        <w:t>Solution for injection</w:t>
      </w:r>
    </w:p>
    <w:p w14:paraId="26A6B058" w14:textId="42030326" w:rsidR="00BB0876" w:rsidRPr="001775D9" w:rsidRDefault="00BB0876" w:rsidP="00B63B7D">
      <w:pPr>
        <w:spacing w:line="240" w:lineRule="auto"/>
        <w:rPr>
          <w:szCs w:val="22"/>
        </w:rPr>
      </w:pPr>
      <w:r w:rsidRPr="001775D9">
        <w:rPr>
          <w:szCs w:val="22"/>
        </w:rPr>
        <w:t>40 mg/0.4 mL</w:t>
      </w:r>
    </w:p>
    <w:p w14:paraId="4B5C9B2E" w14:textId="2254B4BE" w:rsidR="00966B8F" w:rsidRPr="001775D9" w:rsidRDefault="00966B8F" w:rsidP="00B63B7D">
      <w:pPr>
        <w:spacing w:line="240" w:lineRule="auto"/>
        <w:rPr>
          <w:szCs w:val="22"/>
        </w:rPr>
      </w:pPr>
      <w:r w:rsidRPr="001775D9">
        <w:rPr>
          <w:szCs w:val="22"/>
        </w:rPr>
        <w:t xml:space="preserve">Multipack: 6 (3 packs of 2) </w:t>
      </w:r>
      <w:r w:rsidRPr="00D55B59">
        <w:rPr>
          <w:szCs w:val="22"/>
          <w:lang w:eastAsia="en-GB"/>
          <w:rPrChange w:id="2459" w:author="Author">
            <w:rPr>
              <w:szCs w:val="22"/>
              <w:lang w:val="en-US" w:eastAsia="en-GB"/>
            </w:rPr>
          </w:rPrChange>
        </w:rPr>
        <w:t>SureClick</w:t>
      </w:r>
      <w:r w:rsidRPr="001775D9">
        <w:rPr>
          <w:szCs w:val="22"/>
        </w:rPr>
        <w:t xml:space="preserve"> pre-filled pens.</w:t>
      </w:r>
    </w:p>
    <w:p w14:paraId="3ABA0CBA" w14:textId="77777777" w:rsidR="00966B8F" w:rsidRPr="001775D9" w:rsidRDefault="00966B8F" w:rsidP="00B61D9D">
      <w:pPr>
        <w:spacing w:line="240" w:lineRule="auto"/>
        <w:rPr>
          <w:szCs w:val="22"/>
        </w:rPr>
      </w:pPr>
    </w:p>
    <w:p w14:paraId="0E870D52" w14:textId="77777777" w:rsidR="00966B8F" w:rsidRPr="001775D9" w:rsidRDefault="00966B8F" w:rsidP="00B61D9D">
      <w:pPr>
        <w:spacing w:line="240" w:lineRule="auto"/>
        <w:rPr>
          <w:szCs w:val="22"/>
        </w:rPr>
      </w:pPr>
    </w:p>
    <w:p w14:paraId="6E16BCC8" w14:textId="5AC768C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VAULT_ND_99bbb760-c44d-422a-ace6-52ac8354abe9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955351F" w14:textId="77777777" w:rsidR="00966B8F" w:rsidRPr="001775D9" w:rsidRDefault="00966B8F" w:rsidP="00B61D9D">
      <w:pPr>
        <w:spacing w:line="240" w:lineRule="auto"/>
        <w:rPr>
          <w:szCs w:val="22"/>
        </w:rPr>
      </w:pPr>
    </w:p>
    <w:p w14:paraId="54E3D8D3" w14:textId="77777777" w:rsidR="00966B8F" w:rsidRPr="001775D9" w:rsidRDefault="00966B8F" w:rsidP="00B63B7D">
      <w:pPr>
        <w:spacing w:line="240" w:lineRule="auto"/>
        <w:rPr>
          <w:szCs w:val="22"/>
        </w:rPr>
      </w:pPr>
      <w:r w:rsidRPr="001775D9">
        <w:rPr>
          <w:szCs w:val="22"/>
        </w:rPr>
        <w:t>For subcutaneous use.</w:t>
      </w:r>
    </w:p>
    <w:p w14:paraId="44020C84" w14:textId="77777777" w:rsidR="00966B8F" w:rsidRPr="001775D9" w:rsidRDefault="00966B8F" w:rsidP="00B61D9D">
      <w:pPr>
        <w:spacing w:line="240" w:lineRule="auto"/>
        <w:rPr>
          <w:szCs w:val="22"/>
        </w:rPr>
      </w:pPr>
      <w:r w:rsidRPr="001775D9">
        <w:rPr>
          <w:szCs w:val="22"/>
        </w:rPr>
        <w:t>Read the package leaflet before use.</w:t>
      </w:r>
    </w:p>
    <w:p w14:paraId="1DA6F314" w14:textId="77777777" w:rsidR="00966B8F" w:rsidRPr="001775D9" w:rsidRDefault="00966B8F" w:rsidP="00B61D9D">
      <w:pPr>
        <w:spacing w:line="240" w:lineRule="auto"/>
        <w:rPr>
          <w:szCs w:val="22"/>
        </w:rPr>
      </w:pPr>
      <w:r w:rsidRPr="001775D9">
        <w:rPr>
          <w:szCs w:val="22"/>
        </w:rPr>
        <w:t>Single use only.</w:t>
      </w:r>
    </w:p>
    <w:p w14:paraId="28C818EA" w14:textId="77777777" w:rsidR="00966B8F" w:rsidRPr="001775D9" w:rsidRDefault="00966B8F" w:rsidP="00B61D9D">
      <w:pPr>
        <w:spacing w:line="240" w:lineRule="auto"/>
        <w:rPr>
          <w:szCs w:val="22"/>
        </w:rPr>
      </w:pPr>
    </w:p>
    <w:p w14:paraId="1F7089E6" w14:textId="77777777" w:rsidR="00966B8F" w:rsidRPr="001775D9" w:rsidRDefault="00966B8F" w:rsidP="00B61D9D">
      <w:pPr>
        <w:spacing w:line="240" w:lineRule="auto"/>
        <w:rPr>
          <w:szCs w:val="22"/>
        </w:rPr>
      </w:pPr>
    </w:p>
    <w:p w14:paraId="3B66FB92" w14:textId="1C1EF61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VAULT_ND_91fb51bc-a239-4bb9-9d77-2eda0fbd4e90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8CDE0A9" w14:textId="77777777" w:rsidR="00966B8F" w:rsidRPr="001775D9" w:rsidRDefault="00966B8F" w:rsidP="00B61D9D">
      <w:pPr>
        <w:spacing w:line="240" w:lineRule="auto"/>
        <w:rPr>
          <w:szCs w:val="22"/>
        </w:rPr>
      </w:pPr>
    </w:p>
    <w:p w14:paraId="0D309E52" w14:textId="132DE4E8"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vault_nd_6188a0c9-1ff0-4025-bb18-9a8eb2184efc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1D366B0F" w14:textId="77777777" w:rsidR="00966B8F" w:rsidRPr="001775D9" w:rsidRDefault="00966B8F" w:rsidP="00B61D9D">
      <w:pPr>
        <w:spacing w:line="240" w:lineRule="auto"/>
        <w:rPr>
          <w:szCs w:val="22"/>
        </w:rPr>
      </w:pPr>
    </w:p>
    <w:p w14:paraId="4BB5EBED" w14:textId="77777777" w:rsidR="00966B8F" w:rsidRPr="001775D9" w:rsidRDefault="00966B8F" w:rsidP="00B61D9D">
      <w:pPr>
        <w:spacing w:line="240" w:lineRule="auto"/>
        <w:rPr>
          <w:szCs w:val="22"/>
        </w:rPr>
      </w:pPr>
    </w:p>
    <w:p w14:paraId="1D28B5E5" w14:textId="068F3D4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VAULT_ND_4a68eeb4-230f-4dd2-8c2f-0bca03d864a7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DD6E104" w14:textId="77777777" w:rsidR="00966B8F" w:rsidRPr="001775D9" w:rsidRDefault="00966B8F" w:rsidP="00B61D9D">
      <w:pPr>
        <w:spacing w:line="240" w:lineRule="auto"/>
        <w:rPr>
          <w:szCs w:val="22"/>
        </w:rPr>
      </w:pPr>
    </w:p>
    <w:p w14:paraId="77833396" w14:textId="77777777" w:rsidR="00966B8F" w:rsidRPr="001775D9" w:rsidRDefault="00966B8F" w:rsidP="00B61D9D">
      <w:pPr>
        <w:tabs>
          <w:tab w:val="left" w:pos="749"/>
        </w:tabs>
        <w:spacing w:line="240" w:lineRule="auto"/>
      </w:pPr>
    </w:p>
    <w:p w14:paraId="7F5EF939" w14:textId="12B5C72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VAULT_ND_ed803672-a031-45f7-8e91-1753bcf63a7a \* MERGEFORMAT </w:instrText>
      </w:r>
      <w:r w:rsidR="001C55FB" w:rsidRPr="001775D9">
        <w:rPr>
          <w:b/>
        </w:rPr>
        <w:fldChar w:fldCharType="separate"/>
      </w:r>
      <w:r w:rsidR="001C55FB" w:rsidRPr="001775D9">
        <w:rPr>
          <w:b/>
        </w:rPr>
        <w:t xml:space="preserve"> </w:t>
      </w:r>
      <w:r w:rsidR="001C55FB" w:rsidRPr="001775D9">
        <w:rPr>
          <w:b/>
        </w:rPr>
        <w:fldChar w:fldCharType="end"/>
      </w:r>
    </w:p>
    <w:p w14:paraId="798C0A19" w14:textId="77777777" w:rsidR="00966B8F" w:rsidRPr="001775D9" w:rsidRDefault="00966B8F" w:rsidP="00B61D9D">
      <w:pPr>
        <w:spacing w:line="240" w:lineRule="auto"/>
      </w:pPr>
    </w:p>
    <w:p w14:paraId="0C6C4DCE" w14:textId="77777777" w:rsidR="00966B8F" w:rsidRPr="001775D9" w:rsidRDefault="00966B8F" w:rsidP="00B61D9D">
      <w:pPr>
        <w:spacing w:line="240" w:lineRule="auto"/>
        <w:rPr>
          <w:szCs w:val="22"/>
        </w:rPr>
      </w:pPr>
      <w:r w:rsidRPr="001775D9">
        <w:rPr>
          <w:szCs w:val="22"/>
        </w:rPr>
        <w:t xml:space="preserve">EXP </w:t>
      </w:r>
    </w:p>
    <w:p w14:paraId="31F1A0E4" w14:textId="77777777" w:rsidR="00966B8F" w:rsidRPr="001775D9" w:rsidRDefault="00966B8F" w:rsidP="00B61D9D">
      <w:pPr>
        <w:spacing w:line="240" w:lineRule="auto"/>
        <w:rPr>
          <w:szCs w:val="22"/>
        </w:rPr>
      </w:pPr>
    </w:p>
    <w:p w14:paraId="1DB6287E" w14:textId="77777777" w:rsidR="00966B8F" w:rsidRPr="001775D9" w:rsidRDefault="00966B8F" w:rsidP="00B61D9D">
      <w:pPr>
        <w:spacing w:line="240" w:lineRule="auto"/>
        <w:rPr>
          <w:szCs w:val="22"/>
        </w:rPr>
      </w:pPr>
    </w:p>
    <w:p w14:paraId="703C1F32" w14:textId="0C932B1E" w:rsidR="00966B8F" w:rsidRPr="001775D9" w:rsidRDefault="00966B8F" w:rsidP="00B61D9D">
      <w:pPr>
        <w:keepNext/>
        <w:keepLines/>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VAULT_ND_4856416d-7b5d-4e2d-848e-9fc60a48d20f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D85AE8F" w14:textId="77777777" w:rsidR="00966B8F" w:rsidRPr="001775D9" w:rsidRDefault="00966B8F" w:rsidP="00B61D9D">
      <w:pPr>
        <w:keepNext/>
        <w:keepLines/>
        <w:spacing w:line="240" w:lineRule="auto"/>
        <w:rPr>
          <w:szCs w:val="22"/>
        </w:rPr>
      </w:pPr>
    </w:p>
    <w:p w14:paraId="1C868549" w14:textId="77777777" w:rsidR="00966B8F" w:rsidRPr="001775D9" w:rsidRDefault="00966B8F" w:rsidP="00B63B7D">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6FB3F31F" w14:textId="77777777" w:rsidR="00966B8F" w:rsidRPr="001775D9" w:rsidRDefault="00966B8F" w:rsidP="00B63B7D">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6582CF8A" w14:textId="77777777" w:rsidR="00966B8F" w:rsidRPr="001775D9" w:rsidRDefault="00966B8F" w:rsidP="00B63B7D">
      <w:pPr>
        <w:keepNext/>
        <w:keepLines/>
        <w:spacing w:line="240" w:lineRule="auto"/>
        <w:rPr>
          <w:rFonts w:eastAsia="SimSun"/>
          <w:szCs w:val="22"/>
          <w:lang w:eastAsia="en-GB"/>
        </w:rPr>
      </w:pPr>
      <w:r w:rsidRPr="001775D9">
        <w:rPr>
          <w:rFonts w:eastAsia="SimSun"/>
          <w:szCs w:val="22"/>
          <w:lang w:eastAsia="en-GB"/>
        </w:rPr>
        <w:t>Store in the original carton in order to protect from light.</w:t>
      </w:r>
    </w:p>
    <w:p w14:paraId="6660D4E5" w14:textId="77777777" w:rsidR="00966B8F" w:rsidRPr="001775D9" w:rsidRDefault="00966B8F" w:rsidP="00B63B7D">
      <w:pPr>
        <w:spacing w:line="240" w:lineRule="auto"/>
        <w:rPr>
          <w:rFonts w:eastAsia="SimSun"/>
          <w:szCs w:val="22"/>
          <w:lang w:eastAsia="en-GB"/>
        </w:rPr>
      </w:pPr>
    </w:p>
    <w:p w14:paraId="2BD44762" w14:textId="77777777" w:rsidR="00966B8F" w:rsidRPr="001775D9" w:rsidRDefault="00966B8F" w:rsidP="00B63B7D">
      <w:pPr>
        <w:spacing w:line="240" w:lineRule="auto"/>
        <w:rPr>
          <w:rFonts w:eastAsia="SimSun"/>
          <w:szCs w:val="22"/>
          <w:lang w:eastAsia="en-GB"/>
        </w:rPr>
      </w:pPr>
    </w:p>
    <w:p w14:paraId="09C34D8D" w14:textId="3A453F5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VAULT_ND_a6829dc8-464f-4cae-8d6a-f36706c99dc0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482D09F" w14:textId="77777777" w:rsidR="00966B8F" w:rsidRPr="001775D9" w:rsidRDefault="00966B8F" w:rsidP="00B61D9D">
      <w:pPr>
        <w:spacing w:line="240" w:lineRule="auto"/>
        <w:rPr>
          <w:szCs w:val="22"/>
        </w:rPr>
      </w:pPr>
    </w:p>
    <w:p w14:paraId="498A38A8" w14:textId="77777777" w:rsidR="00966B8F" w:rsidRPr="001775D9" w:rsidRDefault="00966B8F" w:rsidP="00B61D9D">
      <w:pPr>
        <w:spacing w:line="240" w:lineRule="auto"/>
        <w:rPr>
          <w:szCs w:val="22"/>
        </w:rPr>
      </w:pPr>
    </w:p>
    <w:p w14:paraId="56AC5727" w14:textId="4A5E27FD"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VAULT_ND_765d0f4d-a3bf-4625-9438-b85db220f7ba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C985001" w14:textId="77777777" w:rsidR="00966B8F" w:rsidRPr="001775D9" w:rsidRDefault="00966B8F" w:rsidP="00B61D9D">
      <w:pPr>
        <w:spacing w:line="240" w:lineRule="auto"/>
        <w:rPr>
          <w:szCs w:val="22"/>
        </w:rPr>
      </w:pPr>
    </w:p>
    <w:p w14:paraId="6A421239"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460" w:author="Author">
            <w:rPr>
              <w:rFonts w:eastAsia="SimSun"/>
              <w:szCs w:val="22"/>
              <w:lang w:val="sv-SE" w:eastAsia="en-GB"/>
            </w:rPr>
          </w:rPrChange>
        </w:rPr>
      </w:pPr>
      <w:r w:rsidRPr="00D55B59">
        <w:rPr>
          <w:rFonts w:eastAsia="SimSun"/>
          <w:szCs w:val="22"/>
          <w:lang w:eastAsia="en-GB"/>
          <w:rPrChange w:id="2461" w:author="Author">
            <w:rPr>
              <w:rFonts w:eastAsia="SimSun"/>
              <w:szCs w:val="22"/>
              <w:lang w:val="sv-SE" w:eastAsia="en-GB"/>
            </w:rPr>
          </w:rPrChange>
        </w:rPr>
        <w:t>Amgen Europe B.V.</w:t>
      </w:r>
    </w:p>
    <w:p w14:paraId="03C20913"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462" w:author="Author">
            <w:rPr>
              <w:rFonts w:eastAsia="SimSun"/>
              <w:szCs w:val="22"/>
              <w:lang w:val="sv-SE" w:eastAsia="en-GB"/>
            </w:rPr>
          </w:rPrChange>
        </w:rPr>
      </w:pPr>
      <w:r w:rsidRPr="00D55B59">
        <w:rPr>
          <w:rFonts w:eastAsia="SimSun"/>
          <w:szCs w:val="22"/>
          <w:lang w:eastAsia="en-GB"/>
          <w:rPrChange w:id="2463" w:author="Author">
            <w:rPr>
              <w:rFonts w:eastAsia="SimSun"/>
              <w:szCs w:val="22"/>
              <w:lang w:val="sv-SE" w:eastAsia="en-GB"/>
            </w:rPr>
          </w:rPrChange>
        </w:rPr>
        <w:t>Minervum 7061,</w:t>
      </w:r>
    </w:p>
    <w:p w14:paraId="45E2D4C0" w14:textId="77777777" w:rsidR="00966B8F" w:rsidRPr="001775D9" w:rsidRDefault="00966B8F" w:rsidP="00B63B7D">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2A08A218" w14:textId="77777777" w:rsidR="00966B8F" w:rsidRPr="001775D9" w:rsidRDefault="00966B8F" w:rsidP="00B63B7D">
      <w:pPr>
        <w:spacing w:line="240" w:lineRule="auto"/>
        <w:rPr>
          <w:szCs w:val="22"/>
        </w:rPr>
      </w:pPr>
      <w:r w:rsidRPr="001775D9">
        <w:rPr>
          <w:rFonts w:eastAsia="SimSun"/>
          <w:szCs w:val="22"/>
          <w:lang w:eastAsia="en-GB"/>
        </w:rPr>
        <w:t>The Netherlands</w:t>
      </w:r>
      <w:r w:rsidRPr="001775D9">
        <w:rPr>
          <w:i/>
          <w:szCs w:val="22"/>
        </w:rPr>
        <w:t xml:space="preserve"> </w:t>
      </w:r>
    </w:p>
    <w:p w14:paraId="283F2C1E" w14:textId="77777777" w:rsidR="00966B8F" w:rsidRPr="001775D9" w:rsidRDefault="00966B8F" w:rsidP="00B61D9D">
      <w:pPr>
        <w:spacing w:line="240" w:lineRule="auto"/>
        <w:rPr>
          <w:szCs w:val="22"/>
        </w:rPr>
      </w:pPr>
    </w:p>
    <w:p w14:paraId="1A8C339F" w14:textId="77777777" w:rsidR="00966B8F" w:rsidRPr="001775D9" w:rsidRDefault="00966B8F" w:rsidP="00B61D9D">
      <w:pPr>
        <w:spacing w:line="240" w:lineRule="auto"/>
        <w:rPr>
          <w:szCs w:val="22"/>
        </w:rPr>
      </w:pPr>
    </w:p>
    <w:p w14:paraId="0FA5217F" w14:textId="1626BDD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VAULT_ND_2a1cfc79-ba58-4de7-8f3e-72833c70cc08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D02CA98" w14:textId="77777777" w:rsidR="00966B8F" w:rsidRPr="001775D9" w:rsidRDefault="00966B8F" w:rsidP="00B61D9D">
      <w:pPr>
        <w:spacing w:line="240" w:lineRule="auto"/>
        <w:rPr>
          <w:szCs w:val="22"/>
        </w:rPr>
      </w:pPr>
    </w:p>
    <w:p w14:paraId="7F2311AA" w14:textId="5AC8C488" w:rsidR="00966B8F" w:rsidRPr="001775D9" w:rsidRDefault="00966B8F" w:rsidP="00B63B7D">
      <w:pPr>
        <w:spacing w:line="240" w:lineRule="auto"/>
        <w:outlineLvl w:val="0"/>
        <w:rPr>
          <w:szCs w:val="22"/>
        </w:rPr>
      </w:pPr>
      <w:r w:rsidRPr="001775D9">
        <w:rPr>
          <w:color w:val="000000"/>
        </w:rPr>
        <w:t>EU/1/16/1164/016</w:t>
      </w:r>
      <w:r w:rsidR="001C55FB" w:rsidRPr="001775D9">
        <w:rPr>
          <w:color w:val="000000"/>
        </w:rPr>
        <w:fldChar w:fldCharType="begin"/>
      </w:r>
      <w:r w:rsidR="001C55FB" w:rsidRPr="001775D9">
        <w:rPr>
          <w:color w:val="000000"/>
        </w:rPr>
        <w:instrText xml:space="preserve"> DOCVARIABLE VAULT_ND_bd6e0e6b-b8f3-4c84-bfc9-cb0f85b0f702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7F69AEE6" w14:textId="77777777" w:rsidR="00966B8F" w:rsidRPr="001775D9" w:rsidRDefault="00966B8F" w:rsidP="00B61D9D">
      <w:pPr>
        <w:spacing w:line="240" w:lineRule="auto"/>
        <w:rPr>
          <w:szCs w:val="22"/>
        </w:rPr>
      </w:pPr>
    </w:p>
    <w:p w14:paraId="1467AF69" w14:textId="77777777" w:rsidR="00966B8F" w:rsidRPr="001775D9" w:rsidRDefault="00966B8F" w:rsidP="00B61D9D">
      <w:pPr>
        <w:spacing w:line="240" w:lineRule="auto"/>
        <w:rPr>
          <w:szCs w:val="22"/>
        </w:rPr>
      </w:pPr>
    </w:p>
    <w:p w14:paraId="68C0FA60" w14:textId="73E4ECA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VAULT_ND_9aef1089-7e14-44cd-bc78-0439ca6fd8c5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E522DA9" w14:textId="77777777" w:rsidR="00966B8F" w:rsidRPr="001775D9" w:rsidRDefault="00966B8F" w:rsidP="00B61D9D">
      <w:pPr>
        <w:spacing w:line="240" w:lineRule="auto"/>
        <w:rPr>
          <w:i/>
          <w:szCs w:val="22"/>
        </w:rPr>
      </w:pPr>
    </w:p>
    <w:p w14:paraId="41AE7EBE" w14:textId="77777777" w:rsidR="00966B8F" w:rsidRPr="001775D9" w:rsidRDefault="00966B8F" w:rsidP="00B61D9D">
      <w:pPr>
        <w:spacing w:line="240" w:lineRule="auto"/>
        <w:rPr>
          <w:szCs w:val="22"/>
        </w:rPr>
      </w:pPr>
      <w:r w:rsidRPr="001775D9">
        <w:rPr>
          <w:szCs w:val="22"/>
        </w:rPr>
        <w:t>Lot</w:t>
      </w:r>
    </w:p>
    <w:p w14:paraId="5E410A66" w14:textId="77777777" w:rsidR="00966B8F" w:rsidRPr="001775D9" w:rsidRDefault="00966B8F" w:rsidP="00B61D9D">
      <w:pPr>
        <w:spacing w:line="240" w:lineRule="auto"/>
        <w:rPr>
          <w:szCs w:val="22"/>
        </w:rPr>
      </w:pPr>
    </w:p>
    <w:p w14:paraId="0038E0EC" w14:textId="77777777" w:rsidR="00966B8F" w:rsidRPr="001775D9" w:rsidRDefault="00966B8F" w:rsidP="00B61D9D">
      <w:pPr>
        <w:spacing w:line="240" w:lineRule="auto"/>
        <w:rPr>
          <w:szCs w:val="22"/>
        </w:rPr>
      </w:pPr>
    </w:p>
    <w:p w14:paraId="2119667F" w14:textId="24D1FDD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VAULT_ND_1b1e8f9e-d7d3-4572-9259-ecba938564c4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67DE8C8" w14:textId="77777777" w:rsidR="00966B8F" w:rsidRPr="001775D9" w:rsidRDefault="00966B8F" w:rsidP="00B61D9D">
      <w:pPr>
        <w:spacing w:line="240" w:lineRule="auto"/>
        <w:rPr>
          <w:i/>
          <w:szCs w:val="22"/>
        </w:rPr>
      </w:pPr>
    </w:p>
    <w:p w14:paraId="0758364C" w14:textId="77777777" w:rsidR="00966B8F" w:rsidRPr="001775D9" w:rsidRDefault="00966B8F" w:rsidP="00B61D9D">
      <w:pPr>
        <w:spacing w:line="240" w:lineRule="auto"/>
        <w:rPr>
          <w:szCs w:val="22"/>
        </w:rPr>
      </w:pPr>
    </w:p>
    <w:p w14:paraId="5E27BBD4" w14:textId="460C21E6"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VAULT_ND_e9cac690-0fc5-4811-864d-69ff97452beb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55D9307" w14:textId="77777777" w:rsidR="00966B8F" w:rsidRPr="001775D9" w:rsidRDefault="00966B8F" w:rsidP="00B61D9D">
      <w:pPr>
        <w:spacing w:line="240" w:lineRule="auto"/>
        <w:rPr>
          <w:szCs w:val="22"/>
        </w:rPr>
      </w:pPr>
    </w:p>
    <w:p w14:paraId="61DE334E" w14:textId="77777777" w:rsidR="00966B8F" w:rsidRPr="001775D9" w:rsidRDefault="00966B8F" w:rsidP="00B61D9D">
      <w:pPr>
        <w:spacing w:line="240" w:lineRule="auto"/>
        <w:rPr>
          <w:szCs w:val="22"/>
        </w:rPr>
      </w:pPr>
    </w:p>
    <w:p w14:paraId="24632748" w14:textId="77777777" w:rsidR="00966B8F" w:rsidRPr="001775D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0AE6B6DF" w14:textId="77777777" w:rsidR="00966B8F" w:rsidRPr="001775D9" w:rsidRDefault="00966B8F" w:rsidP="00B61D9D">
      <w:pPr>
        <w:spacing w:line="240" w:lineRule="auto"/>
      </w:pPr>
    </w:p>
    <w:p w14:paraId="500247F3" w14:textId="01CD6129" w:rsidR="00966B8F" w:rsidRPr="001775D9" w:rsidRDefault="00966B8F" w:rsidP="00B61D9D">
      <w:pPr>
        <w:spacing w:line="240" w:lineRule="auto"/>
      </w:pPr>
      <w:r w:rsidRPr="001775D9">
        <w:t>AMGEVITA 40 mg</w:t>
      </w:r>
      <w:r w:rsidR="00BB0876" w:rsidRPr="001775D9">
        <w:t>/0.4 mL</w:t>
      </w:r>
      <w:r w:rsidRPr="001775D9">
        <w:t xml:space="preserve"> pen</w:t>
      </w:r>
    </w:p>
    <w:p w14:paraId="028F254D" w14:textId="77777777" w:rsidR="00966B8F" w:rsidRPr="00D55B59" w:rsidRDefault="00966B8F" w:rsidP="00B63B7D">
      <w:pPr>
        <w:spacing w:line="240" w:lineRule="auto"/>
        <w:rPr>
          <w:szCs w:val="22"/>
          <w:shd w:val="clear" w:color="auto" w:fill="CCCCCC"/>
          <w:rPrChange w:id="2464" w:author="Author">
            <w:rPr>
              <w:noProof/>
              <w:szCs w:val="22"/>
              <w:shd w:val="clear" w:color="auto" w:fill="CCCCCC"/>
            </w:rPr>
          </w:rPrChange>
        </w:rPr>
      </w:pPr>
    </w:p>
    <w:p w14:paraId="48969D4A" w14:textId="77777777" w:rsidR="00966B8F" w:rsidRPr="00D55B59" w:rsidRDefault="00966B8F" w:rsidP="00B63B7D">
      <w:pPr>
        <w:spacing w:line="240" w:lineRule="auto"/>
        <w:rPr>
          <w:szCs w:val="22"/>
          <w:shd w:val="clear" w:color="auto" w:fill="CCCCCC"/>
          <w:rPrChange w:id="2465" w:author="Author">
            <w:rPr>
              <w:noProof/>
              <w:szCs w:val="22"/>
              <w:shd w:val="clear" w:color="auto" w:fill="CCCCCC"/>
            </w:rPr>
          </w:rPrChange>
        </w:rPr>
      </w:pPr>
    </w:p>
    <w:p w14:paraId="551D0111" w14:textId="77777777" w:rsidR="00966B8F" w:rsidRPr="00D55B59" w:rsidRDefault="00966B8F" w:rsidP="00B63B7D">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466" w:author="Author">
            <w:rPr>
              <w:i/>
              <w:noProof/>
            </w:rPr>
          </w:rPrChange>
        </w:rPr>
      </w:pPr>
      <w:r w:rsidRPr="00D55B59">
        <w:rPr>
          <w:b/>
          <w:rPrChange w:id="2467" w:author="Author">
            <w:rPr>
              <w:b/>
              <w:noProof/>
            </w:rPr>
          </w:rPrChange>
        </w:rPr>
        <w:t>17.</w:t>
      </w:r>
      <w:r w:rsidRPr="00D55B59">
        <w:rPr>
          <w:b/>
          <w:rPrChange w:id="2468" w:author="Author">
            <w:rPr>
              <w:b/>
              <w:noProof/>
            </w:rPr>
          </w:rPrChange>
        </w:rPr>
        <w:tab/>
        <w:t>UNIQUE IDENTIFIER – 2D BARCODE</w:t>
      </w:r>
    </w:p>
    <w:p w14:paraId="54BECA35" w14:textId="77777777" w:rsidR="00966B8F" w:rsidRPr="00D55B59" w:rsidRDefault="00966B8F" w:rsidP="00B63B7D">
      <w:pPr>
        <w:tabs>
          <w:tab w:val="clear" w:pos="567"/>
        </w:tabs>
        <w:spacing w:line="240" w:lineRule="auto"/>
        <w:rPr>
          <w:rPrChange w:id="2469" w:author="Author">
            <w:rPr>
              <w:noProof/>
            </w:rPr>
          </w:rPrChange>
        </w:rPr>
      </w:pPr>
    </w:p>
    <w:p w14:paraId="366035B6" w14:textId="77777777" w:rsidR="00966B8F" w:rsidRPr="00D55B59" w:rsidRDefault="00966B8F" w:rsidP="00B63B7D">
      <w:pPr>
        <w:spacing w:line="240" w:lineRule="auto"/>
        <w:rPr>
          <w:szCs w:val="22"/>
          <w:shd w:val="clear" w:color="auto" w:fill="CCCCCC"/>
          <w:rPrChange w:id="2470" w:author="Author">
            <w:rPr>
              <w:noProof/>
              <w:szCs w:val="22"/>
              <w:shd w:val="clear" w:color="auto" w:fill="CCCCCC"/>
            </w:rPr>
          </w:rPrChange>
        </w:rPr>
      </w:pPr>
      <w:r w:rsidRPr="00D55B59">
        <w:rPr>
          <w:highlight w:val="lightGray"/>
          <w:rPrChange w:id="2471" w:author="Author">
            <w:rPr>
              <w:noProof/>
              <w:highlight w:val="lightGray"/>
            </w:rPr>
          </w:rPrChange>
        </w:rPr>
        <w:t>2D barcode carrying the unique identifier included.</w:t>
      </w:r>
    </w:p>
    <w:p w14:paraId="23F95485" w14:textId="77777777" w:rsidR="00966B8F" w:rsidRPr="00D55B59" w:rsidRDefault="00966B8F" w:rsidP="00B63B7D">
      <w:pPr>
        <w:spacing w:line="240" w:lineRule="auto"/>
        <w:rPr>
          <w:szCs w:val="22"/>
          <w:shd w:val="clear" w:color="auto" w:fill="CCCCCC"/>
          <w:rPrChange w:id="2472" w:author="Author">
            <w:rPr>
              <w:noProof/>
              <w:szCs w:val="22"/>
              <w:shd w:val="clear" w:color="auto" w:fill="CCCCCC"/>
            </w:rPr>
          </w:rPrChange>
        </w:rPr>
      </w:pPr>
    </w:p>
    <w:p w14:paraId="2F2C3E25" w14:textId="77777777" w:rsidR="00966B8F" w:rsidRPr="00D55B59" w:rsidRDefault="00966B8F" w:rsidP="00B63B7D">
      <w:pPr>
        <w:tabs>
          <w:tab w:val="clear" w:pos="567"/>
        </w:tabs>
        <w:spacing w:line="240" w:lineRule="auto"/>
        <w:rPr>
          <w:rPrChange w:id="2473" w:author="Author">
            <w:rPr>
              <w:noProof/>
            </w:rPr>
          </w:rPrChange>
        </w:rPr>
      </w:pPr>
    </w:p>
    <w:p w14:paraId="4F58E463" w14:textId="77777777" w:rsidR="00966B8F" w:rsidRPr="00D55B59" w:rsidRDefault="00966B8F" w:rsidP="00B63B7D">
      <w:pPr>
        <w:keepNext/>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474" w:author="Author">
            <w:rPr>
              <w:i/>
              <w:noProof/>
            </w:rPr>
          </w:rPrChange>
        </w:rPr>
      </w:pPr>
      <w:r w:rsidRPr="00D55B59">
        <w:rPr>
          <w:b/>
          <w:rPrChange w:id="2475" w:author="Author">
            <w:rPr>
              <w:b/>
              <w:noProof/>
            </w:rPr>
          </w:rPrChange>
        </w:rPr>
        <w:t>18.</w:t>
      </w:r>
      <w:r w:rsidRPr="00D55B59">
        <w:rPr>
          <w:b/>
          <w:rPrChange w:id="2476" w:author="Author">
            <w:rPr>
              <w:b/>
              <w:noProof/>
            </w:rPr>
          </w:rPrChange>
        </w:rPr>
        <w:tab/>
        <w:t xml:space="preserve">UNIQUE IDENTIFIER </w:t>
      </w:r>
      <w:r w:rsidRPr="001775D9">
        <w:rPr>
          <w:rFonts w:eastAsia="Calibri"/>
        </w:rPr>
        <w:t>-</w:t>
      </w:r>
      <w:r w:rsidRPr="00D55B59">
        <w:rPr>
          <w:b/>
          <w:rPrChange w:id="2477" w:author="Author">
            <w:rPr>
              <w:b/>
              <w:noProof/>
            </w:rPr>
          </w:rPrChange>
        </w:rPr>
        <w:t xml:space="preserve"> HUMAN READABLE DATA</w:t>
      </w:r>
    </w:p>
    <w:p w14:paraId="203E86BA" w14:textId="77777777" w:rsidR="00966B8F" w:rsidRPr="00D55B59" w:rsidRDefault="00966B8F" w:rsidP="00B63B7D">
      <w:pPr>
        <w:keepNext/>
        <w:tabs>
          <w:tab w:val="clear" w:pos="567"/>
        </w:tabs>
        <w:spacing w:line="240" w:lineRule="auto"/>
        <w:rPr>
          <w:rPrChange w:id="2478" w:author="Author">
            <w:rPr>
              <w:noProof/>
            </w:rPr>
          </w:rPrChange>
        </w:rPr>
      </w:pPr>
    </w:p>
    <w:p w14:paraId="19C36277" w14:textId="77777777" w:rsidR="00966B8F" w:rsidRPr="001775D9" w:rsidRDefault="00966B8F" w:rsidP="00B63B7D">
      <w:pPr>
        <w:keepNext/>
        <w:spacing w:line="240" w:lineRule="auto"/>
        <w:rPr>
          <w:szCs w:val="22"/>
        </w:rPr>
      </w:pPr>
      <w:r w:rsidRPr="001775D9">
        <w:rPr>
          <w:szCs w:val="22"/>
        </w:rPr>
        <w:t>PC</w:t>
      </w:r>
    </w:p>
    <w:p w14:paraId="77A54159" w14:textId="77777777" w:rsidR="00966B8F" w:rsidRPr="001775D9" w:rsidRDefault="00966B8F" w:rsidP="00B61D9D">
      <w:pPr>
        <w:keepNext/>
        <w:spacing w:line="240" w:lineRule="auto"/>
        <w:rPr>
          <w:szCs w:val="22"/>
        </w:rPr>
      </w:pPr>
      <w:r w:rsidRPr="001775D9">
        <w:rPr>
          <w:szCs w:val="22"/>
        </w:rPr>
        <w:t>SN</w:t>
      </w:r>
    </w:p>
    <w:p w14:paraId="19C8F689" w14:textId="77777777" w:rsidR="00966B8F" w:rsidRPr="001775D9" w:rsidRDefault="00966B8F" w:rsidP="00B61D9D">
      <w:pPr>
        <w:keepNext/>
        <w:spacing w:line="240" w:lineRule="auto"/>
        <w:rPr>
          <w:szCs w:val="22"/>
        </w:rPr>
      </w:pPr>
      <w:r w:rsidRPr="001775D9">
        <w:rPr>
          <w:szCs w:val="22"/>
        </w:rPr>
        <w:t>NN</w:t>
      </w:r>
    </w:p>
    <w:p w14:paraId="4DA69B58" w14:textId="77777777" w:rsidR="00966B8F" w:rsidRPr="00D55B59" w:rsidRDefault="00966B8F" w:rsidP="00B61D9D">
      <w:pPr>
        <w:keepNext/>
        <w:spacing w:line="240" w:lineRule="auto"/>
        <w:rPr>
          <w:vanish/>
          <w:szCs w:val="22"/>
          <w:rPrChange w:id="2479" w:author="Author">
            <w:rPr>
              <w:noProof/>
              <w:vanish/>
              <w:szCs w:val="22"/>
            </w:rPr>
          </w:rPrChange>
        </w:rPr>
      </w:pPr>
      <w:r w:rsidRPr="001775D9">
        <w:rPr>
          <w:szCs w:val="22"/>
        </w:rPr>
        <w:br w:type="page"/>
      </w:r>
    </w:p>
    <w:p w14:paraId="0BA253F1" w14:textId="77777777" w:rsidR="00966B8F" w:rsidRPr="001775D9" w:rsidRDefault="00966B8F" w:rsidP="00B61D9D">
      <w:pPr>
        <w:spacing w:line="240" w:lineRule="auto"/>
      </w:pPr>
    </w:p>
    <w:p w14:paraId="6D7AF746"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216D3783"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75F75276"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INTERMEDIATE CARTON OF PRE-FILLED PEN MULTIPACK (without blue box)</w:t>
      </w:r>
    </w:p>
    <w:p w14:paraId="2C2369B6" w14:textId="77777777" w:rsidR="00966B8F" w:rsidRPr="001775D9" w:rsidRDefault="00966B8F" w:rsidP="00B61D9D">
      <w:pPr>
        <w:keepNext/>
        <w:spacing w:line="240" w:lineRule="auto"/>
      </w:pPr>
    </w:p>
    <w:p w14:paraId="659B33DF" w14:textId="77777777" w:rsidR="00966B8F" w:rsidRPr="001775D9" w:rsidRDefault="00966B8F" w:rsidP="00B61D9D">
      <w:pPr>
        <w:keepNext/>
        <w:spacing w:line="240" w:lineRule="auto"/>
        <w:rPr>
          <w:szCs w:val="22"/>
        </w:rPr>
      </w:pPr>
    </w:p>
    <w:p w14:paraId="0E21DA2A" w14:textId="6500405F"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VAULT_ND_c98a3d4f-4ddf-450f-a21a-bc0883bb8866 \* MERGEFORMAT </w:instrText>
      </w:r>
      <w:r w:rsidR="001C55FB" w:rsidRPr="001775D9">
        <w:rPr>
          <w:b/>
        </w:rPr>
        <w:fldChar w:fldCharType="separate"/>
      </w:r>
      <w:r w:rsidR="001C55FB" w:rsidRPr="001775D9">
        <w:rPr>
          <w:b/>
        </w:rPr>
        <w:t xml:space="preserve"> </w:t>
      </w:r>
      <w:r w:rsidR="001C55FB" w:rsidRPr="001775D9">
        <w:rPr>
          <w:b/>
        </w:rPr>
        <w:fldChar w:fldCharType="end"/>
      </w:r>
    </w:p>
    <w:p w14:paraId="43BB432A" w14:textId="77777777" w:rsidR="00966B8F" w:rsidRPr="001775D9" w:rsidRDefault="00966B8F" w:rsidP="00B61D9D">
      <w:pPr>
        <w:keepNext/>
        <w:spacing w:line="240" w:lineRule="auto"/>
        <w:rPr>
          <w:szCs w:val="22"/>
        </w:rPr>
      </w:pPr>
    </w:p>
    <w:p w14:paraId="020C8E29" w14:textId="10DCEEAE" w:rsidR="00966B8F" w:rsidRPr="001775D9" w:rsidRDefault="00966B8F" w:rsidP="00B61D9D">
      <w:pPr>
        <w:keepNext/>
        <w:spacing w:line="240" w:lineRule="auto"/>
        <w:rPr>
          <w:szCs w:val="22"/>
        </w:rPr>
      </w:pPr>
      <w:r w:rsidRPr="001775D9">
        <w:rPr>
          <w:szCs w:val="22"/>
        </w:rPr>
        <w:t>AMGEVITA 40 mg solution for injection in pre-filled pen</w:t>
      </w:r>
    </w:p>
    <w:p w14:paraId="36B65D96" w14:textId="77777777" w:rsidR="00966B8F" w:rsidRPr="001775D9" w:rsidRDefault="00966B8F" w:rsidP="00B61D9D">
      <w:pPr>
        <w:keepNext/>
        <w:spacing w:line="240" w:lineRule="auto"/>
        <w:rPr>
          <w:szCs w:val="22"/>
        </w:rPr>
      </w:pPr>
      <w:r w:rsidRPr="001775D9">
        <w:t>adalimumab</w:t>
      </w:r>
    </w:p>
    <w:p w14:paraId="0D312129" w14:textId="77777777" w:rsidR="00966B8F" w:rsidRPr="001775D9" w:rsidRDefault="00966B8F" w:rsidP="00B61D9D">
      <w:pPr>
        <w:keepNext/>
        <w:spacing w:line="240" w:lineRule="auto"/>
        <w:rPr>
          <w:szCs w:val="22"/>
        </w:rPr>
      </w:pPr>
    </w:p>
    <w:p w14:paraId="30D1C7F6" w14:textId="77777777" w:rsidR="00966B8F" w:rsidRPr="001775D9" w:rsidRDefault="00966B8F" w:rsidP="00B61D9D">
      <w:pPr>
        <w:keepNext/>
        <w:spacing w:line="240" w:lineRule="auto"/>
        <w:rPr>
          <w:szCs w:val="22"/>
        </w:rPr>
      </w:pPr>
    </w:p>
    <w:p w14:paraId="7AF0E654" w14:textId="37E6FAF8"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VAULT_ND_77749291-a8b4-4b9b-b00b-17fa2ea2148c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6C12D0A" w14:textId="77777777" w:rsidR="00966B8F" w:rsidRPr="001775D9" w:rsidRDefault="00966B8F" w:rsidP="00B61D9D">
      <w:pPr>
        <w:keepNext/>
        <w:spacing w:line="240" w:lineRule="auto"/>
        <w:rPr>
          <w:szCs w:val="22"/>
        </w:rPr>
      </w:pPr>
    </w:p>
    <w:p w14:paraId="3BE98A50" w14:textId="77777777" w:rsidR="00966B8F" w:rsidRPr="001775D9" w:rsidRDefault="00966B8F" w:rsidP="00B61D9D">
      <w:pPr>
        <w:spacing w:line="240" w:lineRule="auto"/>
        <w:rPr>
          <w:szCs w:val="22"/>
        </w:rPr>
      </w:pPr>
      <w:r w:rsidRPr="001775D9">
        <w:rPr>
          <w:szCs w:val="22"/>
          <w:lang w:eastAsia="en-GB"/>
        </w:rPr>
        <w:t xml:space="preserve">Each pre-filled pen contains 40 mg of adalimumab </w:t>
      </w:r>
      <w:r w:rsidRPr="001775D9">
        <w:rPr>
          <w:szCs w:val="22"/>
        </w:rPr>
        <w:t>in 0.4 mL of solution.</w:t>
      </w:r>
    </w:p>
    <w:p w14:paraId="096BE2F4" w14:textId="6FA602A1" w:rsidR="00966B8F" w:rsidRPr="001775D9" w:rsidRDefault="00966B8F" w:rsidP="00B61D9D">
      <w:pPr>
        <w:spacing w:line="240" w:lineRule="auto"/>
        <w:rPr>
          <w:szCs w:val="22"/>
        </w:rPr>
      </w:pPr>
    </w:p>
    <w:p w14:paraId="0AEE4D7C" w14:textId="77777777" w:rsidR="00966B8F" w:rsidRPr="001775D9" w:rsidRDefault="00966B8F" w:rsidP="00B61D9D">
      <w:pPr>
        <w:spacing w:line="240" w:lineRule="auto"/>
        <w:rPr>
          <w:szCs w:val="22"/>
        </w:rPr>
      </w:pPr>
    </w:p>
    <w:p w14:paraId="731F5347" w14:textId="67E21E0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VAULT_ND_46356a66-84b0-4926-a3a0-a1614b91e232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3CAC4B4" w14:textId="77777777" w:rsidR="00966B8F" w:rsidRPr="001775D9" w:rsidRDefault="00966B8F" w:rsidP="00B61D9D">
      <w:pPr>
        <w:spacing w:line="240" w:lineRule="auto"/>
        <w:rPr>
          <w:szCs w:val="22"/>
        </w:rPr>
      </w:pPr>
    </w:p>
    <w:p w14:paraId="64E8F53F"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480"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58155324" w14:textId="77777777" w:rsidR="00966B8F" w:rsidRPr="001775D9" w:rsidRDefault="00966B8F" w:rsidP="00B61D9D">
      <w:pPr>
        <w:spacing w:line="240" w:lineRule="auto"/>
        <w:rPr>
          <w:szCs w:val="22"/>
        </w:rPr>
      </w:pPr>
    </w:p>
    <w:p w14:paraId="45238370" w14:textId="77777777" w:rsidR="00966B8F" w:rsidRPr="001775D9" w:rsidRDefault="00966B8F" w:rsidP="00B61D9D">
      <w:pPr>
        <w:spacing w:line="240" w:lineRule="auto"/>
        <w:rPr>
          <w:szCs w:val="22"/>
        </w:rPr>
      </w:pPr>
    </w:p>
    <w:p w14:paraId="7E764716" w14:textId="02C3E7C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VAULT_ND_bbfafcf8-28fa-47c1-898d-78ddbbd581df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A920A4F" w14:textId="77777777" w:rsidR="00966B8F" w:rsidRPr="001775D9" w:rsidRDefault="00966B8F" w:rsidP="00B61D9D">
      <w:pPr>
        <w:spacing w:line="240" w:lineRule="auto"/>
        <w:rPr>
          <w:szCs w:val="22"/>
        </w:rPr>
      </w:pPr>
    </w:p>
    <w:p w14:paraId="6FA24127" w14:textId="77777777" w:rsidR="00966B8F" w:rsidRPr="001775D9" w:rsidRDefault="00966B8F" w:rsidP="00B63B7D">
      <w:pPr>
        <w:tabs>
          <w:tab w:val="clear" w:pos="567"/>
        </w:tabs>
        <w:autoSpaceDE w:val="0"/>
        <w:autoSpaceDN w:val="0"/>
        <w:adjustRightInd w:val="0"/>
        <w:spacing w:line="240" w:lineRule="auto"/>
        <w:rPr>
          <w:szCs w:val="22"/>
          <w:shd w:val="pct15" w:color="auto" w:fill="FFFFFF"/>
          <w:lang w:eastAsia="en-GB"/>
        </w:rPr>
      </w:pPr>
      <w:r w:rsidRPr="001775D9">
        <w:rPr>
          <w:szCs w:val="22"/>
          <w:shd w:val="pct15" w:color="auto" w:fill="FFFFFF"/>
          <w:lang w:eastAsia="en-GB"/>
        </w:rPr>
        <w:t>Solution for injection</w:t>
      </w:r>
    </w:p>
    <w:p w14:paraId="37DE5226" w14:textId="6CDC4ED6" w:rsidR="00BB0876" w:rsidRPr="001775D9" w:rsidRDefault="00BB0876" w:rsidP="00B63B7D">
      <w:pPr>
        <w:spacing w:line="240" w:lineRule="auto"/>
        <w:rPr>
          <w:szCs w:val="22"/>
        </w:rPr>
      </w:pPr>
      <w:r w:rsidRPr="001775D9">
        <w:rPr>
          <w:szCs w:val="22"/>
        </w:rPr>
        <w:t>40 mg/0.4 mL</w:t>
      </w:r>
    </w:p>
    <w:p w14:paraId="3EAA67CF" w14:textId="157B57A7" w:rsidR="00966B8F" w:rsidRPr="001775D9" w:rsidRDefault="00966B8F" w:rsidP="00B63B7D">
      <w:pPr>
        <w:spacing w:line="240" w:lineRule="auto"/>
        <w:rPr>
          <w:szCs w:val="22"/>
        </w:rPr>
      </w:pPr>
      <w:r w:rsidRPr="001775D9">
        <w:rPr>
          <w:szCs w:val="22"/>
        </w:rPr>
        <w:t xml:space="preserve">2 </w:t>
      </w:r>
      <w:r w:rsidRPr="00D55B59">
        <w:rPr>
          <w:szCs w:val="22"/>
          <w:lang w:eastAsia="en-GB"/>
          <w:rPrChange w:id="2481" w:author="Author">
            <w:rPr>
              <w:szCs w:val="22"/>
              <w:lang w:val="en-US" w:eastAsia="en-GB"/>
            </w:rPr>
          </w:rPrChange>
        </w:rPr>
        <w:t>SureClick</w:t>
      </w:r>
      <w:r w:rsidRPr="001775D9">
        <w:rPr>
          <w:szCs w:val="22"/>
        </w:rPr>
        <w:t xml:space="preserve"> pre-filled pens. </w:t>
      </w:r>
      <w:r w:rsidRPr="001775D9">
        <w:rPr>
          <w:rFonts w:eastAsia="SimSun"/>
        </w:rPr>
        <w:t>Component</w:t>
      </w:r>
      <w:r w:rsidRPr="001775D9">
        <w:rPr>
          <w:rFonts w:eastAsia="SimSun"/>
          <w:lang w:eastAsia="zh-TW"/>
        </w:rPr>
        <w:t xml:space="preserve"> of a multipack, can’t be sold separately.</w:t>
      </w:r>
    </w:p>
    <w:p w14:paraId="2A5D46BE" w14:textId="77777777" w:rsidR="00966B8F" w:rsidRPr="001775D9" w:rsidRDefault="00966B8F" w:rsidP="00B61D9D">
      <w:pPr>
        <w:spacing w:line="240" w:lineRule="auto"/>
        <w:rPr>
          <w:szCs w:val="22"/>
        </w:rPr>
      </w:pPr>
    </w:p>
    <w:p w14:paraId="576FB8FE" w14:textId="77777777" w:rsidR="00966B8F" w:rsidRPr="001775D9" w:rsidRDefault="00966B8F" w:rsidP="00B61D9D">
      <w:pPr>
        <w:spacing w:line="240" w:lineRule="auto"/>
        <w:rPr>
          <w:szCs w:val="22"/>
        </w:rPr>
      </w:pPr>
    </w:p>
    <w:p w14:paraId="7418DD89" w14:textId="19A53D11"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VAULT_ND_d0f55d39-efe1-43dd-b281-55e1b856102f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8F7B4DF" w14:textId="77777777" w:rsidR="00966B8F" w:rsidRPr="001775D9" w:rsidRDefault="00966B8F" w:rsidP="00B61D9D">
      <w:pPr>
        <w:spacing w:line="240" w:lineRule="auto"/>
        <w:rPr>
          <w:szCs w:val="22"/>
        </w:rPr>
      </w:pPr>
    </w:p>
    <w:p w14:paraId="51E2C2A0" w14:textId="77777777" w:rsidR="00966B8F" w:rsidRPr="001775D9" w:rsidRDefault="00966B8F" w:rsidP="00B63B7D">
      <w:pPr>
        <w:spacing w:line="240" w:lineRule="auto"/>
        <w:rPr>
          <w:szCs w:val="22"/>
        </w:rPr>
      </w:pPr>
      <w:r w:rsidRPr="001775D9">
        <w:rPr>
          <w:szCs w:val="22"/>
        </w:rPr>
        <w:t>For subcutaneous use.</w:t>
      </w:r>
    </w:p>
    <w:p w14:paraId="03515875" w14:textId="77777777" w:rsidR="00966B8F" w:rsidRPr="001775D9" w:rsidRDefault="00966B8F" w:rsidP="00B61D9D">
      <w:pPr>
        <w:spacing w:line="240" w:lineRule="auto"/>
        <w:rPr>
          <w:szCs w:val="22"/>
        </w:rPr>
      </w:pPr>
      <w:r w:rsidRPr="001775D9">
        <w:rPr>
          <w:szCs w:val="22"/>
        </w:rPr>
        <w:t>Read the package leaflet before use.</w:t>
      </w:r>
    </w:p>
    <w:p w14:paraId="62BB3C4B" w14:textId="77777777" w:rsidR="00966B8F" w:rsidRPr="001775D9" w:rsidRDefault="00966B8F" w:rsidP="00B61D9D">
      <w:pPr>
        <w:spacing w:line="240" w:lineRule="auto"/>
        <w:rPr>
          <w:szCs w:val="22"/>
        </w:rPr>
      </w:pPr>
      <w:r w:rsidRPr="001775D9">
        <w:rPr>
          <w:szCs w:val="22"/>
        </w:rPr>
        <w:t>Single use only.</w:t>
      </w:r>
    </w:p>
    <w:p w14:paraId="44050781" w14:textId="77777777" w:rsidR="00966B8F" w:rsidRPr="001775D9" w:rsidRDefault="00966B8F" w:rsidP="00B61D9D">
      <w:pPr>
        <w:spacing w:line="240" w:lineRule="auto"/>
        <w:rPr>
          <w:szCs w:val="22"/>
        </w:rPr>
      </w:pPr>
    </w:p>
    <w:p w14:paraId="0FFDACD1" w14:textId="77777777" w:rsidR="00966B8F" w:rsidRPr="001775D9" w:rsidRDefault="00966B8F" w:rsidP="00B61D9D">
      <w:pPr>
        <w:spacing w:line="240" w:lineRule="auto"/>
        <w:rPr>
          <w:szCs w:val="22"/>
        </w:rPr>
      </w:pPr>
    </w:p>
    <w:p w14:paraId="11DB964F" w14:textId="1BD7B23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VAULT_ND_95a419b4-ae55-46e5-bea1-34c22031e8a5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0221A02" w14:textId="77777777" w:rsidR="00966B8F" w:rsidRPr="001775D9" w:rsidRDefault="00966B8F" w:rsidP="00B61D9D">
      <w:pPr>
        <w:spacing w:line="240" w:lineRule="auto"/>
        <w:rPr>
          <w:szCs w:val="22"/>
        </w:rPr>
      </w:pPr>
    </w:p>
    <w:p w14:paraId="274C993E" w14:textId="3DF28855"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vault_nd_b5786fe4-eaab-4b22-832b-42a4dfaa2c35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409FA32F" w14:textId="77777777" w:rsidR="00966B8F" w:rsidRPr="001775D9" w:rsidRDefault="00966B8F" w:rsidP="00B61D9D">
      <w:pPr>
        <w:spacing w:line="240" w:lineRule="auto"/>
        <w:rPr>
          <w:szCs w:val="22"/>
        </w:rPr>
      </w:pPr>
    </w:p>
    <w:p w14:paraId="47441CBD" w14:textId="77777777" w:rsidR="00966B8F" w:rsidRPr="001775D9" w:rsidRDefault="00966B8F" w:rsidP="00B61D9D">
      <w:pPr>
        <w:spacing w:line="240" w:lineRule="auto"/>
        <w:rPr>
          <w:szCs w:val="22"/>
        </w:rPr>
      </w:pPr>
    </w:p>
    <w:p w14:paraId="1B0F5042" w14:textId="0CDEEE4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VAULT_ND_b0bb92fe-67d5-4f76-b40f-b9d84e83578c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586C666" w14:textId="77777777" w:rsidR="00966B8F" w:rsidRPr="001775D9" w:rsidRDefault="00966B8F" w:rsidP="00B61D9D">
      <w:pPr>
        <w:spacing w:line="240" w:lineRule="auto"/>
        <w:rPr>
          <w:szCs w:val="22"/>
        </w:rPr>
      </w:pPr>
    </w:p>
    <w:p w14:paraId="0E760967" w14:textId="77777777" w:rsidR="00966B8F" w:rsidRPr="001775D9" w:rsidRDefault="00966B8F" w:rsidP="00B61D9D">
      <w:pPr>
        <w:tabs>
          <w:tab w:val="left" w:pos="749"/>
        </w:tabs>
        <w:spacing w:line="240" w:lineRule="auto"/>
      </w:pPr>
    </w:p>
    <w:p w14:paraId="61537FCB" w14:textId="287FEDD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VAULT_ND_4b02cee5-e91d-4e04-97c0-1dc6e9c5ecc9 \* MERGEFORMAT </w:instrText>
      </w:r>
      <w:r w:rsidR="001C55FB" w:rsidRPr="001775D9">
        <w:rPr>
          <w:b/>
        </w:rPr>
        <w:fldChar w:fldCharType="separate"/>
      </w:r>
      <w:r w:rsidR="001C55FB" w:rsidRPr="001775D9">
        <w:rPr>
          <w:b/>
        </w:rPr>
        <w:t xml:space="preserve"> </w:t>
      </w:r>
      <w:r w:rsidR="001C55FB" w:rsidRPr="001775D9">
        <w:rPr>
          <w:b/>
        </w:rPr>
        <w:fldChar w:fldCharType="end"/>
      </w:r>
    </w:p>
    <w:p w14:paraId="5B5A849B" w14:textId="77777777" w:rsidR="00966B8F" w:rsidRPr="001775D9" w:rsidRDefault="00966B8F" w:rsidP="00B61D9D">
      <w:pPr>
        <w:spacing w:line="240" w:lineRule="auto"/>
      </w:pPr>
    </w:p>
    <w:p w14:paraId="3A9E23CC" w14:textId="77777777" w:rsidR="00966B8F" w:rsidRPr="001775D9" w:rsidRDefault="00966B8F" w:rsidP="00B61D9D">
      <w:pPr>
        <w:spacing w:line="240" w:lineRule="auto"/>
        <w:rPr>
          <w:szCs w:val="22"/>
        </w:rPr>
      </w:pPr>
      <w:r w:rsidRPr="001775D9">
        <w:rPr>
          <w:szCs w:val="22"/>
        </w:rPr>
        <w:t xml:space="preserve">EXP </w:t>
      </w:r>
    </w:p>
    <w:p w14:paraId="5FD01BC1" w14:textId="77777777" w:rsidR="00966B8F" w:rsidRPr="001775D9" w:rsidRDefault="00966B8F" w:rsidP="00B61D9D">
      <w:pPr>
        <w:spacing w:line="240" w:lineRule="auto"/>
        <w:rPr>
          <w:szCs w:val="22"/>
        </w:rPr>
      </w:pPr>
    </w:p>
    <w:p w14:paraId="4DC5A25D" w14:textId="77777777" w:rsidR="00966B8F" w:rsidRPr="001775D9" w:rsidRDefault="00966B8F" w:rsidP="00B61D9D">
      <w:pPr>
        <w:spacing w:line="240" w:lineRule="auto"/>
        <w:rPr>
          <w:szCs w:val="22"/>
        </w:rPr>
      </w:pPr>
    </w:p>
    <w:p w14:paraId="31F2AF2A" w14:textId="77DBAE4C" w:rsidR="00966B8F" w:rsidRPr="001775D9" w:rsidRDefault="00966B8F" w:rsidP="00FA6272">
      <w:pPr>
        <w:keepNext/>
        <w:keepLines/>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VAULT_ND_7a6adb91-de94-4668-a844-a46bea44f5b3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636AEE1" w14:textId="77777777" w:rsidR="00966B8F" w:rsidRPr="001775D9" w:rsidRDefault="00966B8F" w:rsidP="00FA6272">
      <w:pPr>
        <w:keepNext/>
        <w:keepLines/>
        <w:spacing w:line="240" w:lineRule="auto"/>
        <w:rPr>
          <w:szCs w:val="22"/>
        </w:rPr>
      </w:pPr>
    </w:p>
    <w:p w14:paraId="3ADFD8A9" w14:textId="77777777" w:rsidR="00966B8F" w:rsidRPr="001775D9" w:rsidRDefault="00966B8F" w:rsidP="00FA6272">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3887ACF4" w14:textId="77777777" w:rsidR="00966B8F" w:rsidRPr="001775D9" w:rsidRDefault="00966B8F" w:rsidP="00FA6272">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4802D326" w14:textId="77777777" w:rsidR="00966B8F" w:rsidRPr="001775D9" w:rsidRDefault="00966B8F" w:rsidP="00966B8F">
      <w:pPr>
        <w:spacing w:line="240" w:lineRule="auto"/>
        <w:rPr>
          <w:rFonts w:eastAsia="SimSun"/>
          <w:szCs w:val="22"/>
          <w:lang w:eastAsia="en-GB"/>
        </w:rPr>
      </w:pPr>
      <w:r w:rsidRPr="001775D9">
        <w:rPr>
          <w:rFonts w:eastAsia="SimSun"/>
          <w:szCs w:val="22"/>
          <w:lang w:eastAsia="en-GB"/>
        </w:rPr>
        <w:t>Store in the original carton in order to protect from light.</w:t>
      </w:r>
    </w:p>
    <w:p w14:paraId="2F6B2FB9" w14:textId="77777777" w:rsidR="00966B8F" w:rsidRPr="001775D9" w:rsidRDefault="00966B8F" w:rsidP="00966B8F">
      <w:pPr>
        <w:spacing w:line="240" w:lineRule="auto"/>
        <w:rPr>
          <w:rFonts w:eastAsia="SimSun"/>
          <w:szCs w:val="22"/>
          <w:lang w:eastAsia="en-GB"/>
        </w:rPr>
      </w:pPr>
    </w:p>
    <w:p w14:paraId="3E129AA8" w14:textId="77777777" w:rsidR="00966B8F" w:rsidRPr="001775D9" w:rsidRDefault="00966B8F" w:rsidP="00966B8F">
      <w:pPr>
        <w:spacing w:line="240" w:lineRule="auto"/>
        <w:rPr>
          <w:rFonts w:eastAsia="SimSun"/>
          <w:szCs w:val="22"/>
          <w:lang w:eastAsia="en-GB"/>
        </w:rPr>
      </w:pPr>
    </w:p>
    <w:p w14:paraId="6AC3FFB0" w14:textId="197863F9"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VAULT_ND_8be6b03c-79f0-42ad-a7ba-fc116c7d7896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C34E8E9" w14:textId="77777777" w:rsidR="00966B8F" w:rsidRPr="001775D9" w:rsidRDefault="00966B8F" w:rsidP="00B61D9D">
      <w:pPr>
        <w:spacing w:line="240" w:lineRule="auto"/>
        <w:rPr>
          <w:szCs w:val="22"/>
        </w:rPr>
      </w:pPr>
    </w:p>
    <w:p w14:paraId="14D83B04" w14:textId="77777777" w:rsidR="00966B8F" w:rsidRPr="001775D9" w:rsidRDefault="00966B8F" w:rsidP="00B61D9D">
      <w:pPr>
        <w:spacing w:line="240" w:lineRule="auto"/>
        <w:rPr>
          <w:szCs w:val="22"/>
        </w:rPr>
      </w:pPr>
    </w:p>
    <w:p w14:paraId="465CD268" w14:textId="21DDE45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VAULT_ND_7b19e5dc-422d-412c-b9cc-60047690368c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200C455" w14:textId="77777777" w:rsidR="00966B8F" w:rsidRPr="001775D9" w:rsidRDefault="00966B8F" w:rsidP="00B61D9D">
      <w:pPr>
        <w:spacing w:line="240" w:lineRule="auto"/>
        <w:rPr>
          <w:szCs w:val="22"/>
        </w:rPr>
      </w:pPr>
    </w:p>
    <w:p w14:paraId="2278E7F1"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482" w:author="Author">
            <w:rPr>
              <w:rFonts w:eastAsia="SimSun"/>
              <w:szCs w:val="22"/>
              <w:lang w:val="sv-SE" w:eastAsia="en-GB"/>
            </w:rPr>
          </w:rPrChange>
        </w:rPr>
      </w:pPr>
      <w:r w:rsidRPr="00D55B59">
        <w:rPr>
          <w:rFonts w:eastAsia="SimSun"/>
          <w:szCs w:val="22"/>
          <w:lang w:eastAsia="en-GB"/>
          <w:rPrChange w:id="2483" w:author="Author">
            <w:rPr>
              <w:rFonts w:eastAsia="SimSun"/>
              <w:szCs w:val="22"/>
              <w:lang w:val="sv-SE" w:eastAsia="en-GB"/>
            </w:rPr>
          </w:rPrChange>
        </w:rPr>
        <w:t>Amgen Europe B.V.</w:t>
      </w:r>
    </w:p>
    <w:p w14:paraId="1366D428"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484" w:author="Author">
            <w:rPr>
              <w:rFonts w:eastAsia="SimSun"/>
              <w:szCs w:val="22"/>
              <w:lang w:val="sv-SE" w:eastAsia="en-GB"/>
            </w:rPr>
          </w:rPrChange>
        </w:rPr>
      </w:pPr>
      <w:r w:rsidRPr="00D55B59">
        <w:rPr>
          <w:rFonts w:eastAsia="SimSun"/>
          <w:szCs w:val="22"/>
          <w:lang w:eastAsia="en-GB"/>
          <w:rPrChange w:id="2485" w:author="Author">
            <w:rPr>
              <w:rFonts w:eastAsia="SimSun"/>
              <w:szCs w:val="22"/>
              <w:lang w:val="sv-SE" w:eastAsia="en-GB"/>
            </w:rPr>
          </w:rPrChange>
        </w:rPr>
        <w:t>Minervum 7061,</w:t>
      </w:r>
    </w:p>
    <w:p w14:paraId="6AE5C092" w14:textId="77777777" w:rsidR="00966B8F" w:rsidRPr="001775D9" w:rsidRDefault="00966B8F" w:rsidP="00B63B7D">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0B198A2B" w14:textId="77777777" w:rsidR="00966B8F" w:rsidRPr="001775D9" w:rsidRDefault="00966B8F" w:rsidP="00B63B7D">
      <w:pPr>
        <w:spacing w:line="240" w:lineRule="auto"/>
        <w:rPr>
          <w:szCs w:val="22"/>
        </w:rPr>
      </w:pPr>
      <w:r w:rsidRPr="001775D9">
        <w:rPr>
          <w:rFonts w:eastAsia="SimSun"/>
          <w:szCs w:val="22"/>
          <w:lang w:eastAsia="en-GB"/>
        </w:rPr>
        <w:t>The Netherlands</w:t>
      </w:r>
      <w:r w:rsidRPr="001775D9">
        <w:rPr>
          <w:i/>
          <w:szCs w:val="22"/>
        </w:rPr>
        <w:t xml:space="preserve"> </w:t>
      </w:r>
    </w:p>
    <w:p w14:paraId="6DD6411A" w14:textId="77777777" w:rsidR="00966B8F" w:rsidRPr="001775D9" w:rsidRDefault="00966B8F" w:rsidP="00B61D9D">
      <w:pPr>
        <w:spacing w:line="240" w:lineRule="auto"/>
        <w:rPr>
          <w:szCs w:val="22"/>
        </w:rPr>
      </w:pPr>
    </w:p>
    <w:p w14:paraId="4F8C6619" w14:textId="77777777" w:rsidR="00966B8F" w:rsidRPr="001775D9" w:rsidRDefault="00966B8F" w:rsidP="00B61D9D">
      <w:pPr>
        <w:spacing w:line="240" w:lineRule="auto"/>
        <w:rPr>
          <w:szCs w:val="22"/>
        </w:rPr>
      </w:pPr>
    </w:p>
    <w:p w14:paraId="5835BD66" w14:textId="074151EF"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VAULT_ND_868020a0-430c-40c7-87ba-6cf86253764d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0AFD69C" w14:textId="77777777" w:rsidR="00966B8F" w:rsidRPr="001775D9" w:rsidRDefault="00966B8F" w:rsidP="00B61D9D">
      <w:pPr>
        <w:spacing w:line="240" w:lineRule="auto"/>
        <w:rPr>
          <w:szCs w:val="22"/>
        </w:rPr>
      </w:pPr>
    </w:p>
    <w:p w14:paraId="14C8EF5F" w14:textId="01E206D9" w:rsidR="00966B8F" w:rsidRPr="001775D9" w:rsidRDefault="00966B8F" w:rsidP="00B63B7D">
      <w:pPr>
        <w:spacing w:line="240" w:lineRule="auto"/>
        <w:outlineLvl w:val="0"/>
        <w:rPr>
          <w:szCs w:val="22"/>
        </w:rPr>
      </w:pPr>
      <w:r w:rsidRPr="001775D9">
        <w:rPr>
          <w:color w:val="000000"/>
        </w:rPr>
        <w:t>EU/1/16/1164/016</w:t>
      </w:r>
      <w:r w:rsidR="001C55FB" w:rsidRPr="001775D9">
        <w:rPr>
          <w:color w:val="000000"/>
        </w:rPr>
        <w:fldChar w:fldCharType="begin"/>
      </w:r>
      <w:r w:rsidR="001C55FB" w:rsidRPr="001775D9">
        <w:rPr>
          <w:color w:val="000000"/>
        </w:rPr>
        <w:instrText xml:space="preserve"> DOCVARIABLE VAULT_ND_874b4bcc-77e6-42ab-9341-c2ace4bce8ea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7B93DB09" w14:textId="77777777" w:rsidR="00966B8F" w:rsidRPr="001775D9" w:rsidRDefault="00966B8F" w:rsidP="00B61D9D">
      <w:pPr>
        <w:spacing w:line="240" w:lineRule="auto"/>
        <w:rPr>
          <w:szCs w:val="22"/>
        </w:rPr>
      </w:pPr>
    </w:p>
    <w:p w14:paraId="7246EC11" w14:textId="77777777" w:rsidR="00966B8F" w:rsidRPr="001775D9" w:rsidRDefault="00966B8F" w:rsidP="00B61D9D">
      <w:pPr>
        <w:spacing w:line="240" w:lineRule="auto"/>
        <w:rPr>
          <w:szCs w:val="22"/>
        </w:rPr>
      </w:pPr>
    </w:p>
    <w:p w14:paraId="25DB3580" w14:textId="7DA318F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VAULT_ND_afd50824-88e3-476c-ba52-bc23a1bbdc14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5A02393" w14:textId="77777777" w:rsidR="00966B8F" w:rsidRPr="001775D9" w:rsidRDefault="00966B8F" w:rsidP="00B61D9D">
      <w:pPr>
        <w:spacing w:line="240" w:lineRule="auto"/>
        <w:rPr>
          <w:i/>
          <w:szCs w:val="22"/>
        </w:rPr>
      </w:pPr>
    </w:p>
    <w:p w14:paraId="4B81A175" w14:textId="77777777" w:rsidR="00966B8F" w:rsidRPr="001775D9" w:rsidRDefault="00966B8F" w:rsidP="00B61D9D">
      <w:pPr>
        <w:spacing w:line="240" w:lineRule="auto"/>
        <w:rPr>
          <w:szCs w:val="22"/>
        </w:rPr>
      </w:pPr>
      <w:r w:rsidRPr="001775D9">
        <w:rPr>
          <w:szCs w:val="22"/>
        </w:rPr>
        <w:t>Lot</w:t>
      </w:r>
    </w:p>
    <w:p w14:paraId="471BE44A" w14:textId="77777777" w:rsidR="00966B8F" w:rsidRPr="001775D9" w:rsidRDefault="00966B8F" w:rsidP="00B61D9D">
      <w:pPr>
        <w:spacing w:line="240" w:lineRule="auto"/>
        <w:rPr>
          <w:szCs w:val="22"/>
        </w:rPr>
      </w:pPr>
    </w:p>
    <w:p w14:paraId="1411BC1C" w14:textId="77777777" w:rsidR="00966B8F" w:rsidRPr="001775D9" w:rsidRDefault="00966B8F" w:rsidP="00B61D9D">
      <w:pPr>
        <w:spacing w:line="240" w:lineRule="auto"/>
        <w:rPr>
          <w:szCs w:val="22"/>
        </w:rPr>
      </w:pPr>
    </w:p>
    <w:p w14:paraId="076A2DC1" w14:textId="369D0CE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VAULT_ND_84ada0f9-611e-4090-ac33-e38cfbca2545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F6A05B4" w14:textId="77777777" w:rsidR="00966B8F" w:rsidRPr="001775D9" w:rsidRDefault="00966B8F" w:rsidP="00B61D9D">
      <w:pPr>
        <w:spacing w:line="240" w:lineRule="auto"/>
        <w:rPr>
          <w:i/>
          <w:szCs w:val="22"/>
        </w:rPr>
      </w:pPr>
    </w:p>
    <w:p w14:paraId="716993E5" w14:textId="77777777" w:rsidR="00966B8F" w:rsidRPr="001775D9" w:rsidRDefault="00966B8F" w:rsidP="00B61D9D">
      <w:pPr>
        <w:spacing w:line="240" w:lineRule="auto"/>
        <w:rPr>
          <w:szCs w:val="22"/>
        </w:rPr>
      </w:pPr>
    </w:p>
    <w:p w14:paraId="7A5B994C" w14:textId="1139AE93"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VAULT_ND_6a653e60-5b90-4607-aa64-1edf27cf6df5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714E209" w14:textId="77777777" w:rsidR="00966B8F" w:rsidRPr="001775D9" w:rsidRDefault="00966B8F" w:rsidP="00B61D9D">
      <w:pPr>
        <w:spacing w:line="240" w:lineRule="auto"/>
        <w:rPr>
          <w:szCs w:val="22"/>
        </w:rPr>
      </w:pPr>
    </w:p>
    <w:p w14:paraId="67303C9F" w14:textId="77777777" w:rsidR="00966B8F" w:rsidRPr="001775D9" w:rsidRDefault="00966B8F" w:rsidP="00B61D9D">
      <w:pPr>
        <w:spacing w:line="240" w:lineRule="auto"/>
        <w:rPr>
          <w:szCs w:val="22"/>
        </w:rPr>
      </w:pPr>
    </w:p>
    <w:p w14:paraId="4092994C" w14:textId="77777777" w:rsidR="00966B8F" w:rsidRPr="001775D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530FC3E9" w14:textId="77777777" w:rsidR="00966B8F" w:rsidRPr="001775D9" w:rsidRDefault="00966B8F" w:rsidP="00B61D9D">
      <w:pPr>
        <w:spacing w:line="240" w:lineRule="auto"/>
      </w:pPr>
    </w:p>
    <w:p w14:paraId="1EDBB08A" w14:textId="7103C259" w:rsidR="00966B8F" w:rsidRPr="001775D9" w:rsidRDefault="00966B8F" w:rsidP="00B61D9D">
      <w:pPr>
        <w:spacing w:line="240" w:lineRule="auto"/>
      </w:pPr>
      <w:r w:rsidRPr="001775D9">
        <w:t>AMGEVITA 40 mg</w:t>
      </w:r>
      <w:r w:rsidR="00BB0876" w:rsidRPr="001775D9">
        <w:t>/0.4 mL</w:t>
      </w:r>
      <w:r w:rsidRPr="001775D9">
        <w:t xml:space="preserve"> pen</w:t>
      </w:r>
    </w:p>
    <w:p w14:paraId="6D107160" w14:textId="77777777" w:rsidR="00966B8F" w:rsidRPr="00D55B59" w:rsidRDefault="00966B8F" w:rsidP="00B63B7D">
      <w:pPr>
        <w:spacing w:line="240" w:lineRule="auto"/>
        <w:rPr>
          <w:szCs w:val="22"/>
          <w:shd w:val="clear" w:color="auto" w:fill="CCCCCC"/>
          <w:rPrChange w:id="2486" w:author="Author">
            <w:rPr>
              <w:noProof/>
              <w:szCs w:val="22"/>
              <w:shd w:val="clear" w:color="auto" w:fill="CCCCCC"/>
            </w:rPr>
          </w:rPrChange>
        </w:rPr>
      </w:pPr>
    </w:p>
    <w:p w14:paraId="2ADA6883" w14:textId="77777777" w:rsidR="00966B8F" w:rsidRPr="00D55B59" w:rsidRDefault="00966B8F" w:rsidP="00B63B7D">
      <w:pPr>
        <w:spacing w:line="240" w:lineRule="auto"/>
        <w:rPr>
          <w:szCs w:val="22"/>
          <w:shd w:val="clear" w:color="auto" w:fill="CCCCCC"/>
          <w:rPrChange w:id="2487" w:author="Author">
            <w:rPr>
              <w:noProof/>
              <w:szCs w:val="22"/>
              <w:shd w:val="clear" w:color="auto" w:fill="CCCCCC"/>
            </w:rPr>
          </w:rPrChange>
        </w:rPr>
      </w:pPr>
    </w:p>
    <w:p w14:paraId="17E82E27" w14:textId="77777777" w:rsidR="00966B8F" w:rsidRPr="00D55B59" w:rsidRDefault="00966B8F" w:rsidP="00B63B7D">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488" w:author="Author">
            <w:rPr>
              <w:i/>
              <w:noProof/>
            </w:rPr>
          </w:rPrChange>
        </w:rPr>
      </w:pPr>
      <w:r w:rsidRPr="00D55B59">
        <w:rPr>
          <w:b/>
          <w:rPrChange w:id="2489" w:author="Author">
            <w:rPr>
              <w:b/>
              <w:noProof/>
            </w:rPr>
          </w:rPrChange>
        </w:rPr>
        <w:t>17.</w:t>
      </w:r>
      <w:r w:rsidRPr="00D55B59">
        <w:rPr>
          <w:b/>
          <w:rPrChange w:id="2490" w:author="Author">
            <w:rPr>
              <w:b/>
              <w:noProof/>
            </w:rPr>
          </w:rPrChange>
        </w:rPr>
        <w:tab/>
        <w:t>UNIQUE IDENTIFIER – 2D BARCODE</w:t>
      </w:r>
    </w:p>
    <w:p w14:paraId="413F495D" w14:textId="77777777" w:rsidR="00966B8F" w:rsidRPr="00D55B59" w:rsidRDefault="00966B8F" w:rsidP="00B63B7D">
      <w:pPr>
        <w:tabs>
          <w:tab w:val="clear" w:pos="567"/>
        </w:tabs>
        <w:spacing w:line="240" w:lineRule="auto"/>
        <w:rPr>
          <w:rPrChange w:id="2491" w:author="Author">
            <w:rPr>
              <w:noProof/>
            </w:rPr>
          </w:rPrChange>
        </w:rPr>
      </w:pPr>
    </w:p>
    <w:p w14:paraId="33EE3B4B" w14:textId="77777777" w:rsidR="00966B8F" w:rsidRPr="00D55B59" w:rsidRDefault="00966B8F" w:rsidP="00B63B7D">
      <w:pPr>
        <w:tabs>
          <w:tab w:val="clear" w:pos="567"/>
        </w:tabs>
        <w:spacing w:line="240" w:lineRule="auto"/>
        <w:rPr>
          <w:rPrChange w:id="2492" w:author="Author">
            <w:rPr>
              <w:noProof/>
            </w:rPr>
          </w:rPrChange>
        </w:rPr>
      </w:pPr>
    </w:p>
    <w:p w14:paraId="55658329" w14:textId="77777777" w:rsidR="00966B8F" w:rsidRPr="00D55B59" w:rsidRDefault="00966B8F" w:rsidP="00B63B7D">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493" w:author="Author">
            <w:rPr>
              <w:i/>
              <w:noProof/>
            </w:rPr>
          </w:rPrChange>
        </w:rPr>
      </w:pPr>
      <w:r w:rsidRPr="00D55B59">
        <w:rPr>
          <w:b/>
          <w:rPrChange w:id="2494" w:author="Author">
            <w:rPr>
              <w:b/>
              <w:noProof/>
            </w:rPr>
          </w:rPrChange>
        </w:rPr>
        <w:t>18.</w:t>
      </w:r>
      <w:r w:rsidRPr="00D55B59">
        <w:rPr>
          <w:b/>
          <w:rPrChange w:id="2495" w:author="Author">
            <w:rPr>
              <w:b/>
              <w:noProof/>
            </w:rPr>
          </w:rPrChange>
        </w:rPr>
        <w:tab/>
        <w:t xml:space="preserve">UNIQUE IDENTIFIER </w:t>
      </w:r>
      <w:r w:rsidRPr="001775D9">
        <w:rPr>
          <w:rFonts w:eastAsia="Calibri"/>
        </w:rPr>
        <w:t>-</w:t>
      </w:r>
      <w:r w:rsidRPr="00D55B59">
        <w:rPr>
          <w:b/>
          <w:rPrChange w:id="2496" w:author="Author">
            <w:rPr>
              <w:b/>
              <w:noProof/>
            </w:rPr>
          </w:rPrChange>
        </w:rPr>
        <w:t xml:space="preserve"> HUMAN READABLE DATA</w:t>
      </w:r>
    </w:p>
    <w:p w14:paraId="3265B0B5" w14:textId="77777777" w:rsidR="00966B8F" w:rsidRPr="00D55B59" w:rsidRDefault="00966B8F" w:rsidP="00966B8F">
      <w:pPr>
        <w:tabs>
          <w:tab w:val="clear" w:pos="567"/>
        </w:tabs>
        <w:spacing w:line="240" w:lineRule="auto"/>
        <w:rPr>
          <w:rPrChange w:id="2497" w:author="Author">
            <w:rPr>
              <w:noProof/>
            </w:rPr>
          </w:rPrChange>
        </w:rPr>
      </w:pPr>
    </w:p>
    <w:p w14:paraId="5E54808A" w14:textId="77777777" w:rsidR="00FA6272" w:rsidRPr="00D55B59" w:rsidRDefault="00FA6272" w:rsidP="00966B8F">
      <w:pPr>
        <w:tabs>
          <w:tab w:val="clear" w:pos="567"/>
        </w:tabs>
        <w:spacing w:line="240" w:lineRule="auto"/>
        <w:rPr>
          <w:rPrChange w:id="2498" w:author="Author">
            <w:rPr>
              <w:noProof/>
            </w:rPr>
          </w:rPrChange>
        </w:rPr>
      </w:pPr>
    </w:p>
    <w:p w14:paraId="0238F06A" w14:textId="7777777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br w:type="page"/>
        <w:t>MINIMUM PARTICULARS TO APPEAR ON SMALL IMMEDIATE PACKAGING UNITS</w:t>
      </w:r>
    </w:p>
    <w:p w14:paraId="5D6BD21F" w14:textId="7777777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rPr>
          <w:b/>
          <w:szCs w:val="22"/>
        </w:rPr>
      </w:pPr>
    </w:p>
    <w:p w14:paraId="0C68D146" w14:textId="77777777" w:rsidR="00966B8F" w:rsidRPr="001775D9" w:rsidRDefault="00966B8F" w:rsidP="00B63B7D">
      <w:pPr>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LABEL PRE-FILLED PEN</w:t>
      </w:r>
    </w:p>
    <w:p w14:paraId="2C312506" w14:textId="77777777" w:rsidR="00966B8F" w:rsidRPr="001775D9" w:rsidRDefault="00966B8F" w:rsidP="00B61D9D">
      <w:pPr>
        <w:spacing w:line="240" w:lineRule="auto"/>
        <w:rPr>
          <w:szCs w:val="22"/>
        </w:rPr>
      </w:pPr>
    </w:p>
    <w:p w14:paraId="746632AA" w14:textId="77777777" w:rsidR="00966B8F" w:rsidRPr="001775D9" w:rsidRDefault="00966B8F" w:rsidP="00B61D9D">
      <w:pPr>
        <w:spacing w:line="240" w:lineRule="auto"/>
        <w:rPr>
          <w:szCs w:val="22"/>
        </w:rPr>
      </w:pPr>
    </w:p>
    <w:p w14:paraId="0FB29BA5" w14:textId="42BE8B9C"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w:t>
      </w:r>
      <w:r w:rsidRPr="001775D9">
        <w:rPr>
          <w:b/>
          <w:szCs w:val="22"/>
        </w:rPr>
        <w:tab/>
        <w:t>NAME OF THE MEDICINAL PRODUCT AND ROUTE(S) OF ADMINISTRATION</w:t>
      </w:r>
      <w:r w:rsidR="001C55FB" w:rsidRPr="001775D9">
        <w:rPr>
          <w:b/>
          <w:szCs w:val="22"/>
        </w:rPr>
        <w:fldChar w:fldCharType="begin"/>
      </w:r>
      <w:r w:rsidR="001C55FB" w:rsidRPr="001775D9">
        <w:rPr>
          <w:b/>
          <w:szCs w:val="22"/>
        </w:rPr>
        <w:instrText xml:space="preserve"> DOCVARIABLE VAULT_ND_64f00587-8dde-4be5-999e-58ec9357488f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209D465" w14:textId="77777777" w:rsidR="00966B8F" w:rsidRPr="001775D9" w:rsidRDefault="00966B8F" w:rsidP="00B61D9D">
      <w:pPr>
        <w:spacing w:line="240" w:lineRule="auto"/>
        <w:ind w:left="567" w:hanging="567"/>
        <w:rPr>
          <w:szCs w:val="22"/>
        </w:rPr>
      </w:pPr>
    </w:p>
    <w:p w14:paraId="5E25FD28" w14:textId="5D535D86" w:rsidR="00966B8F" w:rsidRPr="001775D9" w:rsidRDefault="00966B8F" w:rsidP="00B61D9D">
      <w:pPr>
        <w:spacing w:line="240" w:lineRule="auto"/>
        <w:rPr>
          <w:szCs w:val="22"/>
        </w:rPr>
      </w:pPr>
      <w:r w:rsidRPr="001775D9">
        <w:rPr>
          <w:szCs w:val="22"/>
        </w:rPr>
        <w:t>AMGEVITA 40 mg injection</w:t>
      </w:r>
    </w:p>
    <w:p w14:paraId="726DD8E5" w14:textId="77777777" w:rsidR="00966B8F" w:rsidRPr="001775D9" w:rsidRDefault="00966B8F" w:rsidP="00B61D9D">
      <w:pPr>
        <w:spacing w:line="240" w:lineRule="auto"/>
        <w:rPr>
          <w:szCs w:val="22"/>
        </w:rPr>
      </w:pPr>
      <w:r w:rsidRPr="001775D9">
        <w:rPr>
          <w:szCs w:val="22"/>
        </w:rPr>
        <w:t>adalimumab</w:t>
      </w:r>
    </w:p>
    <w:p w14:paraId="7B26C292" w14:textId="77777777" w:rsidR="00966B8F" w:rsidRPr="001775D9" w:rsidRDefault="00966B8F" w:rsidP="00B61D9D">
      <w:pPr>
        <w:spacing w:line="240" w:lineRule="auto"/>
        <w:rPr>
          <w:szCs w:val="22"/>
        </w:rPr>
      </w:pPr>
      <w:r w:rsidRPr="001775D9">
        <w:rPr>
          <w:szCs w:val="22"/>
        </w:rPr>
        <w:t>SC</w:t>
      </w:r>
    </w:p>
    <w:p w14:paraId="19036522" w14:textId="77777777" w:rsidR="00966B8F" w:rsidRPr="001775D9" w:rsidRDefault="00966B8F" w:rsidP="00B61D9D">
      <w:pPr>
        <w:spacing w:line="240" w:lineRule="auto"/>
        <w:rPr>
          <w:szCs w:val="22"/>
        </w:rPr>
      </w:pPr>
    </w:p>
    <w:p w14:paraId="324B9A33" w14:textId="77777777" w:rsidR="00966B8F" w:rsidRPr="001775D9" w:rsidRDefault="00966B8F" w:rsidP="00B61D9D">
      <w:pPr>
        <w:spacing w:line="240" w:lineRule="auto"/>
        <w:rPr>
          <w:szCs w:val="22"/>
        </w:rPr>
      </w:pPr>
    </w:p>
    <w:p w14:paraId="19676FFF" w14:textId="00FD898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METHOD OF ADMINISTRATION</w:t>
      </w:r>
      <w:r w:rsidR="001C55FB" w:rsidRPr="001775D9">
        <w:rPr>
          <w:b/>
          <w:szCs w:val="22"/>
        </w:rPr>
        <w:fldChar w:fldCharType="begin"/>
      </w:r>
      <w:r w:rsidR="001C55FB" w:rsidRPr="001775D9">
        <w:rPr>
          <w:b/>
          <w:szCs w:val="22"/>
        </w:rPr>
        <w:instrText xml:space="preserve"> DOCVARIABLE VAULT_ND_96cba39c-8241-4fcf-9d45-25022dc4e6e3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0403878" w14:textId="77777777" w:rsidR="00966B8F" w:rsidRPr="001775D9" w:rsidRDefault="00966B8F" w:rsidP="00B61D9D">
      <w:pPr>
        <w:spacing w:line="240" w:lineRule="auto"/>
        <w:rPr>
          <w:szCs w:val="22"/>
        </w:rPr>
      </w:pPr>
    </w:p>
    <w:p w14:paraId="2AC31B3A" w14:textId="77777777" w:rsidR="00966B8F" w:rsidRPr="001775D9" w:rsidRDefault="00966B8F" w:rsidP="00B61D9D">
      <w:pPr>
        <w:spacing w:line="240" w:lineRule="auto"/>
        <w:rPr>
          <w:szCs w:val="22"/>
        </w:rPr>
      </w:pPr>
    </w:p>
    <w:p w14:paraId="19F84C6D" w14:textId="10DA0F2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3.</w:t>
      </w:r>
      <w:r w:rsidRPr="001775D9">
        <w:rPr>
          <w:b/>
          <w:szCs w:val="22"/>
        </w:rPr>
        <w:tab/>
        <w:t>EXPIRY DATE</w:t>
      </w:r>
      <w:r w:rsidR="001C55FB" w:rsidRPr="001775D9">
        <w:rPr>
          <w:b/>
          <w:szCs w:val="22"/>
        </w:rPr>
        <w:fldChar w:fldCharType="begin"/>
      </w:r>
      <w:r w:rsidR="001C55FB" w:rsidRPr="001775D9">
        <w:rPr>
          <w:b/>
          <w:szCs w:val="22"/>
        </w:rPr>
        <w:instrText xml:space="preserve"> DOCVARIABLE VAULT_ND_01f556e1-398d-4030-b0b2-7efa890cb34f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598A898" w14:textId="77777777" w:rsidR="00966B8F" w:rsidRPr="001775D9" w:rsidRDefault="00966B8F" w:rsidP="00B61D9D">
      <w:pPr>
        <w:spacing w:line="240" w:lineRule="auto"/>
      </w:pPr>
    </w:p>
    <w:p w14:paraId="2C88B57F" w14:textId="77777777" w:rsidR="00966B8F" w:rsidRPr="001775D9" w:rsidRDefault="00966B8F" w:rsidP="00B61D9D">
      <w:pPr>
        <w:spacing w:line="240" w:lineRule="auto"/>
      </w:pPr>
      <w:r w:rsidRPr="001775D9">
        <w:t xml:space="preserve">EXP </w:t>
      </w:r>
    </w:p>
    <w:p w14:paraId="13A7A0A8" w14:textId="77777777" w:rsidR="00966B8F" w:rsidRPr="001775D9" w:rsidRDefault="00966B8F" w:rsidP="00B61D9D">
      <w:pPr>
        <w:spacing w:line="240" w:lineRule="auto"/>
      </w:pPr>
    </w:p>
    <w:p w14:paraId="20CB0681" w14:textId="77777777" w:rsidR="00966B8F" w:rsidRPr="001775D9" w:rsidRDefault="00966B8F" w:rsidP="00B61D9D">
      <w:pPr>
        <w:spacing w:line="240" w:lineRule="auto"/>
      </w:pPr>
    </w:p>
    <w:p w14:paraId="27C5428E" w14:textId="52A7BE0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rPr>
      </w:pPr>
      <w:r w:rsidRPr="001775D9">
        <w:rPr>
          <w:b/>
        </w:rPr>
        <w:t>4.</w:t>
      </w:r>
      <w:r w:rsidRPr="001775D9">
        <w:rPr>
          <w:b/>
        </w:rPr>
        <w:tab/>
        <w:t>BATCH NUMBER</w:t>
      </w:r>
      <w:r w:rsidR="001C55FB" w:rsidRPr="001775D9">
        <w:rPr>
          <w:b/>
        </w:rPr>
        <w:fldChar w:fldCharType="begin"/>
      </w:r>
      <w:r w:rsidR="001C55FB" w:rsidRPr="001775D9">
        <w:rPr>
          <w:b/>
        </w:rPr>
        <w:instrText xml:space="preserve"> DOCVARIABLE VAULT_ND_08764c37-08bc-46d6-a4d9-48439ee5740d \* MERGEFORMAT </w:instrText>
      </w:r>
      <w:r w:rsidR="001C55FB" w:rsidRPr="001775D9">
        <w:rPr>
          <w:b/>
        </w:rPr>
        <w:fldChar w:fldCharType="separate"/>
      </w:r>
      <w:r w:rsidR="001C55FB" w:rsidRPr="001775D9">
        <w:rPr>
          <w:b/>
        </w:rPr>
        <w:t xml:space="preserve"> </w:t>
      </w:r>
      <w:r w:rsidR="001C55FB" w:rsidRPr="001775D9">
        <w:rPr>
          <w:b/>
        </w:rPr>
        <w:fldChar w:fldCharType="end"/>
      </w:r>
    </w:p>
    <w:p w14:paraId="55970432" w14:textId="77777777" w:rsidR="00966B8F" w:rsidRPr="001775D9" w:rsidRDefault="00966B8F" w:rsidP="00B61D9D">
      <w:pPr>
        <w:spacing w:line="240" w:lineRule="auto"/>
        <w:ind w:right="113"/>
      </w:pPr>
    </w:p>
    <w:p w14:paraId="1D88DE5D" w14:textId="77777777" w:rsidR="00966B8F" w:rsidRPr="001775D9" w:rsidRDefault="00966B8F" w:rsidP="00B61D9D">
      <w:pPr>
        <w:spacing w:line="240" w:lineRule="auto"/>
        <w:ind w:right="113"/>
      </w:pPr>
      <w:r w:rsidRPr="001775D9">
        <w:t>Lot</w:t>
      </w:r>
    </w:p>
    <w:p w14:paraId="26C7545A" w14:textId="77777777" w:rsidR="00966B8F" w:rsidRPr="001775D9" w:rsidRDefault="00966B8F" w:rsidP="00B61D9D">
      <w:pPr>
        <w:spacing w:line="240" w:lineRule="auto"/>
        <w:ind w:right="113"/>
      </w:pPr>
    </w:p>
    <w:p w14:paraId="47FBCDDF" w14:textId="77777777" w:rsidR="00966B8F" w:rsidRPr="001775D9" w:rsidRDefault="00966B8F" w:rsidP="00B61D9D">
      <w:pPr>
        <w:spacing w:line="240" w:lineRule="auto"/>
        <w:ind w:right="113"/>
      </w:pPr>
    </w:p>
    <w:p w14:paraId="2215C14D" w14:textId="6B75440F"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5.</w:t>
      </w:r>
      <w:r w:rsidRPr="001775D9">
        <w:rPr>
          <w:b/>
          <w:szCs w:val="22"/>
        </w:rPr>
        <w:tab/>
        <w:t>CONTENTS BY WEIGHT, BY VOLUME OR BY UNIT</w:t>
      </w:r>
      <w:r w:rsidR="001C55FB" w:rsidRPr="001775D9">
        <w:rPr>
          <w:b/>
          <w:szCs w:val="22"/>
        </w:rPr>
        <w:fldChar w:fldCharType="begin"/>
      </w:r>
      <w:r w:rsidR="001C55FB" w:rsidRPr="001775D9">
        <w:rPr>
          <w:b/>
          <w:szCs w:val="22"/>
        </w:rPr>
        <w:instrText xml:space="preserve"> DOCVARIABLE VAULT_ND_36c54c26-abde-4ccf-a922-4240f4565e5f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7A55FEB" w14:textId="77777777" w:rsidR="00966B8F" w:rsidRPr="001775D9" w:rsidRDefault="00966B8F" w:rsidP="00B61D9D">
      <w:pPr>
        <w:spacing w:line="240" w:lineRule="auto"/>
        <w:ind w:right="113"/>
        <w:rPr>
          <w:szCs w:val="22"/>
        </w:rPr>
      </w:pPr>
    </w:p>
    <w:p w14:paraId="5E5D9602" w14:textId="77777777" w:rsidR="00966B8F" w:rsidRPr="001775D9" w:rsidRDefault="00966B8F" w:rsidP="00B61D9D">
      <w:pPr>
        <w:spacing w:line="240" w:lineRule="auto"/>
        <w:ind w:right="113"/>
        <w:rPr>
          <w:szCs w:val="22"/>
        </w:rPr>
      </w:pPr>
      <w:r w:rsidRPr="001775D9">
        <w:rPr>
          <w:szCs w:val="22"/>
        </w:rPr>
        <w:t>0.4 mL</w:t>
      </w:r>
    </w:p>
    <w:p w14:paraId="4750AA2F" w14:textId="77777777" w:rsidR="00966B8F" w:rsidRPr="001775D9" w:rsidRDefault="00966B8F" w:rsidP="00B61D9D">
      <w:pPr>
        <w:spacing w:line="240" w:lineRule="auto"/>
        <w:ind w:right="113"/>
        <w:rPr>
          <w:szCs w:val="22"/>
        </w:rPr>
      </w:pPr>
    </w:p>
    <w:p w14:paraId="7C9DB6A5" w14:textId="77777777" w:rsidR="00966B8F" w:rsidRPr="001775D9" w:rsidRDefault="00966B8F" w:rsidP="00B61D9D">
      <w:pPr>
        <w:spacing w:line="240" w:lineRule="auto"/>
        <w:ind w:right="113"/>
        <w:rPr>
          <w:szCs w:val="22"/>
        </w:rPr>
      </w:pPr>
    </w:p>
    <w:p w14:paraId="4974D585" w14:textId="126C150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6.</w:t>
      </w:r>
      <w:r w:rsidRPr="001775D9">
        <w:rPr>
          <w:b/>
          <w:szCs w:val="22"/>
        </w:rPr>
        <w:tab/>
        <w:t>OTHER</w:t>
      </w:r>
      <w:r w:rsidR="001C55FB" w:rsidRPr="001775D9">
        <w:rPr>
          <w:b/>
          <w:szCs w:val="22"/>
        </w:rPr>
        <w:fldChar w:fldCharType="begin"/>
      </w:r>
      <w:r w:rsidR="001C55FB" w:rsidRPr="001775D9">
        <w:rPr>
          <w:b/>
          <w:szCs w:val="22"/>
        </w:rPr>
        <w:instrText xml:space="preserve"> DOCVARIABLE VAULT_ND_3cc8ff3f-a13f-4e67-8117-bfd88e6940c5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23039A4" w14:textId="77777777" w:rsidR="00966B8F" w:rsidRPr="001775D9" w:rsidRDefault="00966B8F" w:rsidP="00B61D9D">
      <w:pPr>
        <w:spacing w:line="240" w:lineRule="auto"/>
        <w:ind w:right="113"/>
        <w:rPr>
          <w:szCs w:val="22"/>
        </w:rPr>
      </w:pPr>
    </w:p>
    <w:p w14:paraId="2F2018C1" w14:textId="77777777" w:rsidR="00966B8F" w:rsidRPr="001775D9" w:rsidRDefault="00966B8F" w:rsidP="00B61D9D">
      <w:pPr>
        <w:spacing w:line="240" w:lineRule="auto"/>
        <w:ind w:right="113"/>
      </w:pPr>
    </w:p>
    <w:p w14:paraId="7D626539" w14:textId="77777777" w:rsidR="00966B8F" w:rsidRPr="001775D9" w:rsidRDefault="00966B8F" w:rsidP="00B61D9D">
      <w:pPr>
        <w:spacing w:line="240" w:lineRule="auto"/>
      </w:pPr>
    </w:p>
    <w:p w14:paraId="42D235FD" w14:textId="77777777" w:rsidR="00966B8F" w:rsidRPr="001775D9" w:rsidRDefault="00966B8F" w:rsidP="00B61D9D">
      <w:pPr>
        <w:spacing w:line="240" w:lineRule="auto"/>
      </w:pPr>
    </w:p>
    <w:p w14:paraId="156E1589" w14:textId="77777777" w:rsidR="00966B8F" w:rsidRPr="001775D9" w:rsidRDefault="00966B8F" w:rsidP="00B61D9D">
      <w:pPr>
        <w:spacing w:line="240" w:lineRule="auto"/>
      </w:pPr>
    </w:p>
    <w:p w14:paraId="3B3CEE74" w14:textId="77777777" w:rsidR="00966B8F" w:rsidRPr="001775D9" w:rsidRDefault="00966B8F" w:rsidP="00B61D9D">
      <w:pPr>
        <w:spacing w:line="240" w:lineRule="auto"/>
      </w:pPr>
    </w:p>
    <w:p w14:paraId="2B94AF22" w14:textId="77777777" w:rsidR="00966B8F" w:rsidRPr="001775D9" w:rsidRDefault="00966B8F" w:rsidP="00B61D9D">
      <w:pPr>
        <w:spacing w:line="240" w:lineRule="auto"/>
      </w:pPr>
    </w:p>
    <w:p w14:paraId="020F80C6" w14:textId="77777777" w:rsidR="00966B8F" w:rsidRPr="001775D9" w:rsidRDefault="00966B8F" w:rsidP="00B61D9D">
      <w:pPr>
        <w:spacing w:line="240" w:lineRule="auto"/>
      </w:pPr>
    </w:p>
    <w:p w14:paraId="27CBE21B" w14:textId="77777777" w:rsidR="00966B8F" w:rsidRPr="001775D9" w:rsidRDefault="00966B8F" w:rsidP="00B61D9D">
      <w:pPr>
        <w:spacing w:line="240" w:lineRule="auto"/>
      </w:pPr>
    </w:p>
    <w:p w14:paraId="53ADE5CC" w14:textId="77777777" w:rsidR="00966B8F" w:rsidRPr="001775D9" w:rsidRDefault="00966B8F" w:rsidP="00B61D9D">
      <w:pPr>
        <w:spacing w:line="240" w:lineRule="auto"/>
      </w:pPr>
    </w:p>
    <w:p w14:paraId="5155B899" w14:textId="77777777" w:rsidR="00966B8F" w:rsidRPr="001775D9" w:rsidRDefault="00966B8F" w:rsidP="00B61D9D">
      <w:pPr>
        <w:spacing w:line="240" w:lineRule="auto"/>
      </w:pPr>
    </w:p>
    <w:p w14:paraId="6097983A" w14:textId="77777777" w:rsidR="00966B8F" w:rsidRPr="001775D9" w:rsidRDefault="00966B8F" w:rsidP="00B61D9D">
      <w:pPr>
        <w:spacing w:line="240" w:lineRule="auto"/>
      </w:pPr>
    </w:p>
    <w:p w14:paraId="32B7D053" w14:textId="77777777" w:rsidR="00966B8F" w:rsidRPr="001775D9" w:rsidRDefault="00966B8F" w:rsidP="00B61D9D">
      <w:pPr>
        <w:spacing w:line="240" w:lineRule="auto"/>
      </w:pPr>
    </w:p>
    <w:p w14:paraId="50BFBF2B" w14:textId="77777777" w:rsidR="00966B8F" w:rsidRPr="001775D9" w:rsidRDefault="00966B8F" w:rsidP="00B61D9D">
      <w:pPr>
        <w:spacing w:line="240" w:lineRule="auto"/>
      </w:pPr>
    </w:p>
    <w:p w14:paraId="6715A53E" w14:textId="77777777" w:rsidR="00966B8F" w:rsidRPr="001775D9" w:rsidRDefault="00966B8F" w:rsidP="00B61D9D">
      <w:pPr>
        <w:spacing w:line="240" w:lineRule="auto"/>
      </w:pPr>
    </w:p>
    <w:p w14:paraId="44712672" w14:textId="77777777" w:rsidR="00966B8F" w:rsidRPr="001775D9" w:rsidRDefault="00966B8F" w:rsidP="00B61D9D">
      <w:pPr>
        <w:spacing w:line="240" w:lineRule="auto"/>
      </w:pPr>
    </w:p>
    <w:p w14:paraId="43DCC4F9" w14:textId="77777777" w:rsidR="00966B8F" w:rsidRPr="001775D9" w:rsidRDefault="00966B8F" w:rsidP="00B61D9D">
      <w:pPr>
        <w:spacing w:line="240" w:lineRule="auto"/>
      </w:pPr>
    </w:p>
    <w:p w14:paraId="077D4AF8"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6CB1BCA5"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799EFAC0"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CARTON PRE-FILLED SYRINGE</w:t>
      </w:r>
    </w:p>
    <w:p w14:paraId="63069ED8" w14:textId="77777777" w:rsidR="00966B8F" w:rsidRPr="001775D9" w:rsidRDefault="00966B8F" w:rsidP="00B61D9D">
      <w:pPr>
        <w:keepNext/>
        <w:spacing w:line="240" w:lineRule="auto"/>
      </w:pPr>
    </w:p>
    <w:p w14:paraId="1008B17E" w14:textId="77777777" w:rsidR="00966B8F" w:rsidRPr="001775D9" w:rsidRDefault="00966B8F" w:rsidP="00B61D9D">
      <w:pPr>
        <w:keepNext/>
        <w:spacing w:line="240" w:lineRule="auto"/>
        <w:rPr>
          <w:szCs w:val="22"/>
        </w:rPr>
      </w:pPr>
    </w:p>
    <w:p w14:paraId="388DED44" w14:textId="24377672"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VAULT_ND_ac301156-e790-4af4-9ed2-51024c6c2d07 \* MERGEFORMAT </w:instrText>
      </w:r>
      <w:r w:rsidR="001C55FB" w:rsidRPr="001775D9">
        <w:rPr>
          <w:b/>
        </w:rPr>
        <w:fldChar w:fldCharType="separate"/>
      </w:r>
      <w:r w:rsidR="001C55FB" w:rsidRPr="001775D9">
        <w:rPr>
          <w:b/>
        </w:rPr>
        <w:t xml:space="preserve"> </w:t>
      </w:r>
      <w:r w:rsidR="001C55FB" w:rsidRPr="001775D9">
        <w:rPr>
          <w:b/>
        </w:rPr>
        <w:fldChar w:fldCharType="end"/>
      </w:r>
    </w:p>
    <w:p w14:paraId="37D40FE9" w14:textId="77777777" w:rsidR="00966B8F" w:rsidRPr="001775D9" w:rsidRDefault="00966B8F" w:rsidP="00B61D9D">
      <w:pPr>
        <w:keepNext/>
        <w:spacing w:line="240" w:lineRule="auto"/>
        <w:rPr>
          <w:szCs w:val="22"/>
        </w:rPr>
      </w:pPr>
    </w:p>
    <w:p w14:paraId="5D733F0D" w14:textId="6130FEE3" w:rsidR="00966B8F" w:rsidRPr="001775D9" w:rsidRDefault="00966B8F" w:rsidP="00B61D9D">
      <w:pPr>
        <w:keepNext/>
        <w:spacing w:line="240" w:lineRule="auto"/>
        <w:rPr>
          <w:szCs w:val="22"/>
        </w:rPr>
      </w:pPr>
      <w:r w:rsidRPr="001775D9">
        <w:rPr>
          <w:szCs w:val="22"/>
        </w:rPr>
        <w:t>AMGEVITA 80 mg solution for injection in pre-filled syringe</w:t>
      </w:r>
    </w:p>
    <w:p w14:paraId="2946B4A9" w14:textId="77777777" w:rsidR="00966B8F" w:rsidRPr="001775D9" w:rsidRDefault="00966B8F" w:rsidP="00B61D9D">
      <w:pPr>
        <w:keepNext/>
        <w:spacing w:line="240" w:lineRule="auto"/>
        <w:rPr>
          <w:szCs w:val="22"/>
        </w:rPr>
      </w:pPr>
      <w:r w:rsidRPr="001775D9">
        <w:rPr>
          <w:szCs w:val="22"/>
        </w:rPr>
        <w:t>adalimumab</w:t>
      </w:r>
    </w:p>
    <w:p w14:paraId="188D7031" w14:textId="77777777" w:rsidR="00966B8F" w:rsidRPr="001775D9" w:rsidRDefault="00966B8F" w:rsidP="00B61D9D">
      <w:pPr>
        <w:keepNext/>
        <w:spacing w:line="240" w:lineRule="auto"/>
        <w:rPr>
          <w:szCs w:val="22"/>
        </w:rPr>
      </w:pPr>
    </w:p>
    <w:p w14:paraId="0515D581" w14:textId="77777777" w:rsidR="00966B8F" w:rsidRPr="001775D9" w:rsidRDefault="00966B8F" w:rsidP="00B61D9D">
      <w:pPr>
        <w:keepNext/>
        <w:spacing w:line="240" w:lineRule="auto"/>
        <w:rPr>
          <w:szCs w:val="22"/>
        </w:rPr>
      </w:pPr>
    </w:p>
    <w:p w14:paraId="31AC7734" w14:textId="6416C670"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VAULT_ND_67e16a26-5c19-4fd5-b8de-450212dc4b7d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065C85A" w14:textId="77777777" w:rsidR="00966B8F" w:rsidRPr="001775D9" w:rsidRDefault="00966B8F" w:rsidP="00B61D9D">
      <w:pPr>
        <w:keepNext/>
        <w:spacing w:line="240" w:lineRule="auto"/>
        <w:rPr>
          <w:szCs w:val="22"/>
        </w:rPr>
      </w:pPr>
    </w:p>
    <w:p w14:paraId="1BC402F5" w14:textId="77777777" w:rsidR="00966B8F" w:rsidRPr="001775D9" w:rsidRDefault="00966B8F" w:rsidP="00B63B7D">
      <w:pPr>
        <w:keepNext/>
        <w:suppressLineNumbers/>
        <w:spacing w:line="240" w:lineRule="auto"/>
        <w:rPr>
          <w:szCs w:val="22"/>
        </w:rPr>
      </w:pPr>
      <w:r w:rsidRPr="001775D9">
        <w:rPr>
          <w:szCs w:val="22"/>
        </w:rPr>
        <w:t>Each pre-filled syringe contains 80 mg of adalimumab in 0.8 mL of solution.</w:t>
      </w:r>
    </w:p>
    <w:p w14:paraId="49B237D0" w14:textId="3A0438DD" w:rsidR="00966B8F" w:rsidRPr="001775D9" w:rsidRDefault="00966B8F" w:rsidP="00B61D9D">
      <w:pPr>
        <w:spacing w:line="240" w:lineRule="auto"/>
        <w:rPr>
          <w:szCs w:val="22"/>
        </w:rPr>
      </w:pPr>
    </w:p>
    <w:p w14:paraId="5513F2FD" w14:textId="77777777" w:rsidR="00966B8F" w:rsidRPr="001775D9" w:rsidRDefault="00966B8F" w:rsidP="00B61D9D">
      <w:pPr>
        <w:spacing w:line="240" w:lineRule="auto"/>
        <w:rPr>
          <w:szCs w:val="22"/>
        </w:rPr>
      </w:pPr>
    </w:p>
    <w:p w14:paraId="795DB83C" w14:textId="6BDEA08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VAULT_ND_de00deb9-3518-4eda-93fb-6b3bd0005bdf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B71DE52" w14:textId="77777777" w:rsidR="00966B8F" w:rsidRPr="001775D9" w:rsidRDefault="00966B8F" w:rsidP="00B61D9D">
      <w:pPr>
        <w:spacing w:line="240" w:lineRule="auto"/>
        <w:rPr>
          <w:szCs w:val="22"/>
        </w:rPr>
      </w:pPr>
    </w:p>
    <w:p w14:paraId="7A6AA177" w14:textId="77777777" w:rsidR="00966B8F" w:rsidRPr="001775D9" w:rsidRDefault="00966B8F" w:rsidP="00B63B7D">
      <w:pPr>
        <w:tabs>
          <w:tab w:val="clear" w:pos="567"/>
        </w:tabs>
        <w:autoSpaceDE w:val="0"/>
        <w:autoSpaceDN w:val="0"/>
        <w:adjustRightInd w:val="0"/>
        <w:spacing w:line="240" w:lineRule="auto"/>
        <w:rPr>
          <w:szCs w:val="22"/>
          <w:lang w:eastAsia="en-GB"/>
        </w:rPr>
      </w:pPr>
      <w:r w:rsidRPr="001775D9">
        <w:rPr>
          <w:szCs w:val="22"/>
          <w:lang w:eastAsia="en-GB"/>
        </w:rPr>
        <w:t>L-lactic</w:t>
      </w:r>
      <w:r w:rsidRPr="00D55B59">
        <w:rPr>
          <w:color w:val="FF0000"/>
          <w:rPrChange w:id="2499"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67C13C7A" w14:textId="77777777" w:rsidR="00966B8F" w:rsidRPr="001775D9" w:rsidRDefault="00966B8F" w:rsidP="00B61D9D">
      <w:pPr>
        <w:spacing w:line="240" w:lineRule="auto"/>
        <w:rPr>
          <w:szCs w:val="22"/>
        </w:rPr>
      </w:pPr>
    </w:p>
    <w:p w14:paraId="7B3A0409" w14:textId="77777777" w:rsidR="00966B8F" w:rsidRPr="001775D9" w:rsidRDefault="00966B8F" w:rsidP="00B61D9D">
      <w:pPr>
        <w:spacing w:line="240" w:lineRule="auto"/>
        <w:rPr>
          <w:szCs w:val="22"/>
        </w:rPr>
      </w:pPr>
    </w:p>
    <w:p w14:paraId="7BB9C6CD" w14:textId="095613E9"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VAULT_ND_11ff6063-008a-4110-a565-abeef6034f23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10C984A" w14:textId="77777777" w:rsidR="00966B8F" w:rsidRPr="001775D9" w:rsidRDefault="00966B8F" w:rsidP="00B61D9D">
      <w:pPr>
        <w:spacing w:line="240" w:lineRule="auto"/>
        <w:rPr>
          <w:szCs w:val="22"/>
        </w:rPr>
      </w:pPr>
    </w:p>
    <w:p w14:paraId="7B3B256C" w14:textId="77777777" w:rsidR="00966B8F" w:rsidRPr="001775D9" w:rsidRDefault="00966B8F" w:rsidP="00B63B7D">
      <w:pPr>
        <w:spacing w:line="240" w:lineRule="auto"/>
        <w:rPr>
          <w:szCs w:val="22"/>
        </w:rPr>
      </w:pPr>
      <w:r>
        <w:rPr>
          <w:szCs w:val="22"/>
          <w:highlight w:val="lightGray"/>
        </w:rPr>
        <w:t>Solution for injection</w:t>
      </w:r>
    </w:p>
    <w:p w14:paraId="57690238" w14:textId="2EA9155B" w:rsidR="00BB0876" w:rsidRPr="004E0216" w:rsidRDefault="00BB0876" w:rsidP="00B63B7D">
      <w:pPr>
        <w:spacing w:line="240" w:lineRule="auto"/>
        <w:rPr>
          <w:szCs w:val="22"/>
          <w:lang w:val="da-DK"/>
        </w:rPr>
      </w:pPr>
      <w:r w:rsidRPr="004E0216">
        <w:rPr>
          <w:szCs w:val="22"/>
          <w:lang w:val="da-DK"/>
        </w:rPr>
        <w:t>80 mg/0.8 mL</w:t>
      </w:r>
    </w:p>
    <w:p w14:paraId="27179892" w14:textId="1BCE60EC" w:rsidR="00966B8F" w:rsidRPr="004E0216" w:rsidRDefault="00966B8F" w:rsidP="00B63B7D">
      <w:pPr>
        <w:spacing w:line="240" w:lineRule="auto"/>
        <w:rPr>
          <w:szCs w:val="22"/>
          <w:lang w:val="da-DK"/>
        </w:rPr>
      </w:pPr>
      <w:r w:rsidRPr="004E0216">
        <w:rPr>
          <w:szCs w:val="22"/>
          <w:lang w:val="da-DK"/>
        </w:rPr>
        <w:t>1 pre-filled syringe.</w:t>
      </w:r>
    </w:p>
    <w:p w14:paraId="4F44E816" w14:textId="77777777" w:rsidR="00966B8F" w:rsidRPr="00D55B59" w:rsidRDefault="00966B8F" w:rsidP="00B63B7D">
      <w:pPr>
        <w:spacing w:line="240" w:lineRule="auto"/>
        <w:rPr>
          <w:szCs w:val="22"/>
          <w:highlight w:val="lightGray"/>
          <w:rPrChange w:id="2500" w:author="Author">
            <w:rPr>
              <w:szCs w:val="22"/>
              <w:highlight w:val="lightGray"/>
              <w:lang w:val="da-DK"/>
            </w:rPr>
          </w:rPrChange>
        </w:rPr>
      </w:pPr>
      <w:r w:rsidRPr="00D55B59">
        <w:rPr>
          <w:szCs w:val="22"/>
          <w:highlight w:val="lightGray"/>
          <w:rPrChange w:id="2501" w:author="Author">
            <w:rPr>
              <w:szCs w:val="22"/>
              <w:highlight w:val="lightGray"/>
              <w:lang w:val="da-DK"/>
            </w:rPr>
          </w:rPrChange>
        </w:rPr>
        <w:t>2 pre-filled syringes.</w:t>
      </w:r>
    </w:p>
    <w:p w14:paraId="21888609" w14:textId="77777777" w:rsidR="00966B8F" w:rsidRPr="00D55B59" w:rsidRDefault="00966B8F" w:rsidP="00B61D9D">
      <w:pPr>
        <w:spacing w:line="240" w:lineRule="auto"/>
        <w:rPr>
          <w:szCs w:val="22"/>
          <w:rPrChange w:id="2502" w:author="Author">
            <w:rPr>
              <w:szCs w:val="22"/>
              <w:lang w:val="da-DK"/>
            </w:rPr>
          </w:rPrChange>
        </w:rPr>
      </w:pPr>
    </w:p>
    <w:p w14:paraId="0D8ACC48" w14:textId="77777777" w:rsidR="00966B8F" w:rsidRPr="00D55B59" w:rsidRDefault="00966B8F" w:rsidP="00B61D9D">
      <w:pPr>
        <w:spacing w:line="240" w:lineRule="auto"/>
        <w:rPr>
          <w:szCs w:val="22"/>
          <w:rPrChange w:id="2503" w:author="Author">
            <w:rPr>
              <w:szCs w:val="22"/>
              <w:lang w:val="da-DK"/>
            </w:rPr>
          </w:rPrChange>
        </w:rPr>
      </w:pPr>
    </w:p>
    <w:p w14:paraId="20CBA4CC" w14:textId="1D09AEB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VAULT_ND_7fd42064-8a91-4126-9337-3be43e3d2c0e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F7DFA41" w14:textId="77777777" w:rsidR="00966B8F" w:rsidRPr="001775D9" w:rsidRDefault="00966B8F" w:rsidP="00B61D9D">
      <w:pPr>
        <w:spacing w:line="240" w:lineRule="auto"/>
        <w:rPr>
          <w:szCs w:val="22"/>
        </w:rPr>
      </w:pPr>
    </w:p>
    <w:p w14:paraId="5EF668C7" w14:textId="77777777" w:rsidR="00966B8F" w:rsidRPr="001775D9" w:rsidRDefault="00966B8F" w:rsidP="00B63B7D">
      <w:pPr>
        <w:spacing w:line="240" w:lineRule="auto"/>
        <w:rPr>
          <w:szCs w:val="22"/>
        </w:rPr>
      </w:pPr>
      <w:r w:rsidRPr="001775D9">
        <w:rPr>
          <w:szCs w:val="22"/>
        </w:rPr>
        <w:t>For subcutaneous use.</w:t>
      </w:r>
    </w:p>
    <w:p w14:paraId="2E1E79FA" w14:textId="77777777" w:rsidR="00966B8F" w:rsidRPr="001775D9" w:rsidRDefault="00966B8F" w:rsidP="00B61D9D">
      <w:pPr>
        <w:spacing w:line="240" w:lineRule="auto"/>
        <w:rPr>
          <w:szCs w:val="22"/>
        </w:rPr>
      </w:pPr>
      <w:r w:rsidRPr="001775D9">
        <w:rPr>
          <w:szCs w:val="22"/>
        </w:rPr>
        <w:t>Read the package leaflet before use.</w:t>
      </w:r>
    </w:p>
    <w:p w14:paraId="623A43EF" w14:textId="77777777" w:rsidR="00966B8F" w:rsidRPr="001775D9" w:rsidRDefault="00966B8F" w:rsidP="00B61D9D">
      <w:pPr>
        <w:spacing w:line="240" w:lineRule="auto"/>
        <w:rPr>
          <w:szCs w:val="22"/>
        </w:rPr>
      </w:pPr>
      <w:r w:rsidRPr="001775D9">
        <w:rPr>
          <w:szCs w:val="22"/>
        </w:rPr>
        <w:t>Single use only.</w:t>
      </w:r>
    </w:p>
    <w:p w14:paraId="704D190A" w14:textId="77777777" w:rsidR="00966B8F" w:rsidRPr="001775D9" w:rsidRDefault="00966B8F" w:rsidP="00B61D9D">
      <w:pPr>
        <w:spacing w:line="240" w:lineRule="auto"/>
        <w:rPr>
          <w:szCs w:val="22"/>
        </w:rPr>
      </w:pPr>
    </w:p>
    <w:p w14:paraId="58C68014" w14:textId="77777777" w:rsidR="00966B8F" w:rsidRPr="001775D9" w:rsidRDefault="00966B8F" w:rsidP="00B61D9D">
      <w:pPr>
        <w:spacing w:line="240" w:lineRule="auto"/>
        <w:rPr>
          <w:szCs w:val="22"/>
        </w:rPr>
      </w:pPr>
    </w:p>
    <w:p w14:paraId="522C6B63" w14:textId="6B90286C"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VAULT_ND_1b8b09b2-74f5-4cf9-ad30-1d962ba5ac47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D2092EE" w14:textId="77777777" w:rsidR="00966B8F" w:rsidRPr="001775D9" w:rsidRDefault="00966B8F" w:rsidP="00B61D9D">
      <w:pPr>
        <w:spacing w:line="240" w:lineRule="auto"/>
        <w:rPr>
          <w:szCs w:val="22"/>
        </w:rPr>
      </w:pPr>
    </w:p>
    <w:p w14:paraId="35B15F65" w14:textId="3A528C7F"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vault_nd_31147693-58db-43e7-869a-b8576d628e65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70A5829A" w14:textId="77777777" w:rsidR="00966B8F" w:rsidRPr="001775D9" w:rsidRDefault="00966B8F" w:rsidP="00B61D9D">
      <w:pPr>
        <w:spacing w:line="240" w:lineRule="auto"/>
        <w:rPr>
          <w:szCs w:val="22"/>
        </w:rPr>
      </w:pPr>
    </w:p>
    <w:p w14:paraId="189030C7" w14:textId="77777777" w:rsidR="00966B8F" w:rsidRPr="001775D9" w:rsidRDefault="00966B8F" w:rsidP="00B61D9D">
      <w:pPr>
        <w:spacing w:line="240" w:lineRule="auto"/>
        <w:rPr>
          <w:szCs w:val="22"/>
        </w:rPr>
      </w:pPr>
    </w:p>
    <w:p w14:paraId="6EAC0C3F" w14:textId="7826519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VAULT_ND_0333ec30-0eaa-4d43-b549-fd755474099d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95EB170" w14:textId="77777777" w:rsidR="00966B8F" w:rsidRPr="001775D9" w:rsidRDefault="00966B8F" w:rsidP="00B61D9D">
      <w:pPr>
        <w:tabs>
          <w:tab w:val="left" w:pos="749"/>
        </w:tabs>
        <w:spacing w:line="240" w:lineRule="auto"/>
      </w:pPr>
    </w:p>
    <w:p w14:paraId="20CA0CE7" w14:textId="77777777" w:rsidR="00966B8F" w:rsidRPr="001775D9" w:rsidRDefault="00966B8F" w:rsidP="00B61D9D">
      <w:pPr>
        <w:tabs>
          <w:tab w:val="left" w:pos="749"/>
        </w:tabs>
        <w:spacing w:line="240" w:lineRule="auto"/>
      </w:pPr>
    </w:p>
    <w:p w14:paraId="025DAD06" w14:textId="4A4D1C2C"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VAULT_ND_0321252c-412d-418d-aa03-bf33b8c1b8a2 \* MERGEFORMAT </w:instrText>
      </w:r>
      <w:r w:rsidR="001C55FB" w:rsidRPr="001775D9">
        <w:rPr>
          <w:b/>
        </w:rPr>
        <w:fldChar w:fldCharType="separate"/>
      </w:r>
      <w:r w:rsidR="001C55FB" w:rsidRPr="001775D9">
        <w:rPr>
          <w:b/>
        </w:rPr>
        <w:t xml:space="preserve"> </w:t>
      </w:r>
      <w:r w:rsidR="001C55FB" w:rsidRPr="001775D9">
        <w:rPr>
          <w:b/>
        </w:rPr>
        <w:fldChar w:fldCharType="end"/>
      </w:r>
    </w:p>
    <w:p w14:paraId="5EC36E02" w14:textId="77777777" w:rsidR="00966B8F" w:rsidRPr="001775D9" w:rsidRDefault="00966B8F" w:rsidP="00B61D9D">
      <w:pPr>
        <w:spacing w:line="240" w:lineRule="auto"/>
      </w:pPr>
    </w:p>
    <w:p w14:paraId="0A6030BA" w14:textId="77777777" w:rsidR="00966B8F" w:rsidRPr="001775D9" w:rsidRDefault="00966B8F" w:rsidP="00B61D9D">
      <w:pPr>
        <w:spacing w:line="240" w:lineRule="auto"/>
        <w:rPr>
          <w:szCs w:val="22"/>
        </w:rPr>
      </w:pPr>
      <w:r w:rsidRPr="001775D9">
        <w:rPr>
          <w:szCs w:val="22"/>
        </w:rPr>
        <w:t xml:space="preserve">EXP </w:t>
      </w:r>
    </w:p>
    <w:p w14:paraId="273A0C90" w14:textId="77777777" w:rsidR="00966B8F" w:rsidRPr="001775D9" w:rsidRDefault="00966B8F" w:rsidP="00B61D9D">
      <w:pPr>
        <w:spacing w:line="240" w:lineRule="auto"/>
        <w:rPr>
          <w:szCs w:val="22"/>
        </w:rPr>
      </w:pPr>
    </w:p>
    <w:p w14:paraId="7900C49B" w14:textId="77777777" w:rsidR="00966B8F" w:rsidRPr="001775D9" w:rsidRDefault="00966B8F" w:rsidP="00B61D9D">
      <w:pPr>
        <w:spacing w:line="240" w:lineRule="auto"/>
        <w:rPr>
          <w:szCs w:val="22"/>
        </w:rPr>
      </w:pPr>
    </w:p>
    <w:p w14:paraId="2D835569" w14:textId="368F233A"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VAULT_ND_d677d313-057e-4225-8986-6aec21686344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2707497" w14:textId="77777777" w:rsidR="00966B8F" w:rsidRPr="001775D9" w:rsidRDefault="00966B8F" w:rsidP="00B61D9D">
      <w:pPr>
        <w:keepNext/>
        <w:spacing w:line="240" w:lineRule="auto"/>
        <w:rPr>
          <w:szCs w:val="22"/>
        </w:rPr>
      </w:pPr>
    </w:p>
    <w:p w14:paraId="4F35775B" w14:textId="77777777" w:rsidR="00966B8F" w:rsidRPr="001775D9" w:rsidRDefault="00966B8F" w:rsidP="00966B8F">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5130C83B" w14:textId="77777777" w:rsidR="00966B8F" w:rsidRPr="001775D9" w:rsidRDefault="00966B8F" w:rsidP="00966B8F">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577E6808" w14:textId="77777777" w:rsidR="00966B8F" w:rsidRPr="001775D9" w:rsidRDefault="00966B8F" w:rsidP="00966B8F">
      <w:pPr>
        <w:spacing w:line="240" w:lineRule="auto"/>
        <w:rPr>
          <w:rFonts w:eastAsia="SimSun"/>
          <w:szCs w:val="22"/>
          <w:lang w:eastAsia="en-GB"/>
        </w:rPr>
      </w:pPr>
      <w:r w:rsidRPr="001775D9">
        <w:rPr>
          <w:rFonts w:eastAsia="SimSun"/>
          <w:szCs w:val="22"/>
          <w:lang w:eastAsia="en-GB"/>
        </w:rPr>
        <w:t>Store in the original carton in order to protect from light.</w:t>
      </w:r>
    </w:p>
    <w:p w14:paraId="2769EAA0" w14:textId="77777777" w:rsidR="00966B8F" w:rsidRPr="001775D9" w:rsidRDefault="00966B8F" w:rsidP="00966B8F">
      <w:pPr>
        <w:spacing w:line="240" w:lineRule="auto"/>
        <w:rPr>
          <w:rFonts w:eastAsia="SimSun"/>
          <w:szCs w:val="22"/>
          <w:lang w:eastAsia="en-GB"/>
        </w:rPr>
      </w:pPr>
    </w:p>
    <w:p w14:paraId="255ACF4C" w14:textId="77777777" w:rsidR="00966B8F" w:rsidRPr="001775D9" w:rsidRDefault="00966B8F" w:rsidP="00B61D9D">
      <w:pPr>
        <w:spacing w:line="240" w:lineRule="auto"/>
        <w:ind w:left="567" w:hanging="567"/>
        <w:rPr>
          <w:szCs w:val="22"/>
        </w:rPr>
      </w:pPr>
    </w:p>
    <w:p w14:paraId="27CF61EA" w14:textId="5AAA086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VAULT_ND_3b0bbc0a-716a-491e-ad86-7e82e64e2328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9EC168A" w14:textId="77777777" w:rsidR="00966B8F" w:rsidRPr="001775D9" w:rsidRDefault="00966B8F" w:rsidP="00B61D9D">
      <w:pPr>
        <w:spacing w:line="240" w:lineRule="auto"/>
        <w:rPr>
          <w:szCs w:val="22"/>
        </w:rPr>
      </w:pPr>
    </w:p>
    <w:p w14:paraId="51297F61" w14:textId="77777777" w:rsidR="00966B8F" w:rsidRPr="001775D9" w:rsidRDefault="00966B8F" w:rsidP="00B61D9D">
      <w:pPr>
        <w:spacing w:line="240" w:lineRule="auto"/>
        <w:rPr>
          <w:szCs w:val="22"/>
        </w:rPr>
      </w:pPr>
    </w:p>
    <w:p w14:paraId="40087E83" w14:textId="295F7F4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VAULT_ND_25291105-0482-4469-bb2e-f9fab5cf0c32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0EA2C00" w14:textId="77777777" w:rsidR="00966B8F" w:rsidRPr="001775D9" w:rsidRDefault="00966B8F" w:rsidP="00B61D9D">
      <w:pPr>
        <w:spacing w:line="240" w:lineRule="auto"/>
        <w:rPr>
          <w:szCs w:val="22"/>
        </w:rPr>
      </w:pPr>
    </w:p>
    <w:p w14:paraId="52A6CF9F"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504" w:author="Author">
            <w:rPr>
              <w:rFonts w:eastAsia="SimSun"/>
              <w:szCs w:val="22"/>
              <w:lang w:val="sv-SE" w:eastAsia="en-GB"/>
            </w:rPr>
          </w:rPrChange>
        </w:rPr>
      </w:pPr>
      <w:r w:rsidRPr="00D55B59">
        <w:rPr>
          <w:rFonts w:eastAsia="SimSun"/>
          <w:szCs w:val="22"/>
          <w:lang w:eastAsia="en-GB"/>
          <w:rPrChange w:id="2505" w:author="Author">
            <w:rPr>
              <w:rFonts w:eastAsia="SimSun"/>
              <w:szCs w:val="22"/>
              <w:lang w:val="sv-SE" w:eastAsia="en-GB"/>
            </w:rPr>
          </w:rPrChange>
        </w:rPr>
        <w:t>Amgen Europe B.V.</w:t>
      </w:r>
    </w:p>
    <w:p w14:paraId="6477D582" w14:textId="77777777" w:rsidR="00966B8F" w:rsidRPr="00D55B59" w:rsidRDefault="00966B8F" w:rsidP="00B63B7D">
      <w:pPr>
        <w:tabs>
          <w:tab w:val="clear" w:pos="567"/>
        </w:tabs>
        <w:autoSpaceDE w:val="0"/>
        <w:autoSpaceDN w:val="0"/>
        <w:adjustRightInd w:val="0"/>
        <w:spacing w:line="240" w:lineRule="auto"/>
        <w:rPr>
          <w:rFonts w:eastAsia="SimSun"/>
          <w:szCs w:val="22"/>
          <w:lang w:eastAsia="en-GB"/>
          <w:rPrChange w:id="2506" w:author="Author">
            <w:rPr>
              <w:rFonts w:eastAsia="SimSun"/>
              <w:szCs w:val="22"/>
              <w:lang w:val="sv-SE" w:eastAsia="en-GB"/>
            </w:rPr>
          </w:rPrChange>
        </w:rPr>
      </w:pPr>
      <w:r w:rsidRPr="00D55B59">
        <w:rPr>
          <w:rFonts w:eastAsia="SimSun"/>
          <w:szCs w:val="22"/>
          <w:lang w:eastAsia="en-GB"/>
          <w:rPrChange w:id="2507" w:author="Author">
            <w:rPr>
              <w:rFonts w:eastAsia="SimSun"/>
              <w:szCs w:val="22"/>
              <w:lang w:val="sv-SE" w:eastAsia="en-GB"/>
            </w:rPr>
          </w:rPrChange>
        </w:rPr>
        <w:t>Minervum 7061,</w:t>
      </w:r>
    </w:p>
    <w:p w14:paraId="6446D8C1" w14:textId="77777777" w:rsidR="00966B8F" w:rsidRPr="001775D9" w:rsidRDefault="00966B8F" w:rsidP="00B63B7D">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0CF65FF9" w14:textId="77777777" w:rsidR="00966B8F" w:rsidRPr="001775D9" w:rsidRDefault="00966B8F" w:rsidP="00B63B7D">
      <w:pPr>
        <w:spacing w:line="240" w:lineRule="auto"/>
        <w:rPr>
          <w:szCs w:val="22"/>
        </w:rPr>
      </w:pPr>
      <w:r w:rsidRPr="001775D9">
        <w:rPr>
          <w:rFonts w:eastAsia="SimSun"/>
          <w:szCs w:val="22"/>
          <w:lang w:eastAsia="en-GB"/>
        </w:rPr>
        <w:t>The Netherlands</w:t>
      </w:r>
      <w:r w:rsidRPr="001775D9">
        <w:rPr>
          <w:i/>
          <w:szCs w:val="22"/>
        </w:rPr>
        <w:t xml:space="preserve"> </w:t>
      </w:r>
    </w:p>
    <w:p w14:paraId="62CC9099" w14:textId="77777777" w:rsidR="00966B8F" w:rsidRPr="001775D9" w:rsidRDefault="00966B8F" w:rsidP="00B61D9D">
      <w:pPr>
        <w:spacing w:line="240" w:lineRule="auto"/>
        <w:rPr>
          <w:szCs w:val="22"/>
        </w:rPr>
      </w:pPr>
    </w:p>
    <w:p w14:paraId="5CD41FD0" w14:textId="77777777" w:rsidR="00966B8F" w:rsidRPr="001775D9" w:rsidRDefault="00966B8F" w:rsidP="00B61D9D">
      <w:pPr>
        <w:spacing w:line="240" w:lineRule="auto"/>
        <w:rPr>
          <w:szCs w:val="22"/>
        </w:rPr>
      </w:pPr>
    </w:p>
    <w:p w14:paraId="50D54D6C" w14:textId="7E99CC7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VAULT_ND_1cae1840-51e0-4eb8-a8b0-9f0d33927617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208006D" w14:textId="77777777" w:rsidR="00966B8F" w:rsidRPr="001775D9" w:rsidRDefault="00966B8F" w:rsidP="00B61D9D">
      <w:pPr>
        <w:spacing w:line="240" w:lineRule="auto"/>
        <w:rPr>
          <w:szCs w:val="22"/>
        </w:rPr>
      </w:pPr>
    </w:p>
    <w:p w14:paraId="2805276C" w14:textId="37BBC185" w:rsidR="00966B8F" w:rsidRPr="001775D9" w:rsidRDefault="00966B8F" w:rsidP="00B61D9D">
      <w:pPr>
        <w:spacing w:line="240" w:lineRule="auto"/>
        <w:outlineLvl w:val="0"/>
        <w:rPr>
          <w:szCs w:val="22"/>
        </w:rPr>
      </w:pPr>
      <w:r w:rsidRPr="001775D9">
        <w:rPr>
          <w:color w:val="000000"/>
        </w:rPr>
        <w:t xml:space="preserve">EU/1/16/1164/017 </w:t>
      </w:r>
      <w:r>
        <w:rPr>
          <w:szCs w:val="22"/>
          <w:highlight w:val="lightGray"/>
        </w:rPr>
        <w:t>1 pack</w:t>
      </w:r>
      <w:r w:rsidR="001C55FB">
        <w:rPr>
          <w:szCs w:val="22"/>
          <w:highlight w:val="lightGray"/>
        </w:rPr>
        <w:fldChar w:fldCharType="begin"/>
      </w:r>
      <w:r w:rsidR="001C55FB">
        <w:rPr>
          <w:szCs w:val="22"/>
          <w:highlight w:val="lightGray"/>
        </w:rPr>
        <w:instrText xml:space="preserve"> DOCVARIABLE vault_nd_38c445c2-8117-4149-b7b5-4ac930473564 \* MERGEFORMAT </w:instrText>
      </w:r>
      <w:r w:rsidR="001C55FB">
        <w:rPr>
          <w:szCs w:val="22"/>
          <w:highlight w:val="lightGray"/>
        </w:rPr>
        <w:fldChar w:fldCharType="separate"/>
      </w:r>
      <w:r w:rsidR="001C55FB">
        <w:rPr>
          <w:szCs w:val="22"/>
          <w:highlight w:val="lightGray"/>
        </w:rPr>
        <w:t xml:space="preserve"> </w:t>
      </w:r>
      <w:r w:rsidR="001C55FB">
        <w:rPr>
          <w:szCs w:val="22"/>
          <w:highlight w:val="lightGray"/>
        </w:rPr>
        <w:fldChar w:fldCharType="end"/>
      </w:r>
    </w:p>
    <w:p w14:paraId="68C61B32" w14:textId="000B093D" w:rsidR="00966B8F" w:rsidRDefault="00966B8F" w:rsidP="00B61D9D">
      <w:pPr>
        <w:spacing w:line="240" w:lineRule="auto"/>
        <w:outlineLvl w:val="0"/>
        <w:rPr>
          <w:szCs w:val="22"/>
          <w:highlight w:val="lightGray"/>
        </w:rPr>
      </w:pPr>
      <w:r>
        <w:rPr>
          <w:color w:val="000000"/>
          <w:highlight w:val="lightGray"/>
        </w:rPr>
        <w:t xml:space="preserve">EU/1/16/1164/018 </w:t>
      </w:r>
      <w:r>
        <w:rPr>
          <w:szCs w:val="22"/>
          <w:highlight w:val="lightGray"/>
        </w:rPr>
        <w:t>2 pack</w:t>
      </w:r>
      <w:r w:rsidR="001C55FB">
        <w:rPr>
          <w:szCs w:val="22"/>
          <w:highlight w:val="lightGray"/>
        </w:rPr>
        <w:fldChar w:fldCharType="begin"/>
      </w:r>
      <w:r w:rsidR="001C55FB">
        <w:rPr>
          <w:szCs w:val="22"/>
          <w:highlight w:val="lightGray"/>
        </w:rPr>
        <w:instrText xml:space="preserve"> DOCVARIABLE vault_nd_f910b224-ff5b-44bd-8111-9a804ebfc6c2 \* MERGEFORMAT </w:instrText>
      </w:r>
      <w:r w:rsidR="001C55FB">
        <w:rPr>
          <w:szCs w:val="22"/>
          <w:highlight w:val="lightGray"/>
        </w:rPr>
        <w:fldChar w:fldCharType="separate"/>
      </w:r>
      <w:r w:rsidR="001C55FB">
        <w:rPr>
          <w:szCs w:val="22"/>
          <w:highlight w:val="lightGray"/>
        </w:rPr>
        <w:t xml:space="preserve"> </w:t>
      </w:r>
      <w:r w:rsidR="001C55FB">
        <w:rPr>
          <w:szCs w:val="22"/>
          <w:highlight w:val="lightGray"/>
        </w:rPr>
        <w:fldChar w:fldCharType="end"/>
      </w:r>
    </w:p>
    <w:p w14:paraId="130E3983" w14:textId="77777777" w:rsidR="00966B8F" w:rsidRPr="001775D9" w:rsidRDefault="00966B8F" w:rsidP="00B61D9D">
      <w:pPr>
        <w:spacing w:line="240" w:lineRule="auto"/>
        <w:rPr>
          <w:rFonts w:ascii="TimesNewRoman" w:hAnsi="TimesNewRoman" w:cs="TimesNewRoman"/>
          <w:szCs w:val="22"/>
          <w:lang w:eastAsia="en-GB"/>
        </w:rPr>
      </w:pPr>
    </w:p>
    <w:p w14:paraId="23C12318" w14:textId="77777777" w:rsidR="00966B8F" w:rsidRPr="001775D9" w:rsidRDefault="00966B8F" w:rsidP="00B61D9D">
      <w:pPr>
        <w:spacing w:line="240" w:lineRule="auto"/>
        <w:rPr>
          <w:szCs w:val="22"/>
        </w:rPr>
      </w:pPr>
    </w:p>
    <w:p w14:paraId="436C14A7" w14:textId="6486FE5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VAULT_ND_3f9f3acd-46ba-45ca-ae9b-f1fea57da87b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46128B4" w14:textId="77777777" w:rsidR="00966B8F" w:rsidRPr="001775D9" w:rsidRDefault="00966B8F" w:rsidP="00B61D9D">
      <w:pPr>
        <w:spacing w:line="240" w:lineRule="auto"/>
        <w:rPr>
          <w:i/>
          <w:szCs w:val="22"/>
        </w:rPr>
      </w:pPr>
    </w:p>
    <w:p w14:paraId="3E6359A8" w14:textId="77777777" w:rsidR="00966B8F" w:rsidRPr="001775D9" w:rsidRDefault="00966B8F" w:rsidP="00B61D9D">
      <w:pPr>
        <w:spacing w:line="240" w:lineRule="auto"/>
        <w:rPr>
          <w:szCs w:val="22"/>
        </w:rPr>
      </w:pPr>
      <w:r w:rsidRPr="001775D9">
        <w:rPr>
          <w:szCs w:val="22"/>
        </w:rPr>
        <w:t>Lot</w:t>
      </w:r>
    </w:p>
    <w:p w14:paraId="04735AD3" w14:textId="77777777" w:rsidR="00966B8F" w:rsidRPr="001775D9" w:rsidRDefault="00966B8F" w:rsidP="00B61D9D">
      <w:pPr>
        <w:spacing w:line="240" w:lineRule="auto"/>
        <w:rPr>
          <w:szCs w:val="22"/>
        </w:rPr>
      </w:pPr>
    </w:p>
    <w:p w14:paraId="58700D7E" w14:textId="77777777" w:rsidR="00966B8F" w:rsidRPr="001775D9" w:rsidRDefault="00966B8F" w:rsidP="00B61D9D">
      <w:pPr>
        <w:spacing w:line="240" w:lineRule="auto"/>
        <w:rPr>
          <w:szCs w:val="22"/>
        </w:rPr>
      </w:pPr>
    </w:p>
    <w:p w14:paraId="5DC2877E" w14:textId="68FC19CC"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VAULT_ND_36cc017f-dc5d-42a8-8252-6e43b542787d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AD4DC1F" w14:textId="77777777" w:rsidR="00966B8F" w:rsidRPr="001775D9" w:rsidRDefault="00966B8F" w:rsidP="00B61D9D">
      <w:pPr>
        <w:spacing w:line="240" w:lineRule="auto"/>
        <w:rPr>
          <w:i/>
          <w:szCs w:val="22"/>
        </w:rPr>
      </w:pPr>
    </w:p>
    <w:p w14:paraId="230D4198" w14:textId="77777777" w:rsidR="00966B8F" w:rsidRPr="001775D9" w:rsidRDefault="00966B8F" w:rsidP="00B61D9D">
      <w:pPr>
        <w:spacing w:line="240" w:lineRule="auto"/>
        <w:rPr>
          <w:szCs w:val="22"/>
        </w:rPr>
      </w:pPr>
    </w:p>
    <w:p w14:paraId="4E9A1DC3" w14:textId="3F66CA1A"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VAULT_ND_3903848b-dae3-4b59-ad99-39289cfa7d11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974AEDD" w14:textId="77777777" w:rsidR="00966B8F" w:rsidRPr="001775D9" w:rsidRDefault="00966B8F" w:rsidP="00B61D9D">
      <w:pPr>
        <w:spacing w:line="240" w:lineRule="auto"/>
        <w:rPr>
          <w:szCs w:val="22"/>
        </w:rPr>
      </w:pPr>
    </w:p>
    <w:p w14:paraId="5C6512C6" w14:textId="77777777" w:rsidR="00966B8F" w:rsidRPr="001775D9" w:rsidRDefault="00966B8F" w:rsidP="00B61D9D">
      <w:pPr>
        <w:spacing w:line="240" w:lineRule="auto"/>
        <w:rPr>
          <w:szCs w:val="22"/>
        </w:rPr>
      </w:pPr>
    </w:p>
    <w:p w14:paraId="2C8E2281" w14:textId="77777777" w:rsidR="00966B8F" w:rsidRPr="00D55B5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Change w:id="2508" w:author="Author">
            <w:rPr>
              <w:szCs w:val="22"/>
              <w:lang w:val="sv-SE"/>
            </w:rPr>
          </w:rPrChange>
        </w:rPr>
      </w:pPr>
      <w:r w:rsidRPr="00D55B59">
        <w:rPr>
          <w:b/>
          <w:szCs w:val="22"/>
          <w:rPrChange w:id="2509" w:author="Author">
            <w:rPr>
              <w:b/>
              <w:szCs w:val="22"/>
              <w:lang w:val="sv-SE"/>
            </w:rPr>
          </w:rPrChange>
        </w:rPr>
        <w:t>16.</w:t>
      </w:r>
      <w:r w:rsidRPr="00D55B59">
        <w:rPr>
          <w:b/>
          <w:szCs w:val="22"/>
          <w:rPrChange w:id="2510" w:author="Author">
            <w:rPr>
              <w:b/>
              <w:szCs w:val="22"/>
              <w:lang w:val="sv-SE"/>
            </w:rPr>
          </w:rPrChange>
        </w:rPr>
        <w:tab/>
        <w:t>INFORMATION IN BRAILLE</w:t>
      </w:r>
    </w:p>
    <w:p w14:paraId="63CE69E8" w14:textId="77777777" w:rsidR="00966B8F" w:rsidRPr="00D55B59" w:rsidRDefault="00966B8F" w:rsidP="00B61D9D">
      <w:pPr>
        <w:spacing w:line="240" w:lineRule="auto"/>
        <w:rPr>
          <w:rPrChange w:id="2511" w:author="Author">
            <w:rPr>
              <w:lang w:val="sv-SE"/>
            </w:rPr>
          </w:rPrChange>
        </w:rPr>
      </w:pPr>
    </w:p>
    <w:p w14:paraId="00C1C838" w14:textId="5EEF285E" w:rsidR="00966B8F" w:rsidRPr="00D55B59" w:rsidRDefault="00966B8F" w:rsidP="00B61D9D">
      <w:pPr>
        <w:spacing w:line="240" w:lineRule="auto"/>
        <w:rPr>
          <w:rPrChange w:id="2512" w:author="Author">
            <w:rPr>
              <w:lang w:val="sv-SE"/>
            </w:rPr>
          </w:rPrChange>
        </w:rPr>
      </w:pPr>
      <w:r w:rsidRPr="00D55B59">
        <w:rPr>
          <w:rPrChange w:id="2513" w:author="Author">
            <w:rPr>
              <w:lang w:val="sv-SE"/>
            </w:rPr>
          </w:rPrChange>
        </w:rPr>
        <w:t>AMGEVITA 80 mg</w:t>
      </w:r>
      <w:r w:rsidR="00BB0876" w:rsidRPr="00D55B59">
        <w:rPr>
          <w:rPrChange w:id="2514" w:author="Author">
            <w:rPr>
              <w:lang w:val="sv-SE"/>
            </w:rPr>
          </w:rPrChange>
        </w:rPr>
        <w:t>/0.8 mL</w:t>
      </w:r>
      <w:r w:rsidRPr="00D55B59">
        <w:rPr>
          <w:rPrChange w:id="2515" w:author="Author">
            <w:rPr>
              <w:lang w:val="sv-SE"/>
            </w:rPr>
          </w:rPrChange>
        </w:rPr>
        <w:t xml:space="preserve"> syringe</w:t>
      </w:r>
    </w:p>
    <w:p w14:paraId="252AC524" w14:textId="77777777" w:rsidR="00966B8F" w:rsidRPr="00D55B59" w:rsidRDefault="00966B8F" w:rsidP="00B63B7D">
      <w:pPr>
        <w:spacing w:line="240" w:lineRule="auto"/>
        <w:rPr>
          <w:szCs w:val="22"/>
          <w:highlight w:val="yellow"/>
          <w:shd w:val="clear" w:color="auto" w:fill="CCCCCC"/>
          <w:rPrChange w:id="2516" w:author="Author">
            <w:rPr>
              <w:noProof/>
              <w:szCs w:val="22"/>
              <w:highlight w:val="yellow"/>
              <w:shd w:val="clear" w:color="auto" w:fill="CCCCCC"/>
              <w:lang w:val="sv-SE"/>
            </w:rPr>
          </w:rPrChange>
        </w:rPr>
      </w:pPr>
    </w:p>
    <w:p w14:paraId="74D9C3C7" w14:textId="77777777" w:rsidR="00966B8F" w:rsidRPr="00D55B59" w:rsidRDefault="00966B8F" w:rsidP="00B63B7D">
      <w:pPr>
        <w:spacing w:line="240" w:lineRule="auto"/>
        <w:rPr>
          <w:szCs w:val="22"/>
          <w:shd w:val="clear" w:color="auto" w:fill="CCCCCC"/>
          <w:rPrChange w:id="2517" w:author="Author">
            <w:rPr>
              <w:noProof/>
              <w:szCs w:val="22"/>
              <w:shd w:val="clear" w:color="auto" w:fill="CCCCCC"/>
              <w:lang w:val="sv-SE"/>
            </w:rPr>
          </w:rPrChange>
        </w:rPr>
      </w:pPr>
    </w:p>
    <w:p w14:paraId="61389C7E" w14:textId="77777777" w:rsidR="00966B8F" w:rsidRPr="00D55B59" w:rsidRDefault="00966B8F" w:rsidP="00B63B7D">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518" w:author="Author">
            <w:rPr>
              <w:i/>
              <w:noProof/>
            </w:rPr>
          </w:rPrChange>
        </w:rPr>
      </w:pPr>
      <w:r w:rsidRPr="00D55B59">
        <w:rPr>
          <w:b/>
          <w:rPrChange w:id="2519" w:author="Author">
            <w:rPr>
              <w:b/>
              <w:noProof/>
            </w:rPr>
          </w:rPrChange>
        </w:rPr>
        <w:t>17.</w:t>
      </w:r>
      <w:r w:rsidRPr="00D55B59">
        <w:rPr>
          <w:b/>
          <w:rPrChange w:id="2520" w:author="Author">
            <w:rPr>
              <w:b/>
              <w:noProof/>
            </w:rPr>
          </w:rPrChange>
        </w:rPr>
        <w:tab/>
        <w:t>UNIQUE IDENTIFIER – 2D BARCODE</w:t>
      </w:r>
    </w:p>
    <w:p w14:paraId="53D88548" w14:textId="77777777" w:rsidR="00966B8F" w:rsidRPr="00D55B59" w:rsidRDefault="00966B8F" w:rsidP="00B63B7D">
      <w:pPr>
        <w:tabs>
          <w:tab w:val="clear" w:pos="567"/>
        </w:tabs>
        <w:spacing w:line="240" w:lineRule="auto"/>
        <w:rPr>
          <w:rPrChange w:id="2521" w:author="Author">
            <w:rPr>
              <w:noProof/>
            </w:rPr>
          </w:rPrChange>
        </w:rPr>
      </w:pPr>
    </w:p>
    <w:p w14:paraId="347E107F" w14:textId="77777777" w:rsidR="00966B8F" w:rsidRPr="00D55B59" w:rsidRDefault="00966B8F" w:rsidP="00B63B7D">
      <w:pPr>
        <w:spacing w:line="240" w:lineRule="auto"/>
        <w:rPr>
          <w:szCs w:val="22"/>
          <w:shd w:val="clear" w:color="auto" w:fill="CCCCCC"/>
          <w:rPrChange w:id="2522" w:author="Author">
            <w:rPr>
              <w:noProof/>
              <w:szCs w:val="22"/>
              <w:shd w:val="clear" w:color="auto" w:fill="CCCCCC"/>
            </w:rPr>
          </w:rPrChange>
        </w:rPr>
      </w:pPr>
      <w:r w:rsidRPr="00D55B59">
        <w:rPr>
          <w:highlight w:val="lightGray"/>
          <w:rPrChange w:id="2523" w:author="Author">
            <w:rPr>
              <w:noProof/>
              <w:highlight w:val="lightGray"/>
            </w:rPr>
          </w:rPrChange>
        </w:rPr>
        <w:t>2D barcode carrying the unique identifier included.</w:t>
      </w:r>
    </w:p>
    <w:p w14:paraId="634B9CD8" w14:textId="77777777" w:rsidR="00966B8F" w:rsidRPr="00D55B59" w:rsidRDefault="00966B8F" w:rsidP="00B63B7D">
      <w:pPr>
        <w:spacing w:line="240" w:lineRule="auto"/>
        <w:rPr>
          <w:szCs w:val="22"/>
          <w:shd w:val="clear" w:color="auto" w:fill="CCCCCC"/>
          <w:rPrChange w:id="2524" w:author="Author">
            <w:rPr>
              <w:noProof/>
              <w:szCs w:val="22"/>
              <w:shd w:val="clear" w:color="auto" w:fill="CCCCCC"/>
            </w:rPr>
          </w:rPrChange>
        </w:rPr>
      </w:pPr>
    </w:p>
    <w:p w14:paraId="66CCF9F6" w14:textId="77777777" w:rsidR="00966B8F" w:rsidRPr="00D55B59" w:rsidRDefault="00966B8F" w:rsidP="00B63B7D">
      <w:pPr>
        <w:tabs>
          <w:tab w:val="clear" w:pos="567"/>
        </w:tabs>
        <w:spacing w:line="240" w:lineRule="auto"/>
        <w:rPr>
          <w:rPrChange w:id="2525" w:author="Author">
            <w:rPr>
              <w:noProof/>
            </w:rPr>
          </w:rPrChange>
        </w:rPr>
      </w:pPr>
    </w:p>
    <w:p w14:paraId="609E36FF" w14:textId="77777777" w:rsidR="00966B8F" w:rsidRPr="00D55B59" w:rsidRDefault="00966B8F" w:rsidP="00B63B7D">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526" w:author="Author">
            <w:rPr>
              <w:i/>
              <w:noProof/>
            </w:rPr>
          </w:rPrChange>
        </w:rPr>
      </w:pPr>
      <w:r w:rsidRPr="00D55B59">
        <w:rPr>
          <w:b/>
          <w:rPrChange w:id="2527" w:author="Author">
            <w:rPr>
              <w:b/>
              <w:noProof/>
            </w:rPr>
          </w:rPrChange>
        </w:rPr>
        <w:t>18.</w:t>
      </w:r>
      <w:r w:rsidRPr="00D55B59">
        <w:rPr>
          <w:b/>
          <w:rPrChange w:id="2528" w:author="Author">
            <w:rPr>
              <w:b/>
              <w:noProof/>
            </w:rPr>
          </w:rPrChange>
        </w:rPr>
        <w:tab/>
        <w:t xml:space="preserve">UNIQUE IDENTIFIER </w:t>
      </w:r>
      <w:r w:rsidRPr="001775D9">
        <w:rPr>
          <w:rFonts w:eastAsia="Calibri"/>
        </w:rPr>
        <w:t>-</w:t>
      </w:r>
      <w:r w:rsidRPr="00D55B59">
        <w:rPr>
          <w:b/>
          <w:rPrChange w:id="2529" w:author="Author">
            <w:rPr>
              <w:b/>
              <w:noProof/>
            </w:rPr>
          </w:rPrChange>
        </w:rPr>
        <w:t xml:space="preserve"> HUMAN READABLE DATA</w:t>
      </w:r>
    </w:p>
    <w:p w14:paraId="30B0AC4E" w14:textId="77777777" w:rsidR="00966B8F" w:rsidRPr="00D55B59" w:rsidRDefault="00966B8F" w:rsidP="00B63B7D">
      <w:pPr>
        <w:tabs>
          <w:tab w:val="clear" w:pos="567"/>
        </w:tabs>
        <w:spacing w:line="240" w:lineRule="auto"/>
        <w:rPr>
          <w:rPrChange w:id="2530" w:author="Author">
            <w:rPr>
              <w:noProof/>
            </w:rPr>
          </w:rPrChange>
        </w:rPr>
      </w:pPr>
    </w:p>
    <w:p w14:paraId="04CEF3BF" w14:textId="77777777" w:rsidR="00966B8F" w:rsidRPr="001775D9" w:rsidRDefault="00966B8F" w:rsidP="00B63B7D">
      <w:pPr>
        <w:spacing w:line="240" w:lineRule="auto"/>
        <w:rPr>
          <w:szCs w:val="22"/>
        </w:rPr>
      </w:pPr>
      <w:r w:rsidRPr="001775D9">
        <w:rPr>
          <w:szCs w:val="22"/>
        </w:rPr>
        <w:t>PC</w:t>
      </w:r>
    </w:p>
    <w:p w14:paraId="12699DD6" w14:textId="77777777" w:rsidR="00966B8F" w:rsidRPr="001775D9" w:rsidRDefault="00966B8F" w:rsidP="00B61D9D">
      <w:pPr>
        <w:spacing w:line="240" w:lineRule="auto"/>
        <w:rPr>
          <w:szCs w:val="22"/>
        </w:rPr>
      </w:pPr>
      <w:r w:rsidRPr="001775D9">
        <w:rPr>
          <w:szCs w:val="22"/>
        </w:rPr>
        <w:t>SN</w:t>
      </w:r>
    </w:p>
    <w:p w14:paraId="78D8DE19" w14:textId="77777777" w:rsidR="00966B8F" w:rsidRPr="001775D9" w:rsidRDefault="00966B8F" w:rsidP="00B61D9D">
      <w:pPr>
        <w:spacing w:line="240" w:lineRule="auto"/>
      </w:pPr>
      <w:r w:rsidRPr="001775D9">
        <w:rPr>
          <w:szCs w:val="22"/>
        </w:rPr>
        <w:t>NN</w:t>
      </w:r>
    </w:p>
    <w:p w14:paraId="32CD709A" w14:textId="77777777" w:rsidR="00966B8F" w:rsidRPr="001775D9" w:rsidRDefault="00966B8F" w:rsidP="00B61D9D">
      <w:pPr>
        <w:spacing w:line="240" w:lineRule="auto"/>
      </w:pPr>
    </w:p>
    <w:p w14:paraId="0E657FD1" w14:textId="77777777" w:rsidR="00966B8F" w:rsidRPr="001775D9" w:rsidRDefault="00966B8F" w:rsidP="00966B8F">
      <w:pPr>
        <w:keepNext/>
        <w:pBdr>
          <w:top w:val="single" w:sz="4" w:space="1" w:color="auto"/>
          <w:left w:val="single" w:sz="4" w:space="4" w:color="auto"/>
          <w:bottom w:val="single" w:sz="4" w:space="1" w:color="auto"/>
          <w:right w:val="single" w:sz="4" w:space="4" w:color="auto"/>
        </w:pBdr>
        <w:rPr>
          <w:b/>
          <w:szCs w:val="22"/>
        </w:rPr>
        <w:sectPr w:rsidR="00966B8F" w:rsidRPr="001775D9" w:rsidSect="0065239D">
          <w:endnotePr>
            <w:numFmt w:val="decimal"/>
          </w:endnotePr>
          <w:pgSz w:w="11907" w:h="16840" w:code="9"/>
          <w:pgMar w:top="1134" w:right="1418" w:bottom="1134" w:left="1418" w:header="737" w:footer="737" w:gutter="0"/>
          <w:cols w:space="720"/>
          <w:titlePg/>
        </w:sectPr>
      </w:pPr>
    </w:p>
    <w:p w14:paraId="66E52D6B"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010C606E"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52DC076B"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OUTER CARTON FOR PRE-FILLED SYRINGE MULTIPACK (with blue box)</w:t>
      </w:r>
    </w:p>
    <w:p w14:paraId="5E157B32" w14:textId="77777777" w:rsidR="00966B8F" w:rsidRPr="001775D9" w:rsidRDefault="00966B8F" w:rsidP="00B61D9D">
      <w:pPr>
        <w:keepNext/>
        <w:spacing w:line="240" w:lineRule="auto"/>
      </w:pPr>
    </w:p>
    <w:p w14:paraId="792424F9" w14:textId="77777777" w:rsidR="00966B8F" w:rsidRPr="001775D9" w:rsidRDefault="00966B8F" w:rsidP="00B61D9D">
      <w:pPr>
        <w:keepNext/>
        <w:spacing w:line="240" w:lineRule="auto"/>
        <w:rPr>
          <w:szCs w:val="22"/>
        </w:rPr>
      </w:pPr>
    </w:p>
    <w:p w14:paraId="7AAB4F4D" w14:textId="2B140E21"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VAULT_ND_d20af4fb-f432-478c-a0cc-59875020ad44 \* MERGEFORMAT </w:instrText>
      </w:r>
      <w:r w:rsidR="001C55FB" w:rsidRPr="001775D9">
        <w:rPr>
          <w:b/>
        </w:rPr>
        <w:fldChar w:fldCharType="separate"/>
      </w:r>
      <w:r w:rsidR="001C55FB" w:rsidRPr="001775D9">
        <w:rPr>
          <w:b/>
        </w:rPr>
        <w:t xml:space="preserve"> </w:t>
      </w:r>
      <w:r w:rsidR="001C55FB" w:rsidRPr="001775D9">
        <w:rPr>
          <w:b/>
        </w:rPr>
        <w:fldChar w:fldCharType="end"/>
      </w:r>
    </w:p>
    <w:p w14:paraId="190E3E14" w14:textId="77777777" w:rsidR="00966B8F" w:rsidRPr="001775D9" w:rsidRDefault="00966B8F" w:rsidP="00B61D9D">
      <w:pPr>
        <w:keepNext/>
        <w:spacing w:line="240" w:lineRule="auto"/>
        <w:rPr>
          <w:szCs w:val="22"/>
        </w:rPr>
      </w:pPr>
    </w:p>
    <w:p w14:paraId="5270378B" w14:textId="661E8CD2" w:rsidR="00966B8F" w:rsidRPr="001775D9" w:rsidRDefault="00966B8F" w:rsidP="00B61D9D">
      <w:pPr>
        <w:keepNext/>
        <w:spacing w:line="240" w:lineRule="auto"/>
        <w:rPr>
          <w:szCs w:val="22"/>
        </w:rPr>
      </w:pPr>
      <w:r w:rsidRPr="001775D9">
        <w:rPr>
          <w:szCs w:val="22"/>
        </w:rPr>
        <w:t>AMGEVITA 80 mg solution for injection in pre-filled syringe</w:t>
      </w:r>
    </w:p>
    <w:p w14:paraId="360FA4C4" w14:textId="77777777" w:rsidR="00966B8F" w:rsidRPr="001775D9" w:rsidRDefault="00966B8F" w:rsidP="00B61D9D">
      <w:pPr>
        <w:keepNext/>
        <w:spacing w:line="240" w:lineRule="auto"/>
        <w:rPr>
          <w:szCs w:val="22"/>
        </w:rPr>
      </w:pPr>
      <w:r w:rsidRPr="001775D9">
        <w:rPr>
          <w:szCs w:val="22"/>
        </w:rPr>
        <w:t>adalimumab</w:t>
      </w:r>
    </w:p>
    <w:p w14:paraId="1130C1CE" w14:textId="77777777" w:rsidR="00966B8F" w:rsidRPr="001775D9" w:rsidRDefault="00966B8F" w:rsidP="00B61D9D">
      <w:pPr>
        <w:keepNext/>
        <w:spacing w:line="240" w:lineRule="auto"/>
        <w:rPr>
          <w:szCs w:val="22"/>
        </w:rPr>
      </w:pPr>
    </w:p>
    <w:p w14:paraId="1687C412" w14:textId="77777777" w:rsidR="00966B8F" w:rsidRPr="001775D9" w:rsidRDefault="00966B8F" w:rsidP="00B61D9D">
      <w:pPr>
        <w:keepNext/>
        <w:spacing w:line="240" w:lineRule="auto"/>
        <w:rPr>
          <w:szCs w:val="22"/>
        </w:rPr>
      </w:pPr>
    </w:p>
    <w:p w14:paraId="71799DE9" w14:textId="0DAF2011"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VAULT_ND_89eb4733-50d3-47dc-8ac2-c23a77ef8ec3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1ABD666" w14:textId="77777777" w:rsidR="00966B8F" w:rsidRPr="001775D9" w:rsidRDefault="00966B8F" w:rsidP="00B61D9D">
      <w:pPr>
        <w:spacing w:line="240" w:lineRule="auto"/>
        <w:rPr>
          <w:szCs w:val="22"/>
        </w:rPr>
      </w:pPr>
    </w:p>
    <w:p w14:paraId="184CF07B" w14:textId="77777777" w:rsidR="00966B8F" w:rsidRPr="001775D9" w:rsidRDefault="00966B8F" w:rsidP="0050334D">
      <w:pPr>
        <w:suppressLineNumbers/>
        <w:spacing w:line="240" w:lineRule="auto"/>
        <w:rPr>
          <w:szCs w:val="22"/>
        </w:rPr>
      </w:pPr>
      <w:r w:rsidRPr="001775D9">
        <w:rPr>
          <w:szCs w:val="22"/>
        </w:rPr>
        <w:t>Each pre-filled syringe contains 80 mg of adalimumab in 0.8 mL of solution.</w:t>
      </w:r>
    </w:p>
    <w:p w14:paraId="094B3AF0" w14:textId="77777777" w:rsidR="00966B8F" w:rsidRPr="001775D9" w:rsidRDefault="00966B8F" w:rsidP="00B61D9D">
      <w:pPr>
        <w:spacing w:line="240" w:lineRule="auto"/>
        <w:rPr>
          <w:szCs w:val="22"/>
        </w:rPr>
      </w:pPr>
    </w:p>
    <w:p w14:paraId="135069E6" w14:textId="77777777" w:rsidR="00BB0876" w:rsidRPr="001775D9" w:rsidRDefault="00BB0876" w:rsidP="00B61D9D">
      <w:pPr>
        <w:spacing w:line="240" w:lineRule="auto"/>
        <w:rPr>
          <w:szCs w:val="22"/>
        </w:rPr>
      </w:pPr>
    </w:p>
    <w:p w14:paraId="2620B240" w14:textId="3738347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VAULT_ND_b2edf0d0-c889-4dfb-b081-26ab28ebc0c9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F630968" w14:textId="77777777" w:rsidR="00966B8F" w:rsidRPr="001775D9" w:rsidRDefault="00966B8F" w:rsidP="00B61D9D">
      <w:pPr>
        <w:spacing w:line="240" w:lineRule="auto"/>
        <w:rPr>
          <w:szCs w:val="22"/>
        </w:rPr>
      </w:pPr>
    </w:p>
    <w:p w14:paraId="256CB18D"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531"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55E42EBC" w14:textId="77777777" w:rsidR="00966B8F" w:rsidRPr="001775D9" w:rsidRDefault="00966B8F" w:rsidP="00B61D9D">
      <w:pPr>
        <w:spacing w:line="240" w:lineRule="auto"/>
        <w:rPr>
          <w:szCs w:val="22"/>
        </w:rPr>
      </w:pPr>
    </w:p>
    <w:p w14:paraId="2DE1CB33" w14:textId="77777777" w:rsidR="00966B8F" w:rsidRPr="001775D9" w:rsidRDefault="00966B8F" w:rsidP="00B61D9D">
      <w:pPr>
        <w:spacing w:line="240" w:lineRule="auto"/>
        <w:rPr>
          <w:szCs w:val="22"/>
        </w:rPr>
      </w:pPr>
    </w:p>
    <w:p w14:paraId="4A3D2264" w14:textId="6C79276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VAULT_ND_92f12201-f9bb-4ccf-b87c-665746f5fff2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65D3F61" w14:textId="77777777" w:rsidR="00966B8F" w:rsidRPr="001775D9" w:rsidRDefault="00966B8F" w:rsidP="00B61D9D">
      <w:pPr>
        <w:spacing w:line="240" w:lineRule="auto"/>
        <w:rPr>
          <w:szCs w:val="22"/>
        </w:rPr>
      </w:pPr>
    </w:p>
    <w:p w14:paraId="6255390A" w14:textId="77777777" w:rsidR="00966B8F" w:rsidRPr="001775D9" w:rsidRDefault="00966B8F" w:rsidP="0050334D">
      <w:pPr>
        <w:spacing w:line="240" w:lineRule="auto"/>
        <w:rPr>
          <w:szCs w:val="22"/>
        </w:rPr>
      </w:pPr>
      <w:r>
        <w:rPr>
          <w:szCs w:val="22"/>
          <w:highlight w:val="lightGray"/>
        </w:rPr>
        <w:t>Solution for injection</w:t>
      </w:r>
    </w:p>
    <w:p w14:paraId="56620347" w14:textId="484996D3" w:rsidR="00BB0876" w:rsidRPr="001775D9" w:rsidRDefault="00BB0876" w:rsidP="0050334D">
      <w:pPr>
        <w:spacing w:line="240" w:lineRule="auto"/>
        <w:rPr>
          <w:szCs w:val="22"/>
        </w:rPr>
      </w:pPr>
      <w:r w:rsidRPr="001775D9">
        <w:rPr>
          <w:szCs w:val="22"/>
        </w:rPr>
        <w:t>80 mg/0.8 mL</w:t>
      </w:r>
    </w:p>
    <w:p w14:paraId="7A7A1570" w14:textId="231ACE1D" w:rsidR="00966B8F" w:rsidRPr="001775D9" w:rsidRDefault="00966B8F" w:rsidP="0050334D">
      <w:pPr>
        <w:spacing w:line="240" w:lineRule="auto"/>
        <w:rPr>
          <w:szCs w:val="22"/>
        </w:rPr>
      </w:pPr>
      <w:r w:rsidRPr="001775D9">
        <w:rPr>
          <w:szCs w:val="22"/>
        </w:rPr>
        <w:t xml:space="preserve">Multipack: </w:t>
      </w:r>
      <w:r w:rsidR="00D67BA3" w:rsidRPr="001775D9">
        <w:rPr>
          <w:szCs w:val="22"/>
        </w:rPr>
        <w:t>3</w:t>
      </w:r>
      <w:r w:rsidRPr="001775D9">
        <w:rPr>
          <w:szCs w:val="22"/>
        </w:rPr>
        <w:t xml:space="preserve"> (3 packs of </w:t>
      </w:r>
      <w:r w:rsidR="00D67BA3" w:rsidRPr="001775D9">
        <w:rPr>
          <w:szCs w:val="22"/>
        </w:rPr>
        <w:t>1</w:t>
      </w:r>
      <w:r w:rsidRPr="001775D9">
        <w:rPr>
          <w:szCs w:val="22"/>
        </w:rPr>
        <w:t>) pre-filled syringes.</w:t>
      </w:r>
    </w:p>
    <w:p w14:paraId="38955D9A" w14:textId="77777777" w:rsidR="00966B8F" w:rsidRPr="001775D9" w:rsidRDefault="00966B8F" w:rsidP="00B61D9D">
      <w:pPr>
        <w:spacing w:line="240" w:lineRule="auto"/>
        <w:rPr>
          <w:szCs w:val="22"/>
        </w:rPr>
      </w:pPr>
    </w:p>
    <w:p w14:paraId="5534B6C9" w14:textId="77777777" w:rsidR="00966B8F" w:rsidRPr="001775D9" w:rsidRDefault="00966B8F" w:rsidP="00B61D9D">
      <w:pPr>
        <w:spacing w:line="240" w:lineRule="auto"/>
        <w:rPr>
          <w:szCs w:val="22"/>
        </w:rPr>
      </w:pPr>
    </w:p>
    <w:p w14:paraId="62550EB1" w14:textId="47AD0BB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VAULT_ND_f8aa76ad-ecef-4b1e-864f-4fb223aeda63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42175B0" w14:textId="77777777" w:rsidR="00966B8F" w:rsidRPr="001775D9" w:rsidRDefault="00966B8F" w:rsidP="00B61D9D">
      <w:pPr>
        <w:spacing w:line="240" w:lineRule="auto"/>
        <w:rPr>
          <w:szCs w:val="22"/>
        </w:rPr>
      </w:pPr>
    </w:p>
    <w:p w14:paraId="42ACD587" w14:textId="77777777" w:rsidR="00966B8F" w:rsidRPr="001775D9" w:rsidRDefault="00966B8F" w:rsidP="0050334D">
      <w:pPr>
        <w:spacing w:line="240" w:lineRule="auto"/>
        <w:rPr>
          <w:szCs w:val="22"/>
        </w:rPr>
      </w:pPr>
      <w:r w:rsidRPr="001775D9">
        <w:rPr>
          <w:szCs w:val="22"/>
        </w:rPr>
        <w:t>For subcutaneous use.</w:t>
      </w:r>
    </w:p>
    <w:p w14:paraId="7B8867CB" w14:textId="77777777" w:rsidR="00966B8F" w:rsidRPr="001775D9" w:rsidRDefault="00966B8F" w:rsidP="00B61D9D">
      <w:pPr>
        <w:spacing w:line="240" w:lineRule="auto"/>
        <w:rPr>
          <w:szCs w:val="22"/>
        </w:rPr>
      </w:pPr>
      <w:r w:rsidRPr="001775D9">
        <w:rPr>
          <w:szCs w:val="22"/>
        </w:rPr>
        <w:t>Read the package leaflet before use.</w:t>
      </w:r>
    </w:p>
    <w:p w14:paraId="3B02C916" w14:textId="77777777" w:rsidR="00966B8F" w:rsidRPr="001775D9" w:rsidRDefault="00966B8F" w:rsidP="00B61D9D">
      <w:pPr>
        <w:spacing w:line="240" w:lineRule="auto"/>
        <w:rPr>
          <w:szCs w:val="22"/>
        </w:rPr>
      </w:pPr>
      <w:r w:rsidRPr="001775D9">
        <w:rPr>
          <w:szCs w:val="22"/>
        </w:rPr>
        <w:t>Single use only.</w:t>
      </w:r>
    </w:p>
    <w:p w14:paraId="74E93205" w14:textId="77777777" w:rsidR="00966B8F" w:rsidRPr="001775D9" w:rsidRDefault="00966B8F" w:rsidP="00B61D9D">
      <w:pPr>
        <w:spacing w:line="240" w:lineRule="auto"/>
        <w:rPr>
          <w:szCs w:val="22"/>
        </w:rPr>
      </w:pPr>
    </w:p>
    <w:p w14:paraId="3130F2A3" w14:textId="77777777" w:rsidR="00966B8F" w:rsidRPr="001775D9" w:rsidRDefault="00966B8F" w:rsidP="00B61D9D">
      <w:pPr>
        <w:spacing w:line="240" w:lineRule="auto"/>
        <w:rPr>
          <w:szCs w:val="22"/>
        </w:rPr>
      </w:pPr>
    </w:p>
    <w:p w14:paraId="3DD924C4" w14:textId="11E50C6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VAULT_ND_531fb90c-6145-4d7f-a87c-20a9f9eb5914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E644CF7" w14:textId="77777777" w:rsidR="00966B8F" w:rsidRPr="001775D9" w:rsidRDefault="00966B8F" w:rsidP="00B61D9D">
      <w:pPr>
        <w:spacing w:line="240" w:lineRule="auto"/>
        <w:rPr>
          <w:szCs w:val="22"/>
        </w:rPr>
      </w:pPr>
    </w:p>
    <w:p w14:paraId="78E990CB" w14:textId="1B8EB7F6"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vault_nd_5182555c-0f25-4f47-8b57-6ff03a6fc95e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3364BF9F" w14:textId="77777777" w:rsidR="00966B8F" w:rsidRPr="001775D9" w:rsidRDefault="00966B8F" w:rsidP="00B61D9D">
      <w:pPr>
        <w:spacing w:line="240" w:lineRule="auto"/>
        <w:rPr>
          <w:szCs w:val="22"/>
        </w:rPr>
      </w:pPr>
    </w:p>
    <w:p w14:paraId="3B18049D" w14:textId="77777777" w:rsidR="00966B8F" w:rsidRPr="001775D9" w:rsidRDefault="00966B8F" w:rsidP="00B61D9D">
      <w:pPr>
        <w:spacing w:line="240" w:lineRule="auto"/>
        <w:rPr>
          <w:szCs w:val="22"/>
        </w:rPr>
      </w:pPr>
    </w:p>
    <w:p w14:paraId="2375CA50" w14:textId="7781E7E1"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VAULT_ND_80e3f306-41e9-4d00-aa5a-35e0a55a182b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8DF1947" w14:textId="77777777" w:rsidR="00966B8F" w:rsidRPr="001775D9" w:rsidRDefault="00966B8F" w:rsidP="00B61D9D">
      <w:pPr>
        <w:tabs>
          <w:tab w:val="left" w:pos="749"/>
        </w:tabs>
        <w:spacing w:line="240" w:lineRule="auto"/>
      </w:pPr>
    </w:p>
    <w:p w14:paraId="21D9BE2B" w14:textId="77777777" w:rsidR="00966B8F" w:rsidRPr="001775D9" w:rsidRDefault="00966B8F" w:rsidP="00B61D9D">
      <w:pPr>
        <w:tabs>
          <w:tab w:val="left" w:pos="749"/>
        </w:tabs>
        <w:spacing w:line="240" w:lineRule="auto"/>
      </w:pPr>
    </w:p>
    <w:p w14:paraId="39613763" w14:textId="221D73D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VAULT_ND_77d3575e-2073-43c4-b1a0-7ccfe9861209 \* MERGEFORMAT </w:instrText>
      </w:r>
      <w:r w:rsidR="001C55FB" w:rsidRPr="001775D9">
        <w:rPr>
          <w:b/>
        </w:rPr>
        <w:fldChar w:fldCharType="separate"/>
      </w:r>
      <w:r w:rsidR="001C55FB" w:rsidRPr="001775D9">
        <w:rPr>
          <w:b/>
        </w:rPr>
        <w:t xml:space="preserve"> </w:t>
      </w:r>
      <w:r w:rsidR="001C55FB" w:rsidRPr="001775D9">
        <w:rPr>
          <w:b/>
        </w:rPr>
        <w:fldChar w:fldCharType="end"/>
      </w:r>
    </w:p>
    <w:p w14:paraId="61969A8B" w14:textId="77777777" w:rsidR="00966B8F" w:rsidRPr="001775D9" w:rsidRDefault="00966B8F" w:rsidP="00B61D9D">
      <w:pPr>
        <w:spacing w:line="240" w:lineRule="auto"/>
      </w:pPr>
    </w:p>
    <w:p w14:paraId="69B3AE92" w14:textId="77777777" w:rsidR="00966B8F" w:rsidRPr="001775D9" w:rsidRDefault="00966B8F" w:rsidP="00B61D9D">
      <w:pPr>
        <w:spacing w:line="240" w:lineRule="auto"/>
        <w:rPr>
          <w:szCs w:val="22"/>
        </w:rPr>
      </w:pPr>
      <w:r w:rsidRPr="001775D9">
        <w:rPr>
          <w:szCs w:val="22"/>
        </w:rPr>
        <w:t xml:space="preserve">EXP </w:t>
      </w:r>
    </w:p>
    <w:p w14:paraId="2D3CFC58" w14:textId="77777777" w:rsidR="00966B8F" w:rsidRPr="001775D9" w:rsidRDefault="00966B8F" w:rsidP="00B61D9D">
      <w:pPr>
        <w:spacing w:line="240" w:lineRule="auto"/>
        <w:rPr>
          <w:szCs w:val="22"/>
        </w:rPr>
      </w:pPr>
    </w:p>
    <w:p w14:paraId="17A985A0" w14:textId="77777777" w:rsidR="00966B8F" w:rsidRPr="001775D9" w:rsidRDefault="00966B8F" w:rsidP="00B61D9D">
      <w:pPr>
        <w:spacing w:line="240" w:lineRule="auto"/>
        <w:rPr>
          <w:szCs w:val="22"/>
        </w:rPr>
      </w:pPr>
    </w:p>
    <w:p w14:paraId="5D7813CE" w14:textId="2D1117EB"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VAULT_ND_23c9af2b-c720-4d2f-b6e7-8fe20af96f45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29CA704" w14:textId="77777777" w:rsidR="00966B8F" w:rsidRPr="001775D9" w:rsidRDefault="00966B8F" w:rsidP="00B61D9D">
      <w:pPr>
        <w:keepNext/>
        <w:spacing w:line="240" w:lineRule="auto"/>
        <w:rPr>
          <w:szCs w:val="22"/>
        </w:rPr>
      </w:pPr>
    </w:p>
    <w:p w14:paraId="2EC034D9" w14:textId="77777777" w:rsidR="00966B8F" w:rsidRPr="001775D9" w:rsidRDefault="00966B8F" w:rsidP="00966B8F">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1EB82DFE" w14:textId="77777777" w:rsidR="00966B8F" w:rsidRPr="001775D9" w:rsidRDefault="00966B8F" w:rsidP="00966B8F">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1AC935DA" w14:textId="77777777" w:rsidR="00966B8F" w:rsidRPr="001775D9" w:rsidRDefault="00966B8F" w:rsidP="00966B8F">
      <w:pPr>
        <w:keepNext/>
        <w:spacing w:line="240" w:lineRule="auto"/>
        <w:rPr>
          <w:rFonts w:eastAsia="SimSun"/>
          <w:szCs w:val="22"/>
          <w:lang w:eastAsia="en-GB"/>
        </w:rPr>
      </w:pPr>
      <w:r w:rsidRPr="001775D9">
        <w:rPr>
          <w:rFonts w:eastAsia="SimSun"/>
          <w:szCs w:val="22"/>
          <w:lang w:eastAsia="en-GB"/>
        </w:rPr>
        <w:t>Store in the original carton in order to protect from light.</w:t>
      </w:r>
    </w:p>
    <w:p w14:paraId="3423B819" w14:textId="77777777" w:rsidR="00966B8F" w:rsidRPr="001775D9" w:rsidRDefault="00966B8F" w:rsidP="00966B8F">
      <w:pPr>
        <w:spacing w:line="240" w:lineRule="auto"/>
        <w:rPr>
          <w:rFonts w:eastAsia="SimSun"/>
          <w:szCs w:val="22"/>
          <w:lang w:eastAsia="en-GB"/>
        </w:rPr>
      </w:pPr>
    </w:p>
    <w:p w14:paraId="595A70FF" w14:textId="77777777" w:rsidR="00966B8F" w:rsidRPr="001775D9" w:rsidRDefault="00966B8F" w:rsidP="00966B8F">
      <w:pPr>
        <w:ind w:left="567" w:hanging="567"/>
        <w:rPr>
          <w:szCs w:val="22"/>
        </w:rPr>
      </w:pPr>
    </w:p>
    <w:p w14:paraId="7DADBF46" w14:textId="5800069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VAULT_ND_0b9eaa54-86e9-41c4-adf9-adc8cd717599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D8FDC11" w14:textId="77777777" w:rsidR="00966B8F" w:rsidRPr="001775D9" w:rsidRDefault="00966B8F" w:rsidP="00B61D9D">
      <w:pPr>
        <w:spacing w:line="240" w:lineRule="auto"/>
        <w:rPr>
          <w:szCs w:val="22"/>
        </w:rPr>
      </w:pPr>
    </w:p>
    <w:p w14:paraId="62FA208F" w14:textId="77777777" w:rsidR="00966B8F" w:rsidRPr="001775D9" w:rsidRDefault="00966B8F" w:rsidP="00B61D9D">
      <w:pPr>
        <w:spacing w:line="240" w:lineRule="auto"/>
        <w:rPr>
          <w:szCs w:val="22"/>
        </w:rPr>
      </w:pPr>
    </w:p>
    <w:p w14:paraId="30C00A7B" w14:textId="0D97212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VAULT_ND_b5395136-a026-40fa-a335-843a85de08c2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25EE62D" w14:textId="77777777" w:rsidR="00966B8F" w:rsidRPr="001775D9" w:rsidRDefault="00966B8F" w:rsidP="00B61D9D">
      <w:pPr>
        <w:spacing w:line="240" w:lineRule="auto"/>
        <w:rPr>
          <w:szCs w:val="22"/>
        </w:rPr>
      </w:pPr>
    </w:p>
    <w:p w14:paraId="1DB12FDB"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532" w:author="Author">
            <w:rPr>
              <w:rFonts w:eastAsia="SimSun"/>
              <w:szCs w:val="22"/>
              <w:lang w:val="sv-SE" w:eastAsia="en-GB"/>
            </w:rPr>
          </w:rPrChange>
        </w:rPr>
      </w:pPr>
      <w:r w:rsidRPr="00D55B59">
        <w:rPr>
          <w:rFonts w:eastAsia="SimSun"/>
          <w:szCs w:val="22"/>
          <w:lang w:eastAsia="en-GB"/>
          <w:rPrChange w:id="2533" w:author="Author">
            <w:rPr>
              <w:rFonts w:eastAsia="SimSun"/>
              <w:szCs w:val="22"/>
              <w:lang w:val="sv-SE" w:eastAsia="en-GB"/>
            </w:rPr>
          </w:rPrChange>
        </w:rPr>
        <w:t>Amgen Europe B.V.</w:t>
      </w:r>
    </w:p>
    <w:p w14:paraId="3185A06D"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534" w:author="Author">
            <w:rPr>
              <w:rFonts w:eastAsia="SimSun"/>
              <w:szCs w:val="22"/>
              <w:lang w:val="sv-SE" w:eastAsia="en-GB"/>
            </w:rPr>
          </w:rPrChange>
        </w:rPr>
      </w:pPr>
      <w:r w:rsidRPr="00D55B59">
        <w:rPr>
          <w:rFonts w:eastAsia="SimSun"/>
          <w:szCs w:val="22"/>
          <w:lang w:eastAsia="en-GB"/>
          <w:rPrChange w:id="2535" w:author="Author">
            <w:rPr>
              <w:rFonts w:eastAsia="SimSun"/>
              <w:szCs w:val="22"/>
              <w:lang w:val="sv-SE" w:eastAsia="en-GB"/>
            </w:rPr>
          </w:rPrChange>
        </w:rPr>
        <w:t>Minervum 7061,</w:t>
      </w:r>
    </w:p>
    <w:p w14:paraId="6E685474" w14:textId="77777777" w:rsidR="00966B8F" w:rsidRPr="001775D9" w:rsidRDefault="00966B8F" w:rsidP="00EE60D5">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337CE4B2" w14:textId="77777777" w:rsidR="00966B8F" w:rsidRPr="001775D9" w:rsidRDefault="00966B8F" w:rsidP="00EE60D5">
      <w:pPr>
        <w:spacing w:line="240" w:lineRule="auto"/>
        <w:rPr>
          <w:szCs w:val="22"/>
        </w:rPr>
      </w:pPr>
      <w:r w:rsidRPr="001775D9">
        <w:rPr>
          <w:rFonts w:eastAsia="SimSun"/>
          <w:szCs w:val="22"/>
          <w:lang w:eastAsia="en-GB"/>
        </w:rPr>
        <w:t>The Netherlands</w:t>
      </w:r>
      <w:r w:rsidRPr="001775D9">
        <w:rPr>
          <w:i/>
          <w:szCs w:val="22"/>
        </w:rPr>
        <w:t xml:space="preserve"> </w:t>
      </w:r>
    </w:p>
    <w:p w14:paraId="595E528F" w14:textId="77777777" w:rsidR="00966B8F" w:rsidRPr="001775D9" w:rsidRDefault="00966B8F" w:rsidP="00B61D9D">
      <w:pPr>
        <w:spacing w:line="240" w:lineRule="auto"/>
        <w:rPr>
          <w:szCs w:val="22"/>
        </w:rPr>
      </w:pPr>
    </w:p>
    <w:p w14:paraId="1292263F" w14:textId="77777777" w:rsidR="00966B8F" w:rsidRPr="001775D9" w:rsidRDefault="00966B8F" w:rsidP="00B61D9D">
      <w:pPr>
        <w:spacing w:line="240" w:lineRule="auto"/>
        <w:rPr>
          <w:szCs w:val="22"/>
        </w:rPr>
      </w:pPr>
    </w:p>
    <w:p w14:paraId="0BD200C1" w14:textId="23B3EA1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VAULT_ND_96158399-163b-42e1-a5e4-9bdc4e78dd30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27392A1" w14:textId="77777777" w:rsidR="00966B8F" w:rsidRPr="001775D9" w:rsidRDefault="00966B8F" w:rsidP="00B61D9D">
      <w:pPr>
        <w:spacing w:line="240" w:lineRule="auto"/>
        <w:rPr>
          <w:szCs w:val="22"/>
        </w:rPr>
      </w:pPr>
    </w:p>
    <w:p w14:paraId="76CCEBE6" w14:textId="1A9024CB" w:rsidR="00966B8F" w:rsidRPr="001775D9" w:rsidRDefault="00966B8F" w:rsidP="00B61D9D">
      <w:pPr>
        <w:spacing w:line="240" w:lineRule="auto"/>
        <w:outlineLvl w:val="0"/>
        <w:rPr>
          <w:szCs w:val="22"/>
        </w:rPr>
      </w:pPr>
      <w:r w:rsidRPr="001775D9">
        <w:rPr>
          <w:color w:val="000000"/>
        </w:rPr>
        <w:t>EU/1/16/1164/019</w:t>
      </w:r>
      <w:r w:rsidR="001C55FB" w:rsidRPr="001775D9">
        <w:rPr>
          <w:color w:val="000000"/>
        </w:rPr>
        <w:fldChar w:fldCharType="begin"/>
      </w:r>
      <w:r w:rsidR="001C55FB" w:rsidRPr="001775D9">
        <w:rPr>
          <w:color w:val="000000"/>
        </w:rPr>
        <w:instrText xml:space="preserve"> DOCVARIABLE VAULT_ND_ce2c487f-d58e-445c-921d-b9b48437e2f4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2E82C659" w14:textId="77777777" w:rsidR="00966B8F" w:rsidRPr="001775D9" w:rsidRDefault="00966B8F" w:rsidP="00B61D9D">
      <w:pPr>
        <w:spacing w:line="240" w:lineRule="auto"/>
        <w:rPr>
          <w:rFonts w:ascii="TimesNewRoman" w:hAnsi="TimesNewRoman" w:cs="TimesNewRoman"/>
          <w:szCs w:val="22"/>
          <w:lang w:eastAsia="en-GB"/>
        </w:rPr>
      </w:pPr>
    </w:p>
    <w:p w14:paraId="6A001E78" w14:textId="77777777" w:rsidR="00966B8F" w:rsidRPr="001775D9" w:rsidRDefault="00966B8F" w:rsidP="00B61D9D">
      <w:pPr>
        <w:spacing w:line="240" w:lineRule="auto"/>
        <w:rPr>
          <w:szCs w:val="22"/>
        </w:rPr>
      </w:pPr>
    </w:p>
    <w:p w14:paraId="219DCF24" w14:textId="51EEAC0C"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VAULT_ND_cf8d5a3f-60fc-4012-a26a-774f3d63b4dd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E2060FC" w14:textId="77777777" w:rsidR="00966B8F" w:rsidRPr="001775D9" w:rsidRDefault="00966B8F" w:rsidP="00B61D9D">
      <w:pPr>
        <w:spacing w:line="240" w:lineRule="auto"/>
        <w:rPr>
          <w:i/>
          <w:szCs w:val="22"/>
        </w:rPr>
      </w:pPr>
    </w:p>
    <w:p w14:paraId="7B357344" w14:textId="77777777" w:rsidR="00966B8F" w:rsidRPr="001775D9" w:rsidRDefault="00966B8F" w:rsidP="00B61D9D">
      <w:pPr>
        <w:spacing w:line="240" w:lineRule="auto"/>
        <w:rPr>
          <w:szCs w:val="22"/>
        </w:rPr>
      </w:pPr>
      <w:r w:rsidRPr="001775D9">
        <w:rPr>
          <w:szCs w:val="22"/>
        </w:rPr>
        <w:t>Lot</w:t>
      </w:r>
    </w:p>
    <w:p w14:paraId="4C940218" w14:textId="77777777" w:rsidR="00966B8F" w:rsidRPr="001775D9" w:rsidRDefault="00966B8F" w:rsidP="00B61D9D">
      <w:pPr>
        <w:spacing w:line="240" w:lineRule="auto"/>
        <w:rPr>
          <w:szCs w:val="22"/>
        </w:rPr>
      </w:pPr>
    </w:p>
    <w:p w14:paraId="65213F70" w14:textId="77777777" w:rsidR="00966B8F" w:rsidRPr="001775D9" w:rsidRDefault="00966B8F" w:rsidP="00B61D9D">
      <w:pPr>
        <w:spacing w:line="240" w:lineRule="auto"/>
        <w:rPr>
          <w:szCs w:val="22"/>
        </w:rPr>
      </w:pPr>
    </w:p>
    <w:p w14:paraId="478B9B08" w14:textId="2EC3838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VAULT_ND_f44b2d41-9309-4706-b764-dca7ae8f8417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1C75899" w14:textId="77777777" w:rsidR="00966B8F" w:rsidRPr="001775D9" w:rsidRDefault="00966B8F" w:rsidP="00B61D9D">
      <w:pPr>
        <w:spacing w:line="240" w:lineRule="auto"/>
        <w:rPr>
          <w:i/>
          <w:szCs w:val="22"/>
        </w:rPr>
      </w:pPr>
    </w:p>
    <w:p w14:paraId="679EC57D" w14:textId="77777777" w:rsidR="00966B8F" w:rsidRPr="001775D9" w:rsidRDefault="00966B8F" w:rsidP="00B61D9D">
      <w:pPr>
        <w:spacing w:line="240" w:lineRule="auto"/>
        <w:rPr>
          <w:szCs w:val="22"/>
        </w:rPr>
      </w:pPr>
    </w:p>
    <w:p w14:paraId="510B396E" w14:textId="589C8A6B"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VAULT_ND_907af437-d556-440d-92b7-940d1f4cbf9e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6A715D1" w14:textId="77777777" w:rsidR="00966B8F" w:rsidRPr="001775D9" w:rsidRDefault="00966B8F" w:rsidP="00B61D9D">
      <w:pPr>
        <w:spacing w:line="240" w:lineRule="auto"/>
        <w:rPr>
          <w:szCs w:val="22"/>
        </w:rPr>
      </w:pPr>
    </w:p>
    <w:p w14:paraId="42FCB922" w14:textId="77777777" w:rsidR="00966B8F" w:rsidRPr="001775D9" w:rsidRDefault="00966B8F" w:rsidP="00B61D9D">
      <w:pPr>
        <w:spacing w:line="240" w:lineRule="auto"/>
        <w:rPr>
          <w:szCs w:val="22"/>
        </w:rPr>
      </w:pPr>
    </w:p>
    <w:p w14:paraId="74572EC1" w14:textId="77777777" w:rsidR="00966B8F" w:rsidRPr="001775D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4FA9A769" w14:textId="77777777" w:rsidR="00966B8F" w:rsidRPr="001775D9" w:rsidRDefault="00966B8F" w:rsidP="00B61D9D">
      <w:pPr>
        <w:spacing w:line="240" w:lineRule="auto"/>
      </w:pPr>
    </w:p>
    <w:p w14:paraId="3A884661" w14:textId="2A417CBF" w:rsidR="00966B8F" w:rsidRPr="001775D9" w:rsidRDefault="00966B8F" w:rsidP="00B61D9D">
      <w:pPr>
        <w:spacing w:line="240" w:lineRule="auto"/>
      </w:pPr>
      <w:r w:rsidRPr="001775D9">
        <w:t>AMGEVITA 80 mg</w:t>
      </w:r>
      <w:r w:rsidR="00BB0876" w:rsidRPr="001775D9">
        <w:t>/0.8 mL</w:t>
      </w:r>
      <w:r w:rsidRPr="001775D9">
        <w:t xml:space="preserve"> syringe</w:t>
      </w:r>
    </w:p>
    <w:p w14:paraId="1900CBE9" w14:textId="77777777" w:rsidR="00966B8F" w:rsidRPr="00D55B59" w:rsidRDefault="00966B8F" w:rsidP="00EE60D5">
      <w:pPr>
        <w:spacing w:line="240" w:lineRule="auto"/>
        <w:rPr>
          <w:szCs w:val="22"/>
          <w:highlight w:val="yellow"/>
          <w:shd w:val="clear" w:color="auto" w:fill="CCCCCC"/>
          <w:rPrChange w:id="2536" w:author="Author">
            <w:rPr>
              <w:noProof/>
              <w:szCs w:val="22"/>
              <w:highlight w:val="yellow"/>
              <w:shd w:val="clear" w:color="auto" w:fill="CCCCCC"/>
            </w:rPr>
          </w:rPrChange>
        </w:rPr>
      </w:pPr>
    </w:p>
    <w:p w14:paraId="4E9B66DC" w14:textId="77777777" w:rsidR="00966B8F" w:rsidRPr="00D55B59" w:rsidRDefault="00966B8F" w:rsidP="00EE60D5">
      <w:pPr>
        <w:spacing w:line="240" w:lineRule="auto"/>
        <w:rPr>
          <w:szCs w:val="22"/>
          <w:shd w:val="clear" w:color="auto" w:fill="CCCCCC"/>
          <w:rPrChange w:id="2537" w:author="Author">
            <w:rPr>
              <w:noProof/>
              <w:szCs w:val="22"/>
              <w:shd w:val="clear" w:color="auto" w:fill="CCCCCC"/>
            </w:rPr>
          </w:rPrChange>
        </w:rPr>
      </w:pPr>
    </w:p>
    <w:p w14:paraId="3AC5EF1F" w14:textId="77777777" w:rsidR="00966B8F" w:rsidRPr="00D55B59" w:rsidRDefault="00966B8F" w:rsidP="00EE60D5">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538" w:author="Author">
            <w:rPr>
              <w:i/>
              <w:noProof/>
            </w:rPr>
          </w:rPrChange>
        </w:rPr>
      </w:pPr>
      <w:r w:rsidRPr="00D55B59">
        <w:rPr>
          <w:b/>
          <w:rPrChange w:id="2539" w:author="Author">
            <w:rPr>
              <w:b/>
              <w:noProof/>
            </w:rPr>
          </w:rPrChange>
        </w:rPr>
        <w:t>17.</w:t>
      </w:r>
      <w:r w:rsidRPr="00D55B59">
        <w:rPr>
          <w:b/>
          <w:rPrChange w:id="2540" w:author="Author">
            <w:rPr>
              <w:b/>
              <w:noProof/>
            </w:rPr>
          </w:rPrChange>
        </w:rPr>
        <w:tab/>
        <w:t>UNIQUE IDENTIFIER – 2D BARCODE</w:t>
      </w:r>
    </w:p>
    <w:p w14:paraId="56735300" w14:textId="77777777" w:rsidR="00966B8F" w:rsidRPr="00D55B59" w:rsidRDefault="00966B8F" w:rsidP="00EE60D5">
      <w:pPr>
        <w:tabs>
          <w:tab w:val="clear" w:pos="567"/>
        </w:tabs>
        <w:spacing w:line="240" w:lineRule="auto"/>
        <w:rPr>
          <w:rPrChange w:id="2541" w:author="Author">
            <w:rPr>
              <w:noProof/>
            </w:rPr>
          </w:rPrChange>
        </w:rPr>
      </w:pPr>
    </w:p>
    <w:p w14:paraId="2143FF91" w14:textId="77777777" w:rsidR="00966B8F" w:rsidRPr="00D55B59" w:rsidRDefault="00966B8F" w:rsidP="00EE60D5">
      <w:pPr>
        <w:spacing w:line="240" w:lineRule="auto"/>
        <w:rPr>
          <w:szCs w:val="22"/>
          <w:shd w:val="clear" w:color="auto" w:fill="CCCCCC"/>
          <w:rPrChange w:id="2542" w:author="Author">
            <w:rPr>
              <w:noProof/>
              <w:szCs w:val="22"/>
              <w:shd w:val="clear" w:color="auto" w:fill="CCCCCC"/>
            </w:rPr>
          </w:rPrChange>
        </w:rPr>
      </w:pPr>
      <w:r w:rsidRPr="00D55B59">
        <w:rPr>
          <w:highlight w:val="lightGray"/>
          <w:rPrChange w:id="2543" w:author="Author">
            <w:rPr>
              <w:noProof/>
              <w:highlight w:val="lightGray"/>
            </w:rPr>
          </w:rPrChange>
        </w:rPr>
        <w:t>2D barcode carrying the unique identifier included.</w:t>
      </w:r>
    </w:p>
    <w:p w14:paraId="48B02BFA" w14:textId="77777777" w:rsidR="00966B8F" w:rsidRPr="00D55B59" w:rsidRDefault="00966B8F" w:rsidP="00EE60D5">
      <w:pPr>
        <w:spacing w:line="240" w:lineRule="auto"/>
        <w:rPr>
          <w:szCs w:val="22"/>
          <w:shd w:val="clear" w:color="auto" w:fill="CCCCCC"/>
          <w:rPrChange w:id="2544" w:author="Author">
            <w:rPr>
              <w:noProof/>
              <w:szCs w:val="22"/>
              <w:shd w:val="clear" w:color="auto" w:fill="CCCCCC"/>
            </w:rPr>
          </w:rPrChange>
        </w:rPr>
      </w:pPr>
    </w:p>
    <w:p w14:paraId="2993E88B" w14:textId="77777777" w:rsidR="00966B8F" w:rsidRPr="00D55B59" w:rsidRDefault="00966B8F" w:rsidP="00EE60D5">
      <w:pPr>
        <w:tabs>
          <w:tab w:val="clear" w:pos="567"/>
        </w:tabs>
        <w:spacing w:line="240" w:lineRule="auto"/>
        <w:rPr>
          <w:rPrChange w:id="2545" w:author="Author">
            <w:rPr>
              <w:noProof/>
            </w:rPr>
          </w:rPrChange>
        </w:rPr>
      </w:pPr>
    </w:p>
    <w:p w14:paraId="2A4CE45B" w14:textId="77777777" w:rsidR="00966B8F" w:rsidRPr="00D55B59" w:rsidRDefault="00966B8F" w:rsidP="00EE60D5">
      <w:pPr>
        <w:keepNext/>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546" w:author="Author">
            <w:rPr>
              <w:i/>
              <w:noProof/>
            </w:rPr>
          </w:rPrChange>
        </w:rPr>
      </w:pPr>
      <w:r w:rsidRPr="00D55B59">
        <w:rPr>
          <w:b/>
          <w:rPrChange w:id="2547" w:author="Author">
            <w:rPr>
              <w:b/>
              <w:noProof/>
            </w:rPr>
          </w:rPrChange>
        </w:rPr>
        <w:t>18.</w:t>
      </w:r>
      <w:r w:rsidRPr="00D55B59">
        <w:rPr>
          <w:b/>
          <w:rPrChange w:id="2548" w:author="Author">
            <w:rPr>
              <w:b/>
              <w:noProof/>
            </w:rPr>
          </w:rPrChange>
        </w:rPr>
        <w:tab/>
        <w:t xml:space="preserve">UNIQUE IDENTIFIER </w:t>
      </w:r>
      <w:r w:rsidRPr="001775D9">
        <w:rPr>
          <w:rFonts w:eastAsia="Calibri"/>
        </w:rPr>
        <w:t>-</w:t>
      </w:r>
      <w:r w:rsidRPr="00D55B59">
        <w:rPr>
          <w:b/>
          <w:rPrChange w:id="2549" w:author="Author">
            <w:rPr>
              <w:b/>
              <w:noProof/>
            </w:rPr>
          </w:rPrChange>
        </w:rPr>
        <w:t xml:space="preserve"> HUMAN READABLE DATA</w:t>
      </w:r>
    </w:p>
    <w:p w14:paraId="62E131F3" w14:textId="77777777" w:rsidR="00966B8F" w:rsidRPr="00D55B59" w:rsidRDefault="00966B8F" w:rsidP="00EE60D5">
      <w:pPr>
        <w:keepNext/>
        <w:tabs>
          <w:tab w:val="clear" w:pos="567"/>
        </w:tabs>
        <w:spacing w:line="240" w:lineRule="auto"/>
        <w:rPr>
          <w:rPrChange w:id="2550" w:author="Author">
            <w:rPr>
              <w:noProof/>
            </w:rPr>
          </w:rPrChange>
        </w:rPr>
      </w:pPr>
    </w:p>
    <w:p w14:paraId="74462EA3" w14:textId="77777777" w:rsidR="00966B8F" w:rsidRPr="001775D9" w:rsidRDefault="00966B8F" w:rsidP="00EE60D5">
      <w:pPr>
        <w:keepNext/>
        <w:spacing w:line="240" w:lineRule="auto"/>
        <w:rPr>
          <w:szCs w:val="22"/>
        </w:rPr>
      </w:pPr>
      <w:r w:rsidRPr="001775D9">
        <w:rPr>
          <w:szCs w:val="22"/>
        </w:rPr>
        <w:t>PC</w:t>
      </w:r>
    </w:p>
    <w:p w14:paraId="43780A9E" w14:textId="77777777" w:rsidR="00966B8F" w:rsidRPr="001775D9" w:rsidRDefault="00966B8F" w:rsidP="00B61D9D">
      <w:pPr>
        <w:keepNext/>
        <w:spacing w:line="240" w:lineRule="auto"/>
        <w:rPr>
          <w:szCs w:val="22"/>
        </w:rPr>
      </w:pPr>
      <w:r w:rsidRPr="001775D9">
        <w:rPr>
          <w:szCs w:val="22"/>
        </w:rPr>
        <w:t>SN</w:t>
      </w:r>
    </w:p>
    <w:p w14:paraId="6F3C1C59" w14:textId="77777777" w:rsidR="00966B8F" w:rsidRPr="00D55B59" w:rsidRDefault="00966B8F" w:rsidP="00B61D9D">
      <w:pPr>
        <w:keepNext/>
        <w:spacing w:line="240" w:lineRule="auto"/>
        <w:rPr>
          <w:vanish/>
          <w:szCs w:val="22"/>
          <w:rPrChange w:id="2551" w:author="Author">
            <w:rPr>
              <w:noProof/>
              <w:vanish/>
              <w:szCs w:val="22"/>
            </w:rPr>
          </w:rPrChange>
        </w:rPr>
      </w:pPr>
      <w:r w:rsidRPr="001775D9">
        <w:rPr>
          <w:szCs w:val="22"/>
        </w:rPr>
        <w:t>NN</w:t>
      </w:r>
    </w:p>
    <w:p w14:paraId="70187113" w14:textId="77777777" w:rsidR="00966B8F" w:rsidRPr="001775D9" w:rsidRDefault="00966B8F" w:rsidP="00B61D9D">
      <w:pPr>
        <w:spacing w:line="240" w:lineRule="auto"/>
        <w:rPr>
          <w:b/>
          <w:szCs w:val="22"/>
        </w:rPr>
      </w:pPr>
    </w:p>
    <w:p w14:paraId="24988EBC" w14:textId="73FAE013" w:rsidR="00966B8F" w:rsidRPr="001775D9" w:rsidRDefault="00966B8F" w:rsidP="00F9063E">
      <w:pPr>
        <w:tabs>
          <w:tab w:val="clear" w:pos="567"/>
        </w:tabs>
        <w:spacing w:line="240" w:lineRule="auto"/>
        <w:ind w:left="2494" w:hanging="1247"/>
        <w:rPr>
          <w:b/>
          <w:szCs w:val="22"/>
        </w:rPr>
      </w:pPr>
      <w:r w:rsidRPr="001775D9">
        <w:rPr>
          <w:b/>
          <w:szCs w:val="22"/>
        </w:rPr>
        <w:br w:type="page"/>
      </w:r>
    </w:p>
    <w:p w14:paraId="0BA884C3"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5AF9E4BC"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3FC8ED78"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INTERMEDIATE CARTON OF PRE-FILLED SYRINGE MULTIPACK (without blue box)</w:t>
      </w:r>
    </w:p>
    <w:p w14:paraId="1A4AE106" w14:textId="77777777" w:rsidR="00966B8F" w:rsidRPr="001775D9" w:rsidRDefault="00966B8F" w:rsidP="00B61D9D">
      <w:pPr>
        <w:keepNext/>
        <w:spacing w:line="240" w:lineRule="auto"/>
      </w:pPr>
    </w:p>
    <w:p w14:paraId="45A76125" w14:textId="77777777" w:rsidR="00966B8F" w:rsidRPr="001775D9" w:rsidRDefault="00966B8F" w:rsidP="00B61D9D">
      <w:pPr>
        <w:keepNext/>
        <w:spacing w:line="240" w:lineRule="auto"/>
        <w:rPr>
          <w:szCs w:val="22"/>
        </w:rPr>
      </w:pPr>
    </w:p>
    <w:p w14:paraId="4146AA99" w14:textId="129F9048"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VAULT_ND_d3685a39-d572-4ae1-89df-6a224eb84b33 \* MERGEFORMAT </w:instrText>
      </w:r>
      <w:r w:rsidR="001C55FB" w:rsidRPr="001775D9">
        <w:rPr>
          <w:b/>
        </w:rPr>
        <w:fldChar w:fldCharType="separate"/>
      </w:r>
      <w:r w:rsidR="001C55FB" w:rsidRPr="001775D9">
        <w:rPr>
          <w:b/>
        </w:rPr>
        <w:t xml:space="preserve"> </w:t>
      </w:r>
      <w:r w:rsidR="001C55FB" w:rsidRPr="001775D9">
        <w:rPr>
          <w:b/>
        </w:rPr>
        <w:fldChar w:fldCharType="end"/>
      </w:r>
    </w:p>
    <w:p w14:paraId="4F0B8779" w14:textId="77777777" w:rsidR="00966B8F" w:rsidRPr="001775D9" w:rsidRDefault="00966B8F" w:rsidP="00B61D9D">
      <w:pPr>
        <w:keepNext/>
        <w:spacing w:line="240" w:lineRule="auto"/>
        <w:rPr>
          <w:szCs w:val="22"/>
        </w:rPr>
      </w:pPr>
    </w:p>
    <w:p w14:paraId="08590946" w14:textId="746D6954" w:rsidR="00966B8F" w:rsidRPr="001775D9" w:rsidRDefault="00966B8F" w:rsidP="00B61D9D">
      <w:pPr>
        <w:keepNext/>
        <w:spacing w:line="240" w:lineRule="auto"/>
        <w:rPr>
          <w:szCs w:val="22"/>
        </w:rPr>
      </w:pPr>
      <w:r w:rsidRPr="001775D9">
        <w:rPr>
          <w:szCs w:val="22"/>
        </w:rPr>
        <w:t>AMGEVITA 80 mg solution for injection in pre-filled syringe</w:t>
      </w:r>
    </w:p>
    <w:p w14:paraId="5AC56D83" w14:textId="77777777" w:rsidR="00966B8F" w:rsidRPr="001775D9" w:rsidRDefault="00966B8F" w:rsidP="00B61D9D">
      <w:pPr>
        <w:keepNext/>
        <w:spacing w:line="240" w:lineRule="auto"/>
        <w:rPr>
          <w:szCs w:val="22"/>
        </w:rPr>
      </w:pPr>
      <w:r w:rsidRPr="001775D9">
        <w:rPr>
          <w:szCs w:val="22"/>
        </w:rPr>
        <w:t>adalimumab</w:t>
      </w:r>
    </w:p>
    <w:p w14:paraId="63072570" w14:textId="77777777" w:rsidR="00966B8F" w:rsidRPr="001775D9" w:rsidRDefault="00966B8F" w:rsidP="00B61D9D">
      <w:pPr>
        <w:keepNext/>
        <w:spacing w:line="240" w:lineRule="auto"/>
        <w:rPr>
          <w:szCs w:val="22"/>
        </w:rPr>
      </w:pPr>
    </w:p>
    <w:p w14:paraId="24341447" w14:textId="77777777" w:rsidR="00966B8F" w:rsidRPr="001775D9" w:rsidRDefault="00966B8F" w:rsidP="00B61D9D">
      <w:pPr>
        <w:keepNext/>
        <w:spacing w:line="240" w:lineRule="auto"/>
        <w:rPr>
          <w:szCs w:val="22"/>
        </w:rPr>
      </w:pPr>
    </w:p>
    <w:p w14:paraId="7CFAB26B" w14:textId="6C0196B9"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VAULT_ND_81cd262a-dfed-49ad-96f4-56b4e53ab095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89BAFC7" w14:textId="77777777" w:rsidR="00966B8F" w:rsidRPr="001775D9" w:rsidRDefault="00966B8F" w:rsidP="00B61D9D">
      <w:pPr>
        <w:spacing w:line="240" w:lineRule="auto"/>
        <w:rPr>
          <w:szCs w:val="22"/>
        </w:rPr>
      </w:pPr>
    </w:p>
    <w:p w14:paraId="47B33757" w14:textId="77777777" w:rsidR="00966B8F" w:rsidRPr="001775D9" w:rsidRDefault="00966B8F" w:rsidP="00EE60D5">
      <w:pPr>
        <w:suppressLineNumbers/>
        <w:spacing w:line="240" w:lineRule="auto"/>
        <w:rPr>
          <w:szCs w:val="22"/>
        </w:rPr>
      </w:pPr>
      <w:r w:rsidRPr="001775D9">
        <w:rPr>
          <w:szCs w:val="22"/>
        </w:rPr>
        <w:t>Each pre-filled syringe contains 80 mg of adalimumab in 0.8 mL of solution.</w:t>
      </w:r>
    </w:p>
    <w:p w14:paraId="6EF033F0" w14:textId="77777777" w:rsidR="00966B8F" w:rsidRPr="001775D9" w:rsidRDefault="00966B8F" w:rsidP="00B61D9D">
      <w:pPr>
        <w:spacing w:line="240" w:lineRule="auto"/>
        <w:rPr>
          <w:szCs w:val="22"/>
        </w:rPr>
      </w:pPr>
    </w:p>
    <w:p w14:paraId="6F0E5528" w14:textId="77777777" w:rsidR="00BB0876" w:rsidRPr="001775D9" w:rsidRDefault="00BB0876" w:rsidP="00B61D9D">
      <w:pPr>
        <w:spacing w:line="240" w:lineRule="auto"/>
        <w:rPr>
          <w:szCs w:val="22"/>
        </w:rPr>
      </w:pPr>
    </w:p>
    <w:p w14:paraId="1005722E" w14:textId="4B1BC21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VAULT_ND_bd1ab294-2ca3-4f1e-aa2f-2f7e8d6056e3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BFA0915" w14:textId="77777777" w:rsidR="00966B8F" w:rsidRPr="001775D9" w:rsidRDefault="00966B8F" w:rsidP="00B61D9D">
      <w:pPr>
        <w:spacing w:line="240" w:lineRule="auto"/>
        <w:rPr>
          <w:szCs w:val="22"/>
        </w:rPr>
      </w:pPr>
    </w:p>
    <w:p w14:paraId="023B3137"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552"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33DBC281" w14:textId="77777777" w:rsidR="00966B8F" w:rsidRPr="001775D9" w:rsidRDefault="00966B8F" w:rsidP="00B61D9D">
      <w:pPr>
        <w:spacing w:line="240" w:lineRule="auto"/>
        <w:rPr>
          <w:szCs w:val="22"/>
        </w:rPr>
      </w:pPr>
    </w:p>
    <w:p w14:paraId="10C19933" w14:textId="77777777" w:rsidR="00966B8F" w:rsidRPr="001775D9" w:rsidRDefault="00966B8F" w:rsidP="00B61D9D">
      <w:pPr>
        <w:spacing w:line="240" w:lineRule="auto"/>
        <w:rPr>
          <w:szCs w:val="22"/>
        </w:rPr>
      </w:pPr>
    </w:p>
    <w:p w14:paraId="6E1EE4D5" w14:textId="2ED41861"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VAULT_ND_5e518a28-671e-4cec-87f5-9218167322c3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23DBF22" w14:textId="77777777" w:rsidR="00966B8F" w:rsidRPr="001775D9" w:rsidRDefault="00966B8F" w:rsidP="00B61D9D">
      <w:pPr>
        <w:spacing w:line="240" w:lineRule="auto"/>
        <w:rPr>
          <w:szCs w:val="22"/>
        </w:rPr>
      </w:pPr>
    </w:p>
    <w:p w14:paraId="05DA49A8" w14:textId="77777777" w:rsidR="00966B8F" w:rsidRPr="001775D9" w:rsidRDefault="00966B8F" w:rsidP="00EE60D5">
      <w:pPr>
        <w:spacing w:line="240" w:lineRule="auto"/>
        <w:rPr>
          <w:szCs w:val="22"/>
        </w:rPr>
      </w:pPr>
      <w:r>
        <w:rPr>
          <w:szCs w:val="22"/>
          <w:highlight w:val="lightGray"/>
        </w:rPr>
        <w:t>Solution for injection</w:t>
      </w:r>
    </w:p>
    <w:p w14:paraId="48363335" w14:textId="7ADC62DE" w:rsidR="00BB0876" w:rsidRPr="00D55B59" w:rsidRDefault="00BB0876" w:rsidP="00EE60D5">
      <w:pPr>
        <w:spacing w:line="240" w:lineRule="auto"/>
        <w:rPr>
          <w:szCs w:val="22"/>
          <w:lang w:val="da-DK"/>
          <w:rPrChange w:id="2553" w:author="Author">
            <w:rPr>
              <w:szCs w:val="22"/>
              <w:lang w:val="nb-NO"/>
            </w:rPr>
          </w:rPrChange>
        </w:rPr>
      </w:pPr>
      <w:r w:rsidRPr="00D55B59">
        <w:rPr>
          <w:szCs w:val="22"/>
          <w:lang w:val="da-DK"/>
          <w:rPrChange w:id="2554" w:author="Author">
            <w:rPr>
              <w:szCs w:val="22"/>
              <w:lang w:val="nb-NO"/>
            </w:rPr>
          </w:rPrChange>
        </w:rPr>
        <w:t>80 mg/0.8 mL</w:t>
      </w:r>
    </w:p>
    <w:p w14:paraId="22485E64" w14:textId="240AAA5B" w:rsidR="00966B8F" w:rsidRPr="001775D9" w:rsidRDefault="00966B8F" w:rsidP="00EE60D5">
      <w:pPr>
        <w:spacing w:line="240" w:lineRule="auto"/>
        <w:rPr>
          <w:szCs w:val="22"/>
        </w:rPr>
      </w:pPr>
      <w:r w:rsidRPr="00D55B59">
        <w:rPr>
          <w:szCs w:val="22"/>
          <w:lang w:val="da-DK"/>
          <w:rPrChange w:id="2555" w:author="Author">
            <w:rPr>
              <w:szCs w:val="22"/>
              <w:lang w:val="nb-NO"/>
            </w:rPr>
          </w:rPrChange>
        </w:rPr>
        <w:t xml:space="preserve">1 pre-filled syringe. </w:t>
      </w:r>
      <w:r w:rsidRPr="001775D9">
        <w:rPr>
          <w:rFonts w:eastAsia="SimSun"/>
        </w:rPr>
        <w:t>Component</w:t>
      </w:r>
      <w:r w:rsidRPr="001775D9">
        <w:rPr>
          <w:rFonts w:eastAsia="SimSun"/>
          <w:lang w:eastAsia="zh-TW"/>
        </w:rPr>
        <w:t xml:space="preserve"> of a multipack, can’t be sold separately.</w:t>
      </w:r>
    </w:p>
    <w:p w14:paraId="4D59EA2F" w14:textId="77777777" w:rsidR="00966B8F" w:rsidRPr="001775D9" w:rsidRDefault="00966B8F" w:rsidP="00B61D9D">
      <w:pPr>
        <w:spacing w:line="240" w:lineRule="auto"/>
        <w:rPr>
          <w:szCs w:val="22"/>
        </w:rPr>
      </w:pPr>
    </w:p>
    <w:p w14:paraId="0D79EE56" w14:textId="77777777" w:rsidR="00966B8F" w:rsidRPr="001775D9" w:rsidRDefault="00966B8F" w:rsidP="00B61D9D">
      <w:pPr>
        <w:spacing w:line="240" w:lineRule="auto"/>
        <w:rPr>
          <w:szCs w:val="22"/>
        </w:rPr>
      </w:pPr>
    </w:p>
    <w:p w14:paraId="19B903E1" w14:textId="7D481DE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VAULT_ND_63147ce5-1e47-49a6-8fe2-53a4ccfb2d2a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9D68FC6" w14:textId="77777777" w:rsidR="00966B8F" w:rsidRPr="001775D9" w:rsidRDefault="00966B8F" w:rsidP="00B61D9D">
      <w:pPr>
        <w:spacing w:line="240" w:lineRule="auto"/>
        <w:rPr>
          <w:szCs w:val="22"/>
        </w:rPr>
      </w:pPr>
    </w:p>
    <w:p w14:paraId="6756923E" w14:textId="77777777" w:rsidR="00966B8F" w:rsidRPr="001775D9" w:rsidRDefault="00966B8F" w:rsidP="00EE60D5">
      <w:pPr>
        <w:spacing w:line="240" w:lineRule="auto"/>
        <w:rPr>
          <w:szCs w:val="22"/>
        </w:rPr>
      </w:pPr>
      <w:r w:rsidRPr="001775D9">
        <w:rPr>
          <w:szCs w:val="22"/>
        </w:rPr>
        <w:t>For subcutaneous use.</w:t>
      </w:r>
    </w:p>
    <w:p w14:paraId="7F354344" w14:textId="77777777" w:rsidR="00966B8F" w:rsidRPr="001775D9" w:rsidRDefault="00966B8F" w:rsidP="00B61D9D">
      <w:pPr>
        <w:spacing w:line="240" w:lineRule="auto"/>
        <w:rPr>
          <w:szCs w:val="22"/>
        </w:rPr>
      </w:pPr>
      <w:r w:rsidRPr="001775D9">
        <w:rPr>
          <w:szCs w:val="22"/>
        </w:rPr>
        <w:t>Read the package leaflet before use.</w:t>
      </w:r>
    </w:p>
    <w:p w14:paraId="39627360" w14:textId="77777777" w:rsidR="00966B8F" w:rsidRPr="001775D9" w:rsidRDefault="00966B8F" w:rsidP="00B61D9D">
      <w:pPr>
        <w:spacing w:line="240" w:lineRule="auto"/>
        <w:rPr>
          <w:szCs w:val="22"/>
        </w:rPr>
      </w:pPr>
      <w:r w:rsidRPr="001775D9">
        <w:rPr>
          <w:szCs w:val="22"/>
        </w:rPr>
        <w:t>Single use only.</w:t>
      </w:r>
    </w:p>
    <w:p w14:paraId="10F10477" w14:textId="77777777" w:rsidR="00966B8F" w:rsidRPr="001775D9" w:rsidRDefault="00966B8F" w:rsidP="00B61D9D">
      <w:pPr>
        <w:spacing w:line="240" w:lineRule="auto"/>
        <w:rPr>
          <w:szCs w:val="22"/>
        </w:rPr>
      </w:pPr>
    </w:p>
    <w:p w14:paraId="094513DD" w14:textId="77777777" w:rsidR="00966B8F" w:rsidRPr="001775D9" w:rsidRDefault="00966B8F" w:rsidP="00B61D9D">
      <w:pPr>
        <w:spacing w:line="240" w:lineRule="auto"/>
        <w:rPr>
          <w:szCs w:val="22"/>
        </w:rPr>
      </w:pPr>
    </w:p>
    <w:p w14:paraId="3A17B577" w14:textId="41C3AFE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VAULT_ND_99528b4f-12d8-4e82-950d-65f8bb908dfd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A996834" w14:textId="77777777" w:rsidR="00966B8F" w:rsidRPr="001775D9" w:rsidRDefault="00966B8F" w:rsidP="00B61D9D">
      <w:pPr>
        <w:spacing w:line="240" w:lineRule="auto"/>
        <w:rPr>
          <w:szCs w:val="22"/>
        </w:rPr>
      </w:pPr>
    </w:p>
    <w:p w14:paraId="2A3F61CB" w14:textId="44E3F9A9"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vault_nd_8a783362-e7e0-4097-9e9d-c8985e1b9980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5C97667C" w14:textId="77777777" w:rsidR="00966B8F" w:rsidRPr="001775D9" w:rsidRDefault="00966B8F" w:rsidP="00B61D9D">
      <w:pPr>
        <w:spacing w:line="240" w:lineRule="auto"/>
        <w:rPr>
          <w:szCs w:val="22"/>
        </w:rPr>
      </w:pPr>
    </w:p>
    <w:p w14:paraId="374396A9" w14:textId="77777777" w:rsidR="00966B8F" w:rsidRPr="001775D9" w:rsidRDefault="00966B8F" w:rsidP="00B61D9D">
      <w:pPr>
        <w:spacing w:line="240" w:lineRule="auto"/>
        <w:rPr>
          <w:szCs w:val="22"/>
        </w:rPr>
      </w:pPr>
    </w:p>
    <w:p w14:paraId="36F7B5A6" w14:textId="0697D20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VAULT_ND_f552aab1-4954-4a7a-b410-7f27121e7b0d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8007C7E" w14:textId="77777777" w:rsidR="00966B8F" w:rsidRPr="001775D9" w:rsidRDefault="00966B8F" w:rsidP="00B61D9D">
      <w:pPr>
        <w:tabs>
          <w:tab w:val="left" w:pos="749"/>
        </w:tabs>
        <w:spacing w:line="240" w:lineRule="auto"/>
      </w:pPr>
    </w:p>
    <w:p w14:paraId="25B4C9CA" w14:textId="77777777" w:rsidR="00966B8F" w:rsidRPr="001775D9" w:rsidRDefault="00966B8F" w:rsidP="00B61D9D">
      <w:pPr>
        <w:tabs>
          <w:tab w:val="left" w:pos="749"/>
        </w:tabs>
        <w:spacing w:line="240" w:lineRule="auto"/>
      </w:pPr>
    </w:p>
    <w:p w14:paraId="23ADFFF5" w14:textId="178CAB2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VAULT_ND_9b2148f3-adfb-47a8-83ff-4af15bac03c1 \* MERGEFORMAT </w:instrText>
      </w:r>
      <w:r w:rsidR="001C55FB" w:rsidRPr="001775D9">
        <w:rPr>
          <w:b/>
        </w:rPr>
        <w:fldChar w:fldCharType="separate"/>
      </w:r>
      <w:r w:rsidR="001C55FB" w:rsidRPr="001775D9">
        <w:rPr>
          <w:b/>
        </w:rPr>
        <w:t xml:space="preserve"> </w:t>
      </w:r>
      <w:r w:rsidR="001C55FB" w:rsidRPr="001775D9">
        <w:rPr>
          <w:b/>
        </w:rPr>
        <w:fldChar w:fldCharType="end"/>
      </w:r>
    </w:p>
    <w:p w14:paraId="65412EF8" w14:textId="77777777" w:rsidR="00966B8F" w:rsidRPr="001775D9" w:rsidRDefault="00966B8F" w:rsidP="00B61D9D">
      <w:pPr>
        <w:spacing w:line="240" w:lineRule="auto"/>
      </w:pPr>
    </w:p>
    <w:p w14:paraId="10B3DF8D" w14:textId="77777777" w:rsidR="00966B8F" w:rsidRPr="001775D9" w:rsidRDefault="00966B8F" w:rsidP="00B61D9D">
      <w:pPr>
        <w:spacing w:line="240" w:lineRule="auto"/>
        <w:rPr>
          <w:szCs w:val="22"/>
        </w:rPr>
      </w:pPr>
      <w:r w:rsidRPr="001775D9">
        <w:rPr>
          <w:szCs w:val="22"/>
        </w:rPr>
        <w:t xml:space="preserve">EXP </w:t>
      </w:r>
    </w:p>
    <w:p w14:paraId="5F93D693" w14:textId="77777777" w:rsidR="00966B8F" w:rsidRPr="001775D9" w:rsidRDefault="00966B8F" w:rsidP="00B61D9D">
      <w:pPr>
        <w:spacing w:line="240" w:lineRule="auto"/>
        <w:rPr>
          <w:szCs w:val="22"/>
        </w:rPr>
      </w:pPr>
    </w:p>
    <w:p w14:paraId="459BA1A4" w14:textId="77777777" w:rsidR="00966B8F" w:rsidRPr="001775D9" w:rsidRDefault="00966B8F" w:rsidP="00B61D9D">
      <w:pPr>
        <w:spacing w:line="240" w:lineRule="auto"/>
        <w:rPr>
          <w:szCs w:val="22"/>
        </w:rPr>
      </w:pPr>
    </w:p>
    <w:p w14:paraId="7E94DB0E" w14:textId="61877B75"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VAULT_ND_de55c08a-268d-4954-9495-7cea74fe2967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FA4970E" w14:textId="77777777" w:rsidR="00966B8F" w:rsidRPr="001775D9" w:rsidRDefault="00966B8F" w:rsidP="00B61D9D">
      <w:pPr>
        <w:keepNext/>
        <w:spacing w:line="240" w:lineRule="auto"/>
        <w:rPr>
          <w:szCs w:val="22"/>
        </w:rPr>
      </w:pPr>
    </w:p>
    <w:p w14:paraId="5843CE60" w14:textId="77777777" w:rsidR="00966B8F" w:rsidRPr="001775D9" w:rsidRDefault="00966B8F" w:rsidP="00EE60D5">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3C510DFE" w14:textId="77777777" w:rsidR="00966B8F" w:rsidRPr="001775D9" w:rsidRDefault="00966B8F" w:rsidP="00EE60D5">
      <w:pPr>
        <w:keepNext/>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0C92B04E" w14:textId="77777777" w:rsidR="00966B8F" w:rsidRPr="001775D9" w:rsidRDefault="00966B8F" w:rsidP="00EE60D5">
      <w:pPr>
        <w:keepNext/>
        <w:spacing w:line="240" w:lineRule="auto"/>
        <w:rPr>
          <w:rFonts w:eastAsia="SimSun"/>
          <w:szCs w:val="22"/>
          <w:lang w:eastAsia="en-GB"/>
        </w:rPr>
      </w:pPr>
      <w:r w:rsidRPr="001775D9">
        <w:rPr>
          <w:rFonts w:eastAsia="SimSun"/>
          <w:szCs w:val="22"/>
          <w:lang w:eastAsia="en-GB"/>
        </w:rPr>
        <w:t>Store in the original carton in order to protect from light.</w:t>
      </w:r>
    </w:p>
    <w:p w14:paraId="72824A71" w14:textId="77777777" w:rsidR="00966B8F" w:rsidRPr="001775D9" w:rsidRDefault="00966B8F" w:rsidP="00EE60D5">
      <w:pPr>
        <w:spacing w:line="240" w:lineRule="auto"/>
        <w:rPr>
          <w:rFonts w:eastAsia="SimSun"/>
          <w:szCs w:val="22"/>
          <w:lang w:eastAsia="en-GB"/>
        </w:rPr>
      </w:pPr>
    </w:p>
    <w:p w14:paraId="0B6ED467" w14:textId="77777777" w:rsidR="00966B8F" w:rsidRPr="001775D9" w:rsidRDefault="00966B8F" w:rsidP="00B61D9D">
      <w:pPr>
        <w:spacing w:line="240" w:lineRule="auto"/>
        <w:ind w:left="567" w:hanging="567"/>
        <w:rPr>
          <w:szCs w:val="22"/>
        </w:rPr>
      </w:pPr>
    </w:p>
    <w:p w14:paraId="35D736EE" w14:textId="62F9928D"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VAULT_ND_ff54e63c-f0f0-42d6-9289-3b2723a19eef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C631531" w14:textId="77777777" w:rsidR="00966B8F" w:rsidRPr="001775D9" w:rsidRDefault="00966B8F" w:rsidP="00B61D9D">
      <w:pPr>
        <w:spacing w:line="240" w:lineRule="auto"/>
        <w:rPr>
          <w:szCs w:val="22"/>
        </w:rPr>
      </w:pPr>
    </w:p>
    <w:p w14:paraId="2030AC47" w14:textId="77777777" w:rsidR="00966B8F" w:rsidRPr="001775D9" w:rsidRDefault="00966B8F" w:rsidP="00B61D9D">
      <w:pPr>
        <w:spacing w:line="240" w:lineRule="auto"/>
        <w:rPr>
          <w:szCs w:val="22"/>
        </w:rPr>
      </w:pPr>
    </w:p>
    <w:p w14:paraId="064DF178" w14:textId="5B2A3128"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VAULT_ND_c65d36ec-2de1-4c9c-9176-470226b0b997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7353B9E" w14:textId="77777777" w:rsidR="00966B8F" w:rsidRPr="001775D9" w:rsidRDefault="00966B8F" w:rsidP="00B61D9D">
      <w:pPr>
        <w:spacing w:line="240" w:lineRule="auto"/>
        <w:rPr>
          <w:szCs w:val="22"/>
        </w:rPr>
      </w:pPr>
    </w:p>
    <w:p w14:paraId="503D10FC"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556" w:author="Author">
            <w:rPr>
              <w:rFonts w:eastAsia="SimSun"/>
              <w:szCs w:val="22"/>
              <w:lang w:val="sv-SE" w:eastAsia="en-GB"/>
            </w:rPr>
          </w:rPrChange>
        </w:rPr>
      </w:pPr>
      <w:r w:rsidRPr="00D55B59">
        <w:rPr>
          <w:rFonts w:eastAsia="SimSun"/>
          <w:szCs w:val="22"/>
          <w:lang w:eastAsia="en-GB"/>
          <w:rPrChange w:id="2557" w:author="Author">
            <w:rPr>
              <w:rFonts w:eastAsia="SimSun"/>
              <w:szCs w:val="22"/>
              <w:lang w:val="sv-SE" w:eastAsia="en-GB"/>
            </w:rPr>
          </w:rPrChange>
        </w:rPr>
        <w:t>Amgen Europe B.V.</w:t>
      </w:r>
    </w:p>
    <w:p w14:paraId="51C185A9"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558" w:author="Author">
            <w:rPr>
              <w:rFonts w:eastAsia="SimSun"/>
              <w:szCs w:val="22"/>
              <w:lang w:val="sv-SE" w:eastAsia="en-GB"/>
            </w:rPr>
          </w:rPrChange>
        </w:rPr>
      </w:pPr>
      <w:r w:rsidRPr="00D55B59">
        <w:rPr>
          <w:rFonts w:eastAsia="SimSun"/>
          <w:szCs w:val="22"/>
          <w:lang w:eastAsia="en-GB"/>
          <w:rPrChange w:id="2559" w:author="Author">
            <w:rPr>
              <w:rFonts w:eastAsia="SimSun"/>
              <w:szCs w:val="22"/>
              <w:lang w:val="sv-SE" w:eastAsia="en-GB"/>
            </w:rPr>
          </w:rPrChange>
        </w:rPr>
        <w:t>Minervum 7061,</w:t>
      </w:r>
    </w:p>
    <w:p w14:paraId="083196BD" w14:textId="77777777" w:rsidR="00966B8F" w:rsidRPr="001775D9" w:rsidRDefault="00966B8F" w:rsidP="00EE60D5">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71708B2D" w14:textId="77777777" w:rsidR="00966B8F" w:rsidRPr="001775D9" w:rsidRDefault="00966B8F" w:rsidP="00EE60D5">
      <w:pPr>
        <w:spacing w:line="240" w:lineRule="auto"/>
        <w:rPr>
          <w:szCs w:val="22"/>
        </w:rPr>
      </w:pPr>
      <w:r w:rsidRPr="001775D9">
        <w:rPr>
          <w:rFonts w:eastAsia="SimSun"/>
          <w:szCs w:val="22"/>
          <w:lang w:eastAsia="en-GB"/>
        </w:rPr>
        <w:t>The Netherlands</w:t>
      </w:r>
      <w:r w:rsidRPr="001775D9">
        <w:rPr>
          <w:i/>
          <w:szCs w:val="22"/>
        </w:rPr>
        <w:t xml:space="preserve"> </w:t>
      </w:r>
    </w:p>
    <w:p w14:paraId="0598383C" w14:textId="77777777" w:rsidR="00966B8F" w:rsidRPr="001775D9" w:rsidRDefault="00966B8F" w:rsidP="00B61D9D">
      <w:pPr>
        <w:spacing w:line="240" w:lineRule="auto"/>
        <w:rPr>
          <w:szCs w:val="22"/>
        </w:rPr>
      </w:pPr>
    </w:p>
    <w:p w14:paraId="3BB20514" w14:textId="77777777" w:rsidR="00966B8F" w:rsidRPr="001775D9" w:rsidRDefault="00966B8F" w:rsidP="00B61D9D">
      <w:pPr>
        <w:spacing w:line="240" w:lineRule="auto"/>
        <w:rPr>
          <w:szCs w:val="22"/>
        </w:rPr>
      </w:pPr>
    </w:p>
    <w:p w14:paraId="37799B58" w14:textId="5D88FD1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VAULT_ND_842cf922-637e-48a0-9502-165346011460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F4958F5" w14:textId="77777777" w:rsidR="00966B8F" w:rsidRPr="001775D9" w:rsidRDefault="00966B8F" w:rsidP="00B61D9D">
      <w:pPr>
        <w:spacing w:line="240" w:lineRule="auto"/>
        <w:rPr>
          <w:szCs w:val="22"/>
        </w:rPr>
      </w:pPr>
    </w:p>
    <w:p w14:paraId="4BE68E9D" w14:textId="240194F8" w:rsidR="00966B8F" w:rsidRPr="001775D9" w:rsidRDefault="00966B8F" w:rsidP="00B61D9D">
      <w:pPr>
        <w:spacing w:line="240" w:lineRule="auto"/>
        <w:outlineLvl w:val="0"/>
        <w:rPr>
          <w:szCs w:val="22"/>
        </w:rPr>
      </w:pPr>
      <w:r w:rsidRPr="001775D9">
        <w:rPr>
          <w:color w:val="000000"/>
        </w:rPr>
        <w:t>EU/1/16/1164/019</w:t>
      </w:r>
      <w:r w:rsidR="001C55FB" w:rsidRPr="001775D9">
        <w:rPr>
          <w:color w:val="000000"/>
        </w:rPr>
        <w:fldChar w:fldCharType="begin"/>
      </w:r>
      <w:r w:rsidR="001C55FB" w:rsidRPr="001775D9">
        <w:rPr>
          <w:color w:val="000000"/>
        </w:rPr>
        <w:instrText xml:space="preserve"> DOCVARIABLE VAULT_ND_e0c73a89-50d9-4b1c-94e9-ce45f29d0fde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66F9EE2E" w14:textId="77777777" w:rsidR="00966B8F" w:rsidRPr="001775D9" w:rsidRDefault="00966B8F" w:rsidP="00B61D9D">
      <w:pPr>
        <w:spacing w:line="240" w:lineRule="auto"/>
        <w:rPr>
          <w:rFonts w:ascii="TimesNewRoman" w:hAnsi="TimesNewRoman" w:cs="TimesNewRoman"/>
          <w:szCs w:val="22"/>
          <w:lang w:eastAsia="en-GB"/>
        </w:rPr>
      </w:pPr>
    </w:p>
    <w:p w14:paraId="1D33500D" w14:textId="77777777" w:rsidR="00966B8F" w:rsidRPr="001775D9" w:rsidRDefault="00966B8F" w:rsidP="00B61D9D">
      <w:pPr>
        <w:spacing w:line="240" w:lineRule="auto"/>
        <w:rPr>
          <w:szCs w:val="22"/>
        </w:rPr>
      </w:pPr>
    </w:p>
    <w:p w14:paraId="5492C76E" w14:textId="1D2FE49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VAULT_ND_99ce3365-d72f-4ad9-905d-fb6817a9d86a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DF9B675" w14:textId="77777777" w:rsidR="00966B8F" w:rsidRPr="001775D9" w:rsidRDefault="00966B8F" w:rsidP="00B61D9D">
      <w:pPr>
        <w:spacing w:line="240" w:lineRule="auto"/>
        <w:rPr>
          <w:i/>
          <w:szCs w:val="22"/>
        </w:rPr>
      </w:pPr>
    </w:p>
    <w:p w14:paraId="0FD964C6" w14:textId="77777777" w:rsidR="00966B8F" w:rsidRPr="001775D9" w:rsidRDefault="00966B8F" w:rsidP="00B61D9D">
      <w:pPr>
        <w:spacing w:line="240" w:lineRule="auto"/>
        <w:rPr>
          <w:szCs w:val="22"/>
        </w:rPr>
      </w:pPr>
      <w:r w:rsidRPr="001775D9">
        <w:rPr>
          <w:szCs w:val="22"/>
        </w:rPr>
        <w:t>Lot</w:t>
      </w:r>
    </w:p>
    <w:p w14:paraId="21FBB13C" w14:textId="77777777" w:rsidR="00966B8F" w:rsidRPr="001775D9" w:rsidRDefault="00966B8F" w:rsidP="00B61D9D">
      <w:pPr>
        <w:spacing w:line="240" w:lineRule="auto"/>
        <w:rPr>
          <w:szCs w:val="22"/>
        </w:rPr>
      </w:pPr>
    </w:p>
    <w:p w14:paraId="4FCB1234" w14:textId="77777777" w:rsidR="00966B8F" w:rsidRPr="001775D9" w:rsidRDefault="00966B8F" w:rsidP="00B61D9D">
      <w:pPr>
        <w:spacing w:line="240" w:lineRule="auto"/>
        <w:rPr>
          <w:szCs w:val="22"/>
        </w:rPr>
      </w:pPr>
    </w:p>
    <w:p w14:paraId="3C8632B4" w14:textId="54B1D36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VAULT_ND_6fcb6217-4679-4da5-9176-48c3de7f3c44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353E6C1" w14:textId="77777777" w:rsidR="00966B8F" w:rsidRPr="001775D9" w:rsidRDefault="00966B8F" w:rsidP="00B61D9D">
      <w:pPr>
        <w:spacing w:line="240" w:lineRule="auto"/>
        <w:rPr>
          <w:i/>
          <w:szCs w:val="22"/>
        </w:rPr>
      </w:pPr>
    </w:p>
    <w:p w14:paraId="44C838E7" w14:textId="77777777" w:rsidR="00966B8F" w:rsidRPr="001775D9" w:rsidRDefault="00966B8F" w:rsidP="00B61D9D">
      <w:pPr>
        <w:spacing w:line="240" w:lineRule="auto"/>
        <w:rPr>
          <w:szCs w:val="22"/>
        </w:rPr>
      </w:pPr>
    </w:p>
    <w:p w14:paraId="503BD800" w14:textId="51FE393A"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VAULT_ND_21d61809-8116-4107-8fb3-d9f63410ac49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2DA5FED" w14:textId="77777777" w:rsidR="00966B8F" w:rsidRPr="001775D9" w:rsidRDefault="00966B8F" w:rsidP="00B61D9D">
      <w:pPr>
        <w:spacing w:line="240" w:lineRule="auto"/>
        <w:rPr>
          <w:szCs w:val="22"/>
        </w:rPr>
      </w:pPr>
    </w:p>
    <w:p w14:paraId="2E9EDE77" w14:textId="77777777" w:rsidR="00966B8F" w:rsidRPr="001775D9" w:rsidRDefault="00966B8F" w:rsidP="00B61D9D">
      <w:pPr>
        <w:spacing w:line="240" w:lineRule="auto"/>
        <w:rPr>
          <w:szCs w:val="22"/>
        </w:rPr>
      </w:pPr>
    </w:p>
    <w:p w14:paraId="1FC94D21" w14:textId="77777777" w:rsidR="00966B8F" w:rsidRPr="001775D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08A0B2EC" w14:textId="77777777" w:rsidR="00966B8F" w:rsidRPr="001775D9" w:rsidRDefault="00966B8F" w:rsidP="00B61D9D">
      <w:pPr>
        <w:spacing w:line="240" w:lineRule="auto"/>
      </w:pPr>
    </w:p>
    <w:p w14:paraId="17FCC999" w14:textId="57ADFE8F" w:rsidR="00966B8F" w:rsidRPr="001775D9" w:rsidRDefault="00966B8F" w:rsidP="00B61D9D">
      <w:pPr>
        <w:spacing w:line="240" w:lineRule="auto"/>
      </w:pPr>
      <w:r w:rsidRPr="001775D9">
        <w:t>AMGEVITA 80 mg</w:t>
      </w:r>
      <w:r w:rsidR="00BB0876" w:rsidRPr="001775D9">
        <w:t>/0.8 mL</w:t>
      </w:r>
      <w:r w:rsidRPr="001775D9">
        <w:t xml:space="preserve"> syringe</w:t>
      </w:r>
    </w:p>
    <w:p w14:paraId="57CEBF75" w14:textId="77777777" w:rsidR="00966B8F" w:rsidRPr="001775D9" w:rsidRDefault="00966B8F" w:rsidP="00B61D9D">
      <w:pPr>
        <w:spacing w:line="240" w:lineRule="auto"/>
      </w:pPr>
    </w:p>
    <w:p w14:paraId="3193D348" w14:textId="77777777" w:rsidR="00966B8F" w:rsidRPr="00D55B59" w:rsidRDefault="00966B8F" w:rsidP="00EE60D5">
      <w:pPr>
        <w:spacing w:line="240" w:lineRule="auto"/>
        <w:rPr>
          <w:szCs w:val="22"/>
          <w:shd w:val="clear" w:color="auto" w:fill="CCCCCC"/>
          <w:rPrChange w:id="2560" w:author="Author">
            <w:rPr>
              <w:noProof/>
              <w:szCs w:val="22"/>
              <w:shd w:val="clear" w:color="auto" w:fill="CCCCCC"/>
            </w:rPr>
          </w:rPrChange>
        </w:rPr>
      </w:pPr>
    </w:p>
    <w:p w14:paraId="0F1D3A97" w14:textId="77777777" w:rsidR="00966B8F" w:rsidRPr="00D55B59" w:rsidRDefault="00966B8F" w:rsidP="00EE60D5">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561" w:author="Author">
            <w:rPr>
              <w:i/>
              <w:noProof/>
            </w:rPr>
          </w:rPrChange>
        </w:rPr>
      </w:pPr>
      <w:r w:rsidRPr="00D55B59">
        <w:rPr>
          <w:b/>
          <w:rPrChange w:id="2562" w:author="Author">
            <w:rPr>
              <w:b/>
              <w:noProof/>
            </w:rPr>
          </w:rPrChange>
        </w:rPr>
        <w:t>17.</w:t>
      </w:r>
      <w:r w:rsidRPr="00D55B59">
        <w:rPr>
          <w:b/>
          <w:rPrChange w:id="2563" w:author="Author">
            <w:rPr>
              <w:b/>
              <w:noProof/>
            </w:rPr>
          </w:rPrChange>
        </w:rPr>
        <w:tab/>
        <w:t>UNIQUE IDENTIFIER – 2D BARCODE</w:t>
      </w:r>
    </w:p>
    <w:p w14:paraId="6F5D66A1" w14:textId="77777777" w:rsidR="00966B8F" w:rsidRPr="00D55B59" w:rsidRDefault="00966B8F" w:rsidP="00EE60D5">
      <w:pPr>
        <w:tabs>
          <w:tab w:val="clear" w:pos="567"/>
        </w:tabs>
        <w:spacing w:line="240" w:lineRule="auto"/>
        <w:rPr>
          <w:rPrChange w:id="2564" w:author="Author">
            <w:rPr>
              <w:noProof/>
            </w:rPr>
          </w:rPrChange>
        </w:rPr>
      </w:pPr>
    </w:p>
    <w:p w14:paraId="6D371C08" w14:textId="77777777" w:rsidR="00966B8F" w:rsidRPr="00D55B59" w:rsidRDefault="00966B8F" w:rsidP="00EE60D5">
      <w:pPr>
        <w:tabs>
          <w:tab w:val="clear" w:pos="567"/>
        </w:tabs>
        <w:spacing w:line="240" w:lineRule="auto"/>
        <w:rPr>
          <w:rPrChange w:id="2565" w:author="Author">
            <w:rPr>
              <w:noProof/>
            </w:rPr>
          </w:rPrChange>
        </w:rPr>
      </w:pPr>
    </w:p>
    <w:p w14:paraId="763B4E52" w14:textId="77777777" w:rsidR="00966B8F" w:rsidRPr="00D55B59" w:rsidRDefault="00966B8F" w:rsidP="00EE60D5">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566" w:author="Author">
            <w:rPr>
              <w:i/>
              <w:noProof/>
            </w:rPr>
          </w:rPrChange>
        </w:rPr>
      </w:pPr>
      <w:r w:rsidRPr="00D55B59">
        <w:rPr>
          <w:b/>
          <w:rPrChange w:id="2567" w:author="Author">
            <w:rPr>
              <w:b/>
              <w:noProof/>
            </w:rPr>
          </w:rPrChange>
        </w:rPr>
        <w:t>18.</w:t>
      </w:r>
      <w:r w:rsidRPr="00D55B59">
        <w:rPr>
          <w:b/>
          <w:rPrChange w:id="2568" w:author="Author">
            <w:rPr>
              <w:b/>
              <w:noProof/>
            </w:rPr>
          </w:rPrChange>
        </w:rPr>
        <w:tab/>
        <w:t xml:space="preserve">UNIQUE IDENTIFIER </w:t>
      </w:r>
      <w:r w:rsidRPr="001775D9">
        <w:rPr>
          <w:rFonts w:eastAsia="Calibri"/>
        </w:rPr>
        <w:t>-</w:t>
      </w:r>
      <w:r w:rsidRPr="00D55B59">
        <w:rPr>
          <w:b/>
          <w:rPrChange w:id="2569" w:author="Author">
            <w:rPr>
              <w:b/>
              <w:noProof/>
            </w:rPr>
          </w:rPrChange>
        </w:rPr>
        <w:t xml:space="preserve"> HUMAN READABLE DATA</w:t>
      </w:r>
    </w:p>
    <w:p w14:paraId="5C38A3E3" w14:textId="77777777" w:rsidR="00966B8F" w:rsidRPr="00D55B59" w:rsidRDefault="00966B8F" w:rsidP="00EE60D5">
      <w:pPr>
        <w:tabs>
          <w:tab w:val="clear" w:pos="567"/>
        </w:tabs>
        <w:spacing w:line="240" w:lineRule="auto"/>
        <w:rPr>
          <w:rPrChange w:id="2570" w:author="Author">
            <w:rPr>
              <w:noProof/>
            </w:rPr>
          </w:rPrChange>
        </w:rPr>
      </w:pPr>
    </w:p>
    <w:p w14:paraId="7DA53022" w14:textId="77777777" w:rsidR="00442A92" w:rsidRPr="00D55B59" w:rsidRDefault="00442A92" w:rsidP="00EE60D5">
      <w:pPr>
        <w:tabs>
          <w:tab w:val="clear" w:pos="567"/>
        </w:tabs>
        <w:spacing w:line="240" w:lineRule="auto"/>
        <w:rPr>
          <w:rPrChange w:id="2571" w:author="Author">
            <w:rPr>
              <w:noProof/>
            </w:rPr>
          </w:rPrChange>
        </w:rPr>
      </w:pPr>
    </w:p>
    <w:p w14:paraId="03F41E4D" w14:textId="3E1056F4" w:rsidR="00966B8F" w:rsidRPr="001775D9" w:rsidRDefault="00D270FD" w:rsidP="00EE60D5">
      <w:pPr>
        <w:tabs>
          <w:tab w:val="clear" w:pos="567"/>
        </w:tabs>
        <w:spacing w:line="240" w:lineRule="auto"/>
        <w:rPr>
          <w:b/>
          <w:szCs w:val="22"/>
        </w:rPr>
      </w:pPr>
      <w:r w:rsidRPr="001775D9">
        <w:rPr>
          <w:b/>
          <w:szCs w:val="22"/>
        </w:rPr>
        <w:br w:type="page"/>
      </w:r>
    </w:p>
    <w:p w14:paraId="473B137D"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MINIMUM PARTICULARS TO APPEAR ON SMALL IMMEDIATE PACKAGING UNITS</w:t>
      </w:r>
    </w:p>
    <w:p w14:paraId="40677FFF"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p>
    <w:p w14:paraId="5DA62E74" w14:textId="77777777" w:rsidR="00966B8F" w:rsidRPr="001775D9" w:rsidRDefault="00966B8F" w:rsidP="00EE60D5">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SYRINGE LABEL </w:t>
      </w:r>
    </w:p>
    <w:p w14:paraId="4B5109A8" w14:textId="77777777" w:rsidR="00966B8F" w:rsidRPr="001775D9" w:rsidRDefault="00966B8F" w:rsidP="00B61D9D">
      <w:pPr>
        <w:keepNext/>
        <w:spacing w:line="240" w:lineRule="auto"/>
        <w:rPr>
          <w:szCs w:val="22"/>
        </w:rPr>
      </w:pPr>
    </w:p>
    <w:p w14:paraId="7EEC52FC" w14:textId="77777777" w:rsidR="00966B8F" w:rsidRPr="001775D9" w:rsidRDefault="00966B8F" w:rsidP="00B61D9D">
      <w:pPr>
        <w:spacing w:line="240" w:lineRule="auto"/>
        <w:rPr>
          <w:szCs w:val="22"/>
        </w:rPr>
      </w:pPr>
    </w:p>
    <w:p w14:paraId="4B388F66" w14:textId="390693E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w:t>
      </w:r>
      <w:r w:rsidRPr="001775D9">
        <w:rPr>
          <w:b/>
          <w:szCs w:val="22"/>
        </w:rPr>
        <w:tab/>
        <w:t>NAME OF THE MEDICINAL PRODUCT AND ROUTE(S) OF ADMINISTRATION</w:t>
      </w:r>
      <w:r w:rsidR="001C55FB" w:rsidRPr="001775D9">
        <w:rPr>
          <w:b/>
          <w:szCs w:val="22"/>
        </w:rPr>
        <w:fldChar w:fldCharType="begin"/>
      </w:r>
      <w:r w:rsidR="001C55FB" w:rsidRPr="001775D9">
        <w:rPr>
          <w:b/>
          <w:szCs w:val="22"/>
        </w:rPr>
        <w:instrText xml:space="preserve"> DOCVARIABLE VAULT_ND_04586f1a-36d5-42ca-a96d-74820cf02c4e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3E20DA7" w14:textId="77777777" w:rsidR="00966B8F" w:rsidRPr="001775D9" w:rsidRDefault="00966B8F" w:rsidP="00B61D9D">
      <w:pPr>
        <w:spacing w:line="240" w:lineRule="auto"/>
        <w:ind w:left="567" w:hanging="567"/>
        <w:rPr>
          <w:szCs w:val="22"/>
        </w:rPr>
      </w:pPr>
    </w:p>
    <w:p w14:paraId="22329217" w14:textId="604D4149" w:rsidR="00966B8F" w:rsidRPr="001775D9" w:rsidRDefault="00966B8F" w:rsidP="00B61D9D">
      <w:pPr>
        <w:spacing w:line="240" w:lineRule="auto"/>
        <w:rPr>
          <w:szCs w:val="22"/>
        </w:rPr>
      </w:pPr>
      <w:r w:rsidRPr="001775D9">
        <w:rPr>
          <w:szCs w:val="22"/>
        </w:rPr>
        <w:t>AMGEVITA 80 mg injection</w:t>
      </w:r>
    </w:p>
    <w:p w14:paraId="091B4EB5" w14:textId="77777777" w:rsidR="00966B8F" w:rsidRPr="001775D9" w:rsidRDefault="00966B8F" w:rsidP="00B61D9D">
      <w:pPr>
        <w:spacing w:line="240" w:lineRule="auto"/>
        <w:rPr>
          <w:szCs w:val="22"/>
        </w:rPr>
      </w:pPr>
      <w:r w:rsidRPr="001775D9">
        <w:rPr>
          <w:szCs w:val="22"/>
        </w:rPr>
        <w:t>adalimumab</w:t>
      </w:r>
    </w:p>
    <w:p w14:paraId="77A71AC4" w14:textId="77777777" w:rsidR="00966B8F" w:rsidRPr="001775D9" w:rsidRDefault="00966B8F" w:rsidP="00B61D9D">
      <w:pPr>
        <w:spacing w:line="240" w:lineRule="auto"/>
        <w:rPr>
          <w:szCs w:val="22"/>
        </w:rPr>
      </w:pPr>
      <w:r w:rsidRPr="001775D9">
        <w:rPr>
          <w:szCs w:val="22"/>
        </w:rPr>
        <w:t>SC</w:t>
      </w:r>
    </w:p>
    <w:p w14:paraId="60BAC710" w14:textId="77777777" w:rsidR="00966B8F" w:rsidRPr="001775D9" w:rsidRDefault="00966B8F" w:rsidP="00B61D9D">
      <w:pPr>
        <w:spacing w:line="240" w:lineRule="auto"/>
        <w:rPr>
          <w:szCs w:val="22"/>
        </w:rPr>
      </w:pPr>
    </w:p>
    <w:p w14:paraId="7873A65F" w14:textId="77777777" w:rsidR="00966B8F" w:rsidRPr="001775D9" w:rsidRDefault="00966B8F" w:rsidP="00B61D9D">
      <w:pPr>
        <w:spacing w:line="240" w:lineRule="auto"/>
        <w:rPr>
          <w:szCs w:val="22"/>
        </w:rPr>
      </w:pPr>
    </w:p>
    <w:p w14:paraId="07C28A7E" w14:textId="74ADB98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METHOD OF ADMINISTRATION</w:t>
      </w:r>
      <w:r w:rsidR="001C55FB" w:rsidRPr="001775D9">
        <w:rPr>
          <w:b/>
          <w:szCs w:val="22"/>
        </w:rPr>
        <w:fldChar w:fldCharType="begin"/>
      </w:r>
      <w:r w:rsidR="001C55FB" w:rsidRPr="001775D9">
        <w:rPr>
          <w:b/>
          <w:szCs w:val="22"/>
        </w:rPr>
        <w:instrText xml:space="preserve"> DOCVARIABLE VAULT_ND_de84e8d5-ba9a-4730-ab9d-3821a24bc419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D47C08A" w14:textId="77777777" w:rsidR="00966B8F" w:rsidRPr="001775D9" w:rsidRDefault="00966B8F" w:rsidP="00B61D9D">
      <w:pPr>
        <w:spacing w:line="240" w:lineRule="auto"/>
        <w:rPr>
          <w:szCs w:val="22"/>
        </w:rPr>
      </w:pPr>
    </w:p>
    <w:p w14:paraId="54B253E2" w14:textId="77777777" w:rsidR="00966B8F" w:rsidRPr="001775D9" w:rsidRDefault="00966B8F" w:rsidP="00B61D9D">
      <w:pPr>
        <w:spacing w:line="240" w:lineRule="auto"/>
        <w:rPr>
          <w:szCs w:val="22"/>
        </w:rPr>
      </w:pPr>
    </w:p>
    <w:p w14:paraId="5848F891" w14:textId="63F60BC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3.</w:t>
      </w:r>
      <w:r w:rsidRPr="001775D9">
        <w:rPr>
          <w:b/>
          <w:szCs w:val="22"/>
        </w:rPr>
        <w:tab/>
        <w:t>EXPIRY DATE</w:t>
      </w:r>
      <w:r w:rsidR="001C55FB" w:rsidRPr="001775D9">
        <w:rPr>
          <w:b/>
          <w:szCs w:val="22"/>
        </w:rPr>
        <w:fldChar w:fldCharType="begin"/>
      </w:r>
      <w:r w:rsidR="001C55FB" w:rsidRPr="001775D9">
        <w:rPr>
          <w:b/>
          <w:szCs w:val="22"/>
        </w:rPr>
        <w:instrText xml:space="preserve"> DOCVARIABLE VAULT_ND_71f9bf72-71e7-44c4-b97a-f21247f680a5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274A8FF" w14:textId="77777777" w:rsidR="00966B8F" w:rsidRPr="001775D9" w:rsidRDefault="00966B8F" w:rsidP="00B61D9D">
      <w:pPr>
        <w:spacing w:line="240" w:lineRule="auto"/>
      </w:pPr>
    </w:p>
    <w:p w14:paraId="5083FBB4" w14:textId="77777777" w:rsidR="00966B8F" w:rsidRPr="001775D9" w:rsidRDefault="00966B8F" w:rsidP="00B61D9D">
      <w:pPr>
        <w:spacing w:line="240" w:lineRule="auto"/>
      </w:pPr>
      <w:r w:rsidRPr="001775D9">
        <w:t xml:space="preserve">EXP </w:t>
      </w:r>
    </w:p>
    <w:p w14:paraId="725C03A7" w14:textId="77777777" w:rsidR="00966B8F" w:rsidRPr="001775D9" w:rsidRDefault="00966B8F" w:rsidP="00B61D9D">
      <w:pPr>
        <w:spacing w:line="240" w:lineRule="auto"/>
      </w:pPr>
    </w:p>
    <w:p w14:paraId="4F0517A7" w14:textId="77777777" w:rsidR="00966B8F" w:rsidRPr="001775D9" w:rsidRDefault="00966B8F" w:rsidP="00B61D9D">
      <w:pPr>
        <w:spacing w:line="240" w:lineRule="auto"/>
      </w:pPr>
    </w:p>
    <w:p w14:paraId="1169306C" w14:textId="4D890D7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rPr>
      </w:pPr>
      <w:r w:rsidRPr="001775D9">
        <w:rPr>
          <w:b/>
        </w:rPr>
        <w:t>4.</w:t>
      </w:r>
      <w:r w:rsidRPr="001775D9">
        <w:rPr>
          <w:b/>
        </w:rPr>
        <w:tab/>
        <w:t>BATCH NUMBER</w:t>
      </w:r>
      <w:r w:rsidR="001C55FB" w:rsidRPr="001775D9">
        <w:rPr>
          <w:b/>
        </w:rPr>
        <w:fldChar w:fldCharType="begin"/>
      </w:r>
      <w:r w:rsidR="001C55FB" w:rsidRPr="001775D9">
        <w:rPr>
          <w:b/>
        </w:rPr>
        <w:instrText xml:space="preserve"> DOCVARIABLE VAULT_ND_ad0fddd0-e44d-4985-b16c-6e13ce1cdc51 \* MERGEFORMAT </w:instrText>
      </w:r>
      <w:r w:rsidR="001C55FB" w:rsidRPr="001775D9">
        <w:rPr>
          <w:b/>
        </w:rPr>
        <w:fldChar w:fldCharType="separate"/>
      </w:r>
      <w:r w:rsidR="001C55FB" w:rsidRPr="001775D9">
        <w:rPr>
          <w:b/>
        </w:rPr>
        <w:t xml:space="preserve"> </w:t>
      </w:r>
      <w:r w:rsidR="001C55FB" w:rsidRPr="001775D9">
        <w:rPr>
          <w:b/>
        </w:rPr>
        <w:fldChar w:fldCharType="end"/>
      </w:r>
    </w:p>
    <w:p w14:paraId="0B734F0B" w14:textId="77777777" w:rsidR="00966B8F" w:rsidRPr="001775D9" w:rsidRDefault="00966B8F" w:rsidP="00B61D9D">
      <w:pPr>
        <w:spacing w:line="240" w:lineRule="auto"/>
        <w:ind w:right="113"/>
      </w:pPr>
    </w:p>
    <w:p w14:paraId="61AC0820" w14:textId="77777777" w:rsidR="00966B8F" w:rsidRPr="001775D9" w:rsidRDefault="00966B8F" w:rsidP="00B61D9D">
      <w:pPr>
        <w:spacing w:line="240" w:lineRule="auto"/>
        <w:ind w:right="113"/>
      </w:pPr>
      <w:r w:rsidRPr="001775D9">
        <w:t>Lot</w:t>
      </w:r>
    </w:p>
    <w:p w14:paraId="1FC09722" w14:textId="77777777" w:rsidR="00966B8F" w:rsidRPr="001775D9" w:rsidRDefault="00966B8F" w:rsidP="00B61D9D">
      <w:pPr>
        <w:spacing w:line="240" w:lineRule="auto"/>
        <w:ind w:right="113"/>
      </w:pPr>
    </w:p>
    <w:p w14:paraId="3A72AF38" w14:textId="77777777" w:rsidR="00966B8F" w:rsidRPr="001775D9" w:rsidRDefault="00966B8F" w:rsidP="00B61D9D">
      <w:pPr>
        <w:spacing w:line="240" w:lineRule="auto"/>
        <w:ind w:right="113"/>
      </w:pPr>
    </w:p>
    <w:p w14:paraId="5CB8D634" w14:textId="76FA6E9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5.</w:t>
      </w:r>
      <w:r w:rsidRPr="001775D9">
        <w:rPr>
          <w:b/>
          <w:szCs w:val="22"/>
        </w:rPr>
        <w:tab/>
        <w:t>CONTENTS BY WEIGHT, BY VOLUME OR BY UNIT</w:t>
      </w:r>
      <w:r w:rsidR="001C55FB" w:rsidRPr="001775D9">
        <w:rPr>
          <w:b/>
          <w:szCs w:val="22"/>
        </w:rPr>
        <w:fldChar w:fldCharType="begin"/>
      </w:r>
      <w:r w:rsidR="001C55FB" w:rsidRPr="001775D9">
        <w:rPr>
          <w:b/>
          <w:szCs w:val="22"/>
        </w:rPr>
        <w:instrText xml:space="preserve"> DOCVARIABLE VAULT_ND_420b0b15-28ff-4721-874f-08fde934a7cd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9FE6115" w14:textId="77777777" w:rsidR="00966B8F" w:rsidRPr="001775D9" w:rsidRDefault="00966B8F" w:rsidP="00B61D9D">
      <w:pPr>
        <w:spacing w:line="240" w:lineRule="auto"/>
        <w:ind w:right="113"/>
        <w:rPr>
          <w:szCs w:val="22"/>
        </w:rPr>
      </w:pPr>
    </w:p>
    <w:p w14:paraId="6EDF3473" w14:textId="77777777" w:rsidR="00966B8F" w:rsidRPr="001775D9" w:rsidRDefault="00966B8F" w:rsidP="00B61D9D">
      <w:pPr>
        <w:spacing w:line="240" w:lineRule="auto"/>
        <w:ind w:right="113"/>
        <w:rPr>
          <w:szCs w:val="22"/>
        </w:rPr>
      </w:pPr>
      <w:r w:rsidRPr="001775D9">
        <w:rPr>
          <w:szCs w:val="22"/>
        </w:rPr>
        <w:t>0.8 mL</w:t>
      </w:r>
    </w:p>
    <w:p w14:paraId="03EC071C" w14:textId="77777777" w:rsidR="00966B8F" w:rsidRPr="001775D9" w:rsidRDefault="00966B8F" w:rsidP="00B61D9D">
      <w:pPr>
        <w:spacing w:line="240" w:lineRule="auto"/>
        <w:ind w:right="113"/>
        <w:rPr>
          <w:szCs w:val="22"/>
        </w:rPr>
      </w:pPr>
    </w:p>
    <w:p w14:paraId="10D95CDF" w14:textId="77777777" w:rsidR="00966B8F" w:rsidRPr="001775D9" w:rsidRDefault="00966B8F" w:rsidP="00B61D9D">
      <w:pPr>
        <w:spacing w:line="240" w:lineRule="auto"/>
        <w:ind w:right="113"/>
        <w:rPr>
          <w:szCs w:val="22"/>
        </w:rPr>
      </w:pPr>
    </w:p>
    <w:p w14:paraId="7DCC841D" w14:textId="2CBBC5C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6.</w:t>
      </w:r>
      <w:r w:rsidRPr="001775D9">
        <w:rPr>
          <w:b/>
          <w:szCs w:val="22"/>
        </w:rPr>
        <w:tab/>
        <w:t>OTHER</w:t>
      </w:r>
      <w:r w:rsidR="001C55FB" w:rsidRPr="001775D9">
        <w:rPr>
          <w:b/>
          <w:szCs w:val="22"/>
        </w:rPr>
        <w:fldChar w:fldCharType="begin"/>
      </w:r>
      <w:r w:rsidR="001C55FB" w:rsidRPr="001775D9">
        <w:rPr>
          <w:b/>
          <w:szCs w:val="22"/>
        </w:rPr>
        <w:instrText xml:space="preserve"> DOCVARIABLE VAULT_ND_2a3280a1-3477-4314-8bbd-6ff56f184954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9F55A14" w14:textId="77777777" w:rsidR="00966B8F" w:rsidRPr="001775D9" w:rsidRDefault="00966B8F" w:rsidP="00B61D9D">
      <w:pPr>
        <w:spacing w:line="240" w:lineRule="auto"/>
        <w:ind w:right="113"/>
        <w:rPr>
          <w:szCs w:val="22"/>
        </w:rPr>
      </w:pPr>
    </w:p>
    <w:p w14:paraId="0010D6AE" w14:textId="77777777" w:rsidR="00966B8F" w:rsidRPr="001775D9" w:rsidRDefault="00966B8F" w:rsidP="00B61D9D">
      <w:pPr>
        <w:spacing w:line="240" w:lineRule="auto"/>
        <w:ind w:right="113"/>
      </w:pPr>
    </w:p>
    <w:p w14:paraId="21089147" w14:textId="77777777" w:rsidR="00966B8F" w:rsidRPr="001775D9" w:rsidRDefault="00966B8F" w:rsidP="00B61D9D">
      <w:pPr>
        <w:shd w:val="clear" w:color="auto" w:fill="FFFFFF"/>
        <w:spacing w:line="240" w:lineRule="auto"/>
        <w:rPr>
          <w:szCs w:val="22"/>
        </w:rPr>
      </w:pPr>
      <w:r w:rsidRPr="001775D9">
        <w:rPr>
          <w:b/>
        </w:rPr>
        <w:br w:type="page"/>
      </w:r>
    </w:p>
    <w:p w14:paraId="60BA0FE2"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5D003654"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6C311D90"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CARTON PRE-FILLED PEN</w:t>
      </w:r>
    </w:p>
    <w:p w14:paraId="3348107A" w14:textId="77777777" w:rsidR="00966B8F" w:rsidRPr="001775D9" w:rsidRDefault="00966B8F" w:rsidP="00B61D9D">
      <w:pPr>
        <w:keepNext/>
        <w:spacing w:line="240" w:lineRule="auto"/>
      </w:pPr>
    </w:p>
    <w:p w14:paraId="6EACF933" w14:textId="77777777" w:rsidR="00966B8F" w:rsidRPr="001775D9" w:rsidRDefault="00966B8F" w:rsidP="00B61D9D">
      <w:pPr>
        <w:keepNext/>
        <w:spacing w:line="240" w:lineRule="auto"/>
        <w:rPr>
          <w:szCs w:val="22"/>
        </w:rPr>
      </w:pPr>
    </w:p>
    <w:p w14:paraId="7CE11468" w14:textId="758BFE58"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VAULT_ND_536f274f-3538-4f28-af05-a85a08553fb6 \* MERGEFORMAT </w:instrText>
      </w:r>
      <w:r w:rsidR="001C55FB" w:rsidRPr="001775D9">
        <w:rPr>
          <w:b/>
        </w:rPr>
        <w:fldChar w:fldCharType="separate"/>
      </w:r>
      <w:r w:rsidR="001C55FB" w:rsidRPr="001775D9">
        <w:rPr>
          <w:b/>
        </w:rPr>
        <w:t xml:space="preserve"> </w:t>
      </w:r>
      <w:r w:rsidR="001C55FB" w:rsidRPr="001775D9">
        <w:rPr>
          <w:b/>
        </w:rPr>
        <w:fldChar w:fldCharType="end"/>
      </w:r>
    </w:p>
    <w:p w14:paraId="61D8D5C9" w14:textId="77777777" w:rsidR="00966B8F" w:rsidRPr="001775D9" w:rsidRDefault="00966B8F" w:rsidP="00B61D9D">
      <w:pPr>
        <w:keepNext/>
        <w:spacing w:line="240" w:lineRule="auto"/>
        <w:rPr>
          <w:szCs w:val="22"/>
        </w:rPr>
      </w:pPr>
    </w:p>
    <w:p w14:paraId="568E7189" w14:textId="385AB61F" w:rsidR="00966B8F" w:rsidRPr="001775D9" w:rsidRDefault="00966B8F" w:rsidP="00B61D9D">
      <w:pPr>
        <w:keepNext/>
        <w:spacing w:line="240" w:lineRule="auto"/>
        <w:rPr>
          <w:szCs w:val="22"/>
        </w:rPr>
      </w:pPr>
      <w:r w:rsidRPr="001775D9">
        <w:rPr>
          <w:szCs w:val="22"/>
        </w:rPr>
        <w:t>AMGEVITA 80 mg solution for injection in pre-filled pen</w:t>
      </w:r>
    </w:p>
    <w:p w14:paraId="31A675BA" w14:textId="77777777" w:rsidR="00966B8F" w:rsidRPr="001775D9" w:rsidRDefault="00966B8F" w:rsidP="00B61D9D">
      <w:pPr>
        <w:keepNext/>
        <w:spacing w:line="240" w:lineRule="auto"/>
        <w:rPr>
          <w:szCs w:val="22"/>
        </w:rPr>
      </w:pPr>
      <w:r w:rsidRPr="001775D9">
        <w:t>adalimumab</w:t>
      </w:r>
    </w:p>
    <w:p w14:paraId="59FF3C0E" w14:textId="77777777" w:rsidR="00966B8F" w:rsidRPr="001775D9" w:rsidRDefault="00966B8F" w:rsidP="00B61D9D">
      <w:pPr>
        <w:keepNext/>
        <w:spacing w:line="240" w:lineRule="auto"/>
        <w:rPr>
          <w:szCs w:val="22"/>
        </w:rPr>
      </w:pPr>
    </w:p>
    <w:p w14:paraId="2FAFDCF9" w14:textId="77777777" w:rsidR="00966B8F" w:rsidRPr="001775D9" w:rsidRDefault="00966B8F" w:rsidP="00B61D9D">
      <w:pPr>
        <w:keepNext/>
        <w:spacing w:line="240" w:lineRule="auto"/>
        <w:rPr>
          <w:szCs w:val="22"/>
        </w:rPr>
      </w:pPr>
    </w:p>
    <w:p w14:paraId="08BD07EA" w14:textId="734DD16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VAULT_ND_fea23bba-54f8-4599-815b-e965371c0177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6E54C1C" w14:textId="77777777" w:rsidR="00966B8F" w:rsidRPr="001775D9" w:rsidRDefault="00966B8F" w:rsidP="00B61D9D">
      <w:pPr>
        <w:spacing w:line="240" w:lineRule="auto"/>
        <w:rPr>
          <w:szCs w:val="22"/>
        </w:rPr>
      </w:pPr>
    </w:p>
    <w:p w14:paraId="35A5BF8A" w14:textId="77777777" w:rsidR="00966B8F" w:rsidRPr="001775D9" w:rsidRDefault="00966B8F" w:rsidP="00B61D9D">
      <w:pPr>
        <w:spacing w:line="240" w:lineRule="auto"/>
        <w:rPr>
          <w:szCs w:val="22"/>
        </w:rPr>
      </w:pPr>
      <w:r w:rsidRPr="001775D9">
        <w:rPr>
          <w:szCs w:val="22"/>
          <w:lang w:eastAsia="en-GB"/>
        </w:rPr>
        <w:t xml:space="preserve">Each pre-filled pen contains 80 mg of adalimumab </w:t>
      </w:r>
      <w:r w:rsidRPr="001775D9">
        <w:rPr>
          <w:szCs w:val="22"/>
        </w:rPr>
        <w:t>in 0.8 mL of solution.</w:t>
      </w:r>
    </w:p>
    <w:p w14:paraId="32B1E428" w14:textId="6F8F73BB" w:rsidR="00966B8F" w:rsidRPr="001775D9" w:rsidRDefault="00966B8F" w:rsidP="00B61D9D">
      <w:pPr>
        <w:spacing w:line="240" w:lineRule="auto"/>
        <w:rPr>
          <w:szCs w:val="22"/>
        </w:rPr>
      </w:pPr>
    </w:p>
    <w:p w14:paraId="6D8A8FE5" w14:textId="77777777" w:rsidR="00966B8F" w:rsidRPr="001775D9" w:rsidRDefault="00966B8F" w:rsidP="00B61D9D">
      <w:pPr>
        <w:spacing w:line="240" w:lineRule="auto"/>
        <w:rPr>
          <w:szCs w:val="22"/>
        </w:rPr>
      </w:pPr>
    </w:p>
    <w:p w14:paraId="77BF3B53" w14:textId="2A3D2D4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VAULT_ND_8165d04f-42c6-4411-824e-4b2fd9828ede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E53D828" w14:textId="77777777" w:rsidR="00966B8F" w:rsidRPr="001775D9" w:rsidRDefault="00966B8F" w:rsidP="00B61D9D">
      <w:pPr>
        <w:spacing w:line="240" w:lineRule="auto"/>
        <w:rPr>
          <w:szCs w:val="22"/>
        </w:rPr>
      </w:pPr>
    </w:p>
    <w:p w14:paraId="71988438"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572"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031544C5" w14:textId="77777777" w:rsidR="00966B8F" w:rsidRPr="001775D9" w:rsidRDefault="00966B8F" w:rsidP="00B61D9D">
      <w:pPr>
        <w:spacing w:line="240" w:lineRule="auto"/>
        <w:rPr>
          <w:szCs w:val="22"/>
        </w:rPr>
      </w:pPr>
    </w:p>
    <w:p w14:paraId="61FBE6BF" w14:textId="77777777" w:rsidR="00966B8F" w:rsidRPr="001775D9" w:rsidRDefault="00966B8F" w:rsidP="00B61D9D">
      <w:pPr>
        <w:spacing w:line="240" w:lineRule="auto"/>
        <w:rPr>
          <w:szCs w:val="22"/>
        </w:rPr>
      </w:pPr>
    </w:p>
    <w:p w14:paraId="17D01B89" w14:textId="6B95549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VAULT_ND_3e6ba8bd-6db8-4e76-8849-5d29e1e28f12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5BD21B3" w14:textId="77777777" w:rsidR="00966B8F" w:rsidRPr="001775D9" w:rsidRDefault="00966B8F" w:rsidP="00B61D9D">
      <w:pPr>
        <w:spacing w:line="240" w:lineRule="auto"/>
        <w:rPr>
          <w:szCs w:val="22"/>
        </w:rPr>
      </w:pPr>
    </w:p>
    <w:p w14:paraId="63C29C14" w14:textId="77777777" w:rsidR="00966B8F" w:rsidRPr="001775D9" w:rsidRDefault="00966B8F" w:rsidP="00EE60D5">
      <w:pPr>
        <w:tabs>
          <w:tab w:val="clear" w:pos="567"/>
        </w:tabs>
        <w:autoSpaceDE w:val="0"/>
        <w:autoSpaceDN w:val="0"/>
        <w:adjustRightInd w:val="0"/>
        <w:spacing w:line="240" w:lineRule="auto"/>
        <w:rPr>
          <w:szCs w:val="22"/>
          <w:shd w:val="pct15" w:color="auto" w:fill="FFFFFF"/>
          <w:lang w:eastAsia="en-GB"/>
        </w:rPr>
      </w:pPr>
      <w:r w:rsidRPr="001775D9">
        <w:rPr>
          <w:szCs w:val="22"/>
          <w:shd w:val="pct15" w:color="auto" w:fill="FFFFFF"/>
          <w:lang w:eastAsia="en-GB"/>
        </w:rPr>
        <w:t>Solution for injection</w:t>
      </w:r>
    </w:p>
    <w:p w14:paraId="59C599BB" w14:textId="5EE9E4B9" w:rsidR="000A4196" w:rsidRPr="001775D9" w:rsidRDefault="000A4196" w:rsidP="00EE60D5">
      <w:pPr>
        <w:tabs>
          <w:tab w:val="clear" w:pos="567"/>
        </w:tabs>
        <w:autoSpaceDE w:val="0"/>
        <w:autoSpaceDN w:val="0"/>
        <w:adjustRightInd w:val="0"/>
        <w:spacing w:line="240" w:lineRule="auto"/>
        <w:rPr>
          <w:szCs w:val="22"/>
          <w:lang w:eastAsia="en-GB"/>
        </w:rPr>
      </w:pPr>
      <w:r w:rsidRPr="001775D9">
        <w:rPr>
          <w:szCs w:val="22"/>
          <w:lang w:eastAsia="en-GB"/>
        </w:rPr>
        <w:t>80 mg/0.8 mL</w:t>
      </w:r>
    </w:p>
    <w:p w14:paraId="3BEA931E" w14:textId="52E296F2" w:rsidR="00966B8F" w:rsidRPr="001775D9" w:rsidRDefault="00966B8F" w:rsidP="00EE60D5">
      <w:pPr>
        <w:tabs>
          <w:tab w:val="clear" w:pos="567"/>
        </w:tabs>
        <w:autoSpaceDE w:val="0"/>
        <w:autoSpaceDN w:val="0"/>
        <w:adjustRightInd w:val="0"/>
        <w:spacing w:line="240" w:lineRule="auto"/>
        <w:rPr>
          <w:szCs w:val="22"/>
          <w:lang w:eastAsia="en-GB"/>
        </w:rPr>
      </w:pPr>
      <w:r w:rsidRPr="001775D9">
        <w:rPr>
          <w:szCs w:val="22"/>
          <w:lang w:eastAsia="en-GB"/>
        </w:rPr>
        <w:t>1 SureClick pre-filled pen.</w:t>
      </w:r>
    </w:p>
    <w:p w14:paraId="311AB64C" w14:textId="77777777" w:rsidR="00966B8F" w:rsidRDefault="00966B8F" w:rsidP="00EE60D5">
      <w:pPr>
        <w:spacing w:line="240" w:lineRule="auto"/>
        <w:rPr>
          <w:szCs w:val="22"/>
          <w:highlight w:val="lightGray"/>
        </w:rPr>
      </w:pPr>
      <w:r>
        <w:rPr>
          <w:szCs w:val="22"/>
          <w:highlight w:val="lightGray"/>
        </w:rPr>
        <w:t>2 SureClick pre-filled pens.</w:t>
      </w:r>
    </w:p>
    <w:p w14:paraId="68D057A0" w14:textId="77777777" w:rsidR="00966B8F" w:rsidRPr="001775D9" w:rsidRDefault="00966B8F" w:rsidP="00B61D9D">
      <w:pPr>
        <w:spacing w:line="240" w:lineRule="auto"/>
        <w:rPr>
          <w:szCs w:val="22"/>
        </w:rPr>
      </w:pPr>
    </w:p>
    <w:p w14:paraId="1BBE830C" w14:textId="77777777" w:rsidR="00966B8F" w:rsidRPr="001775D9" w:rsidRDefault="00966B8F" w:rsidP="00B61D9D">
      <w:pPr>
        <w:spacing w:line="240" w:lineRule="auto"/>
        <w:rPr>
          <w:szCs w:val="22"/>
        </w:rPr>
      </w:pPr>
    </w:p>
    <w:p w14:paraId="76B628BD" w14:textId="0B88E44C"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VAULT_ND_ef778084-b3e7-4d15-9fcd-90afa9bde9bd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545E281" w14:textId="77777777" w:rsidR="00966B8F" w:rsidRPr="001775D9" w:rsidRDefault="00966B8F" w:rsidP="00B61D9D">
      <w:pPr>
        <w:spacing w:line="240" w:lineRule="auto"/>
        <w:rPr>
          <w:szCs w:val="22"/>
        </w:rPr>
      </w:pPr>
    </w:p>
    <w:p w14:paraId="250F54D8" w14:textId="77777777" w:rsidR="00966B8F" w:rsidRPr="001775D9" w:rsidRDefault="00966B8F" w:rsidP="00EE60D5">
      <w:pPr>
        <w:spacing w:line="240" w:lineRule="auto"/>
        <w:rPr>
          <w:szCs w:val="22"/>
        </w:rPr>
      </w:pPr>
      <w:r w:rsidRPr="001775D9">
        <w:rPr>
          <w:szCs w:val="22"/>
        </w:rPr>
        <w:t>For subcutaneous use.</w:t>
      </w:r>
    </w:p>
    <w:p w14:paraId="58369E1C" w14:textId="77777777" w:rsidR="00966B8F" w:rsidRPr="001775D9" w:rsidRDefault="00966B8F" w:rsidP="00B61D9D">
      <w:pPr>
        <w:spacing w:line="240" w:lineRule="auto"/>
        <w:rPr>
          <w:szCs w:val="22"/>
        </w:rPr>
      </w:pPr>
      <w:r w:rsidRPr="001775D9">
        <w:rPr>
          <w:szCs w:val="22"/>
        </w:rPr>
        <w:t>Read the package leaflet before use.</w:t>
      </w:r>
    </w:p>
    <w:p w14:paraId="425C887D" w14:textId="77777777" w:rsidR="00966B8F" w:rsidRPr="001775D9" w:rsidRDefault="00966B8F" w:rsidP="00B61D9D">
      <w:pPr>
        <w:spacing w:line="240" w:lineRule="auto"/>
        <w:rPr>
          <w:szCs w:val="22"/>
        </w:rPr>
      </w:pPr>
      <w:r w:rsidRPr="001775D9">
        <w:rPr>
          <w:szCs w:val="22"/>
        </w:rPr>
        <w:t>Single use only.</w:t>
      </w:r>
    </w:p>
    <w:p w14:paraId="72ED07F6" w14:textId="77777777" w:rsidR="00966B8F" w:rsidRPr="001775D9" w:rsidRDefault="00966B8F" w:rsidP="00B61D9D">
      <w:pPr>
        <w:spacing w:line="240" w:lineRule="auto"/>
        <w:rPr>
          <w:szCs w:val="22"/>
        </w:rPr>
      </w:pPr>
    </w:p>
    <w:p w14:paraId="0A575F6F" w14:textId="77777777" w:rsidR="00966B8F" w:rsidRPr="001775D9" w:rsidRDefault="00966B8F" w:rsidP="00B61D9D">
      <w:pPr>
        <w:spacing w:line="240" w:lineRule="auto"/>
        <w:rPr>
          <w:szCs w:val="22"/>
        </w:rPr>
      </w:pPr>
    </w:p>
    <w:p w14:paraId="54F4CA90" w14:textId="7057D4F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VAULT_ND_43f3b856-d50e-4966-8314-96b966e40b2c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E0BDAB7" w14:textId="77777777" w:rsidR="00966B8F" w:rsidRPr="001775D9" w:rsidRDefault="00966B8F" w:rsidP="00B61D9D">
      <w:pPr>
        <w:spacing w:line="240" w:lineRule="auto"/>
        <w:rPr>
          <w:szCs w:val="22"/>
        </w:rPr>
      </w:pPr>
    </w:p>
    <w:p w14:paraId="37D2879B" w14:textId="4B9AC64B"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vault_nd_bf7cfcc4-2164-4fa2-9faf-120baaef961a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22A91915" w14:textId="77777777" w:rsidR="00966B8F" w:rsidRPr="001775D9" w:rsidRDefault="00966B8F" w:rsidP="00B61D9D">
      <w:pPr>
        <w:spacing w:line="240" w:lineRule="auto"/>
        <w:rPr>
          <w:szCs w:val="22"/>
        </w:rPr>
      </w:pPr>
    </w:p>
    <w:p w14:paraId="4C33F0F4" w14:textId="77777777" w:rsidR="00966B8F" w:rsidRPr="001775D9" w:rsidRDefault="00966B8F" w:rsidP="00B61D9D">
      <w:pPr>
        <w:spacing w:line="240" w:lineRule="auto"/>
        <w:rPr>
          <w:szCs w:val="22"/>
        </w:rPr>
      </w:pPr>
    </w:p>
    <w:p w14:paraId="7FAF8E90" w14:textId="4F2F5349"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VAULT_ND_36e504c9-4fea-420b-b535-04b613d5f576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CFD26EC" w14:textId="77777777" w:rsidR="00966B8F" w:rsidRPr="001775D9" w:rsidRDefault="00966B8F" w:rsidP="00B61D9D">
      <w:pPr>
        <w:spacing w:line="240" w:lineRule="auto"/>
        <w:rPr>
          <w:szCs w:val="22"/>
        </w:rPr>
      </w:pPr>
    </w:p>
    <w:p w14:paraId="66CAE1E8" w14:textId="77777777" w:rsidR="00966B8F" w:rsidRPr="001775D9" w:rsidRDefault="00966B8F" w:rsidP="00B61D9D">
      <w:pPr>
        <w:tabs>
          <w:tab w:val="left" w:pos="749"/>
        </w:tabs>
        <w:spacing w:line="240" w:lineRule="auto"/>
      </w:pPr>
    </w:p>
    <w:p w14:paraId="104967A3" w14:textId="6BF3D879"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VAULT_ND_2e6a4c78-31aa-4f62-a28b-ed55a16c7910 \* MERGEFORMAT </w:instrText>
      </w:r>
      <w:r w:rsidR="001C55FB" w:rsidRPr="001775D9">
        <w:rPr>
          <w:b/>
        </w:rPr>
        <w:fldChar w:fldCharType="separate"/>
      </w:r>
      <w:r w:rsidR="001C55FB" w:rsidRPr="001775D9">
        <w:rPr>
          <w:b/>
        </w:rPr>
        <w:t xml:space="preserve"> </w:t>
      </w:r>
      <w:r w:rsidR="001C55FB" w:rsidRPr="001775D9">
        <w:rPr>
          <w:b/>
        </w:rPr>
        <w:fldChar w:fldCharType="end"/>
      </w:r>
    </w:p>
    <w:p w14:paraId="6B199055" w14:textId="77777777" w:rsidR="00966B8F" w:rsidRPr="001775D9" w:rsidRDefault="00966B8F" w:rsidP="00B61D9D">
      <w:pPr>
        <w:spacing w:line="240" w:lineRule="auto"/>
      </w:pPr>
    </w:p>
    <w:p w14:paraId="4EC30EF4" w14:textId="77777777" w:rsidR="00966B8F" w:rsidRPr="001775D9" w:rsidRDefault="00966B8F" w:rsidP="00B61D9D">
      <w:pPr>
        <w:spacing w:line="240" w:lineRule="auto"/>
        <w:rPr>
          <w:szCs w:val="22"/>
        </w:rPr>
      </w:pPr>
      <w:r w:rsidRPr="001775D9">
        <w:rPr>
          <w:szCs w:val="22"/>
        </w:rPr>
        <w:t xml:space="preserve">EXP </w:t>
      </w:r>
    </w:p>
    <w:p w14:paraId="2C218D12" w14:textId="77777777" w:rsidR="00966B8F" w:rsidRPr="001775D9" w:rsidRDefault="00966B8F" w:rsidP="00B61D9D">
      <w:pPr>
        <w:spacing w:line="240" w:lineRule="auto"/>
        <w:rPr>
          <w:szCs w:val="22"/>
        </w:rPr>
      </w:pPr>
    </w:p>
    <w:p w14:paraId="1E2DAAA2" w14:textId="77777777" w:rsidR="00966B8F" w:rsidRPr="001775D9" w:rsidRDefault="00966B8F" w:rsidP="00B61D9D">
      <w:pPr>
        <w:spacing w:line="240" w:lineRule="auto"/>
        <w:rPr>
          <w:szCs w:val="22"/>
        </w:rPr>
      </w:pPr>
    </w:p>
    <w:p w14:paraId="58F7BA14" w14:textId="43D756F4" w:rsidR="00966B8F" w:rsidRPr="001775D9" w:rsidRDefault="00966B8F" w:rsidP="001104D8">
      <w:pPr>
        <w:keepNext/>
        <w:keepLines/>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VAULT_ND_1e1de26c-b001-4fdf-9513-b2f29cc4d2a6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2AA7812" w14:textId="77777777" w:rsidR="00966B8F" w:rsidRPr="001775D9" w:rsidRDefault="00966B8F" w:rsidP="001104D8">
      <w:pPr>
        <w:keepNext/>
        <w:keepLines/>
        <w:spacing w:line="240" w:lineRule="auto"/>
        <w:rPr>
          <w:szCs w:val="22"/>
        </w:rPr>
      </w:pPr>
    </w:p>
    <w:p w14:paraId="50CD061B" w14:textId="77777777" w:rsidR="00966B8F" w:rsidRPr="001775D9" w:rsidRDefault="00966B8F" w:rsidP="001104D8">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64702328" w14:textId="77777777" w:rsidR="00966B8F" w:rsidRPr="001775D9" w:rsidRDefault="00966B8F" w:rsidP="001104D8">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3D019E35" w14:textId="77777777" w:rsidR="00966B8F" w:rsidRPr="001775D9" w:rsidRDefault="00966B8F" w:rsidP="00966B8F">
      <w:pPr>
        <w:spacing w:line="240" w:lineRule="auto"/>
        <w:rPr>
          <w:rFonts w:eastAsia="SimSun"/>
          <w:szCs w:val="22"/>
          <w:lang w:eastAsia="en-GB"/>
        </w:rPr>
      </w:pPr>
      <w:r w:rsidRPr="001775D9">
        <w:rPr>
          <w:rFonts w:eastAsia="SimSun"/>
          <w:szCs w:val="22"/>
          <w:lang w:eastAsia="en-GB"/>
        </w:rPr>
        <w:t>Store in the original carton in order to protect from light.</w:t>
      </w:r>
    </w:p>
    <w:p w14:paraId="021F2795" w14:textId="77777777" w:rsidR="00966B8F" w:rsidRPr="001775D9" w:rsidRDefault="00966B8F" w:rsidP="00EE60D5">
      <w:pPr>
        <w:spacing w:line="240" w:lineRule="auto"/>
        <w:rPr>
          <w:rFonts w:eastAsia="SimSun"/>
          <w:szCs w:val="22"/>
          <w:lang w:eastAsia="en-GB"/>
        </w:rPr>
      </w:pPr>
    </w:p>
    <w:p w14:paraId="003E27D2" w14:textId="77777777" w:rsidR="00966B8F" w:rsidRPr="001775D9" w:rsidRDefault="00966B8F" w:rsidP="00EE60D5">
      <w:pPr>
        <w:spacing w:line="240" w:lineRule="auto"/>
        <w:rPr>
          <w:rFonts w:eastAsia="SimSun"/>
          <w:szCs w:val="22"/>
          <w:lang w:eastAsia="en-GB"/>
        </w:rPr>
      </w:pPr>
    </w:p>
    <w:p w14:paraId="6B8A489A" w14:textId="0627D771"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VAULT_ND_54bfff30-ece5-4d24-9c19-a672f7f8b8d1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3103E51" w14:textId="77777777" w:rsidR="00966B8F" w:rsidRPr="001775D9" w:rsidRDefault="00966B8F" w:rsidP="00B61D9D">
      <w:pPr>
        <w:spacing w:line="240" w:lineRule="auto"/>
        <w:rPr>
          <w:szCs w:val="22"/>
        </w:rPr>
      </w:pPr>
    </w:p>
    <w:p w14:paraId="1133752E" w14:textId="77777777" w:rsidR="00966B8F" w:rsidRPr="001775D9" w:rsidRDefault="00966B8F" w:rsidP="00B61D9D">
      <w:pPr>
        <w:spacing w:line="240" w:lineRule="auto"/>
        <w:rPr>
          <w:szCs w:val="22"/>
        </w:rPr>
      </w:pPr>
    </w:p>
    <w:p w14:paraId="7E2331AF" w14:textId="4C72678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VAULT_ND_887fd531-ba8e-41e9-9eba-c1abf00c0b16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7360DD2" w14:textId="77777777" w:rsidR="00966B8F" w:rsidRPr="001775D9" w:rsidRDefault="00966B8F" w:rsidP="00B61D9D">
      <w:pPr>
        <w:spacing w:line="240" w:lineRule="auto"/>
        <w:rPr>
          <w:szCs w:val="22"/>
        </w:rPr>
      </w:pPr>
    </w:p>
    <w:p w14:paraId="5FBD05E2"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573" w:author="Author">
            <w:rPr>
              <w:rFonts w:eastAsia="SimSun"/>
              <w:szCs w:val="22"/>
              <w:lang w:val="sv-SE" w:eastAsia="en-GB"/>
            </w:rPr>
          </w:rPrChange>
        </w:rPr>
      </w:pPr>
      <w:r w:rsidRPr="00D55B59">
        <w:rPr>
          <w:rFonts w:eastAsia="SimSun"/>
          <w:szCs w:val="22"/>
          <w:lang w:eastAsia="en-GB"/>
          <w:rPrChange w:id="2574" w:author="Author">
            <w:rPr>
              <w:rFonts w:eastAsia="SimSun"/>
              <w:szCs w:val="22"/>
              <w:lang w:val="sv-SE" w:eastAsia="en-GB"/>
            </w:rPr>
          </w:rPrChange>
        </w:rPr>
        <w:t>Amgen Europe B.V.</w:t>
      </w:r>
    </w:p>
    <w:p w14:paraId="71978BB6"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575" w:author="Author">
            <w:rPr>
              <w:rFonts w:eastAsia="SimSun"/>
              <w:szCs w:val="22"/>
              <w:lang w:val="sv-SE" w:eastAsia="en-GB"/>
            </w:rPr>
          </w:rPrChange>
        </w:rPr>
      </w:pPr>
      <w:r w:rsidRPr="00D55B59">
        <w:rPr>
          <w:rFonts w:eastAsia="SimSun"/>
          <w:szCs w:val="22"/>
          <w:lang w:eastAsia="en-GB"/>
          <w:rPrChange w:id="2576" w:author="Author">
            <w:rPr>
              <w:rFonts w:eastAsia="SimSun"/>
              <w:szCs w:val="22"/>
              <w:lang w:val="sv-SE" w:eastAsia="en-GB"/>
            </w:rPr>
          </w:rPrChange>
        </w:rPr>
        <w:t>Minervum 7061,</w:t>
      </w:r>
    </w:p>
    <w:p w14:paraId="5DD7B270" w14:textId="77777777" w:rsidR="00966B8F" w:rsidRPr="001775D9" w:rsidRDefault="00966B8F" w:rsidP="00EE60D5">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36E54D20" w14:textId="77777777" w:rsidR="00966B8F" w:rsidRPr="001775D9" w:rsidRDefault="00966B8F" w:rsidP="00EE60D5">
      <w:pPr>
        <w:spacing w:line="240" w:lineRule="auto"/>
        <w:rPr>
          <w:szCs w:val="22"/>
        </w:rPr>
      </w:pPr>
      <w:r w:rsidRPr="001775D9">
        <w:rPr>
          <w:rFonts w:eastAsia="SimSun"/>
          <w:szCs w:val="22"/>
          <w:lang w:eastAsia="en-GB"/>
        </w:rPr>
        <w:t>The Netherlands</w:t>
      </w:r>
      <w:r w:rsidRPr="001775D9">
        <w:rPr>
          <w:i/>
          <w:szCs w:val="22"/>
        </w:rPr>
        <w:t xml:space="preserve"> </w:t>
      </w:r>
    </w:p>
    <w:p w14:paraId="15CCA7AF" w14:textId="77777777" w:rsidR="00966B8F" w:rsidRPr="001775D9" w:rsidRDefault="00966B8F" w:rsidP="00B61D9D">
      <w:pPr>
        <w:spacing w:line="240" w:lineRule="auto"/>
        <w:rPr>
          <w:szCs w:val="22"/>
        </w:rPr>
      </w:pPr>
    </w:p>
    <w:p w14:paraId="67499CFE" w14:textId="77777777" w:rsidR="00966B8F" w:rsidRPr="001775D9" w:rsidRDefault="00966B8F" w:rsidP="00B61D9D">
      <w:pPr>
        <w:spacing w:line="240" w:lineRule="auto"/>
        <w:rPr>
          <w:szCs w:val="22"/>
        </w:rPr>
      </w:pPr>
    </w:p>
    <w:p w14:paraId="0E18B3DD" w14:textId="0A2CF07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VAULT_ND_ff911480-4f72-4cbf-aecb-0eff109f7a8e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4B8D4DD" w14:textId="77777777" w:rsidR="00966B8F" w:rsidRPr="001775D9" w:rsidRDefault="00966B8F" w:rsidP="00B61D9D">
      <w:pPr>
        <w:spacing w:line="240" w:lineRule="auto"/>
        <w:rPr>
          <w:szCs w:val="22"/>
        </w:rPr>
      </w:pPr>
    </w:p>
    <w:p w14:paraId="21CB093D" w14:textId="6D0140B5" w:rsidR="00966B8F" w:rsidRPr="001775D9" w:rsidRDefault="00966B8F" w:rsidP="00EE60D5">
      <w:pPr>
        <w:spacing w:line="240" w:lineRule="auto"/>
        <w:outlineLvl w:val="0"/>
        <w:rPr>
          <w:szCs w:val="22"/>
        </w:rPr>
      </w:pPr>
      <w:r w:rsidRPr="001775D9">
        <w:rPr>
          <w:color w:val="000000"/>
        </w:rPr>
        <w:t xml:space="preserve">EU/1/16/1164/020 </w:t>
      </w:r>
      <w:r>
        <w:rPr>
          <w:szCs w:val="22"/>
          <w:highlight w:val="lightGray"/>
        </w:rPr>
        <w:t>1 pack</w:t>
      </w:r>
      <w:r w:rsidR="001C55FB">
        <w:rPr>
          <w:szCs w:val="22"/>
          <w:highlight w:val="lightGray"/>
        </w:rPr>
        <w:fldChar w:fldCharType="begin"/>
      </w:r>
      <w:r w:rsidR="001C55FB">
        <w:rPr>
          <w:szCs w:val="22"/>
          <w:highlight w:val="lightGray"/>
        </w:rPr>
        <w:instrText xml:space="preserve"> DOCVARIABLE vault_nd_fde132f6-5135-4ddf-bf88-5fb7ac5a35ab \* MERGEFORMAT </w:instrText>
      </w:r>
      <w:r w:rsidR="001C55FB">
        <w:rPr>
          <w:szCs w:val="22"/>
          <w:highlight w:val="lightGray"/>
        </w:rPr>
        <w:fldChar w:fldCharType="separate"/>
      </w:r>
      <w:r w:rsidR="001C55FB">
        <w:rPr>
          <w:szCs w:val="22"/>
          <w:highlight w:val="lightGray"/>
        </w:rPr>
        <w:t xml:space="preserve"> </w:t>
      </w:r>
      <w:r w:rsidR="001C55FB">
        <w:rPr>
          <w:szCs w:val="22"/>
          <w:highlight w:val="lightGray"/>
        </w:rPr>
        <w:fldChar w:fldCharType="end"/>
      </w:r>
    </w:p>
    <w:p w14:paraId="052E32AB" w14:textId="732253C5" w:rsidR="00966B8F" w:rsidRDefault="00966B8F" w:rsidP="00EE60D5">
      <w:pPr>
        <w:spacing w:line="240" w:lineRule="auto"/>
        <w:outlineLvl w:val="0"/>
        <w:rPr>
          <w:szCs w:val="22"/>
          <w:highlight w:val="lightGray"/>
        </w:rPr>
      </w:pPr>
      <w:r>
        <w:rPr>
          <w:color w:val="000000"/>
          <w:highlight w:val="lightGray"/>
        </w:rPr>
        <w:t xml:space="preserve">EU/1/16/1164/021 </w:t>
      </w:r>
      <w:r>
        <w:rPr>
          <w:szCs w:val="22"/>
          <w:highlight w:val="lightGray"/>
        </w:rPr>
        <w:t>2 pack</w:t>
      </w:r>
      <w:r w:rsidR="001C55FB">
        <w:rPr>
          <w:szCs w:val="22"/>
          <w:highlight w:val="lightGray"/>
        </w:rPr>
        <w:fldChar w:fldCharType="begin"/>
      </w:r>
      <w:r w:rsidR="001C55FB">
        <w:rPr>
          <w:szCs w:val="22"/>
          <w:highlight w:val="lightGray"/>
        </w:rPr>
        <w:instrText xml:space="preserve"> DOCVARIABLE vault_nd_3276869f-d34d-470f-8bdd-1d371042ce5a \* MERGEFORMAT </w:instrText>
      </w:r>
      <w:r w:rsidR="001C55FB">
        <w:rPr>
          <w:szCs w:val="22"/>
          <w:highlight w:val="lightGray"/>
        </w:rPr>
        <w:fldChar w:fldCharType="separate"/>
      </w:r>
      <w:r w:rsidR="001C55FB">
        <w:rPr>
          <w:szCs w:val="22"/>
          <w:highlight w:val="lightGray"/>
        </w:rPr>
        <w:t xml:space="preserve"> </w:t>
      </w:r>
      <w:r w:rsidR="001C55FB">
        <w:rPr>
          <w:szCs w:val="22"/>
          <w:highlight w:val="lightGray"/>
        </w:rPr>
        <w:fldChar w:fldCharType="end"/>
      </w:r>
    </w:p>
    <w:p w14:paraId="585A84DD" w14:textId="77777777" w:rsidR="00966B8F" w:rsidRDefault="00966B8F" w:rsidP="00EE60D5">
      <w:pPr>
        <w:spacing w:line="240" w:lineRule="auto"/>
        <w:outlineLvl w:val="0"/>
        <w:rPr>
          <w:szCs w:val="22"/>
          <w:highlight w:val="lightGray"/>
        </w:rPr>
      </w:pPr>
    </w:p>
    <w:p w14:paraId="7E703E65" w14:textId="77777777" w:rsidR="00966B8F" w:rsidRPr="001775D9" w:rsidRDefault="00966B8F" w:rsidP="00B61D9D">
      <w:pPr>
        <w:spacing w:line="240" w:lineRule="auto"/>
        <w:rPr>
          <w:szCs w:val="22"/>
        </w:rPr>
      </w:pPr>
    </w:p>
    <w:p w14:paraId="33169B42" w14:textId="54E138C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VAULT_ND_6b225e20-efe1-45e3-ae94-fb75e2b54950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54F027B" w14:textId="77777777" w:rsidR="00966B8F" w:rsidRPr="001775D9" w:rsidRDefault="00966B8F" w:rsidP="00B61D9D">
      <w:pPr>
        <w:spacing w:line="240" w:lineRule="auto"/>
        <w:rPr>
          <w:i/>
          <w:szCs w:val="22"/>
        </w:rPr>
      </w:pPr>
    </w:p>
    <w:p w14:paraId="431ED172" w14:textId="77777777" w:rsidR="00966B8F" w:rsidRPr="001775D9" w:rsidRDefault="00966B8F" w:rsidP="00B61D9D">
      <w:pPr>
        <w:spacing w:line="240" w:lineRule="auto"/>
        <w:rPr>
          <w:szCs w:val="22"/>
        </w:rPr>
      </w:pPr>
      <w:r w:rsidRPr="001775D9">
        <w:rPr>
          <w:szCs w:val="22"/>
        </w:rPr>
        <w:t>Lot</w:t>
      </w:r>
    </w:p>
    <w:p w14:paraId="1055D510" w14:textId="77777777" w:rsidR="00966B8F" w:rsidRPr="001775D9" w:rsidRDefault="00966B8F" w:rsidP="00B61D9D">
      <w:pPr>
        <w:spacing w:line="240" w:lineRule="auto"/>
        <w:rPr>
          <w:szCs w:val="22"/>
        </w:rPr>
      </w:pPr>
    </w:p>
    <w:p w14:paraId="47DB87B3" w14:textId="77777777" w:rsidR="00966B8F" w:rsidRPr="001775D9" w:rsidRDefault="00966B8F" w:rsidP="00B61D9D">
      <w:pPr>
        <w:spacing w:line="240" w:lineRule="auto"/>
        <w:rPr>
          <w:szCs w:val="22"/>
        </w:rPr>
      </w:pPr>
    </w:p>
    <w:p w14:paraId="4BF1C368" w14:textId="757335C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VAULT_ND_c0f8bfdc-2216-4831-9387-697f35d6af3a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4E23D68" w14:textId="77777777" w:rsidR="00966B8F" w:rsidRPr="001775D9" w:rsidRDefault="00966B8F" w:rsidP="00B61D9D">
      <w:pPr>
        <w:spacing w:line="240" w:lineRule="auto"/>
        <w:rPr>
          <w:i/>
          <w:szCs w:val="22"/>
        </w:rPr>
      </w:pPr>
    </w:p>
    <w:p w14:paraId="465A8357" w14:textId="77777777" w:rsidR="00966B8F" w:rsidRPr="001775D9" w:rsidRDefault="00966B8F" w:rsidP="00B61D9D">
      <w:pPr>
        <w:spacing w:line="240" w:lineRule="auto"/>
        <w:rPr>
          <w:szCs w:val="22"/>
        </w:rPr>
      </w:pPr>
    </w:p>
    <w:p w14:paraId="196D822A" w14:textId="26FE843D"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VAULT_ND_6e4c005f-922a-42eb-9c8c-99ecbdc9ae0d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9274BC5" w14:textId="77777777" w:rsidR="00966B8F" w:rsidRPr="001775D9" w:rsidRDefault="00966B8F" w:rsidP="00B61D9D">
      <w:pPr>
        <w:spacing w:line="240" w:lineRule="auto"/>
        <w:rPr>
          <w:szCs w:val="22"/>
        </w:rPr>
      </w:pPr>
    </w:p>
    <w:p w14:paraId="1392751F" w14:textId="77777777" w:rsidR="00966B8F" w:rsidRPr="001775D9" w:rsidRDefault="00966B8F" w:rsidP="00B61D9D">
      <w:pPr>
        <w:spacing w:line="240" w:lineRule="auto"/>
        <w:rPr>
          <w:szCs w:val="22"/>
        </w:rPr>
      </w:pPr>
    </w:p>
    <w:p w14:paraId="74A3F4B5" w14:textId="77777777" w:rsidR="00966B8F" w:rsidRPr="00D55B5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Change w:id="2577" w:author="Author">
            <w:rPr>
              <w:szCs w:val="22"/>
              <w:lang w:val="sv-SE"/>
            </w:rPr>
          </w:rPrChange>
        </w:rPr>
      </w:pPr>
      <w:r w:rsidRPr="00D55B59">
        <w:rPr>
          <w:b/>
          <w:szCs w:val="22"/>
          <w:rPrChange w:id="2578" w:author="Author">
            <w:rPr>
              <w:b/>
              <w:szCs w:val="22"/>
              <w:lang w:val="sv-SE"/>
            </w:rPr>
          </w:rPrChange>
        </w:rPr>
        <w:t>16.</w:t>
      </w:r>
      <w:r w:rsidRPr="00D55B59">
        <w:rPr>
          <w:b/>
          <w:szCs w:val="22"/>
          <w:rPrChange w:id="2579" w:author="Author">
            <w:rPr>
              <w:b/>
              <w:szCs w:val="22"/>
              <w:lang w:val="sv-SE"/>
            </w:rPr>
          </w:rPrChange>
        </w:rPr>
        <w:tab/>
        <w:t>INFORMATION IN BRAILLE</w:t>
      </w:r>
    </w:p>
    <w:p w14:paraId="50EFCAC6" w14:textId="77777777" w:rsidR="00966B8F" w:rsidRPr="00D55B59" w:rsidRDefault="00966B8F" w:rsidP="00B61D9D">
      <w:pPr>
        <w:spacing w:line="240" w:lineRule="auto"/>
        <w:rPr>
          <w:rPrChange w:id="2580" w:author="Author">
            <w:rPr>
              <w:lang w:val="sv-SE"/>
            </w:rPr>
          </w:rPrChange>
        </w:rPr>
      </w:pPr>
    </w:p>
    <w:p w14:paraId="1A42F40F" w14:textId="43F2CE57" w:rsidR="00966B8F" w:rsidRPr="00D55B59" w:rsidRDefault="00966B8F" w:rsidP="00B61D9D">
      <w:pPr>
        <w:spacing w:line="240" w:lineRule="auto"/>
        <w:rPr>
          <w:rPrChange w:id="2581" w:author="Author">
            <w:rPr>
              <w:lang w:val="sv-SE"/>
            </w:rPr>
          </w:rPrChange>
        </w:rPr>
      </w:pPr>
      <w:r w:rsidRPr="00D55B59">
        <w:rPr>
          <w:rPrChange w:id="2582" w:author="Author">
            <w:rPr>
              <w:lang w:val="sv-SE"/>
            </w:rPr>
          </w:rPrChange>
        </w:rPr>
        <w:t>AMGEVITA 80 mg</w:t>
      </w:r>
      <w:r w:rsidR="000A4196" w:rsidRPr="00D55B59">
        <w:rPr>
          <w:rPrChange w:id="2583" w:author="Author">
            <w:rPr>
              <w:lang w:val="sv-SE"/>
            </w:rPr>
          </w:rPrChange>
        </w:rPr>
        <w:t>/0.8 mL</w:t>
      </w:r>
      <w:r w:rsidRPr="00D55B59">
        <w:rPr>
          <w:rPrChange w:id="2584" w:author="Author">
            <w:rPr>
              <w:lang w:val="sv-SE"/>
            </w:rPr>
          </w:rPrChange>
        </w:rPr>
        <w:t xml:space="preserve"> pen</w:t>
      </w:r>
    </w:p>
    <w:p w14:paraId="1599AD08" w14:textId="77777777" w:rsidR="00966B8F" w:rsidRPr="00D55B59" w:rsidRDefault="00966B8F" w:rsidP="00EE60D5">
      <w:pPr>
        <w:spacing w:line="240" w:lineRule="auto"/>
        <w:rPr>
          <w:szCs w:val="22"/>
          <w:shd w:val="clear" w:color="auto" w:fill="CCCCCC"/>
          <w:rPrChange w:id="2585" w:author="Author">
            <w:rPr>
              <w:noProof/>
              <w:szCs w:val="22"/>
              <w:shd w:val="clear" w:color="auto" w:fill="CCCCCC"/>
              <w:lang w:val="sv-SE"/>
            </w:rPr>
          </w:rPrChange>
        </w:rPr>
      </w:pPr>
    </w:p>
    <w:p w14:paraId="438FCD9E" w14:textId="77777777" w:rsidR="00966B8F" w:rsidRPr="00D55B59" w:rsidRDefault="00966B8F" w:rsidP="00EE60D5">
      <w:pPr>
        <w:spacing w:line="240" w:lineRule="auto"/>
        <w:rPr>
          <w:szCs w:val="22"/>
          <w:shd w:val="clear" w:color="auto" w:fill="CCCCCC"/>
          <w:rPrChange w:id="2586" w:author="Author">
            <w:rPr>
              <w:noProof/>
              <w:szCs w:val="22"/>
              <w:shd w:val="clear" w:color="auto" w:fill="CCCCCC"/>
              <w:lang w:val="sv-SE"/>
            </w:rPr>
          </w:rPrChange>
        </w:rPr>
      </w:pPr>
    </w:p>
    <w:p w14:paraId="7ED00BB3" w14:textId="77777777" w:rsidR="00966B8F" w:rsidRPr="00D55B59" w:rsidRDefault="00966B8F" w:rsidP="00EE60D5">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587" w:author="Author">
            <w:rPr>
              <w:i/>
              <w:noProof/>
            </w:rPr>
          </w:rPrChange>
        </w:rPr>
      </w:pPr>
      <w:r w:rsidRPr="00D55B59">
        <w:rPr>
          <w:b/>
          <w:rPrChange w:id="2588" w:author="Author">
            <w:rPr>
              <w:b/>
              <w:noProof/>
            </w:rPr>
          </w:rPrChange>
        </w:rPr>
        <w:t>17.</w:t>
      </w:r>
      <w:r w:rsidRPr="00D55B59">
        <w:rPr>
          <w:b/>
          <w:rPrChange w:id="2589" w:author="Author">
            <w:rPr>
              <w:b/>
              <w:noProof/>
            </w:rPr>
          </w:rPrChange>
        </w:rPr>
        <w:tab/>
        <w:t>UNIQUE IDENTIFIER – 2D BARCODE</w:t>
      </w:r>
    </w:p>
    <w:p w14:paraId="0E5DC20C" w14:textId="77777777" w:rsidR="00966B8F" w:rsidRPr="00D55B59" w:rsidRDefault="00966B8F" w:rsidP="00EE60D5">
      <w:pPr>
        <w:tabs>
          <w:tab w:val="clear" w:pos="567"/>
        </w:tabs>
        <w:spacing w:line="240" w:lineRule="auto"/>
        <w:rPr>
          <w:rPrChange w:id="2590" w:author="Author">
            <w:rPr>
              <w:noProof/>
            </w:rPr>
          </w:rPrChange>
        </w:rPr>
      </w:pPr>
    </w:p>
    <w:p w14:paraId="3DEA0F1D" w14:textId="77777777" w:rsidR="00966B8F" w:rsidRPr="00D55B59" w:rsidRDefault="00966B8F" w:rsidP="00EE60D5">
      <w:pPr>
        <w:spacing w:line="240" w:lineRule="auto"/>
        <w:rPr>
          <w:szCs w:val="22"/>
          <w:shd w:val="clear" w:color="auto" w:fill="CCCCCC"/>
          <w:rPrChange w:id="2591" w:author="Author">
            <w:rPr>
              <w:noProof/>
              <w:szCs w:val="22"/>
              <w:shd w:val="clear" w:color="auto" w:fill="CCCCCC"/>
            </w:rPr>
          </w:rPrChange>
        </w:rPr>
      </w:pPr>
      <w:r w:rsidRPr="00D55B59">
        <w:rPr>
          <w:highlight w:val="lightGray"/>
          <w:rPrChange w:id="2592" w:author="Author">
            <w:rPr>
              <w:noProof/>
              <w:highlight w:val="lightGray"/>
            </w:rPr>
          </w:rPrChange>
        </w:rPr>
        <w:t>2D barcode carrying the unique identifier included.</w:t>
      </w:r>
    </w:p>
    <w:p w14:paraId="5752B3AF" w14:textId="77777777" w:rsidR="00966B8F" w:rsidRPr="00D55B59" w:rsidRDefault="00966B8F" w:rsidP="00EE60D5">
      <w:pPr>
        <w:spacing w:line="240" w:lineRule="auto"/>
        <w:rPr>
          <w:szCs w:val="22"/>
          <w:shd w:val="clear" w:color="auto" w:fill="CCCCCC"/>
          <w:rPrChange w:id="2593" w:author="Author">
            <w:rPr>
              <w:noProof/>
              <w:szCs w:val="22"/>
              <w:shd w:val="clear" w:color="auto" w:fill="CCCCCC"/>
            </w:rPr>
          </w:rPrChange>
        </w:rPr>
      </w:pPr>
    </w:p>
    <w:p w14:paraId="1AC42CD9" w14:textId="77777777" w:rsidR="00966B8F" w:rsidRPr="00D55B59" w:rsidRDefault="00966B8F" w:rsidP="00EE60D5">
      <w:pPr>
        <w:tabs>
          <w:tab w:val="clear" w:pos="567"/>
        </w:tabs>
        <w:spacing w:line="240" w:lineRule="auto"/>
        <w:rPr>
          <w:rPrChange w:id="2594" w:author="Author">
            <w:rPr>
              <w:noProof/>
            </w:rPr>
          </w:rPrChange>
        </w:rPr>
      </w:pPr>
    </w:p>
    <w:p w14:paraId="72F9465D" w14:textId="77777777" w:rsidR="00966B8F" w:rsidRPr="00D55B59" w:rsidRDefault="00966B8F" w:rsidP="00EE60D5">
      <w:pPr>
        <w:keepNext/>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595" w:author="Author">
            <w:rPr>
              <w:i/>
              <w:noProof/>
            </w:rPr>
          </w:rPrChange>
        </w:rPr>
      </w:pPr>
      <w:r w:rsidRPr="00D55B59">
        <w:rPr>
          <w:b/>
          <w:rPrChange w:id="2596" w:author="Author">
            <w:rPr>
              <w:b/>
              <w:noProof/>
            </w:rPr>
          </w:rPrChange>
        </w:rPr>
        <w:t>18.</w:t>
      </w:r>
      <w:r w:rsidRPr="00D55B59">
        <w:rPr>
          <w:b/>
          <w:rPrChange w:id="2597" w:author="Author">
            <w:rPr>
              <w:b/>
              <w:noProof/>
            </w:rPr>
          </w:rPrChange>
        </w:rPr>
        <w:tab/>
        <w:t xml:space="preserve">UNIQUE IDENTIFIER </w:t>
      </w:r>
      <w:r w:rsidRPr="001775D9">
        <w:rPr>
          <w:rFonts w:eastAsia="Calibri"/>
        </w:rPr>
        <w:t>-</w:t>
      </w:r>
      <w:r w:rsidRPr="00D55B59">
        <w:rPr>
          <w:b/>
          <w:rPrChange w:id="2598" w:author="Author">
            <w:rPr>
              <w:b/>
              <w:noProof/>
            </w:rPr>
          </w:rPrChange>
        </w:rPr>
        <w:t xml:space="preserve"> HUMAN READABLE DATA</w:t>
      </w:r>
    </w:p>
    <w:p w14:paraId="600D4D34" w14:textId="77777777" w:rsidR="00966B8F" w:rsidRPr="00D55B59" w:rsidRDefault="00966B8F" w:rsidP="00EE60D5">
      <w:pPr>
        <w:keepNext/>
        <w:tabs>
          <w:tab w:val="clear" w:pos="567"/>
        </w:tabs>
        <w:spacing w:line="240" w:lineRule="auto"/>
        <w:rPr>
          <w:rPrChange w:id="2599" w:author="Author">
            <w:rPr>
              <w:noProof/>
            </w:rPr>
          </w:rPrChange>
        </w:rPr>
      </w:pPr>
    </w:p>
    <w:p w14:paraId="7957A19F" w14:textId="77777777" w:rsidR="00966B8F" w:rsidRPr="001775D9" w:rsidRDefault="00966B8F" w:rsidP="00EE60D5">
      <w:pPr>
        <w:keepNext/>
        <w:spacing w:line="240" w:lineRule="auto"/>
        <w:rPr>
          <w:szCs w:val="22"/>
        </w:rPr>
      </w:pPr>
      <w:r w:rsidRPr="001775D9">
        <w:rPr>
          <w:szCs w:val="22"/>
        </w:rPr>
        <w:t>PC</w:t>
      </w:r>
    </w:p>
    <w:p w14:paraId="31E059E2" w14:textId="77777777" w:rsidR="00966B8F" w:rsidRPr="001775D9" w:rsidRDefault="00966B8F" w:rsidP="00B61D9D">
      <w:pPr>
        <w:keepNext/>
        <w:spacing w:line="240" w:lineRule="auto"/>
        <w:rPr>
          <w:szCs w:val="22"/>
        </w:rPr>
      </w:pPr>
      <w:r w:rsidRPr="001775D9">
        <w:rPr>
          <w:szCs w:val="22"/>
        </w:rPr>
        <w:t>SN</w:t>
      </w:r>
    </w:p>
    <w:p w14:paraId="06E4F62B" w14:textId="77777777" w:rsidR="00966B8F" w:rsidRPr="001775D9" w:rsidRDefault="00966B8F" w:rsidP="00B61D9D">
      <w:pPr>
        <w:spacing w:line="240" w:lineRule="auto"/>
        <w:rPr>
          <w:szCs w:val="22"/>
        </w:rPr>
      </w:pPr>
      <w:r w:rsidRPr="001775D9">
        <w:rPr>
          <w:szCs w:val="22"/>
        </w:rPr>
        <w:t xml:space="preserve">NN </w:t>
      </w:r>
    </w:p>
    <w:p w14:paraId="18C4728A" w14:textId="77777777" w:rsidR="00966B8F" w:rsidRPr="001775D9" w:rsidRDefault="00966B8F" w:rsidP="00B61D9D">
      <w:pPr>
        <w:spacing w:line="240" w:lineRule="auto"/>
        <w:rPr>
          <w:szCs w:val="22"/>
        </w:rPr>
      </w:pPr>
      <w:r w:rsidRPr="001775D9">
        <w:br w:type="page"/>
      </w:r>
    </w:p>
    <w:p w14:paraId="436AE456"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76C686AA"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39291647"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OUTER CARTON FOR PRE-FILLED PEN MULTIPACK (with blue box)</w:t>
      </w:r>
    </w:p>
    <w:p w14:paraId="784878A2" w14:textId="77777777" w:rsidR="00966B8F" w:rsidRPr="001775D9" w:rsidRDefault="00966B8F" w:rsidP="00B61D9D">
      <w:pPr>
        <w:keepNext/>
        <w:spacing w:line="240" w:lineRule="auto"/>
      </w:pPr>
    </w:p>
    <w:p w14:paraId="0F48CCB3" w14:textId="77777777" w:rsidR="00966B8F" w:rsidRPr="001775D9" w:rsidRDefault="00966B8F" w:rsidP="00B61D9D">
      <w:pPr>
        <w:keepNext/>
        <w:spacing w:line="240" w:lineRule="auto"/>
        <w:rPr>
          <w:szCs w:val="22"/>
        </w:rPr>
      </w:pPr>
    </w:p>
    <w:p w14:paraId="76E1AD97" w14:textId="467571EE"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1.</w:t>
      </w:r>
      <w:r w:rsidRPr="001775D9">
        <w:rPr>
          <w:b/>
        </w:rPr>
        <w:tab/>
        <w:t>NAME OF THE MEDICINAL PRODUCT</w:t>
      </w:r>
      <w:r w:rsidR="001C55FB" w:rsidRPr="001775D9">
        <w:rPr>
          <w:b/>
        </w:rPr>
        <w:fldChar w:fldCharType="begin"/>
      </w:r>
      <w:r w:rsidR="001C55FB" w:rsidRPr="001775D9">
        <w:rPr>
          <w:b/>
        </w:rPr>
        <w:instrText xml:space="preserve"> DOCVARIABLE VAULT_ND_7c0b3d13-772a-4c48-b1e1-8cf0ba39600b \* MERGEFORMAT </w:instrText>
      </w:r>
      <w:r w:rsidR="001C55FB" w:rsidRPr="001775D9">
        <w:rPr>
          <w:b/>
        </w:rPr>
        <w:fldChar w:fldCharType="separate"/>
      </w:r>
      <w:r w:rsidR="001C55FB" w:rsidRPr="001775D9">
        <w:rPr>
          <w:b/>
        </w:rPr>
        <w:t xml:space="preserve"> </w:t>
      </w:r>
      <w:r w:rsidR="001C55FB" w:rsidRPr="001775D9">
        <w:rPr>
          <w:b/>
        </w:rPr>
        <w:fldChar w:fldCharType="end"/>
      </w:r>
    </w:p>
    <w:p w14:paraId="4ACD6D65" w14:textId="77777777" w:rsidR="00966B8F" w:rsidRPr="001775D9" w:rsidRDefault="00966B8F" w:rsidP="00B61D9D">
      <w:pPr>
        <w:keepNext/>
        <w:spacing w:line="240" w:lineRule="auto"/>
        <w:rPr>
          <w:szCs w:val="22"/>
        </w:rPr>
      </w:pPr>
    </w:p>
    <w:p w14:paraId="45EA9920" w14:textId="150AE3FB" w:rsidR="00966B8F" w:rsidRPr="001775D9" w:rsidRDefault="00966B8F" w:rsidP="00B61D9D">
      <w:pPr>
        <w:keepNext/>
        <w:spacing w:line="240" w:lineRule="auto"/>
        <w:rPr>
          <w:szCs w:val="22"/>
        </w:rPr>
      </w:pPr>
      <w:r w:rsidRPr="001775D9">
        <w:rPr>
          <w:szCs w:val="22"/>
        </w:rPr>
        <w:t>AMGEVITA 80 mg solution for injection in pre-filled pen</w:t>
      </w:r>
    </w:p>
    <w:p w14:paraId="54014DDF" w14:textId="77777777" w:rsidR="00966B8F" w:rsidRPr="001775D9" w:rsidRDefault="00966B8F" w:rsidP="00B61D9D">
      <w:pPr>
        <w:keepNext/>
        <w:spacing w:line="240" w:lineRule="auto"/>
        <w:rPr>
          <w:szCs w:val="22"/>
        </w:rPr>
      </w:pPr>
      <w:r w:rsidRPr="001775D9">
        <w:t>adalimumab</w:t>
      </w:r>
    </w:p>
    <w:p w14:paraId="51153768" w14:textId="77777777" w:rsidR="00966B8F" w:rsidRPr="001775D9" w:rsidRDefault="00966B8F" w:rsidP="00B61D9D">
      <w:pPr>
        <w:keepNext/>
        <w:spacing w:line="240" w:lineRule="auto"/>
        <w:rPr>
          <w:szCs w:val="22"/>
        </w:rPr>
      </w:pPr>
    </w:p>
    <w:p w14:paraId="35FB70FD" w14:textId="77777777" w:rsidR="00966B8F" w:rsidRPr="001775D9" w:rsidRDefault="00966B8F" w:rsidP="00B61D9D">
      <w:pPr>
        <w:keepNext/>
        <w:spacing w:line="240" w:lineRule="auto"/>
        <w:rPr>
          <w:szCs w:val="22"/>
        </w:rPr>
      </w:pPr>
    </w:p>
    <w:p w14:paraId="0A2A7C72" w14:textId="27F859EF"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VAULT_ND_a31185af-348b-4835-a4c9-c59d884d7d1d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AF4CF6C" w14:textId="77777777" w:rsidR="00966B8F" w:rsidRPr="001775D9" w:rsidRDefault="00966B8F" w:rsidP="00B61D9D">
      <w:pPr>
        <w:spacing w:line="240" w:lineRule="auto"/>
        <w:rPr>
          <w:szCs w:val="22"/>
        </w:rPr>
      </w:pPr>
    </w:p>
    <w:p w14:paraId="3CC629F1" w14:textId="77777777" w:rsidR="00966B8F" w:rsidRPr="001775D9" w:rsidRDefault="00966B8F" w:rsidP="00B61D9D">
      <w:pPr>
        <w:spacing w:line="240" w:lineRule="auto"/>
        <w:rPr>
          <w:szCs w:val="22"/>
        </w:rPr>
      </w:pPr>
      <w:r w:rsidRPr="001775D9">
        <w:rPr>
          <w:szCs w:val="22"/>
          <w:lang w:eastAsia="en-GB"/>
        </w:rPr>
        <w:t xml:space="preserve">Each pre-filled pen contains 80 mg of adalimumab </w:t>
      </w:r>
      <w:r w:rsidRPr="001775D9">
        <w:rPr>
          <w:szCs w:val="22"/>
        </w:rPr>
        <w:t>in 0.8 mL of solution.</w:t>
      </w:r>
    </w:p>
    <w:p w14:paraId="5A70A540" w14:textId="77777777" w:rsidR="00966B8F" w:rsidRPr="001775D9" w:rsidRDefault="00966B8F" w:rsidP="00B61D9D">
      <w:pPr>
        <w:spacing w:line="240" w:lineRule="auto"/>
        <w:rPr>
          <w:szCs w:val="22"/>
        </w:rPr>
      </w:pPr>
    </w:p>
    <w:p w14:paraId="0A6B4D6A" w14:textId="77777777" w:rsidR="001104D8" w:rsidRPr="001775D9" w:rsidRDefault="001104D8" w:rsidP="00B61D9D">
      <w:pPr>
        <w:spacing w:line="240" w:lineRule="auto"/>
        <w:rPr>
          <w:szCs w:val="22"/>
        </w:rPr>
      </w:pPr>
    </w:p>
    <w:p w14:paraId="2E806EE7" w14:textId="2FE63D9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VAULT_ND_55fe9134-fac1-4691-a97e-efccf685d477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02B67EA" w14:textId="77777777" w:rsidR="00966B8F" w:rsidRPr="001775D9" w:rsidRDefault="00966B8F" w:rsidP="00B61D9D">
      <w:pPr>
        <w:spacing w:line="240" w:lineRule="auto"/>
        <w:rPr>
          <w:szCs w:val="22"/>
        </w:rPr>
      </w:pPr>
    </w:p>
    <w:p w14:paraId="6C3E473C"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600"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2C3FB0B9" w14:textId="77777777" w:rsidR="00966B8F" w:rsidRPr="001775D9" w:rsidRDefault="00966B8F" w:rsidP="00B61D9D">
      <w:pPr>
        <w:spacing w:line="240" w:lineRule="auto"/>
        <w:rPr>
          <w:szCs w:val="22"/>
        </w:rPr>
      </w:pPr>
    </w:p>
    <w:p w14:paraId="226B80A7" w14:textId="77777777" w:rsidR="00966B8F" w:rsidRPr="001775D9" w:rsidRDefault="00966B8F" w:rsidP="00B61D9D">
      <w:pPr>
        <w:spacing w:line="240" w:lineRule="auto"/>
        <w:rPr>
          <w:szCs w:val="22"/>
        </w:rPr>
      </w:pPr>
    </w:p>
    <w:p w14:paraId="1133392C" w14:textId="0518EE3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VAULT_ND_1e30e0f7-bb63-4928-b199-0cb39ecffa71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52510CB" w14:textId="77777777" w:rsidR="00966B8F" w:rsidRPr="001775D9" w:rsidRDefault="00966B8F" w:rsidP="00B61D9D">
      <w:pPr>
        <w:spacing w:line="240" w:lineRule="auto"/>
        <w:rPr>
          <w:szCs w:val="22"/>
        </w:rPr>
      </w:pPr>
    </w:p>
    <w:p w14:paraId="2A022459" w14:textId="77777777" w:rsidR="00966B8F" w:rsidRPr="001775D9" w:rsidRDefault="00966B8F" w:rsidP="00EE60D5">
      <w:pPr>
        <w:tabs>
          <w:tab w:val="clear" w:pos="567"/>
        </w:tabs>
        <w:autoSpaceDE w:val="0"/>
        <w:autoSpaceDN w:val="0"/>
        <w:adjustRightInd w:val="0"/>
        <w:spacing w:line="240" w:lineRule="auto"/>
        <w:rPr>
          <w:szCs w:val="22"/>
          <w:shd w:val="pct15" w:color="auto" w:fill="FFFFFF"/>
          <w:lang w:eastAsia="en-GB"/>
        </w:rPr>
      </w:pPr>
      <w:r w:rsidRPr="001775D9">
        <w:rPr>
          <w:szCs w:val="22"/>
          <w:shd w:val="pct15" w:color="auto" w:fill="FFFFFF"/>
          <w:lang w:eastAsia="en-GB"/>
        </w:rPr>
        <w:t>Solution for injection</w:t>
      </w:r>
    </w:p>
    <w:p w14:paraId="2F635575" w14:textId="5D9CFF44" w:rsidR="000A4196" w:rsidRPr="001775D9" w:rsidRDefault="000A4196" w:rsidP="00EE60D5">
      <w:pPr>
        <w:spacing w:line="240" w:lineRule="auto"/>
        <w:rPr>
          <w:szCs w:val="22"/>
        </w:rPr>
      </w:pPr>
      <w:r w:rsidRPr="001775D9">
        <w:rPr>
          <w:szCs w:val="22"/>
        </w:rPr>
        <w:t>80 mg/0.8 mL</w:t>
      </w:r>
    </w:p>
    <w:p w14:paraId="2F3933B0" w14:textId="00CC0EE0" w:rsidR="00966B8F" w:rsidRPr="001775D9" w:rsidRDefault="00966B8F" w:rsidP="00EE60D5">
      <w:pPr>
        <w:spacing w:line="240" w:lineRule="auto"/>
        <w:rPr>
          <w:szCs w:val="22"/>
        </w:rPr>
      </w:pPr>
      <w:r w:rsidRPr="001775D9">
        <w:rPr>
          <w:szCs w:val="22"/>
        </w:rPr>
        <w:t xml:space="preserve">Multipack: 3 (3 packs of 1) </w:t>
      </w:r>
      <w:r w:rsidRPr="00D55B59">
        <w:rPr>
          <w:szCs w:val="22"/>
          <w:lang w:eastAsia="en-GB"/>
          <w:rPrChange w:id="2601" w:author="Author">
            <w:rPr>
              <w:szCs w:val="22"/>
              <w:lang w:val="en-US" w:eastAsia="en-GB"/>
            </w:rPr>
          </w:rPrChange>
        </w:rPr>
        <w:t>SureClick</w:t>
      </w:r>
      <w:r w:rsidRPr="001775D9">
        <w:rPr>
          <w:szCs w:val="22"/>
        </w:rPr>
        <w:t xml:space="preserve"> pre-filled pens.</w:t>
      </w:r>
    </w:p>
    <w:p w14:paraId="4080BA1C" w14:textId="77777777" w:rsidR="00966B8F" w:rsidRPr="001775D9" w:rsidRDefault="00966B8F" w:rsidP="00B61D9D">
      <w:pPr>
        <w:spacing w:line="240" w:lineRule="auto"/>
        <w:rPr>
          <w:szCs w:val="22"/>
        </w:rPr>
      </w:pPr>
    </w:p>
    <w:p w14:paraId="25708F7A" w14:textId="77777777" w:rsidR="00966B8F" w:rsidRPr="001775D9" w:rsidRDefault="00966B8F" w:rsidP="00B61D9D">
      <w:pPr>
        <w:spacing w:line="240" w:lineRule="auto"/>
        <w:rPr>
          <w:szCs w:val="22"/>
        </w:rPr>
      </w:pPr>
    </w:p>
    <w:p w14:paraId="6A3D03D9" w14:textId="41679C0C"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VAULT_ND_cb0395d3-6803-4852-bdcf-db31fe9ec8c6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1C99571" w14:textId="77777777" w:rsidR="00966B8F" w:rsidRPr="001775D9" w:rsidRDefault="00966B8F" w:rsidP="00B61D9D">
      <w:pPr>
        <w:spacing w:line="240" w:lineRule="auto"/>
        <w:rPr>
          <w:szCs w:val="22"/>
        </w:rPr>
      </w:pPr>
    </w:p>
    <w:p w14:paraId="6D76E252" w14:textId="77777777" w:rsidR="00966B8F" w:rsidRPr="001775D9" w:rsidRDefault="00966B8F" w:rsidP="00EE60D5">
      <w:pPr>
        <w:spacing w:line="240" w:lineRule="auto"/>
        <w:rPr>
          <w:szCs w:val="22"/>
        </w:rPr>
      </w:pPr>
      <w:r w:rsidRPr="001775D9">
        <w:rPr>
          <w:szCs w:val="22"/>
        </w:rPr>
        <w:t>For subcutaneous use.</w:t>
      </w:r>
    </w:p>
    <w:p w14:paraId="04D54E91" w14:textId="77777777" w:rsidR="00966B8F" w:rsidRPr="001775D9" w:rsidRDefault="00966B8F" w:rsidP="00B61D9D">
      <w:pPr>
        <w:spacing w:line="240" w:lineRule="auto"/>
        <w:rPr>
          <w:szCs w:val="22"/>
        </w:rPr>
      </w:pPr>
      <w:r w:rsidRPr="001775D9">
        <w:rPr>
          <w:szCs w:val="22"/>
        </w:rPr>
        <w:t>Read the package leaflet before use.</w:t>
      </w:r>
    </w:p>
    <w:p w14:paraId="0633BE03" w14:textId="77777777" w:rsidR="00966B8F" w:rsidRPr="001775D9" w:rsidRDefault="00966B8F" w:rsidP="00B61D9D">
      <w:pPr>
        <w:spacing w:line="240" w:lineRule="auto"/>
        <w:rPr>
          <w:szCs w:val="22"/>
        </w:rPr>
      </w:pPr>
      <w:r w:rsidRPr="001775D9">
        <w:rPr>
          <w:szCs w:val="22"/>
        </w:rPr>
        <w:t>Single use only.</w:t>
      </w:r>
    </w:p>
    <w:p w14:paraId="0A0D2873" w14:textId="77777777" w:rsidR="00966B8F" w:rsidRPr="001775D9" w:rsidRDefault="00966B8F" w:rsidP="00B61D9D">
      <w:pPr>
        <w:spacing w:line="240" w:lineRule="auto"/>
        <w:rPr>
          <w:szCs w:val="22"/>
        </w:rPr>
      </w:pPr>
    </w:p>
    <w:p w14:paraId="35D56F76" w14:textId="77777777" w:rsidR="00966B8F" w:rsidRPr="001775D9" w:rsidRDefault="00966B8F" w:rsidP="00B61D9D">
      <w:pPr>
        <w:spacing w:line="240" w:lineRule="auto"/>
        <w:rPr>
          <w:szCs w:val="22"/>
        </w:rPr>
      </w:pPr>
    </w:p>
    <w:p w14:paraId="5821D7BC" w14:textId="2DA58E63"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VAULT_ND_55305d8a-808d-437c-805c-e57f0de2a75a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55E2748" w14:textId="77777777" w:rsidR="00966B8F" w:rsidRPr="001775D9" w:rsidRDefault="00966B8F" w:rsidP="00B61D9D">
      <w:pPr>
        <w:spacing w:line="240" w:lineRule="auto"/>
        <w:rPr>
          <w:szCs w:val="22"/>
        </w:rPr>
      </w:pPr>
    </w:p>
    <w:p w14:paraId="2815C2C9" w14:textId="124F0F34"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vault_nd_f364cb66-046b-423e-8b8c-1cd79ef92ad1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65DE5363" w14:textId="77777777" w:rsidR="00966B8F" w:rsidRPr="001775D9" w:rsidRDefault="00966B8F" w:rsidP="00B61D9D">
      <w:pPr>
        <w:spacing w:line="240" w:lineRule="auto"/>
        <w:rPr>
          <w:szCs w:val="22"/>
        </w:rPr>
      </w:pPr>
    </w:p>
    <w:p w14:paraId="1D31E9EA" w14:textId="77777777" w:rsidR="00966B8F" w:rsidRPr="001775D9" w:rsidRDefault="00966B8F" w:rsidP="00B61D9D">
      <w:pPr>
        <w:spacing w:line="240" w:lineRule="auto"/>
        <w:rPr>
          <w:szCs w:val="22"/>
        </w:rPr>
      </w:pPr>
    </w:p>
    <w:p w14:paraId="1EE76D88" w14:textId="3D64464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VAULT_ND_329fce35-4f2e-47be-8f2f-ead0cba88a47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F61C4BD" w14:textId="77777777" w:rsidR="00966B8F" w:rsidRPr="001775D9" w:rsidRDefault="00966B8F" w:rsidP="00B61D9D">
      <w:pPr>
        <w:spacing w:line="240" w:lineRule="auto"/>
        <w:rPr>
          <w:szCs w:val="22"/>
        </w:rPr>
      </w:pPr>
    </w:p>
    <w:p w14:paraId="54C54154" w14:textId="77777777" w:rsidR="00966B8F" w:rsidRPr="001775D9" w:rsidRDefault="00966B8F" w:rsidP="00B61D9D">
      <w:pPr>
        <w:tabs>
          <w:tab w:val="left" w:pos="749"/>
        </w:tabs>
        <w:spacing w:line="240" w:lineRule="auto"/>
      </w:pPr>
    </w:p>
    <w:p w14:paraId="2E6815F9" w14:textId="60CA236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VAULT_ND_d7f96e91-9d48-4975-9d66-05983fd203a2 \* MERGEFORMAT </w:instrText>
      </w:r>
      <w:r w:rsidR="001C55FB" w:rsidRPr="001775D9">
        <w:rPr>
          <w:b/>
        </w:rPr>
        <w:fldChar w:fldCharType="separate"/>
      </w:r>
      <w:r w:rsidR="001C55FB" w:rsidRPr="001775D9">
        <w:rPr>
          <w:b/>
        </w:rPr>
        <w:t xml:space="preserve"> </w:t>
      </w:r>
      <w:r w:rsidR="001C55FB" w:rsidRPr="001775D9">
        <w:rPr>
          <w:b/>
        </w:rPr>
        <w:fldChar w:fldCharType="end"/>
      </w:r>
    </w:p>
    <w:p w14:paraId="6A1FBEDB" w14:textId="77777777" w:rsidR="00966B8F" w:rsidRPr="001775D9" w:rsidRDefault="00966B8F" w:rsidP="00B61D9D">
      <w:pPr>
        <w:spacing w:line="240" w:lineRule="auto"/>
      </w:pPr>
    </w:p>
    <w:p w14:paraId="5EE9C9BF" w14:textId="77777777" w:rsidR="00966B8F" w:rsidRPr="001775D9" w:rsidRDefault="00966B8F" w:rsidP="00B61D9D">
      <w:pPr>
        <w:spacing w:line="240" w:lineRule="auto"/>
        <w:rPr>
          <w:szCs w:val="22"/>
        </w:rPr>
      </w:pPr>
      <w:r w:rsidRPr="001775D9">
        <w:rPr>
          <w:szCs w:val="22"/>
        </w:rPr>
        <w:t xml:space="preserve">EXP </w:t>
      </w:r>
    </w:p>
    <w:p w14:paraId="49ED9DB2" w14:textId="77777777" w:rsidR="00966B8F" w:rsidRPr="001775D9" w:rsidRDefault="00966B8F" w:rsidP="00B61D9D">
      <w:pPr>
        <w:spacing w:line="240" w:lineRule="auto"/>
        <w:rPr>
          <w:szCs w:val="22"/>
        </w:rPr>
      </w:pPr>
    </w:p>
    <w:p w14:paraId="3BC7926D" w14:textId="77777777" w:rsidR="00966B8F" w:rsidRPr="001775D9" w:rsidRDefault="00966B8F" w:rsidP="00B61D9D">
      <w:pPr>
        <w:spacing w:line="240" w:lineRule="auto"/>
        <w:rPr>
          <w:szCs w:val="22"/>
        </w:rPr>
      </w:pPr>
    </w:p>
    <w:p w14:paraId="7249347D" w14:textId="52396080" w:rsidR="00966B8F" w:rsidRPr="001775D9" w:rsidRDefault="00966B8F" w:rsidP="00B61D9D">
      <w:pPr>
        <w:keepNext/>
        <w:keepLines/>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VAULT_ND_82515746-b7c8-41b2-80f1-5544d1683403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D6F97E4" w14:textId="77777777" w:rsidR="00966B8F" w:rsidRPr="001775D9" w:rsidRDefault="00966B8F" w:rsidP="00B61D9D">
      <w:pPr>
        <w:keepNext/>
        <w:keepLines/>
        <w:spacing w:line="240" w:lineRule="auto"/>
        <w:rPr>
          <w:szCs w:val="22"/>
        </w:rPr>
      </w:pPr>
    </w:p>
    <w:p w14:paraId="3D230907" w14:textId="77777777" w:rsidR="00966B8F" w:rsidRPr="001775D9" w:rsidRDefault="00966B8F" w:rsidP="00966B8F">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041E2D7C" w14:textId="77777777" w:rsidR="00966B8F" w:rsidRPr="001775D9" w:rsidRDefault="00966B8F" w:rsidP="00966B8F">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14C39CA8" w14:textId="77777777" w:rsidR="00966B8F" w:rsidRPr="001775D9" w:rsidRDefault="00966B8F" w:rsidP="00966B8F">
      <w:pPr>
        <w:keepNext/>
        <w:keepLines/>
        <w:spacing w:line="240" w:lineRule="auto"/>
        <w:rPr>
          <w:rFonts w:eastAsia="SimSun"/>
          <w:szCs w:val="22"/>
          <w:lang w:eastAsia="en-GB"/>
        </w:rPr>
      </w:pPr>
      <w:r w:rsidRPr="001775D9">
        <w:rPr>
          <w:rFonts w:eastAsia="SimSun"/>
          <w:szCs w:val="22"/>
          <w:lang w:eastAsia="en-GB"/>
        </w:rPr>
        <w:t>Store in the original carton in order to protect from light.</w:t>
      </w:r>
    </w:p>
    <w:p w14:paraId="2F5D8BC2" w14:textId="77777777" w:rsidR="00966B8F" w:rsidRPr="001775D9" w:rsidRDefault="00966B8F" w:rsidP="00966B8F">
      <w:pPr>
        <w:spacing w:line="240" w:lineRule="auto"/>
        <w:rPr>
          <w:rFonts w:eastAsia="SimSun"/>
          <w:szCs w:val="22"/>
          <w:lang w:eastAsia="en-GB"/>
        </w:rPr>
      </w:pPr>
    </w:p>
    <w:p w14:paraId="32C76A31" w14:textId="77777777" w:rsidR="00966B8F" w:rsidRPr="001775D9" w:rsidRDefault="00966B8F" w:rsidP="00966B8F">
      <w:pPr>
        <w:spacing w:line="240" w:lineRule="auto"/>
        <w:rPr>
          <w:rFonts w:eastAsia="SimSun"/>
          <w:szCs w:val="22"/>
          <w:lang w:eastAsia="en-GB"/>
        </w:rPr>
      </w:pPr>
    </w:p>
    <w:p w14:paraId="2741B60A" w14:textId="0B780AB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VAULT_ND_b0d84243-56ed-4cac-b6d0-07ec1fce75a5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EF1681D" w14:textId="77777777" w:rsidR="00966B8F" w:rsidRPr="001775D9" w:rsidRDefault="00966B8F" w:rsidP="00B61D9D">
      <w:pPr>
        <w:spacing w:line="240" w:lineRule="auto"/>
        <w:rPr>
          <w:szCs w:val="22"/>
        </w:rPr>
      </w:pPr>
    </w:p>
    <w:p w14:paraId="2E33E924" w14:textId="77777777" w:rsidR="00966B8F" w:rsidRPr="001775D9" w:rsidRDefault="00966B8F" w:rsidP="00B61D9D">
      <w:pPr>
        <w:spacing w:line="240" w:lineRule="auto"/>
        <w:rPr>
          <w:szCs w:val="22"/>
        </w:rPr>
      </w:pPr>
    </w:p>
    <w:p w14:paraId="1883E44B" w14:textId="46D8ADA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VAULT_ND_cf6b9a64-e8e5-4b43-9a11-29c81bfd578a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6D9DF66" w14:textId="77777777" w:rsidR="00966B8F" w:rsidRPr="001775D9" w:rsidRDefault="00966B8F" w:rsidP="00B61D9D">
      <w:pPr>
        <w:spacing w:line="240" w:lineRule="auto"/>
        <w:rPr>
          <w:szCs w:val="22"/>
        </w:rPr>
      </w:pPr>
    </w:p>
    <w:p w14:paraId="3F5C10D7"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602" w:author="Author">
            <w:rPr>
              <w:rFonts w:eastAsia="SimSun"/>
              <w:szCs w:val="22"/>
              <w:lang w:val="sv-SE" w:eastAsia="en-GB"/>
            </w:rPr>
          </w:rPrChange>
        </w:rPr>
      </w:pPr>
      <w:r w:rsidRPr="00D55B59">
        <w:rPr>
          <w:rFonts w:eastAsia="SimSun"/>
          <w:szCs w:val="22"/>
          <w:lang w:eastAsia="en-GB"/>
          <w:rPrChange w:id="2603" w:author="Author">
            <w:rPr>
              <w:rFonts w:eastAsia="SimSun"/>
              <w:szCs w:val="22"/>
              <w:lang w:val="sv-SE" w:eastAsia="en-GB"/>
            </w:rPr>
          </w:rPrChange>
        </w:rPr>
        <w:t>Amgen Europe B.V.</w:t>
      </w:r>
    </w:p>
    <w:p w14:paraId="49FED834"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604" w:author="Author">
            <w:rPr>
              <w:rFonts w:eastAsia="SimSun"/>
              <w:szCs w:val="22"/>
              <w:lang w:val="sv-SE" w:eastAsia="en-GB"/>
            </w:rPr>
          </w:rPrChange>
        </w:rPr>
      </w:pPr>
      <w:r w:rsidRPr="00D55B59">
        <w:rPr>
          <w:rFonts w:eastAsia="SimSun"/>
          <w:szCs w:val="22"/>
          <w:lang w:eastAsia="en-GB"/>
          <w:rPrChange w:id="2605" w:author="Author">
            <w:rPr>
              <w:rFonts w:eastAsia="SimSun"/>
              <w:szCs w:val="22"/>
              <w:lang w:val="sv-SE" w:eastAsia="en-GB"/>
            </w:rPr>
          </w:rPrChange>
        </w:rPr>
        <w:t>Minervum 7061,</w:t>
      </w:r>
    </w:p>
    <w:p w14:paraId="50B92366" w14:textId="77777777" w:rsidR="00966B8F" w:rsidRPr="001775D9" w:rsidRDefault="00966B8F" w:rsidP="00EE60D5">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698FD818" w14:textId="77777777" w:rsidR="00966B8F" w:rsidRPr="001775D9" w:rsidRDefault="00966B8F" w:rsidP="00EE60D5">
      <w:pPr>
        <w:spacing w:line="240" w:lineRule="auto"/>
        <w:rPr>
          <w:szCs w:val="22"/>
        </w:rPr>
      </w:pPr>
      <w:r w:rsidRPr="001775D9">
        <w:rPr>
          <w:rFonts w:eastAsia="SimSun"/>
          <w:szCs w:val="22"/>
          <w:lang w:eastAsia="en-GB"/>
        </w:rPr>
        <w:t>The Netherlands</w:t>
      </w:r>
      <w:r w:rsidRPr="001775D9">
        <w:rPr>
          <w:i/>
          <w:szCs w:val="22"/>
        </w:rPr>
        <w:t xml:space="preserve"> </w:t>
      </w:r>
    </w:p>
    <w:p w14:paraId="4E61FAF7" w14:textId="77777777" w:rsidR="00966B8F" w:rsidRPr="001775D9" w:rsidRDefault="00966B8F" w:rsidP="00B61D9D">
      <w:pPr>
        <w:spacing w:line="240" w:lineRule="auto"/>
        <w:rPr>
          <w:szCs w:val="22"/>
        </w:rPr>
      </w:pPr>
    </w:p>
    <w:p w14:paraId="1FE5C54D" w14:textId="77777777" w:rsidR="00966B8F" w:rsidRPr="001775D9" w:rsidRDefault="00966B8F" w:rsidP="00B61D9D">
      <w:pPr>
        <w:spacing w:line="240" w:lineRule="auto"/>
        <w:rPr>
          <w:szCs w:val="22"/>
        </w:rPr>
      </w:pPr>
    </w:p>
    <w:p w14:paraId="4CCEE035" w14:textId="10B2D48D"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VAULT_ND_77fd5476-c928-40ea-b2ff-d33bbdca1d6d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77C24CD" w14:textId="77777777" w:rsidR="00966B8F" w:rsidRPr="001775D9" w:rsidRDefault="00966B8F" w:rsidP="00B61D9D">
      <w:pPr>
        <w:spacing w:line="240" w:lineRule="auto"/>
        <w:rPr>
          <w:szCs w:val="22"/>
        </w:rPr>
      </w:pPr>
    </w:p>
    <w:p w14:paraId="309C9441" w14:textId="2F3A2B4B" w:rsidR="00966B8F" w:rsidRPr="001775D9" w:rsidRDefault="00966B8F" w:rsidP="00EE60D5">
      <w:pPr>
        <w:spacing w:line="240" w:lineRule="auto"/>
        <w:outlineLvl w:val="0"/>
        <w:rPr>
          <w:szCs w:val="22"/>
        </w:rPr>
      </w:pPr>
      <w:r w:rsidRPr="001775D9">
        <w:rPr>
          <w:color w:val="000000"/>
        </w:rPr>
        <w:t>EU/1/16/1164/022</w:t>
      </w:r>
      <w:r w:rsidR="001C55FB" w:rsidRPr="001775D9">
        <w:rPr>
          <w:color w:val="000000"/>
        </w:rPr>
        <w:fldChar w:fldCharType="begin"/>
      </w:r>
      <w:r w:rsidR="001C55FB" w:rsidRPr="001775D9">
        <w:rPr>
          <w:color w:val="000000"/>
        </w:rPr>
        <w:instrText xml:space="preserve"> DOCVARIABLE VAULT_ND_12d0cd96-07f5-418f-b00c-0e0e75d570e2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01F05BE8" w14:textId="77777777" w:rsidR="00966B8F" w:rsidRPr="001775D9" w:rsidRDefault="00966B8F" w:rsidP="00B61D9D">
      <w:pPr>
        <w:spacing w:line="240" w:lineRule="auto"/>
        <w:rPr>
          <w:szCs w:val="22"/>
        </w:rPr>
      </w:pPr>
    </w:p>
    <w:p w14:paraId="7D028208" w14:textId="77777777" w:rsidR="00966B8F" w:rsidRPr="001775D9" w:rsidRDefault="00966B8F" w:rsidP="00B61D9D">
      <w:pPr>
        <w:spacing w:line="240" w:lineRule="auto"/>
        <w:rPr>
          <w:szCs w:val="22"/>
        </w:rPr>
      </w:pPr>
    </w:p>
    <w:p w14:paraId="64437A4C" w14:textId="32D42C28"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VAULT_ND_3c63d7d4-d15b-4708-b076-6d1f794ab026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BB79D17" w14:textId="77777777" w:rsidR="00966B8F" w:rsidRPr="001775D9" w:rsidRDefault="00966B8F" w:rsidP="00B61D9D">
      <w:pPr>
        <w:spacing w:line="240" w:lineRule="auto"/>
        <w:rPr>
          <w:i/>
          <w:szCs w:val="22"/>
        </w:rPr>
      </w:pPr>
    </w:p>
    <w:p w14:paraId="1E1228EA" w14:textId="77777777" w:rsidR="00966B8F" w:rsidRPr="001775D9" w:rsidRDefault="00966B8F" w:rsidP="00B61D9D">
      <w:pPr>
        <w:spacing w:line="240" w:lineRule="auto"/>
        <w:rPr>
          <w:szCs w:val="22"/>
        </w:rPr>
      </w:pPr>
      <w:r w:rsidRPr="001775D9">
        <w:rPr>
          <w:szCs w:val="22"/>
        </w:rPr>
        <w:t>Lot</w:t>
      </w:r>
    </w:p>
    <w:p w14:paraId="39B85D45" w14:textId="77777777" w:rsidR="00966B8F" w:rsidRPr="001775D9" w:rsidRDefault="00966B8F" w:rsidP="00B61D9D">
      <w:pPr>
        <w:spacing w:line="240" w:lineRule="auto"/>
        <w:rPr>
          <w:szCs w:val="22"/>
        </w:rPr>
      </w:pPr>
    </w:p>
    <w:p w14:paraId="70DEE5BF" w14:textId="77777777" w:rsidR="00966B8F" w:rsidRPr="001775D9" w:rsidRDefault="00966B8F" w:rsidP="00B61D9D">
      <w:pPr>
        <w:spacing w:line="240" w:lineRule="auto"/>
        <w:rPr>
          <w:szCs w:val="22"/>
        </w:rPr>
      </w:pPr>
    </w:p>
    <w:p w14:paraId="3220CDBE" w14:textId="40AE8FA6"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VAULT_ND_ad7e5625-4c1e-4a45-9df3-f4f2c056f399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F81C785" w14:textId="77777777" w:rsidR="00966B8F" w:rsidRPr="001775D9" w:rsidRDefault="00966B8F" w:rsidP="00B61D9D">
      <w:pPr>
        <w:spacing w:line="240" w:lineRule="auto"/>
        <w:rPr>
          <w:i/>
          <w:szCs w:val="22"/>
        </w:rPr>
      </w:pPr>
    </w:p>
    <w:p w14:paraId="20CFF676" w14:textId="77777777" w:rsidR="00966B8F" w:rsidRPr="001775D9" w:rsidRDefault="00966B8F" w:rsidP="00B61D9D">
      <w:pPr>
        <w:spacing w:line="240" w:lineRule="auto"/>
        <w:rPr>
          <w:szCs w:val="22"/>
        </w:rPr>
      </w:pPr>
    </w:p>
    <w:p w14:paraId="652EC8BC" w14:textId="0774D58B"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VAULT_ND_ffbfe66e-9d8b-47b9-9bca-2a1be6f7a734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ED7B328" w14:textId="77777777" w:rsidR="00966B8F" w:rsidRPr="001775D9" w:rsidRDefault="00966B8F" w:rsidP="00B61D9D">
      <w:pPr>
        <w:spacing w:line="240" w:lineRule="auto"/>
        <w:rPr>
          <w:szCs w:val="22"/>
        </w:rPr>
      </w:pPr>
    </w:p>
    <w:p w14:paraId="4400DDB9" w14:textId="77777777" w:rsidR="00966B8F" w:rsidRPr="001775D9" w:rsidRDefault="00966B8F" w:rsidP="00B61D9D">
      <w:pPr>
        <w:spacing w:line="240" w:lineRule="auto"/>
        <w:rPr>
          <w:szCs w:val="22"/>
        </w:rPr>
      </w:pPr>
    </w:p>
    <w:p w14:paraId="7046D407" w14:textId="77777777" w:rsidR="00966B8F" w:rsidRPr="001775D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6840F7DE" w14:textId="77777777" w:rsidR="00966B8F" w:rsidRPr="001775D9" w:rsidRDefault="00966B8F" w:rsidP="00B61D9D">
      <w:pPr>
        <w:spacing w:line="240" w:lineRule="auto"/>
      </w:pPr>
    </w:p>
    <w:p w14:paraId="1F71EC12" w14:textId="71885A0B" w:rsidR="00966B8F" w:rsidRPr="001775D9" w:rsidRDefault="00966B8F" w:rsidP="00B61D9D">
      <w:pPr>
        <w:spacing w:line="240" w:lineRule="auto"/>
      </w:pPr>
      <w:r w:rsidRPr="001775D9">
        <w:t>AMGEVITA 80 mg</w:t>
      </w:r>
      <w:r w:rsidR="000A4196" w:rsidRPr="001775D9">
        <w:t>/0.8 mL</w:t>
      </w:r>
      <w:r w:rsidRPr="001775D9">
        <w:t xml:space="preserve"> pen</w:t>
      </w:r>
    </w:p>
    <w:p w14:paraId="707A4202" w14:textId="77777777" w:rsidR="00966B8F" w:rsidRPr="00D55B59" w:rsidRDefault="00966B8F" w:rsidP="00EE60D5">
      <w:pPr>
        <w:spacing w:line="240" w:lineRule="auto"/>
        <w:rPr>
          <w:szCs w:val="22"/>
          <w:shd w:val="clear" w:color="auto" w:fill="CCCCCC"/>
          <w:rPrChange w:id="2606" w:author="Author">
            <w:rPr>
              <w:noProof/>
              <w:szCs w:val="22"/>
              <w:shd w:val="clear" w:color="auto" w:fill="CCCCCC"/>
            </w:rPr>
          </w:rPrChange>
        </w:rPr>
      </w:pPr>
    </w:p>
    <w:p w14:paraId="1D432DE8" w14:textId="77777777" w:rsidR="00966B8F" w:rsidRPr="00D55B59" w:rsidRDefault="00966B8F" w:rsidP="00EE60D5">
      <w:pPr>
        <w:spacing w:line="240" w:lineRule="auto"/>
        <w:rPr>
          <w:szCs w:val="22"/>
          <w:shd w:val="clear" w:color="auto" w:fill="CCCCCC"/>
          <w:rPrChange w:id="2607" w:author="Author">
            <w:rPr>
              <w:noProof/>
              <w:szCs w:val="22"/>
              <w:shd w:val="clear" w:color="auto" w:fill="CCCCCC"/>
            </w:rPr>
          </w:rPrChange>
        </w:rPr>
      </w:pPr>
    </w:p>
    <w:p w14:paraId="3544D567" w14:textId="77777777" w:rsidR="00966B8F" w:rsidRPr="00D55B59" w:rsidRDefault="00966B8F" w:rsidP="00EE60D5">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608" w:author="Author">
            <w:rPr>
              <w:i/>
              <w:noProof/>
            </w:rPr>
          </w:rPrChange>
        </w:rPr>
      </w:pPr>
      <w:r w:rsidRPr="00D55B59">
        <w:rPr>
          <w:b/>
          <w:rPrChange w:id="2609" w:author="Author">
            <w:rPr>
              <w:b/>
              <w:noProof/>
            </w:rPr>
          </w:rPrChange>
        </w:rPr>
        <w:t>17.</w:t>
      </w:r>
      <w:r w:rsidRPr="00D55B59">
        <w:rPr>
          <w:b/>
          <w:rPrChange w:id="2610" w:author="Author">
            <w:rPr>
              <w:b/>
              <w:noProof/>
            </w:rPr>
          </w:rPrChange>
        </w:rPr>
        <w:tab/>
        <w:t>UNIQUE IDENTIFIER – 2D BARCODE</w:t>
      </w:r>
    </w:p>
    <w:p w14:paraId="2CBBAC22" w14:textId="77777777" w:rsidR="00966B8F" w:rsidRPr="00D55B59" w:rsidRDefault="00966B8F" w:rsidP="00EE60D5">
      <w:pPr>
        <w:tabs>
          <w:tab w:val="clear" w:pos="567"/>
        </w:tabs>
        <w:spacing w:line="240" w:lineRule="auto"/>
        <w:rPr>
          <w:rPrChange w:id="2611" w:author="Author">
            <w:rPr>
              <w:noProof/>
            </w:rPr>
          </w:rPrChange>
        </w:rPr>
      </w:pPr>
    </w:p>
    <w:p w14:paraId="36C7546B" w14:textId="77777777" w:rsidR="00966B8F" w:rsidRPr="00D55B59" w:rsidRDefault="00966B8F" w:rsidP="00EE60D5">
      <w:pPr>
        <w:spacing w:line="240" w:lineRule="auto"/>
        <w:rPr>
          <w:szCs w:val="22"/>
          <w:shd w:val="clear" w:color="auto" w:fill="CCCCCC"/>
          <w:rPrChange w:id="2612" w:author="Author">
            <w:rPr>
              <w:noProof/>
              <w:szCs w:val="22"/>
              <w:shd w:val="clear" w:color="auto" w:fill="CCCCCC"/>
            </w:rPr>
          </w:rPrChange>
        </w:rPr>
      </w:pPr>
      <w:r w:rsidRPr="00D55B59">
        <w:rPr>
          <w:highlight w:val="lightGray"/>
          <w:rPrChange w:id="2613" w:author="Author">
            <w:rPr>
              <w:noProof/>
              <w:highlight w:val="lightGray"/>
            </w:rPr>
          </w:rPrChange>
        </w:rPr>
        <w:t>2D barcode carrying the unique identifier included.</w:t>
      </w:r>
    </w:p>
    <w:p w14:paraId="17FE4BF7" w14:textId="77777777" w:rsidR="00966B8F" w:rsidRPr="00D55B59" w:rsidRDefault="00966B8F" w:rsidP="00EE60D5">
      <w:pPr>
        <w:spacing w:line="240" w:lineRule="auto"/>
        <w:rPr>
          <w:szCs w:val="22"/>
          <w:shd w:val="clear" w:color="auto" w:fill="CCCCCC"/>
          <w:rPrChange w:id="2614" w:author="Author">
            <w:rPr>
              <w:noProof/>
              <w:szCs w:val="22"/>
              <w:shd w:val="clear" w:color="auto" w:fill="CCCCCC"/>
            </w:rPr>
          </w:rPrChange>
        </w:rPr>
      </w:pPr>
    </w:p>
    <w:p w14:paraId="11B4F3F6" w14:textId="77777777" w:rsidR="00966B8F" w:rsidRPr="00D55B59" w:rsidRDefault="00966B8F" w:rsidP="00EE60D5">
      <w:pPr>
        <w:tabs>
          <w:tab w:val="clear" w:pos="567"/>
        </w:tabs>
        <w:spacing w:line="240" w:lineRule="auto"/>
        <w:rPr>
          <w:rPrChange w:id="2615" w:author="Author">
            <w:rPr>
              <w:noProof/>
            </w:rPr>
          </w:rPrChange>
        </w:rPr>
      </w:pPr>
    </w:p>
    <w:p w14:paraId="65FFE4CE" w14:textId="71911326" w:rsidR="00966B8F" w:rsidRPr="00D55B59" w:rsidRDefault="00966B8F" w:rsidP="00EE60D5">
      <w:pPr>
        <w:keepNext/>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616" w:author="Author">
            <w:rPr>
              <w:i/>
              <w:noProof/>
            </w:rPr>
          </w:rPrChange>
        </w:rPr>
      </w:pPr>
      <w:r w:rsidRPr="00D55B59">
        <w:rPr>
          <w:b/>
          <w:rPrChange w:id="2617" w:author="Author">
            <w:rPr>
              <w:b/>
              <w:noProof/>
            </w:rPr>
          </w:rPrChange>
        </w:rPr>
        <w:t>18.</w:t>
      </w:r>
      <w:r w:rsidRPr="00D55B59">
        <w:rPr>
          <w:b/>
          <w:rPrChange w:id="2618" w:author="Author">
            <w:rPr>
              <w:b/>
              <w:noProof/>
            </w:rPr>
          </w:rPrChange>
        </w:rPr>
        <w:tab/>
        <w:t xml:space="preserve">UNIQUE IDENTIFIER </w:t>
      </w:r>
      <w:r w:rsidR="000A4196" w:rsidRPr="001775D9">
        <w:rPr>
          <w:rFonts w:eastAsia="Calibri"/>
        </w:rPr>
        <w:t>–</w:t>
      </w:r>
      <w:r w:rsidRPr="00D55B59">
        <w:rPr>
          <w:b/>
          <w:rPrChange w:id="2619" w:author="Author">
            <w:rPr>
              <w:b/>
              <w:noProof/>
            </w:rPr>
          </w:rPrChange>
        </w:rPr>
        <w:t xml:space="preserve"> HUMAN READABLE DATA</w:t>
      </w:r>
    </w:p>
    <w:p w14:paraId="24F994C5" w14:textId="77777777" w:rsidR="00966B8F" w:rsidRPr="00D55B59" w:rsidRDefault="00966B8F" w:rsidP="00EE60D5">
      <w:pPr>
        <w:keepNext/>
        <w:tabs>
          <w:tab w:val="clear" w:pos="567"/>
        </w:tabs>
        <w:spacing w:line="240" w:lineRule="auto"/>
        <w:rPr>
          <w:rPrChange w:id="2620" w:author="Author">
            <w:rPr>
              <w:noProof/>
            </w:rPr>
          </w:rPrChange>
        </w:rPr>
      </w:pPr>
    </w:p>
    <w:p w14:paraId="15CD0C8E" w14:textId="77777777" w:rsidR="00966B8F" w:rsidRPr="001775D9" w:rsidRDefault="00966B8F" w:rsidP="00EE60D5">
      <w:pPr>
        <w:keepNext/>
        <w:spacing w:line="240" w:lineRule="auto"/>
        <w:rPr>
          <w:szCs w:val="22"/>
        </w:rPr>
      </w:pPr>
      <w:r w:rsidRPr="001775D9">
        <w:rPr>
          <w:szCs w:val="22"/>
        </w:rPr>
        <w:t>PC</w:t>
      </w:r>
    </w:p>
    <w:p w14:paraId="766765E5" w14:textId="77777777" w:rsidR="00966B8F" w:rsidRPr="001775D9" w:rsidRDefault="00966B8F" w:rsidP="00B61D9D">
      <w:pPr>
        <w:keepNext/>
        <w:spacing w:line="240" w:lineRule="auto"/>
        <w:rPr>
          <w:szCs w:val="22"/>
        </w:rPr>
      </w:pPr>
      <w:r w:rsidRPr="001775D9">
        <w:rPr>
          <w:szCs w:val="22"/>
        </w:rPr>
        <w:t>SN</w:t>
      </w:r>
    </w:p>
    <w:p w14:paraId="77BCF8E0" w14:textId="77777777" w:rsidR="00966B8F" w:rsidRPr="001775D9" w:rsidRDefault="00966B8F" w:rsidP="00B61D9D">
      <w:pPr>
        <w:keepNext/>
        <w:spacing w:line="240" w:lineRule="auto"/>
        <w:rPr>
          <w:szCs w:val="22"/>
        </w:rPr>
      </w:pPr>
      <w:r w:rsidRPr="001775D9">
        <w:rPr>
          <w:szCs w:val="22"/>
        </w:rPr>
        <w:t>NN</w:t>
      </w:r>
    </w:p>
    <w:p w14:paraId="27A49ECA" w14:textId="77777777" w:rsidR="00966B8F" w:rsidRPr="00D55B59" w:rsidRDefault="00966B8F" w:rsidP="00B61D9D">
      <w:pPr>
        <w:keepNext/>
        <w:spacing w:line="240" w:lineRule="auto"/>
        <w:rPr>
          <w:vanish/>
          <w:szCs w:val="22"/>
          <w:rPrChange w:id="2621" w:author="Author">
            <w:rPr>
              <w:noProof/>
              <w:vanish/>
              <w:szCs w:val="22"/>
            </w:rPr>
          </w:rPrChange>
        </w:rPr>
      </w:pPr>
      <w:r w:rsidRPr="001775D9">
        <w:rPr>
          <w:szCs w:val="22"/>
        </w:rPr>
        <w:br w:type="page"/>
      </w:r>
    </w:p>
    <w:p w14:paraId="716C7722" w14:textId="77777777" w:rsidR="00966B8F" w:rsidRPr="001775D9" w:rsidRDefault="00966B8F" w:rsidP="00B61D9D">
      <w:pPr>
        <w:spacing w:line="240" w:lineRule="auto"/>
      </w:pPr>
    </w:p>
    <w:p w14:paraId="692345B1"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 xml:space="preserve">PARTICULARS TO APPEAR ON THE OUTER PACKAGING </w:t>
      </w:r>
    </w:p>
    <w:p w14:paraId="09357856"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rPr>
          <w:bCs/>
          <w:szCs w:val="22"/>
        </w:rPr>
      </w:pPr>
    </w:p>
    <w:p w14:paraId="63563755" w14:textId="77777777"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rPr>
          <w:bCs/>
          <w:szCs w:val="22"/>
        </w:rPr>
      </w:pPr>
      <w:r w:rsidRPr="001775D9">
        <w:rPr>
          <w:b/>
          <w:szCs w:val="22"/>
        </w:rPr>
        <w:t>INTERMEDIATE CARTON OF PRE-FILLED PEN MULTIPACK (without blue box)</w:t>
      </w:r>
    </w:p>
    <w:p w14:paraId="7D95ABA4" w14:textId="77777777" w:rsidR="00966B8F" w:rsidRPr="001775D9" w:rsidRDefault="00966B8F" w:rsidP="00B61D9D">
      <w:pPr>
        <w:keepNext/>
        <w:spacing w:line="240" w:lineRule="auto"/>
      </w:pPr>
    </w:p>
    <w:p w14:paraId="71E6A4C4" w14:textId="77777777" w:rsidR="00966B8F" w:rsidRPr="001775D9" w:rsidRDefault="00966B8F" w:rsidP="00B61D9D">
      <w:pPr>
        <w:keepNext/>
        <w:spacing w:line="240" w:lineRule="auto"/>
        <w:rPr>
          <w:szCs w:val="22"/>
        </w:rPr>
      </w:pPr>
    </w:p>
    <w:p w14:paraId="384BEC83" w14:textId="65988B12" w:rsidR="00966B8F" w:rsidRPr="001775D9" w:rsidRDefault="00966B8F" w:rsidP="000E67AC">
      <w:pPr>
        <w:pStyle w:val="ListParagraph"/>
        <w:keepNext/>
        <w:numPr>
          <w:ilvl w:val="0"/>
          <w:numId w:val="55"/>
        </w:numPr>
        <w:pBdr>
          <w:top w:val="single" w:sz="4" w:space="1" w:color="auto"/>
          <w:left w:val="single" w:sz="4" w:space="4" w:color="auto"/>
          <w:bottom w:val="single" w:sz="4" w:space="1" w:color="auto"/>
          <w:right w:val="single" w:sz="4" w:space="4" w:color="auto"/>
        </w:pBdr>
        <w:ind w:left="567" w:hanging="567"/>
        <w:outlineLvl w:val="0"/>
      </w:pPr>
      <w:r w:rsidRPr="001775D9">
        <w:rPr>
          <w:b/>
        </w:rPr>
        <w:t>NAME OF THE MEDICINAL PRODUCT</w:t>
      </w:r>
      <w:r w:rsidR="001C55FB" w:rsidRPr="001775D9">
        <w:rPr>
          <w:b/>
        </w:rPr>
        <w:fldChar w:fldCharType="begin"/>
      </w:r>
      <w:r w:rsidR="001C55FB" w:rsidRPr="001775D9">
        <w:rPr>
          <w:b/>
        </w:rPr>
        <w:instrText xml:space="preserve"> DOCVARIABLE VAULT_ND_1776cdc4-6866-4da8-b39b-8dafe8a7b514 \* MERGEFORMAT </w:instrText>
      </w:r>
      <w:r w:rsidR="001C55FB" w:rsidRPr="001775D9">
        <w:rPr>
          <w:b/>
        </w:rPr>
        <w:fldChar w:fldCharType="separate"/>
      </w:r>
      <w:r w:rsidR="001C55FB" w:rsidRPr="001775D9">
        <w:rPr>
          <w:b/>
        </w:rPr>
        <w:t xml:space="preserve"> </w:t>
      </w:r>
      <w:r w:rsidR="001C55FB" w:rsidRPr="001775D9">
        <w:rPr>
          <w:b/>
        </w:rPr>
        <w:fldChar w:fldCharType="end"/>
      </w:r>
    </w:p>
    <w:p w14:paraId="53BD3A6D" w14:textId="77777777" w:rsidR="00966B8F" w:rsidRPr="001775D9" w:rsidRDefault="00966B8F" w:rsidP="00B61D9D">
      <w:pPr>
        <w:keepNext/>
        <w:spacing w:line="240" w:lineRule="auto"/>
        <w:rPr>
          <w:szCs w:val="22"/>
        </w:rPr>
      </w:pPr>
    </w:p>
    <w:p w14:paraId="1D774376" w14:textId="0F1601A9" w:rsidR="00966B8F" w:rsidRPr="001775D9" w:rsidRDefault="00966B8F" w:rsidP="00B61D9D">
      <w:pPr>
        <w:keepNext/>
        <w:spacing w:line="240" w:lineRule="auto"/>
        <w:rPr>
          <w:szCs w:val="22"/>
        </w:rPr>
      </w:pPr>
      <w:r w:rsidRPr="001775D9">
        <w:rPr>
          <w:szCs w:val="22"/>
        </w:rPr>
        <w:t>AMGEVITA 80 mg solution for injection in pre-filled pen</w:t>
      </w:r>
    </w:p>
    <w:p w14:paraId="0363D3DF" w14:textId="77777777" w:rsidR="00966B8F" w:rsidRPr="001775D9" w:rsidRDefault="00966B8F" w:rsidP="00B61D9D">
      <w:pPr>
        <w:keepNext/>
        <w:spacing w:line="240" w:lineRule="auto"/>
        <w:rPr>
          <w:szCs w:val="22"/>
        </w:rPr>
      </w:pPr>
      <w:r w:rsidRPr="001775D9">
        <w:t>adalimumab</w:t>
      </w:r>
    </w:p>
    <w:p w14:paraId="27C3C8DC" w14:textId="77777777" w:rsidR="00966B8F" w:rsidRPr="001775D9" w:rsidRDefault="00966B8F" w:rsidP="00B61D9D">
      <w:pPr>
        <w:keepNext/>
        <w:spacing w:line="240" w:lineRule="auto"/>
        <w:rPr>
          <w:szCs w:val="22"/>
        </w:rPr>
      </w:pPr>
    </w:p>
    <w:p w14:paraId="1CFD7844" w14:textId="77777777" w:rsidR="00966B8F" w:rsidRPr="001775D9" w:rsidRDefault="00966B8F" w:rsidP="00B61D9D">
      <w:pPr>
        <w:keepNext/>
        <w:spacing w:line="240" w:lineRule="auto"/>
        <w:rPr>
          <w:szCs w:val="22"/>
        </w:rPr>
      </w:pPr>
    </w:p>
    <w:p w14:paraId="42FB8219" w14:textId="6A895ABE" w:rsidR="00966B8F" w:rsidRPr="001775D9" w:rsidRDefault="00966B8F" w:rsidP="00B61D9D">
      <w:pPr>
        <w:keepNext/>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STATEMENT OF ACTIVE SUBSTANCE(S)</w:t>
      </w:r>
      <w:r w:rsidR="001C55FB" w:rsidRPr="001775D9">
        <w:rPr>
          <w:b/>
          <w:szCs w:val="22"/>
        </w:rPr>
        <w:fldChar w:fldCharType="begin"/>
      </w:r>
      <w:r w:rsidR="001C55FB" w:rsidRPr="001775D9">
        <w:rPr>
          <w:b/>
          <w:szCs w:val="22"/>
        </w:rPr>
        <w:instrText xml:space="preserve"> DOCVARIABLE VAULT_ND_3c251233-3e1a-4d79-89d7-6a921bee1bde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5BAD82A" w14:textId="77777777" w:rsidR="00966B8F" w:rsidRPr="001775D9" w:rsidRDefault="00966B8F" w:rsidP="00B61D9D">
      <w:pPr>
        <w:keepNext/>
        <w:spacing w:line="240" w:lineRule="auto"/>
        <w:rPr>
          <w:szCs w:val="22"/>
        </w:rPr>
      </w:pPr>
    </w:p>
    <w:p w14:paraId="2C03B05B" w14:textId="77777777" w:rsidR="00966B8F" w:rsidRPr="001775D9" w:rsidRDefault="00966B8F" w:rsidP="00B61D9D">
      <w:pPr>
        <w:spacing w:line="240" w:lineRule="auto"/>
        <w:rPr>
          <w:szCs w:val="22"/>
        </w:rPr>
      </w:pPr>
      <w:r w:rsidRPr="001775D9">
        <w:rPr>
          <w:szCs w:val="22"/>
          <w:lang w:eastAsia="en-GB"/>
        </w:rPr>
        <w:t xml:space="preserve">Each pre-filled pen contains 80 mg of adalimumab </w:t>
      </w:r>
      <w:r w:rsidRPr="001775D9">
        <w:rPr>
          <w:szCs w:val="22"/>
        </w:rPr>
        <w:t>in 0.8 mL of solution.</w:t>
      </w:r>
    </w:p>
    <w:p w14:paraId="76FDA866" w14:textId="77777777" w:rsidR="00966B8F" w:rsidRPr="001775D9" w:rsidRDefault="00966B8F" w:rsidP="00B61D9D">
      <w:pPr>
        <w:spacing w:line="240" w:lineRule="auto"/>
        <w:rPr>
          <w:szCs w:val="22"/>
        </w:rPr>
      </w:pPr>
    </w:p>
    <w:p w14:paraId="14A9DEEA" w14:textId="77777777" w:rsidR="000A4196" w:rsidRPr="001775D9" w:rsidRDefault="000A4196" w:rsidP="00B61D9D">
      <w:pPr>
        <w:spacing w:line="240" w:lineRule="auto"/>
        <w:rPr>
          <w:szCs w:val="22"/>
        </w:rPr>
      </w:pPr>
    </w:p>
    <w:p w14:paraId="7C325932" w14:textId="2928FE9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3.</w:t>
      </w:r>
      <w:r w:rsidRPr="001775D9">
        <w:rPr>
          <w:b/>
          <w:szCs w:val="22"/>
        </w:rPr>
        <w:tab/>
        <w:t>LIST OF EXCIPIENTS</w:t>
      </w:r>
      <w:r w:rsidR="001C55FB" w:rsidRPr="001775D9">
        <w:rPr>
          <w:b/>
          <w:szCs w:val="22"/>
        </w:rPr>
        <w:fldChar w:fldCharType="begin"/>
      </w:r>
      <w:r w:rsidR="001C55FB" w:rsidRPr="001775D9">
        <w:rPr>
          <w:b/>
          <w:szCs w:val="22"/>
        </w:rPr>
        <w:instrText xml:space="preserve"> DOCVARIABLE VAULT_ND_3ff27a56-ab39-4d19-b943-827483f9f3b6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294D504" w14:textId="77777777" w:rsidR="00966B8F" w:rsidRPr="001775D9" w:rsidRDefault="00966B8F" w:rsidP="00B61D9D">
      <w:pPr>
        <w:spacing w:line="240" w:lineRule="auto"/>
        <w:rPr>
          <w:szCs w:val="22"/>
        </w:rPr>
      </w:pPr>
    </w:p>
    <w:p w14:paraId="12BCCC0E" w14:textId="77777777" w:rsidR="00966B8F" w:rsidRPr="001775D9" w:rsidRDefault="00966B8F" w:rsidP="00B61D9D">
      <w:pPr>
        <w:spacing w:line="240" w:lineRule="auto"/>
        <w:rPr>
          <w:szCs w:val="22"/>
          <w:lang w:eastAsia="en-GB"/>
        </w:rPr>
      </w:pPr>
      <w:r w:rsidRPr="001775D9">
        <w:rPr>
          <w:szCs w:val="22"/>
          <w:lang w:eastAsia="en-GB"/>
        </w:rPr>
        <w:t>L-lactic</w:t>
      </w:r>
      <w:r w:rsidRPr="00D55B59">
        <w:rPr>
          <w:color w:val="FF0000"/>
          <w:rPrChange w:id="2622" w:author="Author">
            <w:rPr>
              <w:color w:val="FF0000"/>
              <w:lang w:val="hu-HU"/>
            </w:rPr>
          </w:rPrChange>
        </w:rPr>
        <w:t xml:space="preserve"> </w:t>
      </w:r>
      <w:r w:rsidRPr="001775D9">
        <w:rPr>
          <w:szCs w:val="22"/>
          <w:lang w:eastAsia="en-GB"/>
        </w:rPr>
        <w:t>acid</w:t>
      </w:r>
      <w:r w:rsidRPr="001775D9">
        <w:rPr>
          <w:szCs w:val="22"/>
        </w:rPr>
        <w:t>, sucrose</w:t>
      </w:r>
      <w:r w:rsidRPr="001775D9">
        <w:rPr>
          <w:szCs w:val="22"/>
          <w:lang w:eastAsia="en-GB"/>
        </w:rPr>
        <w:t>, polysorbate 80, sodium hydroxide and water for injections</w:t>
      </w:r>
    </w:p>
    <w:p w14:paraId="6FECE124" w14:textId="77777777" w:rsidR="00966B8F" w:rsidRPr="001775D9" w:rsidRDefault="00966B8F" w:rsidP="00B61D9D">
      <w:pPr>
        <w:spacing w:line="240" w:lineRule="auto"/>
        <w:rPr>
          <w:szCs w:val="22"/>
        </w:rPr>
      </w:pPr>
    </w:p>
    <w:p w14:paraId="6D861AC9" w14:textId="77777777" w:rsidR="00966B8F" w:rsidRPr="001775D9" w:rsidRDefault="00966B8F" w:rsidP="00B61D9D">
      <w:pPr>
        <w:spacing w:line="240" w:lineRule="auto"/>
        <w:rPr>
          <w:szCs w:val="22"/>
        </w:rPr>
      </w:pPr>
    </w:p>
    <w:p w14:paraId="4CBE82D6" w14:textId="758F8232"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4.</w:t>
      </w:r>
      <w:r w:rsidRPr="001775D9">
        <w:rPr>
          <w:b/>
          <w:szCs w:val="22"/>
        </w:rPr>
        <w:tab/>
        <w:t>PHARMACEUTICAL FORM AND CONTENTS</w:t>
      </w:r>
      <w:r w:rsidR="001C55FB" w:rsidRPr="001775D9">
        <w:rPr>
          <w:b/>
          <w:szCs w:val="22"/>
        </w:rPr>
        <w:fldChar w:fldCharType="begin"/>
      </w:r>
      <w:r w:rsidR="001C55FB" w:rsidRPr="001775D9">
        <w:rPr>
          <w:b/>
          <w:szCs w:val="22"/>
        </w:rPr>
        <w:instrText xml:space="preserve"> DOCVARIABLE VAULT_ND_96543d3d-7153-4475-80a6-4fbd4682be5d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3AE2249" w14:textId="77777777" w:rsidR="00966B8F" w:rsidRPr="001775D9" w:rsidRDefault="00966B8F" w:rsidP="00B61D9D">
      <w:pPr>
        <w:spacing w:line="240" w:lineRule="auto"/>
        <w:rPr>
          <w:szCs w:val="22"/>
        </w:rPr>
      </w:pPr>
    </w:p>
    <w:p w14:paraId="0A661C7F" w14:textId="77777777" w:rsidR="00966B8F" w:rsidRPr="001775D9" w:rsidRDefault="00966B8F" w:rsidP="00EE60D5">
      <w:pPr>
        <w:tabs>
          <w:tab w:val="clear" w:pos="567"/>
        </w:tabs>
        <w:autoSpaceDE w:val="0"/>
        <w:autoSpaceDN w:val="0"/>
        <w:adjustRightInd w:val="0"/>
        <w:spacing w:line="240" w:lineRule="auto"/>
        <w:rPr>
          <w:szCs w:val="22"/>
          <w:shd w:val="pct15" w:color="auto" w:fill="FFFFFF"/>
          <w:lang w:eastAsia="en-GB"/>
        </w:rPr>
      </w:pPr>
      <w:r w:rsidRPr="001775D9">
        <w:rPr>
          <w:szCs w:val="22"/>
          <w:shd w:val="pct15" w:color="auto" w:fill="FFFFFF"/>
          <w:lang w:eastAsia="en-GB"/>
        </w:rPr>
        <w:t>Solution for injection</w:t>
      </w:r>
    </w:p>
    <w:p w14:paraId="0AF969BF" w14:textId="1D8514BE" w:rsidR="000A4196" w:rsidRPr="001775D9" w:rsidRDefault="000A4196" w:rsidP="00EE60D5">
      <w:pPr>
        <w:spacing w:line="240" w:lineRule="auto"/>
        <w:rPr>
          <w:szCs w:val="22"/>
        </w:rPr>
      </w:pPr>
      <w:r w:rsidRPr="001775D9">
        <w:rPr>
          <w:szCs w:val="22"/>
        </w:rPr>
        <w:t>80 mg/0.8 mL</w:t>
      </w:r>
    </w:p>
    <w:p w14:paraId="0A5FDCAD" w14:textId="45312F89" w:rsidR="00966B8F" w:rsidRPr="001775D9" w:rsidRDefault="00966B8F" w:rsidP="00EE60D5">
      <w:pPr>
        <w:spacing w:line="240" w:lineRule="auto"/>
        <w:rPr>
          <w:szCs w:val="22"/>
        </w:rPr>
      </w:pPr>
      <w:r w:rsidRPr="001775D9">
        <w:rPr>
          <w:szCs w:val="22"/>
        </w:rPr>
        <w:t xml:space="preserve">1 </w:t>
      </w:r>
      <w:r w:rsidRPr="00D55B59">
        <w:rPr>
          <w:szCs w:val="22"/>
          <w:lang w:eastAsia="en-GB"/>
          <w:rPrChange w:id="2623" w:author="Author">
            <w:rPr>
              <w:szCs w:val="22"/>
              <w:lang w:val="en-US" w:eastAsia="en-GB"/>
            </w:rPr>
          </w:rPrChange>
        </w:rPr>
        <w:t>SureClick</w:t>
      </w:r>
      <w:r w:rsidRPr="001775D9">
        <w:rPr>
          <w:szCs w:val="22"/>
        </w:rPr>
        <w:t xml:space="preserve"> pre-filled pen. </w:t>
      </w:r>
      <w:r w:rsidRPr="001775D9">
        <w:rPr>
          <w:rFonts w:eastAsia="SimSun"/>
        </w:rPr>
        <w:t>Component</w:t>
      </w:r>
      <w:r w:rsidRPr="001775D9">
        <w:rPr>
          <w:rFonts w:eastAsia="SimSun"/>
          <w:lang w:eastAsia="zh-TW"/>
        </w:rPr>
        <w:t xml:space="preserve"> of a multipack, can’t be sold separately.</w:t>
      </w:r>
    </w:p>
    <w:p w14:paraId="1AA19697" w14:textId="77777777" w:rsidR="00966B8F" w:rsidRPr="001775D9" w:rsidRDefault="00966B8F" w:rsidP="00B61D9D">
      <w:pPr>
        <w:spacing w:line="240" w:lineRule="auto"/>
        <w:rPr>
          <w:szCs w:val="22"/>
        </w:rPr>
      </w:pPr>
    </w:p>
    <w:p w14:paraId="441AEC1B" w14:textId="77777777" w:rsidR="00966B8F" w:rsidRPr="001775D9" w:rsidRDefault="00966B8F" w:rsidP="00B61D9D">
      <w:pPr>
        <w:spacing w:line="240" w:lineRule="auto"/>
        <w:rPr>
          <w:szCs w:val="22"/>
        </w:rPr>
      </w:pPr>
    </w:p>
    <w:p w14:paraId="57E0AC10" w14:textId="44C9129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5.</w:t>
      </w:r>
      <w:r w:rsidRPr="001775D9">
        <w:rPr>
          <w:b/>
          <w:szCs w:val="22"/>
        </w:rPr>
        <w:tab/>
        <w:t>METHOD AND ROUTE(S) OF ADMINISTRATION</w:t>
      </w:r>
      <w:r w:rsidR="001C55FB" w:rsidRPr="001775D9">
        <w:rPr>
          <w:b/>
          <w:szCs w:val="22"/>
        </w:rPr>
        <w:fldChar w:fldCharType="begin"/>
      </w:r>
      <w:r w:rsidR="001C55FB" w:rsidRPr="001775D9">
        <w:rPr>
          <w:b/>
          <w:szCs w:val="22"/>
        </w:rPr>
        <w:instrText xml:space="preserve"> DOCVARIABLE VAULT_ND_803826f0-7f57-4d77-b3d5-84bce07242fc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135BD00" w14:textId="77777777" w:rsidR="00966B8F" w:rsidRPr="001775D9" w:rsidRDefault="00966B8F" w:rsidP="00B61D9D">
      <w:pPr>
        <w:spacing w:line="240" w:lineRule="auto"/>
        <w:rPr>
          <w:szCs w:val="22"/>
        </w:rPr>
      </w:pPr>
    </w:p>
    <w:p w14:paraId="65A08503" w14:textId="77777777" w:rsidR="00966B8F" w:rsidRPr="001775D9" w:rsidRDefault="00966B8F" w:rsidP="00EE60D5">
      <w:pPr>
        <w:spacing w:line="240" w:lineRule="auto"/>
        <w:rPr>
          <w:szCs w:val="22"/>
        </w:rPr>
      </w:pPr>
      <w:r w:rsidRPr="001775D9">
        <w:rPr>
          <w:szCs w:val="22"/>
        </w:rPr>
        <w:t>For subcutaneous use.</w:t>
      </w:r>
    </w:p>
    <w:p w14:paraId="5A1BA007" w14:textId="77777777" w:rsidR="00966B8F" w:rsidRPr="001775D9" w:rsidRDefault="00966B8F" w:rsidP="00B61D9D">
      <w:pPr>
        <w:spacing w:line="240" w:lineRule="auto"/>
        <w:rPr>
          <w:szCs w:val="22"/>
        </w:rPr>
      </w:pPr>
      <w:r w:rsidRPr="001775D9">
        <w:rPr>
          <w:szCs w:val="22"/>
        </w:rPr>
        <w:t>Read the package leaflet before use.</w:t>
      </w:r>
    </w:p>
    <w:p w14:paraId="70D70182" w14:textId="77777777" w:rsidR="00966B8F" w:rsidRPr="001775D9" w:rsidRDefault="00966B8F" w:rsidP="00B61D9D">
      <w:pPr>
        <w:spacing w:line="240" w:lineRule="auto"/>
        <w:rPr>
          <w:szCs w:val="22"/>
        </w:rPr>
      </w:pPr>
      <w:r w:rsidRPr="001775D9">
        <w:rPr>
          <w:szCs w:val="22"/>
        </w:rPr>
        <w:t>Single use only.</w:t>
      </w:r>
    </w:p>
    <w:p w14:paraId="0361D7AF" w14:textId="77777777" w:rsidR="00966B8F" w:rsidRPr="001775D9" w:rsidRDefault="00966B8F" w:rsidP="00B61D9D">
      <w:pPr>
        <w:spacing w:line="240" w:lineRule="auto"/>
        <w:rPr>
          <w:szCs w:val="22"/>
        </w:rPr>
      </w:pPr>
    </w:p>
    <w:p w14:paraId="5B9C0700" w14:textId="77777777" w:rsidR="00966B8F" w:rsidRPr="001775D9" w:rsidRDefault="00966B8F" w:rsidP="00B61D9D">
      <w:pPr>
        <w:spacing w:line="240" w:lineRule="auto"/>
        <w:rPr>
          <w:szCs w:val="22"/>
        </w:rPr>
      </w:pPr>
    </w:p>
    <w:p w14:paraId="0BC56E35" w14:textId="2BF5466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6.</w:t>
      </w:r>
      <w:r w:rsidRPr="001775D9">
        <w:rPr>
          <w:b/>
          <w:szCs w:val="22"/>
        </w:rPr>
        <w:tab/>
        <w:t>SPECIAL WARNING THAT THE MEDICINAL PRODUCT MUST BE STORED OUT OF THE SIGHT AND REACH OF CHILDREN</w:t>
      </w:r>
      <w:r w:rsidR="001C55FB" w:rsidRPr="001775D9">
        <w:rPr>
          <w:b/>
          <w:szCs w:val="22"/>
        </w:rPr>
        <w:fldChar w:fldCharType="begin"/>
      </w:r>
      <w:r w:rsidR="001C55FB" w:rsidRPr="001775D9">
        <w:rPr>
          <w:b/>
          <w:szCs w:val="22"/>
        </w:rPr>
        <w:instrText xml:space="preserve"> DOCVARIABLE VAULT_ND_782e6258-be09-42d1-92c1-6480be8a35d9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021AD9D" w14:textId="77777777" w:rsidR="00966B8F" w:rsidRPr="001775D9" w:rsidRDefault="00966B8F" w:rsidP="00B61D9D">
      <w:pPr>
        <w:spacing w:line="240" w:lineRule="auto"/>
        <w:rPr>
          <w:szCs w:val="22"/>
        </w:rPr>
      </w:pPr>
    </w:p>
    <w:p w14:paraId="170E2905" w14:textId="0AC4C1E1" w:rsidR="00966B8F" w:rsidRPr="001775D9" w:rsidRDefault="00966B8F" w:rsidP="00B61D9D">
      <w:pPr>
        <w:spacing w:line="240" w:lineRule="auto"/>
        <w:outlineLvl w:val="0"/>
        <w:rPr>
          <w:szCs w:val="22"/>
        </w:rPr>
      </w:pPr>
      <w:r w:rsidRPr="001775D9">
        <w:rPr>
          <w:szCs w:val="22"/>
        </w:rPr>
        <w:t>Keep out of the sight and reach of children.</w:t>
      </w:r>
      <w:r w:rsidR="001C55FB" w:rsidRPr="001775D9">
        <w:rPr>
          <w:szCs w:val="22"/>
        </w:rPr>
        <w:fldChar w:fldCharType="begin"/>
      </w:r>
      <w:r w:rsidR="001C55FB" w:rsidRPr="001775D9">
        <w:rPr>
          <w:szCs w:val="22"/>
        </w:rPr>
        <w:instrText xml:space="preserve"> DOCVARIABLE vault_nd_59fc7333-3aac-4d38-8431-cdd846ad07a2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15485526" w14:textId="77777777" w:rsidR="00966B8F" w:rsidRPr="001775D9" w:rsidRDefault="00966B8F" w:rsidP="00B61D9D">
      <w:pPr>
        <w:spacing w:line="240" w:lineRule="auto"/>
        <w:rPr>
          <w:szCs w:val="22"/>
        </w:rPr>
      </w:pPr>
    </w:p>
    <w:p w14:paraId="12F74C5A" w14:textId="77777777" w:rsidR="00966B8F" w:rsidRPr="001775D9" w:rsidRDefault="00966B8F" w:rsidP="00B61D9D">
      <w:pPr>
        <w:spacing w:line="240" w:lineRule="auto"/>
        <w:rPr>
          <w:szCs w:val="22"/>
        </w:rPr>
      </w:pPr>
    </w:p>
    <w:p w14:paraId="3438DF5B" w14:textId="75520EF8"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7.</w:t>
      </w:r>
      <w:r w:rsidRPr="001775D9">
        <w:rPr>
          <w:b/>
          <w:szCs w:val="22"/>
        </w:rPr>
        <w:tab/>
        <w:t>OTHER SPECIAL WARNING(S), IF NECESSARY</w:t>
      </w:r>
      <w:r w:rsidR="001C55FB" w:rsidRPr="001775D9">
        <w:rPr>
          <w:b/>
          <w:szCs w:val="22"/>
        </w:rPr>
        <w:fldChar w:fldCharType="begin"/>
      </w:r>
      <w:r w:rsidR="001C55FB" w:rsidRPr="001775D9">
        <w:rPr>
          <w:b/>
          <w:szCs w:val="22"/>
        </w:rPr>
        <w:instrText xml:space="preserve"> DOCVARIABLE VAULT_ND_b011f82e-72da-40b5-b9a9-44bd14e3589e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4DD648D" w14:textId="77777777" w:rsidR="00966B8F" w:rsidRPr="001775D9" w:rsidRDefault="00966B8F" w:rsidP="00B61D9D">
      <w:pPr>
        <w:spacing w:line="240" w:lineRule="auto"/>
        <w:rPr>
          <w:szCs w:val="22"/>
        </w:rPr>
      </w:pPr>
    </w:p>
    <w:p w14:paraId="3C673B6E" w14:textId="77777777" w:rsidR="00966B8F" w:rsidRPr="001775D9" w:rsidRDefault="00966B8F" w:rsidP="00B61D9D">
      <w:pPr>
        <w:tabs>
          <w:tab w:val="left" w:pos="749"/>
        </w:tabs>
        <w:spacing w:line="240" w:lineRule="auto"/>
      </w:pPr>
    </w:p>
    <w:p w14:paraId="5F5FCC5E" w14:textId="4549372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pPr>
      <w:r w:rsidRPr="001775D9">
        <w:rPr>
          <w:b/>
        </w:rPr>
        <w:t>8.</w:t>
      </w:r>
      <w:r w:rsidRPr="001775D9">
        <w:rPr>
          <w:b/>
        </w:rPr>
        <w:tab/>
        <w:t>EXPIRY DATE</w:t>
      </w:r>
      <w:r w:rsidR="001C55FB" w:rsidRPr="001775D9">
        <w:rPr>
          <w:b/>
        </w:rPr>
        <w:fldChar w:fldCharType="begin"/>
      </w:r>
      <w:r w:rsidR="001C55FB" w:rsidRPr="001775D9">
        <w:rPr>
          <w:b/>
        </w:rPr>
        <w:instrText xml:space="preserve"> DOCVARIABLE VAULT_ND_41063656-8858-4aa1-86f1-bf3af1fb72fc \* MERGEFORMAT </w:instrText>
      </w:r>
      <w:r w:rsidR="001C55FB" w:rsidRPr="001775D9">
        <w:rPr>
          <w:b/>
        </w:rPr>
        <w:fldChar w:fldCharType="separate"/>
      </w:r>
      <w:r w:rsidR="001C55FB" w:rsidRPr="001775D9">
        <w:rPr>
          <w:b/>
        </w:rPr>
        <w:t xml:space="preserve"> </w:t>
      </w:r>
      <w:r w:rsidR="001C55FB" w:rsidRPr="001775D9">
        <w:rPr>
          <w:b/>
        </w:rPr>
        <w:fldChar w:fldCharType="end"/>
      </w:r>
    </w:p>
    <w:p w14:paraId="79301114" w14:textId="77777777" w:rsidR="00966B8F" w:rsidRPr="001775D9" w:rsidRDefault="00966B8F" w:rsidP="00B61D9D">
      <w:pPr>
        <w:spacing w:line="240" w:lineRule="auto"/>
      </w:pPr>
    </w:p>
    <w:p w14:paraId="440C31CA" w14:textId="77777777" w:rsidR="00966B8F" w:rsidRPr="001775D9" w:rsidRDefault="00966B8F" w:rsidP="00B61D9D">
      <w:pPr>
        <w:spacing w:line="240" w:lineRule="auto"/>
        <w:rPr>
          <w:szCs w:val="22"/>
        </w:rPr>
      </w:pPr>
      <w:r w:rsidRPr="001775D9">
        <w:rPr>
          <w:szCs w:val="22"/>
        </w:rPr>
        <w:t xml:space="preserve">EXP </w:t>
      </w:r>
    </w:p>
    <w:p w14:paraId="22DEE03C" w14:textId="77777777" w:rsidR="00966B8F" w:rsidRPr="001775D9" w:rsidRDefault="00966B8F" w:rsidP="00B61D9D">
      <w:pPr>
        <w:spacing w:line="240" w:lineRule="auto"/>
        <w:rPr>
          <w:szCs w:val="22"/>
        </w:rPr>
      </w:pPr>
    </w:p>
    <w:p w14:paraId="5B4D2D12" w14:textId="77777777" w:rsidR="00966B8F" w:rsidRPr="001775D9" w:rsidRDefault="00966B8F" w:rsidP="00B61D9D">
      <w:pPr>
        <w:spacing w:line="240" w:lineRule="auto"/>
        <w:rPr>
          <w:szCs w:val="22"/>
        </w:rPr>
      </w:pPr>
    </w:p>
    <w:p w14:paraId="3AC6EC1F" w14:textId="1B786139" w:rsidR="00966B8F" w:rsidRPr="001775D9" w:rsidRDefault="00966B8F" w:rsidP="001104D8">
      <w:pPr>
        <w:keepNext/>
        <w:keepLines/>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9.</w:t>
      </w:r>
      <w:r w:rsidRPr="001775D9">
        <w:rPr>
          <w:b/>
          <w:szCs w:val="22"/>
        </w:rPr>
        <w:tab/>
        <w:t>SPECIAL STORAGE CONDITIONS</w:t>
      </w:r>
      <w:r w:rsidR="001C55FB" w:rsidRPr="001775D9">
        <w:rPr>
          <w:b/>
          <w:szCs w:val="22"/>
        </w:rPr>
        <w:fldChar w:fldCharType="begin"/>
      </w:r>
      <w:r w:rsidR="001C55FB" w:rsidRPr="001775D9">
        <w:rPr>
          <w:b/>
          <w:szCs w:val="22"/>
        </w:rPr>
        <w:instrText xml:space="preserve"> DOCVARIABLE VAULT_ND_fbfc3897-001f-4406-8dcc-14ef8e90e73b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C5D4044" w14:textId="77777777" w:rsidR="00966B8F" w:rsidRPr="001775D9" w:rsidRDefault="00966B8F" w:rsidP="001104D8">
      <w:pPr>
        <w:keepNext/>
        <w:keepLines/>
        <w:spacing w:line="240" w:lineRule="auto"/>
        <w:rPr>
          <w:szCs w:val="22"/>
        </w:rPr>
      </w:pPr>
    </w:p>
    <w:p w14:paraId="20777D32" w14:textId="77777777" w:rsidR="00966B8F" w:rsidRPr="001775D9" w:rsidRDefault="00966B8F" w:rsidP="001104D8">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Store in a refrigerator.</w:t>
      </w:r>
    </w:p>
    <w:p w14:paraId="230AB0D2" w14:textId="77777777" w:rsidR="00966B8F" w:rsidRPr="001775D9" w:rsidRDefault="00966B8F" w:rsidP="001104D8">
      <w:pPr>
        <w:keepNext/>
        <w:keepLines/>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Do not freeze.</w:t>
      </w:r>
    </w:p>
    <w:p w14:paraId="6C2E30F8" w14:textId="77777777" w:rsidR="00966B8F" w:rsidRPr="001775D9" w:rsidRDefault="00966B8F" w:rsidP="00966B8F">
      <w:pPr>
        <w:spacing w:line="240" w:lineRule="auto"/>
        <w:rPr>
          <w:rFonts w:eastAsia="SimSun"/>
          <w:szCs w:val="22"/>
          <w:lang w:eastAsia="en-GB"/>
        </w:rPr>
      </w:pPr>
      <w:r w:rsidRPr="001775D9">
        <w:rPr>
          <w:rFonts w:eastAsia="SimSun"/>
          <w:szCs w:val="22"/>
          <w:lang w:eastAsia="en-GB"/>
        </w:rPr>
        <w:t>Store in the original carton in order to protect from light.</w:t>
      </w:r>
    </w:p>
    <w:p w14:paraId="43197B47" w14:textId="77777777" w:rsidR="00966B8F" w:rsidRPr="001775D9" w:rsidRDefault="00966B8F" w:rsidP="00966B8F">
      <w:pPr>
        <w:spacing w:line="240" w:lineRule="auto"/>
        <w:rPr>
          <w:rFonts w:eastAsia="SimSun"/>
          <w:szCs w:val="22"/>
          <w:lang w:eastAsia="en-GB"/>
        </w:rPr>
      </w:pPr>
    </w:p>
    <w:p w14:paraId="439B1CE6" w14:textId="77777777" w:rsidR="00966B8F" w:rsidRPr="001775D9" w:rsidRDefault="00966B8F" w:rsidP="00966B8F">
      <w:pPr>
        <w:spacing w:line="240" w:lineRule="auto"/>
        <w:rPr>
          <w:rFonts w:eastAsia="SimSun"/>
          <w:szCs w:val="22"/>
          <w:lang w:eastAsia="en-GB"/>
        </w:rPr>
      </w:pPr>
    </w:p>
    <w:p w14:paraId="30B06FAF" w14:textId="795A884A"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10.</w:t>
      </w:r>
      <w:r w:rsidRPr="001775D9">
        <w:rPr>
          <w:b/>
          <w:szCs w:val="22"/>
        </w:rPr>
        <w:tab/>
        <w:t>SPECIAL PRECAUTIONS FOR DISPOSAL OF UNUSED MEDICINAL PRODUCTS OR WASTE MATERIALS DERIVED FROM SUCH MEDICINAL PRODUCTS, IF APPROPRIATE</w:t>
      </w:r>
      <w:r w:rsidR="001C55FB" w:rsidRPr="001775D9">
        <w:rPr>
          <w:b/>
          <w:szCs w:val="22"/>
        </w:rPr>
        <w:fldChar w:fldCharType="begin"/>
      </w:r>
      <w:r w:rsidR="001C55FB" w:rsidRPr="001775D9">
        <w:rPr>
          <w:b/>
          <w:szCs w:val="22"/>
        </w:rPr>
        <w:instrText xml:space="preserve"> DOCVARIABLE VAULT_ND_a5d76cda-a7a2-4f85-9341-ce18646d86c8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BB95507" w14:textId="77777777" w:rsidR="00966B8F" w:rsidRPr="001775D9" w:rsidRDefault="00966B8F" w:rsidP="00B61D9D">
      <w:pPr>
        <w:spacing w:line="240" w:lineRule="auto"/>
        <w:rPr>
          <w:szCs w:val="22"/>
        </w:rPr>
      </w:pPr>
    </w:p>
    <w:p w14:paraId="0FFFE030" w14:textId="77777777" w:rsidR="00966B8F" w:rsidRPr="001775D9" w:rsidRDefault="00966B8F" w:rsidP="00B61D9D">
      <w:pPr>
        <w:spacing w:line="240" w:lineRule="auto"/>
        <w:rPr>
          <w:szCs w:val="22"/>
        </w:rPr>
      </w:pPr>
    </w:p>
    <w:p w14:paraId="6648419D" w14:textId="47C9E8DB"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11.</w:t>
      </w:r>
      <w:r w:rsidRPr="001775D9">
        <w:rPr>
          <w:b/>
          <w:szCs w:val="22"/>
        </w:rPr>
        <w:tab/>
        <w:t>NAME AND ADDRESS OF THE MARKETING AUTHORISATION HOLDER</w:t>
      </w:r>
      <w:r w:rsidR="001C55FB" w:rsidRPr="001775D9">
        <w:rPr>
          <w:b/>
          <w:szCs w:val="22"/>
        </w:rPr>
        <w:fldChar w:fldCharType="begin"/>
      </w:r>
      <w:r w:rsidR="001C55FB" w:rsidRPr="001775D9">
        <w:rPr>
          <w:b/>
          <w:szCs w:val="22"/>
        </w:rPr>
        <w:instrText xml:space="preserve"> DOCVARIABLE VAULT_ND_1a0e7c90-cea3-4842-bdde-11c621dc893c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D0A1C5E" w14:textId="77777777" w:rsidR="00966B8F" w:rsidRPr="001775D9" w:rsidRDefault="00966B8F" w:rsidP="00B61D9D">
      <w:pPr>
        <w:spacing w:line="240" w:lineRule="auto"/>
        <w:rPr>
          <w:szCs w:val="22"/>
        </w:rPr>
      </w:pPr>
    </w:p>
    <w:p w14:paraId="07EF376A"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624" w:author="Author">
            <w:rPr>
              <w:rFonts w:eastAsia="SimSun"/>
              <w:szCs w:val="22"/>
              <w:lang w:val="sv-SE" w:eastAsia="en-GB"/>
            </w:rPr>
          </w:rPrChange>
        </w:rPr>
      </w:pPr>
      <w:r w:rsidRPr="00D55B59">
        <w:rPr>
          <w:rFonts w:eastAsia="SimSun"/>
          <w:szCs w:val="22"/>
          <w:lang w:eastAsia="en-GB"/>
          <w:rPrChange w:id="2625" w:author="Author">
            <w:rPr>
              <w:rFonts w:eastAsia="SimSun"/>
              <w:szCs w:val="22"/>
              <w:lang w:val="sv-SE" w:eastAsia="en-GB"/>
            </w:rPr>
          </w:rPrChange>
        </w:rPr>
        <w:t>Amgen Europe B.V.</w:t>
      </w:r>
    </w:p>
    <w:p w14:paraId="7F2D9B52" w14:textId="77777777" w:rsidR="00966B8F" w:rsidRPr="00D55B59" w:rsidRDefault="00966B8F" w:rsidP="00EE60D5">
      <w:pPr>
        <w:tabs>
          <w:tab w:val="clear" w:pos="567"/>
        </w:tabs>
        <w:autoSpaceDE w:val="0"/>
        <w:autoSpaceDN w:val="0"/>
        <w:adjustRightInd w:val="0"/>
        <w:spacing w:line="240" w:lineRule="auto"/>
        <w:rPr>
          <w:rFonts w:eastAsia="SimSun"/>
          <w:szCs w:val="22"/>
          <w:lang w:eastAsia="en-GB"/>
          <w:rPrChange w:id="2626" w:author="Author">
            <w:rPr>
              <w:rFonts w:eastAsia="SimSun"/>
              <w:szCs w:val="22"/>
              <w:lang w:val="sv-SE" w:eastAsia="en-GB"/>
            </w:rPr>
          </w:rPrChange>
        </w:rPr>
      </w:pPr>
      <w:r w:rsidRPr="00D55B59">
        <w:rPr>
          <w:rFonts w:eastAsia="SimSun"/>
          <w:szCs w:val="22"/>
          <w:lang w:eastAsia="en-GB"/>
          <w:rPrChange w:id="2627" w:author="Author">
            <w:rPr>
              <w:rFonts w:eastAsia="SimSun"/>
              <w:szCs w:val="22"/>
              <w:lang w:val="sv-SE" w:eastAsia="en-GB"/>
            </w:rPr>
          </w:rPrChange>
        </w:rPr>
        <w:t>Minervum 7061,</w:t>
      </w:r>
    </w:p>
    <w:p w14:paraId="13AC9360" w14:textId="77777777" w:rsidR="00966B8F" w:rsidRPr="001775D9" w:rsidRDefault="00966B8F" w:rsidP="00EE60D5">
      <w:pPr>
        <w:tabs>
          <w:tab w:val="clear" w:pos="567"/>
        </w:tabs>
        <w:autoSpaceDE w:val="0"/>
        <w:autoSpaceDN w:val="0"/>
        <w:adjustRightInd w:val="0"/>
        <w:spacing w:line="240" w:lineRule="auto"/>
        <w:rPr>
          <w:rFonts w:eastAsia="SimSun"/>
          <w:szCs w:val="22"/>
          <w:lang w:eastAsia="en-GB"/>
        </w:rPr>
      </w:pPr>
      <w:r w:rsidRPr="001775D9">
        <w:rPr>
          <w:rFonts w:eastAsia="SimSun"/>
          <w:szCs w:val="22"/>
          <w:lang w:eastAsia="en-GB"/>
        </w:rPr>
        <w:t>4817 ZK Breda,</w:t>
      </w:r>
    </w:p>
    <w:p w14:paraId="5E9E83A5" w14:textId="77777777" w:rsidR="00966B8F" w:rsidRPr="001775D9" w:rsidRDefault="00966B8F" w:rsidP="00EE60D5">
      <w:pPr>
        <w:spacing w:line="240" w:lineRule="auto"/>
        <w:rPr>
          <w:szCs w:val="22"/>
        </w:rPr>
      </w:pPr>
      <w:r w:rsidRPr="001775D9">
        <w:rPr>
          <w:rFonts w:eastAsia="SimSun"/>
          <w:szCs w:val="22"/>
          <w:lang w:eastAsia="en-GB"/>
        </w:rPr>
        <w:t>The Netherlands</w:t>
      </w:r>
      <w:r w:rsidRPr="001775D9">
        <w:rPr>
          <w:i/>
          <w:szCs w:val="22"/>
        </w:rPr>
        <w:t xml:space="preserve"> </w:t>
      </w:r>
    </w:p>
    <w:p w14:paraId="022D2C82" w14:textId="77777777" w:rsidR="00966B8F" w:rsidRPr="001775D9" w:rsidRDefault="00966B8F" w:rsidP="00B61D9D">
      <w:pPr>
        <w:spacing w:line="240" w:lineRule="auto"/>
        <w:rPr>
          <w:szCs w:val="22"/>
        </w:rPr>
      </w:pPr>
    </w:p>
    <w:p w14:paraId="1A11295B" w14:textId="77777777" w:rsidR="00966B8F" w:rsidRPr="001775D9" w:rsidRDefault="00966B8F" w:rsidP="00B61D9D">
      <w:pPr>
        <w:spacing w:line="240" w:lineRule="auto"/>
        <w:rPr>
          <w:szCs w:val="22"/>
        </w:rPr>
      </w:pPr>
    </w:p>
    <w:p w14:paraId="1F6C4F65" w14:textId="08B4D5D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12.</w:t>
      </w:r>
      <w:r w:rsidRPr="001775D9">
        <w:rPr>
          <w:b/>
          <w:szCs w:val="22"/>
        </w:rPr>
        <w:tab/>
        <w:t>MARKETING AUTHORISATION NUMBER(S)</w:t>
      </w:r>
      <w:r w:rsidR="001C55FB" w:rsidRPr="001775D9">
        <w:rPr>
          <w:b/>
          <w:szCs w:val="22"/>
        </w:rPr>
        <w:fldChar w:fldCharType="begin"/>
      </w:r>
      <w:r w:rsidR="001C55FB" w:rsidRPr="001775D9">
        <w:rPr>
          <w:b/>
          <w:szCs w:val="22"/>
        </w:rPr>
        <w:instrText xml:space="preserve"> DOCVARIABLE VAULT_ND_3c638e9f-740a-4005-a3d2-84eda26c9a47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92E9D2D" w14:textId="77777777" w:rsidR="00966B8F" w:rsidRPr="001775D9" w:rsidRDefault="00966B8F" w:rsidP="00B61D9D">
      <w:pPr>
        <w:spacing w:line="240" w:lineRule="auto"/>
        <w:rPr>
          <w:szCs w:val="22"/>
        </w:rPr>
      </w:pPr>
    </w:p>
    <w:p w14:paraId="2C5085C4" w14:textId="1D02D6E3" w:rsidR="00966B8F" w:rsidRPr="001775D9" w:rsidRDefault="00966B8F" w:rsidP="00EE60D5">
      <w:pPr>
        <w:spacing w:line="240" w:lineRule="auto"/>
        <w:outlineLvl w:val="0"/>
        <w:rPr>
          <w:szCs w:val="22"/>
        </w:rPr>
      </w:pPr>
      <w:r w:rsidRPr="001775D9">
        <w:rPr>
          <w:color w:val="000000"/>
        </w:rPr>
        <w:t>EU/1/16/1164/022</w:t>
      </w:r>
      <w:r w:rsidR="001C55FB" w:rsidRPr="001775D9">
        <w:rPr>
          <w:color w:val="000000"/>
        </w:rPr>
        <w:fldChar w:fldCharType="begin"/>
      </w:r>
      <w:r w:rsidR="001C55FB" w:rsidRPr="001775D9">
        <w:rPr>
          <w:color w:val="000000"/>
        </w:rPr>
        <w:instrText xml:space="preserve"> DOCVARIABLE VAULT_ND_cceaba4c-290f-46d0-be1b-7d71f1f323dd \* MERGEFORMAT </w:instrText>
      </w:r>
      <w:r w:rsidR="001C55FB" w:rsidRPr="001775D9">
        <w:rPr>
          <w:color w:val="000000"/>
        </w:rPr>
        <w:fldChar w:fldCharType="separate"/>
      </w:r>
      <w:r w:rsidR="001C55FB" w:rsidRPr="001775D9">
        <w:rPr>
          <w:color w:val="000000"/>
        </w:rPr>
        <w:t xml:space="preserve"> </w:t>
      </w:r>
      <w:r w:rsidR="001C55FB" w:rsidRPr="001775D9">
        <w:rPr>
          <w:color w:val="000000"/>
        </w:rPr>
        <w:fldChar w:fldCharType="end"/>
      </w:r>
    </w:p>
    <w:p w14:paraId="28286F72" w14:textId="77777777" w:rsidR="00966B8F" w:rsidRPr="001775D9" w:rsidRDefault="00966B8F" w:rsidP="00B61D9D">
      <w:pPr>
        <w:spacing w:line="240" w:lineRule="auto"/>
        <w:rPr>
          <w:szCs w:val="22"/>
        </w:rPr>
      </w:pPr>
    </w:p>
    <w:p w14:paraId="32482794" w14:textId="77777777" w:rsidR="00966B8F" w:rsidRPr="001775D9" w:rsidRDefault="00966B8F" w:rsidP="00B61D9D">
      <w:pPr>
        <w:spacing w:line="240" w:lineRule="auto"/>
        <w:rPr>
          <w:szCs w:val="22"/>
        </w:rPr>
      </w:pPr>
    </w:p>
    <w:p w14:paraId="15233754" w14:textId="0E4BAEB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13.</w:t>
      </w:r>
      <w:r w:rsidRPr="001775D9">
        <w:rPr>
          <w:b/>
          <w:szCs w:val="22"/>
        </w:rPr>
        <w:tab/>
        <w:t>BATCH NUMBER</w:t>
      </w:r>
      <w:r w:rsidR="001C55FB" w:rsidRPr="001775D9">
        <w:rPr>
          <w:b/>
          <w:szCs w:val="22"/>
        </w:rPr>
        <w:fldChar w:fldCharType="begin"/>
      </w:r>
      <w:r w:rsidR="001C55FB" w:rsidRPr="001775D9">
        <w:rPr>
          <w:b/>
          <w:szCs w:val="22"/>
        </w:rPr>
        <w:instrText xml:space="preserve"> DOCVARIABLE VAULT_ND_9360cf08-b03a-4f40-835d-abd3c4e65c73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30E4DD6" w14:textId="77777777" w:rsidR="00966B8F" w:rsidRPr="001775D9" w:rsidRDefault="00966B8F" w:rsidP="00B61D9D">
      <w:pPr>
        <w:spacing w:line="240" w:lineRule="auto"/>
        <w:rPr>
          <w:i/>
          <w:szCs w:val="22"/>
        </w:rPr>
      </w:pPr>
    </w:p>
    <w:p w14:paraId="56CCC6AF" w14:textId="77777777" w:rsidR="00966B8F" w:rsidRPr="001775D9" w:rsidRDefault="00966B8F" w:rsidP="00B61D9D">
      <w:pPr>
        <w:spacing w:line="240" w:lineRule="auto"/>
        <w:rPr>
          <w:szCs w:val="22"/>
        </w:rPr>
      </w:pPr>
      <w:r w:rsidRPr="001775D9">
        <w:rPr>
          <w:szCs w:val="22"/>
        </w:rPr>
        <w:t>Lot</w:t>
      </w:r>
    </w:p>
    <w:p w14:paraId="08EF0D68" w14:textId="77777777" w:rsidR="00966B8F" w:rsidRPr="001775D9" w:rsidRDefault="00966B8F" w:rsidP="00B61D9D">
      <w:pPr>
        <w:spacing w:line="240" w:lineRule="auto"/>
        <w:rPr>
          <w:szCs w:val="22"/>
        </w:rPr>
      </w:pPr>
    </w:p>
    <w:p w14:paraId="55E2137D" w14:textId="77777777" w:rsidR="00966B8F" w:rsidRPr="001775D9" w:rsidRDefault="00966B8F" w:rsidP="00B61D9D">
      <w:pPr>
        <w:spacing w:line="240" w:lineRule="auto"/>
        <w:rPr>
          <w:szCs w:val="22"/>
        </w:rPr>
      </w:pPr>
    </w:p>
    <w:p w14:paraId="5D1291E7" w14:textId="0F2F97F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14.</w:t>
      </w:r>
      <w:r w:rsidRPr="001775D9">
        <w:rPr>
          <w:b/>
          <w:szCs w:val="22"/>
        </w:rPr>
        <w:tab/>
        <w:t>GENERAL CLASSIFICATION FOR SUPPLY</w:t>
      </w:r>
      <w:r w:rsidR="001C55FB" w:rsidRPr="001775D9">
        <w:rPr>
          <w:b/>
          <w:szCs w:val="22"/>
        </w:rPr>
        <w:fldChar w:fldCharType="begin"/>
      </w:r>
      <w:r w:rsidR="001C55FB" w:rsidRPr="001775D9">
        <w:rPr>
          <w:b/>
          <w:szCs w:val="22"/>
        </w:rPr>
        <w:instrText xml:space="preserve"> DOCVARIABLE VAULT_ND_60f21a01-9df1-4e7f-803a-fb41aa7e332b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C742F8C" w14:textId="77777777" w:rsidR="00966B8F" w:rsidRPr="001775D9" w:rsidRDefault="00966B8F" w:rsidP="00B61D9D">
      <w:pPr>
        <w:spacing w:line="240" w:lineRule="auto"/>
        <w:rPr>
          <w:i/>
          <w:szCs w:val="22"/>
        </w:rPr>
      </w:pPr>
    </w:p>
    <w:p w14:paraId="0050E588" w14:textId="77777777" w:rsidR="00966B8F" w:rsidRPr="001775D9" w:rsidRDefault="00966B8F" w:rsidP="00B61D9D">
      <w:pPr>
        <w:spacing w:line="240" w:lineRule="auto"/>
        <w:rPr>
          <w:szCs w:val="22"/>
        </w:rPr>
      </w:pPr>
    </w:p>
    <w:p w14:paraId="3A823373" w14:textId="4F150C43" w:rsidR="00966B8F" w:rsidRPr="001775D9" w:rsidRDefault="00966B8F" w:rsidP="00B61D9D">
      <w:pPr>
        <w:pBdr>
          <w:top w:val="single" w:sz="4" w:space="2" w:color="auto"/>
          <w:left w:val="single" w:sz="4" w:space="4" w:color="auto"/>
          <w:bottom w:val="single" w:sz="4" w:space="1" w:color="auto"/>
          <w:right w:val="single" w:sz="4" w:space="4" w:color="auto"/>
        </w:pBdr>
        <w:spacing w:line="240" w:lineRule="auto"/>
        <w:ind w:left="567" w:hanging="567"/>
        <w:outlineLvl w:val="0"/>
        <w:rPr>
          <w:szCs w:val="22"/>
        </w:rPr>
      </w:pPr>
      <w:r w:rsidRPr="001775D9">
        <w:rPr>
          <w:b/>
          <w:szCs w:val="22"/>
        </w:rPr>
        <w:t>15.</w:t>
      </w:r>
      <w:r w:rsidRPr="001775D9">
        <w:rPr>
          <w:b/>
          <w:szCs w:val="22"/>
        </w:rPr>
        <w:tab/>
        <w:t>INSTRUCTIONS ON USE</w:t>
      </w:r>
      <w:r w:rsidR="001C55FB" w:rsidRPr="001775D9">
        <w:rPr>
          <w:b/>
          <w:szCs w:val="22"/>
        </w:rPr>
        <w:fldChar w:fldCharType="begin"/>
      </w:r>
      <w:r w:rsidR="001C55FB" w:rsidRPr="001775D9">
        <w:rPr>
          <w:b/>
          <w:szCs w:val="22"/>
        </w:rPr>
        <w:instrText xml:space="preserve"> DOCVARIABLE VAULT_ND_f7c25919-2945-47d0-9e86-7fbb2649ea27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FFCA097" w14:textId="77777777" w:rsidR="00966B8F" w:rsidRPr="001775D9" w:rsidRDefault="00966B8F" w:rsidP="00B61D9D">
      <w:pPr>
        <w:spacing w:line="240" w:lineRule="auto"/>
        <w:rPr>
          <w:szCs w:val="22"/>
        </w:rPr>
      </w:pPr>
    </w:p>
    <w:p w14:paraId="09A9929B" w14:textId="77777777" w:rsidR="00966B8F" w:rsidRPr="001775D9" w:rsidRDefault="00966B8F" w:rsidP="00B61D9D">
      <w:pPr>
        <w:spacing w:line="240" w:lineRule="auto"/>
        <w:rPr>
          <w:szCs w:val="22"/>
        </w:rPr>
      </w:pPr>
    </w:p>
    <w:p w14:paraId="4969FE4E" w14:textId="77777777" w:rsidR="00966B8F" w:rsidRPr="001775D9" w:rsidRDefault="00966B8F" w:rsidP="00B61D9D">
      <w:pPr>
        <w:pBdr>
          <w:top w:val="single" w:sz="4" w:space="1" w:color="auto"/>
          <w:left w:val="single" w:sz="4" w:space="4" w:color="auto"/>
          <w:bottom w:val="single" w:sz="4" w:space="0" w:color="auto"/>
          <w:right w:val="single" w:sz="4" w:space="4" w:color="auto"/>
        </w:pBdr>
        <w:spacing w:line="240" w:lineRule="auto"/>
        <w:ind w:left="567" w:hanging="567"/>
        <w:rPr>
          <w:szCs w:val="22"/>
        </w:rPr>
      </w:pPr>
      <w:r w:rsidRPr="001775D9">
        <w:rPr>
          <w:b/>
          <w:szCs w:val="22"/>
        </w:rPr>
        <w:t>16.</w:t>
      </w:r>
      <w:r w:rsidRPr="001775D9">
        <w:rPr>
          <w:b/>
          <w:szCs w:val="22"/>
        </w:rPr>
        <w:tab/>
        <w:t>INFORMATION IN BRAILLE</w:t>
      </w:r>
    </w:p>
    <w:p w14:paraId="024DC072" w14:textId="77777777" w:rsidR="00966B8F" w:rsidRPr="001775D9" w:rsidRDefault="00966B8F" w:rsidP="00B61D9D">
      <w:pPr>
        <w:spacing w:line="240" w:lineRule="auto"/>
      </w:pPr>
    </w:p>
    <w:p w14:paraId="7BDC7B2D" w14:textId="3CB84E67" w:rsidR="00966B8F" w:rsidRPr="001775D9" w:rsidRDefault="00966B8F" w:rsidP="00B61D9D">
      <w:pPr>
        <w:spacing w:line="240" w:lineRule="auto"/>
      </w:pPr>
      <w:r w:rsidRPr="001775D9">
        <w:t>AMGEVITA 80 mg</w:t>
      </w:r>
      <w:r w:rsidR="000A4196" w:rsidRPr="001775D9">
        <w:t>/0.8 mL</w:t>
      </w:r>
      <w:r w:rsidRPr="001775D9">
        <w:t xml:space="preserve"> pen</w:t>
      </w:r>
    </w:p>
    <w:p w14:paraId="546E5C2B" w14:textId="77777777" w:rsidR="00966B8F" w:rsidRPr="00D55B59" w:rsidRDefault="00966B8F" w:rsidP="00EE60D5">
      <w:pPr>
        <w:spacing w:line="240" w:lineRule="auto"/>
        <w:rPr>
          <w:szCs w:val="22"/>
          <w:shd w:val="clear" w:color="auto" w:fill="CCCCCC"/>
          <w:rPrChange w:id="2628" w:author="Author">
            <w:rPr>
              <w:noProof/>
              <w:szCs w:val="22"/>
              <w:shd w:val="clear" w:color="auto" w:fill="CCCCCC"/>
            </w:rPr>
          </w:rPrChange>
        </w:rPr>
      </w:pPr>
    </w:p>
    <w:p w14:paraId="28D2C0E7" w14:textId="77777777" w:rsidR="00966B8F" w:rsidRPr="00D55B59" w:rsidRDefault="00966B8F" w:rsidP="00EE60D5">
      <w:pPr>
        <w:spacing w:line="240" w:lineRule="auto"/>
        <w:rPr>
          <w:szCs w:val="22"/>
          <w:shd w:val="clear" w:color="auto" w:fill="CCCCCC"/>
          <w:rPrChange w:id="2629" w:author="Author">
            <w:rPr>
              <w:noProof/>
              <w:szCs w:val="22"/>
              <w:shd w:val="clear" w:color="auto" w:fill="CCCCCC"/>
            </w:rPr>
          </w:rPrChange>
        </w:rPr>
      </w:pPr>
    </w:p>
    <w:p w14:paraId="383F2B3F" w14:textId="77777777" w:rsidR="00966B8F" w:rsidRPr="00D55B59" w:rsidRDefault="00966B8F" w:rsidP="00EE60D5">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630" w:author="Author">
            <w:rPr>
              <w:i/>
              <w:noProof/>
            </w:rPr>
          </w:rPrChange>
        </w:rPr>
      </w:pPr>
      <w:r w:rsidRPr="00D55B59">
        <w:rPr>
          <w:b/>
          <w:rPrChange w:id="2631" w:author="Author">
            <w:rPr>
              <w:b/>
              <w:noProof/>
            </w:rPr>
          </w:rPrChange>
        </w:rPr>
        <w:t>17.</w:t>
      </w:r>
      <w:r w:rsidRPr="00D55B59">
        <w:rPr>
          <w:b/>
          <w:rPrChange w:id="2632" w:author="Author">
            <w:rPr>
              <w:b/>
              <w:noProof/>
            </w:rPr>
          </w:rPrChange>
        </w:rPr>
        <w:tab/>
        <w:t>UNIQUE IDENTIFIER – 2D BARCODE</w:t>
      </w:r>
    </w:p>
    <w:p w14:paraId="6A6AD4BE" w14:textId="77777777" w:rsidR="00966B8F" w:rsidRPr="00D55B59" w:rsidRDefault="00966B8F" w:rsidP="00EE60D5">
      <w:pPr>
        <w:tabs>
          <w:tab w:val="clear" w:pos="567"/>
        </w:tabs>
        <w:spacing w:line="240" w:lineRule="auto"/>
        <w:rPr>
          <w:rPrChange w:id="2633" w:author="Author">
            <w:rPr>
              <w:noProof/>
            </w:rPr>
          </w:rPrChange>
        </w:rPr>
      </w:pPr>
    </w:p>
    <w:p w14:paraId="1F707A75" w14:textId="77777777" w:rsidR="00966B8F" w:rsidRPr="00D55B59" w:rsidRDefault="00966B8F" w:rsidP="00EE60D5">
      <w:pPr>
        <w:tabs>
          <w:tab w:val="clear" w:pos="567"/>
        </w:tabs>
        <w:spacing w:line="240" w:lineRule="auto"/>
        <w:rPr>
          <w:rPrChange w:id="2634" w:author="Author">
            <w:rPr>
              <w:noProof/>
            </w:rPr>
          </w:rPrChange>
        </w:rPr>
      </w:pPr>
    </w:p>
    <w:p w14:paraId="39169087" w14:textId="77777777" w:rsidR="00966B8F" w:rsidRPr="00D55B59" w:rsidRDefault="00966B8F" w:rsidP="00EE60D5">
      <w:pPr>
        <w:pBdr>
          <w:top w:val="single" w:sz="4" w:space="1" w:color="auto"/>
          <w:left w:val="single" w:sz="4" w:space="4" w:color="auto"/>
          <w:bottom w:val="single" w:sz="4" w:space="0" w:color="auto"/>
          <w:right w:val="single" w:sz="4" w:space="4" w:color="auto"/>
        </w:pBdr>
        <w:tabs>
          <w:tab w:val="clear" w:pos="567"/>
        </w:tabs>
        <w:spacing w:line="240" w:lineRule="auto"/>
        <w:ind w:left="567" w:hanging="567"/>
        <w:rPr>
          <w:i/>
          <w:rPrChange w:id="2635" w:author="Author">
            <w:rPr>
              <w:i/>
              <w:noProof/>
            </w:rPr>
          </w:rPrChange>
        </w:rPr>
      </w:pPr>
      <w:r w:rsidRPr="00D55B59">
        <w:rPr>
          <w:b/>
          <w:rPrChange w:id="2636" w:author="Author">
            <w:rPr>
              <w:b/>
              <w:noProof/>
            </w:rPr>
          </w:rPrChange>
        </w:rPr>
        <w:t>18.</w:t>
      </w:r>
      <w:r w:rsidRPr="00D55B59">
        <w:rPr>
          <w:b/>
          <w:rPrChange w:id="2637" w:author="Author">
            <w:rPr>
              <w:b/>
              <w:noProof/>
            </w:rPr>
          </w:rPrChange>
        </w:rPr>
        <w:tab/>
        <w:t xml:space="preserve">UNIQUE IDENTIFIER </w:t>
      </w:r>
      <w:r w:rsidRPr="001775D9">
        <w:rPr>
          <w:rFonts w:eastAsia="Calibri"/>
        </w:rPr>
        <w:t>-</w:t>
      </w:r>
      <w:r w:rsidRPr="00D55B59">
        <w:rPr>
          <w:b/>
          <w:rPrChange w:id="2638" w:author="Author">
            <w:rPr>
              <w:b/>
              <w:noProof/>
            </w:rPr>
          </w:rPrChange>
        </w:rPr>
        <w:t xml:space="preserve"> HUMAN READABLE DATA</w:t>
      </w:r>
    </w:p>
    <w:p w14:paraId="31B36376" w14:textId="77777777" w:rsidR="00966B8F" w:rsidRPr="00D55B59" w:rsidRDefault="00966B8F" w:rsidP="00EE60D5">
      <w:pPr>
        <w:tabs>
          <w:tab w:val="clear" w:pos="567"/>
        </w:tabs>
        <w:spacing w:line="240" w:lineRule="auto"/>
        <w:rPr>
          <w:rPrChange w:id="2639" w:author="Author">
            <w:rPr>
              <w:noProof/>
            </w:rPr>
          </w:rPrChange>
        </w:rPr>
      </w:pPr>
    </w:p>
    <w:p w14:paraId="5D7F65CD" w14:textId="77777777" w:rsidR="0023403E" w:rsidRPr="00D55B59" w:rsidRDefault="0023403E" w:rsidP="00EE60D5">
      <w:pPr>
        <w:tabs>
          <w:tab w:val="clear" w:pos="567"/>
        </w:tabs>
        <w:spacing w:line="240" w:lineRule="auto"/>
        <w:rPr>
          <w:rPrChange w:id="2640" w:author="Author">
            <w:rPr>
              <w:noProof/>
            </w:rPr>
          </w:rPrChange>
        </w:rPr>
      </w:pPr>
    </w:p>
    <w:p w14:paraId="49FB663B" w14:textId="7777777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br w:type="page"/>
        <w:t>MINIMUM PARTICULARS TO APPEAR ON SMALL IMMEDIATE PACKAGING UNITS</w:t>
      </w:r>
    </w:p>
    <w:p w14:paraId="4C8DC065" w14:textId="77777777"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rPr>
          <w:b/>
          <w:szCs w:val="22"/>
        </w:rPr>
      </w:pPr>
    </w:p>
    <w:p w14:paraId="751AD029" w14:textId="77777777" w:rsidR="00966B8F" w:rsidRPr="001775D9" w:rsidRDefault="00966B8F" w:rsidP="00EE60D5">
      <w:pPr>
        <w:pBdr>
          <w:top w:val="single" w:sz="4" w:space="1" w:color="auto"/>
          <w:left w:val="single" w:sz="4" w:space="4" w:color="auto"/>
          <w:bottom w:val="single" w:sz="4" w:space="1" w:color="auto"/>
          <w:right w:val="single" w:sz="4" w:space="4" w:color="auto"/>
        </w:pBdr>
        <w:spacing w:line="240" w:lineRule="auto"/>
        <w:rPr>
          <w:b/>
          <w:szCs w:val="22"/>
        </w:rPr>
      </w:pPr>
      <w:r w:rsidRPr="001775D9">
        <w:rPr>
          <w:b/>
          <w:szCs w:val="22"/>
        </w:rPr>
        <w:t>LABEL PRE-FILLED PEN</w:t>
      </w:r>
    </w:p>
    <w:p w14:paraId="20B09D32" w14:textId="77777777" w:rsidR="00966B8F" w:rsidRPr="001775D9" w:rsidRDefault="00966B8F" w:rsidP="00B61D9D">
      <w:pPr>
        <w:spacing w:line="240" w:lineRule="auto"/>
        <w:rPr>
          <w:szCs w:val="22"/>
        </w:rPr>
      </w:pPr>
    </w:p>
    <w:p w14:paraId="328B5B03" w14:textId="77777777" w:rsidR="00966B8F" w:rsidRPr="001775D9" w:rsidRDefault="00966B8F" w:rsidP="00B61D9D">
      <w:pPr>
        <w:spacing w:line="240" w:lineRule="auto"/>
        <w:rPr>
          <w:szCs w:val="22"/>
        </w:rPr>
      </w:pPr>
    </w:p>
    <w:p w14:paraId="272F3F62" w14:textId="0A059900"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1.</w:t>
      </w:r>
      <w:r w:rsidRPr="001775D9">
        <w:rPr>
          <w:b/>
          <w:szCs w:val="22"/>
        </w:rPr>
        <w:tab/>
        <w:t>NAME OF THE MEDICINAL PRODUCT AND ROUTE(S) OF ADMINISTRATION</w:t>
      </w:r>
      <w:r w:rsidR="001C55FB" w:rsidRPr="001775D9">
        <w:rPr>
          <w:b/>
          <w:szCs w:val="22"/>
        </w:rPr>
        <w:fldChar w:fldCharType="begin"/>
      </w:r>
      <w:r w:rsidR="001C55FB" w:rsidRPr="001775D9">
        <w:rPr>
          <w:b/>
          <w:szCs w:val="22"/>
        </w:rPr>
        <w:instrText xml:space="preserve"> DOCVARIABLE VAULT_ND_e6ad89d3-2255-4340-849b-9a78c0eb8acc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5A9F5C68" w14:textId="77777777" w:rsidR="00966B8F" w:rsidRPr="001775D9" w:rsidRDefault="00966B8F" w:rsidP="00B61D9D">
      <w:pPr>
        <w:spacing w:line="240" w:lineRule="auto"/>
        <w:ind w:left="567" w:hanging="567"/>
        <w:rPr>
          <w:szCs w:val="22"/>
        </w:rPr>
      </w:pPr>
    </w:p>
    <w:p w14:paraId="2EA8D866" w14:textId="40323C31" w:rsidR="00966B8F" w:rsidRPr="001775D9" w:rsidRDefault="00966B8F" w:rsidP="00B61D9D">
      <w:pPr>
        <w:spacing w:line="240" w:lineRule="auto"/>
        <w:rPr>
          <w:szCs w:val="22"/>
        </w:rPr>
      </w:pPr>
      <w:r w:rsidRPr="001775D9">
        <w:rPr>
          <w:szCs w:val="22"/>
        </w:rPr>
        <w:t>AMGEVITA 80 mg injection</w:t>
      </w:r>
    </w:p>
    <w:p w14:paraId="1E8299FF" w14:textId="77777777" w:rsidR="00966B8F" w:rsidRPr="001775D9" w:rsidRDefault="00966B8F" w:rsidP="00B61D9D">
      <w:pPr>
        <w:spacing w:line="240" w:lineRule="auto"/>
        <w:rPr>
          <w:szCs w:val="22"/>
        </w:rPr>
      </w:pPr>
      <w:r w:rsidRPr="001775D9">
        <w:rPr>
          <w:szCs w:val="22"/>
        </w:rPr>
        <w:t>adalimumab</w:t>
      </w:r>
    </w:p>
    <w:p w14:paraId="135A966B" w14:textId="77777777" w:rsidR="00966B8F" w:rsidRPr="001775D9" w:rsidRDefault="00966B8F" w:rsidP="00B61D9D">
      <w:pPr>
        <w:spacing w:line="240" w:lineRule="auto"/>
        <w:rPr>
          <w:szCs w:val="22"/>
        </w:rPr>
      </w:pPr>
      <w:r w:rsidRPr="001775D9">
        <w:rPr>
          <w:szCs w:val="22"/>
        </w:rPr>
        <w:t>SC</w:t>
      </w:r>
    </w:p>
    <w:p w14:paraId="154944FD" w14:textId="77777777" w:rsidR="00966B8F" w:rsidRPr="001775D9" w:rsidRDefault="00966B8F" w:rsidP="00B61D9D">
      <w:pPr>
        <w:spacing w:line="240" w:lineRule="auto"/>
        <w:rPr>
          <w:szCs w:val="22"/>
        </w:rPr>
      </w:pPr>
    </w:p>
    <w:p w14:paraId="36E867A4" w14:textId="77777777" w:rsidR="00966B8F" w:rsidRPr="001775D9" w:rsidRDefault="00966B8F" w:rsidP="00B61D9D">
      <w:pPr>
        <w:spacing w:line="240" w:lineRule="auto"/>
        <w:rPr>
          <w:szCs w:val="22"/>
        </w:rPr>
      </w:pPr>
    </w:p>
    <w:p w14:paraId="0CDCCE3B" w14:textId="42212185"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2.</w:t>
      </w:r>
      <w:r w:rsidRPr="001775D9">
        <w:rPr>
          <w:b/>
          <w:szCs w:val="22"/>
        </w:rPr>
        <w:tab/>
        <w:t>METHOD OF ADMINISTRATION</w:t>
      </w:r>
      <w:r w:rsidR="001C55FB" w:rsidRPr="001775D9">
        <w:rPr>
          <w:b/>
          <w:szCs w:val="22"/>
        </w:rPr>
        <w:fldChar w:fldCharType="begin"/>
      </w:r>
      <w:r w:rsidR="001C55FB" w:rsidRPr="001775D9">
        <w:rPr>
          <w:b/>
          <w:szCs w:val="22"/>
        </w:rPr>
        <w:instrText xml:space="preserve"> DOCVARIABLE VAULT_ND_7df4d044-ffe3-4f05-af95-eb7fdf212761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DE06422" w14:textId="77777777" w:rsidR="00966B8F" w:rsidRPr="001775D9" w:rsidRDefault="00966B8F" w:rsidP="00B61D9D">
      <w:pPr>
        <w:spacing w:line="240" w:lineRule="auto"/>
        <w:rPr>
          <w:szCs w:val="22"/>
        </w:rPr>
      </w:pPr>
    </w:p>
    <w:p w14:paraId="746E36C1" w14:textId="77777777" w:rsidR="00966B8F" w:rsidRPr="001775D9" w:rsidRDefault="00966B8F" w:rsidP="00B61D9D">
      <w:pPr>
        <w:spacing w:line="240" w:lineRule="auto"/>
        <w:rPr>
          <w:szCs w:val="22"/>
        </w:rPr>
      </w:pPr>
    </w:p>
    <w:p w14:paraId="4337721D" w14:textId="617CB4EE"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3.</w:t>
      </w:r>
      <w:r w:rsidRPr="001775D9">
        <w:rPr>
          <w:b/>
          <w:szCs w:val="22"/>
        </w:rPr>
        <w:tab/>
        <w:t>EXPIRY DATE</w:t>
      </w:r>
      <w:r w:rsidR="001C55FB" w:rsidRPr="001775D9">
        <w:rPr>
          <w:b/>
          <w:szCs w:val="22"/>
        </w:rPr>
        <w:fldChar w:fldCharType="begin"/>
      </w:r>
      <w:r w:rsidR="001C55FB" w:rsidRPr="001775D9">
        <w:rPr>
          <w:b/>
          <w:szCs w:val="22"/>
        </w:rPr>
        <w:instrText xml:space="preserve"> DOCVARIABLE VAULT_ND_7dddb736-c6c2-416c-a543-6658b7d4665c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121A0DF" w14:textId="77777777" w:rsidR="00966B8F" w:rsidRPr="001775D9" w:rsidRDefault="00966B8F" w:rsidP="00B61D9D">
      <w:pPr>
        <w:spacing w:line="240" w:lineRule="auto"/>
      </w:pPr>
    </w:p>
    <w:p w14:paraId="422558CA" w14:textId="77777777" w:rsidR="00966B8F" w:rsidRPr="001775D9" w:rsidRDefault="00966B8F" w:rsidP="00B61D9D">
      <w:pPr>
        <w:spacing w:line="240" w:lineRule="auto"/>
      </w:pPr>
      <w:r w:rsidRPr="001775D9">
        <w:t xml:space="preserve">EXP </w:t>
      </w:r>
    </w:p>
    <w:p w14:paraId="2DCC05B1" w14:textId="77777777" w:rsidR="00966B8F" w:rsidRPr="001775D9" w:rsidRDefault="00966B8F" w:rsidP="00B61D9D">
      <w:pPr>
        <w:spacing w:line="240" w:lineRule="auto"/>
      </w:pPr>
    </w:p>
    <w:p w14:paraId="070315A5" w14:textId="77777777" w:rsidR="00966B8F" w:rsidRPr="001775D9" w:rsidRDefault="00966B8F" w:rsidP="00B61D9D">
      <w:pPr>
        <w:spacing w:line="240" w:lineRule="auto"/>
      </w:pPr>
    </w:p>
    <w:p w14:paraId="1C621337" w14:textId="465165FD"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rPr>
      </w:pPr>
      <w:r w:rsidRPr="001775D9">
        <w:rPr>
          <w:b/>
        </w:rPr>
        <w:t>4.</w:t>
      </w:r>
      <w:r w:rsidRPr="001775D9">
        <w:rPr>
          <w:b/>
        </w:rPr>
        <w:tab/>
        <w:t>BATCH NUMBER</w:t>
      </w:r>
      <w:r w:rsidR="001C55FB" w:rsidRPr="001775D9">
        <w:rPr>
          <w:b/>
        </w:rPr>
        <w:fldChar w:fldCharType="begin"/>
      </w:r>
      <w:r w:rsidR="001C55FB" w:rsidRPr="001775D9">
        <w:rPr>
          <w:b/>
        </w:rPr>
        <w:instrText xml:space="preserve"> DOCVARIABLE VAULT_ND_7fd3ec93-9ca5-492e-9e95-c24402fa132c \* MERGEFORMAT </w:instrText>
      </w:r>
      <w:r w:rsidR="001C55FB" w:rsidRPr="001775D9">
        <w:rPr>
          <w:b/>
        </w:rPr>
        <w:fldChar w:fldCharType="separate"/>
      </w:r>
      <w:r w:rsidR="001C55FB" w:rsidRPr="001775D9">
        <w:rPr>
          <w:b/>
        </w:rPr>
        <w:t xml:space="preserve"> </w:t>
      </w:r>
      <w:r w:rsidR="001C55FB" w:rsidRPr="001775D9">
        <w:rPr>
          <w:b/>
        </w:rPr>
        <w:fldChar w:fldCharType="end"/>
      </w:r>
    </w:p>
    <w:p w14:paraId="7987E843" w14:textId="77777777" w:rsidR="00966B8F" w:rsidRPr="001775D9" w:rsidRDefault="00966B8F" w:rsidP="00B61D9D">
      <w:pPr>
        <w:spacing w:line="240" w:lineRule="auto"/>
        <w:ind w:right="113"/>
      </w:pPr>
    </w:p>
    <w:p w14:paraId="6DE656E3" w14:textId="77777777" w:rsidR="00966B8F" w:rsidRPr="001775D9" w:rsidRDefault="00966B8F" w:rsidP="00B61D9D">
      <w:pPr>
        <w:spacing w:line="240" w:lineRule="auto"/>
        <w:ind w:right="113"/>
      </w:pPr>
      <w:r w:rsidRPr="001775D9">
        <w:t>Lot</w:t>
      </w:r>
    </w:p>
    <w:p w14:paraId="38A028BE" w14:textId="77777777" w:rsidR="00966B8F" w:rsidRPr="001775D9" w:rsidRDefault="00966B8F" w:rsidP="00B61D9D">
      <w:pPr>
        <w:spacing w:line="240" w:lineRule="auto"/>
        <w:ind w:right="113"/>
      </w:pPr>
    </w:p>
    <w:p w14:paraId="7347D89D" w14:textId="77777777" w:rsidR="00966B8F" w:rsidRPr="001775D9" w:rsidRDefault="00966B8F" w:rsidP="00B61D9D">
      <w:pPr>
        <w:spacing w:line="240" w:lineRule="auto"/>
        <w:ind w:right="113"/>
      </w:pPr>
    </w:p>
    <w:p w14:paraId="264DE5D7" w14:textId="5B7402A4"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5.</w:t>
      </w:r>
      <w:r w:rsidRPr="001775D9">
        <w:rPr>
          <w:b/>
          <w:szCs w:val="22"/>
        </w:rPr>
        <w:tab/>
        <w:t>CONTENTS BY WEIGHT, BY VOLUME OR BY UNIT</w:t>
      </w:r>
      <w:r w:rsidR="001C55FB" w:rsidRPr="001775D9">
        <w:rPr>
          <w:b/>
          <w:szCs w:val="22"/>
        </w:rPr>
        <w:fldChar w:fldCharType="begin"/>
      </w:r>
      <w:r w:rsidR="001C55FB" w:rsidRPr="001775D9">
        <w:rPr>
          <w:b/>
          <w:szCs w:val="22"/>
        </w:rPr>
        <w:instrText xml:space="preserve"> DOCVARIABLE VAULT_ND_8e91bc72-44bd-4b29-9f1e-616bed1727aa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57724AD" w14:textId="77777777" w:rsidR="00966B8F" w:rsidRPr="001775D9" w:rsidRDefault="00966B8F" w:rsidP="00B61D9D">
      <w:pPr>
        <w:spacing w:line="240" w:lineRule="auto"/>
        <w:ind w:right="113"/>
        <w:rPr>
          <w:szCs w:val="22"/>
        </w:rPr>
      </w:pPr>
    </w:p>
    <w:p w14:paraId="16C6C3D6" w14:textId="77777777" w:rsidR="00966B8F" w:rsidRPr="001775D9" w:rsidRDefault="00966B8F" w:rsidP="00B61D9D">
      <w:pPr>
        <w:spacing w:line="240" w:lineRule="auto"/>
        <w:ind w:right="113"/>
        <w:rPr>
          <w:szCs w:val="22"/>
        </w:rPr>
      </w:pPr>
      <w:r w:rsidRPr="001775D9">
        <w:rPr>
          <w:szCs w:val="22"/>
        </w:rPr>
        <w:t>0.8 mL</w:t>
      </w:r>
    </w:p>
    <w:p w14:paraId="6253AB0D" w14:textId="77777777" w:rsidR="00966B8F" w:rsidRPr="001775D9" w:rsidRDefault="00966B8F" w:rsidP="00B61D9D">
      <w:pPr>
        <w:spacing w:line="240" w:lineRule="auto"/>
        <w:ind w:right="113"/>
        <w:rPr>
          <w:szCs w:val="22"/>
        </w:rPr>
      </w:pPr>
    </w:p>
    <w:p w14:paraId="3ED60869" w14:textId="77777777" w:rsidR="00966B8F" w:rsidRPr="001775D9" w:rsidRDefault="00966B8F" w:rsidP="00B61D9D">
      <w:pPr>
        <w:spacing w:line="240" w:lineRule="auto"/>
        <w:ind w:right="113"/>
        <w:rPr>
          <w:szCs w:val="22"/>
        </w:rPr>
      </w:pPr>
    </w:p>
    <w:p w14:paraId="340D7332" w14:textId="14DDD9CD" w:rsidR="00966B8F" w:rsidRPr="001775D9" w:rsidRDefault="00966B8F" w:rsidP="00B61D9D">
      <w:pPr>
        <w:pBdr>
          <w:top w:val="single" w:sz="4" w:space="1" w:color="auto"/>
          <w:left w:val="single" w:sz="4" w:space="4" w:color="auto"/>
          <w:bottom w:val="single" w:sz="4" w:space="1" w:color="auto"/>
          <w:right w:val="single" w:sz="4" w:space="4" w:color="auto"/>
        </w:pBdr>
        <w:spacing w:line="240" w:lineRule="auto"/>
        <w:ind w:left="567" w:hanging="567"/>
        <w:outlineLvl w:val="0"/>
        <w:rPr>
          <w:b/>
          <w:szCs w:val="22"/>
        </w:rPr>
      </w:pPr>
      <w:r w:rsidRPr="001775D9">
        <w:rPr>
          <w:b/>
          <w:szCs w:val="22"/>
        </w:rPr>
        <w:t>6.</w:t>
      </w:r>
      <w:r w:rsidRPr="001775D9">
        <w:rPr>
          <w:b/>
          <w:szCs w:val="22"/>
        </w:rPr>
        <w:tab/>
        <w:t>OTHER</w:t>
      </w:r>
      <w:r w:rsidR="001C55FB" w:rsidRPr="001775D9">
        <w:rPr>
          <w:b/>
          <w:szCs w:val="22"/>
        </w:rPr>
        <w:fldChar w:fldCharType="begin"/>
      </w:r>
      <w:r w:rsidR="001C55FB" w:rsidRPr="001775D9">
        <w:rPr>
          <w:b/>
          <w:szCs w:val="22"/>
        </w:rPr>
        <w:instrText xml:space="preserve"> DOCVARIABLE VAULT_ND_a0ffb341-77fd-4459-8094-fbb9d0e239cf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30910D8" w14:textId="77777777" w:rsidR="00966B8F" w:rsidRPr="001775D9" w:rsidRDefault="00966B8F" w:rsidP="00B61D9D">
      <w:pPr>
        <w:spacing w:line="240" w:lineRule="auto"/>
        <w:ind w:right="113"/>
        <w:rPr>
          <w:szCs w:val="22"/>
        </w:rPr>
      </w:pPr>
    </w:p>
    <w:p w14:paraId="0DD7F37B" w14:textId="77777777" w:rsidR="00966B8F" w:rsidRPr="001775D9" w:rsidRDefault="00966B8F" w:rsidP="00B61D9D">
      <w:pPr>
        <w:spacing w:line="240" w:lineRule="auto"/>
        <w:ind w:right="113"/>
      </w:pPr>
    </w:p>
    <w:p w14:paraId="30A47454" w14:textId="77777777" w:rsidR="00966B8F" w:rsidRPr="001775D9" w:rsidRDefault="00966B8F" w:rsidP="00B61D9D">
      <w:pPr>
        <w:spacing w:line="240" w:lineRule="auto"/>
      </w:pPr>
    </w:p>
    <w:p w14:paraId="300F7F4D" w14:textId="77777777" w:rsidR="00966B8F" w:rsidRPr="001775D9" w:rsidRDefault="00966B8F" w:rsidP="00B61D9D">
      <w:pPr>
        <w:spacing w:line="240" w:lineRule="auto"/>
      </w:pPr>
    </w:p>
    <w:p w14:paraId="103C04F3" w14:textId="5D937D12" w:rsidR="00477B51" w:rsidRPr="001775D9" w:rsidRDefault="00477B51" w:rsidP="00B61D9D">
      <w:pPr>
        <w:shd w:val="clear" w:color="auto" w:fill="FFFFFF"/>
        <w:spacing w:line="240" w:lineRule="auto"/>
      </w:pPr>
    </w:p>
    <w:p w14:paraId="6996A4DC" w14:textId="77777777" w:rsidR="00477B51" w:rsidRPr="001775D9" w:rsidRDefault="00477B51" w:rsidP="00B61D9D">
      <w:pPr>
        <w:spacing w:line="240" w:lineRule="auto"/>
        <w:ind w:right="113"/>
      </w:pPr>
    </w:p>
    <w:p w14:paraId="049B38A7" w14:textId="533F80CF" w:rsidR="00C42229" w:rsidRPr="001775D9" w:rsidRDefault="00C42229" w:rsidP="00B61D9D">
      <w:pPr>
        <w:spacing w:line="240" w:lineRule="auto"/>
        <w:ind w:right="113"/>
      </w:pPr>
      <w:r w:rsidRPr="001775D9">
        <w:br w:type="page"/>
      </w:r>
    </w:p>
    <w:p w14:paraId="51D90EC5" w14:textId="77777777" w:rsidR="00C42229" w:rsidRPr="001775D9" w:rsidRDefault="00C42229" w:rsidP="00B61D9D">
      <w:pPr>
        <w:spacing w:line="240" w:lineRule="auto"/>
        <w:outlineLvl w:val="0"/>
        <w:rPr>
          <w:b/>
        </w:rPr>
      </w:pPr>
    </w:p>
    <w:p w14:paraId="0F188CF0" w14:textId="77777777" w:rsidR="00C42229" w:rsidRPr="001775D9" w:rsidRDefault="00C42229" w:rsidP="00B61D9D">
      <w:pPr>
        <w:spacing w:line="240" w:lineRule="auto"/>
        <w:outlineLvl w:val="0"/>
        <w:rPr>
          <w:b/>
        </w:rPr>
      </w:pPr>
    </w:p>
    <w:p w14:paraId="3BE37FD8" w14:textId="77777777" w:rsidR="00C42229" w:rsidRPr="001775D9" w:rsidRDefault="00C42229" w:rsidP="00B61D9D">
      <w:pPr>
        <w:spacing w:line="240" w:lineRule="auto"/>
        <w:outlineLvl w:val="0"/>
        <w:rPr>
          <w:b/>
        </w:rPr>
      </w:pPr>
    </w:p>
    <w:p w14:paraId="21AC6533" w14:textId="77777777" w:rsidR="00C42229" w:rsidRPr="001775D9" w:rsidRDefault="00C42229" w:rsidP="00B61D9D">
      <w:pPr>
        <w:spacing w:line="240" w:lineRule="auto"/>
        <w:outlineLvl w:val="0"/>
        <w:rPr>
          <w:b/>
        </w:rPr>
      </w:pPr>
    </w:p>
    <w:p w14:paraId="6DB3264C" w14:textId="77777777" w:rsidR="00C42229" w:rsidRPr="001775D9" w:rsidRDefault="00C42229" w:rsidP="00B61D9D">
      <w:pPr>
        <w:spacing w:line="240" w:lineRule="auto"/>
        <w:outlineLvl w:val="0"/>
        <w:rPr>
          <w:b/>
        </w:rPr>
      </w:pPr>
    </w:p>
    <w:p w14:paraId="0CD12A79" w14:textId="77777777" w:rsidR="00C42229" w:rsidRPr="001775D9" w:rsidRDefault="00C42229" w:rsidP="00B61D9D">
      <w:pPr>
        <w:spacing w:line="240" w:lineRule="auto"/>
        <w:outlineLvl w:val="0"/>
        <w:rPr>
          <w:b/>
        </w:rPr>
      </w:pPr>
    </w:p>
    <w:p w14:paraId="4F5716FC" w14:textId="77777777" w:rsidR="00C42229" w:rsidRPr="001775D9" w:rsidRDefault="00C42229" w:rsidP="00B61D9D">
      <w:pPr>
        <w:spacing w:line="240" w:lineRule="auto"/>
        <w:outlineLvl w:val="0"/>
        <w:rPr>
          <w:b/>
        </w:rPr>
      </w:pPr>
    </w:p>
    <w:p w14:paraId="5B198FC5" w14:textId="77777777" w:rsidR="00C42229" w:rsidRPr="001775D9" w:rsidRDefault="00C42229" w:rsidP="00B61D9D">
      <w:pPr>
        <w:spacing w:line="240" w:lineRule="auto"/>
        <w:outlineLvl w:val="0"/>
        <w:rPr>
          <w:b/>
        </w:rPr>
      </w:pPr>
    </w:p>
    <w:p w14:paraId="7EAD6AAE" w14:textId="77777777" w:rsidR="00C42229" w:rsidRPr="001775D9" w:rsidRDefault="00C42229" w:rsidP="00B61D9D">
      <w:pPr>
        <w:spacing w:line="240" w:lineRule="auto"/>
        <w:outlineLvl w:val="0"/>
        <w:rPr>
          <w:b/>
        </w:rPr>
      </w:pPr>
    </w:p>
    <w:p w14:paraId="56770D41" w14:textId="77777777" w:rsidR="00C42229" w:rsidRPr="001775D9" w:rsidRDefault="00C42229" w:rsidP="00B61D9D">
      <w:pPr>
        <w:spacing w:line="240" w:lineRule="auto"/>
        <w:outlineLvl w:val="0"/>
        <w:rPr>
          <w:b/>
        </w:rPr>
      </w:pPr>
    </w:p>
    <w:p w14:paraId="30445912" w14:textId="77777777" w:rsidR="00C42229" w:rsidRPr="001775D9" w:rsidRDefault="00C42229" w:rsidP="00B61D9D">
      <w:pPr>
        <w:spacing w:line="240" w:lineRule="auto"/>
        <w:outlineLvl w:val="0"/>
        <w:rPr>
          <w:b/>
        </w:rPr>
      </w:pPr>
    </w:p>
    <w:p w14:paraId="4919D4F1" w14:textId="77777777" w:rsidR="00C42229" w:rsidRPr="001775D9" w:rsidRDefault="00C42229" w:rsidP="00B61D9D">
      <w:pPr>
        <w:spacing w:line="240" w:lineRule="auto"/>
        <w:outlineLvl w:val="0"/>
        <w:rPr>
          <w:b/>
        </w:rPr>
      </w:pPr>
    </w:p>
    <w:p w14:paraId="7F0AED60" w14:textId="77777777" w:rsidR="00C42229" w:rsidRPr="001775D9" w:rsidRDefault="00C42229" w:rsidP="00B61D9D">
      <w:pPr>
        <w:spacing w:line="240" w:lineRule="auto"/>
        <w:outlineLvl w:val="0"/>
        <w:rPr>
          <w:b/>
        </w:rPr>
      </w:pPr>
    </w:p>
    <w:p w14:paraId="6141752F" w14:textId="77777777" w:rsidR="00C42229" w:rsidRPr="001775D9" w:rsidRDefault="00C42229" w:rsidP="00B61D9D">
      <w:pPr>
        <w:spacing w:line="240" w:lineRule="auto"/>
        <w:outlineLvl w:val="0"/>
        <w:rPr>
          <w:b/>
        </w:rPr>
      </w:pPr>
    </w:p>
    <w:p w14:paraId="273968EA" w14:textId="77777777" w:rsidR="00C42229" w:rsidRPr="001775D9" w:rsidRDefault="00C42229" w:rsidP="00B61D9D">
      <w:pPr>
        <w:spacing w:line="240" w:lineRule="auto"/>
        <w:outlineLvl w:val="0"/>
        <w:rPr>
          <w:b/>
        </w:rPr>
      </w:pPr>
    </w:p>
    <w:p w14:paraId="607A8E81" w14:textId="77777777" w:rsidR="00C42229" w:rsidRPr="001775D9" w:rsidRDefault="00C42229" w:rsidP="00B61D9D">
      <w:pPr>
        <w:spacing w:line="240" w:lineRule="auto"/>
        <w:outlineLvl w:val="0"/>
        <w:rPr>
          <w:b/>
        </w:rPr>
      </w:pPr>
    </w:p>
    <w:p w14:paraId="58B9DF3A" w14:textId="77777777" w:rsidR="00E26D69" w:rsidRPr="001775D9" w:rsidRDefault="00E26D69" w:rsidP="00B61D9D">
      <w:pPr>
        <w:spacing w:line="240" w:lineRule="auto"/>
        <w:outlineLvl w:val="0"/>
        <w:rPr>
          <w:b/>
        </w:rPr>
      </w:pPr>
    </w:p>
    <w:p w14:paraId="6DB59147" w14:textId="77777777" w:rsidR="00C42229" w:rsidRPr="001775D9" w:rsidRDefault="00C42229" w:rsidP="00B61D9D">
      <w:pPr>
        <w:spacing w:line="240" w:lineRule="auto"/>
        <w:outlineLvl w:val="0"/>
        <w:rPr>
          <w:b/>
        </w:rPr>
      </w:pPr>
    </w:p>
    <w:p w14:paraId="69934F7F" w14:textId="77777777" w:rsidR="00C42229" w:rsidRPr="001775D9" w:rsidRDefault="00C42229" w:rsidP="00B61D9D">
      <w:pPr>
        <w:spacing w:line="240" w:lineRule="auto"/>
        <w:outlineLvl w:val="0"/>
        <w:rPr>
          <w:b/>
        </w:rPr>
      </w:pPr>
    </w:p>
    <w:p w14:paraId="535D9AF8" w14:textId="77777777" w:rsidR="00C42229" w:rsidRPr="001775D9" w:rsidRDefault="00C42229" w:rsidP="00B61D9D">
      <w:pPr>
        <w:spacing w:line="240" w:lineRule="auto"/>
        <w:outlineLvl w:val="0"/>
        <w:rPr>
          <w:b/>
        </w:rPr>
      </w:pPr>
    </w:p>
    <w:p w14:paraId="490F0225" w14:textId="77777777" w:rsidR="00C42229" w:rsidRPr="001775D9" w:rsidRDefault="00C42229" w:rsidP="00B61D9D">
      <w:pPr>
        <w:spacing w:line="240" w:lineRule="auto"/>
        <w:outlineLvl w:val="0"/>
        <w:rPr>
          <w:b/>
        </w:rPr>
      </w:pPr>
    </w:p>
    <w:p w14:paraId="5FD22E6A" w14:textId="77777777" w:rsidR="00C42229" w:rsidRPr="001775D9" w:rsidRDefault="00C42229" w:rsidP="00B61D9D">
      <w:pPr>
        <w:spacing w:line="240" w:lineRule="auto"/>
        <w:outlineLvl w:val="0"/>
        <w:rPr>
          <w:b/>
        </w:rPr>
      </w:pPr>
    </w:p>
    <w:p w14:paraId="1D4B84B5" w14:textId="77777777" w:rsidR="00C42229" w:rsidRPr="00D55B59" w:rsidRDefault="00C42229" w:rsidP="00FB5458">
      <w:pPr>
        <w:pStyle w:val="TitleA"/>
        <w:rPr>
          <w:b w:val="0"/>
          <w:noProof w:val="0"/>
          <w:rPrChange w:id="2641" w:author="Author">
            <w:rPr>
              <w:b w:val="0"/>
            </w:rPr>
          </w:rPrChange>
        </w:rPr>
      </w:pPr>
      <w:r w:rsidRPr="001775D9">
        <w:rPr>
          <w:noProof w:val="0"/>
          <w:szCs w:val="22"/>
        </w:rPr>
        <w:t>B. PACKAGE LEAFLET</w:t>
      </w:r>
    </w:p>
    <w:p w14:paraId="752ED251" w14:textId="6912203E" w:rsidR="00C42229" w:rsidRPr="001775D9" w:rsidRDefault="00C42229" w:rsidP="00FB5458">
      <w:pPr>
        <w:tabs>
          <w:tab w:val="clear" w:pos="567"/>
        </w:tabs>
        <w:spacing w:line="240" w:lineRule="auto"/>
        <w:jc w:val="center"/>
        <w:outlineLvl w:val="0"/>
      </w:pPr>
      <w:r w:rsidRPr="001775D9">
        <w:rPr>
          <w:szCs w:val="22"/>
        </w:rPr>
        <w:br w:type="page"/>
      </w:r>
      <w:r w:rsidRPr="001775D9">
        <w:rPr>
          <w:b/>
        </w:rPr>
        <w:t xml:space="preserve">Package leaflet: Information for the </w:t>
      </w:r>
      <w:r w:rsidR="006B71D6" w:rsidRPr="001775D9">
        <w:rPr>
          <w:b/>
        </w:rPr>
        <w:t>user</w:t>
      </w:r>
      <w:r w:rsidR="001C55FB" w:rsidRPr="001775D9">
        <w:rPr>
          <w:b/>
        </w:rPr>
        <w:fldChar w:fldCharType="begin"/>
      </w:r>
      <w:r w:rsidR="001C55FB" w:rsidRPr="001775D9">
        <w:rPr>
          <w:b/>
        </w:rPr>
        <w:instrText xml:space="preserve"> DOCVARIABLE vault_nd_62c91093-b05b-49b5-a084-3038449eef63 \* MERGEFORMAT </w:instrText>
      </w:r>
      <w:r w:rsidR="001C55FB" w:rsidRPr="001775D9">
        <w:rPr>
          <w:b/>
        </w:rPr>
        <w:fldChar w:fldCharType="separate"/>
      </w:r>
      <w:r w:rsidR="001C55FB" w:rsidRPr="001775D9">
        <w:rPr>
          <w:b/>
        </w:rPr>
        <w:t xml:space="preserve"> </w:t>
      </w:r>
      <w:r w:rsidR="001C55FB" w:rsidRPr="001775D9">
        <w:rPr>
          <w:b/>
        </w:rPr>
        <w:fldChar w:fldCharType="end"/>
      </w:r>
    </w:p>
    <w:p w14:paraId="204760F8" w14:textId="77777777" w:rsidR="00C42229" w:rsidRPr="001775D9" w:rsidRDefault="00C42229" w:rsidP="00FB5458">
      <w:pPr>
        <w:numPr>
          <w:ilvl w:val="12"/>
          <w:numId w:val="0"/>
        </w:numPr>
        <w:shd w:val="clear" w:color="auto" w:fill="FFFFFF"/>
        <w:tabs>
          <w:tab w:val="clear" w:pos="567"/>
        </w:tabs>
        <w:spacing w:line="240" w:lineRule="auto"/>
        <w:jc w:val="center"/>
      </w:pPr>
    </w:p>
    <w:p w14:paraId="6D5FC12A" w14:textId="0D0250AF" w:rsidR="0098482D" w:rsidRPr="001775D9" w:rsidRDefault="006B71D6" w:rsidP="00FB5458">
      <w:pPr>
        <w:tabs>
          <w:tab w:val="left" w:pos="993"/>
        </w:tabs>
        <w:spacing w:line="240" w:lineRule="auto"/>
        <w:jc w:val="center"/>
        <w:outlineLvl w:val="0"/>
        <w:rPr>
          <w:b/>
        </w:rPr>
      </w:pPr>
      <w:r w:rsidRPr="001775D9">
        <w:rPr>
          <w:b/>
        </w:rPr>
        <w:t>AMGEVITA</w:t>
      </w:r>
      <w:r w:rsidRPr="001775D9" w:rsidDel="006B71D6">
        <w:rPr>
          <w:b/>
        </w:rPr>
        <w:t xml:space="preserve"> </w:t>
      </w:r>
      <w:r w:rsidR="0098482D" w:rsidRPr="001775D9">
        <w:rPr>
          <w:b/>
        </w:rPr>
        <w:t>20</w:t>
      </w:r>
      <w:r w:rsidR="00963FE9" w:rsidRPr="001775D9">
        <w:rPr>
          <w:b/>
        </w:rPr>
        <w:t> </w:t>
      </w:r>
      <w:r w:rsidR="0098482D" w:rsidRPr="001775D9">
        <w:rPr>
          <w:b/>
        </w:rPr>
        <w:t>mg solution for injection in pre-filled syringe</w:t>
      </w:r>
      <w:r w:rsidR="001C55FB" w:rsidRPr="001775D9">
        <w:rPr>
          <w:b/>
        </w:rPr>
        <w:fldChar w:fldCharType="begin"/>
      </w:r>
      <w:r w:rsidR="001C55FB" w:rsidRPr="001775D9">
        <w:rPr>
          <w:b/>
        </w:rPr>
        <w:instrText xml:space="preserve"> DOCVARIABLE vault_nd_b1e01657-4df3-40d7-ad36-8d3654409ec6 \* MERGEFORMAT </w:instrText>
      </w:r>
      <w:r w:rsidR="001C55FB" w:rsidRPr="001775D9">
        <w:rPr>
          <w:b/>
        </w:rPr>
        <w:fldChar w:fldCharType="separate"/>
      </w:r>
      <w:r w:rsidR="001C55FB" w:rsidRPr="001775D9">
        <w:rPr>
          <w:b/>
        </w:rPr>
        <w:t xml:space="preserve"> </w:t>
      </w:r>
      <w:r w:rsidR="001C55FB" w:rsidRPr="001775D9">
        <w:rPr>
          <w:b/>
        </w:rPr>
        <w:fldChar w:fldCharType="end"/>
      </w:r>
    </w:p>
    <w:p w14:paraId="0D825582" w14:textId="74CD91B3" w:rsidR="006B71D6" w:rsidRPr="001775D9" w:rsidRDefault="006B71D6" w:rsidP="00FB5458">
      <w:pPr>
        <w:tabs>
          <w:tab w:val="left" w:pos="993"/>
        </w:tabs>
        <w:spacing w:line="240" w:lineRule="auto"/>
        <w:jc w:val="center"/>
        <w:outlineLvl w:val="0"/>
        <w:rPr>
          <w:b/>
        </w:rPr>
      </w:pPr>
      <w:r w:rsidRPr="001775D9">
        <w:rPr>
          <w:b/>
        </w:rPr>
        <w:t>AMGEVITA 40</w:t>
      </w:r>
      <w:r w:rsidR="00963FE9" w:rsidRPr="001775D9">
        <w:rPr>
          <w:b/>
        </w:rPr>
        <w:t> </w:t>
      </w:r>
      <w:r w:rsidRPr="001775D9">
        <w:rPr>
          <w:b/>
        </w:rPr>
        <w:t>mg solution for injection in pre-filled syringe</w:t>
      </w:r>
      <w:r w:rsidR="001C55FB" w:rsidRPr="001775D9">
        <w:rPr>
          <w:b/>
        </w:rPr>
        <w:fldChar w:fldCharType="begin"/>
      </w:r>
      <w:r w:rsidR="001C55FB" w:rsidRPr="001775D9">
        <w:rPr>
          <w:b/>
        </w:rPr>
        <w:instrText xml:space="preserve"> DOCVARIABLE vault_nd_d9fed458-6518-4a2e-8a65-78e4fad5e57c \* MERGEFORMAT </w:instrText>
      </w:r>
      <w:r w:rsidR="001C55FB" w:rsidRPr="001775D9">
        <w:rPr>
          <w:b/>
        </w:rPr>
        <w:fldChar w:fldCharType="separate"/>
      </w:r>
      <w:r w:rsidR="001C55FB" w:rsidRPr="001775D9">
        <w:rPr>
          <w:b/>
        </w:rPr>
        <w:t xml:space="preserve"> </w:t>
      </w:r>
      <w:r w:rsidR="001C55FB" w:rsidRPr="001775D9">
        <w:rPr>
          <w:b/>
        </w:rPr>
        <w:fldChar w:fldCharType="end"/>
      </w:r>
    </w:p>
    <w:p w14:paraId="5C170968" w14:textId="77777777" w:rsidR="00C42229" w:rsidRPr="001775D9" w:rsidRDefault="000D6E54" w:rsidP="00FB5458">
      <w:pPr>
        <w:numPr>
          <w:ilvl w:val="12"/>
          <w:numId w:val="0"/>
        </w:numPr>
        <w:tabs>
          <w:tab w:val="clear" w:pos="567"/>
        </w:tabs>
        <w:spacing w:line="240" w:lineRule="auto"/>
        <w:jc w:val="center"/>
      </w:pPr>
      <w:r w:rsidRPr="001775D9">
        <w:t>adalimumab</w:t>
      </w:r>
    </w:p>
    <w:p w14:paraId="7AD0C8EC" w14:textId="77777777" w:rsidR="00C42229" w:rsidRPr="001775D9" w:rsidRDefault="00C42229" w:rsidP="00FB5458">
      <w:pPr>
        <w:tabs>
          <w:tab w:val="clear" w:pos="567"/>
        </w:tabs>
        <w:spacing w:line="240" w:lineRule="auto"/>
      </w:pPr>
    </w:p>
    <w:p w14:paraId="7336D928" w14:textId="77777777" w:rsidR="00C42229" w:rsidRPr="001775D9" w:rsidRDefault="00C42229" w:rsidP="00FB5458">
      <w:pPr>
        <w:tabs>
          <w:tab w:val="clear" w:pos="567"/>
        </w:tabs>
        <w:spacing w:line="240" w:lineRule="auto"/>
      </w:pPr>
    </w:p>
    <w:p w14:paraId="1A35C187" w14:textId="77777777" w:rsidR="00C42229" w:rsidRPr="001775D9" w:rsidRDefault="00C42229" w:rsidP="00FB5458">
      <w:pPr>
        <w:tabs>
          <w:tab w:val="clear" w:pos="567"/>
        </w:tabs>
        <w:suppressAutoHyphens/>
        <w:spacing w:line="240" w:lineRule="auto"/>
      </w:pPr>
      <w:r w:rsidRPr="001775D9">
        <w:rPr>
          <w:b/>
        </w:rPr>
        <w:t>Read all of this leaflet carefully before you start using this medicine because it contains important information for you.</w:t>
      </w:r>
    </w:p>
    <w:p w14:paraId="1B4E2466" w14:textId="77777777" w:rsidR="00C42229" w:rsidRPr="001775D9" w:rsidRDefault="00C42229" w:rsidP="00FB5458">
      <w:pPr>
        <w:numPr>
          <w:ilvl w:val="0"/>
          <w:numId w:val="3"/>
        </w:numPr>
        <w:tabs>
          <w:tab w:val="clear" w:pos="567"/>
        </w:tabs>
        <w:spacing w:line="240" w:lineRule="auto"/>
        <w:ind w:left="567" w:right="-2" w:hanging="567"/>
      </w:pPr>
      <w:r w:rsidRPr="001775D9">
        <w:t xml:space="preserve">Keep this leaflet. You may need to read it again. </w:t>
      </w:r>
    </w:p>
    <w:p w14:paraId="1FD7140E" w14:textId="77777777" w:rsidR="00C42229" w:rsidRPr="00D55B59" w:rsidRDefault="00C42229" w:rsidP="00FB5458">
      <w:pPr>
        <w:pStyle w:val="Default"/>
        <w:numPr>
          <w:ilvl w:val="0"/>
          <w:numId w:val="3"/>
        </w:numPr>
        <w:ind w:left="567" w:hanging="567"/>
        <w:rPr>
          <w:sz w:val="22"/>
          <w:szCs w:val="22"/>
          <w:lang w:val="en-GB"/>
          <w:rPrChange w:id="2642" w:author="Author">
            <w:rPr>
              <w:sz w:val="22"/>
              <w:szCs w:val="22"/>
            </w:rPr>
          </w:rPrChange>
        </w:rPr>
      </w:pPr>
      <w:r w:rsidRPr="00D55B59">
        <w:rPr>
          <w:sz w:val="22"/>
          <w:szCs w:val="22"/>
          <w:lang w:val="en-GB"/>
          <w:rPrChange w:id="2643" w:author="Author">
            <w:rPr>
              <w:sz w:val="22"/>
              <w:szCs w:val="22"/>
            </w:rPr>
          </w:rPrChange>
        </w:rPr>
        <w:t xml:space="preserve">Your doctor will also give you a </w:t>
      </w:r>
      <w:r w:rsidR="0067002D" w:rsidRPr="00D55B59">
        <w:rPr>
          <w:b/>
          <w:sz w:val="22"/>
          <w:szCs w:val="22"/>
          <w:lang w:val="en-GB"/>
          <w:rPrChange w:id="2644" w:author="Author">
            <w:rPr>
              <w:b/>
              <w:sz w:val="22"/>
              <w:szCs w:val="22"/>
            </w:rPr>
          </w:rPrChange>
        </w:rPr>
        <w:t>Patient Reminder Card</w:t>
      </w:r>
      <w:r w:rsidRPr="00D55B59">
        <w:rPr>
          <w:sz w:val="22"/>
          <w:szCs w:val="22"/>
          <w:lang w:val="en-GB"/>
          <w:rPrChange w:id="2645" w:author="Author">
            <w:rPr>
              <w:sz w:val="22"/>
              <w:szCs w:val="22"/>
            </w:rPr>
          </w:rPrChange>
        </w:rPr>
        <w:t xml:space="preserve">, which contains important safety information that you need to be aware of before you are given </w:t>
      </w:r>
      <w:r w:rsidR="006B71D6" w:rsidRPr="00D55B59">
        <w:rPr>
          <w:sz w:val="22"/>
          <w:szCs w:val="22"/>
          <w:lang w:val="en-GB"/>
          <w:rPrChange w:id="2646" w:author="Author">
            <w:rPr>
              <w:sz w:val="22"/>
              <w:szCs w:val="22"/>
            </w:rPr>
          </w:rPrChange>
        </w:rPr>
        <w:t>AMGEVITA</w:t>
      </w:r>
      <w:r w:rsidRPr="00D55B59">
        <w:rPr>
          <w:sz w:val="22"/>
          <w:szCs w:val="22"/>
          <w:lang w:val="en-GB"/>
          <w:rPrChange w:id="2647" w:author="Author">
            <w:rPr>
              <w:sz w:val="22"/>
              <w:szCs w:val="22"/>
            </w:rPr>
          </w:rPrChange>
        </w:rPr>
        <w:t xml:space="preserve"> and during treatment with </w:t>
      </w:r>
      <w:r w:rsidR="006B71D6" w:rsidRPr="00D55B59">
        <w:rPr>
          <w:sz w:val="22"/>
          <w:szCs w:val="22"/>
          <w:lang w:val="en-GB"/>
          <w:rPrChange w:id="2648" w:author="Author">
            <w:rPr>
              <w:sz w:val="22"/>
              <w:szCs w:val="22"/>
            </w:rPr>
          </w:rPrChange>
        </w:rPr>
        <w:t>AMGEVITA</w:t>
      </w:r>
      <w:r w:rsidRPr="00D55B59">
        <w:rPr>
          <w:sz w:val="22"/>
          <w:szCs w:val="22"/>
          <w:lang w:val="en-GB"/>
          <w:rPrChange w:id="2649" w:author="Author">
            <w:rPr>
              <w:sz w:val="22"/>
              <w:szCs w:val="22"/>
            </w:rPr>
          </w:rPrChange>
        </w:rPr>
        <w:t xml:space="preserve">. Keep this </w:t>
      </w:r>
      <w:r w:rsidR="0067002D" w:rsidRPr="00D55B59">
        <w:rPr>
          <w:b/>
          <w:sz w:val="22"/>
          <w:szCs w:val="22"/>
          <w:lang w:val="en-GB"/>
          <w:rPrChange w:id="2650" w:author="Author">
            <w:rPr>
              <w:b/>
              <w:sz w:val="22"/>
              <w:szCs w:val="22"/>
            </w:rPr>
          </w:rPrChange>
        </w:rPr>
        <w:t>Patient Reminder Card</w:t>
      </w:r>
      <w:r w:rsidRPr="00D55B59">
        <w:rPr>
          <w:sz w:val="22"/>
          <w:szCs w:val="22"/>
          <w:lang w:val="en-GB"/>
          <w:rPrChange w:id="2651" w:author="Author">
            <w:rPr>
              <w:sz w:val="22"/>
              <w:szCs w:val="22"/>
            </w:rPr>
          </w:rPrChange>
        </w:rPr>
        <w:t xml:space="preserve"> with you. </w:t>
      </w:r>
    </w:p>
    <w:p w14:paraId="19291D01" w14:textId="77777777" w:rsidR="00C42229" w:rsidRPr="001775D9" w:rsidRDefault="00C42229" w:rsidP="00FB5458">
      <w:pPr>
        <w:numPr>
          <w:ilvl w:val="0"/>
          <w:numId w:val="3"/>
        </w:numPr>
        <w:tabs>
          <w:tab w:val="clear" w:pos="567"/>
        </w:tabs>
        <w:spacing w:line="240" w:lineRule="auto"/>
        <w:ind w:left="567" w:right="-2" w:hanging="567"/>
      </w:pPr>
      <w:r w:rsidRPr="001775D9">
        <w:t>If you have any further questions, ask your doctor or pharmacist</w:t>
      </w:r>
      <w:r w:rsidR="006B71D6" w:rsidRPr="001775D9">
        <w:t>.</w:t>
      </w:r>
    </w:p>
    <w:p w14:paraId="594A6084" w14:textId="77777777" w:rsidR="00C42229" w:rsidRPr="001775D9" w:rsidRDefault="00C42229" w:rsidP="00FB5458">
      <w:pPr>
        <w:spacing w:line="240" w:lineRule="auto"/>
        <w:ind w:left="567" w:right="-2" w:hanging="567"/>
      </w:pPr>
      <w:r w:rsidRPr="001775D9">
        <w:t>-</w:t>
      </w:r>
      <w:r w:rsidRPr="001775D9">
        <w:tab/>
        <w:t>This medicine has been prescribed for you only. Do not pass it on to others. It may harm them, even if their signs of illness are the same as yours.</w:t>
      </w:r>
      <w:r w:rsidRPr="001775D9">
        <w:rPr>
          <w:color w:val="008000"/>
        </w:rPr>
        <w:t xml:space="preserve"> </w:t>
      </w:r>
    </w:p>
    <w:p w14:paraId="156587CA" w14:textId="77777777" w:rsidR="00C42229" w:rsidRPr="001775D9" w:rsidRDefault="00C42229" w:rsidP="00B61D9D">
      <w:pPr>
        <w:numPr>
          <w:ilvl w:val="0"/>
          <w:numId w:val="3"/>
        </w:numPr>
        <w:spacing w:line="240" w:lineRule="auto"/>
        <w:ind w:left="567" w:hanging="567"/>
      </w:pPr>
      <w:r w:rsidRPr="001775D9">
        <w:t>If you get any side effects, talk to your doctor or pharmacist. This includes any possible side effects not listed in this leaflet</w:t>
      </w:r>
      <w:r w:rsidR="0015603B" w:rsidRPr="001775D9">
        <w:t xml:space="preserve"> </w:t>
      </w:r>
      <w:r w:rsidR="00FF3096" w:rsidRPr="001775D9">
        <w:t>(s</w:t>
      </w:r>
      <w:r w:rsidRPr="001775D9">
        <w:t>ee section 4</w:t>
      </w:r>
      <w:r w:rsidR="00FF3096" w:rsidRPr="001775D9">
        <w:t>)</w:t>
      </w:r>
      <w:r w:rsidRPr="001775D9">
        <w:t>.</w:t>
      </w:r>
    </w:p>
    <w:p w14:paraId="73171012" w14:textId="77777777" w:rsidR="006B71D6" w:rsidRPr="001775D9" w:rsidRDefault="006B71D6" w:rsidP="00FB5458">
      <w:pPr>
        <w:keepNext/>
        <w:numPr>
          <w:ilvl w:val="12"/>
          <w:numId w:val="0"/>
        </w:numPr>
        <w:tabs>
          <w:tab w:val="clear" w:pos="567"/>
        </w:tabs>
        <w:spacing w:line="240" w:lineRule="auto"/>
        <w:ind w:right="-2"/>
        <w:outlineLvl w:val="0"/>
        <w:rPr>
          <w:b/>
        </w:rPr>
      </w:pPr>
    </w:p>
    <w:p w14:paraId="56D06B83" w14:textId="75D5751F" w:rsidR="006B71D6" w:rsidRPr="001775D9" w:rsidRDefault="00C42229" w:rsidP="00FB5458">
      <w:pPr>
        <w:keepNext/>
        <w:numPr>
          <w:ilvl w:val="12"/>
          <w:numId w:val="0"/>
        </w:numPr>
        <w:tabs>
          <w:tab w:val="clear" w:pos="567"/>
        </w:tabs>
        <w:spacing w:line="240" w:lineRule="auto"/>
        <w:ind w:right="-2"/>
        <w:outlineLvl w:val="0"/>
        <w:rPr>
          <w:b/>
        </w:rPr>
      </w:pPr>
      <w:r w:rsidRPr="001775D9">
        <w:rPr>
          <w:b/>
        </w:rPr>
        <w:t>What is in this leaflet</w:t>
      </w:r>
      <w:r w:rsidR="001C55FB" w:rsidRPr="001775D9">
        <w:rPr>
          <w:b/>
        </w:rPr>
        <w:fldChar w:fldCharType="begin"/>
      </w:r>
      <w:r w:rsidR="001C55FB" w:rsidRPr="001775D9">
        <w:rPr>
          <w:b/>
        </w:rPr>
        <w:instrText xml:space="preserve"> DOCVARIABLE vault_nd_21fa3fbb-c98e-4463-acde-482139e4a34e \* MERGEFORMAT </w:instrText>
      </w:r>
      <w:r w:rsidR="001C55FB" w:rsidRPr="001775D9">
        <w:rPr>
          <w:b/>
        </w:rPr>
        <w:fldChar w:fldCharType="separate"/>
      </w:r>
      <w:r w:rsidR="001C55FB" w:rsidRPr="001775D9">
        <w:rPr>
          <w:b/>
        </w:rPr>
        <w:t xml:space="preserve"> </w:t>
      </w:r>
      <w:r w:rsidR="001C55FB" w:rsidRPr="001775D9">
        <w:rPr>
          <w:b/>
        </w:rPr>
        <w:fldChar w:fldCharType="end"/>
      </w:r>
    </w:p>
    <w:p w14:paraId="14B96CDD" w14:textId="77777777" w:rsidR="006B71D6" w:rsidRPr="001775D9" w:rsidRDefault="006B71D6" w:rsidP="00FB5458">
      <w:pPr>
        <w:keepNext/>
        <w:numPr>
          <w:ilvl w:val="12"/>
          <w:numId w:val="0"/>
        </w:numPr>
        <w:tabs>
          <w:tab w:val="clear" w:pos="567"/>
        </w:tabs>
        <w:spacing w:line="240" w:lineRule="auto"/>
        <w:ind w:right="-2"/>
        <w:outlineLvl w:val="0"/>
      </w:pPr>
    </w:p>
    <w:p w14:paraId="28921FD2" w14:textId="77777777" w:rsidR="00C42229" w:rsidRPr="001775D9" w:rsidRDefault="00C42229" w:rsidP="00FB5458">
      <w:pPr>
        <w:numPr>
          <w:ilvl w:val="12"/>
          <w:numId w:val="0"/>
        </w:numPr>
        <w:spacing w:line="240" w:lineRule="auto"/>
        <w:ind w:left="567" w:hanging="567"/>
      </w:pPr>
      <w:r w:rsidRPr="001775D9">
        <w:t>1.</w:t>
      </w:r>
      <w:r w:rsidRPr="001775D9">
        <w:tab/>
        <w:t xml:space="preserve">What </w:t>
      </w:r>
      <w:r w:rsidR="006B71D6" w:rsidRPr="001775D9">
        <w:rPr>
          <w:szCs w:val="22"/>
        </w:rPr>
        <w:t>AMGEVITA</w:t>
      </w:r>
      <w:r w:rsidRPr="001775D9">
        <w:t xml:space="preserve"> is and what it is used for </w:t>
      </w:r>
    </w:p>
    <w:p w14:paraId="08DB8459" w14:textId="77777777" w:rsidR="00C42229" w:rsidRPr="001775D9" w:rsidRDefault="00C42229" w:rsidP="00FB5458">
      <w:pPr>
        <w:numPr>
          <w:ilvl w:val="12"/>
          <w:numId w:val="0"/>
        </w:numPr>
        <w:spacing w:line="240" w:lineRule="auto"/>
        <w:ind w:left="567" w:hanging="567"/>
      </w:pPr>
      <w:r w:rsidRPr="001775D9">
        <w:t>2.</w:t>
      </w:r>
      <w:r w:rsidRPr="001775D9">
        <w:tab/>
        <w:t xml:space="preserve">What you need to know before you use </w:t>
      </w:r>
      <w:r w:rsidR="006B71D6" w:rsidRPr="001775D9">
        <w:rPr>
          <w:szCs w:val="22"/>
        </w:rPr>
        <w:t>AMGEVITA</w:t>
      </w:r>
      <w:r w:rsidRPr="001775D9">
        <w:t xml:space="preserve"> </w:t>
      </w:r>
    </w:p>
    <w:p w14:paraId="687101A1" w14:textId="77777777" w:rsidR="00C42229" w:rsidRPr="001775D9" w:rsidRDefault="00C42229" w:rsidP="00FB5458">
      <w:pPr>
        <w:numPr>
          <w:ilvl w:val="12"/>
          <w:numId w:val="0"/>
        </w:numPr>
        <w:spacing w:line="240" w:lineRule="auto"/>
        <w:ind w:left="567" w:hanging="567"/>
      </w:pPr>
      <w:r w:rsidRPr="001775D9">
        <w:t>3.</w:t>
      </w:r>
      <w:r w:rsidRPr="001775D9">
        <w:tab/>
        <w:t xml:space="preserve">How to use </w:t>
      </w:r>
      <w:r w:rsidR="006B71D6" w:rsidRPr="001775D9">
        <w:rPr>
          <w:szCs w:val="22"/>
        </w:rPr>
        <w:t>AMGEVITA</w:t>
      </w:r>
    </w:p>
    <w:p w14:paraId="52585946" w14:textId="77777777" w:rsidR="00C42229" w:rsidRPr="001775D9" w:rsidRDefault="00C42229" w:rsidP="00FB5458">
      <w:pPr>
        <w:numPr>
          <w:ilvl w:val="12"/>
          <w:numId w:val="0"/>
        </w:numPr>
        <w:spacing w:line="240" w:lineRule="auto"/>
        <w:ind w:left="567" w:hanging="567"/>
      </w:pPr>
      <w:r w:rsidRPr="001775D9">
        <w:t>4.</w:t>
      </w:r>
      <w:r w:rsidRPr="001775D9">
        <w:tab/>
        <w:t xml:space="preserve">Possible side effects </w:t>
      </w:r>
    </w:p>
    <w:p w14:paraId="2265BFD4" w14:textId="77777777" w:rsidR="00C42229" w:rsidRPr="001775D9" w:rsidRDefault="00C42229" w:rsidP="00FB5458">
      <w:pPr>
        <w:numPr>
          <w:ilvl w:val="12"/>
          <w:numId w:val="0"/>
        </w:numPr>
        <w:spacing w:line="240" w:lineRule="auto"/>
        <w:ind w:left="567" w:hanging="567"/>
      </w:pPr>
      <w:r w:rsidRPr="001775D9">
        <w:t>5.</w:t>
      </w:r>
      <w:r w:rsidRPr="001775D9">
        <w:tab/>
        <w:t xml:space="preserve">How to store </w:t>
      </w:r>
      <w:r w:rsidR="006B71D6" w:rsidRPr="001775D9">
        <w:rPr>
          <w:szCs w:val="22"/>
        </w:rPr>
        <w:t>AMGEVITA</w:t>
      </w:r>
      <w:r w:rsidRPr="001775D9">
        <w:t xml:space="preserve"> </w:t>
      </w:r>
    </w:p>
    <w:p w14:paraId="347CE2FC" w14:textId="77777777" w:rsidR="00C42229" w:rsidRPr="001775D9" w:rsidRDefault="00C42229" w:rsidP="00FB5458">
      <w:pPr>
        <w:numPr>
          <w:ilvl w:val="12"/>
          <w:numId w:val="0"/>
        </w:numPr>
        <w:spacing w:line="240" w:lineRule="auto"/>
        <w:ind w:left="567" w:hanging="567"/>
      </w:pPr>
      <w:r w:rsidRPr="001775D9">
        <w:t>6.</w:t>
      </w:r>
      <w:r w:rsidRPr="001775D9">
        <w:tab/>
        <w:t>Contents of the pack and other information</w:t>
      </w:r>
    </w:p>
    <w:p w14:paraId="361CB583" w14:textId="77777777" w:rsidR="00C42229" w:rsidRPr="001775D9" w:rsidRDefault="00C42229" w:rsidP="00FB5458">
      <w:pPr>
        <w:numPr>
          <w:ilvl w:val="12"/>
          <w:numId w:val="0"/>
        </w:numPr>
        <w:tabs>
          <w:tab w:val="clear" w:pos="567"/>
        </w:tabs>
        <w:spacing w:line="240" w:lineRule="auto"/>
        <w:ind w:right="-2"/>
      </w:pPr>
    </w:p>
    <w:p w14:paraId="066C45E0" w14:textId="77777777" w:rsidR="00C42229" w:rsidRPr="001775D9" w:rsidRDefault="00C42229" w:rsidP="00FB5458">
      <w:pPr>
        <w:numPr>
          <w:ilvl w:val="12"/>
          <w:numId w:val="0"/>
        </w:numPr>
        <w:tabs>
          <w:tab w:val="clear" w:pos="567"/>
        </w:tabs>
        <w:spacing w:line="240" w:lineRule="auto"/>
        <w:rPr>
          <w:szCs w:val="22"/>
        </w:rPr>
      </w:pPr>
    </w:p>
    <w:p w14:paraId="02C14957" w14:textId="77777777" w:rsidR="00C42229" w:rsidRPr="001775D9" w:rsidRDefault="00C42229" w:rsidP="00B61D9D">
      <w:pPr>
        <w:spacing w:line="240" w:lineRule="auto"/>
        <w:ind w:left="567" w:hanging="567"/>
        <w:rPr>
          <w:b/>
          <w:szCs w:val="22"/>
        </w:rPr>
      </w:pPr>
      <w:r w:rsidRPr="001775D9">
        <w:rPr>
          <w:b/>
          <w:szCs w:val="22"/>
        </w:rPr>
        <w:t>1.</w:t>
      </w:r>
      <w:r w:rsidRPr="001775D9">
        <w:rPr>
          <w:b/>
          <w:szCs w:val="22"/>
        </w:rPr>
        <w:tab/>
        <w:t xml:space="preserve">What </w:t>
      </w:r>
      <w:r w:rsidR="006B71D6" w:rsidRPr="001775D9">
        <w:rPr>
          <w:b/>
          <w:szCs w:val="22"/>
        </w:rPr>
        <w:t>AMGEVITA</w:t>
      </w:r>
      <w:r w:rsidRPr="001775D9">
        <w:rPr>
          <w:b/>
          <w:szCs w:val="22"/>
        </w:rPr>
        <w:t xml:space="preserve"> is and what it is used for</w:t>
      </w:r>
    </w:p>
    <w:p w14:paraId="4C275377" w14:textId="77777777" w:rsidR="00C42229" w:rsidRPr="001775D9" w:rsidRDefault="00C42229" w:rsidP="00FB5458">
      <w:pPr>
        <w:numPr>
          <w:ilvl w:val="12"/>
          <w:numId w:val="0"/>
        </w:numPr>
        <w:tabs>
          <w:tab w:val="clear" w:pos="567"/>
        </w:tabs>
        <w:spacing w:line="240" w:lineRule="auto"/>
        <w:rPr>
          <w:szCs w:val="22"/>
        </w:rPr>
      </w:pPr>
    </w:p>
    <w:p w14:paraId="1BB9D34D" w14:textId="28FEDED4" w:rsidR="006B71D6" w:rsidRPr="001775D9" w:rsidRDefault="006B71D6" w:rsidP="00FB5458">
      <w:pPr>
        <w:numPr>
          <w:ilvl w:val="12"/>
          <w:numId w:val="0"/>
        </w:numPr>
        <w:tabs>
          <w:tab w:val="clear" w:pos="567"/>
        </w:tabs>
        <w:spacing w:line="240" w:lineRule="auto"/>
      </w:pPr>
      <w:r w:rsidRPr="001775D9">
        <w:rPr>
          <w:szCs w:val="22"/>
        </w:rPr>
        <w:t>AMGEVITA</w:t>
      </w:r>
      <w:r w:rsidR="00C42229" w:rsidRPr="001775D9">
        <w:t xml:space="preserve"> contains the active substance </w:t>
      </w:r>
      <w:r w:rsidR="003354BB" w:rsidRPr="001775D9">
        <w:t>adalimumab</w:t>
      </w:r>
      <w:r w:rsidR="00ED7B05" w:rsidRPr="001775D9">
        <w:t>, a medicine that acts on your body’s immune (defence) system</w:t>
      </w:r>
      <w:r w:rsidR="00C42229" w:rsidRPr="001775D9">
        <w:t>.</w:t>
      </w:r>
      <w:r w:rsidR="001F0606" w:rsidRPr="001775D9">
        <w:t xml:space="preserve"> </w:t>
      </w:r>
    </w:p>
    <w:p w14:paraId="42EBFE00" w14:textId="77777777" w:rsidR="00C42229" w:rsidRPr="001775D9" w:rsidRDefault="00C42229" w:rsidP="00FB5458">
      <w:pPr>
        <w:tabs>
          <w:tab w:val="clear" w:pos="567"/>
        </w:tabs>
        <w:spacing w:line="240" w:lineRule="auto"/>
        <w:ind w:right="-2"/>
      </w:pPr>
    </w:p>
    <w:p w14:paraId="727C1559" w14:textId="77777777" w:rsidR="00191274" w:rsidRPr="001775D9" w:rsidRDefault="00A74EA1" w:rsidP="00191274">
      <w:pPr>
        <w:tabs>
          <w:tab w:val="clear" w:pos="567"/>
        </w:tabs>
        <w:spacing w:line="240" w:lineRule="auto"/>
        <w:ind w:right="-2"/>
        <w:rPr>
          <w:szCs w:val="22"/>
        </w:rPr>
      </w:pPr>
      <w:bookmarkStart w:id="2652" w:name="_Hlk525559650"/>
      <w:bookmarkStart w:id="2653" w:name="_Hlk525560105"/>
      <w:r w:rsidRPr="001775D9">
        <w:rPr>
          <w:szCs w:val="22"/>
        </w:rPr>
        <w:t>AMGEVITA</w:t>
      </w:r>
      <w:r w:rsidR="00191274" w:rsidRPr="001775D9">
        <w:rPr>
          <w:szCs w:val="22"/>
        </w:rPr>
        <w:t xml:space="preserve"> is intended for the treatment of the inflammatory diseases described below:</w:t>
      </w:r>
    </w:p>
    <w:p w14:paraId="1D4BDEE3" w14:textId="77777777" w:rsidR="00191274" w:rsidRPr="001775D9" w:rsidRDefault="00191274" w:rsidP="00C00BA3">
      <w:pPr>
        <w:numPr>
          <w:ilvl w:val="1"/>
          <w:numId w:val="32"/>
        </w:numPr>
        <w:spacing w:line="240" w:lineRule="auto"/>
        <w:ind w:left="567" w:hanging="567"/>
        <w:rPr>
          <w:szCs w:val="22"/>
        </w:rPr>
      </w:pPr>
      <w:r w:rsidRPr="001775D9">
        <w:rPr>
          <w:szCs w:val="22"/>
        </w:rPr>
        <w:t>Rheumatoid arthritis</w:t>
      </w:r>
    </w:p>
    <w:p w14:paraId="02B25F25" w14:textId="77777777" w:rsidR="00191274" w:rsidRPr="001775D9" w:rsidRDefault="00191274" w:rsidP="00C00BA3">
      <w:pPr>
        <w:numPr>
          <w:ilvl w:val="1"/>
          <w:numId w:val="32"/>
        </w:numPr>
        <w:spacing w:line="240" w:lineRule="auto"/>
        <w:ind w:left="567" w:hanging="567"/>
        <w:rPr>
          <w:szCs w:val="22"/>
        </w:rPr>
      </w:pPr>
      <w:r w:rsidRPr="001775D9">
        <w:rPr>
          <w:szCs w:val="22"/>
        </w:rPr>
        <w:t>Polyarticular juvenile idiopathic arthritis</w:t>
      </w:r>
    </w:p>
    <w:p w14:paraId="0FF8B628" w14:textId="77777777" w:rsidR="00191274" w:rsidRPr="001775D9" w:rsidRDefault="00191274" w:rsidP="00C00BA3">
      <w:pPr>
        <w:numPr>
          <w:ilvl w:val="1"/>
          <w:numId w:val="32"/>
        </w:numPr>
        <w:spacing w:line="240" w:lineRule="auto"/>
        <w:ind w:left="567" w:hanging="567"/>
        <w:rPr>
          <w:szCs w:val="22"/>
        </w:rPr>
      </w:pPr>
      <w:r w:rsidRPr="001775D9">
        <w:rPr>
          <w:szCs w:val="22"/>
        </w:rPr>
        <w:t>Enthesitis-related arthritis</w:t>
      </w:r>
    </w:p>
    <w:p w14:paraId="5370DA59" w14:textId="77777777" w:rsidR="00191274" w:rsidRPr="001775D9" w:rsidRDefault="00191274" w:rsidP="00C00BA3">
      <w:pPr>
        <w:numPr>
          <w:ilvl w:val="1"/>
          <w:numId w:val="32"/>
        </w:numPr>
        <w:spacing w:line="240" w:lineRule="auto"/>
        <w:ind w:left="567" w:hanging="567"/>
        <w:rPr>
          <w:szCs w:val="22"/>
        </w:rPr>
      </w:pPr>
      <w:r w:rsidRPr="001775D9">
        <w:rPr>
          <w:szCs w:val="22"/>
        </w:rPr>
        <w:t>Ankylosing spondylitis</w:t>
      </w:r>
    </w:p>
    <w:p w14:paraId="2B75738E" w14:textId="77777777" w:rsidR="00191274" w:rsidRPr="001775D9" w:rsidRDefault="00191274" w:rsidP="00C00BA3">
      <w:pPr>
        <w:numPr>
          <w:ilvl w:val="1"/>
          <w:numId w:val="32"/>
        </w:numPr>
        <w:spacing w:line="240" w:lineRule="auto"/>
        <w:ind w:left="567" w:hanging="567"/>
        <w:rPr>
          <w:szCs w:val="22"/>
        </w:rPr>
      </w:pPr>
      <w:r w:rsidRPr="001775D9">
        <w:rPr>
          <w:szCs w:val="22"/>
        </w:rPr>
        <w:t>Axial spondyloarthritis without radiographic evidence of ankylosing spondylitis</w:t>
      </w:r>
    </w:p>
    <w:p w14:paraId="53DEE5A7" w14:textId="77777777" w:rsidR="00191274" w:rsidRPr="001775D9" w:rsidRDefault="00191274" w:rsidP="00C00BA3">
      <w:pPr>
        <w:numPr>
          <w:ilvl w:val="1"/>
          <w:numId w:val="32"/>
        </w:numPr>
        <w:spacing w:line="240" w:lineRule="auto"/>
        <w:ind w:left="567" w:hanging="567"/>
        <w:rPr>
          <w:szCs w:val="22"/>
        </w:rPr>
      </w:pPr>
      <w:r w:rsidRPr="001775D9">
        <w:rPr>
          <w:szCs w:val="22"/>
        </w:rPr>
        <w:t>Psoriatic arthritis</w:t>
      </w:r>
    </w:p>
    <w:p w14:paraId="291D140E" w14:textId="77777777" w:rsidR="00191274" w:rsidRPr="001775D9" w:rsidRDefault="00191274" w:rsidP="00C00BA3">
      <w:pPr>
        <w:numPr>
          <w:ilvl w:val="1"/>
          <w:numId w:val="32"/>
        </w:numPr>
        <w:spacing w:line="240" w:lineRule="auto"/>
        <w:ind w:left="567" w:hanging="567"/>
        <w:rPr>
          <w:szCs w:val="22"/>
        </w:rPr>
      </w:pPr>
      <w:r w:rsidRPr="001775D9">
        <w:rPr>
          <w:szCs w:val="22"/>
        </w:rPr>
        <w:t xml:space="preserve">Plaque </w:t>
      </w:r>
      <w:r w:rsidR="00737133" w:rsidRPr="001775D9">
        <w:rPr>
          <w:szCs w:val="22"/>
        </w:rPr>
        <w:t xml:space="preserve">psoriasis </w:t>
      </w:r>
    </w:p>
    <w:p w14:paraId="5B973580" w14:textId="77777777" w:rsidR="00B632AE" w:rsidRPr="001775D9" w:rsidRDefault="00191274" w:rsidP="00C00BA3">
      <w:pPr>
        <w:numPr>
          <w:ilvl w:val="1"/>
          <w:numId w:val="32"/>
        </w:numPr>
        <w:spacing w:line="240" w:lineRule="auto"/>
        <w:ind w:left="567" w:hanging="567"/>
        <w:rPr>
          <w:szCs w:val="22"/>
        </w:rPr>
      </w:pPr>
      <w:r w:rsidRPr="001775D9">
        <w:rPr>
          <w:szCs w:val="22"/>
        </w:rPr>
        <w:t>Hidradenitis suppurativa</w:t>
      </w:r>
    </w:p>
    <w:p w14:paraId="52EC563A" w14:textId="77777777" w:rsidR="00191274" w:rsidRPr="001775D9" w:rsidRDefault="00191274" w:rsidP="00C00BA3">
      <w:pPr>
        <w:numPr>
          <w:ilvl w:val="1"/>
          <w:numId w:val="32"/>
        </w:numPr>
        <w:spacing w:line="240" w:lineRule="auto"/>
        <w:ind w:left="567" w:hanging="567"/>
        <w:rPr>
          <w:szCs w:val="22"/>
        </w:rPr>
      </w:pPr>
      <w:r w:rsidRPr="001775D9">
        <w:rPr>
          <w:szCs w:val="22"/>
        </w:rPr>
        <w:t>Crohn’</w:t>
      </w:r>
      <w:r w:rsidR="00737133" w:rsidRPr="001775D9">
        <w:rPr>
          <w:szCs w:val="22"/>
        </w:rPr>
        <w:t xml:space="preserve">s disease </w:t>
      </w:r>
    </w:p>
    <w:p w14:paraId="4FB4CA08" w14:textId="77777777" w:rsidR="00191274" w:rsidRPr="001775D9" w:rsidRDefault="00191274" w:rsidP="00C00BA3">
      <w:pPr>
        <w:numPr>
          <w:ilvl w:val="1"/>
          <w:numId w:val="32"/>
        </w:numPr>
        <w:spacing w:line="240" w:lineRule="auto"/>
        <w:ind w:left="567" w:hanging="567"/>
        <w:rPr>
          <w:szCs w:val="22"/>
        </w:rPr>
      </w:pPr>
      <w:r w:rsidRPr="001775D9">
        <w:rPr>
          <w:szCs w:val="22"/>
        </w:rPr>
        <w:t>Ulcerative colitis</w:t>
      </w:r>
    </w:p>
    <w:p w14:paraId="65B78260" w14:textId="77777777" w:rsidR="00191274" w:rsidRPr="001775D9" w:rsidRDefault="00191274" w:rsidP="00C00BA3">
      <w:pPr>
        <w:numPr>
          <w:ilvl w:val="1"/>
          <w:numId w:val="32"/>
        </w:numPr>
        <w:spacing w:line="240" w:lineRule="auto"/>
        <w:ind w:left="567" w:hanging="567"/>
        <w:rPr>
          <w:szCs w:val="22"/>
        </w:rPr>
      </w:pPr>
      <w:r w:rsidRPr="001775D9">
        <w:rPr>
          <w:szCs w:val="22"/>
        </w:rPr>
        <w:t>Non-infectious uveitis</w:t>
      </w:r>
    </w:p>
    <w:bookmarkEnd w:id="2652"/>
    <w:p w14:paraId="4C11852D" w14:textId="77777777" w:rsidR="00191274" w:rsidRPr="001775D9" w:rsidRDefault="00191274" w:rsidP="00191274">
      <w:pPr>
        <w:tabs>
          <w:tab w:val="clear" w:pos="567"/>
        </w:tabs>
        <w:spacing w:line="240" w:lineRule="auto"/>
        <w:ind w:right="-2"/>
        <w:rPr>
          <w:szCs w:val="22"/>
        </w:rPr>
      </w:pPr>
    </w:p>
    <w:p w14:paraId="572EE331" w14:textId="77777777" w:rsidR="006B71D6" w:rsidRPr="001775D9" w:rsidRDefault="00C42229" w:rsidP="00191274">
      <w:pPr>
        <w:tabs>
          <w:tab w:val="clear" w:pos="567"/>
        </w:tabs>
        <w:spacing w:line="240" w:lineRule="auto"/>
        <w:ind w:right="-2"/>
      </w:pPr>
      <w:r w:rsidRPr="001775D9">
        <w:t xml:space="preserve">The </w:t>
      </w:r>
      <w:bookmarkEnd w:id="2653"/>
      <w:r w:rsidRPr="001775D9">
        <w:t>active ingredient</w:t>
      </w:r>
      <w:r w:rsidR="00FB16B4" w:rsidRPr="001775D9">
        <w:t xml:space="preserve"> in AMGEVITA</w:t>
      </w:r>
      <w:r w:rsidRPr="001775D9">
        <w:t xml:space="preserve">, </w:t>
      </w:r>
      <w:r w:rsidR="00C8133A" w:rsidRPr="001775D9">
        <w:t>adalimumab</w:t>
      </w:r>
      <w:r w:rsidRPr="001775D9">
        <w:t xml:space="preserve">, is a human monoclonal antibody. Monoclonal antibodies are proteins that </w:t>
      </w:r>
      <w:r w:rsidR="00850771" w:rsidRPr="001775D9">
        <w:t>attach to a specific target</w:t>
      </w:r>
      <w:r w:rsidRPr="001775D9">
        <w:t xml:space="preserve">. </w:t>
      </w:r>
    </w:p>
    <w:p w14:paraId="3CCEB275" w14:textId="77777777" w:rsidR="009D710C" w:rsidRPr="001775D9" w:rsidRDefault="009D710C" w:rsidP="00FB5458">
      <w:pPr>
        <w:tabs>
          <w:tab w:val="clear" w:pos="567"/>
        </w:tabs>
        <w:spacing w:line="240" w:lineRule="auto"/>
        <w:ind w:right="-2"/>
      </w:pPr>
    </w:p>
    <w:p w14:paraId="60A0FC4E" w14:textId="77777777" w:rsidR="00CF6BFD" w:rsidRPr="001775D9" w:rsidRDefault="00850771" w:rsidP="00FB5458">
      <w:pPr>
        <w:tabs>
          <w:tab w:val="clear" w:pos="567"/>
        </w:tabs>
        <w:spacing w:line="240" w:lineRule="auto"/>
        <w:ind w:right="-2"/>
      </w:pPr>
      <w:r w:rsidRPr="001775D9">
        <w:t>The target of adalimumab is a protein called tumour necrosis factor (TNFα), which is involved in the</w:t>
      </w:r>
      <w:r w:rsidR="00CF6BFD" w:rsidRPr="001775D9">
        <w:t xml:space="preserve"> </w:t>
      </w:r>
      <w:r w:rsidRPr="001775D9">
        <w:t>immune (defence) system and is present at increased levels in the inflammatory diseases listed above. By attaching to TNFα, AMGEVITA decreases the process of inflammation in these diseases.</w:t>
      </w:r>
    </w:p>
    <w:p w14:paraId="1AFC3952" w14:textId="77777777" w:rsidR="00C42229" w:rsidRPr="001775D9" w:rsidRDefault="00C42229" w:rsidP="00FB5458">
      <w:pPr>
        <w:tabs>
          <w:tab w:val="clear" w:pos="567"/>
        </w:tabs>
        <w:spacing w:line="240" w:lineRule="auto"/>
        <w:ind w:right="-2"/>
        <w:rPr>
          <w:szCs w:val="22"/>
        </w:rPr>
      </w:pPr>
    </w:p>
    <w:p w14:paraId="592FB15D" w14:textId="77777777" w:rsidR="00C42229" w:rsidRPr="00D55B59" w:rsidRDefault="00C42229" w:rsidP="001C2A6A">
      <w:pPr>
        <w:pStyle w:val="Default"/>
        <w:keepNext/>
        <w:keepLines/>
        <w:rPr>
          <w:sz w:val="22"/>
          <w:szCs w:val="22"/>
          <w:u w:val="single"/>
          <w:lang w:val="en-GB"/>
          <w:rPrChange w:id="2654" w:author="Author">
            <w:rPr>
              <w:sz w:val="22"/>
              <w:szCs w:val="22"/>
              <w:u w:val="single"/>
            </w:rPr>
          </w:rPrChange>
        </w:rPr>
      </w:pPr>
      <w:r w:rsidRPr="00D55B59">
        <w:rPr>
          <w:sz w:val="22"/>
          <w:szCs w:val="22"/>
          <w:u w:val="single"/>
          <w:lang w:val="en-GB"/>
          <w:rPrChange w:id="2655" w:author="Author">
            <w:rPr>
              <w:sz w:val="22"/>
              <w:szCs w:val="22"/>
              <w:u w:val="single"/>
            </w:rPr>
          </w:rPrChange>
        </w:rPr>
        <w:t xml:space="preserve">Rheumatoid arthritis </w:t>
      </w:r>
    </w:p>
    <w:p w14:paraId="15B42DEE" w14:textId="77777777" w:rsidR="00C42229" w:rsidRPr="00D55B59" w:rsidRDefault="00C42229" w:rsidP="001C2A6A">
      <w:pPr>
        <w:pStyle w:val="Default"/>
        <w:keepNext/>
        <w:keepLines/>
        <w:rPr>
          <w:sz w:val="22"/>
          <w:szCs w:val="22"/>
          <w:lang w:val="en-GB"/>
          <w:rPrChange w:id="2656" w:author="Author">
            <w:rPr>
              <w:sz w:val="22"/>
              <w:szCs w:val="22"/>
            </w:rPr>
          </w:rPrChange>
        </w:rPr>
      </w:pPr>
    </w:p>
    <w:p w14:paraId="3C52C194" w14:textId="77777777" w:rsidR="008D0F25" w:rsidRPr="00D55B59" w:rsidRDefault="00C60085" w:rsidP="00FB5458">
      <w:pPr>
        <w:pStyle w:val="Default"/>
        <w:rPr>
          <w:sz w:val="22"/>
          <w:szCs w:val="22"/>
          <w:lang w:val="en-GB"/>
          <w:rPrChange w:id="2657" w:author="Author">
            <w:rPr>
              <w:sz w:val="22"/>
              <w:szCs w:val="22"/>
            </w:rPr>
          </w:rPrChange>
        </w:rPr>
      </w:pPr>
      <w:r w:rsidRPr="00D55B59">
        <w:rPr>
          <w:sz w:val="22"/>
          <w:szCs w:val="22"/>
          <w:lang w:val="en-GB"/>
          <w:rPrChange w:id="2658" w:author="Author">
            <w:rPr>
              <w:sz w:val="22"/>
              <w:szCs w:val="22"/>
            </w:rPr>
          </w:rPrChange>
        </w:rPr>
        <w:t xml:space="preserve">Rheumatoid arthritis is an inflammatory disease of the joints. </w:t>
      </w:r>
    </w:p>
    <w:p w14:paraId="4DD9147F" w14:textId="77777777" w:rsidR="0015603B" w:rsidRPr="00D55B59" w:rsidRDefault="0015603B" w:rsidP="00FB5458">
      <w:pPr>
        <w:pStyle w:val="Default"/>
        <w:rPr>
          <w:sz w:val="22"/>
          <w:szCs w:val="22"/>
          <w:lang w:val="en-GB"/>
          <w:rPrChange w:id="2659" w:author="Author">
            <w:rPr>
              <w:sz w:val="22"/>
              <w:szCs w:val="22"/>
            </w:rPr>
          </w:rPrChange>
        </w:rPr>
      </w:pPr>
    </w:p>
    <w:p w14:paraId="1BF41BCA" w14:textId="77777777" w:rsidR="00C42229" w:rsidRPr="001775D9" w:rsidRDefault="006B71D6" w:rsidP="00FB5458">
      <w:pPr>
        <w:tabs>
          <w:tab w:val="clear" w:pos="567"/>
        </w:tabs>
        <w:spacing w:line="240" w:lineRule="auto"/>
        <w:ind w:right="-2"/>
        <w:rPr>
          <w:szCs w:val="22"/>
        </w:rPr>
      </w:pPr>
      <w:r w:rsidRPr="001775D9">
        <w:rPr>
          <w:szCs w:val="22"/>
        </w:rPr>
        <w:t>AMGEVITA</w:t>
      </w:r>
      <w:r w:rsidR="00C42229" w:rsidRPr="001775D9">
        <w:rPr>
          <w:szCs w:val="22"/>
        </w:rPr>
        <w:t xml:space="preserve"> is used to treat rheumatoid arthritis in adults. If you have moderate to severe active rheumatoid arthritis, you may first be given other disease-modifying medicines, such as methotrexate. If you do not respond well enough to these medicines, you will be given </w:t>
      </w:r>
      <w:r w:rsidRPr="001775D9">
        <w:rPr>
          <w:szCs w:val="22"/>
        </w:rPr>
        <w:t>AMGEVITA</w:t>
      </w:r>
      <w:r w:rsidR="00C42229" w:rsidRPr="001775D9">
        <w:rPr>
          <w:szCs w:val="22"/>
        </w:rPr>
        <w:t xml:space="preserve"> to treat your rheumatoid arthritis. </w:t>
      </w:r>
    </w:p>
    <w:p w14:paraId="7EDACB14" w14:textId="77777777" w:rsidR="00C42229" w:rsidRPr="001775D9" w:rsidRDefault="00C42229" w:rsidP="00FB5458">
      <w:pPr>
        <w:tabs>
          <w:tab w:val="clear" w:pos="567"/>
        </w:tabs>
        <w:spacing w:line="240" w:lineRule="auto"/>
        <w:ind w:right="-2"/>
        <w:rPr>
          <w:szCs w:val="22"/>
        </w:rPr>
      </w:pPr>
    </w:p>
    <w:p w14:paraId="2AADAF09" w14:textId="77777777" w:rsidR="00C42229" w:rsidRPr="001775D9" w:rsidRDefault="006B71D6" w:rsidP="00FB5458">
      <w:pPr>
        <w:tabs>
          <w:tab w:val="clear" w:pos="567"/>
        </w:tabs>
        <w:spacing w:line="240" w:lineRule="auto"/>
        <w:ind w:right="-2"/>
        <w:rPr>
          <w:szCs w:val="22"/>
        </w:rPr>
      </w:pPr>
      <w:r w:rsidRPr="001775D9">
        <w:rPr>
          <w:szCs w:val="22"/>
        </w:rPr>
        <w:t>AMGEVITA</w:t>
      </w:r>
      <w:r w:rsidR="00C42229" w:rsidRPr="001775D9">
        <w:rPr>
          <w:szCs w:val="22"/>
        </w:rPr>
        <w:t xml:space="preserve"> can also be used to treat severe, active and progressive rheumatoid arthritis without previous methotrexate treatment.</w:t>
      </w:r>
    </w:p>
    <w:p w14:paraId="6420ADFB" w14:textId="77777777" w:rsidR="0098482D" w:rsidRPr="00D55B59" w:rsidRDefault="0098482D" w:rsidP="00FB5458">
      <w:pPr>
        <w:pStyle w:val="Default"/>
        <w:rPr>
          <w:sz w:val="22"/>
          <w:szCs w:val="22"/>
          <w:lang w:val="en-GB"/>
          <w:rPrChange w:id="2660" w:author="Author">
            <w:rPr>
              <w:sz w:val="22"/>
              <w:szCs w:val="22"/>
            </w:rPr>
          </w:rPrChange>
        </w:rPr>
      </w:pPr>
    </w:p>
    <w:p w14:paraId="54BF5B7C" w14:textId="77777777" w:rsidR="00C42229" w:rsidRPr="00D55B59" w:rsidRDefault="006B71D6" w:rsidP="00FB5458">
      <w:pPr>
        <w:pStyle w:val="Default"/>
        <w:rPr>
          <w:sz w:val="22"/>
          <w:szCs w:val="22"/>
          <w:lang w:val="en-GB"/>
          <w:rPrChange w:id="2661" w:author="Author">
            <w:rPr>
              <w:sz w:val="22"/>
              <w:szCs w:val="22"/>
            </w:rPr>
          </w:rPrChange>
        </w:rPr>
      </w:pPr>
      <w:r w:rsidRPr="00D55B59">
        <w:rPr>
          <w:sz w:val="22"/>
          <w:szCs w:val="22"/>
          <w:lang w:val="en-GB"/>
          <w:rPrChange w:id="2662" w:author="Author">
            <w:rPr>
              <w:sz w:val="22"/>
              <w:szCs w:val="22"/>
            </w:rPr>
          </w:rPrChange>
        </w:rPr>
        <w:t>AMGEVITA</w:t>
      </w:r>
      <w:r w:rsidR="00C42229" w:rsidRPr="00D55B59">
        <w:rPr>
          <w:sz w:val="22"/>
          <w:szCs w:val="22"/>
          <w:lang w:val="en-GB"/>
          <w:rPrChange w:id="2663" w:author="Author">
            <w:rPr>
              <w:sz w:val="22"/>
              <w:szCs w:val="22"/>
            </w:rPr>
          </w:rPrChange>
        </w:rPr>
        <w:t xml:space="preserve"> slow</w:t>
      </w:r>
      <w:r w:rsidR="00280231" w:rsidRPr="00D55B59">
        <w:rPr>
          <w:sz w:val="22"/>
          <w:szCs w:val="22"/>
          <w:lang w:val="en-GB"/>
          <w:rPrChange w:id="2664" w:author="Author">
            <w:rPr>
              <w:sz w:val="22"/>
              <w:szCs w:val="22"/>
            </w:rPr>
          </w:rPrChange>
        </w:rPr>
        <w:t>s</w:t>
      </w:r>
      <w:r w:rsidR="00E7046A" w:rsidRPr="00D55B59">
        <w:rPr>
          <w:sz w:val="22"/>
          <w:szCs w:val="22"/>
          <w:lang w:val="en-GB"/>
          <w:rPrChange w:id="2665" w:author="Author">
            <w:rPr>
              <w:sz w:val="22"/>
              <w:szCs w:val="22"/>
            </w:rPr>
          </w:rPrChange>
        </w:rPr>
        <w:t xml:space="preserve"> </w:t>
      </w:r>
      <w:r w:rsidR="00C42229" w:rsidRPr="00D55B59">
        <w:rPr>
          <w:sz w:val="22"/>
          <w:szCs w:val="22"/>
          <w:lang w:val="en-GB"/>
          <w:rPrChange w:id="2666" w:author="Author">
            <w:rPr>
              <w:sz w:val="22"/>
              <w:szCs w:val="22"/>
            </w:rPr>
          </w:rPrChange>
        </w:rPr>
        <w:t xml:space="preserve">down the damage to the cartilage and bone of the joints caused by the disease and to improve physical function. </w:t>
      </w:r>
    </w:p>
    <w:p w14:paraId="4C259410" w14:textId="77777777" w:rsidR="00C42229" w:rsidRPr="001775D9" w:rsidRDefault="00C42229" w:rsidP="00FB5458">
      <w:pPr>
        <w:tabs>
          <w:tab w:val="clear" w:pos="567"/>
        </w:tabs>
        <w:spacing w:line="240" w:lineRule="auto"/>
        <w:ind w:right="-2"/>
        <w:rPr>
          <w:szCs w:val="22"/>
        </w:rPr>
      </w:pPr>
    </w:p>
    <w:p w14:paraId="58AE18DB" w14:textId="77777777" w:rsidR="00C42229" w:rsidRPr="001775D9" w:rsidRDefault="00C42229" w:rsidP="00FB5458">
      <w:pPr>
        <w:tabs>
          <w:tab w:val="clear" w:pos="567"/>
        </w:tabs>
        <w:spacing w:line="240" w:lineRule="auto"/>
        <w:ind w:right="-2"/>
        <w:rPr>
          <w:szCs w:val="22"/>
        </w:rPr>
      </w:pPr>
      <w:r w:rsidRPr="001775D9">
        <w:rPr>
          <w:szCs w:val="22"/>
        </w:rPr>
        <w:t xml:space="preserve">Usually, </w:t>
      </w:r>
      <w:r w:rsidR="00280231" w:rsidRPr="001775D9">
        <w:rPr>
          <w:szCs w:val="22"/>
        </w:rPr>
        <w:t>AMGEVITA</w:t>
      </w:r>
      <w:r w:rsidRPr="001775D9">
        <w:rPr>
          <w:szCs w:val="22"/>
        </w:rPr>
        <w:t xml:space="preserve"> is used with methotrexate. If your doctor determines that methotrexate is inappropriate, </w:t>
      </w:r>
      <w:r w:rsidR="00280231" w:rsidRPr="001775D9">
        <w:rPr>
          <w:szCs w:val="22"/>
        </w:rPr>
        <w:t>AMGEVITA</w:t>
      </w:r>
      <w:r w:rsidRPr="001775D9">
        <w:rPr>
          <w:szCs w:val="22"/>
        </w:rPr>
        <w:t xml:space="preserve"> can be given alone.</w:t>
      </w:r>
    </w:p>
    <w:p w14:paraId="29FC6ABE" w14:textId="77777777" w:rsidR="00C42229" w:rsidRPr="001775D9" w:rsidRDefault="00C42229" w:rsidP="00FB5458">
      <w:pPr>
        <w:tabs>
          <w:tab w:val="clear" w:pos="567"/>
        </w:tabs>
        <w:spacing w:line="240" w:lineRule="auto"/>
        <w:ind w:right="-2"/>
        <w:rPr>
          <w:szCs w:val="22"/>
        </w:rPr>
      </w:pPr>
    </w:p>
    <w:p w14:paraId="5397C50D" w14:textId="77777777" w:rsidR="00C42229" w:rsidRPr="00D55B59" w:rsidRDefault="00C42229" w:rsidP="00FB5458">
      <w:pPr>
        <w:pStyle w:val="Default"/>
        <w:rPr>
          <w:sz w:val="22"/>
          <w:szCs w:val="22"/>
          <w:u w:val="single"/>
          <w:lang w:val="en-GB"/>
          <w:rPrChange w:id="2667" w:author="Author">
            <w:rPr>
              <w:sz w:val="22"/>
              <w:szCs w:val="22"/>
              <w:u w:val="single"/>
            </w:rPr>
          </w:rPrChange>
        </w:rPr>
      </w:pPr>
      <w:bookmarkStart w:id="2668" w:name="_Hlk528682799"/>
      <w:r w:rsidRPr="00D55B59">
        <w:rPr>
          <w:sz w:val="22"/>
          <w:szCs w:val="22"/>
          <w:u w:val="single"/>
          <w:lang w:val="en-GB"/>
          <w:rPrChange w:id="2669" w:author="Author">
            <w:rPr>
              <w:sz w:val="22"/>
              <w:szCs w:val="22"/>
              <w:u w:val="single"/>
            </w:rPr>
          </w:rPrChange>
        </w:rPr>
        <w:t>Polyarticular juvenile idiopathic arthritis</w:t>
      </w:r>
      <w:r w:rsidR="007B3FB0" w:rsidRPr="00D55B59">
        <w:rPr>
          <w:sz w:val="22"/>
          <w:szCs w:val="22"/>
          <w:u w:val="single"/>
          <w:lang w:val="en-GB"/>
          <w:rPrChange w:id="2670" w:author="Author">
            <w:rPr>
              <w:sz w:val="22"/>
              <w:szCs w:val="22"/>
              <w:u w:val="single"/>
            </w:rPr>
          </w:rPrChange>
        </w:rPr>
        <w:t xml:space="preserve"> and enthesitis-related arthritis</w:t>
      </w:r>
      <w:r w:rsidRPr="00D55B59">
        <w:rPr>
          <w:sz w:val="22"/>
          <w:szCs w:val="22"/>
          <w:u w:val="single"/>
          <w:lang w:val="en-GB"/>
          <w:rPrChange w:id="2671" w:author="Author">
            <w:rPr>
              <w:sz w:val="22"/>
              <w:szCs w:val="22"/>
              <w:u w:val="single"/>
            </w:rPr>
          </w:rPrChange>
        </w:rPr>
        <w:t xml:space="preserve"> </w:t>
      </w:r>
    </w:p>
    <w:bookmarkEnd w:id="2668"/>
    <w:p w14:paraId="006F6F40" w14:textId="77777777" w:rsidR="00C42229" w:rsidRPr="00D55B59" w:rsidRDefault="00C42229" w:rsidP="00FB5458">
      <w:pPr>
        <w:pStyle w:val="Default"/>
        <w:rPr>
          <w:sz w:val="22"/>
          <w:szCs w:val="22"/>
          <w:lang w:val="en-GB"/>
          <w:rPrChange w:id="2672" w:author="Author">
            <w:rPr>
              <w:sz w:val="22"/>
              <w:szCs w:val="22"/>
            </w:rPr>
          </w:rPrChange>
        </w:rPr>
      </w:pPr>
    </w:p>
    <w:p w14:paraId="4E0B9077" w14:textId="4FC0294B" w:rsidR="00C60085" w:rsidRPr="00D55B59" w:rsidRDefault="00C60085" w:rsidP="00FB5458">
      <w:pPr>
        <w:pStyle w:val="Default"/>
        <w:rPr>
          <w:sz w:val="22"/>
          <w:szCs w:val="22"/>
          <w:lang w:val="en-GB"/>
          <w:rPrChange w:id="2673" w:author="Author">
            <w:rPr>
              <w:sz w:val="22"/>
              <w:szCs w:val="22"/>
            </w:rPr>
          </w:rPrChange>
        </w:rPr>
      </w:pPr>
      <w:r w:rsidRPr="00D55B59">
        <w:rPr>
          <w:sz w:val="22"/>
          <w:szCs w:val="22"/>
          <w:lang w:val="en-GB"/>
          <w:rPrChange w:id="2674" w:author="Author">
            <w:rPr>
              <w:sz w:val="22"/>
              <w:szCs w:val="22"/>
            </w:rPr>
          </w:rPrChange>
        </w:rPr>
        <w:t xml:space="preserve">Polyarticular juvenile idiopathic arthritis </w:t>
      </w:r>
      <w:r w:rsidR="007B3FB0" w:rsidRPr="00D55B59">
        <w:rPr>
          <w:sz w:val="22"/>
          <w:szCs w:val="22"/>
          <w:lang w:val="en-GB"/>
          <w:rPrChange w:id="2675" w:author="Author">
            <w:rPr>
              <w:sz w:val="22"/>
              <w:szCs w:val="22"/>
            </w:rPr>
          </w:rPrChange>
        </w:rPr>
        <w:t xml:space="preserve">and enthesitis-related arthritis are </w:t>
      </w:r>
      <w:r w:rsidR="00994F80" w:rsidRPr="00D55B59">
        <w:rPr>
          <w:sz w:val="22"/>
          <w:szCs w:val="22"/>
          <w:lang w:val="en-GB"/>
          <w:rPrChange w:id="2676" w:author="Author">
            <w:rPr>
              <w:sz w:val="22"/>
              <w:szCs w:val="22"/>
            </w:rPr>
          </w:rPrChange>
        </w:rPr>
        <w:t>inflammatory disease</w:t>
      </w:r>
      <w:r w:rsidR="007B3FB0" w:rsidRPr="00D55B59">
        <w:rPr>
          <w:sz w:val="22"/>
          <w:szCs w:val="22"/>
          <w:lang w:val="en-GB"/>
          <w:rPrChange w:id="2677" w:author="Author">
            <w:rPr>
              <w:sz w:val="22"/>
              <w:szCs w:val="22"/>
            </w:rPr>
          </w:rPrChange>
        </w:rPr>
        <w:t>s</w:t>
      </w:r>
      <w:r w:rsidR="00A90CDF" w:rsidRPr="00D55B59">
        <w:rPr>
          <w:sz w:val="22"/>
          <w:szCs w:val="22"/>
          <w:lang w:val="en-GB"/>
          <w:rPrChange w:id="2678" w:author="Author">
            <w:rPr>
              <w:sz w:val="22"/>
              <w:szCs w:val="22"/>
            </w:rPr>
          </w:rPrChange>
        </w:rPr>
        <w:t xml:space="preserve"> of the joints that usually first appear in childhood</w:t>
      </w:r>
      <w:r w:rsidR="00994F80" w:rsidRPr="00D55B59">
        <w:rPr>
          <w:sz w:val="22"/>
          <w:szCs w:val="22"/>
          <w:lang w:val="en-GB"/>
          <w:rPrChange w:id="2679" w:author="Author">
            <w:rPr>
              <w:sz w:val="22"/>
              <w:szCs w:val="22"/>
            </w:rPr>
          </w:rPrChange>
        </w:rPr>
        <w:t>.</w:t>
      </w:r>
      <w:r w:rsidRPr="00D55B59">
        <w:rPr>
          <w:sz w:val="22"/>
          <w:szCs w:val="22"/>
          <w:lang w:val="en-GB"/>
          <w:rPrChange w:id="2680" w:author="Author">
            <w:rPr>
              <w:sz w:val="22"/>
              <w:szCs w:val="22"/>
            </w:rPr>
          </w:rPrChange>
        </w:rPr>
        <w:t xml:space="preserve"> </w:t>
      </w:r>
    </w:p>
    <w:p w14:paraId="2CB1F123" w14:textId="77777777" w:rsidR="00C42229" w:rsidRPr="00D55B59" w:rsidRDefault="00C42229" w:rsidP="00FB5458">
      <w:pPr>
        <w:pStyle w:val="Default"/>
        <w:rPr>
          <w:sz w:val="22"/>
          <w:szCs w:val="22"/>
          <w:lang w:val="en-GB"/>
          <w:rPrChange w:id="2681" w:author="Author">
            <w:rPr>
              <w:sz w:val="22"/>
              <w:szCs w:val="22"/>
            </w:rPr>
          </w:rPrChange>
        </w:rPr>
      </w:pPr>
    </w:p>
    <w:p w14:paraId="417C8ABB" w14:textId="77777777" w:rsidR="00C42229" w:rsidRPr="00D55B59" w:rsidRDefault="00E334F6" w:rsidP="00FB5458">
      <w:pPr>
        <w:pStyle w:val="Default"/>
        <w:rPr>
          <w:rFonts w:eastAsia="PMingLiU"/>
          <w:color w:val="auto"/>
          <w:sz w:val="22"/>
          <w:szCs w:val="22"/>
          <w:lang w:val="en-GB" w:eastAsia="en-US"/>
          <w:rPrChange w:id="2682" w:author="Author">
            <w:rPr>
              <w:rFonts w:eastAsia="PMingLiU"/>
              <w:color w:val="auto"/>
              <w:sz w:val="22"/>
              <w:szCs w:val="22"/>
              <w:lang w:eastAsia="en-US"/>
            </w:rPr>
          </w:rPrChange>
        </w:rPr>
      </w:pPr>
      <w:r w:rsidRPr="00D55B59">
        <w:rPr>
          <w:sz w:val="22"/>
          <w:szCs w:val="22"/>
          <w:lang w:val="en-GB"/>
          <w:rPrChange w:id="2683" w:author="Author">
            <w:rPr>
              <w:sz w:val="22"/>
              <w:szCs w:val="22"/>
            </w:rPr>
          </w:rPrChange>
        </w:rPr>
        <w:t xml:space="preserve">AMGEVITA is used to treat polyarticular juvenile idiopathic arthritis in </w:t>
      </w:r>
      <w:r w:rsidR="00191274" w:rsidRPr="00D55B59">
        <w:rPr>
          <w:sz w:val="22"/>
          <w:szCs w:val="22"/>
          <w:lang w:val="en-GB"/>
          <w:rPrChange w:id="2684" w:author="Author">
            <w:rPr>
              <w:sz w:val="22"/>
              <w:szCs w:val="22"/>
            </w:rPr>
          </w:rPrChange>
        </w:rPr>
        <w:t>patients from 2 years</w:t>
      </w:r>
      <w:r w:rsidR="00501D38" w:rsidRPr="00D55B59">
        <w:rPr>
          <w:sz w:val="22"/>
          <w:szCs w:val="22"/>
          <w:lang w:val="en-GB"/>
          <w:rPrChange w:id="2685" w:author="Author">
            <w:rPr>
              <w:sz w:val="22"/>
              <w:szCs w:val="22"/>
            </w:rPr>
          </w:rPrChange>
        </w:rPr>
        <w:t xml:space="preserve"> and enthesitis-related arthritis in </w:t>
      </w:r>
      <w:r w:rsidR="00191274" w:rsidRPr="00D55B59">
        <w:rPr>
          <w:sz w:val="22"/>
          <w:szCs w:val="22"/>
          <w:lang w:val="en-GB"/>
          <w:rPrChange w:id="2686" w:author="Author">
            <w:rPr>
              <w:sz w:val="22"/>
              <w:szCs w:val="22"/>
            </w:rPr>
          </w:rPrChange>
        </w:rPr>
        <w:t>patients from 6</w:t>
      </w:r>
      <w:r w:rsidR="00501D38" w:rsidRPr="00D55B59">
        <w:rPr>
          <w:sz w:val="22"/>
          <w:szCs w:val="22"/>
          <w:lang w:val="en-GB"/>
          <w:rPrChange w:id="2687" w:author="Author">
            <w:rPr>
              <w:sz w:val="22"/>
              <w:szCs w:val="22"/>
            </w:rPr>
          </w:rPrChange>
        </w:rPr>
        <w:t xml:space="preserve"> years</w:t>
      </w:r>
      <w:r w:rsidRPr="00D55B59">
        <w:rPr>
          <w:sz w:val="22"/>
          <w:szCs w:val="22"/>
          <w:lang w:val="en-GB"/>
          <w:rPrChange w:id="2688" w:author="Author">
            <w:rPr>
              <w:sz w:val="22"/>
              <w:szCs w:val="22"/>
            </w:rPr>
          </w:rPrChange>
        </w:rPr>
        <w:t>. You may first be given other disease-modifying medicines, such as methotrexate. If you do not respond well enough to these medicines, you will be given AMGEVITA to treat your polyarticular juvenile idiopathic arthritis</w:t>
      </w:r>
      <w:r w:rsidR="007B3FB0" w:rsidRPr="00D55B59">
        <w:rPr>
          <w:sz w:val="22"/>
          <w:szCs w:val="22"/>
          <w:lang w:val="en-GB"/>
          <w:rPrChange w:id="2689" w:author="Author">
            <w:rPr>
              <w:sz w:val="22"/>
              <w:szCs w:val="22"/>
            </w:rPr>
          </w:rPrChange>
        </w:rPr>
        <w:t xml:space="preserve"> or enthesitis-related arthritis</w:t>
      </w:r>
      <w:r w:rsidR="00C947C5" w:rsidRPr="00D55B59">
        <w:rPr>
          <w:sz w:val="22"/>
          <w:szCs w:val="22"/>
          <w:lang w:val="en-GB"/>
          <w:rPrChange w:id="2690" w:author="Author">
            <w:rPr>
              <w:sz w:val="22"/>
              <w:szCs w:val="22"/>
            </w:rPr>
          </w:rPrChange>
        </w:rPr>
        <w:t>.</w:t>
      </w:r>
      <w:r w:rsidRPr="00D55B59">
        <w:rPr>
          <w:sz w:val="22"/>
          <w:szCs w:val="22"/>
          <w:lang w:val="en-GB"/>
          <w:rPrChange w:id="2691" w:author="Author">
            <w:rPr>
              <w:sz w:val="22"/>
              <w:szCs w:val="22"/>
            </w:rPr>
          </w:rPrChange>
        </w:rPr>
        <w:t xml:space="preserve"> </w:t>
      </w:r>
    </w:p>
    <w:p w14:paraId="61E2F88E" w14:textId="77777777" w:rsidR="00E334F6" w:rsidRPr="00D55B59" w:rsidRDefault="00E334F6" w:rsidP="00FB5458">
      <w:pPr>
        <w:pStyle w:val="Default"/>
        <w:rPr>
          <w:sz w:val="22"/>
          <w:szCs w:val="22"/>
          <w:lang w:val="en-GB"/>
          <w:rPrChange w:id="2692" w:author="Author">
            <w:rPr>
              <w:sz w:val="22"/>
              <w:szCs w:val="22"/>
            </w:rPr>
          </w:rPrChange>
        </w:rPr>
      </w:pPr>
    </w:p>
    <w:p w14:paraId="5B664A82" w14:textId="77777777" w:rsidR="00C42229" w:rsidRPr="00D55B59" w:rsidRDefault="00C42229" w:rsidP="00FB5458">
      <w:pPr>
        <w:pStyle w:val="Default"/>
        <w:rPr>
          <w:sz w:val="22"/>
          <w:szCs w:val="22"/>
          <w:u w:val="single"/>
          <w:lang w:val="en-GB"/>
          <w:rPrChange w:id="2693" w:author="Author">
            <w:rPr>
              <w:sz w:val="22"/>
              <w:szCs w:val="22"/>
              <w:u w:val="single"/>
            </w:rPr>
          </w:rPrChange>
        </w:rPr>
      </w:pPr>
      <w:r w:rsidRPr="00D55B59">
        <w:rPr>
          <w:sz w:val="22"/>
          <w:szCs w:val="22"/>
          <w:u w:val="single"/>
          <w:lang w:val="en-GB"/>
          <w:rPrChange w:id="2694" w:author="Author">
            <w:rPr>
              <w:sz w:val="22"/>
              <w:szCs w:val="22"/>
              <w:u w:val="single"/>
            </w:rPr>
          </w:rPrChange>
        </w:rPr>
        <w:t xml:space="preserve">Ankylosing spondylitis and axial spondyloarthritis without radiographic evidence of ankylosing spondylitis </w:t>
      </w:r>
    </w:p>
    <w:p w14:paraId="7E453EC8" w14:textId="77777777" w:rsidR="00C42229" w:rsidRPr="00D55B59" w:rsidRDefault="00C42229" w:rsidP="00FB5458">
      <w:pPr>
        <w:pStyle w:val="Default"/>
        <w:rPr>
          <w:sz w:val="22"/>
          <w:szCs w:val="22"/>
          <w:lang w:val="en-GB"/>
          <w:rPrChange w:id="2695" w:author="Author">
            <w:rPr>
              <w:sz w:val="22"/>
              <w:szCs w:val="22"/>
            </w:rPr>
          </w:rPrChange>
        </w:rPr>
      </w:pPr>
    </w:p>
    <w:p w14:paraId="41866B87" w14:textId="77777777" w:rsidR="00C60085" w:rsidRPr="001775D9" w:rsidRDefault="00C60085" w:rsidP="00FB5458">
      <w:pPr>
        <w:tabs>
          <w:tab w:val="clear" w:pos="567"/>
        </w:tabs>
        <w:autoSpaceDE w:val="0"/>
        <w:autoSpaceDN w:val="0"/>
        <w:adjustRightInd w:val="0"/>
        <w:spacing w:line="240" w:lineRule="auto"/>
        <w:rPr>
          <w:szCs w:val="22"/>
        </w:rPr>
      </w:pPr>
      <w:r w:rsidRPr="001775D9">
        <w:rPr>
          <w:szCs w:val="22"/>
        </w:rPr>
        <w:t>Ankylosing spondylitis and axial spondyloarthritis without radiographic evidence of ankylosing</w:t>
      </w:r>
      <w:r w:rsidR="00CB7625" w:rsidRPr="001775D9">
        <w:rPr>
          <w:szCs w:val="22"/>
        </w:rPr>
        <w:t xml:space="preserve"> </w:t>
      </w:r>
      <w:r w:rsidRPr="001775D9">
        <w:rPr>
          <w:szCs w:val="22"/>
        </w:rPr>
        <w:t xml:space="preserve">spondylitis, are inflammatory diseases of the spine. </w:t>
      </w:r>
    </w:p>
    <w:p w14:paraId="5CD7F109" w14:textId="77777777" w:rsidR="00C60085" w:rsidRPr="00D55B59" w:rsidRDefault="00C60085" w:rsidP="00FB5458">
      <w:pPr>
        <w:pStyle w:val="Default"/>
        <w:rPr>
          <w:sz w:val="22"/>
          <w:szCs w:val="22"/>
          <w:lang w:val="en-GB"/>
          <w:rPrChange w:id="2696" w:author="Author">
            <w:rPr>
              <w:sz w:val="22"/>
              <w:szCs w:val="22"/>
            </w:rPr>
          </w:rPrChange>
        </w:rPr>
      </w:pPr>
    </w:p>
    <w:p w14:paraId="6346BBB0" w14:textId="77777777" w:rsidR="00C42229" w:rsidRPr="00D55B59" w:rsidRDefault="00280231" w:rsidP="00FB5458">
      <w:pPr>
        <w:pStyle w:val="Default"/>
        <w:rPr>
          <w:sz w:val="22"/>
          <w:szCs w:val="22"/>
          <w:lang w:val="en-GB"/>
          <w:rPrChange w:id="2697" w:author="Author">
            <w:rPr>
              <w:sz w:val="22"/>
              <w:szCs w:val="22"/>
            </w:rPr>
          </w:rPrChange>
        </w:rPr>
      </w:pPr>
      <w:r w:rsidRPr="00D55B59">
        <w:rPr>
          <w:sz w:val="22"/>
          <w:szCs w:val="22"/>
          <w:lang w:val="en-GB"/>
          <w:rPrChange w:id="2698" w:author="Author">
            <w:rPr>
              <w:sz w:val="22"/>
              <w:szCs w:val="22"/>
            </w:rPr>
          </w:rPrChange>
        </w:rPr>
        <w:t>AMGEVITA</w:t>
      </w:r>
      <w:r w:rsidR="00C42229" w:rsidRPr="00D55B59">
        <w:rPr>
          <w:sz w:val="22"/>
          <w:szCs w:val="22"/>
          <w:lang w:val="en-GB"/>
          <w:rPrChange w:id="2699" w:author="Author">
            <w:rPr>
              <w:sz w:val="22"/>
              <w:szCs w:val="22"/>
            </w:rPr>
          </w:rPrChange>
        </w:rPr>
        <w:t xml:space="preserve"> is used to treat ankylosing spondylitis and axial spondyloarthritis without radiographic evidence of ankylosing spondylitis in adults. If you have ankylosing spondylitis or axial spondyloarthritis without radiographic evidence of ankylosing spondylitis, you will first be given other medicines. If you do not respond well enough to these medicines, you will be given </w:t>
      </w:r>
      <w:r w:rsidRPr="00D55B59">
        <w:rPr>
          <w:sz w:val="22"/>
          <w:szCs w:val="22"/>
          <w:lang w:val="en-GB"/>
          <w:rPrChange w:id="2700" w:author="Author">
            <w:rPr>
              <w:sz w:val="22"/>
              <w:szCs w:val="22"/>
            </w:rPr>
          </w:rPrChange>
        </w:rPr>
        <w:t>AMGEVITA</w:t>
      </w:r>
      <w:r w:rsidR="00C42229" w:rsidRPr="00D55B59">
        <w:rPr>
          <w:sz w:val="22"/>
          <w:szCs w:val="22"/>
          <w:lang w:val="en-GB"/>
          <w:rPrChange w:id="2701" w:author="Author">
            <w:rPr>
              <w:sz w:val="22"/>
              <w:szCs w:val="22"/>
            </w:rPr>
          </w:rPrChange>
        </w:rPr>
        <w:t xml:space="preserve"> to reduce the signs and symptoms of your disease. </w:t>
      </w:r>
    </w:p>
    <w:p w14:paraId="2B9B2B7A" w14:textId="77777777" w:rsidR="00C42229" w:rsidRPr="00D55B59" w:rsidRDefault="00C42229" w:rsidP="00FB5458">
      <w:pPr>
        <w:pStyle w:val="Default"/>
        <w:rPr>
          <w:sz w:val="22"/>
          <w:szCs w:val="22"/>
          <w:lang w:val="en-GB"/>
          <w:rPrChange w:id="2702" w:author="Author">
            <w:rPr>
              <w:sz w:val="22"/>
              <w:szCs w:val="22"/>
            </w:rPr>
          </w:rPrChange>
        </w:rPr>
      </w:pPr>
    </w:p>
    <w:p w14:paraId="7ADFA74E" w14:textId="77777777" w:rsidR="00C42229" w:rsidRPr="00D55B59" w:rsidRDefault="00C42229" w:rsidP="00FB5458">
      <w:pPr>
        <w:pStyle w:val="Default"/>
        <w:rPr>
          <w:sz w:val="22"/>
          <w:szCs w:val="22"/>
          <w:u w:val="single"/>
          <w:lang w:val="en-GB"/>
          <w:rPrChange w:id="2703" w:author="Author">
            <w:rPr>
              <w:sz w:val="22"/>
              <w:szCs w:val="22"/>
              <w:u w:val="single"/>
            </w:rPr>
          </w:rPrChange>
        </w:rPr>
      </w:pPr>
      <w:r w:rsidRPr="00D55B59">
        <w:rPr>
          <w:sz w:val="22"/>
          <w:szCs w:val="22"/>
          <w:u w:val="single"/>
          <w:lang w:val="en-GB"/>
          <w:rPrChange w:id="2704" w:author="Author">
            <w:rPr>
              <w:sz w:val="22"/>
              <w:szCs w:val="22"/>
              <w:u w:val="single"/>
            </w:rPr>
          </w:rPrChange>
        </w:rPr>
        <w:t xml:space="preserve">Psoriatic arthritis </w:t>
      </w:r>
    </w:p>
    <w:p w14:paraId="7122602E" w14:textId="77777777" w:rsidR="00C42229" w:rsidRPr="00D55B59" w:rsidRDefault="00C42229" w:rsidP="00FB5458">
      <w:pPr>
        <w:pStyle w:val="Default"/>
        <w:rPr>
          <w:sz w:val="22"/>
          <w:szCs w:val="22"/>
          <w:lang w:val="en-GB"/>
          <w:rPrChange w:id="2705" w:author="Author">
            <w:rPr>
              <w:sz w:val="22"/>
              <w:szCs w:val="22"/>
            </w:rPr>
          </w:rPrChange>
        </w:rPr>
      </w:pPr>
    </w:p>
    <w:p w14:paraId="4ED0C6DC" w14:textId="77777777" w:rsidR="00C60085" w:rsidRPr="00D55B59" w:rsidRDefault="00C60085" w:rsidP="00FB5458">
      <w:pPr>
        <w:pStyle w:val="Default"/>
        <w:rPr>
          <w:sz w:val="22"/>
          <w:szCs w:val="22"/>
          <w:lang w:val="en-GB"/>
          <w:rPrChange w:id="2706" w:author="Author">
            <w:rPr>
              <w:sz w:val="22"/>
              <w:szCs w:val="22"/>
            </w:rPr>
          </w:rPrChange>
        </w:rPr>
      </w:pPr>
      <w:r w:rsidRPr="00D55B59">
        <w:rPr>
          <w:sz w:val="22"/>
          <w:szCs w:val="22"/>
          <w:lang w:val="en-GB"/>
          <w:rPrChange w:id="2707" w:author="Author">
            <w:rPr>
              <w:sz w:val="22"/>
              <w:szCs w:val="22"/>
            </w:rPr>
          </w:rPrChange>
        </w:rPr>
        <w:t xml:space="preserve">Psoriatic arthritis is an inflammation of the joints associated with psoriasis. </w:t>
      </w:r>
    </w:p>
    <w:p w14:paraId="3A69D365" w14:textId="77777777" w:rsidR="00C60085" w:rsidRPr="00D55B59" w:rsidRDefault="00C60085" w:rsidP="00FB5458">
      <w:pPr>
        <w:pStyle w:val="Default"/>
        <w:rPr>
          <w:sz w:val="22"/>
          <w:szCs w:val="22"/>
          <w:lang w:val="en-GB"/>
          <w:rPrChange w:id="2708" w:author="Author">
            <w:rPr>
              <w:sz w:val="22"/>
              <w:szCs w:val="22"/>
            </w:rPr>
          </w:rPrChange>
        </w:rPr>
      </w:pPr>
    </w:p>
    <w:p w14:paraId="08DF8BA2" w14:textId="77777777" w:rsidR="00C42229" w:rsidRPr="00D55B59" w:rsidRDefault="00280231" w:rsidP="00FB5458">
      <w:pPr>
        <w:pStyle w:val="Default"/>
        <w:rPr>
          <w:sz w:val="22"/>
          <w:szCs w:val="22"/>
          <w:lang w:val="en-GB"/>
          <w:rPrChange w:id="2709" w:author="Author">
            <w:rPr>
              <w:sz w:val="22"/>
              <w:szCs w:val="22"/>
            </w:rPr>
          </w:rPrChange>
        </w:rPr>
      </w:pPr>
      <w:r w:rsidRPr="00D55B59">
        <w:rPr>
          <w:sz w:val="22"/>
          <w:szCs w:val="22"/>
          <w:lang w:val="en-GB"/>
          <w:rPrChange w:id="2710" w:author="Author">
            <w:rPr>
              <w:sz w:val="22"/>
              <w:szCs w:val="22"/>
            </w:rPr>
          </w:rPrChange>
        </w:rPr>
        <w:t>AMGEVITA</w:t>
      </w:r>
      <w:r w:rsidR="00C42229" w:rsidRPr="00D55B59">
        <w:rPr>
          <w:sz w:val="22"/>
          <w:szCs w:val="22"/>
          <w:lang w:val="en-GB"/>
          <w:rPrChange w:id="2711" w:author="Author">
            <w:rPr>
              <w:sz w:val="22"/>
              <w:szCs w:val="22"/>
            </w:rPr>
          </w:rPrChange>
        </w:rPr>
        <w:t xml:space="preserve"> is used to treat psoriatic arthritis in adults. </w:t>
      </w:r>
      <w:r w:rsidRPr="00D55B59">
        <w:rPr>
          <w:sz w:val="22"/>
          <w:szCs w:val="22"/>
          <w:lang w:val="en-GB"/>
          <w:rPrChange w:id="2712" w:author="Author">
            <w:rPr>
              <w:sz w:val="22"/>
              <w:szCs w:val="22"/>
            </w:rPr>
          </w:rPrChange>
        </w:rPr>
        <w:t>AMGEVITA</w:t>
      </w:r>
      <w:r w:rsidR="00C42229" w:rsidRPr="00D55B59">
        <w:rPr>
          <w:sz w:val="22"/>
          <w:szCs w:val="22"/>
          <w:lang w:val="en-GB"/>
          <w:rPrChange w:id="2713" w:author="Author">
            <w:rPr>
              <w:sz w:val="22"/>
              <w:szCs w:val="22"/>
            </w:rPr>
          </w:rPrChange>
        </w:rPr>
        <w:t xml:space="preserve"> slow</w:t>
      </w:r>
      <w:r w:rsidRPr="00D55B59">
        <w:rPr>
          <w:sz w:val="22"/>
          <w:szCs w:val="22"/>
          <w:lang w:val="en-GB"/>
          <w:rPrChange w:id="2714" w:author="Author">
            <w:rPr>
              <w:sz w:val="22"/>
              <w:szCs w:val="22"/>
            </w:rPr>
          </w:rPrChange>
        </w:rPr>
        <w:t>s</w:t>
      </w:r>
      <w:r w:rsidR="00C42229" w:rsidRPr="00D55B59">
        <w:rPr>
          <w:sz w:val="22"/>
          <w:szCs w:val="22"/>
          <w:lang w:val="en-GB"/>
          <w:rPrChange w:id="2715" w:author="Author">
            <w:rPr>
              <w:sz w:val="22"/>
              <w:szCs w:val="22"/>
            </w:rPr>
          </w:rPrChange>
        </w:rPr>
        <w:t xml:space="preserve"> down the damage to the cartilage and bone of the joints caused by the disease and to improve physical function. </w:t>
      </w:r>
    </w:p>
    <w:p w14:paraId="02FC7356" w14:textId="77777777" w:rsidR="00C42229" w:rsidRPr="00D55B59" w:rsidRDefault="00C42229" w:rsidP="00FB5458">
      <w:pPr>
        <w:pStyle w:val="Default"/>
        <w:rPr>
          <w:sz w:val="22"/>
          <w:szCs w:val="22"/>
          <w:lang w:val="en-GB"/>
          <w:rPrChange w:id="2716" w:author="Author">
            <w:rPr>
              <w:sz w:val="22"/>
              <w:szCs w:val="22"/>
            </w:rPr>
          </w:rPrChange>
        </w:rPr>
      </w:pPr>
    </w:p>
    <w:p w14:paraId="29E16789" w14:textId="77777777" w:rsidR="00C42229" w:rsidRPr="00D55B59" w:rsidRDefault="00C60085" w:rsidP="00FB5458">
      <w:pPr>
        <w:pStyle w:val="Default"/>
        <w:rPr>
          <w:sz w:val="22"/>
          <w:szCs w:val="22"/>
          <w:u w:val="single"/>
          <w:lang w:val="en-GB"/>
          <w:rPrChange w:id="2717" w:author="Author">
            <w:rPr>
              <w:sz w:val="22"/>
              <w:szCs w:val="22"/>
              <w:u w:val="single"/>
            </w:rPr>
          </w:rPrChange>
        </w:rPr>
      </w:pPr>
      <w:r w:rsidRPr="00D55B59">
        <w:rPr>
          <w:sz w:val="22"/>
          <w:szCs w:val="22"/>
          <w:u w:val="single"/>
          <w:lang w:val="en-GB"/>
          <w:rPrChange w:id="2718" w:author="Author">
            <w:rPr>
              <w:sz w:val="22"/>
              <w:szCs w:val="22"/>
              <w:u w:val="single"/>
            </w:rPr>
          </w:rPrChange>
        </w:rPr>
        <w:t>Plaque p</w:t>
      </w:r>
      <w:r w:rsidR="00C42229" w:rsidRPr="00D55B59">
        <w:rPr>
          <w:sz w:val="22"/>
          <w:szCs w:val="22"/>
          <w:u w:val="single"/>
          <w:lang w:val="en-GB"/>
          <w:rPrChange w:id="2719" w:author="Author">
            <w:rPr>
              <w:sz w:val="22"/>
              <w:szCs w:val="22"/>
              <w:u w:val="single"/>
            </w:rPr>
          </w:rPrChange>
        </w:rPr>
        <w:t xml:space="preserve">soriasis </w:t>
      </w:r>
      <w:r w:rsidRPr="00D55B59">
        <w:rPr>
          <w:sz w:val="22"/>
          <w:szCs w:val="22"/>
          <w:u w:val="single"/>
          <w:lang w:val="en-GB"/>
          <w:rPrChange w:id="2720" w:author="Author">
            <w:rPr>
              <w:sz w:val="22"/>
              <w:szCs w:val="22"/>
              <w:u w:val="single"/>
            </w:rPr>
          </w:rPrChange>
        </w:rPr>
        <w:t>in adults and children</w:t>
      </w:r>
    </w:p>
    <w:p w14:paraId="474DBC93" w14:textId="77777777" w:rsidR="00C42229" w:rsidRPr="001775D9" w:rsidRDefault="00C42229" w:rsidP="00FB5458">
      <w:pPr>
        <w:tabs>
          <w:tab w:val="clear" w:pos="567"/>
        </w:tabs>
        <w:spacing w:line="240" w:lineRule="auto"/>
        <w:ind w:right="-2"/>
        <w:rPr>
          <w:szCs w:val="22"/>
        </w:rPr>
      </w:pPr>
    </w:p>
    <w:p w14:paraId="0C484107" w14:textId="77777777" w:rsidR="00C60085" w:rsidRPr="001775D9" w:rsidRDefault="00C60085" w:rsidP="00FB5458">
      <w:pPr>
        <w:tabs>
          <w:tab w:val="clear" w:pos="567"/>
        </w:tabs>
        <w:spacing w:line="240" w:lineRule="auto"/>
        <w:ind w:right="-2"/>
        <w:rPr>
          <w:rFonts w:eastAsia="MS Mincho"/>
          <w:color w:val="000000"/>
          <w:szCs w:val="22"/>
          <w:lang w:eastAsia="ja-JP"/>
        </w:rPr>
      </w:pPr>
      <w:r w:rsidRPr="001775D9">
        <w:rPr>
          <w:rFonts w:eastAsia="MS Mincho"/>
          <w:color w:val="000000"/>
          <w:szCs w:val="22"/>
          <w:lang w:eastAsia="ja-JP"/>
        </w:rPr>
        <w:t>Plaque psoriasis is a skin condition that causes red, flaky, crusty patches of skin covered with silvery</w:t>
      </w:r>
      <w:r w:rsidR="00576776" w:rsidRPr="001775D9">
        <w:rPr>
          <w:rFonts w:eastAsia="MS Mincho"/>
          <w:color w:val="000000"/>
          <w:szCs w:val="22"/>
          <w:lang w:eastAsia="ja-JP"/>
        </w:rPr>
        <w:t xml:space="preserve"> </w:t>
      </w:r>
      <w:r w:rsidRPr="001775D9">
        <w:rPr>
          <w:rFonts w:eastAsia="MS Mincho"/>
          <w:color w:val="000000"/>
          <w:szCs w:val="22"/>
          <w:lang w:eastAsia="ja-JP"/>
        </w:rPr>
        <w:t xml:space="preserve">scales. </w:t>
      </w:r>
      <w:r w:rsidR="007E19C6" w:rsidRPr="001775D9">
        <w:t>Plaque psoriasis can also affect the nails, causing them to crumble, become thickened and lift away from the nail bed which can be painful</w:t>
      </w:r>
      <w:r w:rsidR="007E19C6" w:rsidRPr="001775D9">
        <w:rPr>
          <w:rFonts w:eastAsia="MS Mincho"/>
          <w:color w:val="000000"/>
          <w:szCs w:val="22"/>
          <w:lang w:eastAsia="ja-JP"/>
        </w:rPr>
        <w:t xml:space="preserve">. </w:t>
      </w:r>
      <w:r w:rsidRPr="001775D9">
        <w:rPr>
          <w:rFonts w:eastAsia="MS Mincho"/>
          <w:color w:val="000000"/>
          <w:szCs w:val="22"/>
          <w:lang w:eastAsia="ja-JP"/>
        </w:rPr>
        <w:t>Psoriasis is believed to be caused by a problem with the body’s immune system that leads to an</w:t>
      </w:r>
      <w:r w:rsidR="00576776" w:rsidRPr="001775D9">
        <w:rPr>
          <w:rFonts w:eastAsia="MS Mincho"/>
          <w:color w:val="000000"/>
          <w:szCs w:val="22"/>
          <w:lang w:eastAsia="ja-JP"/>
        </w:rPr>
        <w:t xml:space="preserve"> </w:t>
      </w:r>
      <w:r w:rsidRPr="001775D9">
        <w:rPr>
          <w:rFonts w:eastAsia="MS Mincho"/>
          <w:color w:val="000000"/>
          <w:szCs w:val="22"/>
          <w:lang w:eastAsia="ja-JP"/>
        </w:rPr>
        <w:t>increased production of skin cells</w:t>
      </w:r>
      <w:r w:rsidR="0015603B" w:rsidRPr="001775D9">
        <w:rPr>
          <w:rFonts w:eastAsia="MS Mincho"/>
          <w:color w:val="000000"/>
          <w:szCs w:val="22"/>
          <w:lang w:eastAsia="ja-JP"/>
        </w:rPr>
        <w:t>.</w:t>
      </w:r>
    </w:p>
    <w:p w14:paraId="4AF3530E" w14:textId="77777777" w:rsidR="00C60085" w:rsidRPr="001775D9" w:rsidRDefault="00C60085" w:rsidP="00FB5458">
      <w:pPr>
        <w:tabs>
          <w:tab w:val="clear" w:pos="567"/>
        </w:tabs>
        <w:autoSpaceDE w:val="0"/>
        <w:autoSpaceDN w:val="0"/>
        <w:adjustRightInd w:val="0"/>
        <w:spacing w:line="240" w:lineRule="auto"/>
        <w:rPr>
          <w:szCs w:val="22"/>
        </w:rPr>
      </w:pPr>
    </w:p>
    <w:p w14:paraId="73C60BB0" w14:textId="77777777" w:rsidR="0015603B" w:rsidRPr="001775D9" w:rsidRDefault="00397168" w:rsidP="00FB5458">
      <w:pPr>
        <w:tabs>
          <w:tab w:val="clear" w:pos="567"/>
        </w:tabs>
        <w:autoSpaceDE w:val="0"/>
        <w:autoSpaceDN w:val="0"/>
        <w:adjustRightInd w:val="0"/>
        <w:spacing w:line="240" w:lineRule="auto"/>
        <w:rPr>
          <w:szCs w:val="22"/>
        </w:rPr>
      </w:pPr>
      <w:r w:rsidRPr="001775D9">
        <w:rPr>
          <w:szCs w:val="22"/>
        </w:rPr>
        <w:t xml:space="preserve">AMGEVITA </w:t>
      </w:r>
      <w:r w:rsidRPr="001775D9">
        <w:t>i</w:t>
      </w:r>
      <w:r w:rsidRPr="001775D9">
        <w:rPr>
          <w:szCs w:val="22"/>
        </w:rPr>
        <w:t xml:space="preserve">s used </w:t>
      </w:r>
      <w:r w:rsidRPr="001775D9">
        <w:t>t</w:t>
      </w:r>
      <w:r w:rsidRPr="001775D9">
        <w:rPr>
          <w:szCs w:val="22"/>
        </w:rPr>
        <w:t xml:space="preserve">o </w:t>
      </w:r>
      <w:r w:rsidRPr="001775D9">
        <w:t>t</w:t>
      </w:r>
      <w:r w:rsidRPr="001775D9">
        <w:rPr>
          <w:szCs w:val="22"/>
        </w:rPr>
        <w:t>reat moderate to severe plaque psoriasis in adults.</w:t>
      </w:r>
      <w:r w:rsidRPr="001775D9">
        <w:t xml:space="preserve"> </w:t>
      </w:r>
      <w:r w:rsidR="00280231" w:rsidRPr="001775D9">
        <w:rPr>
          <w:szCs w:val="22"/>
        </w:rPr>
        <w:t>AMGEVITA</w:t>
      </w:r>
      <w:r w:rsidR="006B5BA5" w:rsidRPr="001775D9">
        <w:rPr>
          <w:szCs w:val="22"/>
        </w:rPr>
        <w:t xml:space="preserve"> is </w:t>
      </w:r>
      <w:r w:rsidR="00CE288E" w:rsidRPr="001775D9">
        <w:rPr>
          <w:szCs w:val="22"/>
        </w:rPr>
        <w:t xml:space="preserve">also </w:t>
      </w:r>
      <w:r w:rsidR="006B5BA5" w:rsidRPr="001775D9">
        <w:rPr>
          <w:szCs w:val="22"/>
        </w:rPr>
        <w:t xml:space="preserve">used to treat severe plaque psoriasis in children and adolescents </w:t>
      </w:r>
      <w:r w:rsidR="00E50730" w:rsidRPr="001775D9">
        <w:rPr>
          <w:szCs w:val="22"/>
        </w:rPr>
        <w:t xml:space="preserve">aged 4 to 17 years </w:t>
      </w:r>
      <w:r w:rsidR="00745CD1" w:rsidRPr="001775D9">
        <w:rPr>
          <w:szCs w:val="22"/>
        </w:rPr>
        <w:t>for</w:t>
      </w:r>
      <w:r w:rsidR="00E36EBA" w:rsidRPr="001775D9">
        <w:rPr>
          <w:szCs w:val="22"/>
        </w:rPr>
        <w:t xml:space="preserve"> whom topical therapy and phototherapies have either not worked very well or are not suitable</w:t>
      </w:r>
      <w:r w:rsidR="0015603B" w:rsidRPr="001775D9">
        <w:rPr>
          <w:szCs w:val="22"/>
        </w:rPr>
        <w:t>.</w:t>
      </w:r>
    </w:p>
    <w:p w14:paraId="0FBB4358" w14:textId="77777777" w:rsidR="006B5BA5" w:rsidRPr="001775D9" w:rsidRDefault="006B5BA5" w:rsidP="00FB5458">
      <w:pPr>
        <w:tabs>
          <w:tab w:val="clear" w:pos="567"/>
        </w:tabs>
        <w:autoSpaceDE w:val="0"/>
        <w:autoSpaceDN w:val="0"/>
        <w:adjustRightInd w:val="0"/>
        <w:spacing w:line="240" w:lineRule="auto"/>
        <w:rPr>
          <w:szCs w:val="22"/>
        </w:rPr>
      </w:pPr>
    </w:p>
    <w:p w14:paraId="1E1349BB" w14:textId="77777777" w:rsidR="00E36EBA" w:rsidRPr="001775D9" w:rsidRDefault="00E36EBA" w:rsidP="00FB5458">
      <w:pPr>
        <w:keepNext/>
        <w:tabs>
          <w:tab w:val="clear" w:pos="567"/>
        </w:tabs>
        <w:autoSpaceDE w:val="0"/>
        <w:autoSpaceDN w:val="0"/>
        <w:adjustRightInd w:val="0"/>
        <w:spacing w:line="240" w:lineRule="auto"/>
        <w:rPr>
          <w:szCs w:val="22"/>
          <w:u w:val="single"/>
        </w:rPr>
      </w:pPr>
      <w:r w:rsidRPr="001775D9">
        <w:rPr>
          <w:szCs w:val="22"/>
          <w:u w:val="single"/>
        </w:rPr>
        <w:t>Hidradenitis suppurativa</w:t>
      </w:r>
      <w:r w:rsidR="00F62574" w:rsidRPr="001775D9">
        <w:rPr>
          <w:szCs w:val="22"/>
          <w:u w:val="single"/>
        </w:rPr>
        <w:t xml:space="preserve"> in adults and adolescents</w:t>
      </w:r>
    </w:p>
    <w:p w14:paraId="65005EB4" w14:textId="77777777" w:rsidR="00E36EBA" w:rsidRPr="001775D9" w:rsidRDefault="00E36EBA" w:rsidP="00FB5458">
      <w:pPr>
        <w:keepNext/>
        <w:tabs>
          <w:tab w:val="clear" w:pos="567"/>
        </w:tabs>
        <w:autoSpaceDE w:val="0"/>
        <w:autoSpaceDN w:val="0"/>
        <w:adjustRightInd w:val="0"/>
        <w:spacing w:line="240" w:lineRule="auto"/>
        <w:rPr>
          <w:szCs w:val="22"/>
        </w:rPr>
      </w:pPr>
    </w:p>
    <w:p w14:paraId="5A3DFC13" w14:textId="77777777" w:rsidR="00E36EBA" w:rsidRPr="001775D9" w:rsidRDefault="00E36EBA" w:rsidP="00FB5458">
      <w:pPr>
        <w:tabs>
          <w:tab w:val="clear" w:pos="567"/>
        </w:tabs>
        <w:autoSpaceDE w:val="0"/>
        <w:autoSpaceDN w:val="0"/>
        <w:adjustRightInd w:val="0"/>
        <w:spacing w:line="240" w:lineRule="auto"/>
        <w:rPr>
          <w:szCs w:val="22"/>
        </w:rPr>
      </w:pPr>
      <w:r w:rsidRPr="001775D9">
        <w:rPr>
          <w:szCs w:val="22"/>
        </w:rPr>
        <w:t>Hidradenitis suppurativa (sometimes called acne inversa) is a chronic and often painful inflammatory</w:t>
      </w:r>
      <w:r w:rsidR="00576776" w:rsidRPr="001775D9">
        <w:rPr>
          <w:szCs w:val="22"/>
        </w:rPr>
        <w:t xml:space="preserve"> </w:t>
      </w:r>
      <w:r w:rsidRPr="001775D9">
        <w:rPr>
          <w:szCs w:val="22"/>
        </w:rPr>
        <w:t>skin disease. Symptoms may include tender nodules (lumps) and abscesses (boils) that may leak pus.</w:t>
      </w:r>
      <w:r w:rsidR="00576776" w:rsidRPr="001775D9">
        <w:rPr>
          <w:szCs w:val="22"/>
        </w:rPr>
        <w:t xml:space="preserve"> </w:t>
      </w:r>
      <w:r w:rsidRPr="001775D9">
        <w:rPr>
          <w:szCs w:val="22"/>
        </w:rPr>
        <w:t>It most commonly affects specific areas of the skin, such as under the breasts, the armpits, inner</w:t>
      </w:r>
      <w:r w:rsidR="00576776" w:rsidRPr="001775D9">
        <w:rPr>
          <w:szCs w:val="22"/>
        </w:rPr>
        <w:t xml:space="preserve"> </w:t>
      </w:r>
      <w:r w:rsidRPr="001775D9">
        <w:rPr>
          <w:szCs w:val="22"/>
        </w:rPr>
        <w:t>thighs, groin and buttocks. Scarring may also occur in affected areas.</w:t>
      </w:r>
    </w:p>
    <w:p w14:paraId="16FC5932" w14:textId="77777777" w:rsidR="00E36EBA" w:rsidRPr="001775D9" w:rsidRDefault="00E36EBA" w:rsidP="00FB5458">
      <w:pPr>
        <w:tabs>
          <w:tab w:val="clear" w:pos="567"/>
        </w:tabs>
        <w:autoSpaceDE w:val="0"/>
        <w:autoSpaceDN w:val="0"/>
        <w:adjustRightInd w:val="0"/>
        <w:spacing w:line="240" w:lineRule="auto"/>
        <w:rPr>
          <w:szCs w:val="22"/>
        </w:rPr>
      </w:pPr>
    </w:p>
    <w:p w14:paraId="69F6830A" w14:textId="77777777" w:rsidR="00E36EBA" w:rsidRPr="001775D9" w:rsidRDefault="00280231" w:rsidP="00FB5458">
      <w:pPr>
        <w:tabs>
          <w:tab w:val="clear" w:pos="567"/>
        </w:tabs>
        <w:autoSpaceDE w:val="0"/>
        <w:autoSpaceDN w:val="0"/>
        <w:adjustRightInd w:val="0"/>
        <w:spacing w:line="240" w:lineRule="auto"/>
        <w:rPr>
          <w:szCs w:val="22"/>
        </w:rPr>
      </w:pPr>
      <w:r w:rsidRPr="001775D9">
        <w:rPr>
          <w:szCs w:val="22"/>
        </w:rPr>
        <w:t>AMGEVITA</w:t>
      </w:r>
      <w:r w:rsidR="00E36EBA" w:rsidRPr="001775D9">
        <w:rPr>
          <w:szCs w:val="22"/>
        </w:rPr>
        <w:t xml:space="preserve"> is used to treat hidradenitis suppurativa in adults</w:t>
      </w:r>
      <w:r w:rsidR="00F62574" w:rsidRPr="001775D9">
        <w:rPr>
          <w:szCs w:val="22"/>
        </w:rPr>
        <w:t xml:space="preserve"> and adolescents from 12 years of age</w:t>
      </w:r>
      <w:r w:rsidR="00E36EBA" w:rsidRPr="001775D9">
        <w:rPr>
          <w:szCs w:val="22"/>
        </w:rPr>
        <w:t xml:space="preserve">. </w:t>
      </w:r>
      <w:r w:rsidRPr="001775D9">
        <w:rPr>
          <w:szCs w:val="22"/>
        </w:rPr>
        <w:t>AMGEVITA</w:t>
      </w:r>
      <w:r w:rsidR="00E36EBA" w:rsidRPr="001775D9">
        <w:rPr>
          <w:szCs w:val="22"/>
        </w:rPr>
        <w:t xml:space="preserve"> can reduce the number of nodules and abscesses you have, and the pain that is often associated with the disease.</w:t>
      </w:r>
      <w:r w:rsidR="00F62574" w:rsidRPr="001775D9">
        <w:rPr>
          <w:szCs w:val="22"/>
        </w:rPr>
        <w:t xml:space="preserve"> You may first be given other medicines. If you do not respond well enough to these medicines, you will be given AMGEVITA.</w:t>
      </w:r>
    </w:p>
    <w:p w14:paraId="310E1975" w14:textId="77777777" w:rsidR="00280231" w:rsidRPr="00D55B59" w:rsidRDefault="00280231" w:rsidP="00FB5458">
      <w:pPr>
        <w:pStyle w:val="Default"/>
        <w:rPr>
          <w:sz w:val="22"/>
          <w:szCs w:val="22"/>
          <w:u w:val="single"/>
          <w:lang w:val="en-GB"/>
          <w:rPrChange w:id="2721" w:author="Author">
            <w:rPr>
              <w:sz w:val="22"/>
              <w:szCs w:val="22"/>
              <w:u w:val="single"/>
            </w:rPr>
          </w:rPrChange>
        </w:rPr>
      </w:pPr>
    </w:p>
    <w:p w14:paraId="04F37CE4" w14:textId="77777777" w:rsidR="00C42229" w:rsidRPr="00D55B59" w:rsidRDefault="00C42229" w:rsidP="00FB5458">
      <w:pPr>
        <w:pStyle w:val="Default"/>
        <w:rPr>
          <w:sz w:val="22"/>
          <w:szCs w:val="22"/>
          <w:u w:val="single"/>
          <w:lang w:val="en-GB"/>
          <w:rPrChange w:id="2722" w:author="Author">
            <w:rPr>
              <w:sz w:val="22"/>
              <w:szCs w:val="22"/>
              <w:u w:val="single"/>
            </w:rPr>
          </w:rPrChange>
        </w:rPr>
      </w:pPr>
      <w:r w:rsidRPr="00D55B59">
        <w:rPr>
          <w:sz w:val="22"/>
          <w:szCs w:val="22"/>
          <w:u w:val="single"/>
          <w:lang w:val="en-GB"/>
          <w:rPrChange w:id="2723" w:author="Author">
            <w:rPr>
              <w:sz w:val="22"/>
              <w:szCs w:val="22"/>
              <w:u w:val="single"/>
            </w:rPr>
          </w:rPrChange>
        </w:rPr>
        <w:t xml:space="preserve">Crohn’s disease in </w:t>
      </w:r>
      <w:r w:rsidR="0080593B" w:rsidRPr="00D55B59">
        <w:rPr>
          <w:rFonts w:eastAsia="PMingLiU"/>
          <w:sz w:val="22"/>
          <w:szCs w:val="22"/>
          <w:u w:val="single"/>
          <w:lang w:val="en-GB" w:eastAsia="zh-TW"/>
          <w:rPrChange w:id="2724" w:author="Author">
            <w:rPr>
              <w:rFonts w:eastAsia="PMingLiU"/>
              <w:sz w:val="22"/>
              <w:szCs w:val="22"/>
              <w:u w:val="single"/>
              <w:lang w:eastAsia="zh-TW"/>
            </w:rPr>
          </w:rPrChange>
        </w:rPr>
        <w:t>a</w:t>
      </w:r>
      <w:r w:rsidRPr="00D55B59">
        <w:rPr>
          <w:sz w:val="22"/>
          <w:szCs w:val="22"/>
          <w:u w:val="single"/>
          <w:lang w:val="en-GB"/>
          <w:rPrChange w:id="2725" w:author="Author">
            <w:rPr>
              <w:sz w:val="22"/>
              <w:szCs w:val="22"/>
              <w:u w:val="single"/>
            </w:rPr>
          </w:rPrChange>
        </w:rPr>
        <w:t xml:space="preserve">dults and </w:t>
      </w:r>
      <w:r w:rsidR="0080593B" w:rsidRPr="00D55B59">
        <w:rPr>
          <w:rFonts w:eastAsia="PMingLiU"/>
          <w:sz w:val="22"/>
          <w:szCs w:val="22"/>
          <w:u w:val="single"/>
          <w:lang w:val="en-GB" w:eastAsia="zh-TW"/>
          <w:rPrChange w:id="2726" w:author="Author">
            <w:rPr>
              <w:rFonts w:eastAsia="PMingLiU"/>
              <w:sz w:val="22"/>
              <w:szCs w:val="22"/>
              <w:u w:val="single"/>
              <w:lang w:eastAsia="zh-TW"/>
            </w:rPr>
          </w:rPrChange>
        </w:rPr>
        <w:t>c</w:t>
      </w:r>
      <w:r w:rsidRPr="00D55B59">
        <w:rPr>
          <w:sz w:val="22"/>
          <w:szCs w:val="22"/>
          <w:u w:val="single"/>
          <w:lang w:val="en-GB"/>
          <w:rPrChange w:id="2727" w:author="Author">
            <w:rPr>
              <w:sz w:val="22"/>
              <w:szCs w:val="22"/>
              <w:u w:val="single"/>
            </w:rPr>
          </w:rPrChange>
        </w:rPr>
        <w:t xml:space="preserve">hildren </w:t>
      </w:r>
    </w:p>
    <w:p w14:paraId="0C0AF313" w14:textId="77777777" w:rsidR="00C42229" w:rsidRPr="00D55B59" w:rsidRDefault="00C42229" w:rsidP="00FB5458">
      <w:pPr>
        <w:pStyle w:val="Default"/>
        <w:rPr>
          <w:sz w:val="22"/>
          <w:szCs w:val="22"/>
          <w:lang w:val="en-GB"/>
          <w:rPrChange w:id="2728" w:author="Author">
            <w:rPr>
              <w:sz w:val="22"/>
              <w:szCs w:val="22"/>
            </w:rPr>
          </w:rPrChange>
        </w:rPr>
      </w:pPr>
    </w:p>
    <w:p w14:paraId="1B1BD4E1" w14:textId="77777777" w:rsidR="00E36EBA" w:rsidRPr="00D55B59" w:rsidRDefault="00E36EBA" w:rsidP="00FB5458">
      <w:pPr>
        <w:pStyle w:val="Default"/>
        <w:rPr>
          <w:rFonts w:eastAsia="PMingLiU"/>
          <w:color w:val="auto"/>
          <w:sz w:val="22"/>
          <w:szCs w:val="22"/>
          <w:lang w:val="en-GB" w:eastAsia="en-US"/>
          <w:rPrChange w:id="2729" w:author="Author">
            <w:rPr>
              <w:rFonts w:eastAsia="PMingLiU"/>
              <w:color w:val="auto"/>
              <w:sz w:val="22"/>
              <w:szCs w:val="22"/>
              <w:lang w:eastAsia="en-US"/>
            </w:rPr>
          </w:rPrChange>
        </w:rPr>
      </w:pPr>
      <w:r w:rsidRPr="00D55B59">
        <w:rPr>
          <w:rFonts w:eastAsia="PMingLiU"/>
          <w:color w:val="auto"/>
          <w:sz w:val="22"/>
          <w:szCs w:val="22"/>
          <w:lang w:val="en-GB" w:eastAsia="en-US"/>
          <w:rPrChange w:id="2730" w:author="Author">
            <w:rPr>
              <w:rFonts w:eastAsia="PMingLiU"/>
              <w:color w:val="auto"/>
              <w:sz w:val="22"/>
              <w:szCs w:val="22"/>
              <w:lang w:eastAsia="en-US"/>
            </w:rPr>
          </w:rPrChange>
        </w:rPr>
        <w:t>Crohn’s disease is an inflammatory disease of the digestive tract.</w:t>
      </w:r>
    </w:p>
    <w:p w14:paraId="15C27F54" w14:textId="77777777" w:rsidR="00E36EBA" w:rsidRPr="00D55B59" w:rsidRDefault="00E36EBA" w:rsidP="00FB5458">
      <w:pPr>
        <w:pStyle w:val="Default"/>
        <w:rPr>
          <w:rFonts w:ascii="TimesNewRoman" w:hAnsi="TimesNewRoman" w:cs="TimesNewRoman"/>
          <w:szCs w:val="22"/>
          <w:lang w:val="en-GB"/>
          <w:rPrChange w:id="2731" w:author="Author">
            <w:rPr>
              <w:rFonts w:ascii="TimesNewRoman" w:hAnsi="TimesNewRoman" w:cs="TimesNewRoman"/>
              <w:szCs w:val="22"/>
            </w:rPr>
          </w:rPrChange>
        </w:rPr>
      </w:pPr>
    </w:p>
    <w:p w14:paraId="619B66D8" w14:textId="77777777" w:rsidR="00C42229" w:rsidRPr="00D55B59" w:rsidRDefault="00280231" w:rsidP="00FB5458">
      <w:pPr>
        <w:pStyle w:val="Default"/>
        <w:rPr>
          <w:sz w:val="22"/>
          <w:szCs w:val="22"/>
          <w:lang w:val="en-GB"/>
          <w:rPrChange w:id="2732" w:author="Author">
            <w:rPr>
              <w:sz w:val="22"/>
              <w:szCs w:val="22"/>
            </w:rPr>
          </w:rPrChange>
        </w:rPr>
      </w:pPr>
      <w:r w:rsidRPr="00D55B59">
        <w:rPr>
          <w:sz w:val="22"/>
          <w:szCs w:val="22"/>
          <w:lang w:val="en-GB"/>
          <w:rPrChange w:id="2733" w:author="Author">
            <w:rPr>
              <w:sz w:val="22"/>
              <w:szCs w:val="22"/>
            </w:rPr>
          </w:rPrChange>
        </w:rPr>
        <w:t>AMGEVITA</w:t>
      </w:r>
      <w:r w:rsidR="00C42229" w:rsidRPr="00D55B59">
        <w:rPr>
          <w:sz w:val="22"/>
          <w:szCs w:val="22"/>
          <w:lang w:val="en-GB"/>
          <w:rPrChange w:id="2734" w:author="Author">
            <w:rPr>
              <w:sz w:val="22"/>
              <w:szCs w:val="22"/>
            </w:rPr>
          </w:rPrChange>
        </w:rPr>
        <w:t xml:space="preserve"> is used to treat Crohn’s disease in adults and children aged 6 to 17 years. If you have Crohn’s disease you will first be given other medicines. If you do not respond well enough to these medicines, you will be given </w:t>
      </w:r>
      <w:r w:rsidRPr="00D55B59">
        <w:rPr>
          <w:sz w:val="22"/>
          <w:szCs w:val="22"/>
          <w:lang w:val="en-GB"/>
          <w:rPrChange w:id="2735" w:author="Author">
            <w:rPr>
              <w:sz w:val="22"/>
              <w:szCs w:val="22"/>
            </w:rPr>
          </w:rPrChange>
        </w:rPr>
        <w:t>AMGEVITA</w:t>
      </w:r>
      <w:r w:rsidR="00C42229" w:rsidRPr="00D55B59">
        <w:rPr>
          <w:sz w:val="22"/>
          <w:szCs w:val="22"/>
          <w:lang w:val="en-GB"/>
          <w:rPrChange w:id="2736" w:author="Author">
            <w:rPr>
              <w:sz w:val="22"/>
              <w:szCs w:val="22"/>
            </w:rPr>
          </w:rPrChange>
        </w:rPr>
        <w:t xml:space="preserve"> to reduce the signs and symptoms of your Crohn’s disease. </w:t>
      </w:r>
    </w:p>
    <w:p w14:paraId="21C5688D" w14:textId="77777777" w:rsidR="00C42229" w:rsidRPr="00D55B59" w:rsidRDefault="00C42229" w:rsidP="00FB5458">
      <w:pPr>
        <w:pStyle w:val="Default"/>
        <w:rPr>
          <w:sz w:val="22"/>
          <w:szCs w:val="22"/>
          <w:lang w:val="en-GB"/>
          <w:rPrChange w:id="2737" w:author="Author">
            <w:rPr>
              <w:sz w:val="22"/>
              <w:szCs w:val="22"/>
            </w:rPr>
          </w:rPrChange>
        </w:rPr>
      </w:pPr>
    </w:p>
    <w:p w14:paraId="2D48BB45" w14:textId="54D9B8E3" w:rsidR="00C42229" w:rsidRPr="00D55B59" w:rsidRDefault="00C42229" w:rsidP="00FB5458">
      <w:pPr>
        <w:pStyle w:val="Default"/>
        <w:rPr>
          <w:sz w:val="22"/>
          <w:szCs w:val="22"/>
          <w:u w:val="single"/>
          <w:lang w:val="en-GB"/>
          <w:rPrChange w:id="2738" w:author="Author">
            <w:rPr>
              <w:sz w:val="22"/>
              <w:szCs w:val="22"/>
              <w:u w:val="single"/>
            </w:rPr>
          </w:rPrChange>
        </w:rPr>
      </w:pPr>
      <w:r w:rsidRPr="00D55B59">
        <w:rPr>
          <w:sz w:val="22"/>
          <w:szCs w:val="22"/>
          <w:u w:val="single"/>
          <w:lang w:val="en-GB"/>
          <w:rPrChange w:id="2739" w:author="Author">
            <w:rPr>
              <w:sz w:val="22"/>
              <w:szCs w:val="22"/>
              <w:u w:val="single"/>
            </w:rPr>
          </w:rPrChange>
        </w:rPr>
        <w:t xml:space="preserve">Ulcerative </w:t>
      </w:r>
      <w:r w:rsidR="0080593B" w:rsidRPr="00D55B59">
        <w:rPr>
          <w:rFonts w:eastAsia="PMingLiU"/>
          <w:sz w:val="22"/>
          <w:szCs w:val="22"/>
          <w:u w:val="single"/>
          <w:lang w:val="en-GB" w:eastAsia="zh-TW"/>
          <w:rPrChange w:id="2740" w:author="Author">
            <w:rPr>
              <w:rFonts w:eastAsia="PMingLiU"/>
              <w:sz w:val="22"/>
              <w:szCs w:val="22"/>
              <w:u w:val="single"/>
              <w:lang w:eastAsia="zh-TW"/>
            </w:rPr>
          </w:rPrChange>
        </w:rPr>
        <w:t>c</w:t>
      </w:r>
      <w:r w:rsidRPr="00D55B59">
        <w:rPr>
          <w:sz w:val="22"/>
          <w:szCs w:val="22"/>
          <w:u w:val="single"/>
          <w:lang w:val="en-GB"/>
          <w:rPrChange w:id="2741" w:author="Author">
            <w:rPr>
              <w:sz w:val="22"/>
              <w:szCs w:val="22"/>
              <w:u w:val="single"/>
            </w:rPr>
          </w:rPrChange>
        </w:rPr>
        <w:t>olitis</w:t>
      </w:r>
      <w:r w:rsidR="00BC2B12" w:rsidRPr="00D55B59">
        <w:rPr>
          <w:sz w:val="22"/>
          <w:szCs w:val="22"/>
          <w:u w:val="single"/>
          <w:lang w:val="en-GB"/>
          <w:rPrChange w:id="2742" w:author="Author">
            <w:rPr>
              <w:sz w:val="22"/>
              <w:szCs w:val="22"/>
              <w:u w:val="single"/>
            </w:rPr>
          </w:rPrChange>
        </w:rPr>
        <w:t xml:space="preserve"> in adults and children</w:t>
      </w:r>
      <w:r w:rsidRPr="00D55B59">
        <w:rPr>
          <w:sz w:val="22"/>
          <w:szCs w:val="22"/>
          <w:u w:val="single"/>
          <w:lang w:val="en-GB"/>
          <w:rPrChange w:id="2743" w:author="Author">
            <w:rPr>
              <w:sz w:val="22"/>
              <w:szCs w:val="22"/>
              <w:u w:val="single"/>
            </w:rPr>
          </w:rPrChange>
        </w:rPr>
        <w:t xml:space="preserve"> </w:t>
      </w:r>
    </w:p>
    <w:p w14:paraId="5A451BEF" w14:textId="77777777" w:rsidR="00C42229" w:rsidRPr="001775D9" w:rsidRDefault="00C42229" w:rsidP="00FB5458">
      <w:pPr>
        <w:tabs>
          <w:tab w:val="clear" w:pos="567"/>
        </w:tabs>
        <w:spacing w:line="240" w:lineRule="auto"/>
        <w:ind w:right="-2"/>
        <w:rPr>
          <w:szCs w:val="22"/>
        </w:rPr>
      </w:pPr>
    </w:p>
    <w:p w14:paraId="284D7FCF" w14:textId="7334B647" w:rsidR="00E36EBA" w:rsidRPr="001775D9" w:rsidRDefault="00E36EBA" w:rsidP="00FB5458">
      <w:pPr>
        <w:tabs>
          <w:tab w:val="clear" w:pos="567"/>
        </w:tabs>
        <w:spacing w:line="240" w:lineRule="auto"/>
        <w:ind w:right="-2"/>
        <w:rPr>
          <w:szCs w:val="22"/>
        </w:rPr>
      </w:pPr>
      <w:r w:rsidRPr="001775D9">
        <w:rPr>
          <w:szCs w:val="22"/>
        </w:rPr>
        <w:t xml:space="preserve">Ulcerative colitis is an inflammatory disease of the </w:t>
      </w:r>
      <w:r w:rsidR="00633B29" w:rsidRPr="001775D9">
        <w:rPr>
          <w:szCs w:val="22"/>
        </w:rPr>
        <w:t>large intestine</w:t>
      </w:r>
      <w:r w:rsidRPr="001775D9">
        <w:rPr>
          <w:szCs w:val="22"/>
        </w:rPr>
        <w:t>.</w:t>
      </w:r>
    </w:p>
    <w:p w14:paraId="402CF5D3" w14:textId="77777777" w:rsidR="00E36EBA" w:rsidRPr="001775D9" w:rsidRDefault="00E36EBA" w:rsidP="00FB5458">
      <w:pPr>
        <w:tabs>
          <w:tab w:val="clear" w:pos="567"/>
        </w:tabs>
        <w:spacing w:line="240" w:lineRule="auto"/>
        <w:ind w:right="-2"/>
        <w:rPr>
          <w:szCs w:val="22"/>
        </w:rPr>
      </w:pPr>
    </w:p>
    <w:p w14:paraId="17DF8063" w14:textId="375699B7" w:rsidR="00C42229" w:rsidRPr="001775D9" w:rsidRDefault="00280231" w:rsidP="00FB5458">
      <w:pPr>
        <w:tabs>
          <w:tab w:val="clear" w:pos="567"/>
        </w:tabs>
        <w:spacing w:line="240" w:lineRule="auto"/>
        <w:ind w:right="-2"/>
        <w:rPr>
          <w:szCs w:val="22"/>
        </w:rPr>
      </w:pPr>
      <w:r w:rsidRPr="001775D9">
        <w:rPr>
          <w:szCs w:val="22"/>
        </w:rPr>
        <w:t>AMGEVITA</w:t>
      </w:r>
      <w:r w:rsidR="00C42229" w:rsidRPr="001775D9">
        <w:rPr>
          <w:szCs w:val="22"/>
        </w:rPr>
        <w:t xml:space="preserve"> is used to treat</w:t>
      </w:r>
      <w:r w:rsidR="004A2A11" w:rsidRPr="001775D9">
        <w:rPr>
          <w:szCs w:val="22"/>
        </w:rPr>
        <w:t xml:space="preserve"> moderate to severe</w:t>
      </w:r>
      <w:r w:rsidR="00C42229" w:rsidRPr="001775D9">
        <w:rPr>
          <w:szCs w:val="22"/>
        </w:rPr>
        <w:t xml:space="preserve"> ulcerative colitis in adults</w:t>
      </w:r>
      <w:r w:rsidR="00BC2B12" w:rsidRPr="001775D9">
        <w:rPr>
          <w:szCs w:val="22"/>
        </w:rPr>
        <w:t xml:space="preserve"> and children aged 6 to 17 years</w:t>
      </w:r>
      <w:r w:rsidR="00C42229" w:rsidRPr="001775D9">
        <w:rPr>
          <w:szCs w:val="22"/>
        </w:rPr>
        <w:t xml:space="preserve">. If you have ulcerative colitis you </w:t>
      </w:r>
      <w:r w:rsidR="00633B29" w:rsidRPr="001775D9">
        <w:rPr>
          <w:szCs w:val="22"/>
        </w:rPr>
        <w:t xml:space="preserve">may </w:t>
      </w:r>
      <w:r w:rsidR="00C42229" w:rsidRPr="001775D9">
        <w:rPr>
          <w:szCs w:val="22"/>
        </w:rPr>
        <w:t xml:space="preserve">first be given other medicines. If you do not respond well enough to these medicines, you will be given </w:t>
      </w:r>
      <w:r w:rsidRPr="001775D9">
        <w:rPr>
          <w:szCs w:val="22"/>
        </w:rPr>
        <w:t>AMGEVITA</w:t>
      </w:r>
      <w:r w:rsidR="00C42229" w:rsidRPr="001775D9">
        <w:rPr>
          <w:szCs w:val="22"/>
        </w:rPr>
        <w:t xml:space="preserve"> to reduce the signs and symptoms of your disease.</w:t>
      </w:r>
    </w:p>
    <w:p w14:paraId="744D1C8B" w14:textId="77777777" w:rsidR="00935B3D" w:rsidRPr="001775D9" w:rsidRDefault="00935B3D" w:rsidP="00FB5458">
      <w:pPr>
        <w:tabs>
          <w:tab w:val="clear" w:pos="567"/>
        </w:tabs>
        <w:spacing w:line="240" w:lineRule="auto"/>
        <w:ind w:right="-2"/>
        <w:rPr>
          <w:szCs w:val="22"/>
        </w:rPr>
      </w:pPr>
    </w:p>
    <w:p w14:paraId="4D4D04BE" w14:textId="77777777" w:rsidR="009F7AE3" w:rsidRPr="001775D9" w:rsidRDefault="009F7AE3"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Non-infectious uveitis</w:t>
      </w:r>
      <w:r w:rsidR="00F62574" w:rsidRPr="001775D9">
        <w:rPr>
          <w:szCs w:val="22"/>
          <w:u w:val="single"/>
          <w:lang w:eastAsia="en-GB"/>
        </w:rPr>
        <w:t xml:space="preserve"> in adults and children</w:t>
      </w:r>
    </w:p>
    <w:p w14:paraId="1EBBDDCB" w14:textId="77777777" w:rsidR="009F7AE3" w:rsidRPr="001775D9" w:rsidRDefault="009F7AE3" w:rsidP="00FB5458">
      <w:pPr>
        <w:tabs>
          <w:tab w:val="clear" w:pos="567"/>
        </w:tabs>
        <w:autoSpaceDE w:val="0"/>
        <w:autoSpaceDN w:val="0"/>
        <w:adjustRightInd w:val="0"/>
        <w:spacing w:line="240" w:lineRule="auto"/>
        <w:rPr>
          <w:szCs w:val="22"/>
          <w:lang w:eastAsia="en-GB"/>
        </w:rPr>
      </w:pPr>
    </w:p>
    <w:p w14:paraId="28387663" w14:textId="77777777" w:rsidR="00F62574" w:rsidRPr="001775D9" w:rsidRDefault="009F7AE3" w:rsidP="00FB5458">
      <w:pPr>
        <w:tabs>
          <w:tab w:val="clear" w:pos="567"/>
        </w:tabs>
        <w:spacing w:line="240" w:lineRule="auto"/>
        <w:ind w:right="-2"/>
        <w:rPr>
          <w:szCs w:val="22"/>
          <w:lang w:eastAsia="en-GB"/>
        </w:rPr>
      </w:pPr>
      <w:r w:rsidRPr="001775D9">
        <w:rPr>
          <w:szCs w:val="22"/>
          <w:lang w:eastAsia="en-GB"/>
        </w:rPr>
        <w:t xml:space="preserve">Non-infectious uveitis is an inflammatory disease affecting certain parts of the eye. </w:t>
      </w:r>
    </w:p>
    <w:p w14:paraId="19226BF0" w14:textId="77777777" w:rsidR="00F62574" w:rsidRPr="001775D9" w:rsidRDefault="00F62574" w:rsidP="00FB5458">
      <w:pPr>
        <w:tabs>
          <w:tab w:val="clear" w:pos="567"/>
        </w:tabs>
        <w:spacing w:line="240" w:lineRule="auto"/>
        <w:ind w:right="-2"/>
        <w:rPr>
          <w:szCs w:val="22"/>
          <w:lang w:eastAsia="en-GB"/>
        </w:rPr>
      </w:pPr>
    </w:p>
    <w:p w14:paraId="5893A3F6" w14:textId="77777777" w:rsidR="00F62574" w:rsidRPr="001775D9" w:rsidRDefault="00F62574" w:rsidP="00F62574">
      <w:pPr>
        <w:tabs>
          <w:tab w:val="clear" w:pos="567"/>
        </w:tabs>
        <w:spacing w:line="240" w:lineRule="auto"/>
        <w:ind w:right="-2"/>
        <w:rPr>
          <w:szCs w:val="22"/>
          <w:lang w:eastAsia="en-GB"/>
        </w:rPr>
      </w:pPr>
      <w:r w:rsidRPr="001775D9">
        <w:rPr>
          <w:szCs w:val="22"/>
          <w:lang w:eastAsia="en-GB"/>
        </w:rPr>
        <w:t>AMGEVITA is used to treat</w:t>
      </w:r>
    </w:p>
    <w:p w14:paraId="3306030A" w14:textId="77777777" w:rsidR="00F62574" w:rsidRPr="001775D9" w:rsidRDefault="00F62574">
      <w:pPr>
        <w:numPr>
          <w:ilvl w:val="0"/>
          <w:numId w:val="34"/>
        </w:numPr>
        <w:tabs>
          <w:tab w:val="clear" w:pos="567"/>
        </w:tabs>
        <w:spacing w:line="240" w:lineRule="auto"/>
        <w:ind w:left="567" w:right="-2" w:hanging="567"/>
        <w:rPr>
          <w:szCs w:val="22"/>
        </w:rPr>
      </w:pPr>
      <w:r w:rsidRPr="001775D9">
        <w:rPr>
          <w:szCs w:val="22"/>
          <w:lang w:eastAsia="en-GB"/>
        </w:rPr>
        <w:t xml:space="preserve">Adults with non-infectious uveitis with inflammation affecting the back of the eye. </w:t>
      </w:r>
    </w:p>
    <w:p w14:paraId="08AF54FA" w14:textId="77777777" w:rsidR="00F62574" w:rsidRPr="00F04F82" w:rsidRDefault="00F62574" w:rsidP="00D55B59">
      <w:pPr>
        <w:numPr>
          <w:ilvl w:val="0"/>
          <w:numId w:val="34"/>
        </w:numPr>
        <w:tabs>
          <w:tab w:val="clear" w:pos="567"/>
        </w:tabs>
        <w:spacing w:line="240" w:lineRule="auto"/>
        <w:ind w:left="567" w:hanging="567"/>
        <w:rPr>
          <w:szCs w:val="22"/>
        </w:rPr>
        <w:pPrChange w:id="2744" w:author="Author">
          <w:pPr>
            <w:numPr>
              <w:numId w:val="34"/>
            </w:numPr>
            <w:tabs>
              <w:tab w:val="clear" w:pos="567"/>
            </w:tabs>
            <w:spacing w:line="240" w:lineRule="auto"/>
            <w:ind w:left="567" w:right="-2" w:hanging="567"/>
          </w:pPr>
        </w:pPrChange>
      </w:pPr>
      <w:r w:rsidRPr="001775D9">
        <w:rPr>
          <w:szCs w:val="22"/>
          <w:lang w:eastAsia="en-GB"/>
        </w:rPr>
        <w:t>Children from 2 years of age with chronic non-infectious uveitis with inflammation affecting the front of the eye.</w:t>
      </w:r>
    </w:p>
    <w:p w14:paraId="495BB317" w14:textId="77777777" w:rsidR="00F62574" w:rsidRPr="001775D9" w:rsidRDefault="00F62574" w:rsidP="00FB5458">
      <w:pPr>
        <w:tabs>
          <w:tab w:val="clear" w:pos="567"/>
        </w:tabs>
        <w:spacing w:line="240" w:lineRule="auto"/>
        <w:ind w:right="-2"/>
        <w:rPr>
          <w:szCs w:val="22"/>
          <w:lang w:eastAsia="en-GB"/>
        </w:rPr>
      </w:pPr>
    </w:p>
    <w:p w14:paraId="5DF26301" w14:textId="77777777" w:rsidR="009F7AE3" w:rsidRPr="001775D9" w:rsidRDefault="009F7AE3" w:rsidP="00FB5458">
      <w:pPr>
        <w:tabs>
          <w:tab w:val="clear" w:pos="567"/>
        </w:tabs>
        <w:spacing w:line="240" w:lineRule="auto"/>
        <w:ind w:right="-2"/>
        <w:rPr>
          <w:szCs w:val="22"/>
        </w:rPr>
      </w:pPr>
      <w:r w:rsidRPr="001775D9">
        <w:rPr>
          <w:szCs w:val="22"/>
          <w:lang w:eastAsia="en-GB"/>
        </w:rPr>
        <w:t xml:space="preserve">This inflammation </w:t>
      </w:r>
      <w:r w:rsidR="00E7046A" w:rsidRPr="001775D9">
        <w:rPr>
          <w:szCs w:val="22"/>
          <w:lang w:eastAsia="en-GB"/>
        </w:rPr>
        <w:t xml:space="preserve">may </w:t>
      </w:r>
      <w:r w:rsidRPr="001775D9">
        <w:rPr>
          <w:szCs w:val="22"/>
          <w:lang w:eastAsia="en-GB"/>
        </w:rPr>
        <w:t>lead to a decrease of vision and/or the presence of floaters in the eye (black dots or wispy lines that move across the field of vision). AMGEVITA works by reducing this inflammation</w:t>
      </w:r>
      <w:r w:rsidR="004F3420" w:rsidRPr="001775D9">
        <w:rPr>
          <w:szCs w:val="22"/>
          <w:lang w:eastAsia="en-GB"/>
        </w:rPr>
        <w:t>.</w:t>
      </w:r>
    </w:p>
    <w:p w14:paraId="36CCFB8D" w14:textId="77777777" w:rsidR="005A6597" w:rsidRPr="001775D9" w:rsidRDefault="005A6597" w:rsidP="00FB5458">
      <w:pPr>
        <w:tabs>
          <w:tab w:val="clear" w:pos="567"/>
        </w:tabs>
        <w:spacing w:line="240" w:lineRule="auto"/>
        <w:ind w:right="-2"/>
        <w:rPr>
          <w:szCs w:val="22"/>
        </w:rPr>
      </w:pPr>
    </w:p>
    <w:p w14:paraId="70DB100F" w14:textId="77777777" w:rsidR="009F7AE3" w:rsidRPr="001775D9" w:rsidRDefault="009F7AE3" w:rsidP="00FB5458">
      <w:pPr>
        <w:tabs>
          <w:tab w:val="clear" w:pos="567"/>
        </w:tabs>
        <w:spacing w:line="240" w:lineRule="auto"/>
        <w:ind w:right="-2"/>
        <w:rPr>
          <w:szCs w:val="22"/>
        </w:rPr>
      </w:pPr>
    </w:p>
    <w:p w14:paraId="1F04065D" w14:textId="77777777" w:rsidR="00D720FC" w:rsidRPr="001775D9" w:rsidRDefault="00C42229" w:rsidP="00B61D9D">
      <w:pPr>
        <w:keepNext/>
        <w:spacing w:line="240" w:lineRule="auto"/>
        <w:ind w:left="567" w:hanging="567"/>
        <w:rPr>
          <w:b/>
          <w:szCs w:val="22"/>
        </w:rPr>
      </w:pPr>
      <w:r w:rsidRPr="001775D9">
        <w:rPr>
          <w:b/>
        </w:rPr>
        <w:t>2.</w:t>
      </w:r>
      <w:r w:rsidRPr="001775D9">
        <w:rPr>
          <w:b/>
        </w:rPr>
        <w:tab/>
        <w:t xml:space="preserve">What you need to know before you use </w:t>
      </w:r>
      <w:r w:rsidR="00280231" w:rsidRPr="001775D9">
        <w:rPr>
          <w:b/>
          <w:szCs w:val="22"/>
        </w:rPr>
        <w:t>AMGEVITA</w:t>
      </w:r>
    </w:p>
    <w:p w14:paraId="7874DB73" w14:textId="77777777" w:rsidR="00C42229" w:rsidRPr="001775D9" w:rsidRDefault="00C42229" w:rsidP="00FB5458">
      <w:pPr>
        <w:keepNext/>
        <w:numPr>
          <w:ilvl w:val="12"/>
          <w:numId w:val="0"/>
        </w:numPr>
        <w:tabs>
          <w:tab w:val="clear" w:pos="567"/>
        </w:tabs>
        <w:spacing w:line="240" w:lineRule="auto"/>
        <w:outlineLvl w:val="0"/>
        <w:rPr>
          <w:i/>
          <w:szCs w:val="22"/>
        </w:rPr>
      </w:pPr>
    </w:p>
    <w:p w14:paraId="3613B76D" w14:textId="6640509B" w:rsidR="00C42229" w:rsidRPr="001775D9" w:rsidRDefault="001E0330" w:rsidP="00FB5458">
      <w:pPr>
        <w:keepNext/>
        <w:numPr>
          <w:ilvl w:val="12"/>
          <w:numId w:val="0"/>
        </w:numPr>
        <w:tabs>
          <w:tab w:val="clear" w:pos="567"/>
        </w:tabs>
        <w:spacing w:line="240" w:lineRule="auto"/>
        <w:outlineLvl w:val="0"/>
        <w:rPr>
          <w:b/>
          <w:szCs w:val="22"/>
        </w:rPr>
      </w:pPr>
      <w:r w:rsidRPr="001775D9">
        <w:rPr>
          <w:b/>
          <w:szCs w:val="22"/>
        </w:rPr>
        <w:t>Do not use</w:t>
      </w:r>
      <w:r w:rsidR="00C42229" w:rsidRPr="001775D9">
        <w:rPr>
          <w:b/>
          <w:szCs w:val="22"/>
        </w:rPr>
        <w:t xml:space="preserve"> </w:t>
      </w:r>
      <w:r w:rsidR="00280231" w:rsidRPr="001775D9">
        <w:rPr>
          <w:b/>
          <w:szCs w:val="22"/>
        </w:rPr>
        <w:t>AMGEVITA</w:t>
      </w:r>
      <w:r w:rsidR="00C42229" w:rsidRPr="001775D9">
        <w:rPr>
          <w:b/>
          <w:szCs w:val="22"/>
        </w:rPr>
        <w:t>:</w:t>
      </w:r>
      <w:r w:rsidR="001C55FB" w:rsidRPr="001775D9">
        <w:rPr>
          <w:b/>
          <w:szCs w:val="22"/>
        </w:rPr>
        <w:fldChar w:fldCharType="begin"/>
      </w:r>
      <w:r w:rsidR="001C55FB" w:rsidRPr="001775D9">
        <w:rPr>
          <w:b/>
          <w:szCs w:val="22"/>
        </w:rPr>
        <w:instrText xml:space="preserve"> DOCVARIABLE vault_nd_a01927b6-d1c8-4be8-9cb0-7e47d5ca5f27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D7092C3" w14:textId="77777777" w:rsidR="006E5110" w:rsidRPr="001775D9" w:rsidRDefault="006E5110" w:rsidP="00FB5458">
      <w:pPr>
        <w:keepNext/>
        <w:numPr>
          <w:ilvl w:val="12"/>
          <w:numId w:val="0"/>
        </w:numPr>
        <w:tabs>
          <w:tab w:val="clear" w:pos="567"/>
        </w:tabs>
        <w:spacing w:line="240" w:lineRule="auto"/>
        <w:outlineLvl w:val="0"/>
        <w:rPr>
          <w:szCs w:val="22"/>
        </w:rPr>
      </w:pPr>
    </w:p>
    <w:p w14:paraId="52BB053A" w14:textId="77777777" w:rsidR="00C42229" w:rsidRPr="001775D9" w:rsidRDefault="00C42229" w:rsidP="00FA1618">
      <w:pPr>
        <w:numPr>
          <w:ilvl w:val="12"/>
          <w:numId w:val="0"/>
        </w:numPr>
        <w:spacing w:line="240" w:lineRule="auto"/>
        <w:ind w:left="567" w:hanging="567"/>
        <w:rPr>
          <w:szCs w:val="22"/>
        </w:rPr>
      </w:pPr>
      <w:r w:rsidRPr="001775D9">
        <w:rPr>
          <w:szCs w:val="22"/>
        </w:rPr>
        <w:t>-</w:t>
      </w:r>
      <w:r w:rsidRPr="001775D9">
        <w:rPr>
          <w:szCs w:val="22"/>
        </w:rPr>
        <w:tab/>
      </w:r>
      <w:r w:rsidR="006E5110" w:rsidRPr="001775D9">
        <w:rPr>
          <w:szCs w:val="22"/>
        </w:rPr>
        <w:t>i</w:t>
      </w:r>
      <w:r w:rsidRPr="001775D9">
        <w:rPr>
          <w:szCs w:val="22"/>
        </w:rPr>
        <w:t xml:space="preserve">f you are allergic to </w:t>
      </w:r>
      <w:r w:rsidR="00C8133A" w:rsidRPr="001775D9">
        <w:rPr>
          <w:szCs w:val="22"/>
        </w:rPr>
        <w:t>adalimumab</w:t>
      </w:r>
      <w:r w:rsidR="00301F6B" w:rsidRPr="001775D9">
        <w:rPr>
          <w:szCs w:val="22"/>
        </w:rPr>
        <w:t xml:space="preserve"> </w:t>
      </w:r>
      <w:r w:rsidRPr="001775D9">
        <w:rPr>
          <w:szCs w:val="22"/>
        </w:rPr>
        <w:t xml:space="preserve">or any of the other ingredients of </w:t>
      </w:r>
      <w:r w:rsidRPr="001775D9">
        <w:t>this medicine (listed in section</w:t>
      </w:r>
      <w:r w:rsidR="0080593B" w:rsidRPr="001775D9">
        <w:rPr>
          <w:lang w:eastAsia="zh-TW"/>
        </w:rPr>
        <w:t> </w:t>
      </w:r>
      <w:r w:rsidRPr="001775D9">
        <w:t>6)</w:t>
      </w:r>
      <w:r w:rsidRPr="001775D9">
        <w:rPr>
          <w:szCs w:val="22"/>
        </w:rPr>
        <w:t>.</w:t>
      </w:r>
    </w:p>
    <w:p w14:paraId="6BC4595C" w14:textId="1188A76B" w:rsidR="00C42229" w:rsidRPr="001775D9" w:rsidRDefault="006E5110" w:rsidP="00FA1618">
      <w:pPr>
        <w:numPr>
          <w:ilvl w:val="0"/>
          <w:numId w:val="8"/>
        </w:numPr>
        <w:spacing w:line="240" w:lineRule="auto"/>
        <w:ind w:left="567" w:hanging="567"/>
        <w:rPr>
          <w:szCs w:val="22"/>
        </w:rPr>
      </w:pPr>
      <w:r w:rsidRPr="001775D9">
        <w:rPr>
          <w:szCs w:val="22"/>
        </w:rPr>
        <w:t>i</w:t>
      </w:r>
      <w:r w:rsidR="00C42229" w:rsidRPr="001775D9">
        <w:rPr>
          <w:szCs w:val="22"/>
        </w:rPr>
        <w:t>f you have a severe infection, including active tuberculosis</w:t>
      </w:r>
      <w:r w:rsidR="00F6653D" w:rsidRPr="001775D9">
        <w:rPr>
          <w:szCs w:val="22"/>
        </w:rPr>
        <w:t xml:space="preserve">, sepsis (blood </w:t>
      </w:r>
      <w:r w:rsidR="00B96306" w:rsidRPr="001775D9">
        <w:rPr>
          <w:szCs w:val="22"/>
        </w:rPr>
        <w:t>infection</w:t>
      </w:r>
      <w:r w:rsidR="00F6653D" w:rsidRPr="001775D9">
        <w:rPr>
          <w:szCs w:val="22"/>
        </w:rPr>
        <w:t>) or other opportunistic infe</w:t>
      </w:r>
      <w:r w:rsidR="006511B3" w:rsidRPr="001775D9">
        <w:rPr>
          <w:szCs w:val="22"/>
        </w:rPr>
        <w:t>c</w:t>
      </w:r>
      <w:r w:rsidR="00F6653D" w:rsidRPr="001775D9">
        <w:rPr>
          <w:szCs w:val="22"/>
        </w:rPr>
        <w:t>tions (unusual infections associated with a weakened immune system)</w:t>
      </w:r>
      <w:r w:rsidR="00C42229" w:rsidRPr="001775D9">
        <w:rPr>
          <w:szCs w:val="22"/>
        </w:rPr>
        <w:t xml:space="preserve"> (see “Warnings and precautions”). It is important that you tell your doctor if you have symptoms of infections, e.g. fever, wounds, feeling tired, dental problems. </w:t>
      </w:r>
    </w:p>
    <w:p w14:paraId="66A50FB6" w14:textId="77777777" w:rsidR="00C42229" w:rsidRPr="00D55B59" w:rsidRDefault="006E5110" w:rsidP="00FA1618">
      <w:pPr>
        <w:pStyle w:val="Default"/>
        <w:numPr>
          <w:ilvl w:val="0"/>
          <w:numId w:val="8"/>
        </w:numPr>
        <w:tabs>
          <w:tab w:val="left" w:pos="567"/>
        </w:tabs>
        <w:ind w:left="567" w:hanging="567"/>
        <w:rPr>
          <w:sz w:val="22"/>
          <w:szCs w:val="22"/>
          <w:lang w:val="en-GB"/>
          <w:rPrChange w:id="2745" w:author="Author">
            <w:rPr>
              <w:sz w:val="22"/>
              <w:szCs w:val="22"/>
            </w:rPr>
          </w:rPrChange>
        </w:rPr>
      </w:pPr>
      <w:r w:rsidRPr="00D55B59">
        <w:rPr>
          <w:sz w:val="22"/>
          <w:szCs w:val="22"/>
          <w:lang w:val="en-GB"/>
          <w:rPrChange w:id="2746" w:author="Author">
            <w:rPr>
              <w:sz w:val="22"/>
              <w:szCs w:val="22"/>
            </w:rPr>
          </w:rPrChange>
        </w:rPr>
        <w:t>i</w:t>
      </w:r>
      <w:r w:rsidR="00C42229" w:rsidRPr="00D55B59">
        <w:rPr>
          <w:sz w:val="22"/>
          <w:szCs w:val="22"/>
          <w:lang w:val="en-GB"/>
          <w:rPrChange w:id="2747" w:author="Author">
            <w:rPr>
              <w:sz w:val="22"/>
              <w:szCs w:val="22"/>
            </w:rPr>
          </w:rPrChange>
        </w:rPr>
        <w:t xml:space="preserve">f you have moderate or severe heart failure. It is important to tell your doctor if you have had or have a serious heart condition (see “Warnings and precautions”). </w:t>
      </w:r>
    </w:p>
    <w:p w14:paraId="6558AB88" w14:textId="77777777" w:rsidR="00C42229" w:rsidRPr="001775D9" w:rsidRDefault="00C42229" w:rsidP="00FB5458">
      <w:pPr>
        <w:numPr>
          <w:ilvl w:val="12"/>
          <w:numId w:val="0"/>
        </w:numPr>
        <w:tabs>
          <w:tab w:val="clear" w:pos="567"/>
        </w:tabs>
        <w:spacing w:line="240" w:lineRule="auto"/>
        <w:ind w:left="567" w:hanging="567"/>
        <w:rPr>
          <w:szCs w:val="22"/>
        </w:rPr>
      </w:pPr>
    </w:p>
    <w:p w14:paraId="15B96843" w14:textId="61F47621" w:rsidR="00C42229" w:rsidRPr="001775D9" w:rsidRDefault="00C42229" w:rsidP="00E26D69">
      <w:pPr>
        <w:keepNext/>
        <w:numPr>
          <w:ilvl w:val="12"/>
          <w:numId w:val="0"/>
        </w:numPr>
        <w:tabs>
          <w:tab w:val="clear" w:pos="567"/>
        </w:tabs>
        <w:spacing w:line="240" w:lineRule="auto"/>
        <w:outlineLvl w:val="0"/>
        <w:rPr>
          <w:b/>
          <w:szCs w:val="22"/>
        </w:rPr>
      </w:pPr>
      <w:r w:rsidRPr="001775D9">
        <w:rPr>
          <w:b/>
        </w:rPr>
        <w:t>Warnings and precautions</w:t>
      </w:r>
      <w:r w:rsidR="001C55FB" w:rsidRPr="001775D9">
        <w:rPr>
          <w:b/>
        </w:rPr>
        <w:fldChar w:fldCharType="begin"/>
      </w:r>
      <w:r w:rsidR="001C55FB" w:rsidRPr="001775D9">
        <w:rPr>
          <w:b/>
        </w:rPr>
        <w:instrText xml:space="preserve"> DOCVARIABLE vault_nd_d5d42582-8ad1-4130-a147-6548b069b397 \* MERGEFORMAT </w:instrText>
      </w:r>
      <w:r w:rsidR="001C55FB" w:rsidRPr="001775D9">
        <w:rPr>
          <w:b/>
        </w:rPr>
        <w:fldChar w:fldCharType="separate"/>
      </w:r>
      <w:r w:rsidR="001C55FB" w:rsidRPr="001775D9">
        <w:rPr>
          <w:b/>
        </w:rPr>
        <w:t xml:space="preserve"> </w:t>
      </w:r>
      <w:r w:rsidR="001C55FB" w:rsidRPr="001775D9">
        <w:rPr>
          <w:b/>
        </w:rPr>
        <w:fldChar w:fldCharType="end"/>
      </w:r>
    </w:p>
    <w:p w14:paraId="04E17C61" w14:textId="77777777" w:rsidR="00C42229" w:rsidRPr="001775D9" w:rsidRDefault="00C42229" w:rsidP="00E26D69">
      <w:pPr>
        <w:keepNext/>
        <w:numPr>
          <w:ilvl w:val="12"/>
          <w:numId w:val="0"/>
        </w:numPr>
        <w:tabs>
          <w:tab w:val="clear" w:pos="567"/>
        </w:tabs>
        <w:spacing w:line="240" w:lineRule="auto"/>
      </w:pPr>
    </w:p>
    <w:p w14:paraId="596D44E4" w14:textId="77777777" w:rsidR="00C42229" w:rsidRPr="001775D9" w:rsidRDefault="00C42229" w:rsidP="00E26D69">
      <w:pPr>
        <w:keepNext/>
        <w:numPr>
          <w:ilvl w:val="12"/>
          <w:numId w:val="0"/>
        </w:numPr>
        <w:tabs>
          <w:tab w:val="clear" w:pos="567"/>
        </w:tabs>
        <w:spacing w:line="240" w:lineRule="auto"/>
      </w:pPr>
      <w:r w:rsidRPr="001775D9">
        <w:t xml:space="preserve">Talk to your doctor or pharmacist before using </w:t>
      </w:r>
      <w:r w:rsidR="00280231" w:rsidRPr="001775D9">
        <w:rPr>
          <w:szCs w:val="22"/>
        </w:rPr>
        <w:t>AMGEVITA</w:t>
      </w:r>
      <w:r w:rsidRPr="001775D9">
        <w:t>:</w:t>
      </w:r>
    </w:p>
    <w:p w14:paraId="4FF8CCBF" w14:textId="77777777" w:rsidR="00C42229" w:rsidRPr="001775D9" w:rsidRDefault="00C42229" w:rsidP="00E26D69">
      <w:pPr>
        <w:keepNext/>
        <w:numPr>
          <w:ilvl w:val="12"/>
          <w:numId w:val="0"/>
        </w:numPr>
        <w:spacing w:line="240" w:lineRule="auto"/>
        <w:ind w:right="-2"/>
        <w:rPr>
          <w:szCs w:val="22"/>
        </w:rPr>
      </w:pPr>
    </w:p>
    <w:p w14:paraId="026B135E" w14:textId="04A69C8C" w:rsidR="00F6653D" w:rsidRPr="00D55B59" w:rsidRDefault="00F6653D" w:rsidP="00104898">
      <w:pPr>
        <w:pStyle w:val="Default"/>
        <w:tabs>
          <w:tab w:val="left" w:pos="567"/>
        </w:tabs>
        <w:rPr>
          <w:sz w:val="22"/>
          <w:szCs w:val="22"/>
          <w:lang w:val="en-GB"/>
          <w:rPrChange w:id="2748" w:author="Author">
            <w:rPr>
              <w:sz w:val="22"/>
              <w:szCs w:val="22"/>
            </w:rPr>
          </w:rPrChange>
        </w:rPr>
      </w:pPr>
      <w:r w:rsidRPr="00D55B59">
        <w:rPr>
          <w:sz w:val="22"/>
          <w:szCs w:val="22"/>
          <w:lang w:val="en-GB"/>
          <w:rPrChange w:id="2749" w:author="Author">
            <w:rPr>
              <w:sz w:val="22"/>
              <w:szCs w:val="22"/>
            </w:rPr>
          </w:rPrChange>
        </w:rPr>
        <w:t>Allergic reactions</w:t>
      </w:r>
    </w:p>
    <w:p w14:paraId="06D06893" w14:textId="77777777" w:rsidR="00F6653D" w:rsidRPr="00D55B59" w:rsidRDefault="00F6653D" w:rsidP="00072C59">
      <w:pPr>
        <w:pStyle w:val="Default"/>
        <w:tabs>
          <w:tab w:val="left" w:pos="567"/>
        </w:tabs>
        <w:rPr>
          <w:sz w:val="22"/>
          <w:szCs w:val="22"/>
          <w:lang w:val="en-GB"/>
          <w:rPrChange w:id="2750" w:author="Author">
            <w:rPr>
              <w:sz w:val="22"/>
              <w:szCs w:val="22"/>
            </w:rPr>
          </w:rPrChange>
        </w:rPr>
      </w:pPr>
    </w:p>
    <w:p w14:paraId="16D3A723" w14:textId="04488E59" w:rsidR="00C42229" w:rsidRPr="00D55B59" w:rsidRDefault="00C42229" w:rsidP="00FB5458">
      <w:pPr>
        <w:pStyle w:val="Default"/>
        <w:numPr>
          <w:ilvl w:val="0"/>
          <w:numId w:val="9"/>
        </w:numPr>
        <w:tabs>
          <w:tab w:val="left" w:pos="567"/>
        </w:tabs>
        <w:ind w:left="567" w:hanging="567"/>
        <w:rPr>
          <w:sz w:val="22"/>
          <w:szCs w:val="22"/>
          <w:lang w:val="en-GB"/>
          <w:rPrChange w:id="2751" w:author="Author">
            <w:rPr>
              <w:sz w:val="22"/>
              <w:szCs w:val="22"/>
            </w:rPr>
          </w:rPrChange>
        </w:rPr>
      </w:pPr>
      <w:r w:rsidRPr="00D55B59">
        <w:rPr>
          <w:sz w:val="22"/>
          <w:szCs w:val="22"/>
          <w:lang w:val="en-GB"/>
          <w:rPrChange w:id="2752" w:author="Author">
            <w:rPr>
              <w:sz w:val="22"/>
              <w:szCs w:val="22"/>
            </w:rPr>
          </w:rPrChange>
        </w:rPr>
        <w:t xml:space="preserve">If you experience allergic reactions with symptoms such as chest tightness, wheezing, dizziness, swelling or rash do not inject more </w:t>
      </w:r>
      <w:r w:rsidR="00280231" w:rsidRPr="00D55B59">
        <w:rPr>
          <w:sz w:val="22"/>
          <w:szCs w:val="22"/>
          <w:lang w:val="en-GB"/>
          <w:rPrChange w:id="2753" w:author="Author">
            <w:rPr>
              <w:sz w:val="22"/>
              <w:szCs w:val="22"/>
            </w:rPr>
          </w:rPrChange>
        </w:rPr>
        <w:t>AMGEVITA</w:t>
      </w:r>
      <w:r w:rsidRPr="00D55B59">
        <w:rPr>
          <w:sz w:val="22"/>
          <w:szCs w:val="22"/>
          <w:lang w:val="en-GB"/>
          <w:rPrChange w:id="2754" w:author="Author">
            <w:rPr>
              <w:sz w:val="22"/>
              <w:szCs w:val="22"/>
            </w:rPr>
          </w:rPrChange>
        </w:rPr>
        <w:t xml:space="preserve"> and contact your doctor immediately</w:t>
      </w:r>
      <w:r w:rsidR="00EF0A7E" w:rsidRPr="00D55B59">
        <w:rPr>
          <w:sz w:val="22"/>
          <w:szCs w:val="22"/>
          <w:lang w:val="en-GB"/>
          <w:rPrChange w:id="2755" w:author="Author">
            <w:rPr>
              <w:sz w:val="22"/>
              <w:szCs w:val="22"/>
            </w:rPr>
          </w:rPrChange>
        </w:rPr>
        <w:t xml:space="preserve"> since, in rare cases, these reactions can be life threatening</w:t>
      </w:r>
      <w:r w:rsidRPr="00D55B59">
        <w:rPr>
          <w:sz w:val="22"/>
          <w:szCs w:val="22"/>
          <w:lang w:val="en-GB"/>
          <w:rPrChange w:id="2756" w:author="Author">
            <w:rPr>
              <w:sz w:val="22"/>
              <w:szCs w:val="22"/>
            </w:rPr>
          </w:rPrChange>
        </w:rPr>
        <w:t xml:space="preserve">. </w:t>
      </w:r>
    </w:p>
    <w:p w14:paraId="4C332BEC" w14:textId="6228D7FF" w:rsidR="00F6653D" w:rsidRPr="00D55B59" w:rsidRDefault="00F6653D" w:rsidP="00104898">
      <w:pPr>
        <w:pStyle w:val="Default"/>
        <w:tabs>
          <w:tab w:val="left" w:pos="567"/>
        </w:tabs>
        <w:rPr>
          <w:sz w:val="22"/>
          <w:szCs w:val="22"/>
          <w:lang w:val="en-GB"/>
          <w:rPrChange w:id="2757" w:author="Author">
            <w:rPr>
              <w:sz w:val="22"/>
              <w:szCs w:val="22"/>
            </w:rPr>
          </w:rPrChange>
        </w:rPr>
      </w:pPr>
    </w:p>
    <w:p w14:paraId="53F3349E" w14:textId="528D58A0" w:rsidR="00F6653D" w:rsidRPr="00D55B59" w:rsidRDefault="00F6653D" w:rsidP="00072C59">
      <w:pPr>
        <w:pStyle w:val="Default"/>
        <w:tabs>
          <w:tab w:val="left" w:pos="567"/>
        </w:tabs>
        <w:rPr>
          <w:sz w:val="22"/>
          <w:szCs w:val="22"/>
          <w:lang w:val="en-GB"/>
          <w:rPrChange w:id="2758" w:author="Author">
            <w:rPr>
              <w:sz w:val="22"/>
              <w:szCs w:val="22"/>
            </w:rPr>
          </w:rPrChange>
        </w:rPr>
      </w:pPr>
      <w:r w:rsidRPr="00D55B59">
        <w:rPr>
          <w:sz w:val="22"/>
          <w:szCs w:val="22"/>
          <w:lang w:val="en-GB"/>
          <w:rPrChange w:id="2759" w:author="Author">
            <w:rPr>
              <w:sz w:val="22"/>
              <w:szCs w:val="22"/>
            </w:rPr>
          </w:rPrChange>
        </w:rPr>
        <w:t>Infections</w:t>
      </w:r>
    </w:p>
    <w:p w14:paraId="50BFA4D5" w14:textId="77777777" w:rsidR="00C42229" w:rsidRPr="00D55B59" w:rsidRDefault="00C42229" w:rsidP="00FB5458">
      <w:pPr>
        <w:pStyle w:val="Default"/>
        <w:tabs>
          <w:tab w:val="left" w:pos="567"/>
        </w:tabs>
        <w:ind w:left="567" w:hanging="567"/>
        <w:rPr>
          <w:sz w:val="22"/>
          <w:szCs w:val="22"/>
          <w:lang w:val="en-GB"/>
          <w:rPrChange w:id="2760" w:author="Author">
            <w:rPr>
              <w:sz w:val="22"/>
              <w:szCs w:val="22"/>
            </w:rPr>
          </w:rPrChange>
        </w:rPr>
      </w:pPr>
    </w:p>
    <w:p w14:paraId="3835EDDA" w14:textId="6B6D790A" w:rsidR="00104898" w:rsidRPr="00D55B59" w:rsidRDefault="00C42229" w:rsidP="00072C59">
      <w:pPr>
        <w:pStyle w:val="Default"/>
        <w:numPr>
          <w:ilvl w:val="0"/>
          <w:numId w:val="9"/>
        </w:numPr>
        <w:tabs>
          <w:tab w:val="left" w:pos="567"/>
        </w:tabs>
        <w:ind w:left="567" w:hanging="567"/>
        <w:rPr>
          <w:sz w:val="22"/>
          <w:szCs w:val="22"/>
          <w:lang w:val="en-GB"/>
          <w:rPrChange w:id="2761" w:author="Author">
            <w:rPr>
              <w:sz w:val="22"/>
              <w:szCs w:val="22"/>
            </w:rPr>
          </w:rPrChange>
        </w:rPr>
      </w:pPr>
      <w:r w:rsidRPr="00D55B59">
        <w:rPr>
          <w:sz w:val="22"/>
          <w:szCs w:val="22"/>
          <w:lang w:val="en-GB"/>
          <w:rPrChange w:id="2762" w:author="Author">
            <w:rPr>
              <w:sz w:val="22"/>
              <w:szCs w:val="22"/>
            </w:rPr>
          </w:rPrChange>
        </w:rPr>
        <w:t>If you have an infection, including long-term or locali</w:t>
      </w:r>
      <w:r w:rsidR="004855BF" w:rsidRPr="00D55B59">
        <w:rPr>
          <w:sz w:val="22"/>
          <w:szCs w:val="22"/>
          <w:lang w:val="en-GB"/>
          <w:rPrChange w:id="2763" w:author="Author">
            <w:rPr>
              <w:sz w:val="22"/>
              <w:szCs w:val="22"/>
            </w:rPr>
          </w:rPrChange>
        </w:rPr>
        <w:t>s</w:t>
      </w:r>
      <w:r w:rsidRPr="00D55B59">
        <w:rPr>
          <w:sz w:val="22"/>
          <w:szCs w:val="22"/>
          <w:lang w:val="en-GB"/>
          <w:rPrChange w:id="2764" w:author="Author">
            <w:rPr>
              <w:sz w:val="22"/>
              <w:szCs w:val="22"/>
            </w:rPr>
          </w:rPrChange>
        </w:rPr>
        <w:t xml:space="preserve">ed infection (for example, leg ulcer) consult your doctor before starting </w:t>
      </w:r>
      <w:r w:rsidR="00280231" w:rsidRPr="00D55B59">
        <w:rPr>
          <w:sz w:val="22"/>
          <w:szCs w:val="22"/>
          <w:lang w:val="en-GB"/>
          <w:rPrChange w:id="2765" w:author="Author">
            <w:rPr>
              <w:sz w:val="22"/>
              <w:szCs w:val="22"/>
            </w:rPr>
          </w:rPrChange>
        </w:rPr>
        <w:t>AMGEVITA</w:t>
      </w:r>
      <w:r w:rsidRPr="00D55B59">
        <w:rPr>
          <w:sz w:val="22"/>
          <w:szCs w:val="22"/>
          <w:lang w:val="en-GB"/>
          <w:rPrChange w:id="2766" w:author="Author">
            <w:rPr>
              <w:sz w:val="22"/>
              <w:szCs w:val="22"/>
            </w:rPr>
          </w:rPrChange>
        </w:rPr>
        <w:t>. If you are unsure, contact your doctor.</w:t>
      </w:r>
    </w:p>
    <w:p w14:paraId="48848A3D" w14:textId="77777777" w:rsidR="00C42229" w:rsidRPr="00D55B59" w:rsidRDefault="00C42229" w:rsidP="00FB5458">
      <w:pPr>
        <w:pStyle w:val="Default"/>
        <w:numPr>
          <w:ilvl w:val="0"/>
          <w:numId w:val="9"/>
        </w:numPr>
        <w:tabs>
          <w:tab w:val="left" w:pos="567"/>
        </w:tabs>
        <w:ind w:left="567" w:hanging="567"/>
        <w:rPr>
          <w:sz w:val="22"/>
          <w:szCs w:val="22"/>
          <w:lang w:val="en-GB"/>
          <w:rPrChange w:id="2767" w:author="Author">
            <w:rPr>
              <w:sz w:val="22"/>
              <w:szCs w:val="22"/>
            </w:rPr>
          </w:rPrChange>
        </w:rPr>
      </w:pPr>
      <w:r w:rsidRPr="00D55B59">
        <w:rPr>
          <w:sz w:val="22"/>
          <w:szCs w:val="22"/>
          <w:lang w:val="en-GB"/>
          <w:rPrChange w:id="2768" w:author="Author">
            <w:rPr>
              <w:sz w:val="22"/>
              <w:szCs w:val="22"/>
            </w:rPr>
          </w:rPrChange>
        </w:rPr>
        <w:t xml:space="preserve">You might get infections more easily while you are receiving </w:t>
      </w:r>
      <w:r w:rsidR="00280231" w:rsidRPr="00D55B59">
        <w:rPr>
          <w:sz w:val="22"/>
          <w:szCs w:val="22"/>
          <w:lang w:val="en-GB"/>
          <w:rPrChange w:id="2769" w:author="Author">
            <w:rPr>
              <w:sz w:val="22"/>
              <w:szCs w:val="22"/>
            </w:rPr>
          </w:rPrChange>
        </w:rPr>
        <w:t>AMGEVITA</w:t>
      </w:r>
      <w:r w:rsidRPr="00D55B59">
        <w:rPr>
          <w:sz w:val="22"/>
          <w:szCs w:val="22"/>
          <w:lang w:val="en-GB"/>
          <w:rPrChange w:id="2770" w:author="Author">
            <w:rPr>
              <w:sz w:val="22"/>
              <w:szCs w:val="22"/>
            </w:rPr>
          </w:rPrChange>
        </w:rPr>
        <w:t xml:space="preserve"> treatment. This risk may increase if your lung function is impaired. These infections may be serious and include tuberculosis, infections caused by viruses, fungi, parasites or bacteria, or other opportunistic infections and sepsis that may, in rare cases, be life-threatening. It is important to tell your doctor if you get symptoms such as fever, wounds, feeling tired or dental problems. Your doctor may recommend temporary discontinuation of </w:t>
      </w:r>
      <w:r w:rsidR="00280231" w:rsidRPr="00D55B59">
        <w:rPr>
          <w:sz w:val="22"/>
          <w:szCs w:val="22"/>
          <w:lang w:val="en-GB"/>
          <w:rPrChange w:id="2771" w:author="Author">
            <w:rPr>
              <w:sz w:val="22"/>
              <w:szCs w:val="22"/>
            </w:rPr>
          </w:rPrChange>
        </w:rPr>
        <w:t>AMGEVITA</w:t>
      </w:r>
      <w:r w:rsidRPr="00D55B59">
        <w:rPr>
          <w:sz w:val="22"/>
          <w:szCs w:val="22"/>
          <w:lang w:val="en-GB"/>
          <w:rPrChange w:id="2772" w:author="Author">
            <w:rPr>
              <w:sz w:val="22"/>
              <w:szCs w:val="22"/>
            </w:rPr>
          </w:rPrChange>
        </w:rPr>
        <w:t xml:space="preserve">. </w:t>
      </w:r>
    </w:p>
    <w:p w14:paraId="1FB82A57" w14:textId="77777777" w:rsidR="00C42229" w:rsidRPr="00D55B59" w:rsidRDefault="00C42229" w:rsidP="00FB5458">
      <w:pPr>
        <w:pStyle w:val="Default"/>
        <w:tabs>
          <w:tab w:val="left" w:pos="567"/>
        </w:tabs>
        <w:ind w:left="567" w:hanging="567"/>
        <w:rPr>
          <w:sz w:val="22"/>
          <w:szCs w:val="22"/>
          <w:lang w:val="en-GB"/>
          <w:rPrChange w:id="2773" w:author="Author">
            <w:rPr>
              <w:sz w:val="22"/>
              <w:szCs w:val="22"/>
            </w:rPr>
          </w:rPrChange>
        </w:rPr>
      </w:pPr>
    </w:p>
    <w:p w14:paraId="307BF6F5" w14:textId="5902232B" w:rsidR="00104898" w:rsidRPr="001775D9" w:rsidRDefault="00104898" w:rsidP="00B61D9D">
      <w:pPr>
        <w:spacing w:line="240" w:lineRule="auto"/>
      </w:pPr>
      <w:r w:rsidRPr="001775D9">
        <w:t>Tuberculosis</w:t>
      </w:r>
    </w:p>
    <w:p w14:paraId="77DF81DF" w14:textId="77777777" w:rsidR="00104898" w:rsidRPr="001775D9" w:rsidRDefault="00104898" w:rsidP="00B61D9D">
      <w:pPr>
        <w:spacing w:line="240" w:lineRule="auto"/>
        <w:ind w:left="567"/>
      </w:pPr>
    </w:p>
    <w:p w14:paraId="0A72F983" w14:textId="77777777" w:rsidR="007F5D89" w:rsidRPr="001775D9" w:rsidRDefault="00280231" w:rsidP="00B61D9D">
      <w:pPr>
        <w:numPr>
          <w:ilvl w:val="0"/>
          <w:numId w:val="9"/>
        </w:numPr>
        <w:spacing w:line="240" w:lineRule="auto"/>
        <w:ind w:left="567" w:hanging="567"/>
      </w:pPr>
      <w:r w:rsidRPr="001775D9">
        <w:t xml:space="preserve">As cases of tuberculosis have been reported in patients treated with </w:t>
      </w:r>
      <w:r w:rsidR="00E748AF" w:rsidRPr="001775D9">
        <w:t>adalimumab</w:t>
      </w:r>
      <w:r w:rsidRPr="001775D9">
        <w:t>, y</w:t>
      </w:r>
      <w:r w:rsidR="00C42229" w:rsidRPr="001775D9">
        <w:t xml:space="preserve">our doctor will check you for signs and symptoms of tuberculosis before starting </w:t>
      </w:r>
      <w:r w:rsidR="00E748AF" w:rsidRPr="001775D9">
        <w:rPr>
          <w:szCs w:val="22"/>
        </w:rPr>
        <w:t>AMGEVITA</w:t>
      </w:r>
      <w:r w:rsidR="00C42229" w:rsidRPr="001775D9">
        <w:t xml:space="preserve">. This will include a thorough medical evaluation including your medical history and appropriate screening tests (for example chest </w:t>
      </w:r>
      <w:r w:rsidRPr="001775D9">
        <w:t>x</w:t>
      </w:r>
      <w:r w:rsidR="00C42229" w:rsidRPr="001775D9">
        <w:t xml:space="preserve">-ray and a tuberculin test). The conduct and results of these tests should be recorded on your </w:t>
      </w:r>
      <w:r w:rsidR="0067002D" w:rsidRPr="001775D9">
        <w:rPr>
          <w:b/>
        </w:rPr>
        <w:t>Patient Reminder Card</w:t>
      </w:r>
      <w:r w:rsidR="00C42229" w:rsidRPr="001775D9">
        <w:t xml:space="preserve">. It is very important that you tell your doctor if you have ever had tuberculosis, or if you have been in close contact with someone who has had tuberculosis. </w:t>
      </w:r>
    </w:p>
    <w:p w14:paraId="22A5DBE6" w14:textId="77777777" w:rsidR="007F5D89" w:rsidRPr="001775D9" w:rsidRDefault="00C42229" w:rsidP="00B61D9D">
      <w:pPr>
        <w:numPr>
          <w:ilvl w:val="0"/>
          <w:numId w:val="9"/>
        </w:numPr>
        <w:spacing w:line="240" w:lineRule="auto"/>
        <w:ind w:left="567" w:hanging="567"/>
      </w:pPr>
      <w:r w:rsidRPr="001775D9">
        <w:t xml:space="preserve">Tuberculosis can develop during therapy even if you have received preventative treatment for tuberculosis. </w:t>
      </w:r>
    </w:p>
    <w:p w14:paraId="773D1FD2" w14:textId="77DADEE4" w:rsidR="00C42229" w:rsidRPr="001775D9" w:rsidRDefault="00C42229" w:rsidP="00B61D9D">
      <w:pPr>
        <w:numPr>
          <w:ilvl w:val="0"/>
          <w:numId w:val="9"/>
        </w:numPr>
        <w:spacing w:line="240" w:lineRule="auto"/>
        <w:ind w:left="567" w:hanging="567"/>
      </w:pPr>
      <w:r w:rsidRPr="001775D9">
        <w:t>If symptoms of tuberculosis (persistent cough, weight loss, listlessness, mild fever), or any other infection appear during or after therapy</w:t>
      </w:r>
      <w:r w:rsidR="007B357A" w:rsidRPr="001775D9">
        <w:t>,</w:t>
      </w:r>
      <w:r w:rsidRPr="001775D9">
        <w:t xml:space="preserve"> tell your doctor immediately. </w:t>
      </w:r>
    </w:p>
    <w:p w14:paraId="7EFAC1C8" w14:textId="77777777" w:rsidR="00C42229" w:rsidRPr="00D55B59" w:rsidRDefault="00C42229" w:rsidP="00FB5458">
      <w:pPr>
        <w:pStyle w:val="Default"/>
        <w:tabs>
          <w:tab w:val="left" w:pos="567"/>
        </w:tabs>
        <w:ind w:left="567" w:hanging="567"/>
        <w:rPr>
          <w:sz w:val="22"/>
          <w:szCs w:val="22"/>
          <w:lang w:val="en-GB"/>
          <w:rPrChange w:id="2774" w:author="Author">
            <w:rPr>
              <w:sz w:val="22"/>
              <w:szCs w:val="22"/>
            </w:rPr>
          </w:rPrChange>
        </w:rPr>
      </w:pPr>
    </w:p>
    <w:p w14:paraId="6265536D" w14:textId="01CD8B0E" w:rsidR="00104898" w:rsidRPr="001775D9" w:rsidRDefault="00104898" w:rsidP="00B61D9D">
      <w:pPr>
        <w:spacing w:line="240" w:lineRule="auto"/>
      </w:pPr>
      <w:r w:rsidRPr="001775D9">
        <w:t>Travel / recurrent infection</w:t>
      </w:r>
    </w:p>
    <w:p w14:paraId="46FCB30F" w14:textId="77777777" w:rsidR="00104898" w:rsidRPr="001775D9" w:rsidRDefault="00104898" w:rsidP="00B61D9D">
      <w:pPr>
        <w:spacing w:line="240" w:lineRule="auto"/>
        <w:ind w:left="567"/>
      </w:pPr>
    </w:p>
    <w:p w14:paraId="2D3D6791" w14:textId="61C9725C" w:rsidR="00C42229" w:rsidRPr="001775D9" w:rsidRDefault="00C42229" w:rsidP="00B61D9D">
      <w:pPr>
        <w:numPr>
          <w:ilvl w:val="0"/>
          <w:numId w:val="10"/>
        </w:numPr>
        <w:spacing w:line="240" w:lineRule="auto"/>
        <w:ind w:left="567" w:hanging="567"/>
      </w:pPr>
      <w:r w:rsidRPr="001775D9">
        <w:t>Advise your doctor if you reside or travel in regions where fungal infections such as histoplasmosis</w:t>
      </w:r>
      <w:r w:rsidR="00104898" w:rsidRPr="001775D9">
        <w:t>,</w:t>
      </w:r>
      <w:r w:rsidRPr="001775D9">
        <w:t xml:space="preserve"> coccidioidomycosis or blastomycosis are endemic. </w:t>
      </w:r>
    </w:p>
    <w:p w14:paraId="27BAEFEE" w14:textId="7FDA2FD9" w:rsidR="00C42229" w:rsidRPr="001775D9" w:rsidRDefault="00C42229" w:rsidP="00B61D9D">
      <w:pPr>
        <w:numPr>
          <w:ilvl w:val="0"/>
          <w:numId w:val="10"/>
        </w:numPr>
        <w:spacing w:line="240" w:lineRule="auto"/>
        <w:ind w:left="567" w:hanging="567"/>
      </w:pPr>
      <w:r w:rsidRPr="001775D9">
        <w:t xml:space="preserve">Advise your doctor if you have a history of recurrent infections or other conditions that increase the risk of infections. </w:t>
      </w:r>
    </w:p>
    <w:p w14:paraId="706A891F" w14:textId="421B5CAD" w:rsidR="00104898" w:rsidRPr="001775D9" w:rsidRDefault="00104898" w:rsidP="00B61D9D">
      <w:pPr>
        <w:spacing w:line="240" w:lineRule="auto"/>
      </w:pPr>
    </w:p>
    <w:p w14:paraId="2EBF40C6" w14:textId="199CE6A9" w:rsidR="00104898" w:rsidRPr="001775D9" w:rsidRDefault="00104898" w:rsidP="00B61D9D">
      <w:pPr>
        <w:spacing w:line="240" w:lineRule="auto"/>
      </w:pPr>
      <w:r w:rsidRPr="001775D9">
        <w:t>Hepatitis B virus</w:t>
      </w:r>
    </w:p>
    <w:p w14:paraId="49935786" w14:textId="77777777" w:rsidR="00C42229" w:rsidRPr="001775D9" w:rsidRDefault="00C42229" w:rsidP="00B61D9D">
      <w:pPr>
        <w:spacing w:line="240" w:lineRule="auto"/>
        <w:ind w:left="567" w:hanging="567"/>
      </w:pPr>
    </w:p>
    <w:p w14:paraId="34919642" w14:textId="77777777" w:rsidR="00C42229" w:rsidRPr="001775D9" w:rsidRDefault="00C42229" w:rsidP="00B61D9D">
      <w:pPr>
        <w:numPr>
          <w:ilvl w:val="0"/>
          <w:numId w:val="10"/>
        </w:numPr>
        <w:spacing w:line="240" w:lineRule="auto"/>
        <w:ind w:left="567" w:hanging="567"/>
      </w:pPr>
      <w:r w:rsidRPr="001775D9">
        <w:t xml:space="preserve">Advise your doctor if you are a carrier of the hepatitis B virus (HBV), if you have active HBV or if you think you might be at risk of contracting HBV. Your doctor should test you for HBV. </w:t>
      </w:r>
      <w:r w:rsidR="00280231" w:rsidRPr="001775D9">
        <w:rPr>
          <w:szCs w:val="22"/>
        </w:rPr>
        <w:t>AMGEVITA</w:t>
      </w:r>
      <w:r w:rsidRPr="001775D9">
        <w:t xml:space="preserve"> can cause reactivation of HBV in people who carry this virus. In some rare cases, especially if you are taking other medicines that suppress the immune system, reactivation of HBV can be life-threatening. </w:t>
      </w:r>
    </w:p>
    <w:p w14:paraId="503E2F01" w14:textId="77777777" w:rsidR="00B50D16" w:rsidRPr="001775D9" w:rsidRDefault="00B50D16" w:rsidP="00FB5458">
      <w:pPr>
        <w:pStyle w:val="ListParagraph"/>
      </w:pPr>
    </w:p>
    <w:p w14:paraId="00DA9BD6" w14:textId="6056A90B" w:rsidR="00116F43" w:rsidRPr="001775D9" w:rsidRDefault="00116F43" w:rsidP="00072C59">
      <w:pPr>
        <w:tabs>
          <w:tab w:val="clear" w:pos="567"/>
        </w:tabs>
        <w:autoSpaceDE w:val="0"/>
        <w:autoSpaceDN w:val="0"/>
        <w:adjustRightInd w:val="0"/>
        <w:spacing w:line="240" w:lineRule="auto"/>
      </w:pPr>
      <w:r w:rsidRPr="001775D9">
        <w:t>Age over 65 years</w:t>
      </w:r>
    </w:p>
    <w:p w14:paraId="56EE1FE4" w14:textId="77777777" w:rsidR="00116F43" w:rsidRPr="001775D9" w:rsidRDefault="00116F43" w:rsidP="00072C59">
      <w:pPr>
        <w:tabs>
          <w:tab w:val="clear" w:pos="567"/>
        </w:tabs>
        <w:autoSpaceDE w:val="0"/>
        <w:autoSpaceDN w:val="0"/>
        <w:adjustRightInd w:val="0"/>
        <w:spacing w:line="240" w:lineRule="auto"/>
        <w:ind w:left="567"/>
      </w:pPr>
    </w:p>
    <w:p w14:paraId="7C9E08B5" w14:textId="2094A069" w:rsidR="00B50D16" w:rsidRPr="001775D9" w:rsidRDefault="00B50D16" w:rsidP="00FA1618">
      <w:pPr>
        <w:numPr>
          <w:ilvl w:val="0"/>
          <w:numId w:val="10"/>
        </w:numPr>
        <w:spacing w:line="240" w:lineRule="auto"/>
        <w:ind w:left="567" w:hanging="567"/>
      </w:pPr>
      <w:r w:rsidRPr="001775D9">
        <w:rPr>
          <w:szCs w:val="22"/>
          <w:lang w:eastAsia="en-GB"/>
        </w:rPr>
        <w:t xml:space="preserve">If you are over 65 years you may be more susceptible to infections while taking </w:t>
      </w:r>
      <w:r w:rsidR="00280231" w:rsidRPr="001775D9">
        <w:rPr>
          <w:szCs w:val="22"/>
        </w:rPr>
        <w:t>AMGEVITA</w:t>
      </w:r>
      <w:r w:rsidRPr="001775D9">
        <w:rPr>
          <w:szCs w:val="22"/>
          <w:lang w:eastAsia="en-GB"/>
        </w:rPr>
        <w:t xml:space="preserve">. You and your doctor should pay special attention to signs of infection while you are being treated with </w:t>
      </w:r>
      <w:r w:rsidR="00280231" w:rsidRPr="001775D9">
        <w:rPr>
          <w:szCs w:val="22"/>
        </w:rPr>
        <w:t>AMGEVITA</w:t>
      </w:r>
      <w:r w:rsidRPr="001775D9">
        <w:rPr>
          <w:szCs w:val="22"/>
          <w:lang w:eastAsia="en-GB"/>
        </w:rPr>
        <w:t>. It is important to tell your doctor if you get symptoms of infections, such as fever, wounds, feeling tired or dental problems.</w:t>
      </w:r>
    </w:p>
    <w:p w14:paraId="55C115AB" w14:textId="77777777" w:rsidR="00B50D16" w:rsidRPr="001775D9" w:rsidRDefault="00B50D16" w:rsidP="00FB5458">
      <w:pPr>
        <w:tabs>
          <w:tab w:val="clear" w:pos="567"/>
        </w:tabs>
        <w:autoSpaceDE w:val="0"/>
        <w:autoSpaceDN w:val="0"/>
        <w:adjustRightInd w:val="0"/>
        <w:spacing w:line="240" w:lineRule="auto"/>
      </w:pPr>
    </w:p>
    <w:p w14:paraId="2C171BB3" w14:textId="3B32325A" w:rsidR="00104898" w:rsidRPr="001775D9" w:rsidRDefault="00104898" w:rsidP="00072C59">
      <w:pPr>
        <w:tabs>
          <w:tab w:val="clear" w:pos="567"/>
        </w:tabs>
        <w:autoSpaceDE w:val="0"/>
        <w:autoSpaceDN w:val="0"/>
        <w:adjustRightInd w:val="0"/>
        <w:spacing w:line="240" w:lineRule="auto"/>
        <w:rPr>
          <w:szCs w:val="22"/>
          <w:lang w:eastAsia="en-GB"/>
        </w:rPr>
      </w:pPr>
      <w:r w:rsidRPr="001775D9">
        <w:rPr>
          <w:szCs w:val="22"/>
          <w:lang w:eastAsia="en-GB"/>
        </w:rPr>
        <w:t>Surgery or dental procedures</w:t>
      </w:r>
    </w:p>
    <w:p w14:paraId="29F9F5F3" w14:textId="77777777" w:rsidR="00104898" w:rsidRPr="001775D9" w:rsidRDefault="00104898" w:rsidP="00072C59">
      <w:pPr>
        <w:tabs>
          <w:tab w:val="clear" w:pos="567"/>
        </w:tabs>
        <w:autoSpaceDE w:val="0"/>
        <w:autoSpaceDN w:val="0"/>
        <w:adjustRightInd w:val="0"/>
        <w:spacing w:line="240" w:lineRule="auto"/>
        <w:ind w:left="567"/>
        <w:rPr>
          <w:szCs w:val="22"/>
          <w:lang w:eastAsia="en-GB"/>
        </w:rPr>
      </w:pPr>
    </w:p>
    <w:p w14:paraId="6B691C28" w14:textId="3349AA4D" w:rsidR="00B50D16" w:rsidRPr="001775D9" w:rsidRDefault="00B50D16" w:rsidP="00FA1618">
      <w:pPr>
        <w:numPr>
          <w:ilvl w:val="0"/>
          <w:numId w:val="10"/>
        </w:numPr>
        <w:spacing w:line="240" w:lineRule="auto"/>
        <w:ind w:left="567" w:hanging="567"/>
        <w:rPr>
          <w:szCs w:val="22"/>
          <w:lang w:eastAsia="en-GB"/>
        </w:rPr>
      </w:pPr>
      <w:r w:rsidRPr="001775D9">
        <w:rPr>
          <w:szCs w:val="22"/>
          <w:lang w:eastAsia="en-GB"/>
        </w:rPr>
        <w:t xml:space="preserve">If you are about to undergo surgery or dental procedures please inform your doctor that you are taking </w:t>
      </w:r>
      <w:r w:rsidR="00280231" w:rsidRPr="001775D9">
        <w:rPr>
          <w:szCs w:val="22"/>
        </w:rPr>
        <w:t>AMGEVITA</w:t>
      </w:r>
      <w:r w:rsidRPr="001775D9">
        <w:rPr>
          <w:szCs w:val="22"/>
          <w:lang w:eastAsia="en-GB"/>
        </w:rPr>
        <w:t xml:space="preserve">. Your doctor may recommend temporary discontinuation of </w:t>
      </w:r>
      <w:r w:rsidR="00280231" w:rsidRPr="001775D9">
        <w:rPr>
          <w:szCs w:val="22"/>
        </w:rPr>
        <w:t>AMGEVITA</w:t>
      </w:r>
      <w:r w:rsidRPr="001775D9">
        <w:rPr>
          <w:szCs w:val="22"/>
          <w:lang w:eastAsia="en-GB"/>
        </w:rPr>
        <w:t>.</w:t>
      </w:r>
    </w:p>
    <w:p w14:paraId="3A6A1EF8" w14:textId="77777777" w:rsidR="00B50D16" w:rsidRPr="001775D9" w:rsidRDefault="00B50D16" w:rsidP="00FB5458">
      <w:pPr>
        <w:tabs>
          <w:tab w:val="clear" w:pos="567"/>
        </w:tabs>
        <w:autoSpaceDE w:val="0"/>
        <w:autoSpaceDN w:val="0"/>
        <w:adjustRightInd w:val="0"/>
        <w:spacing w:line="240" w:lineRule="auto"/>
        <w:rPr>
          <w:szCs w:val="22"/>
          <w:lang w:eastAsia="en-GB"/>
        </w:rPr>
      </w:pPr>
    </w:p>
    <w:p w14:paraId="342303D2" w14:textId="3A9DB68F" w:rsidR="00104898" w:rsidRPr="001775D9" w:rsidRDefault="00104898" w:rsidP="00104898">
      <w:pPr>
        <w:tabs>
          <w:tab w:val="clear" w:pos="567"/>
        </w:tabs>
        <w:autoSpaceDE w:val="0"/>
        <w:autoSpaceDN w:val="0"/>
        <w:adjustRightInd w:val="0"/>
        <w:spacing w:line="240" w:lineRule="auto"/>
        <w:rPr>
          <w:szCs w:val="22"/>
          <w:lang w:eastAsia="en-GB"/>
        </w:rPr>
      </w:pPr>
      <w:r w:rsidRPr="001775D9">
        <w:rPr>
          <w:szCs w:val="22"/>
          <w:lang w:eastAsia="en-GB"/>
        </w:rPr>
        <w:t>Demyelinating disease</w:t>
      </w:r>
    </w:p>
    <w:p w14:paraId="115CE792" w14:textId="77777777" w:rsidR="00104898" w:rsidRPr="001775D9" w:rsidRDefault="00104898" w:rsidP="00072C59">
      <w:pPr>
        <w:tabs>
          <w:tab w:val="clear" w:pos="567"/>
        </w:tabs>
        <w:autoSpaceDE w:val="0"/>
        <w:autoSpaceDN w:val="0"/>
        <w:adjustRightInd w:val="0"/>
        <w:spacing w:line="240" w:lineRule="auto"/>
        <w:rPr>
          <w:szCs w:val="22"/>
          <w:lang w:eastAsia="en-GB"/>
        </w:rPr>
      </w:pPr>
    </w:p>
    <w:p w14:paraId="1432F46D" w14:textId="0FC282DD" w:rsidR="00B50D16" w:rsidRPr="001775D9" w:rsidRDefault="00B50D16" w:rsidP="00FA1618">
      <w:pPr>
        <w:numPr>
          <w:ilvl w:val="0"/>
          <w:numId w:val="10"/>
        </w:numPr>
        <w:spacing w:line="240" w:lineRule="auto"/>
        <w:ind w:left="567" w:hanging="567"/>
        <w:rPr>
          <w:szCs w:val="22"/>
          <w:lang w:eastAsia="en-GB"/>
        </w:rPr>
      </w:pPr>
      <w:r w:rsidRPr="001775D9">
        <w:rPr>
          <w:szCs w:val="22"/>
          <w:lang w:eastAsia="en-GB"/>
        </w:rPr>
        <w:t xml:space="preserve">If you have </w:t>
      </w:r>
      <w:r w:rsidR="005D5A71" w:rsidRPr="001775D9">
        <w:rPr>
          <w:szCs w:val="22"/>
          <w:lang w:eastAsia="en-GB"/>
        </w:rPr>
        <w:t xml:space="preserve">or develop </w:t>
      </w:r>
      <w:r w:rsidRPr="001775D9">
        <w:rPr>
          <w:szCs w:val="22"/>
          <w:lang w:eastAsia="en-GB"/>
        </w:rPr>
        <w:t>demyelinating disease such as multiple sclerosis, your doctor will decide if you should receive</w:t>
      </w:r>
      <w:r w:rsidR="005D5A71" w:rsidRPr="001775D9">
        <w:rPr>
          <w:szCs w:val="22"/>
          <w:lang w:eastAsia="en-GB"/>
        </w:rPr>
        <w:t xml:space="preserve"> or continue to receive</w:t>
      </w:r>
      <w:r w:rsidRPr="001775D9">
        <w:rPr>
          <w:szCs w:val="22"/>
          <w:lang w:eastAsia="en-GB"/>
        </w:rPr>
        <w:t xml:space="preserve"> </w:t>
      </w:r>
      <w:r w:rsidR="00280231" w:rsidRPr="001775D9">
        <w:rPr>
          <w:szCs w:val="22"/>
        </w:rPr>
        <w:t>AMGEVITA</w:t>
      </w:r>
      <w:r w:rsidRPr="001775D9">
        <w:t>.</w:t>
      </w:r>
      <w:r w:rsidR="00A06846" w:rsidRPr="001775D9">
        <w:t xml:space="preserve"> </w:t>
      </w:r>
      <w:r w:rsidR="00A06846" w:rsidRPr="001775D9">
        <w:rPr>
          <w:szCs w:val="22"/>
          <w:lang w:eastAsia="en-GB"/>
        </w:rPr>
        <w:t>Tell your doctor immediately if you experience symptoms like changes in your vision, weakness in your arms or legs or numbness or tingling in any part of your body.</w:t>
      </w:r>
    </w:p>
    <w:p w14:paraId="01D7B565" w14:textId="77777777" w:rsidR="00A06846" w:rsidRPr="001775D9" w:rsidRDefault="00A06846" w:rsidP="00FB5458">
      <w:pPr>
        <w:tabs>
          <w:tab w:val="clear" w:pos="567"/>
        </w:tabs>
        <w:autoSpaceDE w:val="0"/>
        <w:autoSpaceDN w:val="0"/>
        <w:adjustRightInd w:val="0"/>
        <w:spacing w:line="240" w:lineRule="auto"/>
        <w:ind w:left="567"/>
        <w:rPr>
          <w:szCs w:val="22"/>
          <w:lang w:eastAsia="en-GB"/>
        </w:rPr>
      </w:pPr>
    </w:p>
    <w:p w14:paraId="4DADF8CB" w14:textId="42D655F4" w:rsidR="00104898" w:rsidRPr="001775D9" w:rsidRDefault="00104898" w:rsidP="00072C59">
      <w:pPr>
        <w:tabs>
          <w:tab w:val="clear" w:pos="567"/>
        </w:tabs>
        <w:autoSpaceDE w:val="0"/>
        <w:autoSpaceDN w:val="0"/>
        <w:adjustRightInd w:val="0"/>
        <w:spacing w:line="240" w:lineRule="auto"/>
        <w:rPr>
          <w:szCs w:val="22"/>
          <w:lang w:eastAsia="en-GB"/>
        </w:rPr>
      </w:pPr>
      <w:r w:rsidRPr="001775D9">
        <w:rPr>
          <w:szCs w:val="22"/>
          <w:lang w:eastAsia="en-GB"/>
        </w:rPr>
        <w:t>Vaccinations</w:t>
      </w:r>
    </w:p>
    <w:p w14:paraId="5D950078" w14:textId="77777777" w:rsidR="00104898" w:rsidRPr="001775D9" w:rsidRDefault="00104898" w:rsidP="00072C59">
      <w:pPr>
        <w:tabs>
          <w:tab w:val="clear" w:pos="567"/>
        </w:tabs>
        <w:autoSpaceDE w:val="0"/>
        <w:autoSpaceDN w:val="0"/>
        <w:adjustRightInd w:val="0"/>
        <w:spacing w:line="240" w:lineRule="auto"/>
        <w:ind w:left="567"/>
        <w:rPr>
          <w:szCs w:val="22"/>
          <w:lang w:eastAsia="en-GB"/>
        </w:rPr>
      </w:pPr>
    </w:p>
    <w:p w14:paraId="54DF8C3A" w14:textId="08352BD6" w:rsidR="00E0260A" w:rsidRPr="001775D9" w:rsidRDefault="00B50D16" w:rsidP="00FA1618">
      <w:pPr>
        <w:numPr>
          <w:ilvl w:val="0"/>
          <w:numId w:val="10"/>
        </w:numPr>
        <w:spacing w:line="240" w:lineRule="auto"/>
        <w:ind w:left="567" w:hanging="567"/>
        <w:rPr>
          <w:szCs w:val="22"/>
          <w:lang w:eastAsia="en-GB"/>
        </w:rPr>
      </w:pPr>
      <w:r w:rsidRPr="001775D9">
        <w:rPr>
          <w:szCs w:val="22"/>
          <w:lang w:eastAsia="en-GB"/>
        </w:rPr>
        <w:t>Certain vaccines</w:t>
      </w:r>
      <w:r w:rsidR="00104898" w:rsidRPr="001775D9">
        <w:rPr>
          <w:szCs w:val="22"/>
          <w:lang w:eastAsia="en-GB"/>
        </w:rPr>
        <w:t xml:space="preserve"> contain living but weakened forms of disease-causing bacteria or viruses that</w:t>
      </w:r>
      <w:r w:rsidRPr="001775D9">
        <w:rPr>
          <w:szCs w:val="22"/>
          <w:lang w:eastAsia="en-GB"/>
        </w:rPr>
        <w:t xml:space="preserve"> may cause infections and should not be given while receiving </w:t>
      </w:r>
      <w:r w:rsidR="00280231" w:rsidRPr="001775D9">
        <w:rPr>
          <w:szCs w:val="22"/>
        </w:rPr>
        <w:t>AMGEVITA</w:t>
      </w:r>
      <w:r w:rsidRPr="001775D9">
        <w:rPr>
          <w:szCs w:val="22"/>
          <w:lang w:eastAsia="en-GB"/>
        </w:rPr>
        <w:t xml:space="preserve">. Please check with your doctor before you receive any vaccines. It is recommended that children, if possible, be brought up to date with all immunisations in agreement with current immunisation guidelines prior to initiating </w:t>
      </w:r>
      <w:r w:rsidR="00280231" w:rsidRPr="001775D9">
        <w:rPr>
          <w:szCs w:val="22"/>
        </w:rPr>
        <w:t>AMGEVITA</w:t>
      </w:r>
      <w:r w:rsidRPr="001775D9">
        <w:rPr>
          <w:szCs w:val="22"/>
          <w:lang w:eastAsia="en-GB"/>
        </w:rPr>
        <w:t xml:space="preserve"> therapy. </w:t>
      </w:r>
    </w:p>
    <w:p w14:paraId="4B569538" w14:textId="1F137CDE" w:rsidR="00B50D16" w:rsidRPr="001775D9" w:rsidRDefault="00B50D16" w:rsidP="00FA1618">
      <w:pPr>
        <w:numPr>
          <w:ilvl w:val="0"/>
          <w:numId w:val="10"/>
        </w:numPr>
        <w:spacing w:line="240" w:lineRule="auto"/>
        <w:ind w:left="567" w:hanging="567"/>
        <w:rPr>
          <w:szCs w:val="22"/>
          <w:lang w:eastAsia="en-GB"/>
        </w:rPr>
      </w:pPr>
      <w:r w:rsidRPr="001775D9">
        <w:rPr>
          <w:szCs w:val="22"/>
          <w:lang w:eastAsia="en-GB"/>
        </w:rPr>
        <w:t xml:space="preserve">If you received </w:t>
      </w:r>
      <w:r w:rsidR="00280231" w:rsidRPr="001775D9">
        <w:rPr>
          <w:szCs w:val="22"/>
        </w:rPr>
        <w:t>AMGEVITA</w:t>
      </w:r>
      <w:r w:rsidRPr="001775D9">
        <w:rPr>
          <w:szCs w:val="22"/>
          <w:lang w:eastAsia="en-GB"/>
        </w:rPr>
        <w:t xml:space="preserve"> while you were pregnant, your baby may be at higher risk for getting such an infection for up to approximately five months after the last dose you received during pregnancy. It is important that you tell your baby's doctors and other health care professionals about your </w:t>
      </w:r>
      <w:r w:rsidR="00280231" w:rsidRPr="001775D9">
        <w:rPr>
          <w:szCs w:val="22"/>
        </w:rPr>
        <w:t>AMGEVITA</w:t>
      </w:r>
      <w:r w:rsidRPr="001775D9">
        <w:rPr>
          <w:szCs w:val="22"/>
          <w:lang w:eastAsia="en-GB"/>
        </w:rPr>
        <w:t xml:space="preserve"> use during your pregnancy so they can decide when your baby should receive any vaccine.</w:t>
      </w:r>
    </w:p>
    <w:p w14:paraId="53A761A8" w14:textId="77777777" w:rsidR="00B50D16" w:rsidRPr="001775D9" w:rsidRDefault="00B50D16" w:rsidP="00FB5458">
      <w:pPr>
        <w:tabs>
          <w:tab w:val="clear" w:pos="567"/>
        </w:tabs>
        <w:autoSpaceDE w:val="0"/>
        <w:autoSpaceDN w:val="0"/>
        <w:adjustRightInd w:val="0"/>
        <w:spacing w:line="240" w:lineRule="auto"/>
        <w:ind w:left="567" w:hanging="567"/>
        <w:rPr>
          <w:szCs w:val="22"/>
          <w:lang w:eastAsia="en-GB"/>
        </w:rPr>
      </w:pPr>
    </w:p>
    <w:p w14:paraId="70B46ECB" w14:textId="1193E62C" w:rsidR="00104898" w:rsidRPr="001775D9" w:rsidRDefault="00104898" w:rsidP="00072C59">
      <w:pPr>
        <w:tabs>
          <w:tab w:val="clear" w:pos="567"/>
        </w:tabs>
        <w:autoSpaceDE w:val="0"/>
        <w:autoSpaceDN w:val="0"/>
        <w:adjustRightInd w:val="0"/>
        <w:spacing w:line="240" w:lineRule="auto"/>
        <w:rPr>
          <w:szCs w:val="22"/>
          <w:lang w:eastAsia="en-GB"/>
        </w:rPr>
      </w:pPr>
      <w:r w:rsidRPr="001775D9">
        <w:rPr>
          <w:szCs w:val="22"/>
          <w:lang w:eastAsia="en-GB"/>
        </w:rPr>
        <w:t>Heart failure</w:t>
      </w:r>
    </w:p>
    <w:p w14:paraId="2FD6632B" w14:textId="77777777" w:rsidR="00104898" w:rsidRPr="001775D9" w:rsidRDefault="00104898" w:rsidP="00072C59">
      <w:pPr>
        <w:tabs>
          <w:tab w:val="clear" w:pos="567"/>
        </w:tabs>
        <w:autoSpaceDE w:val="0"/>
        <w:autoSpaceDN w:val="0"/>
        <w:adjustRightInd w:val="0"/>
        <w:spacing w:line="240" w:lineRule="auto"/>
        <w:ind w:left="567"/>
        <w:rPr>
          <w:szCs w:val="22"/>
          <w:lang w:eastAsia="en-GB"/>
        </w:rPr>
      </w:pPr>
    </w:p>
    <w:p w14:paraId="575A527B" w14:textId="1E384B7B" w:rsidR="00C42229" w:rsidRPr="001775D9" w:rsidRDefault="00B50D16" w:rsidP="00FA1618">
      <w:pPr>
        <w:numPr>
          <w:ilvl w:val="0"/>
          <w:numId w:val="10"/>
        </w:numPr>
        <w:spacing w:line="240" w:lineRule="auto"/>
        <w:ind w:left="567" w:hanging="567"/>
        <w:rPr>
          <w:szCs w:val="22"/>
          <w:lang w:eastAsia="en-GB"/>
        </w:rPr>
      </w:pPr>
      <w:r w:rsidRPr="001775D9">
        <w:rPr>
          <w:szCs w:val="22"/>
          <w:lang w:eastAsia="en-GB"/>
        </w:rPr>
        <w:t xml:space="preserve">If you have mild heart failure and you are being treated with </w:t>
      </w:r>
      <w:r w:rsidR="00280231" w:rsidRPr="001775D9">
        <w:rPr>
          <w:szCs w:val="22"/>
        </w:rPr>
        <w:t>AMGEVITA</w:t>
      </w:r>
      <w:r w:rsidRPr="001775D9">
        <w:rPr>
          <w:szCs w:val="22"/>
          <w:lang w:eastAsia="en-GB"/>
        </w:rPr>
        <w:t xml:space="preserve">, your heart failure status must be closely monitored by your doctor. It is important to tell your doctor if you have had or have a serious heart condition. If you develop new or worsening symptoms of heart failure (e.g. shortness of breath, or swelling of your feet), you must contact your doctor immediately. </w:t>
      </w:r>
      <w:r w:rsidR="00E7046A" w:rsidRPr="001775D9">
        <w:rPr>
          <w:szCs w:val="22"/>
          <w:lang w:eastAsia="en-GB"/>
        </w:rPr>
        <w:t>Your doctor will decide if you should receive AMGEVITA.</w:t>
      </w:r>
    </w:p>
    <w:p w14:paraId="3F1B1A77" w14:textId="71F1D3C3" w:rsidR="00B50D16" w:rsidRPr="001775D9" w:rsidRDefault="00B50D16" w:rsidP="00FB5458">
      <w:pPr>
        <w:tabs>
          <w:tab w:val="clear" w:pos="567"/>
        </w:tabs>
        <w:autoSpaceDE w:val="0"/>
        <w:autoSpaceDN w:val="0"/>
        <w:adjustRightInd w:val="0"/>
        <w:spacing w:line="240" w:lineRule="auto"/>
        <w:rPr>
          <w:szCs w:val="22"/>
          <w:lang w:eastAsia="en-GB"/>
        </w:rPr>
      </w:pPr>
    </w:p>
    <w:p w14:paraId="6555DF5E" w14:textId="2146ED17" w:rsidR="00104898" w:rsidRPr="001775D9" w:rsidRDefault="00104898" w:rsidP="00FB5458">
      <w:pPr>
        <w:tabs>
          <w:tab w:val="clear" w:pos="567"/>
        </w:tabs>
        <w:autoSpaceDE w:val="0"/>
        <w:autoSpaceDN w:val="0"/>
        <w:adjustRightInd w:val="0"/>
        <w:spacing w:line="240" w:lineRule="auto"/>
        <w:rPr>
          <w:szCs w:val="22"/>
          <w:lang w:eastAsia="en-GB"/>
        </w:rPr>
      </w:pPr>
      <w:r w:rsidRPr="001775D9">
        <w:rPr>
          <w:szCs w:val="22"/>
          <w:lang w:eastAsia="en-GB"/>
        </w:rPr>
        <w:t>Fever, bruising, bleeding or looking pale</w:t>
      </w:r>
    </w:p>
    <w:p w14:paraId="4B6A9B3C" w14:textId="77777777" w:rsidR="00104898" w:rsidRPr="001775D9" w:rsidRDefault="00104898" w:rsidP="00FB5458">
      <w:pPr>
        <w:tabs>
          <w:tab w:val="clear" w:pos="567"/>
        </w:tabs>
        <w:autoSpaceDE w:val="0"/>
        <w:autoSpaceDN w:val="0"/>
        <w:adjustRightInd w:val="0"/>
        <w:spacing w:line="240" w:lineRule="auto"/>
        <w:rPr>
          <w:szCs w:val="22"/>
          <w:lang w:eastAsia="en-GB"/>
        </w:rPr>
      </w:pPr>
    </w:p>
    <w:p w14:paraId="0DD322A5" w14:textId="39025336" w:rsidR="00B50D16" w:rsidRPr="001775D9" w:rsidRDefault="00B50D16" w:rsidP="00FA1618">
      <w:pPr>
        <w:numPr>
          <w:ilvl w:val="0"/>
          <w:numId w:val="10"/>
        </w:numPr>
        <w:spacing w:line="240" w:lineRule="auto"/>
        <w:ind w:left="567" w:hanging="567"/>
        <w:rPr>
          <w:szCs w:val="22"/>
          <w:lang w:eastAsia="en-GB"/>
        </w:rPr>
      </w:pPr>
      <w:r w:rsidRPr="001775D9">
        <w:rPr>
          <w:szCs w:val="22"/>
          <w:lang w:eastAsia="en-GB"/>
        </w:rPr>
        <w:t>In some patients the body may fail to produce enough of the blood cells that help your body fight infections or help you to stop bleeding. If you develop a fever that does not go away, bruise or bleed very easily or look very pale, call your doctor right away. Your doctor may decide to stop treatment.</w:t>
      </w:r>
    </w:p>
    <w:p w14:paraId="293F1FE0" w14:textId="75B6A55F" w:rsidR="00104898" w:rsidRPr="001775D9" w:rsidRDefault="00104898" w:rsidP="00104898">
      <w:pPr>
        <w:tabs>
          <w:tab w:val="clear" w:pos="567"/>
        </w:tabs>
        <w:autoSpaceDE w:val="0"/>
        <w:autoSpaceDN w:val="0"/>
        <w:adjustRightInd w:val="0"/>
        <w:spacing w:line="240" w:lineRule="auto"/>
        <w:rPr>
          <w:szCs w:val="22"/>
          <w:lang w:eastAsia="en-GB"/>
        </w:rPr>
      </w:pPr>
    </w:p>
    <w:p w14:paraId="7AF314E9" w14:textId="3B4E5FA6" w:rsidR="00104898" w:rsidRPr="001775D9" w:rsidRDefault="00104898" w:rsidP="00072C59">
      <w:pPr>
        <w:tabs>
          <w:tab w:val="clear" w:pos="567"/>
        </w:tabs>
        <w:autoSpaceDE w:val="0"/>
        <w:autoSpaceDN w:val="0"/>
        <w:adjustRightInd w:val="0"/>
        <w:spacing w:line="240" w:lineRule="auto"/>
        <w:rPr>
          <w:szCs w:val="22"/>
          <w:lang w:eastAsia="en-GB"/>
        </w:rPr>
      </w:pPr>
      <w:r w:rsidRPr="001775D9">
        <w:rPr>
          <w:szCs w:val="22"/>
          <w:lang w:eastAsia="en-GB"/>
        </w:rPr>
        <w:t>Cancer</w:t>
      </w:r>
    </w:p>
    <w:p w14:paraId="77E4DE7E" w14:textId="77777777" w:rsidR="003C74A3" w:rsidRPr="001775D9" w:rsidRDefault="003C74A3" w:rsidP="00FB5458">
      <w:pPr>
        <w:tabs>
          <w:tab w:val="clear" w:pos="567"/>
        </w:tabs>
        <w:autoSpaceDE w:val="0"/>
        <w:autoSpaceDN w:val="0"/>
        <w:adjustRightInd w:val="0"/>
        <w:spacing w:line="240" w:lineRule="auto"/>
        <w:ind w:left="567"/>
        <w:rPr>
          <w:szCs w:val="22"/>
          <w:lang w:eastAsia="en-GB"/>
        </w:rPr>
      </w:pPr>
    </w:p>
    <w:p w14:paraId="5149801F" w14:textId="7ADF603E" w:rsidR="00E0260A" w:rsidRPr="001775D9" w:rsidRDefault="003C74A3" w:rsidP="00FA1618">
      <w:pPr>
        <w:numPr>
          <w:ilvl w:val="0"/>
          <w:numId w:val="10"/>
        </w:numPr>
        <w:spacing w:line="240" w:lineRule="auto"/>
        <w:ind w:left="567" w:hanging="567"/>
        <w:rPr>
          <w:szCs w:val="22"/>
          <w:lang w:eastAsia="en-GB"/>
        </w:rPr>
      </w:pPr>
      <w:r w:rsidRPr="001775D9">
        <w:rPr>
          <w:szCs w:val="22"/>
          <w:lang w:eastAsia="en-GB"/>
        </w:rPr>
        <w:t xml:space="preserve">There have been very rare cases of certain kinds of cancer in children and adult patients taking </w:t>
      </w:r>
      <w:r w:rsidR="005D0F44" w:rsidRPr="001775D9">
        <w:rPr>
          <w:szCs w:val="22"/>
          <w:lang w:eastAsia="en-GB"/>
        </w:rPr>
        <w:t xml:space="preserve">adalimumab </w:t>
      </w:r>
      <w:r w:rsidRPr="001775D9">
        <w:rPr>
          <w:szCs w:val="22"/>
          <w:lang w:eastAsia="en-GB"/>
        </w:rPr>
        <w:t>or other TNF blockers. People with more serious rheumatoid arthritis that have had the disease for a long time may have a higher than average risk of getting lymphoma (a cancer that affects the lymph system), and leuk</w:t>
      </w:r>
      <w:r w:rsidR="005A5844" w:rsidRPr="001775D9">
        <w:rPr>
          <w:szCs w:val="22"/>
          <w:lang w:eastAsia="en-GB"/>
        </w:rPr>
        <w:t>a</w:t>
      </w:r>
      <w:r w:rsidRPr="001775D9">
        <w:rPr>
          <w:szCs w:val="22"/>
          <w:lang w:eastAsia="en-GB"/>
        </w:rPr>
        <w:t xml:space="preserve">emia (a cancer that affects the blood and bone marrow). </w:t>
      </w:r>
    </w:p>
    <w:p w14:paraId="4C609F0A" w14:textId="0847B6D4" w:rsidR="00E0260A" w:rsidRPr="001775D9" w:rsidRDefault="003C74A3" w:rsidP="00FA1618">
      <w:pPr>
        <w:numPr>
          <w:ilvl w:val="0"/>
          <w:numId w:val="10"/>
        </w:numPr>
        <w:spacing w:line="240" w:lineRule="auto"/>
        <w:ind w:left="567" w:hanging="567"/>
        <w:rPr>
          <w:szCs w:val="22"/>
          <w:lang w:eastAsia="en-GB"/>
        </w:rPr>
      </w:pPr>
      <w:r w:rsidRPr="001775D9">
        <w:rPr>
          <w:szCs w:val="22"/>
          <w:lang w:eastAsia="en-GB"/>
        </w:rPr>
        <w:t xml:space="preserve">If you take </w:t>
      </w:r>
      <w:r w:rsidR="005D0F44" w:rsidRPr="001775D9">
        <w:rPr>
          <w:szCs w:val="22"/>
        </w:rPr>
        <w:t>AMGEVITA</w:t>
      </w:r>
      <w:r w:rsidRPr="001775D9">
        <w:rPr>
          <w:szCs w:val="22"/>
          <w:lang w:eastAsia="en-GB"/>
        </w:rPr>
        <w:t xml:space="preserve"> the risk of getting lymphoma, leuk</w:t>
      </w:r>
      <w:r w:rsidR="005A5844" w:rsidRPr="001775D9">
        <w:rPr>
          <w:szCs w:val="22"/>
          <w:lang w:eastAsia="en-GB"/>
        </w:rPr>
        <w:t>a</w:t>
      </w:r>
      <w:r w:rsidRPr="001775D9">
        <w:rPr>
          <w:szCs w:val="22"/>
          <w:lang w:eastAsia="en-GB"/>
        </w:rPr>
        <w:t xml:space="preserve">emia, or other cancers may increase. On rare occasions, a specific and severe type of lymphoma has been observed in patients taking </w:t>
      </w:r>
      <w:r w:rsidR="005D0F44" w:rsidRPr="001775D9">
        <w:rPr>
          <w:szCs w:val="22"/>
          <w:lang w:eastAsia="en-GB"/>
        </w:rPr>
        <w:t>adalimumab</w:t>
      </w:r>
      <w:r w:rsidRPr="001775D9">
        <w:rPr>
          <w:szCs w:val="22"/>
          <w:lang w:eastAsia="en-GB"/>
        </w:rPr>
        <w:t xml:space="preserve">. Some of those patients were also treated with azathioprine or 6-mercaptopurine. Tell your doctor if you are taking azathioprine or 6-mercaptopurine with </w:t>
      </w:r>
      <w:r w:rsidR="005D0F44" w:rsidRPr="001775D9">
        <w:rPr>
          <w:szCs w:val="22"/>
        </w:rPr>
        <w:t>AMGEVITA</w:t>
      </w:r>
      <w:r w:rsidRPr="001775D9">
        <w:rPr>
          <w:szCs w:val="22"/>
          <w:lang w:eastAsia="en-GB"/>
        </w:rPr>
        <w:t xml:space="preserve">. </w:t>
      </w:r>
    </w:p>
    <w:p w14:paraId="6C3B855B" w14:textId="667C30DE" w:rsidR="003C74A3" w:rsidRPr="001775D9" w:rsidRDefault="003C74A3" w:rsidP="00FA1618">
      <w:pPr>
        <w:numPr>
          <w:ilvl w:val="0"/>
          <w:numId w:val="10"/>
        </w:numPr>
        <w:spacing w:line="240" w:lineRule="auto"/>
        <w:ind w:left="567" w:hanging="567"/>
      </w:pPr>
      <w:r w:rsidRPr="001775D9">
        <w:rPr>
          <w:szCs w:val="22"/>
          <w:lang w:eastAsia="en-GB"/>
        </w:rPr>
        <w:t>In addition</w:t>
      </w:r>
      <w:r w:rsidR="002D0662" w:rsidRPr="001775D9">
        <w:rPr>
          <w:szCs w:val="22"/>
          <w:lang w:eastAsia="en-GB"/>
        </w:rPr>
        <w:t>,</w:t>
      </w:r>
      <w:r w:rsidRPr="001775D9">
        <w:rPr>
          <w:szCs w:val="22"/>
          <w:lang w:eastAsia="en-GB"/>
        </w:rPr>
        <w:t xml:space="preserve"> cases of non-melanoma skin cancer have been observed in patients taking </w:t>
      </w:r>
      <w:r w:rsidR="005D0F44" w:rsidRPr="001775D9">
        <w:rPr>
          <w:szCs w:val="22"/>
          <w:lang w:eastAsia="en-GB"/>
        </w:rPr>
        <w:t>adalimumab</w:t>
      </w:r>
      <w:r w:rsidRPr="001775D9">
        <w:rPr>
          <w:szCs w:val="22"/>
          <w:lang w:eastAsia="en-GB"/>
        </w:rPr>
        <w:t>. If new skin lesions appear during or after therapy or if existing lesions change appearance, tell your doctor.</w:t>
      </w:r>
    </w:p>
    <w:p w14:paraId="4277F6E2" w14:textId="17C701EE" w:rsidR="00C42229" w:rsidRPr="001775D9" w:rsidRDefault="00C42229" w:rsidP="00B61D9D">
      <w:pPr>
        <w:numPr>
          <w:ilvl w:val="0"/>
          <w:numId w:val="11"/>
        </w:numPr>
        <w:spacing w:line="240" w:lineRule="auto"/>
        <w:ind w:left="567" w:hanging="567"/>
      </w:pPr>
      <w:r w:rsidRPr="001775D9">
        <w:t>There have been cases of cancers</w:t>
      </w:r>
      <w:r w:rsidR="00A90563" w:rsidRPr="001775D9">
        <w:t>,</w:t>
      </w:r>
      <w:r w:rsidRPr="001775D9">
        <w:t xml:space="preserve"> other than lymphoma in patients with a specific type of lung disease called Chronic Obstructive Pulmonary Disease (COPD) treated with another TNF blocker. If you have COPD, or are a heavy smoker, you should discuss with your doctor whether treatment with a TNF blocker is appropriate for you. </w:t>
      </w:r>
    </w:p>
    <w:p w14:paraId="48A1B791" w14:textId="7F0C00AD" w:rsidR="00104898" w:rsidRPr="001775D9" w:rsidRDefault="00104898" w:rsidP="00B61D9D">
      <w:pPr>
        <w:spacing w:line="240" w:lineRule="auto"/>
      </w:pPr>
    </w:p>
    <w:p w14:paraId="0A82E63C" w14:textId="010F3EEB" w:rsidR="00104898" w:rsidRPr="001775D9" w:rsidRDefault="00104898" w:rsidP="00B61D9D">
      <w:pPr>
        <w:spacing w:line="240" w:lineRule="auto"/>
      </w:pPr>
      <w:r w:rsidRPr="001775D9">
        <w:t>Autoimmune disease</w:t>
      </w:r>
      <w:del w:id="2775" w:author="Author">
        <w:r w:rsidRPr="00744F53" w:rsidDel="008413BC">
          <w:delText>s</w:delText>
        </w:r>
      </w:del>
    </w:p>
    <w:p w14:paraId="0F471BA3" w14:textId="77777777" w:rsidR="00E2388D" w:rsidRPr="001775D9" w:rsidRDefault="00E2388D" w:rsidP="00B61D9D">
      <w:pPr>
        <w:spacing w:line="240" w:lineRule="auto"/>
        <w:ind w:left="567"/>
      </w:pPr>
    </w:p>
    <w:p w14:paraId="35FC0665" w14:textId="77777777" w:rsidR="00C42229" w:rsidRPr="001775D9" w:rsidRDefault="00E2388D" w:rsidP="00E2388D">
      <w:pPr>
        <w:numPr>
          <w:ilvl w:val="12"/>
          <w:numId w:val="0"/>
        </w:numPr>
        <w:tabs>
          <w:tab w:val="clear" w:pos="567"/>
        </w:tabs>
        <w:spacing w:line="240" w:lineRule="auto"/>
        <w:ind w:left="567" w:right="-2" w:hanging="567"/>
        <w:rPr>
          <w:szCs w:val="22"/>
        </w:rPr>
      </w:pPr>
      <w:r w:rsidRPr="001775D9">
        <w:rPr>
          <w:szCs w:val="22"/>
        </w:rPr>
        <w:t>-</w:t>
      </w:r>
      <w:r w:rsidRPr="001775D9">
        <w:rPr>
          <w:szCs w:val="22"/>
        </w:rPr>
        <w:tab/>
        <w:t>On rare occasions, treatment with AMGEVITA could result in lupus-like syndrome. Contact your doctor if symptoms such as persistent unexplained rash, fever, joint pain or tiredness occur.</w:t>
      </w:r>
    </w:p>
    <w:p w14:paraId="208E23CA" w14:textId="77777777" w:rsidR="00A22E7F" w:rsidRPr="001775D9" w:rsidRDefault="00A22E7F" w:rsidP="00FB5458">
      <w:pPr>
        <w:tabs>
          <w:tab w:val="clear" w:pos="567"/>
          <w:tab w:val="left" w:pos="0"/>
        </w:tabs>
        <w:spacing w:line="240" w:lineRule="auto"/>
        <w:rPr>
          <w:szCs w:val="22"/>
        </w:rPr>
      </w:pPr>
    </w:p>
    <w:p w14:paraId="07FFC0B9" w14:textId="77777777" w:rsidR="00A22E7F" w:rsidRPr="001775D9" w:rsidRDefault="00A22E7F" w:rsidP="00FB5458">
      <w:pPr>
        <w:tabs>
          <w:tab w:val="clear" w:pos="567"/>
          <w:tab w:val="left" w:pos="0"/>
        </w:tabs>
        <w:spacing w:line="240" w:lineRule="auto"/>
        <w:rPr>
          <w:szCs w:val="22"/>
        </w:rPr>
      </w:pPr>
      <w:r w:rsidRPr="001775D9">
        <w:t>In order to improve the traceability of this medicine, your doctor or pharmacist should record the name and the lot number of the product you have been given in your patient file. You may also wish to make a note of these details in case you are asked for this information in the future.</w:t>
      </w:r>
    </w:p>
    <w:p w14:paraId="79911F7E" w14:textId="77777777" w:rsidR="00FD7E7A" w:rsidRPr="001775D9" w:rsidRDefault="00FD7E7A" w:rsidP="00FB5458">
      <w:pPr>
        <w:numPr>
          <w:ilvl w:val="12"/>
          <w:numId w:val="0"/>
        </w:numPr>
        <w:tabs>
          <w:tab w:val="clear" w:pos="567"/>
        </w:tabs>
        <w:spacing w:line="240" w:lineRule="auto"/>
        <w:ind w:right="-2"/>
        <w:rPr>
          <w:szCs w:val="22"/>
        </w:rPr>
      </w:pPr>
    </w:p>
    <w:p w14:paraId="4F721E02" w14:textId="77777777" w:rsidR="00C42229" w:rsidRPr="001775D9" w:rsidRDefault="00C42229" w:rsidP="00FB5458">
      <w:pPr>
        <w:numPr>
          <w:ilvl w:val="12"/>
          <w:numId w:val="0"/>
        </w:numPr>
        <w:tabs>
          <w:tab w:val="clear" w:pos="567"/>
        </w:tabs>
        <w:spacing w:line="240" w:lineRule="auto"/>
        <w:rPr>
          <w:b/>
          <w:bCs/>
        </w:rPr>
      </w:pPr>
      <w:r w:rsidRPr="001775D9">
        <w:rPr>
          <w:b/>
          <w:bCs/>
        </w:rPr>
        <w:t>Children and adolescents</w:t>
      </w:r>
    </w:p>
    <w:p w14:paraId="67F608AB" w14:textId="77777777" w:rsidR="00C42229" w:rsidRPr="00D55B59" w:rsidRDefault="00C42229" w:rsidP="00FB5458">
      <w:pPr>
        <w:pStyle w:val="Default"/>
        <w:rPr>
          <w:lang w:val="en-GB"/>
          <w:rPrChange w:id="2776" w:author="Author">
            <w:rPr/>
          </w:rPrChange>
        </w:rPr>
      </w:pPr>
    </w:p>
    <w:p w14:paraId="64B76F12" w14:textId="77777777" w:rsidR="00C42229" w:rsidRPr="001775D9" w:rsidRDefault="00C42229" w:rsidP="00FA1618">
      <w:pPr>
        <w:numPr>
          <w:ilvl w:val="0"/>
          <w:numId w:val="10"/>
        </w:numPr>
        <w:spacing w:line="240" w:lineRule="auto"/>
        <w:ind w:left="567" w:hanging="567"/>
        <w:rPr>
          <w:szCs w:val="22"/>
        </w:rPr>
      </w:pPr>
      <w:r w:rsidRPr="001775D9">
        <w:rPr>
          <w:szCs w:val="22"/>
        </w:rPr>
        <w:t xml:space="preserve">Vaccinations: if possible children should be up to date with all vaccinations before using </w:t>
      </w:r>
      <w:r w:rsidR="005D0F44" w:rsidRPr="001775D9">
        <w:rPr>
          <w:szCs w:val="22"/>
        </w:rPr>
        <w:t>AMGEVITA</w:t>
      </w:r>
      <w:r w:rsidRPr="001775D9">
        <w:rPr>
          <w:szCs w:val="22"/>
        </w:rPr>
        <w:t>.</w:t>
      </w:r>
    </w:p>
    <w:p w14:paraId="6C2CF568" w14:textId="77777777" w:rsidR="00CB7625" w:rsidRPr="001775D9" w:rsidRDefault="00CB7625" w:rsidP="00FB5458">
      <w:pPr>
        <w:numPr>
          <w:ilvl w:val="12"/>
          <w:numId w:val="0"/>
        </w:numPr>
        <w:tabs>
          <w:tab w:val="clear" w:pos="567"/>
        </w:tabs>
        <w:spacing w:line="240" w:lineRule="auto"/>
        <w:rPr>
          <w:szCs w:val="22"/>
        </w:rPr>
      </w:pPr>
    </w:p>
    <w:p w14:paraId="13CF77E4" w14:textId="6BE7AE3E" w:rsidR="006228EF" w:rsidRPr="001775D9" w:rsidRDefault="00C42229" w:rsidP="00FA1618">
      <w:pPr>
        <w:numPr>
          <w:ilvl w:val="0"/>
          <w:numId w:val="10"/>
        </w:numPr>
        <w:spacing w:line="240" w:lineRule="auto"/>
        <w:ind w:left="567" w:hanging="567"/>
        <w:rPr>
          <w:szCs w:val="22"/>
        </w:rPr>
      </w:pPr>
      <w:r w:rsidRPr="001775D9">
        <w:rPr>
          <w:szCs w:val="22"/>
        </w:rPr>
        <w:t xml:space="preserve">Do not give </w:t>
      </w:r>
      <w:r w:rsidR="005D0F44" w:rsidRPr="001775D9">
        <w:rPr>
          <w:szCs w:val="22"/>
        </w:rPr>
        <w:t>AMGEVITA</w:t>
      </w:r>
      <w:r w:rsidRPr="001775D9">
        <w:rPr>
          <w:szCs w:val="22"/>
        </w:rPr>
        <w:t xml:space="preserve"> to children with polyarticular juvenile idiopathic arthritis below the age of</w:t>
      </w:r>
      <w:r w:rsidR="005D0F44" w:rsidRPr="001775D9">
        <w:rPr>
          <w:szCs w:val="22"/>
        </w:rPr>
        <w:t xml:space="preserve"> </w:t>
      </w:r>
      <w:r w:rsidR="001B1541" w:rsidRPr="001775D9">
        <w:rPr>
          <w:szCs w:val="22"/>
        </w:rPr>
        <w:t>2</w:t>
      </w:r>
      <w:r w:rsidR="00B525F1" w:rsidRPr="001775D9">
        <w:rPr>
          <w:szCs w:val="22"/>
        </w:rPr>
        <w:t xml:space="preserve"> </w:t>
      </w:r>
      <w:r w:rsidRPr="001775D9">
        <w:rPr>
          <w:szCs w:val="22"/>
        </w:rPr>
        <w:t>years.</w:t>
      </w:r>
    </w:p>
    <w:p w14:paraId="3214824D" w14:textId="57D78E86" w:rsidR="00104898" w:rsidRPr="00D55B59" w:rsidRDefault="00104898" w:rsidP="00104898">
      <w:pPr>
        <w:pStyle w:val="Default"/>
        <w:rPr>
          <w:sz w:val="22"/>
          <w:szCs w:val="22"/>
          <w:lang w:val="en-GB"/>
          <w:rPrChange w:id="2777" w:author="Author">
            <w:rPr>
              <w:sz w:val="22"/>
              <w:szCs w:val="22"/>
            </w:rPr>
          </w:rPrChange>
        </w:rPr>
      </w:pPr>
    </w:p>
    <w:p w14:paraId="6BB5A37D" w14:textId="6A0D4E88" w:rsidR="00104898" w:rsidRPr="001775D9" w:rsidRDefault="00104898" w:rsidP="00FA1618">
      <w:pPr>
        <w:numPr>
          <w:ilvl w:val="0"/>
          <w:numId w:val="10"/>
        </w:numPr>
        <w:spacing w:line="240" w:lineRule="auto"/>
        <w:ind w:left="567" w:hanging="567"/>
        <w:rPr>
          <w:szCs w:val="22"/>
        </w:rPr>
      </w:pPr>
      <w:r w:rsidRPr="001775D9">
        <w:rPr>
          <w:szCs w:val="22"/>
        </w:rPr>
        <w:t>Do not give AMGEVITA to children with plaque psoriasis below the age of 4 years.</w:t>
      </w:r>
    </w:p>
    <w:p w14:paraId="324DE74D" w14:textId="77777777" w:rsidR="00104898" w:rsidRPr="001775D9" w:rsidRDefault="00104898" w:rsidP="00104898">
      <w:pPr>
        <w:pStyle w:val="ListParagraph"/>
        <w:rPr>
          <w:sz w:val="22"/>
          <w:szCs w:val="22"/>
        </w:rPr>
      </w:pPr>
    </w:p>
    <w:p w14:paraId="71AF363C" w14:textId="304E9467" w:rsidR="00104898" w:rsidRPr="001775D9" w:rsidRDefault="00104898" w:rsidP="00FA1618">
      <w:pPr>
        <w:numPr>
          <w:ilvl w:val="0"/>
          <w:numId w:val="10"/>
        </w:numPr>
        <w:spacing w:line="240" w:lineRule="auto"/>
        <w:ind w:left="567" w:hanging="567"/>
        <w:rPr>
          <w:szCs w:val="22"/>
        </w:rPr>
      </w:pPr>
      <w:r w:rsidRPr="001775D9">
        <w:rPr>
          <w:szCs w:val="22"/>
        </w:rPr>
        <w:t>Do not give AMGEVITA to children with Crohn’s disease</w:t>
      </w:r>
      <w:r w:rsidR="00487BCB" w:rsidRPr="001775D9">
        <w:rPr>
          <w:szCs w:val="22"/>
        </w:rPr>
        <w:t xml:space="preserve"> or ulcerative colitis</w:t>
      </w:r>
      <w:r w:rsidRPr="001775D9">
        <w:rPr>
          <w:szCs w:val="22"/>
        </w:rPr>
        <w:t xml:space="preserve"> below the age of 6 years. </w:t>
      </w:r>
    </w:p>
    <w:p w14:paraId="193728E4" w14:textId="77777777" w:rsidR="006228EF" w:rsidRPr="001775D9" w:rsidRDefault="006228EF" w:rsidP="00FB5458">
      <w:pPr>
        <w:pStyle w:val="ListParagraph"/>
        <w:rPr>
          <w:sz w:val="22"/>
          <w:szCs w:val="22"/>
        </w:rPr>
      </w:pPr>
    </w:p>
    <w:p w14:paraId="74287C1B" w14:textId="77777777" w:rsidR="00C42229" w:rsidRPr="001775D9" w:rsidRDefault="00C42229" w:rsidP="00FB5458">
      <w:pPr>
        <w:numPr>
          <w:ilvl w:val="12"/>
          <w:numId w:val="0"/>
        </w:numPr>
        <w:tabs>
          <w:tab w:val="clear" w:pos="567"/>
        </w:tabs>
        <w:spacing w:line="240" w:lineRule="auto"/>
        <w:ind w:right="-2"/>
      </w:pPr>
      <w:r w:rsidRPr="001775D9">
        <w:rPr>
          <w:b/>
        </w:rPr>
        <w:t xml:space="preserve">Other medicines and </w:t>
      </w:r>
      <w:r w:rsidR="005D0F44" w:rsidRPr="001775D9">
        <w:rPr>
          <w:b/>
          <w:szCs w:val="22"/>
        </w:rPr>
        <w:t>AMGEVITA</w:t>
      </w:r>
      <w:r w:rsidR="002671B6" w:rsidRPr="001775D9">
        <w:rPr>
          <w:b/>
        </w:rPr>
        <w:t xml:space="preserve"> </w:t>
      </w:r>
    </w:p>
    <w:p w14:paraId="502E0A60" w14:textId="77777777" w:rsidR="00C42229" w:rsidRPr="001775D9" w:rsidRDefault="00C42229" w:rsidP="00FB5458">
      <w:pPr>
        <w:numPr>
          <w:ilvl w:val="12"/>
          <w:numId w:val="0"/>
        </w:numPr>
        <w:tabs>
          <w:tab w:val="clear" w:pos="567"/>
        </w:tabs>
        <w:spacing w:line="240" w:lineRule="auto"/>
        <w:ind w:right="-2"/>
      </w:pPr>
    </w:p>
    <w:p w14:paraId="1150D461" w14:textId="77777777" w:rsidR="00C42229" w:rsidRPr="001775D9" w:rsidRDefault="00C42229" w:rsidP="00FB5458">
      <w:pPr>
        <w:numPr>
          <w:ilvl w:val="12"/>
          <w:numId w:val="0"/>
        </w:numPr>
        <w:tabs>
          <w:tab w:val="clear" w:pos="567"/>
        </w:tabs>
        <w:spacing w:line="240" w:lineRule="auto"/>
        <w:ind w:right="-2"/>
        <w:rPr>
          <w:szCs w:val="22"/>
        </w:rPr>
      </w:pPr>
      <w:r w:rsidRPr="001775D9">
        <w:t>Tell your doctor or pharmacist if you are taking, have recently taken</w:t>
      </w:r>
      <w:r w:rsidRPr="001775D9">
        <w:rPr>
          <w:szCs w:val="22"/>
        </w:rPr>
        <w:t xml:space="preserve"> </w:t>
      </w:r>
      <w:r w:rsidRPr="001775D9">
        <w:t xml:space="preserve">or might take </w:t>
      </w:r>
      <w:r w:rsidRPr="001775D9">
        <w:rPr>
          <w:szCs w:val="22"/>
        </w:rPr>
        <w:t>any other medicines.</w:t>
      </w:r>
    </w:p>
    <w:p w14:paraId="64F035FF" w14:textId="77777777" w:rsidR="00C42229" w:rsidRPr="00D55B59" w:rsidRDefault="00C42229" w:rsidP="00FB5458">
      <w:pPr>
        <w:pStyle w:val="Default"/>
        <w:rPr>
          <w:sz w:val="22"/>
          <w:szCs w:val="22"/>
          <w:lang w:val="en-GB"/>
          <w:rPrChange w:id="2778" w:author="Author">
            <w:rPr>
              <w:sz w:val="22"/>
              <w:szCs w:val="22"/>
            </w:rPr>
          </w:rPrChange>
        </w:rPr>
      </w:pPr>
    </w:p>
    <w:p w14:paraId="6E5470A5" w14:textId="77777777" w:rsidR="00C42229" w:rsidRPr="00D55B59" w:rsidRDefault="005D0F44" w:rsidP="00FB5458">
      <w:pPr>
        <w:pStyle w:val="Default"/>
        <w:rPr>
          <w:sz w:val="22"/>
          <w:szCs w:val="22"/>
          <w:lang w:val="en-GB"/>
          <w:rPrChange w:id="2779" w:author="Author">
            <w:rPr>
              <w:sz w:val="22"/>
              <w:szCs w:val="22"/>
            </w:rPr>
          </w:rPrChange>
        </w:rPr>
      </w:pPr>
      <w:r w:rsidRPr="00D55B59">
        <w:rPr>
          <w:sz w:val="22"/>
          <w:szCs w:val="22"/>
          <w:lang w:val="en-GB"/>
          <w:rPrChange w:id="2780" w:author="Author">
            <w:rPr>
              <w:sz w:val="22"/>
              <w:szCs w:val="22"/>
            </w:rPr>
          </w:rPrChange>
        </w:rPr>
        <w:t>AMGEVITA</w:t>
      </w:r>
      <w:r w:rsidR="00C42229" w:rsidRPr="00D55B59">
        <w:rPr>
          <w:sz w:val="22"/>
          <w:szCs w:val="22"/>
          <w:lang w:val="en-GB"/>
          <w:rPrChange w:id="2781" w:author="Author">
            <w:rPr>
              <w:sz w:val="22"/>
              <w:szCs w:val="22"/>
            </w:rPr>
          </w:rPrChange>
        </w:rPr>
        <w:t xml:space="preserve"> can be taken together with methotrexate or certain disease-modifying anti-rheumatic agents (sulfasalazine, hydroxychloroquine, leflunomide and injectable gold preparations), steroids or pain medications including non-steroidal anti-inflammatory drugs (NSAIDs). </w:t>
      </w:r>
    </w:p>
    <w:p w14:paraId="38725132" w14:textId="77777777" w:rsidR="00C42229" w:rsidRPr="001775D9" w:rsidRDefault="00C42229" w:rsidP="00FB5458">
      <w:pPr>
        <w:numPr>
          <w:ilvl w:val="12"/>
          <w:numId w:val="0"/>
        </w:numPr>
        <w:tabs>
          <w:tab w:val="clear" w:pos="567"/>
        </w:tabs>
        <w:spacing w:line="240" w:lineRule="auto"/>
        <w:ind w:right="-2"/>
        <w:rPr>
          <w:szCs w:val="22"/>
        </w:rPr>
      </w:pPr>
    </w:p>
    <w:p w14:paraId="14A1AA55" w14:textId="2F992C91" w:rsidR="00C42229" w:rsidRPr="001775D9" w:rsidRDefault="00C42229" w:rsidP="00FB5458">
      <w:pPr>
        <w:numPr>
          <w:ilvl w:val="12"/>
          <w:numId w:val="0"/>
        </w:numPr>
        <w:tabs>
          <w:tab w:val="clear" w:pos="567"/>
        </w:tabs>
        <w:spacing w:line="240" w:lineRule="auto"/>
        <w:ind w:right="-2"/>
        <w:rPr>
          <w:szCs w:val="22"/>
        </w:rPr>
      </w:pPr>
      <w:r w:rsidRPr="001775D9">
        <w:rPr>
          <w:szCs w:val="22"/>
        </w:rPr>
        <w:t xml:space="preserve">You should not take </w:t>
      </w:r>
      <w:r w:rsidR="005D0F44" w:rsidRPr="001775D9">
        <w:rPr>
          <w:szCs w:val="22"/>
        </w:rPr>
        <w:t>AMGEVITA</w:t>
      </w:r>
      <w:r w:rsidRPr="001775D9">
        <w:rPr>
          <w:szCs w:val="22"/>
        </w:rPr>
        <w:t xml:space="preserve"> with medicines containing the active substance</w:t>
      </w:r>
      <w:r w:rsidR="00E2388D" w:rsidRPr="001775D9">
        <w:rPr>
          <w:szCs w:val="22"/>
        </w:rPr>
        <w:t>s</w:t>
      </w:r>
      <w:r w:rsidR="00085595" w:rsidRPr="001775D9">
        <w:rPr>
          <w:szCs w:val="22"/>
        </w:rPr>
        <w:t>,</w:t>
      </w:r>
      <w:r w:rsidRPr="001775D9">
        <w:rPr>
          <w:szCs w:val="22"/>
        </w:rPr>
        <w:t xml:space="preserve"> anakinra or abatacept</w:t>
      </w:r>
      <w:r w:rsidR="00E2388D" w:rsidRPr="001775D9">
        <w:rPr>
          <w:szCs w:val="22"/>
        </w:rPr>
        <w:t xml:space="preserve"> </w:t>
      </w:r>
      <w:r w:rsidR="00E2388D" w:rsidRPr="001775D9">
        <w:t>due to increased risk of serious infection</w:t>
      </w:r>
      <w:r w:rsidRPr="001775D9">
        <w:rPr>
          <w:szCs w:val="22"/>
        </w:rPr>
        <w:t>.</w:t>
      </w:r>
      <w:r w:rsidR="00762AE3" w:rsidRPr="001775D9">
        <w:rPr>
          <w:szCs w:val="22"/>
        </w:rPr>
        <w:t xml:space="preserve"> </w:t>
      </w:r>
      <w:r w:rsidRPr="001775D9">
        <w:rPr>
          <w:szCs w:val="22"/>
        </w:rPr>
        <w:t>If you have questions, please ask your doctor.</w:t>
      </w:r>
    </w:p>
    <w:p w14:paraId="19103714" w14:textId="77777777" w:rsidR="00FD75A3" w:rsidRPr="001775D9" w:rsidRDefault="00FD75A3" w:rsidP="00FB5458">
      <w:pPr>
        <w:numPr>
          <w:ilvl w:val="12"/>
          <w:numId w:val="0"/>
        </w:numPr>
        <w:tabs>
          <w:tab w:val="clear" w:pos="567"/>
        </w:tabs>
        <w:spacing w:line="240" w:lineRule="auto"/>
        <w:ind w:right="-2"/>
        <w:outlineLvl w:val="0"/>
        <w:rPr>
          <w:szCs w:val="22"/>
        </w:rPr>
      </w:pPr>
    </w:p>
    <w:p w14:paraId="1E1DB696" w14:textId="7A038A35" w:rsidR="00C42229" w:rsidRPr="001775D9" w:rsidRDefault="00C42229" w:rsidP="00FB5458">
      <w:pPr>
        <w:keepNext/>
        <w:numPr>
          <w:ilvl w:val="12"/>
          <w:numId w:val="0"/>
        </w:numPr>
        <w:tabs>
          <w:tab w:val="clear" w:pos="567"/>
        </w:tabs>
        <w:spacing w:line="240" w:lineRule="auto"/>
        <w:outlineLvl w:val="0"/>
        <w:rPr>
          <w:b/>
        </w:rPr>
      </w:pPr>
      <w:r w:rsidRPr="001775D9">
        <w:rPr>
          <w:b/>
          <w:szCs w:val="22"/>
        </w:rPr>
        <w:t>Pregnancy and breast-feeding</w:t>
      </w:r>
      <w:r w:rsidR="001C55FB" w:rsidRPr="001775D9">
        <w:rPr>
          <w:b/>
          <w:szCs w:val="22"/>
        </w:rPr>
        <w:fldChar w:fldCharType="begin"/>
      </w:r>
      <w:r w:rsidR="001C55FB" w:rsidRPr="001775D9">
        <w:rPr>
          <w:b/>
          <w:szCs w:val="22"/>
        </w:rPr>
        <w:instrText xml:space="preserve"> DOCVARIABLE vault_nd_05217927-8104-4813-9453-d034dfb940bd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4F2546F" w14:textId="77777777" w:rsidR="00C42229" w:rsidRPr="001775D9" w:rsidRDefault="00C42229" w:rsidP="00FB5458">
      <w:pPr>
        <w:keepNext/>
        <w:numPr>
          <w:ilvl w:val="12"/>
          <w:numId w:val="0"/>
        </w:numPr>
        <w:tabs>
          <w:tab w:val="clear" w:pos="567"/>
        </w:tabs>
        <w:spacing w:line="240" w:lineRule="auto"/>
        <w:outlineLvl w:val="0"/>
        <w:rPr>
          <w:b/>
          <w:szCs w:val="22"/>
        </w:rPr>
      </w:pPr>
    </w:p>
    <w:p w14:paraId="0F9E0C28" w14:textId="77777777" w:rsidR="00F62574" w:rsidRPr="00D55B59" w:rsidRDefault="00F62574">
      <w:pPr>
        <w:pStyle w:val="Default"/>
        <w:numPr>
          <w:ilvl w:val="0"/>
          <w:numId w:val="35"/>
        </w:numPr>
        <w:tabs>
          <w:tab w:val="left" w:pos="567"/>
        </w:tabs>
        <w:ind w:left="567" w:hanging="567"/>
        <w:rPr>
          <w:sz w:val="22"/>
          <w:szCs w:val="22"/>
          <w:lang w:val="en-GB"/>
          <w:rPrChange w:id="2782" w:author="Author">
            <w:rPr>
              <w:sz w:val="22"/>
              <w:szCs w:val="22"/>
            </w:rPr>
          </w:rPrChange>
        </w:rPr>
      </w:pPr>
      <w:bookmarkStart w:id="2783" w:name="_Hlk528593421"/>
      <w:r w:rsidRPr="00D55B59">
        <w:rPr>
          <w:sz w:val="22"/>
          <w:szCs w:val="22"/>
          <w:lang w:val="en-GB"/>
          <w:rPrChange w:id="2784" w:author="Author">
            <w:rPr>
              <w:sz w:val="22"/>
              <w:szCs w:val="22"/>
            </w:rPr>
          </w:rPrChange>
        </w:rPr>
        <w:t>You should consider the use of adequate contraception to prevent pregnancy and continue its use for at least 5 months after the last AMGEVITA treatment.</w:t>
      </w:r>
    </w:p>
    <w:p w14:paraId="3D450850" w14:textId="77777777" w:rsidR="00F62574" w:rsidRPr="001775D9" w:rsidRDefault="00F62574">
      <w:pPr>
        <w:pStyle w:val="ListParagraph"/>
        <w:numPr>
          <w:ilvl w:val="0"/>
          <w:numId w:val="35"/>
        </w:numPr>
        <w:tabs>
          <w:tab w:val="left" w:pos="567"/>
        </w:tabs>
        <w:suppressAutoHyphens/>
        <w:ind w:left="567" w:hanging="567"/>
        <w:contextualSpacing w:val="0"/>
        <w:rPr>
          <w:sz w:val="22"/>
          <w:szCs w:val="22"/>
        </w:rPr>
      </w:pPr>
      <w:r w:rsidRPr="001775D9">
        <w:rPr>
          <w:sz w:val="22"/>
          <w:szCs w:val="22"/>
        </w:rPr>
        <w:t>If you are pregnant, think you may be pregnant or are planning to have a baby, ask your doctor for advice about taking this medicine.</w:t>
      </w:r>
    </w:p>
    <w:p w14:paraId="1C5CBE3B" w14:textId="77777777" w:rsidR="00F62574" w:rsidRPr="001775D9" w:rsidRDefault="00F62574">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AMGEVITA should only be used during a pregnancy if needed.</w:t>
      </w:r>
    </w:p>
    <w:p w14:paraId="2CFA96C1" w14:textId="77777777" w:rsidR="00F62574" w:rsidRPr="001775D9" w:rsidRDefault="00F62574">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According to a pregnancy study, there was no higher risk of birth defects when the mother had received AMGEVITA during pregnancy compared with mothers with the same disease who did not receive AMGEVITA.</w:t>
      </w:r>
    </w:p>
    <w:p w14:paraId="2476423B" w14:textId="77777777" w:rsidR="00F62574" w:rsidRPr="001775D9" w:rsidRDefault="00F62574">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AMGEVITA can be used during breast-feeding.</w:t>
      </w:r>
    </w:p>
    <w:p w14:paraId="67D79C49" w14:textId="77777777" w:rsidR="00F62574" w:rsidRPr="001775D9" w:rsidRDefault="00F62574">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If you receive AMGEVITA during your pregnancy, your baby may have a higher risk for getting an infection.</w:t>
      </w:r>
    </w:p>
    <w:p w14:paraId="559387F7" w14:textId="77777777" w:rsidR="00F62574" w:rsidRPr="001775D9" w:rsidRDefault="00F62574">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It is important that you tell your baby’s doctors and other health care professionals about your AMGEVITA use during your pregnancy before the baby receives any vaccine. For more information on vaccines see the “Warnings and precautions” section.</w:t>
      </w:r>
    </w:p>
    <w:bookmarkEnd w:id="2783"/>
    <w:p w14:paraId="17D3FAB4" w14:textId="77777777" w:rsidR="00C42229" w:rsidRPr="001775D9" w:rsidRDefault="00C42229" w:rsidP="00FB5458">
      <w:pPr>
        <w:numPr>
          <w:ilvl w:val="12"/>
          <w:numId w:val="0"/>
        </w:numPr>
        <w:tabs>
          <w:tab w:val="clear" w:pos="567"/>
        </w:tabs>
        <w:spacing w:line="240" w:lineRule="auto"/>
        <w:rPr>
          <w:szCs w:val="22"/>
        </w:rPr>
      </w:pPr>
    </w:p>
    <w:p w14:paraId="3A459B6A" w14:textId="6BF8BFC3" w:rsidR="00C42229" w:rsidRPr="001775D9" w:rsidRDefault="00C42229" w:rsidP="00FB5458">
      <w:pPr>
        <w:keepNext/>
        <w:numPr>
          <w:ilvl w:val="12"/>
          <w:numId w:val="0"/>
        </w:numPr>
        <w:tabs>
          <w:tab w:val="clear" w:pos="567"/>
        </w:tabs>
        <w:spacing w:line="240" w:lineRule="auto"/>
        <w:outlineLvl w:val="0"/>
        <w:rPr>
          <w:szCs w:val="22"/>
        </w:rPr>
      </w:pPr>
      <w:r w:rsidRPr="001775D9">
        <w:rPr>
          <w:b/>
          <w:szCs w:val="22"/>
        </w:rPr>
        <w:t>Driving and using machines</w:t>
      </w:r>
      <w:r w:rsidR="001C55FB" w:rsidRPr="001775D9">
        <w:rPr>
          <w:b/>
          <w:szCs w:val="22"/>
        </w:rPr>
        <w:fldChar w:fldCharType="begin"/>
      </w:r>
      <w:r w:rsidR="001C55FB" w:rsidRPr="001775D9">
        <w:rPr>
          <w:b/>
          <w:szCs w:val="22"/>
        </w:rPr>
        <w:instrText xml:space="preserve"> DOCVARIABLE vault_nd_d33b65ea-3bcc-4967-ab5a-96bd57a619b8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B680B0D" w14:textId="77777777" w:rsidR="00C42229" w:rsidRPr="001775D9" w:rsidRDefault="00C42229" w:rsidP="00FB5458">
      <w:pPr>
        <w:keepNext/>
        <w:numPr>
          <w:ilvl w:val="12"/>
          <w:numId w:val="0"/>
        </w:numPr>
        <w:tabs>
          <w:tab w:val="clear" w:pos="567"/>
        </w:tabs>
        <w:spacing w:line="240" w:lineRule="auto"/>
        <w:rPr>
          <w:szCs w:val="22"/>
        </w:rPr>
      </w:pPr>
    </w:p>
    <w:p w14:paraId="017CA786" w14:textId="322A0A91" w:rsidR="00C42229" w:rsidRPr="001775D9" w:rsidRDefault="005D0F44" w:rsidP="00FB5458">
      <w:pPr>
        <w:numPr>
          <w:ilvl w:val="12"/>
          <w:numId w:val="0"/>
        </w:numPr>
        <w:tabs>
          <w:tab w:val="clear" w:pos="567"/>
        </w:tabs>
        <w:spacing w:line="240" w:lineRule="auto"/>
        <w:ind w:right="-2"/>
        <w:rPr>
          <w:szCs w:val="22"/>
        </w:rPr>
      </w:pPr>
      <w:r w:rsidRPr="001775D9">
        <w:rPr>
          <w:szCs w:val="22"/>
        </w:rPr>
        <w:t>AMGEVITA</w:t>
      </w:r>
      <w:r w:rsidR="00C42229" w:rsidRPr="001775D9">
        <w:rPr>
          <w:szCs w:val="22"/>
        </w:rPr>
        <w:t xml:space="preserve"> may have a minor influence on your ability to drive, cycle or use machines. Room spinning sensation </w:t>
      </w:r>
      <w:r w:rsidR="00076ABE" w:rsidRPr="001775D9">
        <w:rPr>
          <w:szCs w:val="22"/>
        </w:rPr>
        <w:t xml:space="preserve">(vertigo) </w:t>
      </w:r>
      <w:r w:rsidR="00C42229" w:rsidRPr="001775D9">
        <w:rPr>
          <w:szCs w:val="22"/>
        </w:rPr>
        <w:t xml:space="preserve">and vision disturbances may occur after taking </w:t>
      </w:r>
      <w:r w:rsidRPr="001775D9">
        <w:rPr>
          <w:szCs w:val="22"/>
        </w:rPr>
        <w:t>AMGEVITA</w:t>
      </w:r>
      <w:r w:rsidR="00C42229" w:rsidRPr="001775D9">
        <w:rPr>
          <w:szCs w:val="22"/>
        </w:rPr>
        <w:t>.</w:t>
      </w:r>
    </w:p>
    <w:p w14:paraId="26338331" w14:textId="77777777" w:rsidR="00C42229" w:rsidRPr="001775D9" w:rsidRDefault="00C42229" w:rsidP="00FB5458">
      <w:pPr>
        <w:numPr>
          <w:ilvl w:val="12"/>
          <w:numId w:val="0"/>
        </w:numPr>
        <w:tabs>
          <w:tab w:val="clear" w:pos="567"/>
        </w:tabs>
        <w:spacing w:line="240" w:lineRule="auto"/>
        <w:ind w:right="-2"/>
        <w:rPr>
          <w:szCs w:val="22"/>
        </w:rPr>
      </w:pPr>
    </w:p>
    <w:p w14:paraId="213CBB88" w14:textId="3AE418FF" w:rsidR="00E173F2" w:rsidRPr="001775D9" w:rsidRDefault="00E173F2" w:rsidP="00FB5458">
      <w:pPr>
        <w:numPr>
          <w:ilvl w:val="12"/>
          <w:numId w:val="0"/>
        </w:numPr>
        <w:tabs>
          <w:tab w:val="clear" w:pos="567"/>
        </w:tabs>
        <w:spacing w:line="240" w:lineRule="auto"/>
        <w:ind w:right="-2"/>
        <w:outlineLvl w:val="0"/>
        <w:rPr>
          <w:b/>
          <w:szCs w:val="22"/>
        </w:rPr>
      </w:pPr>
      <w:r w:rsidRPr="001775D9">
        <w:rPr>
          <w:b/>
          <w:szCs w:val="22"/>
        </w:rPr>
        <w:t>AMGEVITA contains sodium</w:t>
      </w:r>
      <w:r w:rsidR="001C55FB" w:rsidRPr="001775D9">
        <w:rPr>
          <w:b/>
          <w:szCs w:val="22"/>
        </w:rPr>
        <w:fldChar w:fldCharType="begin"/>
      </w:r>
      <w:r w:rsidR="001C55FB" w:rsidRPr="001775D9">
        <w:rPr>
          <w:b/>
          <w:szCs w:val="22"/>
        </w:rPr>
        <w:instrText xml:space="preserve"> DOCVARIABLE vault_nd_df51425d-fc32-48e4-ad1e-46368ff56e7d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1F30F62" w14:textId="77777777" w:rsidR="00E173F2" w:rsidRPr="001775D9" w:rsidRDefault="00E173F2" w:rsidP="00FB5458">
      <w:pPr>
        <w:numPr>
          <w:ilvl w:val="12"/>
          <w:numId w:val="0"/>
        </w:numPr>
        <w:tabs>
          <w:tab w:val="clear" w:pos="567"/>
        </w:tabs>
        <w:spacing w:line="240" w:lineRule="auto"/>
        <w:rPr>
          <w:szCs w:val="22"/>
        </w:rPr>
      </w:pPr>
    </w:p>
    <w:p w14:paraId="54A202EC" w14:textId="1C6BD498" w:rsidR="00E173F2" w:rsidRPr="001775D9" w:rsidRDefault="002D0662" w:rsidP="00FB5458">
      <w:pPr>
        <w:numPr>
          <w:ilvl w:val="12"/>
          <w:numId w:val="0"/>
        </w:numPr>
        <w:tabs>
          <w:tab w:val="clear" w:pos="567"/>
        </w:tabs>
        <w:spacing w:line="240" w:lineRule="auto"/>
        <w:rPr>
          <w:szCs w:val="22"/>
        </w:rPr>
      </w:pPr>
      <w:r w:rsidRPr="001775D9">
        <w:rPr>
          <w:szCs w:val="22"/>
        </w:rPr>
        <w:t xml:space="preserve">This medicine </w:t>
      </w:r>
      <w:r w:rsidR="00E173F2" w:rsidRPr="001775D9">
        <w:rPr>
          <w:szCs w:val="22"/>
        </w:rPr>
        <w:t>contains less than 1</w:t>
      </w:r>
      <w:r w:rsidR="00EA61E8" w:rsidRPr="001775D9">
        <w:rPr>
          <w:szCs w:val="22"/>
        </w:rPr>
        <w:t> </w:t>
      </w:r>
      <w:r w:rsidR="00E173F2" w:rsidRPr="001775D9">
        <w:rPr>
          <w:szCs w:val="22"/>
        </w:rPr>
        <w:t>mmol of sodium (23</w:t>
      </w:r>
      <w:r w:rsidR="00EA61E8" w:rsidRPr="001775D9">
        <w:rPr>
          <w:szCs w:val="22"/>
        </w:rPr>
        <w:t> </w:t>
      </w:r>
      <w:r w:rsidR="00E173F2" w:rsidRPr="001775D9">
        <w:rPr>
          <w:szCs w:val="22"/>
        </w:rPr>
        <w:t>mg) per 0.8</w:t>
      </w:r>
      <w:r w:rsidR="00EA61E8" w:rsidRPr="001775D9">
        <w:rPr>
          <w:szCs w:val="22"/>
        </w:rPr>
        <w:t> </w:t>
      </w:r>
      <w:r w:rsidR="00E173F2" w:rsidRPr="001775D9">
        <w:rPr>
          <w:szCs w:val="22"/>
        </w:rPr>
        <w:t>mL dose,</w:t>
      </w:r>
      <w:r w:rsidR="00DF07DE" w:rsidRPr="001775D9">
        <w:rPr>
          <w:szCs w:val="22"/>
        </w:rPr>
        <w:t xml:space="preserve"> that is to say</w:t>
      </w:r>
      <w:r w:rsidR="00E173F2" w:rsidRPr="001775D9">
        <w:rPr>
          <w:szCs w:val="22"/>
        </w:rPr>
        <w:t xml:space="preserve"> essentially ‘sodium-free’.</w:t>
      </w:r>
    </w:p>
    <w:p w14:paraId="6656F189" w14:textId="77777777" w:rsidR="00C42229" w:rsidRPr="001775D9" w:rsidRDefault="00C42229" w:rsidP="00FB5458">
      <w:pPr>
        <w:numPr>
          <w:ilvl w:val="12"/>
          <w:numId w:val="0"/>
        </w:numPr>
        <w:tabs>
          <w:tab w:val="clear" w:pos="567"/>
        </w:tabs>
        <w:spacing w:line="240" w:lineRule="auto"/>
        <w:ind w:right="-2"/>
        <w:rPr>
          <w:szCs w:val="22"/>
        </w:rPr>
      </w:pPr>
    </w:p>
    <w:p w14:paraId="307CF62D" w14:textId="77777777" w:rsidR="00E173F2" w:rsidRPr="001775D9" w:rsidRDefault="00E173F2" w:rsidP="00FB5458">
      <w:pPr>
        <w:numPr>
          <w:ilvl w:val="12"/>
          <w:numId w:val="0"/>
        </w:numPr>
        <w:tabs>
          <w:tab w:val="clear" w:pos="567"/>
        </w:tabs>
        <w:spacing w:line="240" w:lineRule="auto"/>
        <w:ind w:right="-2"/>
        <w:rPr>
          <w:szCs w:val="22"/>
        </w:rPr>
      </w:pPr>
    </w:p>
    <w:p w14:paraId="44FCFB48" w14:textId="77777777" w:rsidR="00C42229" w:rsidRPr="001775D9" w:rsidRDefault="00C42229" w:rsidP="00B61D9D">
      <w:pPr>
        <w:keepNext/>
        <w:spacing w:line="240" w:lineRule="auto"/>
        <w:ind w:left="567" w:hanging="567"/>
        <w:rPr>
          <w:b/>
          <w:szCs w:val="22"/>
        </w:rPr>
      </w:pPr>
      <w:r w:rsidRPr="001775D9">
        <w:rPr>
          <w:b/>
          <w:szCs w:val="22"/>
        </w:rPr>
        <w:t>3.</w:t>
      </w:r>
      <w:r w:rsidRPr="001775D9">
        <w:rPr>
          <w:b/>
          <w:szCs w:val="22"/>
        </w:rPr>
        <w:tab/>
        <w:t>H</w:t>
      </w:r>
      <w:r w:rsidRPr="001775D9">
        <w:rPr>
          <w:b/>
        </w:rPr>
        <w:t xml:space="preserve">ow to use </w:t>
      </w:r>
      <w:r w:rsidR="005D0F44" w:rsidRPr="001775D9">
        <w:rPr>
          <w:b/>
          <w:szCs w:val="22"/>
        </w:rPr>
        <w:t>AMGEVITA</w:t>
      </w:r>
    </w:p>
    <w:p w14:paraId="3840D851" w14:textId="77777777" w:rsidR="00C42229" w:rsidRPr="001775D9" w:rsidRDefault="00C42229" w:rsidP="00FB5458">
      <w:pPr>
        <w:numPr>
          <w:ilvl w:val="12"/>
          <w:numId w:val="0"/>
        </w:numPr>
        <w:tabs>
          <w:tab w:val="clear" w:pos="567"/>
        </w:tabs>
        <w:spacing w:line="240" w:lineRule="auto"/>
        <w:ind w:right="-2"/>
        <w:rPr>
          <w:szCs w:val="22"/>
        </w:rPr>
      </w:pPr>
    </w:p>
    <w:p w14:paraId="2AB76921" w14:textId="77777777" w:rsidR="00E2388D" w:rsidRPr="001775D9" w:rsidRDefault="00C42229" w:rsidP="00B61D9D">
      <w:pPr>
        <w:numPr>
          <w:ilvl w:val="12"/>
          <w:numId w:val="0"/>
        </w:numPr>
        <w:tabs>
          <w:tab w:val="clear" w:pos="567"/>
          <w:tab w:val="left" w:pos="720"/>
        </w:tabs>
        <w:spacing w:line="240" w:lineRule="auto"/>
      </w:pPr>
      <w:r w:rsidRPr="001775D9">
        <w:rPr>
          <w:szCs w:val="22"/>
        </w:rPr>
        <w:t xml:space="preserve">Always use </w:t>
      </w:r>
      <w:r w:rsidRPr="001775D9">
        <w:t>this medicine</w:t>
      </w:r>
      <w:r w:rsidRPr="001775D9">
        <w:rPr>
          <w:szCs w:val="22"/>
        </w:rPr>
        <w:t xml:space="preserve"> exactly as your doctor </w:t>
      </w:r>
      <w:r w:rsidRPr="001775D9">
        <w:t xml:space="preserve">or pharmacist </w:t>
      </w:r>
      <w:r w:rsidRPr="001775D9">
        <w:rPr>
          <w:szCs w:val="22"/>
        </w:rPr>
        <w:t>has told you. Check with your doctor or pharmacist if you are not sure.</w:t>
      </w:r>
      <w:r w:rsidR="00E2388D" w:rsidRPr="001775D9">
        <w:rPr>
          <w:szCs w:val="22"/>
        </w:rPr>
        <w:t xml:space="preserve"> </w:t>
      </w:r>
    </w:p>
    <w:p w14:paraId="5948D853" w14:textId="77777777" w:rsidR="00C42229" w:rsidRPr="001775D9" w:rsidRDefault="00C42229" w:rsidP="00FB5458">
      <w:pPr>
        <w:numPr>
          <w:ilvl w:val="12"/>
          <w:numId w:val="0"/>
        </w:numPr>
        <w:tabs>
          <w:tab w:val="clear" w:pos="567"/>
        </w:tabs>
        <w:spacing w:line="240" w:lineRule="auto"/>
        <w:ind w:right="-2"/>
        <w:rPr>
          <w:szCs w:val="22"/>
        </w:rPr>
      </w:pPr>
    </w:p>
    <w:p w14:paraId="5A9FD0FA" w14:textId="77777777" w:rsidR="00C42229" w:rsidRPr="00D55B59" w:rsidRDefault="00C42229" w:rsidP="00FB5458">
      <w:pPr>
        <w:pStyle w:val="Default"/>
        <w:rPr>
          <w:sz w:val="22"/>
          <w:szCs w:val="22"/>
          <w:u w:val="single"/>
          <w:lang w:val="en-GB"/>
          <w:rPrChange w:id="2785" w:author="Author">
            <w:rPr>
              <w:sz w:val="22"/>
              <w:szCs w:val="22"/>
              <w:u w:val="single"/>
            </w:rPr>
          </w:rPrChange>
        </w:rPr>
      </w:pPr>
      <w:r w:rsidRPr="00D55B59">
        <w:rPr>
          <w:sz w:val="22"/>
          <w:szCs w:val="22"/>
          <w:u w:val="single"/>
          <w:lang w:val="en-GB"/>
          <w:rPrChange w:id="2786" w:author="Author">
            <w:rPr>
              <w:sz w:val="22"/>
              <w:szCs w:val="22"/>
              <w:u w:val="single"/>
            </w:rPr>
          </w:rPrChange>
        </w:rPr>
        <w:t xml:space="preserve">Adults with rheumatoid arthritis, psoriatic arthritis, ankylosing spondylitis or axial spondyloarthritis without radiographic evidence of ankylosing spondylitis </w:t>
      </w:r>
    </w:p>
    <w:p w14:paraId="4020E515" w14:textId="77777777" w:rsidR="00C42229" w:rsidRPr="001775D9" w:rsidRDefault="00C42229" w:rsidP="00FB5458">
      <w:pPr>
        <w:numPr>
          <w:ilvl w:val="12"/>
          <w:numId w:val="0"/>
        </w:numPr>
        <w:tabs>
          <w:tab w:val="clear" w:pos="567"/>
        </w:tabs>
        <w:spacing w:line="240" w:lineRule="auto"/>
        <w:ind w:right="-2"/>
        <w:rPr>
          <w:szCs w:val="22"/>
        </w:rPr>
      </w:pPr>
    </w:p>
    <w:p w14:paraId="49011D70" w14:textId="77777777" w:rsidR="00C42229" w:rsidRPr="00D55B59" w:rsidRDefault="005D0F44" w:rsidP="00FB5458">
      <w:pPr>
        <w:pStyle w:val="Default"/>
        <w:rPr>
          <w:sz w:val="22"/>
          <w:szCs w:val="22"/>
          <w:lang w:val="en-GB"/>
          <w:rPrChange w:id="2787" w:author="Author">
            <w:rPr>
              <w:sz w:val="22"/>
              <w:szCs w:val="22"/>
            </w:rPr>
          </w:rPrChange>
        </w:rPr>
      </w:pPr>
      <w:r w:rsidRPr="00D55B59">
        <w:rPr>
          <w:sz w:val="22"/>
          <w:szCs w:val="22"/>
          <w:lang w:val="en-GB"/>
          <w:rPrChange w:id="2788" w:author="Author">
            <w:rPr>
              <w:sz w:val="22"/>
              <w:szCs w:val="22"/>
            </w:rPr>
          </w:rPrChange>
        </w:rPr>
        <w:t>AMGEVITA</w:t>
      </w:r>
      <w:r w:rsidR="00C42229" w:rsidRPr="00D55B59">
        <w:rPr>
          <w:sz w:val="22"/>
          <w:szCs w:val="22"/>
          <w:lang w:val="en-GB"/>
          <w:rPrChange w:id="2789" w:author="Author">
            <w:rPr>
              <w:sz w:val="22"/>
              <w:szCs w:val="22"/>
            </w:rPr>
          </w:rPrChange>
        </w:rPr>
        <w:t xml:space="preserve"> is injected under the skin (subcutaneous use). The usual dose for adults with rheumatoid arthritis, ankylosing spondylitis, axial spondyloarthritis without radiographic evidence of ankylosing</w:t>
      </w:r>
      <w:r w:rsidR="00C42229" w:rsidRPr="00D55B59">
        <w:rPr>
          <w:szCs w:val="22"/>
          <w:lang w:val="en-GB"/>
          <w:rPrChange w:id="2790" w:author="Author">
            <w:rPr>
              <w:szCs w:val="22"/>
            </w:rPr>
          </w:rPrChange>
        </w:rPr>
        <w:t xml:space="preserve"> </w:t>
      </w:r>
      <w:r w:rsidR="00C42229" w:rsidRPr="00D55B59">
        <w:rPr>
          <w:sz w:val="22"/>
          <w:szCs w:val="22"/>
          <w:lang w:val="en-GB"/>
          <w:rPrChange w:id="2791" w:author="Author">
            <w:rPr>
              <w:sz w:val="22"/>
              <w:szCs w:val="22"/>
            </w:rPr>
          </w:rPrChange>
        </w:rPr>
        <w:t>spondylitis, and for patients with psoriatic arthritis is 40</w:t>
      </w:r>
      <w:r w:rsidR="00963FE9" w:rsidRPr="00D55B59">
        <w:rPr>
          <w:sz w:val="22"/>
          <w:szCs w:val="22"/>
          <w:lang w:val="en-GB"/>
          <w:rPrChange w:id="2792" w:author="Author">
            <w:rPr>
              <w:sz w:val="22"/>
              <w:szCs w:val="22"/>
            </w:rPr>
          </w:rPrChange>
        </w:rPr>
        <w:t> </w:t>
      </w:r>
      <w:r w:rsidR="00C42229" w:rsidRPr="00D55B59">
        <w:rPr>
          <w:sz w:val="22"/>
          <w:szCs w:val="22"/>
          <w:lang w:val="en-GB"/>
          <w:rPrChange w:id="2793" w:author="Author">
            <w:rPr>
              <w:sz w:val="22"/>
              <w:szCs w:val="22"/>
            </w:rPr>
          </w:rPrChange>
        </w:rPr>
        <w:t xml:space="preserve">mg given every other week as a single dose. </w:t>
      </w:r>
    </w:p>
    <w:p w14:paraId="4AD31E1D" w14:textId="77777777" w:rsidR="00C42229" w:rsidRPr="00D55B59" w:rsidRDefault="00C42229" w:rsidP="00FB5458">
      <w:pPr>
        <w:pStyle w:val="Default"/>
        <w:rPr>
          <w:sz w:val="22"/>
          <w:szCs w:val="22"/>
          <w:lang w:val="en-GB"/>
          <w:rPrChange w:id="2794" w:author="Author">
            <w:rPr>
              <w:sz w:val="22"/>
              <w:szCs w:val="22"/>
            </w:rPr>
          </w:rPrChange>
        </w:rPr>
      </w:pPr>
    </w:p>
    <w:p w14:paraId="203722DE" w14:textId="77777777" w:rsidR="00C42229" w:rsidRPr="00D55B59" w:rsidRDefault="00C42229" w:rsidP="00FB5458">
      <w:pPr>
        <w:pStyle w:val="Default"/>
        <w:rPr>
          <w:sz w:val="22"/>
          <w:szCs w:val="22"/>
          <w:lang w:val="en-GB"/>
          <w:rPrChange w:id="2795" w:author="Author">
            <w:rPr>
              <w:sz w:val="22"/>
              <w:szCs w:val="22"/>
            </w:rPr>
          </w:rPrChange>
        </w:rPr>
      </w:pPr>
      <w:r w:rsidRPr="00D55B59">
        <w:rPr>
          <w:sz w:val="22"/>
          <w:szCs w:val="22"/>
          <w:lang w:val="en-GB"/>
          <w:rPrChange w:id="2796" w:author="Author">
            <w:rPr>
              <w:sz w:val="22"/>
              <w:szCs w:val="22"/>
            </w:rPr>
          </w:rPrChange>
        </w:rPr>
        <w:t xml:space="preserve">In rheumatoid arthritis, methotrexate is continued while using </w:t>
      </w:r>
      <w:r w:rsidR="005D0F44" w:rsidRPr="00D55B59">
        <w:rPr>
          <w:sz w:val="22"/>
          <w:szCs w:val="22"/>
          <w:lang w:val="en-GB"/>
          <w:rPrChange w:id="2797" w:author="Author">
            <w:rPr>
              <w:sz w:val="22"/>
              <w:szCs w:val="22"/>
            </w:rPr>
          </w:rPrChange>
        </w:rPr>
        <w:t>AMGEVITA</w:t>
      </w:r>
      <w:r w:rsidRPr="00D55B59">
        <w:rPr>
          <w:sz w:val="22"/>
          <w:szCs w:val="22"/>
          <w:lang w:val="en-GB"/>
          <w:rPrChange w:id="2798" w:author="Author">
            <w:rPr>
              <w:sz w:val="22"/>
              <w:szCs w:val="22"/>
            </w:rPr>
          </w:rPrChange>
        </w:rPr>
        <w:t xml:space="preserve">. If your doctor determines that methotrexate is inappropriate, </w:t>
      </w:r>
      <w:r w:rsidR="005D0F44" w:rsidRPr="00D55B59">
        <w:rPr>
          <w:sz w:val="22"/>
          <w:szCs w:val="22"/>
          <w:lang w:val="en-GB"/>
          <w:rPrChange w:id="2799" w:author="Author">
            <w:rPr>
              <w:sz w:val="22"/>
              <w:szCs w:val="22"/>
            </w:rPr>
          </w:rPrChange>
        </w:rPr>
        <w:t>AMGEVITA</w:t>
      </w:r>
      <w:r w:rsidRPr="00D55B59">
        <w:rPr>
          <w:sz w:val="22"/>
          <w:szCs w:val="22"/>
          <w:lang w:val="en-GB"/>
          <w:rPrChange w:id="2800" w:author="Author">
            <w:rPr>
              <w:sz w:val="22"/>
              <w:szCs w:val="22"/>
            </w:rPr>
          </w:rPrChange>
        </w:rPr>
        <w:t xml:space="preserve"> can be given alone. </w:t>
      </w:r>
    </w:p>
    <w:p w14:paraId="7E415A70" w14:textId="77777777" w:rsidR="00C42229" w:rsidRPr="001775D9" w:rsidRDefault="00C42229" w:rsidP="00FB5458">
      <w:pPr>
        <w:numPr>
          <w:ilvl w:val="12"/>
          <w:numId w:val="0"/>
        </w:numPr>
        <w:tabs>
          <w:tab w:val="clear" w:pos="567"/>
        </w:tabs>
        <w:spacing w:line="240" w:lineRule="auto"/>
        <w:ind w:right="-2"/>
        <w:rPr>
          <w:szCs w:val="22"/>
        </w:rPr>
      </w:pPr>
    </w:p>
    <w:p w14:paraId="2C3778F1" w14:textId="77777777" w:rsidR="00C42229" w:rsidRPr="001775D9" w:rsidRDefault="00C42229" w:rsidP="00FB5458">
      <w:pPr>
        <w:numPr>
          <w:ilvl w:val="12"/>
          <w:numId w:val="0"/>
        </w:numPr>
        <w:tabs>
          <w:tab w:val="clear" w:pos="567"/>
        </w:tabs>
        <w:spacing w:line="240" w:lineRule="auto"/>
        <w:ind w:right="-2"/>
        <w:rPr>
          <w:szCs w:val="22"/>
        </w:rPr>
      </w:pPr>
      <w:r w:rsidRPr="001775D9">
        <w:rPr>
          <w:szCs w:val="22"/>
        </w:rPr>
        <w:t xml:space="preserve">If you have rheumatoid arthritis and you do not receive methotrexate with your </w:t>
      </w:r>
      <w:r w:rsidR="005D0F44" w:rsidRPr="001775D9">
        <w:rPr>
          <w:szCs w:val="22"/>
        </w:rPr>
        <w:t>AMGEVITA</w:t>
      </w:r>
      <w:r w:rsidRPr="001775D9">
        <w:rPr>
          <w:szCs w:val="22"/>
        </w:rPr>
        <w:t xml:space="preserve"> therapy, your doctor may decide to give 40</w:t>
      </w:r>
      <w:r w:rsidR="00963FE9" w:rsidRPr="001775D9">
        <w:rPr>
          <w:szCs w:val="22"/>
        </w:rPr>
        <w:t> </w:t>
      </w:r>
      <w:r w:rsidRPr="001775D9">
        <w:rPr>
          <w:szCs w:val="22"/>
        </w:rPr>
        <w:t>mg every week</w:t>
      </w:r>
      <w:r w:rsidR="009B55EC" w:rsidRPr="001775D9">
        <w:rPr>
          <w:szCs w:val="22"/>
        </w:rPr>
        <w:t xml:space="preserve"> or 80</w:t>
      </w:r>
      <w:r w:rsidR="00D5093F" w:rsidRPr="001775D9">
        <w:rPr>
          <w:szCs w:val="22"/>
          <w:lang w:eastAsia="en-GB"/>
        </w:rPr>
        <w:t> </w:t>
      </w:r>
      <w:r w:rsidR="00E829CA" w:rsidRPr="001775D9">
        <w:rPr>
          <w:szCs w:val="22"/>
        </w:rPr>
        <w:t>mg</w:t>
      </w:r>
      <w:r w:rsidR="00D04259" w:rsidRPr="00D55B59">
        <w:rPr>
          <w:szCs w:val="22"/>
          <w:rPrChange w:id="2801" w:author="Author">
            <w:rPr>
              <w:szCs w:val="22"/>
              <w:lang w:val="en-US"/>
            </w:rPr>
          </w:rPrChange>
        </w:rPr>
        <w:t xml:space="preserve"> </w:t>
      </w:r>
      <w:r w:rsidR="009B55EC" w:rsidRPr="001775D9">
        <w:rPr>
          <w:szCs w:val="22"/>
        </w:rPr>
        <w:t>every other week</w:t>
      </w:r>
      <w:r w:rsidRPr="001775D9">
        <w:rPr>
          <w:szCs w:val="22"/>
        </w:rPr>
        <w:t>.</w:t>
      </w:r>
    </w:p>
    <w:p w14:paraId="672791EF" w14:textId="77777777" w:rsidR="00C42229" w:rsidRPr="001775D9" w:rsidRDefault="00C42229" w:rsidP="00DC2382">
      <w:pPr>
        <w:numPr>
          <w:ilvl w:val="12"/>
          <w:numId w:val="0"/>
        </w:numPr>
        <w:tabs>
          <w:tab w:val="clear" w:pos="567"/>
        </w:tabs>
        <w:spacing w:line="240" w:lineRule="auto"/>
        <w:ind w:right="-2"/>
        <w:rPr>
          <w:szCs w:val="22"/>
        </w:rPr>
      </w:pPr>
    </w:p>
    <w:p w14:paraId="74167C9A" w14:textId="77777777" w:rsidR="00C42229" w:rsidRPr="00D55B59" w:rsidRDefault="00C42229" w:rsidP="00DC2382">
      <w:pPr>
        <w:pStyle w:val="Default"/>
        <w:keepNext/>
        <w:rPr>
          <w:sz w:val="22"/>
          <w:szCs w:val="22"/>
          <w:u w:val="single"/>
          <w:lang w:val="en-GB"/>
          <w:rPrChange w:id="2802" w:author="Author">
            <w:rPr>
              <w:sz w:val="22"/>
              <w:szCs w:val="22"/>
              <w:u w:val="single"/>
            </w:rPr>
          </w:rPrChange>
        </w:rPr>
      </w:pPr>
      <w:r w:rsidRPr="00D55B59">
        <w:rPr>
          <w:sz w:val="22"/>
          <w:szCs w:val="22"/>
          <w:u w:val="single"/>
          <w:lang w:val="en-GB"/>
          <w:rPrChange w:id="2803" w:author="Author">
            <w:rPr>
              <w:sz w:val="22"/>
              <w:szCs w:val="22"/>
              <w:u w:val="single"/>
            </w:rPr>
          </w:rPrChange>
        </w:rPr>
        <w:t>Children</w:t>
      </w:r>
      <w:r w:rsidR="00E2388D" w:rsidRPr="00D55B59">
        <w:rPr>
          <w:sz w:val="22"/>
          <w:szCs w:val="22"/>
          <w:u w:val="single"/>
          <w:lang w:val="en-GB"/>
          <w:rPrChange w:id="2804" w:author="Author">
            <w:rPr>
              <w:sz w:val="22"/>
              <w:szCs w:val="22"/>
              <w:u w:val="single"/>
            </w:rPr>
          </w:rPrChange>
        </w:rPr>
        <w:t>,</w:t>
      </w:r>
      <w:r w:rsidRPr="00D55B59">
        <w:rPr>
          <w:sz w:val="22"/>
          <w:szCs w:val="22"/>
          <w:u w:val="single"/>
          <w:lang w:val="en-GB"/>
          <w:rPrChange w:id="2805" w:author="Author">
            <w:rPr>
              <w:sz w:val="22"/>
              <w:szCs w:val="22"/>
              <w:u w:val="single"/>
            </w:rPr>
          </w:rPrChange>
        </w:rPr>
        <w:t xml:space="preserve"> </w:t>
      </w:r>
      <w:r w:rsidR="00E2388D" w:rsidRPr="00D55B59">
        <w:rPr>
          <w:sz w:val="22"/>
          <w:szCs w:val="22"/>
          <w:u w:val="single"/>
          <w:lang w:val="en-GB"/>
          <w:rPrChange w:id="2806" w:author="Author">
            <w:rPr>
              <w:sz w:val="22"/>
              <w:szCs w:val="22"/>
              <w:u w:val="single"/>
            </w:rPr>
          </w:rPrChange>
        </w:rPr>
        <w:t xml:space="preserve">adolescents and adults </w:t>
      </w:r>
      <w:r w:rsidRPr="00D55B59">
        <w:rPr>
          <w:sz w:val="22"/>
          <w:szCs w:val="22"/>
          <w:u w:val="single"/>
          <w:lang w:val="en-GB"/>
          <w:rPrChange w:id="2807" w:author="Author">
            <w:rPr>
              <w:sz w:val="22"/>
              <w:szCs w:val="22"/>
              <w:u w:val="single"/>
            </w:rPr>
          </w:rPrChange>
        </w:rPr>
        <w:t xml:space="preserve">with polyarticular juvenile idiopathic arthritis </w:t>
      </w:r>
    </w:p>
    <w:p w14:paraId="1DB706AD" w14:textId="77777777" w:rsidR="005D0F44" w:rsidRPr="00D55B59" w:rsidRDefault="005D0F44" w:rsidP="00DC2382">
      <w:pPr>
        <w:pStyle w:val="Default"/>
        <w:keepNext/>
        <w:rPr>
          <w:sz w:val="22"/>
          <w:szCs w:val="22"/>
          <w:lang w:val="en-GB"/>
          <w:rPrChange w:id="2808" w:author="Author">
            <w:rPr>
              <w:sz w:val="22"/>
              <w:szCs w:val="22"/>
            </w:rPr>
          </w:rPrChange>
        </w:rPr>
      </w:pPr>
    </w:p>
    <w:p w14:paraId="1187CF87" w14:textId="77777777" w:rsidR="00E2388D" w:rsidRPr="001775D9" w:rsidRDefault="00E2388D" w:rsidP="00B61D9D">
      <w:pPr>
        <w:keepNext/>
        <w:numPr>
          <w:ilvl w:val="12"/>
          <w:numId w:val="0"/>
        </w:numPr>
        <w:tabs>
          <w:tab w:val="clear" w:pos="567"/>
          <w:tab w:val="left" w:pos="720"/>
        </w:tabs>
        <w:spacing w:line="240" w:lineRule="auto"/>
        <w:rPr>
          <w:i/>
        </w:rPr>
      </w:pPr>
      <w:r w:rsidRPr="001775D9">
        <w:rPr>
          <w:i/>
        </w:rPr>
        <w:t>Children and adolescents from 2 years of age weighing 10 kg to less than 30 kg</w:t>
      </w:r>
    </w:p>
    <w:p w14:paraId="223115C2" w14:textId="77777777" w:rsidR="00E2388D" w:rsidRPr="001775D9" w:rsidRDefault="00E2388D" w:rsidP="00B61D9D">
      <w:pPr>
        <w:keepNext/>
        <w:numPr>
          <w:ilvl w:val="12"/>
          <w:numId w:val="0"/>
        </w:numPr>
        <w:tabs>
          <w:tab w:val="clear" w:pos="567"/>
          <w:tab w:val="left" w:pos="720"/>
        </w:tabs>
        <w:spacing w:line="240" w:lineRule="auto"/>
        <w:rPr>
          <w:u w:val="single"/>
        </w:rPr>
      </w:pPr>
    </w:p>
    <w:p w14:paraId="501C714B" w14:textId="77777777" w:rsidR="00E2388D" w:rsidRPr="001775D9" w:rsidRDefault="00E2388D" w:rsidP="00B61D9D">
      <w:pPr>
        <w:keepNext/>
        <w:numPr>
          <w:ilvl w:val="12"/>
          <w:numId w:val="0"/>
        </w:numPr>
        <w:tabs>
          <w:tab w:val="clear" w:pos="567"/>
          <w:tab w:val="left" w:pos="720"/>
        </w:tabs>
        <w:spacing w:line="240" w:lineRule="auto"/>
        <w:rPr>
          <w:u w:val="single"/>
        </w:rPr>
      </w:pPr>
      <w:r w:rsidRPr="001775D9">
        <w:t xml:space="preserve">The recommended dose of </w:t>
      </w:r>
      <w:r w:rsidR="00127BED" w:rsidRPr="001775D9">
        <w:t>AMGEVITA</w:t>
      </w:r>
      <w:r w:rsidRPr="001775D9">
        <w:t xml:space="preserve"> is 20 mg every other week.</w:t>
      </w:r>
    </w:p>
    <w:p w14:paraId="6E331E77" w14:textId="77777777" w:rsidR="00E2388D" w:rsidRPr="001775D9" w:rsidRDefault="00E2388D" w:rsidP="00B61D9D">
      <w:pPr>
        <w:keepNext/>
        <w:numPr>
          <w:ilvl w:val="12"/>
          <w:numId w:val="0"/>
        </w:numPr>
        <w:tabs>
          <w:tab w:val="clear" w:pos="567"/>
          <w:tab w:val="left" w:pos="720"/>
        </w:tabs>
        <w:spacing w:line="240" w:lineRule="auto"/>
        <w:rPr>
          <w:u w:val="single"/>
        </w:rPr>
      </w:pPr>
    </w:p>
    <w:p w14:paraId="3A249B5D" w14:textId="77777777" w:rsidR="00E2388D" w:rsidRPr="001775D9" w:rsidRDefault="00E2388D" w:rsidP="00B61D9D">
      <w:pPr>
        <w:keepNext/>
        <w:numPr>
          <w:ilvl w:val="12"/>
          <w:numId w:val="0"/>
        </w:numPr>
        <w:tabs>
          <w:tab w:val="clear" w:pos="567"/>
          <w:tab w:val="left" w:pos="720"/>
        </w:tabs>
        <w:spacing w:line="240" w:lineRule="auto"/>
        <w:rPr>
          <w:i/>
        </w:rPr>
      </w:pPr>
      <w:r w:rsidRPr="001775D9">
        <w:rPr>
          <w:i/>
        </w:rPr>
        <w:t>Children, adolescents and adults from 2 years of age weighing 30 kg or more</w:t>
      </w:r>
    </w:p>
    <w:p w14:paraId="29691A6D" w14:textId="77777777" w:rsidR="00E2388D" w:rsidRPr="001775D9" w:rsidRDefault="00E2388D" w:rsidP="00B61D9D">
      <w:pPr>
        <w:keepNext/>
        <w:numPr>
          <w:ilvl w:val="12"/>
          <w:numId w:val="0"/>
        </w:numPr>
        <w:tabs>
          <w:tab w:val="clear" w:pos="567"/>
          <w:tab w:val="left" w:pos="720"/>
        </w:tabs>
        <w:spacing w:line="240" w:lineRule="auto"/>
      </w:pPr>
    </w:p>
    <w:p w14:paraId="402780B1" w14:textId="77777777" w:rsidR="00E2388D" w:rsidRPr="001775D9" w:rsidRDefault="00E2388D" w:rsidP="00B61D9D">
      <w:pPr>
        <w:keepNext/>
        <w:numPr>
          <w:ilvl w:val="12"/>
          <w:numId w:val="0"/>
        </w:numPr>
        <w:tabs>
          <w:tab w:val="clear" w:pos="567"/>
          <w:tab w:val="left" w:pos="720"/>
        </w:tabs>
        <w:spacing w:line="240" w:lineRule="auto"/>
      </w:pPr>
      <w:r w:rsidRPr="001775D9">
        <w:t xml:space="preserve">The recommended dose of </w:t>
      </w:r>
      <w:r w:rsidR="00127BED" w:rsidRPr="001775D9">
        <w:t>AMGEVITA</w:t>
      </w:r>
      <w:r w:rsidRPr="001775D9">
        <w:t xml:space="preserve"> is 40 mg every other week.</w:t>
      </w:r>
    </w:p>
    <w:p w14:paraId="4680EFE0" w14:textId="77777777" w:rsidR="00C42229" w:rsidRPr="00D55B59" w:rsidRDefault="00C42229" w:rsidP="00DC2382">
      <w:pPr>
        <w:pStyle w:val="Default"/>
        <w:rPr>
          <w:sz w:val="22"/>
          <w:szCs w:val="22"/>
          <w:lang w:val="en-GB"/>
          <w:rPrChange w:id="2809" w:author="Author">
            <w:rPr>
              <w:sz w:val="22"/>
              <w:szCs w:val="22"/>
            </w:rPr>
          </w:rPrChange>
        </w:rPr>
      </w:pPr>
    </w:p>
    <w:p w14:paraId="5B7F3B97" w14:textId="77777777" w:rsidR="00420CD5" w:rsidRPr="00D55B59" w:rsidRDefault="00420CD5" w:rsidP="00DC2382">
      <w:pPr>
        <w:pStyle w:val="Default"/>
        <w:keepNext/>
        <w:rPr>
          <w:sz w:val="22"/>
          <w:szCs w:val="22"/>
          <w:u w:val="single"/>
          <w:lang w:val="en-GB"/>
          <w:rPrChange w:id="2810" w:author="Author">
            <w:rPr>
              <w:sz w:val="22"/>
              <w:szCs w:val="22"/>
              <w:u w:val="single"/>
            </w:rPr>
          </w:rPrChange>
        </w:rPr>
      </w:pPr>
      <w:r w:rsidRPr="00D55B59">
        <w:rPr>
          <w:sz w:val="22"/>
          <w:szCs w:val="22"/>
          <w:u w:val="single"/>
          <w:lang w:val="en-GB"/>
          <w:rPrChange w:id="2811" w:author="Author">
            <w:rPr>
              <w:sz w:val="22"/>
              <w:szCs w:val="22"/>
              <w:u w:val="single"/>
            </w:rPr>
          </w:rPrChange>
        </w:rPr>
        <w:t>Children</w:t>
      </w:r>
      <w:r w:rsidR="00E2388D" w:rsidRPr="00D55B59">
        <w:rPr>
          <w:sz w:val="22"/>
          <w:szCs w:val="22"/>
          <w:u w:val="single"/>
          <w:lang w:val="en-GB"/>
          <w:rPrChange w:id="2812" w:author="Author">
            <w:rPr>
              <w:sz w:val="22"/>
              <w:szCs w:val="22"/>
              <w:u w:val="single"/>
            </w:rPr>
          </w:rPrChange>
        </w:rPr>
        <w:t>, adolescents and adults</w:t>
      </w:r>
      <w:r w:rsidRPr="00D55B59">
        <w:rPr>
          <w:sz w:val="22"/>
          <w:szCs w:val="22"/>
          <w:u w:val="single"/>
          <w:lang w:val="en-GB"/>
          <w:rPrChange w:id="2813" w:author="Author">
            <w:rPr>
              <w:sz w:val="22"/>
              <w:szCs w:val="22"/>
              <w:u w:val="single"/>
            </w:rPr>
          </w:rPrChange>
        </w:rPr>
        <w:t xml:space="preserve"> with enthesitis-related arthritis</w:t>
      </w:r>
    </w:p>
    <w:p w14:paraId="3B1DFA2E" w14:textId="77777777" w:rsidR="00420CD5" w:rsidRPr="00D55B59" w:rsidRDefault="00420CD5" w:rsidP="00DC2382">
      <w:pPr>
        <w:pStyle w:val="Default"/>
        <w:keepNext/>
        <w:rPr>
          <w:sz w:val="22"/>
          <w:szCs w:val="22"/>
          <w:u w:val="single"/>
          <w:lang w:val="en-GB"/>
          <w:rPrChange w:id="2814" w:author="Author">
            <w:rPr>
              <w:sz w:val="22"/>
              <w:szCs w:val="22"/>
              <w:u w:val="single"/>
            </w:rPr>
          </w:rPrChange>
        </w:rPr>
      </w:pPr>
    </w:p>
    <w:p w14:paraId="081386E3" w14:textId="77777777" w:rsidR="00E2388D" w:rsidRPr="001775D9" w:rsidRDefault="00E2388D" w:rsidP="00B61D9D">
      <w:pPr>
        <w:keepNext/>
        <w:numPr>
          <w:ilvl w:val="12"/>
          <w:numId w:val="0"/>
        </w:numPr>
        <w:tabs>
          <w:tab w:val="clear" w:pos="567"/>
          <w:tab w:val="left" w:pos="720"/>
        </w:tabs>
        <w:spacing w:line="240" w:lineRule="auto"/>
        <w:rPr>
          <w:i/>
        </w:rPr>
      </w:pPr>
      <w:r w:rsidRPr="001775D9">
        <w:rPr>
          <w:i/>
        </w:rPr>
        <w:t>Children and adolescents from 6 years of age weighing 15 kg to less than 30 kg</w:t>
      </w:r>
    </w:p>
    <w:p w14:paraId="702A7393" w14:textId="77777777" w:rsidR="00E2388D" w:rsidRPr="001775D9" w:rsidRDefault="00E2388D" w:rsidP="00B61D9D">
      <w:pPr>
        <w:keepNext/>
        <w:numPr>
          <w:ilvl w:val="12"/>
          <w:numId w:val="0"/>
        </w:numPr>
        <w:tabs>
          <w:tab w:val="clear" w:pos="567"/>
          <w:tab w:val="left" w:pos="720"/>
        </w:tabs>
        <w:spacing w:line="240" w:lineRule="auto"/>
        <w:rPr>
          <w:u w:val="single"/>
        </w:rPr>
      </w:pPr>
    </w:p>
    <w:p w14:paraId="27A0C8B0" w14:textId="77777777" w:rsidR="00E2388D" w:rsidRPr="001775D9" w:rsidRDefault="00E2388D" w:rsidP="00B61D9D">
      <w:pPr>
        <w:keepNext/>
        <w:numPr>
          <w:ilvl w:val="12"/>
          <w:numId w:val="0"/>
        </w:numPr>
        <w:tabs>
          <w:tab w:val="clear" w:pos="567"/>
          <w:tab w:val="left" w:pos="720"/>
        </w:tabs>
        <w:spacing w:line="240" w:lineRule="auto"/>
        <w:rPr>
          <w:u w:val="single"/>
        </w:rPr>
      </w:pPr>
      <w:r w:rsidRPr="001775D9">
        <w:t xml:space="preserve">The recommended dose of </w:t>
      </w:r>
      <w:r w:rsidR="00127BED" w:rsidRPr="001775D9">
        <w:t>AMGEVITA</w:t>
      </w:r>
      <w:r w:rsidRPr="001775D9">
        <w:t xml:space="preserve"> is 20 mg every other week.</w:t>
      </w:r>
    </w:p>
    <w:p w14:paraId="5E3FCC32" w14:textId="77777777" w:rsidR="00E2388D" w:rsidRPr="001775D9" w:rsidRDefault="00E2388D" w:rsidP="00B61D9D">
      <w:pPr>
        <w:keepNext/>
        <w:numPr>
          <w:ilvl w:val="12"/>
          <w:numId w:val="0"/>
        </w:numPr>
        <w:tabs>
          <w:tab w:val="clear" w:pos="567"/>
          <w:tab w:val="left" w:pos="720"/>
        </w:tabs>
        <w:spacing w:line="240" w:lineRule="auto"/>
        <w:rPr>
          <w:u w:val="single"/>
        </w:rPr>
      </w:pPr>
    </w:p>
    <w:p w14:paraId="50898636" w14:textId="77777777" w:rsidR="00E2388D" w:rsidRPr="001775D9" w:rsidRDefault="00E2388D" w:rsidP="00B61D9D">
      <w:pPr>
        <w:keepNext/>
        <w:numPr>
          <w:ilvl w:val="12"/>
          <w:numId w:val="0"/>
        </w:numPr>
        <w:tabs>
          <w:tab w:val="clear" w:pos="567"/>
          <w:tab w:val="left" w:pos="720"/>
        </w:tabs>
        <w:spacing w:line="240" w:lineRule="auto"/>
        <w:rPr>
          <w:i/>
        </w:rPr>
      </w:pPr>
      <w:r w:rsidRPr="001775D9">
        <w:rPr>
          <w:i/>
        </w:rPr>
        <w:t>Children, adolescents and adults from 6 years of age weighing 30 kg or more</w:t>
      </w:r>
    </w:p>
    <w:p w14:paraId="46EE9C9C" w14:textId="77777777" w:rsidR="00E2388D" w:rsidRPr="001775D9" w:rsidRDefault="00E2388D" w:rsidP="00B61D9D">
      <w:pPr>
        <w:keepNext/>
        <w:numPr>
          <w:ilvl w:val="12"/>
          <w:numId w:val="0"/>
        </w:numPr>
        <w:tabs>
          <w:tab w:val="clear" w:pos="567"/>
          <w:tab w:val="left" w:pos="720"/>
        </w:tabs>
        <w:spacing w:line="240" w:lineRule="auto"/>
      </w:pPr>
    </w:p>
    <w:p w14:paraId="4AFAE217" w14:textId="77777777" w:rsidR="00E2388D" w:rsidRPr="001775D9" w:rsidRDefault="00E2388D" w:rsidP="00B61D9D">
      <w:pPr>
        <w:keepNext/>
        <w:numPr>
          <w:ilvl w:val="12"/>
          <w:numId w:val="0"/>
        </w:numPr>
        <w:tabs>
          <w:tab w:val="clear" w:pos="567"/>
          <w:tab w:val="left" w:pos="720"/>
        </w:tabs>
        <w:spacing w:line="240" w:lineRule="auto"/>
      </w:pPr>
      <w:r w:rsidRPr="001775D9">
        <w:t xml:space="preserve">The recommended dose of </w:t>
      </w:r>
      <w:r w:rsidR="00127BED" w:rsidRPr="001775D9">
        <w:t>AMGEVITA</w:t>
      </w:r>
      <w:r w:rsidRPr="001775D9">
        <w:t xml:space="preserve"> is 40 mg every other week.</w:t>
      </w:r>
    </w:p>
    <w:p w14:paraId="15C068E5" w14:textId="77777777" w:rsidR="00420CD5" w:rsidRPr="001775D9" w:rsidRDefault="00420CD5" w:rsidP="00DC2382">
      <w:pPr>
        <w:tabs>
          <w:tab w:val="clear" w:pos="567"/>
        </w:tabs>
        <w:autoSpaceDE w:val="0"/>
        <w:autoSpaceDN w:val="0"/>
        <w:adjustRightInd w:val="0"/>
        <w:spacing w:line="240" w:lineRule="auto"/>
        <w:rPr>
          <w:szCs w:val="22"/>
        </w:rPr>
      </w:pPr>
    </w:p>
    <w:p w14:paraId="1184D92F" w14:textId="77777777" w:rsidR="00C42229" w:rsidRPr="00D55B59" w:rsidRDefault="00C42229" w:rsidP="00DC2382">
      <w:pPr>
        <w:pStyle w:val="Default"/>
        <w:rPr>
          <w:sz w:val="22"/>
          <w:szCs w:val="22"/>
          <w:u w:val="single"/>
          <w:lang w:val="en-GB"/>
          <w:rPrChange w:id="2815" w:author="Author">
            <w:rPr>
              <w:sz w:val="22"/>
              <w:szCs w:val="22"/>
              <w:u w:val="single"/>
            </w:rPr>
          </w:rPrChange>
        </w:rPr>
      </w:pPr>
      <w:r w:rsidRPr="00D55B59">
        <w:rPr>
          <w:sz w:val="22"/>
          <w:szCs w:val="22"/>
          <w:u w:val="single"/>
          <w:lang w:val="en-GB"/>
          <w:rPrChange w:id="2816" w:author="Author">
            <w:rPr>
              <w:sz w:val="22"/>
              <w:szCs w:val="22"/>
              <w:u w:val="single"/>
            </w:rPr>
          </w:rPrChange>
        </w:rPr>
        <w:t xml:space="preserve">Adults with </w:t>
      </w:r>
      <w:r w:rsidR="004304BA" w:rsidRPr="00D55B59">
        <w:rPr>
          <w:sz w:val="22"/>
          <w:szCs w:val="22"/>
          <w:u w:val="single"/>
          <w:lang w:val="en-GB"/>
          <w:rPrChange w:id="2817" w:author="Author">
            <w:rPr>
              <w:sz w:val="22"/>
              <w:szCs w:val="22"/>
              <w:u w:val="single"/>
            </w:rPr>
          </w:rPrChange>
        </w:rPr>
        <w:t xml:space="preserve">plaque </w:t>
      </w:r>
      <w:r w:rsidR="0080593B" w:rsidRPr="00D55B59">
        <w:rPr>
          <w:rFonts w:eastAsia="PMingLiU"/>
          <w:sz w:val="22"/>
          <w:szCs w:val="22"/>
          <w:u w:val="single"/>
          <w:lang w:val="en-GB" w:eastAsia="zh-TW"/>
          <w:rPrChange w:id="2818" w:author="Author">
            <w:rPr>
              <w:rFonts w:eastAsia="PMingLiU"/>
              <w:sz w:val="22"/>
              <w:szCs w:val="22"/>
              <w:u w:val="single"/>
              <w:lang w:eastAsia="zh-TW"/>
            </w:rPr>
          </w:rPrChange>
        </w:rPr>
        <w:t>p</w:t>
      </w:r>
      <w:r w:rsidRPr="00D55B59">
        <w:rPr>
          <w:sz w:val="22"/>
          <w:szCs w:val="22"/>
          <w:u w:val="single"/>
          <w:lang w:val="en-GB"/>
          <w:rPrChange w:id="2819" w:author="Author">
            <w:rPr>
              <w:sz w:val="22"/>
              <w:szCs w:val="22"/>
              <w:u w:val="single"/>
            </w:rPr>
          </w:rPrChange>
        </w:rPr>
        <w:t xml:space="preserve">soriasis </w:t>
      </w:r>
    </w:p>
    <w:p w14:paraId="308C9832" w14:textId="77777777" w:rsidR="00C42229" w:rsidRPr="00D55B59" w:rsidRDefault="00C42229" w:rsidP="00DC2382">
      <w:pPr>
        <w:pStyle w:val="Default"/>
        <w:rPr>
          <w:sz w:val="22"/>
          <w:szCs w:val="22"/>
          <w:lang w:val="en-GB"/>
          <w:rPrChange w:id="2820" w:author="Author">
            <w:rPr>
              <w:sz w:val="22"/>
              <w:szCs w:val="22"/>
            </w:rPr>
          </w:rPrChange>
        </w:rPr>
      </w:pPr>
    </w:p>
    <w:p w14:paraId="1CB791E1" w14:textId="456BA8B6" w:rsidR="007B3FB0" w:rsidRPr="001775D9" w:rsidRDefault="00C42229" w:rsidP="00DC2382">
      <w:pPr>
        <w:tabs>
          <w:tab w:val="clear" w:pos="567"/>
        </w:tabs>
        <w:autoSpaceDE w:val="0"/>
        <w:autoSpaceDN w:val="0"/>
        <w:adjustRightInd w:val="0"/>
        <w:spacing w:line="240" w:lineRule="auto"/>
        <w:rPr>
          <w:szCs w:val="22"/>
        </w:rPr>
      </w:pPr>
      <w:r w:rsidRPr="001775D9">
        <w:rPr>
          <w:szCs w:val="22"/>
        </w:rPr>
        <w:t xml:space="preserve">The usual dose for adults with </w:t>
      </w:r>
      <w:r w:rsidR="004304BA" w:rsidRPr="001775D9">
        <w:rPr>
          <w:szCs w:val="22"/>
        </w:rPr>
        <w:t xml:space="preserve">plaque </w:t>
      </w:r>
      <w:r w:rsidRPr="001775D9">
        <w:rPr>
          <w:szCs w:val="22"/>
        </w:rPr>
        <w:t>psoriasis is an initial dose of 80</w:t>
      </w:r>
      <w:r w:rsidR="00963FE9" w:rsidRPr="001775D9">
        <w:rPr>
          <w:szCs w:val="22"/>
        </w:rPr>
        <w:t> </w:t>
      </w:r>
      <w:r w:rsidRPr="001775D9">
        <w:rPr>
          <w:szCs w:val="22"/>
        </w:rPr>
        <w:t>mg</w:t>
      </w:r>
      <w:r w:rsidR="009B55EC" w:rsidRPr="001775D9">
        <w:rPr>
          <w:szCs w:val="22"/>
        </w:rPr>
        <w:t xml:space="preserve"> </w:t>
      </w:r>
      <w:r w:rsidR="009B55EC" w:rsidRPr="00D55B59">
        <w:rPr>
          <w:szCs w:val="22"/>
          <w:rPrChange w:id="2821" w:author="Author">
            <w:rPr>
              <w:szCs w:val="22"/>
              <w:lang w:val="en-US"/>
            </w:rPr>
          </w:rPrChange>
        </w:rPr>
        <w:t>(as two 40 mg injections in one day)</w:t>
      </w:r>
      <w:r w:rsidRPr="001775D9">
        <w:rPr>
          <w:szCs w:val="22"/>
        </w:rPr>
        <w:t>, followed by 40</w:t>
      </w:r>
      <w:r w:rsidR="00963FE9" w:rsidRPr="001775D9">
        <w:rPr>
          <w:szCs w:val="22"/>
        </w:rPr>
        <w:t> </w:t>
      </w:r>
      <w:r w:rsidRPr="001775D9">
        <w:rPr>
          <w:szCs w:val="22"/>
        </w:rPr>
        <w:t xml:space="preserve">mg given every other week starting one week after the initial dose. You should continue to inject </w:t>
      </w:r>
      <w:r w:rsidR="005D0F44" w:rsidRPr="001775D9">
        <w:rPr>
          <w:szCs w:val="22"/>
        </w:rPr>
        <w:t>AMGEVITA</w:t>
      </w:r>
      <w:r w:rsidRPr="001775D9">
        <w:rPr>
          <w:szCs w:val="22"/>
        </w:rPr>
        <w:t xml:space="preserve"> for as long as your doctor has told you.</w:t>
      </w:r>
      <w:r w:rsidR="00F764EF" w:rsidRPr="001775D9">
        <w:rPr>
          <w:szCs w:val="22"/>
        </w:rPr>
        <w:t xml:space="preserve"> </w:t>
      </w:r>
      <w:r w:rsidR="00F764EF" w:rsidRPr="001775D9">
        <w:rPr>
          <w:szCs w:val="22"/>
          <w:lang w:eastAsia="en-GB"/>
        </w:rPr>
        <w:t xml:space="preserve">Depending on your response, your doctor may increase the </w:t>
      </w:r>
      <w:r w:rsidR="009B55EC" w:rsidRPr="001775D9">
        <w:rPr>
          <w:szCs w:val="22"/>
          <w:lang w:eastAsia="en-GB"/>
        </w:rPr>
        <w:t>dose</w:t>
      </w:r>
      <w:r w:rsidR="00F764EF" w:rsidRPr="001775D9">
        <w:rPr>
          <w:szCs w:val="22"/>
          <w:lang w:eastAsia="en-GB"/>
        </w:rPr>
        <w:t xml:space="preserve"> to 40 mg every week</w:t>
      </w:r>
      <w:r w:rsidR="009B55EC" w:rsidRPr="001775D9">
        <w:rPr>
          <w:szCs w:val="22"/>
          <w:lang w:eastAsia="en-GB"/>
        </w:rPr>
        <w:t xml:space="preserve"> or 80</w:t>
      </w:r>
      <w:r w:rsidR="00D5093F" w:rsidRPr="001775D9">
        <w:rPr>
          <w:szCs w:val="22"/>
          <w:lang w:eastAsia="en-GB"/>
        </w:rPr>
        <w:t> </w:t>
      </w:r>
      <w:r w:rsidR="000D1D2B" w:rsidRPr="001775D9">
        <w:rPr>
          <w:szCs w:val="22"/>
          <w:lang w:eastAsia="en-GB"/>
        </w:rPr>
        <w:t>mg</w:t>
      </w:r>
      <w:r w:rsidR="00D04259" w:rsidRPr="001775D9">
        <w:rPr>
          <w:szCs w:val="22"/>
          <w:lang w:eastAsia="en-GB"/>
        </w:rPr>
        <w:t xml:space="preserve"> </w:t>
      </w:r>
      <w:r w:rsidR="009B55EC" w:rsidRPr="001775D9">
        <w:rPr>
          <w:szCs w:val="22"/>
          <w:lang w:eastAsia="en-GB"/>
        </w:rPr>
        <w:t>every other week</w:t>
      </w:r>
      <w:r w:rsidR="00F764EF" w:rsidRPr="001775D9">
        <w:rPr>
          <w:szCs w:val="22"/>
          <w:lang w:eastAsia="en-GB"/>
        </w:rPr>
        <w:t>.</w:t>
      </w:r>
      <w:r w:rsidRPr="001775D9">
        <w:rPr>
          <w:szCs w:val="22"/>
        </w:rPr>
        <w:t xml:space="preserve"> </w:t>
      </w:r>
    </w:p>
    <w:p w14:paraId="496424CD" w14:textId="77777777" w:rsidR="00FD75A3" w:rsidRPr="00D55B59" w:rsidRDefault="00FD75A3" w:rsidP="00DC2382">
      <w:pPr>
        <w:pStyle w:val="Default"/>
        <w:rPr>
          <w:sz w:val="22"/>
          <w:szCs w:val="22"/>
          <w:lang w:val="en-GB"/>
          <w:rPrChange w:id="2822" w:author="Author">
            <w:rPr>
              <w:sz w:val="22"/>
              <w:szCs w:val="22"/>
            </w:rPr>
          </w:rPrChange>
        </w:rPr>
      </w:pPr>
    </w:p>
    <w:p w14:paraId="21E4B1ED" w14:textId="77777777" w:rsidR="007D27D6" w:rsidRPr="00D55B59" w:rsidRDefault="007D27D6" w:rsidP="008415E1">
      <w:pPr>
        <w:pStyle w:val="Default"/>
        <w:keepNext/>
        <w:keepLines/>
        <w:rPr>
          <w:sz w:val="22"/>
          <w:szCs w:val="22"/>
          <w:u w:val="single"/>
          <w:lang w:val="en-GB"/>
          <w:rPrChange w:id="2823" w:author="Author">
            <w:rPr>
              <w:sz w:val="22"/>
              <w:szCs w:val="22"/>
              <w:u w:val="single"/>
            </w:rPr>
          </w:rPrChange>
        </w:rPr>
      </w:pPr>
      <w:r w:rsidRPr="00D55B59">
        <w:rPr>
          <w:sz w:val="22"/>
          <w:szCs w:val="22"/>
          <w:u w:val="single"/>
          <w:lang w:val="en-GB"/>
          <w:rPrChange w:id="2824" w:author="Author">
            <w:rPr>
              <w:sz w:val="22"/>
              <w:szCs w:val="22"/>
              <w:u w:val="single"/>
            </w:rPr>
          </w:rPrChange>
        </w:rPr>
        <w:t xml:space="preserve">Children </w:t>
      </w:r>
      <w:r w:rsidR="00E2388D" w:rsidRPr="00D55B59">
        <w:rPr>
          <w:sz w:val="22"/>
          <w:szCs w:val="22"/>
          <w:u w:val="single"/>
          <w:lang w:val="en-GB"/>
          <w:rPrChange w:id="2825" w:author="Author">
            <w:rPr>
              <w:sz w:val="22"/>
              <w:szCs w:val="22"/>
              <w:u w:val="single"/>
            </w:rPr>
          </w:rPrChange>
        </w:rPr>
        <w:t>and</w:t>
      </w:r>
      <w:r w:rsidRPr="00D55B59">
        <w:rPr>
          <w:sz w:val="22"/>
          <w:szCs w:val="22"/>
          <w:u w:val="single"/>
          <w:lang w:val="en-GB"/>
          <w:rPrChange w:id="2826" w:author="Author">
            <w:rPr>
              <w:sz w:val="22"/>
              <w:szCs w:val="22"/>
              <w:u w:val="single"/>
            </w:rPr>
          </w:rPrChange>
        </w:rPr>
        <w:t xml:space="preserve"> </w:t>
      </w:r>
      <w:r w:rsidR="0080593B" w:rsidRPr="00D55B59">
        <w:rPr>
          <w:rFonts w:eastAsia="PMingLiU"/>
          <w:sz w:val="22"/>
          <w:szCs w:val="22"/>
          <w:u w:val="single"/>
          <w:lang w:val="en-GB" w:eastAsia="zh-TW"/>
          <w:rPrChange w:id="2827" w:author="Author">
            <w:rPr>
              <w:rFonts w:eastAsia="PMingLiU"/>
              <w:sz w:val="22"/>
              <w:szCs w:val="22"/>
              <w:u w:val="single"/>
              <w:lang w:eastAsia="zh-TW"/>
            </w:rPr>
          </w:rPrChange>
        </w:rPr>
        <w:t>a</w:t>
      </w:r>
      <w:r w:rsidRPr="00D55B59">
        <w:rPr>
          <w:sz w:val="22"/>
          <w:szCs w:val="22"/>
          <w:u w:val="single"/>
          <w:lang w:val="en-GB"/>
          <w:rPrChange w:id="2828" w:author="Author">
            <w:rPr>
              <w:sz w:val="22"/>
              <w:szCs w:val="22"/>
              <w:u w:val="single"/>
            </w:rPr>
          </w:rPrChange>
        </w:rPr>
        <w:t xml:space="preserve">dolescents with </w:t>
      </w:r>
      <w:r w:rsidR="0080593B" w:rsidRPr="00D55B59">
        <w:rPr>
          <w:rFonts w:eastAsia="PMingLiU"/>
          <w:sz w:val="22"/>
          <w:szCs w:val="22"/>
          <w:u w:val="single"/>
          <w:lang w:val="en-GB" w:eastAsia="zh-TW"/>
          <w:rPrChange w:id="2829" w:author="Author">
            <w:rPr>
              <w:rFonts w:eastAsia="PMingLiU"/>
              <w:sz w:val="22"/>
              <w:szCs w:val="22"/>
              <w:u w:val="single"/>
              <w:lang w:eastAsia="zh-TW"/>
            </w:rPr>
          </w:rPrChange>
        </w:rPr>
        <w:t>p</w:t>
      </w:r>
      <w:r w:rsidRPr="00D55B59">
        <w:rPr>
          <w:sz w:val="22"/>
          <w:szCs w:val="22"/>
          <w:u w:val="single"/>
          <w:lang w:val="en-GB"/>
          <w:rPrChange w:id="2830" w:author="Author">
            <w:rPr>
              <w:sz w:val="22"/>
              <w:szCs w:val="22"/>
              <w:u w:val="single"/>
            </w:rPr>
          </w:rPrChange>
        </w:rPr>
        <w:t xml:space="preserve">laque </w:t>
      </w:r>
      <w:r w:rsidR="0080593B" w:rsidRPr="00D55B59">
        <w:rPr>
          <w:rFonts w:eastAsia="PMingLiU"/>
          <w:sz w:val="22"/>
          <w:szCs w:val="22"/>
          <w:u w:val="single"/>
          <w:lang w:val="en-GB" w:eastAsia="zh-TW"/>
          <w:rPrChange w:id="2831" w:author="Author">
            <w:rPr>
              <w:rFonts w:eastAsia="PMingLiU"/>
              <w:sz w:val="22"/>
              <w:szCs w:val="22"/>
              <w:u w:val="single"/>
              <w:lang w:eastAsia="zh-TW"/>
            </w:rPr>
          </w:rPrChange>
        </w:rPr>
        <w:t>p</w:t>
      </w:r>
      <w:r w:rsidRPr="00D55B59">
        <w:rPr>
          <w:sz w:val="22"/>
          <w:szCs w:val="22"/>
          <w:u w:val="single"/>
          <w:lang w:val="en-GB"/>
          <w:rPrChange w:id="2832" w:author="Author">
            <w:rPr>
              <w:sz w:val="22"/>
              <w:szCs w:val="22"/>
              <w:u w:val="single"/>
            </w:rPr>
          </w:rPrChange>
        </w:rPr>
        <w:t xml:space="preserve">soriasis </w:t>
      </w:r>
    </w:p>
    <w:p w14:paraId="5D8AA8B0" w14:textId="77777777" w:rsidR="007D27D6" w:rsidRPr="00D55B59" w:rsidRDefault="007D27D6" w:rsidP="008415E1">
      <w:pPr>
        <w:pStyle w:val="Default"/>
        <w:keepNext/>
        <w:keepLines/>
        <w:rPr>
          <w:sz w:val="22"/>
          <w:szCs w:val="22"/>
          <w:u w:val="single"/>
          <w:lang w:val="en-GB"/>
          <w:rPrChange w:id="2833" w:author="Author">
            <w:rPr>
              <w:sz w:val="22"/>
              <w:szCs w:val="22"/>
              <w:u w:val="single"/>
            </w:rPr>
          </w:rPrChange>
        </w:rPr>
      </w:pPr>
    </w:p>
    <w:p w14:paraId="2B764EBE" w14:textId="77777777" w:rsidR="00E2388D" w:rsidRPr="001775D9" w:rsidRDefault="00E2388D" w:rsidP="00B61D9D">
      <w:pPr>
        <w:numPr>
          <w:ilvl w:val="12"/>
          <w:numId w:val="0"/>
        </w:numPr>
        <w:tabs>
          <w:tab w:val="clear" w:pos="567"/>
          <w:tab w:val="left" w:pos="1590"/>
        </w:tabs>
        <w:spacing w:line="240" w:lineRule="auto"/>
        <w:ind w:right="-2"/>
        <w:rPr>
          <w:i/>
        </w:rPr>
      </w:pPr>
      <w:r w:rsidRPr="001775D9">
        <w:rPr>
          <w:i/>
        </w:rPr>
        <w:t>Children and adolescents from 4 to 17 years of age weighing 15 kg to less than 30 kg</w:t>
      </w:r>
    </w:p>
    <w:p w14:paraId="74B78A97" w14:textId="77777777" w:rsidR="00E2388D" w:rsidRPr="001775D9" w:rsidRDefault="00E2388D" w:rsidP="00B61D9D">
      <w:pPr>
        <w:numPr>
          <w:ilvl w:val="12"/>
          <w:numId w:val="0"/>
        </w:numPr>
        <w:tabs>
          <w:tab w:val="clear" w:pos="567"/>
          <w:tab w:val="left" w:pos="1590"/>
        </w:tabs>
        <w:spacing w:line="240" w:lineRule="auto"/>
        <w:ind w:right="-2"/>
      </w:pPr>
    </w:p>
    <w:p w14:paraId="404CAC34" w14:textId="77777777" w:rsidR="00E2388D" w:rsidRPr="00D55B59" w:rsidRDefault="00E2388D" w:rsidP="00B61D9D">
      <w:pPr>
        <w:numPr>
          <w:ilvl w:val="12"/>
          <w:numId w:val="0"/>
        </w:numPr>
        <w:tabs>
          <w:tab w:val="clear" w:pos="567"/>
          <w:tab w:val="left" w:pos="720"/>
        </w:tabs>
        <w:spacing w:line="240" w:lineRule="auto"/>
        <w:ind w:right="-2"/>
        <w:rPr>
          <w:rPrChange w:id="2834" w:author="Author">
            <w:rPr>
              <w:lang w:val="en-US"/>
            </w:rPr>
          </w:rPrChange>
        </w:rPr>
      </w:pPr>
      <w:r w:rsidRPr="001775D9">
        <w:t xml:space="preserve">The recommended dose of </w:t>
      </w:r>
      <w:r w:rsidR="00127BED" w:rsidRPr="001775D9">
        <w:t>AMGEVITA</w:t>
      </w:r>
      <w:r w:rsidRPr="001775D9">
        <w:t xml:space="preserve"> is an initial dose of 20 mg, followed by 20 mg one week later. Thereafter, the usual dose is 20 mg every other week.</w:t>
      </w:r>
    </w:p>
    <w:p w14:paraId="58772FB7" w14:textId="77777777" w:rsidR="00E2388D" w:rsidRPr="001775D9" w:rsidRDefault="00E2388D" w:rsidP="00B61D9D">
      <w:pPr>
        <w:numPr>
          <w:ilvl w:val="12"/>
          <w:numId w:val="0"/>
        </w:numPr>
        <w:tabs>
          <w:tab w:val="clear" w:pos="567"/>
          <w:tab w:val="left" w:pos="720"/>
        </w:tabs>
        <w:spacing w:line="240" w:lineRule="auto"/>
        <w:ind w:right="-2"/>
      </w:pPr>
    </w:p>
    <w:p w14:paraId="6F6E5DBD" w14:textId="77777777" w:rsidR="00E2388D" w:rsidRPr="001775D9" w:rsidRDefault="00E2388D" w:rsidP="00B61D9D">
      <w:pPr>
        <w:numPr>
          <w:ilvl w:val="12"/>
          <w:numId w:val="0"/>
        </w:numPr>
        <w:tabs>
          <w:tab w:val="clear" w:pos="567"/>
          <w:tab w:val="left" w:pos="720"/>
        </w:tabs>
        <w:spacing w:line="240" w:lineRule="auto"/>
        <w:ind w:right="-2"/>
        <w:rPr>
          <w:i/>
        </w:rPr>
      </w:pPr>
      <w:r w:rsidRPr="001775D9">
        <w:rPr>
          <w:i/>
        </w:rPr>
        <w:t>Children and adolescents from 4 to 17 years of age weighing 30 kg</w:t>
      </w:r>
      <w:r w:rsidRPr="001775D9">
        <w:t xml:space="preserve"> </w:t>
      </w:r>
      <w:r w:rsidRPr="001775D9">
        <w:rPr>
          <w:i/>
        </w:rPr>
        <w:t>or more</w:t>
      </w:r>
    </w:p>
    <w:p w14:paraId="780F08D4" w14:textId="77777777" w:rsidR="00E2388D" w:rsidRPr="001775D9" w:rsidRDefault="00E2388D" w:rsidP="00B61D9D">
      <w:pPr>
        <w:numPr>
          <w:ilvl w:val="12"/>
          <w:numId w:val="0"/>
        </w:numPr>
        <w:tabs>
          <w:tab w:val="clear" w:pos="567"/>
          <w:tab w:val="left" w:pos="720"/>
        </w:tabs>
        <w:spacing w:line="240" w:lineRule="auto"/>
        <w:ind w:right="-2"/>
      </w:pPr>
    </w:p>
    <w:p w14:paraId="73D29FE1" w14:textId="77777777" w:rsidR="00E2388D" w:rsidRPr="00D55B59" w:rsidRDefault="00E2388D" w:rsidP="00B61D9D">
      <w:pPr>
        <w:numPr>
          <w:ilvl w:val="12"/>
          <w:numId w:val="0"/>
        </w:numPr>
        <w:tabs>
          <w:tab w:val="clear" w:pos="567"/>
          <w:tab w:val="left" w:pos="720"/>
        </w:tabs>
        <w:spacing w:line="240" w:lineRule="auto"/>
        <w:ind w:right="-2"/>
        <w:rPr>
          <w:rPrChange w:id="2835" w:author="Author">
            <w:rPr>
              <w:lang w:val="en-US"/>
            </w:rPr>
          </w:rPrChange>
        </w:rPr>
      </w:pPr>
      <w:r w:rsidRPr="001775D9">
        <w:t xml:space="preserve">The recommended dose of </w:t>
      </w:r>
      <w:r w:rsidR="00127BED" w:rsidRPr="001775D9">
        <w:t>AMGEVITA</w:t>
      </w:r>
      <w:r w:rsidRPr="001775D9">
        <w:t xml:space="preserve"> is an initial dose of 40 mg, followed by 40 mg one week later. Thereafter, the usual dose is 40 mg every other week.</w:t>
      </w:r>
    </w:p>
    <w:p w14:paraId="724C661C" w14:textId="77777777" w:rsidR="005D0F44" w:rsidRPr="00D55B59" w:rsidRDefault="005D0F44" w:rsidP="008415E1">
      <w:pPr>
        <w:pStyle w:val="Default"/>
        <w:rPr>
          <w:sz w:val="22"/>
          <w:szCs w:val="22"/>
          <w:lang w:val="en-GB"/>
          <w:rPrChange w:id="2836" w:author="Author">
            <w:rPr>
              <w:sz w:val="22"/>
              <w:szCs w:val="22"/>
            </w:rPr>
          </w:rPrChange>
        </w:rPr>
      </w:pPr>
    </w:p>
    <w:p w14:paraId="77F6253F" w14:textId="77777777" w:rsidR="00AA57BB" w:rsidRPr="00D55B59" w:rsidRDefault="00AA57BB" w:rsidP="008415E1">
      <w:pPr>
        <w:pStyle w:val="Default"/>
        <w:keepNext/>
        <w:rPr>
          <w:sz w:val="22"/>
          <w:szCs w:val="22"/>
          <w:u w:val="single"/>
          <w:lang w:val="en-GB"/>
          <w:rPrChange w:id="2837" w:author="Author">
            <w:rPr>
              <w:sz w:val="22"/>
              <w:szCs w:val="22"/>
              <w:u w:val="single"/>
            </w:rPr>
          </w:rPrChange>
        </w:rPr>
      </w:pPr>
      <w:r w:rsidRPr="00D55B59">
        <w:rPr>
          <w:sz w:val="22"/>
          <w:szCs w:val="22"/>
          <w:u w:val="single"/>
          <w:lang w:val="en-GB"/>
          <w:rPrChange w:id="2838" w:author="Author">
            <w:rPr>
              <w:sz w:val="22"/>
              <w:szCs w:val="22"/>
              <w:u w:val="single"/>
            </w:rPr>
          </w:rPrChange>
        </w:rPr>
        <w:t>Adults with hidradenitis suppurativa</w:t>
      </w:r>
    </w:p>
    <w:p w14:paraId="38FFE370" w14:textId="77777777" w:rsidR="00AA57BB" w:rsidRPr="001775D9" w:rsidRDefault="00AA57BB" w:rsidP="008415E1">
      <w:pPr>
        <w:keepNext/>
        <w:tabs>
          <w:tab w:val="clear" w:pos="567"/>
        </w:tabs>
        <w:autoSpaceDE w:val="0"/>
        <w:autoSpaceDN w:val="0"/>
        <w:adjustRightInd w:val="0"/>
        <w:spacing w:line="240" w:lineRule="auto"/>
        <w:rPr>
          <w:rFonts w:ascii="TimesNewRoman" w:hAnsi="TimesNewRoman" w:cs="TimesNewRoman"/>
          <w:szCs w:val="22"/>
        </w:rPr>
      </w:pPr>
    </w:p>
    <w:p w14:paraId="4BC51BC6" w14:textId="77777777" w:rsidR="00AA57BB" w:rsidRPr="00D55B59" w:rsidRDefault="00AA57BB" w:rsidP="008415E1">
      <w:pPr>
        <w:pStyle w:val="Default"/>
        <w:rPr>
          <w:sz w:val="22"/>
          <w:szCs w:val="22"/>
          <w:lang w:val="en-GB"/>
          <w:rPrChange w:id="2839" w:author="Author">
            <w:rPr>
              <w:sz w:val="22"/>
              <w:szCs w:val="22"/>
            </w:rPr>
          </w:rPrChange>
        </w:rPr>
      </w:pPr>
      <w:r w:rsidRPr="00D55B59">
        <w:rPr>
          <w:sz w:val="22"/>
          <w:szCs w:val="22"/>
          <w:lang w:val="en-GB"/>
          <w:rPrChange w:id="2840" w:author="Author">
            <w:rPr>
              <w:sz w:val="22"/>
              <w:szCs w:val="22"/>
            </w:rPr>
          </w:rPrChange>
        </w:rPr>
        <w:t>The usual dose regimen for hidradenitis suppurativa is an initial dose of 160</w:t>
      </w:r>
      <w:r w:rsidR="00963FE9" w:rsidRPr="00D55B59">
        <w:rPr>
          <w:sz w:val="22"/>
          <w:szCs w:val="22"/>
          <w:lang w:val="en-GB"/>
          <w:rPrChange w:id="2841" w:author="Author">
            <w:rPr>
              <w:sz w:val="22"/>
              <w:szCs w:val="22"/>
            </w:rPr>
          </w:rPrChange>
        </w:rPr>
        <w:t> </w:t>
      </w:r>
      <w:r w:rsidRPr="00D55B59">
        <w:rPr>
          <w:sz w:val="22"/>
          <w:szCs w:val="22"/>
          <w:lang w:val="en-GB"/>
          <w:rPrChange w:id="2842" w:author="Author">
            <w:rPr>
              <w:sz w:val="22"/>
              <w:szCs w:val="22"/>
            </w:rPr>
          </w:rPrChange>
        </w:rPr>
        <w:t xml:space="preserve">mg (as </w:t>
      </w:r>
      <w:r w:rsidR="001E4E2D" w:rsidRPr="00D55B59">
        <w:rPr>
          <w:sz w:val="22"/>
          <w:szCs w:val="22"/>
          <w:lang w:val="en-GB"/>
          <w:rPrChange w:id="2843" w:author="Author">
            <w:rPr>
              <w:sz w:val="22"/>
              <w:szCs w:val="22"/>
            </w:rPr>
          </w:rPrChange>
        </w:rPr>
        <w:t>four 40 mg</w:t>
      </w:r>
      <w:r w:rsidR="00885705" w:rsidRPr="00D55B59">
        <w:rPr>
          <w:sz w:val="22"/>
          <w:szCs w:val="22"/>
          <w:lang w:val="en-GB"/>
          <w:rPrChange w:id="2844" w:author="Author">
            <w:rPr>
              <w:sz w:val="22"/>
              <w:szCs w:val="22"/>
            </w:rPr>
          </w:rPrChange>
        </w:rPr>
        <w:t xml:space="preserve"> </w:t>
      </w:r>
      <w:r w:rsidRPr="00D55B59">
        <w:rPr>
          <w:sz w:val="22"/>
          <w:szCs w:val="22"/>
          <w:lang w:val="en-GB"/>
          <w:rPrChange w:id="2845" w:author="Author">
            <w:rPr>
              <w:sz w:val="22"/>
              <w:szCs w:val="22"/>
            </w:rPr>
          </w:rPrChange>
        </w:rPr>
        <w:t>injections in</w:t>
      </w:r>
      <w:r w:rsidR="00576776" w:rsidRPr="00D55B59">
        <w:rPr>
          <w:sz w:val="22"/>
          <w:szCs w:val="22"/>
          <w:lang w:val="en-GB"/>
          <w:rPrChange w:id="2846" w:author="Author">
            <w:rPr>
              <w:sz w:val="22"/>
              <w:szCs w:val="22"/>
            </w:rPr>
          </w:rPrChange>
        </w:rPr>
        <w:t xml:space="preserve"> </w:t>
      </w:r>
      <w:r w:rsidRPr="00D55B59">
        <w:rPr>
          <w:sz w:val="22"/>
          <w:szCs w:val="22"/>
          <w:lang w:val="en-GB"/>
          <w:rPrChange w:id="2847" w:author="Author">
            <w:rPr>
              <w:sz w:val="22"/>
              <w:szCs w:val="22"/>
            </w:rPr>
          </w:rPrChange>
        </w:rPr>
        <w:t xml:space="preserve">one day or </w:t>
      </w:r>
      <w:r w:rsidR="00885705" w:rsidRPr="00D55B59">
        <w:rPr>
          <w:sz w:val="22"/>
          <w:szCs w:val="22"/>
          <w:lang w:val="en-GB"/>
          <w:rPrChange w:id="2848" w:author="Author">
            <w:rPr>
              <w:sz w:val="22"/>
              <w:szCs w:val="22"/>
            </w:rPr>
          </w:rPrChange>
        </w:rPr>
        <w:t xml:space="preserve">two 40 mg </w:t>
      </w:r>
      <w:r w:rsidRPr="00D55B59">
        <w:rPr>
          <w:sz w:val="22"/>
          <w:szCs w:val="22"/>
          <w:lang w:val="en-GB"/>
          <w:rPrChange w:id="2849" w:author="Author">
            <w:rPr>
              <w:sz w:val="22"/>
              <w:szCs w:val="22"/>
            </w:rPr>
          </w:rPrChange>
        </w:rPr>
        <w:t>injections per day for two consecutive days), followed by an 80</w:t>
      </w:r>
      <w:r w:rsidR="00963FE9" w:rsidRPr="00D55B59">
        <w:rPr>
          <w:sz w:val="22"/>
          <w:szCs w:val="22"/>
          <w:lang w:val="en-GB"/>
          <w:rPrChange w:id="2850" w:author="Author">
            <w:rPr>
              <w:sz w:val="22"/>
              <w:szCs w:val="22"/>
            </w:rPr>
          </w:rPrChange>
        </w:rPr>
        <w:t> </w:t>
      </w:r>
      <w:r w:rsidRPr="00D55B59">
        <w:rPr>
          <w:sz w:val="22"/>
          <w:szCs w:val="22"/>
          <w:lang w:val="en-GB"/>
          <w:rPrChange w:id="2851" w:author="Author">
            <w:rPr>
              <w:sz w:val="22"/>
              <w:szCs w:val="22"/>
            </w:rPr>
          </w:rPrChange>
        </w:rPr>
        <w:t xml:space="preserve">mg dose (as </w:t>
      </w:r>
      <w:r w:rsidR="00885705" w:rsidRPr="00D55B59">
        <w:rPr>
          <w:sz w:val="22"/>
          <w:szCs w:val="22"/>
          <w:lang w:val="en-GB"/>
          <w:rPrChange w:id="2852" w:author="Author">
            <w:rPr>
              <w:sz w:val="22"/>
              <w:szCs w:val="22"/>
            </w:rPr>
          </w:rPrChange>
        </w:rPr>
        <w:t xml:space="preserve">two 40 mg </w:t>
      </w:r>
      <w:r w:rsidRPr="00D55B59">
        <w:rPr>
          <w:sz w:val="22"/>
          <w:szCs w:val="22"/>
          <w:lang w:val="en-GB"/>
          <w:rPrChange w:id="2853" w:author="Author">
            <w:rPr>
              <w:sz w:val="22"/>
              <w:szCs w:val="22"/>
            </w:rPr>
          </w:rPrChange>
        </w:rPr>
        <w:t>injections</w:t>
      </w:r>
      <w:r w:rsidR="00576776" w:rsidRPr="00D55B59">
        <w:rPr>
          <w:sz w:val="22"/>
          <w:szCs w:val="22"/>
          <w:lang w:val="en-GB"/>
          <w:rPrChange w:id="2854" w:author="Author">
            <w:rPr>
              <w:sz w:val="22"/>
              <w:szCs w:val="22"/>
            </w:rPr>
          </w:rPrChange>
        </w:rPr>
        <w:t xml:space="preserve"> </w:t>
      </w:r>
      <w:r w:rsidR="00D04259" w:rsidRPr="00D55B59">
        <w:rPr>
          <w:sz w:val="22"/>
          <w:szCs w:val="22"/>
          <w:lang w:val="en-GB"/>
          <w:rPrChange w:id="2855" w:author="Author">
            <w:rPr>
              <w:sz w:val="22"/>
              <w:szCs w:val="22"/>
            </w:rPr>
          </w:rPrChange>
        </w:rPr>
        <w:t>in one</w:t>
      </w:r>
      <w:r w:rsidRPr="00D55B59">
        <w:rPr>
          <w:sz w:val="22"/>
          <w:szCs w:val="22"/>
          <w:lang w:val="en-GB"/>
          <w:rPrChange w:id="2856" w:author="Author">
            <w:rPr>
              <w:sz w:val="22"/>
              <w:szCs w:val="22"/>
            </w:rPr>
          </w:rPrChange>
        </w:rPr>
        <w:t xml:space="preserve"> day) two weeks later. After two further weeks, continue with a dose of 40</w:t>
      </w:r>
      <w:r w:rsidR="00963FE9" w:rsidRPr="00D55B59">
        <w:rPr>
          <w:sz w:val="22"/>
          <w:szCs w:val="22"/>
          <w:lang w:val="en-GB"/>
          <w:rPrChange w:id="2857" w:author="Author">
            <w:rPr>
              <w:sz w:val="22"/>
              <w:szCs w:val="22"/>
            </w:rPr>
          </w:rPrChange>
        </w:rPr>
        <w:t> </w:t>
      </w:r>
      <w:r w:rsidRPr="00D55B59">
        <w:rPr>
          <w:sz w:val="22"/>
          <w:szCs w:val="22"/>
          <w:lang w:val="en-GB"/>
          <w:rPrChange w:id="2858" w:author="Author">
            <w:rPr>
              <w:sz w:val="22"/>
              <w:szCs w:val="22"/>
            </w:rPr>
          </w:rPrChange>
        </w:rPr>
        <w:t>mg every</w:t>
      </w:r>
      <w:r w:rsidR="00576776" w:rsidRPr="00D55B59">
        <w:rPr>
          <w:sz w:val="22"/>
          <w:szCs w:val="22"/>
          <w:lang w:val="en-GB"/>
          <w:rPrChange w:id="2859" w:author="Author">
            <w:rPr>
              <w:sz w:val="22"/>
              <w:szCs w:val="22"/>
            </w:rPr>
          </w:rPrChange>
        </w:rPr>
        <w:t xml:space="preserve"> </w:t>
      </w:r>
      <w:r w:rsidRPr="00D55B59">
        <w:rPr>
          <w:sz w:val="22"/>
          <w:szCs w:val="22"/>
          <w:lang w:val="en-GB"/>
          <w:rPrChange w:id="2860" w:author="Author">
            <w:rPr>
              <w:sz w:val="22"/>
              <w:szCs w:val="22"/>
            </w:rPr>
          </w:rPrChange>
        </w:rPr>
        <w:t>week</w:t>
      </w:r>
      <w:r w:rsidR="009B55EC" w:rsidRPr="00D55B59">
        <w:rPr>
          <w:sz w:val="22"/>
          <w:szCs w:val="22"/>
          <w:lang w:val="en-GB"/>
          <w:rPrChange w:id="2861" w:author="Author">
            <w:rPr>
              <w:sz w:val="22"/>
              <w:szCs w:val="22"/>
            </w:rPr>
          </w:rPrChange>
        </w:rPr>
        <w:t xml:space="preserve"> or 80</w:t>
      </w:r>
      <w:r w:rsidR="00D5093F" w:rsidRPr="00D55B59">
        <w:rPr>
          <w:szCs w:val="22"/>
          <w:lang w:val="en-GB" w:eastAsia="en-GB"/>
          <w:rPrChange w:id="2862" w:author="Author">
            <w:rPr>
              <w:szCs w:val="22"/>
              <w:lang w:eastAsia="en-GB"/>
            </w:rPr>
          </w:rPrChange>
        </w:rPr>
        <w:t> </w:t>
      </w:r>
      <w:r w:rsidR="000D1D2B" w:rsidRPr="00D55B59">
        <w:rPr>
          <w:sz w:val="22"/>
          <w:szCs w:val="22"/>
          <w:lang w:val="en-GB"/>
          <w:rPrChange w:id="2863" w:author="Author">
            <w:rPr>
              <w:sz w:val="22"/>
              <w:szCs w:val="22"/>
            </w:rPr>
          </w:rPrChange>
        </w:rPr>
        <w:t>mg</w:t>
      </w:r>
      <w:r w:rsidR="00D04259" w:rsidRPr="00D55B59">
        <w:rPr>
          <w:sz w:val="22"/>
          <w:szCs w:val="22"/>
          <w:lang w:val="en-GB"/>
          <w:rPrChange w:id="2864" w:author="Author">
            <w:rPr>
              <w:sz w:val="22"/>
              <w:szCs w:val="22"/>
            </w:rPr>
          </w:rPrChange>
        </w:rPr>
        <w:t xml:space="preserve"> </w:t>
      </w:r>
      <w:r w:rsidR="009B55EC" w:rsidRPr="00D55B59">
        <w:rPr>
          <w:sz w:val="22"/>
          <w:szCs w:val="22"/>
          <w:lang w:val="en-GB"/>
          <w:rPrChange w:id="2865" w:author="Author">
            <w:rPr>
              <w:sz w:val="22"/>
              <w:szCs w:val="22"/>
            </w:rPr>
          </w:rPrChange>
        </w:rPr>
        <w:t>every other week, as prescribed by your doctor</w:t>
      </w:r>
      <w:r w:rsidRPr="00D55B59">
        <w:rPr>
          <w:sz w:val="22"/>
          <w:szCs w:val="22"/>
          <w:lang w:val="en-GB"/>
          <w:rPrChange w:id="2866" w:author="Author">
            <w:rPr>
              <w:sz w:val="22"/>
              <w:szCs w:val="22"/>
            </w:rPr>
          </w:rPrChange>
        </w:rPr>
        <w:t>. It is recommended that you use an antiseptic wash daily on the affected areas.</w:t>
      </w:r>
    </w:p>
    <w:p w14:paraId="63C75DD5" w14:textId="77777777" w:rsidR="00F62574" w:rsidRPr="00D55B59" w:rsidRDefault="00F62574" w:rsidP="008415E1">
      <w:pPr>
        <w:pStyle w:val="Default"/>
        <w:rPr>
          <w:sz w:val="22"/>
          <w:szCs w:val="22"/>
          <w:lang w:val="en-GB"/>
          <w:rPrChange w:id="2867" w:author="Author">
            <w:rPr>
              <w:sz w:val="22"/>
              <w:szCs w:val="22"/>
            </w:rPr>
          </w:rPrChange>
        </w:rPr>
      </w:pPr>
      <w:bookmarkStart w:id="2868" w:name="_Hlk528593485"/>
    </w:p>
    <w:p w14:paraId="7267AB96" w14:textId="77777777" w:rsidR="00F62574" w:rsidRPr="00D55B59" w:rsidRDefault="00F62574" w:rsidP="008415E1">
      <w:pPr>
        <w:pStyle w:val="Default"/>
        <w:keepNext/>
        <w:rPr>
          <w:sz w:val="22"/>
          <w:szCs w:val="22"/>
          <w:u w:val="single"/>
          <w:lang w:val="en-GB"/>
          <w:rPrChange w:id="2869" w:author="Author">
            <w:rPr>
              <w:sz w:val="22"/>
              <w:szCs w:val="22"/>
              <w:u w:val="single"/>
            </w:rPr>
          </w:rPrChange>
        </w:rPr>
      </w:pPr>
      <w:r w:rsidRPr="00D55B59">
        <w:rPr>
          <w:sz w:val="22"/>
          <w:szCs w:val="22"/>
          <w:u w:val="single"/>
          <w:lang w:val="en-GB"/>
          <w:rPrChange w:id="2870" w:author="Author">
            <w:rPr>
              <w:sz w:val="22"/>
              <w:szCs w:val="22"/>
              <w:u w:val="single"/>
            </w:rPr>
          </w:rPrChange>
        </w:rPr>
        <w:t>Adolescents with hidradenitis suppurativa from 12 to 17 years of age weighing 30</w:t>
      </w:r>
      <w:r w:rsidR="00F3748B" w:rsidRPr="00D55B59">
        <w:rPr>
          <w:szCs w:val="22"/>
          <w:lang w:val="en-GB" w:eastAsia="en-GB"/>
          <w:rPrChange w:id="2871" w:author="Author">
            <w:rPr>
              <w:szCs w:val="22"/>
              <w:lang w:eastAsia="en-GB"/>
            </w:rPr>
          </w:rPrChange>
        </w:rPr>
        <w:t> </w:t>
      </w:r>
      <w:r w:rsidRPr="00D55B59">
        <w:rPr>
          <w:sz w:val="22"/>
          <w:szCs w:val="22"/>
          <w:u w:val="single"/>
          <w:lang w:val="en-GB"/>
          <w:rPrChange w:id="2872" w:author="Author">
            <w:rPr>
              <w:sz w:val="22"/>
              <w:szCs w:val="22"/>
              <w:u w:val="single"/>
            </w:rPr>
          </w:rPrChange>
        </w:rPr>
        <w:t>kg or more</w:t>
      </w:r>
    </w:p>
    <w:p w14:paraId="0E2E9953" w14:textId="77777777" w:rsidR="00F62574" w:rsidRPr="00D55B59" w:rsidRDefault="00F62574" w:rsidP="008415E1">
      <w:pPr>
        <w:pStyle w:val="Default"/>
        <w:keepNext/>
        <w:rPr>
          <w:sz w:val="22"/>
          <w:szCs w:val="22"/>
          <w:lang w:val="en-GB"/>
          <w:rPrChange w:id="2873" w:author="Author">
            <w:rPr>
              <w:sz w:val="22"/>
              <w:szCs w:val="22"/>
            </w:rPr>
          </w:rPrChange>
        </w:rPr>
      </w:pPr>
    </w:p>
    <w:p w14:paraId="2CBCB422" w14:textId="4E3435D1" w:rsidR="00F62574" w:rsidRPr="00D55B59" w:rsidRDefault="00F62574" w:rsidP="008415E1">
      <w:pPr>
        <w:pStyle w:val="Default"/>
        <w:keepNext/>
        <w:rPr>
          <w:sz w:val="22"/>
          <w:szCs w:val="22"/>
          <w:lang w:val="en-GB"/>
          <w:rPrChange w:id="2874" w:author="Author">
            <w:rPr>
              <w:sz w:val="22"/>
              <w:szCs w:val="22"/>
            </w:rPr>
          </w:rPrChange>
        </w:rPr>
      </w:pPr>
      <w:r w:rsidRPr="00D55B59">
        <w:rPr>
          <w:sz w:val="22"/>
          <w:szCs w:val="22"/>
          <w:lang w:val="en-GB"/>
          <w:rPrChange w:id="2875" w:author="Author">
            <w:rPr>
              <w:sz w:val="22"/>
              <w:szCs w:val="22"/>
            </w:rPr>
          </w:rPrChange>
        </w:rPr>
        <w:t>The recommended dose of AMGEVITA is an initial dose of 80</w:t>
      </w:r>
      <w:r w:rsidR="00F3748B" w:rsidRPr="00D55B59">
        <w:rPr>
          <w:szCs w:val="22"/>
          <w:lang w:val="en-GB" w:eastAsia="en-GB"/>
          <w:rPrChange w:id="2876" w:author="Author">
            <w:rPr>
              <w:szCs w:val="22"/>
              <w:lang w:eastAsia="en-GB"/>
            </w:rPr>
          </w:rPrChange>
        </w:rPr>
        <w:t> </w:t>
      </w:r>
      <w:r w:rsidRPr="00D55B59">
        <w:rPr>
          <w:sz w:val="22"/>
          <w:szCs w:val="22"/>
          <w:lang w:val="en-GB"/>
          <w:rPrChange w:id="2877" w:author="Author">
            <w:rPr>
              <w:sz w:val="22"/>
              <w:szCs w:val="22"/>
            </w:rPr>
          </w:rPrChange>
        </w:rPr>
        <w:t>mg (as two 40</w:t>
      </w:r>
      <w:r w:rsidR="00F3748B" w:rsidRPr="00D55B59">
        <w:rPr>
          <w:szCs w:val="22"/>
          <w:lang w:val="en-GB" w:eastAsia="en-GB"/>
          <w:rPrChange w:id="2878" w:author="Author">
            <w:rPr>
              <w:szCs w:val="22"/>
              <w:lang w:eastAsia="en-GB"/>
            </w:rPr>
          </w:rPrChange>
        </w:rPr>
        <w:t> </w:t>
      </w:r>
      <w:r w:rsidRPr="00D55B59">
        <w:rPr>
          <w:sz w:val="22"/>
          <w:szCs w:val="22"/>
          <w:lang w:val="en-GB"/>
          <w:rPrChange w:id="2879" w:author="Author">
            <w:rPr>
              <w:sz w:val="22"/>
              <w:szCs w:val="22"/>
            </w:rPr>
          </w:rPrChange>
        </w:rPr>
        <w:t>mg injections in one day), followed by 40</w:t>
      </w:r>
      <w:r w:rsidR="00F3748B" w:rsidRPr="00D55B59">
        <w:rPr>
          <w:szCs w:val="22"/>
          <w:lang w:val="en-GB" w:eastAsia="en-GB"/>
          <w:rPrChange w:id="2880" w:author="Author">
            <w:rPr>
              <w:szCs w:val="22"/>
              <w:lang w:eastAsia="en-GB"/>
            </w:rPr>
          </w:rPrChange>
        </w:rPr>
        <w:t> </w:t>
      </w:r>
      <w:r w:rsidRPr="00D55B59">
        <w:rPr>
          <w:sz w:val="22"/>
          <w:szCs w:val="22"/>
          <w:lang w:val="en-GB"/>
          <w:rPrChange w:id="2881" w:author="Author">
            <w:rPr>
              <w:sz w:val="22"/>
              <w:szCs w:val="22"/>
            </w:rPr>
          </w:rPrChange>
        </w:rPr>
        <w:t>mg every other week starting one week later. If you have an inadequate response to AMGEVITA 40</w:t>
      </w:r>
      <w:r w:rsidR="00F3748B" w:rsidRPr="00D55B59">
        <w:rPr>
          <w:szCs w:val="22"/>
          <w:lang w:val="en-GB" w:eastAsia="en-GB"/>
          <w:rPrChange w:id="2882" w:author="Author">
            <w:rPr>
              <w:szCs w:val="22"/>
              <w:lang w:eastAsia="en-GB"/>
            </w:rPr>
          </w:rPrChange>
        </w:rPr>
        <w:t> </w:t>
      </w:r>
      <w:r w:rsidRPr="00D55B59">
        <w:rPr>
          <w:sz w:val="22"/>
          <w:szCs w:val="22"/>
          <w:lang w:val="en-GB"/>
          <w:rPrChange w:id="2883" w:author="Author">
            <w:rPr>
              <w:sz w:val="22"/>
              <w:szCs w:val="22"/>
            </w:rPr>
          </w:rPrChange>
        </w:rPr>
        <w:t>mg every other week, your doctor may increase the dose to 40</w:t>
      </w:r>
      <w:r w:rsidR="00F3748B" w:rsidRPr="00D55B59">
        <w:rPr>
          <w:szCs w:val="22"/>
          <w:lang w:val="en-GB" w:eastAsia="en-GB"/>
          <w:rPrChange w:id="2884" w:author="Author">
            <w:rPr>
              <w:szCs w:val="22"/>
              <w:lang w:eastAsia="en-GB"/>
            </w:rPr>
          </w:rPrChange>
        </w:rPr>
        <w:t> </w:t>
      </w:r>
      <w:r w:rsidRPr="00D55B59">
        <w:rPr>
          <w:sz w:val="22"/>
          <w:szCs w:val="22"/>
          <w:lang w:val="en-GB"/>
          <w:rPrChange w:id="2885" w:author="Author">
            <w:rPr>
              <w:sz w:val="22"/>
              <w:szCs w:val="22"/>
            </w:rPr>
          </w:rPrChange>
        </w:rPr>
        <w:t>mg every week or 80</w:t>
      </w:r>
      <w:r w:rsidR="00F3748B" w:rsidRPr="00D55B59">
        <w:rPr>
          <w:szCs w:val="22"/>
          <w:lang w:val="en-GB" w:eastAsia="en-GB"/>
          <w:rPrChange w:id="2886" w:author="Author">
            <w:rPr>
              <w:szCs w:val="22"/>
              <w:lang w:eastAsia="en-GB"/>
            </w:rPr>
          </w:rPrChange>
        </w:rPr>
        <w:t> </w:t>
      </w:r>
      <w:r w:rsidRPr="00D55B59">
        <w:rPr>
          <w:sz w:val="22"/>
          <w:szCs w:val="22"/>
          <w:lang w:val="en-GB"/>
          <w:rPrChange w:id="2887" w:author="Author">
            <w:rPr>
              <w:sz w:val="22"/>
              <w:szCs w:val="22"/>
            </w:rPr>
          </w:rPrChange>
        </w:rPr>
        <w:t xml:space="preserve">mg every other week. </w:t>
      </w:r>
    </w:p>
    <w:p w14:paraId="5E5751EB" w14:textId="77777777" w:rsidR="00F62574" w:rsidRPr="00D55B59" w:rsidRDefault="00F62574" w:rsidP="008415E1">
      <w:pPr>
        <w:pStyle w:val="Default"/>
        <w:rPr>
          <w:sz w:val="22"/>
          <w:szCs w:val="22"/>
          <w:lang w:val="en-GB"/>
          <w:rPrChange w:id="2888" w:author="Author">
            <w:rPr>
              <w:sz w:val="22"/>
              <w:szCs w:val="22"/>
            </w:rPr>
          </w:rPrChange>
        </w:rPr>
      </w:pPr>
    </w:p>
    <w:p w14:paraId="56EE8ED8" w14:textId="77777777" w:rsidR="007D27D6" w:rsidRPr="00D55B59" w:rsidRDefault="00F62574" w:rsidP="008415E1">
      <w:pPr>
        <w:pStyle w:val="Default"/>
        <w:rPr>
          <w:sz w:val="22"/>
          <w:szCs w:val="22"/>
          <w:u w:val="single"/>
          <w:lang w:val="en-GB"/>
          <w:rPrChange w:id="2889" w:author="Author">
            <w:rPr>
              <w:sz w:val="22"/>
              <w:szCs w:val="22"/>
              <w:u w:val="single"/>
            </w:rPr>
          </w:rPrChange>
        </w:rPr>
      </w:pPr>
      <w:r w:rsidRPr="00D55B59">
        <w:rPr>
          <w:sz w:val="22"/>
          <w:szCs w:val="22"/>
          <w:lang w:val="en-GB"/>
          <w:rPrChange w:id="2890" w:author="Author">
            <w:rPr>
              <w:sz w:val="22"/>
              <w:szCs w:val="22"/>
            </w:rPr>
          </w:rPrChange>
        </w:rPr>
        <w:t>It is recommended that you use an antiseptic wash daily on the affected areas.</w:t>
      </w:r>
      <w:bookmarkEnd w:id="2868"/>
    </w:p>
    <w:p w14:paraId="18EAD295" w14:textId="77777777" w:rsidR="00F62574" w:rsidRPr="00D55B59" w:rsidRDefault="00F62574" w:rsidP="008415E1">
      <w:pPr>
        <w:pStyle w:val="Default"/>
        <w:rPr>
          <w:sz w:val="22"/>
          <w:szCs w:val="22"/>
          <w:u w:val="single"/>
          <w:lang w:val="en-GB"/>
          <w:rPrChange w:id="2891" w:author="Author">
            <w:rPr>
              <w:sz w:val="22"/>
              <w:szCs w:val="22"/>
              <w:u w:val="single"/>
            </w:rPr>
          </w:rPrChange>
        </w:rPr>
      </w:pPr>
    </w:p>
    <w:p w14:paraId="039D5701" w14:textId="77777777" w:rsidR="00C42229" w:rsidRPr="00D55B59" w:rsidRDefault="00C42229" w:rsidP="008415E1">
      <w:pPr>
        <w:pStyle w:val="Default"/>
        <w:rPr>
          <w:sz w:val="22"/>
          <w:szCs w:val="22"/>
          <w:u w:val="single"/>
          <w:lang w:val="en-GB"/>
          <w:rPrChange w:id="2892" w:author="Author">
            <w:rPr>
              <w:sz w:val="22"/>
              <w:szCs w:val="22"/>
              <w:u w:val="single"/>
            </w:rPr>
          </w:rPrChange>
        </w:rPr>
      </w:pPr>
      <w:r w:rsidRPr="00D55B59">
        <w:rPr>
          <w:sz w:val="22"/>
          <w:szCs w:val="22"/>
          <w:u w:val="single"/>
          <w:lang w:val="en-GB"/>
          <w:rPrChange w:id="2893" w:author="Author">
            <w:rPr>
              <w:sz w:val="22"/>
              <w:szCs w:val="22"/>
              <w:u w:val="single"/>
            </w:rPr>
          </w:rPrChange>
        </w:rPr>
        <w:t xml:space="preserve">Adults with Crohn’s disease </w:t>
      </w:r>
    </w:p>
    <w:p w14:paraId="461F6FAB" w14:textId="77777777" w:rsidR="00C42229" w:rsidRPr="00D55B59" w:rsidRDefault="00C42229" w:rsidP="008415E1">
      <w:pPr>
        <w:pStyle w:val="Default"/>
        <w:rPr>
          <w:sz w:val="22"/>
          <w:szCs w:val="22"/>
          <w:lang w:val="en-GB"/>
          <w:rPrChange w:id="2894" w:author="Author">
            <w:rPr>
              <w:sz w:val="22"/>
              <w:szCs w:val="22"/>
            </w:rPr>
          </w:rPrChange>
        </w:rPr>
      </w:pPr>
    </w:p>
    <w:p w14:paraId="3F0BD6B4" w14:textId="1FA9DBC0" w:rsidR="00C42229" w:rsidRPr="00D55B59" w:rsidRDefault="00C42229" w:rsidP="008415E1">
      <w:pPr>
        <w:pStyle w:val="Default"/>
        <w:rPr>
          <w:sz w:val="22"/>
          <w:szCs w:val="22"/>
          <w:lang w:val="en-GB"/>
          <w:rPrChange w:id="2895" w:author="Author">
            <w:rPr>
              <w:sz w:val="22"/>
              <w:szCs w:val="22"/>
            </w:rPr>
          </w:rPrChange>
        </w:rPr>
      </w:pPr>
      <w:r w:rsidRPr="00D55B59">
        <w:rPr>
          <w:sz w:val="22"/>
          <w:szCs w:val="22"/>
          <w:lang w:val="en-GB"/>
          <w:rPrChange w:id="2896" w:author="Author">
            <w:rPr>
              <w:sz w:val="22"/>
              <w:szCs w:val="22"/>
            </w:rPr>
          </w:rPrChange>
        </w:rPr>
        <w:t>The usual dose regimen for Crohn’s disease is 80</w:t>
      </w:r>
      <w:r w:rsidR="00D22A39" w:rsidRPr="00D55B59">
        <w:rPr>
          <w:sz w:val="22"/>
          <w:szCs w:val="22"/>
          <w:lang w:val="en-GB"/>
          <w:rPrChange w:id="2897" w:author="Author">
            <w:rPr>
              <w:sz w:val="22"/>
              <w:szCs w:val="22"/>
            </w:rPr>
          </w:rPrChange>
        </w:rPr>
        <w:t> </w:t>
      </w:r>
      <w:r w:rsidRPr="00D55B59">
        <w:rPr>
          <w:sz w:val="22"/>
          <w:szCs w:val="22"/>
          <w:lang w:val="en-GB"/>
          <w:rPrChange w:id="2898" w:author="Author">
            <w:rPr>
              <w:sz w:val="22"/>
              <w:szCs w:val="22"/>
            </w:rPr>
          </w:rPrChange>
        </w:rPr>
        <w:t>mg</w:t>
      </w:r>
      <w:r w:rsidR="009B55EC" w:rsidRPr="00D55B59">
        <w:rPr>
          <w:sz w:val="22"/>
          <w:szCs w:val="22"/>
          <w:lang w:val="en-GB"/>
          <w:rPrChange w:id="2899" w:author="Author">
            <w:rPr>
              <w:sz w:val="22"/>
              <w:szCs w:val="22"/>
            </w:rPr>
          </w:rPrChange>
        </w:rPr>
        <w:t xml:space="preserve"> </w:t>
      </w:r>
      <w:r w:rsidR="009B55EC" w:rsidRPr="00D55B59">
        <w:rPr>
          <w:bCs/>
          <w:sz w:val="22"/>
          <w:szCs w:val="22"/>
          <w:lang w:val="en-GB"/>
          <w:rPrChange w:id="2900" w:author="Author">
            <w:rPr>
              <w:bCs/>
              <w:sz w:val="22"/>
              <w:szCs w:val="22"/>
              <w:lang w:val="en-US"/>
            </w:rPr>
          </w:rPrChange>
        </w:rPr>
        <w:t xml:space="preserve">(as two 40 mg injections in one day) </w:t>
      </w:r>
      <w:r w:rsidRPr="00D55B59">
        <w:rPr>
          <w:sz w:val="22"/>
          <w:szCs w:val="22"/>
          <w:lang w:val="en-GB"/>
          <w:rPrChange w:id="2901" w:author="Author">
            <w:rPr>
              <w:sz w:val="22"/>
              <w:szCs w:val="22"/>
            </w:rPr>
          </w:rPrChange>
        </w:rPr>
        <w:t>initially followed by 40</w:t>
      </w:r>
      <w:r w:rsidR="00D22A39" w:rsidRPr="00D55B59">
        <w:rPr>
          <w:sz w:val="22"/>
          <w:szCs w:val="22"/>
          <w:lang w:val="en-GB"/>
          <w:rPrChange w:id="2902" w:author="Author">
            <w:rPr>
              <w:sz w:val="22"/>
              <w:szCs w:val="22"/>
            </w:rPr>
          </w:rPrChange>
        </w:rPr>
        <w:t> </w:t>
      </w:r>
      <w:r w:rsidRPr="00D55B59">
        <w:rPr>
          <w:sz w:val="22"/>
          <w:szCs w:val="22"/>
          <w:lang w:val="en-GB"/>
          <w:rPrChange w:id="2903" w:author="Author">
            <w:rPr>
              <w:sz w:val="22"/>
              <w:szCs w:val="22"/>
            </w:rPr>
          </w:rPrChange>
        </w:rPr>
        <w:t>mg every other week two weeks later. If a faster response is required</w:t>
      </w:r>
      <w:r w:rsidR="007B357A" w:rsidRPr="00D55B59">
        <w:rPr>
          <w:sz w:val="22"/>
          <w:szCs w:val="22"/>
          <w:lang w:val="en-GB"/>
          <w:rPrChange w:id="2904" w:author="Author">
            <w:rPr>
              <w:sz w:val="22"/>
              <w:szCs w:val="22"/>
            </w:rPr>
          </w:rPrChange>
        </w:rPr>
        <w:t>,</w:t>
      </w:r>
      <w:r w:rsidRPr="00D55B59">
        <w:rPr>
          <w:sz w:val="22"/>
          <w:szCs w:val="22"/>
          <w:lang w:val="en-GB"/>
          <w:rPrChange w:id="2905" w:author="Author">
            <w:rPr>
              <w:sz w:val="22"/>
              <w:szCs w:val="22"/>
            </w:rPr>
          </w:rPrChange>
        </w:rPr>
        <w:t xml:space="preserve"> your doctor may prescribe an initial dose of 160</w:t>
      </w:r>
      <w:r w:rsidR="00D22A39" w:rsidRPr="00D55B59">
        <w:rPr>
          <w:sz w:val="22"/>
          <w:szCs w:val="22"/>
          <w:lang w:val="en-GB"/>
          <w:rPrChange w:id="2906" w:author="Author">
            <w:rPr>
              <w:sz w:val="22"/>
              <w:szCs w:val="22"/>
            </w:rPr>
          </w:rPrChange>
        </w:rPr>
        <w:t> </w:t>
      </w:r>
      <w:r w:rsidRPr="00D55B59">
        <w:rPr>
          <w:sz w:val="22"/>
          <w:szCs w:val="22"/>
          <w:lang w:val="en-GB"/>
          <w:rPrChange w:id="2907" w:author="Author">
            <w:rPr>
              <w:sz w:val="22"/>
              <w:szCs w:val="22"/>
            </w:rPr>
          </w:rPrChange>
        </w:rPr>
        <w:t xml:space="preserve">mg (as </w:t>
      </w:r>
      <w:r w:rsidR="00885705" w:rsidRPr="00D55B59">
        <w:rPr>
          <w:sz w:val="22"/>
          <w:szCs w:val="22"/>
          <w:lang w:val="en-GB"/>
          <w:rPrChange w:id="2908" w:author="Author">
            <w:rPr>
              <w:sz w:val="22"/>
              <w:szCs w:val="22"/>
            </w:rPr>
          </w:rPrChange>
        </w:rPr>
        <w:t xml:space="preserve">four 40 mg </w:t>
      </w:r>
      <w:r w:rsidRPr="00D55B59">
        <w:rPr>
          <w:sz w:val="22"/>
          <w:szCs w:val="22"/>
          <w:lang w:val="en-GB"/>
          <w:rPrChange w:id="2909" w:author="Author">
            <w:rPr>
              <w:sz w:val="22"/>
              <w:szCs w:val="22"/>
            </w:rPr>
          </w:rPrChange>
        </w:rPr>
        <w:t xml:space="preserve">injections in one day or </w:t>
      </w:r>
      <w:r w:rsidR="00885705" w:rsidRPr="00D55B59">
        <w:rPr>
          <w:sz w:val="22"/>
          <w:szCs w:val="22"/>
          <w:lang w:val="en-GB"/>
          <w:rPrChange w:id="2910" w:author="Author">
            <w:rPr>
              <w:sz w:val="22"/>
              <w:szCs w:val="22"/>
            </w:rPr>
          </w:rPrChange>
        </w:rPr>
        <w:t>two 40 mg</w:t>
      </w:r>
      <w:r w:rsidRPr="00D55B59">
        <w:rPr>
          <w:sz w:val="22"/>
          <w:szCs w:val="22"/>
          <w:lang w:val="en-GB"/>
          <w:rPrChange w:id="2911" w:author="Author">
            <w:rPr>
              <w:sz w:val="22"/>
              <w:szCs w:val="22"/>
            </w:rPr>
          </w:rPrChange>
        </w:rPr>
        <w:t xml:space="preserve"> injections per day for two consecutive days), followed by 80</w:t>
      </w:r>
      <w:r w:rsidR="00D22A39" w:rsidRPr="00D55B59">
        <w:rPr>
          <w:sz w:val="22"/>
          <w:szCs w:val="22"/>
          <w:lang w:val="en-GB"/>
          <w:rPrChange w:id="2912" w:author="Author">
            <w:rPr>
              <w:sz w:val="22"/>
              <w:szCs w:val="22"/>
            </w:rPr>
          </w:rPrChange>
        </w:rPr>
        <w:t> </w:t>
      </w:r>
      <w:r w:rsidRPr="00D55B59">
        <w:rPr>
          <w:sz w:val="22"/>
          <w:szCs w:val="22"/>
          <w:lang w:val="en-GB"/>
          <w:rPrChange w:id="2913" w:author="Author">
            <w:rPr>
              <w:sz w:val="22"/>
              <w:szCs w:val="22"/>
            </w:rPr>
          </w:rPrChange>
        </w:rPr>
        <w:t>mg</w:t>
      </w:r>
      <w:r w:rsidR="002244BA" w:rsidRPr="00D55B59">
        <w:rPr>
          <w:sz w:val="22"/>
          <w:szCs w:val="22"/>
          <w:lang w:val="en-GB"/>
          <w:rPrChange w:id="2914" w:author="Author">
            <w:rPr>
              <w:sz w:val="22"/>
              <w:szCs w:val="22"/>
            </w:rPr>
          </w:rPrChange>
        </w:rPr>
        <w:t xml:space="preserve"> (as two 40</w:t>
      </w:r>
      <w:r w:rsidR="00D5093F" w:rsidRPr="00D55B59">
        <w:rPr>
          <w:szCs w:val="22"/>
          <w:lang w:val="en-GB" w:eastAsia="en-GB"/>
          <w:rPrChange w:id="2915" w:author="Author">
            <w:rPr>
              <w:szCs w:val="22"/>
              <w:lang w:eastAsia="en-GB"/>
            </w:rPr>
          </w:rPrChange>
        </w:rPr>
        <w:t> </w:t>
      </w:r>
      <w:r w:rsidR="002244BA" w:rsidRPr="00D55B59">
        <w:rPr>
          <w:sz w:val="22"/>
          <w:szCs w:val="22"/>
          <w:lang w:val="en-GB"/>
          <w:rPrChange w:id="2916" w:author="Author">
            <w:rPr>
              <w:sz w:val="22"/>
              <w:szCs w:val="22"/>
            </w:rPr>
          </w:rPrChange>
        </w:rPr>
        <w:t>mg injections in one day)</w:t>
      </w:r>
      <w:r w:rsidRPr="00D55B59">
        <w:rPr>
          <w:sz w:val="22"/>
          <w:szCs w:val="22"/>
          <w:lang w:val="en-GB"/>
          <w:rPrChange w:id="2917" w:author="Author">
            <w:rPr>
              <w:sz w:val="22"/>
              <w:szCs w:val="22"/>
            </w:rPr>
          </w:rPrChange>
        </w:rPr>
        <w:t xml:space="preserve"> two weeks later, and thereafter as 40</w:t>
      </w:r>
      <w:r w:rsidR="00D22A39" w:rsidRPr="00D55B59">
        <w:rPr>
          <w:sz w:val="22"/>
          <w:szCs w:val="22"/>
          <w:lang w:val="en-GB"/>
          <w:rPrChange w:id="2918" w:author="Author">
            <w:rPr>
              <w:sz w:val="22"/>
              <w:szCs w:val="22"/>
            </w:rPr>
          </w:rPrChange>
        </w:rPr>
        <w:t> </w:t>
      </w:r>
      <w:r w:rsidRPr="00D55B59">
        <w:rPr>
          <w:sz w:val="22"/>
          <w:szCs w:val="22"/>
          <w:lang w:val="en-GB"/>
          <w:rPrChange w:id="2919" w:author="Author">
            <w:rPr>
              <w:sz w:val="22"/>
              <w:szCs w:val="22"/>
            </w:rPr>
          </w:rPrChange>
        </w:rPr>
        <w:t xml:space="preserve">mg every other week. Depending on your response, your doctor may increase the </w:t>
      </w:r>
      <w:r w:rsidR="009B55EC" w:rsidRPr="00D55B59">
        <w:rPr>
          <w:sz w:val="22"/>
          <w:szCs w:val="22"/>
          <w:lang w:val="en-GB"/>
          <w:rPrChange w:id="2920" w:author="Author">
            <w:rPr>
              <w:sz w:val="22"/>
              <w:szCs w:val="22"/>
            </w:rPr>
          </w:rPrChange>
        </w:rPr>
        <w:t>dose</w:t>
      </w:r>
      <w:r w:rsidRPr="00D55B59">
        <w:rPr>
          <w:sz w:val="22"/>
          <w:szCs w:val="22"/>
          <w:lang w:val="en-GB"/>
          <w:rPrChange w:id="2921" w:author="Author">
            <w:rPr>
              <w:sz w:val="22"/>
              <w:szCs w:val="22"/>
            </w:rPr>
          </w:rPrChange>
        </w:rPr>
        <w:t xml:space="preserve"> to 40</w:t>
      </w:r>
      <w:r w:rsidR="00D22A39" w:rsidRPr="00D55B59">
        <w:rPr>
          <w:sz w:val="22"/>
          <w:szCs w:val="22"/>
          <w:lang w:val="en-GB"/>
          <w:rPrChange w:id="2922" w:author="Author">
            <w:rPr>
              <w:sz w:val="22"/>
              <w:szCs w:val="22"/>
            </w:rPr>
          </w:rPrChange>
        </w:rPr>
        <w:t> </w:t>
      </w:r>
      <w:r w:rsidRPr="00D55B59">
        <w:rPr>
          <w:sz w:val="22"/>
          <w:szCs w:val="22"/>
          <w:lang w:val="en-GB"/>
          <w:rPrChange w:id="2923" w:author="Author">
            <w:rPr>
              <w:sz w:val="22"/>
              <w:szCs w:val="22"/>
            </w:rPr>
          </w:rPrChange>
        </w:rPr>
        <w:t>mg every week</w:t>
      </w:r>
      <w:r w:rsidR="009B55EC" w:rsidRPr="00D55B59">
        <w:rPr>
          <w:sz w:val="22"/>
          <w:szCs w:val="22"/>
          <w:lang w:val="en-GB"/>
          <w:rPrChange w:id="2924" w:author="Author">
            <w:rPr>
              <w:sz w:val="22"/>
              <w:szCs w:val="22"/>
            </w:rPr>
          </w:rPrChange>
        </w:rPr>
        <w:t xml:space="preserve"> or 80</w:t>
      </w:r>
      <w:r w:rsidR="00D5093F" w:rsidRPr="00D55B59">
        <w:rPr>
          <w:szCs w:val="22"/>
          <w:lang w:val="en-GB" w:eastAsia="en-GB"/>
          <w:rPrChange w:id="2925" w:author="Author">
            <w:rPr>
              <w:szCs w:val="22"/>
              <w:lang w:eastAsia="en-GB"/>
            </w:rPr>
          </w:rPrChange>
        </w:rPr>
        <w:t> </w:t>
      </w:r>
      <w:r w:rsidR="000D1D2B" w:rsidRPr="00D55B59">
        <w:rPr>
          <w:sz w:val="22"/>
          <w:szCs w:val="22"/>
          <w:lang w:val="en-GB"/>
          <w:rPrChange w:id="2926" w:author="Author">
            <w:rPr>
              <w:sz w:val="22"/>
              <w:szCs w:val="22"/>
            </w:rPr>
          </w:rPrChange>
        </w:rPr>
        <w:t>mg</w:t>
      </w:r>
      <w:r w:rsidR="00540CD4" w:rsidRPr="00D55B59">
        <w:rPr>
          <w:sz w:val="22"/>
          <w:szCs w:val="22"/>
          <w:lang w:val="en-GB"/>
          <w:rPrChange w:id="2927" w:author="Author">
            <w:rPr>
              <w:sz w:val="22"/>
              <w:szCs w:val="22"/>
            </w:rPr>
          </w:rPrChange>
        </w:rPr>
        <w:t xml:space="preserve"> </w:t>
      </w:r>
      <w:r w:rsidR="009B55EC" w:rsidRPr="00D55B59">
        <w:rPr>
          <w:sz w:val="22"/>
          <w:szCs w:val="22"/>
          <w:lang w:val="en-GB"/>
          <w:rPrChange w:id="2928" w:author="Author">
            <w:rPr>
              <w:sz w:val="22"/>
              <w:szCs w:val="22"/>
            </w:rPr>
          </w:rPrChange>
        </w:rPr>
        <w:t>every other week</w:t>
      </w:r>
      <w:r w:rsidRPr="00D55B59">
        <w:rPr>
          <w:sz w:val="22"/>
          <w:szCs w:val="22"/>
          <w:lang w:val="en-GB"/>
          <w:rPrChange w:id="2929" w:author="Author">
            <w:rPr>
              <w:sz w:val="22"/>
              <w:szCs w:val="22"/>
            </w:rPr>
          </w:rPrChange>
        </w:rPr>
        <w:t xml:space="preserve">. </w:t>
      </w:r>
    </w:p>
    <w:p w14:paraId="44387A3A" w14:textId="77777777" w:rsidR="00C42229" w:rsidRPr="00D55B59" w:rsidRDefault="00C42229" w:rsidP="008415E1">
      <w:pPr>
        <w:pStyle w:val="Default"/>
        <w:rPr>
          <w:sz w:val="22"/>
          <w:szCs w:val="22"/>
          <w:lang w:val="en-GB"/>
          <w:rPrChange w:id="2930" w:author="Author">
            <w:rPr>
              <w:sz w:val="22"/>
              <w:szCs w:val="22"/>
            </w:rPr>
          </w:rPrChange>
        </w:rPr>
      </w:pPr>
    </w:p>
    <w:p w14:paraId="45B5DDCF" w14:textId="77777777" w:rsidR="00C42229" w:rsidRPr="00D55B59" w:rsidRDefault="00C42229" w:rsidP="008415E1">
      <w:pPr>
        <w:pStyle w:val="Default"/>
        <w:keepNext/>
        <w:rPr>
          <w:sz w:val="22"/>
          <w:szCs w:val="22"/>
          <w:u w:val="single"/>
          <w:lang w:val="en-GB"/>
          <w:rPrChange w:id="2931" w:author="Author">
            <w:rPr>
              <w:sz w:val="22"/>
              <w:szCs w:val="22"/>
              <w:u w:val="single"/>
            </w:rPr>
          </w:rPrChange>
        </w:rPr>
      </w:pPr>
      <w:r w:rsidRPr="00D55B59">
        <w:rPr>
          <w:sz w:val="22"/>
          <w:szCs w:val="22"/>
          <w:u w:val="single"/>
          <w:lang w:val="en-GB"/>
          <w:rPrChange w:id="2932" w:author="Author">
            <w:rPr>
              <w:sz w:val="22"/>
              <w:szCs w:val="22"/>
              <w:u w:val="single"/>
            </w:rPr>
          </w:rPrChange>
        </w:rPr>
        <w:t xml:space="preserve">Children </w:t>
      </w:r>
      <w:r w:rsidR="00E2388D" w:rsidRPr="00D55B59">
        <w:rPr>
          <w:sz w:val="22"/>
          <w:szCs w:val="22"/>
          <w:u w:val="single"/>
          <w:lang w:val="en-GB"/>
          <w:rPrChange w:id="2933" w:author="Author">
            <w:rPr>
              <w:sz w:val="22"/>
              <w:szCs w:val="22"/>
              <w:u w:val="single"/>
            </w:rPr>
          </w:rPrChange>
        </w:rPr>
        <w:t>and</w:t>
      </w:r>
      <w:r w:rsidRPr="00D55B59">
        <w:rPr>
          <w:sz w:val="22"/>
          <w:szCs w:val="22"/>
          <w:u w:val="single"/>
          <w:lang w:val="en-GB"/>
          <w:rPrChange w:id="2934" w:author="Author">
            <w:rPr>
              <w:sz w:val="22"/>
              <w:szCs w:val="22"/>
              <w:u w:val="single"/>
            </w:rPr>
          </w:rPrChange>
        </w:rPr>
        <w:t xml:space="preserve"> adolescents with Crohn's </w:t>
      </w:r>
      <w:r w:rsidR="0080593B" w:rsidRPr="00D55B59">
        <w:rPr>
          <w:rFonts w:eastAsia="PMingLiU"/>
          <w:sz w:val="22"/>
          <w:szCs w:val="22"/>
          <w:u w:val="single"/>
          <w:lang w:val="en-GB" w:eastAsia="zh-TW"/>
          <w:rPrChange w:id="2935" w:author="Author">
            <w:rPr>
              <w:rFonts w:eastAsia="PMingLiU"/>
              <w:sz w:val="22"/>
              <w:szCs w:val="22"/>
              <w:u w:val="single"/>
              <w:lang w:eastAsia="zh-TW"/>
            </w:rPr>
          </w:rPrChange>
        </w:rPr>
        <w:t>d</w:t>
      </w:r>
      <w:r w:rsidRPr="00D55B59">
        <w:rPr>
          <w:sz w:val="22"/>
          <w:szCs w:val="22"/>
          <w:u w:val="single"/>
          <w:lang w:val="en-GB"/>
          <w:rPrChange w:id="2936" w:author="Author">
            <w:rPr>
              <w:sz w:val="22"/>
              <w:szCs w:val="22"/>
              <w:u w:val="single"/>
            </w:rPr>
          </w:rPrChange>
        </w:rPr>
        <w:t xml:space="preserve">isease </w:t>
      </w:r>
    </w:p>
    <w:p w14:paraId="6D0B26C3" w14:textId="77777777" w:rsidR="00C42229" w:rsidRPr="00D55B59" w:rsidRDefault="00C42229" w:rsidP="008415E1">
      <w:pPr>
        <w:pStyle w:val="Default"/>
        <w:keepNext/>
        <w:rPr>
          <w:sz w:val="22"/>
          <w:szCs w:val="22"/>
          <w:u w:val="single"/>
          <w:lang w:val="en-GB"/>
          <w:rPrChange w:id="2937" w:author="Author">
            <w:rPr>
              <w:sz w:val="22"/>
              <w:szCs w:val="22"/>
              <w:u w:val="single"/>
            </w:rPr>
          </w:rPrChange>
        </w:rPr>
      </w:pPr>
    </w:p>
    <w:p w14:paraId="5FDAFB80" w14:textId="77777777" w:rsidR="00E2388D" w:rsidRPr="001775D9" w:rsidRDefault="00E2388D" w:rsidP="00B61D9D">
      <w:pPr>
        <w:spacing w:line="240" w:lineRule="auto"/>
        <w:ind w:right="34"/>
        <w:rPr>
          <w:bCs/>
          <w:u w:val="single"/>
        </w:rPr>
      </w:pPr>
      <w:r w:rsidRPr="001775D9">
        <w:rPr>
          <w:bCs/>
          <w:i/>
        </w:rPr>
        <w:t>Children and adolescents from 6 to 17 years of age weighing less than 40 kg</w:t>
      </w:r>
    </w:p>
    <w:p w14:paraId="6EEF56A8" w14:textId="77777777" w:rsidR="00576776" w:rsidRPr="00D55B59" w:rsidRDefault="00576776" w:rsidP="008415E1">
      <w:pPr>
        <w:pStyle w:val="Default"/>
        <w:rPr>
          <w:sz w:val="22"/>
          <w:szCs w:val="22"/>
          <w:u w:val="single"/>
          <w:lang w:val="en-GB"/>
          <w:rPrChange w:id="2938" w:author="Author">
            <w:rPr>
              <w:sz w:val="22"/>
              <w:szCs w:val="22"/>
              <w:u w:val="single"/>
            </w:rPr>
          </w:rPrChange>
        </w:rPr>
      </w:pPr>
    </w:p>
    <w:p w14:paraId="6EDC6037" w14:textId="77777777" w:rsidR="00C42229" w:rsidRPr="00D55B59" w:rsidRDefault="00C42229" w:rsidP="008415E1">
      <w:pPr>
        <w:pStyle w:val="Default"/>
        <w:rPr>
          <w:sz w:val="22"/>
          <w:szCs w:val="22"/>
          <w:lang w:val="en-GB"/>
          <w:rPrChange w:id="2939" w:author="Author">
            <w:rPr>
              <w:sz w:val="22"/>
              <w:szCs w:val="22"/>
            </w:rPr>
          </w:rPrChange>
        </w:rPr>
      </w:pPr>
      <w:r w:rsidRPr="00D55B59">
        <w:rPr>
          <w:sz w:val="22"/>
          <w:szCs w:val="22"/>
          <w:lang w:val="en-GB"/>
          <w:rPrChange w:id="2940" w:author="Author">
            <w:rPr>
              <w:sz w:val="22"/>
              <w:szCs w:val="22"/>
            </w:rPr>
          </w:rPrChange>
        </w:rPr>
        <w:t>The usual dose regimen is 40</w:t>
      </w:r>
      <w:r w:rsidR="00D22A39" w:rsidRPr="00D55B59">
        <w:rPr>
          <w:sz w:val="22"/>
          <w:szCs w:val="22"/>
          <w:lang w:val="en-GB"/>
          <w:rPrChange w:id="2941" w:author="Author">
            <w:rPr>
              <w:sz w:val="22"/>
              <w:szCs w:val="22"/>
            </w:rPr>
          </w:rPrChange>
        </w:rPr>
        <w:t> </w:t>
      </w:r>
      <w:r w:rsidRPr="00D55B59">
        <w:rPr>
          <w:sz w:val="22"/>
          <w:szCs w:val="22"/>
          <w:lang w:val="en-GB"/>
          <w:rPrChange w:id="2942" w:author="Author">
            <w:rPr>
              <w:sz w:val="22"/>
              <w:szCs w:val="22"/>
            </w:rPr>
          </w:rPrChange>
        </w:rPr>
        <w:t>mg initially followed by 20</w:t>
      </w:r>
      <w:r w:rsidR="00D22A39" w:rsidRPr="00D55B59">
        <w:rPr>
          <w:sz w:val="22"/>
          <w:szCs w:val="22"/>
          <w:lang w:val="en-GB"/>
          <w:rPrChange w:id="2943" w:author="Author">
            <w:rPr>
              <w:sz w:val="22"/>
              <w:szCs w:val="22"/>
            </w:rPr>
          </w:rPrChange>
        </w:rPr>
        <w:t> </w:t>
      </w:r>
      <w:r w:rsidRPr="00D55B59">
        <w:rPr>
          <w:sz w:val="22"/>
          <w:szCs w:val="22"/>
          <w:lang w:val="en-GB"/>
          <w:rPrChange w:id="2944" w:author="Author">
            <w:rPr>
              <w:sz w:val="22"/>
              <w:szCs w:val="22"/>
            </w:rPr>
          </w:rPrChange>
        </w:rPr>
        <w:t>mg two weeks later. If a faster response is required, your doctor may prescribe an initial dose of 80</w:t>
      </w:r>
      <w:r w:rsidR="00D22A39" w:rsidRPr="00D55B59">
        <w:rPr>
          <w:sz w:val="22"/>
          <w:szCs w:val="22"/>
          <w:lang w:val="en-GB"/>
          <w:rPrChange w:id="2945" w:author="Author">
            <w:rPr>
              <w:sz w:val="22"/>
              <w:szCs w:val="22"/>
            </w:rPr>
          </w:rPrChange>
        </w:rPr>
        <w:t> </w:t>
      </w:r>
      <w:r w:rsidRPr="00D55B59">
        <w:rPr>
          <w:sz w:val="22"/>
          <w:szCs w:val="22"/>
          <w:lang w:val="en-GB"/>
          <w:rPrChange w:id="2946" w:author="Author">
            <w:rPr>
              <w:sz w:val="22"/>
              <w:szCs w:val="22"/>
            </w:rPr>
          </w:rPrChange>
        </w:rPr>
        <w:t xml:space="preserve">mg (as </w:t>
      </w:r>
      <w:r w:rsidR="00885705" w:rsidRPr="00D55B59">
        <w:rPr>
          <w:sz w:val="22"/>
          <w:szCs w:val="22"/>
          <w:lang w:val="en-GB"/>
          <w:rPrChange w:id="2947" w:author="Author">
            <w:rPr>
              <w:sz w:val="22"/>
              <w:szCs w:val="22"/>
            </w:rPr>
          </w:rPrChange>
        </w:rPr>
        <w:t xml:space="preserve">two 40 mg </w:t>
      </w:r>
      <w:r w:rsidRPr="00D55B59">
        <w:rPr>
          <w:sz w:val="22"/>
          <w:szCs w:val="22"/>
          <w:lang w:val="en-GB"/>
          <w:rPrChange w:id="2948" w:author="Author">
            <w:rPr>
              <w:sz w:val="22"/>
              <w:szCs w:val="22"/>
            </w:rPr>
          </w:rPrChange>
        </w:rPr>
        <w:t xml:space="preserve">injections in </w:t>
      </w:r>
      <w:r w:rsidR="00D04259" w:rsidRPr="00D55B59">
        <w:rPr>
          <w:sz w:val="22"/>
          <w:szCs w:val="22"/>
          <w:lang w:val="en-GB"/>
          <w:rPrChange w:id="2949" w:author="Author">
            <w:rPr>
              <w:sz w:val="22"/>
              <w:szCs w:val="22"/>
            </w:rPr>
          </w:rPrChange>
        </w:rPr>
        <w:t xml:space="preserve">one </w:t>
      </w:r>
      <w:r w:rsidRPr="00D55B59">
        <w:rPr>
          <w:sz w:val="22"/>
          <w:szCs w:val="22"/>
          <w:lang w:val="en-GB"/>
          <w:rPrChange w:id="2950" w:author="Author">
            <w:rPr>
              <w:sz w:val="22"/>
              <w:szCs w:val="22"/>
            </w:rPr>
          </w:rPrChange>
        </w:rPr>
        <w:t>day) followed by 40</w:t>
      </w:r>
      <w:r w:rsidR="0080593B" w:rsidRPr="00D55B59">
        <w:rPr>
          <w:rFonts w:eastAsia="PMingLiU"/>
          <w:sz w:val="22"/>
          <w:szCs w:val="22"/>
          <w:lang w:val="en-GB" w:eastAsia="zh-TW"/>
          <w:rPrChange w:id="2951" w:author="Author">
            <w:rPr>
              <w:rFonts w:eastAsia="PMingLiU"/>
              <w:sz w:val="22"/>
              <w:szCs w:val="22"/>
              <w:lang w:eastAsia="zh-TW"/>
            </w:rPr>
          </w:rPrChange>
        </w:rPr>
        <w:t> </w:t>
      </w:r>
      <w:r w:rsidRPr="00D55B59">
        <w:rPr>
          <w:sz w:val="22"/>
          <w:szCs w:val="22"/>
          <w:lang w:val="en-GB"/>
          <w:rPrChange w:id="2952" w:author="Author">
            <w:rPr>
              <w:sz w:val="22"/>
              <w:szCs w:val="22"/>
            </w:rPr>
          </w:rPrChange>
        </w:rPr>
        <w:t xml:space="preserve">mg two weeks later. </w:t>
      </w:r>
    </w:p>
    <w:p w14:paraId="1764217C" w14:textId="77777777" w:rsidR="00C42229" w:rsidRPr="00D55B59" w:rsidRDefault="00C42229" w:rsidP="008415E1">
      <w:pPr>
        <w:pStyle w:val="Default"/>
        <w:rPr>
          <w:sz w:val="22"/>
          <w:szCs w:val="22"/>
          <w:lang w:val="en-GB"/>
          <w:rPrChange w:id="2953" w:author="Author">
            <w:rPr>
              <w:sz w:val="22"/>
              <w:szCs w:val="22"/>
            </w:rPr>
          </w:rPrChange>
        </w:rPr>
      </w:pPr>
    </w:p>
    <w:p w14:paraId="77653D21" w14:textId="77777777" w:rsidR="00C42229" w:rsidRPr="00D55B59" w:rsidRDefault="00C42229" w:rsidP="008415E1">
      <w:pPr>
        <w:pStyle w:val="Default"/>
        <w:rPr>
          <w:sz w:val="22"/>
          <w:szCs w:val="22"/>
          <w:lang w:val="en-GB"/>
          <w:rPrChange w:id="2954" w:author="Author">
            <w:rPr>
              <w:sz w:val="22"/>
              <w:szCs w:val="22"/>
            </w:rPr>
          </w:rPrChange>
        </w:rPr>
      </w:pPr>
      <w:r w:rsidRPr="00D55B59">
        <w:rPr>
          <w:sz w:val="22"/>
          <w:szCs w:val="22"/>
          <w:lang w:val="en-GB"/>
          <w:rPrChange w:id="2955" w:author="Author">
            <w:rPr>
              <w:sz w:val="22"/>
              <w:szCs w:val="22"/>
            </w:rPr>
          </w:rPrChange>
        </w:rPr>
        <w:t>Thereafter, the usual dose is 20</w:t>
      </w:r>
      <w:r w:rsidR="00D22A39" w:rsidRPr="00D55B59">
        <w:rPr>
          <w:sz w:val="22"/>
          <w:szCs w:val="22"/>
          <w:lang w:val="en-GB"/>
          <w:rPrChange w:id="2956" w:author="Author">
            <w:rPr>
              <w:sz w:val="22"/>
              <w:szCs w:val="22"/>
            </w:rPr>
          </w:rPrChange>
        </w:rPr>
        <w:t> </w:t>
      </w:r>
      <w:r w:rsidRPr="00D55B59">
        <w:rPr>
          <w:sz w:val="22"/>
          <w:szCs w:val="22"/>
          <w:lang w:val="en-GB"/>
          <w:rPrChange w:id="2957" w:author="Author">
            <w:rPr>
              <w:sz w:val="22"/>
              <w:szCs w:val="22"/>
            </w:rPr>
          </w:rPrChange>
        </w:rPr>
        <w:t>mg every other week. Depending on your response, your doctor may increase the dose frequency to 20</w:t>
      </w:r>
      <w:r w:rsidR="00D22A39" w:rsidRPr="00D55B59">
        <w:rPr>
          <w:sz w:val="22"/>
          <w:szCs w:val="22"/>
          <w:lang w:val="en-GB"/>
          <w:rPrChange w:id="2958" w:author="Author">
            <w:rPr>
              <w:sz w:val="22"/>
              <w:szCs w:val="22"/>
            </w:rPr>
          </w:rPrChange>
        </w:rPr>
        <w:t> </w:t>
      </w:r>
      <w:r w:rsidRPr="00D55B59">
        <w:rPr>
          <w:sz w:val="22"/>
          <w:szCs w:val="22"/>
          <w:lang w:val="en-GB"/>
          <w:rPrChange w:id="2959" w:author="Author">
            <w:rPr>
              <w:sz w:val="22"/>
              <w:szCs w:val="22"/>
            </w:rPr>
          </w:rPrChange>
        </w:rPr>
        <w:t xml:space="preserve">mg every week. </w:t>
      </w:r>
    </w:p>
    <w:p w14:paraId="01E705D7" w14:textId="77777777" w:rsidR="00C42229" w:rsidRPr="00D55B59" w:rsidRDefault="00C42229" w:rsidP="008415E1">
      <w:pPr>
        <w:pStyle w:val="Default"/>
        <w:rPr>
          <w:sz w:val="22"/>
          <w:szCs w:val="22"/>
          <w:lang w:val="en-GB"/>
          <w:rPrChange w:id="2960" w:author="Author">
            <w:rPr>
              <w:sz w:val="22"/>
              <w:szCs w:val="22"/>
            </w:rPr>
          </w:rPrChange>
        </w:rPr>
      </w:pPr>
    </w:p>
    <w:p w14:paraId="16D7BD7C" w14:textId="77777777" w:rsidR="00E2388D" w:rsidRPr="001775D9" w:rsidRDefault="00E2388D" w:rsidP="00B61D9D">
      <w:pPr>
        <w:spacing w:line="240" w:lineRule="auto"/>
        <w:ind w:right="34"/>
        <w:rPr>
          <w:bCs/>
          <w:u w:val="single"/>
        </w:rPr>
      </w:pPr>
      <w:r w:rsidRPr="001775D9">
        <w:rPr>
          <w:bCs/>
          <w:i/>
        </w:rPr>
        <w:t>Children and adolescents from 6 to 17 years of age weighing 40 kg or more</w:t>
      </w:r>
      <w:r w:rsidRPr="001775D9">
        <w:rPr>
          <w:bCs/>
          <w:u w:val="single"/>
        </w:rPr>
        <w:t xml:space="preserve"> </w:t>
      </w:r>
    </w:p>
    <w:p w14:paraId="6D8CF040" w14:textId="77777777" w:rsidR="000B78A2" w:rsidRPr="00D55B59" w:rsidRDefault="000B78A2" w:rsidP="008415E1">
      <w:pPr>
        <w:pStyle w:val="Default"/>
        <w:rPr>
          <w:sz w:val="22"/>
          <w:szCs w:val="22"/>
          <w:u w:val="single"/>
          <w:lang w:val="en-GB"/>
          <w:rPrChange w:id="2961" w:author="Author">
            <w:rPr>
              <w:sz w:val="22"/>
              <w:szCs w:val="22"/>
              <w:u w:val="single"/>
            </w:rPr>
          </w:rPrChange>
        </w:rPr>
      </w:pPr>
    </w:p>
    <w:p w14:paraId="52E9AC8D" w14:textId="77777777" w:rsidR="00C42229" w:rsidRPr="001775D9" w:rsidRDefault="00C42229" w:rsidP="008415E1">
      <w:pPr>
        <w:numPr>
          <w:ilvl w:val="12"/>
          <w:numId w:val="0"/>
        </w:numPr>
        <w:tabs>
          <w:tab w:val="clear" w:pos="567"/>
        </w:tabs>
        <w:spacing w:line="240" w:lineRule="auto"/>
        <w:ind w:right="-2"/>
        <w:rPr>
          <w:szCs w:val="22"/>
        </w:rPr>
      </w:pPr>
      <w:r w:rsidRPr="001775D9">
        <w:rPr>
          <w:szCs w:val="22"/>
        </w:rPr>
        <w:t>The usual dose regimen is 80</w:t>
      </w:r>
      <w:r w:rsidR="00D22A39" w:rsidRPr="001775D9">
        <w:rPr>
          <w:szCs w:val="22"/>
        </w:rPr>
        <w:t> </w:t>
      </w:r>
      <w:r w:rsidRPr="001775D9">
        <w:rPr>
          <w:szCs w:val="22"/>
        </w:rPr>
        <w:t xml:space="preserve">mg </w:t>
      </w:r>
      <w:r w:rsidR="00B642E1" w:rsidRPr="001775D9">
        <w:rPr>
          <w:szCs w:val="22"/>
        </w:rPr>
        <w:t>(as two 40</w:t>
      </w:r>
      <w:r w:rsidR="00D5093F" w:rsidRPr="001775D9">
        <w:rPr>
          <w:szCs w:val="22"/>
          <w:lang w:eastAsia="en-GB"/>
        </w:rPr>
        <w:t> </w:t>
      </w:r>
      <w:r w:rsidR="00B642E1" w:rsidRPr="001775D9">
        <w:rPr>
          <w:szCs w:val="22"/>
        </w:rPr>
        <w:t xml:space="preserve">mg injections in one day) </w:t>
      </w:r>
      <w:r w:rsidRPr="001775D9">
        <w:rPr>
          <w:szCs w:val="22"/>
        </w:rPr>
        <w:t>initially followed by 40</w:t>
      </w:r>
      <w:r w:rsidR="00D22A39" w:rsidRPr="001775D9">
        <w:rPr>
          <w:szCs w:val="22"/>
        </w:rPr>
        <w:t> </w:t>
      </w:r>
      <w:r w:rsidRPr="001775D9">
        <w:rPr>
          <w:szCs w:val="22"/>
        </w:rPr>
        <w:t>mg two weeks later. If a faster response is required, your doctor may prescribe an initial dose of 160</w:t>
      </w:r>
      <w:r w:rsidR="00D22A39" w:rsidRPr="001775D9">
        <w:rPr>
          <w:szCs w:val="22"/>
        </w:rPr>
        <w:t> </w:t>
      </w:r>
      <w:r w:rsidRPr="001775D9">
        <w:rPr>
          <w:szCs w:val="22"/>
        </w:rPr>
        <w:t xml:space="preserve">mg (as </w:t>
      </w:r>
      <w:r w:rsidR="00885705" w:rsidRPr="001775D9">
        <w:rPr>
          <w:szCs w:val="22"/>
        </w:rPr>
        <w:t xml:space="preserve">four 40 mg </w:t>
      </w:r>
      <w:r w:rsidRPr="001775D9">
        <w:rPr>
          <w:szCs w:val="22"/>
        </w:rPr>
        <w:t xml:space="preserve">injections in </w:t>
      </w:r>
      <w:r w:rsidR="000B49DA" w:rsidRPr="001775D9">
        <w:rPr>
          <w:szCs w:val="22"/>
        </w:rPr>
        <w:t xml:space="preserve">one </w:t>
      </w:r>
      <w:r w:rsidRPr="001775D9">
        <w:rPr>
          <w:szCs w:val="22"/>
        </w:rPr>
        <w:t xml:space="preserve">day or as </w:t>
      </w:r>
      <w:r w:rsidR="00885705" w:rsidRPr="001775D9">
        <w:rPr>
          <w:szCs w:val="22"/>
        </w:rPr>
        <w:t>two 40 mg</w:t>
      </w:r>
      <w:r w:rsidRPr="001775D9">
        <w:rPr>
          <w:szCs w:val="22"/>
        </w:rPr>
        <w:t xml:space="preserve"> injections per day for </w:t>
      </w:r>
      <w:r w:rsidR="000B49DA" w:rsidRPr="001775D9">
        <w:rPr>
          <w:szCs w:val="22"/>
        </w:rPr>
        <w:t xml:space="preserve">two </w:t>
      </w:r>
      <w:r w:rsidRPr="001775D9">
        <w:rPr>
          <w:szCs w:val="22"/>
        </w:rPr>
        <w:t>consecutive days) followed by 80</w:t>
      </w:r>
      <w:r w:rsidR="00D22A39" w:rsidRPr="001775D9">
        <w:rPr>
          <w:szCs w:val="22"/>
        </w:rPr>
        <w:t> </w:t>
      </w:r>
      <w:r w:rsidRPr="001775D9">
        <w:rPr>
          <w:szCs w:val="22"/>
        </w:rPr>
        <w:t xml:space="preserve">mg </w:t>
      </w:r>
      <w:r w:rsidR="009B55EC" w:rsidRPr="001775D9">
        <w:rPr>
          <w:szCs w:val="22"/>
        </w:rPr>
        <w:t>(as two 40</w:t>
      </w:r>
      <w:r w:rsidR="00D5093F" w:rsidRPr="001775D9">
        <w:rPr>
          <w:szCs w:val="22"/>
          <w:lang w:eastAsia="en-GB"/>
        </w:rPr>
        <w:t> </w:t>
      </w:r>
      <w:r w:rsidR="009B55EC" w:rsidRPr="001775D9">
        <w:rPr>
          <w:szCs w:val="22"/>
        </w:rPr>
        <w:t xml:space="preserve">mg injections in one day) </w:t>
      </w:r>
      <w:r w:rsidRPr="001775D9">
        <w:rPr>
          <w:szCs w:val="22"/>
        </w:rPr>
        <w:t>two weeks later.</w:t>
      </w:r>
    </w:p>
    <w:p w14:paraId="698D8D3D" w14:textId="77777777" w:rsidR="00C42229" w:rsidRPr="001775D9" w:rsidRDefault="00C42229" w:rsidP="00FB5458">
      <w:pPr>
        <w:numPr>
          <w:ilvl w:val="12"/>
          <w:numId w:val="0"/>
        </w:numPr>
        <w:tabs>
          <w:tab w:val="clear" w:pos="567"/>
        </w:tabs>
        <w:spacing w:line="240" w:lineRule="auto"/>
        <w:ind w:right="-2"/>
        <w:rPr>
          <w:szCs w:val="22"/>
        </w:rPr>
      </w:pPr>
    </w:p>
    <w:p w14:paraId="76704C33" w14:textId="52600647" w:rsidR="00A81D5B" w:rsidRPr="00D55B59" w:rsidRDefault="00C42229" w:rsidP="00FB5458">
      <w:pPr>
        <w:pStyle w:val="Default"/>
        <w:rPr>
          <w:sz w:val="22"/>
          <w:szCs w:val="22"/>
          <w:lang w:val="en-GB"/>
          <w:rPrChange w:id="2962" w:author="Author">
            <w:rPr>
              <w:sz w:val="22"/>
              <w:szCs w:val="22"/>
            </w:rPr>
          </w:rPrChange>
        </w:rPr>
      </w:pPr>
      <w:r w:rsidRPr="00D55B59">
        <w:rPr>
          <w:sz w:val="22"/>
          <w:szCs w:val="22"/>
          <w:lang w:val="en-GB"/>
          <w:rPrChange w:id="2963" w:author="Author">
            <w:rPr>
              <w:sz w:val="22"/>
              <w:szCs w:val="22"/>
            </w:rPr>
          </w:rPrChange>
        </w:rPr>
        <w:t>Thereafter, the usual dose is 40</w:t>
      </w:r>
      <w:r w:rsidR="00D22A39" w:rsidRPr="00D55B59">
        <w:rPr>
          <w:sz w:val="22"/>
          <w:szCs w:val="22"/>
          <w:lang w:val="en-GB"/>
          <w:rPrChange w:id="2964" w:author="Author">
            <w:rPr>
              <w:sz w:val="22"/>
              <w:szCs w:val="22"/>
            </w:rPr>
          </w:rPrChange>
        </w:rPr>
        <w:t> </w:t>
      </w:r>
      <w:r w:rsidRPr="00D55B59">
        <w:rPr>
          <w:sz w:val="22"/>
          <w:szCs w:val="22"/>
          <w:lang w:val="en-GB"/>
          <w:rPrChange w:id="2965" w:author="Author">
            <w:rPr>
              <w:sz w:val="22"/>
              <w:szCs w:val="22"/>
            </w:rPr>
          </w:rPrChange>
        </w:rPr>
        <w:t xml:space="preserve">mg every other week. Depending on your response, your doctor may increase the </w:t>
      </w:r>
      <w:r w:rsidR="00B642E1" w:rsidRPr="00D55B59">
        <w:rPr>
          <w:sz w:val="22"/>
          <w:szCs w:val="22"/>
          <w:lang w:val="en-GB"/>
          <w:rPrChange w:id="2966" w:author="Author">
            <w:rPr>
              <w:sz w:val="22"/>
              <w:szCs w:val="22"/>
            </w:rPr>
          </w:rPrChange>
        </w:rPr>
        <w:t>dose</w:t>
      </w:r>
      <w:r w:rsidRPr="00D55B59">
        <w:rPr>
          <w:sz w:val="22"/>
          <w:szCs w:val="22"/>
          <w:lang w:val="en-GB"/>
          <w:rPrChange w:id="2967" w:author="Author">
            <w:rPr>
              <w:sz w:val="22"/>
              <w:szCs w:val="22"/>
            </w:rPr>
          </w:rPrChange>
        </w:rPr>
        <w:t xml:space="preserve"> to 40</w:t>
      </w:r>
      <w:r w:rsidR="00D22A39" w:rsidRPr="00D55B59">
        <w:rPr>
          <w:sz w:val="22"/>
          <w:szCs w:val="22"/>
          <w:lang w:val="en-GB"/>
          <w:rPrChange w:id="2968" w:author="Author">
            <w:rPr>
              <w:sz w:val="22"/>
              <w:szCs w:val="22"/>
            </w:rPr>
          </w:rPrChange>
        </w:rPr>
        <w:t> </w:t>
      </w:r>
      <w:r w:rsidRPr="00D55B59">
        <w:rPr>
          <w:sz w:val="22"/>
          <w:szCs w:val="22"/>
          <w:lang w:val="en-GB"/>
          <w:rPrChange w:id="2969" w:author="Author">
            <w:rPr>
              <w:sz w:val="22"/>
              <w:szCs w:val="22"/>
            </w:rPr>
          </w:rPrChange>
        </w:rPr>
        <w:t>mg every week</w:t>
      </w:r>
      <w:r w:rsidR="00B642E1" w:rsidRPr="00D55B59">
        <w:rPr>
          <w:sz w:val="22"/>
          <w:szCs w:val="22"/>
          <w:lang w:val="en-GB"/>
          <w:rPrChange w:id="2970" w:author="Author">
            <w:rPr>
              <w:sz w:val="22"/>
              <w:szCs w:val="22"/>
            </w:rPr>
          </w:rPrChange>
        </w:rPr>
        <w:t xml:space="preserve"> or 80</w:t>
      </w:r>
      <w:r w:rsidR="00D5093F" w:rsidRPr="00D55B59">
        <w:rPr>
          <w:szCs w:val="22"/>
          <w:lang w:val="en-GB" w:eastAsia="en-GB"/>
          <w:rPrChange w:id="2971" w:author="Author">
            <w:rPr>
              <w:szCs w:val="22"/>
              <w:lang w:eastAsia="en-GB"/>
            </w:rPr>
          </w:rPrChange>
        </w:rPr>
        <w:t> </w:t>
      </w:r>
      <w:r w:rsidR="0056158C" w:rsidRPr="00D55B59">
        <w:rPr>
          <w:sz w:val="22"/>
          <w:szCs w:val="22"/>
          <w:lang w:val="en-GB"/>
          <w:rPrChange w:id="2972" w:author="Author">
            <w:rPr>
              <w:sz w:val="22"/>
              <w:szCs w:val="22"/>
            </w:rPr>
          </w:rPrChange>
        </w:rPr>
        <w:t>mg</w:t>
      </w:r>
      <w:r w:rsidR="00540CD4" w:rsidRPr="00D55B59">
        <w:rPr>
          <w:sz w:val="22"/>
          <w:szCs w:val="22"/>
          <w:lang w:val="en-GB"/>
          <w:rPrChange w:id="2973" w:author="Author">
            <w:rPr>
              <w:sz w:val="22"/>
              <w:szCs w:val="22"/>
            </w:rPr>
          </w:rPrChange>
        </w:rPr>
        <w:t xml:space="preserve"> </w:t>
      </w:r>
      <w:r w:rsidR="00B642E1" w:rsidRPr="00D55B59">
        <w:rPr>
          <w:sz w:val="22"/>
          <w:szCs w:val="22"/>
          <w:lang w:val="en-GB"/>
          <w:rPrChange w:id="2974" w:author="Author">
            <w:rPr>
              <w:sz w:val="22"/>
              <w:szCs w:val="22"/>
            </w:rPr>
          </w:rPrChange>
        </w:rPr>
        <w:t>every other week</w:t>
      </w:r>
      <w:r w:rsidRPr="00D55B59">
        <w:rPr>
          <w:sz w:val="22"/>
          <w:szCs w:val="22"/>
          <w:lang w:val="en-GB"/>
          <w:rPrChange w:id="2975" w:author="Author">
            <w:rPr>
              <w:sz w:val="22"/>
              <w:szCs w:val="22"/>
            </w:rPr>
          </w:rPrChange>
        </w:rPr>
        <w:t xml:space="preserve">. </w:t>
      </w:r>
    </w:p>
    <w:p w14:paraId="4D284812" w14:textId="77777777" w:rsidR="00A81D5B" w:rsidRPr="00D55B59" w:rsidRDefault="00A81D5B" w:rsidP="00FB5458">
      <w:pPr>
        <w:pStyle w:val="Default"/>
        <w:rPr>
          <w:sz w:val="22"/>
          <w:szCs w:val="22"/>
          <w:lang w:val="en-GB"/>
          <w:rPrChange w:id="2976" w:author="Author">
            <w:rPr>
              <w:sz w:val="22"/>
              <w:szCs w:val="22"/>
            </w:rPr>
          </w:rPrChange>
        </w:rPr>
      </w:pPr>
    </w:p>
    <w:p w14:paraId="1D61CB02" w14:textId="77777777" w:rsidR="00C42229" w:rsidRPr="00D55B59" w:rsidRDefault="00C42229" w:rsidP="00FB5458">
      <w:pPr>
        <w:pStyle w:val="Default"/>
        <w:keepNext/>
        <w:rPr>
          <w:sz w:val="22"/>
          <w:szCs w:val="22"/>
          <w:u w:val="single"/>
          <w:lang w:val="en-GB"/>
          <w:rPrChange w:id="2977" w:author="Author">
            <w:rPr>
              <w:sz w:val="22"/>
              <w:szCs w:val="22"/>
              <w:u w:val="single"/>
            </w:rPr>
          </w:rPrChange>
        </w:rPr>
      </w:pPr>
      <w:r w:rsidRPr="00D55B59">
        <w:rPr>
          <w:sz w:val="22"/>
          <w:szCs w:val="22"/>
          <w:u w:val="single"/>
          <w:lang w:val="en-GB"/>
          <w:rPrChange w:id="2978" w:author="Author">
            <w:rPr>
              <w:sz w:val="22"/>
              <w:szCs w:val="22"/>
              <w:u w:val="single"/>
            </w:rPr>
          </w:rPrChange>
        </w:rPr>
        <w:t xml:space="preserve">Adults with ulcerative colitis </w:t>
      </w:r>
    </w:p>
    <w:p w14:paraId="4BB5D7DA" w14:textId="77777777" w:rsidR="00C42229" w:rsidRPr="001775D9" w:rsidRDefault="00C42229" w:rsidP="00FB5458">
      <w:pPr>
        <w:numPr>
          <w:ilvl w:val="12"/>
          <w:numId w:val="0"/>
        </w:numPr>
        <w:tabs>
          <w:tab w:val="clear" w:pos="567"/>
        </w:tabs>
        <w:spacing w:line="240" w:lineRule="auto"/>
        <w:ind w:right="-2"/>
        <w:rPr>
          <w:szCs w:val="22"/>
        </w:rPr>
      </w:pPr>
    </w:p>
    <w:p w14:paraId="1A26B504" w14:textId="48DDAE1B" w:rsidR="00A06846" w:rsidRPr="001775D9" w:rsidRDefault="00C42229" w:rsidP="00FB5458">
      <w:pPr>
        <w:tabs>
          <w:tab w:val="clear" w:pos="567"/>
        </w:tabs>
        <w:autoSpaceDE w:val="0"/>
        <w:autoSpaceDN w:val="0"/>
        <w:adjustRightInd w:val="0"/>
        <w:spacing w:line="240" w:lineRule="auto"/>
        <w:rPr>
          <w:szCs w:val="22"/>
        </w:rPr>
      </w:pPr>
      <w:r w:rsidRPr="001775D9">
        <w:rPr>
          <w:szCs w:val="22"/>
        </w:rPr>
        <w:t xml:space="preserve">The usual </w:t>
      </w:r>
      <w:r w:rsidR="005D0F44" w:rsidRPr="001775D9">
        <w:rPr>
          <w:szCs w:val="22"/>
        </w:rPr>
        <w:t>AMGEVITA</w:t>
      </w:r>
      <w:r w:rsidRPr="001775D9">
        <w:rPr>
          <w:szCs w:val="22"/>
        </w:rPr>
        <w:t xml:space="preserve"> dose for adults with ulcerative colitis is 160</w:t>
      </w:r>
      <w:r w:rsidR="0082710E" w:rsidRPr="001775D9">
        <w:rPr>
          <w:szCs w:val="22"/>
        </w:rPr>
        <w:t> </w:t>
      </w:r>
      <w:r w:rsidRPr="001775D9">
        <w:rPr>
          <w:szCs w:val="22"/>
        </w:rPr>
        <w:t xml:space="preserve">mg </w:t>
      </w:r>
      <w:r w:rsidR="00820D4E" w:rsidRPr="001775D9">
        <w:rPr>
          <w:szCs w:val="22"/>
        </w:rPr>
        <w:t xml:space="preserve">initially </w:t>
      </w:r>
      <w:r w:rsidRPr="001775D9">
        <w:rPr>
          <w:szCs w:val="22"/>
        </w:rPr>
        <w:t xml:space="preserve">(as four </w:t>
      </w:r>
      <w:r w:rsidR="00820D4E" w:rsidRPr="001775D9">
        <w:rPr>
          <w:szCs w:val="22"/>
        </w:rPr>
        <w:t xml:space="preserve">40 mg </w:t>
      </w:r>
      <w:r w:rsidRPr="001775D9">
        <w:rPr>
          <w:szCs w:val="22"/>
        </w:rPr>
        <w:t xml:space="preserve">injections in one day or as two </w:t>
      </w:r>
      <w:r w:rsidR="00820D4E" w:rsidRPr="001775D9">
        <w:rPr>
          <w:szCs w:val="22"/>
        </w:rPr>
        <w:t xml:space="preserve">40 mg injections </w:t>
      </w:r>
      <w:r w:rsidRPr="001775D9">
        <w:rPr>
          <w:szCs w:val="22"/>
        </w:rPr>
        <w:t xml:space="preserve">per day for two consecutive days) </w:t>
      </w:r>
      <w:r w:rsidR="00820D4E" w:rsidRPr="001775D9">
        <w:rPr>
          <w:szCs w:val="22"/>
        </w:rPr>
        <w:t xml:space="preserve">followed by </w:t>
      </w:r>
      <w:r w:rsidRPr="001775D9">
        <w:rPr>
          <w:szCs w:val="22"/>
        </w:rPr>
        <w:t>80</w:t>
      </w:r>
      <w:r w:rsidR="0082710E" w:rsidRPr="001775D9">
        <w:rPr>
          <w:szCs w:val="22"/>
        </w:rPr>
        <w:t> </w:t>
      </w:r>
      <w:r w:rsidRPr="001775D9">
        <w:rPr>
          <w:szCs w:val="22"/>
        </w:rPr>
        <w:t xml:space="preserve">mg </w:t>
      </w:r>
      <w:r w:rsidR="009B55EC" w:rsidRPr="001775D9">
        <w:rPr>
          <w:szCs w:val="22"/>
        </w:rPr>
        <w:t>(as two 40</w:t>
      </w:r>
      <w:r w:rsidR="00D5093F" w:rsidRPr="001775D9">
        <w:rPr>
          <w:szCs w:val="22"/>
          <w:lang w:eastAsia="en-GB"/>
        </w:rPr>
        <w:t> </w:t>
      </w:r>
      <w:r w:rsidR="009B55EC" w:rsidRPr="001775D9">
        <w:rPr>
          <w:szCs w:val="22"/>
        </w:rPr>
        <w:t>mg injections</w:t>
      </w:r>
      <w:r w:rsidR="0056158C" w:rsidRPr="001775D9">
        <w:rPr>
          <w:szCs w:val="22"/>
        </w:rPr>
        <w:t xml:space="preserve"> </w:t>
      </w:r>
      <w:r w:rsidR="009B55EC" w:rsidRPr="001775D9">
        <w:rPr>
          <w:szCs w:val="22"/>
        </w:rPr>
        <w:t xml:space="preserve">in one day) </w:t>
      </w:r>
      <w:r w:rsidR="00820D4E" w:rsidRPr="001775D9">
        <w:rPr>
          <w:szCs w:val="22"/>
        </w:rPr>
        <w:t xml:space="preserve">two weeks later, then </w:t>
      </w:r>
      <w:r w:rsidRPr="001775D9">
        <w:rPr>
          <w:szCs w:val="22"/>
        </w:rPr>
        <w:t>40</w:t>
      </w:r>
      <w:r w:rsidR="0082710E" w:rsidRPr="001775D9">
        <w:rPr>
          <w:szCs w:val="22"/>
        </w:rPr>
        <w:t> </w:t>
      </w:r>
      <w:r w:rsidRPr="001775D9">
        <w:rPr>
          <w:szCs w:val="22"/>
        </w:rPr>
        <w:t>mg every other week. Depending on your response, your doctor may increase the dos</w:t>
      </w:r>
      <w:r w:rsidR="00D5093F" w:rsidRPr="001775D9">
        <w:rPr>
          <w:szCs w:val="22"/>
        </w:rPr>
        <w:t>e</w:t>
      </w:r>
      <w:r w:rsidRPr="001775D9">
        <w:rPr>
          <w:szCs w:val="22"/>
        </w:rPr>
        <w:t xml:space="preserve"> to 40</w:t>
      </w:r>
      <w:bookmarkStart w:id="2979" w:name="_Hlk68166054"/>
      <w:r w:rsidR="0082710E" w:rsidRPr="001775D9">
        <w:rPr>
          <w:szCs w:val="22"/>
        </w:rPr>
        <w:t> </w:t>
      </w:r>
      <w:bookmarkEnd w:id="2979"/>
      <w:r w:rsidRPr="001775D9">
        <w:rPr>
          <w:szCs w:val="22"/>
        </w:rPr>
        <w:t>mg every week</w:t>
      </w:r>
      <w:r w:rsidR="009B55EC" w:rsidRPr="001775D9">
        <w:rPr>
          <w:szCs w:val="22"/>
        </w:rPr>
        <w:t xml:space="preserve"> or 80</w:t>
      </w:r>
      <w:r w:rsidR="00D5093F" w:rsidRPr="001775D9">
        <w:rPr>
          <w:szCs w:val="22"/>
          <w:lang w:eastAsia="en-GB"/>
        </w:rPr>
        <w:t> </w:t>
      </w:r>
      <w:r w:rsidR="0056158C" w:rsidRPr="001775D9">
        <w:rPr>
          <w:szCs w:val="22"/>
        </w:rPr>
        <w:t>mg</w:t>
      </w:r>
      <w:r w:rsidR="00540CD4" w:rsidRPr="001775D9">
        <w:rPr>
          <w:szCs w:val="22"/>
        </w:rPr>
        <w:t xml:space="preserve"> </w:t>
      </w:r>
      <w:r w:rsidR="009B55EC" w:rsidRPr="001775D9">
        <w:rPr>
          <w:szCs w:val="22"/>
        </w:rPr>
        <w:t>every other week</w:t>
      </w:r>
      <w:r w:rsidRPr="001775D9">
        <w:rPr>
          <w:szCs w:val="22"/>
        </w:rPr>
        <w:t>.</w:t>
      </w:r>
    </w:p>
    <w:p w14:paraId="59FB26BB" w14:textId="6196DF58" w:rsidR="009F7AE3" w:rsidRPr="001775D9" w:rsidRDefault="009F7AE3" w:rsidP="00FB5458">
      <w:pPr>
        <w:tabs>
          <w:tab w:val="clear" w:pos="567"/>
        </w:tabs>
        <w:autoSpaceDE w:val="0"/>
        <w:autoSpaceDN w:val="0"/>
        <w:adjustRightInd w:val="0"/>
        <w:spacing w:line="240" w:lineRule="auto"/>
        <w:rPr>
          <w:szCs w:val="22"/>
        </w:rPr>
      </w:pPr>
    </w:p>
    <w:p w14:paraId="7A7052D6" w14:textId="77777777" w:rsidR="000E4237" w:rsidRPr="001775D9" w:rsidRDefault="000E4237" w:rsidP="000E4237">
      <w:pPr>
        <w:numPr>
          <w:ilvl w:val="12"/>
          <w:numId w:val="0"/>
        </w:numPr>
        <w:tabs>
          <w:tab w:val="clear" w:pos="567"/>
          <w:tab w:val="left" w:pos="720"/>
        </w:tabs>
        <w:spacing w:line="240" w:lineRule="auto"/>
        <w:ind w:right="-2"/>
        <w:rPr>
          <w:szCs w:val="22"/>
          <w:u w:val="single"/>
        </w:rPr>
      </w:pPr>
      <w:r w:rsidRPr="001775D9">
        <w:rPr>
          <w:szCs w:val="22"/>
          <w:u w:val="single"/>
        </w:rPr>
        <w:t>Children and adolescents with ulcerative colitis</w:t>
      </w:r>
    </w:p>
    <w:p w14:paraId="4226DEDE" w14:textId="77777777" w:rsidR="000E4237" w:rsidRPr="001775D9" w:rsidRDefault="000E4237" w:rsidP="000E4237">
      <w:pPr>
        <w:numPr>
          <w:ilvl w:val="12"/>
          <w:numId w:val="0"/>
        </w:numPr>
        <w:tabs>
          <w:tab w:val="clear" w:pos="567"/>
          <w:tab w:val="left" w:pos="720"/>
        </w:tabs>
        <w:spacing w:line="240" w:lineRule="auto"/>
        <w:ind w:right="-2"/>
        <w:rPr>
          <w:szCs w:val="22"/>
        </w:rPr>
      </w:pPr>
    </w:p>
    <w:p w14:paraId="6840BFB1" w14:textId="77777777" w:rsidR="000E4237" w:rsidRPr="001775D9" w:rsidRDefault="000E4237" w:rsidP="000E4237">
      <w:pPr>
        <w:numPr>
          <w:ilvl w:val="12"/>
          <w:numId w:val="0"/>
        </w:numPr>
        <w:tabs>
          <w:tab w:val="clear" w:pos="567"/>
          <w:tab w:val="left" w:pos="720"/>
        </w:tabs>
        <w:spacing w:line="240" w:lineRule="auto"/>
        <w:ind w:right="-2"/>
        <w:rPr>
          <w:i/>
          <w:iCs/>
          <w:szCs w:val="22"/>
        </w:rPr>
      </w:pPr>
      <w:r w:rsidRPr="001775D9">
        <w:rPr>
          <w:i/>
          <w:iCs/>
          <w:szCs w:val="22"/>
        </w:rPr>
        <w:t>Children and adolescents from 6 years of age weighing less than 40</w:t>
      </w:r>
      <w:r w:rsidRPr="001775D9">
        <w:rPr>
          <w:szCs w:val="22"/>
        </w:rPr>
        <w:t> </w:t>
      </w:r>
      <w:r w:rsidRPr="001775D9">
        <w:rPr>
          <w:i/>
          <w:iCs/>
          <w:szCs w:val="22"/>
        </w:rPr>
        <w:t>kg</w:t>
      </w:r>
    </w:p>
    <w:p w14:paraId="1706C95D" w14:textId="77777777" w:rsidR="000E4237" w:rsidRPr="001775D9" w:rsidRDefault="000E4237" w:rsidP="000E4237">
      <w:pPr>
        <w:numPr>
          <w:ilvl w:val="12"/>
          <w:numId w:val="0"/>
        </w:numPr>
        <w:tabs>
          <w:tab w:val="clear" w:pos="567"/>
          <w:tab w:val="left" w:pos="720"/>
        </w:tabs>
        <w:spacing w:line="240" w:lineRule="auto"/>
        <w:ind w:right="-2"/>
        <w:rPr>
          <w:szCs w:val="22"/>
        </w:rPr>
      </w:pPr>
    </w:p>
    <w:p w14:paraId="7A67A303" w14:textId="10E0B56A" w:rsidR="000E4237" w:rsidRPr="001775D9" w:rsidRDefault="000E4237" w:rsidP="000E4237">
      <w:pPr>
        <w:numPr>
          <w:ilvl w:val="12"/>
          <w:numId w:val="0"/>
        </w:numPr>
        <w:tabs>
          <w:tab w:val="clear" w:pos="567"/>
          <w:tab w:val="left" w:pos="720"/>
        </w:tabs>
        <w:spacing w:line="240" w:lineRule="auto"/>
        <w:ind w:right="-2"/>
        <w:rPr>
          <w:szCs w:val="22"/>
        </w:rPr>
      </w:pPr>
      <w:r w:rsidRPr="001775D9">
        <w:rPr>
          <w:szCs w:val="22"/>
        </w:rPr>
        <w:t>The usual AMGEVITA dose is 80 mg (as two 40 mg injections in one day) initially followed by 40 mg (as one 40 mg injection) two weeks later. Thereafter, the usual dose is 40 mg every other week.</w:t>
      </w:r>
    </w:p>
    <w:p w14:paraId="74E5AD10" w14:textId="77777777" w:rsidR="000E4237" w:rsidRPr="001775D9" w:rsidRDefault="000E4237" w:rsidP="000E4237">
      <w:pPr>
        <w:numPr>
          <w:ilvl w:val="12"/>
          <w:numId w:val="0"/>
        </w:numPr>
        <w:tabs>
          <w:tab w:val="clear" w:pos="567"/>
          <w:tab w:val="left" w:pos="720"/>
        </w:tabs>
        <w:spacing w:line="240" w:lineRule="auto"/>
        <w:ind w:right="-2"/>
        <w:rPr>
          <w:szCs w:val="22"/>
        </w:rPr>
      </w:pPr>
    </w:p>
    <w:p w14:paraId="2A2D2C22" w14:textId="77777777" w:rsidR="000E4237" w:rsidRPr="001775D9" w:rsidRDefault="000E4237" w:rsidP="000E4237">
      <w:pPr>
        <w:numPr>
          <w:ilvl w:val="12"/>
          <w:numId w:val="0"/>
        </w:numPr>
        <w:tabs>
          <w:tab w:val="clear" w:pos="567"/>
          <w:tab w:val="left" w:pos="720"/>
        </w:tabs>
        <w:spacing w:line="240" w:lineRule="auto"/>
        <w:ind w:right="-2"/>
        <w:rPr>
          <w:szCs w:val="22"/>
        </w:rPr>
      </w:pPr>
      <w:r w:rsidRPr="001775D9">
        <w:rPr>
          <w:szCs w:val="22"/>
        </w:rPr>
        <w:t>Patients who turn 18 years of age while on 40 mg every other week, should continue their prescribed dose.</w:t>
      </w:r>
    </w:p>
    <w:p w14:paraId="2202EECB" w14:textId="77777777" w:rsidR="000E4237" w:rsidRPr="001775D9" w:rsidRDefault="000E4237" w:rsidP="000E4237">
      <w:pPr>
        <w:numPr>
          <w:ilvl w:val="12"/>
          <w:numId w:val="0"/>
        </w:numPr>
        <w:tabs>
          <w:tab w:val="clear" w:pos="567"/>
          <w:tab w:val="left" w:pos="720"/>
        </w:tabs>
        <w:spacing w:line="240" w:lineRule="auto"/>
        <w:ind w:right="-2"/>
        <w:rPr>
          <w:szCs w:val="22"/>
        </w:rPr>
      </w:pPr>
    </w:p>
    <w:p w14:paraId="658F9E70" w14:textId="77777777" w:rsidR="000E4237" w:rsidRPr="001775D9" w:rsidRDefault="000E4237" w:rsidP="000E4237">
      <w:pPr>
        <w:numPr>
          <w:ilvl w:val="12"/>
          <w:numId w:val="0"/>
        </w:numPr>
        <w:tabs>
          <w:tab w:val="clear" w:pos="567"/>
          <w:tab w:val="left" w:pos="720"/>
        </w:tabs>
        <w:spacing w:line="240" w:lineRule="auto"/>
        <w:ind w:right="-2"/>
        <w:rPr>
          <w:i/>
          <w:iCs/>
          <w:szCs w:val="22"/>
        </w:rPr>
      </w:pPr>
      <w:r w:rsidRPr="001775D9">
        <w:rPr>
          <w:i/>
          <w:iCs/>
          <w:szCs w:val="22"/>
        </w:rPr>
        <w:t>Children and adolescents from 6 years of age weighing 40</w:t>
      </w:r>
      <w:r w:rsidRPr="001775D9">
        <w:rPr>
          <w:szCs w:val="22"/>
        </w:rPr>
        <w:t> </w:t>
      </w:r>
      <w:r w:rsidRPr="001775D9">
        <w:rPr>
          <w:i/>
          <w:iCs/>
          <w:szCs w:val="22"/>
        </w:rPr>
        <w:t>kg or more</w:t>
      </w:r>
    </w:p>
    <w:p w14:paraId="51BE0D79" w14:textId="77777777" w:rsidR="000E4237" w:rsidRPr="001775D9" w:rsidRDefault="000E4237" w:rsidP="000E4237">
      <w:pPr>
        <w:numPr>
          <w:ilvl w:val="12"/>
          <w:numId w:val="0"/>
        </w:numPr>
        <w:tabs>
          <w:tab w:val="clear" w:pos="567"/>
          <w:tab w:val="left" w:pos="720"/>
        </w:tabs>
        <w:spacing w:line="240" w:lineRule="auto"/>
        <w:ind w:right="-2"/>
        <w:rPr>
          <w:szCs w:val="22"/>
        </w:rPr>
      </w:pPr>
    </w:p>
    <w:p w14:paraId="0317AC2F" w14:textId="77777777" w:rsidR="000E4237" w:rsidRPr="001775D9" w:rsidRDefault="000E4237" w:rsidP="000E4237">
      <w:pPr>
        <w:numPr>
          <w:ilvl w:val="12"/>
          <w:numId w:val="0"/>
        </w:numPr>
        <w:tabs>
          <w:tab w:val="clear" w:pos="567"/>
          <w:tab w:val="left" w:pos="720"/>
        </w:tabs>
        <w:spacing w:line="240" w:lineRule="auto"/>
        <w:ind w:right="-2"/>
        <w:rPr>
          <w:szCs w:val="22"/>
        </w:rPr>
      </w:pPr>
      <w:r w:rsidRPr="001775D9">
        <w:rPr>
          <w:szCs w:val="22"/>
        </w:rPr>
        <w:t>The usual AMGEVITA dose is 160 mg (as four 40 mg injections in one day or two 40 mg injections per day for two consecutive days) initially, followed by 80 mg (as two 40 mg injections in one day) two weeks later. Thereafter the usual dose is 80 mg every other week.</w:t>
      </w:r>
    </w:p>
    <w:p w14:paraId="3E3536A7" w14:textId="77777777" w:rsidR="000E4237" w:rsidRPr="001775D9" w:rsidRDefault="000E4237" w:rsidP="000E4237">
      <w:pPr>
        <w:numPr>
          <w:ilvl w:val="12"/>
          <w:numId w:val="0"/>
        </w:numPr>
        <w:tabs>
          <w:tab w:val="clear" w:pos="567"/>
          <w:tab w:val="left" w:pos="720"/>
        </w:tabs>
        <w:spacing w:line="240" w:lineRule="auto"/>
        <w:ind w:right="-2"/>
        <w:rPr>
          <w:szCs w:val="22"/>
        </w:rPr>
      </w:pPr>
    </w:p>
    <w:p w14:paraId="1A7E8BA0" w14:textId="5B8B2566" w:rsidR="000E4237" w:rsidRPr="001775D9" w:rsidRDefault="000E4237" w:rsidP="000E4237">
      <w:pPr>
        <w:numPr>
          <w:ilvl w:val="12"/>
          <w:numId w:val="0"/>
        </w:numPr>
        <w:tabs>
          <w:tab w:val="clear" w:pos="567"/>
          <w:tab w:val="left" w:pos="720"/>
        </w:tabs>
        <w:spacing w:line="240" w:lineRule="auto"/>
        <w:ind w:right="-2"/>
        <w:rPr>
          <w:szCs w:val="22"/>
        </w:rPr>
      </w:pPr>
      <w:r w:rsidRPr="001775D9">
        <w:rPr>
          <w:szCs w:val="22"/>
        </w:rPr>
        <w:t>Patients who turn 18 years of age while on 80 mg every other week, should continue their prescribed dose.</w:t>
      </w:r>
    </w:p>
    <w:p w14:paraId="0426A0A3" w14:textId="77777777" w:rsidR="00244C28" w:rsidRPr="001775D9" w:rsidRDefault="00244C28" w:rsidP="000E4237">
      <w:pPr>
        <w:numPr>
          <w:ilvl w:val="12"/>
          <w:numId w:val="0"/>
        </w:numPr>
        <w:tabs>
          <w:tab w:val="clear" w:pos="567"/>
          <w:tab w:val="left" w:pos="720"/>
        </w:tabs>
        <w:spacing w:line="240" w:lineRule="auto"/>
        <w:ind w:right="-2"/>
        <w:rPr>
          <w:szCs w:val="22"/>
        </w:rPr>
      </w:pPr>
    </w:p>
    <w:p w14:paraId="1309AA54" w14:textId="77777777" w:rsidR="009F7AE3" w:rsidRPr="001775D9" w:rsidRDefault="009F7AE3"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Adults with non-infectious uveitis</w:t>
      </w:r>
    </w:p>
    <w:p w14:paraId="74D81C8C" w14:textId="77777777" w:rsidR="009F7AE3" w:rsidRPr="001775D9" w:rsidRDefault="009F7AE3" w:rsidP="00FB5458">
      <w:pPr>
        <w:keepNext/>
        <w:tabs>
          <w:tab w:val="clear" w:pos="567"/>
        </w:tabs>
        <w:autoSpaceDE w:val="0"/>
        <w:autoSpaceDN w:val="0"/>
        <w:adjustRightInd w:val="0"/>
        <w:spacing w:line="240" w:lineRule="auto"/>
        <w:rPr>
          <w:szCs w:val="22"/>
          <w:lang w:eastAsia="en-GB"/>
        </w:rPr>
      </w:pPr>
    </w:p>
    <w:p w14:paraId="21CC245E" w14:textId="77777777" w:rsidR="009F7AE3" w:rsidRPr="001775D9" w:rsidRDefault="009F7AE3" w:rsidP="00FB5458">
      <w:pPr>
        <w:tabs>
          <w:tab w:val="clear" w:pos="567"/>
        </w:tabs>
        <w:autoSpaceDE w:val="0"/>
        <w:autoSpaceDN w:val="0"/>
        <w:adjustRightInd w:val="0"/>
        <w:spacing w:line="240" w:lineRule="auto"/>
        <w:rPr>
          <w:szCs w:val="22"/>
          <w:lang w:eastAsia="en-GB"/>
        </w:rPr>
      </w:pPr>
      <w:r w:rsidRPr="001775D9">
        <w:rPr>
          <w:szCs w:val="22"/>
          <w:lang w:eastAsia="en-GB"/>
        </w:rPr>
        <w:t>The usual dose for adults with non-infectious uveitis is an initial dose of 80 mg</w:t>
      </w:r>
      <w:r w:rsidR="00E2388D" w:rsidRPr="001775D9">
        <w:rPr>
          <w:szCs w:val="22"/>
          <w:lang w:eastAsia="en-GB"/>
        </w:rPr>
        <w:t xml:space="preserve"> </w:t>
      </w:r>
      <w:r w:rsidR="00E2388D" w:rsidRPr="001775D9">
        <w:rPr>
          <w:szCs w:val="22"/>
        </w:rPr>
        <w:t>(as two 40</w:t>
      </w:r>
      <w:r w:rsidR="00E2388D" w:rsidRPr="001775D9">
        <w:rPr>
          <w:szCs w:val="22"/>
          <w:lang w:eastAsia="en-GB"/>
        </w:rPr>
        <w:t> </w:t>
      </w:r>
      <w:r w:rsidR="00E2388D" w:rsidRPr="001775D9">
        <w:rPr>
          <w:szCs w:val="22"/>
        </w:rPr>
        <w:t>mg injections in one day)</w:t>
      </w:r>
      <w:r w:rsidRPr="001775D9">
        <w:rPr>
          <w:szCs w:val="22"/>
          <w:lang w:eastAsia="en-GB"/>
        </w:rPr>
        <w:t>, followed by 40 mg given every other week starting one week after the initial dose. You should continue to inject AMGEVITA for as long as your doctor has told you.</w:t>
      </w:r>
    </w:p>
    <w:p w14:paraId="2F9BE737" w14:textId="77777777" w:rsidR="009F7AE3" w:rsidRPr="001775D9" w:rsidRDefault="009F7AE3" w:rsidP="00FB5458">
      <w:pPr>
        <w:tabs>
          <w:tab w:val="clear" w:pos="567"/>
        </w:tabs>
        <w:autoSpaceDE w:val="0"/>
        <w:autoSpaceDN w:val="0"/>
        <w:adjustRightInd w:val="0"/>
        <w:spacing w:line="240" w:lineRule="auto"/>
        <w:rPr>
          <w:szCs w:val="22"/>
          <w:lang w:eastAsia="en-GB"/>
        </w:rPr>
      </w:pPr>
    </w:p>
    <w:p w14:paraId="0B02043F" w14:textId="77777777" w:rsidR="009F7AE3" w:rsidRPr="001775D9" w:rsidRDefault="009F7AE3" w:rsidP="00FB5458">
      <w:pPr>
        <w:tabs>
          <w:tab w:val="clear" w:pos="567"/>
        </w:tabs>
        <w:autoSpaceDE w:val="0"/>
        <w:autoSpaceDN w:val="0"/>
        <w:adjustRightInd w:val="0"/>
        <w:spacing w:line="240" w:lineRule="auto"/>
        <w:rPr>
          <w:szCs w:val="22"/>
          <w:lang w:eastAsia="en-GB"/>
        </w:rPr>
      </w:pPr>
      <w:r w:rsidRPr="001775D9">
        <w:rPr>
          <w:szCs w:val="22"/>
          <w:lang w:eastAsia="en-GB"/>
        </w:rPr>
        <w:t>In non-infectious uveitis, corticosteroids or other medicines that influence the immune system may be continued while using AMGEVITA. AMGEVITA can also be given alone.</w:t>
      </w:r>
    </w:p>
    <w:p w14:paraId="6769A180"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5A65A9AE" w14:textId="77777777" w:rsidR="00F62574" w:rsidRPr="001775D9" w:rsidRDefault="00F62574" w:rsidP="007608A7">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Children and adolescents with chronic non-infectious uveitis from 2 years of age</w:t>
      </w:r>
    </w:p>
    <w:p w14:paraId="092B4D8F" w14:textId="77777777" w:rsidR="00F62574" w:rsidRPr="001775D9" w:rsidRDefault="00F62574" w:rsidP="007608A7">
      <w:pPr>
        <w:keepNext/>
        <w:tabs>
          <w:tab w:val="clear" w:pos="567"/>
        </w:tabs>
        <w:autoSpaceDE w:val="0"/>
        <w:autoSpaceDN w:val="0"/>
        <w:adjustRightInd w:val="0"/>
        <w:spacing w:line="240" w:lineRule="auto"/>
        <w:rPr>
          <w:szCs w:val="22"/>
          <w:lang w:eastAsia="en-GB"/>
        </w:rPr>
      </w:pPr>
    </w:p>
    <w:p w14:paraId="5D4B1627" w14:textId="77777777" w:rsidR="00F62574" w:rsidRPr="001775D9" w:rsidRDefault="00F62574" w:rsidP="007608A7">
      <w:pPr>
        <w:keepNext/>
        <w:tabs>
          <w:tab w:val="clear" w:pos="567"/>
        </w:tabs>
        <w:autoSpaceDE w:val="0"/>
        <w:autoSpaceDN w:val="0"/>
        <w:adjustRightInd w:val="0"/>
        <w:spacing w:line="240" w:lineRule="auto"/>
        <w:rPr>
          <w:i/>
          <w:szCs w:val="22"/>
          <w:lang w:eastAsia="en-GB"/>
        </w:rPr>
      </w:pPr>
      <w:r w:rsidRPr="001775D9">
        <w:rPr>
          <w:i/>
          <w:szCs w:val="22"/>
          <w:lang w:eastAsia="en-GB"/>
        </w:rPr>
        <w:t>Children and adolescents from 2 years of age weighing less than 30</w:t>
      </w:r>
      <w:r w:rsidR="00F3748B" w:rsidRPr="001775D9">
        <w:rPr>
          <w:szCs w:val="22"/>
          <w:lang w:eastAsia="en-GB"/>
        </w:rPr>
        <w:t> </w:t>
      </w:r>
      <w:r w:rsidRPr="001775D9">
        <w:rPr>
          <w:i/>
          <w:szCs w:val="22"/>
          <w:lang w:eastAsia="en-GB"/>
        </w:rPr>
        <w:t>kg</w:t>
      </w:r>
    </w:p>
    <w:p w14:paraId="249DC0A5" w14:textId="77777777" w:rsidR="00F62574" w:rsidRPr="001775D9" w:rsidRDefault="00F62574" w:rsidP="007608A7">
      <w:pPr>
        <w:keepNext/>
        <w:tabs>
          <w:tab w:val="clear" w:pos="567"/>
        </w:tabs>
        <w:autoSpaceDE w:val="0"/>
        <w:autoSpaceDN w:val="0"/>
        <w:adjustRightInd w:val="0"/>
        <w:spacing w:line="240" w:lineRule="auto"/>
        <w:rPr>
          <w:szCs w:val="22"/>
          <w:lang w:eastAsia="en-GB"/>
        </w:rPr>
      </w:pPr>
    </w:p>
    <w:p w14:paraId="52F431B0" w14:textId="77777777" w:rsidR="00F62574" w:rsidRPr="001775D9" w:rsidRDefault="00F62574" w:rsidP="007608A7">
      <w:pPr>
        <w:keepNext/>
        <w:tabs>
          <w:tab w:val="clear" w:pos="567"/>
        </w:tabs>
        <w:autoSpaceDE w:val="0"/>
        <w:autoSpaceDN w:val="0"/>
        <w:adjustRightInd w:val="0"/>
        <w:spacing w:line="240" w:lineRule="auto"/>
        <w:rPr>
          <w:szCs w:val="22"/>
          <w:lang w:eastAsia="en-GB"/>
        </w:rPr>
      </w:pPr>
      <w:r w:rsidRPr="001775D9">
        <w:rPr>
          <w:szCs w:val="22"/>
          <w:lang w:eastAsia="en-GB"/>
        </w:rPr>
        <w:t>The usual dose of AMGEVITA is 20</w:t>
      </w:r>
      <w:r w:rsidR="00F3748B" w:rsidRPr="001775D9">
        <w:rPr>
          <w:szCs w:val="22"/>
          <w:lang w:eastAsia="en-GB"/>
        </w:rPr>
        <w:t> </w:t>
      </w:r>
      <w:r w:rsidRPr="001775D9">
        <w:rPr>
          <w:szCs w:val="22"/>
          <w:lang w:eastAsia="en-GB"/>
        </w:rPr>
        <w:t>mg every other week with methotrexate.</w:t>
      </w:r>
    </w:p>
    <w:p w14:paraId="7D230C2B"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4496C8A7" w14:textId="77777777" w:rsidR="00F62574" w:rsidRPr="001775D9" w:rsidRDefault="00F62574" w:rsidP="00F62574">
      <w:pPr>
        <w:tabs>
          <w:tab w:val="clear" w:pos="567"/>
        </w:tabs>
        <w:autoSpaceDE w:val="0"/>
        <w:autoSpaceDN w:val="0"/>
        <w:adjustRightInd w:val="0"/>
        <w:spacing w:line="240" w:lineRule="auto"/>
        <w:rPr>
          <w:szCs w:val="22"/>
          <w:lang w:eastAsia="en-GB"/>
        </w:rPr>
      </w:pPr>
      <w:r w:rsidRPr="001775D9">
        <w:rPr>
          <w:szCs w:val="22"/>
          <w:lang w:eastAsia="en-GB"/>
        </w:rPr>
        <w:t>Your doctor may also prescribe an initial dose of 40</w:t>
      </w:r>
      <w:r w:rsidR="00F3748B" w:rsidRPr="001775D9">
        <w:rPr>
          <w:szCs w:val="22"/>
          <w:lang w:eastAsia="en-GB"/>
        </w:rPr>
        <w:t> </w:t>
      </w:r>
      <w:r w:rsidRPr="001775D9">
        <w:rPr>
          <w:szCs w:val="22"/>
          <w:lang w:eastAsia="en-GB"/>
        </w:rPr>
        <w:t>mg which may be administered one week prior to the start of the usual dose.</w:t>
      </w:r>
    </w:p>
    <w:p w14:paraId="679C9265"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7CA923D3" w14:textId="77777777" w:rsidR="00F62574" w:rsidRPr="001775D9" w:rsidRDefault="00F62574" w:rsidP="00E26D69">
      <w:pPr>
        <w:keepNext/>
        <w:tabs>
          <w:tab w:val="clear" w:pos="567"/>
        </w:tabs>
        <w:autoSpaceDE w:val="0"/>
        <w:autoSpaceDN w:val="0"/>
        <w:adjustRightInd w:val="0"/>
        <w:spacing w:line="240" w:lineRule="auto"/>
        <w:rPr>
          <w:i/>
          <w:szCs w:val="22"/>
          <w:lang w:eastAsia="en-GB"/>
        </w:rPr>
      </w:pPr>
      <w:r w:rsidRPr="001775D9">
        <w:rPr>
          <w:i/>
          <w:szCs w:val="22"/>
          <w:lang w:eastAsia="en-GB"/>
        </w:rPr>
        <w:t>Children and adolescents from 2 years of age weighing 30</w:t>
      </w:r>
      <w:r w:rsidR="00F3748B" w:rsidRPr="001775D9">
        <w:rPr>
          <w:szCs w:val="22"/>
          <w:lang w:eastAsia="en-GB"/>
        </w:rPr>
        <w:t> </w:t>
      </w:r>
      <w:r w:rsidRPr="001775D9">
        <w:rPr>
          <w:i/>
          <w:szCs w:val="22"/>
          <w:lang w:eastAsia="en-GB"/>
        </w:rPr>
        <w:t>kg or more</w:t>
      </w:r>
    </w:p>
    <w:p w14:paraId="7FD04E82" w14:textId="77777777" w:rsidR="00F62574" w:rsidRPr="001775D9" w:rsidRDefault="00F62574" w:rsidP="00E26D69">
      <w:pPr>
        <w:keepNext/>
        <w:tabs>
          <w:tab w:val="clear" w:pos="567"/>
        </w:tabs>
        <w:autoSpaceDE w:val="0"/>
        <w:autoSpaceDN w:val="0"/>
        <w:adjustRightInd w:val="0"/>
        <w:spacing w:line="240" w:lineRule="auto"/>
        <w:rPr>
          <w:szCs w:val="22"/>
          <w:lang w:eastAsia="en-GB"/>
        </w:rPr>
      </w:pPr>
    </w:p>
    <w:p w14:paraId="7560D0FA" w14:textId="77777777" w:rsidR="00F62574" w:rsidRPr="001775D9" w:rsidRDefault="00F62574" w:rsidP="00E26D69">
      <w:pPr>
        <w:keepNext/>
        <w:tabs>
          <w:tab w:val="clear" w:pos="567"/>
        </w:tabs>
        <w:autoSpaceDE w:val="0"/>
        <w:autoSpaceDN w:val="0"/>
        <w:adjustRightInd w:val="0"/>
        <w:spacing w:line="240" w:lineRule="auto"/>
        <w:rPr>
          <w:szCs w:val="22"/>
          <w:lang w:eastAsia="en-GB"/>
        </w:rPr>
      </w:pPr>
      <w:r w:rsidRPr="001775D9">
        <w:rPr>
          <w:szCs w:val="22"/>
          <w:lang w:eastAsia="en-GB"/>
        </w:rPr>
        <w:t>The usual dose of AMGEVITA is 40</w:t>
      </w:r>
      <w:r w:rsidR="00F3748B" w:rsidRPr="001775D9">
        <w:rPr>
          <w:szCs w:val="22"/>
          <w:lang w:eastAsia="en-GB"/>
        </w:rPr>
        <w:t> </w:t>
      </w:r>
      <w:r w:rsidRPr="001775D9">
        <w:rPr>
          <w:szCs w:val="22"/>
          <w:lang w:eastAsia="en-GB"/>
        </w:rPr>
        <w:t>mg every other week with methotrexate.</w:t>
      </w:r>
    </w:p>
    <w:p w14:paraId="1E3DFB7C" w14:textId="77777777" w:rsidR="00F62574" w:rsidRPr="001775D9" w:rsidRDefault="00F62574" w:rsidP="00F62574">
      <w:pPr>
        <w:tabs>
          <w:tab w:val="clear" w:pos="567"/>
        </w:tabs>
        <w:autoSpaceDE w:val="0"/>
        <w:autoSpaceDN w:val="0"/>
        <w:adjustRightInd w:val="0"/>
        <w:spacing w:line="240" w:lineRule="auto"/>
        <w:rPr>
          <w:szCs w:val="22"/>
          <w:lang w:eastAsia="en-GB"/>
        </w:rPr>
      </w:pPr>
    </w:p>
    <w:p w14:paraId="4AE596D8" w14:textId="77777777" w:rsidR="00721CB1" w:rsidRPr="001775D9" w:rsidRDefault="00F62574" w:rsidP="00F62574">
      <w:pPr>
        <w:numPr>
          <w:ilvl w:val="12"/>
          <w:numId w:val="0"/>
        </w:numPr>
        <w:tabs>
          <w:tab w:val="clear" w:pos="567"/>
        </w:tabs>
        <w:spacing w:line="240" w:lineRule="auto"/>
        <w:ind w:right="-2"/>
        <w:rPr>
          <w:szCs w:val="22"/>
        </w:rPr>
      </w:pPr>
      <w:r w:rsidRPr="001775D9">
        <w:rPr>
          <w:szCs w:val="22"/>
          <w:lang w:eastAsia="en-GB"/>
        </w:rPr>
        <w:t>Your doctor may also prescribe an initial dose of 80</w:t>
      </w:r>
      <w:r w:rsidR="00F3748B" w:rsidRPr="001775D9">
        <w:rPr>
          <w:szCs w:val="22"/>
          <w:lang w:eastAsia="en-GB"/>
        </w:rPr>
        <w:t> </w:t>
      </w:r>
      <w:r w:rsidRPr="001775D9">
        <w:rPr>
          <w:szCs w:val="22"/>
          <w:lang w:eastAsia="en-GB"/>
        </w:rPr>
        <w:t>mg which may be administered one week prior to the start of the usual dose.</w:t>
      </w:r>
    </w:p>
    <w:p w14:paraId="64D8AB4B" w14:textId="77777777" w:rsidR="00F62574" w:rsidRPr="00D55B59" w:rsidRDefault="00F62574" w:rsidP="00FB5458">
      <w:pPr>
        <w:pStyle w:val="Default"/>
        <w:rPr>
          <w:b/>
          <w:bCs/>
          <w:sz w:val="22"/>
          <w:szCs w:val="22"/>
          <w:lang w:val="en-GB"/>
          <w:rPrChange w:id="2980" w:author="Author">
            <w:rPr>
              <w:b/>
              <w:bCs/>
              <w:sz w:val="22"/>
              <w:szCs w:val="22"/>
            </w:rPr>
          </w:rPrChange>
        </w:rPr>
      </w:pPr>
    </w:p>
    <w:p w14:paraId="67303961" w14:textId="77777777" w:rsidR="00C42229" w:rsidRPr="00D55B59" w:rsidRDefault="00C42229" w:rsidP="00FB5458">
      <w:pPr>
        <w:pStyle w:val="Default"/>
        <w:rPr>
          <w:sz w:val="22"/>
          <w:szCs w:val="22"/>
          <w:lang w:val="en-GB"/>
          <w:rPrChange w:id="2981" w:author="Author">
            <w:rPr>
              <w:sz w:val="22"/>
              <w:szCs w:val="22"/>
            </w:rPr>
          </w:rPrChange>
        </w:rPr>
      </w:pPr>
      <w:r w:rsidRPr="00D55B59">
        <w:rPr>
          <w:b/>
          <w:bCs/>
          <w:sz w:val="22"/>
          <w:szCs w:val="22"/>
          <w:lang w:val="en-GB"/>
          <w:rPrChange w:id="2982" w:author="Author">
            <w:rPr>
              <w:b/>
              <w:bCs/>
              <w:sz w:val="22"/>
              <w:szCs w:val="22"/>
            </w:rPr>
          </w:rPrChange>
        </w:rPr>
        <w:t xml:space="preserve">Method and route of administration </w:t>
      </w:r>
    </w:p>
    <w:p w14:paraId="401635F9" w14:textId="77777777" w:rsidR="00C42229" w:rsidRPr="001775D9" w:rsidRDefault="00C42229" w:rsidP="00FB5458">
      <w:pPr>
        <w:numPr>
          <w:ilvl w:val="12"/>
          <w:numId w:val="0"/>
        </w:numPr>
        <w:tabs>
          <w:tab w:val="clear" w:pos="567"/>
        </w:tabs>
        <w:spacing w:line="240" w:lineRule="auto"/>
        <w:ind w:right="-2"/>
        <w:rPr>
          <w:szCs w:val="22"/>
        </w:rPr>
      </w:pPr>
    </w:p>
    <w:p w14:paraId="2F217556" w14:textId="6D7EF16B" w:rsidR="00C42229" w:rsidRPr="001775D9" w:rsidRDefault="005D0F44" w:rsidP="00FB5458">
      <w:pPr>
        <w:numPr>
          <w:ilvl w:val="12"/>
          <w:numId w:val="0"/>
        </w:numPr>
        <w:tabs>
          <w:tab w:val="clear" w:pos="567"/>
        </w:tabs>
        <w:spacing w:line="240" w:lineRule="auto"/>
        <w:ind w:right="-2"/>
        <w:rPr>
          <w:szCs w:val="22"/>
        </w:rPr>
      </w:pPr>
      <w:r w:rsidRPr="001775D9">
        <w:rPr>
          <w:szCs w:val="22"/>
        </w:rPr>
        <w:t>AMGEVITA</w:t>
      </w:r>
      <w:r w:rsidR="00C42229" w:rsidRPr="001775D9">
        <w:rPr>
          <w:szCs w:val="22"/>
        </w:rPr>
        <w:t xml:space="preserve"> is administered by injection under the skin (subcutaneous injection). </w:t>
      </w:r>
    </w:p>
    <w:p w14:paraId="3A008E48" w14:textId="425F3619" w:rsidR="00076ABE" w:rsidRPr="001775D9" w:rsidRDefault="00076ABE" w:rsidP="008415E1">
      <w:pPr>
        <w:numPr>
          <w:ilvl w:val="12"/>
          <w:numId w:val="0"/>
        </w:numPr>
        <w:tabs>
          <w:tab w:val="clear" w:pos="567"/>
        </w:tabs>
        <w:spacing w:line="240" w:lineRule="auto"/>
        <w:ind w:right="-2"/>
        <w:rPr>
          <w:szCs w:val="22"/>
        </w:rPr>
      </w:pPr>
    </w:p>
    <w:p w14:paraId="1A5DD6C7" w14:textId="00E2146A" w:rsidR="00076ABE" w:rsidRPr="001775D9" w:rsidRDefault="00076ABE" w:rsidP="008415E1">
      <w:pPr>
        <w:numPr>
          <w:ilvl w:val="12"/>
          <w:numId w:val="0"/>
        </w:numPr>
        <w:tabs>
          <w:tab w:val="clear" w:pos="567"/>
        </w:tabs>
        <w:spacing w:line="240" w:lineRule="auto"/>
        <w:ind w:right="-2"/>
        <w:rPr>
          <w:szCs w:val="22"/>
        </w:rPr>
      </w:pPr>
      <w:r w:rsidRPr="001775D9">
        <w:rPr>
          <w:szCs w:val="22"/>
        </w:rPr>
        <w:t>Detailed instructions on how to inject AMGEVITA are provided in</w:t>
      </w:r>
      <w:r w:rsidR="00C360DF" w:rsidRPr="001775D9">
        <w:rPr>
          <w:szCs w:val="22"/>
        </w:rPr>
        <w:t xml:space="preserve"> “Instructions for use”</w:t>
      </w:r>
      <w:r w:rsidR="00853213" w:rsidRPr="001775D9">
        <w:rPr>
          <w:szCs w:val="22"/>
        </w:rPr>
        <w:t xml:space="preserve"> </w:t>
      </w:r>
      <w:r w:rsidRPr="001775D9">
        <w:rPr>
          <w:szCs w:val="22"/>
        </w:rPr>
        <w:t>section</w:t>
      </w:r>
      <w:r w:rsidR="00853213" w:rsidRPr="001775D9">
        <w:rPr>
          <w:szCs w:val="22"/>
        </w:rPr>
        <w:t>.</w:t>
      </w:r>
      <w:r w:rsidRPr="001775D9">
        <w:rPr>
          <w:szCs w:val="22"/>
        </w:rPr>
        <w:t xml:space="preserve"> </w:t>
      </w:r>
    </w:p>
    <w:p w14:paraId="319F42F4" w14:textId="77777777" w:rsidR="00C42229" w:rsidRPr="001775D9" w:rsidRDefault="00C42229" w:rsidP="008415E1">
      <w:pPr>
        <w:numPr>
          <w:ilvl w:val="12"/>
          <w:numId w:val="0"/>
        </w:numPr>
        <w:tabs>
          <w:tab w:val="clear" w:pos="567"/>
        </w:tabs>
        <w:spacing w:line="240" w:lineRule="auto"/>
        <w:ind w:right="-2"/>
        <w:rPr>
          <w:szCs w:val="22"/>
        </w:rPr>
      </w:pPr>
    </w:p>
    <w:p w14:paraId="45D854E5" w14:textId="03C97E3B" w:rsidR="00C42229" w:rsidRPr="001775D9" w:rsidRDefault="00C42229" w:rsidP="008415E1">
      <w:pPr>
        <w:numPr>
          <w:ilvl w:val="12"/>
          <w:numId w:val="0"/>
        </w:numPr>
        <w:tabs>
          <w:tab w:val="clear" w:pos="567"/>
        </w:tabs>
        <w:spacing w:line="240" w:lineRule="auto"/>
        <w:ind w:right="-2"/>
        <w:outlineLvl w:val="0"/>
        <w:rPr>
          <w:szCs w:val="22"/>
        </w:rPr>
      </w:pPr>
      <w:r w:rsidRPr="001775D9">
        <w:rPr>
          <w:b/>
          <w:szCs w:val="22"/>
        </w:rPr>
        <w:t xml:space="preserve">If you use more </w:t>
      </w:r>
      <w:r w:rsidR="005D0F44" w:rsidRPr="001775D9">
        <w:rPr>
          <w:b/>
          <w:szCs w:val="22"/>
        </w:rPr>
        <w:t>AMGEVITA</w:t>
      </w:r>
      <w:r w:rsidRPr="001775D9">
        <w:rPr>
          <w:b/>
          <w:szCs w:val="22"/>
        </w:rPr>
        <w:t xml:space="preserve"> than you should</w:t>
      </w:r>
      <w:r w:rsidR="001C55FB" w:rsidRPr="001775D9">
        <w:rPr>
          <w:b/>
          <w:szCs w:val="22"/>
        </w:rPr>
        <w:fldChar w:fldCharType="begin"/>
      </w:r>
      <w:r w:rsidR="001C55FB" w:rsidRPr="001775D9">
        <w:rPr>
          <w:b/>
          <w:szCs w:val="22"/>
        </w:rPr>
        <w:instrText xml:space="preserve"> DOCVARIABLE vault_nd_a4cb3570-3826-4b32-aa2b-b3f4b6bd215a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173DAF42" w14:textId="77777777" w:rsidR="00C42229" w:rsidRPr="001775D9" w:rsidRDefault="00C42229" w:rsidP="008415E1">
      <w:pPr>
        <w:numPr>
          <w:ilvl w:val="12"/>
          <w:numId w:val="0"/>
        </w:numPr>
        <w:tabs>
          <w:tab w:val="clear" w:pos="567"/>
        </w:tabs>
        <w:spacing w:line="240" w:lineRule="auto"/>
        <w:ind w:right="-2"/>
        <w:outlineLvl w:val="0"/>
        <w:rPr>
          <w:szCs w:val="22"/>
        </w:rPr>
      </w:pPr>
    </w:p>
    <w:p w14:paraId="34793731" w14:textId="5472F251" w:rsidR="00C42229" w:rsidRPr="001775D9" w:rsidRDefault="00C42229" w:rsidP="008415E1">
      <w:pPr>
        <w:numPr>
          <w:ilvl w:val="12"/>
          <w:numId w:val="0"/>
        </w:numPr>
        <w:tabs>
          <w:tab w:val="clear" w:pos="567"/>
        </w:tabs>
        <w:spacing w:line="240" w:lineRule="auto"/>
        <w:ind w:right="-2"/>
        <w:outlineLvl w:val="0"/>
        <w:rPr>
          <w:szCs w:val="22"/>
        </w:rPr>
      </w:pPr>
      <w:r w:rsidRPr="001775D9">
        <w:rPr>
          <w:szCs w:val="22"/>
        </w:rPr>
        <w:t xml:space="preserve">If you accidentally inject </w:t>
      </w:r>
      <w:r w:rsidR="005D0F44" w:rsidRPr="001775D9">
        <w:rPr>
          <w:szCs w:val="22"/>
        </w:rPr>
        <w:t>AMGEVITA</w:t>
      </w:r>
      <w:r w:rsidRPr="001775D9">
        <w:rPr>
          <w:szCs w:val="22"/>
        </w:rPr>
        <w:t xml:space="preserve"> more frequently than told to by your doctor or pharmacist, call your doctor or pharmacist and tell him/her that you have taken more. Always take the outer carton of </w:t>
      </w:r>
      <w:r w:rsidR="00745FCB" w:rsidRPr="001775D9">
        <w:rPr>
          <w:szCs w:val="22"/>
        </w:rPr>
        <w:t>th</w:t>
      </w:r>
      <w:r w:rsidR="006E5110" w:rsidRPr="001775D9">
        <w:rPr>
          <w:szCs w:val="22"/>
        </w:rPr>
        <w:t>is</w:t>
      </w:r>
      <w:r w:rsidR="00745FCB" w:rsidRPr="001775D9">
        <w:rPr>
          <w:szCs w:val="22"/>
        </w:rPr>
        <w:t xml:space="preserve"> </w:t>
      </w:r>
      <w:r w:rsidRPr="001775D9">
        <w:rPr>
          <w:szCs w:val="22"/>
        </w:rPr>
        <w:t>medicine with you, even if it is empty.</w:t>
      </w:r>
      <w:r w:rsidR="001C55FB" w:rsidRPr="001775D9">
        <w:rPr>
          <w:szCs w:val="22"/>
        </w:rPr>
        <w:fldChar w:fldCharType="begin"/>
      </w:r>
      <w:r w:rsidR="001C55FB" w:rsidRPr="001775D9">
        <w:rPr>
          <w:szCs w:val="22"/>
        </w:rPr>
        <w:instrText xml:space="preserve"> DOCVARIABLE vault_nd_943e0176-5602-407c-ae8c-8dcde47a5423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29471FD4" w14:textId="77777777" w:rsidR="00FD75A3" w:rsidRPr="001775D9" w:rsidRDefault="00FD75A3" w:rsidP="008415E1">
      <w:pPr>
        <w:numPr>
          <w:ilvl w:val="12"/>
          <w:numId w:val="0"/>
        </w:numPr>
        <w:tabs>
          <w:tab w:val="clear" w:pos="567"/>
        </w:tabs>
        <w:spacing w:line="240" w:lineRule="auto"/>
        <w:ind w:right="-2"/>
        <w:outlineLvl w:val="0"/>
        <w:rPr>
          <w:szCs w:val="22"/>
        </w:rPr>
      </w:pPr>
    </w:p>
    <w:p w14:paraId="289CD75E" w14:textId="7BA8C390" w:rsidR="00C42229" w:rsidRPr="001775D9" w:rsidRDefault="00C42229" w:rsidP="008415E1">
      <w:pPr>
        <w:keepNext/>
        <w:numPr>
          <w:ilvl w:val="12"/>
          <w:numId w:val="0"/>
        </w:numPr>
        <w:tabs>
          <w:tab w:val="clear" w:pos="567"/>
        </w:tabs>
        <w:spacing w:line="240" w:lineRule="auto"/>
        <w:outlineLvl w:val="0"/>
        <w:rPr>
          <w:b/>
          <w:szCs w:val="22"/>
        </w:rPr>
      </w:pPr>
      <w:r w:rsidRPr="001775D9">
        <w:rPr>
          <w:b/>
          <w:szCs w:val="22"/>
        </w:rPr>
        <w:t xml:space="preserve">If you forget to use </w:t>
      </w:r>
      <w:r w:rsidR="00745FCB" w:rsidRPr="001775D9">
        <w:rPr>
          <w:b/>
          <w:szCs w:val="22"/>
        </w:rPr>
        <w:t>AMGEVITA</w:t>
      </w:r>
      <w:r w:rsidR="001C55FB" w:rsidRPr="001775D9">
        <w:rPr>
          <w:b/>
          <w:szCs w:val="22"/>
        </w:rPr>
        <w:fldChar w:fldCharType="begin"/>
      </w:r>
      <w:r w:rsidR="001C55FB" w:rsidRPr="001775D9">
        <w:rPr>
          <w:b/>
          <w:szCs w:val="22"/>
        </w:rPr>
        <w:instrText xml:space="preserve"> DOCVARIABLE vault_nd_cfb82762-3820-4f02-b5f6-bcbd6c1032f6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3FEF257" w14:textId="77777777" w:rsidR="00C42229" w:rsidRPr="001775D9" w:rsidRDefault="00C42229" w:rsidP="008415E1">
      <w:pPr>
        <w:keepNext/>
        <w:numPr>
          <w:ilvl w:val="12"/>
          <w:numId w:val="0"/>
        </w:numPr>
        <w:tabs>
          <w:tab w:val="clear" w:pos="567"/>
        </w:tabs>
        <w:spacing w:line="240" w:lineRule="auto"/>
        <w:outlineLvl w:val="0"/>
        <w:rPr>
          <w:b/>
          <w:szCs w:val="22"/>
        </w:rPr>
      </w:pPr>
    </w:p>
    <w:p w14:paraId="06A3A822" w14:textId="3631A96A" w:rsidR="00C42229" w:rsidRPr="001775D9" w:rsidRDefault="00C42229" w:rsidP="008415E1">
      <w:pPr>
        <w:numPr>
          <w:ilvl w:val="12"/>
          <w:numId w:val="0"/>
        </w:numPr>
        <w:tabs>
          <w:tab w:val="clear" w:pos="567"/>
        </w:tabs>
        <w:spacing w:line="240" w:lineRule="auto"/>
        <w:ind w:right="-2"/>
        <w:outlineLvl w:val="0"/>
        <w:rPr>
          <w:szCs w:val="22"/>
        </w:rPr>
      </w:pPr>
      <w:r w:rsidRPr="001775D9">
        <w:rPr>
          <w:szCs w:val="22"/>
        </w:rPr>
        <w:t xml:space="preserve">If you forget to give yourself an injection, you should inject </w:t>
      </w:r>
      <w:r w:rsidR="00092BF6" w:rsidRPr="001775D9">
        <w:rPr>
          <w:szCs w:val="22"/>
        </w:rPr>
        <w:t>the next dose of AMGEVITA</w:t>
      </w:r>
      <w:r w:rsidRPr="001775D9">
        <w:rPr>
          <w:szCs w:val="22"/>
        </w:rPr>
        <w:t xml:space="preserve"> as soon as you remember. Then take your next dose as you would have on your originally scheduled day, had you not forgotten a dose.</w:t>
      </w:r>
      <w:r w:rsidR="001C55FB" w:rsidRPr="001775D9">
        <w:rPr>
          <w:szCs w:val="22"/>
        </w:rPr>
        <w:fldChar w:fldCharType="begin"/>
      </w:r>
      <w:r w:rsidR="001C55FB" w:rsidRPr="001775D9">
        <w:rPr>
          <w:szCs w:val="22"/>
        </w:rPr>
        <w:instrText xml:space="preserve"> DOCVARIABLE vault_nd_e53c85e0-7608-4092-a96e-c1a27d14f7ba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4F75E07D" w14:textId="77777777" w:rsidR="00C42229" w:rsidRPr="001775D9" w:rsidRDefault="00C42229" w:rsidP="008415E1">
      <w:pPr>
        <w:numPr>
          <w:ilvl w:val="12"/>
          <w:numId w:val="0"/>
        </w:numPr>
        <w:tabs>
          <w:tab w:val="clear" w:pos="567"/>
        </w:tabs>
        <w:spacing w:line="240" w:lineRule="auto"/>
        <w:ind w:right="-2"/>
        <w:rPr>
          <w:szCs w:val="22"/>
        </w:rPr>
      </w:pPr>
    </w:p>
    <w:p w14:paraId="783207D4" w14:textId="0B235C1C" w:rsidR="00C42229" w:rsidRPr="001775D9" w:rsidRDefault="00C42229" w:rsidP="008415E1">
      <w:pPr>
        <w:keepNext/>
        <w:numPr>
          <w:ilvl w:val="12"/>
          <w:numId w:val="0"/>
        </w:numPr>
        <w:tabs>
          <w:tab w:val="clear" w:pos="567"/>
        </w:tabs>
        <w:spacing w:line="240" w:lineRule="auto"/>
        <w:outlineLvl w:val="0"/>
        <w:rPr>
          <w:b/>
          <w:szCs w:val="22"/>
        </w:rPr>
      </w:pPr>
      <w:r w:rsidRPr="001775D9">
        <w:rPr>
          <w:b/>
          <w:szCs w:val="22"/>
        </w:rPr>
        <w:t xml:space="preserve">If you stop using </w:t>
      </w:r>
      <w:r w:rsidR="00745FCB" w:rsidRPr="001775D9">
        <w:rPr>
          <w:b/>
          <w:szCs w:val="22"/>
        </w:rPr>
        <w:t>AMGEVITA</w:t>
      </w:r>
      <w:r w:rsidR="001C55FB" w:rsidRPr="001775D9">
        <w:rPr>
          <w:b/>
          <w:szCs w:val="22"/>
        </w:rPr>
        <w:fldChar w:fldCharType="begin"/>
      </w:r>
      <w:r w:rsidR="001C55FB" w:rsidRPr="001775D9">
        <w:rPr>
          <w:b/>
          <w:szCs w:val="22"/>
        </w:rPr>
        <w:instrText xml:space="preserve"> DOCVARIABLE vault_nd_382adacf-f218-466e-9152-c8aa5631a5cf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26349DA" w14:textId="77777777" w:rsidR="00C42229" w:rsidRPr="001775D9" w:rsidRDefault="00C42229" w:rsidP="008415E1">
      <w:pPr>
        <w:keepNext/>
        <w:numPr>
          <w:ilvl w:val="12"/>
          <w:numId w:val="0"/>
        </w:numPr>
        <w:tabs>
          <w:tab w:val="clear" w:pos="567"/>
        </w:tabs>
        <w:spacing w:line="240" w:lineRule="auto"/>
        <w:outlineLvl w:val="0"/>
        <w:rPr>
          <w:b/>
          <w:szCs w:val="22"/>
        </w:rPr>
      </w:pPr>
    </w:p>
    <w:p w14:paraId="2614F129" w14:textId="0BDECBC1" w:rsidR="00C42229" w:rsidRPr="001775D9" w:rsidRDefault="00C42229" w:rsidP="008415E1">
      <w:pPr>
        <w:keepNext/>
        <w:numPr>
          <w:ilvl w:val="12"/>
          <w:numId w:val="0"/>
        </w:numPr>
        <w:tabs>
          <w:tab w:val="clear" w:pos="567"/>
        </w:tabs>
        <w:spacing w:line="240" w:lineRule="auto"/>
        <w:outlineLvl w:val="0"/>
        <w:rPr>
          <w:szCs w:val="22"/>
        </w:rPr>
      </w:pPr>
      <w:r w:rsidRPr="001775D9">
        <w:rPr>
          <w:szCs w:val="22"/>
        </w:rPr>
        <w:t xml:space="preserve">The decision to stop using </w:t>
      </w:r>
      <w:r w:rsidR="00745FCB" w:rsidRPr="001775D9">
        <w:rPr>
          <w:szCs w:val="22"/>
        </w:rPr>
        <w:t>AMGEVITA</w:t>
      </w:r>
      <w:r w:rsidRPr="001775D9">
        <w:rPr>
          <w:szCs w:val="22"/>
        </w:rPr>
        <w:t xml:space="preserve"> should be discussed with your doctor. Your symptoms may return upon discontinuation.</w:t>
      </w:r>
      <w:r w:rsidR="001C55FB" w:rsidRPr="001775D9">
        <w:rPr>
          <w:szCs w:val="22"/>
        </w:rPr>
        <w:fldChar w:fldCharType="begin"/>
      </w:r>
      <w:r w:rsidR="001C55FB" w:rsidRPr="001775D9">
        <w:rPr>
          <w:szCs w:val="22"/>
        </w:rPr>
        <w:instrText xml:space="preserve"> DOCVARIABLE vault_nd_c7137168-7e1a-4411-bb43-b9e50a8a3e66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0C7477E2" w14:textId="77777777" w:rsidR="00C42229" w:rsidRPr="001775D9" w:rsidRDefault="00C42229" w:rsidP="008415E1">
      <w:pPr>
        <w:numPr>
          <w:ilvl w:val="12"/>
          <w:numId w:val="0"/>
        </w:numPr>
        <w:tabs>
          <w:tab w:val="clear" w:pos="567"/>
        </w:tabs>
        <w:spacing w:line="240" w:lineRule="auto"/>
        <w:ind w:right="-2"/>
        <w:outlineLvl w:val="0"/>
        <w:rPr>
          <w:b/>
          <w:szCs w:val="22"/>
        </w:rPr>
      </w:pPr>
    </w:p>
    <w:p w14:paraId="6B27BF3D" w14:textId="77777777" w:rsidR="00C42229" w:rsidRPr="001775D9" w:rsidRDefault="00C42229" w:rsidP="008415E1">
      <w:pPr>
        <w:numPr>
          <w:ilvl w:val="12"/>
          <w:numId w:val="0"/>
        </w:numPr>
        <w:tabs>
          <w:tab w:val="clear" w:pos="567"/>
        </w:tabs>
        <w:spacing w:line="240" w:lineRule="auto"/>
        <w:ind w:right="-29"/>
      </w:pPr>
      <w:r w:rsidRPr="001775D9">
        <w:rPr>
          <w:szCs w:val="22"/>
        </w:rPr>
        <w:t xml:space="preserve">If you have any further questions on the use of this </w:t>
      </w:r>
      <w:r w:rsidR="00745FCB" w:rsidRPr="001775D9">
        <w:rPr>
          <w:szCs w:val="22"/>
        </w:rPr>
        <w:t>medicine</w:t>
      </w:r>
      <w:r w:rsidRPr="001775D9">
        <w:rPr>
          <w:szCs w:val="22"/>
        </w:rPr>
        <w:t>, ask your doctor or pharmacist</w:t>
      </w:r>
      <w:r w:rsidRPr="001775D9">
        <w:t>.</w:t>
      </w:r>
    </w:p>
    <w:p w14:paraId="6EE07274" w14:textId="77777777" w:rsidR="00C42229" w:rsidRPr="001775D9" w:rsidRDefault="00C42229" w:rsidP="008415E1">
      <w:pPr>
        <w:numPr>
          <w:ilvl w:val="12"/>
          <w:numId w:val="0"/>
        </w:numPr>
        <w:tabs>
          <w:tab w:val="clear" w:pos="567"/>
        </w:tabs>
        <w:spacing w:line="240" w:lineRule="auto"/>
      </w:pPr>
    </w:p>
    <w:p w14:paraId="3393D08A" w14:textId="77777777" w:rsidR="00F0088E" w:rsidRPr="001775D9" w:rsidRDefault="00F0088E" w:rsidP="008415E1">
      <w:pPr>
        <w:numPr>
          <w:ilvl w:val="12"/>
          <w:numId w:val="0"/>
        </w:numPr>
        <w:tabs>
          <w:tab w:val="clear" w:pos="567"/>
        </w:tabs>
        <w:spacing w:line="240" w:lineRule="auto"/>
      </w:pPr>
    </w:p>
    <w:p w14:paraId="48B41679" w14:textId="77777777" w:rsidR="00C42229" w:rsidRPr="001775D9" w:rsidRDefault="00C42229" w:rsidP="008415E1">
      <w:pPr>
        <w:keepNext/>
        <w:numPr>
          <w:ilvl w:val="12"/>
          <w:numId w:val="0"/>
        </w:numPr>
        <w:tabs>
          <w:tab w:val="clear" w:pos="567"/>
        </w:tabs>
        <w:spacing w:line="240" w:lineRule="auto"/>
        <w:ind w:left="567" w:right="-2" w:hanging="567"/>
      </w:pPr>
      <w:r w:rsidRPr="001775D9">
        <w:rPr>
          <w:b/>
        </w:rPr>
        <w:t>4.</w:t>
      </w:r>
      <w:r w:rsidRPr="001775D9">
        <w:rPr>
          <w:b/>
        </w:rPr>
        <w:tab/>
        <w:t>Possible side effects</w:t>
      </w:r>
    </w:p>
    <w:p w14:paraId="3FCEFFB7" w14:textId="77777777" w:rsidR="00C42229" w:rsidRPr="001775D9" w:rsidRDefault="00C42229" w:rsidP="008415E1">
      <w:pPr>
        <w:keepNext/>
        <w:numPr>
          <w:ilvl w:val="12"/>
          <w:numId w:val="0"/>
        </w:numPr>
        <w:tabs>
          <w:tab w:val="clear" w:pos="567"/>
        </w:tabs>
        <w:spacing w:line="240" w:lineRule="auto"/>
      </w:pPr>
    </w:p>
    <w:p w14:paraId="0334EE92" w14:textId="77777777" w:rsidR="00C42229" w:rsidRPr="001775D9" w:rsidRDefault="00C42229" w:rsidP="00B61D9D">
      <w:pPr>
        <w:keepNext/>
        <w:spacing w:line="240" w:lineRule="auto"/>
      </w:pPr>
      <w:r w:rsidRPr="001775D9">
        <w:t xml:space="preserve">Like all medicines, this medicine can cause side effects, although not everybody gets them. Most side effects are mild to moderate. However, some may be serious and require treatment. Side effects may occur at least up to 4 months after the last </w:t>
      </w:r>
      <w:r w:rsidR="00745FCB" w:rsidRPr="001775D9">
        <w:rPr>
          <w:szCs w:val="22"/>
        </w:rPr>
        <w:t>AMGEVITA</w:t>
      </w:r>
      <w:r w:rsidRPr="001775D9">
        <w:t xml:space="preserve"> injection. </w:t>
      </w:r>
    </w:p>
    <w:p w14:paraId="20B0F769" w14:textId="77777777" w:rsidR="00F62574" w:rsidRPr="00D55B59" w:rsidRDefault="00F62574" w:rsidP="008415E1">
      <w:pPr>
        <w:pStyle w:val="Default"/>
        <w:rPr>
          <w:sz w:val="22"/>
          <w:szCs w:val="22"/>
          <w:lang w:val="en-GB"/>
          <w:rPrChange w:id="2983" w:author="Author">
            <w:rPr>
              <w:sz w:val="22"/>
              <w:szCs w:val="22"/>
            </w:rPr>
          </w:rPrChange>
        </w:rPr>
      </w:pPr>
    </w:p>
    <w:p w14:paraId="40103C9B" w14:textId="67FC6CAE" w:rsidR="00F62574" w:rsidRPr="00D55B59" w:rsidRDefault="00F62574" w:rsidP="008415E1">
      <w:pPr>
        <w:pStyle w:val="Default"/>
        <w:rPr>
          <w:sz w:val="22"/>
          <w:szCs w:val="22"/>
          <w:lang w:val="en-GB"/>
          <w:rPrChange w:id="2984" w:author="Author">
            <w:rPr>
              <w:sz w:val="22"/>
              <w:szCs w:val="22"/>
            </w:rPr>
          </w:rPrChange>
        </w:rPr>
      </w:pPr>
      <w:r w:rsidRPr="00D55B59">
        <w:rPr>
          <w:sz w:val="22"/>
          <w:szCs w:val="22"/>
          <w:lang w:val="en-GB"/>
          <w:rPrChange w:id="2985" w:author="Author">
            <w:rPr>
              <w:sz w:val="22"/>
              <w:szCs w:val="22"/>
            </w:rPr>
          </w:rPrChange>
        </w:rPr>
        <w:t xml:space="preserve">Tell your doctor immediately if you notice any of the following </w:t>
      </w:r>
      <w:r w:rsidR="00076ABE" w:rsidRPr="00D55B59">
        <w:rPr>
          <w:sz w:val="22"/>
          <w:szCs w:val="22"/>
          <w:lang w:val="en-GB"/>
          <w:rPrChange w:id="2986" w:author="Author">
            <w:rPr>
              <w:sz w:val="22"/>
              <w:szCs w:val="22"/>
            </w:rPr>
          </w:rPrChange>
        </w:rPr>
        <w:t>signs of allergic reaction or heart failure:</w:t>
      </w:r>
    </w:p>
    <w:p w14:paraId="49F1DF66" w14:textId="77777777" w:rsidR="00C42229" w:rsidRPr="001775D9" w:rsidRDefault="006E5110" w:rsidP="00B61D9D">
      <w:pPr>
        <w:numPr>
          <w:ilvl w:val="0"/>
          <w:numId w:val="13"/>
        </w:numPr>
        <w:spacing w:line="240" w:lineRule="auto"/>
        <w:ind w:left="567" w:hanging="567"/>
      </w:pPr>
      <w:r w:rsidRPr="001775D9">
        <w:t>s</w:t>
      </w:r>
      <w:r w:rsidR="00C42229" w:rsidRPr="001775D9">
        <w:t xml:space="preserve">evere rash, hives or other signs of allergic reaction; </w:t>
      </w:r>
    </w:p>
    <w:p w14:paraId="5F1424C5" w14:textId="77777777" w:rsidR="00C42229" w:rsidRPr="001775D9" w:rsidRDefault="006E5110" w:rsidP="00B61D9D">
      <w:pPr>
        <w:numPr>
          <w:ilvl w:val="0"/>
          <w:numId w:val="13"/>
        </w:numPr>
        <w:spacing w:line="240" w:lineRule="auto"/>
        <w:ind w:left="567" w:hanging="567"/>
      </w:pPr>
      <w:r w:rsidRPr="001775D9">
        <w:t>s</w:t>
      </w:r>
      <w:r w:rsidR="00C42229" w:rsidRPr="001775D9">
        <w:t xml:space="preserve">wollen face, hands, feet; </w:t>
      </w:r>
    </w:p>
    <w:p w14:paraId="22D375CE" w14:textId="77777777" w:rsidR="00C42229" w:rsidRPr="001775D9" w:rsidRDefault="006E5110" w:rsidP="00B61D9D">
      <w:pPr>
        <w:numPr>
          <w:ilvl w:val="0"/>
          <w:numId w:val="13"/>
        </w:numPr>
        <w:spacing w:line="240" w:lineRule="auto"/>
        <w:ind w:left="567" w:hanging="567"/>
      </w:pPr>
      <w:r w:rsidRPr="001775D9">
        <w:t>t</w:t>
      </w:r>
      <w:r w:rsidR="00C42229" w:rsidRPr="001775D9">
        <w:t xml:space="preserve">rouble breathing, swallowing; </w:t>
      </w:r>
    </w:p>
    <w:p w14:paraId="255B2A51" w14:textId="77777777" w:rsidR="00C42229" w:rsidRPr="001775D9" w:rsidRDefault="006E5110" w:rsidP="00B61D9D">
      <w:pPr>
        <w:numPr>
          <w:ilvl w:val="0"/>
          <w:numId w:val="13"/>
        </w:numPr>
        <w:spacing w:line="240" w:lineRule="auto"/>
        <w:ind w:left="567" w:hanging="567"/>
      </w:pPr>
      <w:r w:rsidRPr="001775D9">
        <w:t>s</w:t>
      </w:r>
      <w:r w:rsidR="00C42229" w:rsidRPr="001775D9">
        <w:t>hortness of breath with exertion or upon lying down or swelling of the feet</w:t>
      </w:r>
      <w:r w:rsidR="00745FCB" w:rsidRPr="001775D9">
        <w:t>.</w:t>
      </w:r>
    </w:p>
    <w:p w14:paraId="35732E08" w14:textId="77777777" w:rsidR="00C42229" w:rsidRPr="00D55B59" w:rsidRDefault="00C42229" w:rsidP="008415E1">
      <w:pPr>
        <w:pStyle w:val="Default"/>
        <w:rPr>
          <w:sz w:val="22"/>
          <w:szCs w:val="22"/>
          <w:lang w:val="en-GB"/>
          <w:rPrChange w:id="2987" w:author="Author">
            <w:rPr>
              <w:sz w:val="22"/>
              <w:szCs w:val="22"/>
            </w:rPr>
          </w:rPrChange>
        </w:rPr>
      </w:pPr>
    </w:p>
    <w:p w14:paraId="1EB9C31F" w14:textId="17CAF525" w:rsidR="00F62574" w:rsidRPr="00D55B59" w:rsidRDefault="00F62574" w:rsidP="008415E1">
      <w:pPr>
        <w:pStyle w:val="Default"/>
        <w:keepNext/>
        <w:keepLines/>
        <w:rPr>
          <w:sz w:val="22"/>
          <w:szCs w:val="22"/>
          <w:lang w:val="en-GB"/>
          <w:rPrChange w:id="2988" w:author="Author">
            <w:rPr>
              <w:sz w:val="22"/>
              <w:szCs w:val="22"/>
            </w:rPr>
          </w:rPrChange>
        </w:rPr>
      </w:pPr>
      <w:r w:rsidRPr="00D55B59">
        <w:rPr>
          <w:sz w:val="22"/>
          <w:szCs w:val="22"/>
          <w:lang w:val="en-GB"/>
          <w:rPrChange w:id="2989" w:author="Author">
            <w:rPr>
              <w:sz w:val="22"/>
              <w:szCs w:val="22"/>
            </w:rPr>
          </w:rPrChange>
        </w:rPr>
        <w:t>Tell your doctor as soon as possible if you notice any of the following</w:t>
      </w:r>
      <w:r w:rsidR="00623DC0" w:rsidRPr="00D55B59">
        <w:rPr>
          <w:sz w:val="22"/>
          <w:szCs w:val="22"/>
          <w:lang w:val="en-GB"/>
          <w:rPrChange w:id="2990" w:author="Author">
            <w:rPr>
              <w:sz w:val="22"/>
              <w:szCs w:val="22"/>
            </w:rPr>
          </w:rPrChange>
        </w:rPr>
        <w:t>:</w:t>
      </w:r>
      <w:r w:rsidRPr="00D55B59">
        <w:rPr>
          <w:sz w:val="22"/>
          <w:szCs w:val="22"/>
          <w:lang w:val="en-GB"/>
          <w:rPrChange w:id="2991" w:author="Author">
            <w:rPr>
              <w:sz w:val="22"/>
              <w:szCs w:val="22"/>
            </w:rPr>
          </w:rPrChange>
        </w:rPr>
        <w:t xml:space="preserve"> </w:t>
      </w:r>
    </w:p>
    <w:p w14:paraId="577F4A69" w14:textId="77777777" w:rsidR="00C42229" w:rsidRPr="001775D9" w:rsidRDefault="006E5110" w:rsidP="00B61D9D">
      <w:pPr>
        <w:keepNext/>
        <w:keepLines/>
        <w:numPr>
          <w:ilvl w:val="0"/>
          <w:numId w:val="14"/>
        </w:numPr>
        <w:spacing w:line="240" w:lineRule="auto"/>
        <w:ind w:left="567" w:hanging="567"/>
      </w:pPr>
      <w:r w:rsidRPr="001775D9">
        <w:t>s</w:t>
      </w:r>
      <w:r w:rsidR="00C42229" w:rsidRPr="001775D9">
        <w:t xml:space="preserve">igns of infection such as fever, feeling sick, wounds, dental problems, burning on urination; </w:t>
      </w:r>
    </w:p>
    <w:p w14:paraId="4956894B" w14:textId="77777777" w:rsidR="00C42229" w:rsidRPr="001775D9" w:rsidRDefault="006E5110" w:rsidP="00B61D9D">
      <w:pPr>
        <w:keepNext/>
        <w:keepLines/>
        <w:numPr>
          <w:ilvl w:val="0"/>
          <w:numId w:val="14"/>
        </w:numPr>
        <w:spacing w:line="240" w:lineRule="auto"/>
        <w:ind w:left="567" w:hanging="567"/>
      </w:pPr>
      <w:r w:rsidRPr="001775D9">
        <w:t>f</w:t>
      </w:r>
      <w:r w:rsidR="00C42229" w:rsidRPr="001775D9">
        <w:t xml:space="preserve">eeling weak or tired; </w:t>
      </w:r>
    </w:p>
    <w:p w14:paraId="17DDD259" w14:textId="77777777" w:rsidR="00C42229" w:rsidRPr="001775D9" w:rsidRDefault="006E5110" w:rsidP="00B61D9D">
      <w:pPr>
        <w:numPr>
          <w:ilvl w:val="0"/>
          <w:numId w:val="14"/>
        </w:numPr>
        <w:spacing w:line="240" w:lineRule="auto"/>
        <w:ind w:left="567" w:hanging="567"/>
      </w:pPr>
      <w:r w:rsidRPr="001775D9">
        <w:t>c</w:t>
      </w:r>
      <w:r w:rsidR="00C42229" w:rsidRPr="001775D9">
        <w:t xml:space="preserve">oughing; </w:t>
      </w:r>
    </w:p>
    <w:p w14:paraId="33DB5A7A" w14:textId="77777777" w:rsidR="00C42229" w:rsidRPr="001775D9" w:rsidRDefault="006E5110" w:rsidP="00B61D9D">
      <w:pPr>
        <w:numPr>
          <w:ilvl w:val="0"/>
          <w:numId w:val="14"/>
        </w:numPr>
        <w:spacing w:line="240" w:lineRule="auto"/>
        <w:ind w:left="567" w:hanging="567"/>
      </w:pPr>
      <w:r w:rsidRPr="001775D9">
        <w:t>t</w:t>
      </w:r>
      <w:r w:rsidR="00C42229" w:rsidRPr="001775D9">
        <w:t xml:space="preserve">ingling; </w:t>
      </w:r>
    </w:p>
    <w:p w14:paraId="012AD25D" w14:textId="77777777" w:rsidR="00C42229" w:rsidRPr="001775D9" w:rsidRDefault="006E5110" w:rsidP="00B61D9D">
      <w:pPr>
        <w:numPr>
          <w:ilvl w:val="0"/>
          <w:numId w:val="14"/>
        </w:numPr>
        <w:spacing w:line="240" w:lineRule="auto"/>
        <w:ind w:left="567" w:hanging="567"/>
      </w:pPr>
      <w:r w:rsidRPr="001775D9">
        <w:t>n</w:t>
      </w:r>
      <w:r w:rsidR="00C42229" w:rsidRPr="001775D9">
        <w:t xml:space="preserve">umbness; </w:t>
      </w:r>
    </w:p>
    <w:p w14:paraId="62D4FDAB" w14:textId="77777777" w:rsidR="00C42229" w:rsidRPr="001775D9" w:rsidRDefault="006E5110" w:rsidP="00B61D9D">
      <w:pPr>
        <w:numPr>
          <w:ilvl w:val="0"/>
          <w:numId w:val="14"/>
        </w:numPr>
        <w:spacing w:line="240" w:lineRule="auto"/>
        <w:ind w:left="567" w:hanging="567"/>
      </w:pPr>
      <w:r w:rsidRPr="001775D9">
        <w:t>d</w:t>
      </w:r>
      <w:r w:rsidR="00C42229" w:rsidRPr="001775D9">
        <w:t xml:space="preserve">ouble vision; </w:t>
      </w:r>
    </w:p>
    <w:p w14:paraId="201478B1" w14:textId="77777777" w:rsidR="00C42229" w:rsidRPr="001775D9" w:rsidRDefault="006E5110" w:rsidP="00B61D9D">
      <w:pPr>
        <w:numPr>
          <w:ilvl w:val="0"/>
          <w:numId w:val="14"/>
        </w:numPr>
        <w:spacing w:line="240" w:lineRule="auto"/>
        <w:ind w:left="567" w:hanging="567"/>
      </w:pPr>
      <w:r w:rsidRPr="001775D9">
        <w:t>a</w:t>
      </w:r>
      <w:r w:rsidR="00C42229" w:rsidRPr="001775D9">
        <w:t xml:space="preserve">rm or leg weakness; </w:t>
      </w:r>
    </w:p>
    <w:p w14:paraId="4C66EF00" w14:textId="3142BC9A" w:rsidR="00C42229" w:rsidRPr="001775D9" w:rsidRDefault="00076ABE" w:rsidP="00B61D9D">
      <w:pPr>
        <w:numPr>
          <w:ilvl w:val="0"/>
          <w:numId w:val="14"/>
        </w:numPr>
        <w:spacing w:line="240" w:lineRule="auto"/>
        <w:ind w:left="567" w:hanging="567"/>
      </w:pPr>
      <w:r w:rsidRPr="001775D9">
        <w:t xml:space="preserve">signs of skin cancer such as </w:t>
      </w:r>
      <w:r w:rsidR="006E5110" w:rsidRPr="001775D9">
        <w:t>a</w:t>
      </w:r>
      <w:r w:rsidR="00C42229" w:rsidRPr="001775D9">
        <w:t xml:space="preserve"> bump</w:t>
      </w:r>
      <w:r w:rsidR="00745FCB" w:rsidRPr="001775D9">
        <w:t xml:space="preserve"> or open sore that doesn't heal;</w:t>
      </w:r>
    </w:p>
    <w:p w14:paraId="23EB9E88" w14:textId="77777777" w:rsidR="00C42229" w:rsidRPr="001775D9" w:rsidRDefault="006E5110" w:rsidP="00B61D9D">
      <w:pPr>
        <w:numPr>
          <w:ilvl w:val="0"/>
          <w:numId w:val="14"/>
        </w:numPr>
        <w:spacing w:line="240" w:lineRule="auto"/>
        <w:ind w:left="567" w:hanging="567"/>
      </w:pPr>
      <w:r w:rsidRPr="001775D9">
        <w:t>s</w:t>
      </w:r>
      <w:r w:rsidR="00C42229" w:rsidRPr="001775D9">
        <w:t xml:space="preserve">igns and symptoms suggestive of blood disorders such as </w:t>
      </w:r>
      <w:r w:rsidR="00B525F1" w:rsidRPr="001775D9">
        <w:t>persistent</w:t>
      </w:r>
      <w:r w:rsidR="00C42229" w:rsidRPr="001775D9">
        <w:t xml:space="preserve"> feve</w:t>
      </w:r>
      <w:r w:rsidRPr="001775D9">
        <w:t>r, bruising, bleeding, paleness.</w:t>
      </w:r>
    </w:p>
    <w:p w14:paraId="212D7E7B" w14:textId="77777777" w:rsidR="00C42229" w:rsidRPr="001775D9" w:rsidRDefault="00C42229" w:rsidP="008415E1">
      <w:pPr>
        <w:numPr>
          <w:ilvl w:val="12"/>
          <w:numId w:val="0"/>
        </w:numPr>
        <w:tabs>
          <w:tab w:val="clear" w:pos="567"/>
        </w:tabs>
        <w:spacing w:line="240" w:lineRule="auto"/>
        <w:ind w:right="-29"/>
        <w:rPr>
          <w:szCs w:val="22"/>
        </w:rPr>
      </w:pPr>
    </w:p>
    <w:p w14:paraId="6959FB90" w14:textId="77777777" w:rsidR="00F62574" w:rsidRPr="00D55B59" w:rsidRDefault="00F62574" w:rsidP="008415E1">
      <w:pPr>
        <w:pStyle w:val="Default"/>
        <w:rPr>
          <w:sz w:val="22"/>
          <w:szCs w:val="22"/>
          <w:lang w:val="en-GB"/>
          <w:rPrChange w:id="2992" w:author="Author">
            <w:rPr>
              <w:sz w:val="22"/>
              <w:szCs w:val="22"/>
            </w:rPr>
          </w:rPrChange>
        </w:rPr>
      </w:pPr>
      <w:r w:rsidRPr="00D55B59">
        <w:rPr>
          <w:sz w:val="22"/>
          <w:szCs w:val="22"/>
          <w:lang w:val="en-GB"/>
          <w:rPrChange w:id="2993" w:author="Author">
            <w:rPr>
              <w:sz w:val="22"/>
              <w:szCs w:val="22"/>
            </w:rPr>
          </w:rPrChange>
        </w:rPr>
        <w:t xml:space="preserve">The symptoms described above can be signs of the below listed side effects, which have been observed with adalimumab. </w:t>
      </w:r>
    </w:p>
    <w:p w14:paraId="3C14BD12" w14:textId="77777777" w:rsidR="00F62574" w:rsidRPr="00D55B59" w:rsidRDefault="00F62574" w:rsidP="008415E1">
      <w:pPr>
        <w:pStyle w:val="Default"/>
        <w:rPr>
          <w:sz w:val="22"/>
          <w:szCs w:val="22"/>
          <w:lang w:val="en-GB"/>
          <w:rPrChange w:id="2994" w:author="Author">
            <w:rPr>
              <w:sz w:val="22"/>
              <w:szCs w:val="22"/>
            </w:rPr>
          </w:rPrChange>
        </w:rPr>
      </w:pPr>
    </w:p>
    <w:p w14:paraId="02A63BC0" w14:textId="77777777" w:rsidR="00F62574" w:rsidRPr="00D55B59" w:rsidRDefault="00F62574" w:rsidP="008415E1">
      <w:pPr>
        <w:pStyle w:val="Default"/>
        <w:rPr>
          <w:sz w:val="22"/>
          <w:szCs w:val="22"/>
          <w:lang w:val="en-GB"/>
          <w:rPrChange w:id="2995" w:author="Author">
            <w:rPr>
              <w:sz w:val="22"/>
              <w:szCs w:val="22"/>
            </w:rPr>
          </w:rPrChange>
        </w:rPr>
      </w:pPr>
      <w:r w:rsidRPr="00D55B59">
        <w:rPr>
          <w:sz w:val="22"/>
          <w:szCs w:val="22"/>
          <w:lang w:val="en-GB"/>
          <w:rPrChange w:id="2996" w:author="Author">
            <w:rPr>
              <w:sz w:val="22"/>
              <w:szCs w:val="22"/>
            </w:rPr>
          </w:rPrChange>
        </w:rPr>
        <w:t xml:space="preserve">Very common (may affect more than 1 in 10 people) </w:t>
      </w:r>
    </w:p>
    <w:p w14:paraId="3E4EF0EB" w14:textId="77777777" w:rsidR="00C42229" w:rsidRPr="001775D9" w:rsidRDefault="00C42229" w:rsidP="00B61D9D">
      <w:pPr>
        <w:numPr>
          <w:ilvl w:val="0"/>
          <w:numId w:val="15"/>
        </w:numPr>
        <w:spacing w:line="240" w:lineRule="auto"/>
        <w:ind w:left="567" w:hanging="567"/>
      </w:pPr>
      <w:r w:rsidRPr="001775D9">
        <w:t xml:space="preserve">injection site reactions (including pain, swelling, redness or itching); </w:t>
      </w:r>
    </w:p>
    <w:p w14:paraId="757D3BBD" w14:textId="77777777" w:rsidR="00C42229" w:rsidRPr="001775D9" w:rsidRDefault="00C42229" w:rsidP="00B61D9D">
      <w:pPr>
        <w:numPr>
          <w:ilvl w:val="0"/>
          <w:numId w:val="15"/>
        </w:numPr>
        <w:spacing w:line="240" w:lineRule="auto"/>
        <w:ind w:left="567" w:hanging="567"/>
      </w:pPr>
      <w:r w:rsidRPr="001775D9">
        <w:t xml:space="preserve">respiratory tract infections (including cold, runny nose, sinus infection, pneumonia); </w:t>
      </w:r>
    </w:p>
    <w:p w14:paraId="6069C6BB" w14:textId="77777777" w:rsidR="00C42229" w:rsidRPr="001775D9" w:rsidRDefault="00C42229" w:rsidP="00B61D9D">
      <w:pPr>
        <w:numPr>
          <w:ilvl w:val="0"/>
          <w:numId w:val="15"/>
        </w:numPr>
        <w:spacing w:line="240" w:lineRule="auto"/>
        <w:ind w:left="567" w:hanging="567"/>
      </w:pPr>
      <w:r w:rsidRPr="001775D9">
        <w:t xml:space="preserve">headache; </w:t>
      </w:r>
    </w:p>
    <w:p w14:paraId="54F9E48D" w14:textId="77777777" w:rsidR="00C42229" w:rsidRPr="001775D9" w:rsidRDefault="00C42229" w:rsidP="00B61D9D">
      <w:pPr>
        <w:numPr>
          <w:ilvl w:val="0"/>
          <w:numId w:val="15"/>
        </w:numPr>
        <w:spacing w:line="240" w:lineRule="auto"/>
        <w:ind w:left="567" w:hanging="567"/>
      </w:pPr>
      <w:r w:rsidRPr="001775D9">
        <w:t xml:space="preserve">abdominal pain; </w:t>
      </w:r>
    </w:p>
    <w:p w14:paraId="11C1CF4A" w14:textId="77777777" w:rsidR="00C42229" w:rsidRPr="001775D9" w:rsidRDefault="00C42229" w:rsidP="00B61D9D">
      <w:pPr>
        <w:numPr>
          <w:ilvl w:val="0"/>
          <w:numId w:val="15"/>
        </w:numPr>
        <w:spacing w:line="240" w:lineRule="auto"/>
        <w:ind w:left="567" w:hanging="567"/>
      </w:pPr>
      <w:r w:rsidRPr="001775D9">
        <w:t>nausea and vomiting;</w:t>
      </w:r>
    </w:p>
    <w:p w14:paraId="533A0A18" w14:textId="77777777" w:rsidR="00C42229" w:rsidRPr="001775D9" w:rsidRDefault="00C42229" w:rsidP="00FA1618">
      <w:pPr>
        <w:numPr>
          <w:ilvl w:val="0"/>
          <w:numId w:val="15"/>
        </w:numPr>
        <w:spacing w:line="240" w:lineRule="auto"/>
        <w:ind w:left="567" w:hanging="567"/>
        <w:rPr>
          <w:szCs w:val="22"/>
        </w:rPr>
      </w:pPr>
      <w:r w:rsidRPr="001775D9">
        <w:t>rash</w:t>
      </w:r>
      <w:r w:rsidRPr="001775D9">
        <w:rPr>
          <w:szCs w:val="22"/>
        </w:rPr>
        <w:t xml:space="preserve">; </w:t>
      </w:r>
    </w:p>
    <w:p w14:paraId="74A22E1B" w14:textId="77777777" w:rsidR="00C42229" w:rsidRPr="001775D9" w:rsidRDefault="00C42229" w:rsidP="00FA1618">
      <w:pPr>
        <w:numPr>
          <w:ilvl w:val="0"/>
          <w:numId w:val="15"/>
        </w:numPr>
        <w:spacing w:line="240" w:lineRule="auto"/>
        <w:ind w:left="567" w:hanging="567"/>
        <w:rPr>
          <w:szCs w:val="22"/>
        </w:rPr>
      </w:pPr>
      <w:r w:rsidRPr="001775D9">
        <w:rPr>
          <w:szCs w:val="22"/>
        </w:rPr>
        <w:t xml:space="preserve">musculoskeletal pain. </w:t>
      </w:r>
    </w:p>
    <w:p w14:paraId="0CCFB786" w14:textId="77777777" w:rsidR="00C42229" w:rsidRPr="001775D9" w:rsidRDefault="00C42229" w:rsidP="008415E1">
      <w:pPr>
        <w:numPr>
          <w:ilvl w:val="12"/>
          <w:numId w:val="0"/>
        </w:numPr>
        <w:tabs>
          <w:tab w:val="clear" w:pos="567"/>
        </w:tabs>
        <w:spacing w:line="240" w:lineRule="auto"/>
        <w:outlineLvl w:val="0"/>
        <w:rPr>
          <w:b/>
          <w:szCs w:val="22"/>
        </w:rPr>
      </w:pPr>
    </w:p>
    <w:p w14:paraId="17C050F2" w14:textId="77777777" w:rsidR="00F62574" w:rsidRPr="00D55B59" w:rsidRDefault="00F62574" w:rsidP="008415E1">
      <w:pPr>
        <w:pStyle w:val="Default"/>
        <w:rPr>
          <w:sz w:val="22"/>
          <w:szCs w:val="22"/>
          <w:lang w:val="en-GB"/>
          <w:rPrChange w:id="2997" w:author="Author">
            <w:rPr>
              <w:sz w:val="22"/>
              <w:szCs w:val="22"/>
            </w:rPr>
          </w:rPrChange>
        </w:rPr>
      </w:pPr>
      <w:bookmarkStart w:id="2998" w:name="_Hlk528593636"/>
      <w:r w:rsidRPr="00D55B59">
        <w:rPr>
          <w:sz w:val="22"/>
          <w:szCs w:val="22"/>
          <w:lang w:val="en-GB"/>
          <w:rPrChange w:id="2999" w:author="Author">
            <w:rPr>
              <w:sz w:val="22"/>
              <w:szCs w:val="22"/>
            </w:rPr>
          </w:rPrChange>
        </w:rPr>
        <w:t xml:space="preserve">Common (may affect up to 1 in 10 people) </w:t>
      </w:r>
    </w:p>
    <w:p w14:paraId="47EE0F68" w14:textId="77777777" w:rsidR="00F62574" w:rsidRPr="001775D9" w:rsidRDefault="00F62574" w:rsidP="00B61D9D">
      <w:pPr>
        <w:numPr>
          <w:ilvl w:val="0"/>
          <w:numId w:val="16"/>
        </w:numPr>
        <w:spacing w:line="240" w:lineRule="auto"/>
        <w:ind w:left="567" w:hanging="567"/>
      </w:pPr>
      <w:bookmarkStart w:id="3000" w:name="_Hlk528593646"/>
      <w:bookmarkEnd w:id="2998"/>
      <w:r w:rsidRPr="001775D9">
        <w:t xml:space="preserve">serious </w:t>
      </w:r>
      <w:bookmarkEnd w:id="3000"/>
      <w:r w:rsidRPr="001775D9">
        <w:t xml:space="preserve">infections (including blood poisoning and influenza); </w:t>
      </w:r>
    </w:p>
    <w:p w14:paraId="12D1EB2A" w14:textId="77777777" w:rsidR="00E2388D" w:rsidRPr="001775D9" w:rsidRDefault="00E2388D" w:rsidP="00FA1618">
      <w:pPr>
        <w:numPr>
          <w:ilvl w:val="0"/>
          <w:numId w:val="15"/>
        </w:numPr>
        <w:spacing w:line="240" w:lineRule="auto"/>
        <w:ind w:left="567" w:hanging="567"/>
      </w:pPr>
      <w:r w:rsidRPr="001775D9">
        <w:t>intestinal infections (including gastroenteritis);</w:t>
      </w:r>
    </w:p>
    <w:p w14:paraId="1A3770B1" w14:textId="77777777" w:rsidR="00C42229" w:rsidRPr="001775D9" w:rsidRDefault="00C42229" w:rsidP="00B61D9D">
      <w:pPr>
        <w:numPr>
          <w:ilvl w:val="0"/>
          <w:numId w:val="16"/>
        </w:numPr>
        <w:spacing w:line="240" w:lineRule="auto"/>
        <w:ind w:left="567" w:hanging="567"/>
      </w:pPr>
      <w:r w:rsidRPr="001775D9">
        <w:t xml:space="preserve">skin infections (including cellulitis and shingles); </w:t>
      </w:r>
    </w:p>
    <w:p w14:paraId="5BEB063F" w14:textId="77777777" w:rsidR="00C42229" w:rsidRPr="001775D9" w:rsidRDefault="00C42229" w:rsidP="00B61D9D">
      <w:pPr>
        <w:numPr>
          <w:ilvl w:val="0"/>
          <w:numId w:val="16"/>
        </w:numPr>
        <w:spacing w:line="240" w:lineRule="auto"/>
        <w:ind w:left="567" w:hanging="567"/>
      </w:pPr>
      <w:r w:rsidRPr="001775D9">
        <w:t xml:space="preserve">ear infections; </w:t>
      </w:r>
    </w:p>
    <w:p w14:paraId="625B97D2" w14:textId="77777777" w:rsidR="00C42229" w:rsidRPr="001775D9" w:rsidRDefault="00C42229" w:rsidP="00B61D9D">
      <w:pPr>
        <w:numPr>
          <w:ilvl w:val="0"/>
          <w:numId w:val="16"/>
        </w:numPr>
        <w:spacing w:line="240" w:lineRule="auto"/>
        <w:ind w:left="567" w:hanging="567"/>
      </w:pPr>
      <w:r w:rsidRPr="001775D9">
        <w:t xml:space="preserve">oral infections (including tooth infections and cold sores); </w:t>
      </w:r>
    </w:p>
    <w:p w14:paraId="6EDC3392" w14:textId="77777777" w:rsidR="00C42229" w:rsidRPr="001775D9" w:rsidRDefault="00C42229" w:rsidP="00B61D9D">
      <w:pPr>
        <w:numPr>
          <w:ilvl w:val="0"/>
          <w:numId w:val="16"/>
        </w:numPr>
        <w:spacing w:line="240" w:lineRule="auto"/>
        <w:ind w:left="567" w:hanging="567"/>
      </w:pPr>
      <w:r w:rsidRPr="001775D9">
        <w:t xml:space="preserve">reproductive tract infections; </w:t>
      </w:r>
    </w:p>
    <w:p w14:paraId="10B3518B" w14:textId="77777777" w:rsidR="00C42229" w:rsidRPr="001775D9" w:rsidRDefault="00C42229" w:rsidP="00B61D9D">
      <w:pPr>
        <w:numPr>
          <w:ilvl w:val="0"/>
          <w:numId w:val="16"/>
        </w:numPr>
        <w:spacing w:line="240" w:lineRule="auto"/>
        <w:ind w:left="567" w:hanging="567"/>
      </w:pPr>
      <w:r w:rsidRPr="001775D9">
        <w:t xml:space="preserve">urinary tract infection; </w:t>
      </w:r>
    </w:p>
    <w:p w14:paraId="4A4BEB61" w14:textId="77777777" w:rsidR="00C42229" w:rsidRPr="001775D9" w:rsidRDefault="00C42229" w:rsidP="00B61D9D">
      <w:pPr>
        <w:numPr>
          <w:ilvl w:val="0"/>
          <w:numId w:val="16"/>
        </w:numPr>
        <w:spacing w:line="240" w:lineRule="auto"/>
        <w:ind w:left="567" w:hanging="567"/>
      </w:pPr>
      <w:r w:rsidRPr="001775D9">
        <w:t xml:space="preserve">fungal infections; </w:t>
      </w:r>
    </w:p>
    <w:p w14:paraId="5D91D6AE" w14:textId="77777777" w:rsidR="00C42229" w:rsidRPr="001775D9" w:rsidRDefault="00C42229" w:rsidP="00B61D9D">
      <w:pPr>
        <w:numPr>
          <w:ilvl w:val="0"/>
          <w:numId w:val="16"/>
        </w:numPr>
        <w:spacing w:line="240" w:lineRule="auto"/>
        <w:ind w:left="567" w:hanging="567"/>
      </w:pPr>
      <w:r w:rsidRPr="001775D9">
        <w:t xml:space="preserve">joint infections; </w:t>
      </w:r>
    </w:p>
    <w:p w14:paraId="3EE5C760" w14:textId="77777777" w:rsidR="00C42229" w:rsidRPr="001775D9" w:rsidRDefault="00C42229" w:rsidP="00B61D9D">
      <w:pPr>
        <w:numPr>
          <w:ilvl w:val="0"/>
          <w:numId w:val="16"/>
        </w:numPr>
        <w:spacing w:line="240" w:lineRule="auto"/>
        <w:ind w:left="567" w:hanging="567"/>
      </w:pPr>
      <w:r w:rsidRPr="001775D9">
        <w:t xml:space="preserve">benign tumours; </w:t>
      </w:r>
    </w:p>
    <w:p w14:paraId="101E7283" w14:textId="77777777" w:rsidR="00C42229" w:rsidRPr="001775D9" w:rsidRDefault="00C42229" w:rsidP="00B61D9D">
      <w:pPr>
        <w:numPr>
          <w:ilvl w:val="0"/>
          <w:numId w:val="16"/>
        </w:numPr>
        <w:spacing w:line="240" w:lineRule="auto"/>
        <w:ind w:left="567" w:hanging="567"/>
      </w:pPr>
      <w:r w:rsidRPr="001775D9">
        <w:t xml:space="preserve">skin cancer; </w:t>
      </w:r>
    </w:p>
    <w:p w14:paraId="7B1BCDC0" w14:textId="77777777" w:rsidR="00C42229" w:rsidRPr="001775D9" w:rsidRDefault="00C42229" w:rsidP="00B61D9D">
      <w:pPr>
        <w:numPr>
          <w:ilvl w:val="0"/>
          <w:numId w:val="16"/>
        </w:numPr>
        <w:spacing w:line="240" w:lineRule="auto"/>
        <w:ind w:left="567" w:hanging="567"/>
      </w:pPr>
      <w:r w:rsidRPr="001775D9">
        <w:t xml:space="preserve">allergic reactions (including seasonal allergy); </w:t>
      </w:r>
    </w:p>
    <w:p w14:paraId="74B1277F" w14:textId="77777777" w:rsidR="00C42229" w:rsidRPr="001775D9" w:rsidRDefault="00C42229" w:rsidP="00B61D9D">
      <w:pPr>
        <w:numPr>
          <w:ilvl w:val="0"/>
          <w:numId w:val="16"/>
        </w:numPr>
        <w:spacing w:line="240" w:lineRule="auto"/>
        <w:ind w:left="567" w:hanging="567"/>
      </w:pPr>
      <w:r w:rsidRPr="001775D9">
        <w:t xml:space="preserve">dehydration; </w:t>
      </w:r>
    </w:p>
    <w:p w14:paraId="4B4530F1" w14:textId="77777777" w:rsidR="00C42229" w:rsidRPr="001775D9" w:rsidRDefault="00C42229" w:rsidP="00B61D9D">
      <w:pPr>
        <w:numPr>
          <w:ilvl w:val="0"/>
          <w:numId w:val="16"/>
        </w:numPr>
        <w:spacing w:line="240" w:lineRule="auto"/>
        <w:ind w:left="567" w:hanging="567"/>
      </w:pPr>
      <w:r w:rsidRPr="001775D9">
        <w:t xml:space="preserve">mood swings (including depression); </w:t>
      </w:r>
    </w:p>
    <w:p w14:paraId="3873667E" w14:textId="77777777" w:rsidR="00C42229" w:rsidRPr="001775D9" w:rsidRDefault="00C42229" w:rsidP="00B61D9D">
      <w:pPr>
        <w:numPr>
          <w:ilvl w:val="0"/>
          <w:numId w:val="16"/>
        </w:numPr>
        <w:spacing w:line="240" w:lineRule="auto"/>
        <w:ind w:left="567" w:hanging="567"/>
      </w:pPr>
      <w:r w:rsidRPr="001775D9">
        <w:t xml:space="preserve">anxiety; </w:t>
      </w:r>
    </w:p>
    <w:p w14:paraId="3E2FBA8D" w14:textId="77777777" w:rsidR="00C42229" w:rsidRPr="001775D9" w:rsidRDefault="00C42229" w:rsidP="00B61D9D">
      <w:pPr>
        <w:numPr>
          <w:ilvl w:val="0"/>
          <w:numId w:val="16"/>
        </w:numPr>
        <w:spacing w:line="240" w:lineRule="auto"/>
        <w:ind w:left="567" w:hanging="567"/>
      </w:pPr>
      <w:r w:rsidRPr="001775D9">
        <w:t xml:space="preserve">difficulty sleeping; </w:t>
      </w:r>
    </w:p>
    <w:p w14:paraId="481497B4" w14:textId="77777777" w:rsidR="00C42229" w:rsidRPr="001775D9" w:rsidRDefault="00C42229" w:rsidP="00B61D9D">
      <w:pPr>
        <w:numPr>
          <w:ilvl w:val="0"/>
          <w:numId w:val="16"/>
        </w:numPr>
        <w:spacing w:line="240" w:lineRule="auto"/>
        <w:ind w:left="567" w:hanging="567"/>
      </w:pPr>
      <w:r w:rsidRPr="001775D9">
        <w:t xml:space="preserve">sensation disorders such as tingling, prickling or numbness; </w:t>
      </w:r>
    </w:p>
    <w:p w14:paraId="590C9E1E" w14:textId="77777777" w:rsidR="00C42229" w:rsidRPr="001775D9" w:rsidRDefault="00C42229" w:rsidP="00B61D9D">
      <w:pPr>
        <w:numPr>
          <w:ilvl w:val="0"/>
          <w:numId w:val="16"/>
        </w:numPr>
        <w:spacing w:line="240" w:lineRule="auto"/>
        <w:ind w:left="567" w:hanging="567"/>
      </w:pPr>
      <w:r w:rsidRPr="001775D9">
        <w:t xml:space="preserve">migraine; </w:t>
      </w:r>
    </w:p>
    <w:p w14:paraId="541ADAE9" w14:textId="77777777" w:rsidR="00C42229" w:rsidRPr="001775D9" w:rsidRDefault="00C42229" w:rsidP="00B61D9D">
      <w:pPr>
        <w:numPr>
          <w:ilvl w:val="0"/>
          <w:numId w:val="16"/>
        </w:numPr>
        <w:spacing w:line="240" w:lineRule="auto"/>
        <w:ind w:left="567" w:hanging="567"/>
      </w:pPr>
      <w:r w:rsidRPr="001775D9">
        <w:t>nerve root compression</w:t>
      </w:r>
      <w:r w:rsidR="00745FCB" w:rsidRPr="001775D9">
        <w:t xml:space="preserve"> </w:t>
      </w:r>
      <w:r w:rsidRPr="001775D9">
        <w:t xml:space="preserve">(including low back pain and leg pain); </w:t>
      </w:r>
    </w:p>
    <w:p w14:paraId="254CF9B5" w14:textId="77777777" w:rsidR="00C42229" w:rsidRPr="001775D9" w:rsidRDefault="00C42229" w:rsidP="00B61D9D">
      <w:pPr>
        <w:numPr>
          <w:ilvl w:val="0"/>
          <w:numId w:val="16"/>
        </w:numPr>
        <w:spacing w:line="240" w:lineRule="auto"/>
        <w:ind w:left="567" w:hanging="567"/>
      </w:pPr>
      <w:r w:rsidRPr="001775D9">
        <w:t xml:space="preserve">vision disturbances; </w:t>
      </w:r>
    </w:p>
    <w:p w14:paraId="15145F29" w14:textId="77777777" w:rsidR="00C42229" w:rsidRPr="001775D9" w:rsidRDefault="00C42229" w:rsidP="00B61D9D">
      <w:pPr>
        <w:numPr>
          <w:ilvl w:val="0"/>
          <w:numId w:val="16"/>
        </w:numPr>
        <w:spacing w:line="240" w:lineRule="auto"/>
        <w:ind w:left="567" w:hanging="567"/>
      </w:pPr>
      <w:r w:rsidRPr="001775D9">
        <w:t xml:space="preserve">eye inflammation; </w:t>
      </w:r>
    </w:p>
    <w:p w14:paraId="49936988" w14:textId="77777777" w:rsidR="00C42229" w:rsidRPr="001775D9" w:rsidRDefault="00C42229" w:rsidP="00B61D9D">
      <w:pPr>
        <w:numPr>
          <w:ilvl w:val="0"/>
          <w:numId w:val="16"/>
        </w:numPr>
        <w:spacing w:line="240" w:lineRule="auto"/>
        <w:ind w:left="567" w:hanging="567"/>
      </w:pPr>
      <w:r w:rsidRPr="001775D9">
        <w:t xml:space="preserve">inflammation of the eye lid and eye swelling; </w:t>
      </w:r>
    </w:p>
    <w:p w14:paraId="374464BE" w14:textId="759AEE85" w:rsidR="00C42229" w:rsidRPr="001775D9" w:rsidRDefault="00C42229" w:rsidP="00B61D9D">
      <w:pPr>
        <w:numPr>
          <w:ilvl w:val="0"/>
          <w:numId w:val="16"/>
        </w:numPr>
        <w:spacing w:line="240" w:lineRule="auto"/>
        <w:ind w:left="567" w:hanging="567"/>
      </w:pPr>
      <w:r w:rsidRPr="001775D9">
        <w:t>vertigo</w:t>
      </w:r>
      <w:r w:rsidR="00076ABE" w:rsidRPr="001775D9">
        <w:t xml:space="preserve"> (feeling of dizziness or spinning)</w:t>
      </w:r>
      <w:r w:rsidRPr="001775D9">
        <w:t xml:space="preserve">; </w:t>
      </w:r>
    </w:p>
    <w:p w14:paraId="55D99ACC" w14:textId="77777777" w:rsidR="00C42229" w:rsidRPr="001775D9" w:rsidRDefault="00C42229" w:rsidP="00B61D9D">
      <w:pPr>
        <w:numPr>
          <w:ilvl w:val="0"/>
          <w:numId w:val="16"/>
        </w:numPr>
        <w:spacing w:line="240" w:lineRule="auto"/>
        <w:ind w:left="567" w:hanging="567"/>
      </w:pPr>
      <w:r w:rsidRPr="001775D9">
        <w:t xml:space="preserve">sensation of heart beating rapidly; </w:t>
      </w:r>
    </w:p>
    <w:p w14:paraId="181472C8" w14:textId="77777777" w:rsidR="00C42229" w:rsidRPr="001775D9" w:rsidRDefault="00C42229" w:rsidP="00B61D9D">
      <w:pPr>
        <w:numPr>
          <w:ilvl w:val="0"/>
          <w:numId w:val="16"/>
        </w:numPr>
        <w:spacing w:line="240" w:lineRule="auto"/>
        <w:ind w:left="567" w:hanging="567"/>
      </w:pPr>
      <w:r w:rsidRPr="001775D9">
        <w:t xml:space="preserve">high blood pressure; </w:t>
      </w:r>
    </w:p>
    <w:p w14:paraId="638420FF" w14:textId="77777777" w:rsidR="00C42229" w:rsidRPr="001775D9" w:rsidRDefault="00C42229" w:rsidP="00B61D9D">
      <w:pPr>
        <w:numPr>
          <w:ilvl w:val="0"/>
          <w:numId w:val="16"/>
        </w:numPr>
        <w:spacing w:line="240" w:lineRule="auto"/>
        <w:ind w:left="567" w:hanging="567"/>
      </w:pPr>
      <w:r w:rsidRPr="001775D9">
        <w:t xml:space="preserve">flushing; </w:t>
      </w:r>
    </w:p>
    <w:p w14:paraId="5EF2B545" w14:textId="77777777" w:rsidR="00C42229" w:rsidRPr="001775D9" w:rsidRDefault="00C42229" w:rsidP="00B61D9D">
      <w:pPr>
        <w:numPr>
          <w:ilvl w:val="0"/>
          <w:numId w:val="16"/>
        </w:numPr>
        <w:spacing w:line="240" w:lineRule="auto"/>
        <w:ind w:left="567" w:hanging="567"/>
      </w:pPr>
      <w:r w:rsidRPr="001775D9">
        <w:t xml:space="preserve">haematoma; </w:t>
      </w:r>
    </w:p>
    <w:p w14:paraId="202101B8" w14:textId="77777777" w:rsidR="00C42229" w:rsidRPr="001775D9" w:rsidRDefault="00C42229" w:rsidP="00B61D9D">
      <w:pPr>
        <w:numPr>
          <w:ilvl w:val="0"/>
          <w:numId w:val="16"/>
        </w:numPr>
        <w:spacing w:line="240" w:lineRule="auto"/>
        <w:ind w:left="567" w:hanging="567"/>
      </w:pPr>
      <w:r w:rsidRPr="001775D9">
        <w:t xml:space="preserve">cough; </w:t>
      </w:r>
    </w:p>
    <w:p w14:paraId="2D4BA7AB" w14:textId="77777777" w:rsidR="00C42229" w:rsidRPr="001775D9" w:rsidRDefault="00C42229" w:rsidP="00B61D9D">
      <w:pPr>
        <w:numPr>
          <w:ilvl w:val="0"/>
          <w:numId w:val="16"/>
        </w:numPr>
        <w:spacing w:line="240" w:lineRule="auto"/>
        <w:ind w:left="567" w:hanging="567"/>
      </w:pPr>
      <w:r w:rsidRPr="001775D9">
        <w:t xml:space="preserve">asthma; </w:t>
      </w:r>
    </w:p>
    <w:p w14:paraId="4A6C0AF6" w14:textId="77777777" w:rsidR="00C42229" w:rsidRPr="001775D9" w:rsidRDefault="00C42229" w:rsidP="00B61D9D">
      <w:pPr>
        <w:numPr>
          <w:ilvl w:val="0"/>
          <w:numId w:val="16"/>
        </w:numPr>
        <w:spacing w:line="240" w:lineRule="auto"/>
        <w:ind w:left="567" w:hanging="567"/>
      </w:pPr>
      <w:r w:rsidRPr="001775D9">
        <w:t xml:space="preserve">shortness of breath; </w:t>
      </w:r>
    </w:p>
    <w:p w14:paraId="2DED4FEB" w14:textId="77777777" w:rsidR="00C42229" w:rsidRPr="001775D9" w:rsidRDefault="00C42229" w:rsidP="00B61D9D">
      <w:pPr>
        <w:numPr>
          <w:ilvl w:val="0"/>
          <w:numId w:val="16"/>
        </w:numPr>
        <w:spacing w:line="240" w:lineRule="auto"/>
        <w:ind w:left="567" w:hanging="567"/>
      </w:pPr>
      <w:r w:rsidRPr="001775D9">
        <w:t xml:space="preserve">gastrointestinal bleeding; </w:t>
      </w:r>
    </w:p>
    <w:p w14:paraId="041FA7F7" w14:textId="77777777" w:rsidR="00C42229" w:rsidRPr="001775D9" w:rsidRDefault="00C42229" w:rsidP="00B61D9D">
      <w:pPr>
        <w:numPr>
          <w:ilvl w:val="0"/>
          <w:numId w:val="16"/>
        </w:numPr>
        <w:spacing w:line="240" w:lineRule="auto"/>
        <w:ind w:left="567" w:hanging="567"/>
      </w:pPr>
      <w:r w:rsidRPr="001775D9">
        <w:t xml:space="preserve">dyspepsia (indigestion, bloating, heart burn); </w:t>
      </w:r>
    </w:p>
    <w:p w14:paraId="4D7B6E0B" w14:textId="77777777" w:rsidR="00C42229" w:rsidRPr="001775D9" w:rsidRDefault="00C42229" w:rsidP="00B61D9D">
      <w:pPr>
        <w:numPr>
          <w:ilvl w:val="0"/>
          <w:numId w:val="16"/>
        </w:numPr>
        <w:spacing w:line="240" w:lineRule="auto"/>
        <w:ind w:left="567" w:hanging="567"/>
      </w:pPr>
      <w:r w:rsidRPr="001775D9">
        <w:t xml:space="preserve">acid reflux disease; </w:t>
      </w:r>
    </w:p>
    <w:p w14:paraId="1339887F" w14:textId="77777777" w:rsidR="00C42229" w:rsidRPr="001775D9" w:rsidRDefault="00C42229" w:rsidP="00B61D9D">
      <w:pPr>
        <w:numPr>
          <w:ilvl w:val="0"/>
          <w:numId w:val="16"/>
        </w:numPr>
        <w:spacing w:line="240" w:lineRule="auto"/>
        <w:ind w:left="567" w:hanging="567"/>
      </w:pPr>
      <w:r w:rsidRPr="001775D9">
        <w:t xml:space="preserve">sicca syndrome (including dry eyes and dry mouth); </w:t>
      </w:r>
    </w:p>
    <w:p w14:paraId="21362437" w14:textId="77777777" w:rsidR="00C42229" w:rsidRPr="001775D9" w:rsidRDefault="00C42229" w:rsidP="00B61D9D">
      <w:pPr>
        <w:numPr>
          <w:ilvl w:val="0"/>
          <w:numId w:val="16"/>
        </w:numPr>
        <w:spacing w:line="240" w:lineRule="auto"/>
        <w:ind w:left="567" w:hanging="567"/>
      </w:pPr>
      <w:r w:rsidRPr="001775D9">
        <w:t xml:space="preserve">itching; </w:t>
      </w:r>
    </w:p>
    <w:p w14:paraId="35180EAC" w14:textId="77777777" w:rsidR="00C42229" w:rsidRPr="001775D9" w:rsidRDefault="00C42229" w:rsidP="00B61D9D">
      <w:pPr>
        <w:numPr>
          <w:ilvl w:val="0"/>
          <w:numId w:val="16"/>
        </w:numPr>
        <w:spacing w:line="240" w:lineRule="auto"/>
        <w:ind w:left="567" w:hanging="567"/>
      </w:pPr>
      <w:r w:rsidRPr="001775D9">
        <w:t xml:space="preserve">itchy rash; </w:t>
      </w:r>
    </w:p>
    <w:p w14:paraId="76F7BB44" w14:textId="77777777" w:rsidR="00C42229" w:rsidRPr="001775D9" w:rsidRDefault="00C42229" w:rsidP="00B61D9D">
      <w:pPr>
        <w:numPr>
          <w:ilvl w:val="0"/>
          <w:numId w:val="16"/>
        </w:numPr>
        <w:spacing w:line="240" w:lineRule="auto"/>
        <w:ind w:left="567" w:hanging="567"/>
      </w:pPr>
      <w:r w:rsidRPr="001775D9">
        <w:t xml:space="preserve">bruising; </w:t>
      </w:r>
    </w:p>
    <w:p w14:paraId="18D8174B" w14:textId="77777777" w:rsidR="00C42229" w:rsidRPr="001775D9" w:rsidRDefault="00C42229" w:rsidP="00B61D9D">
      <w:pPr>
        <w:numPr>
          <w:ilvl w:val="0"/>
          <w:numId w:val="16"/>
        </w:numPr>
        <w:spacing w:line="240" w:lineRule="auto"/>
        <w:ind w:left="567" w:hanging="567"/>
      </w:pPr>
      <w:r w:rsidRPr="001775D9">
        <w:t xml:space="preserve">inflammation of the skin (such as eczema); </w:t>
      </w:r>
    </w:p>
    <w:p w14:paraId="350247D4" w14:textId="77777777" w:rsidR="00C42229" w:rsidRPr="001775D9" w:rsidRDefault="00C42229" w:rsidP="00B61D9D">
      <w:pPr>
        <w:numPr>
          <w:ilvl w:val="0"/>
          <w:numId w:val="16"/>
        </w:numPr>
        <w:spacing w:line="240" w:lineRule="auto"/>
        <w:ind w:left="567" w:hanging="567"/>
      </w:pPr>
      <w:r w:rsidRPr="001775D9">
        <w:t xml:space="preserve">breaking of finger nails and toe nails; </w:t>
      </w:r>
    </w:p>
    <w:p w14:paraId="338A509B" w14:textId="77777777" w:rsidR="00C42229" w:rsidRPr="001775D9" w:rsidRDefault="00C42229" w:rsidP="00B61D9D">
      <w:pPr>
        <w:numPr>
          <w:ilvl w:val="0"/>
          <w:numId w:val="16"/>
        </w:numPr>
        <w:spacing w:line="240" w:lineRule="auto"/>
        <w:ind w:left="567" w:hanging="567"/>
      </w:pPr>
      <w:r w:rsidRPr="001775D9">
        <w:t xml:space="preserve">increased sweating; </w:t>
      </w:r>
    </w:p>
    <w:p w14:paraId="5C4313D0" w14:textId="77777777" w:rsidR="00C42229" w:rsidRPr="001775D9" w:rsidRDefault="00C42229" w:rsidP="00B61D9D">
      <w:pPr>
        <w:numPr>
          <w:ilvl w:val="0"/>
          <w:numId w:val="16"/>
        </w:numPr>
        <w:spacing w:line="240" w:lineRule="auto"/>
        <w:ind w:left="567" w:hanging="567"/>
      </w:pPr>
      <w:r w:rsidRPr="001775D9">
        <w:t xml:space="preserve">hair loss; </w:t>
      </w:r>
    </w:p>
    <w:p w14:paraId="145BF3AC" w14:textId="77777777" w:rsidR="00C42229" w:rsidRPr="001775D9" w:rsidRDefault="00C42229" w:rsidP="00B61D9D">
      <w:pPr>
        <w:numPr>
          <w:ilvl w:val="0"/>
          <w:numId w:val="16"/>
        </w:numPr>
        <w:spacing w:line="240" w:lineRule="auto"/>
        <w:ind w:left="567" w:hanging="567"/>
      </w:pPr>
      <w:r w:rsidRPr="001775D9">
        <w:t xml:space="preserve">new onset or worsening of psoriasis; </w:t>
      </w:r>
    </w:p>
    <w:p w14:paraId="269FD08C" w14:textId="77777777" w:rsidR="00C42229" w:rsidRPr="001775D9" w:rsidRDefault="00C42229" w:rsidP="00B61D9D">
      <w:pPr>
        <w:numPr>
          <w:ilvl w:val="0"/>
          <w:numId w:val="16"/>
        </w:numPr>
        <w:spacing w:line="240" w:lineRule="auto"/>
        <w:ind w:left="567" w:hanging="567"/>
      </w:pPr>
      <w:r w:rsidRPr="001775D9">
        <w:t xml:space="preserve">muscle spasms; </w:t>
      </w:r>
    </w:p>
    <w:p w14:paraId="5C105423" w14:textId="77777777" w:rsidR="00C42229" w:rsidRPr="001775D9" w:rsidRDefault="00C42229" w:rsidP="00B61D9D">
      <w:pPr>
        <w:numPr>
          <w:ilvl w:val="0"/>
          <w:numId w:val="16"/>
        </w:numPr>
        <w:spacing w:line="240" w:lineRule="auto"/>
        <w:ind w:left="567" w:hanging="567"/>
      </w:pPr>
      <w:r w:rsidRPr="001775D9">
        <w:t xml:space="preserve">blood in urine; </w:t>
      </w:r>
    </w:p>
    <w:p w14:paraId="7978B547" w14:textId="77777777" w:rsidR="00C42229" w:rsidRPr="001775D9" w:rsidRDefault="00C42229" w:rsidP="00B61D9D">
      <w:pPr>
        <w:numPr>
          <w:ilvl w:val="0"/>
          <w:numId w:val="16"/>
        </w:numPr>
        <w:spacing w:line="240" w:lineRule="auto"/>
        <w:ind w:left="567" w:hanging="567"/>
      </w:pPr>
      <w:r w:rsidRPr="001775D9">
        <w:t xml:space="preserve">kidney problems; </w:t>
      </w:r>
    </w:p>
    <w:p w14:paraId="26CF5A95" w14:textId="77777777" w:rsidR="00C42229" w:rsidRPr="001775D9" w:rsidRDefault="00C42229" w:rsidP="00B61D9D">
      <w:pPr>
        <w:numPr>
          <w:ilvl w:val="0"/>
          <w:numId w:val="16"/>
        </w:numPr>
        <w:spacing w:line="240" w:lineRule="auto"/>
        <w:ind w:left="567" w:hanging="567"/>
      </w:pPr>
      <w:r w:rsidRPr="001775D9">
        <w:t xml:space="preserve">chest pain; </w:t>
      </w:r>
    </w:p>
    <w:p w14:paraId="7BD2CE48" w14:textId="77777777" w:rsidR="00C42229" w:rsidRPr="001775D9" w:rsidRDefault="00C42229" w:rsidP="00B61D9D">
      <w:pPr>
        <w:numPr>
          <w:ilvl w:val="0"/>
          <w:numId w:val="16"/>
        </w:numPr>
        <w:spacing w:line="240" w:lineRule="auto"/>
        <w:ind w:left="567" w:hanging="567"/>
      </w:pPr>
      <w:r w:rsidRPr="001775D9">
        <w:t xml:space="preserve">oedema; </w:t>
      </w:r>
    </w:p>
    <w:p w14:paraId="61409D49" w14:textId="77777777" w:rsidR="00C42229" w:rsidRPr="001775D9" w:rsidRDefault="00C42229" w:rsidP="00B61D9D">
      <w:pPr>
        <w:numPr>
          <w:ilvl w:val="0"/>
          <w:numId w:val="16"/>
        </w:numPr>
        <w:spacing w:line="240" w:lineRule="auto"/>
        <w:ind w:left="567" w:hanging="567"/>
      </w:pPr>
      <w:r w:rsidRPr="001775D9">
        <w:t xml:space="preserve">fever; </w:t>
      </w:r>
    </w:p>
    <w:p w14:paraId="06DEE08D" w14:textId="77777777" w:rsidR="00C42229" w:rsidRPr="001775D9" w:rsidRDefault="00C42229" w:rsidP="00B61D9D">
      <w:pPr>
        <w:numPr>
          <w:ilvl w:val="0"/>
          <w:numId w:val="16"/>
        </w:numPr>
        <w:spacing w:line="240" w:lineRule="auto"/>
        <w:ind w:left="567" w:hanging="567"/>
      </w:pPr>
      <w:r w:rsidRPr="001775D9">
        <w:t>reduction in blood platelets which increases risk of bleeding or bruising;</w:t>
      </w:r>
    </w:p>
    <w:p w14:paraId="2F592B55" w14:textId="77777777" w:rsidR="00C42229" w:rsidRPr="001775D9" w:rsidRDefault="00C42229" w:rsidP="00FA1618">
      <w:pPr>
        <w:numPr>
          <w:ilvl w:val="0"/>
          <w:numId w:val="16"/>
        </w:numPr>
        <w:spacing w:line="240" w:lineRule="auto"/>
        <w:ind w:left="567" w:hanging="567"/>
        <w:rPr>
          <w:szCs w:val="22"/>
        </w:rPr>
      </w:pPr>
      <w:r w:rsidRPr="001775D9">
        <w:rPr>
          <w:szCs w:val="22"/>
        </w:rPr>
        <w:t xml:space="preserve">impaired healing. </w:t>
      </w:r>
    </w:p>
    <w:p w14:paraId="0AE038DE" w14:textId="77777777" w:rsidR="00C42229" w:rsidRPr="00D55B59" w:rsidRDefault="00C42229" w:rsidP="00FB5458">
      <w:pPr>
        <w:pStyle w:val="Default"/>
        <w:rPr>
          <w:sz w:val="22"/>
          <w:szCs w:val="22"/>
          <w:lang w:val="en-GB"/>
          <w:rPrChange w:id="3001" w:author="Author">
            <w:rPr>
              <w:sz w:val="22"/>
              <w:szCs w:val="22"/>
            </w:rPr>
          </w:rPrChange>
        </w:rPr>
      </w:pPr>
    </w:p>
    <w:p w14:paraId="56F26015" w14:textId="77777777" w:rsidR="00F62574" w:rsidRPr="00D55B59" w:rsidRDefault="00F62574" w:rsidP="00B61D9D">
      <w:pPr>
        <w:pStyle w:val="Default"/>
        <w:keepNext/>
        <w:rPr>
          <w:sz w:val="22"/>
          <w:szCs w:val="22"/>
          <w:lang w:val="en-GB"/>
          <w:rPrChange w:id="3002" w:author="Author">
            <w:rPr>
              <w:sz w:val="22"/>
              <w:szCs w:val="22"/>
            </w:rPr>
          </w:rPrChange>
        </w:rPr>
      </w:pPr>
      <w:r w:rsidRPr="00D55B59">
        <w:rPr>
          <w:sz w:val="22"/>
          <w:szCs w:val="22"/>
          <w:lang w:val="en-GB"/>
          <w:rPrChange w:id="3003" w:author="Author">
            <w:rPr>
              <w:sz w:val="22"/>
              <w:szCs w:val="22"/>
            </w:rPr>
          </w:rPrChange>
        </w:rPr>
        <w:t xml:space="preserve">Uncommon (may affect up to 1 in 100 people) </w:t>
      </w:r>
    </w:p>
    <w:p w14:paraId="2B5CF1C1" w14:textId="77777777" w:rsidR="00C42229" w:rsidRPr="001775D9" w:rsidRDefault="00C42229" w:rsidP="00B61D9D">
      <w:pPr>
        <w:numPr>
          <w:ilvl w:val="1"/>
          <w:numId w:val="17"/>
        </w:numPr>
        <w:spacing w:line="240" w:lineRule="auto"/>
        <w:ind w:left="567" w:hanging="567"/>
      </w:pPr>
      <w:r w:rsidRPr="001775D9">
        <w:t xml:space="preserve">opportunistic infections (which include tuberculosis and other infections that occur when resistance to disease is lowered); </w:t>
      </w:r>
    </w:p>
    <w:p w14:paraId="27B330B6" w14:textId="77777777" w:rsidR="00C42229" w:rsidRPr="001775D9" w:rsidRDefault="00C42229" w:rsidP="00B61D9D">
      <w:pPr>
        <w:numPr>
          <w:ilvl w:val="1"/>
          <w:numId w:val="17"/>
        </w:numPr>
        <w:spacing w:line="240" w:lineRule="auto"/>
        <w:ind w:left="567" w:hanging="567"/>
      </w:pPr>
      <w:r w:rsidRPr="001775D9">
        <w:t xml:space="preserve">neurological infections (including viral meningitis); </w:t>
      </w:r>
    </w:p>
    <w:p w14:paraId="2060876B" w14:textId="77777777" w:rsidR="00C42229" w:rsidRPr="001775D9" w:rsidRDefault="00C42229" w:rsidP="00B61D9D">
      <w:pPr>
        <w:numPr>
          <w:ilvl w:val="1"/>
          <w:numId w:val="17"/>
        </w:numPr>
        <w:spacing w:line="240" w:lineRule="auto"/>
        <w:ind w:left="567" w:hanging="567"/>
      </w:pPr>
      <w:r w:rsidRPr="001775D9">
        <w:t xml:space="preserve">eye infections; </w:t>
      </w:r>
    </w:p>
    <w:p w14:paraId="3237CA6C" w14:textId="77777777" w:rsidR="00C42229" w:rsidRPr="001775D9" w:rsidRDefault="00C42229" w:rsidP="00B61D9D">
      <w:pPr>
        <w:numPr>
          <w:ilvl w:val="1"/>
          <w:numId w:val="17"/>
        </w:numPr>
        <w:spacing w:line="240" w:lineRule="auto"/>
        <w:ind w:left="567" w:hanging="567"/>
      </w:pPr>
      <w:r w:rsidRPr="001775D9">
        <w:t xml:space="preserve">bacterial infections; </w:t>
      </w:r>
    </w:p>
    <w:p w14:paraId="215D4DB4" w14:textId="77777777" w:rsidR="00C42229" w:rsidRPr="001775D9" w:rsidRDefault="00C42229" w:rsidP="00B61D9D">
      <w:pPr>
        <w:numPr>
          <w:ilvl w:val="1"/>
          <w:numId w:val="17"/>
        </w:numPr>
        <w:spacing w:line="240" w:lineRule="auto"/>
        <w:ind w:left="567" w:hanging="567"/>
      </w:pPr>
      <w:r w:rsidRPr="001775D9">
        <w:t xml:space="preserve">diverticulitis (inflammation and infection of the large intestine); </w:t>
      </w:r>
    </w:p>
    <w:p w14:paraId="10755B7D" w14:textId="187645D4" w:rsidR="00C42229" w:rsidRPr="001775D9" w:rsidRDefault="00C42229" w:rsidP="00B61D9D">
      <w:pPr>
        <w:numPr>
          <w:ilvl w:val="1"/>
          <w:numId w:val="17"/>
        </w:numPr>
        <w:spacing w:line="240" w:lineRule="auto"/>
        <w:ind w:left="567" w:hanging="567"/>
      </w:pPr>
      <w:r w:rsidRPr="001775D9">
        <w:t>cancer</w:t>
      </w:r>
      <w:r w:rsidR="00B27040" w:rsidRPr="001775D9">
        <w:t>, including cancer that affects the lymph system (lymphoma) and melanoma (skin cancer);</w:t>
      </w:r>
      <w:r w:rsidRPr="001775D9">
        <w:t xml:space="preserve"> </w:t>
      </w:r>
    </w:p>
    <w:p w14:paraId="01439591" w14:textId="77777777" w:rsidR="00C42229" w:rsidRPr="001775D9" w:rsidRDefault="00C42229" w:rsidP="00B61D9D">
      <w:pPr>
        <w:numPr>
          <w:ilvl w:val="1"/>
          <w:numId w:val="17"/>
        </w:numPr>
        <w:spacing w:line="240" w:lineRule="auto"/>
        <w:ind w:left="567" w:hanging="567"/>
      </w:pPr>
      <w:r w:rsidRPr="001775D9">
        <w:t xml:space="preserve">immune disorders that could affect the lungs, skin and lymph nodes (most commonly presenting as sarcoidosis); </w:t>
      </w:r>
    </w:p>
    <w:p w14:paraId="18CD9646" w14:textId="77777777" w:rsidR="00C42229" w:rsidRPr="001775D9" w:rsidRDefault="00C42229" w:rsidP="00B61D9D">
      <w:pPr>
        <w:numPr>
          <w:ilvl w:val="1"/>
          <w:numId w:val="17"/>
        </w:numPr>
        <w:spacing w:line="240" w:lineRule="auto"/>
        <w:ind w:left="567" w:hanging="567"/>
      </w:pPr>
      <w:r w:rsidRPr="001775D9">
        <w:t xml:space="preserve">vasculitis </w:t>
      </w:r>
      <w:r w:rsidR="00745FCB" w:rsidRPr="001775D9">
        <w:t>(inflammation of blood vessels);</w:t>
      </w:r>
    </w:p>
    <w:p w14:paraId="220AB08F" w14:textId="77777777" w:rsidR="00C42229" w:rsidRPr="001775D9" w:rsidRDefault="00C42229" w:rsidP="00B61D9D">
      <w:pPr>
        <w:numPr>
          <w:ilvl w:val="1"/>
          <w:numId w:val="17"/>
        </w:numPr>
        <w:spacing w:line="240" w:lineRule="auto"/>
        <w:ind w:left="567" w:hanging="567"/>
      </w:pPr>
      <w:r w:rsidRPr="001775D9">
        <w:t xml:space="preserve">tremor; </w:t>
      </w:r>
    </w:p>
    <w:p w14:paraId="0F24149D" w14:textId="77777777" w:rsidR="00C42229" w:rsidRPr="001775D9" w:rsidRDefault="00C42229" w:rsidP="00B61D9D">
      <w:pPr>
        <w:numPr>
          <w:ilvl w:val="1"/>
          <w:numId w:val="17"/>
        </w:numPr>
        <w:spacing w:line="240" w:lineRule="auto"/>
        <w:ind w:left="567" w:hanging="567"/>
      </w:pPr>
      <w:r w:rsidRPr="001775D9">
        <w:t xml:space="preserve">neuropathy; </w:t>
      </w:r>
    </w:p>
    <w:p w14:paraId="64F99069" w14:textId="77777777" w:rsidR="00BF665F" w:rsidRPr="001775D9" w:rsidRDefault="00C42229" w:rsidP="00B61D9D">
      <w:pPr>
        <w:numPr>
          <w:ilvl w:val="1"/>
          <w:numId w:val="17"/>
        </w:numPr>
        <w:spacing w:line="240" w:lineRule="auto"/>
        <w:ind w:left="567" w:hanging="567"/>
      </w:pPr>
      <w:r w:rsidRPr="001775D9">
        <w:t xml:space="preserve">stroke; </w:t>
      </w:r>
    </w:p>
    <w:p w14:paraId="4A0748CF" w14:textId="33D74833" w:rsidR="00C42229" w:rsidRPr="001775D9" w:rsidRDefault="00C42229" w:rsidP="00B61D9D">
      <w:pPr>
        <w:numPr>
          <w:ilvl w:val="1"/>
          <w:numId w:val="17"/>
        </w:numPr>
        <w:spacing w:line="240" w:lineRule="auto"/>
        <w:ind w:left="567" w:hanging="567"/>
      </w:pPr>
      <w:r w:rsidRPr="001775D9">
        <w:t xml:space="preserve">hearing loss, buzzing; </w:t>
      </w:r>
    </w:p>
    <w:p w14:paraId="14810B63" w14:textId="77777777" w:rsidR="00C42229" w:rsidRPr="001775D9" w:rsidRDefault="00C42229" w:rsidP="00B61D9D">
      <w:pPr>
        <w:numPr>
          <w:ilvl w:val="1"/>
          <w:numId w:val="17"/>
        </w:numPr>
        <w:spacing w:line="240" w:lineRule="auto"/>
        <w:ind w:left="567" w:hanging="567"/>
      </w:pPr>
      <w:r w:rsidRPr="001775D9">
        <w:t xml:space="preserve">sensation of heart beating irregularly such as skipped beats; </w:t>
      </w:r>
    </w:p>
    <w:p w14:paraId="359E94CE" w14:textId="77777777" w:rsidR="00C42229" w:rsidRPr="001775D9" w:rsidRDefault="00C42229" w:rsidP="00B61D9D">
      <w:pPr>
        <w:numPr>
          <w:ilvl w:val="1"/>
          <w:numId w:val="17"/>
        </w:numPr>
        <w:spacing w:line="240" w:lineRule="auto"/>
        <w:ind w:left="567" w:hanging="567"/>
      </w:pPr>
      <w:r w:rsidRPr="001775D9">
        <w:t xml:space="preserve">heart problems that can cause shortness of breath or ankle swelling; </w:t>
      </w:r>
    </w:p>
    <w:p w14:paraId="1FBF7363" w14:textId="77777777" w:rsidR="00C42229" w:rsidRPr="001775D9" w:rsidRDefault="00C42229" w:rsidP="00B61D9D">
      <w:pPr>
        <w:numPr>
          <w:ilvl w:val="1"/>
          <w:numId w:val="17"/>
        </w:numPr>
        <w:spacing w:line="240" w:lineRule="auto"/>
        <w:ind w:left="567" w:hanging="567"/>
      </w:pPr>
      <w:r w:rsidRPr="001775D9">
        <w:t xml:space="preserve">heart attack; </w:t>
      </w:r>
    </w:p>
    <w:p w14:paraId="0EBA5A8F" w14:textId="77777777" w:rsidR="00C42229" w:rsidRPr="001775D9" w:rsidRDefault="00C42229" w:rsidP="00B61D9D">
      <w:pPr>
        <w:numPr>
          <w:ilvl w:val="1"/>
          <w:numId w:val="17"/>
        </w:numPr>
        <w:spacing w:line="240" w:lineRule="auto"/>
        <w:ind w:left="567" w:hanging="567"/>
      </w:pPr>
      <w:r w:rsidRPr="001775D9">
        <w:t>a sac in the wall of a major artery, inflammation and clot of a vein</w:t>
      </w:r>
      <w:r w:rsidR="00E63AAF" w:rsidRPr="001775D9">
        <w:t>,</w:t>
      </w:r>
      <w:r w:rsidRPr="001775D9">
        <w:t xml:space="preserve"> blockage of a blood vessel; </w:t>
      </w:r>
    </w:p>
    <w:p w14:paraId="1E30DF44" w14:textId="77777777" w:rsidR="00C42229" w:rsidRPr="001775D9" w:rsidRDefault="00C42229" w:rsidP="00B61D9D">
      <w:pPr>
        <w:numPr>
          <w:ilvl w:val="1"/>
          <w:numId w:val="17"/>
        </w:numPr>
        <w:spacing w:line="240" w:lineRule="auto"/>
        <w:ind w:left="567" w:hanging="567"/>
      </w:pPr>
      <w:r w:rsidRPr="001775D9">
        <w:t xml:space="preserve">lung diseases causing shortness of breath (including inflammation); </w:t>
      </w:r>
    </w:p>
    <w:p w14:paraId="53F1F9D6" w14:textId="77777777" w:rsidR="00C42229" w:rsidRPr="001775D9" w:rsidRDefault="00C42229" w:rsidP="00B61D9D">
      <w:pPr>
        <w:numPr>
          <w:ilvl w:val="1"/>
          <w:numId w:val="17"/>
        </w:numPr>
        <w:spacing w:line="240" w:lineRule="auto"/>
        <w:ind w:left="567" w:hanging="567"/>
      </w:pPr>
      <w:r w:rsidRPr="001775D9">
        <w:t xml:space="preserve">pulmonary embolism (blockage in an artery of the lung); </w:t>
      </w:r>
    </w:p>
    <w:p w14:paraId="050A612F" w14:textId="77777777" w:rsidR="00C42229" w:rsidRPr="001775D9" w:rsidRDefault="00C42229" w:rsidP="00B61D9D">
      <w:pPr>
        <w:numPr>
          <w:ilvl w:val="1"/>
          <w:numId w:val="17"/>
        </w:numPr>
        <w:spacing w:line="240" w:lineRule="auto"/>
        <w:ind w:left="567" w:hanging="567"/>
      </w:pPr>
      <w:r w:rsidRPr="001775D9">
        <w:t xml:space="preserve">pleural effusion (abnormal collection of fluid in the pleural space); </w:t>
      </w:r>
    </w:p>
    <w:p w14:paraId="7A3F04C3" w14:textId="77777777" w:rsidR="00C42229" w:rsidRPr="001775D9" w:rsidRDefault="00C42229" w:rsidP="00B61D9D">
      <w:pPr>
        <w:numPr>
          <w:ilvl w:val="1"/>
          <w:numId w:val="17"/>
        </w:numPr>
        <w:spacing w:line="240" w:lineRule="auto"/>
        <w:ind w:left="567" w:hanging="567"/>
      </w:pPr>
      <w:r w:rsidRPr="001775D9">
        <w:t xml:space="preserve">inflammation of the pancreas which causes severe pain in the abdomen and back; </w:t>
      </w:r>
    </w:p>
    <w:p w14:paraId="5EA6B1FC" w14:textId="77777777" w:rsidR="00C42229" w:rsidRPr="001775D9" w:rsidRDefault="00C42229" w:rsidP="00B61D9D">
      <w:pPr>
        <w:numPr>
          <w:ilvl w:val="1"/>
          <w:numId w:val="17"/>
        </w:numPr>
        <w:spacing w:line="240" w:lineRule="auto"/>
        <w:ind w:left="567" w:hanging="567"/>
      </w:pPr>
      <w:r w:rsidRPr="001775D9">
        <w:t xml:space="preserve">difficulty in swallowing; </w:t>
      </w:r>
    </w:p>
    <w:p w14:paraId="3C070835" w14:textId="77777777" w:rsidR="00C42229" w:rsidRPr="001775D9" w:rsidRDefault="00C42229" w:rsidP="00B61D9D">
      <w:pPr>
        <w:numPr>
          <w:ilvl w:val="1"/>
          <w:numId w:val="17"/>
        </w:numPr>
        <w:spacing w:line="240" w:lineRule="auto"/>
        <w:ind w:left="567" w:hanging="567"/>
      </w:pPr>
      <w:r w:rsidRPr="001775D9">
        <w:t xml:space="preserve">facial oedema; </w:t>
      </w:r>
    </w:p>
    <w:p w14:paraId="74D2B629" w14:textId="77777777" w:rsidR="00C42229" w:rsidRPr="001775D9" w:rsidRDefault="00C42229" w:rsidP="00B61D9D">
      <w:pPr>
        <w:numPr>
          <w:ilvl w:val="1"/>
          <w:numId w:val="17"/>
        </w:numPr>
        <w:spacing w:line="240" w:lineRule="auto"/>
        <w:ind w:left="567" w:hanging="567"/>
      </w:pPr>
      <w:r w:rsidRPr="001775D9">
        <w:t xml:space="preserve">gallbladder inflammation, gallbladder stones; </w:t>
      </w:r>
    </w:p>
    <w:p w14:paraId="52A34C16" w14:textId="77777777" w:rsidR="00C42229" w:rsidRPr="001775D9" w:rsidRDefault="00C42229" w:rsidP="00B61D9D">
      <w:pPr>
        <w:numPr>
          <w:ilvl w:val="1"/>
          <w:numId w:val="17"/>
        </w:numPr>
        <w:spacing w:line="240" w:lineRule="auto"/>
        <w:ind w:left="567" w:hanging="567"/>
      </w:pPr>
      <w:r w:rsidRPr="001775D9">
        <w:t xml:space="preserve">fatty liver; </w:t>
      </w:r>
    </w:p>
    <w:p w14:paraId="5DAAD84F" w14:textId="77777777" w:rsidR="00C42229" w:rsidRPr="001775D9" w:rsidRDefault="00C42229" w:rsidP="00B61D9D">
      <w:pPr>
        <w:numPr>
          <w:ilvl w:val="1"/>
          <w:numId w:val="17"/>
        </w:numPr>
        <w:spacing w:line="240" w:lineRule="auto"/>
        <w:ind w:left="567" w:hanging="567"/>
      </w:pPr>
      <w:r w:rsidRPr="001775D9">
        <w:t xml:space="preserve">night sweats; </w:t>
      </w:r>
    </w:p>
    <w:p w14:paraId="7E393340" w14:textId="77777777" w:rsidR="00C42229" w:rsidRPr="001775D9" w:rsidRDefault="00C42229" w:rsidP="00B61D9D">
      <w:pPr>
        <w:numPr>
          <w:ilvl w:val="1"/>
          <w:numId w:val="17"/>
        </w:numPr>
        <w:spacing w:line="240" w:lineRule="auto"/>
        <w:ind w:left="567" w:hanging="567"/>
      </w:pPr>
      <w:r w:rsidRPr="001775D9">
        <w:t xml:space="preserve">scar; </w:t>
      </w:r>
    </w:p>
    <w:p w14:paraId="7370154F" w14:textId="77777777" w:rsidR="00C42229" w:rsidRPr="001775D9" w:rsidRDefault="00C42229" w:rsidP="00B61D9D">
      <w:pPr>
        <w:numPr>
          <w:ilvl w:val="1"/>
          <w:numId w:val="17"/>
        </w:numPr>
        <w:spacing w:line="240" w:lineRule="auto"/>
        <w:ind w:left="567" w:hanging="567"/>
      </w:pPr>
      <w:r w:rsidRPr="001775D9">
        <w:t xml:space="preserve">abnormal muscle breakdown; </w:t>
      </w:r>
    </w:p>
    <w:p w14:paraId="2DEE69AB" w14:textId="77777777" w:rsidR="00C42229" w:rsidRPr="001775D9" w:rsidRDefault="00C42229" w:rsidP="00B61D9D">
      <w:pPr>
        <w:numPr>
          <w:ilvl w:val="1"/>
          <w:numId w:val="17"/>
        </w:numPr>
        <w:spacing w:line="240" w:lineRule="auto"/>
        <w:ind w:left="567" w:hanging="567"/>
      </w:pPr>
      <w:r w:rsidRPr="001775D9">
        <w:t xml:space="preserve">systemic lupus erythematosus (including inflammation of skin, heart, lung, joints and other organ systems); </w:t>
      </w:r>
    </w:p>
    <w:p w14:paraId="2E58833D" w14:textId="77777777" w:rsidR="00C42229" w:rsidRPr="001775D9" w:rsidRDefault="00C42229" w:rsidP="00B61D9D">
      <w:pPr>
        <w:numPr>
          <w:ilvl w:val="1"/>
          <w:numId w:val="17"/>
        </w:numPr>
        <w:spacing w:line="240" w:lineRule="auto"/>
        <w:ind w:left="567" w:hanging="567"/>
      </w:pPr>
      <w:r w:rsidRPr="001775D9">
        <w:t xml:space="preserve">sleep interruptions; </w:t>
      </w:r>
    </w:p>
    <w:p w14:paraId="14AF84E4" w14:textId="77777777" w:rsidR="00C42229" w:rsidRPr="001775D9" w:rsidRDefault="00C42229" w:rsidP="00B61D9D">
      <w:pPr>
        <w:numPr>
          <w:ilvl w:val="1"/>
          <w:numId w:val="17"/>
        </w:numPr>
        <w:spacing w:line="240" w:lineRule="auto"/>
        <w:ind w:left="567" w:hanging="567"/>
      </w:pPr>
      <w:r w:rsidRPr="001775D9">
        <w:t xml:space="preserve">impotence; </w:t>
      </w:r>
    </w:p>
    <w:p w14:paraId="2C89EE7A" w14:textId="77777777" w:rsidR="00C42229" w:rsidRPr="001775D9" w:rsidRDefault="00C42229" w:rsidP="00B61D9D">
      <w:pPr>
        <w:numPr>
          <w:ilvl w:val="1"/>
          <w:numId w:val="17"/>
        </w:numPr>
        <w:spacing w:line="240" w:lineRule="auto"/>
        <w:ind w:left="567" w:hanging="567"/>
      </w:pPr>
      <w:r w:rsidRPr="001775D9">
        <w:t xml:space="preserve">inflammations. </w:t>
      </w:r>
    </w:p>
    <w:p w14:paraId="428E9B62" w14:textId="77777777" w:rsidR="00C42229" w:rsidRPr="001775D9" w:rsidRDefault="00C42229" w:rsidP="008415E1">
      <w:pPr>
        <w:numPr>
          <w:ilvl w:val="12"/>
          <w:numId w:val="0"/>
        </w:numPr>
        <w:tabs>
          <w:tab w:val="clear" w:pos="567"/>
        </w:tabs>
        <w:spacing w:line="240" w:lineRule="auto"/>
        <w:outlineLvl w:val="0"/>
        <w:rPr>
          <w:b/>
          <w:szCs w:val="22"/>
        </w:rPr>
      </w:pPr>
    </w:p>
    <w:p w14:paraId="73EBC901" w14:textId="04896768" w:rsidR="00F62574" w:rsidRPr="00D55B59" w:rsidRDefault="00F62574" w:rsidP="008415E1">
      <w:pPr>
        <w:pStyle w:val="Default"/>
        <w:keepNext/>
        <w:rPr>
          <w:sz w:val="22"/>
          <w:szCs w:val="22"/>
          <w:lang w:val="en-GB"/>
          <w:rPrChange w:id="3004" w:author="Author">
            <w:rPr>
              <w:sz w:val="22"/>
              <w:szCs w:val="22"/>
            </w:rPr>
          </w:rPrChange>
        </w:rPr>
      </w:pPr>
      <w:r w:rsidRPr="00D55B59">
        <w:rPr>
          <w:sz w:val="22"/>
          <w:szCs w:val="22"/>
          <w:lang w:val="en-GB"/>
          <w:rPrChange w:id="3005" w:author="Author">
            <w:rPr>
              <w:sz w:val="22"/>
              <w:szCs w:val="22"/>
            </w:rPr>
          </w:rPrChange>
        </w:rPr>
        <w:t xml:space="preserve">Rare (may affect up to 1 in 1,000 people) </w:t>
      </w:r>
    </w:p>
    <w:p w14:paraId="378B135D" w14:textId="77777777" w:rsidR="00C42229" w:rsidRPr="001775D9" w:rsidRDefault="00C42229" w:rsidP="00B61D9D">
      <w:pPr>
        <w:keepNext/>
        <w:numPr>
          <w:ilvl w:val="0"/>
          <w:numId w:val="18"/>
        </w:numPr>
        <w:spacing w:line="240" w:lineRule="auto"/>
        <w:ind w:left="567" w:hanging="567"/>
      </w:pPr>
      <w:r w:rsidRPr="001775D9">
        <w:t xml:space="preserve">leukaemia (cancer affecting the blood and bone marrow); </w:t>
      </w:r>
    </w:p>
    <w:p w14:paraId="6D72B51E" w14:textId="77777777" w:rsidR="00C42229" w:rsidRPr="001775D9" w:rsidRDefault="006E5110" w:rsidP="00B61D9D">
      <w:pPr>
        <w:keepNext/>
        <w:numPr>
          <w:ilvl w:val="0"/>
          <w:numId w:val="18"/>
        </w:numPr>
        <w:spacing w:line="240" w:lineRule="auto"/>
        <w:ind w:left="567" w:hanging="567"/>
      </w:pPr>
      <w:r w:rsidRPr="001775D9">
        <w:t>s</w:t>
      </w:r>
      <w:r w:rsidR="00C42229" w:rsidRPr="001775D9">
        <w:t xml:space="preserve">evere allergic reaction with shock; </w:t>
      </w:r>
    </w:p>
    <w:p w14:paraId="649B3409" w14:textId="77777777" w:rsidR="00C42229" w:rsidRPr="001775D9" w:rsidRDefault="00C42229" w:rsidP="00B61D9D">
      <w:pPr>
        <w:numPr>
          <w:ilvl w:val="0"/>
          <w:numId w:val="18"/>
        </w:numPr>
        <w:spacing w:line="240" w:lineRule="auto"/>
        <w:ind w:left="567" w:hanging="567"/>
      </w:pPr>
      <w:r w:rsidRPr="001775D9">
        <w:t xml:space="preserve">multiple sclerosis; </w:t>
      </w:r>
    </w:p>
    <w:p w14:paraId="31282C17" w14:textId="77777777" w:rsidR="00C42229" w:rsidRPr="001775D9" w:rsidRDefault="00C42229" w:rsidP="00B61D9D">
      <w:pPr>
        <w:numPr>
          <w:ilvl w:val="0"/>
          <w:numId w:val="18"/>
        </w:numPr>
        <w:spacing w:line="240" w:lineRule="auto"/>
        <w:ind w:left="567" w:hanging="567"/>
      </w:pPr>
      <w:r w:rsidRPr="001775D9">
        <w:t xml:space="preserve">nerve disorders (such as eye nerve inflammation and Guillain-Barré syndrome that may cause muscle weakness, abnormal sensations, tingling in the arms and upper body); </w:t>
      </w:r>
    </w:p>
    <w:p w14:paraId="6D303AA1" w14:textId="77777777" w:rsidR="00C42229" w:rsidRPr="001775D9" w:rsidRDefault="00C42229" w:rsidP="00B61D9D">
      <w:pPr>
        <w:numPr>
          <w:ilvl w:val="0"/>
          <w:numId w:val="18"/>
        </w:numPr>
        <w:spacing w:line="240" w:lineRule="auto"/>
        <w:ind w:left="567" w:hanging="567"/>
      </w:pPr>
      <w:r w:rsidRPr="001775D9">
        <w:t xml:space="preserve">heart stops pumping; </w:t>
      </w:r>
    </w:p>
    <w:p w14:paraId="6E462F3E" w14:textId="77777777" w:rsidR="00C42229" w:rsidRPr="001775D9" w:rsidRDefault="00C42229" w:rsidP="00B61D9D">
      <w:pPr>
        <w:numPr>
          <w:ilvl w:val="0"/>
          <w:numId w:val="18"/>
        </w:numPr>
        <w:spacing w:line="240" w:lineRule="auto"/>
        <w:ind w:left="567" w:hanging="567"/>
      </w:pPr>
      <w:r w:rsidRPr="001775D9">
        <w:t xml:space="preserve">pulmonary fibrosis (scarring of the lung); </w:t>
      </w:r>
    </w:p>
    <w:p w14:paraId="158F4800" w14:textId="240756CD" w:rsidR="00C42229" w:rsidRPr="001775D9" w:rsidRDefault="00C42229" w:rsidP="00B61D9D">
      <w:pPr>
        <w:numPr>
          <w:ilvl w:val="0"/>
          <w:numId w:val="18"/>
        </w:numPr>
        <w:spacing w:line="240" w:lineRule="auto"/>
        <w:ind w:left="567" w:hanging="567"/>
      </w:pPr>
      <w:r w:rsidRPr="001775D9">
        <w:t>intestinal perforation</w:t>
      </w:r>
      <w:r w:rsidR="00B27040" w:rsidRPr="001775D9">
        <w:t xml:space="preserve"> (hole in the wall of the gut)</w:t>
      </w:r>
      <w:r w:rsidRPr="001775D9">
        <w:t>;</w:t>
      </w:r>
    </w:p>
    <w:p w14:paraId="34C9DFD3" w14:textId="6F760B1C" w:rsidR="00C42229" w:rsidRPr="001775D9" w:rsidRDefault="00C42229" w:rsidP="00FA1618">
      <w:pPr>
        <w:numPr>
          <w:ilvl w:val="0"/>
          <w:numId w:val="18"/>
        </w:numPr>
        <w:spacing w:line="240" w:lineRule="auto"/>
        <w:ind w:left="567" w:hanging="567"/>
        <w:rPr>
          <w:szCs w:val="22"/>
        </w:rPr>
      </w:pPr>
      <w:r w:rsidRPr="001775D9">
        <w:rPr>
          <w:szCs w:val="22"/>
        </w:rPr>
        <w:t>hepatitis</w:t>
      </w:r>
      <w:r w:rsidR="00B27040" w:rsidRPr="001775D9">
        <w:rPr>
          <w:szCs w:val="22"/>
        </w:rPr>
        <w:t xml:space="preserve"> (liver inflammation)</w:t>
      </w:r>
      <w:r w:rsidRPr="001775D9">
        <w:rPr>
          <w:szCs w:val="22"/>
        </w:rPr>
        <w:t xml:space="preserve">; </w:t>
      </w:r>
    </w:p>
    <w:p w14:paraId="3F9C617E" w14:textId="77777777" w:rsidR="00C42229" w:rsidRPr="001775D9" w:rsidRDefault="00C42229" w:rsidP="00B61D9D">
      <w:pPr>
        <w:numPr>
          <w:ilvl w:val="0"/>
          <w:numId w:val="19"/>
        </w:numPr>
        <w:spacing w:line="240" w:lineRule="auto"/>
        <w:ind w:left="567" w:hanging="567"/>
      </w:pPr>
      <w:r w:rsidRPr="001775D9">
        <w:t xml:space="preserve">reactivation of hepatitis B; </w:t>
      </w:r>
    </w:p>
    <w:p w14:paraId="6D54EF52" w14:textId="77777777" w:rsidR="00C42229" w:rsidRPr="001775D9" w:rsidRDefault="00C42229" w:rsidP="00B61D9D">
      <w:pPr>
        <w:numPr>
          <w:ilvl w:val="0"/>
          <w:numId w:val="19"/>
        </w:numPr>
        <w:spacing w:line="240" w:lineRule="auto"/>
        <w:ind w:left="567" w:hanging="567"/>
      </w:pPr>
      <w:r w:rsidRPr="001775D9">
        <w:t>autoimmune hepatitis (inflammation of the liver caused b</w:t>
      </w:r>
      <w:r w:rsidR="00745FCB" w:rsidRPr="001775D9">
        <w:t>y the body's own immune system);</w:t>
      </w:r>
    </w:p>
    <w:p w14:paraId="6E6E00BE" w14:textId="77777777" w:rsidR="00C42229" w:rsidRPr="001775D9" w:rsidRDefault="00C42229" w:rsidP="00B61D9D">
      <w:pPr>
        <w:numPr>
          <w:ilvl w:val="0"/>
          <w:numId w:val="19"/>
        </w:numPr>
        <w:spacing w:line="240" w:lineRule="auto"/>
        <w:ind w:left="567" w:hanging="567"/>
      </w:pPr>
      <w:r w:rsidRPr="001775D9">
        <w:t xml:space="preserve">cutaneous vasculitis (inflammation of blood vessels in the skin); </w:t>
      </w:r>
    </w:p>
    <w:p w14:paraId="0D1F5EDB" w14:textId="0C619050" w:rsidR="00C42229" w:rsidRPr="001775D9" w:rsidRDefault="00C42229" w:rsidP="00B61D9D">
      <w:pPr>
        <w:numPr>
          <w:ilvl w:val="0"/>
          <w:numId w:val="19"/>
        </w:numPr>
        <w:spacing w:line="240" w:lineRule="auto"/>
        <w:ind w:left="567" w:hanging="567"/>
      </w:pPr>
      <w:r w:rsidRPr="001775D9">
        <w:t>Stevens-Johnson syndrome (</w:t>
      </w:r>
      <w:r w:rsidR="00142808" w:rsidRPr="001775D9">
        <w:t>life-threatening reaction with flu-like symptoms and blistering rash</w:t>
      </w:r>
      <w:r w:rsidRPr="001775D9">
        <w:t xml:space="preserve">); </w:t>
      </w:r>
    </w:p>
    <w:p w14:paraId="0786A558" w14:textId="77777777" w:rsidR="00C42229" w:rsidRPr="001775D9" w:rsidRDefault="00C42229" w:rsidP="00B61D9D">
      <w:pPr>
        <w:numPr>
          <w:ilvl w:val="0"/>
          <w:numId w:val="19"/>
        </w:numPr>
        <w:spacing w:line="240" w:lineRule="auto"/>
        <w:ind w:left="567" w:hanging="567"/>
      </w:pPr>
      <w:r w:rsidRPr="001775D9">
        <w:t xml:space="preserve">facial oedema associated with allergic reactions; </w:t>
      </w:r>
    </w:p>
    <w:p w14:paraId="5381D3C5" w14:textId="77777777" w:rsidR="00C42229" w:rsidRPr="00D55B59" w:rsidRDefault="00C42229" w:rsidP="00B61D9D">
      <w:pPr>
        <w:numPr>
          <w:ilvl w:val="0"/>
          <w:numId w:val="19"/>
        </w:numPr>
        <w:spacing w:line="240" w:lineRule="auto"/>
        <w:ind w:left="567" w:hanging="567"/>
        <w:rPr>
          <w:lang w:val="it-IT"/>
          <w:rPrChange w:id="3006" w:author="Author">
            <w:rPr/>
          </w:rPrChange>
        </w:rPr>
      </w:pPr>
      <w:r w:rsidRPr="00D55B59">
        <w:rPr>
          <w:lang w:val="it-IT"/>
          <w:rPrChange w:id="3007" w:author="Author">
            <w:rPr/>
          </w:rPrChange>
        </w:rPr>
        <w:t xml:space="preserve">erythema multiforme (inflammatory skin rash); </w:t>
      </w:r>
    </w:p>
    <w:p w14:paraId="36A60C40" w14:textId="77777777" w:rsidR="0012410B" w:rsidRPr="001775D9" w:rsidRDefault="00C42229" w:rsidP="00B61D9D">
      <w:pPr>
        <w:numPr>
          <w:ilvl w:val="0"/>
          <w:numId w:val="19"/>
        </w:numPr>
        <w:spacing w:line="240" w:lineRule="auto"/>
        <w:ind w:left="567" w:hanging="567"/>
      </w:pPr>
      <w:r w:rsidRPr="001775D9">
        <w:t>lupus-like syndrome</w:t>
      </w:r>
      <w:r w:rsidR="0012410B" w:rsidRPr="001775D9">
        <w:t>;</w:t>
      </w:r>
    </w:p>
    <w:p w14:paraId="1B30CB5E" w14:textId="77777777" w:rsidR="00F62574" w:rsidRPr="001775D9" w:rsidRDefault="00F62574" w:rsidP="00B61D9D">
      <w:pPr>
        <w:keepNext/>
        <w:keepLines/>
        <w:numPr>
          <w:ilvl w:val="0"/>
          <w:numId w:val="19"/>
        </w:numPr>
        <w:spacing w:line="240" w:lineRule="auto"/>
        <w:ind w:left="567" w:hanging="567"/>
      </w:pPr>
      <w:r w:rsidRPr="001775D9">
        <w:t>angioedema (localised swelling of the skin)</w:t>
      </w:r>
      <w:r w:rsidR="00747B80" w:rsidRPr="001775D9">
        <w:t>;</w:t>
      </w:r>
    </w:p>
    <w:p w14:paraId="39F6A001" w14:textId="77777777" w:rsidR="00F62574" w:rsidRPr="001775D9" w:rsidRDefault="00F62574" w:rsidP="00B61D9D">
      <w:pPr>
        <w:numPr>
          <w:ilvl w:val="0"/>
          <w:numId w:val="19"/>
        </w:numPr>
        <w:spacing w:line="240" w:lineRule="auto"/>
        <w:ind w:left="567" w:hanging="567"/>
      </w:pPr>
      <w:r w:rsidRPr="001775D9">
        <w:t>lichenoid skin reaction (itchy reddish-purple skin rash).</w:t>
      </w:r>
    </w:p>
    <w:p w14:paraId="45650B72" w14:textId="77777777" w:rsidR="00C42229" w:rsidRPr="00D55B59" w:rsidRDefault="00C42229" w:rsidP="008415E1">
      <w:pPr>
        <w:pStyle w:val="Default"/>
        <w:rPr>
          <w:sz w:val="22"/>
          <w:szCs w:val="22"/>
          <w:lang w:val="en-GB"/>
          <w:rPrChange w:id="3008" w:author="Author">
            <w:rPr>
              <w:sz w:val="22"/>
              <w:szCs w:val="22"/>
            </w:rPr>
          </w:rPrChange>
        </w:rPr>
      </w:pPr>
    </w:p>
    <w:p w14:paraId="50750063" w14:textId="77777777" w:rsidR="00F62574" w:rsidRPr="00D55B59" w:rsidRDefault="00F62574" w:rsidP="008415E1">
      <w:pPr>
        <w:pStyle w:val="Default"/>
        <w:rPr>
          <w:sz w:val="22"/>
          <w:szCs w:val="22"/>
          <w:lang w:val="en-GB"/>
          <w:rPrChange w:id="3009" w:author="Author">
            <w:rPr>
              <w:sz w:val="22"/>
              <w:szCs w:val="22"/>
            </w:rPr>
          </w:rPrChange>
        </w:rPr>
      </w:pPr>
      <w:r w:rsidRPr="00D55B59">
        <w:rPr>
          <w:sz w:val="22"/>
          <w:szCs w:val="22"/>
          <w:lang w:val="en-GB"/>
          <w:rPrChange w:id="3010" w:author="Author">
            <w:rPr>
              <w:sz w:val="22"/>
              <w:szCs w:val="22"/>
            </w:rPr>
          </w:rPrChange>
        </w:rPr>
        <w:t>Not known (frequency cannot be estimated from available data)</w:t>
      </w:r>
    </w:p>
    <w:p w14:paraId="339CA5FD" w14:textId="77777777" w:rsidR="00C42229" w:rsidRPr="001775D9" w:rsidRDefault="00C42229" w:rsidP="00B61D9D">
      <w:pPr>
        <w:numPr>
          <w:ilvl w:val="0"/>
          <w:numId w:val="20"/>
        </w:numPr>
        <w:spacing w:line="240" w:lineRule="auto"/>
        <w:ind w:left="567" w:hanging="567"/>
      </w:pPr>
      <w:r w:rsidRPr="001775D9">
        <w:t xml:space="preserve">hepatosplenic T-cell lymphoma (a rare blood cancer that is often fatal); </w:t>
      </w:r>
    </w:p>
    <w:p w14:paraId="7FBD0A95" w14:textId="77777777" w:rsidR="00487B92" w:rsidRPr="001775D9" w:rsidRDefault="00C42229" w:rsidP="00B61D9D">
      <w:pPr>
        <w:numPr>
          <w:ilvl w:val="0"/>
          <w:numId w:val="20"/>
        </w:numPr>
        <w:spacing w:line="240" w:lineRule="auto"/>
        <w:ind w:left="567" w:hanging="567"/>
      </w:pPr>
      <w:r w:rsidRPr="001775D9">
        <w:t>Merkel cell carcinoma (a type of skin cancer);</w:t>
      </w:r>
    </w:p>
    <w:p w14:paraId="2E077B95" w14:textId="6A1AB207" w:rsidR="00487B92" w:rsidRPr="001775D9" w:rsidRDefault="00487B92" w:rsidP="009960C8">
      <w:pPr>
        <w:numPr>
          <w:ilvl w:val="0"/>
          <w:numId w:val="20"/>
        </w:numPr>
        <w:ind w:left="567" w:hanging="567"/>
      </w:pPr>
      <w:r w:rsidRPr="001775D9">
        <w:t>Kaposi’s sarcoma, a rare cancer related to infection with human herpes virus 8. Kaposi’s</w:t>
      </w:r>
    </w:p>
    <w:p w14:paraId="1B98B474" w14:textId="6CF76000" w:rsidR="00C42229" w:rsidRPr="001775D9" w:rsidRDefault="00487B92" w:rsidP="00B61D9D">
      <w:pPr>
        <w:numPr>
          <w:ilvl w:val="0"/>
          <w:numId w:val="20"/>
        </w:numPr>
        <w:spacing w:line="240" w:lineRule="auto"/>
        <w:ind w:left="567" w:hanging="567"/>
      </w:pPr>
      <w:r w:rsidRPr="001775D9">
        <w:t>sarcoma most commonly appears as purple lesions on the skin;</w:t>
      </w:r>
      <w:r w:rsidR="00C42229" w:rsidRPr="001775D9">
        <w:t xml:space="preserve"> </w:t>
      </w:r>
    </w:p>
    <w:p w14:paraId="4C4F7BF0" w14:textId="77777777" w:rsidR="00C42229" w:rsidRPr="001775D9" w:rsidRDefault="00C42229" w:rsidP="00B61D9D">
      <w:pPr>
        <w:numPr>
          <w:ilvl w:val="0"/>
          <w:numId w:val="20"/>
        </w:numPr>
        <w:spacing w:line="240" w:lineRule="auto"/>
        <w:ind w:left="567" w:hanging="567"/>
      </w:pPr>
      <w:r w:rsidRPr="001775D9">
        <w:t xml:space="preserve">liver failure; </w:t>
      </w:r>
    </w:p>
    <w:p w14:paraId="31899424" w14:textId="6FC77B9F" w:rsidR="00CC0DA4" w:rsidRPr="001775D9" w:rsidRDefault="00C42229" w:rsidP="00B61D9D">
      <w:pPr>
        <w:numPr>
          <w:ilvl w:val="0"/>
          <w:numId w:val="20"/>
        </w:numPr>
        <w:spacing w:line="240" w:lineRule="auto"/>
        <w:ind w:left="567" w:hanging="567"/>
      </w:pPr>
      <w:r w:rsidRPr="001775D9">
        <w:t>worsening of a condition called dermatomyositis (seen as a skin rash accompanying muscle weakness</w:t>
      </w:r>
      <w:r w:rsidR="00CC0DA4" w:rsidRPr="001775D9">
        <w:t>);</w:t>
      </w:r>
    </w:p>
    <w:p w14:paraId="20529010" w14:textId="5EBE28AF" w:rsidR="00C42229" w:rsidRPr="001775D9" w:rsidRDefault="00CC0DA4" w:rsidP="00B61D9D">
      <w:pPr>
        <w:numPr>
          <w:ilvl w:val="0"/>
          <w:numId w:val="20"/>
        </w:numPr>
        <w:spacing w:line="240" w:lineRule="auto"/>
        <w:ind w:left="567" w:hanging="567"/>
      </w:pPr>
      <w:r w:rsidRPr="001775D9">
        <w:t xml:space="preserve">weight gain (for most patients, the weight gain was small). </w:t>
      </w:r>
    </w:p>
    <w:p w14:paraId="1A6D828B" w14:textId="77777777" w:rsidR="00C42229" w:rsidRPr="001775D9" w:rsidRDefault="00C42229" w:rsidP="008415E1">
      <w:pPr>
        <w:numPr>
          <w:ilvl w:val="12"/>
          <w:numId w:val="0"/>
        </w:numPr>
        <w:tabs>
          <w:tab w:val="clear" w:pos="567"/>
        </w:tabs>
        <w:spacing w:line="240" w:lineRule="auto"/>
        <w:outlineLvl w:val="0"/>
        <w:rPr>
          <w:b/>
          <w:szCs w:val="22"/>
        </w:rPr>
      </w:pPr>
    </w:p>
    <w:p w14:paraId="7635C1F8" w14:textId="77777777" w:rsidR="00C42229" w:rsidRPr="00D55B59" w:rsidRDefault="00C42229" w:rsidP="008415E1">
      <w:pPr>
        <w:pStyle w:val="Default"/>
        <w:rPr>
          <w:sz w:val="22"/>
          <w:szCs w:val="22"/>
          <w:lang w:val="en-GB"/>
          <w:rPrChange w:id="3011" w:author="Author">
            <w:rPr>
              <w:sz w:val="22"/>
              <w:szCs w:val="22"/>
            </w:rPr>
          </w:rPrChange>
        </w:rPr>
      </w:pPr>
      <w:r w:rsidRPr="00D55B59">
        <w:rPr>
          <w:sz w:val="22"/>
          <w:szCs w:val="22"/>
          <w:lang w:val="en-GB"/>
          <w:rPrChange w:id="3012" w:author="Author">
            <w:rPr>
              <w:sz w:val="22"/>
              <w:szCs w:val="22"/>
            </w:rPr>
          </w:rPrChange>
        </w:rPr>
        <w:t xml:space="preserve">Some </w:t>
      </w:r>
      <w:r w:rsidR="00B74CBF" w:rsidRPr="00D55B59">
        <w:rPr>
          <w:sz w:val="22"/>
          <w:szCs w:val="22"/>
          <w:lang w:val="en-GB"/>
          <w:rPrChange w:id="3013" w:author="Author">
            <w:rPr>
              <w:sz w:val="22"/>
              <w:szCs w:val="22"/>
            </w:rPr>
          </w:rPrChange>
        </w:rPr>
        <w:t>side effects</w:t>
      </w:r>
      <w:r w:rsidR="00745FCB" w:rsidRPr="00D55B59">
        <w:rPr>
          <w:sz w:val="22"/>
          <w:szCs w:val="22"/>
          <w:lang w:val="en-GB"/>
          <w:rPrChange w:id="3014" w:author="Author">
            <w:rPr>
              <w:sz w:val="22"/>
              <w:szCs w:val="22"/>
            </w:rPr>
          </w:rPrChange>
        </w:rPr>
        <w:t xml:space="preserve"> </w:t>
      </w:r>
      <w:r w:rsidRPr="00D55B59">
        <w:rPr>
          <w:sz w:val="22"/>
          <w:szCs w:val="22"/>
          <w:lang w:val="en-GB"/>
          <w:rPrChange w:id="3015" w:author="Author">
            <w:rPr>
              <w:sz w:val="22"/>
              <w:szCs w:val="22"/>
            </w:rPr>
          </w:rPrChange>
        </w:rPr>
        <w:t>observed with</w:t>
      </w:r>
      <w:r w:rsidR="00DA0C0F" w:rsidRPr="00D55B59">
        <w:rPr>
          <w:sz w:val="22"/>
          <w:szCs w:val="22"/>
          <w:lang w:val="en-GB"/>
          <w:rPrChange w:id="3016" w:author="Author">
            <w:rPr>
              <w:sz w:val="22"/>
              <w:szCs w:val="22"/>
            </w:rPr>
          </w:rPrChange>
        </w:rPr>
        <w:t xml:space="preserve"> </w:t>
      </w:r>
      <w:r w:rsidR="00B1705C" w:rsidRPr="00D55B59">
        <w:rPr>
          <w:sz w:val="22"/>
          <w:szCs w:val="22"/>
          <w:lang w:val="en-GB"/>
          <w:rPrChange w:id="3017" w:author="Author">
            <w:rPr>
              <w:sz w:val="22"/>
              <w:szCs w:val="22"/>
            </w:rPr>
          </w:rPrChange>
        </w:rPr>
        <w:t xml:space="preserve">adalimumab </w:t>
      </w:r>
      <w:r w:rsidRPr="00D55B59">
        <w:rPr>
          <w:sz w:val="22"/>
          <w:szCs w:val="22"/>
          <w:lang w:val="en-GB"/>
          <w:rPrChange w:id="3018" w:author="Author">
            <w:rPr>
              <w:sz w:val="22"/>
              <w:szCs w:val="22"/>
            </w:rPr>
          </w:rPrChange>
        </w:rPr>
        <w:t xml:space="preserve">may not have symptoms and may only be discovered through blood tests. These include: </w:t>
      </w:r>
    </w:p>
    <w:p w14:paraId="075F3F22" w14:textId="77777777" w:rsidR="00C42229" w:rsidRPr="00D55B59" w:rsidRDefault="00C42229" w:rsidP="008415E1">
      <w:pPr>
        <w:pStyle w:val="Default"/>
        <w:rPr>
          <w:sz w:val="22"/>
          <w:szCs w:val="22"/>
          <w:lang w:val="en-GB"/>
          <w:rPrChange w:id="3019" w:author="Author">
            <w:rPr>
              <w:sz w:val="22"/>
              <w:szCs w:val="22"/>
            </w:rPr>
          </w:rPrChange>
        </w:rPr>
      </w:pPr>
    </w:p>
    <w:p w14:paraId="6C05AE86" w14:textId="77777777" w:rsidR="00F62574" w:rsidRPr="00D55B59" w:rsidRDefault="00F62574" w:rsidP="008415E1">
      <w:pPr>
        <w:pStyle w:val="Default"/>
        <w:keepNext/>
        <w:rPr>
          <w:sz w:val="22"/>
          <w:szCs w:val="22"/>
          <w:lang w:val="en-GB"/>
          <w:rPrChange w:id="3020" w:author="Author">
            <w:rPr>
              <w:sz w:val="22"/>
              <w:szCs w:val="22"/>
            </w:rPr>
          </w:rPrChange>
        </w:rPr>
      </w:pPr>
      <w:r w:rsidRPr="00D55B59">
        <w:rPr>
          <w:sz w:val="22"/>
          <w:szCs w:val="22"/>
          <w:lang w:val="en-GB"/>
          <w:rPrChange w:id="3021" w:author="Author">
            <w:rPr>
              <w:sz w:val="22"/>
              <w:szCs w:val="22"/>
            </w:rPr>
          </w:rPrChange>
        </w:rPr>
        <w:t xml:space="preserve">Very common (may affect more than 1 in 10 people) </w:t>
      </w:r>
    </w:p>
    <w:p w14:paraId="31054D35" w14:textId="77777777" w:rsidR="00C42229" w:rsidRPr="001775D9" w:rsidRDefault="00C42229" w:rsidP="00B61D9D">
      <w:pPr>
        <w:keepNext/>
        <w:numPr>
          <w:ilvl w:val="0"/>
          <w:numId w:val="21"/>
        </w:numPr>
        <w:spacing w:line="240" w:lineRule="auto"/>
        <w:ind w:left="567" w:hanging="567"/>
      </w:pPr>
      <w:r w:rsidRPr="001775D9">
        <w:t xml:space="preserve">low blood measurements for white blood cells; </w:t>
      </w:r>
    </w:p>
    <w:p w14:paraId="336FADEA" w14:textId="77777777" w:rsidR="00C42229" w:rsidRPr="001775D9" w:rsidRDefault="00C42229" w:rsidP="00B61D9D">
      <w:pPr>
        <w:numPr>
          <w:ilvl w:val="0"/>
          <w:numId w:val="21"/>
        </w:numPr>
        <w:spacing w:line="240" w:lineRule="auto"/>
        <w:ind w:left="567" w:hanging="567"/>
      </w:pPr>
      <w:r w:rsidRPr="001775D9">
        <w:t xml:space="preserve">low blood measurements for red blood cells; </w:t>
      </w:r>
    </w:p>
    <w:p w14:paraId="5E6FC4AB" w14:textId="77777777" w:rsidR="00C42229" w:rsidRPr="001775D9" w:rsidRDefault="00C42229" w:rsidP="00B61D9D">
      <w:pPr>
        <w:numPr>
          <w:ilvl w:val="0"/>
          <w:numId w:val="21"/>
        </w:numPr>
        <w:spacing w:line="240" w:lineRule="auto"/>
        <w:ind w:left="567" w:hanging="567"/>
      </w:pPr>
      <w:r w:rsidRPr="001775D9">
        <w:t xml:space="preserve">increased lipids in the blood; </w:t>
      </w:r>
    </w:p>
    <w:p w14:paraId="00D8CC16" w14:textId="77777777" w:rsidR="00C42229" w:rsidRPr="001775D9" w:rsidRDefault="00C42229" w:rsidP="00B61D9D">
      <w:pPr>
        <w:numPr>
          <w:ilvl w:val="0"/>
          <w:numId w:val="21"/>
        </w:numPr>
        <w:spacing w:line="240" w:lineRule="auto"/>
        <w:ind w:left="567" w:hanging="567"/>
      </w:pPr>
      <w:r w:rsidRPr="001775D9">
        <w:t xml:space="preserve">elevated liver enzymes. </w:t>
      </w:r>
    </w:p>
    <w:p w14:paraId="181A140E" w14:textId="77777777" w:rsidR="00C42229" w:rsidRPr="00D55B59" w:rsidRDefault="00C42229" w:rsidP="008415E1">
      <w:pPr>
        <w:pStyle w:val="Default"/>
        <w:rPr>
          <w:sz w:val="22"/>
          <w:szCs w:val="22"/>
          <w:lang w:val="en-GB"/>
          <w:rPrChange w:id="3022" w:author="Author">
            <w:rPr>
              <w:sz w:val="22"/>
              <w:szCs w:val="22"/>
            </w:rPr>
          </w:rPrChange>
        </w:rPr>
      </w:pPr>
    </w:p>
    <w:p w14:paraId="3B800912" w14:textId="77777777" w:rsidR="00F62574" w:rsidRPr="00D55B59" w:rsidRDefault="00F62574" w:rsidP="008415E1">
      <w:pPr>
        <w:pStyle w:val="Default"/>
        <w:keepNext/>
        <w:rPr>
          <w:sz w:val="22"/>
          <w:szCs w:val="22"/>
          <w:lang w:val="en-GB"/>
          <w:rPrChange w:id="3023" w:author="Author">
            <w:rPr>
              <w:sz w:val="22"/>
              <w:szCs w:val="22"/>
            </w:rPr>
          </w:rPrChange>
        </w:rPr>
      </w:pPr>
      <w:r w:rsidRPr="00D55B59">
        <w:rPr>
          <w:sz w:val="22"/>
          <w:szCs w:val="22"/>
          <w:lang w:val="en-GB"/>
          <w:rPrChange w:id="3024" w:author="Author">
            <w:rPr>
              <w:sz w:val="22"/>
              <w:szCs w:val="22"/>
            </w:rPr>
          </w:rPrChange>
        </w:rPr>
        <w:t xml:space="preserve">Common (may affect up to 1 in 10 people) </w:t>
      </w:r>
    </w:p>
    <w:p w14:paraId="39E8CE6B" w14:textId="77777777" w:rsidR="00C42229" w:rsidRPr="001775D9" w:rsidRDefault="00C42229" w:rsidP="00B61D9D">
      <w:pPr>
        <w:keepNext/>
        <w:numPr>
          <w:ilvl w:val="0"/>
          <w:numId w:val="22"/>
        </w:numPr>
        <w:spacing w:line="240" w:lineRule="auto"/>
        <w:ind w:left="567" w:hanging="567"/>
      </w:pPr>
      <w:r w:rsidRPr="001775D9">
        <w:t xml:space="preserve">high blood measurements for white blood cells; </w:t>
      </w:r>
    </w:p>
    <w:p w14:paraId="3343BCFB" w14:textId="77777777" w:rsidR="00C42229" w:rsidRPr="001775D9" w:rsidRDefault="00C42229" w:rsidP="00B61D9D">
      <w:pPr>
        <w:keepNext/>
        <w:numPr>
          <w:ilvl w:val="0"/>
          <w:numId w:val="22"/>
        </w:numPr>
        <w:spacing w:line="240" w:lineRule="auto"/>
        <w:ind w:left="567" w:hanging="567"/>
      </w:pPr>
      <w:r w:rsidRPr="001775D9">
        <w:t xml:space="preserve">low blood measurements for platelets; </w:t>
      </w:r>
    </w:p>
    <w:p w14:paraId="48B5C86B" w14:textId="77777777" w:rsidR="00C42229" w:rsidRPr="001775D9" w:rsidRDefault="00C42229" w:rsidP="00B61D9D">
      <w:pPr>
        <w:numPr>
          <w:ilvl w:val="0"/>
          <w:numId w:val="22"/>
        </w:numPr>
        <w:spacing w:line="240" w:lineRule="auto"/>
        <w:ind w:left="567" w:hanging="567"/>
      </w:pPr>
      <w:r w:rsidRPr="001775D9">
        <w:t xml:space="preserve">increased uric acid in the blood; </w:t>
      </w:r>
    </w:p>
    <w:p w14:paraId="00D6858B" w14:textId="77777777" w:rsidR="00C42229" w:rsidRPr="001775D9" w:rsidRDefault="00C42229" w:rsidP="00B61D9D">
      <w:pPr>
        <w:numPr>
          <w:ilvl w:val="0"/>
          <w:numId w:val="22"/>
        </w:numPr>
        <w:spacing w:line="240" w:lineRule="auto"/>
        <w:ind w:left="567" w:hanging="567"/>
      </w:pPr>
      <w:r w:rsidRPr="001775D9">
        <w:t xml:space="preserve">abnormal blood measurements for sodium; </w:t>
      </w:r>
    </w:p>
    <w:p w14:paraId="40CDE2B6" w14:textId="77777777" w:rsidR="00C42229" w:rsidRPr="001775D9" w:rsidRDefault="00C42229" w:rsidP="00B61D9D">
      <w:pPr>
        <w:numPr>
          <w:ilvl w:val="0"/>
          <w:numId w:val="22"/>
        </w:numPr>
        <w:spacing w:line="240" w:lineRule="auto"/>
        <w:ind w:left="567" w:hanging="567"/>
      </w:pPr>
      <w:r w:rsidRPr="001775D9">
        <w:t xml:space="preserve">low blood measurements for calcium; </w:t>
      </w:r>
    </w:p>
    <w:p w14:paraId="357F4952" w14:textId="77777777" w:rsidR="00C42229" w:rsidRPr="001775D9" w:rsidRDefault="00C42229" w:rsidP="00B61D9D">
      <w:pPr>
        <w:numPr>
          <w:ilvl w:val="0"/>
          <w:numId w:val="22"/>
        </w:numPr>
        <w:spacing w:line="240" w:lineRule="auto"/>
        <w:ind w:left="567" w:hanging="567"/>
      </w:pPr>
      <w:r w:rsidRPr="001775D9">
        <w:t xml:space="preserve">low blood measurements for phosphate; </w:t>
      </w:r>
    </w:p>
    <w:p w14:paraId="6F2C8EA0" w14:textId="77777777" w:rsidR="00C42229" w:rsidRPr="001775D9" w:rsidRDefault="00C42229" w:rsidP="00B61D9D">
      <w:pPr>
        <w:numPr>
          <w:ilvl w:val="0"/>
          <w:numId w:val="22"/>
        </w:numPr>
        <w:spacing w:line="240" w:lineRule="auto"/>
        <w:ind w:left="567" w:hanging="567"/>
      </w:pPr>
      <w:r w:rsidRPr="001775D9">
        <w:t xml:space="preserve">high blood sugar; </w:t>
      </w:r>
    </w:p>
    <w:p w14:paraId="1B68870A" w14:textId="77777777" w:rsidR="00C42229" w:rsidRPr="001775D9" w:rsidRDefault="00C42229" w:rsidP="00B61D9D">
      <w:pPr>
        <w:numPr>
          <w:ilvl w:val="0"/>
          <w:numId w:val="22"/>
        </w:numPr>
        <w:spacing w:line="240" w:lineRule="auto"/>
        <w:ind w:left="567" w:hanging="567"/>
      </w:pPr>
      <w:r w:rsidRPr="001775D9">
        <w:t xml:space="preserve">high blood measurements for lactate dehydrogenase; </w:t>
      </w:r>
    </w:p>
    <w:p w14:paraId="1411484D" w14:textId="77777777" w:rsidR="00C42229" w:rsidRPr="001775D9" w:rsidRDefault="00C42229" w:rsidP="00B61D9D">
      <w:pPr>
        <w:numPr>
          <w:ilvl w:val="0"/>
          <w:numId w:val="22"/>
        </w:numPr>
        <w:spacing w:line="240" w:lineRule="auto"/>
        <w:ind w:left="567" w:hanging="567"/>
      </w:pPr>
      <w:r w:rsidRPr="001775D9">
        <w:t>autoantibodies present in the blood</w:t>
      </w:r>
      <w:r w:rsidR="00E2388D" w:rsidRPr="001775D9">
        <w:t>;</w:t>
      </w:r>
    </w:p>
    <w:p w14:paraId="760F7841" w14:textId="77777777" w:rsidR="00E2388D" w:rsidRPr="001775D9" w:rsidRDefault="00E2388D" w:rsidP="00FA1618">
      <w:pPr>
        <w:numPr>
          <w:ilvl w:val="0"/>
          <w:numId w:val="22"/>
        </w:numPr>
        <w:spacing w:line="240" w:lineRule="auto"/>
        <w:ind w:left="567" w:hanging="567"/>
      </w:pPr>
      <w:r w:rsidRPr="001775D9">
        <w:t>low blood potassium.</w:t>
      </w:r>
    </w:p>
    <w:p w14:paraId="4A853DFD" w14:textId="77777777" w:rsidR="00E2388D" w:rsidRPr="00D55B59" w:rsidRDefault="00E2388D" w:rsidP="008415E1">
      <w:pPr>
        <w:pStyle w:val="Default"/>
        <w:rPr>
          <w:sz w:val="22"/>
          <w:szCs w:val="22"/>
          <w:lang w:val="en-GB"/>
          <w:rPrChange w:id="3025" w:author="Author">
            <w:rPr>
              <w:sz w:val="22"/>
              <w:szCs w:val="22"/>
            </w:rPr>
          </w:rPrChange>
        </w:rPr>
      </w:pPr>
    </w:p>
    <w:p w14:paraId="74A7EDCC" w14:textId="77777777" w:rsidR="00F62574" w:rsidRPr="001775D9" w:rsidRDefault="00F62574" w:rsidP="00B61D9D">
      <w:pPr>
        <w:spacing w:line="240" w:lineRule="auto"/>
        <w:ind w:left="360" w:hanging="360"/>
        <w:rPr>
          <w:szCs w:val="22"/>
        </w:rPr>
      </w:pPr>
      <w:r w:rsidRPr="001775D9">
        <w:rPr>
          <w:szCs w:val="22"/>
        </w:rPr>
        <w:t>Uncommon (may affect up to 1 in 100 people)</w:t>
      </w:r>
    </w:p>
    <w:p w14:paraId="695A919C" w14:textId="77777777" w:rsidR="00E2388D" w:rsidRPr="001775D9" w:rsidRDefault="00E2388D" w:rsidP="008415E1">
      <w:pPr>
        <w:pStyle w:val="ListParagraph"/>
        <w:numPr>
          <w:ilvl w:val="0"/>
          <w:numId w:val="27"/>
        </w:numPr>
        <w:tabs>
          <w:tab w:val="left" w:pos="540"/>
        </w:tabs>
        <w:suppressAutoHyphens/>
        <w:ind w:hanging="720"/>
        <w:contextualSpacing w:val="0"/>
        <w:rPr>
          <w:sz w:val="22"/>
          <w:szCs w:val="22"/>
        </w:rPr>
      </w:pPr>
      <w:r w:rsidRPr="001775D9">
        <w:rPr>
          <w:sz w:val="22"/>
          <w:szCs w:val="22"/>
        </w:rPr>
        <w:t>elevated bilirubin measurement (liver blood test).</w:t>
      </w:r>
    </w:p>
    <w:p w14:paraId="5290FA18" w14:textId="77777777" w:rsidR="00F62574" w:rsidRPr="00D55B59" w:rsidRDefault="00F62574" w:rsidP="008415E1">
      <w:pPr>
        <w:pStyle w:val="Default"/>
        <w:ind w:left="360"/>
        <w:rPr>
          <w:sz w:val="22"/>
          <w:szCs w:val="22"/>
          <w:lang w:val="en-GB"/>
          <w:rPrChange w:id="3026" w:author="Author">
            <w:rPr>
              <w:sz w:val="22"/>
              <w:szCs w:val="22"/>
            </w:rPr>
          </w:rPrChange>
        </w:rPr>
      </w:pPr>
    </w:p>
    <w:p w14:paraId="1ED73E31" w14:textId="28890155" w:rsidR="00F62574" w:rsidRPr="00D55B59" w:rsidRDefault="00F62574" w:rsidP="008415E1">
      <w:pPr>
        <w:pStyle w:val="Default"/>
        <w:ind w:left="360" w:hanging="360"/>
        <w:rPr>
          <w:sz w:val="22"/>
          <w:szCs w:val="22"/>
          <w:lang w:val="en-GB"/>
          <w:rPrChange w:id="3027" w:author="Author">
            <w:rPr>
              <w:sz w:val="22"/>
              <w:szCs w:val="22"/>
            </w:rPr>
          </w:rPrChange>
        </w:rPr>
      </w:pPr>
      <w:r w:rsidRPr="00D55B59">
        <w:rPr>
          <w:sz w:val="22"/>
          <w:szCs w:val="22"/>
          <w:lang w:val="en-GB"/>
          <w:rPrChange w:id="3028" w:author="Author">
            <w:rPr>
              <w:sz w:val="22"/>
              <w:szCs w:val="22"/>
            </w:rPr>
          </w:rPrChange>
        </w:rPr>
        <w:t>Rare (may affect up to 1 in 1,000 people)</w:t>
      </w:r>
    </w:p>
    <w:p w14:paraId="42799E9D" w14:textId="77777777" w:rsidR="00C42229" w:rsidRPr="001775D9" w:rsidRDefault="00C42229" w:rsidP="00B61D9D">
      <w:pPr>
        <w:numPr>
          <w:ilvl w:val="0"/>
          <w:numId w:val="23"/>
        </w:numPr>
        <w:spacing w:line="240" w:lineRule="auto"/>
        <w:ind w:left="567" w:hanging="567"/>
      </w:pPr>
      <w:r w:rsidRPr="001775D9">
        <w:t xml:space="preserve">low blood measurements for white blood cells, red blood cells and platelet count. </w:t>
      </w:r>
    </w:p>
    <w:p w14:paraId="4EC6CB72" w14:textId="77777777" w:rsidR="00C42229" w:rsidRPr="00D55B59" w:rsidRDefault="00C42229" w:rsidP="008415E1">
      <w:pPr>
        <w:pStyle w:val="Default"/>
        <w:rPr>
          <w:sz w:val="22"/>
          <w:szCs w:val="22"/>
          <w:lang w:val="en-GB"/>
          <w:rPrChange w:id="3029" w:author="Author">
            <w:rPr>
              <w:sz w:val="22"/>
              <w:szCs w:val="22"/>
            </w:rPr>
          </w:rPrChange>
        </w:rPr>
      </w:pPr>
    </w:p>
    <w:p w14:paraId="3B77A929" w14:textId="19AE3E61" w:rsidR="00C42229" w:rsidRPr="001775D9" w:rsidRDefault="00C42229" w:rsidP="00B61D9D">
      <w:pPr>
        <w:keepNext/>
        <w:numPr>
          <w:ilvl w:val="12"/>
          <w:numId w:val="0"/>
        </w:numPr>
        <w:spacing w:line="240" w:lineRule="auto"/>
        <w:outlineLvl w:val="0"/>
        <w:rPr>
          <w:b/>
          <w:szCs w:val="22"/>
          <w:lang w:eastAsia="zh-TW"/>
        </w:rPr>
      </w:pPr>
      <w:r w:rsidRPr="001775D9">
        <w:rPr>
          <w:b/>
          <w:szCs w:val="22"/>
        </w:rPr>
        <w:t>Reporting of side effects</w:t>
      </w:r>
      <w:r w:rsidR="001C55FB" w:rsidRPr="001775D9">
        <w:rPr>
          <w:b/>
          <w:szCs w:val="22"/>
        </w:rPr>
        <w:fldChar w:fldCharType="begin"/>
      </w:r>
      <w:r w:rsidR="001C55FB" w:rsidRPr="001775D9">
        <w:rPr>
          <w:b/>
          <w:szCs w:val="22"/>
        </w:rPr>
        <w:instrText xml:space="preserve"> DOCVARIABLE vault_nd_97170c1c-1da6-43d9-abae-65111611cbe0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8A14E13" w14:textId="77777777" w:rsidR="0080593B" w:rsidRPr="001775D9" w:rsidRDefault="0080593B" w:rsidP="00B61D9D">
      <w:pPr>
        <w:keepNext/>
        <w:numPr>
          <w:ilvl w:val="12"/>
          <w:numId w:val="0"/>
        </w:numPr>
        <w:spacing w:line="240" w:lineRule="auto"/>
        <w:outlineLvl w:val="0"/>
        <w:rPr>
          <w:b/>
          <w:szCs w:val="22"/>
          <w:lang w:eastAsia="zh-TW"/>
        </w:rPr>
      </w:pPr>
    </w:p>
    <w:p w14:paraId="5F3D3A58" w14:textId="0E5CB2CD" w:rsidR="006E5110" w:rsidRPr="001775D9" w:rsidRDefault="00C42229" w:rsidP="00B61D9D">
      <w:pPr>
        <w:autoSpaceDE w:val="0"/>
        <w:autoSpaceDN w:val="0"/>
        <w:adjustRightInd w:val="0"/>
        <w:spacing w:line="240" w:lineRule="auto"/>
      </w:pPr>
      <w:r w:rsidRPr="001775D9">
        <w:rPr>
          <w:szCs w:val="22"/>
        </w:rPr>
        <w:t xml:space="preserve">If you get any side effects, talk to your doctor or pharmacist. This includes any possible side effects not listed in this leaflet. You can also report side effects directly via </w:t>
      </w:r>
      <w:r>
        <w:rPr>
          <w:szCs w:val="22"/>
          <w:highlight w:val="lightGray"/>
        </w:rPr>
        <w:t xml:space="preserve">the national reporting system listed in </w:t>
      </w:r>
      <w:hyperlink r:id="rId31" w:history="1">
        <w:r>
          <w:rPr>
            <w:rStyle w:val="Hyperlink"/>
            <w:szCs w:val="22"/>
            <w:highlight w:val="lightGray"/>
          </w:rPr>
          <w:t>Appendix V</w:t>
        </w:r>
      </w:hyperlink>
      <w:r w:rsidRPr="001775D9">
        <w:t>. By reporting side effects you can help provide more information on the safety of this medicine.</w:t>
      </w:r>
    </w:p>
    <w:p w14:paraId="4AF41D28" w14:textId="77777777" w:rsidR="00A81D5B" w:rsidRPr="001775D9" w:rsidRDefault="00A81D5B" w:rsidP="00B61D9D">
      <w:pPr>
        <w:autoSpaceDE w:val="0"/>
        <w:autoSpaceDN w:val="0"/>
        <w:adjustRightInd w:val="0"/>
        <w:spacing w:line="240" w:lineRule="auto"/>
        <w:rPr>
          <w:szCs w:val="22"/>
        </w:rPr>
      </w:pPr>
    </w:p>
    <w:p w14:paraId="120F638C" w14:textId="77777777" w:rsidR="00FD75A3" w:rsidRPr="001775D9" w:rsidRDefault="00FD75A3" w:rsidP="00B61D9D">
      <w:pPr>
        <w:autoSpaceDE w:val="0"/>
        <w:autoSpaceDN w:val="0"/>
        <w:adjustRightInd w:val="0"/>
        <w:spacing w:line="240" w:lineRule="auto"/>
        <w:rPr>
          <w:szCs w:val="22"/>
        </w:rPr>
      </w:pPr>
    </w:p>
    <w:p w14:paraId="736AA76E" w14:textId="77777777" w:rsidR="00C42229" w:rsidRPr="001775D9" w:rsidRDefault="00C42229" w:rsidP="008415E1">
      <w:pPr>
        <w:numPr>
          <w:ilvl w:val="12"/>
          <w:numId w:val="0"/>
        </w:numPr>
        <w:tabs>
          <w:tab w:val="clear" w:pos="567"/>
        </w:tabs>
        <w:spacing w:line="240" w:lineRule="auto"/>
        <w:ind w:left="567" w:right="-2" w:hanging="567"/>
        <w:rPr>
          <w:b/>
          <w:szCs w:val="22"/>
        </w:rPr>
      </w:pPr>
      <w:r w:rsidRPr="001775D9">
        <w:rPr>
          <w:b/>
          <w:szCs w:val="22"/>
        </w:rPr>
        <w:t>5.</w:t>
      </w:r>
      <w:r w:rsidRPr="001775D9">
        <w:rPr>
          <w:b/>
          <w:szCs w:val="22"/>
        </w:rPr>
        <w:tab/>
        <w:t xml:space="preserve">How to store </w:t>
      </w:r>
      <w:r w:rsidR="00745FCB" w:rsidRPr="001775D9">
        <w:rPr>
          <w:b/>
          <w:szCs w:val="22"/>
        </w:rPr>
        <w:t>AMGEVITA</w:t>
      </w:r>
    </w:p>
    <w:p w14:paraId="5DA6224B" w14:textId="77777777" w:rsidR="00C42229" w:rsidRPr="001775D9" w:rsidRDefault="00C42229" w:rsidP="008415E1">
      <w:pPr>
        <w:numPr>
          <w:ilvl w:val="12"/>
          <w:numId w:val="0"/>
        </w:numPr>
        <w:tabs>
          <w:tab w:val="clear" w:pos="567"/>
        </w:tabs>
        <w:spacing w:line="240" w:lineRule="auto"/>
        <w:ind w:right="-2"/>
        <w:rPr>
          <w:szCs w:val="22"/>
        </w:rPr>
      </w:pPr>
    </w:p>
    <w:p w14:paraId="497E707C" w14:textId="77777777" w:rsidR="000404B4" w:rsidRPr="001775D9" w:rsidRDefault="000404B4" w:rsidP="008415E1">
      <w:pPr>
        <w:numPr>
          <w:ilvl w:val="12"/>
          <w:numId w:val="0"/>
        </w:numPr>
        <w:tabs>
          <w:tab w:val="clear" w:pos="567"/>
        </w:tabs>
        <w:spacing w:line="240" w:lineRule="auto"/>
        <w:ind w:right="-2"/>
        <w:rPr>
          <w:szCs w:val="22"/>
        </w:rPr>
      </w:pPr>
      <w:r w:rsidRPr="001775D9">
        <w:rPr>
          <w:szCs w:val="22"/>
        </w:rPr>
        <w:t xml:space="preserve">Keep </w:t>
      </w:r>
      <w:r w:rsidRPr="001775D9">
        <w:t xml:space="preserve">this medicine </w:t>
      </w:r>
      <w:r w:rsidRPr="001775D9">
        <w:rPr>
          <w:szCs w:val="22"/>
        </w:rPr>
        <w:t>out of the sight and reach of children.</w:t>
      </w:r>
    </w:p>
    <w:p w14:paraId="12AE2BB4" w14:textId="77777777" w:rsidR="000404B4" w:rsidRPr="001775D9" w:rsidRDefault="000404B4" w:rsidP="008415E1">
      <w:pPr>
        <w:keepNext/>
        <w:suppressLineNumbers/>
        <w:spacing w:line="240" w:lineRule="auto"/>
        <w:rPr>
          <w:color w:val="000000"/>
          <w:szCs w:val="22"/>
        </w:rPr>
      </w:pPr>
    </w:p>
    <w:p w14:paraId="3ECF4606" w14:textId="7C35E79E" w:rsidR="000404B4" w:rsidRPr="001775D9" w:rsidRDefault="000404B4" w:rsidP="008415E1">
      <w:pPr>
        <w:numPr>
          <w:ilvl w:val="12"/>
          <w:numId w:val="0"/>
        </w:numPr>
        <w:tabs>
          <w:tab w:val="clear" w:pos="567"/>
        </w:tabs>
        <w:spacing w:line="240" w:lineRule="auto"/>
        <w:ind w:right="-2"/>
        <w:rPr>
          <w:szCs w:val="22"/>
        </w:rPr>
      </w:pPr>
      <w:r w:rsidRPr="001775D9">
        <w:rPr>
          <w:szCs w:val="22"/>
        </w:rPr>
        <w:t xml:space="preserve">Do not use this medicine after the expiry date </w:t>
      </w:r>
      <w:r w:rsidR="006E5110" w:rsidRPr="001775D9">
        <w:rPr>
          <w:szCs w:val="22"/>
        </w:rPr>
        <w:t xml:space="preserve">which is </w:t>
      </w:r>
      <w:r w:rsidRPr="001775D9">
        <w:rPr>
          <w:szCs w:val="22"/>
        </w:rPr>
        <w:t>stated on the label</w:t>
      </w:r>
      <w:r w:rsidR="00A430D3" w:rsidRPr="001775D9">
        <w:rPr>
          <w:szCs w:val="22"/>
        </w:rPr>
        <w:t xml:space="preserve">/blister </w:t>
      </w:r>
      <w:r w:rsidR="006E5110" w:rsidRPr="001775D9">
        <w:rPr>
          <w:szCs w:val="22"/>
        </w:rPr>
        <w:t xml:space="preserve">and </w:t>
      </w:r>
      <w:r w:rsidRPr="001775D9">
        <w:rPr>
          <w:szCs w:val="22"/>
        </w:rPr>
        <w:t>carton after EXP. The expiry date refers to the last day of that month.</w:t>
      </w:r>
    </w:p>
    <w:p w14:paraId="30BE1F69" w14:textId="58419025" w:rsidR="000404B4" w:rsidRPr="001775D9" w:rsidRDefault="000404B4" w:rsidP="00CE6FE6">
      <w:pPr>
        <w:keepNext/>
        <w:numPr>
          <w:ilvl w:val="12"/>
          <w:numId w:val="0"/>
        </w:numPr>
        <w:tabs>
          <w:tab w:val="clear" w:pos="567"/>
        </w:tabs>
        <w:spacing w:line="240" w:lineRule="auto"/>
        <w:rPr>
          <w:szCs w:val="22"/>
        </w:rPr>
      </w:pPr>
    </w:p>
    <w:p w14:paraId="08C7C0B6" w14:textId="77777777" w:rsidR="007831CA" w:rsidRPr="001775D9" w:rsidRDefault="007831CA" w:rsidP="008415E1">
      <w:pPr>
        <w:keepNext/>
        <w:suppressLineNumbers/>
        <w:spacing w:line="240" w:lineRule="auto"/>
        <w:rPr>
          <w:szCs w:val="22"/>
        </w:rPr>
      </w:pPr>
      <w:r w:rsidRPr="001775D9">
        <w:rPr>
          <w:color w:val="000000"/>
          <w:szCs w:val="22"/>
        </w:rPr>
        <w:t>Store in a refrigerator (2</w:t>
      </w:r>
      <w:r w:rsidRPr="001775D9">
        <w:rPr>
          <w:color w:val="000000"/>
          <w:szCs w:val="22"/>
        </w:rPr>
        <w:sym w:font="Symbol" w:char="F0B0"/>
      </w:r>
      <w:r w:rsidRPr="001775D9">
        <w:rPr>
          <w:color w:val="000000"/>
          <w:szCs w:val="22"/>
        </w:rPr>
        <w:t>C – 8</w:t>
      </w:r>
      <w:r w:rsidRPr="001775D9">
        <w:rPr>
          <w:color w:val="000000"/>
          <w:szCs w:val="22"/>
        </w:rPr>
        <w:sym w:font="Symbol" w:char="F0B0"/>
      </w:r>
      <w:r w:rsidRPr="001775D9">
        <w:rPr>
          <w:color w:val="000000"/>
          <w:szCs w:val="22"/>
        </w:rPr>
        <w:t xml:space="preserve">C). Do not freeze. </w:t>
      </w:r>
    </w:p>
    <w:p w14:paraId="7238B71E" w14:textId="77777777" w:rsidR="007831CA" w:rsidRPr="001775D9" w:rsidRDefault="007831CA" w:rsidP="008415E1">
      <w:pPr>
        <w:numPr>
          <w:ilvl w:val="12"/>
          <w:numId w:val="0"/>
        </w:numPr>
        <w:tabs>
          <w:tab w:val="clear" w:pos="567"/>
        </w:tabs>
        <w:spacing w:line="240" w:lineRule="auto"/>
        <w:ind w:right="-2"/>
        <w:rPr>
          <w:color w:val="000000"/>
          <w:szCs w:val="22"/>
        </w:rPr>
      </w:pPr>
    </w:p>
    <w:p w14:paraId="04D5F22A" w14:textId="77777777" w:rsidR="006E5110" w:rsidRPr="001775D9" w:rsidRDefault="006E5110" w:rsidP="008415E1">
      <w:pPr>
        <w:numPr>
          <w:ilvl w:val="12"/>
          <w:numId w:val="0"/>
        </w:numPr>
        <w:tabs>
          <w:tab w:val="clear" w:pos="567"/>
        </w:tabs>
        <w:spacing w:line="240" w:lineRule="auto"/>
        <w:ind w:right="-2"/>
        <w:rPr>
          <w:szCs w:val="22"/>
        </w:rPr>
      </w:pPr>
      <w:r w:rsidRPr="001775D9">
        <w:rPr>
          <w:szCs w:val="22"/>
        </w:rPr>
        <w:t xml:space="preserve">Store in the original carton in order to protect from light. </w:t>
      </w:r>
    </w:p>
    <w:p w14:paraId="1EB7D6E7" w14:textId="77777777" w:rsidR="00C81210" w:rsidRPr="001775D9" w:rsidRDefault="00C81210" w:rsidP="008415E1">
      <w:pPr>
        <w:keepNext/>
        <w:suppressLineNumbers/>
        <w:spacing w:line="240" w:lineRule="auto"/>
        <w:rPr>
          <w:szCs w:val="22"/>
        </w:rPr>
      </w:pPr>
    </w:p>
    <w:p w14:paraId="0DBC24C0" w14:textId="77777777" w:rsidR="002E7203" w:rsidRPr="001775D9" w:rsidRDefault="00542AC0" w:rsidP="008415E1">
      <w:pPr>
        <w:keepNext/>
        <w:suppressLineNumbers/>
        <w:spacing w:line="240" w:lineRule="auto"/>
        <w:rPr>
          <w:szCs w:val="22"/>
        </w:rPr>
      </w:pPr>
      <w:r w:rsidRPr="001775D9">
        <w:rPr>
          <w:szCs w:val="22"/>
        </w:rPr>
        <w:t>A</w:t>
      </w:r>
      <w:r w:rsidR="002E7203" w:rsidRPr="001775D9">
        <w:rPr>
          <w:szCs w:val="22"/>
        </w:rPr>
        <w:t xml:space="preserve"> single </w:t>
      </w:r>
      <w:r w:rsidRPr="001775D9">
        <w:rPr>
          <w:szCs w:val="22"/>
        </w:rPr>
        <w:t xml:space="preserve">AMGEVITA </w:t>
      </w:r>
      <w:r w:rsidR="002E7203" w:rsidRPr="001775D9">
        <w:rPr>
          <w:szCs w:val="22"/>
        </w:rPr>
        <w:t xml:space="preserve">pre-filled </w:t>
      </w:r>
      <w:r w:rsidRPr="001775D9">
        <w:rPr>
          <w:szCs w:val="22"/>
        </w:rPr>
        <w:t xml:space="preserve">syringe </w:t>
      </w:r>
      <w:r w:rsidR="002E7203" w:rsidRPr="001775D9">
        <w:rPr>
          <w:szCs w:val="22"/>
        </w:rPr>
        <w:t>may be stored at temperature</w:t>
      </w:r>
      <w:r w:rsidRPr="001775D9">
        <w:rPr>
          <w:szCs w:val="22"/>
        </w:rPr>
        <w:t xml:space="preserve">s up to a maximum of </w:t>
      </w:r>
      <w:r w:rsidR="002E7203" w:rsidRPr="001775D9">
        <w:rPr>
          <w:szCs w:val="22"/>
        </w:rPr>
        <w:t xml:space="preserve">25°C for a period of </w:t>
      </w:r>
      <w:r w:rsidRPr="001775D9">
        <w:rPr>
          <w:szCs w:val="22"/>
        </w:rPr>
        <w:t xml:space="preserve">up to </w:t>
      </w:r>
      <w:r w:rsidR="002E7203" w:rsidRPr="001775D9">
        <w:rPr>
          <w:szCs w:val="22"/>
        </w:rPr>
        <w:t>14 days</w:t>
      </w:r>
      <w:r w:rsidRPr="001775D9">
        <w:rPr>
          <w:szCs w:val="22"/>
        </w:rPr>
        <w:t>. The pre-filled syringe must</w:t>
      </w:r>
      <w:r w:rsidR="002E7203" w:rsidRPr="001775D9">
        <w:rPr>
          <w:szCs w:val="22"/>
        </w:rPr>
        <w:t xml:space="preserve"> be protect</w:t>
      </w:r>
      <w:r w:rsidRPr="001775D9">
        <w:rPr>
          <w:szCs w:val="22"/>
        </w:rPr>
        <w:t>ed</w:t>
      </w:r>
      <w:r w:rsidR="002E7203" w:rsidRPr="001775D9">
        <w:rPr>
          <w:szCs w:val="22"/>
        </w:rPr>
        <w:t xml:space="preserve"> from light</w:t>
      </w:r>
      <w:r w:rsidRPr="001775D9">
        <w:rPr>
          <w:szCs w:val="22"/>
        </w:rPr>
        <w:t xml:space="preserve">, and </w:t>
      </w:r>
      <w:r w:rsidR="002E7203" w:rsidRPr="001775D9">
        <w:rPr>
          <w:szCs w:val="22"/>
        </w:rPr>
        <w:t>discarded</w:t>
      </w:r>
      <w:r w:rsidR="005A5844" w:rsidRPr="001775D9">
        <w:rPr>
          <w:szCs w:val="22"/>
        </w:rPr>
        <w:t xml:space="preserve"> </w:t>
      </w:r>
      <w:r w:rsidR="002E7203" w:rsidRPr="001775D9">
        <w:rPr>
          <w:szCs w:val="22"/>
        </w:rPr>
        <w:t xml:space="preserve">if </w:t>
      </w:r>
      <w:r w:rsidRPr="001775D9">
        <w:rPr>
          <w:szCs w:val="22"/>
        </w:rPr>
        <w:t>not used within the 14-day period</w:t>
      </w:r>
      <w:r w:rsidR="002E7203" w:rsidRPr="001775D9">
        <w:rPr>
          <w:szCs w:val="22"/>
        </w:rPr>
        <w:t>.</w:t>
      </w:r>
    </w:p>
    <w:p w14:paraId="05DAA282" w14:textId="77777777" w:rsidR="00C81210" w:rsidRPr="001775D9" w:rsidRDefault="00C81210" w:rsidP="008415E1">
      <w:pPr>
        <w:numPr>
          <w:ilvl w:val="12"/>
          <w:numId w:val="0"/>
        </w:numPr>
        <w:tabs>
          <w:tab w:val="clear" w:pos="567"/>
        </w:tabs>
        <w:spacing w:line="240" w:lineRule="auto"/>
        <w:ind w:right="-2"/>
        <w:rPr>
          <w:szCs w:val="22"/>
        </w:rPr>
      </w:pPr>
    </w:p>
    <w:p w14:paraId="2F991704" w14:textId="77777777" w:rsidR="00C42229" w:rsidRPr="001775D9" w:rsidRDefault="00C42229" w:rsidP="008415E1">
      <w:pPr>
        <w:spacing w:line="240" w:lineRule="auto"/>
        <w:rPr>
          <w:i/>
          <w:iCs/>
          <w:szCs w:val="22"/>
        </w:rPr>
      </w:pPr>
      <w:r w:rsidRPr="001775D9">
        <w:rPr>
          <w:szCs w:val="22"/>
        </w:rPr>
        <w:t xml:space="preserve">Do not </w:t>
      </w:r>
      <w:r w:rsidRPr="001775D9">
        <w:t xml:space="preserve">throw </w:t>
      </w:r>
      <w:r w:rsidR="00542AC0" w:rsidRPr="001775D9">
        <w:t xml:space="preserve">away </w:t>
      </w:r>
      <w:r w:rsidRPr="001775D9">
        <w:t xml:space="preserve">any medicines </w:t>
      </w:r>
      <w:r w:rsidRPr="001775D9">
        <w:rPr>
          <w:szCs w:val="22"/>
        </w:rPr>
        <w:t xml:space="preserve">via wastewater or household waste. Ask your pharmacist how to </w:t>
      </w:r>
      <w:r w:rsidRPr="001775D9">
        <w:t xml:space="preserve">throw away </w:t>
      </w:r>
      <w:r w:rsidRPr="001775D9">
        <w:rPr>
          <w:szCs w:val="22"/>
        </w:rPr>
        <w:t>medicines you no longer use. These measures will help protect the environment.</w:t>
      </w:r>
      <w:r w:rsidR="002E7203" w:rsidRPr="001775D9">
        <w:rPr>
          <w:szCs w:val="22"/>
        </w:rPr>
        <w:t xml:space="preserve"> </w:t>
      </w:r>
    </w:p>
    <w:p w14:paraId="1F14BA5D" w14:textId="77777777" w:rsidR="00C42229" w:rsidRPr="001775D9" w:rsidRDefault="00C42229" w:rsidP="008415E1">
      <w:pPr>
        <w:numPr>
          <w:ilvl w:val="12"/>
          <w:numId w:val="0"/>
        </w:numPr>
        <w:tabs>
          <w:tab w:val="clear" w:pos="567"/>
        </w:tabs>
        <w:spacing w:line="240" w:lineRule="auto"/>
        <w:ind w:right="-2"/>
        <w:rPr>
          <w:szCs w:val="22"/>
        </w:rPr>
      </w:pPr>
    </w:p>
    <w:p w14:paraId="793E4751" w14:textId="77777777" w:rsidR="00542AC0" w:rsidRPr="001775D9" w:rsidRDefault="00542AC0" w:rsidP="008415E1">
      <w:pPr>
        <w:numPr>
          <w:ilvl w:val="12"/>
          <w:numId w:val="0"/>
        </w:numPr>
        <w:tabs>
          <w:tab w:val="clear" w:pos="567"/>
        </w:tabs>
        <w:spacing w:line="240" w:lineRule="auto"/>
        <w:ind w:right="-2"/>
        <w:rPr>
          <w:szCs w:val="22"/>
        </w:rPr>
      </w:pPr>
    </w:p>
    <w:p w14:paraId="6542DDD8" w14:textId="77777777" w:rsidR="00C42229" w:rsidRPr="001775D9" w:rsidRDefault="00C42229" w:rsidP="00B61D9D">
      <w:pPr>
        <w:keepNext/>
        <w:numPr>
          <w:ilvl w:val="12"/>
          <w:numId w:val="0"/>
        </w:numPr>
        <w:spacing w:line="240" w:lineRule="auto"/>
        <w:ind w:left="567" w:hanging="567"/>
        <w:rPr>
          <w:b/>
        </w:rPr>
      </w:pPr>
      <w:r w:rsidRPr="001775D9">
        <w:rPr>
          <w:b/>
        </w:rPr>
        <w:t>6.</w:t>
      </w:r>
      <w:r w:rsidRPr="001775D9">
        <w:rPr>
          <w:b/>
        </w:rPr>
        <w:tab/>
        <w:t>Contents of the pack and other information</w:t>
      </w:r>
    </w:p>
    <w:p w14:paraId="51458534" w14:textId="77777777" w:rsidR="00C42229" w:rsidRPr="001775D9" w:rsidRDefault="00C42229" w:rsidP="008415E1">
      <w:pPr>
        <w:keepNext/>
        <w:numPr>
          <w:ilvl w:val="12"/>
          <w:numId w:val="0"/>
        </w:numPr>
        <w:tabs>
          <w:tab w:val="clear" w:pos="567"/>
        </w:tabs>
        <w:spacing w:line="240" w:lineRule="auto"/>
      </w:pPr>
    </w:p>
    <w:p w14:paraId="7313FEA5" w14:textId="77777777" w:rsidR="00C42229" w:rsidRPr="001775D9" w:rsidRDefault="00C42229" w:rsidP="008415E1">
      <w:pPr>
        <w:keepNext/>
        <w:numPr>
          <w:ilvl w:val="12"/>
          <w:numId w:val="0"/>
        </w:numPr>
        <w:tabs>
          <w:tab w:val="clear" w:pos="567"/>
        </w:tabs>
        <w:spacing w:line="240" w:lineRule="auto"/>
        <w:ind w:right="-2"/>
        <w:rPr>
          <w:b/>
        </w:rPr>
      </w:pPr>
      <w:r w:rsidRPr="001775D9">
        <w:rPr>
          <w:b/>
        </w:rPr>
        <w:t xml:space="preserve">What </w:t>
      </w:r>
      <w:r w:rsidR="00745FCB" w:rsidRPr="001775D9">
        <w:rPr>
          <w:b/>
          <w:szCs w:val="22"/>
        </w:rPr>
        <w:t>AMGEVITA</w:t>
      </w:r>
      <w:r w:rsidRPr="001775D9">
        <w:rPr>
          <w:b/>
        </w:rPr>
        <w:t xml:space="preserve"> contains </w:t>
      </w:r>
    </w:p>
    <w:p w14:paraId="611CE937" w14:textId="77777777" w:rsidR="00C42229" w:rsidRPr="001775D9" w:rsidRDefault="00C42229" w:rsidP="008415E1">
      <w:pPr>
        <w:keepNext/>
        <w:numPr>
          <w:ilvl w:val="0"/>
          <w:numId w:val="4"/>
        </w:numPr>
        <w:tabs>
          <w:tab w:val="clear" w:pos="567"/>
        </w:tabs>
        <w:spacing w:line="240" w:lineRule="auto"/>
        <w:ind w:left="567" w:right="-2" w:hanging="567"/>
        <w:rPr>
          <w:i/>
          <w:iCs/>
          <w:szCs w:val="22"/>
        </w:rPr>
      </w:pPr>
      <w:r w:rsidRPr="001775D9">
        <w:t xml:space="preserve">The active substance is </w:t>
      </w:r>
      <w:r w:rsidR="00845B2A" w:rsidRPr="001775D9">
        <w:rPr>
          <w:szCs w:val="22"/>
        </w:rPr>
        <w:t>adalimumab</w:t>
      </w:r>
      <w:r w:rsidRPr="001775D9">
        <w:rPr>
          <w:szCs w:val="22"/>
        </w:rPr>
        <w:t>.</w:t>
      </w:r>
      <w:r w:rsidR="009870E3" w:rsidRPr="001775D9">
        <w:rPr>
          <w:szCs w:val="22"/>
        </w:rPr>
        <w:t xml:space="preserve"> </w:t>
      </w:r>
      <w:r w:rsidR="00542AC0" w:rsidRPr="001775D9">
        <w:rPr>
          <w:szCs w:val="22"/>
        </w:rPr>
        <w:t>Each pre-filled syringe contains 20</w:t>
      </w:r>
      <w:r w:rsidR="0082710E" w:rsidRPr="001775D9">
        <w:rPr>
          <w:szCs w:val="22"/>
        </w:rPr>
        <w:t> </w:t>
      </w:r>
      <w:r w:rsidR="00542AC0" w:rsidRPr="001775D9">
        <w:rPr>
          <w:szCs w:val="22"/>
        </w:rPr>
        <w:t>mg of adalimumab in 0.4</w:t>
      </w:r>
      <w:r w:rsidR="0082710E" w:rsidRPr="001775D9">
        <w:rPr>
          <w:szCs w:val="22"/>
        </w:rPr>
        <w:t> </w:t>
      </w:r>
      <w:r w:rsidR="00542AC0" w:rsidRPr="001775D9">
        <w:rPr>
          <w:szCs w:val="22"/>
        </w:rPr>
        <w:t>mL of solution or 40</w:t>
      </w:r>
      <w:r w:rsidR="0082710E" w:rsidRPr="001775D9">
        <w:rPr>
          <w:szCs w:val="22"/>
        </w:rPr>
        <w:t> </w:t>
      </w:r>
      <w:r w:rsidR="00542AC0" w:rsidRPr="001775D9">
        <w:rPr>
          <w:szCs w:val="22"/>
        </w:rPr>
        <w:t>mg of adalimumab in 0.8</w:t>
      </w:r>
      <w:r w:rsidR="0082710E" w:rsidRPr="001775D9">
        <w:rPr>
          <w:szCs w:val="22"/>
        </w:rPr>
        <w:t> </w:t>
      </w:r>
      <w:r w:rsidR="00542AC0" w:rsidRPr="001775D9">
        <w:rPr>
          <w:szCs w:val="22"/>
        </w:rPr>
        <w:t>mL of solution.</w:t>
      </w:r>
    </w:p>
    <w:p w14:paraId="2D2BC4C3" w14:textId="093E7CF2" w:rsidR="00C42229" w:rsidRPr="001775D9" w:rsidRDefault="00C42229" w:rsidP="008415E1">
      <w:pPr>
        <w:numPr>
          <w:ilvl w:val="0"/>
          <w:numId w:val="4"/>
        </w:numPr>
        <w:tabs>
          <w:tab w:val="clear" w:pos="567"/>
        </w:tabs>
        <w:spacing w:line="240" w:lineRule="auto"/>
        <w:ind w:left="567" w:hanging="567"/>
        <w:rPr>
          <w:szCs w:val="22"/>
        </w:rPr>
      </w:pPr>
      <w:r w:rsidRPr="001775D9">
        <w:rPr>
          <w:szCs w:val="22"/>
        </w:rPr>
        <w:t xml:space="preserve">The other ingredients are </w:t>
      </w:r>
      <w:r w:rsidR="002E7203" w:rsidRPr="001775D9">
        <w:rPr>
          <w:szCs w:val="22"/>
        </w:rPr>
        <w:t xml:space="preserve">glacial acetic acid, sucrose, polysorbate 80, </w:t>
      </w:r>
      <w:r w:rsidR="002E7203" w:rsidRPr="001775D9">
        <w:rPr>
          <w:szCs w:val="22"/>
          <w:lang w:eastAsia="en-GB"/>
        </w:rPr>
        <w:t xml:space="preserve">sodium hydroxide </w:t>
      </w:r>
      <w:r w:rsidR="002E7203" w:rsidRPr="001775D9">
        <w:rPr>
          <w:szCs w:val="22"/>
        </w:rPr>
        <w:t>and water for injection</w:t>
      </w:r>
      <w:r w:rsidR="00503B55" w:rsidRPr="001775D9">
        <w:rPr>
          <w:szCs w:val="22"/>
        </w:rPr>
        <w:t>s</w:t>
      </w:r>
      <w:r w:rsidRPr="001775D9">
        <w:rPr>
          <w:szCs w:val="22"/>
        </w:rPr>
        <w:t>.</w:t>
      </w:r>
    </w:p>
    <w:p w14:paraId="03284842" w14:textId="77777777" w:rsidR="00C42229" w:rsidRPr="001775D9" w:rsidRDefault="00C42229" w:rsidP="008415E1">
      <w:pPr>
        <w:tabs>
          <w:tab w:val="clear" w:pos="567"/>
        </w:tabs>
        <w:spacing w:line="240" w:lineRule="auto"/>
        <w:rPr>
          <w:szCs w:val="22"/>
        </w:rPr>
      </w:pPr>
    </w:p>
    <w:p w14:paraId="3B68B02B" w14:textId="77777777" w:rsidR="00C42229" w:rsidRPr="001775D9" w:rsidRDefault="00C42229" w:rsidP="008415E1">
      <w:pPr>
        <w:keepNext/>
        <w:numPr>
          <w:ilvl w:val="12"/>
          <w:numId w:val="0"/>
        </w:numPr>
        <w:tabs>
          <w:tab w:val="clear" w:pos="567"/>
        </w:tabs>
        <w:spacing w:line="240" w:lineRule="auto"/>
        <w:ind w:right="-2"/>
        <w:rPr>
          <w:b/>
        </w:rPr>
      </w:pPr>
      <w:r w:rsidRPr="001775D9">
        <w:rPr>
          <w:b/>
        </w:rPr>
        <w:t xml:space="preserve">What </w:t>
      </w:r>
      <w:r w:rsidR="00745FCB" w:rsidRPr="001775D9">
        <w:rPr>
          <w:b/>
          <w:szCs w:val="22"/>
        </w:rPr>
        <w:t>AMGEVITA</w:t>
      </w:r>
      <w:r w:rsidRPr="001775D9">
        <w:rPr>
          <w:b/>
        </w:rPr>
        <w:t xml:space="preserve"> looks like and contents of the pack</w:t>
      </w:r>
    </w:p>
    <w:p w14:paraId="3A3B3133" w14:textId="77777777" w:rsidR="00C42229" w:rsidRPr="001775D9" w:rsidRDefault="00C42229" w:rsidP="008415E1">
      <w:pPr>
        <w:keepNext/>
        <w:numPr>
          <w:ilvl w:val="12"/>
          <w:numId w:val="0"/>
        </w:numPr>
        <w:tabs>
          <w:tab w:val="clear" w:pos="567"/>
        </w:tabs>
        <w:spacing w:line="240" w:lineRule="auto"/>
        <w:rPr>
          <w:szCs w:val="22"/>
        </w:rPr>
      </w:pPr>
    </w:p>
    <w:p w14:paraId="0BDB3843" w14:textId="77777777" w:rsidR="00542AC0" w:rsidRPr="001775D9" w:rsidRDefault="00542AC0" w:rsidP="008415E1">
      <w:pPr>
        <w:keepNext/>
        <w:tabs>
          <w:tab w:val="clear" w:pos="567"/>
        </w:tabs>
        <w:autoSpaceDE w:val="0"/>
        <w:autoSpaceDN w:val="0"/>
        <w:adjustRightInd w:val="0"/>
        <w:spacing w:line="240" w:lineRule="auto"/>
        <w:rPr>
          <w:szCs w:val="22"/>
        </w:rPr>
      </w:pPr>
      <w:r w:rsidRPr="001775D9">
        <w:rPr>
          <w:szCs w:val="22"/>
        </w:rPr>
        <w:t xml:space="preserve">AMGEVITA is a clear </w:t>
      </w:r>
      <w:r w:rsidR="00397168" w:rsidRPr="001775D9">
        <w:rPr>
          <w:rFonts w:eastAsia="Calibri"/>
          <w:bCs/>
          <w:szCs w:val="22"/>
        </w:rPr>
        <w:t>and colourless to slightly yellow</w:t>
      </w:r>
      <w:r w:rsidR="00397168" w:rsidRPr="001775D9">
        <w:rPr>
          <w:szCs w:val="22"/>
        </w:rPr>
        <w:t xml:space="preserve"> </w:t>
      </w:r>
      <w:r w:rsidRPr="001775D9">
        <w:rPr>
          <w:szCs w:val="22"/>
        </w:rPr>
        <w:t>solution.</w:t>
      </w:r>
    </w:p>
    <w:p w14:paraId="740A27CC" w14:textId="77777777" w:rsidR="009870E3" w:rsidRPr="001775D9" w:rsidRDefault="009870E3" w:rsidP="008415E1">
      <w:pPr>
        <w:keepNext/>
        <w:numPr>
          <w:ilvl w:val="12"/>
          <w:numId w:val="0"/>
        </w:numPr>
        <w:tabs>
          <w:tab w:val="clear" w:pos="567"/>
        </w:tabs>
        <w:spacing w:line="240" w:lineRule="auto"/>
        <w:rPr>
          <w:szCs w:val="22"/>
        </w:rPr>
      </w:pPr>
    </w:p>
    <w:p w14:paraId="44A5A58F" w14:textId="77573BF5" w:rsidR="00542AC0" w:rsidRPr="001775D9" w:rsidRDefault="00542AC0" w:rsidP="008415E1">
      <w:pPr>
        <w:numPr>
          <w:ilvl w:val="12"/>
          <w:numId w:val="0"/>
        </w:numPr>
        <w:tabs>
          <w:tab w:val="clear" w:pos="567"/>
        </w:tabs>
        <w:spacing w:line="240" w:lineRule="auto"/>
        <w:rPr>
          <w:szCs w:val="22"/>
        </w:rPr>
      </w:pPr>
      <w:r w:rsidRPr="001775D9">
        <w:rPr>
          <w:szCs w:val="22"/>
        </w:rPr>
        <w:t>Each pack contains 1 single-use 20</w:t>
      </w:r>
      <w:r w:rsidR="0082710E" w:rsidRPr="001775D9">
        <w:rPr>
          <w:szCs w:val="22"/>
        </w:rPr>
        <w:t> </w:t>
      </w:r>
      <w:r w:rsidRPr="001775D9">
        <w:rPr>
          <w:szCs w:val="22"/>
        </w:rPr>
        <w:t>mg pre-filled syringe</w:t>
      </w:r>
      <w:r w:rsidR="00A240CE" w:rsidRPr="001775D9">
        <w:rPr>
          <w:szCs w:val="22"/>
        </w:rPr>
        <w:t xml:space="preserve"> (with yellow plunger rod)</w:t>
      </w:r>
      <w:r w:rsidRPr="001775D9">
        <w:rPr>
          <w:szCs w:val="22"/>
        </w:rPr>
        <w:t xml:space="preserve">. </w:t>
      </w:r>
    </w:p>
    <w:p w14:paraId="21CD40E2" w14:textId="6621976E" w:rsidR="00542AC0" w:rsidRPr="001775D9" w:rsidRDefault="00542AC0" w:rsidP="008415E1">
      <w:pPr>
        <w:numPr>
          <w:ilvl w:val="12"/>
          <w:numId w:val="0"/>
        </w:numPr>
        <w:tabs>
          <w:tab w:val="clear" w:pos="567"/>
        </w:tabs>
        <w:spacing w:line="240" w:lineRule="auto"/>
        <w:rPr>
          <w:szCs w:val="22"/>
        </w:rPr>
      </w:pPr>
      <w:r w:rsidRPr="001775D9">
        <w:rPr>
          <w:szCs w:val="22"/>
        </w:rPr>
        <w:t>Each pack contains 1, 2, 4 or 6 single-use 40</w:t>
      </w:r>
      <w:r w:rsidR="0082710E" w:rsidRPr="001775D9">
        <w:rPr>
          <w:szCs w:val="22"/>
        </w:rPr>
        <w:t> </w:t>
      </w:r>
      <w:r w:rsidRPr="001775D9">
        <w:rPr>
          <w:szCs w:val="22"/>
        </w:rPr>
        <w:t>mg pre-filled syringes</w:t>
      </w:r>
      <w:r w:rsidR="00A240CE" w:rsidRPr="001775D9">
        <w:rPr>
          <w:szCs w:val="22"/>
        </w:rPr>
        <w:t xml:space="preserve"> (with blue plunger rod)</w:t>
      </w:r>
      <w:r w:rsidRPr="001775D9">
        <w:rPr>
          <w:szCs w:val="22"/>
        </w:rPr>
        <w:t>.</w:t>
      </w:r>
    </w:p>
    <w:p w14:paraId="5A3EE116" w14:textId="77777777" w:rsidR="00542AC0" w:rsidRPr="001775D9" w:rsidRDefault="00542AC0" w:rsidP="008415E1">
      <w:pPr>
        <w:numPr>
          <w:ilvl w:val="12"/>
          <w:numId w:val="0"/>
        </w:numPr>
        <w:tabs>
          <w:tab w:val="clear" w:pos="567"/>
        </w:tabs>
        <w:spacing w:line="240" w:lineRule="auto"/>
        <w:rPr>
          <w:szCs w:val="22"/>
        </w:rPr>
      </w:pPr>
    </w:p>
    <w:p w14:paraId="394DF1AB" w14:textId="77777777" w:rsidR="000F4F21" w:rsidRPr="00D55B59" w:rsidRDefault="000F4F21" w:rsidP="008415E1">
      <w:pPr>
        <w:pStyle w:val="lbltxt"/>
        <w:keepNext/>
        <w:rPr>
          <w:noProof w:val="0"/>
          <w:lang w:val="en-GB"/>
          <w:rPrChange w:id="3030" w:author="Author">
            <w:rPr>
              <w:noProof w:val="0"/>
            </w:rPr>
          </w:rPrChange>
        </w:rPr>
      </w:pPr>
      <w:r w:rsidRPr="00D55B59">
        <w:rPr>
          <w:b/>
          <w:bCs/>
          <w:noProof w:val="0"/>
          <w:lang w:val="en-GB"/>
          <w:rPrChange w:id="3031" w:author="Author">
            <w:rPr>
              <w:b/>
              <w:bCs/>
              <w:noProof w:val="0"/>
            </w:rPr>
          </w:rPrChange>
        </w:rPr>
        <w:t xml:space="preserve">Marketing Authorisation Holder </w:t>
      </w:r>
      <w:r w:rsidR="00FA7F10" w:rsidRPr="00D55B59">
        <w:rPr>
          <w:b/>
          <w:bCs/>
          <w:noProof w:val="0"/>
          <w:lang w:val="en-GB"/>
          <w:rPrChange w:id="3032" w:author="Author">
            <w:rPr>
              <w:b/>
              <w:bCs/>
              <w:noProof w:val="0"/>
            </w:rPr>
          </w:rPrChange>
        </w:rPr>
        <w:t>and Manufacturer</w:t>
      </w:r>
    </w:p>
    <w:p w14:paraId="7E3CFD71" w14:textId="15EA0CAE" w:rsidR="00FA7F10" w:rsidRPr="00D55B59" w:rsidRDefault="00FA7F10" w:rsidP="008415E1">
      <w:pPr>
        <w:pStyle w:val="lbltxt"/>
        <w:rPr>
          <w:noProof w:val="0"/>
          <w:lang w:val="en-GB"/>
          <w:rPrChange w:id="3033" w:author="Author">
            <w:rPr>
              <w:noProof w:val="0"/>
            </w:rPr>
          </w:rPrChange>
        </w:rPr>
      </w:pPr>
      <w:r w:rsidRPr="00D55B59">
        <w:rPr>
          <w:noProof w:val="0"/>
          <w:lang w:val="en-GB"/>
          <w:rPrChange w:id="3034" w:author="Author">
            <w:rPr>
              <w:noProof w:val="0"/>
            </w:rPr>
          </w:rPrChange>
        </w:rPr>
        <w:t xml:space="preserve">Amgen Europe B.V. </w:t>
      </w:r>
      <w:r w:rsidRPr="00D55B59">
        <w:rPr>
          <w:noProof w:val="0"/>
          <w:lang w:val="en-GB"/>
          <w:rPrChange w:id="3035" w:author="Author">
            <w:rPr>
              <w:noProof w:val="0"/>
            </w:rPr>
          </w:rPrChange>
        </w:rPr>
        <w:br/>
        <w:t xml:space="preserve">Minervum 7061 </w:t>
      </w:r>
      <w:r w:rsidRPr="00D55B59">
        <w:rPr>
          <w:noProof w:val="0"/>
          <w:lang w:val="en-GB"/>
          <w:rPrChange w:id="3036" w:author="Author">
            <w:rPr>
              <w:noProof w:val="0"/>
            </w:rPr>
          </w:rPrChange>
        </w:rPr>
        <w:br/>
        <w:t xml:space="preserve">4817 ZK Breda </w:t>
      </w:r>
      <w:r w:rsidRPr="00D55B59">
        <w:rPr>
          <w:noProof w:val="0"/>
          <w:lang w:val="en-GB"/>
          <w:rPrChange w:id="3037" w:author="Author">
            <w:rPr>
              <w:noProof w:val="0"/>
            </w:rPr>
          </w:rPrChange>
        </w:rPr>
        <w:br/>
        <w:t>The Netherlands</w:t>
      </w:r>
    </w:p>
    <w:p w14:paraId="04D3CD78" w14:textId="77777777" w:rsidR="000F4F21" w:rsidRPr="00D55B59" w:rsidRDefault="000F4F21" w:rsidP="008415E1">
      <w:pPr>
        <w:pStyle w:val="lbltxt"/>
        <w:rPr>
          <w:noProof w:val="0"/>
          <w:lang w:val="en-GB"/>
          <w:rPrChange w:id="3038" w:author="Author">
            <w:rPr>
              <w:noProof w:val="0"/>
            </w:rPr>
          </w:rPrChange>
        </w:rPr>
      </w:pPr>
    </w:p>
    <w:p w14:paraId="4C7E19FC" w14:textId="77777777" w:rsidR="00FA7F10" w:rsidRPr="00D55B59" w:rsidRDefault="00DE0EA8" w:rsidP="008415E1">
      <w:pPr>
        <w:pStyle w:val="lbltxt"/>
        <w:keepNext/>
        <w:keepLines/>
        <w:rPr>
          <w:b/>
          <w:bCs/>
          <w:noProof w:val="0"/>
          <w:highlight w:val="lightGray"/>
          <w:lang w:val="en-GB"/>
          <w:rPrChange w:id="3039" w:author="Author">
            <w:rPr>
              <w:b/>
              <w:bCs/>
              <w:noProof w:val="0"/>
              <w:highlight w:val="lightGray"/>
            </w:rPr>
          </w:rPrChange>
        </w:rPr>
      </w:pPr>
      <w:r w:rsidRPr="00D55B59">
        <w:rPr>
          <w:b/>
          <w:bCs/>
          <w:noProof w:val="0"/>
          <w:highlight w:val="lightGray"/>
          <w:lang w:val="en-GB"/>
          <w:rPrChange w:id="3040" w:author="Author">
            <w:rPr>
              <w:b/>
              <w:bCs/>
              <w:noProof w:val="0"/>
              <w:highlight w:val="lightGray"/>
            </w:rPr>
          </w:rPrChange>
        </w:rPr>
        <w:t>Marketing Authorisation Holder</w:t>
      </w:r>
    </w:p>
    <w:p w14:paraId="1CB7A487" w14:textId="4EF52ADA" w:rsidR="00FA7F10" w:rsidRPr="00D55B59" w:rsidRDefault="00FA7F10" w:rsidP="008415E1">
      <w:pPr>
        <w:pStyle w:val="lbltxt"/>
        <w:keepNext/>
        <w:keepLines/>
        <w:rPr>
          <w:noProof w:val="0"/>
          <w:highlight w:val="lightGray"/>
          <w:lang w:val="en-GB"/>
          <w:rPrChange w:id="3041" w:author="Author">
            <w:rPr>
              <w:noProof w:val="0"/>
              <w:highlight w:val="lightGray"/>
            </w:rPr>
          </w:rPrChange>
        </w:rPr>
      </w:pPr>
      <w:r w:rsidRPr="00D55B59">
        <w:rPr>
          <w:noProof w:val="0"/>
          <w:highlight w:val="lightGray"/>
          <w:lang w:val="en-GB"/>
          <w:rPrChange w:id="3042" w:author="Author">
            <w:rPr>
              <w:noProof w:val="0"/>
              <w:highlight w:val="lightGray"/>
            </w:rPr>
          </w:rPrChange>
        </w:rPr>
        <w:t xml:space="preserve">Amgen Europe B.V. </w:t>
      </w:r>
      <w:r w:rsidRPr="00D55B59">
        <w:rPr>
          <w:noProof w:val="0"/>
          <w:highlight w:val="lightGray"/>
          <w:lang w:val="en-GB"/>
          <w:rPrChange w:id="3043" w:author="Author">
            <w:rPr>
              <w:noProof w:val="0"/>
              <w:highlight w:val="lightGray"/>
            </w:rPr>
          </w:rPrChange>
        </w:rPr>
        <w:br/>
        <w:t xml:space="preserve">Minervum 7061 </w:t>
      </w:r>
      <w:r w:rsidRPr="00D55B59">
        <w:rPr>
          <w:noProof w:val="0"/>
          <w:highlight w:val="lightGray"/>
          <w:lang w:val="en-GB"/>
          <w:rPrChange w:id="3044" w:author="Author">
            <w:rPr>
              <w:noProof w:val="0"/>
              <w:highlight w:val="lightGray"/>
            </w:rPr>
          </w:rPrChange>
        </w:rPr>
        <w:br/>
        <w:t xml:space="preserve">4817 ZK Breda </w:t>
      </w:r>
      <w:r w:rsidRPr="00D55B59">
        <w:rPr>
          <w:noProof w:val="0"/>
          <w:highlight w:val="lightGray"/>
          <w:lang w:val="en-GB"/>
          <w:rPrChange w:id="3045" w:author="Author">
            <w:rPr>
              <w:noProof w:val="0"/>
              <w:highlight w:val="lightGray"/>
            </w:rPr>
          </w:rPrChange>
        </w:rPr>
        <w:br/>
        <w:t>The Netherlands</w:t>
      </w:r>
    </w:p>
    <w:p w14:paraId="4C2F8990" w14:textId="77777777" w:rsidR="000F4F21" w:rsidRPr="00D55B59" w:rsidRDefault="000F4F21" w:rsidP="008415E1">
      <w:pPr>
        <w:pStyle w:val="lbltxt"/>
        <w:rPr>
          <w:noProof w:val="0"/>
          <w:highlight w:val="lightGray"/>
          <w:lang w:val="en-GB"/>
          <w:rPrChange w:id="3046" w:author="Author">
            <w:rPr>
              <w:noProof w:val="0"/>
              <w:highlight w:val="lightGray"/>
            </w:rPr>
          </w:rPrChange>
        </w:rPr>
      </w:pPr>
    </w:p>
    <w:p w14:paraId="56BD2DD5" w14:textId="77777777" w:rsidR="000F4F21" w:rsidRPr="00D55B59" w:rsidRDefault="000F4F21" w:rsidP="008415E1">
      <w:pPr>
        <w:pStyle w:val="lbltxt"/>
        <w:keepNext/>
        <w:keepLines/>
        <w:rPr>
          <w:b/>
          <w:noProof w:val="0"/>
          <w:highlight w:val="lightGray"/>
          <w:lang w:val="en-GB"/>
          <w:rPrChange w:id="3047" w:author="Author">
            <w:rPr>
              <w:b/>
              <w:noProof w:val="0"/>
              <w:highlight w:val="lightGray"/>
            </w:rPr>
          </w:rPrChange>
        </w:rPr>
      </w:pPr>
      <w:r w:rsidRPr="00D55B59">
        <w:rPr>
          <w:b/>
          <w:noProof w:val="0"/>
          <w:highlight w:val="lightGray"/>
          <w:lang w:val="en-GB"/>
          <w:rPrChange w:id="3048" w:author="Author">
            <w:rPr>
              <w:b/>
              <w:noProof w:val="0"/>
              <w:highlight w:val="lightGray"/>
            </w:rPr>
          </w:rPrChange>
        </w:rPr>
        <w:t>Manuf</w:t>
      </w:r>
      <w:r w:rsidR="00DE0EA8" w:rsidRPr="00D55B59">
        <w:rPr>
          <w:b/>
          <w:noProof w:val="0"/>
          <w:highlight w:val="lightGray"/>
          <w:lang w:val="en-GB"/>
          <w:rPrChange w:id="3049" w:author="Author">
            <w:rPr>
              <w:b/>
              <w:noProof w:val="0"/>
              <w:highlight w:val="lightGray"/>
            </w:rPr>
          </w:rPrChange>
        </w:rPr>
        <w:t>acturer</w:t>
      </w:r>
    </w:p>
    <w:p w14:paraId="32941A06" w14:textId="77777777" w:rsidR="00FA7F10" w:rsidRPr="00D55B59" w:rsidRDefault="00FA7F10" w:rsidP="008415E1">
      <w:pPr>
        <w:pStyle w:val="lbltxt"/>
        <w:keepNext/>
        <w:keepLines/>
        <w:rPr>
          <w:noProof w:val="0"/>
          <w:highlight w:val="lightGray"/>
          <w:lang w:val="en-GB"/>
          <w:rPrChange w:id="3050" w:author="Author">
            <w:rPr>
              <w:noProof w:val="0"/>
              <w:highlight w:val="lightGray"/>
            </w:rPr>
          </w:rPrChange>
        </w:rPr>
      </w:pPr>
      <w:r w:rsidRPr="00D55B59">
        <w:rPr>
          <w:noProof w:val="0"/>
          <w:highlight w:val="lightGray"/>
          <w:lang w:val="en-GB"/>
          <w:rPrChange w:id="3051" w:author="Author">
            <w:rPr>
              <w:noProof w:val="0"/>
              <w:highlight w:val="lightGray"/>
            </w:rPr>
          </w:rPrChange>
        </w:rPr>
        <w:t xml:space="preserve">Amgen Technology Ireland </w:t>
      </w:r>
      <w:r w:rsidR="009C5F07" w:rsidRPr="00D55B59">
        <w:rPr>
          <w:noProof w:val="0"/>
          <w:highlight w:val="lightGray"/>
          <w:lang w:val="en-GB"/>
          <w:rPrChange w:id="3052" w:author="Author">
            <w:rPr>
              <w:noProof w:val="0"/>
              <w:highlight w:val="lightGray"/>
            </w:rPr>
          </w:rPrChange>
        </w:rPr>
        <w:t>UC</w:t>
      </w:r>
      <w:r w:rsidR="00466259" w:rsidRPr="00D55B59">
        <w:rPr>
          <w:noProof w:val="0"/>
          <w:highlight w:val="lightGray"/>
          <w:lang w:val="en-GB"/>
          <w:rPrChange w:id="3053" w:author="Author">
            <w:rPr>
              <w:noProof w:val="0"/>
              <w:highlight w:val="lightGray"/>
            </w:rPr>
          </w:rPrChange>
        </w:rPr>
        <w:t xml:space="preserve"> </w:t>
      </w:r>
    </w:p>
    <w:p w14:paraId="76B72341" w14:textId="77777777" w:rsidR="00FA7F10" w:rsidRPr="00D55B59" w:rsidRDefault="00FA7F10" w:rsidP="008415E1">
      <w:pPr>
        <w:pStyle w:val="lbltxt"/>
        <w:keepNext/>
        <w:keepLines/>
        <w:rPr>
          <w:noProof w:val="0"/>
          <w:highlight w:val="lightGray"/>
          <w:lang w:val="en-GB"/>
          <w:rPrChange w:id="3054" w:author="Author">
            <w:rPr>
              <w:noProof w:val="0"/>
              <w:highlight w:val="lightGray"/>
            </w:rPr>
          </w:rPrChange>
        </w:rPr>
      </w:pPr>
      <w:r w:rsidRPr="00D55B59">
        <w:rPr>
          <w:noProof w:val="0"/>
          <w:highlight w:val="lightGray"/>
          <w:lang w:val="en-GB"/>
          <w:rPrChange w:id="3055" w:author="Author">
            <w:rPr>
              <w:noProof w:val="0"/>
              <w:highlight w:val="lightGray"/>
            </w:rPr>
          </w:rPrChange>
        </w:rPr>
        <w:t>Pottery Road</w:t>
      </w:r>
    </w:p>
    <w:p w14:paraId="6AD074F7" w14:textId="77777777" w:rsidR="00FA7F10" w:rsidRPr="00D55B59" w:rsidRDefault="00FA7F10" w:rsidP="008415E1">
      <w:pPr>
        <w:pStyle w:val="lbltxt"/>
        <w:rPr>
          <w:noProof w:val="0"/>
          <w:highlight w:val="lightGray"/>
          <w:lang w:val="en-GB"/>
          <w:rPrChange w:id="3056" w:author="Author">
            <w:rPr>
              <w:noProof w:val="0"/>
              <w:highlight w:val="lightGray"/>
            </w:rPr>
          </w:rPrChange>
        </w:rPr>
      </w:pPr>
      <w:r w:rsidRPr="00D55B59">
        <w:rPr>
          <w:noProof w:val="0"/>
          <w:highlight w:val="lightGray"/>
          <w:lang w:val="en-GB"/>
          <w:rPrChange w:id="3057" w:author="Author">
            <w:rPr>
              <w:noProof w:val="0"/>
              <w:highlight w:val="lightGray"/>
            </w:rPr>
          </w:rPrChange>
        </w:rPr>
        <w:t>Dun Laoghaire</w:t>
      </w:r>
    </w:p>
    <w:p w14:paraId="5A24076A" w14:textId="77777777" w:rsidR="00FA7F10" w:rsidRPr="00D55B59" w:rsidRDefault="00FA7F10" w:rsidP="008415E1">
      <w:pPr>
        <w:pStyle w:val="lbltxt"/>
        <w:rPr>
          <w:noProof w:val="0"/>
          <w:highlight w:val="lightGray"/>
          <w:lang w:val="en-GB"/>
          <w:rPrChange w:id="3058" w:author="Author">
            <w:rPr>
              <w:noProof w:val="0"/>
              <w:highlight w:val="lightGray"/>
            </w:rPr>
          </w:rPrChange>
        </w:rPr>
      </w:pPr>
      <w:r w:rsidRPr="00D55B59">
        <w:rPr>
          <w:noProof w:val="0"/>
          <w:highlight w:val="lightGray"/>
          <w:lang w:val="en-GB"/>
          <w:rPrChange w:id="3059" w:author="Author">
            <w:rPr>
              <w:noProof w:val="0"/>
              <w:highlight w:val="lightGray"/>
            </w:rPr>
          </w:rPrChange>
        </w:rPr>
        <w:t>Co Dublin</w:t>
      </w:r>
    </w:p>
    <w:p w14:paraId="333D45B3" w14:textId="77777777" w:rsidR="00FA7F10" w:rsidRPr="00D55B59" w:rsidRDefault="00FA7F10" w:rsidP="008415E1">
      <w:pPr>
        <w:pStyle w:val="lbltxt"/>
        <w:rPr>
          <w:noProof w:val="0"/>
          <w:lang w:val="en-GB"/>
          <w:rPrChange w:id="3060" w:author="Author">
            <w:rPr>
              <w:noProof w:val="0"/>
            </w:rPr>
          </w:rPrChange>
        </w:rPr>
      </w:pPr>
      <w:r w:rsidRPr="00D55B59">
        <w:rPr>
          <w:noProof w:val="0"/>
          <w:highlight w:val="lightGray"/>
          <w:lang w:val="en-GB"/>
          <w:rPrChange w:id="3061" w:author="Author">
            <w:rPr>
              <w:noProof w:val="0"/>
              <w:highlight w:val="lightGray"/>
            </w:rPr>
          </w:rPrChange>
        </w:rPr>
        <w:t>Ireland</w:t>
      </w:r>
    </w:p>
    <w:p w14:paraId="50A7B5D9" w14:textId="77777777" w:rsidR="000F4F21" w:rsidRPr="001775D9" w:rsidRDefault="000F4F21" w:rsidP="008415E1">
      <w:pPr>
        <w:numPr>
          <w:ilvl w:val="12"/>
          <w:numId w:val="0"/>
        </w:numPr>
        <w:tabs>
          <w:tab w:val="clear" w:pos="567"/>
        </w:tabs>
        <w:spacing w:line="240" w:lineRule="auto"/>
        <w:ind w:right="-2"/>
        <w:rPr>
          <w:b/>
        </w:rPr>
      </w:pPr>
    </w:p>
    <w:p w14:paraId="4CF82D28" w14:textId="77777777" w:rsidR="00DE0EA8" w:rsidRDefault="00DE0EA8" w:rsidP="008415E1">
      <w:pPr>
        <w:keepNext/>
        <w:numPr>
          <w:ilvl w:val="12"/>
          <w:numId w:val="0"/>
        </w:numPr>
        <w:tabs>
          <w:tab w:val="clear" w:pos="567"/>
        </w:tabs>
        <w:spacing w:line="240" w:lineRule="auto"/>
        <w:ind w:right="-2"/>
        <w:rPr>
          <w:b/>
          <w:highlight w:val="lightGray"/>
        </w:rPr>
      </w:pPr>
      <w:r>
        <w:rPr>
          <w:b/>
          <w:highlight w:val="lightGray"/>
        </w:rPr>
        <w:t>Manufacturer</w:t>
      </w:r>
    </w:p>
    <w:p w14:paraId="67E943E0" w14:textId="77777777" w:rsidR="00DE0EA8" w:rsidRDefault="00DE0EA8" w:rsidP="008415E1">
      <w:pPr>
        <w:keepNext/>
        <w:spacing w:line="240" w:lineRule="auto"/>
        <w:rPr>
          <w:highlight w:val="lightGray"/>
        </w:rPr>
      </w:pPr>
      <w:r>
        <w:rPr>
          <w:highlight w:val="lightGray"/>
        </w:rPr>
        <w:t>Amgen NV</w:t>
      </w:r>
    </w:p>
    <w:p w14:paraId="7ADDDB3D" w14:textId="77777777" w:rsidR="0089213A" w:rsidRDefault="0089213A" w:rsidP="00B61D9D">
      <w:pPr>
        <w:autoSpaceDE w:val="0"/>
        <w:autoSpaceDN w:val="0"/>
        <w:spacing w:line="240" w:lineRule="auto"/>
        <w:rPr>
          <w:highlight w:val="lightGray"/>
        </w:rPr>
      </w:pPr>
      <w:r>
        <w:rPr>
          <w:highlight w:val="lightGray"/>
        </w:rPr>
        <w:t>Telecomlaan 5-7</w:t>
      </w:r>
    </w:p>
    <w:p w14:paraId="2C309E76" w14:textId="77777777" w:rsidR="0089213A" w:rsidRDefault="0089213A" w:rsidP="008415E1">
      <w:pPr>
        <w:spacing w:line="240" w:lineRule="auto"/>
        <w:rPr>
          <w:highlight w:val="lightGray"/>
        </w:rPr>
      </w:pPr>
      <w:r>
        <w:rPr>
          <w:highlight w:val="lightGray"/>
        </w:rPr>
        <w:t>1831 Diegem</w:t>
      </w:r>
    </w:p>
    <w:p w14:paraId="603BCC8A" w14:textId="77777777" w:rsidR="00DE0EA8" w:rsidRDefault="00DE0EA8" w:rsidP="008415E1">
      <w:pPr>
        <w:numPr>
          <w:ilvl w:val="12"/>
          <w:numId w:val="0"/>
        </w:numPr>
        <w:tabs>
          <w:tab w:val="clear" w:pos="567"/>
        </w:tabs>
        <w:spacing w:line="240" w:lineRule="auto"/>
        <w:ind w:right="-2"/>
        <w:rPr>
          <w:highlight w:val="lightGray"/>
        </w:rPr>
      </w:pPr>
      <w:r>
        <w:rPr>
          <w:highlight w:val="lightGray"/>
        </w:rPr>
        <w:t>Belgium</w:t>
      </w:r>
    </w:p>
    <w:p w14:paraId="7122A265" w14:textId="77777777" w:rsidR="00FB5458" w:rsidRPr="001775D9" w:rsidRDefault="00FB5458" w:rsidP="008415E1">
      <w:pPr>
        <w:numPr>
          <w:ilvl w:val="12"/>
          <w:numId w:val="0"/>
        </w:numPr>
        <w:tabs>
          <w:tab w:val="clear" w:pos="567"/>
        </w:tabs>
        <w:spacing w:line="240" w:lineRule="auto"/>
        <w:ind w:right="-2"/>
        <w:rPr>
          <w:szCs w:val="22"/>
        </w:rPr>
      </w:pPr>
    </w:p>
    <w:p w14:paraId="58BCFBD8" w14:textId="77777777" w:rsidR="00C42229" w:rsidRPr="001775D9" w:rsidRDefault="00C42229" w:rsidP="00E26D69">
      <w:pPr>
        <w:keepNext/>
        <w:numPr>
          <w:ilvl w:val="12"/>
          <w:numId w:val="0"/>
        </w:numPr>
        <w:tabs>
          <w:tab w:val="clear" w:pos="567"/>
        </w:tabs>
        <w:spacing w:line="240" w:lineRule="auto"/>
        <w:ind w:right="-2"/>
        <w:rPr>
          <w:szCs w:val="22"/>
        </w:rPr>
      </w:pPr>
      <w:r w:rsidRPr="001775D9">
        <w:rPr>
          <w:szCs w:val="22"/>
        </w:rPr>
        <w:t>For any information about this medicine, please contact the local representative of the Marketing Authorisation Holder</w:t>
      </w:r>
      <w:r w:rsidR="00FA7F10" w:rsidRPr="001775D9">
        <w:rPr>
          <w:szCs w:val="22"/>
        </w:rPr>
        <w:t>:</w:t>
      </w:r>
    </w:p>
    <w:p w14:paraId="651670BF" w14:textId="77777777" w:rsidR="006D66D9" w:rsidRPr="001775D9" w:rsidRDefault="006D66D9" w:rsidP="00E26D69">
      <w:pPr>
        <w:keepNext/>
        <w:numPr>
          <w:ilvl w:val="12"/>
          <w:numId w:val="0"/>
        </w:numPr>
        <w:tabs>
          <w:tab w:val="clear" w:pos="567"/>
        </w:tabs>
        <w:spacing w:line="240" w:lineRule="auto"/>
        <w:ind w:right="-2"/>
        <w:rPr>
          <w:szCs w:val="22"/>
        </w:rPr>
      </w:pPr>
    </w:p>
    <w:tbl>
      <w:tblPr>
        <w:tblW w:w="9356" w:type="dxa"/>
        <w:tblLook w:val="04A0" w:firstRow="1" w:lastRow="0" w:firstColumn="1" w:lastColumn="0" w:noHBand="0" w:noVBand="1"/>
      </w:tblPr>
      <w:tblGrid>
        <w:gridCol w:w="4677"/>
        <w:gridCol w:w="4679"/>
      </w:tblGrid>
      <w:tr w:rsidR="006D66D9" w:rsidRPr="00F04F82" w14:paraId="003F11E6" w14:textId="77777777" w:rsidTr="009E089E">
        <w:trPr>
          <w:cantSplit/>
        </w:trPr>
        <w:tc>
          <w:tcPr>
            <w:tcW w:w="4677" w:type="dxa"/>
          </w:tcPr>
          <w:p w14:paraId="28F04314" w14:textId="77777777" w:rsidR="006D66D9" w:rsidRPr="00A166A8" w:rsidRDefault="006D66D9" w:rsidP="00E26D69">
            <w:pPr>
              <w:pStyle w:val="lbltxt"/>
              <w:keepNext/>
              <w:rPr>
                <w:noProof w:val="0"/>
                <w:szCs w:val="22"/>
                <w:lang w:val="fr-FR"/>
              </w:rPr>
            </w:pPr>
            <w:r w:rsidRPr="00A166A8">
              <w:rPr>
                <w:b/>
                <w:noProof w:val="0"/>
                <w:szCs w:val="22"/>
                <w:lang w:val="fr-FR"/>
              </w:rPr>
              <w:t>België/Belgique/Belgien</w:t>
            </w:r>
          </w:p>
          <w:p w14:paraId="244A1B20" w14:textId="77777777" w:rsidR="006D66D9" w:rsidRPr="00A166A8" w:rsidRDefault="006D66D9" w:rsidP="00E26D69">
            <w:pPr>
              <w:pStyle w:val="lbltxt"/>
              <w:keepNext/>
              <w:rPr>
                <w:noProof w:val="0"/>
                <w:szCs w:val="22"/>
                <w:lang w:val="fr-FR"/>
              </w:rPr>
            </w:pPr>
            <w:r w:rsidRPr="00A166A8">
              <w:rPr>
                <w:noProof w:val="0"/>
                <w:szCs w:val="22"/>
                <w:lang w:val="fr-FR"/>
              </w:rPr>
              <w:t>s.a. Amgen n.v.</w:t>
            </w:r>
          </w:p>
          <w:p w14:paraId="49FF71B1" w14:textId="30D8DFB5" w:rsidR="006D66D9" w:rsidRPr="001775D9" w:rsidRDefault="002B2DA3" w:rsidP="00E26D69">
            <w:pPr>
              <w:keepNext/>
              <w:rPr>
                <w:szCs w:val="22"/>
              </w:rPr>
            </w:pPr>
            <w:r w:rsidRPr="001775D9">
              <w:rPr>
                <w:szCs w:val="22"/>
              </w:rPr>
              <w:t>Tél/</w:t>
            </w:r>
            <w:r w:rsidR="006D66D9" w:rsidRPr="001775D9">
              <w:rPr>
                <w:szCs w:val="22"/>
              </w:rPr>
              <w:t>Tel: +32 (0)2 7752711</w:t>
            </w:r>
          </w:p>
          <w:p w14:paraId="67B96FAF" w14:textId="77777777" w:rsidR="006D66D9" w:rsidRPr="001775D9" w:rsidRDefault="006D66D9" w:rsidP="00E26D69">
            <w:pPr>
              <w:keepNext/>
              <w:rPr>
                <w:szCs w:val="22"/>
              </w:rPr>
            </w:pPr>
          </w:p>
        </w:tc>
        <w:tc>
          <w:tcPr>
            <w:tcW w:w="4679" w:type="dxa"/>
          </w:tcPr>
          <w:p w14:paraId="4FFE8B5A" w14:textId="77777777" w:rsidR="006D66D9" w:rsidRPr="00D55B59" w:rsidRDefault="006D66D9" w:rsidP="00E26D69">
            <w:pPr>
              <w:pStyle w:val="lbltxt"/>
              <w:keepNext/>
              <w:rPr>
                <w:b/>
                <w:noProof w:val="0"/>
                <w:szCs w:val="22"/>
                <w:lang w:val="de-DE"/>
                <w:rPrChange w:id="3062" w:author="Author">
                  <w:rPr>
                    <w:b/>
                    <w:noProof w:val="0"/>
                    <w:szCs w:val="22"/>
                    <w:lang w:val="sv-SE"/>
                  </w:rPr>
                </w:rPrChange>
              </w:rPr>
            </w:pPr>
            <w:r w:rsidRPr="00D55B59">
              <w:rPr>
                <w:b/>
                <w:noProof w:val="0"/>
                <w:szCs w:val="22"/>
                <w:lang w:val="de-DE"/>
                <w:rPrChange w:id="3063" w:author="Author">
                  <w:rPr>
                    <w:b/>
                    <w:noProof w:val="0"/>
                    <w:szCs w:val="22"/>
                    <w:lang w:val="sv-SE"/>
                  </w:rPr>
                </w:rPrChange>
              </w:rPr>
              <w:t>Lietuva</w:t>
            </w:r>
          </w:p>
          <w:p w14:paraId="7334E26B" w14:textId="77777777" w:rsidR="006D66D9" w:rsidRPr="00D55B59" w:rsidRDefault="006D66D9" w:rsidP="00E26D69">
            <w:pPr>
              <w:pStyle w:val="lbltxt"/>
              <w:keepNext/>
              <w:rPr>
                <w:bCs/>
                <w:noProof w:val="0"/>
                <w:szCs w:val="22"/>
                <w:lang w:val="de-DE"/>
                <w:rPrChange w:id="3064" w:author="Author">
                  <w:rPr>
                    <w:bCs/>
                    <w:noProof w:val="0"/>
                    <w:szCs w:val="22"/>
                    <w:lang w:val="sv-SE"/>
                  </w:rPr>
                </w:rPrChange>
              </w:rPr>
            </w:pPr>
            <w:r w:rsidRPr="00D55B59">
              <w:rPr>
                <w:noProof w:val="0"/>
                <w:szCs w:val="22"/>
                <w:lang w:val="de-DE"/>
                <w:rPrChange w:id="3065" w:author="Author">
                  <w:rPr>
                    <w:noProof w:val="0"/>
                    <w:szCs w:val="22"/>
                    <w:lang w:val="sv-SE"/>
                  </w:rPr>
                </w:rPrChange>
              </w:rPr>
              <w:t>Amgen Switzerland AG Vilniaus filialas</w:t>
            </w:r>
          </w:p>
          <w:p w14:paraId="4EDF2432" w14:textId="679613E1" w:rsidR="006D66D9" w:rsidRPr="00D55B59" w:rsidRDefault="006D66D9" w:rsidP="00E26D69">
            <w:pPr>
              <w:pStyle w:val="lbltxt"/>
              <w:keepNext/>
              <w:rPr>
                <w:bCs/>
                <w:noProof w:val="0"/>
                <w:szCs w:val="22"/>
                <w:lang w:val="en-GB"/>
                <w:rPrChange w:id="3066" w:author="Author">
                  <w:rPr>
                    <w:bCs/>
                    <w:noProof w:val="0"/>
                    <w:szCs w:val="22"/>
                  </w:rPr>
                </w:rPrChange>
              </w:rPr>
            </w:pPr>
            <w:r w:rsidRPr="00D55B59">
              <w:rPr>
                <w:bCs/>
                <w:noProof w:val="0"/>
                <w:szCs w:val="22"/>
                <w:lang w:val="en-GB"/>
                <w:rPrChange w:id="3067" w:author="Author">
                  <w:rPr>
                    <w:bCs/>
                    <w:noProof w:val="0"/>
                    <w:szCs w:val="22"/>
                  </w:rPr>
                </w:rPrChange>
              </w:rPr>
              <w:t>Tel</w:t>
            </w:r>
            <w:del w:id="3068" w:author="Author">
              <w:r w:rsidRPr="00D55B59" w:rsidDel="004F4E9B">
                <w:rPr>
                  <w:bCs/>
                  <w:noProof w:val="0"/>
                  <w:szCs w:val="22"/>
                  <w:lang w:val="en-GB"/>
                  <w:rPrChange w:id="3069" w:author="Author">
                    <w:rPr>
                      <w:bCs/>
                      <w:noProof w:val="0"/>
                      <w:szCs w:val="22"/>
                    </w:rPr>
                  </w:rPrChange>
                </w:rPr>
                <w:delText xml:space="preserve">: </w:delText>
              </w:r>
            </w:del>
            <w:ins w:id="3070" w:author="Author">
              <w:r w:rsidR="004F4E9B" w:rsidRPr="00D55B59">
                <w:rPr>
                  <w:bCs/>
                  <w:noProof w:val="0"/>
                  <w:szCs w:val="22"/>
                  <w:lang w:val="en-GB"/>
                  <w:rPrChange w:id="3071" w:author="Author">
                    <w:rPr>
                      <w:bCs/>
                      <w:noProof w:val="0"/>
                      <w:szCs w:val="22"/>
                    </w:rPr>
                  </w:rPrChange>
                </w:rPr>
                <w:t xml:space="preserve">. </w:t>
              </w:r>
            </w:ins>
            <w:r w:rsidRPr="00D55B59">
              <w:rPr>
                <w:bCs/>
                <w:noProof w:val="0"/>
                <w:szCs w:val="22"/>
                <w:lang w:val="en-GB"/>
                <w:rPrChange w:id="3072" w:author="Author">
                  <w:rPr>
                    <w:bCs/>
                    <w:noProof w:val="0"/>
                    <w:szCs w:val="22"/>
                  </w:rPr>
                </w:rPrChange>
              </w:rPr>
              <w:t>+370 5 219 7474</w:t>
            </w:r>
          </w:p>
          <w:p w14:paraId="617C7FC8" w14:textId="77777777" w:rsidR="006D66D9" w:rsidRPr="001775D9" w:rsidRDefault="006D66D9" w:rsidP="00E26D69">
            <w:pPr>
              <w:keepNext/>
              <w:rPr>
                <w:szCs w:val="22"/>
              </w:rPr>
            </w:pPr>
          </w:p>
        </w:tc>
      </w:tr>
      <w:tr w:rsidR="006D66D9" w:rsidRPr="00F04F82" w14:paraId="46AD444C" w14:textId="77777777" w:rsidTr="009E089E">
        <w:trPr>
          <w:cantSplit/>
        </w:trPr>
        <w:tc>
          <w:tcPr>
            <w:tcW w:w="4677" w:type="dxa"/>
          </w:tcPr>
          <w:p w14:paraId="0E9E49CC" w14:textId="77777777" w:rsidR="006D66D9" w:rsidRPr="00D55B59" w:rsidRDefault="006D66D9" w:rsidP="00FB5458">
            <w:pPr>
              <w:autoSpaceDE w:val="0"/>
              <w:autoSpaceDN w:val="0"/>
              <w:adjustRightInd w:val="0"/>
              <w:rPr>
                <w:rFonts w:eastAsia="Arial Unicode MS"/>
                <w:b/>
                <w:bCs/>
                <w:szCs w:val="22"/>
                <w:lang w:val="ru-RU"/>
                <w:rPrChange w:id="3073" w:author="Author">
                  <w:rPr>
                    <w:rFonts w:eastAsia="Arial Unicode MS"/>
                    <w:b/>
                    <w:bCs/>
                    <w:szCs w:val="22"/>
                  </w:rPr>
                </w:rPrChange>
              </w:rPr>
            </w:pPr>
            <w:r w:rsidRPr="00D55B59">
              <w:rPr>
                <w:rFonts w:eastAsia="Arial Unicode MS"/>
                <w:b/>
                <w:bCs/>
                <w:szCs w:val="22"/>
                <w:lang w:val="ru-RU"/>
                <w:rPrChange w:id="3074" w:author="Author">
                  <w:rPr>
                    <w:rFonts w:eastAsia="Arial Unicode MS"/>
                    <w:b/>
                    <w:bCs/>
                    <w:szCs w:val="22"/>
                  </w:rPr>
                </w:rPrChange>
              </w:rPr>
              <w:t>България</w:t>
            </w:r>
          </w:p>
          <w:p w14:paraId="6981D526" w14:textId="77777777" w:rsidR="006D66D9" w:rsidRPr="00D55B59" w:rsidRDefault="006D66D9" w:rsidP="00FB5458">
            <w:pPr>
              <w:pStyle w:val="lbltxt"/>
              <w:rPr>
                <w:rFonts w:eastAsia="Arial Unicode MS"/>
                <w:noProof w:val="0"/>
                <w:szCs w:val="22"/>
                <w:lang w:val="ru-RU" w:eastAsia="en-GB"/>
                <w:rPrChange w:id="3075" w:author="Author">
                  <w:rPr>
                    <w:rFonts w:eastAsia="Arial Unicode MS"/>
                    <w:noProof w:val="0"/>
                    <w:szCs w:val="22"/>
                    <w:lang w:eastAsia="en-GB"/>
                  </w:rPr>
                </w:rPrChange>
              </w:rPr>
            </w:pPr>
            <w:r w:rsidRPr="00D55B59">
              <w:rPr>
                <w:rFonts w:eastAsia="Arial Unicode MS"/>
                <w:noProof w:val="0"/>
                <w:szCs w:val="22"/>
                <w:lang w:val="ru-RU" w:eastAsia="en-GB"/>
                <w:rPrChange w:id="3076" w:author="Author">
                  <w:rPr>
                    <w:rFonts w:eastAsia="Arial Unicode MS"/>
                    <w:noProof w:val="0"/>
                    <w:szCs w:val="22"/>
                    <w:lang w:eastAsia="en-GB"/>
                  </w:rPr>
                </w:rPrChange>
              </w:rPr>
              <w:t>Амджен България ЕООД</w:t>
            </w:r>
          </w:p>
          <w:p w14:paraId="34DB0A4C" w14:textId="77777777" w:rsidR="006D66D9" w:rsidRPr="00D55B59" w:rsidRDefault="006D66D9" w:rsidP="00FB5458">
            <w:pPr>
              <w:pStyle w:val="lbltxt"/>
              <w:rPr>
                <w:rFonts w:eastAsia="Arial Unicode MS"/>
                <w:bCs/>
                <w:noProof w:val="0"/>
                <w:szCs w:val="22"/>
                <w:lang w:val="ru-RU"/>
                <w:rPrChange w:id="3077" w:author="Author">
                  <w:rPr>
                    <w:rFonts w:eastAsia="Arial Unicode MS"/>
                    <w:bCs/>
                    <w:noProof w:val="0"/>
                    <w:szCs w:val="22"/>
                  </w:rPr>
                </w:rPrChange>
              </w:rPr>
            </w:pPr>
            <w:r w:rsidRPr="00D55B59">
              <w:rPr>
                <w:rFonts w:eastAsia="Arial Unicode MS"/>
                <w:noProof w:val="0"/>
                <w:szCs w:val="22"/>
                <w:lang w:val="ru-RU" w:eastAsia="en-GB"/>
                <w:rPrChange w:id="3078" w:author="Author">
                  <w:rPr>
                    <w:rFonts w:eastAsia="Arial Unicode MS"/>
                    <w:noProof w:val="0"/>
                    <w:szCs w:val="22"/>
                    <w:lang w:eastAsia="en-GB"/>
                  </w:rPr>
                </w:rPrChange>
              </w:rPr>
              <w:t xml:space="preserve">Тел.: +359 </w:t>
            </w:r>
            <w:r w:rsidRPr="00D55B59">
              <w:rPr>
                <w:rFonts w:eastAsia="Arial Unicode MS"/>
                <w:bCs/>
                <w:noProof w:val="0"/>
                <w:szCs w:val="22"/>
                <w:lang w:val="ru-RU"/>
                <w:rPrChange w:id="3079" w:author="Author">
                  <w:rPr>
                    <w:rFonts w:eastAsia="Arial Unicode MS"/>
                    <w:bCs/>
                    <w:noProof w:val="0"/>
                    <w:szCs w:val="22"/>
                  </w:rPr>
                </w:rPrChange>
              </w:rPr>
              <w:t>(0)2</w:t>
            </w:r>
            <w:r w:rsidRPr="00D55B59">
              <w:rPr>
                <w:rFonts w:eastAsia="Arial Unicode MS"/>
                <w:bCs/>
                <w:noProof w:val="0"/>
                <w:szCs w:val="22"/>
                <w:lang w:val="en-GB"/>
                <w:rPrChange w:id="3080" w:author="Author">
                  <w:rPr>
                    <w:rFonts w:eastAsia="Arial Unicode MS"/>
                    <w:bCs/>
                    <w:noProof w:val="0"/>
                    <w:szCs w:val="22"/>
                  </w:rPr>
                </w:rPrChange>
              </w:rPr>
              <w:t> </w:t>
            </w:r>
            <w:r w:rsidRPr="00D55B59">
              <w:rPr>
                <w:rFonts w:eastAsia="Arial Unicode MS"/>
                <w:bCs/>
                <w:noProof w:val="0"/>
                <w:szCs w:val="22"/>
                <w:lang w:val="ru-RU"/>
                <w:rPrChange w:id="3081" w:author="Author">
                  <w:rPr>
                    <w:rFonts w:eastAsia="Arial Unicode MS"/>
                    <w:bCs/>
                    <w:noProof w:val="0"/>
                    <w:szCs w:val="22"/>
                  </w:rPr>
                </w:rPrChange>
              </w:rPr>
              <w:t>424 7440</w:t>
            </w:r>
          </w:p>
          <w:p w14:paraId="5226DC73" w14:textId="77777777" w:rsidR="006D66D9" w:rsidRPr="00D55B59" w:rsidRDefault="006D66D9" w:rsidP="00FB5458">
            <w:pPr>
              <w:rPr>
                <w:szCs w:val="22"/>
                <w:lang w:val="ru-RU"/>
                <w:rPrChange w:id="3082" w:author="Author">
                  <w:rPr>
                    <w:szCs w:val="22"/>
                  </w:rPr>
                </w:rPrChange>
              </w:rPr>
            </w:pPr>
          </w:p>
        </w:tc>
        <w:tc>
          <w:tcPr>
            <w:tcW w:w="4679" w:type="dxa"/>
          </w:tcPr>
          <w:p w14:paraId="37E4159F" w14:textId="77777777" w:rsidR="006D66D9" w:rsidRPr="00D55B59" w:rsidRDefault="006D66D9" w:rsidP="00FB5458">
            <w:pPr>
              <w:pStyle w:val="lbltxt"/>
              <w:rPr>
                <w:noProof w:val="0"/>
                <w:szCs w:val="22"/>
                <w:lang w:val="de-DE"/>
                <w:rPrChange w:id="3083" w:author="Author">
                  <w:rPr>
                    <w:noProof w:val="0"/>
                    <w:szCs w:val="22"/>
                    <w:lang w:val="fr-FR"/>
                  </w:rPr>
                </w:rPrChange>
              </w:rPr>
            </w:pPr>
            <w:r w:rsidRPr="00D55B59">
              <w:rPr>
                <w:b/>
                <w:noProof w:val="0"/>
                <w:szCs w:val="22"/>
                <w:lang w:val="de-DE"/>
                <w:rPrChange w:id="3084" w:author="Author">
                  <w:rPr>
                    <w:b/>
                    <w:noProof w:val="0"/>
                    <w:szCs w:val="22"/>
                    <w:lang w:val="fr-FR"/>
                  </w:rPr>
                </w:rPrChange>
              </w:rPr>
              <w:t>Luxembourg/Luxemburg</w:t>
            </w:r>
          </w:p>
          <w:p w14:paraId="441E598A" w14:textId="77777777" w:rsidR="006D66D9" w:rsidRPr="00D55B59" w:rsidRDefault="006D66D9" w:rsidP="00FB5458">
            <w:pPr>
              <w:pStyle w:val="lbltxt"/>
              <w:rPr>
                <w:noProof w:val="0"/>
                <w:szCs w:val="22"/>
                <w:lang w:val="de-DE"/>
                <w:rPrChange w:id="3085" w:author="Author">
                  <w:rPr>
                    <w:noProof w:val="0"/>
                    <w:szCs w:val="22"/>
                    <w:lang w:val="fr-FR"/>
                  </w:rPr>
                </w:rPrChange>
              </w:rPr>
            </w:pPr>
            <w:r w:rsidRPr="00D55B59">
              <w:rPr>
                <w:noProof w:val="0"/>
                <w:szCs w:val="22"/>
                <w:lang w:val="de-DE"/>
                <w:rPrChange w:id="3086" w:author="Author">
                  <w:rPr>
                    <w:noProof w:val="0"/>
                    <w:szCs w:val="22"/>
                    <w:lang w:val="fr-FR"/>
                  </w:rPr>
                </w:rPrChange>
              </w:rPr>
              <w:t xml:space="preserve">s.a. Amgen </w:t>
            </w:r>
          </w:p>
          <w:p w14:paraId="5B5DE8BC" w14:textId="77777777" w:rsidR="006D66D9" w:rsidRPr="00D55B59" w:rsidRDefault="006D66D9" w:rsidP="00FB5458">
            <w:pPr>
              <w:pStyle w:val="lbltxt"/>
              <w:rPr>
                <w:noProof w:val="0"/>
                <w:szCs w:val="22"/>
                <w:lang w:val="de-DE"/>
                <w:rPrChange w:id="3087" w:author="Author">
                  <w:rPr>
                    <w:noProof w:val="0"/>
                    <w:szCs w:val="22"/>
                    <w:lang w:val="fr-FR"/>
                  </w:rPr>
                </w:rPrChange>
              </w:rPr>
            </w:pPr>
            <w:r w:rsidRPr="00D55B59">
              <w:rPr>
                <w:noProof w:val="0"/>
                <w:szCs w:val="22"/>
                <w:lang w:val="de-DE"/>
                <w:rPrChange w:id="3088" w:author="Author">
                  <w:rPr>
                    <w:noProof w:val="0"/>
                    <w:szCs w:val="22"/>
                    <w:lang w:val="fr-FR"/>
                  </w:rPr>
                </w:rPrChange>
              </w:rPr>
              <w:t>Belgique/Belgien</w:t>
            </w:r>
          </w:p>
          <w:p w14:paraId="3CB659D3" w14:textId="0B0AE7FE" w:rsidR="006D66D9" w:rsidRPr="00D55B59" w:rsidRDefault="002B2DA3" w:rsidP="00FB5458">
            <w:pPr>
              <w:pStyle w:val="lbltxt"/>
              <w:rPr>
                <w:noProof w:val="0"/>
                <w:szCs w:val="22"/>
                <w:lang w:val="en-GB"/>
                <w:rPrChange w:id="3089" w:author="Author">
                  <w:rPr>
                    <w:noProof w:val="0"/>
                    <w:szCs w:val="22"/>
                  </w:rPr>
                </w:rPrChange>
              </w:rPr>
            </w:pPr>
            <w:r w:rsidRPr="00D55B59">
              <w:rPr>
                <w:noProof w:val="0"/>
                <w:szCs w:val="22"/>
                <w:lang w:val="en-GB"/>
                <w:rPrChange w:id="3090" w:author="Author">
                  <w:rPr>
                    <w:szCs w:val="22"/>
                  </w:rPr>
                </w:rPrChange>
              </w:rPr>
              <w:t>Tél</w:t>
            </w:r>
            <w:r w:rsidRPr="00D55B59">
              <w:rPr>
                <w:noProof w:val="0"/>
                <w:szCs w:val="22"/>
                <w:lang w:val="en-GB"/>
                <w:rPrChange w:id="3091" w:author="Author">
                  <w:rPr>
                    <w:noProof w:val="0"/>
                    <w:szCs w:val="22"/>
                  </w:rPr>
                </w:rPrChange>
              </w:rPr>
              <w:t>/</w:t>
            </w:r>
            <w:r w:rsidR="006D66D9" w:rsidRPr="00D55B59">
              <w:rPr>
                <w:noProof w:val="0"/>
                <w:szCs w:val="22"/>
                <w:lang w:val="en-GB"/>
                <w:rPrChange w:id="3092" w:author="Author">
                  <w:rPr>
                    <w:noProof w:val="0"/>
                    <w:szCs w:val="22"/>
                  </w:rPr>
                </w:rPrChange>
              </w:rPr>
              <w:t>Tel: +32 (0)2 7752711</w:t>
            </w:r>
          </w:p>
          <w:p w14:paraId="3AA0D236" w14:textId="77777777" w:rsidR="006D66D9" w:rsidRPr="001775D9" w:rsidRDefault="006D66D9" w:rsidP="00FB5458">
            <w:pPr>
              <w:rPr>
                <w:szCs w:val="22"/>
              </w:rPr>
            </w:pPr>
          </w:p>
        </w:tc>
      </w:tr>
      <w:tr w:rsidR="006D66D9" w:rsidRPr="00F04F82" w14:paraId="163DBB3D" w14:textId="77777777" w:rsidTr="009E089E">
        <w:trPr>
          <w:cantSplit/>
        </w:trPr>
        <w:tc>
          <w:tcPr>
            <w:tcW w:w="4677" w:type="dxa"/>
          </w:tcPr>
          <w:p w14:paraId="0021F9EB" w14:textId="77777777" w:rsidR="006D66D9" w:rsidRPr="00D55B59" w:rsidRDefault="006D66D9" w:rsidP="00FB5458">
            <w:pPr>
              <w:pStyle w:val="lbltxt"/>
              <w:keepNext/>
              <w:rPr>
                <w:b/>
                <w:noProof w:val="0"/>
                <w:szCs w:val="22"/>
                <w:lang w:val="de-DE"/>
                <w:rPrChange w:id="3093" w:author="Author">
                  <w:rPr>
                    <w:b/>
                    <w:noProof w:val="0"/>
                    <w:szCs w:val="22"/>
                    <w:lang w:val="sv-SE"/>
                  </w:rPr>
                </w:rPrChange>
              </w:rPr>
            </w:pPr>
            <w:r w:rsidRPr="00D55B59">
              <w:rPr>
                <w:b/>
                <w:noProof w:val="0"/>
                <w:szCs w:val="22"/>
                <w:lang w:val="de-DE"/>
                <w:rPrChange w:id="3094" w:author="Author">
                  <w:rPr>
                    <w:b/>
                    <w:noProof w:val="0"/>
                    <w:szCs w:val="22"/>
                    <w:lang w:val="sv-SE"/>
                  </w:rPr>
                </w:rPrChange>
              </w:rPr>
              <w:t>Česká republika</w:t>
            </w:r>
          </w:p>
          <w:p w14:paraId="327D6BD6" w14:textId="77777777" w:rsidR="006D66D9" w:rsidRPr="00D55B59" w:rsidRDefault="006D66D9" w:rsidP="00FB5458">
            <w:pPr>
              <w:pStyle w:val="lbltxt"/>
              <w:keepNext/>
              <w:rPr>
                <w:bCs/>
                <w:noProof w:val="0"/>
                <w:szCs w:val="22"/>
                <w:lang w:val="de-DE"/>
                <w:rPrChange w:id="3095" w:author="Author">
                  <w:rPr>
                    <w:bCs/>
                    <w:noProof w:val="0"/>
                    <w:szCs w:val="22"/>
                    <w:lang w:val="sv-SE"/>
                  </w:rPr>
                </w:rPrChange>
              </w:rPr>
            </w:pPr>
            <w:r w:rsidRPr="00D55B59">
              <w:rPr>
                <w:bCs/>
                <w:noProof w:val="0"/>
                <w:szCs w:val="22"/>
                <w:lang w:val="de-DE"/>
                <w:rPrChange w:id="3096" w:author="Author">
                  <w:rPr>
                    <w:bCs/>
                    <w:noProof w:val="0"/>
                    <w:szCs w:val="22"/>
                    <w:lang w:val="sv-SE"/>
                  </w:rPr>
                </w:rPrChange>
              </w:rPr>
              <w:t>Amgen s.r.o.</w:t>
            </w:r>
          </w:p>
          <w:p w14:paraId="109EC4D1" w14:textId="77777777" w:rsidR="006D66D9" w:rsidRPr="00D55B59" w:rsidRDefault="006D66D9" w:rsidP="00FB5458">
            <w:pPr>
              <w:pStyle w:val="lbltxt"/>
              <w:keepNext/>
              <w:rPr>
                <w:bCs/>
                <w:noProof w:val="0"/>
                <w:szCs w:val="22"/>
                <w:lang w:val="en-GB"/>
                <w:rPrChange w:id="3097" w:author="Author">
                  <w:rPr>
                    <w:bCs/>
                    <w:noProof w:val="0"/>
                    <w:szCs w:val="22"/>
                    <w:lang w:val="es-ES"/>
                  </w:rPr>
                </w:rPrChange>
              </w:rPr>
            </w:pPr>
            <w:r w:rsidRPr="00D55B59">
              <w:rPr>
                <w:bCs/>
                <w:noProof w:val="0"/>
                <w:szCs w:val="22"/>
                <w:lang w:val="en-GB"/>
                <w:rPrChange w:id="3098" w:author="Author">
                  <w:rPr>
                    <w:bCs/>
                    <w:noProof w:val="0"/>
                    <w:szCs w:val="22"/>
                    <w:lang w:val="es-ES"/>
                  </w:rPr>
                </w:rPrChange>
              </w:rPr>
              <w:t>Tel: +420 221 773 500</w:t>
            </w:r>
          </w:p>
          <w:p w14:paraId="35F14025" w14:textId="77777777" w:rsidR="006D66D9" w:rsidRPr="00D55B59" w:rsidRDefault="006D66D9" w:rsidP="00FB5458">
            <w:pPr>
              <w:rPr>
                <w:szCs w:val="22"/>
                <w:rPrChange w:id="3099" w:author="Author">
                  <w:rPr>
                    <w:szCs w:val="22"/>
                    <w:lang w:val="es-ES"/>
                  </w:rPr>
                </w:rPrChange>
              </w:rPr>
            </w:pPr>
          </w:p>
        </w:tc>
        <w:tc>
          <w:tcPr>
            <w:tcW w:w="4679" w:type="dxa"/>
          </w:tcPr>
          <w:p w14:paraId="0336AA74" w14:textId="77777777" w:rsidR="006D66D9" w:rsidRPr="00D55B59" w:rsidRDefault="006D66D9" w:rsidP="00FB5458">
            <w:pPr>
              <w:pStyle w:val="lbltxt"/>
              <w:rPr>
                <w:b/>
                <w:noProof w:val="0"/>
                <w:szCs w:val="22"/>
                <w:lang w:val="en-GB"/>
                <w:rPrChange w:id="3100" w:author="Author">
                  <w:rPr>
                    <w:b/>
                    <w:noProof w:val="0"/>
                    <w:szCs w:val="22"/>
                  </w:rPr>
                </w:rPrChange>
              </w:rPr>
            </w:pPr>
            <w:r w:rsidRPr="00D55B59">
              <w:rPr>
                <w:b/>
                <w:noProof w:val="0"/>
                <w:szCs w:val="22"/>
                <w:lang w:val="en-GB"/>
                <w:rPrChange w:id="3101" w:author="Author">
                  <w:rPr>
                    <w:b/>
                    <w:noProof w:val="0"/>
                    <w:szCs w:val="22"/>
                  </w:rPr>
                </w:rPrChange>
              </w:rPr>
              <w:t>Magyarország</w:t>
            </w:r>
          </w:p>
          <w:p w14:paraId="6335E3E7" w14:textId="77777777" w:rsidR="006D66D9" w:rsidRPr="00D55B59" w:rsidRDefault="006D66D9" w:rsidP="00FB5458">
            <w:pPr>
              <w:pStyle w:val="lbltxt"/>
              <w:rPr>
                <w:bCs/>
                <w:noProof w:val="0"/>
                <w:szCs w:val="22"/>
                <w:lang w:val="en-GB"/>
                <w:rPrChange w:id="3102" w:author="Author">
                  <w:rPr>
                    <w:bCs/>
                    <w:noProof w:val="0"/>
                    <w:szCs w:val="22"/>
                  </w:rPr>
                </w:rPrChange>
              </w:rPr>
            </w:pPr>
            <w:r w:rsidRPr="00D55B59">
              <w:rPr>
                <w:bCs/>
                <w:noProof w:val="0"/>
                <w:szCs w:val="22"/>
                <w:lang w:val="en-GB"/>
                <w:rPrChange w:id="3103" w:author="Author">
                  <w:rPr>
                    <w:bCs/>
                    <w:noProof w:val="0"/>
                    <w:szCs w:val="22"/>
                  </w:rPr>
                </w:rPrChange>
              </w:rPr>
              <w:t>Amgen Kft.</w:t>
            </w:r>
          </w:p>
          <w:p w14:paraId="257504DD" w14:textId="77777777" w:rsidR="006D66D9" w:rsidRPr="00D55B59" w:rsidRDefault="006D66D9" w:rsidP="00FB5458">
            <w:pPr>
              <w:pStyle w:val="lbltxt"/>
              <w:rPr>
                <w:bCs/>
                <w:noProof w:val="0"/>
                <w:szCs w:val="22"/>
                <w:lang w:val="en-GB"/>
                <w:rPrChange w:id="3104" w:author="Author">
                  <w:rPr>
                    <w:bCs/>
                    <w:noProof w:val="0"/>
                    <w:szCs w:val="22"/>
                  </w:rPr>
                </w:rPrChange>
              </w:rPr>
            </w:pPr>
            <w:r w:rsidRPr="00D55B59">
              <w:rPr>
                <w:bCs/>
                <w:noProof w:val="0"/>
                <w:szCs w:val="22"/>
                <w:lang w:val="en-GB"/>
                <w:rPrChange w:id="3105" w:author="Author">
                  <w:rPr>
                    <w:bCs/>
                    <w:noProof w:val="0"/>
                    <w:szCs w:val="22"/>
                  </w:rPr>
                </w:rPrChange>
              </w:rPr>
              <w:t>Tel.: +36 1 35 44 700</w:t>
            </w:r>
          </w:p>
          <w:p w14:paraId="15486B01" w14:textId="77777777" w:rsidR="006D66D9" w:rsidRPr="001775D9" w:rsidRDefault="006D66D9" w:rsidP="00FB5458">
            <w:pPr>
              <w:rPr>
                <w:szCs w:val="22"/>
              </w:rPr>
            </w:pPr>
          </w:p>
        </w:tc>
      </w:tr>
      <w:tr w:rsidR="006D66D9" w:rsidRPr="00F04F82" w14:paraId="697E3016" w14:textId="77777777" w:rsidTr="009E089E">
        <w:trPr>
          <w:cantSplit/>
        </w:trPr>
        <w:tc>
          <w:tcPr>
            <w:tcW w:w="4677" w:type="dxa"/>
          </w:tcPr>
          <w:p w14:paraId="5944DDA3" w14:textId="77777777" w:rsidR="006D66D9" w:rsidRPr="00D55B59" w:rsidRDefault="006D66D9" w:rsidP="00FB5458">
            <w:pPr>
              <w:pStyle w:val="lbltxt"/>
              <w:rPr>
                <w:noProof w:val="0"/>
                <w:szCs w:val="22"/>
                <w:lang w:val="da-DK"/>
                <w:rPrChange w:id="3106" w:author="Author">
                  <w:rPr>
                    <w:noProof w:val="0"/>
                    <w:szCs w:val="22"/>
                    <w:lang w:val="sv-SE"/>
                  </w:rPr>
                </w:rPrChange>
              </w:rPr>
            </w:pPr>
            <w:r w:rsidRPr="00D55B59">
              <w:rPr>
                <w:b/>
                <w:noProof w:val="0"/>
                <w:szCs w:val="22"/>
                <w:lang w:val="da-DK"/>
                <w:rPrChange w:id="3107" w:author="Author">
                  <w:rPr>
                    <w:b/>
                    <w:noProof w:val="0"/>
                    <w:szCs w:val="22"/>
                    <w:lang w:val="sv-SE"/>
                  </w:rPr>
                </w:rPrChange>
              </w:rPr>
              <w:t>Danmark</w:t>
            </w:r>
          </w:p>
          <w:p w14:paraId="41F7A52F" w14:textId="77777777" w:rsidR="006D66D9" w:rsidRPr="00D55B59" w:rsidRDefault="006D66D9" w:rsidP="00FB5458">
            <w:pPr>
              <w:pStyle w:val="lbltxt"/>
              <w:rPr>
                <w:noProof w:val="0"/>
                <w:szCs w:val="22"/>
                <w:lang w:val="da-DK"/>
                <w:rPrChange w:id="3108" w:author="Author">
                  <w:rPr>
                    <w:noProof w:val="0"/>
                    <w:szCs w:val="22"/>
                    <w:lang w:val="sv-SE"/>
                  </w:rPr>
                </w:rPrChange>
              </w:rPr>
            </w:pPr>
            <w:r w:rsidRPr="00D55B59">
              <w:rPr>
                <w:noProof w:val="0"/>
                <w:szCs w:val="22"/>
                <w:lang w:val="da-DK"/>
                <w:rPrChange w:id="3109" w:author="Author">
                  <w:rPr>
                    <w:noProof w:val="0"/>
                    <w:szCs w:val="22"/>
                    <w:lang w:val="sv-SE"/>
                  </w:rPr>
                </w:rPrChange>
              </w:rPr>
              <w:t>Amgen</w:t>
            </w:r>
            <w:r w:rsidR="00EC44E9" w:rsidRPr="00D55B59">
              <w:rPr>
                <w:noProof w:val="0"/>
                <w:szCs w:val="22"/>
                <w:lang w:val="da-DK"/>
                <w:rPrChange w:id="3110" w:author="Author">
                  <w:rPr>
                    <w:noProof w:val="0"/>
                    <w:szCs w:val="22"/>
                    <w:lang w:val="sv-SE"/>
                  </w:rPr>
                </w:rPrChange>
              </w:rPr>
              <w:t>,</w:t>
            </w:r>
            <w:r w:rsidRPr="00D55B59">
              <w:rPr>
                <w:noProof w:val="0"/>
                <w:szCs w:val="22"/>
                <w:lang w:val="da-DK"/>
                <w:rPrChange w:id="3111" w:author="Author">
                  <w:rPr>
                    <w:noProof w:val="0"/>
                    <w:szCs w:val="22"/>
                    <w:lang w:val="sv-SE"/>
                  </w:rPr>
                </w:rPrChange>
              </w:rPr>
              <w:t xml:space="preserve"> filial af Amgen AB, Sverige</w:t>
            </w:r>
          </w:p>
          <w:p w14:paraId="5488D649" w14:textId="1089D517" w:rsidR="006D66D9" w:rsidRPr="00D55B59" w:rsidRDefault="006D66D9" w:rsidP="00FB5458">
            <w:pPr>
              <w:pStyle w:val="lbltxt"/>
              <w:rPr>
                <w:noProof w:val="0"/>
                <w:szCs w:val="22"/>
                <w:lang w:val="en-GB"/>
                <w:rPrChange w:id="3112" w:author="Author">
                  <w:rPr>
                    <w:noProof w:val="0"/>
                    <w:szCs w:val="22"/>
                  </w:rPr>
                </w:rPrChange>
              </w:rPr>
            </w:pPr>
            <w:r w:rsidRPr="00D55B59">
              <w:rPr>
                <w:noProof w:val="0"/>
                <w:szCs w:val="22"/>
                <w:lang w:val="en-GB"/>
                <w:rPrChange w:id="3113" w:author="Author">
                  <w:rPr>
                    <w:noProof w:val="0"/>
                    <w:szCs w:val="22"/>
                  </w:rPr>
                </w:rPrChange>
              </w:rPr>
              <w:t>Tlf</w:t>
            </w:r>
            <w:ins w:id="3114" w:author="Author">
              <w:r w:rsidR="004F4E9B" w:rsidRPr="00D55B59">
                <w:rPr>
                  <w:noProof w:val="0"/>
                  <w:szCs w:val="22"/>
                  <w:lang w:val="en-GB"/>
                  <w:rPrChange w:id="3115" w:author="Author">
                    <w:rPr>
                      <w:noProof w:val="0"/>
                      <w:szCs w:val="22"/>
                    </w:rPr>
                  </w:rPrChange>
                </w:rPr>
                <w:t>.</w:t>
              </w:r>
            </w:ins>
            <w:r w:rsidRPr="00D55B59">
              <w:rPr>
                <w:noProof w:val="0"/>
                <w:szCs w:val="22"/>
                <w:lang w:val="en-GB"/>
                <w:rPrChange w:id="3116" w:author="Author">
                  <w:rPr>
                    <w:noProof w:val="0"/>
                    <w:szCs w:val="22"/>
                  </w:rPr>
                </w:rPrChange>
              </w:rPr>
              <w:t>: +45 39617500</w:t>
            </w:r>
          </w:p>
          <w:p w14:paraId="2091A309" w14:textId="77777777" w:rsidR="006D66D9" w:rsidRPr="001775D9" w:rsidRDefault="006D66D9" w:rsidP="00FB5458">
            <w:pPr>
              <w:rPr>
                <w:szCs w:val="22"/>
              </w:rPr>
            </w:pPr>
          </w:p>
        </w:tc>
        <w:tc>
          <w:tcPr>
            <w:tcW w:w="4679" w:type="dxa"/>
          </w:tcPr>
          <w:p w14:paraId="0E28550F" w14:textId="77777777" w:rsidR="006D66D9" w:rsidRPr="00D55B59" w:rsidRDefault="006D66D9" w:rsidP="00FB5458">
            <w:pPr>
              <w:pStyle w:val="lbltxt"/>
              <w:rPr>
                <w:b/>
                <w:noProof w:val="0"/>
                <w:szCs w:val="22"/>
                <w:lang w:val="fi-FI"/>
                <w:rPrChange w:id="3117" w:author="Author">
                  <w:rPr>
                    <w:b/>
                    <w:noProof w:val="0"/>
                    <w:szCs w:val="22"/>
                    <w:lang w:val="sv-SE"/>
                  </w:rPr>
                </w:rPrChange>
              </w:rPr>
            </w:pPr>
            <w:r w:rsidRPr="00D55B59">
              <w:rPr>
                <w:b/>
                <w:noProof w:val="0"/>
                <w:szCs w:val="22"/>
                <w:lang w:val="fi-FI"/>
                <w:rPrChange w:id="3118" w:author="Author">
                  <w:rPr>
                    <w:b/>
                    <w:noProof w:val="0"/>
                    <w:szCs w:val="22"/>
                    <w:lang w:val="sv-SE"/>
                  </w:rPr>
                </w:rPrChange>
              </w:rPr>
              <w:t>Malta</w:t>
            </w:r>
          </w:p>
          <w:p w14:paraId="2B0DD7E2" w14:textId="00032469" w:rsidR="00AD7D34" w:rsidRPr="00D55B59" w:rsidRDefault="00AD7D34" w:rsidP="00AD7D34">
            <w:pPr>
              <w:pStyle w:val="lbltxt"/>
              <w:rPr>
                <w:noProof w:val="0"/>
                <w:szCs w:val="22"/>
                <w:lang w:val="fi-FI"/>
                <w:rPrChange w:id="3119" w:author="Author">
                  <w:rPr>
                    <w:noProof w:val="0"/>
                    <w:szCs w:val="22"/>
                    <w:lang w:val="sv-SE"/>
                  </w:rPr>
                </w:rPrChange>
              </w:rPr>
            </w:pPr>
            <w:r w:rsidRPr="00D55B59">
              <w:rPr>
                <w:noProof w:val="0"/>
                <w:szCs w:val="22"/>
                <w:lang w:val="fi-FI"/>
                <w:rPrChange w:id="3120" w:author="Author">
                  <w:rPr>
                    <w:noProof w:val="0"/>
                    <w:szCs w:val="22"/>
                    <w:lang w:val="sv-SE"/>
                  </w:rPr>
                </w:rPrChange>
              </w:rPr>
              <w:t>Amgen S.r.l.</w:t>
            </w:r>
          </w:p>
          <w:p w14:paraId="13987E61" w14:textId="74AEE037" w:rsidR="00520BAC" w:rsidRPr="00D55B59" w:rsidRDefault="00520BAC" w:rsidP="00AD7D34">
            <w:pPr>
              <w:pStyle w:val="lbltxt"/>
              <w:rPr>
                <w:noProof w:val="0"/>
                <w:szCs w:val="22"/>
                <w:lang w:val="en-GB"/>
                <w:rPrChange w:id="3121" w:author="Author">
                  <w:rPr>
                    <w:noProof w:val="0"/>
                    <w:szCs w:val="22"/>
                    <w:lang w:val="sv-SE"/>
                  </w:rPr>
                </w:rPrChange>
              </w:rPr>
            </w:pPr>
            <w:r w:rsidRPr="00D55B59">
              <w:rPr>
                <w:noProof w:val="0"/>
                <w:szCs w:val="22"/>
                <w:lang w:val="en-GB"/>
                <w:rPrChange w:id="3122" w:author="Author">
                  <w:rPr>
                    <w:noProof w:val="0"/>
                    <w:szCs w:val="22"/>
                    <w:lang w:val="sv-SE"/>
                  </w:rPr>
                </w:rPrChange>
              </w:rPr>
              <w:t>Italy</w:t>
            </w:r>
          </w:p>
          <w:p w14:paraId="4D1FBEEF" w14:textId="77777777" w:rsidR="00AD7D34" w:rsidRPr="00D55B59" w:rsidRDefault="00AD7D34" w:rsidP="00AD7D34">
            <w:pPr>
              <w:pStyle w:val="lbltxt"/>
              <w:rPr>
                <w:noProof w:val="0"/>
                <w:szCs w:val="22"/>
                <w:lang w:val="en-GB"/>
                <w:rPrChange w:id="3123" w:author="Author">
                  <w:rPr>
                    <w:noProof w:val="0"/>
                    <w:szCs w:val="22"/>
                  </w:rPr>
                </w:rPrChange>
              </w:rPr>
            </w:pPr>
            <w:r w:rsidRPr="00D55B59">
              <w:rPr>
                <w:noProof w:val="0"/>
                <w:szCs w:val="22"/>
                <w:lang w:val="en-GB"/>
                <w:rPrChange w:id="3124" w:author="Author">
                  <w:rPr>
                    <w:noProof w:val="0"/>
                    <w:szCs w:val="22"/>
                  </w:rPr>
                </w:rPrChange>
              </w:rPr>
              <w:t>Tel: +39 02 6241121</w:t>
            </w:r>
          </w:p>
          <w:p w14:paraId="1CF7CCF2" w14:textId="77777777" w:rsidR="006D66D9" w:rsidRPr="001775D9" w:rsidRDefault="006D66D9" w:rsidP="00FB5458">
            <w:pPr>
              <w:rPr>
                <w:szCs w:val="22"/>
              </w:rPr>
            </w:pPr>
          </w:p>
        </w:tc>
      </w:tr>
      <w:tr w:rsidR="006D66D9" w:rsidRPr="00F04F82" w14:paraId="65BDAC7E" w14:textId="77777777" w:rsidTr="009E089E">
        <w:trPr>
          <w:cantSplit/>
        </w:trPr>
        <w:tc>
          <w:tcPr>
            <w:tcW w:w="4677" w:type="dxa"/>
          </w:tcPr>
          <w:p w14:paraId="2907A378" w14:textId="77777777" w:rsidR="006D66D9" w:rsidRPr="00D55B59" w:rsidRDefault="006D66D9" w:rsidP="00FB5458">
            <w:pPr>
              <w:pStyle w:val="lbltxt"/>
              <w:rPr>
                <w:noProof w:val="0"/>
                <w:szCs w:val="22"/>
                <w:lang w:val="en-GB"/>
                <w:rPrChange w:id="3125" w:author="Author">
                  <w:rPr>
                    <w:noProof w:val="0"/>
                    <w:szCs w:val="22"/>
                  </w:rPr>
                </w:rPrChange>
              </w:rPr>
            </w:pPr>
            <w:r w:rsidRPr="00D55B59">
              <w:rPr>
                <w:b/>
                <w:noProof w:val="0"/>
                <w:szCs w:val="22"/>
                <w:lang w:val="en-GB"/>
                <w:rPrChange w:id="3126" w:author="Author">
                  <w:rPr>
                    <w:b/>
                    <w:noProof w:val="0"/>
                    <w:szCs w:val="22"/>
                  </w:rPr>
                </w:rPrChange>
              </w:rPr>
              <w:t>Deutschland</w:t>
            </w:r>
          </w:p>
          <w:p w14:paraId="25170684" w14:textId="37E6239B" w:rsidR="006D66D9" w:rsidRPr="00D55B59" w:rsidRDefault="006D66D9" w:rsidP="00FB5458">
            <w:pPr>
              <w:pStyle w:val="lbltxt"/>
              <w:rPr>
                <w:noProof w:val="0"/>
                <w:szCs w:val="22"/>
                <w:lang w:val="en-GB"/>
                <w:rPrChange w:id="3127" w:author="Author">
                  <w:rPr>
                    <w:noProof w:val="0"/>
                    <w:szCs w:val="22"/>
                  </w:rPr>
                </w:rPrChange>
              </w:rPr>
            </w:pPr>
            <w:r w:rsidRPr="00D55B59">
              <w:rPr>
                <w:noProof w:val="0"/>
                <w:szCs w:val="22"/>
                <w:lang w:val="en-GB"/>
                <w:rPrChange w:id="3128" w:author="Author">
                  <w:rPr>
                    <w:noProof w:val="0"/>
                    <w:szCs w:val="22"/>
                  </w:rPr>
                </w:rPrChange>
              </w:rPr>
              <w:t>A</w:t>
            </w:r>
            <w:r w:rsidR="007F5D89" w:rsidRPr="00D55B59">
              <w:rPr>
                <w:noProof w:val="0"/>
                <w:szCs w:val="22"/>
                <w:lang w:val="en-GB"/>
                <w:rPrChange w:id="3129" w:author="Author">
                  <w:rPr>
                    <w:noProof w:val="0"/>
                    <w:szCs w:val="22"/>
                  </w:rPr>
                </w:rPrChange>
              </w:rPr>
              <w:t>mgen</w:t>
            </w:r>
            <w:r w:rsidRPr="00D55B59">
              <w:rPr>
                <w:noProof w:val="0"/>
                <w:szCs w:val="22"/>
                <w:lang w:val="en-GB"/>
                <w:rPrChange w:id="3130" w:author="Author">
                  <w:rPr>
                    <w:noProof w:val="0"/>
                    <w:szCs w:val="22"/>
                  </w:rPr>
                </w:rPrChange>
              </w:rPr>
              <w:t xml:space="preserve"> GmbH</w:t>
            </w:r>
          </w:p>
          <w:p w14:paraId="7F61BA36" w14:textId="3C72A875" w:rsidR="006D66D9" w:rsidRPr="00D55B59" w:rsidRDefault="006D66D9" w:rsidP="00FB5458">
            <w:pPr>
              <w:pStyle w:val="lbltxt"/>
              <w:rPr>
                <w:noProof w:val="0"/>
                <w:szCs w:val="22"/>
                <w:lang w:val="en-GB"/>
                <w:rPrChange w:id="3131" w:author="Author">
                  <w:rPr>
                    <w:noProof w:val="0"/>
                    <w:szCs w:val="22"/>
                  </w:rPr>
                </w:rPrChange>
              </w:rPr>
            </w:pPr>
            <w:r w:rsidRPr="00D55B59">
              <w:rPr>
                <w:noProof w:val="0"/>
                <w:szCs w:val="22"/>
                <w:lang w:val="en-GB"/>
                <w:rPrChange w:id="3132" w:author="Author">
                  <w:rPr>
                    <w:noProof w:val="0"/>
                    <w:szCs w:val="22"/>
                  </w:rPr>
                </w:rPrChange>
              </w:rPr>
              <w:t>Tel: +49 89 1490960</w:t>
            </w:r>
          </w:p>
          <w:p w14:paraId="633195A9" w14:textId="77777777" w:rsidR="006D66D9" w:rsidRPr="001775D9" w:rsidRDefault="006D66D9" w:rsidP="00FB5458">
            <w:pPr>
              <w:rPr>
                <w:szCs w:val="22"/>
              </w:rPr>
            </w:pPr>
          </w:p>
        </w:tc>
        <w:tc>
          <w:tcPr>
            <w:tcW w:w="4679" w:type="dxa"/>
          </w:tcPr>
          <w:p w14:paraId="004771E7" w14:textId="77777777" w:rsidR="006D66D9" w:rsidRPr="00D55B59" w:rsidRDefault="006D66D9" w:rsidP="00FB5458">
            <w:pPr>
              <w:pStyle w:val="lbltxt"/>
              <w:rPr>
                <w:noProof w:val="0"/>
                <w:szCs w:val="22"/>
                <w:lang w:val="en-GB"/>
                <w:rPrChange w:id="3133" w:author="Author">
                  <w:rPr>
                    <w:noProof w:val="0"/>
                    <w:szCs w:val="22"/>
                    <w:lang w:val="sv-SE"/>
                  </w:rPr>
                </w:rPrChange>
              </w:rPr>
            </w:pPr>
            <w:r w:rsidRPr="00D55B59">
              <w:rPr>
                <w:b/>
                <w:noProof w:val="0"/>
                <w:szCs w:val="22"/>
                <w:lang w:val="en-GB"/>
                <w:rPrChange w:id="3134" w:author="Author">
                  <w:rPr>
                    <w:b/>
                    <w:noProof w:val="0"/>
                    <w:szCs w:val="22"/>
                    <w:lang w:val="sv-SE"/>
                  </w:rPr>
                </w:rPrChange>
              </w:rPr>
              <w:t>Nederland</w:t>
            </w:r>
          </w:p>
          <w:p w14:paraId="4FE967E9" w14:textId="77777777" w:rsidR="006D66D9" w:rsidRPr="00D55B59" w:rsidRDefault="006D66D9" w:rsidP="00FB5458">
            <w:pPr>
              <w:pStyle w:val="lbltxt"/>
              <w:rPr>
                <w:noProof w:val="0"/>
                <w:szCs w:val="22"/>
                <w:lang w:val="en-GB"/>
                <w:rPrChange w:id="3135" w:author="Author">
                  <w:rPr>
                    <w:noProof w:val="0"/>
                    <w:szCs w:val="22"/>
                    <w:lang w:val="sv-SE"/>
                  </w:rPr>
                </w:rPrChange>
              </w:rPr>
            </w:pPr>
            <w:r w:rsidRPr="00D55B59">
              <w:rPr>
                <w:noProof w:val="0"/>
                <w:szCs w:val="22"/>
                <w:lang w:val="en-GB"/>
                <w:rPrChange w:id="3136" w:author="Author">
                  <w:rPr>
                    <w:noProof w:val="0"/>
                    <w:szCs w:val="22"/>
                    <w:lang w:val="sv-SE"/>
                  </w:rPr>
                </w:rPrChange>
              </w:rPr>
              <w:t>Amgen B.V.</w:t>
            </w:r>
          </w:p>
          <w:p w14:paraId="484429F1" w14:textId="77777777" w:rsidR="006D66D9" w:rsidRPr="00D55B59" w:rsidRDefault="006D66D9" w:rsidP="00FB5458">
            <w:pPr>
              <w:pStyle w:val="lbltxt"/>
              <w:rPr>
                <w:bCs/>
                <w:noProof w:val="0"/>
                <w:szCs w:val="22"/>
                <w:lang w:val="en-GB"/>
                <w:rPrChange w:id="3137" w:author="Author">
                  <w:rPr>
                    <w:bCs/>
                    <w:noProof w:val="0"/>
                    <w:szCs w:val="22"/>
                    <w:lang w:val="sv-SE"/>
                  </w:rPr>
                </w:rPrChange>
              </w:rPr>
            </w:pPr>
            <w:r w:rsidRPr="00D55B59">
              <w:rPr>
                <w:noProof w:val="0"/>
                <w:szCs w:val="22"/>
                <w:lang w:val="en-GB"/>
                <w:rPrChange w:id="3138" w:author="Author">
                  <w:rPr>
                    <w:noProof w:val="0"/>
                    <w:szCs w:val="22"/>
                    <w:lang w:val="sv-SE"/>
                  </w:rPr>
                </w:rPrChange>
              </w:rPr>
              <w:t>Tel: +31 (0)76 5732500</w:t>
            </w:r>
          </w:p>
          <w:p w14:paraId="7A09D1AC" w14:textId="77777777" w:rsidR="006D66D9" w:rsidRPr="00D55B59" w:rsidRDefault="006D66D9" w:rsidP="00FB5458">
            <w:pPr>
              <w:rPr>
                <w:szCs w:val="22"/>
                <w:rPrChange w:id="3139" w:author="Author">
                  <w:rPr>
                    <w:szCs w:val="22"/>
                    <w:lang w:val="sv-SE"/>
                  </w:rPr>
                </w:rPrChange>
              </w:rPr>
            </w:pPr>
          </w:p>
        </w:tc>
      </w:tr>
      <w:tr w:rsidR="006D66D9" w:rsidRPr="00F04F82" w14:paraId="19560CAE" w14:textId="77777777" w:rsidTr="009E089E">
        <w:trPr>
          <w:cantSplit/>
        </w:trPr>
        <w:tc>
          <w:tcPr>
            <w:tcW w:w="4677" w:type="dxa"/>
          </w:tcPr>
          <w:p w14:paraId="388F451A" w14:textId="77777777" w:rsidR="006D66D9" w:rsidRPr="00D55B59" w:rsidRDefault="006D66D9" w:rsidP="00FB5458">
            <w:pPr>
              <w:pStyle w:val="lbltxt"/>
              <w:rPr>
                <w:b/>
                <w:noProof w:val="0"/>
                <w:szCs w:val="22"/>
                <w:lang w:val="en-GB"/>
                <w:rPrChange w:id="3140" w:author="Author">
                  <w:rPr>
                    <w:b/>
                    <w:noProof w:val="0"/>
                    <w:szCs w:val="22"/>
                    <w:lang w:val="sv-SE"/>
                  </w:rPr>
                </w:rPrChange>
              </w:rPr>
            </w:pPr>
            <w:r w:rsidRPr="00D55B59">
              <w:rPr>
                <w:b/>
                <w:noProof w:val="0"/>
                <w:szCs w:val="22"/>
                <w:lang w:val="en-GB"/>
                <w:rPrChange w:id="3141" w:author="Author">
                  <w:rPr>
                    <w:b/>
                    <w:noProof w:val="0"/>
                    <w:szCs w:val="22"/>
                    <w:lang w:val="sv-SE"/>
                  </w:rPr>
                </w:rPrChange>
              </w:rPr>
              <w:t>Eesti</w:t>
            </w:r>
          </w:p>
          <w:p w14:paraId="6B5ABC6D" w14:textId="77777777" w:rsidR="006D66D9" w:rsidRPr="00D55B59" w:rsidRDefault="006D66D9" w:rsidP="00FB5458">
            <w:pPr>
              <w:pStyle w:val="lbltxt"/>
              <w:rPr>
                <w:bCs/>
                <w:noProof w:val="0"/>
                <w:szCs w:val="22"/>
                <w:lang w:val="en-GB"/>
                <w:rPrChange w:id="3142" w:author="Author">
                  <w:rPr>
                    <w:bCs/>
                    <w:noProof w:val="0"/>
                    <w:szCs w:val="22"/>
                    <w:lang w:val="sv-SE"/>
                  </w:rPr>
                </w:rPrChange>
              </w:rPr>
            </w:pPr>
            <w:r w:rsidRPr="00D55B59">
              <w:rPr>
                <w:bCs/>
                <w:noProof w:val="0"/>
                <w:szCs w:val="22"/>
                <w:lang w:val="en-GB"/>
                <w:rPrChange w:id="3143" w:author="Author">
                  <w:rPr>
                    <w:bCs/>
                    <w:noProof w:val="0"/>
                    <w:szCs w:val="22"/>
                    <w:lang w:val="sv-SE"/>
                  </w:rPr>
                </w:rPrChange>
              </w:rPr>
              <w:t xml:space="preserve">Amgen Switzerland AG </w:t>
            </w:r>
            <w:r w:rsidRPr="00D55B59">
              <w:rPr>
                <w:noProof w:val="0"/>
                <w:szCs w:val="22"/>
                <w:lang w:val="en-GB"/>
                <w:rPrChange w:id="3144" w:author="Author">
                  <w:rPr>
                    <w:noProof w:val="0"/>
                    <w:szCs w:val="22"/>
                    <w:lang w:val="sv-SE"/>
                  </w:rPr>
                </w:rPrChange>
              </w:rPr>
              <w:t>Vilniaus filialas</w:t>
            </w:r>
          </w:p>
          <w:p w14:paraId="12FB9477" w14:textId="77777777" w:rsidR="006D66D9" w:rsidRPr="00D55B59" w:rsidRDefault="006D66D9" w:rsidP="00FB5458">
            <w:pPr>
              <w:pStyle w:val="lbltxt"/>
              <w:rPr>
                <w:noProof w:val="0"/>
                <w:szCs w:val="22"/>
                <w:lang w:val="en-GB"/>
                <w:rPrChange w:id="3145" w:author="Author">
                  <w:rPr>
                    <w:noProof w:val="0"/>
                    <w:szCs w:val="22"/>
                  </w:rPr>
                </w:rPrChange>
              </w:rPr>
            </w:pPr>
            <w:r w:rsidRPr="00D55B59">
              <w:rPr>
                <w:bCs/>
                <w:noProof w:val="0"/>
                <w:szCs w:val="22"/>
                <w:lang w:val="en-GB"/>
                <w:rPrChange w:id="3146" w:author="Author">
                  <w:rPr>
                    <w:bCs/>
                    <w:noProof w:val="0"/>
                    <w:szCs w:val="22"/>
                  </w:rPr>
                </w:rPrChange>
              </w:rPr>
              <w:t>Tel: +</w:t>
            </w:r>
            <w:r w:rsidRPr="00D55B59">
              <w:rPr>
                <w:noProof w:val="0"/>
                <w:szCs w:val="22"/>
                <w:lang w:val="en-GB"/>
                <w:rPrChange w:id="3147" w:author="Author">
                  <w:rPr>
                    <w:noProof w:val="0"/>
                    <w:szCs w:val="22"/>
                  </w:rPr>
                </w:rPrChange>
              </w:rPr>
              <w:t>372 586 09553</w:t>
            </w:r>
          </w:p>
          <w:p w14:paraId="587B5E3D" w14:textId="77777777" w:rsidR="006D66D9" w:rsidRPr="001775D9" w:rsidRDefault="006D66D9" w:rsidP="00FB5458">
            <w:pPr>
              <w:rPr>
                <w:szCs w:val="22"/>
              </w:rPr>
            </w:pPr>
          </w:p>
        </w:tc>
        <w:tc>
          <w:tcPr>
            <w:tcW w:w="4679" w:type="dxa"/>
          </w:tcPr>
          <w:p w14:paraId="0FDB2F2B" w14:textId="77777777" w:rsidR="006D66D9" w:rsidRPr="00D55B59" w:rsidRDefault="006D66D9" w:rsidP="00FB5458">
            <w:pPr>
              <w:pStyle w:val="lbltxt"/>
              <w:rPr>
                <w:b/>
                <w:bCs/>
                <w:noProof w:val="0"/>
                <w:szCs w:val="22"/>
                <w:lang w:val="en-GB"/>
                <w:rPrChange w:id="3148" w:author="Author">
                  <w:rPr>
                    <w:b/>
                    <w:bCs/>
                    <w:noProof w:val="0"/>
                    <w:szCs w:val="22"/>
                  </w:rPr>
                </w:rPrChange>
              </w:rPr>
            </w:pPr>
            <w:r w:rsidRPr="00D55B59">
              <w:rPr>
                <w:b/>
                <w:bCs/>
                <w:noProof w:val="0"/>
                <w:szCs w:val="22"/>
                <w:lang w:val="en-GB"/>
                <w:rPrChange w:id="3149" w:author="Author">
                  <w:rPr>
                    <w:b/>
                    <w:bCs/>
                    <w:noProof w:val="0"/>
                    <w:szCs w:val="22"/>
                  </w:rPr>
                </w:rPrChange>
              </w:rPr>
              <w:t>Norge</w:t>
            </w:r>
          </w:p>
          <w:p w14:paraId="66AD3266" w14:textId="77777777" w:rsidR="006D66D9" w:rsidRPr="00D55B59" w:rsidRDefault="006D66D9" w:rsidP="00FB5458">
            <w:pPr>
              <w:pStyle w:val="lbltxt"/>
              <w:rPr>
                <w:rStyle w:val="CommentReference"/>
                <w:noProof w:val="0"/>
                <w:sz w:val="22"/>
                <w:szCs w:val="22"/>
                <w:lang w:val="en-GB"/>
                <w:rPrChange w:id="3150" w:author="Author">
                  <w:rPr>
                    <w:rStyle w:val="CommentReference"/>
                    <w:noProof w:val="0"/>
                    <w:sz w:val="22"/>
                    <w:szCs w:val="22"/>
                  </w:rPr>
                </w:rPrChange>
              </w:rPr>
            </w:pPr>
            <w:r w:rsidRPr="00D55B59">
              <w:rPr>
                <w:rStyle w:val="CommentReference"/>
                <w:noProof w:val="0"/>
                <w:sz w:val="22"/>
                <w:szCs w:val="22"/>
                <w:lang w:val="en-GB"/>
                <w:rPrChange w:id="3151" w:author="Author">
                  <w:rPr>
                    <w:rStyle w:val="CommentReference"/>
                    <w:noProof w:val="0"/>
                    <w:sz w:val="22"/>
                    <w:szCs w:val="22"/>
                  </w:rPr>
                </w:rPrChange>
              </w:rPr>
              <w:t>Amgen AB</w:t>
            </w:r>
          </w:p>
          <w:p w14:paraId="1D737296" w14:textId="15B5584A" w:rsidR="006D66D9" w:rsidRPr="00D55B59" w:rsidRDefault="006D66D9" w:rsidP="00FB5458">
            <w:pPr>
              <w:pStyle w:val="lbltxt"/>
              <w:rPr>
                <w:noProof w:val="0"/>
                <w:szCs w:val="22"/>
                <w:lang w:val="en-GB"/>
                <w:rPrChange w:id="3152" w:author="Author">
                  <w:rPr>
                    <w:noProof w:val="0"/>
                    <w:szCs w:val="22"/>
                  </w:rPr>
                </w:rPrChange>
              </w:rPr>
            </w:pPr>
            <w:r w:rsidRPr="00D55B59">
              <w:rPr>
                <w:rStyle w:val="CommentReference"/>
                <w:noProof w:val="0"/>
                <w:sz w:val="22"/>
                <w:szCs w:val="22"/>
                <w:lang w:val="en-GB"/>
                <w:rPrChange w:id="3153" w:author="Author">
                  <w:rPr>
                    <w:rStyle w:val="CommentReference"/>
                    <w:noProof w:val="0"/>
                    <w:sz w:val="22"/>
                    <w:szCs w:val="22"/>
                  </w:rPr>
                </w:rPrChange>
              </w:rPr>
              <w:t>T</w:t>
            </w:r>
            <w:r w:rsidR="002B2DA3" w:rsidRPr="00D55B59">
              <w:rPr>
                <w:rStyle w:val="CommentReference"/>
                <w:noProof w:val="0"/>
                <w:sz w:val="22"/>
                <w:szCs w:val="22"/>
                <w:lang w:val="en-GB"/>
                <w:rPrChange w:id="3154" w:author="Author">
                  <w:rPr>
                    <w:rStyle w:val="CommentReference"/>
                    <w:noProof w:val="0"/>
                    <w:sz w:val="22"/>
                    <w:szCs w:val="22"/>
                  </w:rPr>
                </w:rPrChange>
              </w:rPr>
              <w:t>l</w:t>
            </w:r>
            <w:r w:rsidR="002B2DA3" w:rsidRPr="00D55B59">
              <w:rPr>
                <w:rStyle w:val="CommentReference"/>
                <w:noProof w:val="0"/>
                <w:sz w:val="22"/>
                <w:lang w:val="en-GB"/>
                <w:rPrChange w:id="3155" w:author="Author">
                  <w:rPr>
                    <w:rStyle w:val="CommentReference"/>
                    <w:sz w:val="22"/>
                  </w:rPr>
                </w:rPrChange>
              </w:rPr>
              <w:t>f</w:t>
            </w:r>
            <w:r w:rsidRPr="00D55B59">
              <w:rPr>
                <w:rStyle w:val="CommentReference"/>
                <w:noProof w:val="0"/>
                <w:sz w:val="22"/>
                <w:szCs w:val="22"/>
                <w:lang w:val="en-GB"/>
                <w:rPrChange w:id="3156" w:author="Author">
                  <w:rPr>
                    <w:rStyle w:val="CommentReference"/>
                    <w:noProof w:val="0"/>
                    <w:sz w:val="22"/>
                    <w:szCs w:val="22"/>
                  </w:rPr>
                </w:rPrChange>
              </w:rPr>
              <w:t>: +47 23308000</w:t>
            </w:r>
          </w:p>
          <w:p w14:paraId="70FF9DCF" w14:textId="77777777" w:rsidR="006D66D9" w:rsidRPr="001775D9" w:rsidRDefault="006D66D9" w:rsidP="00FB5458">
            <w:pPr>
              <w:rPr>
                <w:szCs w:val="22"/>
              </w:rPr>
            </w:pPr>
          </w:p>
        </w:tc>
      </w:tr>
      <w:tr w:rsidR="006D66D9" w:rsidRPr="00F04F82" w14:paraId="3930E047" w14:textId="77777777" w:rsidTr="009E089E">
        <w:trPr>
          <w:cantSplit/>
        </w:trPr>
        <w:tc>
          <w:tcPr>
            <w:tcW w:w="4677" w:type="dxa"/>
          </w:tcPr>
          <w:p w14:paraId="15313A11" w14:textId="77777777" w:rsidR="006D66D9" w:rsidRPr="004E0216" w:rsidRDefault="006D66D9" w:rsidP="00FB5458">
            <w:pPr>
              <w:pStyle w:val="lbltxt"/>
              <w:rPr>
                <w:b/>
                <w:bCs/>
                <w:noProof w:val="0"/>
                <w:szCs w:val="22"/>
                <w:lang w:val="el-GR"/>
              </w:rPr>
            </w:pPr>
            <w:r w:rsidRPr="004E0216">
              <w:rPr>
                <w:b/>
                <w:bCs/>
                <w:noProof w:val="0"/>
                <w:szCs w:val="22"/>
                <w:lang w:val="el-GR"/>
              </w:rPr>
              <w:t>Ελλάδα</w:t>
            </w:r>
          </w:p>
          <w:p w14:paraId="1C8D6343" w14:textId="77777777" w:rsidR="006D66D9" w:rsidRPr="004E0216" w:rsidRDefault="006D66D9" w:rsidP="00FB5458">
            <w:pPr>
              <w:pStyle w:val="lbltxt"/>
              <w:rPr>
                <w:noProof w:val="0"/>
                <w:szCs w:val="22"/>
                <w:lang w:val="el-GR"/>
              </w:rPr>
            </w:pPr>
            <w:r w:rsidRPr="00D55B59">
              <w:rPr>
                <w:noProof w:val="0"/>
                <w:szCs w:val="22"/>
                <w:lang w:val="en-GB"/>
                <w:rPrChange w:id="3157" w:author="Author">
                  <w:rPr>
                    <w:noProof w:val="0"/>
                    <w:szCs w:val="22"/>
                  </w:rPr>
                </w:rPrChange>
              </w:rPr>
              <w:t>Amgen</w:t>
            </w:r>
            <w:r w:rsidRPr="004E0216">
              <w:rPr>
                <w:noProof w:val="0"/>
                <w:szCs w:val="22"/>
                <w:lang w:val="el-GR"/>
              </w:rPr>
              <w:t xml:space="preserve"> Ελλάς Φαρμακευτικά Ε.Π.Ε. </w:t>
            </w:r>
          </w:p>
          <w:p w14:paraId="7725C6F2" w14:textId="6908C2CE" w:rsidR="006D66D9" w:rsidRPr="00D55B59" w:rsidRDefault="006D66D9" w:rsidP="00FB5458">
            <w:pPr>
              <w:pStyle w:val="lbltxt"/>
              <w:rPr>
                <w:noProof w:val="0"/>
                <w:szCs w:val="22"/>
                <w:lang w:val="en-GB"/>
                <w:rPrChange w:id="3158" w:author="Author">
                  <w:rPr>
                    <w:noProof w:val="0"/>
                    <w:szCs w:val="22"/>
                  </w:rPr>
                </w:rPrChange>
              </w:rPr>
            </w:pPr>
            <w:r w:rsidRPr="00D55B59">
              <w:rPr>
                <w:noProof w:val="0"/>
                <w:szCs w:val="22"/>
                <w:lang w:val="en-GB"/>
                <w:rPrChange w:id="3159" w:author="Author">
                  <w:rPr>
                    <w:noProof w:val="0"/>
                    <w:szCs w:val="22"/>
                  </w:rPr>
                </w:rPrChange>
              </w:rPr>
              <w:t>Τηλ: +30 210 3447000</w:t>
            </w:r>
          </w:p>
          <w:p w14:paraId="7F4E284C" w14:textId="77777777" w:rsidR="006D66D9" w:rsidRPr="001775D9" w:rsidRDefault="006D66D9" w:rsidP="00FB5458">
            <w:pPr>
              <w:rPr>
                <w:szCs w:val="22"/>
              </w:rPr>
            </w:pPr>
          </w:p>
        </w:tc>
        <w:tc>
          <w:tcPr>
            <w:tcW w:w="4679" w:type="dxa"/>
          </w:tcPr>
          <w:p w14:paraId="746CEB82" w14:textId="77777777" w:rsidR="006D66D9" w:rsidRPr="00D55B59" w:rsidRDefault="006D66D9" w:rsidP="00FB5458">
            <w:pPr>
              <w:pStyle w:val="lbltxt"/>
              <w:rPr>
                <w:noProof w:val="0"/>
                <w:szCs w:val="22"/>
                <w:lang w:val="en-GB"/>
                <w:rPrChange w:id="3160" w:author="Author">
                  <w:rPr>
                    <w:noProof w:val="0"/>
                    <w:szCs w:val="22"/>
                  </w:rPr>
                </w:rPrChange>
              </w:rPr>
            </w:pPr>
            <w:r w:rsidRPr="00D55B59">
              <w:rPr>
                <w:b/>
                <w:noProof w:val="0"/>
                <w:szCs w:val="22"/>
                <w:lang w:val="en-GB"/>
                <w:rPrChange w:id="3161" w:author="Author">
                  <w:rPr>
                    <w:b/>
                    <w:noProof w:val="0"/>
                    <w:szCs w:val="22"/>
                  </w:rPr>
                </w:rPrChange>
              </w:rPr>
              <w:t>Österreich</w:t>
            </w:r>
          </w:p>
          <w:p w14:paraId="1193DCD4" w14:textId="77777777" w:rsidR="006D66D9" w:rsidRPr="00D55B59" w:rsidRDefault="006D66D9" w:rsidP="00FB5458">
            <w:pPr>
              <w:pStyle w:val="lbltxt"/>
              <w:rPr>
                <w:noProof w:val="0"/>
                <w:szCs w:val="22"/>
                <w:lang w:val="en-GB"/>
                <w:rPrChange w:id="3162" w:author="Author">
                  <w:rPr>
                    <w:noProof w:val="0"/>
                    <w:szCs w:val="22"/>
                  </w:rPr>
                </w:rPrChange>
              </w:rPr>
            </w:pPr>
            <w:r w:rsidRPr="00D55B59">
              <w:rPr>
                <w:noProof w:val="0"/>
                <w:szCs w:val="22"/>
                <w:lang w:val="en-GB"/>
                <w:rPrChange w:id="3163" w:author="Author">
                  <w:rPr>
                    <w:noProof w:val="0"/>
                    <w:szCs w:val="22"/>
                  </w:rPr>
                </w:rPrChange>
              </w:rPr>
              <w:t xml:space="preserve">Amgen GmbH </w:t>
            </w:r>
          </w:p>
          <w:p w14:paraId="708B7B91" w14:textId="77777777" w:rsidR="006D66D9" w:rsidRPr="00D55B59" w:rsidRDefault="006D66D9" w:rsidP="00FB5458">
            <w:pPr>
              <w:pStyle w:val="lbltxt"/>
              <w:rPr>
                <w:noProof w:val="0"/>
                <w:szCs w:val="22"/>
                <w:lang w:val="en-GB"/>
                <w:rPrChange w:id="3164" w:author="Author">
                  <w:rPr>
                    <w:noProof w:val="0"/>
                    <w:szCs w:val="22"/>
                  </w:rPr>
                </w:rPrChange>
              </w:rPr>
            </w:pPr>
            <w:r w:rsidRPr="00D55B59">
              <w:rPr>
                <w:noProof w:val="0"/>
                <w:szCs w:val="22"/>
                <w:lang w:val="en-GB"/>
                <w:rPrChange w:id="3165" w:author="Author">
                  <w:rPr>
                    <w:noProof w:val="0"/>
                    <w:szCs w:val="22"/>
                  </w:rPr>
                </w:rPrChange>
              </w:rPr>
              <w:t>Tel: +43 (0)1 50 217</w:t>
            </w:r>
          </w:p>
          <w:p w14:paraId="32105F9D" w14:textId="77777777" w:rsidR="006D66D9" w:rsidRPr="001775D9" w:rsidRDefault="006D66D9" w:rsidP="00FB5458">
            <w:pPr>
              <w:rPr>
                <w:szCs w:val="22"/>
              </w:rPr>
            </w:pPr>
          </w:p>
        </w:tc>
      </w:tr>
      <w:tr w:rsidR="006D66D9" w:rsidRPr="00F04F82" w14:paraId="7BB4423A" w14:textId="77777777" w:rsidTr="009E089E">
        <w:trPr>
          <w:cantSplit/>
        </w:trPr>
        <w:tc>
          <w:tcPr>
            <w:tcW w:w="4677" w:type="dxa"/>
          </w:tcPr>
          <w:p w14:paraId="2318E042" w14:textId="77777777" w:rsidR="006D66D9" w:rsidRPr="00D55B59" w:rsidRDefault="006D66D9" w:rsidP="00FB5458">
            <w:pPr>
              <w:pStyle w:val="lbltxt"/>
              <w:keepNext/>
              <w:rPr>
                <w:noProof w:val="0"/>
                <w:szCs w:val="22"/>
                <w:lang w:val="es-ES"/>
                <w:rPrChange w:id="3166" w:author="Author">
                  <w:rPr>
                    <w:noProof w:val="0"/>
                    <w:szCs w:val="22"/>
                    <w:lang w:val="sv-SE"/>
                  </w:rPr>
                </w:rPrChange>
              </w:rPr>
            </w:pPr>
            <w:r w:rsidRPr="00D55B59">
              <w:rPr>
                <w:b/>
                <w:noProof w:val="0"/>
                <w:szCs w:val="22"/>
                <w:lang w:val="es-ES"/>
                <w:rPrChange w:id="3167" w:author="Author">
                  <w:rPr>
                    <w:b/>
                    <w:noProof w:val="0"/>
                    <w:szCs w:val="22"/>
                    <w:lang w:val="sv-SE"/>
                  </w:rPr>
                </w:rPrChange>
              </w:rPr>
              <w:t>España</w:t>
            </w:r>
          </w:p>
          <w:p w14:paraId="0C5FFD00" w14:textId="77777777" w:rsidR="006D66D9" w:rsidRPr="00D55B59" w:rsidRDefault="006D66D9" w:rsidP="00FB5458">
            <w:pPr>
              <w:pStyle w:val="lbltxt"/>
              <w:keepNext/>
              <w:rPr>
                <w:noProof w:val="0"/>
                <w:spacing w:val="-2"/>
                <w:szCs w:val="22"/>
                <w:lang w:val="es-ES"/>
                <w:rPrChange w:id="3168" w:author="Author">
                  <w:rPr>
                    <w:noProof w:val="0"/>
                    <w:spacing w:val="-2"/>
                    <w:szCs w:val="22"/>
                    <w:lang w:val="sv-SE"/>
                  </w:rPr>
                </w:rPrChange>
              </w:rPr>
            </w:pPr>
            <w:r w:rsidRPr="00D55B59">
              <w:rPr>
                <w:noProof w:val="0"/>
                <w:spacing w:val="-2"/>
                <w:szCs w:val="22"/>
                <w:lang w:val="es-ES"/>
                <w:rPrChange w:id="3169" w:author="Author">
                  <w:rPr>
                    <w:noProof w:val="0"/>
                    <w:spacing w:val="-2"/>
                    <w:szCs w:val="22"/>
                    <w:lang w:val="sv-SE"/>
                  </w:rPr>
                </w:rPrChange>
              </w:rPr>
              <w:t>Amgen S.A.</w:t>
            </w:r>
          </w:p>
          <w:p w14:paraId="5979A53E" w14:textId="77777777" w:rsidR="006D66D9" w:rsidRPr="00D55B59" w:rsidRDefault="006D66D9" w:rsidP="00FB5458">
            <w:pPr>
              <w:pStyle w:val="lbltxt"/>
              <w:keepNext/>
              <w:rPr>
                <w:rStyle w:val="Initial"/>
                <w:szCs w:val="22"/>
                <w:lang w:val="es-ES"/>
                <w:rPrChange w:id="3170" w:author="Author">
                  <w:rPr>
                    <w:rStyle w:val="Initial"/>
                    <w:szCs w:val="22"/>
                    <w:lang w:val="sv-SE"/>
                  </w:rPr>
                </w:rPrChange>
              </w:rPr>
            </w:pPr>
            <w:r w:rsidRPr="00D55B59">
              <w:rPr>
                <w:noProof w:val="0"/>
                <w:szCs w:val="22"/>
                <w:lang w:val="es-ES"/>
                <w:rPrChange w:id="3171" w:author="Author">
                  <w:rPr>
                    <w:rFonts w:ascii="CG Times" w:hAnsi="CG Times"/>
                    <w:noProof w:val="0"/>
                    <w:sz w:val="24"/>
                    <w:szCs w:val="22"/>
                    <w:lang w:val="sv-SE"/>
                  </w:rPr>
                </w:rPrChange>
              </w:rPr>
              <w:t xml:space="preserve">Tel: +34 93 600 18 60 </w:t>
            </w:r>
          </w:p>
          <w:p w14:paraId="2AC516DD" w14:textId="77777777" w:rsidR="006D66D9" w:rsidRPr="00D55B59" w:rsidRDefault="006D66D9" w:rsidP="00FB5458">
            <w:pPr>
              <w:keepNext/>
              <w:rPr>
                <w:szCs w:val="22"/>
                <w:lang w:val="es-ES"/>
                <w:rPrChange w:id="3172" w:author="Author">
                  <w:rPr>
                    <w:szCs w:val="22"/>
                    <w:lang w:val="sv-SE"/>
                  </w:rPr>
                </w:rPrChange>
              </w:rPr>
            </w:pPr>
          </w:p>
        </w:tc>
        <w:tc>
          <w:tcPr>
            <w:tcW w:w="4679" w:type="dxa"/>
          </w:tcPr>
          <w:p w14:paraId="660ADFDE" w14:textId="77777777" w:rsidR="006D66D9" w:rsidRPr="004E0216" w:rsidRDefault="006D66D9" w:rsidP="00FB5458">
            <w:pPr>
              <w:pStyle w:val="lbltxt"/>
              <w:keepNext/>
              <w:rPr>
                <w:b/>
                <w:noProof w:val="0"/>
                <w:szCs w:val="22"/>
                <w:lang w:val="pl-PL"/>
              </w:rPr>
            </w:pPr>
            <w:r w:rsidRPr="004E0216">
              <w:rPr>
                <w:b/>
                <w:noProof w:val="0"/>
                <w:szCs w:val="22"/>
                <w:lang w:val="pl-PL"/>
              </w:rPr>
              <w:t>Polska</w:t>
            </w:r>
          </w:p>
          <w:p w14:paraId="4A3B41B5" w14:textId="77777777" w:rsidR="006D66D9" w:rsidRPr="004E0216" w:rsidRDefault="006D66D9" w:rsidP="00FB5458">
            <w:pPr>
              <w:pStyle w:val="lbltxt"/>
              <w:keepNext/>
              <w:rPr>
                <w:noProof w:val="0"/>
                <w:szCs w:val="22"/>
                <w:lang w:val="pl-PL"/>
              </w:rPr>
            </w:pPr>
            <w:r w:rsidRPr="004E0216">
              <w:rPr>
                <w:noProof w:val="0"/>
                <w:szCs w:val="22"/>
                <w:lang w:val="pl-PL"/>
              </w:rPr>
              <w:t xml:space="preserve">Amgen </w:t>
            </w:r>
            <w:r w:rsidRPr="004E0216">
              <w:rPr>
                <w:noProof w:val="0"/>
                <w:color w:val="000000"/>
                <w:szCs w:val="22"/>
                <w:lang w:val="pl-PL" w:eastAsia="en-GB"/>
              </w:rPr>
              <w:t>Biotechnologia</w:t>
            </w:r>
            <w:r w:rsidRPr="004E0216">
              <w:rPr>
                <w:noProof w:val="0"/>
                <w:szCs w:val="22"/>
                <w:lang w:val="pl-PL"/>
              </w:rPr>
              <w:t xml:space="preserve"> Sp. z o.o.</w:t>
            </w:r>
          </w:p>
          <w:p w14:paraId="5E549278" w14:textId="77777777" w:rsidR="006D66D9" w:rsidRPr="00D55B59" w:rsidRDefault="006D66D9" w:rsidP="00FB5458">
            <w:pPr>
              <w:pStyle w:val="lbltxt"/>
              <w:keepNext/>
              <w:rPr>
                <w:bCs/>
                <w:noProof w:val="0"/>
                <w:szCs w:val="22"/>
                <w:lang w:val="en-GB"/>
                <w:rPrChange w:id="3173" w:author="Author">
                  <w:rPr>
                    <w:bCs/>
                    <w:noProof w:val="0"/>
                    <w:szCs w:val="22"/>
                  </w:rPr>
                </w:rPrChange>
              </w:rPr>
            </w:pPr>
            <w:r w:rsidRPr="00D55B59">
              <w:rPr>
                <w:bCs/>
                <w:noProof w:val="0"/>
                <w:szCs w:val="22"/>
                <w:lang w:val="en-GB"/>
                <w:rPrChange w:id="3174" w:author="Author">
                  <w:rPr>
                    <w:bCs/>
                    <w:noProof w:val="0"/>
                    <w:szCs w:val="22"/>
                  </w:rPr>
                </w:rPrChange>
              </w:rPr>
              <w:t>Tel.: +48 22 581 3000</w:t>
            </w:r>
          </w:p>
          <w:p w14:paraId="6D83FE00" w14:textId="77777777" w:rsidR="006D66D9" w:rsidRPr="001775D9" w:rsidRDefault="006D66D9" w:rsidP="00FB5458">
            <w:pPr>
              <w:keepNext/>
              <w:rPr>
                <w:szCs w:val="22"/>
              </w:rPr>
            </w:pPr>
          </w:p>
        </w:tc>
      </w:tr>
      <w:tr w:rsidR="006D66D9" w:rsidRPr="00867B3B" w14:paraId="6D579F63" w14:textId="77777777" w:rsidTr="009E089E">
        <w:trPr>
          <w:cantSplit/>
        </w:trPr>
        <w:tc>
          <w:tcPr>
            <w:tcW w:w="4677" w:type="dxa"/>
          </w:tcPr>
          <w:p w14:paraId="4D5DB191" w14:textId="77777777" w:rsidR="006D66D9" w:rsidRPr="004E0216" w:rsidRDefault="006D66D9" w:rsidP="00FB5458">
            <w:pPr>
              <w:pStyle w:val="lbltxt"/>
              <w:rPr>
                <w:noProof w:val="0"/>
                <w:szCs w:val="22"/>
                <w:lang w:val="fr-FR"/>
              </w:rPr>
            </w:pPr>
            <w:r w:rsidRPr="004E0216">
              <w:rPr>
                <w:b/>
                <w:noProof w:val="0"/>
                <w:szCs w:val="22"/>
                <w:lang w:val="fr-FR"/>
              </w:rPr>
              <w:t>France</w:t>
            </w:r>
          </w:p>
          <w:p w14:paraId="1E71E351" w14:textId="77777777" w:rsidR="006D66D9" w:rsidRPr="004E0216" w:rsidRDefault="006D66D9" w:rsidP="00FB5458">
            <w:pPr>
              <w:pStyle w:val="lbltxt"/>
              <w:rPr>
                <w:noProof w:val="0"/>
                <w:szCs w:val="22"/>
                <w:lang w:val="fr-FR"/>
              </w:rPr>
            </w:pPr>
            <w:r w:rsidRPr="004E0216">
              <w:rPr>
                <w:noProof w:val="0"/>
                <w:szCs w:val="22"/>
                <w:lang w:val="fr-FR"/>
              </w:rPr>
              <w:t>Amgen S.A.S.</w:t>
            </w:r>
          </w:p>
          <w:p w14:paraId="122A5386" w14:textId="77777777" w:rsidR="006D66D9" w:rsidRPr="004E0216" w:rsidRDefault="006D66D9" w:rsidP="00FB5458">
            <w:pPr>
              <w:rPr>
                <w:szCs w:val="22"/>
                <w:lang w:val="fr-FR"/>
              </w:rPr>
            </w:pPr>
            <w:r w:rsidRPr="004E0216">
              <w:rPr>
                <w:szCs w:val="22"/>
                <w:lang w:val="fr-FR"/>
              </w:rPr>
              <w:t>Tél: +33 (0)9 69 363 363</w:t>
            </w:r>
          </w:p>
          <w:p w14:paraId="7CD2FEE3" w14:textId="77777777" w:rsidR="006D66D9" w:rsidRPr="004E0216" w:rsidRDefault="006D66D9" w:rsidP="00FB5458">
            <w:pPr>
              <w:rPr>
                <w:szCs w:val="22"/>
                <w:lang w:val="fr-FR"/>
              </w:rPr>
            </w:pPr>
          </w:p>
        </w:tc>
        <w:tc>
          <w:tcPr>
            <w:tcW w:w="4679" w:type="dxa"/>
          </w:tcPr>
          <w:p w14:paraId="4589480B" w14:textId="77777777" w:rsidR="006D66D9" w:rsidRPr="004E0216" w:rsidRDefault="006D66D9" w:rsidP="00FB5458">
            <w:pPr>
              <w:pStyle w:val="lbltxt"/>
              <w:rPr>
                <w:noProof w:val="0"/>
                <w:szCs w:val="22"/>
                <w:lang w:val="es-ES"/>
              </w:rPr>
            </w:pPr>
            <w:r w:rsidRPr="004E0216">
              <w:rPr>
                <w:b/>
                <w:noProof w:val="0"/>
                <w:szCs w:val="22"/>
                <w:lang w:val="es-ES"/>
              </w:rPr>
              <w:t>Portugal</w:t>
            </w:r>
          </w:p>
          <w:p w14:paraId="3E9DB852" w14:textId="77777777" w:rsidR="006D66D9" w:rsidRPr="004E0216" w:rsidRDefault="006D66D9" w:rsidP="00FB5458">
            <w:pPr>
              <w:pStyle w:val="lbltxt"/>
              <w:rPr>
                <w:noProof w:val="0"/>
                <w:szCs w:val="22"/>
                <w:lang w:val="es-ES"/>
              </w:rPr>
            </w:pPr>
            <w:r w:rsidRPr="004E0216">
              <w:rPr>
                <w:noProof w:val="0"/>
                <w:szCs w:val="22"/>
                <w:lang w:val="es-ES"/>
              </w:rPr>
              <w:t>Amgen Biofarmacêutica, Lda.</w:t>
            </w:r>
          </w:p>
          <w:p w14:paraId="43B4F1F6" w14:textId="77777777" w:rsidR="006D66D9" w:rsidRPr="004E0216" w:rsidRDefault="006D66D9" w:rsidP="00FB5458">
            <w:pPr>
              <w:pStyle w:val="lbltxt"/>
              <w:rPr>
                <w:noProof w:val="0"/>
                <w:szCs w:val="22"/>
                <w:lang w:val="es-ES"/>
              </w:rPr>
            </w:pPr>
            <w:r w:rsidRPr="004E0216">
              <w:rPr>
                <w:noProof w:val="0"/>
                <w:szCs w:val="22"/>
                <w:lang w:val="es-ES"/>
              </w:rPr>
              <w:t>Tel: +351 21 4220</w:t>
            </w:r>
            <w:r w:rsidR="00092BF6" w:rsidRPr="004E0216">
              <w:rPr>
                <w:noProof w:val="0"/>
                <w:szCs w:val="22"/>
                <w:lang w:val="es-ES"/>
              </w:rPr>
              <w:t>606</w:t>
            </w:r>
          </w:p>
          <w:p w14:paraId="0FB351D9" w14:textId="77777777" w:rsidR="006D66D9" w:rsidRPr="004E0216" w:rsidRDefault="006D66D9" w:rsidP="00FB5458">
            <w:pPr>
              <w:rPr>
                <w:szCs w:val="22"/>
                <w:lang w:val="es-ES"/>
              </w:rPr>
            </w:pPr>
          </w:p>
        </w:tc>
      </w:tr>
      <w:tr w:rsidR="006D66D9" w:rsidRPr="00F04F82" w14:paraId="02F7475C" w14:textId="77777777" w:rsidTr="009E089E">
        <w:trPr>
          <w:cantSplit/>
        </w:trPr>
        <w:tc>
          <w:tcPr>
            <w:tcW w:w="4677" w:type="dxa"/>
          </w:tcPr>
          <w:p w14:paraId="558A8396" w14:textId="77777777" w:rsidR="006D66D9" w:rsidRPr="00D55B59" w:rsidRDefault="006D66D9" w:rsidP="00FB5458">
            <w:pPr>
              <w:keepNext/>
              <w:keepLines/>
              <w:rPr>
                <w:szCs w:val="22"/>
                <w:lang w:val="es-ES"/>
                <w:rPrChange w:id="3175" w:author="Author">
                  <w:rPr>
                    <w:szCs w:val="22"/>
                    <w:lang w:val="sv-SE"/>
                  </w:rPr>
                </w:rPrChange>
              </w:rPr>
            </w:pPr>
            <w:r w:rsidRPr="00D55B59">
              <w:rPr>
                <w:b/>
                <w:szCs w:val="22"/>
                <w:lang w:val="es-ES"/>
                <w:rPrChange w:id="3176" w:author="Author">
                  <w:rPr>
                    <w:b/>
                    <w:szCs w:val="22"/>
                    <w:lang w:val="sv-SE"/>
                  </w:rPr>
                </w:rPrChange>
              </w:rPr>
              <w:t>Hrvatska</w:t>
            </w:r>
          </w:p>
          <w:p w14:paraId="3DE6FD9D" w14:textId="77777777" w:rsidR="006D66D9" w:rsidRPr="00D55B59" w:rsidRDefault="006D66D9" w:rsidP="00FB5458">
            <w:pPr>
              <w:keepNext/>
              <w:keepLines/>
              <w:rPr>
                <w:szCs w:val="22"/>
                <w:lang w:val="es-ES"/>
                <w:rPrChange w:id="3177" w:author="Author">
                  <w:rPr>
                    <w:szCs w:val="22"/>
                    <w:lang w:val="sv-SE"/>
                  </w:rPr>
                </w:rPrChange>
              </w:rPr>
            </w:pPr>
            <w:r w:rsidRPr="00D55B59">
              <w:rPr>
                <w:szCs w:val="22"/>
                <w:lang w:val="es-ES"/>
                <w:rPrChange w:id="3178" w:author="Author">
                  <w:rPr>
                    <w:szCs w:val="22"/>
                    <w:lang w:val="sv-SE"/>
                  </w:rPr>
                </w:rPrChange>
              </w:rPr>
              <w:t>Amgen d.o.o.</w:t>
            </w:r>
          </w:p>
          <w:p w14:paraId="619C4DFE" w14:textId="77777777" w:rsidR="006D66D9" w:rsidRPr="00D55B59" w:rsidRDefault="006D66D9" w:rsidP="00FB5458">
            <w:pPr>
              <w:keepNext/>
              <w:keepLines/>
              <w:rPr>
                <w:szCs w:val="22"/>
                <w:lang w:val="es-ES"/>
                <w:rPrChange w:id="3179" w:author="Author">
                  <w:rPr>
                    <w:szCs w:val="22"/>
                  </w:rPr>
                </w:rPrChange>
              </w:rPr>
            </w:pPr>
            <w:r w:rsidRPr="00D55B59">
              <w:rPr>
                <w:szCs w:val="22"/>
                <w:lang w:val="es-ES"/>
                <w:rPrChange w:id="3180" w:author="Author">
                  <w:rPr>
                    <w:szCs w:val="22"/>
                  </w:rPr>
                </w:rPrChange>
              </w:rPr>
              <w:t>Tel: +385 (</w:t>
            </w:r>
            <w:r w:rsidR="00451CB7" w:rsidRPr="00D55B59">
              <w:rPr>
                <w:szCs w:val="22"/>
                <w:lang w:val="es-ES"/>
                <w:rPrChange w:id="3181" w:author="Author">
                  <w:rPr>
                    <w:szCs w:val="22"/>
                  </w:rPr>
                </w:rPrChange>
              </w:rPr>
              <w:t>0</w:t>
            </w:r>
            <w:r w:rsidRPr="00D55B59">
              <w:rPr>
                <w:szCs w:val="22"/>
                <w:lang w:val="es-ES"/>
                <w:rPrChange w:id="3182" w:author="Author">
                  <w:rPr>
                    <w:szCs w:val="22"/>
                  </w:rPr>
                </w:rPrChange>
              </w:rPr>
              <w:t>)</w:t>
            </w:r>
            <w:r w:rsidR="00451CB7" w:rsidRPr="00D55B59">
              <w:rPr>
                <w:szCs w:val="22"/>
                <w:lang w:val="es-ES"/>
                <w:rPrChange w:id="3183" w:author="Author">
                  <w:rPr>
                    <w:szCs w:val="22"/>
                  </w:rPr>
                </w:rPrChange>
              </w:rPr>
              <w:t>1</w:t>
            </w:r>
            <w:r w:rsidRPr="00D55B59">
              <w:rPr>
                <w:szCs w:val="22"/>
                <w:lang w:val="es-ES"/>
                <w:rPrChange w:id="3184" w:author="Author">
                  <w:rPr>
                    <w:szCs w:val="22"/>
                  </w:rPr>
                </w:rPrChange>
              </w:rPr>
              <w:t xml:space="preserve"> 562 57 20</w:t>
            </w:r>
          </w:p>
          <w:p w14:paraId="446900EF" w14:textId="77777777" w:rsidR="006D66D9" w:rsidRPr="00D55B59" w:rsidRDefault="006D66D9" w:rsidP="00FB5458">
            <w:pPr>
              <w:keepNext/>
              <w:keepLines/>
              <w:rPr>
                <w:szCs w:val="22"/>
                <w:lang w:val="es-ES"/>
                <w:rPrChange w:id="3185" w:author="Author">
                  <w:rPr>
                    <w:szCs w:val="22"/>
                  </w:rPr>
                </w:rPrChange>
              </w:rPr>
            </w:pPr>
          </w:p>
        </w:tc>
        <w:tc>
          <w:tcPr>
            <w:tcW w:w="4679" w:type="dxa"/>
          </w:tcPr>
          <w:p w14:paraId="0B55ADBD" w14:textId="77777777" w:rsidR="006D66D9" w:rsidRPr="00D55B59" w:rsidRDefault="006D66D9" w:rsidP="00FB5458">
            <w:pPr>
              <w:keepNext/>
              <w:keepLines/>
              <w:suppressAutoHyphens/>
              <w:rPr>
                <w:b/>
                <w:szCs w:val="22"/>
                <w:rPrChange w:id="3186" w:author="Author">
                  <w:rPr>
                    <w:b/>
                    <w:szCs w:val="22"/>
                    <w:lang w:val="es-ES"/>
                  </w:rPr>
                </w:rPrChange>
              </w:rPr>
            </w:pPr>
            <w:r w:rsidRPr="00D55B59">
              <w:rPr>
                <w:b/>
                <w:szCs w:val="22"/>
                <w:rPrChange w:id="3187" w:author="Author">
                  <w:rPr>
                    <w:b/>
                    <w:szCs w:val="22"/>
                    <w:lang w:val="es-ES"/>
                  </w:rPr>
                </w:rPrChange>
              </w:rPr>
              <w:t>România</w:t>
            </w:r>
          </w:p>
          <w:p w14:paraId="70F6E820" w14:textId="77777777" w:rsidR="006D66D9" w:rsidRPr="00D55B59" w:rsidRDefault="006D66D9" w:rsidP="00FB5458">
            <w:pPr>
              <w:keepNext/>
              <w:keepLines/>
              <w:rPr>
                <w:color w:val="000000"/>
                <w:szCs w:val="22"/>
                <w:rPrChange w:id="3188" w:author="Author">
                  <w:rPr>
                    <w:color w:val="000000"/>
                    <w:szCs w:val="22"/>
                    <w:lang w:val="es-ES"/>
                  </w:rPr>
                </w:rPrChange>
              </w:rPr>
            </w:pPr>
            <w:r w:rsidRPr="00D55B59">
              <w:rPr>
                <w:color w:val="000000"/>
                <w:szCs w:val="22"/>
                <w:rPrChange w:id="3189" w:author="Author">
                  <w:rPr>
                    <w:color w:val="000000"/>
                    <w:szCs w:val="22"/>
                    <w:lang w:val="es-ES"/>
                  </w:rPr>
                </w:rPrChange>
              </w:rPr>
              <w:t>Amgen România SRL</w:t>
            </w:r>
          </w:p>
          <w:p w14:paraId="4B3403DE" w14:textId="77777777" w:rsidR="006D66D9" w:rsidRPr="00D55B59" w:rsidRDefault="006D66D9" w:rsidP="00FB5458">
            <w:pPr>
              <w:pStyle w:val="lbltxt"/>
              <w:keepNext/>
              <w:keepLines/>
              <w:rPr>
                <w:noProof w:val="0"/>
                <w:szCs w:val="22"/>
                <w:lang w:val="en-GB"/>
                <w:rPrChange w:id="3190" w:author="Author">
                  <w:rPr>
                    <w:noProof w:val="0"/>
                    <w:szCs w:val="22"/>
                    <w:lang w:val="es-ES"/>
                  </w:rPr>
                </w:rPrChange>
              </w:rPr>
            </w:pPr>
            <w:r w:rsidRPr="00D55B59">
              <w:rPr>
                <w:noProof w:val="0"/>
                <w:szCs w:val="22"/>
                <w:lang w:val="en-GB"/>
                <w:rPrChange w:id="3191" w:author="Author">
                  <w:rPr>
                    <w:noProof w:val="0"/>
                    <w:szCs w:val="22"/>
                    <w:lang w:val="es-ES"/>
                  </w:rPr>
                </w:rPrChange>
              </w:rPr>
              <w:t>Tel: +4021 527 3000</w:t>
            </w:r>
          </w:p>
          <w:p w14:paraId="25853963" w14:textId="77777777" w:rsidR="006D66D9" w:rsidRPr="00D55B59" w:rsidRDefault="006D66D9" w:rsidP="00FB5458">
            <w:pPr>
              <w:keepNext/>
              <w:keepLines/>
              <w:rPr>
                <w:szCs w:val="22"/>
                <w:rPrChange w:id="3192" w:author="Author">
                  <w:rPr>
                    <w:szCs w:val="22"/>
                    <w:lang w:val="es-ES"/>
                  </w:rPr>
                </w:rPrChange>
              </w:rPr>
            </w:pPr>
          </w:p>
        </w:tc>
      </w:tr>
      <w:tr w:rsidR="006D66D9" w:rsidRPr="00F04F82" w14:paraId="5CCD257E" w14:textId="77777777" w:rsidTr="009E089E">
        <w:trPr>
          <w:cantSplit/>
        </w:trPr>
        <w:tc>
          <w:tcPr>
            <w:tcW w:w="4677" w:type="dxa"/>
          </w:tcPr>
          <w:p w14:paraId="63795755" w14:textId="77777777" w:rsidR="006D66D9" w:rsidRPr="00D55B59" w:rsidRDefault="006D66D9" w:rsidP="00FB5458">
            <w:pPr>
              <w:pStyle w:val="lbltxt"/>
              <w:rPr>
                <w:rFonts w:eastAsia="Arial Unicode MS"/>
                <w:b/>
                <w:noProof w:val="0"/>
                <w:szCs w:val="22"/>
                <w:lang w:val="en-GB"/>
                <w:rPrChange w:id="3193" w:author="Author">
                  <w:rPr>
                    <w:rFonts w:eastAsia="Arial Unicode MS"/>
                    <w:b/>
                    <w:noProof w:val="0"/>
                    <w:szCs w:val="22"/>
                  </w:rPr>
                </w:rPrChange>
              </w:rPr>
            </w:pPr>
            <w:r w:rsidRPr="00D55B59">
              <w:rPr>
                <w:rFonts w:eastAsia="Arial Unicode MS"/>
                <w:b/>
                <w:noProof w:val="0"/>
                <w:szCs w:val="22"/>
                <w:lang w:val="en-GB"/>
                <w:rPrChange w:id="3194" w:author="Author">
                  <w:rPr>
                    <w:rFonts w:eastAsia="Arial Unicode MS"/>
                    <w:b/>
                    <w:noProof w:val="0"/>
                    <w:szCs w:val="22"/>
                  </w:rPr>
                </w:rPrChange>
              </w:rPr>
              <w:t>Ireland</w:t>
            </w:r>
          </w:p>
          <w:p w14:paraId="41183997" w14:textId="77777777" w:rsidR="006D66D9" w:rsidRPr="00D55B59" w:rsidRDefault="006D66D9" w:rsidP="00FB5458">
            <w:pPr>
              <w:pStyle w:val="lbltxt"/>
              <w:rPr>
                <w:rFonts w:eastAsia="Arial Unicode MS"/>
                <w:bCs/>
                <w:noProof w:val="0"/>
                <w:szCs w:val="22"/>
                <w:lang w:val="en-GB"/>
                <w:rPrChange w:id="3195" w:author="Author">
                  <w:rPr>
                    <w:rFonts w:eastAsia="Arial Unicode MS"/>
                    <w:bCs/>
                    <w:noProof w:val="0"/>
                    <w:szCs w:val="22"/>
                  </w:rPr>
                </w:rPrChange>
              </w:rPr>
            </w:pPr>
            <w:r w:rsidRPr="00D55B59">
              <w:rPr>
                <w:rFonts w:eastAsia="Arial Unicode MS"/>
                <w:bCs/>
                <w:noProof w:val="0"/>
                <w:szCs w:val="22"/>
                <w:lang w:val="en-GB"/>
                <w:rPrChange w:id="3196" w:author="Author">
                  <w:rPr>
                    <w:rFonts w:eastAsia="Arial Unicode MS"/>
                    <w:bCs/>
                    <w:noProof w:val="0"/>
                    <w:szCs w:val="22"/>
                  </w:rPr>
                </w:rPrChange>
              </w:rPr>
              <w:t xml:space="preserve">Amgen </w:t>
            </w:r>
            <w:r w:rsidR="00092BF6" w:rsidRPr="00D55B59">
              <w:rPr>
                <w:rFonts w:eastAsia="Arial Unicode MS"/>
                <w:bCs/>
                <w:noProof w:val="0"/>
                <w:szCs w:val="22"/>
                <w:lang w:val="en-GB"/>
                <w:rPrChange w:id="3197" w:author="Author">
                  <w:rPr>
                    <w:rFonts w:eastAsia="Arial Unicode MS"/>
                    <w:bCs/>
                    <w:noProof w:val="0"/>
                    <w:szCs w:val="22"/>
                  </w:rPr>
                </w:rPrChange>
              </w:rPr>
              <w:t xml:space="preserve">Ireland </w:t>
            </w:r>
            <w:r w:rsidRPr="00D55B59">
              <w:rPr>
                <w:rFonts w:eastAsia="Arial Unicode MS"/>
                <w:bCs/>
                <w:noProof w:val="0"/>
                <w:szCs w:val="22"/>
                <w:lang w:val="en-GB"/>
                <w:rPrChange w:id="3198" w:author="Author">
                  <w:rPr>
                    <w:rFonts w:eastAsia="Arial Unicode MS"/>
                    <w:bCs/>
                    <w:noProof w:val="0"/>
                    <w:szCs w:val="22"/>
                  </w:rPr>
                </w:rPrChange>
              </w:rPr>
              <w:t>Limited</w:t>
            </w:r>
          </w:p>
          <w:p w14:paraId="59661AF0" w14:textId="77777777" w:rsidR="006D66D9" w:rsidRPr="001775D9" w:rsidRDefault="006D66D9" w:rsidP="00FB5458">
            <w:pPr>
              <w:pStyle w:val="lbltxt"/>
              <w:rPr>
                <w:rStyle w:val="Initial"/>
                <w:rFonts w:eastAsia="Arial Unicode MS"/>
                <w:bCs/>
                <w:szCs w:val="22"/>
                <w:lang w:val="en-GB"/>
              </w:rPr>
            </w:pPr>
            <w:r w:rsidRPr="00D55B59">
              <w:rPr>
                <w:rFonts w:eastAsia="Arial Unicode MS"/>
                <w:bCs/>
                <w:noProof w:val="0"/>
                <w:szCs w:val="22"/>
                <w:lang w:val="en-GB"/>
                <w:rPrChange w:id="3199" w:author="Author">
                  <w:rPr>
                    <w:rFonts w:eastAsia="Arial Unicode MS"/>
                    <w:bCs/>
                    <w:noProof w:val="0"/>
                    <w:szCs w:val="22"/>
                  </w:rPr>
                </w:rPrChange>
              </w:rPr>
              <w:t xml:space="preserve">Tel: </w:t>
            </w:r>
            <w:r w:rsidR="00092BF6" w:rsidRPr="00D55B59">
              <w:rPr>
                <w:rFonts w:eastAsia="Arial Unicode MS"/>
                <w:bCs/>
                <w:noProof w:val="0"/>
                <w:szCs w:val="22"/>
                <w:lang w:val="en-GB"/>
                <w:rPrChange w:id="3200" w:author="Author">
                  <w:rPr>
                    <w:rFonts w:eastAsia="Arial Unicode MS"/>
                    <w:bCs/>
                    <w:noProof w:val="0"/>
                    <w:szCs w:val="22"/>
                  </w:rPr>
                </w:rPrChange>
              </w:rPr>
              <w:t>+353 1 8527400</w:t>
            </w:r>
          </w:p>
          <w:p w14:paraId="3D245529" w14:textId="77777777" w:rsidR="006D66D9" w:rsidRPr="00D55B59" w:rsidRDefault="006D66D9" w:rsidP="00FB5458">
            <w:pPr>
              <w:pStyle w:val="lbltxt"/>
              <w:rPr>
                <w:noProof w:val="0"/>
                <w:szCs w:val="22"/>
                <w:lang w:val="en-GB"/>
                <w:rPrChange w:id="3201" w:author="Author">
                  <w:rPr>
                    <w:noProof w:val="0"/>
                    <w:szCs w:val="22"/>
                  </w:rPr>
                </w:rPrChange>
              </w:rPr>
            </w:pPr>
          </w:p>
        </w:tc>
        <w:tc>
          <w:tcPr>
            <w:tcW w:w="4679" w:type="dxa"/>
          </w:tcPr>
          <w:p w14:paraId="35E3D5EB" w14:textId="77777777" w:rsidR="006D66D9" w:rsidRPr="00D55B59" w:rsidRDefault="006D66D9" w:rsidP="00FB5458">
            <w:pPr>
              <w:pStyle w:val="lbltxt"/>
              <w:rPr>
                <w:b/>
                <w:noProof w:val="0"/>
                <w:szCs w:val="22"/>
                <w:lang w:val="en-GB"/>
                <w:rPrChange w:id="3202" w:author="Author">
                  <w:rPr>
                    <w:b/>
                    <w:noProof w:val="0"/>
                    <w:szCs w:val="22"/>
                    <w:lang w:val="nl-NL"/>
                  </w:rPr>
                </w:rPrChange>
              </w:rPr>
            </w:pPr>
            <w:r w:rsidRPr="00D55B59">
              <w:rPr>
                <w:b/>
                <w:noProof w:val="0"/>
                <w:szCs w:val="22"/>
                <w:lang w:val="en-GB"/>
                <w:rPrChange w:id="3203" w:author="Author">
                  <w:rPr>
                    <w:b/>
                    <w:noProof w:val="0"/>
                    <w:szCs w:val="22"/>
                    <w:lang w:val="nl-NL"/>
                  </w:rPr>
                </w:rPrChange>
              </w:rPr>
              <w:t>Slovenija</w:t>
            </w:r>
          </w:p>
          <w:p w14:paraId="009271EA" w14:textId="77777777" w:rsidR="006D66D9" w:rsidRPr="00D55B59" w:rsidRDefault="006D66D9" w:rsidP="00FB5458">
            <w:pPr>
              <w:pStyle w:val="lbltxt"/>
              <w:rPr>
                <w:bCs/>
                <w:noProof w:val="0"/>
                <w:szCs w:val="22"/>
                <w:lang w:val="en-GB"/>
                <w:rPrChange w:id="3204" w:author="Author">
                  <w:rPr>
                    <w:bCs/>
                    <w:noProof w:val="0"/>
                    <w:szCs w:val="22"/>
                    <w:lang w:val="nl-NL"/>
                  </w:rPr>
                </w:rPrChange>
              </w:rPr>
            </w:pPr>
            <w:r w:rsidRPr="00D55B59">
              <w:rPr>
                <w:noProof w:val="0"/>
                <w:szCs w:val="22"/>
                <w:lang w:val="en-GB"/>
                <w:rPrChange w:id="3205" w:author="Author">
                  <w:rPr>
                    <w:noProof w:val="0"/>
                    <w:szCs w:val="22"/>
                    <w:lang w:val="nl-NL"/>
                  </w:rPr>
                </w:rPrChange>
              </w:rPr>
              <w:t>AMGEN zdravila d.o.o.</w:t>
            </w:r>
          </w:p>
          <w:p w14:paraId="0D28D3CF" w14:textId="77777777" w:rsidR="006D66D9" w:rsidRPr="00D55B59" w:rsidRDefault="006D66D9" w:rsidP="00FB5458">
            <w:pPr>
              <w:pStyle w:val="lbltxt"/>
              <w:rPr>
                <w:bCs/>
                <w:noProof w:val="0"/>
                <w:szCs w:val="22"/>
                <w:lang w:val="en-GB"/>
                <w:rPrChange w:id="3206" w:author="Author">
                  <w:rPr>
                    <w:bCs/>
                    <w:noProof w:val="0"/>
                    <w:szCs w:val="22"/>
                  </w:rPr>
                </w:rPrChange>
              </w:rPr>
            </w:pPr>
            <w:r w:rsidRPr="00D55B59">
              <w:rPr>
                <w:bCs/>
                <w:noProof w:val="0"/>
                <w:szCs w:val="22"/>
                <w:lang w:val="en-GB"/>
                <w:rPrChange w:id="3207" w:author="Author">
                  <w:rPr>
                    <w:bCs/>
                    <w:noProof w:val="0"/>
                    <w:szCs w:val="22"/>
                  </w:rPr>
                </w:rPrChange>
              </w:rPr>
              <w:t>Tel: +386 (0)1 585 1767</w:t>
            </w:r>
          </w:p>
          <w:p w14:paraId="5F947158" w14:textId="77777777" w:rsidR="006D66D9" w:rsidRPr="001775D9" w:rsidRDefault="006D66D9" w:rsidP="00FB5458">
            <w:pPr>
              <w:rPr>
                <w:szCs w:val="22"/>
              </w:rPr>
            </w:pPr>
          </w:p>
        </w:tc>
      </w:tr>
      <w:tr w:rsidR="006D66D9" w:rsidRPr="00F04F82" w14:paraId="653AECEE" w14:textId="77777777" w:rsidTr="009E089E">
        <w:trPr>
          <w:cantSplit/>
        </w:trPr>
        <w:tc>
          <w:tcPr>
            <w:tcW w:w="4677" w:type="dxa"/>
          </w:tcPr>
          <w:p w14:paraId="45243B86" w14:textId="77777777" w:rsidR="006D66D9" w:rsidRPr="00D55B59" w:rsidRDefault="006D66D9" w:rsidP="00FB5458">
            <w:pPr>
              <w:pStyle w:val="lbltxt"/>
              <w:rPr>
                <w:b/>
                <w:noProof w:val="0"/>
                <w:szCs w:val="22"/>
                <w:lang w:val="en-GB"/>
                <w:rPrChange w:id="3208" w:author="Author">
                  <w:rPr>
                    <w:b/>
                    <w:noProof w:val="0"/>
                    <w:szCs w:val="22"/>
                  </w:rPr>
                </w:rPrChange>
              </w:rPr>
            </w:pPr>
            <w:r w:rsidRPr="00D55B59">
              <w:rPr>
                <w:b/>
                <w:noProof w:val="0"/>
                <w:szCs w:val="22"/>
                <w:lang w:val="en-GB"/>
                <w:rPrChange w:id="3209" w:author="Author">
                  <w:rPr>
                    <w:b/>
                    <w:noProof w:val="0"/>
                    <w:szCs w:val="22"/>
                  </w:rPr>
                </w:rPrChange>
              </w:rPr>
              <w:t>Ísland</w:t>
            </w:r>
          </w:p>
          <w:p w14:paraId="1A0C5AF9" w14:textId="7A997212" w:rsidR="006D66D9" w:rsidRPr="00D55B59" w:rsidRDefault="006D66D9" w:rsidP="00FB5458">
            <w:pPr>
              <w:pStyle w:val="lbltxt"/>
              <w:rPr>
                <w:noProof w:val="0"/>
                <w:szCs w:val="22"/>
                <w:lang w:val="en-GB"/>
                <w:rPrChange w:id="3210" w:author="Author">
                  <w:rPr>
                    <w:noProof w:val="0"/>
                    <w:szCs w:val="22"/>
                  </w:rPr>
                </w:rPrChange>
              </w:rPr>
            </w:pPr>
            <w:r w:rsidRPr="00D55B59">
              <w:rPr>
                <w:noProof w:val="0"/>
                <w:szCs w:val="22"/>
                <w:lang w:val="en-GB"/>
                <w:rPrChange w:id="3211" w:author="Author">
                  <w:rPr>
                    <w:noProof w:val="0"/>
                    <w:szCs w:val="22"/>
                  </w:rPr>
                </w:rPrChange>
              </w:rPr>
              <w:t>Vistor</w:t>
            </w:r>
            <w:del w:id="3212" w:author="Author">
              <w:r w:rsidRPr="00D55B59" w:rsidDel="004F4E9B">
                <w:rPr>
                  <w:noProof w:val="0"/>
                  <w:szCs w:val="22"/>
                  <w:lang w:val="en-GB"/>
                  <w:rPrChange w:id="3213" w:author="Author">
                    <w:rPr>
                      <w:noProof w:val="0"/>
                      <w:szCs w:val="22"/>
                    </w:rPr>
                  </w:rPrChange>
                </w:rPr>
                <w:delText xml:space="preserve"> hf.</w:delText>
              </w:r>
            </w:del>
          </w:p>
          <w:p w14:paraId="670ACD62" w14:textId="77777777" w:rsidR="006D66D9" w:rsidRPr="00D55B59" w:rsidRDefault="006D66D9" w:rsidP="00FB5458">
            <w:pPr>
              <w:pStyle w:val="lbltxt"/>
              <w:rPr>
                <w:noProof w:val="0"/>
                <w:szCs w:val="22"/>
                <w:lang w:val="en-GB"/>
                <w:rPrChange w:id="3214" w:author="Author">
                  <w:rPr>
                    <w:noProof w:val="0"/>
                    <w:szCs w:val="22"/>
                  </w:rPr>
                </w:rPrChange>
              </w:rPr>
            </w:pPr>
            <w:r w:rsidRPr="00D55B59">
              <w:rPr>
                <w:noProof w:val="0"/>
                <w:szCs w:val="22"/>
                <w:lang w:val="en-GB"/>
                <w:rPrChange w:id="3215" w:author="Author">
                  <w:rPr>
                    <w:noProof w:val="0"/>
                    <w:szCs w:val="22"/>
                  </w:rPr>
                </w:rPrChange>
              </w:rPr>
              <w:t>Sími: +354 535 7000</w:t>
            </w:r>
          </w:p>
          <w:p w14:paraId="24761B05" w14:textId="77777777" w:rsidR="006D66D9" w:rsidRPr="001775D9" w:rsidRDefault="006D66D9" w:rsidP="00FB5458">
            <w:pPr>
              <w:rPr>
                <w:szCs w:val="22"/>
              </w:rPr>
            </w:pPr>
          </w:p>
        </w:tc>
        <w:tc>
          <w:tcPr>
            <w:tcW w:w="4679" w:type="dxa"/>
          </w:tcPr>
          <w:p w14:paraId="61F7504D" w14:textId="77777777" w:rsidR="006D66D9" w:rsidRPr="00D55B59" w:rsidRDefault="006D66D9" w:rsidP="00FB5458">
            <w:pPr>
              <w:pStyle w:val="lbltxt"/>
              <w:rPr>
                <w:b/>
                <w:noProof w:val="0"/>
                <w:szCs w:val="22"/>
                <w:lang w:val="en-GB"/>
                <w:rPrChange w:id="3216" w:author="Author">
                  <w:rPr>
                    <w:b/>
                    <w:noProof w:val="0"/>
                    <w:szCs w:val="22"/>
                    <w:lang w:val="sv-SE"/>
                  </w:rPr>
                </w:rPrChange>
              </w:rPr>
            </w:pPr>
            <w:r w:rsidRPr="00D55B59">
              <w:rPr>
                <w:b/>
                <w:noProof w:val="0"/>
                <w:szCs w:val="22"/>
                <w:lang w:val="en-GB"/>
                <w:rPrChange w:id="3217" w:author="Author">
                  <w:rPr>
                    <w:b/>
                    <w:noProof w:val="0"/>
                    <w:szCs w:val="22"/>
                    <w:lang w:val="sv-SE"/>
                  </w:rPr>
                </w:rPrChange>
              </w:rPr>
              <w:t>Slovenská republika</w:t>
            </w:r>
          </w:p>
          <w:p w14:paraId="67D090BB" w14:textId="77777777" w:rsidR="006D66D9" w:rsidRPr="00D55B59" w:rsidRDefault="006D66D9" w:rsidP="00FB5458">
            <w:pPr>
              <w:pStyle w:val="lbltxt"/>
              <w:rPr>
                <w:bCs/>
                <w:noProof w:val="0"/>
                <w:szCs w:val="22"/>
                <w:lang w:val="en-GB"/>
                <w:rPrChange w:id="3218" w:author="Author">
                  <w:rPr>
                    <w:bCs/>
                    <w:noProof w:val="0"/>
                    <w:szCs w:val="22"/>
                    <w:lang w:val="sv-SE"/>
                  </w:rPr>
                </w:rPrChange>
              </w:rPr>
            </w:pPr>
            <w:r w:rsidRPr="00D55B59">
              <w:rPr>
                <w:bCs/>
                <w:noProof w:val="0"/>
                <w:szCs w:val="22"/>
                <w:lang w:val="en-GB"/>
                <w:rPrChange w:id="3219" w:author="Author">
                  <w:rPr>
                    <w:bCs/>
                    <w:noProof w:val="0"/>
                    <w:szCs w:val="22"/>
                    <w:lang w:val="sv-SE"/>
                  </w:rPr>
                </w:rPrChange>
              </w:rPr>
              <w:t>Amgen Slovakia s.r.o.</w:t>
            </w:r>
          </w:p>
          <w:p w14:paraId="474D5250" w14:textId="77777777" w:rsidR="005C545C" w:rsidRPr="00D55B59" w:rsidRDefault="006D66D9" w:rsidP="00FB5458">
            <w:pPr>
              <w:pStyle w:val="lbltxt"/>
              <w:rPr>
                <w:noProof w:val="0"/>
                <w:lang w:val="en-GB" w:eastAsia="ja-JP"/>
                <w:rPrChange w:id="3220" w:author="Author">
                  <w:rPr>
                    <w:lang w:val="en-US" w:eastAsia="ja-JP"/>
                  </w:rPr>
                </w:rPrChange>
              </w:rPr>
            </w:pPr>
            <w:r w:rsidRPr="00D55B59">
              <w:rPr>
                <w:bCs/>
                <w:noProof w:val="0"/>
                <w:szCs w:val="22"/>
                <w:lang w:val="en-GB"/>
                <w:rPrChange w:id="3221" w:author="Author">
                  <w:rPr>
                    <w:bCs/>
                    <w:noProof w:val="0"/>
                    <w:szCs w:val="22"/>
                  </w:rPr>
                </w:rPrChange>
              </w:rPr>
              <w:t xml:space="preserve">Tel: </w:t>
            </w:r>
            <w:r w:rsidR="00D0692F" w:rsidRPr="00D55B59">
              <w:rPr>
                <w:noProof w:val="0"/>
                <w:lang w:val="en-GB" w:eastAsia="ja-JP"/>
                <w:rPrChange w:id="3222" w:author="Author">
                  <w:rPr>
                    <w:lang w:val="en-US" w:eastAsia="ja-JP"/>
                  </w:rPr>
                </w:rPrChange>
              </w:rPr>
              <w:t xml:space="preserve">+421 2 321 </w:t>
            </w:r>
            <w:r w:rsidR="005C545C" w:rsidRPr="00D55B59">
              <w:rPr>
                <w:noProof w:val="0"/>
                <w:lang w:val="en-GB" w:eastAsia="ja-JP"/>
                <w:rPrChange w:id="3223" w:author="Author">
                  <w:rPr>
                    <w:lang w:val="en-US" w:eastAsia="ja-JP"/>
                  </w:rPr>
                </w:rPrChange>
              </w:rPr>
              <w:t>114 49</w:t>
            </w:r>
          </w:p>
          <w:p w14:paraId="7C5BB4FB" w14:textId="77777777" w:rsidR="006D66D9" w:rsidRPr="00D55B59" w:rsidRDefault="006D66D9" w:rsidP="00FB5458">
            <w:pPr>
              <w:pStyle w:val="lbltxt"/>
              <w:rPr>
                <w:noProof w:val="0"/>
                <w:szCs w:val="22"/>
                <w:lang w:val="en-GB"/>
                <w:rPrChange w:id="3224" w:author="Author">
                  <w:rPr>
                    <w:szCs w:val="22"/>
                  </w:rPr>
                </w:rPrChange>
              </w:rPr>
            </w:pPr>
          </w:p>
        </w:tc>
      </w:tr>
      <w:tr w:rsidR="006D66D9" w:rsidRPr="00F04F82" w14:paraId="3C9967B2" w14:textId="77777777" w:rsidTr="009E089E">
        <w:trPr>
          <w:cantSplit/>
        </w:trPr>
        <w:tc>
          <w:tcPr>
            <w:tcW w:w="4677" w:type="dxa"/>
          </w:tcPr>
          <w:p w14:paraId="20A04818" w14:textId="77777777" w:rsidR="006D66D9" w:rsidRPr="00D55B59" w:rsidRDefault="006D66D9" w:rsidP="00FB5458">
            <w:pPr>
              <w:pStyle w:val="lbltxt"/>
              <w:rPr>
                <w:noProof w:val="0"/>
                <w:szCs w:val="22"/>
                <w:lang w:val="es-ES"/>
                <w:rPrChange w:id="3225" w:author="Author">
                  <w:rPr>
                    <w:noProof w:val="0"/>
                    <w:szCs w:val="22"/>
                    <w:lang w:val="pt-PT"/>
                  </w:rPr>
                </w:rPrChange>
              </w:rPr>
            </w:pPr>
            <w:r w:rsidRPr="00D55B59">
              <w:rPr>
                <w:b/>
                <w:noProof w:val="0"/>
                <w:szCs w:val="22"/>
                <w:lang w:val="es-ES"/>
                <w:rPrChange w:id="3226" w:author="Author">
                  <w:rPr>
                    <w:b/>
                    <w:noProof w:val="0"/>
                    <w:szCs w:val="22"/>
                    <w:lang w:val="pt-PT"/>
                  </w:rPr>
                </w:rPrChange>
              </w:rPr>
              <w:t>Italia</w:t>
            </w:r>
          </w:p>
          <w:p w14:paraId="3FFA8E32" w14:textId="77777777" w:rsidR="006D66D9" w:rsidRPr="00D55B59" w:rsidRDefault="006D66D9" w:rsidP="00FB5458">
            <w:pPr>
              <w:pStyle w:val="lbltxt"/>
              <w:rPr>
                <w:noProof w:val="0"/>
                <w:szCs w:val="22"/>
                <w:lang w:val="es-ES"/>
                <w:rPrChange w:id="3227" w:author="Author">
                  <w:rPr>
                    <w:noProof w:val="0"/>
                    <w:szCs w:val="22"/>
                    <w:lang w:val="pt-PT"/>
                  </w:rPr>
                </w:rPrChange>
              </w:rPr>
            </w:pPr>
            <w:r w:rsidRPr="00D55B59">
              <w:rPr>
                <w:noProof w:val="0"/>
                <w:szCs w:val="22"/>
                <w:lang w:val="es-ES"/>
                <w:rPrChange w:id="3228" w:author="Author">
                  <w:rPr>
                    <w:noProof w:val="0"/>
                    <w:szCs w:val="22"/>
                    <w:lang w:val="pt-PT"/>
                  </w:rPr>
                </w:rPrChange>
              </w:rPr>
              <w:t>Amgen S.r.l.</w:t>
            </w:r>
          </w:p>
          <w:p w14:paraId="0A2DE6F7" w14:textId="77777777" w:rsidR="006D66D9" w:rsidRPr="00D55B59" w:rsidRDefault="006D66D9" w:rsidP="00FB5458">
            <w:pPr>
              <w:pStyle w:val="lbltxt"/>
              <w:rPr>
                <w:noProof w:val="0"/>
                <w:szCs w:val="22"/>
                <w:lang w:val="en-GB"/>
                <w:rPrChange w:id="3229" w:author="Author">
                  <w:rPr>
                    <w:noProof w:val="0"/>
                    <w:szCs w:val="22"/>
                    <w:lang w:val="pt-PT"/>
                  </w:rPr>
                </w:rPrChange>
              </w:rPr>
            </w:pPr>
            <w:r w:rsidRPr="00D55B59">
              <w:rPr>
                <w:noProof w:val="0"/>
                <w:szCs w:val="22"/>
                <w:lang w:val="en-GB"/>
                <w:rPrChange w:id="3230" w:author="Author">
                  <w:rPr>
                    <w:noProof w:val="0"/>
                    <w:szCs w:val="22"/>
                    <w:lang w:val="pt-PT"/>
                  </w:rPr>
                </w:rPrChange>
              </w:rPr>
              <w:t>Tel: +39 02 6241121</w:t>
            </w:r>
          </w:p>
          <w:p w14:paraId="1E023A32" w14:textId="77777777" w:rsidR="006D66D9" w:rsidRPr="00D55B59" w:rsidRDefault="006D66D9" w:rsidP="00FB5458">
            <w:pPr>
              <w:rPr>
                <w:szCs w:val="22"/>
                <w:rPrChange w:id="3231" w:author="Author">
                  <w:rPr>
                    <w:szCs w:val="22"/>
                    <w:lang w:val="pt-PT"/>
                  </w:rPr>
                </w:rPrChange>
              </w:rPr>
            </w:pPr>
          </w:p>
        </w:tc>
        <w:tc>
          <w:tcPr>
            <w:tcW w:w="4679" w:type="dxa"/>
          </w:tcPr>
          <w:p w14:paraId="567F46F0" w14:textId="77777777" w:rsidR="002668EB" w:rsidRPr="00D55B59" w:rsidRDefault="002668EB" w:rsidP="002668EB">
            <w:pPr>
              <w:pStyle w:val="lbltxt"/>
              <w:rPr>
                <w:noProof w:val="0"/>
                <w:szCs w:val="22"/>
                <w:lang w:val="en-GB"/>
                <w:rPrChange w:id="3232" w:author="Author">
                  <w:rPr>
                    <w:noProof w:val="0"/>
                    <w:szCs w:val="22"/>
                    <w:lang w:val="sv-SE"/>
                  </w:rPr>
                </w:rPrChange>
              </w:rPr>
            </w:pPr>
            <w:r w:rsidRPr="00D55B59">
              <w:rPr>
                <w:b/>
                <w:noProof w:val="0"/>
                <w:szCs w:val="22"/>
                <w:lang w:val="en-GB"/>
                <w:rPrChange w:id="3233" w:author="Author">
                  <w:rPr>
                    <w:b/>
                    <w:noProof w:val="0"/>
                    <w:szCs w:val="22"/>
                    <w:lang w:val="sv-SE"/>
                  </w:rPr>
                </w:rPrChange>
              </w:rPr>
              <w:t>Suomi/Finland</w:t>
            </w:r>
          </w:p>
          <w:p w14:paraId="41220BC0" w14:textId="77777777" w:rsidR="009C222E" w:rsidRPr="00D55B59" w:rsidRDefault="009C222E" w:rsidP="009C222E">
            <w:pPr>
              <w:pStyle w:val="lbltxt"/>
              <w:rPr>
                <w:noProof w:val="0"/>
                <w:szCs w:val="22"/>
                <w:lang w:val="en-GB"/>
                <w:rPrChange w:id="3234" w:author="Author">
                  <w:rPr>
                    <w:szCs w:val="22"/>
                    <w:lang w:val="nl-NL"/>
                  </w:rPr>
                </w:rPrChange>
              </w:rPr>
            </w:pPr>
            <w:r w:rsidRPr="00D55B59">
              <w:rPr>
                <w:noProof w:val="0"/>
                <w:szCs w:val="22"/>
                <w:lang w:val="en-GB"/>
                <w:rPrChange w:id="3235" w:author="Author">
                  <w:rPr>
                    <w:szCs w:val="22"/>
                    <w:lang w:val="nl-NL"/>
                  </w:rPr>
                </w:rPrChange>
              </w:rPr>
              <w:t>Amgen AB, sivuliike Suomessa/Amgen AB, filial i Finland</w:t>
            </w:r>
          </w:p>
          <w:p w14:paraId="33098149" w14:textId="62F08C84" w:rsidR="006D66D9" w:rsidRPr="00D55B59" w:rsidRDefault="009C222E" w:rsidP="00FB5458">
            <w:pPr>
              <w:rPr>
                <w:szCs w:val="22"/>
                <w:rPrChange w:id="3236" w:author="Author">
                  <w:rPr>
                    <w:szCs w:val="22"/>
                    <w:lang w:val="fr-CH"/>
                  </w:rPr>
                </w:rPrChange>
              </w:rPr>
            </w:pPr>
            <w:r w:rsidRPr="00D55B59">
              <w:rPr>
                <w:szCs w:val="22"/>
                <w:rPrChange w:id="3237" w:author="Author">
                  <w:rPr>
                    <w:szCs w:val="22"/>
                    <w:lang w:val="nl-NL"/>
                  </w:rPr>
                </w:rPrChange>
              </w:rPr>
              <w:t>Puh/Tel: +358 (0)9 54900500</w:t>
            </w:r>
          </w:p>
          <w:p w14:paraId="74CB76CC" w14:textId="77777777" w:rsidR="009C222E" w:rsidRPr="00D55B59" w:rsidRDefault="009C222E" w:rsidP="00FB5458">
            <w:pPr>
              <w:rPr>
                <w:szCs w:val="22"/>
                <w:rPrChange w:id="3238" w:author="Author">
                  <w:rPr>
                    <w:szCs w:val="22"/>
                    <w:lang w:val="fr-CH"/>
                  </w:rPr>
                </w:rPrChange>
              </w:rPr>
            </w:pPr>
          </w:p>
        </w:tc>
      </w:tr>
      <w:tr w:rsidR="006D66D9" w:rsidRPr="00F04F82" w14:paraId="236CD111" w14:textId="77777777" w:rsidTr="009E089E">
        <w:trPr>
          <w:cantSplit/>
        </w:trPr>
        <w:tc>
          <w:tcPr>
            <w:tcW w:w="4677" w:type="dxa"/>
          </w:tcPr>
          <w:p w14:paraId="642BED9B" w14:textId="77777777" w:rsidR="006D66D9" w:rsidRPr="00D55B59" w:rsidRDefault="006D66D9" w:rsidP="00FB5458">
            <w:pPr>
              <w:pStyle w:val="lbltxt"/>
              <w:rPr>
                <w:b/>
                <w:noProof w:val="0"/>
                <w:szCs w:val="22"/>
                <w:lang w:val="en-GB"/>
                <w:rPrChange w:id="3239" w:author="Author">
                  <w:rPr>
                    <w:b/>
                    <w:noProof w:val="0"/>
                    <w:szCs w:val="22"/>
                  </w:rPr>
                </w:rPrChange>
              </w:rPr>
            </w:pPr>
            <w:r w:rsidRPr="00D55B59">
              <w:rPr>
                <w:b/>
                <w:noProof w:val="0"/>
                <w:szCs w:val="22"/>
                <w:lang w:val="en-GB"/>
                <w:rPrChange w:id="3240" w:author="Author">
                  <w:rPr>
                    <w:b/>
                    <w:noProof w:val="0"/>
                    <w:szCs w:val="22"/>
                  </w:rPr>
                </w:rPrChange>
              </w:rPr>
              <w:t>Kύπρος</w:t>
            </w:r>
          </w:p>
          <w:p w14:paraId="04473A44" w14:textId="77777777" w:rsidR="006D66D9" w:rsidRPr="001775D9" w:rsidRDefault="006D66D9" w:rsidP="00FB5458">
            <w:pPr>
              <w:rPr>
                <w:szCs w:val="22"/>
              </w:rPr>
            </w:pPr>
            <w:r w:rsidRPr="001775D9">
              <w:rPr>
                <w:szCs w:val="22"/>
              </w:rPr>
              <w:t>C.A. Papaellinas Ltd</w:t>
            </w:r>
          </w:p>
          <w:p w14:paraId="3B92E5D8" w14:textId="10265452" w:rsidR="006D66D9" w:rsidRPr="00D55B59" w:rsidRDefault="006D66D9" w:rsidP="00FB5458">
            <w:pPr>
              <w:pStyle w:val="lbltxt"/>
              <w:rPr>
                <w:noProof w:val="0"/>
                <w:szCs w:val="22"/>
                <w:lang w:val="en-GB"/>
                <w:rPrChange w:id="3241" w:author="Author">
                  <w:rPr>
                    <w:noProof w:val="0"/>
                    <w:szCs w:val="22"/>
                  </w:rPr>
                </w:rPrChange>
              </w:rPr>
            </w:pPr>
            <w:r w:rsidRPr="00D55B59">
              <w:rPr>
                <w:noProof w:val="0"/>
                <w:szCs w:val="22"/>
                <w:lang w:val="en-GB"/>
                <w:rPrChange w:id="3242" w:author="Author">
                  <w:rPr>
                    <w:noProof w:val="0"/>
                    <w:szCs w:val="22"/>
                  </w:rPr>
                </w:rPrChange>
              </w:rPr>
              <w:t>Τηλ: +357 22741 741</w:t>
            </w:r>
          </w:p>
          <w:p w14:paraId="0D887094" w14:textId="77777777" w:rsidR="006D66D9" w:rsidRPr="001775D9" w:rsidRDefault="006D66D9" w:rsidP="00FB5458">
            <w:pPr>
              <w:rPr>
                <w:szCs w:val="22"/>
              </w:rPr>
            </w:pPr>
          </w:p>
        </w:tc>
        <w:tc>
          <w:tcPr>
            <w:tcW w:w="4679" w:type="dxa"/>
          </w:tcPr>
          <w:p w14:paraId="4653A0D4" w14:textId="77777777" w:rsidR="006D66D9" w:rsidRPr="00D55B59" w:rsidRDefault="006D66D9" w:rsidP="00FB5458">
            <w:pPr>
              <w:pStyle w:val="lbltxt"/>
              <w:rPr>
                <w:noProof w:val="0"/>
                <w:szCs w:val="22"/>
                <w:lang w:val="en-GB"/>
                <w:rPrChange w:id="3243" w:author="Author">
                  <w:rPr>
                    <w:noProof w:val="0"/>
                    <w:szCs w:val="22"/>
                  </w:rPr>
                </w:rPrChange>
              </w:rPr>
            </w:pPr>
            <w:r w:rsidRPr="00D55B59">
              <w:rPr>
                <w:b/>
                <w:noProof w:val="0"/>
                <w:szCs w:val="22"/>
                <w:lang w:val="en-GB"/>
                <w:rPrChange w:id="3244" w:author="Author">
                  <w:rPr>
                    <w:b/>
                    <w:noProof w:val="0"/>
                    <w:szCs w:val="22"/>
                  </w:rPr>
                </w:rPrChange>
              </w:rPr>
              <w:t>Sverige</w:t>
            </w:r>
          </w:p>
          <w:p w14:paraId="114DAE4C" w14:textId="77777777" w:rsidR="006D66D9" w:rsidRPr="00D55B59" w:rsidRDefault="006D66D9" w:rsidP="00FB5458">
            <w:pPr>
              <w:pStyle w:val="lbltxt"/>
              <w:rPr>
                <w:noProof w:val="0"/>
                <w:szCs w:val="22"/>
                <w:lang w:val="en-GB"/>
                <w:rPrChange w:id="3245" w:author="Author">
                  <w:rPr>
                    <w:noProof w:val="0"/>
                    <w:szCs w:val="22"/>
                  </w:rPr>
                </w:rPrChange>
              </w:rPr>
            </w:pPr>
            <w:r w:rsidRPr="00D55B59">
              <w:rPr>
                <w:noProof w:val="0"/>
                <w:szCs w:val="22"/>
                <w:lang w:val="en-GB"/>
                <w:rPrChange w:id="3246" w:author="Author">
                  <w:rPr>
                    <w:noProof w:val="0"/>
                    <w:szCs w:val="22"/>
                  </w:rPr>
                </w:rPrChange>
              </w:rPr>
              <w:t xml:space="preserve">Amgen AB </w:t>
            </w:r>
          </w:p>
          <w:p w14:paraId="6C2465CF" w14:textId="77777777" w:rsidR="006D66D9" w:rsidRPr="00D55B59" w:rsidRDefault="006D66D9" w:rsidP="00FB5458">
            <w:pPr>
              <w:pStyle w:val="lbltxt"/>
              <w:rPr>
                <w:noProof w:val="0"/>
                <w:szCs w:val="22"/>
                <w:lang w:val="en-GB"/>
                <w:rPrChange w:id="3247" w:author="Author">
                  <w:rPr>
                    <w:noProof w:val="0"/>
                    <w:szCs w:val="22"/>
                  </w:rPr>
                </w:rPrChange>
              </w:rPr>
            </w:pPr>
            <w:r w:rsidRPr="00D55B59">
              <w:rPr>
                <w:noProof w:val="0"/>
                <w:szCs w:val="22"/>
                <w:lang w:val="en-GB"/>
                <w:rPrChange w:id="3248" w:author="Author">
                  <w:rPr>
                    <w:noProof w:val="0"/>
                    <w:szCs w:val="22"/>
                  </w:rPr>
                </w:rPrChange>
              </w:rPr>
              <w:t>Tel: +46 (0)8 6951100</w:t>
            </w:r>
          </w:p>
          <w:p w14:paraId="4B62ABFC" w14:textId="77777777" w:rsidR="006D66D9" w:rsidRPr="001775D9" w:rsidRDefault="006D66D9" w:rsidP="00FB5458">
            <w:pPr>
              <w:rPr>
                <w:szCs w:val="22"/>
              </w:rPr>
            </w:pPr>
          </w:p>
        </w:tc>
      </w:tr>
      <w:tr w:rsidR="006D66D9" w:rsidRPr="00F04F82" w14:paraId="2A7D738B" w14:textId="77777777" w:rsidTr="009E089E">
        <w:trPr>
          <w:cantSplit/>
        </w:trPr>
        <w:tc>
          <w:tcPr>
            <w:tcW w:w="4677" w:type="dxa"/>
          </w:tcPr>
          <w:p w14:paraId="209D4FF2" w14:textId="77777777" w:rsidR="006D66D9" w:rsidRPr="00D55B59" w:rsidRDefault="006D66D9" w:rsidP="00FB5458">
            <w:pPr>
              <w:pStyle w:val="lbltxt"/>
              <w:rPr>
                <w:b/>
                <w:bCs/>
                <w:noProof w:val="0"/>
                <w:szCs w:val="22"/>
                <w:lang w:val="de-DE"/>
                <w:rPrChange w:id="3249" w:author="Author">
                  <w:rPr>
                    <w:b/>
                    <w:bCs/>
                    <w:noProof w:val="0"/>
                    <w:szCs w:val="22"/>
                    <w:lang w:val="nl-NL"/>
                  </w:rPr>
                </w:rPrChange>
              </w:rPr>
            </w:pPr>
            <w:r w:rsidRPr="00D55B59">
              <w:rPr>
                <w:b/>
                <w:bCs/>
                <w:noProof w:val="0"/>
                <w:szCs w:val="22"/>
                <w:lang w:val="de-DE"/>
                <w:rPrChange w:id="3250" w:author="Author">
                  <w:rPr>
                    <w:b/>
                    <w:bCs/>
                    <w:noProof w:val="0"/>
                    <w:szCs w:val="22"/>
                    <w:lang w:val="nl-NL"/>
                  </w:rPr>
                </w:rPrChange>
              </w:rPr>
              <w:t>Latvija</w:t>
            </w:r>
          </w:p>
          <w:p w14:paraId="4E10B76D" w14:textId="77777777" w:rsidR="006D66D9" w:rsidRPr="00D55B59" w:rsidRDefault="006D66D9" w:rsidP="00FB5458">
            <w:pPr>
              <w:pStyle w:val="lbltxt"/>
              <w:rPr>
                <w:noProof w:val="0"/>
                <w:szCs w:val="22"/>
                <w:lang w:val="de-DE"/>
                <w:rPrChange w:id="3251" w:author="Author">
                  <w:rPr>
                    <w:noProof w:val="0"/>
                    <w:szCs w:val="22"/>
                    <w:lang w:val="nl-NL"/>
                  </w:rPr>
                </w:rPrChange>
              </w:rPr>
            </w:pPr>
            <w:r w:rsidRPr="00D55B59">
              <w:rPr>
                <w:noProof w:val="0"/>
                <w:szCs w:val="22"/>
                <w:lang w:val="de-DE"/>
                <w:rPrChange w:id="3252" w:author="Author">
                  <w:rPr>
                    <w:noProof w:val="0"/>
                    <w:szCs w:val="22"/>
                    <w:lang w:val="nl-NL"/>
                  </w:rPr>
                </w:rPrChange>
              </w:rPr>
              <w:t>Amgen Switzerland AG Rīgas filiāle</w:t>
            </w:r>
          </w:p>
          <w:p w14:paraId="7259B97F" w14:textId="77777777" w:rsidR="006D66D9" w:rsidRPr="00D55B59" w:rsidRDefault="006D66D9" w:rsidP="00FB5458">
            <w:pPr>
              <w:pStyle w:val="lbltxt"/>
              <w:rPr>
                <w:noProof w:val="0"/>
                <w:szCs w:val="22"/>
                <w:lang w:val="en-GB"/>
                <w:rPrChange w:id="3253" w:author="Author">
                  <w:rPr>
                    <w:noProof w:val="0"/>
                    <w:szCs w:val="22"/>
                  </w:rPr>
                </w:rPrChange>
              </w:rPr>
            </w:pPr>
            <w:r w:rsidRPr="00D55B59">
              <w:rPr>
                <w:bCs/>
                <w:noProof w:val="0"/>
                <w:szCs w:val="22"/>
                <w:lang w:val="en-GB"/>
                <w:rPrChange w:id="3254" w:author="Author">
                  <w:rPr>
                    <w:bCs/>
                    <w:noProof w:val="0"/>
                    <w:szCs w:val="22"/>
                  </w:rPr>
                </w:rPrChange>
              </w:rPr>
              <w:t>Tel: +</w:t>
            </w:r>
            <w:r w:rsidRPr="00D55B59">
              <w:rPr>
                <w:noProof w:val="0"/>
                <w:szCs w:val="22"/>
                <w:lang w:val="en-GB"/>
                <w:rPrChange w:id="3255" w:author="Author">
                  <w:rPr>
                    <w:noProof w:val="0"/>
                    <w:szCs w:val="22"/>
                  </w:rPr>
                </w:rPrChange>
              </w:rPr>
              <w:t>371 257 25888</w:t>
            </w:r>
          </w:p>
          <w:p w14:paraId="772E225D" w14:textId="77777777" w:rsidR="006D66D9" w:rsidRPr="001775D9" w:rsidRDefault="006D66D9" w:rsidP="00FB5458">
            <w:pPr>
              <w:rPr>
                <w:szCs w:val="22"/>
              </w:rPr>
            </w:pPr>
          </w:p>
        </w:tc>
        <w:tc>
          <w:tcPr>
            <w:tcW w:w="4679" w:type="dxa"/>
          </w:tcPr>
          <w:p w14:paraId="25864122" w14:textId="77777777" w:rsidR="006D66D9" w:rsidRPr="00D55B59" w:rsidRDefault="006D66D9" w:rsidP="00452AE6">
            <w:pPr>
              <w:pStyle w:val="lbltxt"/>
              <w:rPr>
                <w:noProof w:val="0"/>
                <w:szCs w:val="22"/>
                <w:lang w:val="en-GB"/>
                <w:rPrChange w:id="3256" w:author="Author">
                  <w:rPr>
                    <w:szCs w:val="22"/>
                  </w:rPr>
                </w:rPrChange>
              </w:rPr>
            </w:pPr>
          </w:p>
        </w:tc>
      </w:tr>
    </w:tbl>
    <w:p w14:paraId="29C66C32" w14:textId="77777777" w:rsidR="009B66EC" w:rsidRPr="001775D9" w:rsidRDefault="009B66EC" w:rsidP="00B61D9D">
      <w:pPr>
        <w:spacing w:line="240" w:lineRule="auto"/>
        <w:rPr>
          <w:szCs w:val="22"/>
        </w:rPr>
      </w:pPr>
    </w:p>
    <w:p w14:paraId="3C3185B1" w14:textId="01653D37" w:rsidR="00C42229" w:rsidRPr="001775D9" w:rsidRDefault="00C42229" w:rsidP="008415E1">
      <w:pPr>
        <w:numPr>
          <w:ilvl w:val="12"/>
          <w:numId w:val="0"/>
        </w:numPr>
        <w:tabs>
          <w:tab w:val="clear" w:pos="567"/>
        </w:tabs>
        <w:spacing w:line="240" w:lineRule="auto"/>
        <w:ind w:right="-2"/>
        <w:outlineLvl w:val="0"/>
        <w:rPr>
          <w:szCs w:val="22"/>
        </w:rPr>
      </w:pPr>
      <w:r w:rsidRPr="001775D9">
        <w:rPr>
          <w:b/>
          <w:szCs w:val="22"/>
        </w:rPr>
        <w:t xml:space="preserve">This leaflet was last </w:t>
      </w:r>
      <w:r w:rsidRPr="001775D9">
        <w:rPr>
          <w:b/>
        </w:rPr>
        <w:t>revised in</w:t>
      </w:r>
      <w:r w:rsidR="001C55FB" w:rsidRPr="001775D9">
        <w:rPr>
          <w:b/>
        </w:rPr>
        <w:fldChar w:fldCharType="begin"/>
      </w:r>
      <w:r w:rsidR="001C55FB" w:rsidRPr="001775D9">
        <w:rPr>
          <w:b/>
        </w:rPr>
        <w:instrText xml:space="preserve"> DOCVARIABLE vault_nd_d1dab25b-b5bc-4422-8e3d-cb517224d8c4 \* MERGEFORMAT </w:instrText>
      </w:r>
      <w:r w:rsidR="001C55FB" w:rsidRPr="001775D9">
        <w:rPr>
          <w:b/>
        </w:rPr>
        <w:fldChar w:fldCharType="separate"/>
      </w:r>
      <w:r w:rsidR="001C55FB" w:rsidRPr="001775D9">
        <w:rPr>
          <w:b/>
        </w:rPr>
        <w:t xml:space="preserve"> </w:t>
      </w:r>
      <w:r w:rsidR="001C55FB" w:rsidRPr="001775D9">
        <w:rPr>
          <w:b/>
        </w:rPr>
        <w:fldChar w:fldCharType="end"/>
      </w:r>
    </w:p>
    <w:p w14:paraId="52E2B4BC" w14:textId="77777777" w:rsidR="00C42229" w:rsidRPr="001775D9" w:rsidRDefault="00C42229" w:rsidP="008415E1">
      <w:pPr>
        <w:numPr>
          <w:ilvl w:val="12"/>
          <w:numId w:val="0"/>
        </w:numPr>
        <w:spacing w:line="240" w:lineRule="auto"/>
        <w:ind w:right="-2"/>
        <w:rPr>
          <w:szCs w:val="22"/>
        </w:rPr>
      </w:pPr>
    </w:p>
    <w:p w14:paraId="5E3C7D8A" w14:textId="77777777" w:rsidR="00FA7F10" w:rsidRPr="001775D9" w:rsidRDefault="00FA7F10" w:rsidP="008415E1">
      <w:pPr>
        <w:numPr>
          <w:ilvl w:val="12"/>
          <w:numId w:val="0"/>
        </w:numPr>
        <w:tabs>
          <w:tab w:val="clear" w:pos="567"/>
        </w:tabs>
        <w:spacing w:line="240" w:lineRule="auto"/>
        <w:ind w:right="-2"/>
        <w:rPr>
          <w:b/>
        </w:rPr>
      </w:pPr>
      <w:r w:rsidRPr="001775D9">
        <w:rPr>
          <w:b/>
        </w:rPr>
        <w:t>Other sources of information</w:t>
      </w:r>
    </w:p>
    <w:p w14:paraId="51A910E4" w14:textId="77777777" w:rsidR="00C42229" w:rsidRPr="001775D9" w:rsidRDefault="00C42229" w:rsidP="008415E1">
      <w:pPr>
        <w:numPr>
          <w:ilvl w:val="12"/>
          <w:numId w:val="0"/>
        </w:numPr>
        <w:spacing w:line="240" w:lineRule="auto"/>
        <w:ind w:right="-2"/>
      </w:pPr>
    </w:p>
    <w:p w14:paraId="5DF9DB09" w14:textId="77777777" w:rsidR="00C42229" w:rsidRPr="001775D9" w:rsidRDefault="00C42229" w:rsidP="008415E1">
      <w:pPr>
        <w:numPr>
          <w:ilvl w:val="12"/>
          <w:numId w:val="0"/>
        </w:numPr>
        <w:spacing w:line="240" w:lineRule="auto"/>
        <w:ind w:right="-2"/>
        <w:rPr>
          <w:szCs w:val="22"/>
        </w:rPr>
      </w:pPr>
      <w:r w:rsidRPr="001775D9">
        <w:t xml:space="preserve">Detailed information on this medicine is available on the European Medicines Agency web site: </w:t>
      </w:r>
      <w:hyperlink r:id="rId32" w:history="1">
        <w:r w:rsidRPr="001775D9">
          <w:rPr>
            <w:rStyle w:val="Hyperlink"/>
            <w:szCs w:val="22"/>
          </w:rPr>
          <w:t>http://www.ema.europa.eu</w:t>
        </w:r>
      </w:hyperlink>
      <w:r w:rsidRPr="001775D9">
        <w:rPr>
          <w:szCs w:val="22"/>
        </w:rPr>
        <w:t>.</w:t>
      </w:r>
    </w:p>
    <w:p w14:paraId="5554CACD" w14:textId="77777777" w:rsidR="00C42229" w:rsidRPr="001775D9" w:rsidRDefault="00C42229" w:rsidP="008415E1">
      <w:pPr>
        <w:numPr>
          <w:ilvl w:val="12"/>
          <w:numId w:val="0"/>
        </w:numPr>
        <w:spacing w:line="240" w:lineRule="auto"/>
        <w:ind w:right="-2"/>
        <w:rPr>
          <w:szCs w:val="22"/>
        </w:rPr>
      </w:pPr>
    </w:p>
    <w:p w14:paraId="30F4EED8" w14:textId="77777777" w:rsidR="00C42229" w:rsidRPr="001775D9" w:rsidRDefault="00C42229" w:rsidP="008415E1">
      <w:pPr>
        <w:numPr>
          <w:ilvl w:val="12"/>
          <w:numId w:val="0"/>
        </w:numPr>
        <w:tabs>
          <w:tab w:val="clear" w:pos="567"/>
        </w:tabs>
        <w:spacing w:line="240" w:lineRule="auto"/>
        <w:ind w:right="-2"/>
        <w:rPr>
          <w:szCs w:val="22"/>
        </w:rPr>
      </w:pPr>
      <w:r w:rsidRPr="001775D9">
        <w:rPr>
          <w:szCs w:val="22"/>
        </w:rPr>
        <w:t>---------------------------------------------------------------------------------------------------------------------------</w:t>
      </w:r>
    </w:p>
    <w:p w14:paraId="3F7B9C2D" w14:textId="77777777" w:rsidR="0098482D" w:rsidRPr="001775D9" w:rsidRDefault="0098482D" w:rsidP="008415E1">
      <w:pPr>
        <w:numPr>
          <w:ilvl w:val="12"/>
          <w:numId w:val="0"/>
        </w:numPr>
        <w:tabs>
          <w:tab w:val="clear" w:pos="567"/>
        </w:tabs>
        <w:spacing w:line="240" w:lineRule="auto"/>
        <w:ind w:right="-2"/>
        <w:rPr>
          <w:szCs w:val="22"/>
        </w:rPr>
      </w:pPr>
    </w:p>
    <w:tbl>
      <w:tblPr>
        <w:tblW w:w="4963" w:type="pct"/>
        <w:tblLook w:val="04A0" w:firstRow="1" w:lastRow="0" w:firstColumn="1" w:lastColumn="0" w:noHBand="0" w:noVBand="1"/>
      </w:tblPr>
      <w:tblGrid>
        <w:gridCol w:w="1968"/>
        <w:gridCol w:w="2663"/>
        <w:gridCol w:w="2509"/>
        <w:gridCol w:w="2078"/>
      </w:tblGrid>
      <w:tr w:rsidR="0098482D" w:rsidRPr="00F04F82" w14:paraId="4CC3CEE6" w14:textId="77777777" w:rsidTr="00424887">
        <w:trPr>
          <w:trHeight w:val="283"/>
        </w:trPr>
        <w:tc>
          <w:tcPr>
            <w:tcW w:w="5000" w:type="pct"/>
            <w:gridSpan w:val="4"/>
            <w:tcBorders>
              <w:top w:val="single" w:sz="4" w:space="0" w:color="000000"/>
              <w:left w:val="single" w:sz="4" w:space="0" w:color="auto"/>
              <w:bottom w:val="single" w:sz="4" w:space="0" w:color="auto"/>
              <w:right w:val="single" w:sz="4" w:space="0" w:color="auto"/>
            </w:tcBorders>
          </w:tcPr>
          <w:p w14:paraId="04233DAC" w14:textId="77777777" w:rsidR="0098482D" w:rsidRPr="001775D9" w:rsidRDefault="0098482D" w:rsidP="00FB5458">
            <w:pPr>
              <w:keepNext/>
              <w:keepLines/>
              <w:spacing w:line="240" w:lineRule="auto"/>
              <w:rPr>
                <w:szCs w:val="22"/>
              </w:rPr>
            </w:pPr>
            <w:r w:rsidRPr="001775D9">
              <w:rPr>
                <w:szCs w:val="22"/>
              </w:rPr>
              <w:t>Instructions for use:</w:t>
            </w:r>
          </w:p>
          <w:p w14:paraId="5701A25C" w14:textId="77777777" w:rsidR="0098482D" w:rsidRPr="00D55B59" w:rsidRDefault="003C5B91" w:rsidP="00FB5458">
            <w:pPr>
              <w:pStyle w:val="lbltxt"/>
              <w:keepNext/>
              <w:keepLines/>
              <w:rPr>
                <w:noProof w:val="0"/>
                <w:szCs w:val="22"/>
                <w:lang w:val="en-GB"/>
                <w:rPrChange w:id="3257" w:author="Author">
                  <w:rPr>
                    <w:noProof w:val="0"/>
                    <w:szCs w:val="22"/>
                  </w:rPr>
                </w:rPrChange>
              </w:rPr>
            </w:pPr>
            <w:r w:rsidRPr="00D55B59">
              <w:rPr>
                <w:rFonts w:eastAsia="Calibri"/>
                <w:noProof w:val="0"/>
                <w:szCs w:val="22"/>
                <w:lang w:val="en-GB"/>
                <w:rPrChange w:id="3258" w:author="Author">
                  <w:rPr>
                    <w:rFonts w:eastAsia="Calibri"/>
                    <w:noProof w:val="0"/>
                    <w:szCs w:val="22"/>
                  </w:rPr>
                </w:rPrChange>
              </w:rPr>
              <w:t>AMGEVITA</w:t>
            </w:r>
            <w:r w:rsidR="0098482D" w:rsidRPr="00D55B59">
              <w:rPr>
                <w:noProof w:val="0"/>
                <w:szCs w:val="22"/>
                <w:lang w:val="en-GB"/>
                <w:rPrChange w:id="3259" w:author="Author">
                  <w:rPr>
                    <w:noProof w:val="0"/>
                    <w:szCs w:val="22"/>
                  </w:rPr>
                </w:rPrChange>
              </w:rPr>
              <w:t xml:space="preserve"> single use pre-filled syringe</w:t>
            </w:r>
          </w:p>
          <w:p w14:paraId="74BE8A12" w14:textId="77777777" w:rsidR="0098482D" w:rsidRPr="00D55B59" w:rsidRDefault="0098482D" w:rsidP="00FB5458">
            <w:pPr>
              <w:pStyle w:val="lbltxt"/>
              <w:keepNext/>
              <w:keepLines/>
              <w:rPr>
                <w:b/>
                <w:noProof w:val="0"/>
                <w:szCs w:val="22"/>
                <w:lang w:val="en-GB"/>
                <w:rPrChange w:id="3260" w:author="Author">
                  <w:rPr>
                    <w:b/>
                    <w:noProof w:val="0"/>
                    <w:szCs w:val="22"/>
                  </w:rPr>
                </w:rPrChange>
              </w:rPr>
            </w:pPr>
            <w:r w:rsidRPr="00D55B59">
              <w:rPr>
                <w:noProof w:val="0"/>
                <w:szCs w:val="22"/>
                <w:lang w:val="en-GB"/>
                <w:rPrChange w:id="3261" w:author="Author">
                  <w:rPr>
                    <w:noProof w:val="0"/>
                    <w:szCs w:val="22"/>
                  </w:rPr>
                </w:rPrChange>
              </w:rPr>
              <w:t>For subcutaneous use</w:t>
            </w:r>
          </w:p>
        </w:tc>
      </w:tr>
      <w:tr w:rsidR="0098482D" w:rsidRPr="00F04F82" w14:paraId="05F77875" w14:textId="77777777" w:rsidTr="00CF1970">
        <w:trPr>
          <w:trHeight w:val="73"/>
        </w:trPr>
        <w:tc>
          <w:tcPr>
            <w:tcW w:w="5000" w:type="pct"/>
            <w:gridSpan w:val="4"/>
            <w:tcBorders>
              <w:top w:val="single" w:sz="4" w:space="0" w:color="auto"/>
              <w:bottom w:val="single" w:sz="4" w:space="0" w:color="auto"/>
            </w:tcBorders>
          </w:tcPr>
          <w:p w14:paraId="0EE518DC" w14:textId="77777777" w:rsidR="0098482D" w:rsidRPr="001775D9" w:rsidRDefault="0098482D" w:rsidP="00FB5458">
            <w:pPr>
              <w:keepNext/>
              <w:keepLines/>
              <w:spacing w:line="240" w:lineRule="auto"/>
              <w:jc w:val="center"/>
              <w:rPr>
                <w:bCs/>
                <w:szCs w:val="22"/>
              </w:rPr>
            </w:pPr>
          </w:p>
        </w:tc>
      </w:tr>
      <w:tr w:rsidR="0098482D" w:rsidRPr="00F04F82" w14:paraId="0D7FE593" w14:textId="77777777" w:rsidTr="00CF1970">
        <w:tc>
          <w:tcPr>
            <w:tcW w:w="5000" w:type="pct"/>
            <w:gridSpan w:val="4"/>
            <w:tcBorders>
              <w:top w:val="single" w:sz="4" w:space="0" w:color="auto"/>
              <w:left w:val="single" w:sz="4" w:space="0" w:color="auto"/>
              <w:bottom w:val="single" w:sz="4" w:space="0" w:color="auto"/>
              <w:right w:val="single" w:sz="4" w:space="0" w:color="auto"/>
            </w:tcBorders>
          </w:tcPr>
          <w:p w14:paraId="01D4CD64" w14:textId="77777777" w:rsidR="0098482D" w:rsidRPr="001775D9" w:rsidRDefault="0098482D" w:rsidP="00FB5458">
            <w:pPr>
              <w:keepNext/>
              <w:keepLines/>
              <w:spacing w:line="240" w:lineRule="auto"/>
              <w:jc w:val="center"/>
              <w:rPr>
                <w:b/>
                <w:bCs/>
                <w:szCs w:val="22"/>
              </w:rPr>
            </w:pPr>
            <w:r w:rsidRPr="001775D9">
              <w:rPr>
                <w:b/>
                <w:bCs/>
                <w:szCs w:val="22"/>
              </w:rPr>
              <w:t>Guide to parts</w:t>
            </w:r>
          </w:p>
          <w:p w14:paraId="5BD8213C" w14:textId="77777777" w:rsidR="0098482D" w:rsidRPr="001775D9" w:rsidRDefault="0098482D" w:rsidP="00FB5458">
            <w:pPr>
              <w:keepNext/>
              <w:keepLines/>
              <w:spacing w:line="240" w:lineRule="auto"/>
              <w:jc w:val="center"/>
              <w:rPr>
                <w:b/>
                <w:szCs w:val="22"/>
              </w:rPr>
            </w:pPr>
          </w:p>
        </w:tc>
      </w:tr>
      <w:tr w:rsidR="00CF1970" w:rsidRPr="00F04F82" w14:paraId="05F48532" w14:textId="77777777" w:rsidTr="00D37CCD">
        <w:trPr>
          <w:trHeight w:val="332"/>
        </w:trPr>
        <w:tc>
          <w:tcPr>
            <w:tcW w:w="2515" w:type="pct"/>
            <w:gridSpan w:val="2"/>
            <w:tcBorders>
              <w:top w:val="single" w:sz="4" w:space="0" w:color="auto"/>
              <w:left w:val="single" w:sz="4" w:space="0" w:color="auto"/>
              <w:bottom w:val="single" w:sz="4" w:space="0" w:color="auto"/>
              <w:right w:val="single" w:sz="4" w:space="0" w:color="auto"/>
            </w:tcBorders>
          </w:tcPr>
          <w:p w14:paraId="7E96FCA9" w14:textId="77777777" w:rsidR="0098482D" w:rsidRPr="001775D9" w:rsidRDefault="0098482D" w:rsidP="00FB5458">
            <w:pPr>
              <w:keepNext/>
              <w:keepLines/>
              <w:spacing w:line="240" w:lineRule="auto"/>
              <w:jc w:val="center"/>
              <w:rPr>
                <w:b/>
                <w:bCs/>
                <w:szCs w:val="22"/>
              </w:rPr>
            </w:pPr>
            <w:r w:rsidRPr="001775D9">
              <w:rPr>
                <w:b/>
                <w:bCs/>
                <w:szCs w:val="22"/>
              </w:rPr>
              <w:t>Before use</w:t>
            </w:r>
          </w:p>
        </w:tc>
        <w:tc>
          <w:tcPr>
            <w:tcW w:w="2485" w:type="pct"/>
            <w:gridSpan w:val="2"/>
            <w:tcBorders>
              <w:top w:val="single" w:sz="4" w:space="0" w:color="auto"/>
              <w:left w:val="single" w:sz="4" w:space="0" w:color="auto"/>
              <w:bottom w:val="single" w:sz="4" w:space="0" w:color="auto"/>
              <w:right w:val="single" w:sz="4" w:space="0" w:color="auto"/>
            </w:tcBorders>
          </w:tcPr>
          <w:p w14:paraId="0167CB72" w14:textId="77777777" w:rsidR="0098482D" w:rsidRPr="001775D9" w:rsidRDefault="0098482D" w:rsidP="00FB5458">
            <w:pPr>
              <w:keepNext/>
              <w:spacing w:line="240" w:lineRule="auto"/>
              <w:jc w:val="center"/>
              <w:rPr>
                <w:b/>
                <w:bCs/>
                <w:szCs w:val="22"/>
              </w:rPr>
            </w:pPr>
            <w:r w:rsidRPr="001775D9">
              <w:rPr>
                <w:b/>
                <w:bCs/>
                <w:szCs w:val="22"/>
              </w:rPr>
              <w:t>After use</w:t>
            </w:r>
          </w:p>
        </w:tc>
      </w:tr>
      <w:tr w:rsidR="00D37CCD" w:rsidRPr="00F04F82" w14:paraId="09A9D604" w14:textId="77777777" w:rsidTr="00CF1970">
        <w:trPr>
          <w:cantSplit/>
          <w:trHeight w:val="9168"/>
        </w:trPr>
        <w:tc>
          <w:tcPr>
            <w:tcW w:w="1069" w:type="pct"/>
            <w:tcBorders>
              <w:top w:val="single" w:sz="4" w:space="0" w:color="auto"/>
              <w:left w:val="single" w:sz="4" w:space="0" w:color="auto"/>
              <w:bottom w:val="single" w:sz="4" w:space="0" w:color="auto"/>
            </w:tcBorders>
          </w:tcPr>
          <w:tbl>
            <w:tblPr>
              <w:tblW w:w="0" w:type="auto"/>
              <w:tblLook w:val="04A0" w:firstRow="1" w:lastRow="0" w:firstColumn="1" w:lastColumn="0" w:noHBand="0" w:noVBand="1"/>
            </w:tblPr>
            <w:tblGrid>
              <w:gridCol w:w="1752"/>
            </w:tblGrid>
            <w:tr w:rsidR="0098482D" w:rsidRPr="00F04F82" w14:paraId="605BBA52" w14:textId="77777777" w:rsidTr="001311BD">
              <w:trPr>
                <w:trHeight w:val="253"/>
              </w:trPr>
              <w:tc>
                <w:tcPr>
                  <w:tcW w:w="2008" w:type="dxa"/>
                  <w:tcMar>
                    <w:top w:w="113" w:type="dxa"/>
                  </w:tcMar>
                  <w:vAlign w:val="bottom"/>
                </w:tcPr>
                <w:p w14:paraId="10A68C29" w14:textId="77777777" w:rsidR="0098482D" w:rsidRPr="001775D9" w:rsidRDefault="0098482D" w:rsidP="00FB5458">
                  <w:pPr>
                    <w:keepNext/>
                    <w:keepLines/>
                    <w:spacing w:line="240" w:lineRule="auto"/>
                    <w:ind w:right="-76"/>
                    <w:jc w:val="right"/>
                    <w:rPr>
                      <w:szCs w:val="22"/>
                    </w:rPr>
                  </w:pPr>
                  <w:r w:rsidRPr="001775D9">
                    <w:rPr>
                      <w:szCs w:val="22"/>
                    </w:rPr>
                    <w:t>Plunger rod</w:t>
                  </w:r>
                </w:p>
              </w:tc>
            </w:tr>
            <w:tr w:rsidR="0098482D" w:rsidRPr="00F04F82" w14:paraId="57D9F82A" w14:textId="77777777" w:rsidTr="001311BD">
              <w:trPr>
                <w:trHeight w:val="1562"/>
              </w:trPr>
              <w:tc>
                <w:tcPr>
                  <w:tcW w:w="2008" w:type="dxa"/>
                  <w:vAlign w:val="bottom"/>
                </w:tcPr>
                <w:p w14:paraId="3A07C9EA" w14:textId="77777777" w:rsidR="0098482D" w:rsidRPr="001775D9" w:rsidRDefault="0098482D" w:rsidP="00FB5458">
                  <w:pPr>
                    <w:keepNext/>
                    <w:keepLines/>
                    <w:spacing w:line="240" w:lineRule="auto"/>
                    <w:ind w:right="-76"/>
                    <w:jc w:val="right"/>
                    <w:rPr>
                      <w:szCs w:val="22"/>
                    </w:rPr>
                  </w:pPr>
                  <w:r w:rsidRPr="001775D9">
                    <w:rPr>
                      <w:szCs w:val="22"/>
                    </w:rPr>
                    <w:t xml:space="preserve">Finger flange </w:t>
                  </w:r>
                </w:p>
              </w:tc>
            </w:tr>
            <w:tr w:rsidR="0098482D" w:rsidRPr="00F04F82" w14:paraId="3673FD1E" w14:textId="77777777" w:rsidTr="001311BD">
              <w:trPr>
                <w:trHeight w:val="846"/>
              </w:trPr>
              <w:tc>
                <w:tcPr>
                  <w:tcW w:w="2008" w:type="dxa"/>
                  <w:vAlign w:val="bottom"/>
                </w:tcPr>
                <w:p w14:paraId="60123B26" w14:textId="281C0B88" w:rsidR="0098482D" w:rsidRPr="001775D9" w:rsidRDefault="0098482D" w:rsidP="00FB5458">
                  <w:pPr>
                    <w:keepNext/>
                    <w:keepLines/>
                    <w:spacing w:line="240" w:lineRule="auto"/>
                    <w:ind w:right="-76"/>
                    <w:jc w:val="right"/>
                    <w:rPr>
                      <w:szCs w:val="22"/>
                    </w:rPr>
                  </w:pPr>
                  <w:r w:rsidRPr="001775D9">
                    <w:rPr>
                      <w:szCs w:val="22"/>
                    </w:rPr>
                    <w:t xml:space="preserve">Label and </w:t>
                  </w:r>
                  <w:r w:rsidR="00C7380C" w:rsidRPr="001775D9">
                    <w:rPr>
                      <w:szCs w:val="22"/>
                    </w:rPr>
                    <w:t>expiry</w:t>
                  </w:r>
                  <w:r w:rsidRPr="001775D9">
                    <w:rPr>
                      <w:szCs w:val="22"/>
                    </w:rPr>
                    <w:t xml:space="preserve"> date</w:t>
                  </w:r>
                </w:p>
              </w:tc>
            </w:tr>
            <w:tr w:rsidR="0098482D" w:rsidRPr="00F04F82" w14:paraId="281ECFD1" w14:textId="77777777" w:rsidTr="001311BD">
              <w:trPr>
                <w:trHeight w:val="859"/>
              </w:trPr>
              <w:tc>
                <w:tcPr>
                  <w:tcW w:w="2008" w:type="dxa"/>
                  <w:vAlign w:val="bottom"/>
                </w:tcPr>
                <w:p w14:paraId="1AC23959" w14:textId="77777777" w:rsidR="0098482D" w:rsidRPr="001775D9" w:rsidRDefault="0098482D" w:rsidP="00FB5458">
                  <w:pPr>
                    <w:keepNext/>
                    <w:keepLines/>
                    <w:spacing w:line="240" w:lineRule="auto"/>
                    <w:ind w:right="-76"/>
                    <w:jc w:val="right"/>
                    <w:rPr>
                      <w:szCs w:val="22"/>
                    </w:rPr>
                  </w:pPr>
                  <w:r w:rsidRPr="001775D9">
                    <w:rPr>
                      <w:szCs w:val="22"/>
                    </w:rPr>
                    <w:t xml:space="preserve">Syringe barrel </w:t>
                  </w:r>
                </w:p>
              </w:tc>
            </w:tr>
            <w:tr w:rsidR="0098482D" w:rsidRPr="00F04F82" w14:paraId="38B81595" w14:textId="77777777" w:rsidTr="00CF1970">
              <w:trPr>
                <w:trHeight w:val="700"/>
              </w:trPr>
              <w:tc>
                <w:tcPr>
                  <w:tcW w:w="2008" w:type="dxa"/>
                  <w:vAlign w:val="bottom"/>
                </w:tcPr>
                <w:p w14:paraId="41175F84" w14:textId="77777777" w:rsidR="0098482D" w:rsidRPr="001775D9" w:rsidRDefault="0098482D" w:rsidP="00FB5458">
                  <w:pPr>
                    <w:keepNext/>
                    <w:keepLines/>
                    <w:spacing w:line="240" w:lineRule="auto"/>
                    <w:ind w:right="-76"/>
                    <w:jc w:val="right"/>
                    <w:rPr>
                      <w:szCs w:val="22"/>
                    </w:rPr>
                  </w:pPr>
                  <w:r w:rsidRPr="001775D9">
                    <w:rPr>
                      <w:szCs w:val="22"/>
                    </w:rPr>
                    <w:t>Medicine</w:t>
                  </w:r>
                </w:p>
              </w:tc>
            </w:tr>
            <w:tr w:rsidR="0098482D" w:rsidRPr="00F04F82" w14:paraId="4A325775" w14:textId="77777777" w:rsidTr="001311BD">
              <w:trPr>
                <w:trHeight w:val="998"/>
              </w:trPr>
              <w:tc>
                <w:tcPr>
                  <w:tcW w:w="2008" w:type="dxa"/>
                  <w:vAlign w:val="bottom"/>
                </w:tcPr>
                <w:p w14:paraId="0920CBAD" w14:textId="77777777" w:rsidR="0098482D" w:rsidRPr="001775D9" w:rsidRDefault="000B78A2" w:rsidP="00FB5458">
                  <w:pPr>
                    <w:keepNext/>
                    <w:keepLines/>
                    <w:spacing w:line="240" w:lineRule="auto"/>
                    <w:ind w:right="-76"/>
                    <w:jc w:val="right"/>
                    <w:rPr>
                      <w:szCs w:val="22"/>
                    </w:rPr>
                  </w:pPr>
                  <w:r w:rsidRPr="001775D9">
                    <w:rPr>
                      <w:szCs w:val="22"/>
                    </w:rPr>
                    <w:t>N</w:t>
                  </w:r>
                  <w:r w:rsidR="0098482D" w:rsidRPr="001775D9">
                    <w:rPr>
                      <w:szCs w:val="22"/>
                    </w:rPr>
                    <w:t xml:space="preserve">eedle </w:t>
                  </w:r>
                  <w:r w:rsidR="0098482D" w:rsidRPr="001775D9">
                    <w:rPr>
                      <w:szCs w:val="22"/>
                    </w:rPr>
                    <w:br/>
                    <w:t>cap on</w:t>
                  </w:r>
                </w:p>
              </w:tc>
            </w:tr>
          </w:tbl>
          <w:p w14:paraId="0851F268" w14:textId="77777777" w:rsidR="0098482D" w:rsidRPr="001775D9" w:rsidRDefault="0098482D" w:rsidP="00FB5458">
            <w:pPr>
              <w:keepNext/>
              <w:keepLines/>
              <w:spacing w:line="240" w:lineRule="auto"/>
              <w:jc w:val="right"/>
              <w:rPr>
                <w:szCs w:val="22"/>
              </w:rPr>
            </w:pPr>
          </w:p>
        </w:tc>
        <w:tc>
          <w:tcPr>
            <w:tcW w:w="1446" w:type="pct"/>
            <w:tcBorders>
              <w:top w:val="single" w:sz="4" w:space="0" w:color="auto"/>
              <w:bottom w:val="single" w:sz="4" w:space="0" w:color="auto"/>
              <w:right w:val="single" w:sz="4" w:space="0" w:color="auto"/>
            </w:tcBorders>
          </w:tcPr>
          <w:p w14:paraId="4ACD3D86" w14:textId="3489707D" w:rsidR="0098482D" w:rsidRPr="001775D9" w:rsidRDefault="00D96030" w:rsidP="00FB5458">
            <w:pPr>
              <w:keepNext/>
              <w:keepLines/>
              <w:spacing w:line="240" w:lineRule="auto"/>
              <w:ind w:left="-75"/>
              <w:rPr>
                <w:szCs w:val="22"/>
              </w:rPr>
            </w:pPr>
            <w:r>
              <w:rPr>
                <w:szCs w:val="22"/>
              </w:rPr>
              <w:pict w14:anchorId="3F9C01C9">
                <v:shape id="_x0000_i1041" type="#_x0000_t75" style="width:103pt;height:277.5pt;visibility:visible;mso-wrap-style:square">
                  <v:imagedata r:id="rId33" o:title=""/>
                </v:shape>
              </w:pict>
            </w:r>
          </w:p>
        </w:tc>
        <w:tc>
          <w:tcPr>
            <w:tcW w:w="1356" w:type="pct"/>
            <w:tcBorders>
              <w:top w:val="single" w:sz="4" w:space="0" w:color="auto"/>
              <w:left w:val="single" w:sz="4" w:space="0" w:color="auto"/>
              <w:bottom w:val="single" w:sz="4" w:space="0" w:color="auto"/>
            </w:tcBorders>
          </w:tcPr>
          <w:p w14:paraId="3EBE0AEE" w14:textId="079F18BA" w:rsidR="0098482D" w:rsidRPr="001775D9" w:rsidRDefault="00D96030" w:rsidP="00FB5458">
            <w:pPr>
              <w:spacing w:line="240" w:lineRule="auto"/>
              <w:ind w:right="139"/>
              <w:jc w:val="right"/>
              <w:rPr>
                <w:szCs w:val="22"/>
              </w:rPr>
            </w:pPr>
            <w:r>
              <w:rPr>
                <w:szCs w:val="22"/>
              </w:rPr>
              <w:pict w14:anchorId="27DBA0DA">
                <v:shape id="_x0000_i1042" type="#_x0000_t75" style="width:107.5pt;height:298.5pt;visibility:visible;mso-wrap-style:square">
                  <v:imagedata r:id="rId34" o:title=""/>
                </v:shape>
              </w:pict>
            </w:r>
          </w:p>
        </w:tc>
        <w:tc>
          <w:tcPr>
            <w:tcW w:w="1129" w:type="pct"/>
            <w:tcBorders>
              <w:top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1862"/>
            </w:tblGrid>
            <w:tr w:rsidR="0098482D" w:rsidRPr="00F04F82" w14:paraId="3777B7AB" w14:textId="77777777" w:rsidTr="001311BD">
              <w:trPr>
                <w:trHeight w:val="365"/>
              </w:trPr>
              <w:tc>
                <w:tcPr>
                  <w:tcW w:w="2070" w:type="dxa"/>
                  <w:tcMar>
                    <w:left w:w="113" w:type="dxa"/>
                  </w:tcMar>
                </w:tcPr>
                <w:p w14:paraId="1BB630B8" w14:textId="77777777" w:rsidR="0098482D" w:rsidRPr="001775D9" w:rsidRDefault="0098482D" w:rsidP="00FB5458">
                  <w:r w:rsidRPr="001775D9">
                    <w:t>Used plunger rod</w:t>
                  </w:r>
                </w:p>
              </w:tc>
            </w:tr>
            <w:tr w:rsidR="0098482D" w:rsidRPr="00F04F82" w14:paraId="268EAF4A" w14:textId="77777777" w:rsidTr="001311BD">
              <w:trPr>
                <w:trHeight w:val="866"/>
              </w:trPr>
              <w:tc>
                <w:tcPr>
                  <w:tcW w:w="2070" w:type="dxa"/>
                  <w:tcMar>
                    <w:left w:w="113" w:type="dxa"/>
                  </w:tcMar>
                </w:tcPr>
                <w:p w14:paraId="06CDF723" w14:textId="77777777" w:rsidR="0098482D" w:rsidRPr="001775D9" w:rsidRDefault="0098482D" w:rsidP="00FB5458">
                  <w:r w:rsidRPr="001775D9">
                    <w:t>Finger flange</w:t>
                  </w:r>
                </w:p>
              </w:tc>
            </w:tr>
            <w:tr w:rsidR="0098482D" w:rsidRPr="00F04F82" w14:paraId="2DFA4A49" w14:textId="77777777" w:rsidTr="001311BD">
              <w:trPr>
                <w:trHeight w:val="978"/>
              </w:trPr>
              <w:tc>
                <w:tcPr>
                  <w:tcW w:w="2070" w:type="dxa"/>
                  <w:tcMar>
                    <w:left w:w="113" w:type="dxa"/>
                  </w:tcMar>
                </w:tcPr>
                <w:p w14:paraId="4AE77EDA" w14:textId="56F319A7" w:rsidR="0098482D" w:rsidRPr="001775D9" w:rsidRDefault="0098482D" w:rsidP="00FB5458">
                  <w:r w:rsidRPr="001775D9">
                    <w:t xml:space="preserve">Label and </w:t>
                  </w:r>
                  <w:r w:rsidR="00C7380C" w:rsidRPr="001775D9">
                    <w:rPr>
                      <w:szCs w:val="22"/>
                    </w:rPr>
                    <w:t>expiry</w:t>
                  </w:r>
                  <w:r w:rsidRPr="001775D9">
                    <w:t xml:space="preserve"> date</w:t>
                  </w:r>
                </w:p>
              </w:tc>
            </w:tr>
            <w:tr w:rsidR="0098482D" w:rsidRPr="00F04F82" w14:paraId="12B5F909" w14:textId="77777777" w:rsidTr="001311BD">
              <w:trPr>
                <w:trHeight w:val="1857"/>
              </w:trPr>
              <w:tc>
                <w:tcPr>
                  <w:tcW w:w="2070" w:type="dxa"/>
                  <w:tcMar>
                    <w:left w:w="113" w:type="dxa"/>
                  </w:tcMar>
                </w:tcPr>
                <w:p w14:paraId="7600AB3B" w14:textId="77777777" w:rsidR="0098482D" w:rsidRPr="001775D9" w:rsidRDefault="0098482D" w:rsidP="00FB5458">
                  <w:r w:rsidRPr="001775D9">
                    <w:t>Used syringe barrel</w:t>
                  </w:r>
                </w:p>
              </w:tc>
            </w:tr>
            <w:tr w:rsidR="0098482D" w:rsidRPr="00F04F82" w14:paraId="5936A63A" w14:textId="77777777" w:rsidTr="00CF1970">
              <w:trPr>
                <w:trHeight w:val="1260"/>
              </w:trPr>
              <w:tc>
                <w:tcPr>
                  <w:tcW w:w="2070" w:type="dxa"/>
                  <w:tcMar>
                    <w:left w:w="113" w:type="dxa"/>
                  </w:tcMar>
                </w:tcPr>
                <w:p w14:paraId="6A1F98D2" w14:textId="77777777" w:rsidR="0098482D" w:rsidRPr="001775D9" w:rsidRDefault="0098482D" w:rsidP="00FB5458">
                  <w:r w:rsidRPr="001775D9">
                    <w:t>Used needle</w:t>
                  </w:r>
                </w:p>
              </w:tc>
            </w:tr>
            <w:tr w:rsidR="0098482D" w:rsidRPr="00F04F82" w14:paraId="62657AC8" w14:textId="77777777" w:rsidTr="001311BD">
              <w:trPr>
                <w:trHeight w:val="428"/>
              </w:trPr>
              <w:tc>
                <w:tcPr>
                  <w:tcW w:w="2070" w:type="dxa"/>
                  <w:tcMar>
                    <w:left w:w="113" w:type="dxa"/>
                  </w:tcMar>
                </w:tcPr>
                <w:p w14:paraId="2093D52A" w14:textId="77777777" w:rsidR="0098482D" w:rsidRPr="001775D9" w:rsidRDefault="000B78A2" w:rsidP="00FB5458">
                  <w:r w:rsidRPr="001775D9">
                    <w:t>N</w:t>
                  </w:r>
                  <w:r w:rsidR="0098482D" w:rsidRPr="001775D9">
                    <w:t>eedle cap off</w:t>
                  </w:r>
                </w:p>
              </w:tc>
            </w:tr>
          </w:tbl>
          <w:p w14:paraId="6A243248" w14:textId="77777777" w:rsidR="0098482D" w:rsidRPr="001775D9" w:rsidRDefault="0098482D" w:rsidP="00FB5458">
            <w:pPr>
              <w:spacing w:line="240" w:lineRule="auto"/>
              <w:rPr>
                <w:szCs w:val="22"/>
              </w:rPr>
            </w:pPr>
          </w:p>
        </w:tc>
      </w:tr>
      <w:tr w:rsidR="0098482D" w:rsidRPr="00F04F82" w14:paraId="0CEBCF65" w14:textId="77777777" w:rsidTr="00CF1970">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53841378" w14:textId="77777777" w:rsidR="0098482D" w:rsidRPr="001775D9" w:rsidRDefault="0098482D" w:rsidP="00FB5458">
            <w:pPr>
              <w:spacing w:line="240" w:lineRule="auto"/>
              <w:rPr>
                <w:szCs w:val="22"/>
              </w:rPr>
            </w:pPr>
            <w:r w:rsidRPr="001775D9">
              <w:rPr>
                <w:b/>
                <w:szCs w:val="22"/>
              </w:rPr>
              <w:t xml:space="preserve">Important: </w:t>
            </w:r>
            <w:r w:rsidRPr="001775D9">
              <w:rPr>
                <w:szCs w:val="22"/>
              </w:rPr>
              <w:t>Needle is inside</w:t>
            </w:r>
          </w:p>
        </w:tc>
      </w:tr>
    </w:tbl>
    <w:p w14:paraId="4D7FFF47" w14:textId="77777777" w:rsidR="0098482D" w:rsidRPr="00D55B59" w:rsidRDefault="0098482D" w:rsidP="00FB5458">
      <w:pPr>
        <w:pStyle w:val="lbltxt"/>
        <w:rPr>
          <w:b/>
          <w:noProof w:val="0"/>
          <w:szCs w:val="22"/>
          <w:lang w:val="en-GB"/>
          <w:rPrChange w:id="3262" w:author="Author">
            <w:rPr>
              <w:b/>
              <w:noProof w:val="0"/>
              <w:szCs w:val="22"/>
            </w:rPr>
          </w:rPrChange>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77"/>
        <w:gridCol w:w="8608"/>
      </w:tblGrid>
      <w:tr w:rsidR="0098482D" w:rsidRPr="00F04F82" w14:paraId="07E6E512" w14:textId="77777777" w:rsidTr="008552CA">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4271195D" w14:textId="77777777" w:rsidR="0098482D" w:rsidRPr="001775D9" w:rsidRDefault="0098482D" w:rsidP="004A5512">
            <w:pPr>
              <w:keepNext/>
              <w:keepLines/>
              <w:spacing w:line="240" w:lineRule="auto"/>
              <w:jc w:val="center"/>
              <w:rPr>
                <w:b/>
                <w:szCs w:val="22"/>
              </w:rPr>
            </w:pPr>
            <w:r w:rsidRPr="001775D9">
              <w:rPr>
                <w:b/>
                <w:szCs w:val="22"/>
              </w:rPr>
              <w:t>Important</w:t>
            </w:r>
          </w:p>
        </w:tc>
      </w:tr>
      <w:tr w:rsidR="0098482D" w:rsidRPr="00F04F82" w14:paraId="751F8629" w14:textId="77777777" w:rsidTr="008552CA">
        <w:trPr>
          <w:cantSplit/>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3FEEA6AD" w14:textId="77777777" w:rsidR="0098482D" w:rsidRPr="001775D9" w:rsidRDefault="0098482D" w:rsidP="004A5512">
            <w:pPr>
              <w:keepNext/>
              <w:keepLines/>
              <w:suppressAutoHyphens/>
              <w:autoSpaceDE w:val="0"/>
              <w:autoSpaceDN w:val="0"/>
              <w:adjustRightInd w:val="0"/>
              <w:spacing w:line="240" w:lineRule="auto"/>
              <w:textAlignment w:val="center"/>
              <w:rPr>
                <w:b/>
                <w:bCs/>
                <w:color w:val="000000"/>
                <w:spacing w:val="-4"/>
                <w:szCs w:val="22"/>
              </w:rPr>
            </w:pPr>
            <w:r w:rsidRPr="001775D9">
              <w:rPr>
                <w:b/>
                <w:bCs/>
                <w:color w:val="000000"/>
                <w:spacing w:val="-4"/>
                <w:szCs w:val="22"/>
              </w:rPr>
              <w:t>Before you use a</w:t>
            </w:r>
            <w:r w:rsidR="00F76FF4" w:rsidRPr="001775D9">
              <w:rPr>
                <w:b/>
                <w:bCs/>
                <w:color w:val="000000"/>
                <w:spacing w:val="-4"/>
                <w:szCs w:val="22"/>
              </w:rPr>
              <w:t>n</w:t>
            </w:r>
            <w:r w:rsidRPr="001775D9">
              <w:rPr>
                <w:b/>
                <w:bCs/>
                <w:color w:val="000000"/>
                <w:spacing w:val="-4"/>
                <w:szCs w:val="22"/>
              </w:rPr>
              <w:t xml:space="preserve"> </w:t>
            </w:r>
            <w:r w:rsidR="003C5B91" w:rsidRPr="001775D9">
              <w:rPr>
                <w:b/>
                <w:bCs/>
                <w:color w:val="000000"/>
                <w:spacing w:val="-4"/>
                <w:szCs w:val="22"/>
              </w:rPr>
              <w:t>AMGEVITA</w:t>
            </w:r>
            <w:r w:rsidRPr="001775D9">
              <w:rPr>
                <w:b/>
                <w:bCs/>
                <w:color w:val="000000"/>
                <w:spacing w:val="-4"/>
                <w:szCs w:val="22"/>
              </w:rPr>
              <w:t xml:space="preserve"> pre-filled syringe, read this important information:</w:t>
            </w:r>
          </w:p>
          <w:p w14:paraId="417D0B19" w14:textId="77777777" w:rsidR="0098482D" w:rsidRPr="001775D9" w:rsidRDefault="0098482D" w:rsidP="004A5512">
            <w:pPr>
              <w:keepNext/>
              <w:keepLines/>
              <w:suppressAutoHyphens/>
              <w:autoSpaceDE w:val="0"/>
              <w:autoSpaceDN w:val="0"/>
              <w:adjustRightInd w:val="0"/>
              <w:spacing w:line="240" w:lineRule="auto"/>
              <w:textAlignment w:val="center"/>
              <w:rPr>
                <w:b/>
                <w:bCs/>
                <w:color w:val="000000"/>
                <w:szCs w:val="22"/>
              </w:rPr>
            </w:pPr>
          </w:p>
        </w:tc>
      </w:tr>
      <w:tr w:rsidR="0098482D" w:rsidRPr="00F04F82" w14:paraId="7CB00928" w14:textId="77777777" w:rsidTr="002153EF">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556AC90E" w14:textId="77777777" w:rsidR="0098482D" w:rsidRPr="001775D9" w:rsidRDefault="0098482D" w:rsidP="004A5512">
            <w:pPr>
              <w:keepNext/>
              <w:keepLines/>
              <w:tabs>
                <w:tab w:val="clear" w:pos="567"/>
              </w:tabs>
              <w:autoSpaceDE w:val="0"/>
              <w:autoSpaceDN w:val="0"/>
              <w:adjustRightInd w:val="0"/>
              <w:spacing w:line="240" w:lineRule="auto"/>
              <w:rPr>
                <w:rFonts w:eastAsia="Calibri"/>
                <w:b/>
                <w:bCs/>
                <w:szCs w:val="22"/>
              </w:rPr>
            </w:pPr>
            <w:r w:rsidRPr="001775D9">
              <w:rPr>
                <w:rFonts w:eastAsia="Calibri"/>
                <w:b/>
                <w:bCs/>
                <w:szCs w:val="22"/>
              </w:rPr>
              <w:t xml:space="preserve">Using your </w:t>
            </w:r>
            <w:r w:rsidR="003C5B91" w:rsidRPr="001775D9">
              <w:rPr>
                <w:rFonts w:eastAsia="Calibri"/>
                <w:b/>
                <w:bCs/>
                <w:szCs w:val="22"/>
              </w:rPr>
              <w:t>AMGEVITA</w:t>
            </w:r>
            <w:r w:rsidRPr="001775D9">
              <w:rPr>
                <w:rFonts w:eastAsia="Calibri"/>
                <w:b/>
                <w:bCs/>
                <w:szCs w:val="22"/>
              </w:rPr>
              <w:t xml:space="preserve"> pre-filled syringe</w:t>
            </w:r>
          </w:p>
        </w:tc>
      </w:tr>
      <w:tr w:rsidR="0098482D" w:rsidRPr="00F04F82" w14:paraId="2A3549DE" w14:textId="77777777" w:rsidTr="002153EF">
        <w:trPr>
          <w:cantSplit/>
        </w:trPr>
        <w:tc>
          <w:tcPr>
            <w:tcW w:w="314" w:type="pct"/>
            <w:tcBorders>
              <w:top w:val="nil"/>
              <w:left w:val="single" w:sz="4" w:space="0" w:color="auto"/>
              <w:bottom w:val="nil"/>
              <w:right w:val="nil"/>
            </w:tcBorders>
            <w:tcMar>
              <w:left w:w="57" w:type="dxa"/>
            </w:tcMar>
          </w:tcPr>
          <w:p w14:paraId="085C3307" w14:textId="77777777" w:rsidR="0098482D" w:rsidRPr="001775D9" w:rsidRDefault="0098482D" w:rsidP="004A5512">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86" w:type="pct"/>
            <w:tcBorders>
              <w:top w:val="nil"/>
              <w:left w:val="nil"/>
              <w:bottom w:val="nil"/>
              <w:right w:val="single" w:sz="4" w:space="0" w:color="auto"/>
            </w:tcBorders>
            <w:tcMar>
              <w:top w:w="57" w:type="dxa"/>
              <w:left w:w="0" w:type="dxa"/>
              <w:bottom w:w="57" w:type="dxa"/>
              <w:right w:w="57" w:type="dxa"/>
            </w:tcMar>
          </w:tcPr>
          <w:p w14:paraId="541E51CF" w14:textId="77777777" w:rsidR="0098482D" w:rsidRPr="001775D9" w:rsidRDefault="0098482D" w:rsidP="004A5512">
            <w:pPr>
              <w:keepNext/>
              <w:keepLines/>
              <w:tabs>
                <w:tab w:val="clear" w:pos="567"/>
              </w:tabs>
              <w:autoSpaceDE w:val="0"/>
              <w:autoSpaceDN w:val="0"/>
              <w:adjustRightInd w:val="0"/>
              <w:spacing w:line="240" w:lineRule="auto"/>
              <w:rPr>
                <w:rFonts w:eastAsia="Calibri"/>
                <w:szCs w:val="22"/>
              </w:rPr>
            </w:pPr>
            <w:r w:rsidRPr="001775D9">
              <w:rPr>
                <w:rFonts w:eastAsia="Calibri"/>
                <w:szCs w:val="22"/>
              </w:rPr>
              <w:t>It is important that you do not try to give the injection unless you or your caregiver has received training.</w:t>
            </w:r>
          </w:p>
        </w:tc>
      </w:tr>
      <w:tr w:rsidR="004A5512" w:rsidRPr="00F04F82" w14:paraId="113871EB" w14:textId="77777777" w:rsidTr="005D3A23">
        <w:trPr>
          <w:cantSplit/>
          <w:trHeight w:val="1056"/>
        </w:trPr>
        <w:tc>
          <w:tcPr>
            <w:tcW w:w="314" w:type="pct"/>
            <w:tcBorders>
              <w:top w:val="nil"/>
              <w:left w:val="single" w:sz="4" w:space="0" w:color="auto"/>
              <w:right w:val="nil"/>
            </w:tcBorders>
            <w:tcMar>
              <w:left w:w="57" w:type="dxa"/>
            </w:tcMar>
          </w:tcPr>
          <w:p w14:paraId="595F910E" w14:textId="77777777" w:rsidR="004A5512" w:rsidRPr="001775D9" w:rsidRDefault="004A5512" w:rsidP="004A5512">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86" w:type="pct"/>
            <w:tcBorders>
              <w:top w:val="nil"/>
              <w:left w:val="nil"/>
              <w:right w:val="single" w:sz="4" w:space="0" w:color="auto"/>
            </w:tcBorders>
            <w:tcMar>
              <w:top w:w="57" w:type="dxa"/>
              <w:left w:w="0" w:type="dxa"/>
              <w:bottom w:w="57" w:type="dxa"/>
              <w:right w:w="57" w:type="dxa"/>
            </w:tcMar>
          </w:tcPr>
          <w:p w14:paraId="424CA3E5" w14:textId="77777777" w:rsidR="004A5512" w:rsidRPr="001775D9" w:rsidRDefault="004A5512" w:rsidP="004A5512">
            <w:pPr>
              <w:keepNext/>
              <w:keepLines/>
              <w:tabs>
                <w:tab w:val="clear" w:pos="567"/>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use an AMGEVITA pre-filled syringe if it has been dropped on a hard surface. Part of the AMGEVITA pre-filled syringe may be broken even if you cannot see the break. Use a new AMGEVITA pre-filled syringe.</w:t>
            </w:r>
          </w:p>
        </w:tc>
      </w:tr>
    </w:tbl>
    <w:p w14:paraId="3D770329" w14:textId="77777777" w:rsidR="0098482D" w:rsidRPr="001775D9" w:rsidRDefault="0098482D" w:rsidP="00FB5458">
      <w:pPr>
        <w:spacing w:line="240" w:lineRule="auto"/>
        <w:ind w:left="567" w:hanging="567"/>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85"/>
      </w:tblGrid>
      <w:tr w:rsidR="0098482D" w:rsidRPr="00F04F82" w14:paraId="20A7D0BF" w14:textId="77777777" w:rsidTr="001311BD">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C11DFA" w14:textId="77777777" w:rsidR="0098482D" w:rsidRPr="001775D9" w:rsidRDefault="0098482D" w:rsidP="00FB5458">
            <w:pPr>
              <w:keepNext/>
              <w:keepLines/>
              <w:suppressAutoHyphens/>
              <w:autoSpaceDE w:val="0"/>
              <w:autoSpaceDN w:val="0"/>
              <w:adjustRightInd w:val="0"/>
              <w:spacing w:line="240" w:lineRule="auto"/>
              <w:jc w:val="center"/>
              <w:textAlignment w:val="center"/>
              <w:rPr>
                <w:b/>
                <w:color w:val="000000"/>
                <w:szCs w:val="22"/>
              </w:rPr>
            </w:pPr>
            <w:r w:rsidRPr="001775D9">
              <w:rPr>
                <w:b/>
                <w:bCs/>
                <w:szCs w:val="22"/>
              </w:rPr>
              <w:t>Step 1: Prepare</w:t>
            </w:r>
          </w:p>
        </w:tc>
      </w:tr>
    </w:tbl>
    <w:p w14:paraId="60FFE974" w14:textId="77777777" w:rsidR="0098482D" w:rsidRPr="001775D9" w:rsidRDefault="0098482D" w:rsidP="00FB5458">
      <w:pPr>
        <w:keepNext/>
        <w:keepLines/>
        <w:spacing w:line="240" w:lineRule="auto"/>
        <w:ind w:left="567" w:hanging="567"/>
        <w:rPr>
          <w:b/>
          <w:bC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57"/>
        <w:gridCol w:w="3187"/>
        <w:gridCol w:w="5441"/>
      </w:tblGrid>
      <w:tr w:rsidR="0098482D" w:rsidRPr="00F04F82" w14:paraId="0EED7899" w14:textId="77777777" w:rsidTr="001311BD">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4ABFE93" w14:textId="77777777" w:rsidR="0098482D" w:rsidRPr="001775D9" w:rsidRDefault="0098482D" w:rsidP="00FB5458">
            <w:pPr>
              <w:keepNext/>
              <w:keepLines/>
              <w:suppressAutoHyphens/>
              <w:autoSpaceDE w:val="0"/>
              <w:autoSpaceDN w:val="0"/>
              <w:adjustRightInd w:val="0"/>
              <w:spacing w:line="240" w:lineRule="auto"/>
              <w:textAlignment w:val="center"/>
              <w:rPr>
                <w:b/>
                <w:color w:val="000000"/>
                <w:szCs w:val="22"/>
              </w:rPr>
            </w:pPr>
            <w:r w:rsidRPr="001775D9">
              <w:rPr>
                <w:b/>
                <w:szCs w:val="22"/>
              </w:rPr>
              <w:t>A.</w:t>
            </w:r>
          </w:p>
        </w:tc>
        <w:tc>
          <w:tcPr>
            <w:tcW w:w="4697"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5523BC5" w14:textId="77777777" w:rsidR="0098482D" w:rsidRPr="001775D9" w:rsidRDefault="0098482D" w:rsidP="00FB5458">
            <w:pPr>
              <w:keepNext/>
              <w:keepLines/>
              <w:tabs>
                <w:tab w:val="clear" w:pos="567"/>
              </w:tabs>
              <w:autoSpaceDE w:val="0"/>
              <w:autoSpaceDN w:val="0"/>
              <w:adjustRightInd w:val="0"/>
              <w:spacing w:line="240" w:lineRule="auto"/>
              <w:rPr>
                <w:bCs/>
                <w:szCs w:val="22"/>
              </w:rPr>
            </w:pPr>
            <w:r w:rsidRPr="001775D9">
              <w:rPr>
                <w:bCs/>
                <w:szCs w:val="22"/>
              </w:rPr>
              <w:t xml:space="preserve">Remove the number of </w:t>
            </w:r>
            <w:r w:rsidR="003C5B91" w:rsidRPr="001775D9">
              <w:rPr>
                <w:bCs/>
                <w:szCs w:val="22"/>
              </w:rPr>
              <w:t>AMGEVITA</w:t>
            </w:r>
            <w:r w:rsidRPr="001775D9">
              <w:rPr>
                <w:bCs/>
                <w:szCs w:val="22"/>
              </w:rPr>
              <w:t xml:space="preserve"> pre-filled syringes you need from the package.</w:t>
            </w:r>
          </w:p>
          <w:p w14:paraId="1ECBE3C3" w14:textId="77777777" w:rsidR="0098482D" w:rsidRPr="001775D9" w:rsidRDefault="0098482D" w:rsidP="00FB5458">
            <w:pPr>
              <w:keepNext/>
              <w:keepLines/>
              <w:tabs>
                <w:tab w:val="clear" w:pos="567"/>
              </w:tabs>
              <w:autoSpaceDE w:val="0"/>
              <w:autoSpaceDN w:val="0"/>
              <w:adjustRightInd w:val="0"/>
              <w:spacing w:line="240" w:lineRule="auto"/>
              <w:rPr>
                <w:color w:val="000000"/>
                <w:szCs w:val="22"/>
              </w:rPr>
            </w:pPr>
          </w:p>
        </w:tc>
      </w:tr>
      <w:tr w:rsidR="0098482D" w:rsidRPr="00F04F82" w14:paraId="67909C6C" w14:textId="77777777" w:rsidTr="001311BD">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985"/>
              <w:gridCol w:w="7086"/>
            </w:tblGrid>
            <w:tr w:rsidR="0098482D" w:rsidRPr="00F04F82" w14:paraId="66D36DC4" w14:textId="77777777" w:rsidTr="000C5413">
              <w:tc>
                <w:tcPr>
                  <w:tcW w:w="1985" w:type="dxa"/>
                  <w:vAlign w:val="center"/>
                </w:tcPr>
                <w:p w14:paraId="769CA5BE" w14:textId="297D8E74" w:rsidR="0098482D" w:rsidRPr="00D55B59" w:rsidRDefault="00F76FF4" w:rsidP="00FB5458">
                  <w:pPr>
                    <w:keepNext/>
                    <w:keepLines/>
                    <w:suppressAutoHyphens/>
                    <w:autoSpaceDE w:val="0"/>
                    <w:autoSpaceDN w:val="0"/>
                    <w:adjustRightInd w:val="0"/>
                    <w:spacing w:line="240" w:lineRule="auto"/>
                    <w:textAlignment w:val="center"/>
                    <w:rPr>
                      <w:color w:val="000000"/>
                      <w:szCs w:val="22"/>
                      <w:rPrChange w:id="3263" w:author="Author">
                        <w:rPr>
                          <w:noProof/>
                          <w:color w:val="000000"/>
                          <w:szCs w:val="22"/>
                        </w:rPr>
                      </w:rPrChange>
                    </w:rPr>
                  </w:pPr>
                  <w:r w:rsidRPr="001775D9">
                    <w:rPr>
                      <w:bCs/>
                      <w:szCs w:val="22"/>
                    </w:rPr>
                    <w:t>Grab the syringe barrel to remove the syringe from the tray</w:t>
                  </w:r>
                  <w:r w:rsidR="00AB2C3E" w:rsidRPr="001775D9">
                    <w:rPr>
                      <w:bCs/>
                      <w:szCs w:val="22"/>
                    </w:rPr>
                    <w:t>.</w:t>
                  </w:r>
                  <w:r w:rsidRPr="001775D9">
                    <w:rPr>
                      <w:color w:val="000000"/>
                      <w:sz w:val="10"/>
                      <w:szCs w:val="10"/>
                      <w:lang w:eastAsia="en-GB"/>
                    </w:rPr>
                    <w:t xml:space="preserve"> </w:t>
                  </w:r>
                </w:p>
                <w:p w14:paraId="00951FB9" w14:textId="77777777" w:rsidR="005A3D61" w:rsidRPr="00D55B59" w:rsidRDefault="005A3D61" w:rsidP="00FB5458">
                  <w:pPr>
                    <w:keepNext/>
                    <w:keepLines/>
                    <w:suppressAutoHyphens/>
                    <w:autoSpaceDE w:val="0"/>
                    <w:autoSpaceDN w:val="0"/>
                    <w:adjustRightInd w:val="0"/>
                    <w:spacing w:line="240" w:lineRule="auto"/>
                    <w:textAlignment w:val="center"/>
                    <w:rPr>
                      <w:color w:val="000000"/>
                      <w:szCs w:val="22"/>
                      <w:rPrChange w:id="3264" w:author="Author">
                        <w:rPr>
                          <w:noProof/>
                          <w:color w:val="000000"/>
                          <w:szCs w:val="22"/>
                        </w:rPr>
                      </w:rPrChange>
                    </w:rPr>
                  </w:pPr>
                </w:p>
                <w:p w14:paraId="4738475E" w14:textId="2627B629" w:rsidR="005A3D61" w:rsidRPr="001775D9" w:rsidRDefault="00D96030" w:rsidP="00FB5458">
                  <w:pPr>
                    <w:keepNext/>
                    <w:keepLines/>
                    <w:suppressAutoHyphens/>
                    <w:autoSpaceDE w:val="0"/>
                    <w:autoSpaceDN w:val="0"/>
                    <w:adjustRightInd w:val="0"/>
                    <w:spacing w:line="240" w:lineRule="auto"/>
                    <w:textAlignment w:val="center"/>
                    <w:rPr>
                      <w:color w:val="000000"/>
                      <w:szCs w:val="22"/>
                    </w:rPr>
                  </w:pPr>
                  <w:r>
                    <w:rPr>
                      <w:color w:val="000000"/>
                      <w:szCs w:val="22"/>
                    </w:rPr>
                    <w:pict w14:anchorId="0B0F2805">
                      <v:shape id="Picture 19" o:spid="_x0000_i1043" type="#_x0000_t75" style="width:82.5pt;height:97.5pt;visibility:visible;mso-wrap-style:square">
                        <v:imagedata r:id="rId35" o:title=""/>
                      </v:shape>
                    </w:pict>
                  </w:r>
                </w:p>
              </w:tc>
              <w:tc>
                <w:tcPr>
                  <w:tcW w:w="7086" w:type="dxa"/>
                </w:tcPr>
                <w:p w14:paraId="2E1AFB86" w14:textId="77777777" w:rsidR="005A3D61" w:rsidRPr="00D55B59" w:rsidRDefault="005A3D61" w:rsidP="000C5413">
                  <w:pPr>
                    <w:keepNext/>
                    <w:keepLines/>
                    <w:suppressAutoHyphens/>
                    <w:autoSpaceDE w:val="0"/>
                    <w:autoSpaceDN w:val="0"/>
                    <w:adjustRightInd w:val="0"/>
                    <w:spacing w:line="240" w:lineRule="auto"/>
                    <w:jc w:val="center"/>
                    <w:textAlignment w:val="center"/>
                    <w:rPr>
                      <w:color w:val="000000"/>
                      <w:szCs w:val="22"/>
                      <w:rPrChange w:id="3265" w:author="Author">
                        <w:rPr>
                          <w:noProof/>
                          <w:color w:val="000000"/>
                          <w:szCs w:val="22"/>
                        </w:rPr>
                      </w:rPrChange>
                    </w:rPr>
                  </w:pPr>
                </w:p>
                <w:p w14:paraId="5516CD6B" w14:textId="6049CE6F" w:rsidR="005A3D61" w:rsidRPr="001775D9" w:rsidRDefault="00D96030" w:rsidP="000C5413">
                  <w:pPr>
                    <w:keepNext/>
                    <w:keepLines/>
                    <w:suppressAutoHyphens/>
                    <w:autoSpaceDE w:val="0"/>
                    <w:autoSpaceDN w:val="0"/>
                    <w:adjustRightInd w:val="0"/>
                    <w:spacing w:line="240" w:lineRule="auto"/>
                    <w:jc w:val="center"/>
                    <w:textAlignment w:val="center"/>
                    <w:rPr>
                      <w:color w:val="000000"/>
                      <w:szCs w:val="22"/>
                    </w:rPr>
                  </w:pPr>
                  <w:r>
                    <w:rPr>
                      <w:color w:val="000000"/>
                      <w:szCs w:val="22"/>
                    </w:rPr>
                    <w:pict w14:anchorId="00370CD6">
                      <v:shape id="Picture 20" o:spid="_x0000_i1044" type="#_x0000_t75" style="width:221.5pt;height:139pt;visibility:visible;mso-wrap-style:square">
                        <v:imagedata r:id="rId36" o:title=""/>
                      </v:shape>
                    </w:pict>
                  </w:r>
                </w:p>
              </w:tc>
            </w:tr>
          </w:tbl>
          <w:p w14:paraId="5826E79F" w14:textId="77777777" w:rsidR="0098482D" w:rsidRPr="001775D9" w:rsidRDefault="0098482D" w:rsidP="00FB5458">
            <w:pPr>
              <w:keepNext/>
              <w:keepLines/>
              <w:suppressAutoHyphens/>
              <w:autoSpaceDE w:val="0"/>
              <w:autoSpaceDN w:val="0"/>
              <w:adjustRightInd w:val="0"/>
              <w:spacing w:line="240" w:lineRule="auto"/>
              <w:textAlignment w:val="center"/>
              <w:rPr>
                <w:color w:val="000000"/>
                <w:szCs w:val="22"/>
              </w:rPr>
            </w:pPr>
          </w:p>
        </w:tc>
      </w:tr>
      <w:tr w:rsidR="0098482D" w:rsidRPr="00F04F82" w14:paraId="7A5A80F2" w14:textId="77777777" w:rsidTr="00062CB9">
        <w:trPr>
          <w:trHeight w:val="942"/>
        </w:trPr>
        <w:tc>
          <w:tcPr>
            <w:tcW w:w="2038" w:type="pct"/>
            <w:gridSpan w:val="2"/>
            <w:tcBorders>
              <w:top w:val="nil"/>
              <w:left w:val="single" w:sz="4" w:space="0" w:color="auto"/>
              <w:bottom w:val="nil"/>
              <w:right w:val="nil"/>
            </w:tcBorders>
            <w:tcMar>
              <w:top w:w="28" w:type="dxa"/>
              <w:left w:w="57" w:type="dxa"/>
              <w:bottom w:w="28" w:type="dxa"/>
              <w:right w:w="57" w:type="dxa"/>
            </w:tcMar>
          </w:tcPr>
          <w:p w14:paraId="31CDB706" w14:textId="77777777" w:rsidR="0098482D" w:rsidRPr="001775D9" w:rsidRDefault="0098482D" w:rsidP="00FB5458">
            <w:pPr>
              <w:keepNext/>
              <w:keepLines/>
              <w:autoSpaceDE w:val="0"/>
              <w:autoSpaceDN w:val="0"/>
              <w:adjustRightInd w:val="0"/>
              <w:spacing w:line="240" w:lineRule="auto"/>
              <w:rPr>
                <w:szCs w:val="22"/>
              </w:rPr>
            </w:pPr>
            <w:r w:rsidRPr="001775D9">
              <w:rPr>
                <w:szCs w:val="22"/>
              </w:rPr>
              <w:t>Place your finger or thumb on edge of tray to secure it while you remove the syringe.</w:t>
            </w:r>
          </w:p>
        </w:tc>
        <w:tc>
          <w:tcPr>
            <w:tcW w:w="2962" w:type="pct"/>
            <w:tcBorders>
              <w:top w:val="nil"/>
              <w:left w:val="nil"/>
              <w:bottom w:val="nil"/>
              <w:right w:val="single" w:sz="4" w:space="0" w:color="auto"/>
            </w:tcBorders>
            <w:tcMar>
              <w:left w:w="1134" w:type="dxa"/>
            </w:tcMar>
          </w:tcPr>
          <w:p w14:paraId="3BF32836" w14:textId="77777777" w:rsidR="0098482D" w:rsidRPr="001775D9" w:rsidRDefault="0098482D" w:rsidP="005334BF">
            <w:pPr>
              <w:keepNext/>
              <w:keepLines/>
              <w:spacing w:line="240" w:lineRule="auto"/>
              <w:rPr>
                <w:b/>
                <w:color w:val="FF0000"/>
                <w:szCs w:val="22"/>
              </w:rPr>
            </w:pPr>
            <w:r w:rsidRPr="001775D9">
              <w:rPr>
                <w:b/>
                <w:color w:val="FF0000"/>
                <w:szCs w:val="22"/>
              </w:rPr>
              <w:t>Grab Here</w:t>
            </w:r>
          </w:p>
        </w:tc>
      </w:tr>
      <w:tr w:rsidR="0098482D" w:rsidRPr="00F04F82" w14:paraId="3F935EC5" w14:textId="77777777" w:rsidTr="001311BD">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7D11C23D" w14:textId="77777777" w:rsidR="0098482D" w:rsidRPr="001775D9" w:rsidRDefault="0098482D" w:rsidP="00FB5458">
            <w:pPr>
              <w:keepNext/>
              <w:keepLines/>
              <w:suppressAutoHyphens/>
              <w:autoSpaceDE w:val="0"/>
              <w:autoSpaceDN w:val="0"/>
              <w:adjustRightInd w:val="0"/>
              <w:spacing w:line="240" w:lineRule="auto"/>
              <w:textAlignment w:val="center"/>
              <w:rPr>
                <w:color w:val="000000"/>
                <w:szCs w:val="22"/>
              </w:rPr>
            </w:pPr>
            <w:r w:rsidRPr="001775D9">
              <w:rPr>
                <w:color w:val="000000"/>
                <w:szCs w:val="22"/>
              </w:rPr>
              <w:t>Put the original package with any unused syringes back in the refrigerator.</w:t>
            </w:r>
          </w:p>
          <w:p w14:paraId="2D55A7F4" w14:textId="77777777" w:rsidR="0098482D" w:rsidRPr="001775D9" w:rsidRDefault="0098482D" w:rsidP="00FB5458">
            <w:pPr>
              <w:keepNext/>
              <w:keepLines/>
              <w:suppressAutoHyphens/>
              <w:autoSpaceDE w:val="0"/>
              <w:autoSpaceDN w:val="0"/>
              <w:adjustRightInd w:val="0"/>
              <w:spacing w:line="240" w:lineRule="auto"/>
              <w:textAlignment w:val="center"/>
              <w:rPr>
                <w:color w:val="000000"/>
                <w:szCs w:val="22"/>
              </w:rPr>
            </w:pPr>
          </w:p>
          <w:p w14:paraId="4A1916FA" w14:textId="77777777" w:rsidR="0098482D" w:rsidRPr="001775D9" w:rsidRDefault="0098482D" w:rsidP="00FB5458">
            <w:pPr>
              <w:keepNext/>
              <w:keepLines/>
              <w:suppressAutoHyphens/>
              <w:autoSpaceDE w:val="0"/>
              <w:autoSpaceDN w:val="0"/>
              <w:adjustRightInd w:val="0"/>
              <w:spacing w:line="240" w:lineRule="auto"/>
              <w:textAlignment w:val="center"/>
              <w:rPr>
                <w:color w:val="000000"/>
                <w:szCs w:val="22"/>
              </w:rPr>
            </w:pPr>
            <w:r w:rsidRPr="001775D9">
              <w:rPr>
                <w:color w:val="000000"/>
                <w:szCs w:val="22"/>
              </w:rPr>
              <w:t>For safety reasons:</w:t>
            </w:r>
          </w:p>
        </w:tc>
      </w:tr>
      <w:tr w:rsidR="0098482D" w:rsidRPr="00F04F82" w14:paraId="2FE4287F"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13A77F44" w14:textId="77777777" w:rsidR="0098482D" w:rsidRPr="001775D9" w:rsidRDefault="0098482D" w:rsidP="00FB5458">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gridSpan w:val="2"/>
            <w:tcBorders>
              <w:top w:val="nil"/>
              <w:left w:val="nil"/>
              <w:bottom w:val="nil"/>
              <w:right w:val="single" w:sz="4" w:space="0" w:color="auto"/>
            </w:tcBorders>
            <w:tcMar>
              <w:left w:w="0" w:type="dxa"/>
            </w:tcMar>
          </w:tcPr>
          <w:p w14:paraId="1BCA030F" w14:textId="77777777" w:rsidR="0098482D" w:rsidRPr="001775D9" w:rsidRDefault="0098482D" w:rsidP="00FB5458">
            <w:pPr>
              <w:keepNext/>
              <w:keepLines/>
              <w:tabs>
                <w:tab w:val="clear" w:pos="567"/>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grasp the plunger rod.</w:t>
            </w:r>
          </w:p>
        </w:tc>
      </w:tr>
      <w:tr w:rsidR="0098482D" w:rsidRPr="00F04F82" w14:paraId="795967F4"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5EF26601" w14:textId="77777777" w:rsidR="0098482D" w:rsidRPr="001775D9" w:rsidRDefault="0098482D" w:rsidP="00FB5458">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gridSpan w:val="2"/>
            <w:tcBorders>
              <w:top w:val="nil"/>
              <w:left w:val="nil"/>
              <w:bottom w:val="nil"/>
              <w:right w:val="single" w:sz="4" w:space="0" w:color="auto"/>
            </w:tcBorders>
            <w:tcMar>
              <w:left w:w="0" w:type="dxa"/>
            </w:tcMar>
          </w:tcPr>
          <w:p w14:paraId="14401459" w14:textId="77777777" w:rsidR="0098482D" w:rsidRPr="001775D9" w:rsidRDefault="0098482D" w:rsidP="00FB5458">
            <w:pPr>
              <w:keepNext/>
              <w:keepLines/>
              <w:tabs>
                <w:tab w:val="clear" w:pos="567"/>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grasp the needle cap.</w:t>
            </w:r>
          </w:p>
        </w:tc>
      </w:tr>
      <w:tr w:rsidR="0098482D" w:rsidRPr="00F04F82" w14:paraId="4E5EAF5B"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75F602BC" w14:textId="77777777" w:rsidR="0098482D" w:rsidRPr="001775D9" w:rsidRDefault="0098482D" w:rsidP="00FB5458">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gridSpan w:val="2"/>
            <w:tcBorders>
              <w:top w:val="nil"/>
              <w:left w:val="nil"/>
              <w:bottom w:val="nil"/>
              <w:right w:val="single" w:sz="4" w:space="0" w:color="auto"/>
            </w:tcBorders>
            <w:tcMar>
              <w:left w:w="0" w:type="dxa"/>
            </w:tcMar>
          </w:tcPr>
          <w:p w14:paraId="79D3D350" w14:textId="77777777" w:rsidR="0098482D" w:rsidRPr="001775D9" w:rsidRDefault="0098482D" w:rsidP="00FB5458">
            <w:pPr>
              <w:keepNext/>
              <w:keepLines/>
              <w:tabs>
                <w:tab w:val="clear" w:pos="567"/>
              </w:tabs>
              <w:autoSpaceDE w:val="0"/>
              <w:autoSpaceDN w:val="0"/>
              <w:adjustRightInd w:val="0"/>
              <w:spacing w:line="240" w:lineRule="auto"/>
              <w:ind w:left="720" w:hanging="720"/>
              <w:rPr>
                <w:rFonts w:eastAsia="Calibri"/>
                <w:szCs w:val="22"/>
              </w:rPr>
            </w:pPr>
            <w:r w:rsidRPr="001775D9">
              <w:rPr>
                <w:rFonts w:eastAsia="Calibri"/>
                <w:b/>
                <w:bCs/>
                <w:szCs w:val="22"/>
              </w:rPr>
              <w:t xml:space="preserve">Do not </w:t>
            </w:r>
            <w:r w:rsidRPr="001775D9">
              <w:rPr>
                <w:rFonts w:eastAsia="Calibri"/>
                <w:szCs w:val="22"/>
              </w:rPr>
              <w:t>remove the needle cap until you are ready to inject.</w:t>
            </w:r>
          </w:p>
        </w:tc>
      </w:tr>
      <w:tr w:rsidR="0098482D" w:rsidRPr="00F04F82" w14:paraId="38CC58D4" w14:textId="77777777" w:rsidTr="001311BD">
        <w:trPr>
          <w:trHeight w:val="471"/>
        </w:trPr>
        <w:tc>
          <w:tcPr>
            <w:tcW w:w="303" w:type="pct"/>
            <w:tcBorders>
              <w:top w:val="nil"/>
              <w:left w:val="single" w:sz="4" w:space="0" w:color="auto"/>
              <w:bottom w:val="nil"/>
              <w:right w:val="nil"/>
            </w:tcBorders>
            <w:tcMar>
              <w:top w:w="28" w:type="dxa"/>
              <w:left w:w="57" w:type="dxa"/>
              <w:bottom w:w="28" w:type="dxa"/>
              <w:right w:w="57" w:type="dxa"/>
            </w:tcMar>
          </w:tcPr>
          <w:p w14:paraId="217A0350" w14:textId="77777777" w:rsidR="0098482D" w:rsidRPr="001775D9" w:rsidRDefault="0098482D" w:rsidP="00FB5458">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gridSpan w:val="2"/>
            <w:tcBorders>
              <w:top w:val="nil"/>
              <w:left w:val="nil"/>
              <w:bottom w:val="nil"/>
              <w:right w:val="single" w:sz="4" w:space="0" w:color="auto"/>
            </w:tcBorders>
            <w:tcMar>
              <w:left w:w="0" w:type="dxa"/>
            </w:tcMar>
          </w:tcPr>
          <w:p w14:paraId="60DDD1F4" w14:textId="77777777" w:rsidR="0098482D" w:rsidRPr="001775D9" w:rsidRDefault="0098482D" w:rsidP="00FB5458">
            <w:pPr>
              <w:keepNext/>
              <w:keepLines/>
              <w:tabs>
                <w:tab w:val="clear" w:pos="567"/>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remove the finger flange. This is part of the syringe.</w:t>
            </w:r>
          </w:p>
        </w:tc>
      </w:tr>
      <w:tr w:rsidR="0098482D" w:rsidRPr="00F04F82" w14:paraId="37937D7B" w14:textId="77777777" w:rsidTr="001311BD">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12789908" w14:textId="77777777" w:rsidR="0098482D" w:rsidRPr="001775D9" w:rsidRDefault="0098482D" w:rsidP="00FB5458">
            <w:pPr>
              <w:keepNext/>
              <w:keepLines/>
              <w:tabs>
                <w:tab w:val="clear" w:pos="567"/>
              </w:tabs>
              <w:autoSpaceDE w:val="0"/>
              <w:autoSpaceDN w:val="0"/>
              <w:adjustRightInd w:val="0"/>
              <w:spacing w:line="240" w:lineRule="auto"/>
              <w:rPr>
                <w:rFonts w:eastAsia="Calibri"/>
                <w:szCs w:val="22"/>
              </w:rPr>
            </w:pPr>
            <w:r w:rsidRPr="001775D9">
              <w:rPr>
                <w:rFonts w:eastAsia="Calibri"/>
                <w:szCs w:val="22"/>
              </w:rPr>
              <w:t xml:space="preserve">For a more comfortable injection, leave the syringe at room temperature for </w:t>
            </w:r>
            <w:r w:rsidRPr="001775D9">
              <w:rPr>
                <w:rFonts w:eastAsia="Calibri"/>
                <w:b/>
                <w:bCs/>
                <w:szCs w:val="22"/>
              </w:rPr>
              <w:t>15 to 30</w:t>
            </w:r>
            <w:r w:rsidRPr="001775D9">
              <w:rPr>
                <w:rFonts w:eastAsia="Calibri"/>
                <w:szCs w:val="22"/>
              </w:rPr>
              <w:t xml:space="preserve"> minutes before injecting.</w:t>
            </w:r>
          </w:p>
        </w:tc>
      </w:tr>
      <w:tr w:rsidR="0098482D" w:rsidRPr="00F04F82" w14:paraId="4A91FA31"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3041ACA7" w14:textId="77777777" w:rsidR="0098482D" w:rsidRPr="001775D9" w:rsidRDefault="0098482D"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gridSpan w:val="2"/>
            <w:tcBorders>
              <w:top w:val="nil"/>
              <w:left w:val="nil"/>
              <w:bottom w:val="nil"/>
              <w:right w:val="single" w:sz="4" w:space="0" w:color="auto"/>
            </w:tcBorders>
            <w:tcMar>
              <w:left w:w="0" w:type="dxa"/>
            </w:tcMar>
          </w:tcPr>
          <w:p w14:paraId="62895BC2" w14:textId="77777777" w:rsidR="0098482D" w:rsidRPr="001775D9" w:rsidRDefault="0098482D" w:rsidP="00FB5458">
            <w:pPr>
              <w:tabs>
                <w:tab w:val="clear" w:pos="567"/>
              </w:tabs>
              <w:autoSpaceDE w:val="0"/>
              <w:autoSpaceDN w:val="0"/>
              <w:adjustRightInd w:val="0"/>
              <w:spacing w:line="240" w:lineRule="auto"/>
              <w:ind w:left="720" w:hanging="720"/>
              <w:rPr>
                <w:rFonts w:eastAsia="Calibri"/>
                <w:szCs w:val="22"/>
              </w:rPr>
            </w:pPr>
            <w:r w:rsidRPr="001775D9">
              <w:rPr>
                <w:rFonts w:eastAsia="Calibri"/>
                <w:b/>
                <w:bCs/>
                <w:szCs w:val="22"/>
              </w:rPr>
              <w:t xml:space="preserve">Do not </w:t>
            </w:r>
            <w:r w:rsidRPr="001775D9">
              <w:rPr>
                <w:rFonts w:eastAsia="Calibri"/>
                <w:szCs w:val="22"/>
              </w:rPr>
              <w:t>put the syringe back in the refrigerator once it has reached room temperature.</w:t>
            </w:r>
          </w:p>
        </w:tc>
      </w:tr>
      <w:tr w:rsidR="0098482D" w:rsidRPr="00F04F82" w14:paraId="15A8B925"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5D380609" w14:textId="77777777" w:rsidR="0098482D" w:rsidRPr="001775D9" w:rsidRDefault="0098482D"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gridSpan w:val="2"/>
            <w:tcBorders>
              <w:top w:val="nil"/>
              <w:left w:val="nil"/>
              <w:bottom w:val="nil"/>
              <w:right w:val="single" w:sz="4" w:space="0" w:color="auto"/>
            </w:tcBorders>
            <w:tcMar>
              <w:left w:w="0" w:type="dxa"/>
            </w:tcMar>
          </w:tcPr>
          <w:p w14:paraId="494C781C" w14:textId="77777777" w:rsidR="0098482D" w:rsidRPr="001775D9" w:rsidRDefault="0098482D" w:rsidP="00FB5458">
            <w:pPr>
              <w:tabs>
                <w:tab w:val="clear" w:pos="567"/>
              </w:tabs>
              <w:autoSpaceDE w:val="0"/>
              <w:autoSpaceDN w:val="0"/>
              <w:adjustRightInd w:val="0"/>
              <w:spacing w:line="240" w:lineRule="auto"/>
              <w:ind w:left="720" w:hanging="720"/>
              <w:rPr>
                <w:rFonts w:eastAsia="Calibri"/>
                <w:b/>
                <w:bCs/>
                <w:szCs w:val="22"/>
              </w:rPr>
            </w:pPr>
            <w:r w:rsidRPr="001775D9">
              <w:rPr>
                <w:rFonts w:eastAsia="Calibri"/>
                <w:b/>
                <w:bCs/>
                <w:szCs w:val="22"/>
              </w:rPr>
              <w:t xml:space="preserve">Do not </w:t>
            </w:r>
            <w:r w:rsidRPr="001775D9">
              <w:rPr>
                <w:rFonts w:eastAsia="Calibri"/>
                <w:szCs w:val="22"/>
              </w:rPr>
              <w:t>try to warm the syringe by using a heat source such as hot water or microwave.</w:t>
            </w:r>
          </w:p>
        </w:tc>
      </w:tr>
      <w:tr w:rsidR="0098482D" w:rsidRPr="00F04F82" w14:paraId="772420D6"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04D3744C" w14:textId="77777777" w:rsidR="0098482D" w:rsidRPr="001775D9" w:rsidRDefault="0098482D"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gridSpan w:val="2"/>
            <w:tcBorders>
              <w:top w:val="nil"/>
              <w:left w:val="nil"/>
              <w:bottom w:val="nil"/>
              <w:right w:val="single" w:sz="4" w:space="0" w:color="auto"/>
            </w:tcBorders>
            <w:tcMar>
              <w:left w:w="0" w:type="dxa"/>
            </w:tcMar>
          </w:tcPr>
          <w:p w14:paraId="3F212F66" w14:textId="77777777" w:rsidR="0098482D" w:rsidRPr="001775D9" w:rsidRDefault="0098482D" w:rsidP="00FB5458">
            <w:pPr>
              <w:tabs>
                <w:tab w:val="clear" w:pos="567"/>
              </w:tabs>
              <w:autoSpaceDE w:val="0"/>
              <w:autoSpaceDN w:val="0"/>
              <w:adjustRightInd w:val="0"/>
              <w:spacing w:line="240" w:lineRule="auto"/>
              <w:ind w:left="720" w:hanging="720"/>
              <w:rPr>
                <w:rFonts w:eastAsia="Calibri"/>
                <w:b/>
                <w:bCs/>
                <w:szCs w:val="22"/>
              </w:rPr>
            </w:pPr>
            <w:r w:rsidRPr="001775D9">
              <w:rPr>
                <w:rFonts w:eastAsia="Calibri"/>
                <w:b/>
                <w:bCs/>
                <w:szCs w:val="22"/>
              </w:rPr>
              <w:t xml:space="preserve">Do not </w:t>
            </w:r>
            <w:r w:rsidRPr="001775D9">
              <w:rPr>
                <w:rFonts w:eastAsia="Calibri"/>
                <w:szCs w:val="22"/>
              </w:rPr>
              <w:t>leave the syringe in direct sunlight.</w:t>
            </w:r>
          </w:p>
        </w:tc>
      </w:tr>
      <w:tr w:rsidR="0098482D" w:rsidRPr="00F04F82" w14:paraId="7CFB07F6"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400CA834" w14:textId="77777777" w:rsidR="0098482D" w:rsidRPr="001775D9" w:rsidRDefault="0098482D"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gridSpan w:val="2"/>
            <w:tcBorders>
              <w:top w:val="nil"/>
              <w:left w:val="nil"/>
              <w:bottom w:val="nil"/>
              <w:right w:val="single" w:sz="4" w:space="0" w:color="auto"/>
            </w:tcBorders>
            <w:tcMar>
              <w:left w:w="0" w:type="dxa"/>
            </w:tcMar>
          </w:tcPr>
          <w:p w14:paraId="409DB379" w14:textId="77777777" w:rsidR="0098482D" w:rsidRPr="001775D9" w:rsidRDefault="0098482D" w:rsidP="00FB5458">
            <w:pPr>
              <w:tabs>
                <w:tab w:val="clear" w:pos="567"/>
              </w:tabs>
              <w:autoSpaceDE w:val="0"/>
              <w:autoSpaceDN w:val="0"/>
              <w:adjustRightInd w:val="0"/>
              <w:spacing w:line="240" w:lineRule="auto"/>
              <w:ind w:left="720" w:hanging="720"/>
              <w:rPr>
                <w:rFonts w:eastAsia="Calibri"/>
                <w:b/>
                <w:bCs/>
                <w:szCs w:val="22"/>
              </w:rPr>
            </w:pPr>
            <w:r w:rsidRPr="001775D9">
              <w:rPr>
                <w:rFonts w:eastAsia="Calibri"/>
                <w:b/>
                <w:bCs/>
                <w:szCs w:val="22"/>
              </w:rPr>
              <w:t xml:space="preserve">Do not </w:t>
            </w:r>
            <w:r w:rsidRPr="001775D9">
              <w:rPr>
                <w:rFonts w:eastAsia="Calibri"/>
                <w:szCs w:val="22"/>
              </w:rPr>
              <w:t>shake the syringe.</w:t>
            </w:r>
          </w:p>
        </w:tc>
      </w:tr>
      <w:tr w:rsidR="0098482D" w:rsidRPr="00F04F82" w14:paraId="1328E594" w14:textId="77777777" w:rsidTr="001311BD">
        <w:trPr>
          <w:trHeight w:val="441"/>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456D74DC" w14:textId="77777777" w:rsidR="0098482D" w:rsidRPr="001775D9" w:rsidRDefault="0098482D" w:rsidP="00FB5458">
            <w:pPr>
              <w:pStyle w:val="trianglemarkcopy"/>
              <w:widowControl/>
              <w:tabs>
                <w:tab w:val="clear" w:pos="828"/>
              </w:tabs>
              <w:spacing w:before="0" w:line="240" w:lineRule="auto"/>
              <w:ind w:left="0" w:firstLine="0"/>
              <w:rPr>
                <w:rFonts w:ascii="Times New Roman" w:hAnsi="Times New Roman" w:cs="Times New Roman"/>
                <w:color w:val="auto"/>
                <w:sz w:val="22"/>
                <w:szCs w:val="22"/>
                <w:lang w:val="en-GB"/>
              </w:rPr>
            </w:pPr>
            <w:r w:rsidRPr="001775D9">
              <w:rPr>
                <w:rFonts w:ascii="Times New Roman" w:hAnsi="Times New Roman" w:cs="Times New Roman"/>
                <w:sz w:val="22"/>
                <w:szCs w:val="22"/>
                <w:lang w:val="en-GB"/>
              </w:rPr>
              <w:t xml:space="preserve">Important: </w:t>
            </w:r>
            <w:r w:rsidRPr="001775D9">
              <w:rPr>
                <w:rFonts w:ascii="Times New Roman" w:hAnsi="Times New Roman" w:cs="Times New Roman"/>
                <w:b w:val="0"/>
                <w:sz w:val="22"/>
                <w:szCs w:val="22"/>
                <w:lang w:val="en-GB"/>
              </w:rPr>
              <w:t>Always hold the pre-filled syringe by the syringe barrel.</w:t>
            </w:r>
          </w:p>
        </w:tc>
      </w:tr>
    </w:tbl>
    <w:p w14:paraId="22FC2773" w14:textId="77777777" w:rsidR="0098482D" w:rsidRPr="001775D9" w:rsidRDefault="0098482D" w:rsidP="00FB545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74"/>
        <w:gridCol w:w="8662"/>
      </w:tblGrid>
      <w:tr w:rsidR="0098482D" w:rsidRPr="00F04F82" w14:paraId="09D0B033" w14:textId="77777777" w:rsidTr="001311BD">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E822199" w14:textId="77777777" w:rsidR="0098482D" w:rsidRPr="001775D9" w:rsidRDefault="0098482D" w:rsidP="00FB5458">
            <w:pPr>
              <w:keepNext/>
              <w:keepLines/>
              <w:suppressAutoHyphens/>
              <w:autoSpaceDE w:val="0"/>
              <w:autoSpaceDN w:val="0"/>
              <w:adjustRightInd w:val="0"/>
              <w:spacing w:line="240" w:lineRule="auto"/>
              <w:textAlignment w:val="center"/>
              <w:rPr>
                <w:b/>
                <w:color w:val="000000"/>
                <w:szCs w:val="22"/>
              </w:rPr>
            </w:pPr>
            <w:r w:rsidRPr="001775D9">
              <w:rPr>
                <w:rStyle w:val="bodybold"/>
                <w:szCs w:val="22"/>
              </w:rPr>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214FB49D" w14:textId="77777777" w:rsidR="0098482D" w:rsidRPr="001775D9" w:rsidRDefault="0098482D" w:rsidP="00FB5458">
            <w:pPr>
              <w:pStyle w:val="BasicParagraph"/>
              <w:keepNext/>
              <w:keepLines/>
              <w:widowControl/>
              <w:suppressAutoHyphens/>
              <w:spacing w:line="240" w:lineRule="auto"/>
              <w:rPr>
                <w:rFonts w:ascii="Times New Roman" w:hAnsi="Times New Roman" w:cs="Times New Roman"/>
                <w:b/>
                <w:bCs/>
                <w:szCs w:val="22"/>
                <w:lang w:val="en-GB"/>
              </w:rPr>
            </w:pPr>
            <w:r w:rsidRPr="001775D9">
              <w:rPr>
                <w:rFonts w:ascii="Times New Roman" w:hAnsi="Times New Roman" w:cs="Times New Roman"/>
                <w:bCs/>
                <w:szCs w:val="22"/>
                <w:lang w:val="en-GB"/>
              </w:rPr>
              <w:t xml:space="preserve">Inspect the </w:t>
            </w:r>
            <w:r w:rsidR="003C5B91" w:rsidRPr="001775D9">
              <w:rPr>
                <w:rFonts w:ascii="Times New Roman" w:hAnsi="Times New Roman" w:cs="Times New Roman"/>
                <w:bCs/>
                <w:szCs w:val="22"/>
                <w:lang w:val="en-GB"/>
              </w:rPr>
              <w:t>AMGEVITA</w:t>
            </w:r>
            <w:r w:rsidRPr="001775D9">
              <w:rPr>
                <w:rFonts w:ascii="Times New Roman" w:hAnsi="Times New Roman" w:cs="Times New Roman"/>
                <w:bCs/>
                <w:szCs w:val="22"/>
                <w:lang w:val="en-GB"/>
              </w:rPr>
              <w:t xml:space="preserve"> pre-filled syringe.</w:t>
            </w:r>
          </w:p>
        </w:tc>
      </w:tr>
      <w:tr w:rsidR="0098482D" w:rsidRPr="00F04F82" w14:paraId="4A4D40A6" w14:textId="77777777" w:rsidTr="001311BD">
        <w:trPr>
          <w:trHeight w:val="3467"/>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276"/>
              <w:gridCol w:w="1842"/>
              <w:gridCol w:w="3437"/>
              <w:gridCol w:w="123"/>
            </w:tblGrid>
            <w:tr w:rsidR="0098482D" w:rsidRPr="00F04F82" w14:paraId="66369633" w14:textId="77777777" w:rsidTr="00A8341E">
              <w:tc>
                <w:tcPr>
                  <w:tcW w:w="1985" w:type="dxa"/>
                  <w:vAlign w:val="bottom"/>
                </w:tcPr>
                <w:p w14:paraId="26043ABE" w14:textId="77777777" w:rsidR="0098482D" w:rsidRPr="001775D9" w:rsidRDefault="0098482D" w:rsidP="00FB5458">
                  <w:pPr>
                    <w:keepNext/>
                    <w:keepLines/>
                    <w:tabs>
                      <w:tab w:val="clear" w:pos="567"/>
                    </w:tabs>
                    <w:autoSpaceDE w:val="0"/>
                    <w:autoSpaceDN w:val="0"/>
                    <w:adjustRightInd w:val="0"/>
                    <w:spacing w:line="240" w:lineRule="auto"/>
                    <w:rPr>
                      <w:rFonts w:eastAsia="Calibri"/>
                      <w:bCs/>
                      <w:szCs w:val="22"/>
                    </w:rPr>
                  </w:pPr>
                </w:p>
              </w:tc>
              <w:tc>
                <w:tcPr>
                  <w:tcW w:w="1843" w:type="dxa"/>
                  <w:gridSpan w:val="2"/>
                  <w:vAlign w:val="bottom"/>
                </w:tcPr>
                <w:p w14:paraId="0B4E56EE" w14:textId="77777777" w:rsidR="0098482D" w:rsidRPr="001775D9" w:rsidRDefault="0098482D" w:rsidP="00FB5458">
                  <w:pPr>
                    <w:keepNext/>
                    <w:keepLines/>
                    <w:tabs>
                      <w:tab w:val="clear" w:pos="567"/>
                    </w:tabs>
                    <w:autoSpaceDE w:val="0"/>
                    <w:autoSpaceDN w:val="0"/>
                    <w:adjustRightInd w:val="0"/>
                    <w:spacing w:line="240" w:lineRule="auto"/>
                    <w:rPr>
                      <w:rFonts w:eastAsia="Calibri"/>
                      <w:bCs/>
                      <w:szCs w:val="22"/>
                    </w:rPr>
                  </w:pPr>
                  <w:r w:rsidRPr="001775D9">
                    <w:rPr>
                      <w:bCs/>
                      <w:szCs w:val="22"/>
                    </w:rPr>
                    <w:t>Syringe barrel</w:t>
                  </w:r>
                </w:p>
              </w:tc>
              <w:tc>
                <w:tcPr>
                  <w:tcW w:w="1842" w:type="dxa"/>
                  <w:vAlign w:val="bottom"/>
                </w:tcPr>
                <w:p w14:paraId="57699C03" w14:textId="472BECD1" w:rsidR="0098482D" w:rsidRPr="001775D9" w:rsidRDefault="0098482D" w:rsidP="00FB5458">
                  <w:pPr>
                    <w:keepNext/>
                    <w:keepLines/>
                    <w:tabs>
                      <w:tab w:val="clear" w:pos="567"/>
                    </w:tabs>
                    <w:autoSpaceDE w:val="0"/>
                    <w:autoSpaceDN w:val="0"/>
                    <w:adjustRightInd w:val="0"/>
                    <w:spacing w:line="240" w:lineRule="auto"/>
                    <w:rPr>
                      <w:rFonts w:eastAsia="Calibri"/>
                      <w:bCs/>
                      <w:szCs w:val="22"/>
                    </w:rPr>
                  </w:pPr>
                  <w:r w:rsidRPr="001775D9">
                    <w:rPr>
                      <w:bCs/>
                      <w:szCs w:val="22"/>
                    </w:rPr>
                    <w:t xml:space="preserve">Label </w:t>
                  </w:r>
                  <w:r w:rsidR="00C7380C" w:rsidRPr="001775D9">
                    <w:rPr>
                      <w:szCs w:val="22"/>
                    </w:rPr>
                    <w:t>expiry</w:t>
                  </w:r>
                  <w:r w:rsidRPr="001775D9">
                    <w:rPr>
                      <w:bCs/>
                      <w:szCs w:val="22"/>
                    </w:rPr>
                    <w:t xml:space="preserve"> date</w:t>
                  </w:r>
                </w:p>
              </w:tc>
              <w:tc>
                <w:tcPr>
                  <w:tcW w:w="3560" w:type="dxa"/>
                  <w:gridSpan w:val="2"/>
                  <w:vAlign w:val="bottom"/>
                </w:tcPr>
                <w:p w14:paraId="0992F7BC" w14:textId="77777777" w:rsidR="0098482D" w:rsidRPr="001775D9" w:rsidRDefault="0098482D" w:rsidP="00FB5458">
                  <w:pPr>
                    <w:keepNext/>
                    <w:keepLines/>
                    <w:tabs>
                      <w:tab w:val="clear" w:pos="567"/>
                    </w:tabs>
                    <w:autoSpaceDE w:val="0"/>
                    <w:autoSpaceDN w:val="0"/>
                    <w:adjustRightInd w:val="0"/>
                    <w:spacing w:line="240" w:lineRule="auto"/>
                    <w:rPr>
                      <w:rFonts w:eastAsia="Calibri"/>
                      <w:bCs/>
                      <w:szCs w:val="22"/>
                    </w:rPr>
                  </w:pPr>
                  <w:r w:rsidRPr="001775D9">
                    <w:rPr>
                      <w:bCs/>
                      <w:szCs w:val="22"/>
                    </w:rPr>
                    <w:t>Plunger rod</w:t>
                  </w:r>
                </w:p>
              </w:tc>
            </w:tr>
            <w:tr w:rsidR="0098482D" w:rsidRPr="00F04F82" w14:paraId="77EB0500" w14:textId="77777777" w:rsidTr="001311BD">
              <w:trPr>
                <w:gridAfter w:val="1"/>
                <w:wAfter w:w="123" w:type="dxa"/>
              </w:trPr>
              <w:tc>
                <w:tcPr>
                  <w:tcW w:w="9107" w:type="dxa"/>
                  <w:gridSpan w:val="5"/>
                </w:tcPr>
                <w:p w14:paraId="572D177D" w14:textId="0017CA2A" w:rsidR="0098482D" w:rsidRPr="001775D9" w:rsidRDefault="00D96030" w:rsidP="00FB5458">
                  <w:pPr>
                    <w:keepNext/>
                    <w:keepLines/>
                    <w:tabs>
                      <w:tab w:val="clear" w:pos="567"/>
                    </w:tabs>
                    <w:autoSpaceDE w:val="0"/>
                    <w:autoSpaceDN w:val="0"/>
                    <w:adjustRightInd w:val="0"/>
                    <w:spacing w:line="240" w:lineRule="auto"/>
                    <w:rPr>
                      <w:rFonts w:eastAsia="Calibri"/>
                      <w:bCs/>
                      <w:szCs w:val="22"/>
                    </w:rPr>
                  </w:pPr>
                  <w:r>
                    <w:rPr>
                      <w:rFonts w:eastAsia="Calibri"/>
                      <w:szCs w:val="22"/>
                    </w:rPr>
                    <w:pict w14:anchorId="2DE94D99">
                      <v:shape id="Picture 26" o:spid="_x0000_i1045" type="#_x0000_t75" style="width:376pt;height:139pt;visibility:visible;mso-wrap-style:square">
                        <v:imagedata r:id="rId37" o:title=""/>
                      </v:shape>
                    </w:pict>
                  </w:r>
                </w:p>
              </w:tc>
            </w:tr>
            <w:tr w:rsidR="0098482D" w:rsidRPr="00F04F82" w14:paraId="501BA60D" w14:textId="77777777" w:rsidTr="001311BD">
              <w:trPr>
                <w:gridAfter w:val="1"/>
                <w:wAfter w:w="123" w:type="dxa"/>
              </w:trPr>
              <w:tc>
                <w:tcPr>
                  <w:tcW w:w="2552" w:type="dxa"/>
                  <w:gridSpan w:val="2"/>
                </w:tcPr>
                <w:p w14:paraId="0E2BD51A" w14:textId="77777777" w:rsidR="0098482D" w:rsidRPr="001775D9" w:rsidRDefault="00AC5169" w:rsidP="00FB5458">
                  <w:pPr>
                    <w:keepNext/>
                    <w:keepLines/>
                    <w:tabs>
                      <w:tab w:val="clear" w:pos="567"/>
                    </w:tabs>
                    <w:autoSpaceDE w:val="0"/>
                    <w:autoSpaceDN w:val="0"/>
                    <w:adjustRightInd w:val="0"/>
                    <w:spacing w:line="240" w:lineRule="auto"/>
                    <w:rPr>
                      <w:rFonts w:eastAsia="Calibri"/>
                      <w:bCs/>
                      <w:szCs w:val="22"/>
                    </w:rPr>
                  </w:pPr>
                  <w:r w:rsidRPr="001775D9">
                    <w:rPr>
                      <w:bCs/>
                      <w:szCs w:val="22"/>
                    </w:rPr>
                    <w:t>N</w:t>
                  </w:r>
                  <w:r w:rsidR="0098482D" w:rsidRPr="001775D9">
                    <w:rPr>
                      <w:bCs/>
                      <w:szCs w:val="22"/>
                    </w:rPr>
                    <w:t>eedle cap on</w:t>
                  </w:r>
                </w:p>
              </w:tc>
              <w:tc>
                <w:tcPr>
                  <w:tcW w:w="3118" w:type="dxa"/>
                  <w:gridSpan w:val="2"/>
                </w:tcPr>
                <w:p w14:paraId="429B02EA" w14:textId="77777777" w:rsidR="0098482D" w:rsidRPr="001775D9" w:rsidRDefault="0098482D" w:rsidP="00FB5458">
                  <w:pPr>
                    <w:keepNext/>
                    <w:keepLines/>
                    <w:tabs>
                      <w:tab w:val="clear" w:pos="567"/>
                    </w:tabs>
                    <w:autoSpaceDE w:val="0"/>
                    <w:autoSpaceDN w:val="0"/>
                    <w:adjustRightInd w:val="0"/>
                    <w:spacing w:line="240" w:lineRule="auto"/>
                    <w:rPr>
                      <w:rFonts w:eastAsia="Calibri"/>
                      <w:bCs/>
                      <w:szCs w:val="22"/>
                    </w:rPr>
                  </w:pPr>
                  <w:r w:rsidRPr="001775D9">
                    <w:rPr>
                      <w:bCs/>
                      <w:szCs w:val="22"/>
                    </w:rPr>
                    <w:t>Medicine</w:t>
                  </w:r>
                </w:p>
              </w:tc>
              <w:tc>
                <w:tcPr>
                  <w:tcW w:w="3437" w:type="dxa"/>
                </w:tcPr>
                <w:p w14:paraId="4FCB94E3" w14:textId="77777777" w:rsidR="0098482D" w:rsidRPr="001775D9" w:rsidRDefault="0098482D" w:rsidP="00FB5458">
                  <w:pPr>
                    <w:keepNext/>
                    <w:keepLines/>
                    <w:tabs>
                      <w:tab w:val="clear" w:pos="567"/>
                    </w:tabs>
                    <w:autoSpaceDE w:val="0"/>
                    <w:autoSpaceDN w:val="0"/>
                    <w:adjustRightInd w:val="0"/>
                    <w:spacing w:line="240" w:lineRule="auto"/>
                    <w:rPr>
                      <w:rFonts w:eastAsia="Calibri"/>
                      <w:bCs/>
                      <w:szCs w:val="22"/>
                    </w:rPr>
                  </w:pPr>
                  <w:r w:rsidRPr="001775D9">
                    <w:rPr>
                      <w:bCs/>
                      <w:szCs w:val="22"/>
                    </w:rPr>
                    <w:t>Finger flange</w:t>
                  </w:r>
                </w:p>
              </w:tc>
            </w:tr>
          </w:tbl>
          <w:p w14:paraId="4FBE158A" w14:textId="77777777" w:rsidR="0098482D" w:rsidRPr="001775D9" w:rsidRDefault="0098482D" w:rsidP="00FB5458">
            <w:pPr>
              <w:keepNext/>
              <w:keepLines/>
              <w:tabs>
                <w:tab w:val="clear" w:pos="567"/>
              </w:tabs>
              <w:autoSpaceDE w:val="0"/>
              <w:autoSpaceDN w:val="0"/>
              <w:adjustRightInd w:val="0"/>
              <w:spacing w:line="240" w:lineRule="auto"/>
              <w:rPr>
                <w:rFonts w:eastAsia="Calibri"/>
                <w:bCs/>
                <w:szCs w:val="22"/>
              </w:rPr>
            </w:pPr>
          </w:p>
        </w:tc>
      </w:tr>
      <w:tr w:rsidR="0098482D" w:rsidRPr="00F04F82" w14:paraId="76F8C995" w14:textId="77777777" w:rsidTr="001311BD">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0B60144" w14:textId="77777777" w:rsidR="0098482D" w:rsidRPr="001775D9" w:rsidRDefault="0098482D" w:rsidP="00FB5458">
            <w:pPr>
              <w:keepNext/>
              <w:keepLines/>
              <w:tabs>
                <w:tab w:val="clear" w:pos="567"/>
              </w:tabs>
              <w:autoSpaceDE w:val="0"/>
              <w:autoSpaceDN w:val="0"/>
              <w:adjustRightInd w:val="0"/>
              <w:spacing w:line="240" w:lineRule="auto"/>
              <w:rPr>
                <w:rFonts w:eastAsia="Calibri"/>
                <w:b/>
                <w:bCs/>
                <w:szCs w:val="22"/>
              </w:rPr>
            </w:pPr>
            <w:r w:rsidRPr="001775D9">
              <w:rPr>
                <w:rFonts w:eastAsia="Calibri"/>
                <w:b/>
                <w:bCs/>
                <w:szCs w:val="22"/>
              </w:rPr>
              <w:t>Always hold the syringe by the syringe barrel.</w:t>
            </w:r>
          </w:p>
          <w:p w14:paraId="315B42D4" w14:textId="77777777" w:rsidR="0098482D" w:rsidRPr="001775D9" w:rsidRDefault="0098482D" w:rsidP="00FB5458">
            <w:pPr>
              <w:keepNext/>
              <w:keepLines/>
              <w:tabs>
                <w:tab w:val="clear" w:pos="567"/>
              </w:tabs>
              <w:autoSpaceDE w:val="0"/>
              <w:autoSpaceDN w:val="0"/>
              <w:adjustRightInd w:val="0"/>
              <w:spacing w:line="240" w:lineRule="auto"/>
              <w:rPr>
                <w:rFonts w:eastAsia="Calibri"/>
                <w:b/>
                <w:bCs/>
                <w:szCs w:val="22"/>
              </w:rPr>
            </w:pPr>
          </w:p>
          <w:p w14:paraId="151F908A" w14:textId="77777777" w:rsidR="0098482D" w:rsidRPr="001775D9" w:rsidRDefault="0098482D" w:rsidP="00FB5458">
            <w:pPr>
              <w:keepNext/>
              <w:keepLines/>
              <w:tabs>
                <w:tab w:val="clear" w:pos="567"/>
              </w:tabs>
              <w:autoSpaceDE w:val="0"/>
              <w:autoSpaceDN w:val="0"/>
              <w:adjustRightInd w:val="0"/>
              <w:spacing w:line="240" w:lineRule="auto"/>
              <w:rPr>
                <w:rFonts w:eastAsia="Calibri"/>
                <w:b/>
                <w:bCs/>
                <w:szCs w:val="22"/>
              </w:rPr>
            </w:pPr>
            <w:r w:rsidRPr="001775D9">
              <w:rPr>
                <w:rFonts w:eastAsia="Calibri"/>
                <w:b/>
                <w:bCs/>
                <w:szCs w:val="22"/>
              </w:rPr>
              <w:t>Make sure the medicine in the syringe is clear and colourless to slightly yellow.</w:t>
            </w:r>
          </w:p>
        </w:tc>
      </w:tr>
      <w:tr w:rsidR="0098482D" w:rsidRPr="00F04F82" w14:paraId="46C89446"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415A55F6" w14:textId="77777777" w:rsidR="0098482D" w:rsidRPr="001775D9" w:rsidRDefault="0098482D" w:rsidP="00FB5458">
            <w:pPr>
              <w:keepNext/>
              <w:keepLines/>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41A08985" w14:textId="77777777" w:rsidR="0098482D" w:rsidRPr="001775D9" w:rsidRDefault="0098482D" w:rsidP="00FB5458">
            <w:pPr>
              <w:pStyle w:val="ListParagraph"/>
              <w:keepNext/>
              <w:keepLines/>
              <w:suppressAutoHyphens/>
              <w:autoSpaceDE w:val="0"/>
              <w:autoSpaceDN w:val="0"/>
              <w:adjustRightInd w:val="0"/>
              <w:ind w:left="0"/>
              <w:textAlignment w:val="center"/>
              <w:rPr>
                <w:color w:val="000000"/>
                <w:sz w:val="22"/>
                <w:szCs w:val="22"/>
              </w:rPr>
            </w:pPr>
            <w:r w:rsidRPr="001775D9">
              <w:rPr>
                <w:b/>
                <w:bCs/>
                <w:color w:val="000000"/>
                <w:sz w:val="22"/>
                <w:szCs w:val="22"/>
              </w:rPr>
              <w:t xml:space="preserve">Do not </w:t>
            </w:r>
            <w:r w:rsidRPr="001775D9">
              <w:rPr>
                <w:color w:val="000000"/>
                <w:sz w:val="22"/>
                <w:szCs w:val="22"/>
              </w:rPr>
              <w:t>use the syringe if:</w:t>
            </w:r>
          </w:p>
        </w:tc>
      </w:tr>
      <w:tr w:rsidR="0098482D" w:rsidRPr="00F04F82" w14:paraId="58DB09B7"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17ED1CEB" w14:textId="77777777" w:rsidR="0098482D" w:rsidRPr="001775D9" w:rsidRDefault="0098482D" w:rsidP="00FB5458">
            <w:pPr>
              <w:spacing w:line="240" w:lineRule="auto"/>
              <w:rPr>
                <w:color w:val="000000"/>
                <w:szCs w:val="22"/>
              </w:rPr>
            </w:pPr>
          </w:p>
        </w:tc>
        <w:tc>
          <w:tcPr>
            <w:tcW w:w="4697" w:type="pct"/>
            <w:tcBorders>
              <w:top w:val="nil"/>
              <w:left w:val="nil"/>
              <w:bottom w:val="nil"/>
              <w:right w:val="single" w:sz="4" w:space="0" w:color="auto"/>
            </w:tcBorders>
            <w:tcMar>
              <w:left w:w="57" w:type="dxa"/>
            </w:tcMar>
          </w:tcPr>
          <w:p w14:paraId="7E7B34E4" w14:textId="77777777" w:rsidR="0098482D" w:rsidRPr="001775D9" w:rsidRDefault="0098482D" w:rsidP="00FB5458">
            <w:pPr>
              <w:pStyle w:val="ListParagraph"/>
              <w:numPr>
                <w:ilvl w:val="0"/>
                <w:numId w:val="25"/>
              </w:numPr>
              <w:suppressAutoHyphens/>
              <w:autoSpaceDE w:val="0"/>
              <w:autoSpaceDN w:val="0"/>
              <w:adjustRightInd w:val="0"/>
              <w:textAlignment w:val="center"/>
              <w:rPr>
                <w:color w:val="000000"/>
                <w:sz w:val="22"/>
                <w:szCs w:val="22"/>
              </w:rPr>
            </w:pPr>
            <w:r w:rsidRPr="001775D9">
              <w:rPr>
                <w:color w:val="000000"/>
                <w:sz w:val="22"/>
                <w:szCs w:val="22"/>
              </w:rPr>
              <w:t>The medicine is cloudy or discoloured or contains flakes, or particles.</w:t>
            </w:r>
          </w:p>
          <w:p w14:paraId="57A900A5" w14:textId="77777777" w:rsidR="0098482D" w:rsidRPr="001775D9" w:rsidRDefault="0098482D" w:rsidP="00FB5458">
            <w:pPr>
              <w:pStyle w:val="ListParagraph"/>
              <w:numPr>
                <w:ilvl w:val="0"/>
                <w:numId w:val="25"/>
              </w:numPr>
              <w:suppressAutoHyphens/>
              <w:autoSpaceDE w:val="0"/>
              <w:autoSpaceDN w:val="0"/>
              <w:adjustRightInd w:val="0"/>
              <w:textAlignment w:val="center"/>
              <w:rPr>
                <w:color w:val="000000"/>
                <w:sz w:val="22"/>
                <w:szCs w:val="22"/>
              </w:rPr>
            </w:pPr>
            <w:r w:rsidRPr="001775D9">
              <w:rPr>
                <w:color w:val="000000"/>
                <w:sz w:val="22"/>
                <w:szCs w:val="22"/>
              </w:rPr>
              <w:t>Any part appears cracked or broken.</w:t>
            </w:r>
          </w:p>
          <w:p w14:paraId="098A907D" w14:textId="77777777" w:rsidR="0098482D" w:rsidRPr="001775D9" w:rsidRDefault="0098482D" w:rsidP="00FB5458">
            <w:pPr>
              <w:pStyle w:val="ListParagraph"/>
              <w:numPr>
                <w:ilvl w:val="0"/>
                <w:numId w:val="25"/>
              </w:numPr>
              <w:suppressAutoHyphens/>
              <w:autoSpaceDE w:val="0"/>
              <w:autoSpaceDN w:val="0"/>
              <w:adjustRightInd w:val="0"/>
              <w:textAlignment w:val="center"/>
              <w:rPr>
                <w:color w:val="000000"/>
                <w:sz w:val="22"/>
                <w:szCs w:val="22"/>
              </w:rPr>
            </w:pPr>
            <w:r w:rsidRPr="001775D9">
              <w:rPr>
                <w:color w:val="000000"/>
                <w:sz w:val="22"/>
                <w:szCs w:val="22"/>
              </w:rPr>
              <w:t xml:space="preserve">The </w:t>
            </w:r>
            <w:r w:rsidR="0046166D" w:rsidRPr="001775D9">
              <w:rPr>
                <w:color w:val="000000"/>
                <w:sz w:val="22"/>
                <w:szCs w:val="22"/>
              </w:rPr>
              <w:t>needle</w:t>
            </w:r>
            <w:r w:rsidRPr="001775D9">
              <w:rPr>
                <w:color w:val="000000"/>
                <w:sz w:val="22"/>
                <w:szCs w:val="22"/>
              </w:rPr>
              <w:t xml:space="preserve"> cap is missing or not securely attached.</w:t>
            </w:r>
          </w:p>
          <w:p w14:paraId="23D5B705" w14:textId="7B28DCE6" w:rsidR="0098482D" w:rsidRPr="001775D9" w:rsidRDefault="0098482D" w:rsidP="00FB5458">
            <w:pPr>
              <w:pStyle w:val="ListParagraph"/>
              <w:numPr>
                <w:ilvl w:val="0"/>
                <w:numId w:val="25"/>
              </w:numPr>
              <w:suppressAutoHyphens/>
              <w:autoSpaceDE w:val="0"/>
              <w:autoSpaceDN w:val="0"/>
              <w:adjustRightInd w:val="0"/>
              <w:textAlignment w:val="center"/>
              <w:rPr>
                <w:color w:val="000000"/>
                <w:sz w:val="22"/>
                <w:szCs w:val="22"/>
              </w:rPr>
            </w:pPr>
            <w:r w:rsidRPr="001775D9">
              <w:rPr>
                <w:color w:val="000000"/>
                <w:sz w:val="22"/>
                <w:szCs w:val="22"/>
              </w:rPr>
              <w:t xml:space="preserve">The </w:t>
            </w:r>
            <w:r w:rsidR="00C7380C" w:rsidRPr="001775D9">
              <w:rPr>
                <w:sz w:val="22"/>
                <w:szCs w:val="20"/>
              </w:rPr>
              <w:t>expiry</w:t>
            </w:r>
            <w:r w:rsidRPr="001775D9">
              <w:rPr>
                <w:color w:val="000000"/>
                <w:sz w:val="22"/>
                <w:szCs w:val="22"/>
              </w:rPr>
              <w:t xml:space="preserve"> date printed on the label has passed.</w:t>
            </w:r>
          </w:p>
        </w:tc>
      </w:tr>
      <w:tr w:rsidR="0098482D" w:rsidRPr="00F04F82" w14:paraId="254768BF" w14:textId="77777777" w:rsidTr="001311BD">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66109595" w14:textId="77777777" w:rsidR="0098482D" w:rsidRPr="001775D9" w:rsidRDefault="0098482D" w:rsidP="00FB5458">
            <w:pPr>
              <w:pStyle w:val="DONOT"/>
              <w:spacing w:line="240" w:lineRule="auto"/>
              <w:rPr>
                <w:sz w:val="22"/>
                <w:szCs w:val="22"/>
                <w:lang w:val="en-GB"/>
              </w:rPr>
            </w:pPr>
            <w:r w:rsidRPr="001775D9">
              <w:rPr>
                <w:rFonts w:eastAsia="PMingLiU"/>
                <w:color w:val="000000"/>
                <w:sz w:val="22"/>
                <w:szCs w:val="22"/>
                <w:lang w:val="en-GB"/>
              </w:rPr>
              <w:t>In all cases, use a new syringe.</w:t>
            </w:r>
          </w:p>
        </w:tc>
      </w:tr>
    </w:tbl>
    <w:p w14:paraId="3F8A2547" w14:textId="77777777" w:rsidR="0098482D" w:rsidRPr="001775D9" w:rsidRDefault="0098482D" w:rsidP="00FB5458">
      <w:pPr>
        <w:spacing w:line="240" w:lineRule="auto"/>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60"/>
        <w:gridCol w:w="8676"/>
      </w:tblGrid>
      <w:tr w:rsidR="0098482D" w:rsidRPr="00F04F82" w14:paraId="4372F61A" w14:textId="77777777" w:rsidTr="001311BD">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C4EFFB" w14:textId="77777777" w:rsidR="0098482D" w:rsidRPr="001775D9" w:rsidRDefault="0098482D" w:rsidP="00FB5458">
            <w:pPr>
              <w:suppressAutoHyphens/>
              <w:autoSpaceDE w:val="0"/>
              <w:autoSpaceDN w:val="0"/>
              <w:adjustRightInd w:val="0"/>
              <w:spacing w:line="240" w:lineRule="auto"/>
              <w:textAlignment w:val="center"/>
              <w:rPr>
                <w:b/>
                <w:color w:val="000000"/>
                <w:szCs w:val="22"/>
              </w:rPr>
            </w:pPr>
            <w:r w:rsidRPr="001775D9">
              <w:rPr>
                <w:rStyle w:val="bodybold"/>
                <w:szCs w:val="22"/>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6B374C31" w14:textId="77777777" w:rsidR="0098482D" w:rsidRPr="001775D9" w:rsidRDefault="0098482D" w:rsidP="00FB5458">
            <w:pPr>
              <w:pStyle w:val="BasicParagraph"/>
              <w:widowControl/>
              <w:suppressAutoHyphens/>
              <w:spacing w:line="240" w:lineRule="auto"/>
              <w:rPr>
                <w:rFonts w:ascii="Times New Roman" w:hAnsi="Times New Roman" w:cs="Times New Roman"/>
                <w:b/>
                <w:bCs/>
                <w:szCs w:val="22"/>
                <w:lang w:val="en-GB"/>
              </w:rPr>
            </w:pPr>
            <w:r w:rsidRPr="001775D9">
              <w:rPr>
                <w:rFonts w:ascii="Times New Roman" w:hAnsi="Times New Roman" w:cs="Times New Roman"/>
                <w:bCs/>
                <w:szCs w:val="22"/>
                <w:lang w:val="en-GB"/>
              </w:rPr>
              <w:t>Gather all materials needed for your injection(s).</w:t>
            </w:r>
          </w:p>
        </w:tc>
      </w:tr>
      <w:tr w:rsidR="0098482D" w:rsidRPr="00F04F82" w14:paraId="4576BEAE" w14:textId="77777777" w:rsidTr="001311BD">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2C58187E" w14:textId="77777777" w:rsidR="0098482D" w:rsidRPr="001775D9" w:rsidRDefault="0098482D" w:rsidP="00FB5458">
            <w:pPr>
              <w:spacing w:line="240" w:lineRule="auto"/>
              <w:rPr>
                <w:szCs w:val="22"/>
              </w:rPr>
            </w:pPr>
            <w:r w:rsidRPr="001775D9">
              <w:rPr>
                <w:szCs w:val="22"/>
              </w:rPr>
              <w:t xml:space="preserve">Wash your hands thoroughly with soap and water. </w:t>
            </w:r>
          </w:p>
          <w:p w14:paraId="4AB05378" w14:textId="77777777" w:rsidR="00F40CA1" w:rsidRPr="001775D9" w:rsidRDefault="0098482D" w:rsidP="00FB5458">
            <w:pPr>
              <w:spacing w:line="240" w:lineRule="auto"/>
              <w:rPr>
                <w:szCs w:val="22"/>
              </w:rPr>
            </w:pPr>
            <w:r w:rsidRPr="001775D9">
              <w:rPr>
                <w:szCs w:val="22"/>
              </w:rPr>
              <w:t>On a clean, well-lit work surface, place</w:t>
            </w:r>
            <w:r w:rsidR="00F40CA1" w:rsidRPr="001775D9">
              <w:rPr>
                <w:szCs w:val="22"/>
              </w:rPr>
              <w:t xml:space="preserve"> </w:t>
            </w:r>
            <w:r w:rsidR="00F40CA1" w:rsidRPr="00D55B59">
              <w:rPr>
                <w:rPrChange w:id="3266" w:author="Author">
                  <w:rPr>
                    <w:lang w:val="en-US"/>
                  </w:rPr>
                </w:rPrChange>
              </w:rPr>
              <w:t xml:space="preserve">a new, pre-filled </w:t>
            </w:r>
            <w:r w:rsidR="009E3533" w:rsidRPr="00D55B59">
              <w:rPr>
                <w:rPrChange w:id="3267" w:author="Author">
                  <w:rPr>
                    <w:lang w:val="en-US"/>
                  </w:rPr>
                </w:rPrChange>
              </w:rPr>
              <w:t>syringe</w:t>
            </w:r>
            <w:r w:rsidR="00F40CA1" w:rsidRPr="00D55B59">
              <w:rPr>
                <w:rPrChange w:id="3268" w:author="Author">
                  <w:rPr>
                    <w:lang w:val="en-US"/>
                  </w:rPr>
                </w:rPrChange>
              </w:rPr>
              <w:t>.</w:t>
            </w:r>
          </w:p>
          <w:p w14:paraId="697EF730" w14:textId="77777777" w:rsidR="00F40CA1" w:rsidRPr="001775D9" w:rsidRDefault="00F40CA1" w:rsidP="00FB5458">
            <w:pPr>
              <w:spacing w:line="240" w:lineRule="auto"/>
              <w:rPr>
                <w:szCs w:val="22"/>
              </w:rPr>
            </w:pPr>
          </w:p>
          <w:p w14:paraId="46DDC90C" w14:textId="77777777" w:rsidR="0098482D" w:rsidRPr="001775D9" w:rsidRDefault="00F40CA1" w:rsidP="00FB5458">
            <w:pPr>
              <w:spacing w:line="240" w:lineRule="auto"/>
            </w:pPr>
            <w:r w:rsidRPr="00D55B59">
              <w:rPr>
                <w:rPrChange w:id="3269" w:author="Author">
                  <w:rPr>
                    <w:lang w:val="en-US"/>
                  </w:rPr>
                </w:rPrChange>
              </w:rPr>
              <w:t>You will also need these additional items, as they are not included in the carton:</w:t>
            </w:r>
          </w:p>
        </w:tc>
      </w:tr>
      <w:tr w:rsidR="0098482D" w:rsidRPr="00F04F82" w14:paraId="3FC8E064"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777DF392" w14:textId="77777777" w:rsidR="0098482D" w:rsidRPr="001775D9" w:rsidRDefault="0098482D" w:rsidP="00FB5458">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35F62A7D"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Alcohol wipes</w:t>
            </w:r>
          </w:p>
        </w:tc>
      </w:tr>
      <w:tr w:rsidR="0098482D" w:rsidRPr="00F04F82" w14:paraId="7961A896"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18553426" w14:textId="77777777" w:rsidR="0098482D" w:rsidRPr="001775D9" w:rsidRDefault="0098482D" w:rsidP="00FB5458">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17BE44CA"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Cotton ball or gauze pad</w:t>
            </w:r>
          </w:p>
        </w:tc>
      </w:tr>
      <w:tr w:rsidR="0098482D" w:rsidRPr="00F04F82" w14:paraId="117A8037"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328D6CF7" w14:textId="77777777" w:rsidR="0098482D" w:rsidRPr="001775D9" w:rsidRDefault="0098482D" w:rsidP="00FB5458">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769A1DEA"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Plaster</w:t>
            </w:r>
          </w:p>
        </w:tc>
      </w:tr>
      <w:tr w:rsidR="0098482D" w:rsidRPr="00F04F82" w14:paraId="201DB84C"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2395682B" w14:textId="77777777" w:rsidR="0098482D" w:rsidRPr="001775D9" w:rsidRDefault="0098482D" w:rsidP="00FB5458">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35C9F737"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Sharps disposal container</w:t>
            </w:r>
          </w:p>
        </w:tc>
      </w:tr>
      <w:tr w:rsidR="0098482D" w:rsidRPr="00F04F82" w14:paraId="7F239447" w14:textId="77777777" w:rsidTr="001311BD">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2847"/>
              <w:gridCol w:w="6272"/>
            </w:tblGrid>
            <w:tr w:rsidR="0098482D" w:rsidRPr="00F04F82" w14:paraId="4F0581EC" w14:textId="77777777" w:rsidTr="001311BD">
              <w:tc>
                <w:tcPr>
                  <w:tcW w:w="2835" w:type="dxa"/>
                  <w:vAlign w:val="center"/>
                </w:tcPr>
                <w:p w14:paraId="2F3401BE" w14:textId="08ADB880" w:rsidR="0098482D" w:rsidRPr="001775D9" w:rsidRDefault="00D96030" w:rsidP="00FB5458">
                  <w:pPr>
                    <w:pStyle w:val="DONOT"/>
                    <w:spacing w:line="240" w:lineRule="auto"/>
                    <w:jc w:val="center"/>
                    <w:rPr>
                      <w:sz w:val="22"/>
                      <w:szCs w:val="22"/>
                      <w:lang w:val="en-GB"/>
                    </w:rPr>
                  </w:pPr>
                  <w:r>
                    <w:rPr>
                      <w:sz w:val="22"/>
                      <w:szCs w:val="22"/>
                      <w:lang w:val="en-GB"/>
                    </w:rPr>
                    <w:pict w14:anchorId="44AC9CF3">
                      <v:shape id="_x0000_i1046" type="#_x0000_t75" style="width:134pt;height:46pt;visibility:visible;mso-wrap-style:square">
                        <v:imagedata r:id="rId38" o:title=""/>
                      </v:shape>
                    </w:pict>
                  </w:r>
                </w:p>
              </w:tc>
              <w:tc>
                <w:tcPr>
                  <w:tcW w:w="6272" w:type="dxa"/>
                </w:tcPr>
                <w:p w14:paraId="7933B075" w14:textId="072F738E" w:rsidR="0098482D" w:rsidRPr="001775D9" w:rsidRDefault="00D96030" w:rsidP="00FB5458">
                  <w:pPr>
                    <w:pStyle w:val="DONOT"/>
                    <w:spacing w:line="240" w:lineRule="auto"/>
                    <w:rPr>
                      <w:sz w:val="22"/>
                      <w:szCs w:val="22"/>
                      <w:lang w:val="en-GB"/>
                    </w:rPr>
                  </w:pPr>
                  <w:r>
                    <w:rPr>
                      <w:sz w:val="22"/>
                      <w:szCs w:val="22"/>
                      <w:lang w:val="en-GB" w:eastAsia="en-GB"/>
                    </w:rPr>
                    <w:pict w14:anchorId="7C699F96">
                      <v:shape id="_x0000_i1047" type="#_x0000_t75" style="width:2in;height:88pt;visibility:visible;mso-wrap-style:square">
                        <v:imagedata r:id="rId39" o:title=""/>
                      </v:shape>
                    </w:pict>
                  </w:r>
                </w:p>
              </w:tc>
            </w:tr>
          </w:tbl>
          <w:p w14:paraId="215619AC" w14:textId="77777777" w:rsidR="0098482D" w:rsidRPr="001775D9" w:rsidRDefault="0098482D" w:rsidP="00FB5458">
            <w:pPr>
              <w:pStyle w:val="DONOT"/>
              <w:spacing w:line="240" w:lineRule="auto"/>
              <w:rPr>
                <w:sz w:val="22"/>
                <w:szCs w:val="22"/>
                <w:lang w:val="en-GB"/>
              </w:rPr>
            </w:pPr>
          </w:p>
        </w:tc>
      </w:tr>
    </w:tbl>
    <w:p w14:paraId="12FC5BDC" w14:textId="77777777" w:rsidR="0098482D" w:rsidRPr="001775D9" w:rsidRDefault="0098482D" w:rsidP="00FB5458">
      <w:pPr>
        <w:pStyle w:val="BasicParagraph"/>
        <w:widowControl/>
        <w:suppressAutoHyphens/>
        <w:spacing w:line="240" w:lineRule="auto"/>
        <w:rPr>
          <w:rStyle w:val="bodybold"/>
          <w:rFonts w:ascii="Times New Roman" w:hAnsi="Times New Roman"/>
          <w:color w:val="auto"/>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60"/>
        <w:gridCol w:w="8676"/>
      </w:tblGrid>
      <w:tr w:rsidR="0098482D" w:rsidRPr="00F04F82" w14:paraId="6983249F" w14:textId="77777777" w:rsidTr="001311BD">
        <w:trPr>
          <w:cantSplit/>
        </w:trPr>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65CC855" w14:textId="77777777" w:rsidR="0098482D" w:rsidRPr="001775D9" w:rsidRDefault="0098482D" w:rsidP="00FB5458">
            <w:pPr>
              <w:keepNext/>
              <w:suppressAutoHyphens/>
              <w:autoSpaceDE w:val="0"/>
              <w:autoSpaceDN w:val="0"/>
              <w:adjustRightInd w:val="0"/>
              <w:spacing w:line="240" w:lineRule="auto"/>
              <w:textAlignment w:val="center"/>
              <w:rPr>
                <w:b/>
                <w:color w:val="000000"/>
                <w:szCs w:val="22"/>
              </w:rPr>
            </w:pPr>
            <w:r w:rsidRPr="001775D9">
              <w:rPr>
                <w:rStyle w:val="bodybold"/>
                <w:szCs w:val="22"/>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607E54AC" w14:textId="77777777" w:rsidR="0098482D" w:rsidRPr="001775D9" w:rsidRDefault="0098482D" w:rsidP="00FB5458">
            <w:pPr>
              <w:pStyle w:val="BasicParagraph"/>
              <w:keepNext/>
              <w:widowControl/>
              <w:suppressAutoHyphens/>
              <w:spacing w:line="240" w:lineRule="auto"/>
              <w:rPr>
                <w:rFonts w:ascii="Times New Roman" w:hAnsi="Times New Roman" w:cs="Times New Roman"/>
                <w:b/>
                <w:bCs/>
                <w:szCs w:val="22"/>
                <w:lang w:val="en-GB"/>
              </w:rPr>
            </w:pPr>
            <w:r w:rsidRPr="001775D9">
              <w:rPr>
                <w:rFonts w:ascii="Times New Roman" w:hAnsi="Times New Roman" w:cs="Times New Roman"/>
                <w:bCs/>
                <w:szCs w:val="22"/>
                <w:lang w:val="en-GB"/>
              </w:rPr>
              <w:t>Prepare and clean your injection site(s).</w:t>
            </w:r>
          </w:p>
        </w:tc>
      </w:tr>
      <w:tr w:rsidR="0098482D" w:rsidRPr="00F04F82" w14:paraId="68F88B1A" w14:textId="77777777" w:rsidTr="001311BD">
        <w:trPr>
          <w:cantSplit/>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598"/>
              <w:gridCol w:w="3593"/>
            </w:tblGrid>
            <w:tr w:rsidR="0098482D" w:rsidRPr="00F04F82" w14:paraId="3BB80A08" w14:textId="77777777" w:rsidTr="00A8341E">
              <w:trPr>
                <w:trHeight w:val="1634"/>
                <w:jc w:val="right"/>
              </w:trPr>
              <w:tc>
                <w:tcPr>
                  <w:tcW w:w="2598" w:type="dxa"/>
                  <w:vMerge w:val="restart"/>
                </w:tcPr>
                <w:p w14:paraId="6720D54E" w14:textId="2E009B57" w:rsidR="0098482D" w:rsidRPr="001775D9" w:rsidRDefault="00D96030" w:rsidP="00FB5458">
                  <w:pPr>
                    <w:pStyle w:val="BasicParagraph"/>
                    <w:widowControl/>
                    <w:suppressAutoHyphens/>
                    <w:spacing w:line="240" w:lineRule="auto"/>
                    <w:ind w:right="-108"/>
                    <w:rPr>
                      <w:rFonts w:ascii="Times New Roman" w:hAnsi="Times New Roman" w:cs="Times New Roman"/>
                      <w:b/>
                      <w:bCs/>
                      <w:szCs w:val="22"/>
                      <w:lang w:val="en-GB"/>
                    </w:rPr>
                  </w:pPr>
                  <w:r>
                    <w:rPr>
                      <w:rFonts w:ascii="Times New Roman" w:hAnsi="Times New Roman" w:cs="Times New Roman"/>
                      <w:b/>
                      <w:szCs w:val="22"/>
                      <w:lang w:val="en-GB"/>
                    </w:rPr>
                    <w:pict w14:anchorId="4F05CE3A">
                      <v:shape id="_x0000_i1048" type="#_x0000_t75" style="width:123.5pt;height:169.5pt;visibility:visible;mso-wrap-style:square">
                        <v:imagedata r:id="rId40" o:title=""/>
                      </v:shape>
                    </w:pict>
                  </w:r>
                </w:p>
              </w:tc>
              <w:tc>
                <w:tcPr>
                  <w:tcW w:w="3593" w:type="dxa"/>
                  <w:vAlign w:val="bottom"/>
                </w:tcPr>
                <w:p w14:paraId="71A4009A" w14:textId="77777777" w:rsidR="0098482D" w:rsidRPr="001775D9" w:rsidRDefault="0098482D" w:rsidP="00FB5458">
                  <w:pPr>
                    <w:pStyle w:val="BasicParagraph"/>
                    <w:widowControl/>
                    <w:suppressAutoHyphens/>
                    <w:spacing w:line="240" w:lineRule="auto"/>
                    <w:ind w:left="-36"/>
                    <w:rPr>
                      <w:rFonts w:ascii="Times New Roman" w:hAnsi="Times New Roman" w:cs="Times New Roman"/>
                      <w:bCs/>
                      <w:szCs w:val="22"/>
                      <w:lang w:val="en-GB"/>
                    </w:rPr>
                  </w:pPr>
                  <w:r w:rsidRPr="001775D9">
                    <w:rPr>
                      <w:rFonts w:ascii="Times New Roman" w:hAnsi="Times New Roman" w:cs="Times New Roman"/>
                      <w:bCs/>
                      <w:szCs w:val="22"/>
                      <w:lang w:val="en-GB"/>
                    </w:rPr>
                    <w:t>Belly</w:t>
                  </w:r>
                </w:p>
              </w:tc>
            </w:tr>
            <w:tr w:rsidR="0098482D" w:rsidRPr="00F04F82" w14:paraId="1AA678E9" w14:textId="77777777" w:rsidTr="001311BD">
              <w:trPr>
                <w:jc w:val="right"/>
              </w:trPr>
              <w:tc>
                <w:tcPr>
                  <w:tcW w:w="2598" w:type="dxa"/>
                  <w:vMerge/>
                </w:tcPr>
                <w:p w14:paraId="1E65B8F0" w14:textId="77777777" w:rsidR="0098482D" w:rsidRPr="00F04F82" w:rsidRDefault="0098482D" w:rsidP="00FB5458">
                  <w:pPr>
                    <w:pStyle w:val="BasicParagraph"/>
                    <w:widowControl/>
                    <w:suppressAutoHyphens/>
                    <w:spacing w:line="240" w:lineRule="auto"/>
                    <w:rPr>
                      <w:rFonts w:ascii="Times New Roman" w:hAnsi="Times New Roman" w:cs="Times New Roman"/>
                      <w:b/>
                      <w:bCs/>
                      <w:szCs w:val="22"/>
                      <w:lang w:val="en-GB"/>
                    </w:rPr>
                  </w:pPr>
                </w:p>
              </w:tc>
              <w:tc>
                <w:tcPr>
                  <w:tcW w:w="3593" w:type="dxa"/>
                  <w:vAlign w:val="center"/>
                </w:tcPr>
                <w:p w14:paraId="3F749578" w14:textId="77777777" w:rsidR="001E393E" w:rsidRPr="001775D9" w:rsidRDefault="001E393E" w:rsidP="00FB5458">
                  <w:pPr>
                    <w:pStyle w:val="BasicParagraph"/>
                    <w:widowControl/>
                    <w:suppressAutoHyphens/>
                    <w:spacing w:line="240" w:lineRule="auto"/>
                    <w:ind w:left="-36"/>
                    <w:rPr>
                      <w:rFonts w:ascii="Times New Roman" w:hAnsi="Times New Roman" w:cs="Times New Roman"/>
                      <w:bCs/>
                      <w:szCs w:val="22"/>
                      <w:lang w:val="en-GB"/>
                    </w:rPr>
                  </w:pPr>
                </w:p>
                <w:p w14:paraId="769704F7" w14:textId="77777777" w:rsidR="0098482D" w:rsidRPr="001775D9" w:rsidRDefault="0098482D" w:rsidP="00FB5458">
                  <w:pPr>
                    <w:pStyle w:val="BasicParagraph"/>
                    <w:widowControl/>
                    <w:suppressAutoHyphens/>
                    <w:spacing w:line="240" w:lineRule="auto"/>
                    <w:ind w:left="-36"/>
                    <w:rPr>
                      <w:rFonts w:ascii="Times New Roman" w:hAnsi="Times New Roman" w:cs="Times New Roman"/>
                      <w:bCs/>
                      <w:szCs w:val="22"/>
                      <w:lang w:val="en-GB"/>
                    </w:rPr>
                  </w:pPr>
                  <w:r w:rsidRPr="001775D9">
                    <w:rPr>
                      <w:rFonts w:ascii="Times New Roman" w:hAnsi="Times New Roman" w:cs="Times New Roman"/>
                      <w:bCs/>
                      <w:szCs w:val="22"/>
                      <w:lang w:val="en-GB"/>
                    </w:rPr>
                    <w:t>Thigh</w:t>
                  </w:r>
                </w:p>
              </w:tc>
            </w:tr>
          </w:tbl>
          <w:p w14:paraId="7F793BD0" w14:textId="77777777" w:rsidR="0098482D" w:rsidRPr="001775D9" w:rsidRDefault="0098482D" w:rsidP="00FB5458">
            <w:pPr>
              <w:spacing w:line="240" w:lineRule="auto"/>
              <w:rPr>
                <w:szCs w:val="22"/>
              </w:rPr>
            </w:pPr>
          </w:p>
        </w:tc>
      </w:tr>
      <w:tr w:rsidR="0098482D" w:rsidRPr="00F04F82" w14:paraId="100E115C" w14:textId="77777777" w:rsidTr="001311BD">
        <w:trPr>
          <w:cantSplit/>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21FD5E0E" w14:textId="77777777" w:rsidR="0098482D" w:rsidRPr="001775D9" w:rsidRDefault="0098482D" w:rsidP="00FB5458">
            <w:pPr>
              <w:suppressAutoHyphens/>
              <w:autoSpaceDE w:val="0"/>
              <w:autoSpaceDN w:val="0"/>
              <w:adjustRightInd w:val="0"/>
              <w:spacing w:line="240" w:lineRule="auto"/>
              <w:textAlignment w:val="center"/>
              <w:rPr>
                <w:b/>
                <w:bCs/>
                <w:color w:val="000000"/>
                <w:szCs w:val="22"/>
              </w:rPr>
            </w:pPr>
            <w:r w:rsidRPr="001775D9">
              <w:rPr>
                <w:b/>
                <w:bCs/>
                <w:color w:val="000000"/>
                <w:szCs w:val="22"/>
              </w:rPr>
              <w:t>You can use:</w:t>
            </w:r>
          </w:p>
        </w:tc>
      </w:tr>
      <w:tr w:rsidR="0098482D" w:rsidRPr="00F04F82" w14:paraId="04283BC1"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06BCBAD6" w14:textId="77777777" w:rsidR="0098482D" w:rsidRPr="001775D9" w:rsidRDefault="0098482D" w:rsidP="00FB5458">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11585101"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Your thigh</w:t>
            </w:r>
          </w:p>
        </w:tc>
      </w:tr>
      <w:tr w:rsidR="0098482D" w:rsidRPr="00F04F82" w14:paraId="716537CA"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16890AEC" w14:textId="77777777" w:rsidR="0098482D" w:rsidRPr="001775D9" w:rsidRDefault="0098482D" w:rsidP="00FB5458">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2274AEDE" w14:textId="510B0B93"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Belly, except for a 2 inch (5 centimetres) area around your belly button</w:t>
            </w:r>
          </w:p>
        </w:tc>
      </w:tr>
      <w:tr w:rsidR="0098482D" w:rsidRPr="00F04F82" w14:paraId="47076C41" w14:textId="77777777" w:rsidTr="001311BD">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31A229D"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p>
          <w:p w14:paraId="2CAEBFF9"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Clean your injection site with an alcohol wipe. Let your skin dry.</w:t>
            </w:r>
          </w:p>
        </w:tc>
      </w:tr>
      <w:tr w:rsidR="0098482D" w:rsidRPr="00F04F82" w14:paraId="76E434AA"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02D0C751" w14:textId="77777777" w:rsidR="0098482D" w:rsidRPr="001775D9" w:rsidRDefault="0098482D" w:rsidP="00FB5458">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1E7B2FC4"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b/>
                <w:bCs/>
                <w:color w:val="000000"/>
                <w:sz w:val="22"/>
                <w:szCs w:val="22"/>
              </w:rPr>
              <w:t>Do not</w:t>
            </w:r>
            <w:r w:rsidRPr="001775D9">
              <w:rPr>
                <w:color w:val="000000"/>
                <w:sz w:val="22"/>
                <w:szCs w:val="22"/>
              </w:rPr>
              <w:t xml:space="preserve"> touch this area again before injecting.</w:t>
            </w:r>
          </w:p>
        </w:tc>
      </w:tr>
      <w:tr w:rsidR="0098482D" w:rsidRPr="00F04F82" w14:paraId="6E8E6CDB"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2BC55306" w14:textId="77777777" w:rsidR="0098482D" w:rsidRPr="001775D9" w:rsidRDefault="0098482D" w:rsidP="00FB5458">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4C0ECAFF"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If you want to use the same injection site, make sure it is not the same spot on the injection site you used for a previous injection.</w:t>
            </w:r>
          </w:p>
        </w:tc>
      </w:tr>
      <w:tr w:rsidR="0098482D" w:rsidRPr="00F04F82" w14:paraId="639A28A5" w14:textId="77777777" w:rsidTr="001311BD">
        <w:tc>
          <w:tcPr>
            <w:tcW w:w="303" w:type="pct"/>
            <w:tcBorders>
              <w:top w:val="nil"/>
              <w:left w:val="single" w:sz="4" w:space="0" w:color="auto"/>
              <w:bottom w:val="nil"/>
              <w:right w:val="nil"/>
            </w:tcBorders>
            <w:tcMar>
              <w:top w:w="28" w:type="dxa"/>
              <w:left w:w="57" w:type="dxa"/>
              <w:bottom w:w="28" w:type="dxa"/>
              <w:right w:w="57" w:type="dxa"/>
            </w:tcMar>
          </w:tcPr>
          <w:p w14:paraId="68F2EDB0" w14:textId="77777777" w:rsidR="0098482D" w:rsidRPr="001775D9" w:rsidRDefault="0098482D" w:rsidP="00FB5458">
            <w:pPr>
              <w:spacing w:line="240" w:lineRule="auto"/>
              <w:rPr>
                <w:color w:val="000000"/>
                <w:szCs w:val="22"/>
              </w:rPr>
            </w:pPr>
          </w:p>
        </w:tc>
        <w:tc>
          <w:tcPr>
            <w:tcW w:w="4697" w:type="pct"/>
            <w:tcBorders>
              <w:top w:val="nil"/>
              <w:left w:val="nil"/>
              <w:bottom w:val="nil"/>
              <w:right w:val="single" w:sz="4" w:space="0" w:color="auto"/>
            </w:tcBorders>
            <w:tcMar>
              <w:left w:w="57" w:type="dxa"/>
            </w:tcMar>
          </w:tcPr>
          <w:p w14:paraId="4A957AF0" w14:textId="299CF192" w:rsidR="0098482D" w:rsidRPr="001775D9" w:rsidRDefault="005B0F59" w:rsidP="005B0F59">
            <w:pPr>
              <w:pStyle w:val="ListParagraph"/>
              <w:numPr>
                <w:ilvl w:val="0"/>
                <w:numId w:val="24"/>
              </w:numPr>
              <w:tabs>
                <w:tab w:val="left" w:pos="567"/>
              </w:tabs>
              <w:ind w:left="567" w:hanging="567"/>
              <w:rPr>
                <w:sz w:val="22"/>
                <w:szCs w:val="22"/>
              </w:rPr>
            </w:pPr>
            <w:del w:id="3270" w:author="Author">
              <w:r w:rsidRPr="001775D9" w:rsidDel="005D286B">
                <w:rPr>
                  <w:b/>
                  <w:bCs/>
                  <w:sz w:val="22"/>
                  <w:szCs w:val="22"/>
                </w:rPr>
                <w:tab/>
              </w:r>
            </w:del>
            <w:r w:rsidR="0098482D" w:rsidRPr="001775D9">
              <w:rPr>
                <w:b/>
                <w:bCs/>
                <w:sz w:val="22"/>
                <w:szCs w:val="22"/>
              </w:rPr>
              <w:t>Do not</w:t>
            </w:r>
            <w:r w:rsidR="0098482D" w:rsidRPr="001775D9">
              <w:rPr>
                <w:sz w:val="22"/>
                <w:szCs w:val="22"/>
              </w:rPr>
              <w:t xml:space="preserve"> inject into areas where the skin is tender, bruised, red, or hard. Avoid injecting into areas with scars or stretch marks.</w:t>
            </w:r>
          </w:p>
        </w:tc>
      </w:tr>
      <w:tr w:rsidR="0098482D" w:rsidRPr="00F04F82" w14:paraId="5DADE1F1" w14:textId="77777777" w:rsidTr="001311BD">
        <w:tc>
          <w:tcPr>
            <w:tcW w:w="303" w:type="pct"/>
            <w:tcBorders>
              <w:top w:val="nil"/>
              <w:left w:val="single" w:sz="4" w:space="0" w:color="auto"/>
              <w:bottom w:val="single" w:sz="4" w:space="0" w:color="auto"/>
              <w:right w:val="nil"/>
            </w:tcBorders>
            <w:tcMar>
              <w:top w:w="28" w:type="dxa"/>
              <w:left w:w="57" w:type="dxa"/>
              <w:bottom w:w="28" w:type="dxa"/>
              <w:right w:w="57" w:type="dxa"/>
            </w:tcMar>
          </w:tcPr>
          <w:p w14:paraId="2C162B84" w14:textId="77777777" w:rsidR="0098482D" w:rsidRPr="001775D9" w:rsidRDefault="0098482D" w:rsidP="00FB5458">
            <w:pPr>
              <w:spacing w:line="240" w:lineRule="auto"/>
              <w:rPr>
                <w:szCs w:val="22"/>
              </w:rPr>
            </w:pPr>
            <w:r w:rsidRPr="001775D9">
              <w:rPr>
                <w:color w:val="000000"/>
                <w:szCs w:val="22"/>
              </w:rPr>
              <w:t>●</w:t>
            </w:r>
          </w:p>
        </w:tc>
        <w:tc>
          <w:tcPr>
            <w:tcW w:w="4697" w:type="pct"/>
            <w:tcBorders>
              <w:top w:val="nil"/>
              <w:left w:val="nil"/>
              <w:bottom w:val="single" w:sz="4" w:space="0" w:color="auto"/>
              <w:right w:val="single" w:sz="4" w:space="0" w:color="auto"/>
            </w:tcBorders>
            <w:tcMar>
              <w:left w:w="57" w:type="dxa"/>
            </w:tcMar>
          </w:tcPr>
          <w:p w14:paraId="69903E2B" w14:textId="77777777" w:rsidR="0098482D" w:rsidRPr="001775D9" w:rsidRDefault="0098482D"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If you have psoriasis, you should avoid injecting directly into raised, thick, red, or scaly skin patch or lesion.</w:t>
            </w:r>
          </w:p>
        </w:tc>
      </w:tr>
    </w:tbl>
    <w:p w14:paraId="72C1D116" w14:textId="77777777" w:rsidR="0098482D" w:rsidRPr="001775D9" w:rsidRDefault="0098482D" w:rsidP="00FB5458">
      <w:pPr>
        <w:pStyle w:val="STEPS"/>
        <w:widowControl/>
        <w:spacing w:before="0" w:line="240" w:lineRule="auto"/>
        <w:rPr>
          <w:rFonts w:cs="Times New Roman"/>
          <w:sz w:val="22"/>
          <w:szCs w:val="22"/>
          <w:lang w:val="en-GB"/>
        </w:rPr>
      </w:pPr>
    </w:p>
    <w:tbl>
      <w:tblPr>
        <w:tblW w:w="50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240"/>
      </w:tblGrid>
      <w:tr w:rsidR="0098482D" w:rsidRPr="00F04F82" w14:paraId="780D6F96" w14:textId="77777777" w:rsidTr="00EC45CC">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07F2079" w14:textId="77777777" w:rsidR="0098482D" w:rsidRPr="001775D9" w:rsidRDefault="0098482D" w:rsidP="00FB5458">
            <w:pPr>
              <w:keepLines/>
              <w:suppressAutoHyphens/>
              <w:autoSpaceDE w:val="0"/>
              <w:autoSpaceDN w:val="0"/>
              <w:adjustRightInd w:val="0"/>
              <w:spacing w:line="240" w:lineRule="auto"/>
              <w:jc w:val="center"/>
              <w:textAlignment w:val="center"/>
              <w:rPr>
                <w:b/>
                <w:bCs/>
                <w:color w:val="000000"/>
                <w:szCs w:val="22"/>
              </w:rPr>
            </w:pPr>
            <w:r w:rsidRPr="001775D9">
              <w:rPr>
                <w:b/>
                <w:bCs/>
                <w:szCs w:val="22"/>
              </w:rPr>
              <w:t>Step 2: Get ready</w:t>
            </w:r>
          </w:p>
        </w:tc>
      </w:tr>
    </w:tbl>
    <w:p w14:paraId="367EBF16" w14:textId="77777777" w:rsidR="0098482D" w:rsidRPr="001775D9" w:rsidRDefault="0098482D" w:rsidP="00FB5458">
      <w:pPr>
        <w:keepLines/>
        <w:spacing w:line="240" w:lineRule="auto"/>
        <w:ind w:left="567" w:hanging="567"/>
        <w:rPr>
          <w:b/>
          <w:bCs/>
          <w:sz w:val="16"/>
          <w:szCs w:val="16"/>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56"/>
        <w:gridCol w:w="8715"/>
      </w:tblGrid>
      <w:tr w:rsidR="0098482D" w:rsidRPr="00F04F82" w14:paraId="55EF3889" w14:textId="77777777" w:rsidTr="00EC45CC">
        <w:tc>
          <w:tcPr>
            <w:tcW w:w="3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75708E" w14:textId="77777777" w:rsidR="0098482D" w:rsidRPr="001775D9" w:rsidRDefault="0098482D" w:rsidP="00FB5458">
            <w:pPr>
              <w:keepLines/>
              <w:suppressAutoHyphens/>
              <w:autoSpaceDE w:val="0"/>
              <w:autoSpaceDN w:val="0"/>
              <w:adjustRightInd w:val="0"/>
              <w:spacing w:line="240" w:lineRule="auto"/>
              <w:textAlignment w:val="center"/>
              <w:rPr>
                <w:b/>
                <w:color w:val="000000"/>
                <w:szCs w:val="22"/>
              </w:rPr>
            </w:pPr>
            <w:r w:rsidRPr="001775D9">
              <w:rPr>
                <w:b/>
                <w:szCs w:val="22"/>
              </w:rPr>
              <w:t>E.</w:t>
            </w:r>
          </w:p>
        </w:tc>
        <w:tc>
          <w:tcPr>
            <w:tcW w:w="47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6BCEF4" w14:textId="77777777" w:rsidR="0098482D" w:rsidRPr="001775D9" w:rsidRDefault="0098482D" w:rsidP="00FB5458">
            <w:pPr>
              <w:keepLines/>
              <w:tabs>
                <w:tab w:val="clear" w:pos="567"/>
              </w:tabs>
              <w:autoSpaceDE w:val="0"/>
              <w:autoSpaceDN w:val="0"/>
              <w:adjustRightInd w:val="0"/>
              <w:spacing w:line="240" w:lineRule="auto"/>
              <w:rPr>
                <w:color w:val="000000"/>
                <w:szCs w:val="22"/>
              </w:rPr>
            </w:pPr>
            <w:r w:rsidRPr="001775D9">
              <w:rPr>
                <w:szCs w:val="22"/>
              </w:rPr>
              <w:t xml:space="preserve">Pull </w:t>
            </w:r>
            <w:r w:rsidR="00AC5169" w:rsidRPr="001775D9">
              <w:rPr>
                <w:szCs w:val="22"/>
              </w:rPr>
              <w:t>the needle</w:t>
            </w:r>
            <w:r w:rsidRPr="001775D9">
              <w:rPr>
                <w:szCs w:val="22"/>
              </w:rPr>
              <w:t xml:space="preserve"> cap straight out and away from your body when you are ready to inject.</w:t>
            </w:r>
          </w:p>
        </w:tc>
      </w:tr>
      <w:tr w:rsidR="0098482D" w:rsidRPr="00F04F82" w14:paraId="4AE6240A" w14:textId="77777777" w:rsidTr="00EC45CC">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558CE10" w14:textId="5AB78332" w:rsidR="0098482D" w:rsidRPr="001775D9" w:rsidRDefault="00D96030" w:rsidP="00FB5458">
            <w:pPr>
              <w:suppressAutoHyphens/>
              <w:autoSpaceDE w:val="0"/>
              <w:autoSpaceDN w:val="0"/>
              <w:adjustRightInd w:val="0"/>
              <w:spacing w:line="240" w:lineRule="auto"/>
              <w:textAlignment w:val="center"/>
              <w:rPr>
                <w:color w:val="000000"/>
                <w:szCs w:val="22"/>
              </w:rPr>
            </w:pPr>
            <w:r>
              <w:rPr>
                <w:b/>
                <w:sz w:val="10"/>
                <w:szCs w:val="10"/>
                <w:lang w:eastAsia="en-GB"/>
              </w:rPr>
              <w:pict w14:anchorId="49F3DE0C">
                <v:shape id="_x0000_i1049" type="#_x0000_t75" style="width:133.5pt;height:169.5pt;visibility:visible;mso-wrap-style:square">
                  <v:imagedata r:id="rId41" o:title=""/>
                </v:shape>
              </w:pict>
            </w:r>
          </w:p>
        </w:tc>
      </w:tr>
      <w:tr w:rsidR="0098482D" w:rsidRPr="00F04F82" w14:paraId="21E04301" w14:textId="77777777" w:rsidTr="00EC45CC">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A016082" w14:textId="77777777" w:rsidR="0098482D" w:rsidRPr="001775D9" w:rsidRDefault="0098482D" w:rsidP="00FB5458">
            <w:pPr>
              <w:suppressAutoHyphens/>
              <w:autoSpaceDE w:val="0"/>
              <w:autoSpaceDN w:val="0"/>
              <w:adjustRightInd w:val="0"/>
              <w:spacing w:line="240" w:lineRule="auto"/>
              <w:textAlignment w:val="center"/>
              <w:rPr>
                <w:color w:val="000000"/>
                <w:szCs w:val="22"/>
              </w:rPr>
            </w:pPr>
            <w:r w:rsidRPr="001775D9">
              <w:rPr>
                <w:color w:val="000000"/>
                <w:szCs w:val="22"/>
              </w:rPr>
              <w:t>It is normal to see a drop of liquid at the end of the needle.</w:t>
            </w:r>
          </w:p>
        </w:tc>
      </w:tr>
      <w:tr w:rsidR="0098482D" w:rsidRPr="00F04F82" w14:paraId="05BF3C8B" w14:textId="77777777" w:rsidTr="00EC45CC">
        <w:tc>
          <w:tcPr>
            <w:tcW w:w="300" w:type="pct"/>
            <w:tcBorders>
              <w:top w:val="nil"/>
              <w:left w:val="single" w:sz="4" w:space="0" w:color="auto"/>
              <w:bottom w:val="nil"/>
              <w:right w:val="nil"/>
            </w:tcBorders>
            <w:tcMar>
              <w:top w:w="28" w:type="dxa"/>
              <w:left w:w="57" w:type="dxa"/>
              <w:bottom w:w="28" w:type="dxa"/>
              <w:right w:w="57" w:type="dxa"/>
            </w:tcMar>
          </w:tcPr>
          <w:p w14:paraId="337746DE" w14:textId="77777777" w:rsidR="0098482D" w:rsidRPr="001775D9" w:rsidRDefault="0098482D"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700" w:type="pct"/>
            <w:tcBorders>
              <w:top w:val="nil"/>
              <w:left w:val="nil"/>
              <w:bottom w:val="nil"/>
              <w:right w:val="single" w:sz="4" w:space="0" w:color="auto"/>
            </w:tcBorders>
            <w:tcMar>
              <w:left w:w="0" w:type="dxa"/>
            </w:tcMar>
          </w:tcPr>
          <w:p w14:paraId="01E693C2" w14:textId="77777777" w:rsidR="0098482D" w:rsidRPr="001775D9" w:rsidRDefault="0098482D" w:rsidP="00FB5458">
            <w:pPr>
              <w:tabs>
                <w:tab w:val="clear" w:pos="567"/>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twist or bend the needle cap.</w:t>
            </w:r>
          </w:p>
        </w:tc>
      </w:tr>
      <w:tr w:rsidR="0098482D" w:rsidRPr="00F04F82" w14:paraId="7C9702DC" w14:textId="77777777" w:rsidTr="00EC45CC">
        <w:tc>
          <w:tcPr>
            <w:tcW w:w="300" w:type="pct"/>
            <w:tcBorders>
              <w:top w:val="nil"/>
              <w:left w:val="single" w:sz="4" w:space="0" w:color="auto"/>
              <w:bottom w:val="nil"/>
              <w:right w:val="nil"/>
            </w:tcBorders>
            <w:tcMar>
              <w:top w:w="28" w:type="dxa"/>
              <w:left w:w="57" w:type="dxa"/>
              <w:bottom w:w="28" w:type="dxa"/>
              <w:right w:w="57" w:type="dxa"/>
            </w:tcMar>
          </w:tcPr>
          <w:p w14:paraId="1482436B" w14:textId="77777777" w:rsidR="0098482D" w:rsidRPr="001775D9" w:rsidRDefault="0098482D"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700" w:type="pct"/>
            <w:tcBorders>
              <w:top w:val="nil"/>
              <w:left w:val="nil"/>
              <w:bottom w:val="nil"/>
              <w:right w:val="single" w:sz="4" w:space="0" w:color="auto"/>
            </w:tcBorders>
            <w:tcMar>
              <w:left w:w="0" w:type="dxa"/>
            </w:tcMar>
          </w:tcPr>
          <w:p w14:paraId="64611CB4" w14:textId="77777777" w:rsidR="0098482D" w:rsidRPr="001775D9" w:rsidRDefault="0098482D" w:rsidP="00FB5458">
            <w:pPr>
              <w:tabs>
                <w:tab w:val="clear" w:pos="567"/>
              </w:tabs>
              <w:autoSpaceDE w:val="0"/>
              <w:autoSpaceDN w:val="0"/>
              <w:adjustRightInd w:val="0"/>
              <w:spacing w:line="240" w:lineRule="auto"/>
              <w:ind w:left="720" w:hanging="720"/>
              <w:rPr>
                <w:rFonts w:eastAsia="Calibri"/>
                <w:szCs w:val="22"/>
              </w:rPr>
            </w:pPr>
            <w:r w:rsidRPr="001775D9">
              <w:rPr>
                <w:rFonts w:eastAsia="Calibri"/>
                <w:b/>
                <w:bCs/>
                <w:szCs w:val="22"/>
              </w:rPr>
              <w:t xml:space="preserve">Do not </w:t>
            </w:r>
            <w:r w:rsidRPr="001775D9">
              <w:rPr>
                <w:rFonts w:eastAsia="Calibri"/>
                <w:szCs w:val="22"/>
              </w:rPr>
              <w:t>put the needle cap back onto the syringe.</w:t>
            </w:r>
          </w:p>
        </w:tc>
      </w:tr>
      <w:tr w:rsidR="0098482D" w:rsidRPr="00F04F82" w14:paraId="06F94CA5" w14:textId="77777777" w:rsidTr="00EC45CC">
        <w:tc>
          <w:tcPr>
            <w:tcW w:w="300" w:type="pct"/>
            <w:tcBorders>
              <w:top w:val="nil"/>
              <w:left w:val="single" w:sz="4" w:space="0" w:color="auto"/>
              <w:bottom w:val="nil"/>
              <w:right w:val="nil"/>
            </w:tcBorders>
            <w:tcMar>
              <w:top w:w="28" w:type="dxa"/>
              <w:left w:w="57" w:type="dxa"/>
              <w:bottom w:w="28" w:type="dxa"/>
              <w:right w:w="57" w:type="dxa"/>
            </w:tcMar>
          </w:tcPr>
          <w:p w14:paraId="4855B5CC" w14:textId="77777777" w:rsidR="0098482D" w:rsidRPr="001775D9" w:rsidRDefault="0098482D"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700" w:type="pct"/>
            <w:tcBorders>
              <w:top w:val="nil"/>
              <w:left w:val="nil"/>
              <w:bottom w:val="nil"/>
              <w:right w:val="single" w:sz="4" w:space="0" w:color="auto"/>
            </w:tcBorders>
            <w:tcMar>
              <w:left w:w="0" w:type="dxa"/>
            </w:tcMar>
          </w:tcPr>
          <w:p w14:paraId="1B2C20F6" w14:textId="77777777" w:rsidR="0098482D" w:rsidRPr="001775D9" w:rsidRDefault="0098482D" w:rsidP="00FB5458">
            <w:pPr>
              <w:tabs>
                <w:tab w:val="clear" w:pos="567"/>
                <w:tab w:val="left" w:pos="5520"/>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remove the needle cap from the syringe until you are ready to inject.</w:t>
            </w:r>
          </w:p>
        </w:tc>
      </w:tr>
      <w:tr w:rsidR="0098482D" w:rsidRPr="00F04F82" w14:paraId="41BED3E7" w14:textId="77777777" w:rsidTr="00EC45CC">
        <w:trPr>
          <w:trHeight w:val="39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24FE102A" w14:textId="77777777" w:rsidR="0098482D" w:rsidRPr="001775D9" w:rsidRDefault="0098482D" w:rsidP="00FB5458">
            <w:pPr>
              <w:tabs>
                <w:tab w:val="clear" w:pos="567"/>
                <w:tab w:val="left" w:pos="5520"/>
              </w:tabs>
              <w:autoSpaceDE w:val="0"/>
              <w:autoSpaceDN w:val="0"/>
              <w:adjustRightInd w:val="0"/>
              <w:spacing w:line="240" w:lineRule="auto"/>
              <w:rPr>
                <w:rFonts w:eastAsia="Calibri"/>
                <w:b/>
                <w:bCs/>
                <w:szCs w:val="22"/>
              </w:rPr>
            </w:pPr>
            <w:r w:rsidRPr="001775D9">
              <w:rPr>
                <w:rFonts w:eastAsia="Calibri"/>
                <w:b/>
                <w:bCs/>
                <w:szCs w:val="22"/>
              </w:rPr>
              <w:t xml:space="preserve">Important: </w:t>
            </w:r>
            <w:r w:rsidRPr="001775D9">
              <w:rPr>
                <w:rFonts w:eastAsia="Calibri"/>
                <w:szCs w:val="22"/>
              </w:rPr>
              <w:t>Throw the needle cap into the sharps disposal container provided.</w:t>
            </w:r>
          </w:p>
        </w:tc>
      </w:tr>
    </w:tbl>
    <w:p w14:paraId="50D42B0B" w14:textId="77777777" w:rsidR="0098482D" w:rsidRPr="001775D9" w:rsidRDefault="0098482D" w:rsidP="00FB545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en-GB"/>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0"/>
        <w:gridCol w:w="8649"/>
      </w:tblGrid>
      <w:tr w:rsidR="0098482D" w:rsidRPr="00F04F82" w14:paraId="1E2E5178" w14:textId="77777777" w:rsidTr="001311BD">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8EFC343" w14:textId="77777777" w:rsidR="0098482D" w:rsidRPr="001775D9" w:rsidRDefault="0098482D" w:rsidP="00EB6B3B">
            <w:pPr>
              <w:keepNext/>
              <w:autoSpaceDE w:val="0"/>
              <w:autoSpaceDN w:val="0"/>
              <w:adjustRightInd w:val="0"/>
              <w:spacing w:line="240" w:lineRule="auto"/>
              <w:textAlignment w:val="center"/>
              <w:rPr>
                <w:b/>
                <w:color w:val="000000"/>
                <w:szCs w:val="22"/>
              </w:rPr>
            </w:pPr>
            <w:r w:rsidRPr="001775D9">
              <w:rPr>
                <w:b/>
                <w:szCs w:val="22"/>
              </w:rPr>
              <w:t>F.</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22C6B8" w14:textId="77777777" w:rsidR="0098482D" w:rsidRPr="001775D9" w:rsidRDefault="0098482D" w:rsidP="00EB6B3B">
            <w:pPr>
              <w:keepNext/>
              <w:tabs>
                <w:tab w:val="clear" w:pos="567"/>
              </w:tabs>
              <w:autoSpaceDE w:val="0"/>
              <w:autoSpaceDN w:val="0"/>
              <w:adjustRightInd w:val="0"/>
              <w:spacing w:line="240" w:lineRule="auto"/>
              <w:rPr>
                <w:color w:val="000000"/>
                <w:szCs w:val="22"/>
              </w:rPr>
            </w:pPr>
            <w:r w:rsidRPr="001775D9">
              <w:rPr>
                <w:szCs w:val="22"/>
              </w:rPr>
              <w:t>Pinch your injection site to create a firm surface.</w:t>
            </w:r>
          </w:p>
        </w:tc>
      </w:tr>
      <w:tr w:rsidR="0098482D" w:rsidRPr="00F04F82" w14:paraId="58E912B9" w14:textId="77777777" w:rsidTr="001311BD">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1F82D27" w14:textId="79A46B41" w:rsidR="0098482D" w:rsidRPr="001775D9" w:rsidRDefault="00D96030" w:rsidP="00EB6B3B">
            <w:pPr>
              <w:keepNext/>
              <w:tabs>
                <w:tab w:val="clear" w:pos="567"/>
              </w:tabs>
              <w:autoSpaceDE w:val="0"/>
              <w:autoSpaceDN w:val="0"/>
              <w:adjustRightInd w:val="0"/>
              <w:spacing w:line="240" w:lineRule="auto"/>
              <w:ind w:left="720" w:hanging="720"/>
              <w:rPr>
                <w:rFonts w:eastAsia="Calibri"/>
                <w:b/>
                <w:bCs/>
                <w:szCs w:val="22"/>
              </w:rPr>
            </w:pPr>
            <w:r>
              <w:rPr>
                <w:szCs w:val="22"/>
                <w:lang w:eastAsia="en-GB"/>
              </w:rPr>
              <w:pict w14:anchorId="4843D607">
                <v:shape id="_x0000_i1050" type="#_x0000_t75" style="width:190pt;height:113pt;visibility:visible;mso-wrap-style:square">
                  <v:imagedata r:id="rId42" o:title=""/>
                </v:shape>
              </w:pict>
            </w:r>
          </w:p>
        </w:tc>
      </w:tr>
      <w:tr w:rsidR="0098482D" w:rsidRPr="00F04F82" w14:paraId="50C705EC" w14:textId="77777777" w:rsidTr="001311BD">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080303B" w14:textId="7E40FB2D" w:rsidR="0098482D" w:rsidRPr="001775D9" w:rsidRDefault="0098482D" w:rsidP="00FB5458">
            <w:pPr>
              <w:suppressAutoHyphens/>
              <w:autoSpaceDE w:val="0"/>
              <w:autoSpaceDN w:val="0"/>
              <w:adjustRightInd w:val="0"/>
              <w:spacing w:line="240" w:lineRule="auto"/>
              <w:textAlignment w:val="center"/>
              <w:rPr>
                <w:color w:val="000000"/>
                <w:szCs w:val="22"/>
              </w:rPr>
            </w:pPr>
            <w:r w:rsidRPr="001775D9">
              <w:rPr>
                <w:color w:val="000000"/>
                <w:szCs w:val="22"/>
              </w:rPr>
              <w:t>Pinch the skin firmly between your thumb and fingers, creating an area about 2 inch (5 centimetres) wide.</w:t>
            </w:r>
          </w:p>
        </w:tc>
      </w:tr>
      <w:tr w:rsidR="0098482D" w:rsidRPr="00F04F82" w14:paraId="3C936C35" w14:textId="77777777" w:rsidTr="001311BD">
        <w:trPr>
          <w:trHeight w:val="419"/>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7E3B1B4E" w14:textId="77777777" w:rsidR="0098482D" w:rsidRPr="001775D9" w:rsidRDefault="0098482D" w:rsidP="00FB5458">
            <w:pPr>
              <w:tabs>
                <w:tab w:val="clear" w:pos="567"/>
              </w:tabs>
              <w:autoSpaceDE w:val="0"/>
              <w:autoSpaceDN w:val="0"/>
              <w:adjustRightInd w:val="0"/>
              <w:spacing w:line="240" w:lineRule="auto"/>
              <w:rPr>
                <w:rFonts w:eastAsia="Calibri"/>
                <w:szCs w:val="22"/>
              </w:rPr>
            </w:pPr>
            <w:r w:rsidRPr="001775D9">
              <w:rPr>
                <w:rFonts w:eastAsia="Calibri"/>
                <w:b/>
                <w:bCs/>
                <w:szCs w:val="22"/>
              </w:rPr>
              <w:t xml:space="preserve">Important: </w:t>
            </w:r>
            <w:r w:rsidRPr="001775D9">
              <w:rPr>
                <w:rFonts w:eastAsia="Calibri"/>
                <w:szCs w:val="22"/>
              </w:rPr>
              <w:t>Keep the skin pinched while injecting.</w:t>
            </w:r>
          </w:p>
        </w:tc>
      </w:tr>
    </w:tbl>
    <w:p w14:paraId="7EAB043E" w14:textId="77777777" w:rsidR="0098482D" w:rsidRPr="001775D9" w:rsidRDefault="0098482D" w:rsidP="00FB5458">
      <w:pPr>
        <w:pStyle w:val="BULLETED"/>
        <w:widowControl/>
        <w:numPr>
          <w:ilvl w:val="0"/>
          <w:numId w:val="0"/>
        </w:numPr>
        <w:spacing w:before="0" w:line="240" w:lineRule="auto"/>
        <w:rPr>
          <w:sz w:val="22"/>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85"/>
      </w:tblGrid>
      <w:tr w:rsidR="0098482D" w:rsidRPr="00F04F82" w14:paraId="72CE1EDF" w14:textId="77777777" w:rsidTr="001311BD">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1CEBA4F" w14:textId="77777777" w:rsidR="0098482D" w:rsidRPr="001775D9" w:rsidRDefault="0098482D" w:rsidP="00FB5458">
            <w:pPr>
              <w:pStyle w:val="BULLETED"/>
              <w:widowControl/>
              <w:numPr>
                <w:ilvl w:val="0"/>
                <w:numId w:val="0"/>
              </w:numPr>
              <w:spacing w:before="0" w:line="240" w:lineRule="auto"/>
              <w:jc w:val="center"/>
              <w:rPr>
                <w:b/>
                <w:sz w:val="22"/>
                <w:szCs w:val="22"/>
                <w:lang w:val="en-GB"/>
              </w:rPr>
            </w:pPr>
            <w:r w:rsidRPr="001775D9">
              <w:rPr>
                <w:b/>
                <w:sz w:val="22"/>
                <w:szCs w:val="22"/>
                <w:lang w:val="en-GB"/>
              </w:rPr>
              <w:t>Step 3: Inject</w:t>
            </w:r>
          </w:p>
        </w:tc>
      </w:tr>
    </w:tbl>
    <w:p w14:paraId="6883375D" w14:textId="77777777" w:rsidR="0098482D" w:rsidRPr="001775D9" w:rsidRDefault="0098482D" w:rsidP="00FB5458">
      <w:pPr>
        <w:keepLines/>
        <w:spacing w:line="240" w:lineRule="auto"/>
        <w:ind w:left="567" w:hanging="567"/>
        <w:rPr>
          <w:b/>
          <w:bCs/>
          <w:sz w:val="16"/>
          <w:szCs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0"/>
        <w:gridCol w:w="8647"/>
      </w:tblGrid>
      <w:tr w:rsidR="0098482D" w:rsidRPr="00F04F82" w14:paraId="37651A0C" w14:textId="77777777" w:rsidTr="001311BD">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CEFE05A" w14:textId="77777777" w:rsidR="0098482D" w:rsidRPr="001775D9" w:rsidRDefault="0098482D" w:rsidP="00FB5458">
            <w:pPr>
              <w:keepLines/>
              <w:suppressAutoHyphens/>
              <w:autoSpaceDE w:val="0"/>
              <w:autoSpaceDN w:val="0"/>
              <w:adjustRightInd w:val="0"/>
              <w:spacing w:line="240" w:lineRule="auto"/>
              <w:textAlignment w:val="center"/>
              <w:rPr>
                <w:b/>
                <w:color w:val="000000"/>
                <w:szCs w:val="22"/>
              </w:rPr>
            </w:pPr>
            <w:r w:rsidRPr="001775D9">
              <w:rPr>
                <w:b/>
                <w:szCs w:val="22"/>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97E8FF2" w14:textId="77777777" w:rsidR="0098482D" w:rsidRPr="001775D9" w:rsidRDefault="0098482D" w:rsidP="00FB5458">
            <w:pPr>
              <w:keepLines/>
              <w:tabs>
                <w:tab w:val="clear" w:pos="567"/>
              </w:tabs>
              <w:autoSpaceDE w:val="0"/>
              <w:autoSpaceDN w:val="0"/>
              <w:adjustRightInd w:val="0"/>
              <w:spacing w:line="240" w:lineRule="auto"/>
              <w:rPr>
                <w:color w:val="000000"/>
                <w:szCs w:val="22"/>
              </w:rPr>
            </w:pPr>
            <w:r w:rsidRPr="001775D9">
              <w:rPr>
                <w:szCs w:val="22"/>
              </w:rPr>
              <w:t>Hold the pinch. With the needle cap off, insert the syringe into your skin at 45 to 90</w:t>
            </w:r>
            <w:r w:rsidRPr="001775D9">
              <w:rPr>
                <w:bCs/>
                <w:szCs w:val="22"/>
              </w:rPr>
              <w:t> </w:t>
            </w:r>
            <w:r w:rsidRPr="001775D9">
              <w:rPr>
                <w:szCs w:val="22"/>
              </w:rPr>
              <w:t>degrees.</w:t>
            </w:r>
          </w:p>
        </w:tc>
      </w:tr>
      <w:tr w:rsidR="0098482D" w:rsidRPr="00F04F82" w14:paraId="20A77BDA" w14:textId="77777777" w:rsidTr="001311BD">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3CA4FDC0" w14:textId="3B636E08" w:rsidR="0098482D" w:rsidRPr="001775D9" w:rsidRDefault="00D96030" w:rsidP="00FB5458">
            <w:pPr>
              <w:suppressAutoHyphens/>
              <w:autoSpaceDE w:val="0"/>
              <w:autoSpaceDN w:val="0"/>
              <w:adjustRightInd w:val="0"/>
              <w:spacing w:line="240" w:lineRule="auto"/>
              <w:textAlignment w:val="center"/>
              <w:rPr>
                <w:color w:val="000000"/>
                <w:szCs w:val="22"/>
              </w:rPr>
            </w:pPr>
            <w:r>
              <w:rPr>
                <w:szCs w:val="22"/>
                <w:lang w:eastAsia="en-GB"/>
              </w:rPr>
              <w:pict w14:anchorId="4836E45C">
                <v:shape id="_x0000_i1051" type="#_x0000_t75" style="width:251.5pt;height:103pt;visibility:visible;mso-wrap-style:square">
                  <v:imagedata r:id="rId43" o:title=""/>
                </v:shape>
              </w:pict>
            </w:r>
          </w:p>
        </w:tc>
      </w:tr>
      <w:tr w:rsidR="0098482D" w:rsidRPr="00F04F82" w14:paraId="4A1CF505" w14:textId="77777777" w:rsidTr="001311BD">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54473083" w14:textId="77777777" w:rsidR="0098482D" w:rsidRPr="001775D9" w:rsidRDefault="0098482D" w:rsidP="00FB5458">
            <w:pPr>
              <w:suppressAutoHyphens/>
              <w:autoSpaceDE w:val="0"/>
              <w:autoSpaceDN w:val="0"/>
              <w:adjustRightInd w:val="0"/>
              <w:spacing w:line="240" w:lineRule="auto"/>
              <w:textAlignment w:val="center"/>
              <w:rPr>
                <w:b/>
                <w:color w:val="000000"/>
                <w:szCs w:val="22"/>
              </w:rPr>
            </w:pPr>
            <w:r w:rsidRPr="001775D9">
              <w:rPr>
                <w:b/>
                <w:color w:val="000000"/>
                <w:szCs w:val="22"/>
              </w:rPr>
              <w:t xml:space="preserve">Do not </w:t>
            </w:r>
            <w:r w:rsidRPr="001775D9">
              <w:rPr>
                <w:bCs/>
                <w:color w:val="000000"/>
                <w:szCs w:val="22"/>
              </w:rPr>
              <w:t>place your finger on the plunger rod while inserting the needle.</w:t>
            </w:r>
          </w:p>
        </w:tc>
      </w:tr>
    </w:tbl>
    <w:p w14:paraId="53F09C14" w14:textId="77777777" w:rsidR="0098482D" w:rsidRPr="001775D9" w:rsidRDefault="0098482D" w:rsidP="00FB545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en-GB"/>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0"/>
        <w:gridCol w:w="8647"/>
      </w:tblGrid>
      <w:tr w:rsidR="0098482D" w:rsidRPr="00F04F82" w14:paraId="09D574BD" w14:textId="77777777" w:rsidTr="001311BD">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0A08E3F" w14:textId="77777777" w:rsidR="0098482D" w:rsidRPr="001775D9" w:rsidRDefault="0098482D" w:rsidP="00FB5458">
            <w:pPr>
              <w:keepLines/>
              <w:suppressAutoHyphens/>
              <w:autoSpaceDE w:val="0"/>
              <w:autoSpaceDN w:val="0"/>
              <w:adjustRightInd w:val="0"/>
              <w:spacing w:line="240" w:lineRule="auto"/>
              <w:textAlignment w:val="center"/>
              <w:rPr>
                <w:b/>
                <w:color w:val="000000"/>
                <w:szCs w:val="22"/>
              </w:rPr>
            </w:pPr>
            <w:r w:rsidRPr="001775D9">
              <w:rPr>
                <w:b/>
                <w:szCs w:val="22"/>
              </w:rPr>
              <w:t>H.</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A7DDEB4" w14:textId="77777777" w:rsidR="0098482D" w:rsidRPr="001775D9" w:rsidRDefault="0098482D" w:rsidP="00FB5458">
            <w:pPr>
              <w:keepLines/>
              <w:tabs>
                <w:tab w:val="clear" w:pos="567"/>
              </w:tabs>
              <w:autoSpaceDE w:val="0"/>
              <w:autoSpaceDN w:val="0"/>
              <w:adjustRightInd w:val="0"/>
              <w:spacing w:line="240" w:lineRule="auto"/>
              <w:rPr>
                <w:color w:val="000000"/>
                <w:szCs w:val="22"/>
              </w:rPr>
            </w:pPr>
            <w:r w:rsidRPr="001775D9">
              <w:rPr>
                <w:szCs w:val="22"/>
              </w:rPr>
              <w:t>Using slow and constant pressure, push the plunger rod all the way down until it stops moving.</w:t>
            </w:r>
          </w:p>
        </w:tc>
      </w:tr>
      <w:tr w:rsidR="0098482D" w:rsidRPr="00F04F82" w14:paraId="6A7579C2" w14:textId="77777777" w:rsidTr="001311BD">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CEC25DD" w14:textId="0A31D5E5" w:rsidR="0098482D" w:rsidRPr="001775D9" w:rsidRDefault="00D96030" w:rsidP="00FB5458">
            <w:pPr>
              <w:suppressAutoHyphens/>
              <w:autoSpaceDE w:val="0"/>
              <w:autoSpaceDN w:val="0"/>
              <w:adjustRightInd w:val="0"/>
              <w:spacing w:line="240" w:lineRule="auto"/>
              <w:textAlignment w:val="center"/>
              <w:rPr>
                <w:color w:val="000000"/>
                <w:szCs w:val="22"/>
              </w:rPr>
            </w:pPr>
            <w:r>
              <w:rPr>
                <w:lang w:eastAsia="en-GB"/>
              </w:rPr>
              <w:pict w14:anchorId="35F8F29B">
                <v:shape id="_x0000_i1052" type="#_x0000_t75" style="width:226.5pt;height:118.5pt;visibility:visible;mso-wrap-style:square">
                  <v:imagedata r:id="rId44" o:title=""/>
                </v:shape>
              </w:pict>
            </w:r>
          </w:p>
        </w:tc>
      </w:tr>
    </w:tbl>
    <w:p w14:paraId="37CCE596" w14:textId="77777777" w:rsidR="0098482D" w:rsidRPr="001775D9" w:rsidRDefault="0098482D" w:rsidP="00FB545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en-GB"/>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0"/>
        <w:gridCol w:w="8647"/>
      </w:tblGrid>
      <w:tr w:rsidR="0098482D" w:rsidRPr="00F04F82" w14:paraId="3AF5C5BE" w14:textId="77777777" w:rsidTr="001311BD">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A908ABA" w14:textId="77777777" w:rsidR="0098482D" w:rsidRPr="001775D9" w:rsidRDefault="0098482D" w:rsidP="00FB5458">
            <w:pPr>
              <w:keepLines/>
              <w:suppressAutoHyphens/>
              <w:autoSpaceDE w:val="0"/>
              <w:autoSpaceDN w:val="0"/>
              <w:adjustRightInd w:val="0"/>
              <w:spacing w:line="240" w:lineRule="auto"/>
              <w:textAlignment w:val="center"/>
              <w:rPr>
                <w:b/>
                <w:color w:val="000000"/>
                <w:szCs w:val="22"/>
              </w:rPr>
            </w:pPr>
            <w:r w:rsidRPr="001775D9">
              <w:rPr>
                <w:b/>
                <w:szCs w:val="22"/>
              </w:rPr>
              <w:t>I.</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626D63E" w14:textId="77777777" w:rsidR="0098482D" w:rsidRPr="001775D9" w:rsidRDefault="0098482D" w:rsidP="00FB5458">
            <w:pPr>
              <w:keepLines/>
              <w:tabs>
                <w:tab w:val="clear" w:pos="567"/>
              </w:tabs>
              <w:autoSpaceDE w:val="0"/>
              <w:autoSpaceDN w:val="0"/>
              <w:adjustRightInd w:val="0"/>
              <w:spacing w:line="240" w:lineRule="auto"/>
              <w:rPr>
                <w:color w:val="000000"/>
                <w:szCs w:val="22"/>
              </w:rPr>
            </w:pPr>
            <w:r w:rsidRPr="001775D9">
              <w:rPr>
                <w:szCs w:val="22"/>
              </w:rPr>
              <w:t>When done, release your thumb, and gently lift the syringe off of your skin.</w:t>
            </w:r>
          </w:p>
        </w:tc>
      </w:tr>
      <w:tr w:rsidR="0098482D" w:rsidRPr="00F04F82" w14:paraId="5052EEA9" w14:textId="77777777" w:rsidTr="001311BD">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1AFCCDD" w14:textId="3E3EB900" w:rsidR="0098482D" w:rsidRPr="001775D9" w:rsidRDefault="00D96030" w:rsidP="00FB5458">
            <w:pPr>
              <w:suppressAutoHyphens/>
              <w:autoSpaceDE w:val="0"/>
              <w:autoSpaceDN w:val="0"/>
              <w:adjustRightInd w:val="0"/>
              <w:spacing w:line="240" w:lineRule="auto"/>
              <w:textAlignment w:val="center"/>
              <w:rPr>
                <w:color w:val="000000"/>
                <w:szCs w:val="22"/>
              </w:rPr>
            </w:pPr>
            <w:r>
              <w:rPr>
                <w:sz w:val="16"/>
                <w:szCs w:val="16"/>
                <w:lang w:eastAsia="en-GB"/>
              </w:rPr>
              <w:pict w14:anchorId="02F204DD">
                <v:shape id="_x0000_i1053" type="#_x0000_t75" style="width:195.5pt;height:123.5pt;visibility:visible;mso-wrap-style:square">
                  <v:imagedata r:id="rId45" o:title=""/>
                </v:shape>
              </w:pict>
            </w:r>
          </w:p>
        </w:tc>
      </w:tr>
    </w:tbl>
    <w:p w14:paraId="189AA1F7" w14:textId="77777777" w:rsidR="0098482D" w:rsidRPr="001775D9" w:rsidRDefault="0098482D" w:rsidP="00FB5458">
      <w:pPr>
        <w:pStyle w:val="SUBSTEP"/>
        <w:widowControl/>
        <w:spacing w:before="0" w:line="240" w:lineRule="auto"/>
        <w:ind w:left="0" w:firstLine="0"/>
        <w:rPr>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85"/>
      </w:tblGrid>
      <w:tr w:rsidR="0098482D" w:rsidRPr="00F04F82" w14:paraId="784B7323" w14:textId="77777777" w:rsidTr="001311BD">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F443FAB" w14:textId="77777777" w:rsidR="0098482D" w:rsidRPr="001775D9" w:rsidRDefault="0098482D" w:rsidP="00FB5458">
            <w:pPr>
              <w:pStyle w:val="BULLETED"/>
              <w:keepNext/>
              <w:keepLines/>
              <w:widowControl/>
              <w:numPr>
                <w:ilvl w:val="0"/>
                <w:numId w:val="0"/>
              </w:numPr>
              <w:spacing w:before="0" w:line="240" w:lineRule="auto"/>
              <w:jc w:val="center"/>
              <w:rPr>
                <w:b/>
                <w:sz w:val="22"/>
                <w:szCs w:val="22"/>
                <w:lang w:val="en-GB"/>
              </w:rPr>
            </w:pPr>
            <w:r w:rsidRPr="001775D9">
              <w:rPr>
                <w:b/>
                <w:sz w:val="22"/>
                <w:szCs w:val="22"/>
                <w:lang w:val="en-GB"/>
              </w:rPr>
              <w:t>Step 4: Finish</w:t>
            </w:r>
          </w:p>
        </w:tc>
      </w:tr>
    </w:tbl>
    <w:p w14:paraId="018CF4D6" w14:textId="77777777" w:rsidR="0098482D" w:rsidRPr="001775D9" w:rsidRDefault="0098482D" w:rsidP="00FB5458">
      <w:pPr>
        <w:keepNext/>
        <w:keepLines/>
        <w:spacing w:line="240" w:lineRule="auto"/>
        <w:ind w:left="567" w:hanging="567"/>
        <w:rPr>
          <w:b/>
          <w:bCs/>
          <w:sz w:val="16"/>
          <w:szCs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0"/>
        <w:gridCol w:w="17"/>
        <w:gridCol w:w="8630"/>
      </w:tblGrid>
      <w:tr w:rsidR="0098482D" w:rsidRPr="00F04F82" w14:paraId="6D8DF859" w14:textId="77777777" w:rsidTr="001311BD">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799779B" w14:textId="77777777" w:rsidR="0098482D" w:rsidRPr="001775D9" w:rsidRDefault="0098482D" w:rsidP="00FB5458">
            <w:pPr>
              <w:keepNext/>
              <w:keepLines/>
              <w:suppressAutoHyphens/>
              <w:autoSpaceDE w:val="0"/>
              <w:autoSpaceDN w:val="0"/>
              <w:adjustRightInd w:val="0"/>
              <w:spacing w:line="240" w:lineRule="auto"/>
              <w:textAlignment w:val="center"/>
              <w:rPr>
                <w:b/>
                <w:color w:val="000000"/>
                <w:szCs w:val="22"/>
              </w:rPr>
            </w:pPr>
            <w:r w:rsidRPr="001775D9">
              <w:rPr>
                <w:b/>
                <w:szCs w:val="22"/>
              </w:rPr>
              <w:t>J.</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8E422F" w14:textId="77777777" w:rsidR="0098482D" w:rsidRPr="001775D9" w:rsidRDefault="0098482D" w:rsidP="00FB5458">
            <w:pPr>
              <w:keepNext/>
              <w:keepLines/>
              <w:tabs>
                <w:tab w:val="clear" w:pos="567"/>
              </w:tabs>
              <w:autoSpaceDE w:val="0"/>
              <w:autoSpaceDN w:val="0"/>
              <w:adjustRightInd w:val="0"/>
              <w:spacing w:line="240" w:lineRule="auto"/>
              <w:rPr>
                <w:color w:val="000000"/>
                <w:szCs w:val="22"/>
              </w:rPr>
            </w:pPr>
            <w:r w:rsidRPr="001775D9">
              <w:rPr>
                <w:szCs w:val="22"/>
              </w:rPr>
              <w:t>Discard the used syringe and the needle cap.</w:t>
            </w:r>
          </w:p>
        </w:tc>
      </w:tr>
      <w:tr w:rsidR="0098482D" w:rsidRPr="00F04F82" w14:paraId="38C7125D" w14:textId="77777777" w:rsidTr="00744E47">
        <w:trPr>
          <w:trHeight w:val="3361"/>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7A7D6CE2" w14:textId="7154D88B" w:rsidR="0098482D" w:rsidRPr="001775D9" w:rsidRDefault="00D96030" w:rsidP="00FB5458">
            <w:pPr>
              <w:keepNext/>
              <w:keepLines/>
              <w:suppressAutoHyphens/>
              <w:autoSpaceDE w:val="0"/>
              <w:autoSpaceDN w:val="0"/>
              <w:adjustRightInd w:val="0"/>
              <w:spacing w:line="240" w:lineRule="auto"/>
              <w:textAlignment w:val="center"/>
              <w:rPr>
                <w:color w:val="000000"/>
                <w:szCs w:val="22"/>
              </w:rPr>
            </w:pPr>
            <w:r>
              <w:rPr>
                <w:sz w:val="10"/>
                <w:szCs w:val="10"/>
                <w:lang w:eastAsia="en-GB"/>
              </w:rPr>
              <w:pict w14:anchorId="4DDE2B3C">
                <v:shape id="Picture 30" o:spid="_x0000_i1054" type="#_x0000_t75" style="width:128.5pt;height:169.5pt;visibility:visible;mso-wrap-style:square">
                  <v:imagedata r:id="rId46" o:title=""/>
                </v:shape>
              </w:pict>
            </w:r>
          </w:p>
        </w:tc>
      </w:tr>
      <w:tr w:rsidR="00744E47" w:rsidRPr="00F04F82" w14:paraId="6594E385" w14:textId="77777777" w:rsidTr="001311BD">
        <w:tc>
          <w:tcPr>
            <w:tcW w:w="303" w:type="pct"/>
            <w:gridSpan w:val="2"/>
            <w:tcBorders>
              <w:top w:val="nil"/>
              <w:left w:val="single" w:sz="4" w:space="0" w:color="auto"/>
              <w:bottom w:val="nil"/>
              <w:right w:val="nil"/>
            </w:tcBorders>
            <w:tcMar>
              <w:top w:w="28" w:type="dxa"/>
              <w:left w:w="57" w:type="dxa"/>
              <w:bottom w:w="28" w:type="dxa"/>
              <w:right w:w="57" w:type="dxa"/>
            </w:tcMar>
          </w:tcPr>
          <w:p w14:paraId="481841CB" w14:textId="77777777" w:rsidR="00744E47" w:rsidRPr="001775D9" w:rsidRDefault="00744E47"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65A0D193" w14:textId="77777777" w:rsidR="00744E47" w:rsidRPr="001775D9" w:rsidRDefault="00744E47" w:rsidP="00FB5458">
            <w:pPr>
              <w:tabs>
                <w:tab w:val="clear" w:pos="567"/>
              </w:tabs>
              <w:autoSpaceDE w:val="0"/>
              <w:autoSpaceDN w:val="0"/>
              <w:adjustRightInd w:val="0"/>
              <w:spacing w:line="240" w:lineRule="auto"/>
              <w:rPr>
                <w:rFonts w:eastAsia="Calibri"/>
                <w:szCs w:val="22"/>
              </w:rPr>
            </w:pPr>
            <w:r w:rsidRPr="001775D9">
              <w:rPr>
                <w:rFonts w:eastAsia="Calibri"/>
                <w:b/>
                <w:szCs w:val="22"/>
              </w:rPr>
              <w:t>Do not</w:t>
            </w:r>
            <w:r w:rsidRPr="001775D9">
              <w:rPr>
                <w:rFonts w:eastAsia="Calibri"/>
                <w:szCs w:val="22"/>
              </w:rPr>
              <w:t xml:space="preserve"> reuse the used syringe.</w:t>
            </w:r>
          </w:p>
        </w:tc>
      </w:tr>
      <w:tr w:rsidR="00744E47" w:rsidRPr="00F04F82" w14:paraId="20F8AC66" w14:textId="77777777" w:rsidTr="001311BD">
        <w:tc>
          <w:tcPr>
            <w:tcW w:w="303" w:type="pct"/>
            <w:gridSpan w:val="2"/>
            <w:tcBorders>
              <w:top w:val="nil"/>
              <w:left w:val="single" w:sz="4" w:space="0" w:color="auto"/>
              <w:bottom w:val="nil"/>
              <w:right w:val="nil"/>
            </w:tcBorders>
            <w:tcMar>
              <w:top w:w="28" w:type="dxa"/>
              <w:left w:w="57" w:type="dxa"/>
              <w:bottom w:w="28" w:type="dxa"/>
              <w:right w:w="57" w:type="dxa"/>
            </w:tcMar>
          </w:tcPr>
          <w:p w14:paraId="1BE94D78" w14:textId="77777777" w:rsidR="00744E47" w:rsidRPr="001775D9" w:rsidRDefault="00744E47"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604DBA80" w14:textId="77777777" w:rsidR="00744E47" w:rsidRPr="001775D9" w:rsidRDefault="00744E47" w:rsidP="00FB5458">
            <w:pPr>
              <w:tabs>
                <w:tab w:val="clear" w:pos="567"/>
              </w:tabs>
              <w:autoSpaceDE w:val="0"/>
              <w:autoSpaceDN w:val="0"/>
              <w:adjustRightInd w:val="0"/>
              <w:spacing w:line="240" w:lineRule="auto"/>
              <w:rPr>
                <w:rFonts w:eastAsia="Calibri"/>
                <w:szCs w:val="22"/>
              </w:rPr>
            </w:pPr>
            <w:r w:rsidRPr="001775D9">
              <w:rPr>
                <w:rFonts w:eastAsia="Calibri"/>
                <w:b/>
                <w:szCs w:val="22"/>
              </w:rPr>
              <w:t>Do not</w:t>
            </w:r>
            <w:r w:rsidRPr="001775D9">
              <w:rPr>
                <w:rFonts w:eastAsia="Calibri"/>
                <w:szCs w:val="22"/>
              </w:rPr>
              <w:t xml:space="preserve"> use any medicine that is left in the used syringe.</w:t>
            </w:r>
          </w:p>
        </w:tc>
      </w:tr>
      <w:tr w:rsidR="00744E47" w:rsidRPr="00F04F82" w14:paraId="1828B852" w14:textId="77777777" w:rsidTr="001311BD">
        <w:tc>
          <w:tcPr>
            <w:tcW w:w="303" w:type="pct"/>
            <w:gridSpan w:val="2"/>
            <w:tcBorders>
              <w:top w:val="nil"/>
              <w:left w:val="single" w:sz="4" w:space="0" w:color="auto"/>
              <w:bottom w:val="nil"/>
              <w:right w:val="nil"/>
            </w:tcBorders>
            <w:tcMar>
              <w:top w:w="28" w:type="dxa"/>
              <w:left w:w="57" w:type="dxa"/>
              <w:bottom w:w="28" w:type="dxa"/>
              <w:right w:w="57" w:type="dxa"/>
            </w:tcMar>
          </w:tcPr>
          <w:p w14:paraId="7EFA8E1B" w14:textId="77777777" w:rsidR="00744E47" w:rsidRPr="001775D9" w:rsidRDefault="00744E47"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6D2AA5D4" w14:textId="77777777" w:rsidR="00744E47" w:rsidRPr="001775D9" w:rsidRDefault="00744E47" w:rsidP="00FB5458">
            <w:pPr>
              <w:tabs>
                <w:tab w:val="clear" w:pos="567"/>
              </w:tabs>
              <w:autoSpaceDE w:val="0"/>
              <w:autoSpaceDN w:val="0"/>
              <w:adjustRightInd w:val="0"/>
              <w:spacing w:line="240" w:lineRule="auto"/>
              <w:rPr>
                <w:rFonts w:eastAsia="Calibri"/>
                <w:szCs w:val="22"/>
              </w:rPr>
            </w:pPr>
            <w:r w:rsidRPr="001775D9">
              <w:rPr>
                <w:rFonts w:eastAsia="Calibri"/>
                <w:szCs w:val="22"/>
              </w:rPr>
              <w:t xml:space="preserve">Put the used AMGEVITA syringe in a sharps disposal container immediately after use. </w:t>
            </w:r>
            <w:r w:rsidRPr="001775D9">
              <w:rPr>
                <w:rFonts w:eastAsia="Calibri"/>
                <w:b/>
                <w:bCs/>
                <w:szCs w:val="22"/>
              </w:rPr>
              <w:t>Do not</w:t>
            </w:r>
            <w:r w:rsidRPr="001775D9">
              <w:rPr>
                <w:rFonts w:eastAsia="Calibri"/>
                <w:szCs w:val="22"/>
              </w:rPr>
              <w:t xml:space="preserve"> throw away (dispose of) the syringe in your household waste.</w:t>
            </w:r>
          </w:p>
        </w:tc>
      </w:tr>
      <w:tr w:rsidR="00744E47" w:rsidRPr="00F04F82" w14:paraId="381BBA6A" w14:textId="77777777" w:rsidTr="001311BD">
        <w:tc>
          <w:tcPr>
            <w:tcW w:w="303" w:type="pct"/>
            <w:gridSpan w:val="2"/>
            <w:tcBorders>
              <w:top w:val="nil"/>
              <w:left w:val="single" w:sz="4" w:space="0" w:color="auto"/>
              <w:bottom w:val="nil"/>
              <w:right w:val="nil"/>
            </w:tcBorders>
            <w:tcMar>
              <w:top w:w="28" w:type="dxa"/>
              <w:left w:w="57" w:type="dxa"/>
              <w:bottom w:w="28" w:type="dxa"/>
              <w:right w:w="57" w:type="dxa"/>
            </w:tcMar>
          </w:tcPr>
          <w:p w14:paraId="6D33D078" w14:textId="77777777" w:rsidR="00744E47" w:rsidRPr="001775D9" w:rsidRDefault="00744E47"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77D16BA6" w14:textId="77777777" w:rsidR="00744E47" w:rsidRPr="001775D9" w:rsidRDefault="00744E47" w:rsidP="00FB5458">
            <w:pPr>
              <w:tabs>
                <w:tab w:val="clear" w:pos="567"/>
              </w:tabs>
              <w:suppressAutoHyphens/>
              <w:autoSpaceDE w:val="0"/>
              <w:autoSpaceDN w:val="0"/>
              <w:adjustRightInd w:val="0"/>
              <w:spacing w:line="240" w:lineRule="auto"/>
              <w:textAlignment w:val="center"/>
              <w:rPr>
                <w:color w:val="000000"/>
                <w:szCs w:val="22"/>
              </w:rPr>
            </w:pPr>
            <w:r w:rsidRPr="001775D9">
              <w:rPr>
                <w:rFonts w:eastAsia="Calibri"/>
                <w:szCs w:val="22"/>
              </w:rPr>
              <w:t>Talk with your doctor or pharmacist about proper disposal. There may be local guidelines for disposal.</w:t>
            </w:r>
          </w:p>
        </w:tc>
      </w:tr>
      <w:tr w:rsidR="00744E47" w:rsidRPr="00F04F82" w14:paraId="1A7CA53F" w14:textId="77777777" w:rsidTr="001311BD">
        <w:tc>
          <w:tcPr>
            <w:tcW w:w="303" w:type="pct"/>
            <w:gridSpan w:val="2"/>
            <w:tcBorders>
              <w:top w:val="nil"/>
              <w:left w:val="single" w:sz="4" w:space="0" w:color="auto"/>
              <w:bottom w:val="nil"/>
              <w:right w:val="nil"/>
            </w:tcBorders>
            <w:tcMar>
              <w:top w:w="28" w:type="dxa"/>
              <w:left w:w="57" w:type="dxa"/>
              <w:bottom w:w="28" w:type="dxa"/>
              <w:right w:w="57" w:type="dxa"/>
            </w:tcMar>
          </w:tcPr>
          <w:p w14:paraId="1ACB38C5" w14:textId="77777777" w:rsidR="00744E47" w:rsidRPr="001775D9" w:rsidRDefault="00744E47"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014DA341" w14:textId="77777777" w:rsidR="00744E47" w:rsidRPr="001775D9" w:rsidRDefault="00744E47" w:rsidP="00FB5458">
            <w:pPr>
              <w:tabs>
                <w:tab w:val="clear" w:pos="567"/>
              </w:tabs>
              <w:autoSpaceDE w:val="0"/>
              <w:autoSpaceDN w:val="0"/>
              <w:adjustRightInd w:val="0"/>
              <w:spacing w:line="240" w:lineRule="auto"/>
              <w:rPr>
                <w:rFonts w:eastAsia="Calibri"/>
                <w:szCs w:val="22"/>
              </w:rPr>
            </w:pPr>
            <w:r w:rsidRPr="001775D9">
              <w:rPr>
                <w:rFonts w:eastAsia="Calibri"/>
                <w:b/>
                <w:bCs/>
                <w:szCs w:val="22"/>
              </w:rPr>
              <w:t>Do not</w:t>
            </w:r>
            <w:r w:rsidRPr="001775D9">
              <w:rPr>
                <w:rFonts w:eastAsia="Calibri"/>
                <w:szCs w:val="22"/>
              </w:rPr>
              <w:t xml:space="preserve"> recycle the syringe or sharps disposal container or throw them into the household waste.</w:t>
            </w:r>
          </w:p>
        </w:tc>
      </w:tr>
      <w:tr w:rsidR="00744E47" w:rsidRPr="00F04F82" w14:paraId="2782D597" w14:textId="77777777" w:rsidTr="001311BD">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3ADC10F2" w14:textId="77777777" w:rsidR="00744E47" w:rsidRPr="001775D9" w:rsidRDefault="00744E47" w:rsidP="00FB5458">
            <w:pPr>
              <w:pStyle w:val="SUBSTEP"/>
              <w:widowControl/>
              <w:tabs>
                <w:tab w:val="clear" w:pos="240"/>
                <w:tab w:val="clear" w:pos="360"/>
                <w:tab w:val="clear" w:pos="660"/>
                <w:tab w:val="clear" w:pos="780"/>
              </w:tabs>
              <w:spacing w:before="0" w:line="240" w:lineRule="auto"/>
              <w:ind w:left="0" w:firstLine="0"/>
              <w:rPr>
                <w:b w:val="0"/>
                <w:szCs w:val="22"/>
                <w:lang w:val="en-GB"/>
              </w:rPr>
            </w:pPr>
            <w:r w:rsidRPr="001775D9">
              <w:rPr>
                <w:bCs w:val="0"/>
                <w:szCs w:val="22"/>
                <w:lang w:val="en-GB"/>
              </w:rPr>
              <w:t xml:space="preserve">Important: </w:t>
            </w:r>
            <w:r w:rsidRPr="001775D9">
              <w:rPr>
                <w:b w:val="0"/>
                <w:szCs w:val="22"/>
                <w:lang w:val="en-GB"/>
              </w:rPr>
              <w:t>Always keep the sharps disposal container out of the sight and reach of children.</w:t>
            </w:r>
          </w:p>
        </w:tc>
      </w:tr>
    </w:tbl>
    <w:p w14:paraId="6148D087" w14:textId="77777777" w:rsidR="0098482D" w:rsidRPr="001775D9" w:rsidRDefault="0098482D" w:rsidP="00FB545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57"/>
        <w:gridCol w:w="8628"/>
      </w:tblGrid>
      <w:tr w:rsidR="0098482D" w:rsidRPr="00F04F82" w14:paraId="2887E7DE" w14:textId="77777777" w:rsidTr="001311BD">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74C09B" w14:textId="77777777" w:rsidR="0098482D" w:rsidRPr="001775D9" w:rsidRDefault="0098482D" w:rsidP="00FB5458">
            <w:pPr>
              <w:keepLines/>
              <w:suppressAutoHyphens/>
              <w:autoSpaceDE w:val="0"/>
              <w:autoSpaceDN w:val="0"/>
              <w:adjustRightInd w:val="0"/>
              <w:spacing w:line="240" w:lineRule="auto"/>
              <w:textAlignment w:val="center"/>
              <w:rPr>
                <w:b/>
                <w:color w:val="000000"/>
                <w:szCs w:val="22"/>
              </w:rPr>
            </w:pPr>
            <w:r w:rsidRPr="001775D9">
              <w:rPr>
                <w:b/>
                <w:szCs w:val="22"/>
              </w:rPr>
              <w:t>K.</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0DD3EC" w14:textId="77777777" w:rsidR="0098482D" w:rsidRPr="001775D9" w:rsidRDefault="0098482D" w:rsidP="00FB5458">
            <w:pPr>
              <w:keepLines/>
              <w:tabs>
                <w:tab w:val="clear" w:pos="567"/>
              </w:tabs>
              <w:autoSpaceDE w:val="0"/>
              <w:autoSpaceDN w:val="0"/>
              <w:adjustRightInd w:val="0"/>
              <w:spacing w:line="240" w:lineRule="auto"/>
              <w:rPr>
                <w:color w:val="000000"/>
                <w:szCs w:val="22"/>
              </w:rPr>
            </w:pPr>
            <w:r w:rsidRPr="001775D9">
              <w:rPr>
                <w:szCs w:val="22"/>
              </w:rPr>
              <w:t>Examine the injection site.</w:t>
            </w:r>
          </w:p>
        </w:tc>
      </w:tr>
      <w:tr w:rsidR="0098482D" w:rsidRPr="00F04F82" w14:paraId="509D1FBC" w14:textId="77777777" w:rsidTr="001311BD">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0D6EF0B" w14:textId="77777777" w:rsidR="0098482D" w:rsidRPr="001775D9" w:rsidRDefault="0098482D" w:rsidP="00FB5458">
            <w:pPr>
              <w:suppressAutoHyphens/>
              <w:autoSpaceDE w:val="0"/>
              <w:autoSpaceDN w:val="0"/>
              <w:adjustRightInd w:val="0"/>
              <w:spacing w:line="240" w:lineRule="auto"/>
              <w:textAlignment w:val="center"/>
              <w:rPr>
                <w:color w:val="000000"/>
                <w:szCs w:val="22"/>
              </w:rPr>
            </w:pPr>
            <w:r w:rsidRPr="001775D9">
              <w:rPr>
                <w:color w:val="000000"/>
                <w:szCs w:val="22"/>
              </w:rPr>
              <w:t xml:space="preserve">If there is blood, press a cotton ball or gauze pad on your injection site. </w:t>
            </w:r>
            <w:r w:rsidRPr="001775D9">
              <w:rPr>
                <w:b/>
                <w:bCs/>
                <w:color w:val="000000"/>
                <w:szCs w:val="22"/>
              </w:rPr>
              <w:t>Do not</w:t>
            </w:r>
            <w:r w:rsidRPr="001775D9">
              <w:rPr>
                <w:color w:val="000000"/>
                <w:szCs w:val="22"/>
              </w:rPr>
              <w:t xml:space="preserve"> rub the injection site. Apply a plaster if needed.</w:t>
            </w:r>
          </w:p>
        </w:tc>
      </w:tr>
    </w:tbl>
    <w:p w14:paraId="36D7459E" w14:textId="0AB95A3B" w:rsidR="00326A4F" w:rsidRPr="001775D9" w:rsidRDefault="00326A4F" w:rsidP="008415E1">
      <w:pPr>
        <w:tabs>
          <w:tab w:val="clear" w:pos="567"/>
        </w:tabs>
        <w:spacing w:line="240" w:lineRule="auto"/>
        <w:jc w:val="center"/>
        <w:outlineLvl w:val="0"/>
        <w:rPr>
          <w:b/>
        </w:rPr>
      </w:pPr>
      <w:r w:rsidRPr="001775D9">
        <w:rPr>
          <w:b/>
        </w:rPr>
        <w:br w:type="page"/>
      </w:r>
    </w:p>
    <w:p w14:paraId="7B9686ED" w14:textId="4B78F71F" w:rsidR="00524DB2" w:rsidRPr="001775D9" w:rsidRDefault="00524DB2" w:rsidP="008415E1">
      <w:pPr>
        <w:tabs>
          <w:tab w:val="clear" w:pos="567"/>
        </w:tabs>
        <w:spacing w:line="240" w:lineRule="auto"/>
        <w:jc w:val="center"/>
        <w:outlineLvl w:val="0"/>
      </w:pPr>
      <w:r w:rsidRPr="001775D9">
        <w:rPr>
          <w:b/>
        </w:rPr>
        <w:t>Package leaflet: Information for the user</w:t>
      </w:r>
      <w:r w:rsidR="001C55FB" w:rsidRPr="001775D9">
        <w:rPr>
          <w:b/>
        </w:rPr>
        <w:fldChar w:fldCharType="begin"/>
      </w:r>
      <w:r w:rsidR="001C55FB" w:rsidRPr="001775D9">
        <w:rPr>
          <w:b/>
        </w:rPr>
        <w:instrText xml:space="preserve"> DOCVARIABLE vault_nd_5db16596-fa0d-4887-ac7a-e4551cec59d2 \* MERGEFORMAT </w:instrText>
      </w:r>
      <w:r w:rsidR="001C55FB" w:rsidRPr="001775D9">
        <w:rPr>
          <w:b/>
        </w:rPr>
        <w:fldChar w:fldCharType="separate"/>
      </w:r>
      <w:r w:rsidR="001C55FB" w:rsidRPr="001775D9">
        <w:rPr>
          <w:b/>
        </w:rPr>
        <w:t xml:space="preserve"> </w:t>
      </w:r>
      <w:r w:rsidR="001C55FB" w:rsidRPr="001775D9">
        <w:rPr>
          <w:b/>
        </w:rPr>
        <w:fldChar w:fldCharType="end"/>
      </w:r>
    </w:p>
    <w:p w14:paraId="58C32BB5" w14:textId="77777777" w:rsidR="0098482D" w:rsidRPr="001775D9" w:rsidRDefault="0098482D" w:rsidP="008415E1">
      <w:pPr>
        <w:numPr>
          <w:ilvl w:val="12"/>
          <w:numId w:val="0"/>
        </w:numPr>
        <w:shd w:val="clear" w:color="auto" w:fill="FFFFFF"/>
        <w:tabs>
          <w:tab w:val="clear" w:pos="567"/>
        </w:tabs>
        <w:spacing w:line="240" w:lineRule="auto"/>
        <w:jc w:val="center"/>
      </w:pPr>
    </w:p>
    <w:p w14:paraId="52709119" w14:textId="0299B404" w:rsidR="00524DB2" w:rsidRPr="001775D9" w:rsidRDefault="00524DB2" w:rsidP="008415E1">
      <w:pPr>
        <w:tabs>
          <w:tab w:val="left" w:pos="993"/>
        </w:tabs>
        <w:spacing w:line="240" w:lineRule="auto"/>
        <w:jc w:val="center"/>
        <w:outlineLvl w:val="0"/>
        <w:rPr>
          <w:b/>
        </w:rPr>
      </w:pPr>
      <w:r w:rsidRPr="001775D9">
        <w:rPr>
          <w:b/>
        </w:rPr>
        <w:t>AMGEVITA</w:t>
      </w:r>
      <w:r w:rsidRPr="001775D9" w:rsidDel="006B71D6">
        <w:rPr>
          <w:b/>
        </w:rPr>
        <w:t xml:space="preserve"> </w:t>
      </w:r>
      <w:r w:rsidRPr="001775D9">
        <w:rPr>
          <w:b/>
        </w:rPr>
        <w:t>40</w:t>
      </w:r>
      <w:r w:rsidR="0082710E" w:rsidRPr="001775D9">
        <w:rPr>
          <w:b/>
        </w:rPr>
        <w:t> </w:t>
      </w:r>
      <w:r w:rsidRPr="001775D9">
        <w:rPr>
          <w:b/>
        </w:rPr>
        <w:t>mg solution for injection in pre-filled pen</w:t>
      </w:r>
      <w:r w:rsidR="001C55FB" w:rsidRPr="001775D9">
        <w:rPr>
          <w:b/>
        </w:rPr>
        <w:fldChar w:fldCharType="begin"/>
      </w:r>
      <w:r w:rsidR="001C55FB" w:rsidRPr="001775D9">
        <w:rPr>
          <w:b/>
        </w:rPr>
        <w:instrText xml:space="preserve"> DOCVARIABLE vault_nd_228fa952-f3c3-4116-8ce9-fae1ae810166 \* MERGEFORMAT </w:instrText>
      </w:r>
      <w:r w:rsidR="001C55FB" w:rsidRPr="001775D9">
        <w:rPr>
          <w:b/>
        </w:rPr>
        <w:fldChar w:fldCharType="separate"/>
      </w:r>
      <w:r w:rsidR="001C55FB" w:rsidRPr="001775D9">
        <w:rPr>
          <w:b/>
        </w:rPr>
        <w:t xml:space="preserve"> </w:t>
      </w:r>
      <w:r w:rsidR="001C55FB" w:rsidRPr="001775D9">
        <w:rPr>
          <w:b/>
        </w:rPr>
        <w:fldChar w:fldCharType="end"/>
      </w:r>
    </w:p>
    <w:p w14:paraId="437B5DD3" w14:textId="77777777" w:rsidR="00524DB2" w:rsidRPr="001775D9" w:rsidRDefault="00524DB2" w:rsidP="008415E1">
      <w:pPr>
        <w:numPr>
          <w:ilvl w:val="12"/>
          <w:numId w:val="0"/>
        </w:numPr>
        <w:tabs>
          <w:tab w:val="clear" w:pos="567"/>
        </w:tabs>
        <w:spacing w:line="240" w:lineRule="auto"/>
        <w:jc w:val="center"/>
      </w:pPr>
      <w:r w:rsidRPr="001775D9">
        <w:t>adalimumab</w:t>
      </w:r>
    </w:p>
    <w:p w14:paraId="6ECB3726" w14:textId="77777777" w:rsidR="00524DB2" w:rsidRPr="001775D9" w:rsidRDefault="00524DB2" w:rsidP="008415E1">
      <w:pPr>
        <w:tabs>
          <w:tab w:val="clear" w:pos="567"/>
        </w:tabs>
        <w:spacing w:line="240" w:lineRule="auto"/>
      </w:pPr>
    </w:p>
    <w:p w14:paraId="43D1E9E4" w14:textId="77777777" w:rsidR="00524DB2" w:rsidRPr="001775D9" w:rsidRDefault="00524DB2" w:rsidP="008415E1">
      <w:pPr>
        <w:tabs>
          <w:tab w:val="clear" w:pos="567"/>
        </w:tabs>
        <w:suppressAutoHyphens/>
        <w:spacing w:line="240" w:lineRule="auto"/>
        <w:rPr>
          <w:b/>
        </w:rPr>
      </w:pPr>
    </w:p>
    <w:p w14:paraId="6706B714" w14:textId="77777777" w:rsidR="00524DB2" w:rsidRPr="001775D9" w:rsidRDefault="00524DB2" w:rsidP="008415E1">
      <w:pPr>
        <w:tabs>
          <w:tab w:val="clear" w:pos="567"/>
        </w:tabs>
        <w:suppressAutoHyphens/>
        <w:spacing w:line="240" w:lineRule="auto"/>
      </w:pPr>
      <w:r w:rsidRPr="001775D9">
        <w:rPr>
          <w:b/>
        </w:rPr>
        <w:t>Read all of this leaflet carefully before you start using this medicine because it contains important information for you.</w:t>
      </w:r>
    </w:p>
    <w:p w14:paraId="07AA5FA6" w14:textId="77777777" w:rsidR="00524DB2" w:rsidRPr="001775D9" w:rsidRDefault="00524DB2" w:rsidP="007A77D5">
      <w:pPr>
        <w:numPr>
          <w:ilvl w:val="0"/>
          <w:numId w:val="3"/>
        </w:numPr>
        <w:spacing w:line="240" w:lineRule="auto"/>
        <w:ind w:left="567" w:hanging="567"/>
      </w:pPr>
      <w:r w:rsidRPr="001775D9">
        <w:t xml:space="preserve">Keep this leaflet. You may need to read it again. </w:t>
      </w:r>
    </w:p>
    <w:p w14:paraId="2E240D91" w14:textId="77777777" w:rsidR="00524DB2" w:rsidRPr="00D55B59" w:rsidRDefault="00524DB2" w:rsidP="007A77D5">
      <w:pPr>
        <w:pStyle w:val="Default"/>
        <w:numPr>
          <w:ilvl w:val="0"/>
          <w:numId w:val="3"/>
        </w:numPr>
        <w:tabs>
          <w:tab w:val="left" w:pos="567"/>
        </w:tabs>
        <w:ind w:left="567" w:hanging="567"/>
        <w:rPr>
          <w:sz w:val="22"/>
          <w:szCs w:val="22"/>
          <w:lang w:val="en-GB"/>
          <w:rPrChange w:id="3271" w:author="Author">
            <w:rPr>
              <w:sz w:val="22"/>
              <w:szCs w:val="22"/>
            </w:rPr>
          </w:rPrChange>
        </w:rPr>
      </w:pPr>
      <w:r w:rsidRPr="00D55B59">
        <w:rPr>
          <w:sz w:val="22"/>
          <w:szCs w:val="22"/>
          <w:lang w:val="en-GB"/>
          <w:rPrChange w:id="3272" w:author="Author">
            <w:rPr>
              <w:sz w:val="22"/>
              <w:szCs w:val="22"/>
            </w:rPr>
          </w:rPrChange>
        </w:rPr>
        <w:t xml:space="preserve">Your doctor will also give you a </w:t>
      </w:r>
      <w:r w:rsidR="0067002D" w:rsidRPr="00D55B59">
        <w:rPr>
          <w:b/>
          <w:sz w:val="22"/>
          <w:szCs w:val="22"/>
          <w:lang w:val="en-GB"/>
          <w:rPrChange w:id="3273" w:author="Author">
            <w:rPr>
              <w:b/>
              <w:sz w:val="22"/>
              <w:szCs w:val="22"/>
            </w:rPr>
          </w:rPrChange>
        </w:rPr>
        <w:t>Patient Reminder Card</w:t>
      </w:r>
      <w:r w:rsidRPr="00D55B59">
        <w:rPr>
          <w:sz w:val="22"/>
          <w:szCs w:val="22"/>
          <w:lang w:val="en-GB"/>
          <w:rPrChange w:id="3274" w:author="Author">
            <w:rPr>
              <w:sz w:val="22"/>
              <w:szCs w:val="22"/>
            </w:rPr>
          </w:rPrChange>
        </w:rPr>
        <w:t xml:space="preserve">, which contains important safety information that you need to be aware of before you are given AMGEVITA and during treatment with AMGEVITA. Keep this </w:t>
      </w:r>
      <w:r w:rsidR="0067002D" w:rsidRPr="00D55B59">
        <w:rPr>
          <w:b/>
          <w:sz w:val="22"/>
          <w:szCs w:val="22"/>
          <w:lang w:val="en-GB"/>
          <w:rPrChange w:id="3275" w:author="Author">
            <w:rPr>
              <w:b/>
              <w:sz w:val="22"/>
              <w:szCs w:val="22"/>
            </w:rPr>
          </w:rPrChange>
        </w:rPr>
        <w:t>Patient Reminder Card</w:t>
      </w:r>
      <w:r w:rsidR="0067002D" w:rsidRPr="00D55B59">
        <w:rPr>
          <w:sz w:val="22"/>
          <w:szCs w:val="22"/>
          <w:lang w:val="en-GB"/>
          <w:rPrChange w:id="3276" w:author="Author">
            <w:rPr>
              <w:sz w:val="22"/>
              <w:szCs w:val="22"/>
            </w:rPr>
          </w:rPrChange>
        </w:rPr>
        <w:t xml:space="preserve"> </w:t>
      </w:r>
      <w:r w:rsidRPr="00D55B59">
        <w:rPr>
          <w:sz w:val="22"/>
          <w:szCs w:val="22"/>
          <w:lang w:val="en-GB"/>
          <w:rPrChange w:id="3277" w:author="Author">
            <w:rPr>
              <w:sz w:val="22"/>
              <w:szCs w:val="22"/>
            </w:rPr>
          </w:rPrChange>
        </w:rPr>
        <w:t xml:space="preserve">with you. </w:t>
      </w:r>
    </w:p>
    <w:p w14:paraId="3829383C" w14:textId="77777777" w:rsidR="00524DB2" w:rsidRPr="001775D9" w:rsidRDefault="00524DB2" w:rsidP="007A77D5">
      <w:pPr>
        <w:numPr>
          <w:ilvl w:val="0"/>
          <w:numId w:val="3"/>
        </w:numPr>
        <w:spacing w:line="240" w:lineRule="auto"/>
        <w:ind w:left="567" w:hanging="567"/>
      </w:pPr>
      <w:r w:rsidRPr="001775D9">
        <w:t>If you have any further questions, ask your doctor or pharmacist.</w:t>
      </w:r>
    </w:p>
    <w:p w14:paraId="205F375B" w14:textId="77777777" w:rsidR="00524DB2" w:rsidRPr="001775D9" w:rsidRDefault="00524DB2" w:rsidP="007A77D5">
      <w:pPr>
        <w:spacing w:line="240" w:lineRule="auto"/>
        <w:ind w:left="567" w:hanging="567"/>
      </w:pPr>
      <w:r w:rsidRPr="001775D9">
        <w:t>-</w:t>
      </w:r>
      <w:r w:rsidRPr="001775D9">
        <w:tab/>
        <w:t xml:space="preserve">This medicine has been prescribed for you only. Do not pass it on to others. It may harm them, even if their signs of illness are the same as yours. </w:t>
      </w:r>
    </w:p>
    <w:p w14:paraId="7FDB6490" w14:textId="77777777" w:rsidR="00524DB2" w:rsidRPr="001775D9" w:rsidRDefault="00524DB2" w:rsidP="007A77D5">
      <w:pPr>
        <w:numPr>
          <w:ilvl w:val="0"/>
          <w:numId w:val="3"/>
        </w:numPr>
        <w:spacing w:line="240" w:lineRule="auto"/>
        <w:ind w:left="567" w:hanging="567"/>
      </w:pPr>
      <w:r w:rsidRPr="001775D9">
        <w:t>If you get any side effects, talk to your doctor or pharmacist. This includes any possible side effects not listed in this leaflet (see section 4).</w:t>
      </w:r>
    </w:p>
    <w:p w14:paraId="1EADE598" w14:textId="77777777" w:rsidR="00524DB2" w:rsidRPr="001775D9" w:rsidRDefault="00524DB2" w:rsidP="008415E1">
      <w:pPr>
        <w:tabs>
          <w:tab w:val="clear" w:pos="567"/>
        </w:tabs>
        <w:spacing w:line="240" w:lineRule="auto"/>
        <w:ind w:right="-2"/>
      </w:pPr>
    </w:p>
    <w:p w14:paraId="104DC6AC" w14:textId="61FC4F6F" w:rsidR="00524DB2" w:rsidRPr="001775D9" w:rsidRDefault="00524DB2" w:rsidP="008415E1">
      <w:pPr>
        <w:keepNext/>
        <w:numPr>
          <w:ilvl w:val="12"/>
          <w:numId w:val="0"/>
        </w:numPr>
        <w:tabs>
          <w:tab w:val="clear" w:pos="567"/>
        </w:tabs>
        <w:spacing w:line="240" w:lineRule="auto"/>
        <w:ind w:right="-2"/>
        <w:outlineLvl w:val="0"/>
        <w:rPr>
          <w:b/>
        </w:rPr>
      </w:pPr>
      <w:r w:rsidRPr="001775D9">
        <w:rPr>
          <w:b/>
        </w:rPr>
        <w:t>What is in this leaflet</w:t>
      </w:r>
      <w:r w:rsidR="001C55FB" w:rsidRPr="001775D9">
        <w:rPr>
          <w:b/>
        </w:rPr>
        <w:fldChar w:fldCharType="begin"/>
      </w:r>
      <w:r w:rsidR="001C55FB" w:rsidRPr="001775D9">
        <w:rPr>
          <w:b/>
        </w:rPr>
        <w:instrText xml:space="preserve"> DOCVARIABLE vault_nd_f7f31c92-274c-4be9-85f1-043d87b8714e \* MERGEFORMAT </w:instrText>
      </w:r>
      <w:r w:rsidR="001C55FB" w:rsidRPr="001775D9">
        <w:rPr>
          <w:b/>
        </w:rPr>
        <w:fldChar w:fldCharType="separate"/>
      </w:r>
      <w:r w:rsidR="001C55FB" w:rsidRPr="001775D9">
        <w:rPr>
          <w:b/>
        </w:rPr>
        <w:t xml:space="preserve"> </w:t>
      </w:r>
      <w:r w:rsidR="001C55FB" w:rsidRPr="001775D9">
        <w:rPr>
          <w:b/>
        </w:rPr>
        <w:fldChar w:fldCharType="end"/>
      </w:r>
    </w:p>
    <w:p w14:paraId="12CB6EC8" w14:textId="77777777" w:rsidR="00524DB2" w:rsidRPr="001775D9" w:rsidRDefault="00524DB2" w:rsidP="008415E1">
      <w:pPr>
        <w:keepNext/>
        <w:numPr>
          <w:ilvl w:val="12"/>
          <w:numId w:val="0"/>
        </w:numPr>
        <w:tabs>
          <w:tab w:val="clear" w:pos="567"/>
        </w:tabs>
        <w:spacing w:line="240" w:lineRule="auto"/>
        <w:ind w:right="-2"/>
        <w:outlineLvl w:val="0"/>
      </w:pPr>
    </w:p>
    <w:p w14:paraId="2165AE46" w14:textId="77777777" w:rsidR="00524DB2" w:rsidRPr="001775D9" w:rsidRDefault="00524DB2" w:rsidP="00B61D9D">
      <w:pPr>
        <w:numPr>
          <w:ilvl w:val="12"/>
          <w:numId w:val="0"/>
        </w:numPr>
        <w:tabs>
          <w:tab w:val="clear" w:pos="567"/>
          <w:tab w:val="left" w:pos="0"/>
        </w:tabs>
        <w:spacing w:line="240" w:lineRule="auto"/>
        <w:ind w:left="567" w:hanging="567"/>
      </w:pPr>
      <w:r w:rsidRPr="001775D9">
        <w:t>1.</w:t>
      </w:r>
      <w:r w:rsidRPr="001775D9">
        <w:tab/>
        <w:t xml:space="preserve">What </w:t>
      </w:r>
      <w:r w:rsidRPr="001775D9">
        <w:rPr>
          <w:szCs w:val="22"/>
        </w:rPr>
        <w:t>AMGEVITA</w:t>
      </w:r>
      <w:r w:rsidRPr="001775D9">
        <w:t xml:space="preserve"> is and what it is used for </w:t>
      </w:r>
    </w:p>
    <w:p w14:paraId="54DB6F12" w14:textId="77777777" w:rsidR="00524DB2" w:rsidRPr="001775D9" w:rsidRDefault="00524DB2" w:rsidP="00B61D9D">
      <w:pPr>
        <w:numPr>
          <w:ilvl w:val="12"/>
          <w:numId w:val="0"/>
        </w:numPr>
        <w:tabs>
          <w:tab w:val="clear" w:pos="567"/>
          <w:tab w:val="left" w:pos="0"/>
        </w:tabs>
        <w:spacing w:line="240" w:lineRule="auto"/>
        <w:ind w:left="567" w:hanging="567"/>
      </w:pPr>
      <w:r w:rsidRPr="001775D9">
        <w:t>2.</w:t>
      </w:r>
      <w:r w:rsidRPr="001775D9">
        <w:tab/>
        <w:t xml:space="preserve">What you need to know before you use </w:t>
      </w:r>
      <w:r w:rsidRPr="001775D9">
        <w:rPr>
          <w:szCs w:val="22"/>
        </w:rPr>
        <w:t>AMGEVITA</w:t>
      </w:r>
      <w:r w:rsidRPr="001775D9">
        <w:t xml:space="preserve"> </w:t>
      </w:r>
    </w:p>
    <w:p w14:paraId="0140F5DC" w14:textId="77777777" w:rsidR="00524DB2" w:rsidRPr="001775D9" w:rsidRDefault="00524DB2" w:rsidP="00B61D9D">
      <w:pPr>
        <w:numPr>
          <w:ilvl w:val="12"/>
          <w:numId w:val="0"/>
        </w:numPr>
        <w:tabs>
          <w:tab w:val="clear" w:pos="567"/>
          <w:tab w:val="left" w:pos="0"/>
        </w:tabs>
        <w:spacing w:line="240" w:lineRule="auto"/>
        <w:ind w:left="567" w:hanging="567"/>
      </w:pPr>
      <w:r w:rsidRPr="001775D9">
        <w:t>3.</w:t>
      </w:r>
      <w:r w:rsidRPr="001775D9">
        <w:tab/>
        <w:t xml:space="preserve">How to use </w:t>
      </w:r>
      <w:r w:rsidRPr="001775D9">
        <w:rPr>
          <w:szCs w:val="22"/>
        </w:rPr>
        <w:t>AMGEVITA</w:t>
      </w:r>
    </w:p>
    <w:p w14:paraId="3424B71D" w14:textId="77777777" w:rsidR="00524DB2" w:rsidRPr="001775D9" w:rsidRDefault="00524DB2" w:rsidP="00B61D9D">
      <w:pPr>
        <w:numPr>
          <w:ilvl w:val="12"/>
          <w:numId w:val="0"/>
        </w:numPr>
        <w:tabs>
          <w:tab w:val="clear" w:pos="567"/>
          <w:tab w:val="left" w:pos="0"/>
        </w:tabs>
        <w:spacing w:line="240" w:lineRule="auto"/>
        <w:ind w:left="567" w:hanging="567"/>
      </w:pPr>
      <w:r w:rsidRPr="001775D9">
        <w:t>4.</w:t>
      </w:r>
      <w:r w:rsidRPr="001775D9">
        <w:tab/>
        <w:t xml:space="preserve">Possible side effects </w:t>
      </w:r>
    </w:p>
    <w:p w14:paraId="7F91A43B" w14:textId="77777777" w:rsidR="00524DB2" w:rsidRPr="001775D9" w:rsidRDefault="00524DB2" w:rsidP="00B61D9D">
      <w:pPr>
        <w:numPr>
          <w:ilvl w:val="12"/>
          <w:numId w:val="0"/>
        </w:numPr>
        <w:tabs>
          <w:tab w:val="clear" w:pos="567"/>
          <w:tab w:val="left" w:pos="0"/>
        </w:tabs>
        <w:spacing w:line="240" w:lineRule="auto"/>
        <w:ind w:left="567" w:hanging="567"/>
      </w:pPr>
      <w:r w:rsidRPr="001775D9">
        <w:t>5.</w:t>
      </w:r>
      <w:r w:rsidRPr="001775D9">
        <w:tab/>
        <w:t xml:space="preserve">How to store </w:t>
      </w:r>
      <w:r w:rsidRPr="001775D9">
        <w:rPr>
          <w:szCs w:val="22"/>
        </w:rPr>
        <w:t>AMGEVITA</w:t>
      </w:r>
      <w:r w:rsidRPr="001775D9">
        <w:t xml:space="preserve"> </w:t>
      </w:r>
    </w:p>
    <w:p w14:paraId="115668D4" w14:textId="77777777" w:rsidR="00524DB2" w:rsidRPr="001775D9" w:rsidRDefault="00524DB2" w:rsidP="00B61D9D">
      <w:pPr>
        <w:numPr>
          <w:ilvl w:val="12"/>
          <w:numId w:val="0"/>
        </w:numPr>
        <w:tabs>
          <w:tab w:val="clear" w:pos="567"/>
          <w:tab w:val="left" w:pos="0"/>
        </w:tabs>
        <w:spacing w:line="240" w:lineRule="auto"/>
        <w:ind w:left="567" w:hanging="567"/>
      </w:pPr>
      <w:r w:rsidRPr="001775D9">
        <w:t>6.</w:t>
      </w:r>
      <w:r w:rsidRPr="001775D9">
        <w:tab/>
        <w:t>Contents of the pack and other information</w:t>
      </w:r>
    </w:p>
    <w:p w14:paraId="3B0052C6" w14:textId="77777777" w:rsidR="0098482D" w:rsidRPr="001775D9" w:rsidRDefault="0098482D" w:rsidP="008415E1">
      <w:pPr>
        <w:numPr>
          <w:ilvl w:val="12"/>
          <w:numId w:val="0"/>
        </w:numPr>
        <w:tabs>
          <w:tab w:val="clear" w:pos="567"/>
        </w:tabs>
        <w:spacing w:line="240" w:lineRule="auto"/>
        <w:ind w:right="-2"/>
      </w:pPr>
    </w:p>
    <w:p w14:paraId="167453E5" w14:textId="77777777" w:rsidR="0098482D" w:rsidRPr="001775D9" w:rsidRDefault="0098482D" w:rsidP="008415E1">
      <w:pPr>
        <w:numPr>
          <w:ilvl w:val="12"/>
          <w:numId w:val="0"/>
        </w:numPr>
        <w:tabs>
          <w:tab w:val="clear" w:pos="567"/>
        </w:tabs>
        <w:spacing w:line="240" w:lineRule="auto"/>
        <w:rPr>
          <w:szCs w:val="22"/>
        </w:rPr>
      </w:pPr>
    </w:p>
    <w:p w14:paraId="07C32321" w14:textId="77777777" w:rsidR="00524DB2" w:rsidRPr="001775D9" w:rsidRDefault="00524DB2" w:rsidP="00B61D9D">
      <w:pPr>
        <w:spacing w:line="240" w:lineRule="auto"/>
        <w:ind w:left="567" w:hanging="567"/>
        <w:rPr>
          <w:b/>
          <w:szCs w:val="22"/>
        </w:rPr>
      </w:pPr>
      <w:r w:rsidRPr="001775D9">
        <w:rPr>
          <w:b/>
          <w:szCs w:val="22"/>
        </w:rPr>
        <w:t>1.</w:t>
      </w:r>
      <w:r w:rsidRPr="001775D9">
        <w:rPr>
          <w:b/>
          <w:szCs w:val="22"/>
        </w:rPr>
        <w:tab/>
        <w:t>What AMGEVITA is and what it is used for</w:t>
      </w:r>
    </w:p>
    <w:p w14:paraId="64275F89" w14:textId="77777777" w:rsidR="00524DB2" w:rsidRPr="001775D9" w:rsidRDefault="00524DB2" w:rsidP="008415E1">
      <w:pPr>
        <w:numPr>
          <w:ilvl w:val="12"/>
          <w:numId w:val="0"/>
        </w:numPr>
        <w:tabs>
          <w:tab w:val="clear" w:pos="567"/>
        </w:tabs>
        <w:spacing w:line="240" w:lineRule="auto"/>
        <w:rPr>
          <w:szCs w:val="22"/>
        </w:rPr>
      </w:pPr>
    </w:p>
    <w:p w14:paraId="5588ED99" w14:textId="4E22B2F9" w:rsidR="0041325C" w:rsidRPr="001775D9" w:rsidRDefault="0041325C" w:rsidP="008415E1">
      <w:pPr>
        <w:numPr>
          <w:ilvl w:val="12"/>
          <w:numId w:val="0"/>
        </w:numPr>
        <w:tabs>
          <w:tab w:val="clear" w:pos="567"/>
        </w:tabs>
        <w:spacing w:line="240" w:lineRule="auto"/>
      </w:pPr>
      <w:bookmarkStart w:id="3278" w:name="_Hlk525560250"/>
      <w:r w:rsidRPr="001775D9">
        <w:rPr>
          <w:szCs w:val="22"/>
        </w:rPr>
        <w:t>AMGEVITA</w:t>
      </w:r>
      <w:r w:rsidRPr="001775D9">
        <w:t xml:space="preserve"> contains the active substance adalimumab</w:t>
      </w:r>
      <w:r w:rsidR="00A430D3" w:rsidRPr="001775D9">
        <w:t>, a medicine that acts on your body’s immune (defence) system</w:t>
      </w:r>
      <w:r w:rsidRPr="001775D9">
        <w:t xml:space="preserve">. </w:t>
      </w:r>
    </w:p>
    <w:p w14:paraId="010FF6D4" w14:textId="77777777" w:rsidR="00524DB2" w:rsidRPr="001775D9" w:rsidRDefault="00524DB2" w:rsidP="008415E1">
      <w:pPr>
        <w:tabs>
          <w:tab w:val="clear" w:pos="567"/>
        </w:tabs>
        <w:spacing w:line="240" w:lineRule="auto"/>
        <w:ind w:right="-2"/>
      </w:pPr>
    </w:p>
    <w:p w14:paraId="5C7CDA3D" w14:textId="77777777" w:rsidR="00CA5E19" w:rsidRPr="001775D9" w:rsidRDefault="00CA5E19" w:rsidP="008415E1">
      <w:pPr>
        <w:tabs>
          <w:tab w:val="clear" w:pos="567"/>
        </w:tabs>
        <w:spacing w:line="240" w:lineRule="auto"/>
        <w:ind w:right="-2"/>
        <w:rPr>
          <w:szCs w:val="22"/>
        </w:rPr>
      </w:pPr>
      <w:r w:rsidRPr="001775D9">
        <w:rPr>
          <w:szCs w:val="22"/>
        </w:rPr>
        <w:t>AMGEVITA is intended for the treatment of the inflammatory diseases described below:</w:t>
      </w:r>
    </w:p>
    <w:p w14:paraId="3CCD2AFB" w14:textId="77777777" w:rsidR="00CA5E19" w:rsidRPr="001775D9" w:rsidRDefault="00CA5E19" w:rsidP="004C05C4">
      <w:pPr>
        <w:numPr>
          <w:ilvl w:val="1"/>
          <w:numId w:val="33"/>
        </w:numPr>
        <w:spacing w:line="240" w:lineRule="auto"/>
        <w:ind w:left="567" w:hanging="567"/>
        <w:rPr>
          <w:szCs w:val="22"/>
        </w:rPr>
      </w:pPr>
      <w:r w:rsidRPr="001775D9">
        <w:rPr>
          <w:szCs w:val="22"/>
        </w:rPr>
        <w:t>Rheumatoid arthritis</w:t>
      </w:r>
    </w:p>
    <w:p w14:paraId="25F6B5CD" w14:textId="77777777" w:rsidR="00CA5E19" w:rsidRPr="001775D9" w:rsidRDefault="00CA5E19" w:rsidP="004C05C4">
      <w:pPr>
        <w:numPr>
          <w:ilvl w:val="1"/>
          <w:numId w:val="33"/>
        </w:numPr>
        <w:spacing w:line="240" w:lineRule="auto"/>
        <w:ind w:left="567" w:hanging="567"/>
        <w:rPr>
          <w:szCs w:val="22"/>
        </w:rPr>
      </w:pPr>
      <w:r w:rsidRPr="001775D9">
        <w:rPr>
          <w:szCs w:val="22"/>
        </w:rPr>
        <w:t>Polyarticular juvenile idiopathic arthritis</w:t>
      </w:r>
    </w:p>
    <w:p w14:paraId="04A9526B" w14:textId="77777777" w:rsidR="00CA5E19" w:rsidRPr="001775D9" w:rsidRDefault="00CA5E19" w:rsidP="004C05C4">
      <w:pPr>
        <w:numPr>
          <w:ilvl w:val="1"/>
          <w:numId w:val="33"/>
        </w:numPr>
        <w:spacing w:line="240" w:lineRule="auto"/>
        <w:ind w:left="567" w:hanging="567"/>
        <w:rPr>
          <w:szCs w:val="22"/>
        </w:rPr>
      </w:pPr>
      <w:r w:rsidRPr="001775D9">
        <w:rPr>
          <w:szCs w:val="22"/>
        </w:rPr>
        <w:t>Enthesitis-related arthritis</w:t>
      </w:r>
    </w:p>
    <w:p w14:paraId="6ECB7749" w14:textId="77777777" w:rsidR="00CA5E19" w:rsidRPr="001775D9" w:rsidRDefault="00CA5E19" w:rsidP="004C05C4">
      <w:pPr>
        <w:numPr>
          <w:ilvl w:val="1"/>
          <w:numId w:val="33"/>
        </w:numPr>
        <w:spacing w:line="240" w:lineRule="auto"/>
        <w:ind w:left="567" w:hanging="567"/>
        <w:rPr>
          <w:szCs w:val="22"/>
        </w:rPr>
      </w:pPr>
      <w:r w:rsidRPr="001775D9">
        <w:rPr>
          <w:szCs w:val="22"/>
        </w:rPr>
        <w:t>Ankylosing spondylitis</w:t>
      </w:r>
    </w:p>
    <w:p w14:paraId="0EAC1000" w14:textId="77777777" w:rsidR="00CA5E19" w:rsidRPr="001775D9" w:rsidRDefault="00CA5E19" w:rsidP="004C05C4">
      <w:pPr>
        <w:numPr>
          <w:ilvl w:val="1"/>
          <w:numId w:val="33"/>
        </w:numPr>
        <w:spacing w:line="240" w:lineRule="auto"/>
        <w:ind w:left="567" w:hanging="567"/>
        <w:rPr>
          <w:szCs w:val="22"/>
        </w:rPr>
      </w:pPr>
      <w:r w:rsidRPr="001775D9">
        <w:rPr>
          <w:szCs w:val="22"/>
        </w:rPr>
        <w:t>Axial spondyloarthritis without radiographic evidence of ankylosing spondylitis</w:t>
      </w:r>
    </w:p>
    <w:p w14:paraId="79EE99CD" w14:textId="77777777" w:rsidR="00CA5E19" w:rsidRPr="001775D9" w:rsidRDefault="00CA5E19" w:rsidP="004C05C4">
      <w:pPr>
        <w:numPr>
          <w:ilvl w:val="1"/>
          <w:numId w:val="33"/>
        </w:numPr>
        <w:spacing w:line="240" w:lineRule="auto"/>
        <w:ind w:left="567" w:hanging="567"/>
        <w:rPr>
          <w:szCs w:val="22"/>
        </w:rPr>
      </w:pPr>
      <w:r w:rsidRPr="001775D9">
        <w:rPr>
          <w:szCs w:val="22"/>
        </w:rPr>
        <w:t>Psoriatic arthritis</w:t>
      </w:r>
    </w:p>
    <w:p w14:paraId="518F4A74" w14:textId="77777777" w:rsidR="00CA5E19" w:rsidRPr="001775D9" w:rsidRDefault="00CA5E19" w:rsidP="004C05C4">
      <w:pPr>
        <w:numPr>
          <w:ilvl w:val="1"/>
          <w:numId w:val="33"/>
        </w:numPr>
        <w:spacing w:line="240" w:lineRule="auto"/>
        <w:ind w:left="567" w:hanging="567"/>
        <w:rPr>
          <w:szCs w:val="22"/>
        </w:rPr>
      </w:pPr>
      <w:r w:rsidRPr="001775D9">
        <w:rPr>
          <w:szCs w:val="22"/>
        </w:rPr>
        <w:t xml:space="preserve">Plaque </w:t>
      </w:r>
      <w:r w:rsidR="00745CD1" w:rsidRPr="001775D9">
        <w:rPr>
          <w:szCs w:val="22"/>
        </w:rPr>
        <w:t xml:space="preserve">psoriasis </w:t>
      </w:r>
    </w:p>
    <w:p w14:paraId="01281D16" w14:textId="77777777" w:rsidR="00CA5E19" w:rsidRPr="001775D9" w:rsidRDefault="00CA5E19" w:rsidP="004C05C4">
      <w:pPr>
        <w:numPr>
          <w:ilvl w:val="1"/>
          <w:numId w:val="33"/>
        </w:numPr>
        <w:spacing w:line="240" w:lineRule="auto"/>
        <w:ind w:left="567" w:hanging="567"/>
        <w:rPr>
          <w:szCs w:val="22"/>
        </w:rPr>
      </w:pPr>
      <w:r w:rsidRPr="001775D9">
        <w:rPr>
          <w:szCs w:val="22"/>
        </w:rPr>
        <w:t>Hidradenitis suppurativa</w:t>
      </w:r>
      <w:r w:rsidR="00F62574" w:rsidRPr="001775D9">
        <w:rPr>
          <w:szCs w:val="22"/>
        </w:rPr>
        <w:t xml:space="preserve"> </w:t>
      </w:r>
    </w:p>
    <w:p w14:paraId="7AF07967" w14:textId="77777777" w:rsidR="00CA5E19" w:rsidRPr="001775D9" w:rsidRDefault="00CA5E19" w:rsidP="004C05C4">
      <w:pPr>
        <w:numPr>
          <w:ilvl w:val="1"/>
          <w:numId w:val="33"/>
        </w:numPr>
        <w:spacing w:line="240" w:lineRule="auto"/>
        <w:ind w:left="567" w:hanging="567"/>
        <w:rPr>
          <w:szCs w:val="22"/>
        </w:rPr>
      </w:pPr>
      <w:r w:rsidRPr="001775D9">
        <w:rPr>
          <w:szCs w:val="22"/>
        </w:rPr>
        <w:t>Crohn’</w:t>
      </w:r>
      <w:r w:rsidR="00745CD1" w:rsidRPr="001775D9">
        <w:rPr>
          <w:szCs w:val="22"/>
        </w:rPr>
        <w:t xml:space="preserve">s disease </w:t>
      </w:r>
    </w:p>
    <w:p w14:paraId="766E6F42" w14:textId="77777777" w:rsidR="00CA5E19" w:rsidRPr="001775D9" w:rsidRDefault="00CA5E19" w:rsidP="004C05C4">
      <w:pPr>
        <w:numPr>
          <w:ilvl w:val="1"/>
          <w:numId w:val="33"/>
        </w:numPr>
        <w:spacing w:line="240" w:lineRule="auto"/>
        <w:ind w:left="567" w:hanging="567"/>
        <w:rPr>
          <w:szCs w:val="22"/>
        </w:rPr>
      </w:pPr>
      <w:r w:rsidRPr="001775D9">
        <w:rPr>
          <w:szCs w:val="22"/>
        </w:rPr>
        <w:t>Ulcerative colitis</w:t>
      </w:r>
    </w:p>
    <w:p w14:paraId="05AF32B0" w14:textId="77777777" w:rsidR="00CF6BFD" w:rsidRPr="001775D9" w:rsidRDefault="00CA5E19" w:rsidP="004C05C4">
      <w:pPr>
        <w:numPr>
          <w:ilvl w:val="1"/>
          <w:numId w:val="33"/>
        </w:numPr>
        <w:spacing w:line="240" w:lineRule="auto"/>
        <w:ind w:left="567" w:hanging="567"/>
      </w:pPr>
      <w:r w:rsidRPr="001775D9">
        <w:rPr>
          <w:szCs w:val="22"/>
        </w:rPr>
        <w:t>Non-infectious uveitis</w:t>
      </w:r>
      <w:r w:rsidR="00F62574" w:rsidRPr="001775D9">
        <w:rPr>
          <w:szCs w:val="22"/>
        </w:rPr>
        <w:t xml:space="preserve"> </w:t>
      </w:r>
    </w:p>
    <w:p w14:paraId="2D383938" w14:textId="77777777" w:rsidR="00CF6BFD" w:rsidRPr="001775D9" w:rsidRDefault="00CF6BFD" w:rsidP="008415E1">
      <w:pPr>
        <w:tabs>
          <w:tab w:val="clear" w:pos="567"/>
        </w:tabs>
        <w:spacing w:line="240" w:lineRule="auto"/>
        <w:ind w:right="-2"/>
      </w:pPr>
    </w:p>
    <w:p w14:paraId="60F7E46C" w14:textId="77777777" w:rsidR="00524DB2" w:rsidRPr="001775D9" w:rsidRDefault="00524DB2" w:rsidP="008415E1">
      <w:pPr>
        <w:tabs>
          <w:tab w:val="clear" w:pos="567"/>
        </w:tabs>
        <w:spacing w:line="240" w:lineRule="auto"/>
        <w:ind w:right="-2"/>
      </w:pPr>
      <w:r w:rsidRPr="001775D9">
        <w:t xml:space="preserve">The </w:t>
      </w:r>
      <w:bookmarkEnd w:id="3278"/>
      <w:r w:rsidRPr="001775D9">
        <w:t>active ingredient</w:t>
      </w:r>
      <w:r w:rsidR="00BA7B59" w:rsidRPr="001775D9">
        <w:t xml:space="preserve"> in AMGEVITA</w:t>
      </w:r>
      <w:r w:rsidRPr="001775D9">
        <w:t xml:space="preserve">, adalimumab, is a human monoclonal antibody. Monoclonal antibodies are proteins that </w:t>
      </w:r>
      <w:r w:rsidR="00CF6BFD" w:rsidRPr="001775D9">
        <w:t>attach to a specific target</w:t>
      </w:r>
      <w:r w:rsidRPr="001775D9">
        <w:t xml:space="preserve">. </w:t>
      </w:r>
    </w:p>
    <w:p w14:paraId="2102DD3A" w14:textId="77777777" w:rsidR="0082710E" w:rsidRPr="001775D9" w:rsidRDefault="0082710E" w:rsidP="008415E1">
      <w:pPr>
        <w:tabs>
          <w:tab w:val="clear" w:pos="567"/>
        </w:tabs>
        <w:spacing w:line="240" w:lineRule="auto"/>
        <w:ind w:right="-2"/>
      </w:pPr>
    </w:p>
    <w:p w14:paraId="05EDB352" w14:textId="77777777" w:rsidR="00CF6BFD" w:rsidRPr="001775D9" w:rsidRDefault="00CF6BFD" w:rsidP="008415E1">
      <w:pPr>
        <w:tabs>
          <w:tab w:val="clear" w:pos="567"/>
        </w:tabs>
        <w:spacing w:line="240" w:lineRule="auto"/>
        <w:ind w:right="-2"/>
      </w:pPr>
      <w:r w:rsidRPr="001775D9">
        <w:t>The target of adalimumab is a protein called tumour necrosis factor (TNFα), which is involved in the immune (defence) system and is present at increased levels in the inflammatory diseases listed above. By attaching to TNFα, AMGEVITA decreases the process of inflammation in these diseases.</w:t>
      </w:r>
    </w:p>
    <w:p w14:paraId="0B04FB94" w14:textId="77777777" w:rsidR="00524DB2" w:rsidRPr="001775D9" w:rsidRDefault="00524DB2" w:rsidP="008415E1">
      <w:pPr>
        <w:tabs>
          <w:tab w:val="clear" w:pos="567"/>
        </w:tabs>
        <w:spacing w:line="240" w:lineRule="auto"/>
        <w:ind w:right="-2"/>
        <w:rPr>
          <w:szCs w:val="22"/>
        </w:rPr>
      </w:pPr>
    </w:p>
    <w:p w14:paraId="59340560" w14:textId="77777777" w:rsidR="00524DB2" w:rsidRPr="00D55B59" w:rsidRDefault="00524DB2" w:rsidP="00E26D69">
      <w:pPr>
        <w:pStyle w:val="Default"/>
        <w:keepNext/>
        <w:rPr>
          <w:sz w:val="22"/>
          <w:szCs w:val="22"/>
          <w:u w:val="single"/>
          <w:lang w:val="en-GB"/>
          <w:rPrChange w:id="3279" w:author="Author">
            <w:rPr>
              <w:sz w:val="22"/>
              <w:szCs w:val="22"/>
              <w:u w:val="single"/>
            </w:rPr>
          </w:rPrChange>
        </w:rPr>
      </w:pPr>
      <w:r w:rsidRPr="00D55B59">
        <w:rPr>
          <w:sz w:val="22"/>
          <w:szCs w:val="22"/>
          <w:u w:val="single"/>
          <w:lang w:val="en-GB"/>
          <w:rPrChange w:id="3280" w:author="Author">
            <w:rPr>
              <w:sz w:val="22"/>
              <w:szCs w:val="22"/>
              <w:u w:val="single"/>
            </w:rPr>
          </w:rPrChange>
        </w:rPr>
        <w:t xml:space="preserve">Rheumatoid arthritis </w:t>
      </w:r>
    </w:p>
    <w:p w14:paraId="3BBF1EF3" w14:textId="77777777" w:rsidR="00524DB2" w:rsidRPr="00D55B59" w:rsidRDefault="00524DB2" w:rsidP="00E26D69">
      <w:pPr>
        <w:pStyle w:val="Default"/>
        <w:keepNext/>
        <w:rPr>
          <w:sz w:val="22"/>
          <w:szCs w:val="22"/>
          <w:lang w:val="en-GB"/>
          <w:rPrChange w:id="3281" w:author="Author">
            <w:rPr>
              <w:sz w:val="22"/>
              <w:szCs w:val="22"/>
            </w:rPr>
          </w:rPrChange>
        </w:rPr>
      </w:pPr>
    </w:p>
    <w:p w14:paraId="2E131969" w14:textId="77777777" w:rsidR="00524DB2" w:rsidRPr="00D55B59" w:rsidRDefault="00524DB2" w:rsidP="00FB5458">
      <w:pPr>
        <w:pStyle w:val="Default"/>
        <w:rPr>
          <w:sz w:val="22"/>
          <w:szCs w:val="22"/>
          <w:lang w:val="en-GB"/>
          <w:rPrChange w:id="3282" w:author="Author">
            <w:rPr>
              <w:sz w:val="22"/>
              <w:szCs w:val="22"/>
            </w:rPr>
          </w:rPrChange>
        </w:rPr>
      </w:pPr>
      <w:r w:rsidRPr="00D55B59">
        <w:rPr>
          <w:sz w:val="22"/>
          <w:szCs w:val="22"/>
          <w:lang w:val="en-GB"/>
          <w:rPrChange w:id="3283" w:author="Author">
            <w:rPr>
              <w:sz w:val="22"/>
              <w:szCs w:val="22"/>
            </w:rPr>
          </w:rPrChange>
        </w:rPr>
        <w:t xml:space="preserve">Rheumatoid arthritis is an inflammatory disease of the joints. </w:t>
      </w:r>
    </w:p>
    <w:p w14:paraId="2DC28F69" w14:textId="77777777" w:rsidR="00524DB2" w:rsidRPr="00D55B59" w:rsidRDefault="00524DB2" w:rsidP="00FB5458">
      <w:pPr>
        <w:pStyle w:val="Default"/>
        <w:rPr>
          <w:sz w:val="22"/>
          <w:szCs w:val="22"/>
          <w:lang w:val="en-GB"/>
          <w:rPrChange w:id="3284" w:author="Author">
            <w:rPr>
              <w:sz w:val="22"/>
              <w:szCs w:val="22"/>
            </w:rPr>
          </w:rPrChange>
        </w:rPr>
      </w:pPr>
    </w:p>
    <w:p w14:paraId="1C0486D0" w14:textId="77777777" w:rsidR="00524DB2" w:rsidRPr="001775D9" w:rsidRDefault="00524DB2" w:rsidP="00FB5458">
      <w:pPr>
        <w:tabs>
          <w:tab w:val="clear" w:pos="567"/>
        </w:tabs>
        <w:spacing w:line="240" w:lineRule="auto"/>
        <w:ind w:right="-2"/>
        <w:rPr>
          <w:szCs w:val="22"/>
        </w:rPr>
      </w:pPr>
      <w:r w:rsidRPr="001775D9">
        <w:rPr>
          <w:szCs w:val="22"/>
        </w:rPr>
        <w:t xml:space="preserve">AMGEVITA is used to treat rheumatoid arthritis in adults. If you have moderate to severe active rheumatoid arthritis, you may first be given other disease-modifying medicines, such as methotrexate. If you do not respond well enough to these medicines, you will be given AMGEVITA to treat your rheumatoid arthritis. </w:t>
      </w:r>
    </w:p>
    <w:p w14:paraId="74B4A0F7" w14:textId="77777777" w:rsidR="00524DB2" w:rsidRPr="001775D9" w:rsidRDefault="00524DB2" w:rsidP="00FB5458">
      <w:pPr>
        <w:tabs>
          <w:tab w:val="clear" w:pos="567"/>
        </w:tabs>
        <w:spacing w:line="240" w:lineRule="auto"/>
        <w:ind w:right="-2"/>
        <w:rPr>
          <w:szCs w:val="22"/>
        </w:rPr>
      </w:pPr>
    </w:p>
    <w:p w14:paraId="509027E7" w14:textId="77777777" w:rsidR="00524DB2" w:rsidRPr="001775D9" w:rsidRDefault="00524DB2" w:rsidP="00FB5458">
      <w:pPr>
        <w:tabs>
          <w:tab w:val="clear" w:pos="567"/>
        </w:tabs>
        <w:spacing w:line="240" w:lineRule="auto"/>
        <w:ind w:right="-2"/>
        <w:rPr>
          <w:szCs w:val="22"/>
        </w:rPr>
      </w:pPr>
      <w:r w:rsidRPr="001775D9">
        <w:rPr>
          <w:szCs w:val="22"/>
        </w:rPr>
        <w:t>AMGEVITA can also be used to treat severe, active and progressive rheumatoid arthritis without previous methotrexate treatment.</w:t>
      </w:r>
    </w:p>
    <w:p w14:paraId="4557B2A4" w14:textId="77777777" w:rsidR="00524DB2" w:rsidRPr="00D55B59" w:rsidRDefault="00524DB2" w:rsidP="00FB5458">
      <w:pPr>
        <w:pStyle w:val="Default"/>
        <w:rPr>
          <w:sz w:val="22"/>
          <w:szCs w:val="22"/>
          <w:lang w:val="en-GB"/>
          <w:rPrChange w:id="3285" w:author="Author">
            <w:rPr>
              <w:sz w:val="22"/>
              <w:szCs w:val="22"/>
            </w:rPr>
          </w:rPrChange>
        </w:rPr>
      </w:pPr>
    </w:p>
    <w:p w14:paraId="506D22BB" w14:textId="77777777" w:rsidR="000426A9" w:rsidRPr="00D55B59" w:rsidRDefault="000426A9" w:rsidP="000426A9">
      <w:pPr>
        <w:pStyle w:val="Default"/>
        <w:rPr>
          <w:sz w:val="22"/>
          <w:szCs w:val="22"/>
          <w:lang w:val="en-GB"/>
          <w:rPrChange w:id="3286" w:author="Author">
            <w:rPr>
              <w:sz w:val="22"/>
              <w:szCs w:val="22"/>
            </w:rPr>
          </w:rPrChange>
        </w:rPr>
      </w:pPr>
      <w:bookmarkStart w:id="3287" w:name="_Hlk528762744"/>
      <w:r w:rsidRPr="00D55B59">
        <w:rPr>
          <w:sz w:val="22"/>
          <w:szCs w:val="22"/>
          <w:lang w:val="en-GB"/>
          <w:rPrChange w:id="3288" w:author="Author">
            <w:rPr>
              <w:sz w:val="22"/>
              <w:szCs w:val="22"/>
            </w:rPr>
          </w:rPrChange>
        </w:rPr>
        <w:t xml:space="preserve">AMGEVITA slows down the damage to the cartilage and bone of the joints caused by the disease and to improve physical function. </w:t>
      </w:r>
    </w:p>
    <w:bookmarkEnd w:id="3287"/>
    <w:p w14:paraId="05DA4205" w14:textId="77777777" w:rsidR="00524DB2" w:rsidRPr="001775D9" w:rsidRDefault="00524DB2" w:rsidP="00FB5458">
      <w:pPr>
        <w:tabs>
          <w:tab w:val="clear" w:pos="567"/>
        </w:tabs>
        <w:spacing w:line="240" w:lineRule="auto"/>
        <w:ind w:right="-2"/>
        <w:rPr>
          <w:szCs w:val="22"/>
        </w:rPr>
      </w:pPr>
    </w:p>
    <w:p w14:paraId="21236461" w14:textId="77777777" w:rsidR="00524DB2" w:rsidRPr="001775D9" w:rsidRDefault="00524DB2" w:rsidP="00FB5458">
      <w:pPr>
        <w:tabs>
          <w:tab w:val="clear" w:pos="567"/>
        </w:tabs>
        <w:spacing w:line="240" w:lineRule="auto"/>
        <w:ind w:right="-2"/>
        <w:rPr>
          <w:szCs w:val="22"/>
        </w:rPr>
      </w:pPr>
      <w:r w:rsidRPr="001775D9">
        <w:rPr>
          <w:szCs w:val="22"/>
        </w:rPr>
        <w:t>Usually, AMGEVITA is used with methotrexate. If your doctor determines that methotrexate is inappropriate, AMGEVITA can be given alone.</w:t>
      </w:r>
    </w:p>
    <w:p w14:paraId="65CE974E" w14:textId="77777777" w:rsidR="00524DB2" w:rsidRPr="001775D9" w:rsidRDefault="00524DB2" w:rsidP="00FB5458">
      <w:pPr>
        <w:tabs>
          <w:tab w:val="clear" w:pos="567"/>
        </w:tabs>
        <w:spacing w:line="240" w:lineRule="auto"/>
        <w:ind w:right="-2"/>
        <w:rPr>
          <w:szCs w:val="22"/>
        </w:rPr>
      </w:pPr>
    </w:p>
    <w:p w14:paraId="418F82C6" w14:textId="77777777" w:rsidR="00524DB2" w:rsidRPr="00D55B59" w:rsidRDefault="00524DB2" w:rsidP="00FB5458">
      <w:pPr>
        <w:pStyle w:val="Default"/>
        <w:rPr>
          <w:sz w:val="22"/>
          <w:szCs w:val="22"/>
          <w:u w:val="single"/>
          <w:lang w:val="en-GB"/>
          <w:rPrChange w:id="3289" w:author="Author">
            <w:rPr>
              <w:sz w:val="22"/>
              <w:szCs w:val="22"/>
              <w:u w:val="single"/>
            </w:rPr>
          </w:rPrChange>
        </w:rPr>
      </w:pPr>
      <w:r w:rsidRPr="00D55B59">
        <w:rPr>
          <w:sz w:val="22"/>
          <w:szCs w:val="22"/>
          <w:u w:val="single"/>
          <w:lang w:val="en-GB"/>
          <w:rPrChange w:id="3290" w:author="Author">
            <w:rPr>
              <w:sz w:val="22"/>
              <w:szCs w:val="22"/>
              <w:u w:val="single"/>
            </w:rPr>
          </w:rPrChange>
        </w:rPr>
        <w:t>Polyarticular juvenile idiopathic arthritis</w:t>
      </w:r>
      <w:r w:rsidR="007B3FB0" w:rsidRPr="00D55B59">
        <w:rPr>
          <w:sz w:val="22"/>
          <w:szCs w:val="22"/>
          <w:u w:val="single"/>
          <w:lang w:val="en-GB"/>
          <w:rPrChange w:id="3291" w:author="Author">
            <w:rPr>
              <w:sz w:val="22"/>
              <w:szCs w:val="22"/>
              <w:u w:val="single"/>
            </w:rPr>
          </w:rPrChange>
        </w:rPr>
        <w:t xml:space="preserve"> and enthesitis-related arthritis</w:t>
      </w:r>
    </w:p>
    <w:p w14:paraId="3998ADF0" w14:textId="77777777" w:rsidR="00524DB2" w:rsidRPr="00D55B59" w:rsidRDefault="00524DB2" w:rsidP="00FB5458">
      <w:pPr>
        <w:pStyle w:val="Default"/>
        <w:rPr>
          <w:sz w:val="22"/>
          <w:szCs w:val="22"/>
          <w:lang w:val="en-GB"/>
          <w:rPrChange w:id="3292" w:author="Author">
            <w:rPr>
              <w:sz w:val="22"/>
              <w:szCs w:val="22"/>
            </w:rPr>
          </w:rPrChange>
        </w:rPr>
      </w:pPr>
    </w:p>
    <w:p w14:paraId="31559905" w14:textId="24E1B689" w:rsidR="000426A9" w:rsidRPr="00D55B59" w:rsidRDefault="000426A9" w:rsidP="000426A9">
      <w:pPr>
        <w:pStyle w:val="Default"/>
        <w:rPr>
          <w:sz w:val="22"/>
          <w:szCs w:val="22"/>
          <w:lang w:val="en-GB"/>
          <w:rPrChange w:id="3293" w:author="Author">
            <w:rPr>
              <w:sz w:val="22"/>
              <w:szCs w:val="22"/>
            </w:rPr>
          </w:rPrChange>
        </w:rPr>
      </w:pPr>
      <w:r w:rsidRPr="00D55B59">
        <w:rPr>
          <w:sz w:val="22"/>
          <w:szCs w:val="22"/>
          <w:lang w:val="en-GB"/>
          <w:rPrChange w:id="3294" w:author="Author">
            <w:rPr>
              <w:sz w:val="22"/>
              <w:szCs w:val="22"/>
            </w:rPr>
          </w:rPrChange>
        </w:rPr>
        <w:t>Polyarticular juvenile idiopathic arthritis and enthesitis-related arthritis are inflammatory diseases</w:t>
      </w:r>
      <w:r w:rsidR="00A90CDF" w:rsidRPr="00D55B59">
        <w:rPr>
          <w:sz w:val="22"/>
          <w:szCs w:val="22"/>
          <w:lang w:val="en-GB"/>
          <w:rPrChange w:id="3295" w:author="Author">
            <w:rPr>
              <w:sz w:val="22"/>
              <w:szCs w:val="22"/>
            </w:rPr>
          </w:rPrChange>
        </w:rPr>
        <w:t xml:space="preserve"> of the joints that usually first appear in childhood</w:t>
      </w:r>
      <w:r w:rsidRPr="00D55B59">
        <w:rPr>
          <w:sz w:val="22"/>
          <w:szCs w:val="22"/>
          <w:lang w:val="en-GB"/>
          <w:rPrChange w:id="3296" w:author="Author">
            <w:rPr>
              <w:sz w:val="22"/>
              <w:szCs w:val="22"/>
            </w:rPr>
          </w:rPrChange>
        </w:rPr>
        <w:t xml:space="preserve">. </w:t>
      </w:r>
    </w:p>
    <w:p w14:paraId="3BDC1D93" w14:textId="77777777" w:rsidR="00524DB2" w:rsidRPr="00D55B59" w:rsidRDefault="00524DB2" w:rsidP="00FB5458">
      <w:pPr>
        <w:pStyle w:val="Default"/>
        <w:rPr>
          <w:sz w:val="22"/>
          <w:szCs w:val="22"/>
          <w:lang w:val="en-GB"/>
          <w:rPrChange w:id="3297" w:author="Author">
            <w:rPr>
              <w:sz w:val="22"/>
              <w:szCs w:val="22"/>
            </w:rPr>
          </w:rPrChange>
        </w:rPr>
      </w:pPr>
    </w:p>
    <w:p w14:paraId="06675231" w14:textId="77777777" w:rsidR="00524DB2" w:rsidRPr="00D55B59" w:rsidRDefault="00524DB2" w:rsidP="00FB5458">
      <w:pPr>
        <w:pStyle w:val="Default"/>
        <w:rPr>
          <w:rFonts w:eastAsia="PMingLiU"/>
          <w:color w:val="auto"/>
          <w:sz w:val="22"/>
          <w:szCs w:val="22"/>
          <w:lang w:val="en-GB" w:eastAsia="en-US"/>
          <w:rPrChange w:id="3298" w:author="Author">
            <w:rPr>
              <w:rFonts w:eastAsia="PMingLiU"/>
              <w:color w:val="auto"/>
              <w:sz w:val="22"/>
              <w:szCs w:val="22"/>
              <w:lang w:eastAsia="en-US"/>
            </w:rPr>
          </w:rPrChange>
        </w:rPr>
      </w:pPr>
      <w:r w:rsidRPr="00D55B59">
        <w:rPr>
          <w:sz w:val="22"/>
          <w:szCs w:val="22"/>
          <w:lang w:val="en-GB"/>
          <w:rPrChange w:id="3299" w:author="Author">
            <w:rPr>
              <w:sz w:val="22"/>
              <w:szCs w:val="22"/>
            </w:rPr>
          </w:rPrChange>
        </w:rPr>
        <w:t xml:space="preserve">AMGEVITA is used to treat polyarticular juvenile idiopathic arthritis in </w:t>
      </w:r>
      <w:r w:rsidR="00CA5E19" w:rsidRPr="00D55B59">
        <w:rPr>
          <w:sz w:val="22"/>
          <w:szCs w:val="22"/>
          <w:lang w:val="en-GB"/>
          <w:rPrChange w:id="3300" w:author="Author">
            <w:rPr>
              <w:sz w:val="22"/>
              <w:szCs w:val="22"/>
            </w:rPr>
          </w:rPrChange>
        </w:rPr>
        <w:t>patients from 2</w:t>
      </w:r>
      <w:r w:rsidRPr="00D55B59">
        <w:rPr>
          <w:sz w:val="22"/>
          <w:szCs w:val="22"/>
          <w:lang w:val="en-GB"/>
          <w:rPrChange w:id="3301" w:author="Author">
            <w:rPr>
              <w:sz w:val="22"/>
              <w:szCs w:val="22"/>
            </w:rPr>
          </w:rPrChange>
        </w:rPr>
        <w:t xml:space="preserve"> years</w:t>
      </w:r>
      <w:r w:rsidR="007B3FB0" w:rsidRPr="00D55B59">
        <w:rPr>
          <w:sz w:val="22"/>
          <w:szCs w:val="22"/>
          <w:lang w:val="en-GB"/>
          <w:rPrChange w:id="3302" w:author="Author">
            <w:rPr>
              <w:sz w:val="22"/>
              <w:szCs w:val="22"/>
            </w:rPr>
          </w:rPrChange>
        </w:rPr>
        <w:t xml:space="preserve"> and enthesitis-related arthritis in</w:t>
      </w:r>
      <w:r w:rsidR="00F45F72" w:rsidRPr="00D55B59">
        <w:rPr>
          <w:sz w:val="22"/>
          <w:szCs w:val="22"/>
          <w:lang w:val="en-GB"/>
          <w:rPrChange w:id="3303" w:author="Author">
            <w:rPr>
              <w:sz w:val="22"/>
              <w:szCs w:val="22"/>
            </w:rPr>
          </w:rPrChange>
        </w:rPr>
        <w:t xml:space="preserve"> </w:t>
      </w:r>
      <w:r w:rsidR="00CA5E19" w:rsidRPr="00D55B59">
        <w:rPr>
          <w:sz w:val="22"/>
          <w:szCs w:val="22"/>
          <w:lang w:val="en-GB"/>
          <w:rPrChange w:id="3304" w:author="Author">
            <w:rPr>
              <w:sz w:val="22"/>
              <w:szCs w:val="22"/>
            </w:rPr>
          </w:rPrChange>
        </w:rPr>
        <w:t>patients from 6</w:t>
      </w:r>
      <w:r w:rsidR="007B3FB0" w:rsidRPr="00D55B59">
        <w:rPr>
          <w:sz w:val="22"/>
          <w:szCs w:val="22"/>
          <w:lang w:val="en-GB"/>
          <w:rPrChange w:id="3305" w:author="Author">
            <w:rPr>
              <w:sz w:val="22"/>
              <w:szCs w:val="22"/>
            </w:rPr>
          </w:rPrChange>
        </w:rPr>
        <w:t xml:space="preserve"> years</w:t>
      </w:r>
      <w:r w:rsidRPr="00D55B59">
        <w:rPr>
          <w:sz w:val="22"/>
          <w:szCs w:val="22"/>
          <w:lang w:val="en-GB"/>
          <w:rPrChange w:id="3306" w:author="Author">
            <w:rPr>
              <w:sz w:val="22"/>
              <w:szCs w:val="22"/>
            </w:rPr>
          </w:rPrChange>
        </w:rPr>
        <w:t>. You may first be given other disease-modifying medicines, such as methotrexate. If you do not respond well enough to these medicines, you will be given AMGEVITA to treat your polyarticular juvenile idiopathic arthritis</w:t>
      </w:r>
      <w:r w:rsidR="007B3FB0" w:rsidRPr="00D55B59">
        <w:rPr>
          <w:sz w:val="22"/>
          <w:szCs w:val="22"/>
          <w:lang w:val="en-GB"/>
          <w:rPrChange w:id="3307" w:author="Author">
            <w:rPr>
              <w:sz w:val="22"/>
              <w:szCs w:val="22"/>
            </w:rPr>
          </w:rPrChange>
        </w:rPr>
        <w:t xml:space="preserve"> or enthesitis-related arthritis</w:t>
      </w:r>
      <w:r w:rsidRPr="00D55B59">
        <w:rPr>
          <w:sz w:val="22"/>
          <w:szCs w:val="22"/>
          <w:lang w:val="en-GB"/>
          <w:rPrChange w:id="3308" w:author="Author">
            <w:rPr>
              <w:sz w:val="22"/>
              <w:szCs w:val="22"/>
            </w:rPr>
          </w:rPrChange>
        </w:rPr>
        <w:t xml:space="preserve">. </w:t>
      </w:r>
    </w:p>
    <w:p w14:paraId="44C8E7B5" w14:textId="77777777" w:rsidR="00524DB2" w:rsidRPr="00D55B59" w:rsidRDefault="00524DB2" w:rsidP="00FB5458">
      <w:pPr>
        <w:pStyle w:val="Default"/>
        <w:rPr>
          <w:sz w:val="22"/>
          <w:szCs w:val="22"/>
          <w:lang w:val="en-GB"/>
          <w:rPrChange w:id="3309" w:author="Author">
            <w:rPr>
              <w:sz w:val="22"/>
              <w:szCs w:val="22"/>
            </w:rPr>
          </w:rPrChange>
        </w:rPr>
      </w:pPr>
    </w:p>
    <w:p w14:paraId="6A6DF6A6" w14:textId="77777777" w:rsidR="00524DB2" w:rsidRPr="00D55B59" w:rsidRDefault="00524DB2" w:rsidP="00FB5458">
      <w:pPr>
        <w:pStyle w:val="Default"/>
        <w:rPr>
          <w:sz w:val="22"/>
          <w:szCs w:val="22"/>
          <w:u w:val="single"/>
          <w:lang w:val="en-GB"/>
          <w:rPrChange w:id="3310" w:author="Author">
            <w:rPr>
              <w:sz w:val="22"/>
              <w:szCs w:val="22"/>
              <w:u w:val="single"/>
            </w:rPr>
          </w:rPrChange>
        </w:rPr>
      </w:pPr>
      <w:r w:rsidRPr="00D55B59">
        <w:rPr>
          <w:sz w:val="22"/>
          <w:szCs w:val="22"/>
          <w:u w:val="single"/>
          <w:lang w:val="en-GB"/>
          <w:rPrChange w:id="3311" w:author="Author">
            <w:rPr>
              <w:sz w:val="22"/>
              <w:szCs w:val="22"/>
              <w:u w:val="single"/>
            </w:rPr>
          </w:rPrChange>
        </w:rPr>
        <w:t xml:space="preserve">Ankylosing spondylitis and axial spondyloarthritis without radiographic evidence of ankylosing spondylitis </w:t>
      </w:r>
    </w:p>
    <w:p w14:paraId="179C2DBA" w14:textId="77777777" w:rsidR="00524DB2" w:rsidRPr="00D55B59" w:rsidRDefault="00524DB2" w:rsidP="00FB5458">
      <w:pPr>
        <w:pStyle w:val="Default"/>
        <w:rPr>
          <w:sz w:val="22"/>
          <w:szCs w:val="22"/>
          <w:lang w:val="en-GB"/>
          <w:rPrChange w:id="3312" w:author="Author">
            <w:rPr>
              <w:sz w:val="22"/>
              <w:szCs w:val="22"/>
            </w:rPr>
          </w:rPrChange>
        </w:rPr>
      </w:pPr>
    </w:p>
    <w:p w14:paraId="5D92EFDE" w14:textId="77777777" w:rsidR="00524DB2" w:rsidRPr="001775D9" w:rsidRDefault="00524DB2" w:rsidP="00FB5458">
      <w:pPr>
        <w:tabs>
          <w:tab w:val="clear" w:pos="567"/>
        </w:tabs>
        <w:autoSpaceDE w:val="0"/>
        <w:autoSpaceDN w:val="0"/>
        <w:adjustRightInd w:val="0"/>
        <w:spacing w:line="240" w:lineRule="auto"/>
        <w:rPr>
          <w:szCs w:val="22"/>
        </w:rPr>
      </w:pPr>
      <w:r w:rsidRPr="001775D9">
        <w:rPr>
          <w:szCs w:val="22"/>
        </w:rPr>
        <w:t xml:space="preserve">Ankylosing spondylitis and axial spondyloarthritis without radiographic evidence of ankylosing spondylitis, are inflammatory diseases of the spine. </w:t>
      </w:r>
    </w:p>
    <w:p w14:paraId="6908F36F" w14:textId="77777777" w:rsidR="00524DB2" w:rsidRPr="00D55B59" w:rsidRDefault="00524DB2" w:rsidP="00FB5458">
      <w:pPr>
        <w:pStyle w:val="Default"/>
        <w:rPr>
          <w:sz w:val="22"/>
          <w:szCs w:val="22"/>
          <w:lang w:val="en-GB"/>
          <w:rPrChange w:id="3313" w:author="Author">
            <w:rPr>
              <w:sz w:val="22"/>
              <w:szCs w:val="22"/>
            </w:rPr>
          </w:rPrChange>
        </w:rPr>
      </w:pPr>
    </w:p>
    <w:p w14:paraId="176FD6B9" w14:textId="77777777" w:rsidR="00524DB2" w:rsidRPr="00D55B59" w:rsidRDefault="00524DB2" w:rsidP="00FB5458">
      <w:pPr>
        <w:pStyle w:val="Default"/>
        <w:rPr>
          <w:sz w:val="22"/>
          <w:szCs w:val="22"/>
          <w:lang w:val="en-GB"/>
          <w:rPrChange w:id="3314" w:author="Author">
            <w:rPr>
              <w:sz w:val="22"/>
              <w:szCs w:val="22"/>
            </w:rPr>
          </w:rPrChange>
        </w:rPr>
      </w:pPr>
      <w:r w:rsidRPr="00D55B59">
        <w:rPr>
          <w:sz w:val="22"/>
          <w:szCs w:val="22"/>
          <w:lang w:val="en-GB"/>
          <w:rPrChange w:id="3315" w:author="Author">
            <w:rPr>
              <w:sz w:val="22"/>
              <w:szCs w:val="22"/>
            </w:rPr>
          </w:rPrChange>
        </w:rPr>
        <w:t xml:space="preserve">AMGEVITA is used to treat ankylosing spondylitis and axial spondyloarthritis without radiographic evidence of ankylosing spondylitis in adults. If you have ankylosing spondylitis or axial spondyloarthritis without radiographic evidence of ankylosing spondylitis, you will first be given other medicines. If you do not respond well enough to these medicines, you will be given AMGEVITA to reduce the signs and symptoms of your disease. </w:t>
      </w:r>
    </w:p>
    <w:p w14:paraId="388D322D" w14:textId="77777777" w:rsidR="00524DB2" w:rsidRPr="00D55B59" w:rsidRDefault="00524DB2" w:rsidP="00FB5458">
      <w:pPr>
        <w:pStyle w:val="Default"/>
        <w:rPr>
          <w:sz w:val="22"/>
          <w:szCs w:val="22"/>
          <w:lang w:val="en-GB"/>
          <w:rPrChange w:id="3316" w:author="Author">
            <w:rPr>
              <w:sz w:val="22"/>
              <w:szCs w:val="22"/>
            </w:rPr>
          </w:rPrChange>
        </w:rPr>
      </w:pPr>
    </w:p>
    <w:p w14:paraId="1BCAC051" w14:textId="77777777" w:rsidR="00524DB2" w:rsidRPr="00D55B59" w:rsidRDefault="00524DB2" w:rsidP="00FB5458">
      <w:pPr>
        <w:pStyle w:val="Default"/>
        <w:rPr>
          <w:sz w:val="22"/>
          <w:szCs w:val="22"/>
          <w:u w:val="single"/>
          <w:lang w:val="en-GB"/>
          <w:rPrChange w:id="3317" w:author="Author">
            <w:rPr>
              <w:sz w:val="22"/>
              <w:szCs w:val="22"/>
              <w:u w:val="single"/>
            </w:rPr>
          </w:rPrChange>
        </w:rPr>
      </w:pPr>
      <w:r w:rsidRPr="00D55B59">
        <w:rPr>
          <w:sz w:val="22"/>
          <w:szCs w:val="22"/>
          <w:u w:val="single"/>
          <w:lang w:val="en-GB"/>
          <w:rPrChange w:id="3318" w:author="Author">
            <w:rPr>
              <w:sz w:val="22"/>
              <w:szCs w:val="22"/>
              <w:u w:val="single"/>
            </w:rPr>
          </w:rPrChange>
        </w:rPr>
        <w:t xml:space="preserve">Psoriatic arthritis </w:t>
      </w:r>
    </w:p>
    <w:p w14:paraId="4C40A058" w14:textId="77777777" w:rsidR="00524DB2" w:rsidRPr="00D55B59" w:rsidRDefault="00524DB2" w:rsidP="00FB5458">
      <w:pPr>
        <w:pStyle w:val="Default"/>
        <w:rPr>
          <w:sz w:val="22"/>
          <w:szCs w:val="22"/>
          <w:lang w:val="en-GB"/>
          <w:rPrChange w:id="3319" w:author="Author">
            <w:rPr>
              <w:sz w:val="22"/>
              <w:szCs w:val="22"/>
            </w:rPr>
          </w:rPrChange>
        </w:rPr>
      </w:pPr>
    </w:p>
    <w:p w14:paraId="66541D4B" w14:textId="77777777" w:rsidR="00524DB2" w:rsidRPr="00D55B59" w:rsidRDefault="00524DB2" w:rsidP="00FB5458">
      <w:pPr>
        <w:pStyle w:val="Default"/>
        <w:rPr>
          <w:sz w:val="22"/>
          <w:szCs w:val="22"/>
          <w:lang w:val="en-GB"/>
          <w:rPrChange w:id="3320" w:author="Author">
            <w:rPr>
              <w:sz w:val="22"/>
              <w:szCs w:val="22"/>
            </w:rPr>
          </w:rPrChange>
        </w:rPr>
      </w:pPr>
      <w:r w:rsidRPr="00D55B59">
        <w:rPr>
          <w:sz w:val="22"/>
          <w:szCs w:val="22"/>
          <w:lang w:val="en-GB"/>
          <w:rPrChange w:id="3321" w:author="Author">
            <w:rPr>
              <w:sz w:val="22"/>
              <w:szCs w:val="22"/>
            </w:rPr>
          </w:rPrChange>
        </w:rPr>
        <w:t xml:space="preserve">Psoriatic arthritis is an inflammation of the joints associated with psoriasis. </w:t>
      </w:r>
    </w:p>
    <w:p w14:paraId="43F4B178" w14:textId="77777777" w:rsidR="00524DB2" w:rsidRPr="00D55B59" w:rsidRDefault="00524DB2" w:rsidP="00FB5458">
      <w:pPr>
        <w:pStyle w:val="Default"/>
        <w:rPr>
          <w:sz w:val="22"/>
          <w:szCs w:val="22"/>
          <w:lang w:val="en-GB"/>
          <w:rPrChange w:id="3322" w:author="Author">
            <w:rPr>
              <w:sz w:val="22"/>
              <w:szCs w:val="22"/>
            </w:rPr>
          </w:rPrChange>
        </w:rPr>
      </w:pPr>
    </w:p>
    <w:p w14:paraId="1D491FAA" w14:textId="77777777" w:rsidR="000426A9" w:rsidRPr="00D55B59" w:rsidRDefault="000426A9" w:rsidP="000426A9">
      <w:pPr>
        <w:pStyle w:val="Default"/>
        <w:rPr>
          <w:sz w:val="22"/>
          <w:szCs w:val="22"/>
          <w:lang w:val="en-GB"/>
          <w:rPrChange w:id="3323" w:author="Author">
            <w:rPr>
              <w:sz w:val="22"/>
              <w:szCs w:val="22"/>
            </w:rPr>
          </w:rPrChange>
        </w:rPr>
      </w:pPr>
      <w:r w:rsidRPr="00D55B59">
        <w:rPr>
          <w:sz w:val="22"/>
          <w:szCs w:val="22"/>
          <w:lang w:val="en-GB"/>
          <w:rPrChange w:id="3324" w:author="Author">
            <w:rPr>
              <w:sz w:val="22"/>
              <w:szCs w:val="22"/>
            </w:rPr>
          </w:rPrChange>
        </w:rPr>
        <w:t xml:space="preserve">AMGEVITA is used to treat psoriatic arthritis in adults. AMGEVITA slows down the damage to the cartilage and bone of the joints caused by the disease and to improve physical function. </w:t>
      </w:r>
    </w:p>
    <w:p w14:paraId="195072C9" w14:textId="77777777" w:rsidR="00524DB2" w:rsidRPr="00D55B59" w:rsidRDefault="00524DB2" w:rsidP="00FB5458">
      <w:pPr>
        <w:pStyle w:val="Default"/>
        <w:rPr>
          <w:sz w:val="22"/>
          <w:szCs w:val="22"/>
          <w:lang w:val="en-GB"/>
          <w:rPrChange w:id="3325" w:author="Author">
            <w:rPr>
              <w:sz w:val="22"/>
              <w:szCs w:val="22"/>
            </w:rPr>
          </w:rPrChange>
        </w:rPr>
      </w:pPr>
    </w:p>
    <w:p w14:paraId="3E503B12" w14:textId="77777777" w:rsidR="00524DB2" w:rsidRPr="00D55B59" w:rsidRDefault="00524DB2" w:rsidP="00FB5458">
      <w:pPr>
        <w:pStyle w:val="Default"/>
        <w:rPr>
          <w:sz w:val="22"/>
          <w:szCs w:val="22"/>
          <w:u w:val="single"/>
          <w:lang w:val="en-GB"/>
          <w:rPrChange w:id="3326" w:author="Author">
            <w:rPr>
              <w:sz w:val="22"/>
              <w:szCs w:val="22"/>
              <w:u w:val="single"/>
            </w:rPr>
          </w:rPrChange>
        </w:rPr>
      </w:pPr>
      <w:r w:rsidRPr="00D55B59">
        <w:rPr>
          <w:sz w:val="22"/>
          <w:szCs w:val="22"/>
          <w:u w:val="single"/>
          <w:lang w:val="en-GB"/>
          <w:rPrChange w:id="3327" w:author="Author">
            <w:rPr>
              <w:sz w:val="22"/>
              <w:szCs w:val="22"/>
              <w:u w:val="single"/>
            </w:rPr>
          </w:rPrChange>
        </w:rPr>
        <w:t>Plaque psoriasis in adults and children</w:t>
      </w:r>
    </w:p>
    <w:p w14:paraId="26F70845" w14:textId="77777777" w:rsidR="00524DB2" w:rsidRPr="001775D9" w:rsidRDefault="00524DB2" w:rsidP="00FB5458">
      <w:pPr>
        <w:tabs>
          <w:tab w:val="clear" w:pos="567"/>
        </w:tabs>
        <w:spacing w:line="240" w:lineRule="auto"/>
        <w:ind w:right="-2"/>
        <w:rPr>
          <w:szCs w:val="22"/>
        </w:rPr>
      </w:pPr>
    </w:p>
    <w:p w14:paraId="6E04F3AA" w14:textId="77777777" w:rsidR="00524DB2" w:rsidRPr="001775D9" w:rsidRDefault="00524DB2" w:rsidP="00FB5458">
      <w:pPr>
        <w:tabs>
          <w:tab w:val="clear" w:pos="567"/>
        </w:tabs>
        <w:spacing w:line="240" w:lineRule="auto"/>
        <w:ind w:right="-2"/>
        <w:rPr>
          <w:rFonts w:eastAsia="MS Mincho"/>
          <w:color w:val="000000"/>
          <w:szCs w:val="22"/>
          <w:lang w:eastAsia="ja-JP"/>
        </w:rPr>
      </w:pPr>
      <w:r w:rsidRPr="001775D9">
        <w:rPr>
          <w:rFonts w:eastAsia="MS Mincho"/>
          <w:color w:val="000000"/>
          <w:szCs w:val="22"/>
          <w:lang w:eastAsia="ja-JP"/>
        </w:rPr>
        <w:t xml:space="preserve">Plaque psoriasis is a skin condition that causes red, flaky, crusty patches of skin covered with silvery scales. </w:t>
      </w:r>
      <w:r w:rsidR="0020190C" w:rsidRPr="001775D9">
        <w:t>Plaque psoriasis can also affect the nails, causing them to crumble, become thickened and lift away from the nail bed which can be painful</w:t>
      </w:r>
      <w:r w:rsidR="0020190C" w:rsidRPr="001775D9">
        <w:rPr>
          <w:rFonts w:eastAsia="MS Mincho"/>
          <w:color w:val="000000"/>
          <w:szCs w:val="22"/>
          <w:lang w:eastAsia="ja-JP"/>
        </w:rPr>
        <w:t xml:space="preserve">. </w:t>
      </w:r>
      <w:r w:rsidRPr="001775D9">
        <w:rPr>
          <w:rFonts w:eastAsia="MS Mincho"/>
          <w:color w:val="000000"/>
          <w:szCs w:val="22"/>
          <w:lang w:eastAsia="ja-JP"/>
        </w:rPr>
        <w:t>Psoriasis is believed to be caused by a problem with the body’s immune system that leads to an increased production of skin cells.</w:t>
      </w:r>
    </w:p>
    <w:p w14:paraId="4F04AE3A" w14:textId="77777777" w:rsidR="00524DB2" w:rsidRPr="001775D9" w:rsidRDefault="00524DB2" w:rsidP="00FB5458">
      <w:pPr>
        <w:tabs>
          <w:tab w:val="clear" w:pos="567"/>
        </w:tabs>
        <w:autoSpaceDE w:val="0"/>
        <w:autoSpaceDN w:val="0"/>
        <w:adjustRightInd w:val="0"/>
        <w:spacing w:line="240" w:lineRule="auto"/>
        <w:rPr>
          <w:szCs w:val="22"/>
        </w:rPr>
      </w:pPr>
    </w:p>
    <w:p w14:paraId="019CCF73" w14:textId="77777777" w:rsidR="00524DB2" w:rsidRPr="001775D9" w:rsidRDefault="00397168" w:rsidP="00FB5458">
      <w:pPr>
        <w:tabs>
          <w:tab w:val="clear" w:pos="567"/>
        </w:tabs>
        <w:autoSpaceDE w:val="0"/>
        <w:autoSpaceDN w:val="0"/>
        <w:adjustRightInd w:val="0"/>
        <w:spacing w:line="240" w:lineRule="auto"/>
        <w:rPr>
          <w:szCs w:val="22"/>
        </w:rPr>
      </w:pPr>
      <w:r w:rsidRPr="001775D9">
        <w:rPr>
          <w:szCs w:val="22"/>
        </w:rPr>
        <w:t xml:space="preserve">AMGEVITA </w:t>
      </w:r>
      <w:r w:rsidRPr="001775D9">
        <w:t>i</w:t>
      </w:r>
      <w:r w:rsidRPr="001775D9">
        <w:rPr>
          <w:szCs w:val="22"/>
        </w:rPr>
        <w:t xml:space="preserve">s used </w:t>
      </w:r>
      <w:r w:rsidRPr="001775D9">
        <w:t>t</w:t>
      </w:r>
      <w:r w:rsidRPr="001775D9">
        <w:rPr>
          <w:szCs w:val="22"/>
        </w:rPr>
        <w:t xml:space="preserve">o </w:t>
      </w:r>
      <w:r w:rsidRPr="001775D9">
        <w:t>t</w:t>
      </w:r>
      <w:r w:rsidRPr="001775D9">
        <w:rPr>
          <w:szCs w:val="22"/>
        </w:rPr>
        <w:t>reat moderate to severe plaque psoriasis in adults.</w:t>
      </w:r>
      <w:r w:rsidRPr="001775D9">
        <w:t xml:space="preserve"> </w:t>
      </w:r>
      <w:r w:rsidR="00524DB2" w:rsidRPr="001775D9">
        <w:rPr>
          <w:szCs w:val="22"/>
        </w:rPr>
        <w:t xml:space="preserve">AMGEVITA is </w:t>
      </w:r>
      <w:r w:rsidRPr="001775D9">
        <w:rPr>
          <w:szCs w:val="22"/>
        </w:rPr>
        <w:t xml:space="preserve">also </w:t>
      </w:r>
      <w:r w:rsidR="00524DB2" w:rsidRPr="001775D9">
        <w:rPr>
          <w:szCs w:val="22"/>
        </w:rPr>
        <w:t xml:space="preserve">used to treat severe plaque psoriasis in children and adolescents </w:t>
      </w:r>
      <w:r w:rsidR="00120B46" w:rsidRPr="001775D9">
        <w:rPr>
          <w:szCs w:val="22"/>
        </w:rPr>
        <w:t xml:space="preserve">aged </w:t>
      </w:r>
      <w:r w:rsidR="00953B46" w:rsidRPr="001775D9">
        <w:rPr>
          <w:szCs w:val="22"/>
        </w:rPr>
        <w:t>4 to 17 years for</w:t>
      </w:r>
      <w:r w:rsidR="00120B46" w:rsidRPr="001775D9">
        <w:rPr>
          <w:szCs w:val="22"/>
        </w:rPr>
        <w:t xml:space="preserve"> </w:t>
      </w:r>
      <w:r w:rsidR="00524DB2" w:rsidRPr="001775D9">
        <w:rPr>
          <w:szCs w:val="22"/>
        </w:rPr>
        <w:t>whom topical therapy and phototherapies have either not worked very well or are not suitable.</w:t>
      </w:r>
    </w:p>
    <w:p w14:paraId="77CF2339" w14:textId="77777777" w:rsidR="00524DB2" w:rsidRPr="001775D9" w:rsidRDefault="00524DB2" w:rsidP="00FB5458">
      <w:pPr>
        <w:tabs>
          <w:tab w:val="clear" w:pos="567"/>
        </w:tabs>
        <w:autoSpaceDE w:val="0"/>
        <w:autoSpaceDN w:val="0"/>
        <w:adjustRightInd w:val="0"/>
        <w:spacing w:line="240" w:lineRule="auto"/>
        <w:rPr>
          <w:szCs w:val="22"/>
        </w:rPr>
      </w:pPr>
    </w:p>
    <w:p w14:paraId="6087479A" w14:textId="77777777" w:rsidR="00524DB2" w:rsidRPr="001775D9" w:rsidRDefault="00524DB2" w:rsidP="00FB5458">
      <w:pPr>
        <w:keepNext/>
        <w:tabs>
          <w:tab w:val="clear" w:pos="567"/>
        </w:tabs>
        <w:autoSpaceDE w:val="0"/>
        <w:autoSpaceDN w:val="0"/>
        <w:adjustRightInd w:val="0"/>
        <w:spacing w:line="240" w:lineRule="auto"/>
        <w:rPr>
          <w:szCs w:val="22"/>
          <w:u w:val="single"/>
        </w:rPr>
      </w:pPr>
      <w:r w:rsidRPr="001775D9">
        <w:rPr>
          <w:szCs w:val="22"/>
          <w:u w:val="single"/>
        </w:rPr>
        <w:t>Hidradenitis suppurativa</w:t>
      </w:r>
      <w:r w:rsidR="006D2088" w:rsidRPr="001775D9">
        <w:rPr>
          <w:szCs w:val="22"/>
          <w:u w:val="single"/>
        </w:rPr>
        <w:t xml:space="preserve"> in adults and adolescents</w:t>
      </w:r>
    </w:p>
    <w:p w14:paraId="40D2DB1A" w14:textId="77777777" w:rsidR="00524DB2" w:rsidRPr="001775D9" w:rsidRDefault="00524DB2" w:rsidP="00FB5458">
      <w:pPr>
        <w:keepNext/>
        <w:tabs>
          <w:tab w:val="clear" w:pos="567"/>
        </w:tabs>
        <w:autoSpaceDE w:val="0"/>
        <w:autoSpaceDN w:val="0"/>
        <w:adjustRightInd w:val="0"/>
        <w:spacing w:line="240" w:lineRule="auto"/>
        <w:rPr>
          <w:szCs w:val="22"/>
        </w:rPr>
      </w:pPr>
    </w:p>
    <w:p w14:paraId="742C4D75" w14:textId="77777777" w:rsidR="00524DB2" w:rsidRPr="001775D9" w:rsidRDefault="00524DB2" w:rsidP="00A430D3">
      <w:pPr>
        <w:keepNext/>
        <w:tabs>
          <w:tab w:val="clear" w:pos="567"/>
        </w:tabs>
        <w:autoSpaceDE w:val="0"/>
        <w:autoSpaceDN w:val="0"/>
        <w:adjustRightInd w:val="0"/>
        <w:spacing w:line="240" w:lineRule="auto"/>
        <w:rPr>
          <w:szCs w:val="22"/>
        </w:rPr>
      </w:pPr>
      <w:r w:rsidRPr="001775D9">
        <w:rPr>
          <w:szCs w:val="22"/>
        </w:rPr>
        <w:t>Hidradenitis suppurativa (sometimes called acne inversa) is a chronic and often painful inflammatory skin disease. Symptoms may include tender nodules (lumps) and abscesses (boils) that may leak pus. It most commonly affects specific areas of the skin, such as under the breasts, the armpits, inner thighs, groin and buttocks. Scarring may also occur in affected areas.</w:t>
      </w:r>
    </w:p>
    <w:p w14:paraId="62A4799D" w14:textId="77777777" w:rsidR="00524DB2" w:rsidRPr="001775D9" w:rsidRDefault="00524DB2" w:rsidP="00623DC0">
      <w:pPr>
        <w:tabs>
          <w:tab w:val="clear" w:pos="567"/>
        </w:tabs>
        <w:autoSpaceDE w:val="0"/>
        <w:autoSpaceDN w:val="0"/>
        <w:adjustRightInd w:val="0"/>
        <w:spacing w:line="240" w:lineRule="auto"/>
        <w:rPr>
          <w:szCs w:val="22"/>
        </w:rPr>
      </w:pPr>
    </w:p>
    <w:p w14:paraId="5ADA5C77" w14:textId="77777777" w:rsidR="00524DB2" w:rsidRPr="001775D9" w:rsidRDefault="00524DB2" w:rsidP="00623DC0">
      <w:pPr>
        <w:tabs>
          <w:tab w:val="clear" w:pos="567"/>
        </w:tabs>
        <w:autoSpaceDE w:val="0"/>
        <w:autoSpaceDN w:val="0"/>
        <w:adjustRightInd w:val="0"/>
        <w:spacing w:line="240" w:lineRule="auto"/>
        <w:rPr>
          <w:szCs w:val="22"/>
        </w:rPr>
      </w:pPr>
      <w:r w:rsidRPr="001775D9">
        <w:rPr>
          <w:szCs w:val="22"/>
        </w:rPr>
        <w:t>AMGEVITA is used to treat hidradenitis suppurativa in adults</w:t>
      </w:r>
      <w:r w:rsidR="00F62574" w:rsidRPr="001775D9">
        <w:rPr>
          <w:szCs w:val="22"/>
        </w:rPr>
        <w:t xml:space="preserve"> and adolescents from 12 years of age</w:t>
      </w:r>
      <w:r w:rsidRPr="001775D9">
        <w:rPr>
          <w:szCs w:val="22"/>
        </w:rPr>
        <w:t>. AMGEVITA can reduce the number of nodules and abscesses you have, and the pain that is often associated with the disease.</w:t>
      </w:r>
      <w:r w:rsidR="00F62574" w:rsidRPr="001775D9">
        <w:rPr>
          <w:szCs w:val="22"/>
        </w:rPr>
        <w:t xml:space="preserve"> You may first be given other medicines. If you do not respond well enough to these medicines, you will be given AMGEVITA.</w:t>
      </w:r>
    </w:p>
    <w:p w14:paraId="061A38AC" w14:textId="77777777" w:rsidR="00524DB2" w:rsidRPr="00D55B59" w:rsidRDefault="00524DB2" w:rsidP="00623DC0">
      <w:pPr>
        <w:pStyle w:val="Default"/>
        <w:rPr>
          <w:sz w:val="22"/>
          <w:szCs w:val="22"/>
          <w:u w:val="single"/>
          <w:lang w:val="en-GB"/>
          <w:rPrChange w:id="3328" w:author="Author">
            <w:rPr>
              <w:sz w:val="22"/>
              <w:szCs w:val="22"/>
              <w:u w:val="single"/>
            </w:rPr>
          </w:rPrChange>
        </w:rPr>
      </w:pPr>
    </w:p>
    <w:p w14:paraId="36FCC021" w14:textId="77777777" w:rsidR="00524DB2" w:rsidRPr="00D55B59" w:rsidRDefault="00524DB2" w:rsidP="00623DC0">
      <w:pPr>
        <w:pStyle w:val="Default"/>
        <w:rPr>
          <w:sz w:val="22"/>
          <w:szCs w:val="22"/>
          <w:u w:val="single"/>
          <w:lang w:val="en-GB"/>
          <w:rPrChange w:id="3329" w:author="Author">
            <w:rPr>
              <w:sz w:val="22"/>
              <w:szCs w:val="22"/>
              <w:u w:val="single"/>
            </w:rPr>
          </w:rPrChange>
        </w:rPr>
      </w:pPr>
      <w:r w:rsidRPr="00D55B59">
        <w:rPr>
          <w:sz w:val="22"/>
          <w:szCs w:val="22"/>
          <w:u w:val="single"/>
          <w:lang w:val="en-GB"/>
          <w:rPrChange w:id="3330" w:author="Author">
            <w:rPr>
              <w:sz w:val="22"/>
              <w:szCs w:val="22"/>
              <w:u w:val="single"/>
            </w:rPr>
          </w:rPrChange>
        </w:rPr>
        <w:t xml:space="preserve">Crohn’s disease in </w:t>
      </w:r>
      <w:r w:rsidRPr="00D55B59">
        <w:rPr>
          <w:rFonts w:eastAsia="PMingLiU"/>
          <w:sz w:val="22"/>
          <w:szCs w:val="22"/>
          <w:u w:val="single"/>
          <w:lang w:val="en-GB" w:eastAsia="zh-TW"/>
          <w:rPrChange w:id="3331" w:author="Author">
            <w:rPr>
              <w:rFonts w:eastAsia="PMingLiU"/>
              <w:sz w:val="22"/>
              <w:szCs w:val="22"/>
              <w:u w:val="single"/>
              <w:lang w:eastAsia="zh-TW"/>
            </w:rPr>
          </w:rPrChange>
        </w:rPr>
        <w:t>a</w:t>
      </w:r>
      <w:r w:rsidRPr="00D55B59">
        <w:rPr>
          <w:sz w:val="22"/>
          <w:szCs w:val="22"/>
          <w:u w:val="single"/>
          <w:lang w:val="en-GB"/>
          <w:rPrChange w:id="3332" w:author="Author">
            <w:rPr>
              <w:sz w:val="22"/>
              <w:szCs w:val="22"/>
              <w:u w:val="single"/>
            </w:rPr>
          </w:rPrChange>
        </w:rPr>
        <w:t xml:space="preserve">dults and </w:t>
      </w:r>
      <w:r w:rsidRPr="00D55B59">
        <w:rPr>
          <w:rFonts w:eastAsia="PMingLiU"/>
          <w:sz w:val="22"/>
          <w:szCs w:val="22"/>
          <w:u w:val="single"/>
          <w:lang w:val="en-GB" w:eastAsia="zh-TW"/>
          <w:rPrChange w:id="3333" w:author="Author">
            <w:rPr>
              <w:rFonts w:eastAsia="PMingLiU"/>
              <w:sz w:val="22"/>
              <w:szCs w:val="22"/>
              <w:u w:val="single"/>
              <w:lang w:eastAsia="zh-TW"/>
            </w:rPr>
          </w:rPrChange>
        </w:rPr>
        <w:t>c</w:t>
      </w:r>
      <w:r w:rsidRPr="00D55B59">
        <w:rPr>
          <w:sz w:val="22"/>
          <w:szCs w:val="22"/>
          <w:u w:val="single"/>
          <w:lang w:val="en-GB"/>
          <w:rPrChange w:id="3334" w:author="Author">
            <w:rPr>
              <w:sz w:val="22"/>
              <w:szCs w:val="22"/>
              <w:u w:val="single"/>
            </w:rPr>
          </w:rPrChange>
        </w:rPr>
        <w:t xml:space="preserve">hildren </w:t>
      </w:r>
    </w:p>
    <w:p w14:paraId="19637AD2" w14:textId="77777777" w:rsidR="00524DB2" w:rsidRPr="00D55B59" w:rsidRDefault="00524DB2" w:rsidP="000F7063">
      <w:pPr>
        <w:pStyle w:val="Default"/>
        <w:rPr>
          <w:sz w:val="22"/>
          <w:szCs w:val="22"/>
          <w:lang w:val="en-GB"/>
          <w:rPrChange w:id="3335" w:author="Author">
            <w:rPr>
              <w:sz w:val="22"/>
              <w:szCs w:val="22"/>
            </w:rPr>
          </w:rPrChange>
        </w:rPr>
      </w:pPr>
    </w:p>
    <w:p w14:paraId="186B930C" w14:textId="77777777" w:rsidR="00524DB2" w:rsidRPr="00D55B59" w:rsidRDefault="00524DB2" w:rsidP="00072C59">
      <w:pPr>
        <w:pStyle w:val="Default"/>
        <w:contextualSpacing/>
        <w:rPr>
          <w:rFonts w:eastAsia="PMingLiU"/>
          <w:color w:val="auto"/>
          <w:sz w:val="22"/>
          <w:szCs w:val="22"/>
          <w:lang w:val="en-GB" w:eastAsia="en-US"/>
          <w:rPrChange w:id="3336" w:author="Author">
            <w:rPr>
              <w:rFonts w:eastAsia="PMingLiU"/>
              <w:color w:val="auto"/>
              <w:sz w:val="22"/>
              <w:szCs w:val="22"/>
              <w:lang w:eastAsia="en-US"/>
            </w:rPr>
          </w:rPrChange>
        </w:rPr>
      </w:pPr>
      <w:r w:rsidRPr="00D55B59">
        <w:rPr>
          <w:rFonts w:eastAsia="PMingLiU"/>
          <w:color w:val="auto"/>
          <w:sz w:val="22"/>
          <w:szCs w:val="22"/>
          <w:lang w:val="en-GB" w:eastAsia="en-US"/>
          <w:rPrChange w:id="3337" w:author="Author">
            <w:rPr>
              <w:rFonts w:eastAsia="PMingLiU"/>
              <w:color w:val="auto"/>
              <w:sz w:val="22"/>
              <w:szCs w:val="22"/>
              <w:lang w:eastAsia="en-US"/>
            </w:rPr>
          </w:rPrChange>
        </w:rPr>
        <w:t>Crohn’s disease is an inflammatory disease of the digestive tract.</w:t>
      </w:r>
    </w:p>
    <w:p w14:paraId="71F4F525" w14:textId="77777777" w:rsidR="00524DB2" w:rsidRPr="00D55B59" w:rsidRDefault="00524DB2" w:rsidP="00072C59">
      <w:pPr>
        <w:pStyle w:val="Default"/>
        <w:contextualSpacing/>
        <w:rPr>
          <w:sz w:val="22"/>
          <w:szCs w:val="20"/>
          <w:lang w:val="en-GB"/>
          <w:rPrChange w:id="3338" w:author="Author">
            <w:rPr>
              <w:sz w:val="22"/>
              <w:szCs w:val="20"/>
            </w:rPr>
          </w:rPrChange>
        </w:rPr>
      </w:pPr>
    </w:p>
    <w:p w14:paraId="5D6D78B6" w14:textId="77777777" w:rsidR="00524DB2" w:rsidRPr="00D55B59" w:rsidRDefault="00524DB2" w:rsidP="00072C59">
      <w:pPr>
        <w:pStyle w:val="Default"/>
        <w:contextualSpacing/>
        <w:rPr>
          <w:sz w:val="22"/>
          <w:szCs w:val="22"/>
          <w:lang w:val="en-GB"/>
          <w:rPrChange w:id="3339" w:author="Author">
            <w:rPr>
              <w:sz w:val="22"/>
              <w:szCs w:val="22"/>
            </w:rPr>
          </w:rPrChange>
        </w:rPr>
      </w:pPr>
      <w:r w:rsidRPr="00D55B59">
        <w:rPr>
          <w:sz w:val="22"/>
          <w:szCs w:val="22"/>
          <w:lang w:val="en-GB"/>
          <w:rPrChange w:id="3340" w:author="Author">
            <w:rPr>
              <w:sz w:val="22"/>
              <w:szCs w:val="22"/>
            </w:rPr>
          </w:rPrChange>
        </w:rPr>
        <w:t xml:space="preserve">AMGEVITA is used to treat Crohn’s disease in adults and children aged 6 to 17 years. If you have Crohn’s disease you will first be given other medicines. If you do not respond well enough to these medicines, you will be given AMGEVITA to reduce the signs and symptoms of your Crohn’s disease. </w:t>
      </w:r>
    </w:p>
    <w:p w14:paraId="4BBCCA17" w14:textId="77777777" w:rsidR="00524DB2" w:rsidRPr="00D55B59" w:rsidRDefault="00524DB2" w:rsidP="00FB5458">
      <w:pPr>
        <w:pStyle w:val="Default"/>
        <w:rPr>
          <w:sz w:val="22"/>
          <w:szCs w:val="22"/>
          <w:lang w:val="en-GB"/>
          <w:rPrChange w:id="3341" w:author="Author">
            <w:rPr>
              <w:sz w:val="22"/>
              <w:szCs w:val="22"/>
            </w:rPr>
          </w:rPrChange>
        </w:rPr>
      </w:pPr>
    </w:p>
    <w:p w14:paraId="24A1A462" w14:textId="178C1896" w:rsidR="00524DB2" w:rsidRPr="00D55B59" w:rsidRDefault="00524DB2" w:rsidP="00FB5458">
      <w:pPr>
        <w:pStyle w:val="Default"/>
        <w:rPr>
          <w:sz w:val="22"/>
          <w:szCs w:val="22"/>
          <w:u w:val="single"/>
          <w:lang w:val="en-GB"/>
          <w:rPrChange w:id="3342" w:author="Author">
            <w:rPr>
              <w:sz w:val="22"/>
              <w:szCs w:val="22"/>
              <w:u w:val="single"/>
            </w:rPr>
          </w:rPrChange>
        </w:rPr>
      </w:pPr>
      <w:r w:rsidRPr="00D55B59">
        <w:rPr>
          <w:sz w:val="22"/>
          <w:szCs w:val="22"/>
          <w:u w:val="single"/>
          <w:lang w:val="en-GB"/>
          <w:rPrChange w:id="3343" w:author="Author">
            <w:rPr>
              <w:sz w:val="22"/>
              <w:szCs w:val="22"/>
              <w:u w:val="single"/>
            </w:rPr>
          </w:rPrChange>
        </w:rPr>
        <w:t xml:space="preserve">Ulcerative </w:t>
      </w:r>
      <w:r w:rsidRPr="00D55B59">
        <w:rPr>
          <w:rFonts w:eastAsia="PMingLiU"/>
          <w:sz w:val="22"/>
          <w:szCs w:val="22"/>
          <w:u w:val="single"/>
          <w:lang w:val="en-GB" w:eastAsia="zh-TW"/>
          <w:rPrChange w:id="3344" w:author="Author">
            <w:rPr>
              <w:rFonts w:eastAsia="PMingLiU"/>
              <w:sz w:val="22"/>
              <w:szCs w:val="22"/>
              <w:u w:val="single"/>
              <w:lang w:eastAsia="zh-TW"/>
            </w:rPr>
          </w:rPrChange>
        </w:rPr>
        <w:t>c</w:t>
      </w:r>
      <w:r w:rsidRPr="00D55B59">
        <w:rPr>
          <w:sz w:val="22"/>
          <w:szCs w:val="22"/>
          <w:u w:val="single"/>
          <w:lang w:val="en-GB"/>
          <w:rPrChange w:id="3345" w:author="Author">
            <w:rPr>
              <w:sz w:val="22"/>
              <w:szCs w:val="22"/>
              <w:u w:val="single"/>
            </w:rPr>
          </w:rPrChange>
        </w:rPr>
        <w:t>olitis</w:t>
      </w:r>
      <w:r w:rsidR="009A7E3B" w:rsidRPr="00D55B59">
        <w:rPr>
          <w:sz w:val="22"/>
          <w:szCs w:val="22"/>
          <w:u w:val="single"/>
          <w:lang w:val="en-GB"/>
          <w:rPrChange w:id="3346" w:author="Author">
            <w:rPr>
              <w:sz w:val="22"/>
              <w:szCs w:val="22"/>
              <w:u w:val="single"/>
            </w:rPr>
          </w:rPrChange>
        </w:rPr>
        <w:t xml:space="preserve"> in adults and children</w:t>
      </w:r>
      <w:r w:rsidRPr="00D55B59">
        <w:rPr>
          <w:sz w:val="22"/>
          <w:szCs w:val="22"/>
          <w:u w:val="single"/>
          <w:lang w:val="en-GB"/>
          <w:rPrChange w:id="3347" w:author="Author">
            <w:rPr>
              <w:sz w:val="22"/>
              <w:szCs w:val="22"/>
              <w:u w:val="single"/>
            </w:rPr>
          </w:rPrChange>
        </w:rPr>
        <w:t xml:space="preserve"> </w:t>
      </w:r>
    </w:p>
    <w:p w14:paraId="682BF6C7" w14:textId="77777777" w:rsidR="00524DB2" w:rsidRPr="001775D9" w:rsidRDefault="00524DB2" w:rsidP="00FB5458">
      <w:pPr>
        <w:tabs>
          <w:tab w:val="clear" w:pos="567"/>
        </w:tabs>
        <w:spacing w:line="240" w:lineRule="auto"/>
        <w:ind w:right="-2"/>
        <w:rPr>
          <w:szCs w:val="22"/>
        </w:rPr>
      </w:pPr>
    </w:p>
    <w:p w14:paraId="79A70C74" w14:textId="52DE69A3" w:rsidR="00524DB2" w:rsidRPr="001775D9" w:rsidRDefault="00524DB2" w:rsidP="00FB5458">
      <w:pPr>
        <w:tabs>
          <w:tab w:val="clear" w:pos="567"/>
        </w:tabs>
        <w:spacing w:line="240" w:lineRule="auto"/>
        <w:ind w:right="-2"/>
        <w:rPr>
          <w:szCs w:val="22"/>
        </w:rPr>
      </w:pPr>
      <w:r w:rsidRPr="001775D9">
        <w:rPr>
          <w:szCs w:val="22"/>
        </w:rPr>
        <w:t xml:space="preserve">Ulcerative colitis is an inflammatory disease of the </w:t>
      </w:r>
      <w:r w:rsidR="009A7E3B" w:rsidRPr="001775D9">
        <w:rPr>
          <w:szCs w:val="22"/>
        </w:rPr>
        <w:t>large intestine</w:t>
      </w:r>
      <w:r w:rsidRPr="001775D9">
        <w:rPr>
          <w:szCs w:val="22"/>
        </w:rPr>
        <w:t>.</w:t>
      </w:r>
    </w:p>
    <w:p w14:paraId="1895A804" w14:textId="77777777" w:rsidR="00524DB2" w:rsidRPr="001775D9" w:rsidRDefault="00524DB2" w:rsidP="00FB5458">
      <w:pPr>
        <w:tabs>
          <w:tab w:val="clear" w:pos="567"/>
        </w:tabs>
        <w:spacing w:line="240" w:lineRule="auto"/>
        <w:ind w:right="-2"/>
        <w:rPr>
          <w:szCs w:val="22"/>
        </w:rPr>
      </w:pPr>
    </w:p>
    <w:p w14:paraId="405B6E41" w14:textId="444C0949" w:rsidR="00524DB2" w:rsidRPr="001775D9" w:rsidRDefault="00524DB2" w:rsidP="00FB5458">
      <w:pPr>
        <w:tabs>
          <w:tab w:val="clear" w:pos="567"/>
        </w:tabs>
        <w:spacing w:line="240" w:lineRule="auto"/>
        <w:ind w:right="-2"/>
        <w:rPr>
          <w:szCs w:val="22"/>
        </w:rPr>
      </w:pPr>
      <w:r w:rsidRPr="001775D9">
        <w:rPr>
          <w:szCs w:val="22"/>
        </w:rPr>
        <w:t>AMGEVITA is used to treat</w:t>
      </w:r>
      <w:r w:rsidR="009A7E3B" w:rsidRPr="001775D9">
        <w:rPr>
          <w:szCs w:val="22"/>
        </w:rPr>
        <w:t xml:space="preserve"> moderate to severe</w:t>
      </w:r>
      <w:r w:rsidRPr="001775D9">
        <w:rPr>
          <w:szCs w:val="22"/>
        </w:rPr>
        <w:t xml:space="preserve"> ulcerative colitis in adults</w:t>
      </w:r>
      <w:r w:rsidR="009A7E3B" w:rsidRPr="001775D9">
        <w:rPr>
          <w:szCs w:val="22"/>
        </w:rPr>
        <w:t xml:space="preserve"> and children aged 6 to 17 years</w:t>
      </w:r>
      <w:r w:rsidRPr="001775D9">
        <w:rPr>
          <w:szCs w:val="22"/>
        </w:rPr>
        <w:t xml:space="preserve">. If you have ulcerative colitis you </w:t>
      </w:r>
      <w:r w:rsidR="009A7E3B" w:rsidRPr="001775D9">
        <w:rPr>
          <w:szCs w:val="22"/>
        </w:rPr>
        <w:t xml:space="preserve">may </w:t>
      </w:r>
      <w:r w:rsidRPr="001775D9">
        <w:rPr>
          <w:szCs w:val="22"/>
        </w:rPr>
        <w:t>first be given other medicines. If you do not respond well enough to these medicines, you will be given AMGEVITA to reduce the signs and symptoms of your disease.</w:t>
      </w:r>
    </w:p>
    <w:p w14:paraId="0EA1946D" w14:textId="77777777" w:rsidR="00524DB2" w:rsidRPr="001775D9" w:rsidRDefault="00524DB2" w:rsidP="00FB5458">
      <w:pPr>
        <w:tabs>
          <w:tab w:val="clear" w:pos="567"/>
        </w:tabs>
        <w:spacing w:line="240" w:lineRule="auto"/>
        <w:ind w:right="-2"/>
        <w:rPr>
          <w:szCs w:val="22"/>
        </w:rPr>
      </w:pPr>
    </w:p>
    <w:p w14:paraId="67C7C0C8" w14:textId="77777777" w:rsidR="009F7AE3" w:rsidRPr="001775D9" w:rsidRDefault="009F7AE3" w:rsidP="00FB5458">
      <w:pPr>
        <w:tabs>
          <w:tab w:val="clear" w:pos="567"/>
        </w:tabs>
        <w:autoSpaceDE w:val="0"/>
        <w:autoSpaceDN w:val="0"/>
        <w:adjustRightInd w:val="0"/>
        <w:spacing w:line="240" w:lineRule="auto"/>
        <w:rPr>
          <w:szCs w:val="22"/>
          <w:u w:val="single"/>
          <w:lang w:eastAsia="en-GB"/>
        </w:rPr>
      </w:pPr>
      <w:r w:rsidRPr="001775D9">
        <w:rPr>
          <w:szCs w:val="22"/>
          <w:u w:val="single"/>
          <w:lang w:eastAsia="en-GB"/>
        </w:rPr>
        <w:t>Non-infectious uveitis</w:t>
      </w:r>
      <w:r w:rsidR="00F62574" w:rsidRPr="001775D9">
        <w:rPr>
          <w:szCs w:val="22"/>
          <w:u w:val="single"/>
          <w:lang w:eastAsia="en-GB"/>
        </w:rPr>
        <w:t xml:space="preserve"> in adults and children</w:t>
      </w:r>
    </w:p>
    <w:p w14:paraId="753BB8C8" w14:textId="77777777" w:rsidR="009F7AE3" w:rsidRPr="001775D9" w:rsidRDefault="009F7AE3" w:rsidP="00FB5458">
      <w:pPr>
        <w:tabs>
          <w:tab w:val="clear" w:pos="567"/>
        </w:tabs>
        <w:autoSpaceDE w:val="0"/>
        <w:autoSpaceDN w:val="0"/>
        <w:adjustRightInd w:val="0"/>
        <w:spacing w:line="240" w:lineRule="auto"/>
        <w:rPr>
          <w:szCs w:val="22"/>
          <w:lang w:eastAsia="en-GB"/>
        </w:rPr>
      </w:pPr>
    </w:p>
    <w:p w14:paraId="0F2CC1BA" w14:textId="77777777" w:rsidR="00F62574" w:rsidRPr="001775D9" w:rsidRDefault="009F7AE3" w:rsidP="00FB5458">
      <w:pPr>
        <w:tabs>
          <w:tab w:val="clear" w:pos="567"/>
        </w:tabs>
        <w:spacing w:line="240" w:lineRule="auto"/>
        <w:ind w:right="-2"/>
        <w:rPr>
          <w:szCs w:val="22"/>
          <w:lang w:eastAsia="en-GB"/>
        </w:rPr>
      </w:pPr>
      <w:r w:rsidRPr="001775D9">
        <w:rPr>
          <w:szCs w:val="22"/>
          <w:lang w:eastAsia="en-GB"/>
        </w:rPr>
        <w:t xml:space="preserve">Non-infectious uveitis is an inflammatory disease affecting certain parts of the eye. </w:t>
      </w:r>
    </w:p>
    <w:p w14:paraId="4310B3CB" w14:textId="77777777" w:rsidR="00F62574" w:rsidRPr="001775D9" w:rsidRDefault="00F62574" w:rsidP="00FB5458">
      <w:pPr>
        <w:tabs>
          <w:tab w:val="clear" w:pos="567"/>
        </w:tabs>
        <w:spacing w:line="240" w:lineRule="auto"/>
        <w:ind w:right="-2"/>
        <w:rPr>
          <w:szCs w:val="22"/>
          <w:lang w:eastAsia="en-GB"/>
        </w:rPr>
      </w:pPr>
    </w:p>
    <w:p w14:paraId="72CE4790" w14:textId="77777777" w:rsidR="00F62574" w:rsidRPr="001775D9" w:rsidRDefault="00F62574" w:rsidP="00F62574">
      <w:pPr>
        <w:tabs>
          <w:tab w:val="clear" w:pos="567"/>
        </w:tabs>
        <w:spacing w:line="240" w:lineRule="auto"/>
        <w:ind w:right="-2"/>
        <w:rPr>
          <w:szCs w:val="22"/>
          <w:lang w:eastAsia="en-GB"/>
        </w:rPr>
      </w:pPr>
      <w:r w:rsidRPr="001775D9">
        <w:rPr>
          <w:szCs w:val="22"/>
          <w:lang w:eastAsia="en-GB"/>
        </w:rPr>
        <w:t xml:space="preserve">AMGEVITA is used to treat </w:t>
      </w:r>
    </w:p>
    <w:p w14:paraId="6E9C50D4" w14:textId="77777777" w:rsidR="00F62574" w:rsidRPr="001775D9" w:rsidRDefault="006D2088">
      <w:pPr>
        <w:numPr>
          <w:ilvl w:val="0"/>
          <w:numId w:val="36"/>
        </w:numPr>
        <w:tabs>
          <w:tab w:val="clear" w:pos="567"/>
        </w:tabs>
        <w:spacing w:line="240" w:lineRule="auto"/>
        <w:ind w:left="567" w:right="-2" w:hanging="567"/>
        <w:rPr>
          <w:szCs w:val="22"/>
          <w:lang w:eastAsia="en-GB"/>
        </w:rPr>
      </w:pPr>
      <w:r w:rsidRPr="001775D9">
        <w:rPr>
          <w:szCs w:val="22"/>
          <w:lang w:eastAsia="en-GB"/>
        </w:rPr>
        <w:t>A</w:t>
      </w:r>
      <w:r w:rsidR="00F62574" w:rsidRPr="001775D9">
        <w:rPr>
          <w:szCs w:val="22"/>
          <w:lang w:eastAsia="en-GB"/>
        </w:rPr>
        <w:t>dults with non-infectious uveitis with inflammation affecting the back of the eye.</w:t>
      </w:r>
    </w:p>
    <w:p w14:paraId="7DD5B60B" w14:textId="77777777" w:rsidR="00F62574" w:rsidRPr="001775D9" w:rsidRDefault="00F62574">
      <w:pPr>
        <w:numPr>
          <w:ilvl w:val="0"/>
          <w:numId w:val="36"/>
        </w:numPr>
        <w:tabs>
          <w:tab w:val="clear" w:pos="567"/>
        </w:tabs>
        <w:spacing w:line="240" w:lineRule="auto"/>
        <w:ind w:left="567" w:right="-2" w:hanging="567"/>
        <w:rPr>
          <w:szCs w:val="22"/>
          <w:lang w:eastAsia="en-GB"/>
        </w:rPr>
      </w:pPr>
      <w:r w:rsidRPr="001775D9">
        <w:rPr>
          <w:szCs w:val="22"/>
          <w:lang w:eastAsia="en-GB"/>
        </w:rPr>
        <w:t>Children from 2 years of age with chronic non-infectious uveitis with inflammation affecting the front of the eye</w:t>
      </w:r>
      <w:r w:rsidR="006D2088" w:rsidRPr="001775D9">
        <w:rPr>
          <w:szCs w:val="22"/>
          <w:lang w:eastAsia="en-GB"/>
        </w:rPr>
        <w:t>.</w:t>
      </w:r>
    </w:p>
    <w:p w14:paraId="0AB5CCE5" w14:textId="77777777" w:rsidR="00F62574" w:rsidRPr="001775D9" w:rsidRDefault="00F62574" w:rsidP="00FB5458">
      <w:pPr>
        <w:tabs>
          <w:tab w:val="clear" w:pos="567"/>
        </w:tabs>
        <w:spacing w:line="240" w:lineRule="auto"/>
        <w:ind w:right="-2"/>
        <w:rPr>
          <w:szCs w:val="22"/>
          <w:lang w:eastAsia="en-GB"/>
        </w:rPr>
      </w:pPr>
    </w:p>
    <w:p w14:paraId="7B821B45" w14:textId="77777777" w:rsidR="009F7AE3" w:rsidRPr="001775D9" w:rsidRDefault="009F7AE3" w:rsidP="00FB5458">
      <w:pPr>
        <w:tabs>
          <w:tab w:val="clear" w:pos="567"/>
        </w:tabs>
        <w:spacing w:line="240" w:lineRule="auto"/>
        <w:ind w:right="-2"/>
        <w:rPr>
          <w:szCs w:val="22"/>
          <w:lang w:eastAsia="en-GB"/>
        </w:rPr>
      </w:pPr>
      <w:r w:rsidRPr="001775D9">
        <w:rPr>
          <w:szCs w:val="22"/>
          <w:lang w:eastAsia="en-GB"/>
        </w:rPr>
        <w:t xml:space="preserve">This inflammation </w:t>
      </w:r>
      <w:r w:rsidR="000426A9" w:rsidRPr="001775D9">
        <w:rPr>
          <w:szCs w:val="22"/>
          <w:lang w:eastAsia="en-GB"/>
        </w:rPr>
        <w:t xml:space="preserve">may lead </w:t>
      </w:r>
      <w:r w:rsidRPr="001775D9">
        <w:rPr>
          <w:szCs w:val="22"/>
          <w:lang w:eastAsia="en-GB"/>
        </w:rPr>
        <w:t>to a decrease of vision and/or the presence of floaters in the eye (black dots or wispy lines that move across the field of vision). AMGEVITA works by reducing this inflammation</w:t>
      </w:r>
      <w:r w:rsidR="00CE288E" w:rsidRPr="001775D9">
        <w:rPr>
          <w:szCs w:val="22"/>
          <w:lang w:eastAsia="en-GB"/>
        </w:rPr>
        <w:t>.</w:t>
      </w:r>
    </w:p>
    <w:p w14:paraId="495D1B1B" w14:textId="77777777" w:rsidR="009F7AE3" w:rsidRPr="001775D9" w:rsidRDefault="009F7AE3" w:rsidP="00FB5458">
      <w:pPr>
        <w:tabs>
          <w:tab w:val="clear" w:pos="567"/>
        </w:tabs>
        <w:spacing w:line="240" w:lineRule="auto"/>
        <w:ind w:right="-2"/>
        <w:rPr>
          <w:szCs w:val="22"/>
          <w:lang w:eastAsia="en-GB"/>
        </w:rPr>
      </w:pPr>
    </w:p>
    <w:p w14:paraId="13E5AA29" w14:textId="77777777" w:rsidR="009D710C" w:rsidRPr="001775D9" w:rsidRDefault="009D710C" w:rsidP="00FB5458">
      <w:pPr>
        <w:tabs>
          <w:tab w:val="clear" w:pos="567"/>
        </w:tabs>
        <w:spacing w:line="240" w:lineRule="auto"/>
        <w:ind w:right="-2"/>
        <w:rPr>
          <w:szCs w:val="22"/>
        </w:rPr>
      </w:pPr>
    </w:p>
    <w:p w14:paraId="6CBDA814" w14:textId="77777777" w:rsidR="00524DB2" w:rsidRPr="001775D9" w:rsidRDefault="00524DB2" w:rsidP="00B61D9D">
      <w:pPr>
        <w:keepNext/>
        <w:spacing w:line="240" w:lineRule="auto"/>
        <w:ind w:left="567" w:hanging="567"/>
        <w:rPr>
          <w:b/>
          <w:szCs w:val="22"/>
        </w:rPr>
      </w:pPr>
      <w:r w:rsidRPr="001775D9">
        <w:rPr>
          <w:b/>
        </w:rPr>
        <w:t>2.</w:t>
      </w:r>
      <w:r w:rsidRPr="001775D9">
        <w:rPr>
          <w:b/>
        </w:rPr>
        <w:tab/>
        <w:t xml:space="preserve">What you need to know before you use </w:t>
      </w:r>
      <w:r w:rsidRPr="001775D9">
        <w:rPr>
          <w:b/>
          <w:szCs w:val="22"/>
        </w:rPr>
        <w:t>AMGEVITA</w:t>
      </w:r>
    </w:p>
    <w:p w14:paraId="42E60884" w14:textId="77777777" w:rsidR="00D720FC" w:rsidRPr="001775D9" w:rsidRDefault="00D720FC" w:rsidP="00FB5458">
      <w:pPr>
        <w:keepNext/>
        <w:spacing w:line="240" w:lineRule="auto"/>
        <w:ind w:right="-2"/>
        <w:rPr>
          <w:b/>
          <w:szCs w:val="22"/>
        </w:rPr>
      </w:pPr>
    </w:p>
    <w:p w14:paraId="0DE19689" w14:textId="5E5AB3BA" w:rsidR="00524DB2" w:rsidRPr="001775D9" w:rsidRDefault="00920A0E" w:rsidP="00FB5458">
      <w:pPr>
        <w:keepNext/>
        <w:numPr>
          <w:ilvl w:val="12"/>
          <w:numId w:val="0"/>
        </w:numPr>
        <w:tabs>
          <w:tab w:val="clear" w:pos="567"/>
        </w:tabs>
        <w:spacing w:line="240" w:lineRule="auto"/>
        <w:outlineLvl w:val="0"/>
        <w:rPr>
          <w:b/>
          <w:szCs w:val="22"/>
        </w:rPr>
      </w:pPr>
      <w:r w:rsidRPr="001775D9">
        <w:rPr>
          <w:b/>
          <w:szCs w:val="22"/>
        </w:rPr>
        <w:t>Do not use</w:t>
      </w:r>
      <w:r w:rsidR="00524DB2" w:rsidRPr="001775D9">
        <w:rPr>
          <w:b/>
          <w:szCs w:val="22"/>
        </w:rPr>
        <w:t xml:space="preserve"> AMGEVITA:</w:t>
      </w:r>
      <w:r w:rsidR="001C55FB" w:rsidRPr="001775D9">
        <w:rPr>
          <w:b/>
          <w:szCs w:val="22"/>
        </w:rPr>
        <w:fldChar w:fldCharType="begin"/>
      </w:r>
      <w:r w:rsidR="001C55FB" w:rsidRPr="001775D9">
        <w:rPr>
          <w:b/>
          <w:szCs w:val="22"/>
        </w:rPr>
        <w:instrText xml:space="preserve"> DOCVARIABLE vault_nd_14523895-44cb-4e71-b8f4-098e7ff075cd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258AC6F" w14:textId="77777777" w:rsidR="00524DB2" w:rsidRPr="001775D9" w:rsidRDefault="00524DB2" w:rsidP="00FB5458">
      <w:pPr>
        <w:keepNext/>
        <w:numPr>
          <w:ilvl w:val="12"/>
          <w:numId w:val="0"/>
        </w:numPr>
        <w:tabs>
          <w:tab w:val="clear" w:pos="567"/>
        </w:tabs>
        <w:spacing w:line="240" w:lineRule="auto"/>
        <w:outlineLvl w:val="0"/>
        <w:rPr>
          <w:szCs w:val="22"/>
        </w:rPr>
      </w:pPr>
    </w:p>
    <w:p w14:paraId="3EDBEDAC" w14:textId="77777777" w:rsidR="00524DB2" w:rsidRPr="001775D9" w:rsidRDefault="00524DB2" w:rsidP="004C05C4">
      <w:pPr>
        <w:numPr>
          <w:ilvl w:val="12"/>
          <w:numId w:val="0"/>
        </w:numPr>
        <w:spacing w:line="240" w:lineRule="auto"/>
        <w:ind w:left="567" w:hanging="567"/>
        <w:rPr>
          <w:szCs w:val="22"/>
        </w:rPr>
      </w:pPr>
      <w:r w:rsidRPr="001775D9">
        <w:rPr>
          <w:szCs w:val="22"/>
        </w:rPr>
        <w:t>-</w:t>
      </w:r>
      <w:r w:rsidRPr="001775D9">
        <w:rPr>
          <w:szCs w:val="22"/>
        </w:rPr>
        <w:tab/>
        <w:t xml:space="preserve">if you are allergic to adalimumab or any of the other ingredients of </w:t>
      </w:r>
      <w:r w:rsidRPr="001775D9">
        <w:t>this medicine (listed in section</w:t>
      </w:r>
      <w:r w:rsidRPr="001775D9">
        <w:rPr>
          <w:lang w:eastAsia="zh-TW"/>
        </w:rPr>
        <w:t> </w:t>
      </w:r>
      <w:r w:rsidRPr="001775D9">
        <w:t>6)</w:t>
      </w:r>
      <w:r w:rsidRPr="001775D9">
        <w:rPr>
          <w:szCs w:val="22"/>
        </w:rPr>
        <w:t>.</w:t>
      </w:r>
    </w:p>
    <w:p w14:paraId="1639C70A" w14:textId="3B0392AF" w:rsidR="00524DB2" w:rsidRPr="001775D9" w:rsidRDefault="00524DB2" w:rsidP="004C05C4">
      <w:pPr>
        <w:numPr>
          <w:ilvl w:val="0"/>
          <w:numId w:val="8"/>
        </w:numPr>
        <w:spacing w:line="240" w:lineRule="auto"/>
        <w:ind w:left="567" w:hanging="567"/>
        <w:rPr>
          <w:szCs w:val="22"/>
        </w:rPr>
      </w:pPr>
      <w:r w:rsidRPr="001775D9">
        <w:rPr>
          <w:szCs w:val="22"/>
        </w:rPr>
        <w:t>if you have a severe infection, including active tuberculosis</w:t>
      </w:r>
      <w:r w:rsidR="00A60CDB" w:rsidRPr="001775D9">
        <w:rPr>
          <w:szCs w:val="22"/>
        </w:rPr>
        <w:t xml:space="preserve">, sepsis (blood </w:t>
      </w:r>
      <w:r w:rsidR="004529BD" w:rsidRPr="001775D9">
        <w:rPr>
          <w:szCs w:val="22"/>
        </w:rPr>
        <w:t>infection</w:t>
      </w:r>
      <w:r w:rsidR="00A60CDB" w:rsidRPr="001775D9">
        <w:rPr>
          <w:szCs w:val="22"/>
        </w:rPr>
        <w:t xml:space="preserve">) or other opportunistic infections (unusual infections associated with a weakened immune system) </w:t>
      </w:r>
      <w:r w:rsidRPr="001775D9">
        <w:rPr>
          <w:szCs w:val="22"/>
        </w:rPr>
        <w:t xml:space="preserve">(see “Warnings and precautions”). It is important that you tell your doctor if you have symptoms of infections, e.g. fever, wounds, feeling tired, dental problems. </w:t>
      </w:r>
    </w:p>
    <w:p w14:paraId="41957F28" w14:textId="77777777" w:rsidR="00524DB2" w:rsidRPr="00D55B59" w:rsidRDefault="00524DB2" w:rsidP="004C05C4">
      <w:pPr>
        <w:pStyle w:val="Default"/>
        <w:numPr>
          <w:ilvl w:val="0"/>
          <w:numId w:val="8"/>
        </w:numPr>
        <w:tabs>
          <w:tab w:val="left" w:pos="567"/>
        </w:tabs>
        <w:ind w:left="567" w:hanging="567"/>
        <w:rPr>
          <w:sz w:val="22"/>
          <w:szCs w:val="22"/>
          <w:lang w:val="en-GB"/>
          <w:rPrChange w:id="3348" w:author="Author">
            <w:rPr>
              <w:sz w:val="22"/>
              <w:szCs w:val="22"/>
            </w:rPr>
          </w:rPrChange>
        </w:rPr>
      </w:pPr>
      <w:r w:rsidRPr="00D55B59">
        <w:rPr>
          <w:sz w:val="22"/>
          <w:szCs w:val="22"/>
          <w:lang w:val="en-GB"/>
          <w:rPrChange w:id="3349" w:author="Author">
            <w:rPr>
              <w:sz w:val="22"/>
              <w:szCs w:val="22"/>
            </w:rPr>
          </w:rPrChange>
        </w:rPr>
        <w:t xml:space="preserve">if you have moderate or severe heart failure. It is important to tell your doctor if you have had or have a serious heart condition (see “Warnings and precautions”). </w:t>
      </w:r>
    </w:p>
    <w:p w14:paraId="1F3C0809" w14:textId="77777777" w:rsidR="00524DB2" w:rsidRPr="001775D9" w:rsidRDefault="00524DB2" w:rsidP="00FB5458">
      <w:pPr>
        <w:numPr>
          <w:ilvl w:val="12"/>
          <w:numId w:val="0"/>
        </w:numPr>
        <w:tabs>
          <w:tab w:val="clear" w:pos="567"/>
        </w:tabs>
        <w:spacing w:line="240" w:lineRule="auto"/>
        <w:ind w:left="567" w:hanging="567"/>
        <w:rPr>
          <w:szCs w:val="22"/>
        </w:rPr>
      </w:pPr>
    </w:p>
    <w:p w14:paraId="5D0D0753" w14:textId="5C500E4A" w:rsidR="00524DB2" w:rsidRPr="001775D9" w:rsidRDefault="00524DB2" w:rsidP="008415E1">
      <w:pPr>
        <w:keepNext/>
        <w:keepLines/>
        <w:numPr>
          <w:ilvl w:val="12"/>
          <w:numId w:val="0"/>
        </w:numPr>
        <w:tabs>
          <w:tab w:val="clear" w:pos="567"/>
        </w:tabs>
        <w:spacing w:line="240" w:lineRule="auto"/>
        <w:outlineLvl w:val="0"/>
        <w:rPr>
          <w:b/>
          <w:szCs w:val="22"/>
        </w:rPr>
      </w:pPr>
      <w:r w:rsidRPr="001775D9">
        <w:rPr>
          <w:b/>
        </w:rPr>
        <w:t>Warnings and precautions</w:t>
      </w:r>
      <w:r w:rsidR="001C55FB" w:rsidRPr="001775D9">
        <w:rPr>
          <w:b/>
        </w:rPr>
        <w:fldChar w:fldCharType="begin"/>
      </w:r>
      <w:r w:rsidR="001C55FB" w:rsidRPr="001775D9">
        <w:rPr>
          <w:b/>
        </w:rPr>
        <w:instrText xml:space="preserve"> DOCVARIABLE vault_nd_3fdf5123-c5ad-4616-b301-a6245891acbc \* MERGEFORMAT </w:instrText>
      </w:r>
      <w:r w:rsidR="001C55FB" w:rsidRPr="001775D9">
        <w:rPr>
          <w:b/>
        </w:rPr>
        <w:fldChar w:fldCharType="separate"/>
      </w:r>
      <w:r w:rsidR="001C55FB" w:rsidRPr="001775D9">
        <w:rPr>
          <w:b/>
        </w:rPr>
        <w:t xml:space="preserve"> </w:t>
      </w:r>
      <w:r w:rsidR="001C55FB" w:rsidRPr="001775D9">
        <w:rPr>
          <w:b/>
        </w:rPr>
        <w:fldChar w:fldCharType="end"/>
      </w:r>
    </w:p>
    <w:p w14:paraId="57DEF4FC" w14:textId="77777777" w:rsidR="00524DB2" w:rsidRPr="001775D9" w:rsidRDefault="00524DB2" w:rsidP="008415E1">
      <w:pPr>
        <w:keepNext/>
        <w:keepLines/>
        <w:numPr>
          <w:ilvl w:val="12"/>
          <w:numId w:val="0"/>
        </w:numPr>
        <w:tabs>
          <w:tab w:val="clear" w:pos="567"/>
        </w:tabs>
        <w:spacing w:line="240" w:lineRule="auto"/>
      </w:pPr>
    </w:p>
    <w:p w14:paraId="1F694EBA" w14:textId="77777777" w:rsidR="00524DB2" w:rsidRPr="001775D9" w:rsidRDefault="00524DB2" w:rsidP="008415E1">
      <w:pPr>
        <w:keepNext/>
        <w:keepLines/>
        <w:numPr>
          <w:ilvl w:val="12"/>
          <w:numId w:val="0"/>
        </w:numPr>
        <w:tabs>
          <w:tab w:val="clear" w:pos="567"/>
        </w:tabs>
        <w:spacing w:line="240" w:lineRule="auto"/>
      </w:pPr>
      <w:r w:rsidRPr="001775D9">
        <w:t xml:space="preserve">Talk to your doctor or pharmacist before using </w:t>
      </w:r>
      <w:r w:rsidRPr="001775D9">
        <w:rPr>
          <w:szCs w:val="22"/>
        </w:rPr>
        <w:t>AMGEVITA</w:t>
      </w:r>
      <w:r w:rsidRPr="001775D9">
        <w:t>:</w:t>
      </w:r>
    </w:p>
    <w:p w14:paraId="25FDED9E" w14:textId="77777777" w:rsidR="00524DB2" w:rsidRPr="001775D9" w:rsidRDefault="00524DB2" w:rsidP="008415E1">
      <w:pPr>
        <w:numPr>
          <w:ilvl w:val="12"/>
          <w:numId w:val="0"/>
        </w:numPr>
        <w:spacing w:line="240" w:lineRule="auto"/>
        <w:ind w:right="-2"/>
        <w:rPr>
          <w:szCs w:val="22"/>
        </w:rPr>
      </w:pPr>
    </w:p>
    <w:p w14:paraId="2E8EF829" w14:textId="2ACF2739" w:rsidR="00116F43" w:rsidRPr="00D55B59" w:rsidRDefault="00116F43" w:rsidP="008415E1">
      <w:pPr>
        <w:pStyle w:val="Default"/>
        <w:tabs>
          <w:tab w:val="left" w:pos="567"/>
        </w:tabs>
        <w:rPr>
          <w:sz w:val="22"/>
          <w:szCs w:val="22"/>
          <w:lang w:val="en-GB"/>
          <w:rPrChange w:id="3350" w:author="Author">
            <w:rPr>
              <w:sz w:val="22"/>
              <w:szCs w:val="22"/>
            </w:rPr>
          </w:rPrChange>
        </w:rPr>
      </w:pPr>
      <w:r w:rsidRPr="00D55B59">
        <w:rPr>
          <w:sz w:val="22"/>
          <w:szCs w:val="22"/>
          <w:lang w:val="en-GB"/>
          <w:rPrChange w:id="3351" w:author="Author">
            <w:rPr>
              <w:sz w:val="22"/>
              <w:szCs w:val="22"/>
            </w:rPr>
          </w:rPrChange>
        </w:rPr>
        <w:t>Allergic reaction</w:t>
      </w:r>
      <w:ins w:id="3352" w:author="Author">
        <w:r w:rsidR="008413BC" w:rsidRPr="00D55B59">
          <w:rPr>
            <w:sz w:val="22"/>
            <w:szCs w:val="22"/>
            <w:lang w:val="en-GB"/>
            <w:rPrChange w:id="3353" w:author="Author">
              <w:rPr>
                <w:sz w:val="22"/>
                <w:szCs w:val="22"/>
              </w:rPr>
            </w:rPrChange>
          </w:rPr>
          <w:t>s</w:t>
        </w:r>
      </w:ins>
    </w:p>
    <w:p w14:paraId="6225499E" w14:textId="77777777" w:rsidR="00116F43" w:rsidRPr="00D55B59" w:rsidRDefault="00116F43" w:rsidP="008415E1">
      <w:pPr>
        <w:pStyle w:val="Default"/>
        <w:tabs>
          <w:tab w:val="left" w:pos="567"/>
        </w:tabs>
        <w:rPr>
          <w:sz w:val="22"/>
          <w:szCs w:val="22"/>
          <w:lang w:val="en-GB"/>
          <w:rPrChange w:id="3354" w:author="Author">
            <w:rPr>
              <w:sz w:val="22"/>
              <w:szCs w:val="22"/>
            </w:rPr>
          </w:rPrChange>
        </w:rPr>
      </w:pPr>
    </w:p>
    <w:p w14:paraId="19919B25" w14:textId="37CC2AB3" w:rsidR="00A7778B" w:rsidRPr="00D55B59" w:rsidRDefault="00524DB2" w:rsidP="008415E1">
      <w:pPr>
        <w:pStyle w:val="Default"/>
        <w:numPr>
          <w:ilvl w:val="0"/>
          <w:numId w:val="9"/>
        </w:numPr>
        <w:tabs>
          <w:tab w:val="left" w:pos="567"/>
        </w:tabs>
        <w:ind w:left="567" w:hanging="567"/>
        <w:rPr>
          <w:sz w:val="22"/>
          <w:szCs w:val="22"/>
          <w:lang w:val="en-GB"/>
          <w:rPrChange w:id="3355" w:author="Author">
            <w:rPr>
              <w:sz w:val="22"/>
              <w:szCs w:val="22"/>
            </w:rPr>
          </w:rPrChange>
        </w:rPr>
      </w:pPr>
      <w:r w:rsidRPr="00D55B59">
        <w:rPr>
          <w:sz w:val="22"/>
          <w:szCs w:val="22"/>
          <w:lang w:val="en-GB"/>
          <w:rPrChange w:id="3356" w:author="Author">
            <w:rPr>
              <w:sz w:val="22"/>
              <w:szCs w:val="22"/>
            </w:rPr>
          </w:rPrChange>
        </w:rPr>
        <w:t>If you experience allergic reactions with symptoms such as chest tightness, wheezing, dizziness, swelling or rash do not inject more AMGEVITA and contact your doctor immediately</w:t>
      </w:r>
      <w:r w:rsidR="00EF0A7E" w:rsidRPr="00D55B59">
        <w:rPr>
          <w:sz w:val="22"/>
          <w:szCs w:val="22"/>
          <w:lang w:val="en-GB"/>
          <w:rPrChange w:id="3357" w:author="Author">
            <w:rPr>
              <w:sz w:val="22"/>
              <w:szCs w:val="22"/>
            </w:rPr>
          </w:rPrChange>
        </w:rPr>
        <w:t xml:space="preserve"> since, in rare cases, these reactions can be life threatening</w:t>
      </w:r>
      <w:r w:rsidRPr="00D55B59">
        <w:rPr>
          <w:sz w:val="22"/>
          <w:szCs w:val="22"/>
          <w:lang w:val="en-GB"/>
          <w:rPrChange w:id="3358" w:author="Author">
            <w:rPr>
              <w:sz w:val="22"/>
              <w:szCs w:val="22"/>
            </w:rPr>
          </w:rPrChange>
        </w:rPr>
        <w:t>.</w:t>
      </w:r>
    </w:p>
    <w:p w14:paraId="01F99EA1" w14:textId="77777777" w:rsidR="00A7778B" w:rsidRPr="00D55B59" w:rsidRDefault="00A7778B" w:rsidP="008415E1">
      <w:pPr>
        <w:pStyle w:val="Default"/>
        <w:tabs>
          <w:tab w:val="left" w:pos="567"/>
        </w:tabs>
        <w:ind w:left="567"/>
        <w:rPr>
          <w:sz w:val="22"/>
          <w:szCs w:val="22"/>
          <w:lang w:val="en-GB"/>
          <w:rPrChange w:id="3359" w:author="Author">
            <w:rPr>
              <w:sz w:val="22"/>
              <w:szCs w:val="22"/>
            </w:rPr>
          </w:rPrChange>
        </w:rPr>
      </w:pPr>
    </w:p>
    <w:p w14:paraId="02C00990" w14:textId="4DC51A79" w:rsidR="00116F43" w:rsidRPr="00D55B59" w:rsidRDefault="00116F43" w:rsidP="008415E1">
      <w:pPr>
        <w:pStyle w:val="Default"/>
        <w:tabs>
          <w:tab w:val="left" w:pos="567"/>
        </w:tabs>
        <w:rPr>
          <w:sz w:val="22"/>
          <w:szCs w:val="22"/>
          <w:lang w:val="en-GB"/>
          <w:rPrChange w:id="3360" w:author="Author">
            <w:rPr>
              <w:sz w:val="22"/>
              <w:szCs w:val="22"/>
            </w:rPr>
          </w:rPrChange>
        </w:rPr>
      </w:pPr>
      <w:r w:rsidRPr="00D55B59">
        <w:rPr>
          <w:sz w:val="22"/>
          <w:szCs w:val="22"/>
          <w:lang w:val="en-GB"/>
          <w:rPrChange w:id="3361" w:author="Author">
            <w:rPr>
              <w:sz w:val="22"/>
              <w:szCs w:val="22"/>
            </w:rPr>
          </w:rPrChange>
        </w:rPr>
        <w:t>Infections</w:t>
      </w:r>
    </w:p>
    <w:p w14:paraId="321F43DF" w14:textId="77777777" w:rsidR="00116F43" w:rsidRPr="00D55B59" w:rsidRDefault="00116F43" w:rsidP="008415E1">
      <w:pPr>
        <w:pStyle w:val="Default"/>
        <w:tabs>
          <w:tab w:val="left" w:pos="567"/>
        </w:tabs>
        <w:ind w:left="567"/>
        <w:rPr>
          <w:sz w:val="22"/>
          <w:szCs w:val="22"/>
          <w:lang w:val="en-GB"/>
          <w:rPrChange w:id="3362" w:author="Author">
            <w:rPr>
              <w:sz w:val="22"/>
              <w:szCs w:val="22"/>
            </w:rPr>
          </w:rPrChange>
        </w:rPr>
      </w:pPr>
    </w:p>
    <w:p w14:paraId="2936B702" w14:textId="4E83AD9E" w:rsidR="00A7778B" w:rsidRPr="00D55B59" w:rsidRDefault="00A7778B" w:rsidP="008415E1">
      <w:pPr>
        <w:pStyle w:val="Default"/>
        <w:numPr>
          <w:ilvl w:val="0"/>
          <w:numId w:val="9"/>
        </w:numPr>
        <w:tabs>
          <w:tab w:val="left" w:pos="567"/>
        </w:tabs>
        <w:ind w:left="567" w:hanging="567"/>
        <w:rPr>
          <w:sz w:val="22"/>
          <w:szCs w:val="22"/>
          <w:lang w:val="en-GB"/>
          <w:rPrChange w:id="3363" w:author="Author">
            <w:rPr>
              <w:sz w:val="22"/>
              <w:szCs w:val="22"/>
            </w:rPr>
          </w:rPrChange>
        </w:rPr>
      </w:pPr>
      <w:r w:rsidRPr="00D55B59">
        <w:rPr>
          <w:sz w:val="22"/>
          <w:szCs w:val="22"/>
          <w:lang w:val="en-GB"/>
          <w:rPrChange w:id="3364" w:author="Author">
            <w:rPr>
              <w:sz w:val="22"/>
              <w:szCs w:val="22"/>
            </w:rPr>
          </w:rPrChange>
        </w:rPr>
        <w:t>If you have an infection, including long-term or locali</w:t>
      </w:r>
      <w:r w:rsidR="004855BF" w:rsidRPr="00D55B59">
        <w:rPr>
          <w:sz w:val="22"/>
          <w:szCs w:val="22"/>
          <w:lang w:val="en-GB"/>
          <w:rPrChange w:id="3365" w:author="Author">
            <w:rPr>
              <w:sz w:val="22"/>
              <w:szCs w:val="22"/>
            </w:rPr>
          </w:rPrChange>
        </w:rPr>
        <w:t>s</w:t>
      </w:r>
      <w:r w:rsidRPr="00D55B59">
        <w:rPr>
          <w:sz w:val="22"/>
          <w:szCs w:val="22"/>
          <w:lang w:val="en-GB"/>
          <w:rPrChange w:id="3366" w:author="Author">
            <w:rPr>
              <w:sz w:val="22"/>
              <w:szCs w:val="22"/>
            </w:rPr>
          </w:rPrChange>
        </w:rPr>
        <w:t>ed infection (for example, leg ulcer) consult your doctor before starting AMGEVITA. If you are unsure, contact your doctor.</w:t>
      </w:r>
    </w:p>
    <w:p w14:paraId="33178D69" w14:textId="77777777" w:rsidR="00524DB2" w:rsidRPr="00D55B59" w:rsidRDefault="00524DB2" w:rsidP="008415E1">
      <w:pPr>
        <w:pStyle w:val="Default"/>
        <w:numPr>
          <w:ilvl w:val="0"/>
          <w:numId w:val="9"/>
        </w:numPr>
        <w:tabs>
          <w:tab w:val="left" w:pos="567"/>
        </w:tabs>
        <w:ind w:left="567" w:hanging="567"/>
        <w:rPr>
          <w:sz w:val="22"/>
          <w:szCs w:val="22"/>
          <w:lang w:val="en-GB"/>
          <w:rPrChange w:id="3367" w:author="Author">
            <w:rPr>
              <w:sz w:val="22"/>
              <w:szCs w:val="22"/>
            </w:rPr>
          </w:rPrChange>
        </w:rPr>
      </w:pPr>
      <w:r w:rsidRPr="00D55B59">
        <w:rPr>
          <w:sz w:val="22"/>
          <w:szCs w:val="22"/>
          <w:lang w:val="en-GB"/>
          <w:rPrChange w:id="3368" w:author="Author">
            <w:rPr>
              <w:sz w:val="22"/>
              <w:szCs w:val="22"/>
            </w:rPr>
          </w:rPrChange>
        </w:rPr>
        <w:t xml:space="preserve">You might get infections more easily while you are receiving AMGEVITA treatment. This risk may increase if your lung function is impaired. These infections may be serious and include tuberculosis, infections caused by viruses, fungi, parasites or bacteria, or other opportunistic infections and sepsis that may, in rare cases, be life-threatening. It is important to tell your doctor if you get symptoms such as fever, wounds, feeling tired or dental problems. Your doctor may recommend temporary discontinuation of AMGEVITA. </w:t>
      </w:r>
    </w:p>
    <w:p w14:paraId="2998CC23" w14:textId="77777777" w:rsidR="00524DB2" w:rsidRPr="00D55B59" w:rsidRDefault="00524DB2" w:rsidP="008415E1">
      <w:pPr>
        <w:pStyle w:val="Default"/>
        <w:tabs>
          <w:tab w:val="left" w:pos="567"/>
        </w:tabs>
        <w:ind w:left="567" w:hanging="567"/>
        <w:rPr>
          <w:sz w:val="22"/>
          <w:szCs w:val="22"/>
          <w:lang w:val="en-GB"/>
          <w:rPrChange w:id="3369" w:author="Author">
            <w:rPr>
              <w:sz w:val="22"/>
              <w:szCs w:val="22"/>
            </w:rPr>
          </w:rPrChange>
        </w:rPr>
      </w:pPr>
    </w:p>
    <w:p w14:paraId="07ECE4EF" w14:textId="23D8C84A" w:rsidR="00116F43" w:rsidRPr="001775D9" w:rsidRDefault="00116F43" w:rsidP="00B61D9D">
      <w:pPr>
        <w:spacing w:line="240" w:lineRule="auto"/>
      </w:pPr>
      <w:r w:rsidRPr="001775D9">
        <w:t>Tuberculosis</w:t>
      </w:r>
    </w:p>
    <w:p w14:paraId="673C03CF" w14:textId="77777777" w:rsidR="00116F43" w:rsidRPr="001775D9" w:rsidRDefault="00116F43" w:rsidP="00B61D9D">
      <w:pPr>
        <w:spacing w:line="240" w:lineRule="auto"/>
        <w:ind w:left="567"/>
      </w:pPr>
    </w:p>
    <w:p w14:paraId="736ADF33" w14:textId="77777777" w:rsidR="003E5183" w:rsidRPr="001775D9" w:rsidRDefault="00524DB2" w:rsidP="00B61D9D">
      <w:pPr>
        <w:numPr>
          <w:ilvl w:val="0"/>
          <w:numId w:val="9"/>
        </w:numPr>
        <w:spacing w:line="240" w:lineRule="auto"/>
        <w:ind w:left="567" w:hanging="567"/>
      </w:pPr>
      <w:r w:rsidRPr="001775D9">
        <w:t xml:space="preserve">As cases of tuberculosis have been reported in patients treated with adalimumab, your doctor will check you for signs and symptoms of tuberculosis before starting </w:t>
      </w:r>
      <w:r w:rsidRPr="001775D9">
        <w:rPr>
          <w:szCs w:val="22"/>
        </w:rPr>
        <w:t>AMGEVITA</w:t>
      </w:r>
      <w:r w:rsidRPr="001775D9">
        <w:t xml:space="preserve">. This will include a thorough medical evaluation including your medical history and appropriate screening tests (for example chest x-ray and a tuberculin test). The conduct and results of these tests should be recorded on your </w:t>
      </w:r>
      <w:r w:rsidR="0067002D" w:rsidRPr="001775D9">
        <w:rPr>
          <w:b/>
        </w:rPr>
        <w:t>Patient Reminder Card</w:t>
      </w:r>
      <w:r w:rsidRPr="001775D9">
        <w:t xml:space="preserve">. It is very important that you tell your doctor if you have ever had tuberculosis, or if you have been in close contact with someone who has had tuberculosis. </w:t>
      </w:r>
    </w:p>
    <w:p w14:paraId="68AC2155" w14:textId="77777777" w:rsidR="003E5183" w:rsidRPr="001775D9" w:rsidRDefault="00524DB2" w:rsidP="00B61D9D">
      <w:pPr>
        <w:numPr>
          <w:ilvl w:val="0"/>
          <w:numId w:val="9"/>
        </w:numPr>
        <w:spacing w:line="240" w:lineRule="auto"/>
        <w:ind w:left="567" w:hanging="567"/>
      </w:pPr>
      <w:r w:rsidRPr="001775D9">
        <w:t xml:space="preserve">Tuberculosis can develop during therapy even if you have received preventative treatment for tuberculosis. </w:t>
      </w:r>
    </w:p>
    <w:p w14:paraId="65DC3022" w14:textId="6601A88D" w:rsidR="00524DB2" w:rsidRPr="001775D9" w:rsidRDefault="00524DB2" w:rsidP="00B61D9D">
      <w:pPr>
        <w:numPr>
          <w:ilvl w:val="0"/>
          <w:numId w:val="9"/>
        </w:numPr>
        <w:spacing w:line="240" w:lineRule="auto"/>
        <w:ind w:left="567" w:hanging="567"/>
      </w:pPr>
      <w:r w:rsidRPr="001775D9">
        <w:t>If symptoms of tuberculosis (persistent cough, weight loss, listlessness, mild fever), or any other infection appear during or after therapy</w:t>
      </w:r>
      <w:r w:rsidR="00092B65" w:rsidRPr="001775D9">
        <w:t>,</w:t>
      </w:r>
      <w:r w:rsidRPr="001775D9">
        <w:t xml:space="preserve"> tell your doctor immediately. </w:t>
      </w:r>
    </w:p>
    <w:p w14:paraId="4B2F64E3" w14:textId="77777777" w:rsidR="00524DB2" w:rsidRPr="00D55B59" w:rsidRDefault="00524DB2" w:rsidP="008415E1">
      <w:pPr>
        <w:pStyle w:val="Default"/>
        <w:tabs>
          <w:tab w:val="left" w:pos="567"/>
        </w:tabs>
        <w:ind w:left="567" w:hanging="567"/>
        <w:rPr>
          <w:sz w:val="22"/>
          <w:szCs w:val="22"/>
          <w:lang w:val="en-GB"/>
          <w:rPrChange w:id="3370" w:author="Author">
            <w:rPr>
              <w:sz w:val="22"/>
              <w:szCs w:val="22"/>
            </w:rPr>
          </w:rPrChange>
        </w:rPr>
      </w:pPr>
    </w:p>
    <w:p w14:paraId="64D716BD" w14:textId="19858B5C" w:rsidR="00116F43" w:rsidRPr="001775D9" w:rsidRDefault="00116F43" w:rsidP="00B61D9D">
      <w:pPr>
        <w:spacing w:line="240" w:lineRule="auto"/>
      </w:pPr>
      <w:r w:rsidRPr="001775D9">
        <w:t>Travel / recurrent infection</w:t>
      </w:r>
    </w:p>
    <w:p w14:paraId="408866F1" w14:textId="77777777" w:rsidR="00116F43" w:rsidRPr="001775D9" w:rsidRDefault="00116F43" w:rsidP="00B61D9D">
      <w:pPr>
        <w:spacing w:line="240" w:lineRule="auto"/>
        <w:ind w:left="567"/>
      </w:pPr>
    </w:p>
    <w:p w14:paraId="12FCB66A" w14:textId="19BECC04" w:rsidR="00524DB2" w:rsidRPr="001775D9" w:rsidRDefault="00524DB2" w:rsidP="00B61D9D">
      <w:pPr>
        <w:numPr>
          <w:ilvl w:val="0"/>
          <w:numId w:val="10"/>
        </w:numPr>
        <w:spacing w:line="240" w:lineRule="auto"/>
        <w:ind w:left="567" w:hanging="567"/>
      </w:pPr>
      <w:r w:rsidRPr="001775D9">
        <w:t>Advise your doctor if you reside or travel in regions where fungal infections such as histoplasmosis</w:t>
      </w:r>
      <w:r w:rsidR="00BC56A4" w:rsidRPr="001775D9">
        <w:t>,</w:t>
      </w:r>
      <w:r w:rsidRPr="001775D9">
        <w:t xml:space="preserve"> coccidioidomycosis or blastomycosis are endemic. </w:t>
      </w:r>
    </w:p>
    <w:p w14:paraId="03EEB5F0" w14:textId="77777777" w:rsidR="00524DB2" w:rsidRPr="001775D9" w:rsidRDefault="00524DB2" w:rsidP="00B61D9D">
      <w:pPr>
        <w:numPr>
          <w:ilvl w:val="0"/>
          <w:numId w:val="10"/>
        </w:numPr>
        <w:spacing w:line="240" w:lineRule="auto"/>
        <w:ind w:left="567" w:hanging="567"/>
      </w:pPr>
      <w:r w:rsidRPr="001775D9">
        <w:t xml:space="preserve">Advise your doctor if you have a history of recurrent infections or other conditions that increase the risk of infections. </w:t>
      </w:r>
    </w:p>
    <w:p w14:paraId="77C658DA" w14:textId="77777777" w:rsidR="00524DB2" w:rsidRPr="001775D9" w:rsidRDefault="00524DB2" w:rsidP="00B61D9D">
      <w:pPr>
        <w:spacing w:line="240" w:lineRule="auto"/>
        <w:ind w:left="567" w:hanging="567"/>
      </w:pPr>
    </w:p>
    <w:p w14:paraId="3C0531D1" w14:textId="5F3FBB4D" w:rsidR="00116F43" w:rsidRPr="001775D9" w:rsidRDefault="00116F43" w:rsidP="00B61D9D">
      <w:pPr>
        <w:spacing w:line="240" w:lineRule="auto"/>
      </w:pPr>
      <w:r w:rsidRPr="001775D9">
        <w:t>Hepatitis B virus</w:t>
      </w:r>
    </w:p>
    <w:p w14:paraId="0D53E351" w14:textId="77777777" w:rsidR="00116F43" w:rsidRPr="001775D9" w:rsidRDefault="00116F43" w:rsidP="00B61D9D">
      <w:pPr>
        <w:spacing w:line="240" w:lineRule="auto"/>
        <w:ind w:left="567"/>
      </w:pPr>
    </w:p>
    <w:p w14:paraId="0F4BAAE5" w14:textId="33401227" w:rsidR="00524DB2" w:rsidRPr="001775D9" w:rsidRDefault="00524DB2" w:rsidP="00B61D9D">
      <w:pPr>
        <w:numPr>
          <w:ilvl w:val="0"/>
          <w:numId w:val="10"/>
        </w:numPr>
        <w:spacing w:line="240" w:lineRule="auto"/>
        <w:ind w:left="567" w:hanging="567"/>
      </w:pPr>
      <w:r w:rsidRPr="001775D9">
        <w:t xml:space="preserve">Advise your doctor if you are a carrier of the hepatitis B virus (HBV), if you have active HBV or if you think you might be at risk of contracting HBV. Your doctor should test you for HBV. </w:t>
      </w:r>
      <w:r w:rsidRPr="001775D9">
        <w:rPr>
          <w:szCs w:val="22"/>
        </w:rPr>
        <w:t>AMGEVITA</w:t>
      </w:r>
      <w:r w:rsidRPr="001775D9">
        <w:t xml:space="preserve"> can cause reactivation of HBV in people who carry this virus. In some rare cases, especially if you are taking other medicines that suppress the immune system, reactivation of HBV can be life-threatening. </w:t>
      </w:r>
    </w:p>
    <w:p w14:paraId="64E7C4DE" w14:textId="77777777" w:rsidR="00524DB2" w:rsidRPr="001775D9" w:rsidRDefault="00524DB2" w:rsidP="008415E1">
      <w:pPr>
        <w:pStyle w:val="ListParagraph"/>
      </w:pPr>
    </w:p>
    <w:p w14:paraId="6F81C853" w14:textId="665D33AF" w:rsidR="00116F43" w:rsidRPr="001775D9" w:rsidRDefault="00116F43" w:rsidP="008415E1">
      <w:pPr>
        <w:tabs>
          <w:tab w:val="clear" w:pos="567"/>
        </w:tabs>
        <w:autoSpaceDE w:val="0"/>
        <w:autoSpaceDN w:val="0"/>
        <w:adjustRightInd w:val="0"/>
        <w:spacing w:line="240" w:lineRule="auto"/>
      </w:pPr>
      <w:r w:rsidRPr="001775D9">
        <w:t>Age over 65 years</w:t>
      </w:r>
    </w:p>
    <w:p w14:paraId="4B953A20" w14:textId="77777777" w:rsidR="00116F43" w:rsidRPr="001775D9" w:rsidRDefault="00116F43" w:rsidP="008415E1">
      <w:pPr>
        <w:tabs>
          <w:tab w:val="clear" w:pos="567"/>
        </w:tabs>
        <w:autoSpaceDE w:val="0"/>
        <w:autoSpaceDN w:val="0"/>
        <w:adjustRightInd w:val="0"/>
        <w:spacing w:line="240" w:lineRule="auto"/>
        <w:ind w:left="567"/>
      </w:pPr>
    </w:p>
    <w:p w14:paraId="2A7862E6" w14:textId="2B0164B9" w:rsidR="00524DB2" w:rsidRPr="001775D9" w:rsidRDefault="00524DB2" w:rsidP="004C05C4">
      <w:pPr>
        <w:numPr>
          <w:ilvl w:val="0"/>
          <w:numId w:val="10"/>
        </w:numPr>
        <w:spacing w:line="240" w:lineRule="auto"/>
        <w:ind w:left="567" w:hanging="567"/>
      </w:pPr>
      <w:r w:rsidRPr="001775D9">
        <w:rPr>
          <w:szCs w:val="22"/>
          <w:lang w:eastAsia="en-GB"/>
        </w:rPr>
        <w:t xml:space="preserve">If you are over 65 years you may be more susceptible to infections while taking </w:t>
      </w:r>
      <w:r w:rsidRPr="001775D9">
        <w:rPr>
          <w:szCs w:val="22"/>
        </w:rPr>
        <w:t>AMGEVITA</w:t>
      </w:r>
      <w:r w:rsidRPr="001775D9">
        <w:rPr>
          <w:szCs w:val="22"/>
          <w:lang w:eastAsia="en-GB"/>
        </w:rPr>
        <w:t xml:space="preserve">. You and your doctor should pay special attention to signs of infection while you are being treated with </w:t>
      </w:r>
      <w:r w:rsidRPr="001775D9">
        <w:rPr>
          <w:szCs w:val="22"/>
        </w:rPr>
        <w:t>AMGEVITA</w:t>
      </w:r>
      <w:r w:rsidRPr="001775D9">
        <w:rPr>
          <w:szCs w:val="22"/>
          <w:lang w:eastAsia="en-GB"/>
        </w:rPr>
        <w:t>. It is important to tell your doctor if you get symptoms of infections, such as fever, wounds, feeling tired or dental problems.</w:t>
      </w:r>
    </w:p>
    <w:p w14:paraId="6776DAC2" w14:textId="77777777" w:rsidR="00524DB2" w:rsidRPr="001775D9" w:rsidRDefault="00524DB2" w:rsidP="00FB5458">
      <w:pPr>
        <w:tabs>
          <w:tab w:val="clear" w:pos="567"/>
        </w:tabs>
        <w:autoSpaceDE w:val="0"/>
        <w:autoSpaceDN w:val="0"/>
        <w:adjustRightInd w:val="0"/>
        <w:spacing w:line="240" w:lineRule="auto"/>
      </w:pPr>
    </w:p>
    <w:p w14:paraId="06081AD7" w14:textId="4ECA1F59" w:rsidR="00C54643" w:rsidRPr="001775D9" w:rsidRDefault="00C54643" w:rsidP="00072C59">
      <w:pPr>
        <w:tabs>
          <w:tab w:val="clear" w:pos="567"/>
        </w:tabs>
        <w:autoSpaceDE w:val="0"/>
        <w:autoSpaceDN w:val="0"/>
        <w:adjustRightInd w:val="0"/>
        <w:spacing w:line="240" w:lineRule="auto"/>
        <w:rPr>
          <w:szCs w:val="22"/>
          <w:lang w:eastAsia="en-GB"/>
        </w:rPr>
      </w:pPr>
      <w:r w:rsidRPr="001775D9">
        <w:rPr>
          <w:szCs w:val="22"/>
          <w:lang w:eastAsia="en-GB"/>
        </w:rPr>
        <w:t>Surgery or dental procedures</w:t>
      </w:r>
    </w:p>
    <w:p w14:paraId="4241162C" w14:textId="77777777" w:rsidR="00C54643" w:rsidRPr="001775D9" w:rsidRDefault="00C54643" w:rsidP="00072C59">
      <w:pPr>
        <w:tabs>
          <w:tab w:val="clear" w:pos="567"/>
        </w:tabs>
        <w:autoSpaceDE w:val="0"/>
        <w:autoSpaceDN w:val="0"/>
        <w:adjustRightInd w:val="0"/>
        <w:spacing w:line="240" w:lineRule="auto"/>
        <w:ind w:left="567"/>
        <w:rPr>
          <w:szCs w:val="22"/>
          <w:lang w:eastAsia="en-GB"/>
        </w:rPr>
      </w:pPr>
    </w:p>
    <w:p w14:paraId="55B33013" w14:textId="3B354796" w:rsidR="00524DB2" w:rsidRPr="001775D9" w:rsidRDefault="00524DB2" w:rsidP="004C05C4">
      <w:pPr>
        <w:numPr>
          <w:ilvl w:val="0"/>
          <w:numId w:val="10"/>
        </w:numPr>
        <w:spacing w:line="240" w:lineRule="auto"/>
        <w:ind w:left="567" w:hanging="567"/>
        <w:rPr>
          <w:szCs w:val="22"/>
          <w:lang w:eastAsia="en-GB"/>
        </w:rPr>
      </w:pPr>
      <w:r w:rsidRPr="001775D9">
        <w:rPr>
          <w:szCs w:val="22"/>
          <w:lang w:eastAsia="en-GB"/>
        </w:rPr>
        <w:t xml:space="preserve">If you are about to undergo surgery or dental procedures please inform your doctor that you are taking </w:t>
      </w:r>
      <w:r w:rsidRPr="001775D9">
        <w:rPr>
          <w:szCs w:val="22"/>
        </w:rPr>
        <w:t>AMGEVITA</w:t>
      </w:r>
      <w:r w:rsidRPr="001775D9">
        <w:rPr>
          <w:szCs w:val="22"/>
          <w:lang w:eastAsia="en-GB"/>
        </w:rPr>
        <w:t xml:space="preserve">. Your doctor may recommend temporary discontinuation of </w:t>
      </w:r>
      <w:r w:rsidRPr="001775D9">
        <w:rPr>
          <w:szCs w:val="22"/>
        </w:rPr>
        <w:t>AMGEVITA</w:t>
      </w:r>
      <w:r w:rsidRPr="001775D9">
        <w:rPr>
          <w:szCs w:val="22"/>
          <w:lang w:eastAsia="en-GB"/>
        </w:rPr>
        <w:t>.</w:t>
      </w:r>
    </w:p>
    <w:p w14:paraId="56481C72" w14:textId="77777777" w:rsidR="00524DB2" w:rsidRPr="001775D9" w:rsidRDefault="00524DB2" w:rsidP="00FB5458">
      <w:pPr>
        <w:tabs>
          <w:tab w:val="clear" w:pos="567"/>
        </w:tabs>
        <w:autoSpaceDE w:val="0"/>
        <w:autoSpaceDN w:val="0"/>
        <w:adjustRightInd w:val="0"/>
        <w:spacing w:line="240" w:lineRule="auto"/>
        <w:rPr>
          <w:szCs w:val="22"/>
          <w:lang w:eastAsia="en-GB"/>
        </w:rPr>
      </w:pPr>
    </w:p>
    <w:p w14:paraId="0C1B7E5E" w14:textId="4FFED3F1" w:rsidR="00C54643" w:rsidRPr="001775D9" w:rsidRDefault="00C54643" w:rsidP="00072C59">
      <w:pPr>
        <w:tabs>
          <w:tab w:val="clear" w:pos="567"/>
        </w:tabs>
        <w:autoSpaceDE w:val="0"/>
        <w:autoSpaceDN w:val="0"/>
        <w:adjustRightInd w:val="0"/>
        <w:spacing w:line="240" w:lineRule="auto"/>
        <w:rPr>
          <w:szCs w:val="22"/>
          <w:lang w:eastAsia="en-GB"/>
        </w:rPr>
      </w:pPr>
      <w:r w:rsidRPr="001775D9">
        <w:rPr>
          <w:szCs w:val="22"/>
          <w:lang w:eastAsia="en-GB"/>
        </w:rPr>
        <w:t>Demye</w:t>
      </w:r>
      <w:r w:rsidR="002A3BB4" w:rsidRPr="001775D9">
        <w:rPr>
          <w:szCs w:val="22"/>
          <w:lang w:eastAsia="en-GB"/>
        </w:rPr>
        <w:t>linating disease</w:t>
      </w:r>
    </w:p>
    <w:p w14:paraId="3F79A5F7" w14:textId="77777777" w:rsidR="00C54643" w:rsidRPr="001775D9" w:rsidRDefault="00C54643" w:rsidP="00072C59">
      <w:pPr>
        <w:tabs>
          <w:tab w:val="clear" w:pos="567"/>
        </w:tabs>
        <w:autoSpaceDE w:val="0"/>
        <w:autoSpaceDN w:val="0"/>
        <w:adjustRightInd w:val="0"/>
        <w:spacing w:line="240" w:lineRule="auto"/>
        <w:ind w:left="567"/>
        <w:rPr>
          <w:szCs w:val="22"/>
          <w:lang w:eastAsia="en-GB"/>
        </w:rPr>
      </w:pPr>
    </w:p>
    <w:p w14:paraId="27782F8F" w14:textId="3B216B3B" w:rsidR="009D710C" w:rsidRPr="001775D9" w:rsidRDefault="00524DB2" w:rsidP="004C05C4">
      <w:pPr>
        <w:numPr>
          <w:ilvl w:val="0"/>
          <w:numId w:val="10"/>
        </w:numPr>
        <w:spacing w:line="240" w:lineRule="auto"/>
        <w:ind w:left="567" w:hanging="567"/>
        <w:rPr>
          <w:szCs w:val="22"/>
          <w:lang w:eastAsia="en-GB"/>
        </w:rPr>
      </w:pPr>
      <w:r w:rsidRPr="001775D9">
        <w:rPr>
          <w:szCs w:val="22"/>
          <w:lang w:eastAsia="en-GB"/>
        </w:rPr>
        <w:t>If you have</w:t>
      </w:r>
      <w:r w:rsidR="009D710C" w:rsidRPr="001775D9">
        <w:rPr>
          <w:szCs w:val="22"/>
          <w:lang w:eastAsia="en-GB"/>
        </w:rPr>
        <w:t xml:space="preserve"> or develop</w:t>
      </w:r>
      <w:r w:rsidRPr="001775D9">
        <w:rPr>
          <w:szCs w:val="22"/>
          <w:lang w:eastAsia="en-GB"/>
        </w:rPr>
        <w:t xml:space="preserve"> demyelinating disease such as multiple sclerosis, your doctor will decide if you should receive </w:t>
      </w:r>
      <w:r w:rsidR="009D710C" w:rsidRPr="001775D9">
        <w:rPr>
          <w:szCs w:val="22"/>
          <w:lang w:eastAsia="en-GB"/>
        </w:rPr>
        <w:t xml:space="preserve">or continue to receive </w:t>
      </w:r>
      <w:r w:rsidRPr="001775D9">
        <w:rPr>
          <w:szCs w:val="22"/>
        </w:rPr>
        <w:t>AMGEVITA</w:t>
      </w:r>
      <w:r w:rsidRPr="001775D9">
        <w:t>.</w:t>
      </w:r>
      <w:r w:rsidR="009D710C" w:rsidRPr="001775D9">
        <w:t xml:space="preserve"> </w:t>
      </w:r>
      <w:r w:rsidR="009D710C" w:rsidRPr="001775D9">
        <w:rPr>
          <w:szCs w:val="22"/>
          <w:lang w:eastAsia="en-GB"/>
        </w:rPr>
        <w:t>Tell your doctor immediately if you experience symptoms like changes in your vision, weakness in your arms or legs or numbness or tingling in any part of your body.</w:t>
      </w:r>
    </w:p>
    <w:p w14:paraId="48C55B3D" w14:textId="77777777" w:rsidR="00524DB2" w:rsidRPr="001775D9" w:rsidRDefault="00524DB2" w:rsidP="00FB5458">
      <w:pPr>
        <w:tabs>
          <w:tab w:val="clear" w:pos="567"/>
        </w:tabs>
        <w:autoSpaceDE w:val="0"/>
        <w:autoSpaceDN w:val="0"/>
        <w:adjustRightInd w:val="0"/>
        <w:spacing w:line="240" w:lineRule="auto"/>
        <w:ind w:left="567" w:hanging="567"/>
        <w:rPr>
          <w:szCs w:val="22"/>
          <w:lang w:eastAsia="en-GB"/>
        </w:rPr>
      </w:pPr>
    </w:p>
    <w:p w14:paraId="1E4A956D" w14:textId="138BC5FD" w:rsidR="002A3BB4" w:rsidRPr="001775D9" w:rsidRDefault="002A3BB4" w:rsidP="002A3BB4">
      <w:pPr>
        <w:tabs>
          <w:tab w:val="clear" w:pos="567"/>
        </w:tabs>
        <w:autoSpaceDE w:val="0"/>
        <w:autoSpaceDN w:val="0"/>
        <w:adjustRightInd w:val="0"/>
        <w:spacing w:line="240" w:lineRule="auto"/>
        <w:rPr>
          <w:szCs w:val="22"/>
          <w:lang w:eastAsia="en-GB"/>
        </w:rPr>
      </w:pPr>
      <w:r w:rsidRPr="001775D9">
        <w:rPr>
          <w:szCs w:val="22"/>
          <w:lang w:eastAsia="en-GB"/>
        </w:rPr>
        <w:t>Vaccinations</w:t>
      </w:r>
    </w:p>
    <w:p w14:paraId="487EE131" w14:textId="77777777" w:rsidR="002A3BB4" w:rsidRPr="001775D9" w:rsidRDefault="002A3BB4" w:rsidP="00072C59">
      <w:pPr>
        <w:tabs>
          <w:tab w:val="clear" w:pos="567"/>
        </w:tabs>
        <w:autoSpaceDE w:val="0"/>
        <w:autoSpaceDN w:val="0"/>
        <w:adjustRightInd w:val="0"/>
        <w:spacing w:line="240" w:lineRule="auto"/>
        <w:rPr>
          <w:szCs w:val="22"/>
          <w:lang w:eastAsia="en-GB"/>
        </w:rPr>
      </w:pPr>
    </w:p>
    <w:p w14:paraId="48EF9C48" w14:textId="77777777" w:rsidR="008017AA" w:rsidRPr="001775D9" w:rsidRDefault="00524DB2" w:rsidP="004C05C4">
      <w:pPr>
        <w:numPr>
          <w:ilvl w:val="0"/>
          <w:numId w:val="10"/>
        </w:numPr>
        <w:spacing w:line="240" w:lineRule="auto"/>
        <w:ind w:left="567" w:hanging="567"/>
        <w:rPr>
          <w:szCs w:val="22"/>
          <w:lang w:eastAsia="en-GB"/>
        </w:rPr>
      </w:pPr>
      <w:r w:rsidRPr="001775D9">
        <w:rPr>
          <w:szCs w:val="22"/>
          <w:lang w:eastAsia="en-GB"/>
        </w:rPr>
        <w:t xml:space="preserve">Certain vaccines </w:t>
      </w:r>
      <w:r w:rsidR="00623DC0" w:rsidRPr="001775D9">
        <w:rPr>
          <w:szCs w:val="22"/>
          <w:lang w:eastAsia="en-GB"/>
        </w:rPr>
        <w:t xml:space="preserve">contain living but weakened forms of disease-causing bacteria or viruses that </w:t>
      </w:r>
      <w:r w:rsidRPr="001775D9">
        <w:rPr>
          <w:szCs w:val="22"/>
          <w:lang w:eastAsia="en-GB"/>
        </w:rPr>
        <w:t xml:space="preserve">may cause infections and should not be given while receiving </w:t>
      </w:r>
      <w:r w:rsidRPr="001775D9">
        <w:rPr>
          <w:szCs w:val="22"/>
        </w:rPr>
        <w:t>AMGEVITA</w:t>
      </w:r>
      <w:r w:rsidRPr="001775D9">
        <w:rPr>
          <w:szCs w:val="22"/>
          <w:lang w:eastAsia="en-GB"/>
        </w:rPr>
        <w:t xml:space="preserve">. Please check with your doctor before you receive any vaccines. It is recommended that children, if possible, be brought up to date with all immunisations in agreement with current immunisation guidelines prior to initiating </w:t>
      </w:r>
      <w:r w:rsidRPr="001775D9">
        <w:rPr>
          <w:szCs w:val="22"/>
        </w:rPr>
        <w:t>AMGEVITA</w:t>
      </w:r>
      <w:r w:rsidRPr="001775D9">
        <w:rPr>
          <w:szCs w:val="22"/>
          <w:lang w:eastAsia="en-GB"/>
        </w:rPr>
        <w:t xml:space="preserve"> therapy. </w:t>
      </w:r>
    </w:p>
    <w:p w14:paraId="564A0847" w14:textId="0A10FE12" w:rsidR="00524DB2" w:rsidRPr="001775D9" w:rsidRDefault="00524DB2" w:rsidP="004C05C4">
      <w:pPr>
        <w:numPr>
          <w:ilvl w:val="0"/>
          <w:numId w:val="10"/>
        </w:numPr>
        <w:spacing w:line="240" w:lineRule="auto"/>
        <w:ind w:left="567" w:hanging="567"/>
        <w:rPr>
          <w:szCs w:val="22"/>
          <w:lang w:eastAsia="en-GB"/>
        </w:rPr>
      </w:pPr>
      <w:r w:rsidRPr="001775D9">
        <w:rPr>
          <w:szCs w:val="22"/>
          <w:lang w:eastAsia="en-GB"/>
        </w:rPr>
        <w:t xml:space="preserve">If you received </w:t>
      </w:r>
      <w:r w:rsidRPr="001775D9">
        <w:rPr>
          <w:szCs w:val="22"/>
        </w:rPr>
        <w:t>AMGEVITA</w:t>
      </w:r>
      <w:r w:rsidRPr="001775D9">
        <w:rPr>
          <w:szCs w:val="22"/>
          <w:lang w:eastAsia="en-GB"/>
        </w:rPr>
        <w:t xml:space="preserve"> while you were pregnant, your baby may be at higher risk for getting such an infection for up to approximately five months after the last dose you received during pregnancy. It is important that you tell your baby's doctors and other health care professionals about your </w:t>
      </w:r>
      <w:r w:rsidRPr="001775D9">
        <w:rPr>
          <w:szCs w:val="22"/>
        </w:rPr>
        <w:t>AMGEVITA</w:t>
      </w:r>
      <w:r w:rsidRPr="001775D9">
        <w:rPr>
          <w:szCs w:val="22"/>
          <w:lang w:eastAsia="en-GB"/>
        </w:rPr>
        <w:t xml:space="preserve"> use during your pregnancy so they can decide when your baby should receive any vaccine.</w:t>
      </w:r>
    </w:p>
    <w:p w14:paraId="712C72D1" w14:textId="77777777" w:rsidR="00524DB2" w:rsidRPr="001775D9" w:rsidRDefault="00524DB2" w:rsidP="00FB5458">
      <w:pPr>
        <w:tabs>
          <w:tab w:val="clear" w:pos="567"/>
        </w:tabs>
        <w:autoSpaceDE w:val="0"/>
        <w:autoSpaceDN w:val="0"/>
        <w:adjustRightInd w:val="0"/>
        <w:spacing w:line="240" w:lineRule="auto"/>
        <w:ind w:left="567" w:hanging="567"/>
        <w:rPr>
          <w:szCs w:val="22"/>
          <w:lang w:eastAsia="en-GB"/>
        </w:rPr>
      </w:pPr>
    </w:p>
    <w:p w14:paraId="187A2BA1" w14:textId="258FC0BA" w:rsidR="00623DC0" w:rsidRPr="001775D9" w:rsidRDefault="00623DC0" w:rsidP="00072C59">
      <w:pPr>
        <w:tabs>
          <w:tab w:val="clear" w:pos="567"/>
        </w:tabs>
        <w:autoSpaceDE w:val="0"/>
        <w:autoSpaceDN w:val="0"/>
        <w:adjustRightInd w:val="0"/>
        <w:spacing w:line="240" w:lineRule="auto"/>
        <w:rPr>
          <w:szCs w:val="22"/>
          <w:lang w:eastAsia="en-GB"/>
        </w:rPr>
      </w:pPr>
      <w:r w:rsidRPr="001775D9">
        <w:rPr>
          <w:szCs w:val="22"/>
          <w:lang w:eastAsia="en-GB"/>
        </w:rPr>
        <w:t>Heart failure</w:t>
      </w:r>
    </w:p>
    <w:p w14:paraId="6CE2C729" w14:textId="77777777" w:rsidR="00623DC0" w:rsidRPr="001775D9" w:rsidRDefault="00623DC0" w:rsidP="00072C59">
      <w:pPr>
        <w:tabs>
          <w:tab w:val="clear" w:pos="567"/>
        </w:tabs>
        <w:autoSpaceDE w:val="0"/>
        <w:autoSpaceDN w:val="0"/>
        <w:adjustRightInd w:val="0"/>
        <w:spacing w:line="240" w:lineRule="auto"/>
        <w:ind w:left="567"/>
        <w:rPr>
          <w:szCs w:val="22"/>
          <w:lang w:eastAsia="en-GB"/>
        </w:rPr>
      </w:pPr>
    </w:p>
    <w:p w14:paraId="513DB2C3" w14:textId="30E9E81B" w:rsidR="00524DB2" w:rsidRPr="001775D9" w:rsidRDefault="00524DB2" w:rsidP="00A0447F">
      <w:pPr>
        <w:numPr>
          <w:ilvl w:val="0"/>
          <w:numId w:val="10"/>
        </w:numPr>
        <w:spacing w:line="240" w:lineRule="auto"/>
        <w:ind w:left="567" w:hanging="567"/>
        <w:rPr>
          <w:szCs w:val="22"/>
          <w:lang w:eastAsia="en-GB"/>
        </w:rPr>
      </w:pPr>
      <w:r w:rsidRPr="001775D9">
        <w:rPr>
          <w:szCs w:val="22"/>
          <w:lang w:eastAsia="en-GB"/>
        </w:rPr>
        <w:t xml:space="preserve">If you have mild heart failure and you are being treated with </w:t>
      </w:r>
      <w:r w:rsidRPr="001775D9">
        <w:rPr>
          <w:szCs w:val="22"/>
        </w:rPr>
        <w:t>AMGEVITA</w:t>
      </w:r>
      <w:r w:rsidRPr="001775D9">
        <w:rPr>
          <w:szCs w:val="22"/>
          <w:lang w:eastAsia="en-GB"/>
        </w:rPr>
        <w:t xml:space="preserve">, your heart failure status must be closely monitored by your doctor. It is important to tell your doctor if you have had or have a serious heart condition. If you develop new or worsening symptoms of heart failure (e.g. shortness of breath, or swelling of your feet), you must contact your doctor immediately. </w:t>
      </w:r>
      <w:r w:rsidR="000426A9" w:rsidRPr="001775D9">
        <w:rPr>
          <w:szCs w:val="22"/>
          <w:lang w:eastAsia="en-GB"/>
        </w:rPr>
        <w:t>Your doctor will decide if you should receive AMGEVITA.</w:t>
      </w:r>
    </w:p>
    <w:p w14:paraId="46FFBFFA" w14:textId="77777777" w:rsidR="00524DB2" w:rsidRPr="001775D9" w:rsidRDefault="00524DB2" w:rsidP="00FB5458">
      <w:pPr>
        <w:tabs>
          <w:tab w:val="clear" w:pos="567"/>
        </w:tabs>
        <w:autoSpaceDE w:val="0"/>
        <w:autoSpaceDN w:val="0"/>
        <w:adjustRightInd w:val="0"/>
        <w:spacing w:line="240" w:lineRule="auto"/>
        <w:rPr>
          <w:szCs w:val="22"/>
          <w:lang w:eastAsia="en-GB"/>
        </w:rPr>
      </w:pPr>
    </w:p>
    <w:p w14:paraId="5F7AAB2A" w14:textId="0FD167CD" w:rsidR="00623DC0" w:rsidRPr="001775D9" w:rsidRDefault="00623DC0" w:rsidP="00072C59">
      <w:pPr>
        <w:tabs>
          <w:tab w:val="clear" w:pos="567"/>
        </w:tabs>
        <w:autoSpaceDE w:val="0"/>
        <w:autoSpaceDN w:val="0"/>
        <w:adjustRightInd w:val="0"/>
        <w:spacing w:line="240" w:lineRule="auto"/>
        <w:rPr>
          <w:szCs w:val="22"/>
          <w:lang w:eastAsia="en-GB"/>
        </w:rPr>
      </w:pPr>
      <w:r w:rsidRPr="001775D9">
        <w:rPr>
          <w:szCs w:val="22"/>
          <w:lang w:eastAsia="en-GB"/>
        </w:rPr>
        <w:t>Fever, bruising, bleeding or looking pale</w:t>
      </w:r>
    </w:p>
    <w:p w14:paraId="67F7E363" w14:textId="77777777" w:rsidR="00623DC0" w:rsidRPr="001775D9" w:rsidRDefault="00623DC0" w:rsidP="00072C59">
      <w:pPr>
        <w:tabs>
          <w:tab w:val="clear" w:pos="567"/>
        </w:tabs>
        <w:autoSpaceDE w:val="0"/>
        <w:autoSpaceDN w:val="0"/>
        <w:adjustRightInd w:val="0"/>
        <w:spacing w:line="240" w:lineRule="auto"/>
        <w:ind w:left="567"/>
        <w:rPr>
          <w:szCs w:val="22"/>
          <w:lang w:eastAsia="en-GB"/>
        </w:rPr>
      </w:pPr>
    </w:p>
    <w:p w14:paraId="5C74AB31" w14:textId="16E16209" w:rsidR="00524DB2" w:rsidRPr="001775D9" w:rsidRDefault="00524DB2" w:rsidP="00A0447F">
      <w:pPr>
        <w:numPr>
          <w:ilvl w:val="0"/>
          <w:numId w:val="10"/>
        </w:numPr>
        <w:spacing w:line="240" w:lineRule="auto"/>
        <w:ind w:left="567" w:hanging="567"/>
        <w:rPr>
          <w:szCs w:val="22"/>
          <w:lang w:eastAsia="en-GB"/>
        </w:rPr>
      </w:pPr>
      <w:r w:rsidRPr="001775D9">
        <w:rPr>
          <w:szCs w:val="22"/>
          <w:lang w:eastAsia="en-GB"/>
        </w:rPr>
        <w:t>In some patients the body may fail to produce enough of the blood cells that help your body fight infections or help you to stop bleeding. If you develop a fever that does not go away, bruise or bleed very easily or look very pale, call your doctor right away. Your doctor may decide to stop treatment.</w:t>
      </w:r>
    </w:p>
    <w:p w14:paraId="02D85AAF" w14:textId="77777777" w:rsidR="00524DB2" w:rsidRPr="001775D9" w:rsidRDefault="00524DB2" w:rsidP="00FB5458">
      <w:pPr>
        <w:tabs>
          <w:tab w:val="clear" w:pos="567"/>
        </w:tabs>
        <w:autoSpaceDE w:val="0"/>
        <w:autoSpaceDN w:val="0"/>
        <w:adjustRightInd w:val="0"/>
        <w:spacing w:line="240" w:lineRule="auto"/>
        <w:ind w:left="567" w:hanging="567"/>
        <w:rPr>
          <w:szCs w:val="22"/>
          <w:lang w:eastAsia="en-GB"/>
        </w:rPr>
      </w:pPr>
    </w:p>
    <w:p w14:paraId="4AE90775" w14:textId="2B9A763D" w:rsidR="00623DC0" w:rsidRPr="001775D9" w:rsidRDefault="00623DC0" w:rsidP="00072C59">
      <w:pPr>
        <w:tabs>
          <w:tab w:val="clear" w:pos="567"/>
        </w:tabs>
        <w:autoSpaceDE w:val="0"/>
        <w:autoSpaceDN w:val="0"/>
        <w:adjustRightInd w:val="0"/>
        <w:spacing w:line="240" w:lineRule="auto"/>
        <w:rPr>
          <w:szCs w:val="22"/>
          <w:lang w:eastAsia="en-GB"/>
        </w:rPr>
      </w:pPr>
      <w:r w:rsidRPr="001775D9">
        <w:rPr>
          <w:szCs w:val="22"/>
          <w:lang w:eastAsia="en-GB"/>
        </w:rPr>
        <w:t>Cancer</w:t>
      </w:r>
    </w:p>
    <w:p w14:paraId="09AEF337" w14:textId="77777777" w:rsidR="00623DC0" w:rsidRPr="001775D9" w:rsidRDefault="00623DC0" w:rsidP="00072C59">
      <w:pPr>
        <w:tabs>
          <w:tab w:val="clear" w:pos="567"/>
        </w:tabs>
        <w:autoSpaceDE w:val="0"/>
        <w:autoSpaceDN w:val="0"/>
        <w:adjustRightInd w:val="0"/>
        <w:spacing w:line="240" w:lineRule="auto"/>
        <w:ind w:left="567"/>
        <w:rPr>
          <w:szCs w:val="22"/>
          <w:lang w:eastAsia="en-GB"/>
        </w:rPr>
      </w:pPr>
    </w:p>
    <w:p w14:paraId="79213A27" w14:textId="77777777" w:rsidR="00DA5EB4" w:rsidRPr="001775D9" w:rsidRDefault="00524DB2" w:rsidP="00A0447F">
      <w:pPr>
        <w:numPr>
          <w:ilvl w:val="0"/>
          <w:numId w:val="10"/>
        </w:numPr>
        <w:spacing w:line="240" w:lineRule="auto"/>
        <w:ind w:left="567" w:hanging="567"/>
        <w:rPr>
          <w:szCs w:val="22"/>
          <w:lang w:eastAsia="en-GB"/>
        </w:rPr>
      </w:pPr>
      <w:r w:rsidRPr="001775D9">
        <w:rPr>
          <w:szCs w:val="22"/>
          <w:lang w:eastAsia="en-GB"/>
        </w:rPr>
        <w:t>There have been very rare cases of certain kinds of cancer in children and adult patients taking adalimumab or other TNF blockers. People with more serious rheumatoid arthritis that have had the disease for a long time may have a higher than average risk of getting lymphoma (a</w:t>
      </w:r>
      <w:r w:rsidR="00F45F72" w:rsidRPr="001775D9">
        <w:rPr>
          <w:szCs w:val="22"/>
          <w:lang w:eastAsia="en-GB"/>
        </w:rPr>
        <w:t xml:space="preserve"> </w:t>
      </w:r>
      <w:r w:rsidRPr="001775D9">
        <w:rPr>
          <w:szCs w:val="22"/>
          <w:lang w:eastAsia="en-GB"/>
        </w:rPr>
        <w:t xml:space="preserve">cancer that affects the lymph system), and leukaemia (a cancer that affects the blood and bone marrow). </w:t>
      </w:r>
    </w:p>
    <w:p w14:paraId="013AB2FB" w14:textId="397C85AE" w:rsidR="008017AA" w:rsidRPr="001775D9" w:rsidRDefault="00524DB2" w:rsidP="00A0447F">
      <w:pPr>
        <w:numPr>
          <w:ilvl w:val="0"/>
          <w:numId w:val="10"/>
        </w:numPr>
        <w:spacing w:line="240" w:lineRule="auto"/>
        <w:ind w:left="567" w:hanging="567"/>
        <w:rPr>
          <w:szCs w:val="22"/>
          <w:lang w:eastAsia="en-GB"/>
        </w:rPr>
      </w:pPr>
      <w:r w:rsidRPr="001775D9">
        <w:rPr>
          <w:szCs w:val="22"/>
          <w:lang w:eastAsia="en-GB"/>
        </w:rPr>
        <w:t xml:space="preserve">If you take </w:t>
      </w:r>
      <w:r w:rsidRPr="001775D9">
        <w:rPr>
          <w:szCs w:val="22"/>
        </w:rPr>
        <w:t>AMGEVITA</w:t>
      </w:r>
      <w:r w:rsidRPr="001775D9">
        <w:rPr>
          <w:szCs w:val="22"/>
          <w:lang w:eastAsia="en-GB"/>
        </w:rPr>
        <w:t xml:space="preserve"> the risk of getting lymphoma, leukaemia, or other cancers may increase. On rare occasions, a specific and severe type of lymphoma has been observed in patients taking adalimumab. Some of those patients were also treated with azathioprine or 6-mercaptopurine. Tell your doctor if you are taking azathioprine or 6-mercaptopurine with </w:t>
      </w:r>
      <w:r w:rsidRPr="001775D9">
        <w:rPr>
          <w:szCs w:val="22"/>
        </w:rPr>
        <w:t>AMGEVITA</w:t>
      </w:r>
      <w:r w:rsidRPr="001775D9">
        <w:rPr>
          <w:szCs w:val="22"/>
          <w:lang w:eastAsia="en-GB"/>
        </w:rPr>
        <w:t xml:space="preserve">. </w:t>
      </w:r>
    </w:p>
    <w:p w14:paraId="411BA3EC" w14:textId="2B4B4249" w:rsidR="00524DB2" w:rsidRPr="001775D9" w:rsidRDefault="00524DB2" w:rsidP="00A0447F">
      <w:pPr>
        <w:numPr>
          <w:ilvl w:val="0"/>
          <w:numId w:val="10"/>
        </w:numPr>
        <w:spacing w:line="240" w:lineRule="auto"/>
        <w:ind w:left="567" w:hanging="567"/>
        <w:rPr>
          <w:szCs w:val="22"/>
          <w:lang w:eastAsia="en-GB"/>
        </w:rPr>
      </w:pPr>
      <w:r w:rsidRPr="001775D9">
        <w:rPr>
          <w:szCs w:val="22"/>
          <w:lang w:eastAsia="en-GB"/>
        </w:rPr>
        <w:t>In addition</w:t>
      </w:r>
      <w:r w:rsidR="007B357A" w:rsidRPr="001775D9">
        <w:rPr>
          <w:szCs w:val="22"/>
          <w:lang w:eastAsia="en-GB"/>
        </w:rPr>
        <w:t>,</w:t>
      </w:r>
      <w:r w:rsidRPr="001775D9">
        <w:rPr>
          <w:szCs w:val="22"/>
          <w:lang w:eastAsia="en-GB"/>
        </w:rPr>
        <w:t xml:space="preserve"> cases of non-melanoma skin cancer have been observed in patients taking adalimumab. If new skin lesions appear during or after therapy or if existing lesions change appearance, tell your doctor.</w:t>
      </w:r>
    </w:p>
    <w:p w14:paraId="448500FA" w14:textId="77777777" w:rsidR="00F764EF" w:rsidRPr="001775D9" w:rsidRDefault="00524DB2" w:rsidP="00B61D9D">
      <w:pPr>
        <w:numPr>
          <w:ilvl w:val="0"/>
          <w:numId w:val="11"/>
        </w:numPr>
        <w:spacing w:line="240" w:lineRule="auto"/>
        <w:ind w:left="567" w:hanging="567"/>
      </w:pPr>
      <w:r w:rsidRPr="001775D9">
        <w:t>There have been cases of cancers</w:t>
      </w:r>
      <w:r w:rsidR="00B86402" w:rsidRPr="001775D9">
        <w:t>,</w:t>
      </w:r>
      <w:r w:rsidRPr="001775D9">
        <w:t xml:space="preserve"> other than lymphoma in patients with a specific type of lung disease called Chronic Obstructive Pulmonary Disease (COPD) treated with another TNF blocker. If you have COPD, or are a heavy smoker, you should discuss with your doctor whether treatment with a TNF blocker is appropriate for you. </w:t>
      </w:r>
    </w:p>
    <w:p w14:paraId="3D835455" w14:textId="77777777" w:rsidR="00E2388D" w:rsidRPr="001775D9" w:rsidRDefault="00E2388D" w:rsidP="00B61D9D">
      <w:pPr>
        <w:spacing w:line="240" w:lineRule="auto"/>
        <w:ind w:left="567"/>
      </w:pPr>
    </w:p>
    <w:p w14:paraId="003D7610" w14:textId="30F5B54B" w:rsidR="00623DC0" w:rsidRPr="001775D9" w:rsidRDefault="00623DC0" w:rsidP="007B4B23">
      <w:pPr>
        <w:suppressAutoHyphens/>
        <w:spacing w:line="240" w:lineRule="auto"/>
      </w:pPr>
      <w:bookmarkStart w:id="3371" w:name="_Hlk517258160"/>
      <w:r w:rsidRPr="001775D9">
        <w:t>Autoimmune disease</w:t>
      </w:r>
    </w:p>
    <w:p w14:paraId="46A6EF32" w14:textId="77777777" w:rsidR="00623DC0" w:rsidRPr="001775D9" w:rsidRDefault="00623DC0" w:rsidP="007B4B23">
      <w:pPr>
        <w:suppressAutoHyphens/>
        <w:spacing w:line="240" w:lineRule="auto"/>
        <w:ind w:left="567"/>
      </w:pPr>
    </w:p>
    <w:p w14:paraId="72470EBA" w14:textId="5FB6BB54" w:rsidR="00E2388D" w:rsidRPr="001775D9" w:rsidRDefault="00E2388D" w:rsidP="007B4B23">
      <w:pPr>
        <w:numPr>
          <w:ilvl w:val="0"/>
          <w:numId w:val="11"/>
        </w:numPr>
        <w:suppressAutoHyphens/>
        <w:spacing w:line="240" w:lineRule="auto"/>
        <w:ind w:left="567" w:hanging="567"/>
      </w:pPr>
      <w:r w:rsidRPr="001775D9">
        <w:t>On rare occasions, treatment with AMGEVITA could result in lupus-like syndrome. Contact your doctor if symptoms such as persistent unexplained rash, fever, joint pain or tiredness occur.</w:t>
      </w:r>
    </w:p>
    <w:bookmarkEnd w:id="3371"/>
    <w:p w14:paraId="346C207E" w14:textId="77777777" w:rsidR="00920A0E" w:rsidRPr="001775D9" w:rsidRDefault="00920A0E" w:rsidP="00B61D9D">
      <w:pPr>
        <w:spacing w:line="240" w:lineRule="auto"/>
        <w:rPr>
          <w:szCs w:val="22"/>
        </w:rPr>
      </w:pPr>
    </w:p>
    <w:p w14:paraId="33275FA9" w14:textId="77777777" w:rsidR="00920A0E" w:rsidRPr="001775D9" w:rsidRDefault="00920A0E" w:rsidP="007B4B23">
      <w:pPr>
        <w:keepNext/>
        <w:spacing w:line="240" w:lineRule="auto"/>
        <w:ind w:right="-2"/>
        <w:rPr>
          <w:b/>
          <w:szCs w:val="22"/>
        </w:rPr>
      </w:pPr>
      <w:r w:rsidRPr="001775D9">
        <w:t>In order to improve the traceability of this medicine, your doctor or pharmacist should record the name and the lot number of the product you have been given in your patient file. You may also wish to make a note of these details in case you are asked for this information in the future.</w:t>
      </w:r>
    </w:p>
    <w:p w14:paraId="088DA0BA" w14:textId="77777777" w:rsidR="00524DB2" w:rsidRPr="001775D9" w:rsidRDefault="00524DB2" w:rsidP="007B4B23">
      <w:pPr>
        <w:numPr>
          <w:ilvl w:val="12"/>
          <w:numId w:val="0"/>
        </w:numPr>
        <w:tabs>
          <w:tab w:val="clear" w:pos="567"/>
        </w:tabs>
        <w:spacing w:line="240" w:lineRule="auto"/>
        <w:ind w:right="-2"/>
        <w:rPr>
          <w:szCs w:val="22"/>
        </w:rPr>
      </w:pPr>
    </w:p>
    <w:p w14:paraId="3C5BBA3D" w14:textId="77777777" w:rsidR="00524DB2" w:rsidRPr="001775D9" w:rsidRDefault="00524DB2" w:rsidP="007B4B23">
      <w:pPr>
        <w:numPr>
          <w:ilvl w:val="12"/>
          <w:numId w:val="0"/>
        </w:numPr>
        <w:tabs>
          <w:tab w:val="clear" w:pos="567"/>
        </w:tabs>
        <w:spacing w:line="240" w:lineRule="auto"/>
        <w:rPr>
          <w:b/>
          <w:bCs/>
        </w:rPr>
      </w:pPr>
      <w:r w:rsidRPr="001775D9">
        <w:rPr>
          <w:b/>
          <w:bCs/>
        </w:rPr>
        <w:t>Children and adolescents</w:t>
      </w:r>
    </w:p>
    <w:p w14:paraId="2604989E" w14:textId="77777777" w:rsidR="00524DB2" w:rsidRPr="00D55B59" w:rsidRDefault="00524DB2" w:rsidP="007B4B23">
      <w:pPr>
        <w:pStyle w:val="Default"/>
        <w:rPr>
          <w:lang w:val="en-GB"/>
          <w:rPrChange w:id="3372" w:author="Author">
            <w:rPr/>
          </w:rPrChange>
        </w:rPr>
      </w:pPr>
    </w:p>
    <w:p w14:paraId="195FB2CD" w14:textId="77777777" w:rsidR="00524DB2" w:rsidRPr="00D55B59" w:rsidRDefault="00524DB2" w:rsidP="007B4B23">
      <w:pPr>
        <w:pStyle w:val="Default"/>
        <w:numPr>
          <w:ilvl w:val="0"/>
          <w:numId w:val="12"/>
        </w:numPr>
        <w:ind w:left="567" w:hanging="567"/>
        <w:rPr>
          <w:sz w:val="22"/>
          <w:szCs w:val="22"/>
          <w:lang w:val="en-GB"/>
          <w:rPrChange w:id="3373" w:author="Author">
            <w:rPr>
              <w:sz w:val="22"/>
              <w:szCs w:val="22"/>
            </w:rPr>
          </w:rPrChange>
        </w:rPr>
      </w:pPr>
      <w:r w:rsidRPr="00D55B59">
        <w:rPr>
          <w:sz w:val="22"/>
          <w:szCs w:val="22"/>
          <w:lang w:val="en-GB"/>
          <w:rPrChange w:id="3374" w:author="Author">
            <w:rPr>
              <w:sz w:val="22"/>
              <w:szCs w:val="22"/>
            </w:rPr>
          </w:rPrChange>
        </w:rPr>
        <w:t>Vaccinations: if possible children should be up to date with all vaccinations before using AMGEVITA.</w:t>
      </w:r>
    </w:p>
    <w:p w14:paraId="075B2E4E" w14:textId="77777777" w:rsidR="00524DB2" w:rsidRPr="001775D9" w:rsidRDefault="00524DB2" w:rsidP="007B4B23">
      <w:pPr>
        <w:tabs>
          <w:tab w:val="clear" w:pos="567"/>
        </w:tabs>
        <w:autoSpaceDE w:val="0"/>
        <w:autoSpaceDN w:val="0"/>
        <w:adjustRightInd w:val="0"/>
        <w:spacing w:line="240" w:lineRule="auto"/>
        <w:ind w:left="567" w:hanging="567"/>
        <w:rPr>
          <w:szCs w:val="22"/>
        </w:rPr>
      </w:pPr>
    </w:p>
    <w:p w14:paraId="500C12EB" w14:textId="7E4143FA" w:rsidR="00C67598" w:rsidRPr="001775D9" w:rsidRDefault="00524DB2" w:rsidP="00A0447F">
      <w:pPr>
        <w:numPr>
          <w:ilvl w:val="0"/>
          <w:numId w:val="10"/>
        </w:numPr>
        <w:spacing w:line="240" w:lineRule="auto"/>
        <w:ind w:left="567" w:hanging="567"/>
        <w:rPr>
          <w:szCs w:val="22"/>
        </w:rPr>
      </w:pPr>
      <w:r w:rsidRPr="001775D9">
        <w:rPr>
          <w:szCs w:val="22"/>
        </w:rPr>
        <w:t xml:space="preserve">Do not give AMGEVITA to children with polyarticular juvenile idiopathic arthritis below the age of </w:t>
      </w:r>
      <w:r w:rsidR="007E091B" w:rsidRPr="001775D9">
        <w:rPr>
          <w:szCs w:val="22"/>
        </w:rPr>
        <w:t>2</w:t>
      </w:r>
      <w:r w:rsidRPr="001775D9">
        <w:rPr>
          <w:szCs w:val="22"/>
        </w:rPr>
        <w:t xml:space="preserve"> years. </w:t>
      </w:r>
    </w:p>
    <w:p w14:paraId="28D9CD33" w14:textId="3E0D7F7D" w:rsidR="00623DC0" w:rsidRPr="00D55B59" w:rsidRDefault="00623DC0" w:rsidP="007B4B23">
      <w:pPr>
        <w:pStyle w:val="Default"/>
        <w:rPr>
          <w:sz w:val="22"/>
          <w:szCs w:val="22"/>
          <w:lang w:val="en-GB"/>
          <w:rPrChange w:id="3375" w:author="Author">
            <w:rPr>
              <w:sz w:val="22"/>
              <w:szCs w:val="22"/>
            </w:rPr>
          </w:rPrChange>
        </w:rPr>
      </w:pPr>
    </w:p>
    <w:p w14:paraId="13FB3897" w14:textId="39108F2F" w:rsidR="00623DC0" w:rsidRPr="001775D9" w:rsidRDefault="00623DC0" w:rsidP="00A0447F">
      <w:pPr>
        <w:numPr>
          <w:ilvl w:val="0"/>
          <w:numId w:val="10"/>
        </w:numPr>
        <w:spacing w:line="240" w:lineRule="auto"/>
        <w:ind w:left="567" w:hanging="567"/>
        <w:rPr>
          <w:szCs w:val="22"/>
        </w:rPr>
      </w:pPr>
      <w:r w:rsidRPr="001775D9">
        <w:rPr>
          <w:szCs w:val="22"/>
        </w:rPr>
        <w:t>Do not give AMGEVITA to children with plaque psoriasis below the age of 4 years.</w:t>
      </w:r>
    </w:p>
    <w:p w14:paraId="27B6C522" w14:textId="77777777" w:rsidR="00623DC0" w:rsidRPr="001775D9" w:rsidRDefault="00623DC0" w:rsidP="007B4B23">
      <w:pPr>
        <w:pStyle w:val="ListParagraph"/>
        <w:rPr>
          <w:sz w:val="22"/>
          <w:szCs w:val="22"/>
        </w:rPr>
      </w:pPr>
    </w:p>
    <w:p w14:paraId="26E0AA8A" w14:textId="23315299" w:rsidR="00623DC0" w:rsidRPr="001775D9" w:rsidRDefault="00623DC0" w:rsidP="00A0447F">
      <w:pPr>
        <w:numPr>
          <w:ilvl w:val="0"/>
          <w:numId w:val="10"/>
        </w:numPr>
        <w:spacing w:line="240" w:lineRule="auto"/>
        <w:ind w:left="567" w:hanging="567"/>
        <w:rPr>
          <w:szCs w:val="22"/>
        </w:rPr>
      </w:pPr>
      <w:r w:rsidRPr="001775D9">
        <w:rPr>
          <w:szCs w:val="22"/>
        </w:rPr>
        <w:t xml:space="preserve">Do not give AMGEVITA to children with Crohn’s disease </w:t>
      </w:r>
      <w:r w:rsidR="002532A7" w:rsidRPr="001775D9">
        <w:rPr>
          <w:szCs w:val="22"/>
        </w:rPr>
        <w:t xml:space="preserve">or ulcerative colitis </w:t>
      </w:r>
      <w:r w:rsidRPr="001775D9">
        <w:rPr>
          <w:szCs w:val="22"/>
        </w:rPr>
        <w:t xml:space="preserve">below the age of 6 years. </w:t>
      </w:r>
    </w:p>
    <w:p w14:paraId="7A3E9E21" w14:textId="77777777" w:rsidR="00C67598" w:rsidRPr="001775D9" w:rsidRDefault="00C67598" w:rsidP="007B4B23">
      <w:pPr>
        <w:tabs>
          <w:tab w:val="clear" w:pos="567"/>
        </w:tabs>
        <w:autoSpaceDE w:val="0"/>
        <w:autoSpaceDN w:val="0"/>
        <w:adjustRightInd w:val="0"/>
        <w:spacing w:line="240" w:lineRule="auto"/>
        <w:ind w:left="567" w:hanging="567"/>
      </w:pPr>
    </w:p>
    <w:p w14:paraId="4F45533F" w14:textId="77777777" w:rsidR="00524DB2" w:rsidRPr="001775D9" w:rsidRDefault="00524DB2" w:rsidP="007B4B23">
      <w:pPr>
        <w:keepNext/>
        <w:numPr>
          <w:ilvl w:val="12"/>
          <w:numId w:val="0"/>
        </w:numPr>
        <w:tabs>
          <w:tab w:val="clear" w:pos="567"/>
        </w:tabs>
        <w:spacing w:line="240" w:lineRule="auto"/>
        <w:ind w:right="-2"/>
      </w:pPr>
      <w:r w:rsidRPr="001775D9">
        <w:rPr>
          <w:b/>
        </w:rPr>
        <w:t xml:space="preserve">Other medicines and </w:t>
      </w:r>
      <w:r w:rsidRPr="001775D9">
        <w:rPr>
          <w:b/>
          <w:szCs w:val="22"/>
        </w:rPr>
        <w:t>AMGEVITA</w:t>
      </w:r>
      <w:r w:rsidRPr="001775D9">
        <w:rPr>
          <w:b/>
        </w:rPr>
        <w:t xml:space="preserve"> </w:t>
      </w:r>
    </w:p>
    <w:p w14:paraId="31976A16" w14:textId="77777777" w:rsidR="00524DB2" w:rsidRPr="001775D9" w:rsidRDefault="00524DB2" w:rsidP="007B4B23">
      <w:pPr>
        <w:keepNext/>
        <w:numPr>
          <w:ilvl w:val="12"/>
          <w:numId w:val="0"/>
        </w:numPr>
        <w:tabs>
          <w:tab w:val="clear" w:pos="567"/>
        </w:tabs>
        <w:spacing w:line="240" w:lineRule="auto"/>
        <w:ind w:right="-2"/>
      </w:pPr>
    </w:p>
    <w:p w14:paraId="18CD8B70" w14:textId="77777777" w:rsidR="00524DB2" w:rsidRPr="001775D9" w:rsidRDefault="00524DB2" w:rsidP="007B4B23">
      <w:pPr>
        <w:keepNext/>
        <w:numPr>
          <w:ilvl w:val="12"/>
          <w:numId w:val="0"/>
        </w:numPr>
        <w:tabs>
          <w:tab w:val="clear" w:pos="567"/>
        </w:tabs>
        <w:spacing w:line="240" w:lineRule="auto"/>
        <w:ind w:right="-2"/>
        <w:rPr>
          <w:szCs w:val="22"/>
        </w:rPr>
      </w:pPr>
      <w:r w:rsidRPr="001775D9">
        <w:t>Tell your doctor or pharmacist if you are taking, have recently taken</w:t>
      </w:r>
      <w:r w:rsidRPr="001775D9">
        <w:rPr>
          <w:szCs w:val="22"/>
        </w:rPr>
        <w:t xml:space="preserve"> </w:t>
      </w:r>
      <w:r w:rsidRPr="001775D9">
        <w:t xml:space="preserve">or might take </w:t>
      </w:r>
      <w:r w:rsidRPr="001775D9">
        <w:rPr>
          <w:szCs w:val="22"/>
        </w:rPr>
        <w:t>any other medicines.</w:t>
      </w:r>
    </w:p>
    <w:p w14:paraId="206AF911" w14:textId="77777777" w:rsidR="00524DB2" w:rsidRPr="00D55B59" w:rsidRDefault="00524DB2" w:rsidP="007B4B23">
      <w:pPr>
        <w:pStyle w:val="Default"/>
        <w:keepNext/>
        <w:rPr>
          <w:sz w:val="22"/>
          <w:szCs w:val="22"/>
          <w:lang w:val="en-GB"/>
          <w:rPrChange w:id="3376" w:author="Author">
            <w:rPr>
              <w:sz w:val="22"/>
              <w:szCs w:val="22"/>
            </w:rPr>
          </w:rPrChange>
        </w:rPr>
      </w:pPr>
    </w:p>
    <w:p w14:paraId="42E1CF8D" w14:textId="77777777" w:rsidR="00524DB2" w:rsidRPr="00D55B59" w:rsidRDefault="00524DB2" w:rsidP="007B4B23">
      <w:pPr>
        <w:pStyle w:val="Default"/>
        <w:keepNext/>
        <w:rPr>
          <w:sz w:val="22"/>
          <w:szCs w:val="22"/>
          <w:lang w:val="en-GB"/>
          <w:rPrChange w:id="3377" w:author="Author">
            <w:rPr>
              <w:sz w:val="22"/>
              <w:szCs w:val="22"/>
            </w:rPr>
          </w:rPrChange>
        </w:rPr>
      </w:pPr>
      <w:r w:rsidRPr="00D55B59">
        <w:rPr>
          <w:sz w:val="22"/>
          <w:szCs w:val="22"/>
          <w:lang w:val="en-GB"/>
          <w:rPrChange w:id="3378" w:author="Author">
            <w:rPr>
              <w:sz w:val="22"/>
              <w:szCs w:val="22"/>
            </w:rPr>
          </w:rPrChange>
        </w:rPr>
        <w:t xml:space="preserve">AMGEVITA can be taken together with methotrexate or certain disease-modifying anti-rheumatic agents (sulfasalazine, hydroxychloroquine, leflunomide and injectable gold preparations), steroids or pain medications including non-steroidal anti-inflammatory drugs (NSAIDs). </w:t>
      </w:r>
    </w:p>
    <w:p w14:paraId="6BE42DE9" w14:textId="77777777" w:rsidR="00524DB2" w:rsidRPr="001775D9" w:rsidRDefault="00524DB2" w:rsidP="007B4B23">
      <w:pPr>
        <w:numPr>
          <w:ilvl w:val="12"/>
          <w:numId w:val="0"/>
        </w:numPr>
        <w:tabs>
          <w:tab w:val="clear" w:pos="567"/>
        </w:tabs>
        <w:spacing w:line="240" w:lineRule="auto"/>
        <w:ind w:right="-2"/>
        <w:rPr>
          <w:szCs w:val="22"/>
        </w:rPr>
      </w:pPr>
    </w:p>
    <w:p w14:paraId="2BC22DBF" w14:textId="77773999" w:rsidR="00524DB2" w:rsidRPr="001775D9" w:rsidRDefault="00524DB2" w:rsidP="007B4B23">
      <w:pPr>
        <w:numPr>
          <w:ilvl w:val="12"/>
          <w:numId w:val="0"/>
        </w:numPr>
        <w:tabs>
          <w:tab w:val="clear" w:pos="567"/>
        </w:tabs>
        <w:spacing w:line="240" w:lineRule="auto"/>
        <w:ind w:right="-2"/>
        <w:rPr>
          <w:szCs w:val="22"/>
        </w:rPr>
      </w:pPr>
      <w:r w:rsidRPr="001775D9">
        <w:rPr>
          <w:szCs w:val="22"/>
        </w:rPr>
        <w:t>You should not take AMGEVITA with medicines containing the active substance</w:t>
      </w:r>
      <w:r w:rsidR="00E2388D" w:rsidRPr="001775D9">
        <w:rPr>
          <w:szCs w:val="22"/>
        </w:rPr>
        <w:t>s</w:t>
      </w:r>
      <w:r w:rsidRPr="001775D9">
        <w:rPr>
          <w:szCs w:val="22"/>
        </w:rPr>
        <w:t>, anakinra or abatacept</w:t>
      </w:r>
      <w:r w:rsidR="00E2388D" w:rsidRPr="001775D9">
        <w:rPr>
          <w:szCs w:val="22"/>
        </w:rPr>
        <w:t xml:space="preserve"> </w:t>
      </w:r>
      <w:bookmarkStart w:id="3379" w:name="_Hlk517258203"/>
      <w:r w:rsidR="00E2388D" w:rsidRPr="001775D9">
        <w:t>due to increased risk of serious infection</w:t>
      </w:r>
      <w:bookmarkEnd w:id="3379"/>
      <w:r w:rsidRPr="001775D9">
        <w:rPr>
          <w:szCs w:val="22"/>
        </w:rPr>
        <w:t>.</w:t>
      </w:r>
      <w:r w:rsidR="00623DC0" w:rsidRPr="001775D9">
        <w:rPr>
          <w:szCs w:val="22"/>
        </w:rPr>
        <w:t xml:space="preserve"> </w:t>
      </w:r>
      <w:r w:rsidRPr="001775D9">
        <w:rPr>
          <w:szCs w:val="22"/>
        </w:rPr>
        <w:t>If you have questions, please ask your doctor.</w:t>
      </w:r>
    </w:p>
    <w:p w14:paraId="5361B3A7" w14:textId="77777777" w:rsidR="00524DB2" w:rsidRPr="001775D9" w:rsidRDefault="00524DB2" w:rsidP="007B4B23">
      <w:pPr>
        <w:numPr>
          <w:ilvl w:val="12"/>
          <w:numId w:val="0"/>
        </w:numPr>
        <w:tabs>
          <w:tab w:val="clear" w:pos="567"/>
        </w:tabs>
        <w:spacing w:line="240" w:lineRule="auto"/>
        <w:ind w:right="-2"/>
        <w:rPr>
          <w:szCs w:val="22"/>
        </w:rPr>
      </w:pPr>
    </w:p>
    <w:p w14:paraId="66360181" w14:textId="1C44BD72" w:rsidR="00524DB2" w:rsidRPr="001775D9" w:rsidRDefault="00524DB2" w:rsidP="007B4B23">
      <w:pPr>
        <w:keepNext/>
        <w:numPr>
          <w:ilvl w:val="12"/>
          <w:numId w:val="0"/>
        </w:numPr>
        <w:tabs>
          <w:tab w:val="clear" w:pos="567"/>
        </w:tabs>
        <w:spacing w:line="240" w:lineRule="auto"/>
        <w:outlineLvl w:val="0"/>
        <w:rPr>
          <w:b/>
        </w:rPr>
      </w:pPr>
      <w:r w:rsidRPr="001775D9">
        <w:rPr>
          <w:b/>
          <w:szCs w:val="22"/>
        </w:rPr>
        <w:t>Pregnancy and breast-feeding</w:t>
      </w:r>
      <w:r w:rsidR="001C55FB" w:rsidRPr="001775D9">
        <w:rPr>
          <w:b/>
          <w:szCs w:val="22"/>
        </w:rPr>
        <w:fldChar w:fldCharType="begin"/>
      </w:r>
      <w:r w:rsidR="001C55FB" w:rsidRPr="001775D9">
        <w:rPr>
          <w:b/>
          <w:szCs w:val="22"/>
        </w:rPr>
        <w:instrText xml:space="preserve"> DOCVARIABLE vault_nd_d62ee050-aa41-4e39-b53f-8bdae1cca4b7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0E4AB06" w14:textId="77777777" w:rsidR="00524DB2" w:rsidRPr="001775D9" w:rsidRDefault="00524DB2" w:rsidP="007B4B23">
      <w:pPr>
        <w:keepNext/>
        <w:numPr>
          <w:ilvl w:val="12"/>
          <w:numId w:val="0"/>
        </w:numPr>
        <w:tabs>
          <w:tab w:val="clear" w:pos="567"/>
        </w:tabs>
        <w:spacing w:line="240" w:lineRule="auto"/>
        <w:outlineLvl w:val="0"/>
        <w:rPr>
          <w:b/>
          <w:szCs w:val="22"/>
        </w:rPr>
      </w:pPr>
    </w:p>
    <w:p w14:paraId="1F81D402" w14:textId="77777777" w:rsidR="00FD6D91" w:rsidRPr="00D55B59" w:rsidRDefault="00FD6D91" w:rsidP="007B4B23">
      <w:pPr>
        <w:pStyle w:val="Default"/>
        <w:numPr>
          <w:ilvl w:val="0"/>
          <w:numId w:val="35"/>
        </w:numPr>
        <w:tabs>
          <w:tab w:val="left" w:pos="567"/>
        </w:tabs>
        <w:ind w:left="567" w:hanging="567"/>
        <w:rPr>
          <w:sz w:val="22"/>
          <w:szCs w:val="22"/>
          <w:lang w:val="en-GB"/>
          <w:rPrChange w:id="3380" w:author="Author">
            <w:rPr>
              <w:sz w:val="22"/>
              <w:szCs w:val="22"/>
            </w:rPr>
          </w:rPrChange>
        </w:rPr>
      </w:pPr>
      <w:r w:rsidRPr="00D55B59">
        <w:rPr>
          <w:sz w:val="22"/>
          <w:szCs w:val="22"/>
          <w:lang w:val="en-GB"/>
          <w:rPrChange w:id="3381" w:author="Author">
            <w:rPr>
              <w:sz w:val="22"/>
              <w:szCs w:val="22"/>
            </w:rPr>
          </w:rPrChange>
        </w:rPr>
        <w:t>You should consider the use of adequate contraception to prevent pregnancy and continue its use for at least 5 months after the last AMGEVITA treatment.</w:t>
      </w:r>
    </w:p>
    <w:p w14:paraId="52AF0780" w14:textId="77777777" w:rsidR="00FD6D91" w:rsidRPr="001775D9" w:rsidRDefault="00FD6D91" w:rsidP="007B4B23">
      <w:pPr>
        <w:pStyle w:val="ListParagraph"/>
        <w:numPr>
          <w:ilvl w:val="0"/>
          <w:numId w:val="35"/>
        </w:numPr>
        <w:tabs>
          <w:tab w:val="left" w:pos="567"/>
        </w:tabs>
        <w:suppressAutoHyphens/>
        <w:ind w:left="567" w:hanging="567"/>
        <w:contextualSpacing w:val="0"/>
        <w:rPr>
          <w:sz w:val="22"/>
          <w:szCs w:val="22"/>
        </w:rPr>
      </w:pPr>
      <w:r w:rsidRPr="001775D9">
        <w:rPr>
          <w:sz w:val="22"/>
          <w:szCs w:val="22"/>
        </w:rPr>
        <w:t>If you are pregnant, think you may be pregnant or are planning to have a baby, ask your doctor for advice about taking this medicine.</w:t>
      </w:r>
    </w:p>
    <w:p w14:paraId="1FBF8AE0" w14:textId="77777777" w:rsidR="00FD6D91" w:rsidRPr="001775D9" w:rsidRDefault="00FD6D91" w:rsidP="007B4B23">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AMGEVITA should only be used during a pregnancy if needed.</w:t>
      </w:r>
    </w:p>
    <w:p w14:paraId="123F70E5" w14:textId="77777777" w:rsidR="00FD6D91" w:rsidRPr="001775D9" w:rsidRDefault="00FD6D91" w:rsidP="007B4B23">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According to a pregnancy study, there was no higher risk of birth defects when the mother had received AMGEVITA during pregnancy compared with mothers with the same disease who did not receive AMGEVITA.</w:t>
      </w:r>
    </w:p>
    <w:p w14:paraId="26DAB98A" w14:textId="77777777" w:rsidR="00FD6D91" w:rsidRPr="001775D9" w:rsidRDefault="00FD6D91" w:rsidP="007B4B23">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AMGEVITA can be used during breast-feeding.</w:t>
      </w:r>
    </w:p>
    <w:p w14:paraId="300CAD63" w14:textId="77777777" w:rsidR="00FD6D91" w:rsidRPr="001775D9" w:rsidRDefault="00FD6D91" w:rsidP="007B4B23">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If you receive AMGEVITA during your pregnancy, your baby may have a higher risk for getting an infection.</w:t>
      </w:r>
    </w:p>
    <w:p w14:paraId="71648907" w14:textId="77777777" w:rsidR="00FD6D91" w:rsidRPr="001775D9" w:rsidRDefault="00FD6D91" w:rsidP="007B4B23">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It is important that you tell your baby’s doctors and other health care professionals about your AMGEVITA use during your pregnancy before the baby receives any vaccine. For more information on vaccines see the “Warnings and precautions” section.</w:t>
      </w:r>
    </w:p>
    <w:p w14:paraId="38E9B81F" w14:textId="77777777" w:rsidR="00524DB2" w:rsidRPr="001775D9" w:rsidRDefault="00524DB2" w:rsidP="007B4B23">
      <w:pPr>
        <w:numPr>
          <w:ilvl w:val="12"/>
          <w:numId w:val="0"/>
        </w:numPr>
        <w:tabs>
          <w:tab w:val="clear" w:pos="567"/>
        </w:tabs>
        <w:spacing w:line="240" w:lineRule="auto"/>
        <w:rPr>
          <w:szCs w:val="22"/>
        </w:rPr>
      </w:pPr>
    </w:p>
    <w:p w14:paraId="79494A5C" w14:textId="5D5131F7" w:rsidR="00524DB2" w:rsidRPr="001775D9" w:rsidRDefault="00524DB2" w:rsidP="007B4B23">
      <w:pPr>
        <w:keepNext/>
        <w:numPr>
          <w:ilvl w:val="12"/>
          <w:numId w:val="0"/>
        </w:numPr>
        <w:tabs>
          <w:tab w:val="clear" w:pos="567"/>
        </w:tabs>
        <w:spacing w:line="240" w:lineRule="auto"/>
        <w:outlineLvl w:val="0"/>
        <w:rPr>
          <w:szCs w:val="22"/>
        </w:rPr>
      </w:pPr>
      <w:r w:rsidRPr="001775D9">
        <w:rPr>
          <w:b/>
          <w:szCs w:val="22"/>
        </w:rPr>
        <w:t>Driving and using machines</w:t>
      </w:r>
      <w:r w:rsidR="001C55FB" w:rsidRPr="001775D9">
        <w:rPr>
          <w:b/>
          <w:szCs w:val="22"/>
        </w:rPr>
        <w:fldChar w:fldCharType="begin"/>
      </w:r>
      <w:r w:rsidR="001C55FB" w:rsidRPr="001775D9">
        <w:rPr>
          <w:b/>
          <w:szCs w:val="22"/>
        </w:rPr>
        <w:instrText xml:space="preserve"> DOCVARIABLE vault_nd_890fd5a0-7881-41a5-a79b-96e2775a1f58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BB6A81B" w14:textId="77777777" w:rsidR="00524DB2" w:rsidRPr="001775D9" w:rsidRDefault="00524DB2" w:rsidP="007B4B23">
      <w:pPr>
        <w:keepNext/>
        <w:numPr>
          <w:ilvl w:val="12"/>
          <w:numId w:val="0"/>
        </w:numPr>
        <w:tabs>
          <w:tab w:val="clear" w:pos="567"/>
        </w:tabs>
        <w:spacing w:line="240" w:lineRule="auto"/>
        <w:rPr>
          <w:szCs w:val="22"/>
        </w:rPr>
      </w:pPr>
    </w:p>
    <w:p w14:paraId="795BD0DF" w14:textId="34B987E1" w:rsidR="00524DB2" w:rsidRPr="001775D9" w:rsidRDefault="00524DB2" w:rsidP="007B4B23">
      <w:pPr>
        <w:numPr>
          <w:ilvl w:val="12"/>
          <w:numId w:val="0"/>
        </w:numPr>
        <w:tabs>
          <w:tab w:val="clear" w:pos="567"/>
        </w:tabs>
        <w:spacing w:line="240" w:lineRule="auto"/>
        <w:ind w:right="-2"/>
        <w:rPr>
          <w:szCs w:val="22"/>
        </w:rPr>
      </w:pPr>
      <w:r w:rsidRPr="001775D9">
        <w:rPr>
          <w:szCs w:val="22"/>
        </w:rPr>
        <w:t xml:space="preserve">AMGEVITA may have a minor influence on your ability to drive, cycle or use machines. Room spinning sensation </w:t>
      </w:r>
      <w:r w:rsidR="00623DC0" w:rsidRPr="001775D9">
        <w:rPr>
          <w:szCs w:val="22"/>
        </w:rPr>
        <w:t xml:space="preserve">(vertigo) </w:t>
      </w:r>
      <w:r w:rsidRPr="001775D9">
        <w:rPr>
          <w:szCs w:val="22"/>
        </w:rPr>
        <w:t>and vision disturbances may occur after taking AMGEVITA.</w:t>
      </w:r>
    </w:p>
    <w:p w14:paraId="5268FCA3" w14:textId="77777777" w:rsidR="00524DB2" w:rsidRPr="001775D9" w:rsidRDefault="00524DB2" w:rsidP="007B4B23">
      <w:pPr>
        <w:numPr>
          <w:ilvl w:val="12"/>
          <w:numId w:val="0"/>
        </w:numPr>
        <w:tabs>
          <w:tab w:val="clear" w:pos="567"/>
        </w:tabs>
        <w:spacing w:line="240" w:lineRule="auto"/>
        <w:ind w:right="-2"/>
        <w:rPr>
          <w:szCs w:val="22"/>
        </w:rPr>
      </w:pPr>
    </w:p>
    <w:p w14:paraId="20B0DC59" w14:textId="273386F5" w:rsidR="00BC0D60" w:rsidRPr="001775D9" w:rsidRDefault="00BC0D60" w:rsidP="007B4B23">
      <w:pPr>
        <w:numPr>
          <w:ilvl w:val="12"/>
          <w:numId w:val="0"/>
        </w:numPr>
        <w:tabs>
          <w:tab w:val="clear" w:pos="567"/>
        </w:tabs>
        <w:spacing w:line="240" w:lineRule="auto"/>
        <w:ind w:right="-2"/>
        <w:outlineLvl w:val="0"/>
        <w:rPr>
          <w:b/>
          <w:szCs w:val="22"/>
        </w:rPr>
      </w:pPr>
      <w:r w:rsidRPr="001775D9">
        <w:rPr>
          <w:b/>
          <w:szCs w:val="22"/>
        </w:rPr>
        <w:t>AMGEVITA contains sodium</w:t>
      </w:r>
      <w:r w:rsidR="001C55FB" w:rsidRPr="001775D9">
        <w:rPr>
          <w:b/>
          <w:szCs w:val="22"/>
        </w:rPr>
        <w:fldChar w:fldCharType="begin"/>
      </w:r>
      <w:r w:rsidR="001C55FB" w:rsidRPr="001775D9">
        <w:rPr>
          <w:b/>
          <w:szCs w:val="22"/>
        </w:rPr>
        <w:instrText xml:space="preserve"> DOCVARIABLE vault_nd_91cf4c15-cca6-42f8-b663-ac4b1b6cc0f7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C0201B9" w14:textId="77777777" w:rsidR="00BC0D60" w:rsidRPr="001775D9" w:rsidRDefault="00BC0D60" w:rsidP="007B4B23">
      <w:pPr>
        <w:numPr>
          <w:ilvl w:val="12"/>
          <w:numId w:val="0"/>
        </w:numPr>
        <w:tabs>
          <w:tab w:val="clear" w:pos="567"/>
        </w:tabs>
        <w:spacing w:line="240" w:lineRule="auto"/>
        <w:rPr>
          <w:szCs w:val="22"/>
        </w:rPr>
      </w:pPr>
    </w:p>
    <w:p w14:paraId="3408E34F" w14:textId="1D8DCCA3" w:rsidR="00F92A22" w:rsidRPr="001775D9" w:rsidRDefault="00F92A22" w:rsidP="007B4B23">
      <w:pPr>
        <w:numPr>
          <w:ilvl w:val="12"/>
          <w:numId w:val="0"/>
        </w:numPr>
        <w:tabs>
          <w:tab w:val="clear" w:pos="567"/>
        </w:tabs>
        <w:spacing w:line="240" w:lineRule="auto"/>
        <w:rPr>
          <w:szCs w:val="22"/>
        </w:rPr>
      </w:pPr>
      <w:r w:rsidRPr="001775D9">
        <w:rPr>
          <w:szCs w:val="22"/>
        </w:rPr>
        <w:t>This medicine contains less than 1 mmol of sodium (23 mg) per 0.8 mL dose,</w:t>
      </w:r>
      <w:r w:rsidR="00DF07DE" w:rsidRPr="001775D9">
        <w:rPr>
          <w:szCs w:val="22"/>
        </w:rPr>
        <w:t xml:space="preserve"> that is to say</w:t>
      </w:r>
      <w:r w:rsidRPr="001775D9">
        <w:rPr>
          <w:szCs w:val="22"/>
        </w:rPr>
        <w:t xml:space="preserve"> essentially ‘sodium-free’.</w:t>
      </w:r>
    </w:p>
    <w:p w14:paraId="54052404" w14:textId="77777777" w:rsidR="00524DB2" w:rsidRPr="001775D9" w:rsidRDefault="00524DB2" w:rsidP="007B4B23">
      <w:pPr>
        <w:numPr>
          <w:ilvl w:val="12"/>
          <w:numId w:val="0"/>
        </w:numPr>
        <w:tabs>
          <w:tab w:val="clear" w:pos="567"/>
        </w:tabs>
        <w:spacing w:line="240" w:lineRule="auto"/>
        <w:ind w:right="-2"/>
        <w:rPr>
          <w:szCs w:val="22"/>
        </w:rPr>
      </w:pPr>
    </w:p>
    <w:p w14:paraId="644390E2" w14:textId="77777777" w:rsidR="00BC0D60" w:rsidRPr="001775D9" w:rsidRDefault="00BC0D60" w:rsidP="007B4B23">
      <w:pPr>
        <w:numPr>
          <w:ilvl w:val="12"/>
          <w:numId w:val="0"/>
        </w:numPr>
        <w:tabs>
          <w:tab w:val="clear" w:pos="567"/>
        </w:tabs>
        <w:spacing w:line="240" w:lineRule="auto"/>
        <w:ind w:right="-2"/>
        <w:rPr>
          <w:szCs w:val="22"/>
        </w:rPr>
      </w:pPr>
    </w:p>
    <w:p w14:paraId="0F1A095E" w14:textId="77777777" w:rsidR="00524DB2" w:rsidRPr="001775D9" w:rsidRDefault="00524DB2" w:rsidP="00B61D9D">
      <w:pPr>
        <w:keepNext/>
        <w:spacing w:line="240" w:lineRule="auto"/>
        <w:ind w:left="567" w:hanging="567"/>
        <w:rPr>
          <w:b/>
          <w:szCs w:val="22"/>
        </w:rPr>
      </w:pPr>
      <w:r w:rsidRPr="001775D9">
        <w:rPr>
          <w:b/>
          <w:szCs w:val="22"/>
        </w:rPr>
        <w:t>3.</w:t>
      </w:r>
      <w:r w:rsidRPr="001775D9">
        <w:rPr>
          <w:b/>
          <w:szCs w:val="22"/>
        </w:rPr>
        <w:tab/>
        <w:t>H</w:t>
      </w:r>
      <w:r w:rsidRPr="001775D9">
        <w:rPr>
          <w:b/>
        </w:rPr>
        <w:t xml:space="preserve">ow to use </w:t>
      </w:r>
      <w:r w:rsidRPr="001775D9">
        <w:rPr>
          <w:b/>
          <w:szCs w:val="22"/>
        </w:rPr>
        <w:t>AMGEVITA</w:t>
      </w:r>
    </w:p>
    <w:p w14:paraId="74E617C3" w14:textId="77777777" w:rsidR="00524DB2" w:rsidRPr="001775D9" w:rsidRDefault="00524DB2" w:rsidP="007B4B23">
      <w:pPr>
        <w:numPr>
          <w:ilvl w:val="12"/>
          <w:numId w:val="0"/>
        </w:numPr>
        <w:tabs>
          <w:tab w:val="clear" w:pos="567"/>
        </w:tabs>
        <w:spacing w:line="240" w:lineRule="auto"/>
        <w:ind w:right="-2"/>
        <w:rPr>
          <w:szCs w:val="22"/>
        </w:rPr>
      </w:pPr>
    </w:p>
    <w:p w14:paraId="3A2A9205" w14:textId="77777777" w:rsidR="00E2388D" w:rsidRPr="001775D9" w:rsidRDefault="00524DB2" w:rsidP="00B61D9D">
      <w:pPr>
        <w:numPr>
          <w:ilvl w:val="12"/>
          <w:numId w:val="0"/>
        </w:numPr>
        <w:tabs>
          <w:tab w:val="clear" w:pos="567"/>
          <w:tab w:val="left" w:pos="720"/>
        </w:tabs>
        <w:spacing w:line="240" w:lineRule="auto"/>
        <w:ind w:right="-2"/>
      </w:pPr>
      <w:r w:rsidRPr="001775D9">
        <w:rPr>
          <w:szCs w:val="22"/>
        </w:rPr>
        <w:t xml:space="preserve">Always use </w:t>
      </w:r>
      <w:r w:rsidRPr="001775D9">
        <w:t>this medicine</w:t>
      </w:r>
      <w:r w:rsidRPr="001775D9">
        <w:rPr>
          <w:szCs w:val="22"/>
        </w:rPr>
        <w:t xml:space="preserve"> exactly as your doctor </w:t>
      </w:r>
      <w:r w:rsidRPr="001775D9">
        <w:t xml:space="preserve">or pharmacist </w:t>
      </w:r>
      <w:r w:rsidRPr="001775D9">
        <w:rPr>
          <w:szCs w:val="22"/>
        </w:rPr>
        <w:t>has told you. Check with your doctor or pharmacist if you are not sure.</w:t>
      </w:r>
      <w:r w:rsidR="00E2388D" w:rsidRPr="001775D9">
        <w:rPr>
          <w:szCs w:val="22"/>
        </w:rPr>
        <w:t xml:space="preserve"> </w:t>
      </w:r>
      <w:bookmarkStart w:id="3382" w:name="_Hlk517258213"/>
    </w:p>
    <w:bookmarkEnd w:id="3382"/>
    <w:p w14:paraId="0E309F2A" w14:textId="77777777" w:rsidR="00524DB2" w:rsidRPr="001775D9" w:rsidRDefault="00524DB2" w:rsidP="007B4B23">
      <w:pPr>
        <w:numPr>
          <w:ilvl w:val="12"/>
          <w:numId w:val="0"/>
        </w:numPr>
        <w:tabs>
          <w:tab w:val="clear" w:pos="567"/>
        </w:tabs>
        <w:spacing w:line="240" w:lineRule="auto"/>
        <w:ind w:right="-2"/>
        <w:rPr>
          <w:szCs w:val="22"/>
        </w:rPr>
      </w:pPr>
    </w:p>
    <w:p w14:paraId="7A56BD76" w14:textId="77777777" w:rsidR="00524DB2" w:rsidRPr="00D55B59" w:rsidRDefault="00524DB2" w:rsidP="007B4B23">
      <w:pPr>
        <w:pStyle w:val="Default"/>
        <w:rPr>
          <w:sz w:val="22"/>
          <w:szCs w:val="22"/>
          <w:u w:val="single"/>
          <w:lang w:val="en-GB"/>
          <w:rPrChange w:id="3383" w:author="Author">
            <w:rPr>
              <w:sz w:val="22"/>
              <w:szCs w:val="22"/>
              <w:u w:val="single"/>
            </w:rPr>
          </w:rPrChange>
        </w:rPr>
      </w:pPr>
      <w:r w:rsidRPr="00D55B59">
        <w:rPr>
          <w:sz w:val="22"/>
          <w:szCs w:val="22"/>
          <w:u w:val="single"/>
          <w:lang w:val="en-GB"/>
          <w:rPrChange w:id="3384" w:author="Author">
            <w:rPr>
              <w:sz w:val="22"/>
              <w:szCs w:val="22"/>
              <w:u w:val="single"/>
            </w:rPr>
          </w:rPrChange>
        </w:rPr>
        <w:t xml:space="preserve">Adults with rheumatoid arthritis, psoriatic arthritis, ankylosing spondylitis or axial spondyloarthritis without radiographic evidence of ankylosing spondylitis </w:t>
      </w:r>
    </w:p>
    <w:p w14:paraId="6CAF4257" w14:textId="77777777" w:rsidR="00524DB2" w:rsidRPr="001775D9" w:rsidRDefault="00524DB2" w:rsidP="007B4B23">
      <w:pPr>
        <w:numPr>
          <w:ilvl w:val="12"/>
          <w:numId w:val="0"/>
        </w:numPr>
        <w:tabs>
          <w:tab w:val="clear" w:pos="567"/>
        </w:tabs>
        <w:spacing w:line="240" w:lineRule="auto"/>
        <w:ind w:right="-2"/>
        <w:rPr>
          <w:szCs w:val="22"/>
        </w:rPr>
      </w:pPr>
    </w:p>
    <w:p w14:paraId="1A90E1CB" w14:textId="77777777" w:rsidR="00524DB2" w:rsidRPr="00D55B59" w:rsidRDefault="00524DB2" w:rsidP="007B4B23">
      <w:pPr>
        <w:pStyle w:val="Default"/>
        <w:rPr>
          <w:sz w:val="22"/>
          <w:szCs w:val="22"/>
          <w:lang w:val="en-GB"/>
          <w:rPrChange w:id="3385" w:author="Author">
            <w:rPr>
              <w:sz w:val="22"/>
              <w:szCs w:val="22"/>
            </w:rPr>
          </w:rPrChange>
        </w:rPr>
      </w:pPr>
      <w:r w:rsidRPr="00D55B59">
        <w:rPr>
          <w:sz w:val="22"/>
          <w:szCs w:val="22"/>
          <w:lang w:val="en-GB"/>
          <w:rPrChange w:id="3386" w:author="Author">
            <w:rPr>
              <w:sz w:val="22"/>
              <w:szCs w:val="22"/>
            </w:rPr>
          </w:rPrChange>
        </w:rPr>
        <w:t>AMGEVITA is injected under the skin (subcutaneous use). The usual dose for adults with rheumatoid arthritis, ankylosing spondylitis, axial spondyloarthritis without radiographic evidence of ankylosing</w:t>
      </w:r>
      <w:r w:rsidRPr="00D55B59">
        <w:rPr>
          <w:szCs w:val="22"/>
          <w:lang w:val="en-GB"/>
          <w:rPrChange w:id="3387" w:author="Author">
            <w:rPr>
              <w:szCs w:val="22"/>
            </w:rPr>
          </w:rPrChange>
        </w:rPr>
        <w:t xml:space="preserve"> </w:t>
      </w:r>
      <w:r w:rsidRPr="00D55B59">
        <w:rPr>
          <w:sz w:val="22"/>
          <w:szCs w:val="22"/>
          <w:lang w:val="en-GB"/>
          <w:rPrChange w:id="3388" w:author="Author">
            <w:rPr>
              <w:sz w:val="22"/>
              <w:szCs w:val="22"/>
            </w:rPr>
          </w:rPrChange>
        </w:rPr>
        <w:t>spondylitis, and for patients with psoriatic arthritis is 40</w:t>
      </w:r>
      <w:r w:rsidR="00B85029" w:rsidRPr="00D55B59">
        <w:rPr>
          <w:sz w:val="22"/>
          <w:szCs w:val="22"/>
          <w:lang w:val="en-GB"/>
          <w:rPrChange w:id="3389" w:author="Author">
            <w:rPr>
              <w:sz w:val="22"/>
              <w:szCs w:val="22"/>
            </w:rPr>
          </w:rPrChange>
        </w:rPr>
        <w:t> </w:t>
      </w:r>
      <w:r w:rsidRPr="00D55B59">
        <w:rPr>
          <w:sz w:val="22"/>
          <w:szCs w:val="22"/>
          <w:lang w:val="en-GB"/>
          <w:rPrChange w:id="3390" w:author="Author">
            <w:rPr>
              <w:sz w:val="22"/>
              <w:szCs w:val="22"/>
            </w:rPr>
          </w:rPrChange>
        </w:rPr>
        <w:t xml:space="preserve">mg given every other week as a single dose. </w:t>
      </w:r>
    </w:p>
    <w:p w14:paraId="4332E8A9" w14:textId="77777777" w:rsidR="00524DB2" w:rsidRPr="00D55B59" w:rsidRDefault="00524DB2" w:rsidP="007B4B23">
      <w:pPr>
        <w:pStyle w:val="Default"/>
        <w:rPr>
          <w:sz w:val="22"/>
          <w:szCs w:val="22"/>
          <w:lang w:val="en-GB"/>
          <w:rPrChange w:id="3391" w:author="Author">
            <w:rPr>
              <w:sz w:val="22"/>
              <w:szCs w:val="22"/>
            </w:rPr>
          </w:rPrChange>
        </w:rPr>
      </w:pPr>
    </w:p>
    <w:p w14:paraId="131472EA" w14:textId="77777777" w:rsidR="00524DB2" w:rsidRPr="00D55B59" w:rsidRDefault="00524DB2" w:rsidP="007B4B23">
      <w:pPr>
        <w:pStyle w:val="Default"/>
        <w:rPr>
          <w:sz w:val="22"/>
          <w:szCs w:val="22"/>
          <w:lang w:val="en-GB"/>
          <w:rPrChange w:id="3392" w:author="Author">
            <w:rPr>
              <w:sz w:val="22"/>
              <w:szCs w:val="22"/>
            </w:rPr>
          </w:rPrChange>
        </w:rPr>
      </w:pPr>
      <w:r w:rsidRPr="00D55B59">
        <w:rPr>
          <w:sz w:val="22"/>
          <w:szCs w:val="22"/>
          <w:lang w:val="en-GB"/>
          <w:rPrChange w:id="3393" w:author="Author">
            <w:rPr>
              <w:sz w:val="22"/>
              <w:szCs w:val="22"/>
            </w:rPr>
          </w:rPrChange>
        </w:rPr>
        <w:t xml:space="preserve">In rheumatoid arthritis, methotrexate is continued while using AMGEVITA. If your doctor determines that methotrexate is inappropriate, AMGEVITA can be given alone. </w:t>
      </w:r>
    </w:p>
    <w:p w14:paraId="1289347B" w14:textId="77777777" w:rsidR="00524DB2" w:rsidRPr="001775D9" w:rsidRDefault="00524DB2" w:rsidP="007B4B23">
      <w:pPr>
        <w:numPr>
          <w:ilvl w:val="12"/>
          <w:numId w:val="0"/>
        </w:numPr>
        <w:tabs>
          <w:tab w:val="clear" w:pos="567"/>
        </w:tabs>
        <w:spacing w:line="240" w:lineRule="auto"/>
        <w:ind w:right="-2"/>
        <w:rPr>
          <w:szCs w:val="22"/>
        </w:rPr>
      </w:pPr>
    </w:p>
    <w:p w14:paraId="34AF1260" w14:textId="77777777" w:rsidR="00524DB2" w:rsidRPr="001775D9" w:rsidRDefault="00524DB2" w:rsidP="007B4B23">
      <w:pPr>
        <w:numPr>
          <w:ilvl w:val="12"/>
          <w:numId w:val="0"/>
        </w:numPr>
        <w:tabs>
          <w:tab w:val="clear" w:pos="567"/>
        </w:tabs>
        <w:spacing w:line="240" w:lineRule="auto"/>
        <w:ind w:right="-2"/>
        <w:rPr>
          <w:szCs w:val="22"/>
        </w:rPr>
      </w:pPr>
      <w:r w:rsidRPr="001775D9">
        <w:rPr>
          <w:szCs w:val="22"/>
        </w:rPr>
        <w:t>If you have rheumatoid arthritis and you do not receive methotrexate with your AMGEVITA therapy, your doctor may decide to give 40</w:t>
      </w:r>
      <w:r w:rsidR="00817191" w:rsidRPr="001775D9">
        <w:rPr>
          <w:szCs w:val="22"/>
        </w:rPr>
        <w:t> </w:t>
      </w:r>
      <w:r w:rsidRPr="001775D9">
        <w:rPr>
          <w:szCs w:val="22"/>
        </w:rPr>
        <w:t>mg every week</w:t>
      </w:r>
      <w:r w:rsidR="002244BA" w:rsidRPr="001775D9">
        <w:rPr>
          <w:szCs w:val="22"/>
        </w:rPr>
        <w:t xml:space="preserve"> or 80</w:t>
      </w:r>
      <w:r w:rsidR="00D5093F" w:rsidRPr="001775D9">
        <w:rPr>
          <w:szCs w:val="22"/>
          <w:lang w:eastAsia="en-GB"/>
        </w:rPr>
        <w:t> </w:t>
      </w:r>
      <w:r w:rsidR="00B214A5" w:rsidRPr="001775D9">
        <w:rPr>
          <w:szCs w:val="22"/>
        </w:rPr>
        <w:t>mg</w:t>
      </w:r>
      <w:r w:rsidR="00D04259" w:rsidRPr="00D55B59">
        <w:rPr>
          <w:szCs w:val="22"/>
          <w:rPrChange w:id="3394" w:author="Author">
            <w:rPr>
              <w:szCs w:val="22"/>
              <w:lang w:val="en-US"/>
            </w:rPr>
          </w:rPrChange>
        </w:rPr>
        <w:t xml:space="preserve"> </w:t>
      </w:r>
      <w:r w:rsidR="002244BA" w:rsidRPr="001775D9">
        <w:rPr>
          <w:szCs w:val="22"/>
        </w:rPr>
        <w:t>every other week</w:t>
      </w:r>
      <w:r w:rsidRPr="001775D9">
        <w:rPr>
          <w:szCs w:val="22"/>
        </w:rPr>
        <w:t>.</w:t>
      </w:r>
    </w:p>
    <w:p w14:paraId="3B60AF7D" w14:textId="77777777" w:rsidR="00524DB2" w:rsidRPr="001775D9" w:rsidRDefault="00524DB2" w:rsidP="007B4B23">
      <w:pPr>
        <w:numPr>
          <w:ilvl w:val="12"/>
          <w:numId w:val="0"/>
        </w:numPr>
        <w:tabs>
          <w:tab w:val="clear" w:pos="567"/>
        </w:tabs>
        <w:spacing w:line="240" w:lineRule="auto"/>
        <w:ind w:right="-2"/>
        <w:rPr>
          <w:szCs w:val="22"/>
        </w:rPr>
      </w:pPr>
    </w:p>
    <w:p w14:paraId="0739143F" w14:textId="77777777" w:rsidR="00524DB2" w:rsidRPr="00D55B59" w:rsidRDefault="00524DB2" w:rsidP="007B4B23">
      <w:pPr>
        <w:pStyle w:val="Default"/>
        <w:keepNext/>
        <w:rPr>
          <w:sz w:val="22"/>
          <w:szCs w:val="22"/>
          <w:u w:val="single"/>
          <w:lang w:val="en-GB"/>
          <w:rPrChange w:id="3395" w:author="Author">
            <w:rPr>
              <w:sz w:val="22"/>
              <w:szCs w:val="22"/>
              <w:u w:val="single"/>
            </w:rPr>
          </w:rPrChange>
        </w:rPr>
      </w:pPr>
      <w:r w:rsidRPr="00D55B59">
        <w:rPr>
          <w:sz w:val="22"/>
          <w:szCs w:val="22"/>
          <w:u w:val="single"/>
          <w:lang w:val="en-GB"/>
          <w:rPrChange w:id="3396" w:author="Author">
            <w:rPr>
              <w:sz w:val="22"/>
              <w:szCs w:val="22"/>
              <w:u w:val="single"/>
            </w:rPr>
          </w:rPrChange>
        </w:rPr>
        <w:t>Children</w:t>
      </w:r>
      <w:r w:rsidR="00E2388D" w:rsidRPr="00D55B59">
        <w:rPr>
          <w:sz w:val="22"/>
          <w:szCs w:val="22"/>
          <w:u w:val="single"/>
          <w:lang w:val="en-GB"/>
          <w:rPrChange w:id="3397" w:author="Author">
            <w:rPr>
              <w:sz w:val="22"/>
              <w:szCs w:val="22"/>
              <w:u w:val="single"/>
            </w:rPr>
          </w:rPrChange>
        </w:rPr>
        <w:t xml:space="preserve">, </w:t>
      </w:r>
      <w:bookmarkStart w:id="3398" w:name="_Hlk517258229"/>
      <w:r w:rsidR="00E2388D" w:rsidRPr="00D55B59">
        <w:rPr>
          <w:sz w:val="22"/>
          <w:szCs w:val="22"/>
          <w:u w:val="single"/>
          <w:lang w:val="en-GB"/>
          <w:rPrChange w:id="3399" w:author="Author">
            <w:rPr>
              <w:sz w:val="22"/>
              <w:szCs w:val="22"/>
              <w:u w:val="single"/>
            </w:rPr>
          </w:rPrChange>
        </w:rPr>
        <w:t>adolescents and adults</w:t>
      </w:r>
      <w:bookmarkEnd w:id="3398"/>
      <w:r w:rsidRPr="00D55B59">
        <w:rPr>
          <w:sz w:val="22"/>
          <w:szCs w:val="22"/>
          <w:u w:val="single"/>
          <w:lang w:val="en-GB"/>
          <w:rPrChange w:id="3400" w:author="Author">
            <w:rPr>
              <w:sz w:val="22"/>
              <w:szCs w:val="22"/>
              <w:u w:val="single"/>
            </w:rPr>
          </w:rPrChange>
        </w:rPr>
        <w:t xml:space="preserve"> with polyarticular juvenile idiopathic arthritis </w:t>
      </w:r>
    </w:p>
    <w:p w14:paraId="33CA7374" w14:textId="77777777" w:rsidR="00524DB2" w:rsidRPr="00D55B59" w:rsidRDefault="00524DB2" w:rsidP="007B4B23">
      <w:pPr>
        <w:pStyle w:val="Default"/>
        <w:keepNext/>
        <w:rPr>
          <w:sz w:val="22"/>
          <w:szCs w:val="22"/>
          <w:lang w:val="en-GB"/>
          <w:rPrChange w:id="3401" w:author="Author">
            <w:rPr>
              <w:sz w:val="22"/>
              <w:szCs w:val="22"/>
            </w:rPr>
          </w:rPrChange>
        </w:rPr>
      </w:pPr>
    </w:p>
    <w:p w14:paraId="78BBF650" w14:textId="77777777" w:rsidR="00E2388D" w:rsidRPr="001775D9" w:rsidRDefault="00E2388D" w:rsidP="00B61D9D">
      <w:pPr>
        <w:keepNext/>
        <w:numPr>
          <w:ilvl w:val="12"/>
          <w:numId w:val="0"/>
        </w:numPr>
        <w:tabs>
          <w:tab w:val="clear" w:pos="567"/>
          <w:tab w:val="left" w:pos="720"/>
        </w:tabs>
        <w:spacing w:line="240" w:lineRule="auto"/>
        <w:rPr>
          <w:i/>
        </w:rPr>
      </w:pPr>
      <w:bookmarkStart w:id="3402" w:name="_Hlk517258242"/>
      <w:r w:rsidRPr="001775D9">
        <w:rPr>
          <w:i/>
        </w:rPr>
        <w:t>Children, adolescents and adults from 2 years of age weighing 30 kg or more</w:t>
      </w:r>
    </w:p>
    <w:p w14:paraId="5DE55EB6" w14:textId="77777777" w:rsidR="00E2388D" w:rsidRPr="001775D9" w:rsidRDefault="00E2388D" w:rsidP="00B61D9D">
      <w:pPr>
        <w:keepNext/>
        <w:numPr>
          <w:ilvl w:val="12"/>
          <w:numId w:val="0"/>
        </w:numPr>
        <w:tabs>
          <w:tab w:val="clear" w:pos="567"/>
          <w:tab w:val="left" w:pos="720"/>
        </w:tabs>
        <w:spacing w:line="240" w:lineRule="auto"/>
      </w:pPr>
    </w:p>
    <w:p w14:paraId="436F4B80" w14:textId="77777777" w:rsidR="00E2388D" w:rsidRPr="001775D9" w:rsidRDefault="00E2388D" w:rsidP="00B61D9D">
      <w:pPr>
        <w:keepNext/>
        <w:numPr>
          <w:ilvl w:val="12"/>
          <w:numId w:val="0"/>
        </w:numPr>
        <w:tabs>
          <w:tab w:val="clear" w:pos="567"/>
          <w:tab w:val="left" w:pos="720"/>
        </w:tabs>
        <w:spacing w:line="240" w:lineRule="auto"/>
      </w:pPr>
      <w:r w:rsidRPr="001775D9">
        <w:t xml:space="preserve">The recommended dose of </w:t>
      </w:r>
      <w:r w:rsidR="00127BED" w:rsidRPr="001775D9">
        <w:t>AMGEVITA</w:t>
      </w:r>
      <w:r w:rsidRPr="001775D9">
        <w:t xml:space="preserve"> is 40 mg every other week.</w:t>
      </w:r>
    </w:p>
    <w:bookmarkEnd w:id="3402"/>
    <w:p w14:paraId="1FB0501C" w14:textId="77777777" w:rsidR="00524DB2" w:rsidRPr="00D55B59" w:rsidRDefault="00524DB2" w:rsidP="007B4B23">
      <w:pPr>
        <w:pStyle w:val="Default"/>
        <w:rPr>
          <w:sz w:val="22"/>
          <w:szCs w:val="22"/>
          <w:lang w:val="en-GB"/>
          <w:rPrChange w:id="3403" w:author="Author">
            <w:rPr>
              <w:sz w:val="22"/>
              <w:szCs w:val="22"/>
            </w:rPr>
          </w:rPrChange>
        </w:rPr>
      </w:pPr>
    </w:p>
    <w:p w14:paraId="49FDF725" w14:textId="77777777" w:rsidR="003F6C69" w:rsidRPr="00D55B59" w:rsidRDefault="003F6C69" w:rsidP="007B4B23">
      <w:pPr>
        <w:pStyle w:val="Default"/>
        <w:keepNext/>
        <w:rPr>
          <w:sz w:val="22"/>
          <w:szCs w:val="22"/>
          <w:u w:val="single"/>
          <w:lang w:val="en-GB"/>
          <w:rPrChange w:id="3404" w:author="Author">
            <w:rPr>
              <w:sz w:val="22"/>
              <w:szCs w:val="22"/>
              <w:u w:val="single"/>
            </w:rPr>
          </w:rPrChange>
        </w:rPr>
      </w:pPr>
      <w:r w:rsidRPr="00D55B59">
        <w:rPr>
          <w:sz w:val="22"/>
          <w:szCs w:val="22"/>
          <w:u w:val="single"/>
          <w:lang w:val="en-GB"/>
          <w:rPrChange w:id="3405" w:author="Author">
            <w:rPr>
              <w:sz w:val="22"/>
              <w:szCs w:val="22"/>
              <w:u w:val="single"/>
            </w:rPr>
          </w:rPrChange>
        </w:rPr>
        <w:t>Children</w:t>
      </w:r>
      <w:r w:rsidR="00E2388D" w:rsidRPr="00D55B59">
        <w:rPr>
          <w:sz w:val="22"/>
          <w:szCs w:val="22"/>
          <w:u w:val="single"/>
          <w:lang w:val="en-GB"/>
          <w:rPrChange w:id="3406" w:author="Author">
            <w:rPr>
              <w:sz w:val="22"/>
              <w:szCs w:val="22"/>
              <w:u w:val="single"/>
            </w:rPr>
          </w:rPrChange>
        </w:rPr>
        <w:t>, adolescents and adults</w:t>
      </w:r>
      <w:r w:rsidRPr="00D55B59">
        <w:rPr>
          <w:sz w:val="22"/>
          <w:szCs w:val="22"/>
          <w:u w:val="single"/>
          <w:lang w:val="en-GB"/>
          <w:rPrChange w:id="3407" w:author="Author">
            <w:rPr>
              <w:sz w:val="22"/>
              <w:szCs w:val="22"/>
              <w:u w:val="single"/>
            </w:rPr>
          </w:rPrChange>
        </w:rPr>
        <w:t xml:space="preserve"> with enthesitis-related arthritis</w:t>
      </w:r>
    </w:p>
    <w:p w14:paraId="2EFF3064" w14:textId="77777777" w:rsidR="003F6C69" w:rsidRPr="00D55B59" w:rsidRDefault="003F6C69" w:rsidP="007B4B23">
      <w:pPr>
        <w:pStyle w:val="Default"/>
        <w:keepNext/>
        <w:rPr>
          <w:sz w:val="22"/>
          <w:szCs w:val="22"/>
          <w:u w:val="single"/>
          <w:lang w:val="en-GB"/>
          <w:rPrChange w:id="3408" w:author="Author">
            <w:rPr>
              <w:sz w:val="22"/>
              <w:szCs w:val="22"/>
              <w:u w:val="single"/>
            </w:rPr>
          </w:rPrChange>
        </w:rPr>
      </w:pPr>
    </w:p>
    <w:p w14:paraId="0EF04007" w14:textId="77777777" w:rsidR="00E2388D" w:rsidRPr="001775D9" w:rsidRDefault="00E2388D" w:rsidP="00B61D9D">
      <w:pPr>
        <w:keepNext/>
        <w:numPr>
          <w:ilvl w:val="12"/>
          <w:numId w:val="0"/>
        </w:numPr>
        <w:tabs>
          <w:tab w:val="clear" w:pos="567"/>
          <w:tab w:val="left" w:pos="720"/>
        </w:tabs>
        <w:spacing w:line="240" w:lineRule="auto"/>
        <w:rPr>
          <w:i/>
        </w:rPr>
      </w:pPr>
      <w:bookmarkStart w:id="3409" w:name="_Hlk517258248"/>
      <w:r w:rsidRPr="001775D9">
        <w:rPr>
          <w:i/>
        </w:rPr>
        <w:t>Children, adolescents and adults from 6 years of age weighing 30 kg or more</w:t>
      </w:r>
    </w:p>
    <w:p w14:paraId="31D4FBE6" w14:textId="77777777" w:rsidR="00E2388D" w:rsidRPr="001775D9" w:rsidRDefault="00E2388D" w:rsidP="00B61D9D">
      <w:pPr>
        <w:keepNext/>
        <w:numPr>
          <w:ilvl w:val="12"/>
          <w:numId w:val="0"/>
        </w:numPr>
        <w:tabs>
          <w:tab w:val="clear" w:pos="567"/>
          <w:tab w:val="left" w:pos="720"/>
        </w:tabs>
        <w:spacing w:line="240" w:lineRule="auto"/>
      </w:pPr>
    </w:p>
    <w:p w14:paraId="52D0789A" w14:textId="77777777" w:rsidR="00E2388D" w:rsidRPr="001775D9" w:rsidRDefault="00E2388D" w:rsidP="00B61D9D">
      <w:pPr>
        <w:keepNext/>
        <w:numPr>
          <w:ilvl w:val="12"/>
          <w:numId w:val="0"/>
        </w:numPr>
        <w:tabs>
          <w:tab w:val="clear" w:pos="567"/>
          <w:tab w:val="left" w:pos="720"/>
        </w:tabs>
        <w:spacing w:line="240" w:lineRule="auto"/>
      </w:pPr>
      <w:r w:rsidRPr="001775D9">
        <w:t xml:space="preserve">The recommended dose of </w:t>
      </w:r>
      <w:r w:rsidR="00127BED" w:rsidRPr="001775D9">
        <w:t>AMGEVITA</w:t>
      </w:r>
      <w:r w:rsidRPr="001775D9">
        <w:t xml:space="preserve"> is 40 mg every other week.</w:t>
      </w:r>
    </w:p>
    <w:bookmarkEnd w:id="3409"/>
    <w:p w14:paraId="22AF81D1" w14:textId="77777777" w:rsidR="003F6C69" w:rsidRPr="00D55B59" w:rsidRDefault="003F6C69" w:rsidP="007B4B23">
      <w:pPr>
        <w:pStyle w:val="Default"/>
        <w:keepNext/>
        <w:rPr>
          <w:sz w:val="22"/>
          <w:szCs w:val="22"/>
          <w:lang w:val="en-GB"/>
          <w:rPrChange w:id="3410" w:author="Author">
            <w:rPr>
              <w:sz w:val="22"/>
              <w:szCs w:val="22"/>
            </w:rPr>
          </w:rPrChange>
        </w:rPr>
      </w:pPr>
    </w:p>
    <w:p w14:paraId="4213E88C" w14:textId="77777777" w:rsidR="00524DB2" w:rsidRPr="00D55B59" w:rsidRDefault="00524DB2" w:rsidP="007B4B23">
      <w:pPr>
        <w:pStyle w:val="Default"/>
        <w:keepNext/>
        <w:rPr>
          <w:sz w:val="22"/>
          <w:szCs w:val="22"/>
          <w:u w:val="single"/>
          <w:lang w:val="en-GB"/>
          <w:rPrChange w:id="3411" w:author="Author">
            <w:rPr>
              <w:sz w:val="22"/>
              <w:szCs w:val="22"/>
              <w:u w:val="single"/>
            </w:rPr>
          </w:rPrChange>
        </w:rPr>
      </w:pPr>
      <w:r w:rsidRPr="00D55B59">
        <w:rPr>
          <w:sz w:val="22"/>
          <w:szCs w:val="22"/>
          <w:u w:val="single"/>
          <w:lang w:val="en-GB"/>
          <w:rPrChange w:id="3412" w:author="Author">
            <w:rPr>
              <w:sz w:val="22"/>
              <w:szCs w:val="22"/>
              <w:u w:val="single"/>
            </w:rPr>
          </w:rPrChange>
        </w:rPr>
        <w:t xml:space="preserve">Adults with </w:t>
      </w:r>
      <w:r w:rsidR="00A74EA1" w:rsidRPr="00D55B59">
        <w:rPr>
          <w:sz w:val="22"/>
          <w:szCs w:val="22"/>
          <w:u w:val="single"/>
          <w:lang w:val="en-GB"/>
          <w:rPrChange w:id="3413" w:author="Author">
            <w:rPr>
              <w:sz w:val="22"/>
              <w:szCs w:val="22"/>
              <w:u w:val="single"/>
            </w:rPr>
          </w:rPrChange>
        </w:rPr>
        <w:t xml:space="preserve">plaque </w:t>
      </w:r>
      <w:r w:rsidRPr="00D55B59">
        <w:rPr>
          <w:rFonts w:eastAsia="PMingLiU"/>
          <w:sz w:val="22"/>
          <w:szCs w:val="22"/>
          <w:u w:val="single"/>
          <w:lang w:val="en-GB" w:eastAsia="zh-TW"/>
          <w:rPrChange w:id="3414" w:author="Author">
            <w:rPr>
              <w:rFonts w:eastAsia="PMingLiU"/>
              <w:sz w:val="22"/>
              <w:szCs w:val="22"/>
              <w:u w:val="single"/>
              <w:lang w:eastAsia="zh-TW"/>
            </w:rPr>
          </w:rPrChange>
        </w:rPr>
        <w:t>p</w:t>
      </w:r>
      <w:r w:rsidRPr="00D55B59">
        <w:rPr>
          <w:sz w:val="22"/>
          <w:szCs w:val="22"/>
          <w:u w:val="single"/>
          <w:lang w:val="en-GB"/>
          <w:rPrChange w:id="3415" w:author="Author">
            <w:rPr>
              <w:sz w:val="22"/>
              <w:szCs w:val="22"/>
              <w:u w:val="single"/>
            </w:rPr>
          </w:rPrChange>
        </w:rPr>
        <w:t xml:space="preserve">soriasis </w:t>
      </w:r>
    </w:p>
    <w:p w14:paraId="10CD107D" w14:textId="77777777" w:rsidR="00524DB2" w:rsidRPr="00D55B59" w:rsidRDefault="00524DB2" w:rsidP="007B4B23">
      <w:pPr>
        <w:pStyle w:val="Default"/>
        <w:rPr>
          <w:sz w:val="22"/>
          <w:szCs w:val="22"/>
          <w:lang w:val="en-GB"/>
          <w:rPrChange w:id="3416" w:author="Author">
            <w:rPr>
              <w:sz w:val="22"/>
              <w:szCs w:val="22"/>
            </w:rPr>
          </w:rPrChange>
        </w:rPr>
      </w:pPr>
    </w:p>
    <w:p w14:paraId="25FE45C8" w14:textId="26B41EF8" w:rsidR="007B3FB0" w:rsidRPr="00D55B59" w:rsidRDefault="00524DB2" w:rsidP="007B4B23">
      <w:pPr>
        <w:pStyle w:val="Default"/>
        <w:keepNext/>
        <w:rPr>
          <w:sz w:val="22"/>
          <w:szCs w:val="22"/>
          <w:lang w:val="en-GB"/>
          <w:rPrChange w:id="3417" w:author="Author">
            <w:rPr>
              <w:sz w:val="22"/>
              <w:szCs w:val="22"/>
            </w:rPr>
          </w:rPrChange>
        </w:rPr>
      </w:pPr>
      <w:r w:rsidRPr="00D55B59">
        <w:rPr>
          <w:sz w:val="22"/>
          <w:szCs w:val="22"/>
          <w:lang w:val="en-GB"/>
          <w:rPrChange w:id="3418" w:author="Author">
            <w:rPr>
              <w:sz w:val="22"/>
              <w:szCs w:val="22"/>
            </w:rPr>
          </w:rPrChange>
        </w:rPr>
        <w:t xml:space="preserve">The usual dose for adults with </w:t>
      </w:r>
      <w:r w:rsidR="00A74EA1" w:rsidRPr="00D55B59">
        <w:rPr>
          <w:sz w:val="22"/>
          <w:szCs w:val="22"/>
          <w:lang w:val="en-GB"/>
          <w:rPrChange w:id="3419" w:author="Author">
            <w:rPr>
              <w:sz w:val="22"/>
              <w:szCs w:val="22"/>
            </w:rPr>
          </w:rPrChange>
        </w:rPr>
        <w:t xml:space="preserve">plaque </w:t>
      </w:r>
      <w:r w:rsidRPr="00D55B59">
        <w:rPr>
          <w:sz w:val="22"/>
          <w:szCs w:val="22"/>
          <w:lang w:val="en-GB"/>
          <w:rPrChange w:id="3420" w:author="Author">
            <w:rPr>
              <w:sz w:val="22"/>
              <w:szCs w:val="22"/>
            </w:rPr>
          </w:rPrChange>
        </w:rPr>
        <w:t>psoriasis is an initial dose of 80</w:t>
      </w:r>
      <w:r w:rsidR="00817191" w:rsidRPr="00D55B59">
        <w:rPr>
          <w:sz w:val="22"/>
          <w:szCs w:val="22"/>
          <w:lang w:val="en-GB"/>
          <w:rPrChange w:id="3421" w:author="Author">
            <w:rPr>
              <w:sz w:val="22"/>
              <w:szCs w:val="22"/>
            </w:rPr>
          </w:rPrChange>
        </w:rPr>
        <w:t> </w:t>
      </w:r>
      <w:r w:rsidRPr="00D55B59">
        <w:rPr>
          <w:sz w:val="22"/>
          <w:szCs w:val="22"/>
          <w:lang w:val="en-GB"/>
          <w:rPrChange w:id="3422" w:author="Author">
            <w:rPr>
              <w:sz w:val="22"/>
              <w:szCs w:val="22"/>
            </w:rPr>
          </w:rPrChange>
        </w:rPr>
        <w:t>mg</w:t>
      </w:r>
      <w:r w:rsidR="0028101C" w:rsidRPr="00D55B59">
        <w:rPr>
          <w:sz w:val="22"/>
          <w:szCs w:val="22"/>
          <w:lang w:val="en-GB"/>
          <w:rPrChange w:id="3423" w:author="Author">
            <w:rPr>
              <w:sz w:val="22"/>
              <w:szCs w:val="22"/>
            </w:rPr>
          </w:rPrChange>
        </w:rPr>
        <w:t xml:space="preserve"> (as two 40</w:t>
      </w:r>
      <w:r w:rsidR="00920C18" w:rsidRPr="00D55B59">
        <w:rPr>
          <w:szCs w:val="22"/>
          <w:lang w:val="en-GB" w:eastAsia="en-GB"/>
          <w:rPrChange w:id="3424" w:author="Author">
            <w:rPr>
              <w:szCs w:val="22"/>
              <w:lang w:eastAsia="en-GB"/>
            </w:rPr>
          </w:rPrChange>
        </w:rPr>
        <w:t> </w:t>
      </w:r>
      <w:r w:rsidR="0028101C" w:rsidRPr="00D55B59">
        <w:rPr>
          <w:sz w:val="22"/>
          <w:szCs w:val="22"/>
          <w:lang w:val="en-GB"/>
          <w:rPrChange w:id="3425" w:author="Author">
            <w:rPr>
              <w:sz w:val="22"/>
              <w:szCs w:val="22"/>
            </w:rPr>
          </w:rPrChange>
        </w:rPr>
        <w:t>mg injections in one day)</w:t>
      </w:r>
      <w:r w:rsidRPr="00D55B59">
        <w:rPr>
          <w:sz w:val="22"/>
          <w:szCs w:val="22"/>
          <w:lang w:val="en-GB"/>
          <w:rPrChange w:id="3426" w:author="Author">
            <w:rPr>
              <w:sz w:val="22"/>
              <w:szCs w:val="22"/>
            </w:rPr>
          </w:rPrChange>
        </w:rPr>
        <w:t>, followed by 40</w:t>
      </w:r>
      <w:r w:rsidR="00817191" w:rsidRPr="00D55B59">
        <w:rPr>
          <w:sz w:val="22"/>
          <w:szCs w:val="22"/>
          <w:lang w:val="en-GB"/>
          <w:rPrChange w:id="3427" w:author="Author">
            <w:rPr>
              <w:sz w:val="22"/>
              <w:szCs w:val="22"/>
            </w:rPr>
          </w:rPrChange>
        </w:rPr>
        <w:t> </w:t>
      </w:r>
      <w:r w:rsidRPr="00D55B59">
        <w:rPr>
          <w:sz w:val="22"/>
          <w:szCs w:val="22"/>
          <w:lang w:val="en-GB"/>
          <w:rPrChange w:id="3428" w:author="Author">
            <w:rPr>
              <w:sz w:val="22"/>
              <w:szCs w:val="22"/>
            </w:rPr>
          </w:rPrChange>
        </w:rPr>
        <w:t xml:space="preserve">mg given every other week starting one week after the initial dose. You should continue to inject AMGEVITA for as long as your doctor has told you. </w:t>
      </w:r>
      <w:r w:rsidR="00F764EF" w:rsidRPr="00D55B59">
        <w:rPr>
          <w:sz w:val="22"/>
          <w:szCs w:val="22"/>
          <w:lang w:val="en-GB" w:eastAsia="en-GB"/>
          <w:rPrChange w:id="3429" w:author="Author">
            <w:rPr>
              <w:sz w:val="22"/>
              <w:szCs w:val="22"/>
              <w:lang w:eastAsia="en-GB"/>
            </w:rPr>
          </w:rPrChange>
        </w:rPr>
        <w:t xml:space="preserve">Depending on your response, your doctor may increase the </w:t>
      </w:r>
      <w:r w:rsidR="002244BA" w:rsidRPr="00D55B59">
        <w:rPr>
          <w:sz w:val="22"/>
          <w:szCs w:val="22"/>
          <w:lang w:val="en-GB" w:eastAsia="en-GB"/>
          <w:rPrChange w:id="3430" w:author="Author">
            <w:rPr>
              <w:sz w:val="22"/>
              <w:szCs w:val="22"/>
              <w:lang w:eastAsia="en-GB"/>
            </w:rPr>
          </w:rPrChange>
        </w:rPr>
        <w:t>dose</w:t>
      </w:r>
      <w:r w:rsidR="00F764EF" w:rsidRPr="00D55B59">
        <w:rPr>
          <w:sz w:val="22"/>
          <w:szCs w:val="22"/>
          <w:lang w:val="en-GB" w:eastAsia="en-GB"/>
          <w:rPrChange w:id="3431" w:author="Author">
            <w:rPr>
              <w:sz w:val="22"/>
              <w:szCs w:val="22"/>
              <w:lang w:eastAsia="en-GB"/>
            </w:rPr>
          </w:rPrChange>
        </w:rPr>
        <w:t xml:space="preserve"> to 40 mg every week</w:t>
      </w:r>
      <w:r w:rsidR="002244BA" w:rsidRPr="00D55B59">
        <w:rPr>
          <w:sz w:val="22"/>
          <w:szCs w:val="22"/>
          <w:lang w:val="en-GB" w:eastAsia="en-GB"/>
          <w:rPrChange w:id="3432" w:author="Author">
            <w:rPr>
              <w:sz w:val="22"/>
              <w:szCs w:val="22"/>
              <w:lang w:eastAsia="en-GB"/>
            </w:rPr>
          </w:rPrChange>
        </w:rPr>
        <w:t xml:space="preserve"> or 80</w:t>
      </w:r>
      <w:r w:rsidR="00D5093F" w:rsidRPr="00D55B59">
        <w:rPr>
          <w:sz w:val="22"/>
          <w:szCs w:val="22"/>
          <w:lang w:val="en-GB" w:eastAsia="en-GB"/>
          <w:rPrChange w:id="3433" w:author="Author">
            <w:rPr>
              <w:sz w:val="22"/>
              <w:szCs w:val="22"/>
              <w:lang w:eastAsia="en-GB"/>
            </w:rPr>
          </w:rPrChange>
        </w:rPr>
        <w:t> </w:t>
      </w:r>
      <w:r w:rsidR="00FC7789" w:rsidRPr="00D55B59">
        <w:rPr>
          <w:sz w:val="22"/>
          <w:szCs w:val="22"/>
          <w:lang w:val="en-GB" w:eastAsia="en-GB"/>
          <w:rPrChange w:id="3434" w:author="Author">
            <w:rPr>
              <w:sz w:val="22"/>
              <w:szCs w:val="22"/>
              <w:lang w:eastAsia="en-GB"/>
            </w:rPr>
          </w:rPrChange>
        </w:rPr>
        <w:t>mg</w:t>
      </w:r>
      <w:r w:rsidR="00D04259" w:rsidRPr="00D55B59">
        <w:rPr>
          <w:sz w:val="22"/>
          <w:szCs w:val="22"/>
          <w:lang w:val="en-GB" w:eastAsia="en-GB"/>
          <w:rPrChange w:id="3435" w:author="Author">
            <w:rPr>
              <w:sz w:val="22"/>
              <w:szCs w:val="22"/>
              <w:lang w:eastAsia="en-GB"/>
            </w:rPr>
          </w:rPrChange>
        </w:rPr>
        <w:t xml:space="preserve"> </w:t>
      </w:r>
      <w:r w:rsidR="002244BA" w:rsidRPr="00D55B59">
        <w:rPr>
          <w:sz w:val="22"/>
          <w:szCs w:val="22"/>
          <w:lang w:val="en-GB" w:eastAsia="en-GB"/>
          <w:rPrChange w:id="3436" w:author="Author">
            <w:rPr>
              <w:sz w:val="22"/>
              <w:szCs w:val="22"/>
              <w:lang w:eastAsia="en-GB"/>
            </w:rPr>
          </w:rPrChange>
        </w:rPr>
        <w:t>every other week</w:t>
      </w:r>
      <w:r w:rsidR="00F764EF" w:rsidRPr="00D55B59">
        <w:rPr>
          <w:sz w:val="22"/>
          <w:szCs w:val="22"/>
          <w:lang w:val="en-GB" w:eastAsia="en-GB"/>
          <w:rPrChange w:id="3437" w:author="Author">
            <w:rPr>
              <w:sz w:val="22"/>
              <w:szCs w:val="22"/>
              <w:lang w:eastAsia="en-GB"/>
            </w:rPr>
          </w:rPrChange>
        </w:rPr>
        <w:t>.</w:t>
      </w:r>
      <w:r w:rsidR="00F764EF" w:rsidRPr="00D55B59">
        <w:rPr>
          <w:sz w:val="22"/>
          <w:szCs w:val="22"/>
          <w:lang w:val="en-GB"/>
          <w:rPrChange w:id="3438" w:author="Author">
            <w:rPr>
              <w:sz w:val="22"/>
              <w:szCs w:val="22"/>
            </w:rPr>
          </w:rPrChange>
        </w:rPr>
        <w:t xml:space="preserve"> </w:t>
      </w:r>
    </w:p>
    <w:p w14:paraId="26C7D03E" w14:textId="77777777" w:rsidR="00524DB2" w:rsidRPr="00D55B59" w:rsidRDefault="00524DB2" w:rsidP="007B4B23">
      <w:pPr>
        <w:pStyle w:val="Default"/>
        <w:rPr>
          <w:sz w:val="22"/>
          <w:szCs w:val="22"/>
          <w:lang w:val="en-GB"/>
          <w:rPrChange w:id="3439" w:author="Author">
            <w:rPr>
              <w:sz w:val="22"/>
              <w:szCs w:val="22"/>
            </w:rPr>
          </w:rPrChange>
        </w:rPr>
      </w:pPr>
    </w:p>
    <w:p w14:paraId="5A8C920B" w14:textId="77777777" w:rsidR="00524DB2" w:rsidRPr="00D55B59" w:rsidRDefault="00524DB2" w:rsidP="007B4B23">
      <w:pPr>
        <w:pStyle w:val="Default"/>
        <w:keepNext/>
        <w:rPr>
          <w:sz w:val="22"/>
          <w:szCs w:val="22"/>
          <w:u w:val="single"/>
          <w:lang w:val="en-GB"/>
          <w:rPrChange w:id="3440" w:author="Author">
            <w:rPr>
              <w:sz w:val="22"/>
              <w:szCs w:val="22"/>
              <w:u w:val="single"/>
            </w:rPr>
          </w:rPrChange>
        </w:rPr>
      </w:pPr>
      <w:r w:rsidRPr="00D55B59">
        <w:rPr>
          <w:sz w:val="22"/>
          <w:szCs w:val="22"/>
          <w:u w:val="single"/>
          <w:lang w:val="en-GB"/>
          <w:rPrChange w:id="3441" w:author="Author">
            <w:rPr>
              <w:sz w:val="22"/>
              <w:szCs w:val="22"/>
              <w:u w:val="single"/>
            </w:rPr>
          </w:rPrChange>
        </w:rPr>
        <w:t xml:space="preserve">Children </w:t>
      </w:r>
      <w:r w:rsidR="00E2388D" w:rsidRPr="00D55B59">
        <w:rPr>
          <w:sz w:val="22"/>
          <w:szCs w:val="22"/>
          <w:u w:val="single"/>
          <w:lang w:val="en-GB"/>
          <w:rPrChange w:id="3442" w:author="Author">
            <w:rPr>
              <w:sz w:val="22"/>
              <w:szCs w:val="22"/>
              <w:u w:val="single"/>
            </w:rPr>
          </w:rPrChange>
        </w:rPr>
        <w:t>and</w:t>
      </w:r>
      <w:r w:rsidRPr="00D55B59">
        <w:rPr>
          <w:sz w:val="22"/>
          <w:szCs w:val="22"/>
          <w:u w:val="single"/>
          <w:lang w:val="en-GB"/>
          <w:rPrChange w:id="3443" w:author="Author">
            <w:rPr>
              <w:sz w:val="22"/>
              <w:szCs w:val="22"/>
              <w:u w:val="single"/>
            </w:rPr>
          </w:rPrChange>
        </w:rPr>
        <w:t xml:space="preserve"> </w:t>
      </w:r>
      <w:r w:rsidRPr="00D55B59">
        <w:rPr>
          <w:rFonts w:eastAsia="PMingLiU"/>
          <w:sz w:val="22"/>
          <w:szCs w:val="22"/>
          <w:u w:val="single"/>
          <w:lang w:val="en-GB" w:eastAsia="zh-TW"/>
          <w:rPrChange w:id="3444" w:author="Author">
            <w:rPr>
              <w:rFonts w:eastAsia="PMingLiU"/>
              <w:sz w:val="22"/>
              <w:szCs w:val="22"/>
              <w:u w:val="single"/>
              <w:lang w:eastAsia="zh-TW"/>
            </w:rPr>
          </w:rPrChange>
        </w:rPr>
        <w:t>a</w:t>
      </w:r>
      <w:r w:rsidRPr="00D55B59">
        <w:rPr>
          <w:sz w:val="22"/>
          <w:szCs w:val="22"/>
          <w:u w:val="single"/>
          <w:lang w:val="en-GB"/>
          <w:rPrChange w:id="3445" w:author="Author">
            <w:rPr>
              <w:sz w:val="22"/>
              <w:szCs w:val="22"/>
              <w:u w:val="single"/>
            </w:rPr>
          </w:rPrChange>
        </w:rPr>
        <w:t xml:space="preserve">dolescents with </w:t>
      </w:r>
      <w:r w:rsidRPr="00D55B59">
        <w:rPr>
          <w:rFonts w:eastAsia="PMingLiU"/>
          <w:sz w:val="22"/>
          <w:szCs w:val="22"/>
          <w:u w:val="single"/>
          <w:lang w:val="en-GB" w:eastAsia="zh-TW"/>
          <w:rPrChange w:id="3446" w:author="Author">
            <w:rPr>
              <w:rFonts w:eastAsia="PMingLiU"/>
              <w:sz w:val="22"/>
              <w:szCs w:val="22"/>
              <w:u w:val="single"/>
              <w:lang w:eastAsia="zh-TW"/>
            </w:rPr>
          </w:rPrChange>
        </w:rPr>
        <w:t>p</w:t>
      </w:r>
      <w:r w:rsidRPr="00D55B59">
        <w:rPr>
          <w:sz w:val="22"/>
          <w:szCs w:val="22"/>
          <w:u w:val="single"/>
          <w:lang w:val="en-GB"/>
          <w:rPrChange w:id="3447" w:author="Author">
            <w:rPr>
              <w:sz w:val="22"/>
              <w:szCs w:val="22"/>
              <w:u w:val="single"/>
            </w:rPr>
          </w:rPrChange>
        </w:rPr>
        <w:t xml:space="preserve">laque </w:t>
      </w:r>
      <w:r w:rsidRPr="00D55B59">
        <w:rPr>
          <w:rFonts w:eastAsia="PMingLiU"/>
          <w:sz w:val="22"/>
          <w:szCs w:val="22"/>
          <w:u w:val="single"/>
          <w:lang w:val="en-GB" w:eastAsia="zh-TW"/>
          <w:rPrChange w:id="3448" w:author="Author">
            <w:rPr>
              <w:rFonts w:eastAsia="PMingLiU"/>
              <w:sz w:val="22"/>
              <w:szCs w:val="22"/>
              <w:u w:val="single"/>
              <w:lang w:eastAsia="zh-TW"/>
            </w:rPr>
          </w:rPrChange>
        </w:rPr>
        <w:t>p</w:t>
      </w:r>
      <w:r w:rsidRPr="00D55B59">
        <w:rPr>
          <w:sz w:val="22"/>
          <w:szCs w:val="22"/>
          <w:u w:val="single"/>
          <w:lang w:val="en-GB"/>
          <w:rPrChange w:id="3449" w:author="Author">
            <w:rPr>
              <w:sz w:val="22"/>
              <w:szCs w:val="22"/>
              <w:u w:val="single"/>
            </w:rPr>
          </w:rPrChange>
        </w:rPr>
        <w:t xml:space="preserve">soriasis </w:t>
      </w:r>
    </w:p>
    <w:p w14:paraId="5DCBA0B0" w14:textId="77777777" w:rsidR="00524DB2" w:rsidRPr="00D55B59" w:rsidRDefault="00524DB2" w:rsidP="007B4B23">
      <w:pPr>
        <w:pStyle w:val="Default"/>
        <w:keepNext/>
        <w:rPr>
          <w:sz w:val="22"/>
          <w:szCs w:val="22"/>
          <w:u w:val="single"/>
          <w:lang w:val="en-GB"/>
          <w:rPrChange w:id="3450" w:author="Author">
            <w:rPr>
              <w:sz w:val="22"/>
              <w:szCs w:val="22"/>
              <w:u w:val="single"/>
            </w:rPr>
          </w:rPrChange>
        </w:rPr>
      </w:pPr>
    </w:p>
    <w:p w14:paraId="67E060F8" w14:textId="77777777" w:rsidR="00E2388D" w:rsidRPr="001775D9" w:rsidRDefault="00E2388D" w:rsidP="00B61D9D">
      <w:pPr>
        <w:numPr>
          <w:ilvl w:val="12"/>
          <w:numId w:val="0"/>
        </w:numPr>
        <w:tabs>
          <w:tab w:val="clear" w:pos="567"/>
          <w:tab w:val="left" w:pos="720"/>
        </w:tabs>
        <w:spacing w:line="240" w:lineRule="auto"/>
        <w:ind w:right="-2"/>
        <w:rPr>
          <w:i/>
        </w:rPr>
      </w:pPr>
      <w:bookmarkStart w:id="3451" w:name="_Hlk517258273"/>
      <w:r w:rsidRPr="001775D9">
        <w:rPr>
          <w:i/>
        </w:rPr>
        <w:t>Children and adolescents from 4 to 17 years of age weighing 30 kg</w:t>
      </w:r>
      <w:r w:rsidRPr="001775D9">
        <w:t xml:space="preserve"> </w:t>
      </w:r>
      <w:r w:rsidRPr="001775D9">
        <w:rPr>
          <w:i/>
        </w:rPr>
        <w:t>or more</w:t>
      </w:r>
    </w:p>
    <w:p w14:paraId="25F4EC8D" w14:textId="77777777" w:rsidR="00E2388D" w:rsidRPr="001775D9" w:rsidRDefault="00E2388D" w:rsidP="00B61D9D">
      <w:pPr>
        <w:numPr>
          <w:ilvl w:val="12"/>
          <w:numId w:val="0"/>
        </w:numPr>
        <w:tabs>
          <w:tab w:val="clear" w:pos="567"/>
          <w:tab w:val="left" w:pos="720"/>
        </w:tabs>
        <w:spacing w:line="240" w:lineRule="auto"/>
        <w:ind w:right="-2"/>
      </w:pPr>
    </w:p>
    <w:p w14:paraId="4023AAA0" w14:textId="77777777" w:rsidR="00E2388D" w:rsidRPr="00D55B59" w:rsidRDefault="00E2388D" w:rsidP="00B61D9D">
      <w:pPr>
        <w:numPr>
          <w:ilvl w:val="12"/>
          <w:numId w:val="0"/>
        </w:numPr>
        <w:tabs>
          <w:tab w:val="clear" w:pos="567"/>
          <w:tab w:val="left" w:pos="720"/>
        </w:tabs>
        <w:spacing w:line="240" w:lineRule="auto"/>
        <w:ind w:right="-2"/>
        <w:rPr>
          <w:rPrChange w:id="3452" w:author="Author">
            <w:rPr>
              <w:lang w:val="en-US"/>
            </w:rPr>
          </w:rPrChange>
        </w:rPr>
      </w:pPr>
      <w:r w:rsidRPr="001775D9">
        <w:t xml:space="preserve">The recommended dose of </w:t>
      </w:r>
      <w:r w:rsidR="00127BED" w:rsidRPr="001775D9">
        <w:t>AMGEVITA</w:t>
      </w:r>
      <w:r w:rsidRPr="001775D9">
        <w:t xml:space="preserve"> is an initial dose of 40 mg, followed by 40 mg one week later. Thereafter, the usual dose is 40 mg every other week.</w:t>
      </w:r>
    </w:p>
    <w:bookmarkEnd w:id="3451"/>
    <w:p w14:paraId="335587F4" w14:textId="77777777" w:rsidR="00524DB2" w:rsidRPr="00D55B59" w:rsidRDefault="00524DB2" w:rsidP="007B4B23">
      <w:pPr>
        <w:pStyle w:val="Default"/>
        <w:rPr>
          <w:sz w:val="22"/>
          <w:szCs w:val="22"/>
          <w:lang w:val="en-GB"/>
          <w:rPrChange w:id="3453" w:author="Author">
            <w:rPr>
              <w:sz w:val="22"/>
              <w:szCs w:val="22"/>
            </w:rPr>
          </w:rPrChange>
        </w:rPr>
      </w:pPr>
    </w:p>
    <w:p w14:paraId="734D6E95" w14:textId="77777777" w:rsidR="00524DB2" w:rsidRPr="00D55B59" w:rsidRDefault="00524DB2" w:rsidP="007B4B23">
      <w:pPr>
        <w:pStyle w:val="Default"/>
        <w:keepNext/>
        <w:rPr>
          <w:sz w:val="22"/>
          <w:szCs w:val="22"/>
          <w:u w:val="single"/>
          <w:lang w:val="en-GB"/>
          <w:rPrChange w:id="3454" w:author="Author">
            <w:rPr>
              <w:sz w:val="22"/>
              <w:szCs w:val="22"/>
              <w:u w:val="single"/>
            </w:rPr>
          </w:rPrChange>
        </w:rPr>
      </w:pPr>
      <w:r w:rsidRPr="00D55B59">
        <w:rPr>
          <w:sz w:val="22"/>
          <w:szCs w:val="22"/>
          <w:u w:val="single"/>
          <w:lang w:val="en-GB"/>
          <w:rPrChange w:id="3455" w:author="Author">
            <w:rPr>
              <w:sz w:val="22"/>
              <w:szCs w:val="22"/>
              <w:u w:val="single"/>
            </w:rPr>
          </w:rPrChange>
        </w:rPr>
        <w:t>Adults with hidradenitis suppurativa</w:t>
      </w:r>
    </w:p>
    <w:p w14:paraId="7C984D40" w14:textId="77777777" w:rsidR="00524DB2" w:rsidRPr="001775D9" w:rsidRDefault="00524DB2" w:rsidP="007B4B23">
      <w:pPr>
        <w:keepNext/>
        <w:tabs>
          <w:tab w:val="clear" w:pos="567"/>
        </w:tabs>
        <w:autoSpaceDE w:val="0"/>
        <w:autoSpaceDN w:val="0"/>
        <w:adjustRightInd w:val="0"/>
        <w:spacing w:line="240" w:lineRule="auto"/>
        <w:rPr>
          <w:rFonts w:ascii="TimesNewRoman" w:hAnsi="TimesNewRoman" w:cs="TimesNewRoman"/>
          <w:szCs w:val="22"/>
        </w:rPr>
      </w:pPr>
    </w:p>
    <w:p w14:paraId="79D88BA7" w14:textId="77777777" w:rsidR="00524DB2" w:rsidRPr="00D55B59" w:rsidRDefault="00524DB2" w:rsidP="007B4B23">
      <w:pPr>
        <w:pStyle w:val="Default"/>
        <w:rPr>
          <w:sz w:val="22"/>
          <w:szCs w:val="22"/>
          <w:lang w:val="en-GB"/>
          <w:rPrChange w:id="3456" w:author="Author">
            <w:rPr>
              <w:sz w:val="22"/>
              <w:szCs w:val="22"/>
            </w:rPr>
          </w:rPrChange>
        </w:rPr>
      </w:pPr>
      <w:r w:rsidRPr="00D55B59">
        <w:rPr>
          <w:sz w:val="22"/>
          <w:szCs w:val="22"/>
          <w:lang w:val="en-GB"/>
          <w:rPrChange w:id="3457" w:author="Author">
            <w:rPr>
              <w:sz w:val="22"/>
              <w:szCs w:val="22"/>
            </w:rPr>
          </w:rPrChange>
        </w:rPr>
        <w:t>The usual dose regimen for hidradenitis suppurativa is an initial dose of 160</w:t>
      </w:r>
      <w:r w:rsidR="00B052BE" w:rsidRPr="00D55B59">
        <w:rPr>
          <w:sz w:val="22"/>
          <w:szCs w:val="22"/>
          <w:lang w:val="en-GB"/>
          <w:rPrChange w:id="3458" w:author="Author">
            <w:rPr>
              <w:sz w:val="22"/>
              <w:szCs w:val="22"/>
            </w:rPr>
          </w:rPrChange>
        </w:rPr>
        <w:t> </w:t>
      </w:r>
      <w:r w:rsidRPr="00D55B59">
        <w:rPr>
          <w:sz w:val="22"/>
          <w:szCs w:val="22"/>
          <w:lang w:val="en-GB"/>
          <w:rPrChange w:id="3459" w:author="Author">
            <w:rPr>
              <w:sz w:val="22"/>
              <w:szCs w:val="22"/>
            </w:rPr>
          </w:rPrChange>
        </w:rPr>
        <w:t xml:space="preserve">mg (as </w:t>
      </w:r>
      <w:r w:rsidR="00885705" w:rsidRPr="00D55B59">
        <w:rPr>
          <w:sz w:val="22"/>
          <w:szCs w:val="22"/>
          <w:lang w:val="en-GB"/>
          <w:rPrChange w:id="3460" w:author="Author">
            <w:rPr>
              <w:sz w:val="22"/>
              <w:szCs w:val="22"/>
            </w:rPr>
          </w:rPrChange>
        </w:rPr>
        <w:t xml:space="preserve">four 40 mg </w:t>
      </w:r>
      <w:r w:rsidRPr="00D55B59">
        <w:rPr>
          <w:sz w:val="22"/>
          <w:szCs w:val="22"/>
          <w:lang w:val="en-GB"/>
          <w:rPrChange w:id="3461" w:author="Author">
            <w:rPr>
              <w:sz w:val="22"/>
              <w:szCs w:val="22"/>
            </w:rPr>
          </w:rPrChange>
        </w:rPr>
        <w:t xml:space="preserve">injections in one day or </w:t>
      </w:r>
      <w:r w:rsidR="00885705" w:rsidRPr="00D55B59">
        <w:rPr>
          <w:sz w:val="22"/>
          <w:szCs w:val="22"/>
          <w:lang w:val="en-GB"/>
          <w:rPrChange w:id="3462" w:author="Author">
            <w:rPr>
              <w:sz w:val="22"/>
              <w:szCs w:val="22"/>
            </w:rPr>
          </w:rPrChange>
        </w:rPr>
        <w:t xml:space="preserve">two 40 mg </w:t>
      </w:r>
      <w:r w:rsidRPr="00D55B59">
        <w:rPr>
          <w:sz w:val="22"/>
          <w:szCs w:val="22"/>
          <w:lang w:val="en-GB"/>
          <w:rPrChange w:id="3463" w:author="Author">
            <w:rPr>
              <w:sz w:val="22"/>
              <w:szCs w:val="22"/>
            </w:rPr>
          </w:rPrChange>
        </w:rPr>
        <w:t>injections per day for two consecutive days), followed by an 80</w:t>
      </w:r>
      <w:r w:rsidR="00B052BE" w:rsidRPr="00D55B59">
        <w:rPr>
          <w:sz w:val="22"/>
          <w:szCs w:val="22"/>
          <w:lang w:val="en-GB"/>
          <w:rPrChange w:id="3464" w:author="Author">
            <w:rPr>
              <w:sz w:val="22"/>
              <w:szCs w:val="22"/>
            </w:rPr>
          </w:rPrChange>
        </w:rPr>
        <w:t> </w:t>
      </w:r>
      <w:r w:rsidRPr="00D55B59">
        <w:rPr>
          <w:sz w:val="22"/>
          <w:szCs w:val="22"/>
          <w:lang w:val="en-GB"/>
          <w:rPrChange w:id="3465" w:author="Author">
            <w:rPr>
              <w:sz w:val="22"/>
              <w:szCs w:val="22"/>
            </w:rPr>
          </w:rPrChange>
        </w:rPr>
        <w:t xml:space="preserve">mg dose (as </w:t>
      </w:r>
      <w:r w:rsidR="00885705" w:rsidRPr="00D55B59">
        <w:rPr>
          <w:sz w:val="22"/>
          <w:szCs w:val="22"/>
          <w:lang w:val="en-GB"/>
          <w:rPrChange w:id="3466" w:author="Author">
            <w:rPr>
              <w:sz w:val="22"/>
              <w:szCs w:val="22"/>
            </w:rPr>
          </w:rPrChange>
        </w:rPr>
        <w:t xml:space="preserve">two 40 mg </w:t>
      </w:r>
      <w:r w:rsidRPr="00D55B59">
        <w:rPr>
          <w:sz w:val="22"/>
          <w:szCs w:val="22"/>
          <w:lang w:val="en-GB"/>
          <w:rPrChange w:id="3467" w:author="Author">
            <w:rPr>
              <w:sz w:val="22"/>
              <w:szCs w:val="22"/>
            </w:rPr>
          </w:rPrChange>
        </w:rPr>
        <w:t xml:space="preserve">injections </w:t>
      </w:r>
      <w:r w:rsidR="00D04259" w:rsidRPr="00D55B59">
        <w:rPr>
          <w:sz w:val="22"/>
          <w:szCs w:val="22"/>
          <w:lang w:val="en-GB"/>
          <w:rPrChange w:id="3468" w:author="Author">
            <w:rPr>
              <w:sz w:val="22"/>
              <w:szCs w:val="22"/>
            </w:rPr>
          </w:rPrChange>
        </w:rPr>
        <w:t>in one</w:t>
      </w:r>
      <w:r w:rsidRPr="00D55B59">
        <w:rPr>
          <w:sz w:val="22"/>
          <w:szCs w:val="22"/>
          <w:lang w:val="en-GB"/>
          <w:rPrChange w:id="3469" w:author="Author">
            <w:rPr>
              <w:sz w:val="22"/>
              <w:szCs w:val="22"/>
            </w:rPr>
          </w:rPrChange>
        </w:rPr>
        <w:t xml:space="preserve"> day) two weeks later. After two further weeks, continue with a dose of 40</w:t>
      </w:r>
      <w:r w:rsidR="00B052BE" w:rsidRPr="00D55B59">
        <w:rPr>
          <w:sz w:val="22"/>
          <w:szCs w:val="22"/>
          <w:lang w:val="en-GB"/>
          <w:rPrChange w:id="3470" w:author="Author">
            <w:rPr>
              <w:sz w:val="22"/>
              <w:szCs w:val="22"/>
            </w:rPr>
          </w:rPrChange>
        </w:rPr>
        <w:t> </w:t>
      </w:r>
      <w:r w:rsidRPr="00D55B59">
        <w:rPr>
          <w:sz w:val="22"/>
          <w:szCs w:val="22"/>
          <w:lang w:val="en-GB"/>
          <w:rPrChange w:id="3471" w:author="Author">
            <w:rPr>
              <w:sz w:val="22"/>
              <w:szCs w:val="22"/>
            </w:rPr>
          </w:rPrChange>
        </w:rPr>
        <w:t>mg every week</w:t>
      </w:r>
      <w:r w:rsidR="007404BB" w:rsidRPr="00D55B59">
        <w:rPr>
          <w:sz w:val="22"/>
          <w:szCs w:val="22"/>
          <w:lang w:val="en-GB"/>
          <w:rPrChange w:id="3472" w:author="Author">
            <w:rPr>
              <w:sz w:val="22"/>
              <w:szCs w:val="22"/>
            </w:rPr>
          </w:rPrChange>
        </w:rPr>
        <w:t xml:space="preserve"> or 80</w:t>
      </w:r>
      <w:r w:rsidR="00D5093F" w:rsidRPr="00D55B59">
        <w:rPr>
          <w:szCs w:val="22"/>
          <w:lang w:val="en-GB" w:eastAsia="en-GB"/>
          <w:rPrChange w:id="3473" w:author="Author">
            <w:rPr>
              <w:szCs w:val="22"/>
              <w:lang w:eastAsia="en-GB"/>
            </w:rPr>
          </w:rPrChange>
        </w:rPr>
        <w:t> </w:t>
      </w:r>
      <w:r w:rsidR="007404BB" w:rsidRPr="00D55B59">
        <w:rPr>
          <w:sz w:val="22"/>
          <w:szCs w:val="22"/>
          <w:lang w:val="en-GB"/>
          <w:rPrChange w:id="3474" w:author="Author">
            <w:rPr>
              <w:sz w:val="22"/>
              <w:szCs w:val="22"/>
            </w:rPr>
          </w:rPrChange>
        </w:rPr>
        <w:t>m</w:t>
      </w:r>
      <w:r w:rsidR="001D28A4" w:rsidRPr="00D55B59">
        <w:rPr>
          <w:sz w:val="22"/>
          <w:szCs w:val="22"/>
          <w:lang w:val="en-GB"/>
          <w:rPrChange w:id="3475" w:author="Author">
            <w:rPr>
              <w:sz w:val="22"/>
              <w:szCs w:val="22"/>
            </w:rPr>
          </w:rPrChange>
        </w:rPr>
        <w:t>g</w:t>
      </w:r>
      <w:r w:rsidR="00D04259" w:rsidRPr="00D55B59">
        <w:rPr>
          <w:sz w:val="22"/>
          <w:szCs w:val="22"/>
          <w:lang w:val="en-GB"/>
          <w:rPrChange w:id="3476" w:author="Author">
            <w:rPr>
              <w:sz w:val="22"/>
              <w:szCs w:val="22"/>
            </w:rPr>
          </w:rPrChange>
        </w:rPr>
        <w:t xml:space="preserve"> </w:t>
      </w:r>
      <w:r w:rsidR="007404BB" w:rsidRPr="00D55B59">
        <w:rPr>
          <w:sz w:val="22"/>
          <w:szCs w:val="22"/>
          <w:lang w:val="en-GB"/>
          <w:rPrChange w:id="3477" w:author="Author">
            <w:rPr>
              <w:sz w:val="22"/>
              <w:szCs w:val="22"/>
            </w:rPr>
          </w:rPrChange>
        </w:rPr>
        <w:t>every other week, as prescribed by your doctor</w:t>
      </w:r>
      <w:r w:rsidRPr="00D55B59">
        <w:rPr>
          <w:sz w:val="22"/>
          <w:szCs w:val="22"/>
          <w:lang w:val="en-GB"/>
          <w:rPrChange w:id="3478" w:author="Author">
            <w:rPr>
              <w:sz w:val="22"/>
              <w:szCs w:val="22"/>
            </w:rPr>
          </w:rPrChange>
        </w:rPr>
        <w:t>. It is recommended that you use an antiseptic wash daily on the affected areas.</w:t>
      </w:r>
    </w:p>
    <w:p w14:paraId="03728C2B" w14:textId="77777777" w:rsidR="00F62574" w:rsidRPr="00D55B59" w:rsidRDefault="00F62574" w:rsidP="007B4B23">
      <w:pPr>
        <w:pStyle w:val="Default"/>
        <w:rPr>
          <w:sz w:val="22"/>
          <w:szCs w:val="22"/>
          <w:lang w:val="en-GB"/>
          <w:rPrChange w:id="3479" w:author="Author">
            <w:rPr>
              <w:sz w:val="22"/>
              <w:szCs w:val="22"/>
            </w:rPr>
          </w:rPrChange>
        </w:rPr>
      </w:pPr>
    </w:p>
    <w:p w14:paraId="5C7802E5" w14:textId="77777777" w:rsidR="00F62574" w:rsidRPr="00D55B59" w:rsidRDefault="00F62574" w:rsidP="007B4B23">
      <w:pPr>
        <w:pStyle w:val="Default"/>
        <w:rPr>
          <w:sz w:val="22"/>
          <w:szCs w:val="22"/>
          <w:u w:val="single"/>
          <w:lang w:val="en-GB"/>
          <w:rPrChange w:id="3480" w:author="Author">
            <w:rPr>
              <w:sz w:val="22"/>
              <w:szCs w:val="22"/>
              <w:u w:val="single"/>
            </w:rPr>
          </w:rPrChange>
        </w:rPr>
      </w:pPr>
      <w:r w:rsidRPr="00D55B59">
        <w:rPr>
          <w:sz w:val="22"/>
          <w:szCs w:val="22"/>
          <w:u w:val="single"/>
          <w:lang w:val="en-GB"/>
          <w:rPrChange w:id="3481" w:author="Author">
            <w:rPr>
              <w:sz w:val="22"/>
              <w:szCs w:val="22"/>
              <w:u w:val="single"/>
            </w:rPr>
          </w:rPrChange>
        </w:rPr>
        <w:t>Adolescents with hidradenitis suppurativa from 12 to 17 years of age weighing 30</w:t>
      </w:r>
      <w:r w:rsidR="00F3748B" w:rsidRPr="00D55B59">
        <w:rPr>
          <w:szCs w:val="22"/>
          <w:lang w:val="en-GB" w:eastAsia="en-GB"/>
          <w:rPrChange w:id="3482" w:author="Author">
            <w:rPr>
              <w:szCs w:val="22"/>
              <w:lang w:eastAsia="en-GB"/>
            </w:rPr>
          </w:rPrChange>
        </w:rPr>
        <w:t> </w:t>
      </w:r>
      <w:r w:rsidRPr="00D55B59">
        <w:rPr>
          <w:sz w:val="22"/>
          <w:szCs w:val="22"/>
          <w:u w:val="single"/>
          <w:lang w:val="en-GB"/>
          <w:rPrChange w:id="3483" w:author="Author">
            <w:rPr>
              <w:sz w:val="22"/>
              <w:szCs w:val="22"/>
              <w:u w:val="single"/>
            </w:rPr>
          </w:rPrChange>
        </w:rPr>
        <w:t>kg or more</w:t>
      </w:r>
    </w:p>
    <w:p w14:paraId="0313EAA7" w14:textId="77777777" w:rsidR="00F62574" w:rsidRPr="00D55B59" w:rsidRDefault="00F62574" w:rsidP="007B4B23">
      <w:pPr>
        <w:pStyle w:val="Default"/>
        <w:rPr>
          <w:sz w:val="22"/>
          <w:szCs w:val="22"/>
          <w:lang w:val="en-GB"/>
          <w:rPrChange w:id="3484" w:author="Author">
            <w:rPr>
              <w:sz w:val="22"/>
              <w:szCs w:val="22"/>
            </w:rPr>
          </w:rPrChange>
        </w:rPr>
      </w:pPr>
    </w:p>
    <w:p w14:paraId="2E1DCBE1" w14:textId="6714CD62" w:rsidR="00F62574" w:rsidRPr="00D55B59" w:rsidRDefault="00F62574" w:rsidP="007B4B23">
      <w:pPr>
        <w:pStyle w:val="Default"/>
        <w:rPr>
          <w:sz w:val="22"/>
          <w:szCs w:val="22"/>
          <w:lang w:val="en-GB"/>
          <w:rPrChange w:id="3485" w:author="Author">
            <w:rPr>
              <w:sz w:val="22"/>
              <w:szCs w:val="22"/>
            </w:rPr>
          </w:rPrChange>
        </w:rPr>
      </w:pPr>
      <w:r w:rsidRPr="00D55B59">
        <w:rPr>
          <w:sz w:val="22"/>
          <w:szCs w:val="22"/>
          <w:lang w:val="en-GB"/>
          <w:rPrChange w:id="3486" w:author="Author">
            <w:rPr>
              <w:sz w:val="22"/>
              <w:szCs w:val="22"/>
            </w:rPr>
          </w:rPrChange>
        </w:rPr>
        <w:t>The recommended dose of AMGEVITA is an initial dose of 80</w:t>
      </w:r>
      <w:r w:rsidR="00F3748B" w:rsidRPr="00D55B59">
        <w:rPr>
          <w:szCs w:val="22"/>
          <w:lang w:val="en-GB" w:eastAsia="en-GB"/>
          <w:rPrChange w:id="3487" w:author="Author">
            <w:rPr>
              <w:szCs w:val="22"/>
              <w:lang w:eastAsia="en-GB"/>
            </w:rPr>
          </w:rPrChange>
        </w:rPr>
        <w:t> </w:t>
      </w:r>
      <w:r w:rsidRPr="00D55B59">
        <w:rPr>
          <w:sz w:val="22"/>
          <w:szCs w:val="22"/>
          <w:lang w:val="en-GB"/>
          <w:rPrChange w:id="3488" w:author="Author">
            <w:rPr>
              <w:sz w:val="22"/>
              <w:szCs w:val="22"/>
            </w:rPr>
          </w:rPrChange>
        </w:rPr>
        <w:t>mg (as two 40</w:t>
      </w:r>
      <w:r w:rsidR="00F3748B" w:rsidRPr="00D55B59">
        <w:rPr>
          <w:szCs w:val="22"/>
          <w:lang w:val="en-GB" w:eastAsia="en-GB"/>
          <w:rPrChange w:id="3489" w:author="Author">
            <w:rPr>
              <w:szCs w:val="22"/>
              <w:lang w:eastAsia="en-GB"/>
            </w:rPr>
          </w:rPrChange>
        </w:rPr>
        <w:t> </w:t>
      </w:r>
      <w:r w:rsidRPr="00D55B59">
        <w:rPr>
          <w:sz w:val="22"/>
          <w:szCs w:val="22"/>
          <w:lang w:val="en-GB"/>
          <w:rPrChange w:id="3490" w:author="Author">
            <w:rPr>
              <w:sz w:val="22"/>
              <w:szCs w:val="22"/>
            </w:rPr>
          </w:rPrChange>
        </w:rPr>
        <w:t>mg injections in one day), followed by 40</w:t>
      </w:r>
      <w:r w:rsidR="00F3748B" w:rsidRPr="00D55B59">
        <w:rPr>
          <w:szCs w:val="22"/>
          <w:lang w:val="en-GB" w:eastAsia="en-GB"/>
          <w:rPrChange w:id="3491" w:author="Author">
            <w:rPr>
              <w:szCs w:val="22"/>
              <w:lang w:eastAsia="en-GB"/>
            </w:rPr>
          </w:rPrChange>
        </w:rPr>
        <w:t> </w:t>
      </w:r>
      <w:r w:rsidRPr="00D55B59">
        <w:rPr>
          <w:sz w:val="22"/>
          <w:szCs w:val="22"/>
          <w:lang w:val="en-GB"/>
          <w:rPrChange w:id="3492" w:author="Author">
            <w:rPr>
              <w:sz w:val="22"/>
              <w:szCs w:val="22"/>
            </w:rPr>
          </w:rPrChange>
        </w:rPr>
        <w:t>mg every other week starting one week later. If you have an inadequate response to AMGEVITA 40</w:t>
      </w:r>
      <w:r w:rsidR="00F3748B" w:rsidRPr="00D55B59">
        <w:rPr>
          <w:szCs w:val="22"/>
          <w:lang w:val="en-GB" w:eastAsia="en-GB"/>
          <w:rPrChange w:id="3493" w:author="Author">
            <w:rPr>
              <w:szCs w:val="22"/>
              <w:lang w:eastAsia="en-GB"/>
            </w:rPr>
          </w:rPrChange>
        </w:rPr>
        <w:t> </w:t>
      </w:r>
      <w:r w:rsidRPr="00D55B59">
        <w:rPr>
          <w:sz w:val="22"/>
          <w:szCs w:val="22"/>
          <w:lang w:val="en-GB"/>
          <w:rPrChange w:id="3494" w:author="Author">
            <w:rPr>
              <w:sz w:val="22"/>
              <w:szCs w:val="22"/>
            </w:rPr>
          </w:rPrChange>
        </w:rPr>
        <w:t>mg every other week, your doctor may increase the dose to 40</w:t>
      </w:r>
      <w:r w:rsidR="00F3748B" w:rsidRPr="00D55B59">
        <w:rPr>
          <w:szCs w:val="22"/>
          <w:lang w:val="en-GB" w:eastAsia="en-GB"/>
          <w:rPrChange w:id="3495" w:author="Author">
            <w:rPr>
              <w:szCs w:val="22"/>
              <w:lang w:eastAsia="en-GB"/>
            </w:rPr>
          </w:rPrChange>
        </w:rPr>
        <w:t> </w:t>
      </w:r>
      <w:r w:rsidRPr="00D55B59">
        <w:rPr>
          <w:sz w:val="22"/>
          <w:szCs w:val="22"/>
          <w:lang w:val="en-GB"/>
          <w:rPrChange w:id="3496" w:author="Author">
            <w:rPr>
              <w:sz w:val="22"/>
              <w:szCs w:val="22"/>
            </w:rPr>
          </w:rPrChange>
        </w:rPr>
        <w:t>mg every week or 80</w:t>
      </w:r>
      <w:r w:rsidR="006D2088" w:rsidRPr="00D55B59">
        <w:rPr>
          <w:szCs w:val="22"/>
          <w:lang w:val="en-GB" w:eastAsia="en-GB"/>
          <w:rPrChange w:id="3497" w:author="Author">
            <w:rPr>
              <w:szCs w:val="22"/>
              <w:lang w:eastAsia="en-GB"/>
            </w:rPr>
          </w:rPrChange>
        </w:rPr>
        <w:t> </w:t>
      </w:r>
      <w:r w:rsidRPr="00D55B59">
        <w:rPr>
          <w:sz w:val="22"/>
          <w:szCs w:val="22"/>
          <w:lang w:val="en-GB"/>
          <w:rPrChange w:id="3498" w:author="Author">
            <w:rPr>
              <w:sz w:val="22"/>
              <w:szCs w:val="22"/>
            </w:rPr>
          </w:rPrChange>
        </w:rPr>
        <w:t xml:space="preserve">mg every other week. </w:t>
      </w:r>
    </w:p>
    <w:p w14:paraId="48234DF5" w14:textId="77777777" w:rsidR="00F62574" w:rsidRPr="00D55B59" w:rsidRDefault="00F62574" w:rsidP="007B4B23">
      <w:pPr>
        <w:pStyle w:val="Default"/>
        <w:rPr>
          <w:sz w:val="22"/>
          <w:szCs w:val="22"/>
          <w:lang w:val="en-GB"/>
          <w:rPrChange w:id="3499" w:author="Author">
            <w:rPr>
              <w:sz w:val="22"/>
              <w:szCs w:val="22"/>
            </w:rPr>
          </w:rPrChange>
        </w:rPr>
      </w:pPr>
    </w:p>
    <w:p w14:paraId="0D728AF8" w14:textId="77777777" w:rsidR="00524DB2" w:rsidRPr="00D55B59" w:rsidRDefault="00F62574" w:rsidP="007B4B23">
      <w:pPr>
        <w:pStyle w:val="Default"/>
        <w:rPr>
          <w:sz w:val="22"/>
          <w:szCs w:val="22"/>
          <w:lang w:val="en-GB"/>
          <w:rPrChange w:id="3500" w:author="Author">
            <w:rPr>
              <w:sz w:val="22"/>
              <w:szCs w:val="22"/>
            </w:rPr>
          </w:rPrChange>
        </w:rPr>
      </w:pPr>
      <w:r w:rsidRPr="00D55B59">
        <w:rPr>
          <w:sz w:val="22"/>
          <w:szCs w:val="22"/>
          <w:lang w:val="en-GB"/>
          <w:rPrChange w:id="3501" w:author="Author">
            <w:rPr>
              <w:sz w:val="22"/>
              <w:szCs w:val="22"/>
            </w:rPr>
          </w:rPrChange>
        </w:rPr>
        <w:t>It is recommended that you use an antiseptic wash daily on the affected areas.</w:t>
      </w:r>
    </w:p>
    <w:p w14:paraId="7E4A1332" w14:textId="77777777" w:rsidR="00F62574" w:rsidRPr="00D55B59" w:rsidRDefault="00F62574" w:rsidP="007B4B23">
      <w:pPr>
        <w:pStyle w:val="Default"/>
        <w:rPr>
          <w:sz w:val="22"/>
          <w:szCs w:val="22"/>
          <w:u w:val="single"/>
          <w:lang w:val="en-GB"/>
          <w:rPrChange w:id="3502" w:author="Author">
            <w:rPr>
              <w:sz w:val="22"/>
              <w:szCs w:val="22"/>
              <w:u w:val="single"/>
            </w:rPr>
          </w:rPrChange>
        </w:rPr>
      </w:pPr>
    </w:p>
    <w:p w14:paraId="7ACF73D3" w14:textId="77777777" w:rsidR="00524DB2" w:rsidRPr="00D55B59" w:rsidRDefault="00524DB2" w:rsidP="007B4B23">
      <w:pPr>
        <w:pStyle w:val="Default"/>
        <w:keepNext/>
        <w:rPr>
          <w:sz w:val="22"/>
          <w:szCs w:val="22"/>
          <w:u w:val="single"/>
          <w:lang w:val="en-GB"/>
          <w:rPrChange w:id="3503" w:author="Author">
            <w:rPr>
              <w:sz w:val="22"/>
              <w:szCs w:val="22"/>
              <w:u w:val="single"/>
            </w:rPr>
          </w:rPrChange>
        </w:rPr>
      </w:pPr>
      <w:r w:rsidRPr="00D55B59">
        <w:rPr>
          <w:sz w:val="22"/>
          <w:szCs w:val="22"/>
          <w:u w:val="single"/>
          <w:lang w:val="en-GB"/>
          <w:rPrChange w:id="3504" w:author="Author">
            <w:rPr>
              <w:sz w:val="22"/>
              <w:szCs w:val="22"/>
              <w:u w:val="single"/>
            </w:rPr>
          </w:rPrChange>
        </w:rPr>
        <w:t xml:space="preserve">Adults with Crohn’s disease </w:t>
      </w:r>
    </w:p>
    <w:p w14:paraId="039B5FDD" w14:textId="77777777" w:rsidR="00524DB2" w:rsidRPr="00D55B59" w:rsidRDefault="00524DB2" w:rsidP="007B4B23">
      <w:pPr>
        <w:pStyle w:val="Default"/>
        <w:keepNext/>
        <w:rPr>
          <w:sz w:val="22"/>
          <w:szCs w:val="22"/>
          <w:lang w:val="en-GB"/>
          <w:rPrChange w:id="3505" w:author="Author">
            <w:rPr>
              <w:sz w:val="22"/>
              <w:szCs w:val="22"/>
            </w:rPr>
          </w:rPrChange>
        </w:rPr>
      </w:pPr>
    </w:p>
    <w:p w14:paraId="7AB95EA6" w14:textId="241818C5" w:rsidR="00524DB2" w:rsidRPr="00D55B59" w:rsidRDefault="00524DB2" w:rsidP="007B4B23">
      <w:pPr>
        <w:pStyle w:val="Default"/>
        <w:rPr>
          <w:sz w:val="22"/>
          <w:szCs w:val="22"/>
          <w:lang w:val="en-GB"/>
          <w:rPrChange w:id="3506" w:author="Author">
            <w:rPr>
              <w:sz w:val="22"/>
              <w:szCs w:val="22"/>
            </w:rPr>
          </w:rPrChange>
        </w:rPr>
      </w:pPr>
      <w:r w:rsidRPr="00D55B59">
        <w:rPr>
          <w:sz w:val="22"/>
          <w:szCs w:val="22"/>
          <w:lang w:val="en-GB"/>
          <w:rPrChange w:id="3507" w:author="Author">
            <w:rPr>
              <w:sz w:val="22"/>
              <w:szCs w:val="22"/>
            </w:rPr>
          </w:rPrChange>
        </w:rPr>
        <w:t>The usual dose regimen for Crohn’s disease is 80</w:t>
      </w:r>
      <w:r w:rsidR="00B052BE" w:rsidRPr="00D55B59">
        <w:rPr>
          <w:sz w:val="22"/>
          <w:szCs w:val="22"/>
          <w:lang w:val="en-GB"/>
          <w:rPrChange w:id="3508" w:author="Author">
            <w:rPr>
              <w:sz w:val="22"/>
              <w:szCs w:val="22"/>
            </w:rPr>
          </w:rPrChange>
        </w:rPr>
        <w:t> </w:t>
      </w:r>
      <w:r w:rsidRPr="00D55B59">
        <w:rPr>
          <w:sz w:val="22"/>
          <w:szCs w:val="22"/>
          <w:lang w:val="en-GB"/>
          <w:rPrChange w:id="3509" w:author="Author">
            <w:rPr>
              <w:sz w:val="22"/>
              <w:szCs w:val="22"/>
            </w:rPr>
          </w:rPrChange>
        </w:rPr>
        <w:t xml:space="preserve">mg </w:t>
      </w:r>
      <w:r w:rsidR="0028101C" w:rsidRPr="00D55B59">
        <w:rPr>
          <w:sz w:val="22"/>
          <w:szCs w:val="22"/>
          <w:lang w:val="en-GB"/>
          <w:rPrChange w:id="3510" w:author="Author">
            <w:rPr>
              <w:sz w:val="22"/>
              <w:szCs w:val="22"/>
            </w:rPr>
          </w:rPrChange>
        </w:rPr>
        <w:t>(as two 40</w:t>
      </w:r>
      <w:r w:rsidR="00920C18" w:rsidRPr="00D55B59">
        <w:rPr>
          <w:szCs w:val="22"/>
          <w:lang w:val="en-GB" w:eastAsia="en-GB"/>
          <w:rPrChange w:id="3511" w:author="Author">
            <w:rPr>
              <w:szCs w:val="22"/>
              <w:lang w:eastAsia="en-GB"/>
            </w:rPr>
          </w:rPrChange>
        </w:rPr>
        <w:t> </w:t>
      </w:r>
      <w:r w:rsidR="0028101C" w:rsidRPr="00D55B59">
        <w:rPr>
          <w:sz w:val="22"/>
          <w:szCs w:val="22"/>
          <w:lang w:val="en-GB"/>
          <w:rPrChange w:id="3512" w:author="Author">
            <w:rPr>
              <w:sz w:val="22"/>
              <w:szCs w:val="22"/>
            </w:rPr>
          </w:rPrChange>
        </w:rPr>
        <w:t xml:space="preserve">mg injections in one day) </w:t>
      </w:r>
      <w:r w:rsidRPr="00D55B59">
        <w:rPr>
          <w:sz w:val="22"/>
          <w:szCs w:val="22"/>
          <w:lang w:val="en-GB"/>
          <w:rPrChange w:id="3513" w:author="Author">
            <w:rPr>
              <w:sz w:val="22"/>
              <w:szCs w:val="22"/>
            </w:rPr>
          </w:rPrChange>
        </w:rPr>
        <w:t>initially followed by 40</w:t>
      </w:r>
      <w:r w:rsidR="00B052BE" w:rsidRPr="00D55B59">
        <w:rPr>
          <w:sz w:val="22"/>
          <w:szCs w:val="22"/>
          <w:lang w:val="en-GB"/>
          <w:rPrChange w:id="3514" w:author="Author">
            <w:rPr>
              <w:sz w:val="22"/>
              <w:szCs w:val="22"/>
            </w:rPr>
          </w:rPrChange>
        </w:rPr>
        <w:t> </w:t>
      </w:r>
      <w:r w:rsidRPr="00D55B59">
        <w:rPr>
          <w:sz w:val="22"/>
          <w:szCs w:val="22"/>
          <w:lang w:val="en-GB"/>
          <w:rPrChange w:id="3515" w:author="Author">
            <w:rPr>
              <w:sz w:val="22"/>
              <w:szCs w:val="22"/>
            </w:rPr>
          </w:rPrChange>
        </w:rPr>
        <w:t>mg every other week two weeks later. If a faster response is required</w:t>
      </w:r>
      <w:r w:rsidR="00092B65" w:rsidRPr="00D55B59">
        <w:rPr>
          <w:sz w:val="22"/>
          <w:szCs w:val="22"/>
          <w:lang w:val="en-GB"/>
          <w:rPrChange w:id="3516" w:author="Author">
            <w:rPr>
              <w:sz w:val="22"/>
              <w:szCs w:val="22"/>
            </w:rPr>
          </w:rPrChange>
        </w:rPr>
        <w:t>,</w:t>
      </w:r>
      <w:r w:rsidRPr="00D55B59">
        <w:rPr>
          <w:sz w:val="22"/>
          <w:szCs w:val="22"/>
          <w:lang w:val="en-GB"/>
          <w:rPrChange w:id="3517" w:author="Author">
            <w:rPr>
              <w:sz w:val="22"/>
              <w:szCs w:val="22"/>
            </w:rPr>
          </w:rPrChange>
        </w:rPr>
        <w:t xml:space="preserve"> your doctor may prescribe an initial dose of 160</w:t>
      </w:r>
      <w:r w:rsidR="00B052BE" w:rsidRPr="00D55B59">
        <w:rPr>
          <w:sz w:val="22"/>
          <w:szCs w:val="22"/>
          <w:lang w:val="en-GB"/>
          <w:rPrChange w:id="3518" w:author="Author">
            <w:rPr>
              <w:sz w:val="22"/>
              <w:szCs w:val="22"/>
            </w:rPr>
          </w:rPrChange>
        </w:rPr>
        <w:t> </w:t>
      </w:r>
      <w:r w:rsidRPr="00D55B59">
        <w:rPr>
          <w:sz w:val="22"/>
          <w:szCs w:val="22"/>
          <w:lang w:val="en-GB"/>
          <w:rPrChange w:id="3519" w:author="Author">
            <w:rPr>
              <w:sz w:val="22"/>
              <w:szCs w:val="22"/>
            </w:rPr>
          </w:rPrChange>
        </w:rPr>
        <w:t xml:space="preserve">mg (as </w:t>
      </w:r>
      <w:r w:rsidR="00885705" w:rsidRPr="00D55B59">
        <w:rPr>
          <w:sz w:val="22"/>
          <w:szCs w:val="22"/>
          <w:lang w:val="en-GB"/>
          <w:rPrChange w:id="3520" w:author="Author">
            <w:rPr>
              <w:sz w:val="22"/>
              <w:szCs w:val="22"/>
            </w:rPr>
          </w:rPrChange>
        </w:rPr>
        <w:t xml:space="preserve">four 40 mg </w:t>
      </w:r>
      <w:r w:rsidRPr="00D55B59">
        <w:rPr>
          <w:sz w:val="22"/>
          <w:szCs w:val="22"/>
          <w:lang w:val="en-GB"/>
          <w:rPrChange w:id="3521" w:author="Author">
            <w:rPr>
              <w:sz w:val="22"/>
              <w:szCs w:val="22"/>
            </w:rPr>
          </w:rPrChange>
        </w:rPr>
        <w:t xml:space="preserve">injections in one day or </w:t>
      </w:r>
      <w:r w:rsidR="00885705" w:rsidRPr="00D55B59">
        <w:rPr>
          <w:sz w:val="22"/>
          <w:szCs w:val="22"/>
          <w:lang w:val="en-GB"/>
          <w:rPrChange w:id="3522" w:author="Author">
            <w:rPr>
              <w:sz w:val="22"/>
              <w:szCs w:val="22"/>
            </w:rPr>
          </w:rPrChange>
        </w:rPr>
        <w:t xml:space="preserve">two 40 mg </w:t>
      </w:r>
      <w:r w:rsidRPr="00D55B59">
        <w:rPr>
          <w:sz w:val="22"/>
          <w:szCs w:val="22"/>
          <w:lang w:val="en-GB"/>
          <w:rPrChange w:id="3523" w:author="Author">
            <w:rPr>
              <w:sz w:val="22"/>
              <w:szCs w:val="22"/>
            </w:rPr>
          </w:rPrChange>
        </w:rPr>
        <w:t>injections per day for two consecutive days), followed by 80</w:t>
      </w:r>
      <w:r w:rsidR="00B052BE" w:rsidRPr="00D55B59">
        <w:rPr>
          <w:sz w:val="22"/>
          <w:szCs w:val="22"/>
          <w:lang w:val="en-GB"/>
          <w:rPrChange w:id="3524" w:author="Author">
            <w:rPr>
              <w:sz w:val="22"/>
              <w:szCs w:val="22"/>
            </w:rPr>
          </w:rPrChange>
        </w:rPr>
        <w:t> </w:t>
      </w:r>
      <w:r w:rsidRPr="00D55B59">
        <w:rPr>
          <w:sz w:val="22"/>
          <w:szCs w:val="22"/>
          <w:lang w:val="en-GB"/>
          <w:rPrChange w:id="3525" w:author="Author">
            <w:rPr>
              <w:sz w:val="22"/>
              <w:szCs w:val="22"/>
            </w:rPr>
          </w:rPrChange>
        </w:rPr>
        <w:t xml:space="preserve">mg </w:t>
      </w:r>
      <w:r w:rsidR="0028101C" w:rsidRPr="00D55B59">
        <w:rPr>
          <w:sz w:val="22"/>
          <w:szCs w:val="22"/>
          <w:lang w:val="en-GB"/>
          <w:rPrChange w:id="3526" w:author="Author">
            <w:rPr>
              <w:sz w:val="22"/>
              <w:szCs w:val="22"/>
            </w:rPr>
          </w:rPrChange>
        </w:rPr>
        <w:t>(as two 40</w:t>
      </w:r>
      <w:r w:rsidR="00920C18" w:rsidRPr="00D55B59">
        <w:rPr>
          <w:szCs w:val="22"/>
          <w:lang w:val="en-GB" w:eastAsia="en-GB"/>
          <w:rPrChange w:id="3527" w:author="Author">
            <w:rPr>
              <w:szCs w:val="22"/>
              <w:lang w:eastAsia="en-GB"/>
            </w:rPr>
          </w:rPrChange>
        </w:rPr>
        <w:t> </w:t>
      </w:r>
      <w:r w:rsidR="0028101C" w:rsidRPr="00D55B59">
        <w:rPr>
          <w:sz w:val="22"/>
          <w:szCs w:val="22"/>
          <w:lang w:val="en-GB"/>
          <w:rPrChange w:id="3528" w:author="Author">
            <w:rPr>
              <w:sz w:val="22"/>
              <w:szCs w:val="22"/>
            </w:rPr>
          </w:rPrChange>
        </w:rPr>
        <w:t xml:space="preserve">mg injections in one day) </w:t>
      </w:r>
      <w:r w:rsidRPr="00D55B59">
        <w:rPr>
          <w:sz w:val="22"/>
          <w:szCs w:val="22"/>
          <w:lang w:val="en-GB"/>
          <w:rPrChange w:id="3529" w:author="Author">
            <w:rPr>
              <w:sz w:val="22"/>
              <w:szCs w:val="22"/>
            </w:rPr>
          </w:rPrChange>
        </w:rPr>
        <w:t>two weeks later, and thereafter as 40</w:t>
      </w:r>
      <w:r w:rsidR="00B052BE" w:rsidRPr="00D55B59">
        <w:rPr>
          <w:sz w:val="22"/>
          <w:szCs w:val="22"/>
          <w:lang w:val="en-GB"/>
          <w:rPrChange w:id="3530" w:author="Author">
            <w:rPr>
              <w:sz w:val="22"/>
              <w:szCs w:val="22"/>
            </w:rPr>
          </w:rPrChange>
        </w:rPr>
        <w:t> </w:t>
      </w:r>
      <w:r w:rsidRPr="00D55B59">
        <w:rPr>
          <w:sz w:val="22"/>
          <w:szCs w:val="22"/>
          <w:lang w:val="en-GB"/>
          <w:rPrChange w:id="3531" w:author="Author">
            <w:rPr>
              <w:sz w:val="22"/>
              <w:szCs w:val="22"/>
            </w:rPr>
          </w:rPrChange>
        </w:rPr>
        <w:t xml:space="preserve">mg every other week. Depending on your response, your doctor may increase the </w:t>
      </w:r>
      <w:r w:rsidR="007404BB" w:rsidRPr="00D55B59">
        <w:rPr>
          <w:sz w:val="22"/>
          <w:szCs w:val="22"/>
          <w:lang w:val="en-GB"/>
          <w:rPrChange w:id="3532" w:author="Author">
            <w:rPr>
              <w:sz w:val="22"/>
              <w:szCs w:val="22"/>
            </w:rPr>
          </w:rPrChange>
        </w:rPr>
        <w:t>dose</w:t>
      </w:r>
      <w:r w:rsidRPr="00D55B59">
        <w:rPr>
          <w:sz w:val="22"/>
          <w:szCs w:val="22"/>
          <w:lang w:val="en-GB"/>
          <w:rPrChange w:id="3533" w:author="Author">
            <w:rPr>
              <w:sz w:val="22"/>
              <w:szCs w:val="22"/>
            </w:rPr>
          </w:rPrChange>
        </w:rPr>
        <w:t xml:space="preserve"> to 40</w:t>
      </w:r>
      <w:r w:rsidR="00B052BE" w:rsidRPr="00D55B59">
        <w:rPr>
          <w:sz w:val="22"/>
          <w:szCs w:val="22"/>
          <w:lang w:val="en-GB"/>
          <w:rPrChange w:id="3534" w:author="Author">
            <w:rPr>
              <w:sz w:val="22"/>
              <w:szCs w:val="22"/>
            </w:rPr>
          </w:rPrChange>
        </w:rPr>
        <w:t> </w:t>
      </w:r>
      <w:r w:rsidRPr="00D55B59">
        <w:rPr>
          <w:sz w:val="22"/>
          <w:szCs w:val="22"/>
          <w:lang w:val="en-GB"/>
          <w:rPrChange w:id="3535" w:author="Author">
            <w:rPr>
              <w:sz w:val="22"/>
              <w:szCs w:val="22"/>
            </w:rPr>
          </w:rPrChange>
        </w:rPr>
        <w:t>mg every week</w:t>
      </w:r>
      <w:r w:rsidR="007404BB" w:rsidRPr="00D55B59">
        <w:rPr>
          <w:sz w:val="22"/>
          <w:szCs w:val="22"/>
          <w:lang w:val="en-GB"/>
          <w:rPrChange w:id="3536" w:author="Author">
            <w:rPr>
              <w:sz w:val="22"/>
              <w:szCs w:val="22"/>
            </w:rPr>
          </w:rPrChange>
        </w:rPr>
        <w:t xml:space="preserve"> or 80</w:t>
      </w:r>
      <w:r w:rsidR="00D5093F" w:rsidRPr="00D55B59">
        <w:rPr>
          <w:szCs w:val="22"/>
          <w:lang w:val="en-GB" w:eastAsia="en-GB"/>
          <w:rPrChange w:id="3537" w:author="Author">
            <w:rPr>
              <w:szCs w:val="22"/>
              <w:lang w:eastAsia="en-GB"/>
            </w:rPr>
          </w:rPrChange>
        </w:rPr>
        <w:t> </w:t>
      </w:r>
      <w:r w:rsidR="001D28A4" w:rsidRPr="00D55B59">
        <w:rPr>
          <w:sz w:val="22"/>
          <w:szCs w:val="22"/>
          <w:lang w:val="en-GB"/>
          <w:rPrChange w:id="3538" w:author="Author">
            <w:rPr>
              <w:sz w:val="22"/>
              <w:szCs w:val="22"/>
            </w:rPr>
          </w:rPrChange>
        </w:rPr>
        <w:t>mg</w:t>
      </w:r>
      <w:r w:rsidR="00D04259" w:rsidRPr="00D55B59">
        <w:rPr>
          <w:sz w:val="22"/>
          <w:szCs w:val="22"/>
          <w:lang w:val="en-GB"/>
          <w:rPrChange w:id="3539" w:author="Author">
            <w:rPr>
              <w:sz w:val="22"/>
              <w:szCs w:val="22"/>
            </w:rPr>
          </w:rPrChange>
        </w:rPr>
        <w:t xml:space="preserve"> </w:t>
      </w:r>
      <w:r w:rsidR="007404BB" w:rsidRPr="00D55B59">
        <w:rPr>
          <w:sz w:val="22"/>
          <w:szCs w:val="22"/>
          <w:lang w:val="en-GB"/>
          <w:rPrChange w:id="3540" w:author="Author">
            <w:rPr>
              <w:sz w:val="22"/>
              <w:szCs w:val="22"/>
            </w:rPr>
          </w:rPrChange>
        </w:rPr>
        <w:t>every other week</w:t>
      </w:r>
      <w:r w:rsidRPr="00D55B59">
        <w:rPr>
          <w:sz w:val="22"/>
          <w:szCs w:val="22"/>
          <w:lang w:val="en-GB"/>
          <w:rPrChange w:id="3541" w:author="Author">
            <w:rPr>
              <w:sz w:val="22"/>
              <w:szCs w:val="22"/>
            </w:rPr>
          </w:rPrChange>
        </w:rPr>
        <w:t xml:space="preserve">. </w:t>
      </w:r>
    </w:p>
    <w:p w14:paraId="3470FD71" w14:textId="77777777" w:rsidR="00524DB2" w:rsidRPr="00D55B59" w:rsidRDefault="00524DB2" w:rsidP="007B4B23">
      <w:pPr>
        <w:pStyle w:val="Default"/>
        <w:rPr>
          <w:sz w:val="22"/>
          <w:szCs w:val="22"/>
          <w:lang w:val="en-GB"/>
          <w:rPrChange w:id="3542" w:author="Author">
            <w:rPr>
              <w:sz w:val="22"/>
              <w:szCs w:val="22"/>
            </w:rPr>
          </w:rPrChange>
        </w:rPr>
      </w:pPr>
    </w:p>
    <w:p w14:paraId="6DB7AAB2" w14:textId="77777777" w:rsidR="00524DB2" w:rsidRPr="00D55B59" w:rsidRDefault="00524DB2" w:rsidP="007B4B23">
      <w:pPr>
        <w:pStyle w:val="Default"/>
        <w:keepNext/>
        <w:rPr>
          <w:sz w:val="22"/>
          <w:szCs w:val="22"/>
          <w:u w:val="single"/>
          <w:lang w:val="en-GB"/>
          <w:rPrChange w:id="3543" w:author="Author">
            <w:rPr>
              <w:sz w:val="22"/>
              <w:szCs w:val="22"/>
              <w:u w:val="single"/>
            </w:rPr>
          </w:rPrChange>
        </w:rPr>
      </w:pPr>
      <w:r w:rsidRPr="00D55B59">
        <w:rPr>
          <w:sz w:val="22"/>
          <w:szCs w:val="22"/>
          <w:u w:val="single"/>
          <w:lang w:val="en-GB"/>
          <w:rPrChange w:id="3544" w:author="Author">
            <w:rPr>
              <w:sz w:val="22"/>
              <w:szCs w:val="22"/>
              <w:u w:val="single"/>
            </w:rPr>
          </w:rPrChange>
        </w:rPr>
        <w:t xml:space="preserve">Children </w:t>
      </w:r>
      <w:r w:rsidR="00E2388D" w:rsidRPr="00D55B59">
        <w:rPr>
          <w:sz w:val="22"/>
          <w:szCs w:val="22"/>
          <w:u w:val="single"/>
          <w:lang w:val="en-GB"/>
          <w:rPrChange w:id="3545" w:author="Author">
            <w:rPr>
              <w:sz w:val="22"/>
              <w:szCs w:val="22"/>
              <w:u w:val="single"/>
            </w:rPr>
          </w:rPrChange>
        </w:rPr>
        <w:t>and</w:t>
      </w:r>
      <w:r w:rsidRPr="00D55B59">
        <w:rPr>
          <w:sz w:val="22"/>
          <w:szCs w:val="22"/>
          <w:u w:val="single"/>
          <w:lang w:val="en-GB"/>
          <w:rPrChange w:id="3546" w:author="Author">
            <w:rPr>
              <w:sz w:val="22"/>
              <w:szCs w:val="22"/>
              <w:u w:val="single"/>
            </w:rPr>
          </w:rPrChange>
        </w:rPr>
        <w:t xml:space="preserve"> adolescents with Crohn's </w:t>
      </w:r>
      <w:r w:rsidRPr="00D55B59">
        <w:rPr>
          <w:rFonts w:eastAsia="PMingLiU"/>
          <w:sz w:val="22"/>
          <w:szCs w:val="22"/>
          <w:u w:val="single"/>
          <w:lang w:val="en-GB" w:eastAsia="zh-TW"/>
          <w:rPrChange w:id="3547" w:author="Author">
            <w:rPr>
              <w:rFonts w:eastAsia="PMingLiU"/>
              <w:sz w:val="22"/>
              <w:szCs w:val="22"/>
              <w:u w:val="single"/>
              <w:lang w:eastAsia="zh-TW"/>
            </w:rPr>
          </w:rPrChange>
        </w:rPr>
        <w:t>d</w:t>
      </w:r>
      <w:r w:rsidRPr="00D55B59">
        <w:rPr>
          <w:sz w:val="22"/>
          <w:szCs w:val="22"/>
          <w:u w:val="single"/>
          <w:lang w:val="en-GB"/>
          <w:rPrChange w:id="3548" w:author="Author">
            <w:rPr>
              <w:sz w:val="22"/>
              <w:szCs w:val="22"/>
              <w:u w:val="single"/>
            </w:rPr>
          </w:rPrChange>
        </w:rPr>
        <w:t xml:space="preserve">isease </w:t>
      </w:r>
    </w:p>
    <w:p w14:paraId="3A1C55EA" w14:textId="77777777" w:rsidR="00524DB2" w:rsidRPr="00D55B59" w:rsidRDefault="00524DB2" w:rsidP="007B4B23">
      <w:pPr>
        <w:pStyle w:val="Default"/>
        <w:keepNext/>
        <w:rPr>
          <w:sz w:val="22"/>
          <w:szCs w:val="22"/>
          <w:u w:val="single"/>
          <w:lang w:val="en-GB"/>
          <w:rPrChange w:id="3549" w:author="Author">
            <w:rPr>
              <w:sz w:val="22"/>
              <w:szCs w:val="22"/>
              <w:u w:val="single"/>
            </w:rPr>
          </w:rPrChange>
        </w:rPr>
      </w:pPr>
    </w:p>
    <w:p w14:paraId="6C18D789" w14:textId="77777777" w:rsidR="00E2388D" w:rsidRPr="001775D9" w:rsidRDefault="00E2388D" w:rsidP="00B61D9D">
      <w:pPr>
        <w:keepNext/>
        <w:spacing w:line="240" w:lineRule="auto"/>
        <w:ind w:right="34"/>
        <w:rPr>
          <w:bCs/>
          <w:u w:val="single"/>
        </w:rPr>
      </w:pPr>
      <w:bookmarkStart w:id="3550" w:name="_Hlk517258343"/>
      <w:r w:rsidRPr="001775D9">
        <w:rPr>
          <w:bCs/>
          <w:i/>
        </w:rPr>
        <w:t>Children and adolescents from 6 to 17 years of age weighing less than 40 kg</w:t>
      </w:r>
    </w:p>
    <w:bookmarkEnd w:id="3550"/>
    <w:p w14:paraId="10118155" w14:textId="77777777" w:rsidR="00524DB2" w:rsidRPr="00D55B59" w:rsidRDefault="00524DB2" w:rsidP="007B4B23">
      <w:pPr>
        <w:pStyle w:val="Default"/>
        <w:keepNext/>
        <w:rPr>
          <w:sz w:val="22"/>
          <w:szCs w:val="22"/>
          <w:u w:val="single"/>
          <w:lang w:val="en-GB"/>
          <w:rPrChange w:id="3551" w:author="Author">
            <w:rPr>
              <w:sz w:val="22"/>
              <w:szCs w:val="22"/>
              <w:u w:val="single"/>
            </w:rPr>
          </w:rPrChange>
        </w:rPr>
      </w:pPr>
    </w:p>
    <w:p w14:paraId="0A9B565A" w14:textId="77777777" w:rsidR="00524DB2" w:rsidRPr="00D55B59" w:rsidRDefault="00524DB2" w:rsidP="007B4B23">
      <w:pPr>
        <w:pStyle w:val="Default"/>
        <w:rPr>
          <w:sz w:val="22"/>
          <w:szCs w:val="22"/>
          <w:lang w:val="en-GB"/>
          <w:rPrChange w:id="3552" w:author="Author">
            <w:rPr>
              <w:sz w:val="22"/>
              <w:szCs w:val="22"/>
            </w:rPr>
          </w:rPrChange>
        </w:rPr>
      </w:pPr>
      <w:r w:rsidRPr="00D55B59">
        <w:rPr>
          <w:sz w:val="22"/>
          <w:szCs w:val="22"/>
          <w:lang w:val="en-GB"/>
          <w:rPrChange w:id="3553" w:author="Author">
            <w:rPr>
              <w:sz w:val="22"/>
              <w:szCs w:val="22"/>
            </w:rPr>
          </w:rPrChange>
        </w:rPr>
        <w:t>The usual dose regimen is 40</w:t>
      </w:r>
      <w:r w:rsidR="00D067D5" w:rsidRPr="00D55B59">
        <w:rPr>
          <w:sz w:val="22"/>
          <w:szCs w:val="22"/>
          <w:lang w:val="en-GB"/>
          <w:rPrChange w:id="3554" w:author="Author">
            <w:rPr>
              <w:sz w:val="22"/>
              <w:szCs w:val="22"/>
            </w:rPr>
          </w:rPrChange>
        </w:rPr>
        <w:t> </w:t>
      </w:r>
      <w:r w:rsidRPr="00D55B59">
        <w:rPr>
          <w:sz w:val="22"/>
          <w:szCs w:val="22"/>
          <w:lang w:val="en-GB"/>
          <w:rPrChange w:id="3555" w:author="Author">
            <w:rPr>
              <w:sz w:val="22"/>
              <w:szCs w:val="22"/>
            </w:rPr>
          </w:rPrChange>
        </w:rPr>
        <w:t>mg initially followed by 20</w:t>
      </w:r>
      <w:r w:rsidR="00D067D5" w:rsidRPr="00D55B59">
        <w:rPr>
          <w:sz w:val="22"/>
          <w:szCs w:val="22"/>
          <w:lang w:val="en-GB"/>
          <w:rPrChange w:id="3556" w:author="Author">
            <w:rPr>
              <w:sz w:val="22"/>
              <w:szCs w:val="22"/>
            </w:rPr>
          </w:rPrChange>
        </w:rPr>
        <w:t> </w:t>
      </w:r>
      <w:r w:rsidRPr="00D55B59">
        <w:rPr>
          <w:sz w:val="22"/>
          <w:szCs w:val="22"/>
          <w:lang w:val="en-GB"/>
          <w:rPrChange w:id="3557" w:author="Author">
            <w:rPr>
              <w:sz w:val="22"/>
              <w:szCs w:val="22"/>
            </w:rPr>
          </w:rPrChange>
        </w:rPr>
        <w:t>mg two weeks later. If a faster response is required, your doctor may prescribe an initial dose of 80</w:t>
      </w:r>
      <w:r w:rsidR="00D067D5" w:rsidRPr="00D55B59">
        <w:rPr>
          <w:sz w:val="22"/>
          <w:szCs w:val="22"/>
          <w:lang w:val="en-GB"/>
          <w:rPrChange w:id="3558" w:author="Author">
            <w:rPr>
              <w:sz w:val="22"/>
              <w:szCs w:val="22"/>
            </w:rPr>
          </w:rPrChange>
        </w:rPr>
        <w:t> </w:t>
      </w:r>
      <w:r w:rsidRPr="00D55B59">
        <w:rPr>
          <w:sz w:val="22"/>
          <w:szCs w:val="22"/>
          <w:lang w:val="en-GB"/>
          <w:rPrChange w:id="3559" w:author="Author">
            <w:rPr>
              <w:sz w:val="22"/>
              <w:szCs w:val="22"/>
            </w:rPr>
          </w:rPrChange>
        </w:rPr>
        <w:t xml:space="preserve">mg (as </w:t>
      </w:r>
      <w:r w:rsidR="00885705" w:rsidRPr="00D55B59">
        <w:rPr>
          <w:sz w:val="22"/>
          <w:szCs w:val="22"/>
          <w:lang w:val="en-GB"/>
          <w:rPrChange w:id="3560" w:author="Author">
            <w:rPr>
              <w:sz w:val="22"/>
              <w:szCs w:val="22"/>
            </w:rPr>
          </w:rPrChange>
        </w:rPr>
        <w:t xml:space="preserve">two 40 mg </w:t>
      </w:r>
      <w:r w:rsidRPr="00D55B59">
        <w:rPr>
          <w:sz w:val="22"/>
          <w:szCs w:val="22"/>
          <w:lang w:val="en-GB"/>
          <w:rPrChange w:id="3561" w:author="Author">
            <w:rPr>
              <w:sz w:val="22"/>
              <w:szCs w:val="22"/>
            </w:rPr>
          </w:rPrChange>
        </w:rPr>
        <w:t xml:space="preserve">injections in </w:t>
      </w:r>
      <w:r w:rsidR="00D04259" w:rsidRPr="00D55B59">
        <w:rPr>
          <w:sz w:val="22"/>
          <w:szCs w:val="22"/>
          <w:lang w:val="en-GB"/>
          <w:rPrChange w:id="3562" w:author="Author">
            <w:rPr>
              <w:sz w:val="22"/>
              <w:szCs w:val="22"/>
            </w:rPr>
          </w:rPrChange>
        </w:rPr>
        <w:t xml:space="preserve">one </w:t>
      </w:r>
      <w:r w:rsidRPr="00D55B59">
        <w:rPr>
          <w:sz w:val="22"/>
          <w:szCs w:val="22"/>
          <w:lang w:val="en-GB"/>
          <w:rPrChange w:id="3563" w:author="Author">
            <w:rPr>
              <w:sz w:val="22"/>
              <w:szCs w:val="22"/>
            </w:rPr>
          </w:rPrChange>
        </w:rPr>
        <w:t>day) followed by 40</w:t>
      </w:r>
      <w:r w:rsidRPr="00D55B59">
        <w:rPr>
          <w:rFonts w:eastAsia="PMingLiU"/>
          <w:sz w:val="22"/>
          <w:szCs w:val="22"/>
          <w:lang w:val="en-GB" w:eastAsia="zh-TW"/>
          <w:rPrChange w:id="3564" w:author="Author">
            <w:rPr>
              <w:rFonts w:eastAsia="PMingLiU"/>
              <w:sz w:val="22"/>
              <w:szCs w:val="22"/>
              <w:lang w:eastAsia="zh-TW"/>
            </w:rPr>
          </w:rPrChange>
        </w:rPr>
        <w:t> </w:t>
      </w:r>
      <w:r w:rsidRPr="00D55B59">
        <w:rPr>
          <w:sz w:val="22"/>
          <w:szCs w:val="22"/>
          <w:lang w:val="en-GB"/>
          <w:rPrChange w:id="3565" w:author="Author">
            <w:rPr>
              <w:sz w:val="22"/>
              <w:szCs w:val="22"/>
            </w:rPr>
          </w:rPrChange>
        </w:rPr>
        <w:t xml:space="preserve">mg two weeks later. </w:t>
      </w:r>
    </w:p>
    <w:p w14:paraId="044C5E37" w14:textId="77777777" w:rsidR="00524DB2" w:rsidRPr="00D55B59" w:rsidRDefault="00524DB2" w:rsidP="007B4B23">
      <w:pPr>
        <w:pStyle w:val="Default"/>
        <w:rPr>
          <w:sz w:val="22"/>
          <w:szCs w:val="22"/>
          <w:lang w:val="en-GB"/>
          <w:rPrChange w:id="3566" w:author="Author">
            <w:rPr>
              <w:sz w:val="22"/>
              <w:szCs w:val="22"/>
            </w:rPr>
          </w:rPrChange>
        </w:rPr>
      </w:pPr>
    </w:p>
    <w:p w14:paraId="00C71B35" w14:textId="77777777" w:rsidR="00524DB2" w:rsidRPr="00D55B59" w:rsidRDefault="00524DB2" w:rsidP="007B4B23">
      <w:pPr>
        <w:pStyle w:val="Default"/>
        <w:rPr>
          <w:sz w:val="22"/>
          <w:szCs w:val="22"/>
          <w:lang w:val="en-GB"/>
          <w:rPrChange w:id="3567" w:author="Author">
            <w:rPr>
              <w:sz w:val="22"/>
              <w:szCs w:val="22"/>
            </w:rPr>
          </w:rPrChange>
        </w:rPr>
      </w:pPr>
      <w:r w:rsidRPr="00D55B59">
        <w:rPr>
          <w:sz w:val="22"/>
          <w:szCs w:val="22"/>
          <w:lang w:val="en-GB"/>
          <w:rPrChange w:id="3568" w:author="Author">
            <w:rPr>
              <w:sz w:val="22"/>
              <w:szCs w:val="22"/>
            </w:rPr>
          </w:rPrChange>
        </w:rPr>
        <w:t>Thereafter, the usual dose is 20</w:t>
      </w:r>
      <w:r w:rsidR="00D067D5" w:rsidRPr="00D55B59">
        <w:rPr>
          <w:sz w:val="22"/>
          <w:szCs w:val="22"/>
          <w:lang w:val="en-GB"/>
          <w:rPrChange w:id="3569" w:author="Author">
            <w:rPr>
              <w:sz w:val="22"/>
              <w:szCs w:val="22"/>
            </w:rPr>
          </w:rPrChange>
        </w:rPr>
        <w:t> </w:t>
      </w:r>
      <w:r w:rsidRPr="00D55B59">
        <w:rPr>
          <w:sz w:val="22"/>
          <w:szCs w:val="22"/>
          <w:lang w:val="en-GB"/>
          <w:rPrChange w:id="3570" w:author="Author">
            <w:rPr>
              <w:sz w:val="22"/>
              <w:szCs w:val="22"/>
            </w:rPr>
          </w:rPrChange>
        </w:rPr>
        <w:t>mg every other week. Depending on your response, your doctor may increase the dose frequency to 20</w:t>
      </w:r>
      <w:r w:rsidR="00D067D5" w:rsidRPr="00D55B59">
        <w:rPr>
          <w:sz w:val="22"/>
          <w:szCs w:val="22"/>
          <w:lang w:val="en-GB"/>
          <w:rPrChange w:id="3571" w:author="Author">
            <w:rPr>
              <w:sz w:val="22"/>
              <w:szCs w:val="22"/>
            </w:rPr>
          </w:rPrChange>
        </w:rPr>
        <w:t> </w:t>
      </w:r>
      <w:r w:rsidRPr="00D55B59">
        <w:rPr>
          <w:sz w:val="22"/>
          <w:szCs w:val="22"/>
          <w:lang w:val="en-GB"/>
          <w:rPrChange w:id="3572" w:author="Author">
            <w:rPr>
              <w:sz w:val="22"/>
              <w:szCs w:val="22"/>
            </w:rPr>
          </w:rPrChange>
        </w:rPr>
        <w:t xml:space="preserve">mg every week. </w:t>
      </w:r>
    </w:p>
    <w:p w14:paraId="716B6EB5" w14:textId="77777777" w:rsidR="001B5E1E" w:rsidRPr="00D55B59" w:rsidRDefault="001B5E1E" w:rsidP="007B4B23">
      <w:pPr>
        <w:pStyle w:val="Default"/>
        <w:rPr>
          <w:sz w:val="22"/>
          <w:szCs w:val="22"/>
          <w:lang w:val="en-GB"/>
          <w:rPrChange w:id="3573" w:author="Author">
            <w:rPr>
              <w:sz w:val="22"/>
              <w:szCs w:val="22"/>
            </w:rPr>
          </w:rPrChange>
        </w:rPr>
      </w:pPr>
    </w:p>
    <w:p w14:paraId="41830746" w14:textId="099C6859" w:rsidR="00CB1058" w:rsidRPr="001775D9" w:rsidRDefault="00B44139" w:rsidP="007B4B23">
      <w:pPr>
        <w:tabs>
          <w:tab w:val="clear" w:pos="567"/>
          <w:tab w:val="left" w:pos="0"/>
        </w:tabs>
        <w:spacing w:line="240" w:lineRule="auto"/>
        <w:outlineLvl w:val="0"/>
      </w:pPr>
      <w:r w:rsidRPr="001775D9">
        <w:t>The 40</w:t>
      </w:r>
      <w:r w:rsidR="007629D5" w:rsidRPr="001775D9">
        <w:rPr>
          <w:bCs/>
        </w:rPr>
        <w:t> </w:t>
      </w:r>
      <w:r w:rsidRPr="001775D9">
        <w:t>mg pre-filled pen cannot be used for the 20</w:t>
      </w:r>
      <w:r w:rsidR="007629D5" w:rsidRPr="001775D9">
        <w:rPr>
          <w:bCs/>
        </w:rPr>
        <w:t> </w:t>
      </w:r>
      <w:r w:rsidRPr="001775D9">
        <w:t>mg dose. An AMGEVITA 20</w:t>
      </w:r>
      <w:r w:rsidR="007629D5" w:rsidRPr="001775D9">
        <w:rPr>
          <w:bCs/>
        </w:rPr>
        <w:t> </w:t>
      </w:r>
      <w:r w:rsidRPr="001775D9">
        <w:t xml:space="preserve">mg pre-filled </w:t>
      </w:r>
      <w:r w:rsidRPr="001775D9">
        <w:rPr>
          <w:i/>
        </w:rPr>
        <w:t>syringe</w:t>
      </w:r>
      <w:r w:rsidRPr="001775D9">
        <w:t xml:space="preserve"> is however available for the 20</w:t>
      </w:r>
      <w:r w:rsidR="007629D5" w:rsidRPr="001775D9">
        <w:rPr>
          <w:bCs/>
        </w:rPr>
        <w:t> </w:t>
      </w:r>
      <w:r w:rsidRPr="001775D9">
        <w:t>mg dose.</w:t>
      </w:r>
      <w:fldSimple w:instr=" DOCVARIABLE vault_nd_965b881c-b370-4a80-a99c-4934075eb49d \* MERGEFORMAT ">
        <w:r w:rsidR="001C55FB" w:rsidRPr="001775D9">
          <w:t xml:space="preserve"> </w:t>
        </w:r>
      </w:fldSimple>
    </w:p>
    <w:p w14:paraId="5ABACEA3" w14:textId="77777777" w:rsidR="00CB1058" w:rsidRPr="001775D9" w:rsidRDefault="00CB1058" w:rsidP="007B4B23">
      <w:pPr>
        <w:tabs>
          <w:tab w:val="clear" w:pos="567"/>
          <w:tab w:val="left" w:pos="0"/>
        </w:tabs>
        <w:spacing w:line="240" w:lineRule="auto"/>
        <w:outlineLvl w:val="0"/>
      </w:pPr>
    </w:p>
    <w:p w14:paraId="4B96249F" w14:textId="77777777" w:rsidR="00E2388D" w:rsidRPr="001775D9" w:rsidRDefault="00E2388D" w:rsidP="00B61D9D">
      <w:pPr>
        <w:spacing w:line="240" w:lineRule="auto"/>
        <w:ind w:right="34"/>
        <w:rPr>
          <w:bCs/>
          <w:u w:val="single"/>
        </w:rPr>
      </w:pPr>
      <w:bookmarkStart w:id="3574" w:name="_Hlk517258350"/>
      <w:r w:rsidRPr="001775D9">
        <w:rPr>
          <w:bCs/>
          <w:i/>
        </w:rPr>
        <w:t>Children and adolescents from 6 to 17 years of age weighing 40 kg or more</w:t>
      </w:r>
      <w:r w:rsidRPr="001775D9">
        <w:rPr>
          <w:bCs/>
          <w:u w:val="single"/>
        </w:rPr>
        <w:t xml:space="preserve"> </w:t>
      </w:r>
    </w:p>
    <w:bookmarkEnd w:id="3574"/>
    <w:p w14:paraId="5A07C6B2" w14:textId="77777777" w:rsidR="00524DB2" w:rsidRPr="00D55B59" w:rsidRDefault="00524DB2" w:rsidP="007B4B23">
      <w:pPr>
        <w:pStyle w:val="Default"/>
        <w:keepNext/>
        <w:rPr>
          <w:sz w:val="22"/>
          <w:szCs w:val="22"/>
          <w:u w:val="single"/>
          <w:lang w:val="en-GB"/>
          <w:rPrChange w:id="3575" w:author="Author">
            <w:rPr>
              <w:sz w:val="22"/>
              <w:szCs w:val="22"/>
              <w:u w:val="single"/>
            </w:rPr>
          </w:rPrChange>
        </w:rPr>
      </w:pPr>
    </w:p>
    <w:p w14:paraId="775E79D2" w14:textId="77777777" w:rsidR="00524DB2" w:rsidRPr="001775D9" w:rsidRDefault="00524DB2" w:rsidP="007B4B23">
      <w:pPr>
        <w:keepNext/>
        <w:numPr>
          <w:ilvl w:val="12"/>
          <w:numId w:val="0"/>
        </w:numPr>
        <w:tabs>
          <w:tab w:val="clear" w:pos="567"/>
        </w:tabs>
        <w:spacing w:line="240" w:lineRule="auto"/>
        <w:ind w:right="-2"/>
        <w:rPr>
          <w:szCs w:val="22"/>
        </w:rPr>
      </w:pPr>
      <w:r w:rsidRPr="001775D9">
        <w:rPr>
          <w:szCs w:val="22"/>
        </w:rPr>
        <w:t>The usual dose regimen is 80</w:t>
      </w:r>
      <w:r w:rsidR="00D067D5" w:rsidRPr="001775D9">
        <w:rPr>
          <w:szCs w:val="22"/>
        </w:rPr>
        <w:t> </w:t>
      </w:r>
      <w:r w:rsidRPr="001775D9">
        <w:rPr>
          <w:szCs w:val="22"/>
        </w:rPr>
        <w:t xml:space="preserve">mg </w:t>
      </w:r>
      <w:r w:rsidR="0028101C" w:rsidRPr="001775D9">
        <w:rPr>
          <w:szCs w:val="22"/>
        </w:rPr>
        <w:t>(as two 40</w:t>
      </w:r>
      <w:r w:rsidR="00920C18" w:rsidRPr="001775D9">
        <w:rPr>
          <w:szCs w:val="22"/>
          <w:lang w:eastAsia="en-GB"/>
        </w:rPr>
        <w:t> </w:t>
      </w:r>
      <w:r w:rsidR="0028101C" w:rsidRPr="001775D9">
        <w:rPr>
          <w:szCs w:val="22"/>
        </w:rPr>
        <w:t xml:space="preserve">mg injections in one day) </w:t>
      </w:r>
      <w:r w:rsidRPr="001775D9">
        <w:rPr>
          <w:szCs w:val="22"/>
        </w:rPr>
        <w:t>initially followed by 40</w:t>
      </w:r>
      <w:r w:rsidR="00D067D5" w:rsidRPr="001775D9">
        <w:rPr>
          <w:szCs w:val="22"/>
        </w:rPr>
        <w:t> </w:t>
      </w:r>
      <w:r w:rsidRPr="001775D9">
        <w:rPr>
          <w:szCs w:val="22"/>
        </w:rPr>
        <w:t>mg two weeks later. If a faster response is required, your doctor may prescribe an initial dose of 160</w:t>
      </w:r>
      <w:r w:rsidR="00D067D5" w:rsidRPr="001775D9">
        <w:rPr>
          <w:szCs w:val="22"/>
        </w:rPr>
        <w:t> </w:t>
      </w:r>
      <w:r w:rsidRPr="001775D9">
        <w:rPr>
          <w:szCs w:val="22"/>
        </w:rPr>
        <w:t xml:space="preserve">mg (as </w:t>
      </w:r>
      <w:r w:rsidR="00885705" w:rsidRPr="001775D9">
        <w:rPr>
          <w:szCs w:val="22"/>
        </w:rPr>
        <w:t xml:space="preserve">four 40 mg </w:t>
      </w:r>
      <w:r w:rsidRPr="001775D9">
        <w:rPr>
          <w:szCs w:val="22"/>
        </w:rPr>
        <w:t xml:space="preserve">injections in </w:t>
      </w:r>
      <w:r w:rsidR="000B49DA" w:rsidRPr="001775D9">
        <w:rPr>
          <w:szCs w:val="22"/>
        </w:rPr>
        <w:t>one</w:t>
      </w:r>
      <w:r w:rsidRPr="001775D9">
        <w:rPr>
          <w:szCs w:val="22"/>
        </w:rPr>
        <w:t xml:space="preserve"> day or as </w:t>
      </w:r>
      <w:r w:rsidR="00885705" w:rsidRPr="001775D9">
        <w:rPr>
          <w:szCs w:val="22"/>
        </w:rPr>
        <w:t xml:space="preserve">two 40 mg </w:t>
      </w:r>
      <w:r w:rsidRPr="001775D9">
        <w:rPr>
          <w:szCs w:val="22"/>
        </w:rPr>
        <w:t xml:space="preserve">injections per day for </w:t>
      </w:r>
      <w:r w:rsidR="000B49DA" w:rsidRPr="001775D9">
        <w:rPr>
          <w:szCs w:val="22"/>
        </w:rPr>
        <w:t>two</w:t>
      </w:r>
      <w:r w:rsidRPr="001775D9">
        <w:rPr>
          <w:szCs w:val="22"/>
        </w:rPr>
        <w:t xml:space="preserve"> consecutive days) followed by 80</w:t>
      </w:r>
      <w:r w:rsidR="00D067D5" w:rsidRPr="001775D9">
        <w:rPr>
          <w:szCs w:val="22"/>
        </w:rPr>
        <w:t> </w:t>
      </w:r>
      <w:r w:rsidRPr="001775D9">
        <w:rPr>
          <w:szCs w:val="22"/>
        </w:rPr>
        <w:t xml:space="preserve">mg </w:t>
      </w:r>
      <w:r w:rsidR="0028101C" w:rsidRPr="001775D9">
        <w:rPr>
          <w:szCs w:val="22"/>
        </w:rPr>
        <w:t>(as two 40</w:t>
      </w:r>
      <w:r w:rsidR="00920C18" w:rsidRPr="001775D9">
        <w:rPr>
          <w:szCs w:val="22"/>
          <w:lang w:eastAsia="en-GB"/>
        </w:rPr>
        <w:t> </w:t>
      </w:r>
      <w:r w:rsidR="0028101C" w:rsidRPr="001775D9">
        <w:rPr>
          <w:szCs w:val="22"/>
        </w:rPr>
        <w:t xml:space="preserve">mg injections in one day) </w:t>
      </w:r>
      <w:r w:rsidRPr="001775D9">
        <w:rPr>
          <w:szCs w:val="22"/>
        </w:rPr>
        <w:t>two weeks later.</w:t>
      </w:r>
    </w:p>
    <w:p w14:paraId="7E746159" w14:textId="77777777" w:rsidR="00524DB2" w:rsidRPr="001775D9" w:rsidRDefault="00524DB2" w:rsidP="007B4B23">
      <w:pPr>
        <w:numPr>
          <w:ilvl w:val="12"/>
          <w:numId w:val="0"/>
        </w:numPr>
        <w:tabs>
          <w:tab w:val="clear" w:pos="567"/>
        </w:tabs>
        <w:spacing w:line="240" w:lineRule="auto"/>
        <w:ind w:right="-2"/>
        <w:rPr>
          <w:szCs w:val="22"/>
        </w:rPr>
      </w:pPr>
    </w:p>
    <w:p w14:paraId="51C7A178" w14:textId="4B7B142F" w:rsidR="00524DB2" w:rsidRPr="00D55B59" w:rsidRDefault="00524DB2" w:rsidP="007B4B23">
      <w:pPr>
        <w:pStyle w:val="Default"/>
        <w:rPr>
          <w:sz w:val="22"/>
          <w:szCs w:val="22"/>
          <w:lang w:val="en-GB"/>
          <w:rPrChange w:id="3576" w:author="Author">
            <w:rPr>
              <w:sz w:val="22"/>
              <w:szCs w:val="22"/>
            </w:rPr>
          </w:rPrChange>
        </w:rPr>
      </w:pPr>
      <w:r w:rsidRPr="00D55B59">
        <w:rPr>
          <w:sz w:val="22"/>
          <w:szCs w:val="22"/>
          <w:lang w:val="en-GB"/>
          <w:rPrChange w:id="3577" w:author="Author">
            <w:rPr>
              <w:sz w:val="22"/>
              <w:szCs w:val="22"/>
            </w:rPr>
          </w:rPrChange>
        </w:rPr>
        <w:t>Thereafter, the usual dose is 40</w:t>
      </w:r>
      <w:r w:rsidR="00D067D5" w:rsidRPr="00D55B59">
        <w:rPr>
          <w:sz w:val="22"/>
          <w:szCs w:val="22"/>
          <w:lang w:val="en-GB"/>
          <w:rPrChange w:id="3578" w:author="Author">
            <w:rPr>
              <w:sz w:val="22"/>
              <w:szCs w:val="22"/>
            </w:rPr>
          </w:rPrChange>
        </w:rPr>
        <w:t> </w:t>
      </w:r>
      <w:r w:rsidRPr="00D55B59">
        <w:rPr>
          <w:sz w:val="22"/>
          <w:szCs w:val="22"/>
          <w:lang w:val="en-GB"/>
          <w:rPrChange w:id="3579" w:author="Author">
            <w:rPr>
              <w:sz w:val="22"/>
              <w:szCs w:val="22"/>
            </w:rPr>
          </w:rPrChange>
        </w:rPr>
        <w:t xml:space="preserve">mg every other week. Depending on your response, your doctor may increase the </w:t>
      </w:r>
      <w:r w:rsidR="0028101C" w:rsidRPr="00D55B59">
        <w:rPr>
          <w:sz w:val="22"/>
          <w:szCs w:val="22"/>
          <w:lang w:val="en-GB"/>
          <w:rPrChange w:id="3580" w:author="Author">
            <w:rPr>
              <w:sz w:val="22"/>
              <w:szCs w:val="22"/>
            </w:rPr>
          </w:rPrChange>
        </w:rPr>
        <w:t>dose</w:t>
      </w:r>
      <w:r w:rsidRPr="00D55B59">
        <w:rPr>
          <w:sz w:val="22"/>
          <w:szCs w:val="22"/>
          <w:lang w:val="en-GB"/>
          <w:rPrChange w:id="3581" w:author="Author">
            <w:rPr>
              <w:sz w:val="22"/>
              <w:szCs w:val="22"/>
            </w:rPr>
          </w:rPrChange>
        </w:rPr>
        <w:t xml:space="preserve"> to 40</w:t>
      </w:r>
      <w:r w:rsidR="00D067D5" w:rsidRPr="00D55B59">
        <w:rPr>
          <w:sz w:val="22"/>
          <w:szCs w:val="22"/>
          <w:lang w:val="en-GB"/>
          <w:rPrChange w:id="3582" w:author="Author">
            <w:rPr>
              <w:sz w:val="22"/>
              <w:szCs w:val="22"/>
            </w:rPr>
          </w:rPrChange>
        </w:rPr>
        <w:t> </w:t>
      </w:r>
      <w:r w:rsidRPr="00D55B59">
        <w:rPr>
          <w:sz w:val="22"/>
          <w:szCs w:val="22"/>
          <w:lang w:val="en-GB"/>
          <w:rPrChange w:id="3583" w:author="Author">
            <w:rPr>
              <w:sz w:val="22"/>
              <w:szCs w:val="22"/>
            </w:rPr>
          </w:rPrChange>
        </w:rPr>
        <w:t>mg every week</w:t>
      </w:r>
      <w:r w:rsidR="007404BB" w:rsidRPr="00D55B59">
        <w:rPr>
          <w:sz w:val="22"/>
          <w:szCs w:val="22"/>
          <w:lang w:val="en-GB"/>
          <w:rPrChange w:id="3584" w:author="Author">
            <w:rPr>
              <w:sz w:val="22"/>
              <w:szCs w:val="22"/>
            </w:rPr>
          </w:rPrChange>
        </w:rPr>
        <w:t xml:space="preserve"> or 80</w:t>
      </w:r>
      <w:r w:rsidR="00D5093F" w:rsidRPr="00D55B59">
        <w:rPr>
          <w:szCs w:val="22"/>
          <w:lang w:val="en-GB" w:eastAsia="en-GB"/>
          <w:rPrChange w:id="3585" w:author="Author">
            <w:rPr>
              <w:szCs w:val="22"/>
              <w:lang w:eastAsia="en-GB"/>
            </w:rPr>
          </w:rPrChange>
        </w:rPr>
        <w:t> </w:t>
      </w:r>
      <w:r w:rsidR="006A3777" w:rsidRPr="00D55B59">
        <w:rPr>
          <w:sz w:val="22"/>
          <w:szCs w:val="22"/>
          <w:lang w:val="en-GB"/>
          <w:rPrChange w:id="3586" w:author="Author">
            <w:rPr>
              <w:sz w:val="22"/>
              <w:szCs w:val="22"/>
            </w:rPr>
          </w:rPrChange>
        </w:rPr>
        <w:t>mg</w:t>
      </w:r>
      <w:r w:rsidR="00D04259" w:rsidRPr="00D55B59">
        <w:rPr>
          <w:sz w:val="22"/>
          <w:szCs w:val="22"/>
          <w:lang w:val="en-GB"/>
          <w:rPrChange w:id="3587" w:author="Author">
            <w:rPr>
              <w:sz w:val="22"/>
              <w:szCs w:val="22"/>
            </w:rPr>
          </w:rPrChange>
        </w:rPr>
        <w:t xml:space="preserve"> </w:t>
      </w:r>
      <w:r w:rsidR="007404BB" w:rsidRPr="00D55B59">
        <w:rPr>
          <w:sz w:val="22"/>
          <w:szCs w:val="22"/>
          <w:lang w:val="en-GB"/>
          <w:rPrChange w:id="3588" w:author="Author">
            <w:rPr>
              <w:sz w:val="22"/>
              <w:szCs w:val="22"/>
            </w:rPr>
          </w:rPrChange>
        </w:rPr>
        <w:t>every other week</w:t>
      </w:r>
      <w:r w:rsidRPr="00D55B59">
        <w:rPr>
          <w:sz w:val="22"/>
          <w:szCs w:val="22"/>
          <w:lang w:val="en-GB"/>
          <w:rPrChange w:id="3589" w:author="Author">
            <w:rPr>
              <w:sz w:val="22"/>
              <w:szCs w:val="22"/>
            </w:rPr>
          </w:rPrChange>
        </w:rPr>
        <w:t xml:space="preserve">. </w:t>
      </w:r>
    </w:p>
    <w:p w14:paraId="728A6875" w14:textId="77777777" w:rsidR="0024455D" w:rsidRPr="00D55B59" w:rsidRDefault="0024455D" w:rsidP="007B4B23">
      <w:pPr>
        <w:pStyle w:val="Default"/>
        <w:rPr>
          <w:sz w:val="22"/>
          <w:szCs w:val="22"/>
          <w:lang w:val="en-GB"/>
          <w:rPrChange w:id="3590" w:author="Author">
            <w:rPr>
              <w:sz w:val="22"/>
              <w:szCs w:val="22"/>
            </w:rPr>
          </w:rPrChange>
        </w:rPr>
      </w:pPr>
    </w:p>
    <w:p w14:paraId="42D657F9" w14:textId="77777777" w:rsidR="00524DB2" w:rsidRPr="00D55B59" w:rsidRDefault="00524DB2" w:rsidP="007B4B23">
      <w:pPr>
        <w:pStyle w:val="Default"/>
        <w:rPr>
          <w:sz w:val="22"/>
          <w:szCs w:val="22"/>
          <w:u w:val="single"/>
          <w:lang w:val="en-GB"/>
          <w:rPrChange w:id="3591" w:author="Author">
            <w:rPr>
              <w:sz w:val="22"/>
              <w:szCs w:val="22"/>
              <w:u w:val="single"/>
            </w:rPr>
          </w:rPrChange>
        </w:rPr>
      </w:pPr>
      <w:r w:rsidRPr="00D55B59">
        <w:rPr>
          <w:sz w:val="22"/>
          <w:szCs w:val="22"/>
          <w:u w:val="single"/>
          <w:lang w:val="en-GB"/>
          <w:rPrChange w:id="3592" w:author="Author">
            <w:rPr>
              <w:sz w:val="22"/>
              <w:szCs w:val="22"/>
              <w:u w:val="single"/>
            </w:rPr>
          </w:rPrChange>
        </w:rPr>
        <w:t xml:space="preserve">Adults with ulcerative colitis </w:t>
      </w:r>
    </w:p>
    <w:p w14:paraId="33F9D4E2" w14:textId="77777777" w:rsidR="00524DB2" w:rsidRPr="001775D9" w:rsidRDefault="00524DB2" w:rsidP="007B4B23">
      <w:pPr>
        <w:numPr>
          <w:ilvl w:val="12"/>
          <w:numId w:val="0"/>
        </w:numPr>
        <w:tabs>
          <w:tab w:val="clear" w:pos="567"/>
        </w:tabs>
        <w:spacing w:line="240" w:lineRule="auto"/>
        <w:ind w:right="-2"/>
        <w:rPr>
          <w:szCs w:val="22"/>
        </w:rPr>
      </w:pPr>
    </w:p>
    <w:p w14:paraId="1268AB62" w14:textId="4BC22804" w:rsidR="00524DB2" w:rsidRPr="001775D9" w:rsidRDefault="00524DB2" w:rsidP="007B4B23">
      <w:pPr>
        <w:numPr>
          <w:ilvl w:val="12"/>
          <w:numId w:val="0"/>
        </w:numPr>
        <w:tabs>
          <w:tab w:val="clear" w:pos="567"/>
        </w:tabs>
        <w:spacing w:line="240" w:lineRule="auto"/>
        <w:ind w:right="-2"/>
        <w:rPr>
          <w:szCs w:val="22"/>
        </w:rPr>
      </w:pPr>
      <w:r w:rsidRPr="001775D9">
        <w:rPr>
          <w:szCs w:val="22"/>
        </w:rPr>
        <w:t>The usual AMGEVITA dose for adults with ulcerative colitis is 160</w:t>
      </w:r>
      <w:r w:rsidR="00D067D5" w:rsidRPr="001775D9">
        <w:rPr>
          <w:szCs w:val="22"/>
        </w:rPr>
        <w:t> </w:t>
      </w:r>
      <w:r w:rsidRPr="001775D9">
        <w:rPr>
          <w:szCs w:val="22"/>
        </w:rPr>
        <w:t xml:space="preserve">mg </w:t>
      </w:r>
      <w:r w:rsidR="00A807CA" w:rsidRPr="001775D9">
        <w:rPr>
          <w:szCs w:val="22"/>
        </w:rPr>
        <w:t>initially</w:t>
      </w:r>
      <w:r w:rsidRPr="001775D9">
        <w:rPr>
          <w:szCs w:val="22"/>
        </w:rPr>
        <w:t xml:space="preserve"> (as four</w:t>
      </w:r>
      <w:r w:rsidR="00885705" w:rsidRPr="001775D9">
        <w:rPr>
          <w:szCs w:val="22"/>
        </w:rPr>
        <w:t xml:space="preserve"> 40 mg</w:t>
      </w:r>
      <w:r w:rsidRPr="001775D9">
        <w:rPr>
          <w:szCs w:val="22"/>
        </w:rPr>
        <w:t xml:space="preserve"> injections in one day or as two</w:t>
      </w:r>
      <w:r w:rsidR="00885705" w:rsidRPr="001775D9">
        <w:rPr>
          <w:szCs w:val="22"/>
        </w:rPr>
        <w:t xml:space="preserve"> 40 mg</w:t>
      </w:r>
      <w:r w:rsidRPr="001775D9">
        <w:rPr>
          <w:szCs w:val="22"/>
        </w:rPr>
        <w:t xml:space="preserve"> injections per day for two consecutive days) </w:t>
      </w:r>
      <w:r w:rsidR="00A807CA" w:rsidRPr="001775D9">
        <w:rPr>
          <w:szCs w:val="22"/>
        </w:rPr>
        <w:t xml:space="preserve">followed by </w:t>
      </w:r>
      <w:r w:rsidRPr="001775D9">
        <w:rPr>
          <w:szCs w:val="22"/>
        </w:rPr>
        <w:t>80</w:t>
      </w:r>
      <w:r w:rsidR="00D067D5" w:rsidRPr="001775D9">
        <w:rPr>
          <w:szCs w:val="22"/>
        </w:rPr>
        <w:t> </w:t>
      </w:r>
      <w:r w:rsidRPr="001775D9">
        <w:rPr>
          <w:szCs w:val="22"/>
        </w:rPr>
        <w:t xml:space="preserve">mg </w:t>
      </w:r>
      <w:r w:rsidR="0028101C" w:rsidRPr="001775D9">
        <w:rPr>
          <w:szCs w:val="22"/>
        </w:rPr>
        <w:t>(as two 40</w:t>
      </w:r>
      <w:r w:rsidR="00920C18" w:rsidRPr="001775D9">
        <w:rPr>
          <w:szCs w:val="22"/>
          <w:lang w:eastAsia="en-GB"/>
        </w:rPr>
        <w:t> </w:t>
      </w:r>
      <w:r w:rsidR="0028101C" w:rsidRPr="001775D9">
        <w:rPr>
          <w:szCs w:val="22"/>
        </w:rPr>
        <w:t xml:space="preserve">mg injections in one day) </w:t>
      </w:r>
      <w:r w:rsidR="00A807CA" w:rsidRPr="001775D9">
        <w:rPr>
          <w:szCs w:val="22"/>
        </w:rPr>
        <w:t>two weeks later</w:t>
      </w:r>
      <w:r w:rsidR="00FF246E" w:rsidRPr="001775D9">
        <w:rPr>
          <w:szCs w:val="22"/>
        </w:rPr>
        <w:t>, then</w:t>
      </w:r>
      <w:r w:rsidRPr="001775D9">
        <w:rPr>
          <w:szCs w:val="22"/>
        </w:rPr>
        <w:t xml:space="preserve"> 40</w:t>
      </w:r>
      <w:r w:rsidR="00D067D5" w:rsidRPr="001775D9">
        <w:rPr>
          <w:szCs w:val="22"/>
        </w:rPr>
        <w:t> </w:t>
      </w:r>
      <w:r w:rsidRPr="001775D9">
        <w:rPr>
          <w:szCs w:val="22"/>
        </w:rPr>
        <w:t>mg every other week. Depending on your response, your doctor may increase the dos</w:t>
      </w:r>
      <w:r w:rsidR="0028101C" w:rsidRPr="001775D9">
        <w:rPr>
          <w:szCs w:val="22"/>
        </w:rPr>
        <w:t>e</w:t>
      </w:r>
      <w:r w:rsidRPr="001775D9">
        <w:rPr>
          <w:szCs w:val="22"/>
        </w:rPr>
        <w:t xml:space="preserve"> to 40</w:t>
      </w:r>
      <w:r w:rsidR="00D067D5" w:rsidRPr="001775D9">
        <w:rPr>
          <w:szCs w:val="22"/>
        </w:rPr>
        <w:t> </w:t>
      </w:r>
      <w:r w:rsidRPr="001775D9">
        <w:rPr>
          <w:szCs w:val="22"/>
        </w:rPr>
        <w:t>mg every week</w:t>
      </w:r>
      <w:r w:rsidR="007404BB" w:rsidRPr="001775D9">
        <w:rPr>
          <w:szCs w:val="22"/>
        </w:rPr>
        <w:t xml:space="preserve"> or 80</w:t>
      </w:r>
      <w:r w:rsidR="00D5093F" w:rsidRPr="001775D9">
        <w:rPr>
          <w:szCs w:val="22"/>
          <w:lang w:eastAsia="en-GB"/>
        </w:rPr>
        <w:t> </w:t>
      </w:r>
      <w:r w:rsidR="006A3777" w:rsidRPr="001775D9">
        <w:rPr>
          <w:szCs w:val="22"/>
        </w:rPr>
        <w:t>mg</w:t>
      </w:r>
      <w:r w:rsidR="00D04259" w:rsidRPr="001775D9">
        <w:rPr>
          <w:szCs w:val="22"/>
        </w:rPr>
        <w:t xml:space="preserve"> </w:t>
      </w:r>
      <w:r w:rsidR="007404BB" w:rsidRPr="001775D9">
        <w:rPr>
          <w:szCs w:val="22"/>
        </w:rPr>
        <w:t>every other week</w:t>
      </w:r>
      <w:r w:rsidRPr="001775D9">
        <w:rPr>
          <w:szCs w:val="22"/>
        </w:rPr>
        <w:t>.</w:t>
      </w:r>
    </w:p>
    <w:p w14:paraId="54839ACD" w14:textId="2C39638E" w:rsidR="009F7AE3" w:rsidRPr="001775D9" w:rsidRDefault="009F7AE3" w:rsidP="00FB5458">
      <w:pPr>
        <w:numPr>
          <w:ilvl w:val="12"/>
          <w:numId w:val="0"/>
        </w:numPr>
        <w:tabs>
          <w:tab w:val="clear" w:pos="567"/>
        </w:tabs>
        <w:spacing w:line="240" w:lineRule="auto"/>
        <w:ind w:right="-2"/>
        <w:rPr>
          <w:szCs w:val="22"/>
        </w:rPr>
      </w:pPr>
    </w:p>
    <w:p w14:paraId="73AA33AF" w14:textId="77777777" w:rsidR="009A7E3B" w:rsidRPr="001775D9" w:rsidRDefault="009A7E3B" w:rsidP="009A7E3B">
      <w:pPr>
        <w:numPr>
          <w:ilvl w:val="12"/>
          <w:numId w:val="0"/>
        </w:numPr>
        <w:tabs>
          <w:tab w:val="clear" w:pos="567"/>
        </w:tabs>
        <w:spacing w:line="240" w:lineRule="auto"/>
        <w:ind w:right="-2"/>
        <w:rPr>
          <w:szCs w:val="22"/>
          <w:u w:val="single"/>
        </w:rPr>
      </w:pPr>
      <w:r w:rsidRPr="001775D9">
        <w:rPr>
          <w:szCs w:val="22"/>
          <w:u w:val="single"/>
        </w:rPr>
        <w:t>Children and adolescents with ulcerative colitis</w:t>
      </w:r>
    </w:p>
    <w:p w14:paraId="17A5C7C7" w14:textId="77777777" w:rsidR="009A7E3B" w:rsidRPr="001775D9" w:rsidRDefault="009A7E3B" w:rsidP="009A7E3B">
      <w:pPr>
        <w:numPr>
          <w:ilvl w:val="12"/>
          <w:numId w:val="0"/>
        </w:numPr>
        <w:tabs>
          <w:tab w:val="clear" w:pos="567"/>
        </w:tabs>
        <w:spacing w:line="240" w:lineRule="auto"/>
        <w:ind w:right="-2"/>
        <w:rPr>
          <w:szCs w:val="22"/>
        </w:rPr>
      </w:pPr>
    </w:p>
    <w:p w14:paraId="638DB982" w14:textId="1C1E25A8" w:rsidR="009A7E3B" w:rsidRPr="001775D9" w:rsidRDefault="009A7E3B" w:rsidP="009A7E3B">
      <w:pPr>
        <w:numPr>
          <w:ilvl w:val="12"/>
          <w:numId w:val="0"/>
        </w:numPr>
        <w:tabs>
          <w:tab w:val="clear" w:pos="567"/>
        </w:tabs>
        <w:spacing w:line="240" w:lineRule="auto"/>
        <w:ind w:right="-2"/>
        <w:rPr>
          <w:i/>
          <w:iCs/>
          <w:szCs w:val="22"/>
        </w:rPr>
      </w:pPr>
      <w:r w:rsidRPr="001775D9">
        <w:rPr>
          <w:i/>
          <w:iCs/>
          <w:szCs w:val="22"/>
        </w:rPr>
        <w:t>Children and adolescents from 6 years of age weighing less than 40</w:t>
      </w:r>
      <w:r w:rsidR="00D65E44" w:rsidRPr="001775D9">
        <w:rPr>
          <w:szCs w:val="22"/>
        </w:rPr>
        <w:t> </w:t>
      </w:r>
      <w:r w:rsidRPr="001775D9">
        <w:rPr>
          <w:i/>
          <w:iCs/>
          <w:szCs w:val="22"/>
        </w:rPr>
        <w:t>kg</w:t>
      </w:r>
    </w:p>
    <w:p w14:paraId="1DF43109" w14:textId="77777777" w:rsidR="009A7E3B" w:rsidRPr="001775D9" w:rsidRDefault="009A7E3B" w:rsidP="009A7E3B">
      <w:pPr>
        <w:numPr>
          <w:ilvl w:val="12"/>
          <w:numId w:val="0"/>
        </w:numPr>
        <w:tabs>
          <w:tab w:val="clear" w:pos="567"/>
        </w:tabs>
        <w:spacing w:line="240" w:lineRule="auto"/>
        <w:ind w:right="-2"/>
        <w:rPr>
          <w:szCs w:val="22"/>
        </w:rPr>
      </w:pPr>
    </w:p>
    <w:p w14:paraId="30ACFDC0" w14:textId="56F61634" w:rsidR="009A7E3B" w:rsidRPr="001775D9" w:rsidRDefault="009A7E3B" w:rsidP="009A7E3B">
      <w:pPr>
        <w:numPr>
          <w:ilvl w:val="12"/>
          <w:numId w:val="0"/>
        </w:numPr>
        <w:tabs>
          <w:tab w:val="clear" w:pos="567"/>
        </w:tabs>
        <w:spacing w:line="240" w:lineRule="auto"/>
        <w:ind w:right="-2"/>
        <w:rPr>
          <w:szCs w:val="22"/>
        </w:rPr>
      </w:pPr>
      <w:r w:rsidRPr="001775D9">
        <w:rPr>
          <w:szCs w:val="22"/>
        </w:rPr>
        <w:t>The usual AMGEVITA dose is 80</w:t>
      </w:r>
      <w:r w:rsidR="00D65E44" w:rsidRPr="001775D9">
        <w:rPr>
          <w:szCs w:val="22"/>
        </w:rPr>
        <w:t> </w:t>
      </w:r>
      <w:r w:rsidRPr="001775D9">
        <w:rPr>
          <w:szCs w:val="22"/>
        </w:rPr>
        <w:t>mg (as two</w:t>
      </w:r>
      <w:r w:rsidR="00D65E44" w:rsidRPr="001775D9">
        <w:rPr>
          <w:szCs w:val="22"/>
        </w:rPr>
        <w:t> </w:t>
      </w:r>
      <w:r w:rsidRPr="001775D9">
        <w:rPr>
          <w:szCs w:val="22"/>
        </w:rPr>
        <w:t>40 mg injections in one day) initially followed by 40</w:t>
      </w:r>
      <w:r w:rsidR="00D65E44" w:rsidRPr="001775D9">
        <w:rPr>
          <w:szCs w:val="22"/>
        </w:rPr>
        <w:t> </w:t>
      </w:r>
      <w:r w:rsidRPr="001775D9">
        <w:rPr>
          <w:szCs w:val="22"/>
        </w:rPr>
        <w:t>mg (as one 40</w:t>
      </w:r>
      <w:r w:rsidR="00D65E44" w:rsidRPr="001775D9">
        <w:rPr>
          <w:szCs w:val="22"/>
        </w:rPr>
        <w:t> </w:t>
      </w:r>
      <w:r w:rsidRPr="001775D9">
        <w:rPr>
          <w:szCs w:val="22"/>
        </w:rPr>
        <w:t>mg injection) two weeks later. Thereafter, the usual dose is 40</w:t>
      </w:r>
      <w:r w:rsidR="00D65E44" w:rsidRPr="001775D9">
        <w:rPr>
          <w:szCs w:val="22"/>
        </w:rPr>
        <w:t> </w:t>
      </w:r>
      <w:r w:rsidRPr="001775D9">
        <w:rPr>
          <w:szCs w:val="22"/>
        </w:rPr>
        <w:t>mg every other week.</w:t>
      </w:r>
    </w:p>
    <w:p w14:paraId="592CF261" w14:textId="3C09EF53" w:rsidR="009A7E3B" w:rsidRPr="001775D9" w:rsidRDefault="009A7E3B" w:rsidP="00FB5458">
      <w:pPr>
        <w:numPr>
          <w:ilvl w:val="12"/>
          <w:numId w:val="0"/>
        </w:numPr>
        <w:tabs>
          <w:tab w:val="clear" w:pos="567"/>
        </w:tabs>
        <w:spacing w:line="240" w:lineRule="auto"/>
        <w:ind w:right="-2"/>
        <w:rPr>
          <w:szCs w:val="22"/>
        </w:rPr>
      </w:pPr>
    </w:p>
    <w:p w14:paraId="4442ED67" w14:textId="345306FE" w:rsidR="009A7E3B" w:rsidRPr="001775D9" w:rsidRDefault="009A7E3B" w:rsidP="009A7E3B">
      <w:pPr>
        <w:numPr>
          <w:ilvl w:val="12"/>
          <w:numId w:val="0"/>
        </w:numPr>
        <w:tabs>
          <w:tab w:val="clear" w:pos="567"/>
        </w:tabs>
        <w:spacing w:line="240" w:lineRule="auto"/>
        <w:ind w:right="-2"/>
        <w:rPr>
          <w:szCs w:val="22"/>
        </w:rPr>
      </w:pPr>
      <w:r w:rsidRPr="001775D9">
        <w:rPr>
          <w:szCs w:val="22"/>
        </w:rPr>
        <w:t>Patients who turn 18 years of age while on 40</w:t>
      </w:r>
      <w:r w:rsidR="00D65E44" w:rsidRPr="001775D9">
        <w:rPr>
          <w:szCs w:val="22"/>
        </w:rPr>
        <w:t> </w:t>
      </w:r>
      <w:r w:rsidRPr="001775D9">
        <w:rPr>
          <w:szCs w:val="22"/>
        </w:rPr>
        <w:t>mg every other week, should continue their prescribed dose.</w:t>
      </w:r>
    </w:p>
    <w:p w14:paraId="7C51BB45" w14:textId="77777777" w:rsidR="009A7E3B" w:rsidRPr="001775D9" w:rsidRDefault="009A7E3B" w:rsidP="009A7E3B">
      <w:pPr>
        <w:numPr>
          <w:ilvl w:val="12"/>
          <w:numId w:val="0"/>
        </w:numPr>
        <w:tabs>
          <w:tab w:val="clear" w:pos="567"/>
        </w:tabs>
        <w:spacing w:line="240" w:lineRule="auto"/>
        <w:ind w:right="-2"/>
        <w:rPr>
          <w:szCs w:val="22"/>
        </w:rPr>
      </w:pPr>
    </w:p>
    <w:p w14:paraId="569A6EEB" w14:textId="53141ADC" w:rsidR="009A7E3B" w:rsidRPr="001775D9" w:rsidRDefault="009A7E3B" w:rsidP="009A7E3B">
      <w:pPr>
        <w:numPr>
          <w:ilvl w:val="12"/>
          <w:numId w:val="0"/>
        </w:numPr>
        <w:tabs>
          <w:tab w:val="clear" w:pos="567"/>
        </w:tabs>
        <w:spacing w:line="240" w:lineRule="auto"/>
        <w:ind w:right="-2"/>
        <w:rPr>
          <w:i/>
          <w:iCs/>
          <w:szCs w:val="22"/>
        </w:rPr>
      </w:pPr>
      <w:r w:rsidRPr="001775D9">
        <w:rPr>
          <w:i/>
          <w:iCs/>
          <w:szCs w:val="22"/>
        </w:rPr>
        <w:t>Children and adolescents from 6 years of age weighing 40</w:t>
      </w:r>
      <w:r w:rsidR="00D65E44" w:rsidRPr="001775D9">
        <w:rPr>
          <w:szCs w:val="22"/>
        </w:rPr>
        <w:t> </w:t>
      </w:r>
      <w:r w:rsidRPr="001775D9">
        <w:rPr>
          <w:i/>
          <w:iCs/>
          <w:szCs w:val="22"/>
        </w:rPr>
        <w:t>kg or more</w:t>
      </w:r>
    </w:p>
    <w:p w14:paraId="6362E378" w14:textId="77777777" w:rsidR="009A7E3B" w:rsidRPr="001775D9" w:rsidRDefault="009A7E3B" w:rsidP="009A7E3B">
      <w:pPr>
        <w:numPr>
          <w:ilvl w:val="12"/>
          <w:numId w:val="0"/>
        </w:numPr>
        <w:tabs>
          <w:tab w:val="clear" w:pos="567"/>
        </w:tabs>
        <w:spacing w:line="240" w:lineRule="auto"/>
        <w:ind w:right="-2"/>
        <w:rPr>
          <w:szCs w:val="22"/>
        </w:rPr>
      </w:pPr>
    </w:p>
    <w:p w14:paraId="65BBA94E" w14:textId="5A0CED9F" w:rsidR="009A7E3B" w:rsidRPr="001775D9" w:rsidRDefault="009A7E3B" w:rsidP="009A7E3B">
      <w:pPr>
        <w:numPr>
          <w:ilvl w:val="12"/>
          <w:numId w:val="0"/>
        </w:numPr>
        <w:tabs>
          <w:tab w:val="clear" w:pos="567"/>
        </w:tabs>
        <w:spacing w:line="240" w:lineRule="auto"/>
        <w:ind w:right="-2"/>
        <w:rPr>
          <w:szCs w:val="22"/>
        </w:rPr>
      </w:pPr>
      <w:r w:rsidRPr="001775D9">
        <w:rPr>
          <w:szCs w:val="22"/>
        </w:rPr>
        <w:t>The usual AMGEVITA dose is 160</w:t>
      </w:r>
      <w:r w:rsidR="00D65E44" w:rsidRPr="001775D9">
        <w:rPr>
          <w:szCs w:val="22"/>
        </w:rPr>
        <w:t> </w:t>
      </w:r>
      <w:r w:rsidRPr="001775D9">
        <w:rPr>
          <w:szCs w:val="22"/>
        </w:rPr>
        <w:t>mg (as four 40</w:t>
      </w:r>
      <w:r w:rsidR="00D65E44" w:rsidRPr="001775D9">
        <w:rPr>
          <w:szCs w:val="22"/>
        </w:rPr>
        <w:t> </w:t>
      </w:r>
      <w:r w:rsidRPr="001775D9">
        <w:rPr>
          <w:szCs w:val="22"/>
        </w:rPr>
        <w:t>mg injections in one day or two 40</w:t>
      </w:r>
      <w:r w:rsidR="00D65E44" w:rsidRPr="001775D9">
        <w:rPr>
          <w:szCs w:val="22"/>
        </w:rPr>
        <w:t> </w:t>
      </w:r>
      <w:r w:rsidRPr="001775D9">
        <w:rPr>
          <w:szCs w:val="22"/>
        </w:rPr>
        <w:t>mg injections per day for two consecutive days) initially, followed by 80</w:t>
      </w:r>
      <w:r w:rsidR="00D65E44" w:rsidRPr="001775D9">
        <w:rPr>
          <w:szCs w:val="22"/>
        </w:rPr>
        <w:t> </w:t>
      </w:r>
      <w:r w:rsidRPr="001775D9">
        <w:rPr>
          <w:szCs w:val="22"/>
        </w:rPr>
        <w:t>mg (as two 40</w:t>
      </w:r>
      <w:r w:rsidR="00D65E44" w:rsidRPr="001775D9">
        <w:rPr>
          <w:szCs w:val="22"/>
        </w:rPr>
        <w:t> </w:t>
      </w:r>
      <w:r w:rsidRPr="001775D9">
        <w:rPr>
          <w:szCs w:val="22"/>
        </w:rPr>
        <w:t>mg injections in one day) two weeks later. Thereafter the usual dose is 80</w:t>
      </w:r>
      <w:r w:rsidR="00D65E44" w:rsidRPr="001775D9">
        <w:rPr>
          <w:szCs w:val="22"/>
        </w:rPr>
        <w:t> </w:t>
      </w:r>
      <w:r w:rsidRPr="001775D9">
        <w:rPr>
          <w:szCs w:val="22"/>
        </w:rPr>
        <w:t>mg every other week.</w:t>
      </w:r>
    </w:p>
    <w:p w14:paraId="57395E98" w14:textId="77777777" w:rsidR="009A7E3B" w:rsidRPr="001775D9" w:rsidRDefault="009A7E3B" w:rsidP="009A7E3B">
      <w:pPr>
        <w:numPr>
          <w:ilvl w:val="12"/>
          <w:numId w:val="0"/>
        </w:numPr>
        <w:tabs>
          <w:tab w:val="clear" w:pos="567"/>
        </w:tabs>
        <w:spacing w:line="240" w:lineRule="auto"/>
        <w:ind w:right="-2"/>
        <w:rPr>
          <w:szCs w:val="22"/>
        </w:rPr>
      </w:pPr>
    </w:p>
    <w:p w14:paraId="642F20D0" w14:textId="5B98D213" w:rsidR="009A7E3B" w:rsidRPr="001775D9" w:rsidRDefault="009A7E3B" w:rsidP="009A7E3B">
      <w:pPr>
        <w:numPr>
          <w:ilvl w:val="12"/>
          <w:numId w:val="0"/>
        </w:numPr>
        <w:tabs>
          <w:tab w:val="clear" w:pos="567"/>
        </w:tabs>
        <w:spacing w:line="240" w:lineRule="auto"/>
        <w:ind w:right="-2"/>
        <w:rPr>
          <w:szCs w:val="22"/>
        </w:rPr>
      </w:pPr>
      <w:r w:rsidRPr="001775D9">
        <w:rPr>
          <w:szCs w:val="22"/>
        </w:rPr>
        <w:t>Patients who turn 18 years of age while on 80</w:t>
      </w:r>
      <w:r w:rsidR="00D65E44" w:rsidRPr="001775D9">
        <w:rPr>
          <w:szCs w:val="22"/>
        </w:rPr>
        <w:t> </w:t>
      </w:r>
      <w:r w:rsidRPr="001775D9">
        <w:rPr>
          <w:szCs w:val="22"/>
        </w:rPr>
        <w:t>mg every other week, should continue their prescribed dose.</w:t>
      </w:r>
    </w:p>
    <w:p w14:paraId="56C2EEBA" w14:textId="77777777" w:rsidR="009A7E3B" w:rsidRPr="001775D9" w:rsidRDefault="009A7E3B" w:rsidP="00FB5458">
      <w:pPr>
        <w:numPr>
          <w:ilvl w:val="12"/>
          <w:numId w:val="0"/>
        </w:numPr>
        <w:tabs>
          <w:tab w:val="clear" w:pos="567"/>
        </w:tabs>
        <w:spacing w:line="240" w:lineRule="auto"/>
        <w:ind w:right="-2"/>
        <w:rPr>
          <w:szCs w:val="22"/>
        </w:rPr>
      </w:pPr>
    </w:p>
    <w:p w14:paraId="57D6A042" w14:textId="77777777" w:rsidR="009F7AE3" w:rsidRPr="001775D9" w:rsidRDefault="009F7AE3" w:rsidP="00FB5458">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Adults with non-infectious uveitis</w:t>
      </w:r>
    </w:p>
    <w:p w14:paraId="5FCEF27F" w14:textId="77777777" w:rsidR="009F7AE3" w:rsidRPr="001775D9" w:rsidRDefault="009F7AE3" w:rsidP="00FB5458">
      <w:pPr>
        <w:keepNext/>
        <w:tabs>
          <w:tab w:val="clear" w:pos="567"/>
        </w:tabs>
        <w:autoSpaceDE w:val="0"/>
        <w:autoSpaceDN w:val="0"/>
        <w:adjustRightInd w:val="0"/>
        <w:spacing w:line="240" w:lineRule="auto"/>
        <w:rPr>
          <w:szCs w:val="22"/>
          <w:lang w:eastAsia="en-GB"/>
        </w:rPr>
      </w:pPr>
    </w:p>
    <w:p w14:paraId="2139C8E8" w14:textId="77777777" w:rsidR="009F7AE3" w:rsidRPr="001775D9" w:rsidRDefault="009F7AE3" w:rsidP="00FB5458">
      <w:pPr>
        <w:tabs>
          <w:tab w:val="clear" w:pos="567"/>
        </w:tabs>
        <w:autoSpaceDE w:val="0"/>
        <w:autoSpaceDN w:val="0"/>
        <w:adjustRightInd w:val="0"/>
        <w:spacing w:line="240" w:lineRule="auto"/>
        <w:rPr>
          <w:szCs w:val="22"/>
          <w:lang w:eastAsia="en-GB"/>
        </w:rPr>
      </w:pPr>
      <w:r w:rsidRPr="001775D9">
        <w:rPr>
          <w:szCs w:val="22"/>
          <w:lang w:eastAsia="en-GB"/>
        </w:rPr>
        <w:t>The usual dose for adults with non-infectious uveitis is an initial dose of 80 mg</w:t>
      </w:r>
      <w:r w:rsidR="000B49DA" w:rsidRPr="001775D9">
        <w:rPr>
          <w:szCs w:val="22"/>
          <w:lang w:eastAsia="en-GB"/>
        </w:rPr>
        <w:t xml:space="preserve"> </w:t>
      </w:r>
      <w:bookmarkStart w:id="3593" w:name="_Hlk517258439"/>
      <w:r w:rsidR="000B49DA" w:rsidRPr="001775D9">
        <w:rPr>
          <w:szCs w:val="22"/>
        </w:rPr>
        <w:t>(as two 40</w:t>
      </w:r>
      <w:r w:rsidR="000B49DA" w:rsidRPr="001775D9">
        <w:rPr>
          <w:szCs w:val="22"/>
          <w:lang w:eastAsia="en-GB"/>
        </w:rPr>
        <w:t> </w:t>
      </w:r>
      <w:r w:rsidR="000B49DA" w:rsidRPr="001775D9">
        <w:rPr>
          <w:szCs w:val="22"/>
        </w:rPr>
        <w:t>mg injections in one day)</w:t>
      </w:r>
      <w:bookmarkEnd w:id="3593"/>
      <w:r w:rsidRPr="001775D9">
        <w:rPr>
          <w:szCs w:val="22"/>
          <w:lang w:eastAsia="en-GB"/>
        </w:rPr>
        <w:t>, followed by 40 mg given every other week starting one week after the initial dose. You should continue to inject AMGEVITA for as long as your doctor has told you.</w:t>
      </w:r>
    </w:p>
    <w:p w14:paraId="40DD2CCB" w14:textId="77777777" w:rsidR="009F7AE3" w:rsidRPr="001775D9" w:rsidRDefault="009F7AE3" w:rsidP="00FB5458">
      <w:pPr>
        <w:tabs>
          <w:tab w:val="clear" w:pos="567"/>
        </w:tabs>
        <w:autoSpaceDE w:val="0"/>
        <w:autoSpaceDN w:val="0"/>
        <w:adjustRightInd w:val="0"/>
        <w:spacing w:line="240" w:lineRule="auto"/>
        <w:rPr>
          <w:szCs w:val="22"/>
          <w:lang w:eastAsia="en-GB"/>
        </w:rPr>
      </w:pPr>
    </w:p>
    <w:p w14:paraId="000C50A6" w14:textId="77777777" w:rsidR="009F7AE3" w:rsidRPr="00D55B59" w:rsidRDefault="009F7AE3" w:rsidP="00FB5458">
      <w:pPr>
        <w:pStyle w:val="Default"/>
        <w:rPr>
          <w:sz w:val="22"/>
          <w:szCs w:val="22"/>
          <w:lang w:val="en-GB" w:eastAsia="en-GB"/>
          <w:rPrChange w:id="3594" w:author="Author">
            <w:rPr>
              <w:sz w:val="22"/>
              <w:szCs w:val="22"/>
              <w:lang w:eastAsia="en-GB"/>
            </w:rPr>
          </w:rPrChange>
        </w:rPr>
      </w:pPr>
      <w:r w:rsidRPr="00D55B59">
        <w:rPr>
          <w:sz w:val="22"/>
          <w:szCs w:val="22"/>
          <w:lang w:val="en-GB" w:eastAsia="en-GB"/>
          <w:rPrChange w:id="3595" w:author="Author">
            <w:rPr>
              <w:sz w:val="22"/>
              <w:szCs w:val="22"/>
              <w:lang w:eastAsia="en-GB"/>
            </w:rPr>
          </w:rPrChange>
        </w:rPr>
        <w:t>In non-infectious uveitis, corticosteroids or other medicines that influence the immune system may be continued while using AMGEVITA. AMGEVITA can also be given alone.</w:t>
      </w:r>
    </w:p>
    <w:p w14:paraId="737EAF2B" w14:textId="77777777" w:rsidR="00F62574" w:rsidRPr="00D55B59" w:rsidRDefault="00F62574" w:rsidP="00F62574">
      <w:pPr>
        <w:pStyle w:val="Default"/>
        <w:rPr>
          <w:sz w:val="22"/>
          <w:szCs w:val="22"/>
          <w:lang w:val="en-GB" w:eastAsia="en-GB"/>
          <w:rPrChange w:id="3596" w:author="Author">
            <w:rPr>
              <w:sz w:val="22"/>
              <w:szCs w:val="22"/>
              <w:lang w:eastAsia="en-GB"/>
            </w:rPr>
          </w:rPrChange>
        </w:rPr>
      </w:pPr>
    </w:p>
    <w:p w14:paraId="5E12EDAC" w14:textId="77777777" w:rsidR="00F62574" w:rsidRPr="00D55B59" w:rsidRDefault="00F62574" w:rsidP="00F62574">
      <w:pPr>
        <w:pStyle w:val="Default"/>
        <w:rPr>
          <w:sz w:val="22"/>
          <w:szCs w:val="22"/>
          <w:u w:val="single"/>
          <w:lang w:val="en-GB" w:eastAsia="en-GB"/>
          <w:rPrChange w:id="3597" w:author="Author">
            <w:rPr>
              <w:sz w:val="22"/>
              <w:szCs w:val="22"/>
              <w:u w:val="single"/>
              <w:lang w:eastAsia="en-GB"/>
            </w:rPr>
          </w:rPrChange>
        </w:rPr>
      </w:pPr>
      <w:r w:rsidRPr="00D55B59">
        <w:rPr>
          <w:sz w:val="22"/>
          <w:szCs w:val="22"/>
          <w:u w:val="single"/>
          <w:lang w:val="en-GB" w:eastAsia="en-GB"/>
          <w:rPrChange w:id="3598" w:author="Author">
            <w:rPr>
              <w:sz w:val="22"/>
              <w:szCs w:val="22"/>
              <w:u w:val="single"/>
              <w:lang w:eastAsia="en-GB"/>
            </w:rPr>
          </w:rPrChange>
        </w:rPr>
        <w:t>Children and adolescents with chronic non-infectious uveitis from 2 years of age</w:t>
      </w:r>
    </w:p>
    <w:p w14:paraId="1734BA13" w14:textId="77777777" w:rsidR="00F62574" w:rsidRPr="00D55B59" w:rsidRDefault="00F62574" w:rsidP="00F62574">
      <w:pPr>
        <w:pStyle w:val="Default"/>
        <w:rPr>
          <w:sz w:val="22"/>
          <w:szCs w:val="22"/>
          <w:lang w:val="en-GB" w:eastAsia="en-GB"/>
          <w:rPrChange w:id="3599" w:author="Author">
            <w:rPr>
              <w:sz w:val="22"/>
              <w:szCs w:val="22"/>
              <w:lang w:eastAsia="en-GB"/>
            </w:rPr>
          </w:rPrChange>
        </w:rPr>
      </w:pPr>
    </w:p>
    <w:p w14:paraId="5CD33588" w14:textId="77777777" w:rsidR="00F62574" w:rsidRPr="00D55B59" w:rsidRDefault="00F62574" w:rsidP="00F62574">
      <w:pPr>
        <w:pStyle w:val="Default"/>
        <w:rPr>
          <w:i/>
          <w:sz w:val="22"/>
          <w:szCs w:val="22"/>
          <w:lang w:val="en-GB" w:eastAsia="en-GB"/>
          <w:rPrChange w:id="3600" w:author="Author">
            <w:rPr>
              <w:i/>
              <w:sz w:val="22"/>
              <w:szCs w:val="22"/>
              <w:lang w:eastAsia="en-GB"/>
            </w:rPr>
          </w:rPrChange>
        </w:rPr>
      </w:pPr>
      <w:r w:rsidRPr="00D55B59">
        <w:rPr>
          <w:i/>
          <w:sz w:val="22"/>
          <w:szCs w:val="22"/>
          <w:lang w:val="en-GB" w:eastAsia="en-GB"/>
          <w:rPrChange w:id="3601" w:author="Author">
            <w:rPr>
              <w:i/>
              <w:sz w:val="22"/>
              <w:szCs w:val="22"/>
              <w:lang w:eastAsia="en-GB"/>
            </w:rPr>
          </w:rPrChange>
        </w:rPr>
        <w:t>Children and adolescents from 2 years of age weighing less than 30</w:t>
      </w:r>
      <w:r w:rsidR="00F3748B" w:rsidRPr="00D55B59">
        <w:rPr>
          <w:szCs w:val="22"/>
          <w:lang w:val="en-GB" w:eastAsia="en-GB"/>
          <w:rPrChange w:id="3602" w:author="Author">
            <w:rPr>
              <w:szCs w:val="22"/>
              <w:lang w:eastAsia="en-GB"/>
            </w:rPr>
          </w:rPrChange>
        </w:rPr>
        <w:t> </w:t>
      </w:r>
      <w:r w:rsidRPr="00D55B59">
        <w:rPr>
          <w:i/>
          <w:sz w:val="22"/>
          <w:szCs w:val="22"/>
          <w:lang w:val="en-GB" w:eastAsia="en-GB"/>
          <w:rPrChange w:id="3603" w:author="Author">
            <w:rPr>
              <w:i/>
              <w:sz w:val="22"/>
              <w:szCs w:val="22"/>
              <w:lang w:eastAsia="en-GB"/>
            </w:rPr>
          </w:rPrChange>
        </w:rPr>
        <w:t>kg</w:t>
      </w:r>
    </w:p>
    <w:p w14:paraId="2DB978F3" w14:textId="77777777" w:rsidR="00F62574" w:rsidRPr="00D55B59" w:rsidRDefault="00F62574" w:rsidP="00F62574">
      <w:pPr>
        <w:pStyle w:val="Default"/>
        <w:rPr>
          <w:sz w:val="22"/>
          <w:szCs w:val="22"/>
          <w:lang w:val="en-GB" w:eastAsia="en-GB"/>
          <w:rPrChange w:id="3604" w:author="Author">
            <w:rPr>
              <w:sz w:val="22"/>
              <w:szCs w:val="22"/>
              <w:lang w:eastAsia="en-GB"/>
            </w:rPr>
          </w:rPrChange>
        </w:rPr>
      </w:pPr>
    </w:p>
    <w:p w14:paraId="3F61D440" w14:textId="77777777" w:rsidR="00F62574" w:rsidRPr="00D55B59" w:rsidRDefault="00F62574" w:rsidP="00F62574">
      <w:pPr>
        <w:pStyle w:val="Default"/>
        <w:rPr>
          <w:sz w:val="22"/>
          <w:szCs w:val="22"/>
          <w:lang w:val="en-GB" w:eastAsia="en-GB"/>
          <w:rPrChange w:id="3605" w:author="Author">
            <w:rPr>
              <w:sz w:val="22"/>
              <w:szCs w:val="22"/>
              <w:lang w:eastAsia="en-GB"/>
            </w:rPr>
          </w:rPrChange>
        </w:rPr>
      </w:pPr>
      <w:r w:rsidRPr="00D55B59">
        <w:rPr>
          <w:sz w:val="22"/>
          <w:szCs w:val="22"/>
          <w:lang w:val="en-GB" w:eastAsia="en-GB"/>
          <w:rPrChange w:id="3606" w:author="Author">
            <w:rPr>
              <w:sz w:val="22"/>
              <w:szCs w:val="22"/>
              <w:lang w:eastAsia="en-GB"/>
            </w:rPr>
          </w:rPrChange>
        </w:rPr>
        <w:t>The usual dose of AMGEVITA is 20</w:t>
      </w:r>
      <w:r w:rsidR="00F3748B" w:rsidRPr="00D55B59">
        <w:rPr>
          <w:szCs w:val="22"/>
          <w:lang w:val="en-GB" w:eastAsia="en-GB"/>
          <w:rPrChange w:id="3607" w:author="Author">
            <w:rPr>
              <w:szCs w:val="22"/>
              <w:lang w:eastAsia="en-GB"/>
            </w:rPr>
          </w:rPrChange>
        </w:rPr>
        <w:t> </w:t>
      </w:r>
      <w:r w:rsidRPr="00D55B59">
        <w:rPr>
          <w:sz w:val="22"/>
          <w:szCs w:val="22"/>
          <w:lang w:val="en-GB" w:eastAsia="en-GB"/>
          <w:rPrChange w:id="3608" w:author="Author">
            <w:rPr>
              <w:sz w:val="22"/>
              <w:szCs w:val="22"/>
              <w:lang w:eastAsia="en-GB"/>
            </w:rPr>
          </w:rPrChange>
        </w:rPr>
        <w:t>mg every other week with methotrexate.</w:t>
      </w:r>
    </w:p>
    <w:p w14:paraId="27186A27" w14:textId="77777777" w:rsidR="00F62574" w:rsidRPr="00D55B59" w:rsidRDefault="00F62574" w:rsidP="00F62574">
      <w:pPr>
        <w:pStyle w:val="Default"/>
        <w:rPr>
          <w:sz w:val="22"/>
          <w:szCs w:val="22"/>
          <w:lang w:val="en-GB" w:eastAsia="en-GB"/>
          <w:rPrChange w:id="3609" w:author="Author">
            <w:rPr>
              <w:sz w:val="22"/>
              <w:szCs w:val="22"/>
              <w:lang w:eastAsia="en-GB"/>
            </w:rPr>
          </w:rPrChange>
        </w:rPr>
      </w:pPr>
    </w:p>
    <w:p w14:paraId="6EAD17E8" w14:textId="77777777" w:rsidR="00F62574" w:rsidRPr="00D55B59" w:rsidRDefault="00F62574" w:rsidP="00F62574">
      <w:pPr>
        <w:pStyle w:val="Default"/>
        <w:rPr>
          <w:sz w:val="22"/>
          <w:szCs w:val="22"/>
          <w:lang w:val="en-GB" w:eastAsia="en-GB"/>
          <w:rPrChange w:id="3610" w:author="Author">
            <w:rPr>
              <w:sz w:val="22"/>
              <w:szCs w:val="22"/>
              <w:lang w:eastAsia="en-GB"/>
            </w:rPr>
          </w:rPrChange>
        </w:rPr>
      </w:pPr>
      <w:r w:rsidRPr="00D55B59">
        <w:rPr>
          <w:sz w:val="22"/>
          <w:szCs w:val="22"/>
          <w:lang w:val="en-GB" w:eastAsia="en-GB"/>
          <w:rPrChange w:id="3611" w:author="Author">
            <w:rPr>
              <w:sz w:val="22"/>
              <w:szCs w:val="22"/>
              <w:lang w:eastAsia="en-GB"/>
            </w:rPr>
          </w:rPrChange>
        </w:rPr>
        <w:t>Your doctor may also prescribe an initial dose of 40</w:t>
      </w:r>
      <w:r w:rsidR="00F3748B" w:rsidRPr="00D55B59">
        <w:rPr>
          <w:szCs w:val="22"/>
          <w:lang w:val="en-GB" w:eastAsia="en-GB"/>
          <w:rPrChange w:id="3612" w:author="Author">
            <w:rPr>
              <w:szCs w:val="22"/>
              <w:lang w:eastAsia="en-GB"/>
            </w:rPr>
          </w:rPrChange>
        </w:rPr>
        <w:t> </w:t>
      </w:r>
      <w:r w:rsidRPr="00D55B59">
        <w:rPr>
          <w:sz w:val="22"/>
          <w:szCs w:val="22"/>
          <w:lang w:val="en-GB" w:eastAsia="en-GB"/>
          <w:rPrChange w:id="3613" w:author="Author">
            <w:rPr>
              <w:sz w:val="22"/>
              <w:szCs w:val="22"/>
              <w:lang w:eastAsia="en-GB"/>
            </w:rPr>
          </w:rPrChange>
        </w:rPr>
        <w:t>mg which may be administered one week prior to the start of the usual dose.</w:t>
      </w:r>
    </w:p>
    <w:p w14:paraId="017B12E6" w14:textId="77777777" w:rsidR="00F62574" w:rsidRPr="00D55B59" w:rsidRDefault="00F62574" w:rsidP="00F62574">
      <w:pPr>
        <w:pStyle w:val="Default"/>
        <w:rPr>
          <w:sz w:val="22"/>
          <w:szCs w:val="22"/>
          <w:lang w:val="en-GB" w:eastAsia="en-GB"/>
          <w:rPrChange w:id="3614" w:author="Author">
            <w:rPr>
              <w:sz w:val="22"/>
              <w:szCs w:val="22"/>
              <w:lang w:eastAsia="en-GB"/>
            </w:rPr>
          </w:rPrChange>
        </w:rPr>
      </w:pPr>
    </w:p>
    <w:p w14:paraId="6990BF85" w14:textId="1C87CF37" w:rsidR="00B07E69" w:rsidRPr="001775D9" w:rsidRDefault="00B07E69" w:rsidP="00B07E69">
      <w:pPr>
        <w:tabs>
          <w:tab w:val="clear" w:pos="567"/>
          <w:tab w:val="left" w:pos="0"/>
        </w:tabs>
        <w:spacing w:line="240" w:lineRule="auto"/>
        <w:outlineLvl w:val="0"/>
      </w:pPr>
      <w:r w:rsidRPr="001775D9">
        <w:t>The 40</w:t>
      </w:r>
      <w:r w:rsidRPr="001775D9">
        <w:rPr>
          <w:bCs/>
        </w:rPr>
        <w:t> </w:t>
      </w:r>
      <w:r w:rsidRPr="001775D9">
        <w:t>mg pre-filled pen cannot be used for the 20</w:t>
      </w:r>
      <w:r w:rsidRPr="001775D9">
        <w:rPr>
          <w:bCs/>
        </w:rPr>
        <w:t> </w:t>
      </w:r>
      <w:r w:rsidRPr="001775D9">
        <w:t>mg dose. An AMGEVITA 20</w:t>
      </w:r>
      <w:r w:rsidRPr="001775D9">
        <w:rPr>
          <w:bCs/>
        </w:rPr>
        <w:t> </w:t>
      </w:r>
      <w:r w:rsidRPr="001775D9">
        <w:t xml:space="preserve">mg pre-filled </w:t>
      </w:r>
      <w:r w:rsidRPr="001775D9">
        <w:rPr>
          <w:i/>
        </w:rPr>
        <w:t>syringe</w:t>
      </w:r>
      <w:r w:rsidRPr="001775D9">
        <w:t xml:space="preserve"> is however available for the 20</w:t>
      </w:r>
      <w:r w:rsidRPr="001775D9">
        <w:rPr>
          <w:bCs/>
        </w:rPr>
        <w:t> </w:t>
      </w:r>
      <w:r w:rsidRPr="001775D9">
        <w:t>mg dose.</w:t>
      </w:r>
      <w:fldSimple w:instr=" DOCVARIABLE vault_nd_bd6af3c9-744d-404b-a4a3-2317f7f8e54d \* MERGEFORMAT ">
        <w:r w:rsidR="001C55FB" w:rsidRPr="001775D9">
          <w:t xml:space="preserve"> </w:t>
        </w:r>
      </w:fldSimple>
    </w:p>
    <w:p w14:paraId="71103379" w14:textId="77777777" w:rsidR="00B07E69" w:rsidRPr="00D55B59" w:rsidRDefault="00B07E69" w:rsidP="00F62574">
      <w:pPr>
        <w:pStyle w:val="Default"/>
        <w:rPr>
          <w:sz w:val="22"/>
          <w:szCs w:val="22"/>
          <w:lang w:val="en-GB" w:eastAsia="en-GB"/>
          <w:rPrChange w:id="3615" w:author="Author">
            <w:rPr>
              <w:sz w:val="22"/>
              <w:szCs w:val="22"/>
              <w:lang w:eastAsia="en-GB"/>
            </w:rPr>
          </w:rPrChange>
        </w:rPr>
      </w:pPr>
    </w:p>
    <w:p w14:paraId="15938C51" w14:textId="77777777" w:rsidR="00F62574" w:rsidRPr="00D55B59" w:rsidRDefault="00F62574" w:rsidP="00F62574">
      <w:pPr>
        <w:pStyle w:val="Default"/>
        <w:rPr>
          <w:i/>
          <w:sz w:val="22"/>
          <w:szCs w:val="22"/>
          <w:lang w:val="en-GB" w:eastAsia="en-GB"/>
          <w:rPrChange w:id="3616" w:author="Author">
            <w:rPr>
              <w:i/>
              <w:sz w:val="22"/>
              <w:szCs w:val="22"/>
              <w:lang w:eastAsia="en-GB"/>
            </w:rPr>
          </w:rPrChange>
        </w:rPr>
      </w:pPr>
      <w:r w:rsidRPr="00D55B59">
        <w:rPr>
          <w:i/>
          <w:sz w:val="22"/>
          <w:szCs w:val="22"/>
          <w:lang w:val="en-GB" w:eastAsia="en-GB"/>
          <w:rPrChange w:id="3617" w:author="Author">
            <w:rPr>
              <w:i/>
              <w:sz w:val="22"/>
              <w:szCs w:val="22"/>
              <w:lang w:eastAsia="en-GB"/>
            </w:rPr>
          </w:rPrChange>
        </w:rPr>
        <w:t>Children and adolescents from 2 years of age weighing 30</w:t>
      </w:r>
      <w:r w:rsidR="00F3748B" w:rsidRPr="00D55B59">
        <w:rPr>
          <w:szCs w:val="22"/>
          <w:lang w:val="en-GB" w:eastAsia="en-GB"/>
          <w:rPrChange w:id="3618" w:author="Author">
            <w:rPr>
              <w:szCs w:val="22"/>
              <w:lang w:eastAsia="en-GB"/>
            </w:rPr>
          </w:rPrChange>
        </w:rPr>
        <w:t> </w:t>
      </w:r>
      <w:r w:rsidRPr="00D55B59">
        <w:rPr>
          <w:i/>
          <w:sz w:val="22"/>
          <w:szCs w:val="22"/>
          <w:lang w:val="en-GB" w:eastAsia="en-GB"/>
          <w:rPrChange w:id="3619" w:author="Author">
            <w:rPr>
              <w:i/>
              <w:sz w:val="22"/>
              <w:szCs w:val="22"/>
              <w:lang w:eastAsia="en-GB"/>
            </w:rPr>
          </w:rPrChange>
        </w:rPr>
        <w:t>kg or more</w:t>
      </w:r>
    </w:p>
    <w:p w14:paraId="587AAD81" w14:textId="77777777" w:rsidR="00F62574" w:rsidRPr="00D55B59" w:rsidRDefault="00F62574" w:rsidP="00F62574">
      <w:pPr>
        <w:pStyle w:val="Default"/>
        <w:rPr>
          <w:sz w:val="22"/>
          <w:szCs w:val="22"/>
          <w:lang w:val="en-GB" w:eastAsia="en-GB"/>
          <w:rPrChange w:id="3620" w:author="Author">
            <w:rPr>
              <w:sz w:val="22"/>
              <w:szCs w:val="22"/>
              <w:lang w:eastAsia="en-GB"/>
            </w:rPr>
          </w:rPrChange>
        </w:rPr>
      </w:pPr>
    </w:p>
    <w:p w14:paraId="755F22E6" w14:textId="77777777" w:rsidR="00F62574" w:rsidRPr="00D55B59" w:rsidRDefault="00F62574" w:rsidP="00F62574">
      <w:pPr>
        <w:pStyle w:val="Default"/>
        <w:rPr>
          <w:sz w:val="22"/>
          <w:szCs w:val="22"/>
          <w:lang w:val="en-GB" w:eastAsia="en-GB"/>
          <w:rPrChange w:id="3621" w:author="Author">
            <w:rPr>
              <w:sz w:val="22"/>
              <w:szCs w:val="22"/>
              <w:lang w:eastAsia="en-GB"/>
            </w:rPr>
          </w:rPrChange>
        </w:rPr>
      </w:pPr>
      <w:r w:rsidRPr="00D55B59">
        <w:rPr>
          <w:sz w:val="22"/>
          <w:szCs w:val="22"/>
          <w:lang w:val="en-GB" w:eastAsia="en-GB"/>
          <w:rPrChange w:id="3622" w:author="Author">
            <w:rPr>
              <w:sz w:val="22"/>
              <w:szCs w:val="22"/>
              <w:lang w:eastAsia="en-GB"/>
            </w:rPr>
          </w:rPrChange>
        </w:rPr>
        <w:t>The usual dose of AMGEVITA is 40</w:t>
      </w:r>
      <w:r w:rsidR="00F3748B" w:rsidRPr="00D55B59">
        <w:rPr>
          <w:szCs w:val="22"/>
          <w:lang w:val="en-GB" w:eastAsia="en-GB"/>
          <w:rPrChange w:id="3623" w:author="Author">
            <w:rPr>
              <w:szCs w:val="22"/>
              <w:lang w:eastAsia="en-GB"/>
            </w:rPr>
          </w:rPrChange>
        </w:rPr>
        <w:t> </w:t>
      </w:r>
      <w:r w:rsidRPr="00D55B59">
        <w:rPr>
          <w:sz w:val="22"/>
          <w:szCs w:val="22"/>
          <w:lang w:val="en-GB" w:eastAsia="en-GB"/>
          <w:rPrChange w:id="3624" w:author="Author">
            <w:rPr>
              <w:sz w:val="22"/>
              <w:szCs w:val="22"/>
              <w:lang w:eastAsia="en-GB"/>
            </w:rPr>
          </w:rPrChange>
        </w:rPr>
        <w:t>mg every other week with methotrexate.</w:t>
      </w:r>
    </w:p>
    <w:p w14:paraId="5DCAC71E" w14:textId="77777777" w:rsidR="00F62574" w:rsidRPr="00D55B59" w:rsidRDefault="00F62574" w:rsidP="00F62574">
      <w:pPr>
        <w:pStyle w:val="Default"/>
        <w:rPr>
          <w:sz w:val="22"/>
          <w:szCs w:val="22"/>
          <w:lang w:val="en-GB" w:eastAsia="en-GB"/>
          <w:rPrChange w:id="3625" w:author="Author">
            <w:rPr>
              <w:sz w:val="22"/>
              <w:szCs w:val="22"/>
              <w:lang w:eastAsia="en-GB"/>
            </w:rPr>
          </w:rPrChange>
        </w:rPr>
      </w:pPr>
    </w:p>
    <w:p w14:paraId="4745A396" w14:textId="77777777" w:rsidR="00524DB2" w:rsidRPr="001775D9" w:rsidRDefault="00F62574" w:rsidP="00F62574">
      <w:pPr>
        <w:numPr>
          <w:ilvl w:val="12"/>
          <w:numId w:val="0"/>
        </w:numPr>
        <w:tabs>
          <w:tab w:val="clear" w:pos="567"/>
        </w:tabs>
        <w:spacing w:line="240" w:lineRule="auto"/>
        <w:ind w:right="-2"/>
        <w:rPr>
          <w:szCs w:val="22"/>
          <w:lang w:eastAsia="en-GB"/>
        </w:rPr>
      </w:pPr>
      <w:r w:rsidRPr="001775D9">
        <w:rPr>
          <w:szCs w:val="22"/>
          <w:lang w:eastAsia="en-GB"/>
        </w:rPr>
        <w:t>Your doctor may also prescribe an initial dose of 80</w:t>
      </w:r>
      <w:r w:rsidR="00F3748B" w:rsidRPr="001775D9">
        <w:rPr>
          <w:szCs w:val="22"/>
          <w:lang w:eastAsia="en-GB"/>
        </w:rPr>
        <w:t> </w:t>
      </w:r>
      <w:r w:rsidRPr="001775D9">
        <w:rPr>
          <w:szCs w:val="22"/>
          <w:lang w:eastAsia="en-GB"/>
        </w:rPr>
        <w:t>mg which may be administered one week prior to the start of the usual dose.</w:t>
      </w:r>
    </w:p>
    <w:p w14:paraId="55A19B97" w14:textId="77777777" w:rsidR="00F62574" w:rsidRPr="001775D9" w:rsidRDefault="00F62574" w:rsidP="00F62574">
      <w:pPr>
        <w:numPr>
          <w:ilvl w:val="12"/>
          <w:numId w:val="0"/>
        </w:numPr>
        <w:tabs>
          <w:tab w:val="clear" w:pos="567"/>
        </w:tabs>
        <w:spacing w:line="240" w:lineRule="auto"/>
        <w:ind w:right="-2"/>
        <w:rPr>
          <w:szCs w:val="22"/>
        </w:rPr>
      </w:pPr>
    </w:p>
    <w:p w14:paraId="33DAD17D" w14:textId="77777777" w:rsidR="00524DB2" w:rsidRPr="00D55B59" w:rsidRDefault="00524DB2" w:rsidP="00FB5458">
      <w:pPr>
        <w:pStyle w:val="Default"/>
        <w:rPr>
          <w:sz w:val="22"/>
          <w:szCs w:val="22"/>
          <w:lang w:val="en-GB"/>
          <w:rPrChange w:id="3626" w:author="Author">
            <w:rPr>
              <w:sz w:val="22"/>
              <w:szCs w:val="22"/>
            </w:rPr>
          </w:rPrChange>
        </w:rPr>
      </w:pPr>
      <w:r w:rsidRPr="00D55B59">
        <w:rPr>
          <w:b/>
          <w:bCs/>
          <w:sz w:val="22"/>
          <w:szCs w:val="22"/>
          <w:lang w:val="en-GB"/>
          <w:rPrChange w:id="3627" w:author="Author">
            <w:rPr>
              <w:b/>
              <w:bCs/>
              <w:sz w:val="22"/>
              <w:szCs w:val="22"/>
            </w:rPr>
          </w:rPrChange>
        </w:rPr>
        <w:t xml:space="preserve">Method and route of administration </w:t>
      </w:r>
    </w:p>
    <w:p w14:paraId="6CA375E2" w14:textId="77777777" w:rsidR="00524DB2" w:rsidRPr="001775D9" w:rsidRDefault="00524DB2" w:rsidP="00FB5458">
      <w:pPr>
        <w:numPr>
          <w:ilvl w:val="12"/>
          <w:numId w:val="0"/>
        </w:numPr>
        <w:tabs>
          <w:tab w:val="clear" w:pos="567"/>
        </w:tabs>
        <w:spacing w:line="240" w:lineRule="auto"/>
        <w:ind w:right="-2"/>
        <w:rPr>
          <w:szCs w:val="22"/>
        </w:rPr>
      </w:pPr>
    </w:p>
    <w:p w14:paraId="55EE5842" w14:textId="6E657C7C" w:rsidR="00524DB2" w:rsidRPr="001775D9" w:rsidRDefault="00524DB2" w:rsidP="00FB5458">
      <w:pPr>
        <w:numPr>
          <w:ilvl w:val="12"/>
          <w:numId w:val="0"/>
        </w:numPr>
        <w:tabs>
          <w:tab w:val="clear" w:pos="567"/>
        </w:tabs>
        <w:spacing w:line="240" w:lineRule="auto"/>
        <w:ind w:right="-2"/>
        <w:rPr>
          <w:szCs w:val="22"/>
        </w:rPr>
      </w:pPr>
      <w:r w:rsidRPr="001775D9">
        <w:rPr>
          <w:szCs w:val="22"/>
        </w:rPr>
        <w:t xml:space="preserve">AMGEVITA is administered by injection under the skin (subcutaneous injection). </w:t>
      </w:r>
    </w:p>
    <w:p w14:paraId="4665A3F2" w14:textId="444F6157" w:rsidR="00623DC0" w:rsidRPr="001775D9" w:rsidRDefault="00623DC0" w:rsidP="00FB5458">
      <w:pPr>
        <w:numPr>
          <w:ilvl w:val="12"/>
          <w:numId w:val="0"/>
        </w:numPr>
        <w:tabs>
          <w:tab w:val="clear" w:pos="567"/>
        </w:tabs>
        <w:spacing w:line="240" w:lineRule="auto"/>
        <w:ind w:right="-2"/>
        <w:rPr>
          <w:szCs w:val="22"/>
        </w:rPr>
      </w:pPr>
    </w:p>
    <w:p w14:paraId="34562C0F" w14:textId="083ABFD3" w:rsidR="00623DC0" w:rsidRPr="001775D9" w:rsidRDefault="00623DC0" w:rsidP="00FB5458">
      <w:pPr>
        <w:numPr>
          <w:ilvl w:val="12"/>
          <w:numId w:val="0"/>
        </w:numPr>
        <w:tabs>
          <w:tab w:val="clear" w:pos="567"/>
        </w:tabs>
        <w:spacing w:line="240" w:lineRule="auto"/>
        <w:ind w:right="-2"/>
        <w:rPr>
          <w:szCs w:val="22"/>
        </w:rPr>
      </w:pPr>
      <w:r w:rsidRPr="001775D9">
        <w:rPr>
          <w:szCs w:val="22"/>
        </w:rPr>
        <w:t xml:space="preserve">Detailed instructions on how to inject AMGEVITA are provided in </w:t>
      </w:r>
      <w:r w:rsidR="001833C5" w:rsidRPr="001775D9">
        <w:rPr>
          <w:szCs w:val="22"/>
        </w:rPr>
        <w:t>“Instructions for use”</w:t>
      </w:r>
      <w:r w:rsidR="00853213" w:rsidRPr="001775D9">
        <w:rPr>
          <w:szCs w:val="22"/>
        </w:rPr>
        <w:t xml:space="preserve"> </w:t>
      </w:r>
      <w:r w:rsidRPr="001775D9">
        <w:rPr>
          <w:szCs w:val="22"/>
        </w:rPr>
        <w:t>section</w:t>
      </w:r>
      <w:r w:rsidR="001833C5" w:rsidRPr="001775D9">
        <w:rPr>
          <w:szCs w:val="22"/>
        </w:rPr>
        <w:t>.</w:t>
      </w:r>
    </w:p>
    <w:p w14:paraId="33BCD13E" w14:textId="77777777" w:rsidR="00524DB2" w:rsidRPr="001775D9" w:rsidRDefault="00524DB2" w:rsidP="00FB5458">
      <w:pPr>
        <w:numPr>
          <w:ilvl w:val="12"/>
          <w:numId w:val="0"/>
        </w:numPr>
        <w:tabs>
          <w:tab w:val="clear" w:pos="567"/>
        </w:tabs>
        <w:spacing w:line="240" w:lineRule="auto"/>
        <w:ind w:right="-2"/>
        <w:rPr>
          <w:szCs w:val="22"/>
        </w:rPr>
      </w:pPr>
    </w:p>
    <w:p w14:paraId="6DB3F543" w14:textId="6D2A2854" w:rsidR="00524DB2" w:rsidRPr="001775D9" w:rsidRDefault="00524DB2" w:rsidP="007B4B23">
      <w:pPr>
        <w:keepNext/>
        <w:numPr>
          <w:ilvl w:val="12"/>
          <w:numId w:val="0"/>
        </w:numPr>
        <w:tabs>
          <w:tab w:val="clear" w:pos="567"/>
        </w:tabs>
        <w:spacing w:line="240" w:lineRule="auto"/>
        <w:outlineLvl w:val="0"/>
        <w:rPr>
          <w:szCs w:val="22"/>
        </w:rPr>
      </w:pPr>
      <w:r w:rsidRPr="001775D9">
        <w:rPr>
          <w:b/>
          <w:szCs w:val="22"/>
        </w:rPr>
        <w:t>If you use more AMGEVITA than you should</w:t>
      </w:r>
      <w:r w:rsidR="001C55FB" w:rsidRPr="001775D9">
        <w:rPr>
          <w:b/>
          <w:szCs w:val="22"/>
        </w:rPr>
        <w:fldChar w:fldCharType="begin"/>
      </w:r>
      <w:r w:rsidR="001C55FB" w:rsidRPr="001775D9">
        <w:rPr>
          <w:b/>
          <w:szCs w:val="22"/>
        </w:rPr>
        <w:instrText xml:space="preserve"> DOCVARIABLE vault_nd_e6a8b84a-ddb9-4ffe-a8a7-0bf8349da45b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2BD4FEF5" w14:textId="77777777" w:rsidR="00524DB2" w:rsidRPr="001775D9" w:rsidRDefault="00524DB2" w:rsidP="007B4B23">
      <w:pPr>
        <w:keepNext/>
        <w:numPr>
          <w:ilvl w:val="12"/>
          <w:numId w:val="0"/>
        </w:numPr>
        <w:tabs>
          <w:tab w:val="clear" w:pos="567"/>
        </w:tabs>
        <w:spacing w:line="240" w:lineRule="auto"/>
        <w:outlineLvl w:val="0"/>
        <w:rPr>
          <w:szCs w:val="22"/>
        </w:rPr>
      </w:pPr>
    </w:p>
    <w:p w14:paraId="2545BAF9" w14:textId="3AC43E59" w:rsidR="00524DB2" w:rsidRPr="001775D9" w:rsidRDefault="00524DB2" w:rsidP="007B4B23">
      <w:pPr>
        <w:numPr>
          <w:ilvl w:val="12"/>
          <w:numId w:val="0"/>
        </w:numPr>
        <w:tabs>
          <w:tab w:val="clear" w:pos="567"/>
        </w:tabs>
        <w:spacing w:line="240" w:lineRule="auto"/>
        <w:ind w:right="-2"/>
        <w:outlineLvl w:val="0"/>
        <w:rPr>
          <w:szCs w:val="22"/>
        </w:rPr>
      </w:pPr>
      <w:r w:rsidRPr="001775D9">
        <w:rPr>
          <w:szCs w:val="22"/>
        </w:rPr>
        <w:t>If you accidentally inject AMGEVITA more frequently than told to by your doctor or pharmacist, call your doctor or pharmacist and tell him/her that you have taken more. Always take the outer carton of this medicine with you, even if it is empty.</w:t>
      </w:r>
      <w:r w:rsidR="001C55FB" w:rsidRPr="001775D9">
        <w:rPr>
          <w:szCs w:val="22"/>
        </w:rPr>
        <w:fldChar w:fldCharType="begin"/>
      </w:r>
      <w:r w:rsidR="001C55FB" w:rsidRPr="001775D9">
        <w:rPr>
          <w:szCs w:val="22"/>
        </w:rPr>
        <w:instrText xml:space="preserve"> DOCVARIABLE vault_nd_fc0fd703-df8a-4b86-bea1-9de1f4e2e944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7F229E3F" w14:textId="77777777" w:rsidR="00524DB2" w:rsidRPr="001775D9" w:rsidRDefault="00524DB2" w:rsidP="007B4B23">
      <w:pPr>
        <w:numPr>
          <w:ilvl w:val="12"/>
          <w:numId w:val="0"/>
        </w:numPr>
        <w:tabs>
          <w:tab w:val="clear" w:pos="567"/>
        </w:tabs>
        <w:spacing w:line="240" w:lineRule="auto"/>
        <w:ind w:right="-2"/>
        <w:outlineLvl w:val="0"/>
        <w:rPr>
          <w:i/>
          <w:szCs w:val="22"/>
        </w:rPr>
      </w:pPr>
    </w:p>
    <w:p w14:paraId="6E1DD523" w14:textId="2F586C29" w:rsidR="00524DB2" w:rsidRPr="001775D9" w:rsidRDefault="00524DB2" w:rsidP="007B4B23">
      <w:pPr>
        <w:keepNext/>
        <w:numPr>
          <w:ilvl w:val="12"/>
          <w:numId w:val="0"/>
        </w:numPr>
        <w:tabs>
          <w:tab w:val="clear" w:pos="567"/>
        </w:tabs>
        <w:spacing w:line="240" w:lineRule="auto"/>
        <w:outlineLvl w:val="0"/>
        <w:rPr>
          <w:b/>
          <w:szCs w:val="22"/>
        </w:rPr>
      </w:pPr>
      <w:r w:rsidRPr="001775D9">
        <w:rPr>
          <w:b/>
          <w:szCs w:val="22"/>
        </w:rPr>
        <w:t>If you forget to use AMGEVITA</w:t>
      </w:r>
      <w:r w:rsidR="001C55FB" w:rsidRPr="001775D9">
        <w:rPr>
          <w:b/>
          <w:szCs w:val="22"/>
        </w:rPr>
        <w:fldChar w:fldCharType="begin"/>
      </w:r>
      <w:r w:rsidR="001C55FB" w:rsidRPr="001775D9">
        <w:rPr>
          <w:b/>
          <w:szCs w:val="22"/>
        </w:rPr>
        <w:instrText xml:space="preserve"> DOCVARIABLE vault_nd_47c30d58-c3ca-4884-8ab5-28855f12160a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986A278" w14:textId="77777777" w:rsidR="00524DB2" w:rsidRPr="001775D9" w:rsidRDefault="00524DB2" w:rsidP="007B4B23">
      <w:pPr>
        <w:keepNext/>
        <w:numPr>
          <w:ilvl w:val="12"/>
          <w:numId w:val="0"/>
        </w:numPr>
        <w:tabs>
          <w:tab w:val="clear" w:pos="567"/>
        </w:tabs>
        <w:spacing w:line="240" w:lineRule="auto"/>
        <w:outlineLvl w:val="0"/>
        <w:rPr>
          <w:b/>
          <w:szCs w:val="22"/>
        </w:rPr>
      </w:pPr>
    </w:p>
    <w:p w14:paraId="0D1387B9" w14:textId="72FEF13E" w:rsidR="00524DB2" w:rsidRPr="001775D9" w:rsidRDefault="00524DB2" w:rsidP="007B4B23">
      <w:pPr>
        <w:keepNext/>
        <w:numPr>
          <w:ilvl w:val="12"/>
          <w:numId w:val="0"/>
        </w:numPr>
        <w:tabs>
          <w:tab w:val="clear" w:pos="567"/>
        </w:tabs>
        <w:spacing w:line="240" w:lineRule="auto"/>
        <w:outlineLvl w:val="0"/>
        <w:rPr>
          <w:szCs w:val="22"/>
        </w:rPr>
      </w:pPr>
      <w:r w:rsidRPr="001775D9">
        <w:rPr>
          <w:szCs w:val="22"/>
        </w:rPr>
        <w:t xml:space="preserve">If you forget to give yourself an injection, you should inject </w:t>
      </w:r>
      <w:r w:rsidR="000426A9" w:rsidRPr="001775D9">
        <w:rPr>
          <w:szCs w:val="22"/>
        </w:rPr>
        <w:t>the next dose of AMGEVITA</w:t>
      </w:r>
      <w:r w:rsidR="00AC2C86" w:rsidRPr="001775D9">
        <w:rPr>
          <w:szCs w:val="22"/>
        </w:rPr>
        <w:t xml:space="preserve"> </w:t>
      </w:r>
      <w:r w:rsidRPr="001775D9">
        <w:rPr>
          <w:szCs w:val="22"/>
        </w:rPr>
        <w:t>as soon as you remember. Then take your next dose as you would have on your originally scheduled day, had you not forgotten a dose.</w:t>
      </w:r>
      <w:r w:rsidR="001C55FB" w:rsidRPr="001775D9">
        <w:rPr>
          <w:szCs w:val="22"/>
        </w:rPr>
        <w:fldChar w:fldCharType="begin"/>
      </w:r>
      <w:r w:rsidR="001C55FB" w:rsidRPr="001775D9">
        <w:rPr>
          <w:szCs w:val="22"/>
        </w:rPr>
        <w:instrText xml:space="preserve"> DOCVARIABLE vault_nd_16310cb1-7f10-49c0-b1e8-a11001e53a54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414A8B8A" w14:textId="77777777" w:rsidR="00524DB2" w:rsidRPr="001775D9" w:rsidRDefault="00524DB2" w:rsidP="007B4B23">
      <w:pPr>
        <w:numPr>
          <w:ilvl w:val="12"/>
          <w:numId w:val="0"/>
        </w:numPr>
        <w:tabs>
          <w:tab w:val="clear" w:pos="567"/>
        </w:tabs>
        <w:spacing w:line="240" w:lineRule="auto"/>
        <w:ind w:right="-2"/>
        <w:rPr>
          <w:szCs w:val="22"/>
        </w:rPr>
      </w:pPr>
    </w:p>
    <w:p w14:paraId="63D803F9" w14:textId="3911ECC4" w:rsidR="00524DB2" w:rsidRPr="001775D9" w:rsidRDefault="00524DB2" w:rsidP="007B4B23">
      <w:pPr>
        <w:keepNext/>
        <w:numPr>
          <w:ilvl w:val="12"/>
          <w:numId w:val="0"/>
        </w:numPr>
        <w:tabs>
          <w:tab w:val="clear" w:pos="567"/>
        </w:tabs>
        <w:spacing w:line="240" w:lineRule="auto"/>
        <w:outlineLvl w:val="0"/>
        <w:rPr>
          <w:b/>
          <w:szCs w:val="22"/>
        </w:rPr>
      </w:pPr>
      <w:r w:rsidRPr="001775D9">
        <w:rPr>
          <w:b/>
          <w:szCs w:val="22"/>
        </w:rPr>
        <w:t>If you stop using AMGEVITA</w:t>
      </w:r>
      <w:r w:rsidR="001C55FB" w:rsidRPr="001775D9">
        <w:rPr>
          <w:b/>
          <w:szCs w:val="22"/>
        </w:rPr>
        <w:fldChar w:fldCharType="begin"/>
      </w:r>
      <w:r w:rsidR="001C55FB" w:rsidRPr="001775D9">
        <w:rPr>
          <w:b/>
          <w:szCs w:val="22"/>
        </w:rPr>
        <w:instrText xml:space="preserve"> DOCVARIABLE vault_nd_ad0682a4-2762-4126-80a1-252fd1e69dd3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11D554D" w14:textId="77777777" w:rsidR="00524DB2" w:rsidRPr="001775D9" w:rsidRDefault="00524DB2" w:rsidP="007B4B23">
      <w:pPr>
        <w:keepNext/>
        <w:numPr>
          <w:ilvl w:val="12"/>
          <w:numId w:val="0"/>
        </w:numPr>
        <w:tabs>
          <w:tab w:val="clear" w:pos="567"/>
        </w:tabs>
        <w:spacing w:line="240" w:lineRule="auto"/>
        <w:outlineLvl w:val="0"/>
        <w:rPr>
          <w:b/>
          <w:szCs w:val="22"/>
        </w:rPr>
      </w:pPr>
    </w:p>
    <w:p w14:paraId="0D5E4FC1" w14:textId="045194B5" w:rsidR="00524DB2" w:rsidRPr="001775D9" w:rsidRDefault="00524DB2" w:rsidP="007B4B23">
      <w:pPr>
        <w:keepNext/>
        <w:numPr>
          <w:ilvl w:val="12"/>
          <w:numId w:val="0"/>
        </w:numPr>
        <w:tabs>
          <w:tab w:val="clear" w:pos="567"/>
        </w:tabs>
        <w:spacing w:line="240" w:lineRule="auto"/>
        <w:outlineLvl w:val="0"/>
        <w:rPr>
          <w:szCs w:val="22"/>
        </w:rPr>
      </w:pPr>
      <w:r w:rsidRPr="001775D9">
        <w:rPr>
          <w:szCs w:val="22"/>
        </w:rPr>
        <w:t>The decision to stop using AMGEVITA should be discussed with your doctor. Your symptoms may return upon discontinuation.</w:t>
      </w:r>
      <w:r w:rsidR="001C55FB" w:rsidRPr="001775D9">
        <w:rPr>
          <w:szCs w:val="22"/>
        </w:rPr>
        <w:fldChar w:fldCharType="begin"/>
      </w:r>
      <w:r w:rsidR="001C55FB" w:rsidRPr="001775D9">
        <w:rPr>
          <w:szCs w:val="22"/>
        </w:rPr>
        <w:instrText xml:space="preserve"> DOCVARIABLE vault_nd_42701e10-9947-4b1a-8e54-4d1da7f6c77d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76265E6D" w14:textId="77777777" w:rsidR="00524DB2" w:rsidRPr="001775D9" w:rsidRDefault="00524DB2" w:rsidP="007B4B23">
      <w:pPr>
        <w:numPr>
          <w:ilvl w:val="12"/>
          <w:numId w:val="0"/>
        </w:numPr>
        <w:tabs>
          <w:tab w:val="clear" w:pos="567"/>
        </w:tabs>
        <w:spacing w:line="240" w:lineRule="auto"/>
        <w:ind w:right="-2"/>
        <w:outlineLvl w:val="0"/>
        <w:rPr>
          <w:b/>
          <w:szCs w:val="22"/>
        </w:rPr>
      </w:pPr>
    </w:p>
    <w:p w14:paraId="39016818" w14:textId="77777777" w:rsidR="00524DB2" w:rsidRPr="001775D9" w:rsidRDefault="00524DB2" w:rsidP="007B4B23">
      <w:pPr>
        <w:numPr>
          <w:ilvl w:val="12"/>
          <w:numId w:val="0"/>
        </w:numPr>
        <w:tabs>
          <w:tab w:val="clear" w:pos="567"/>
        </w:tabs>
        <w:spacing w:line="240" w:lineRule="auto"/>
        <w:ind w:right="-29"/>
      </w:pPr>
      <w:r w:rsidRPr="001775D9">
        <w:rPr>
          <w:szCs w:val="22"/>
        </w:rPr>
        <w:t>If you have any further questions on the use of this medicine, ask your doctor or pharmacist</w:t>
      </w:r>
      <w:r w:rsidRPr="001775D9">
        <w:t>.</w:t>
      </w:r>
    </w:p>
    <w:p w14:paraId="06033B29" w14:textId="77777777" w:rsidR="00524DB2" w:rsidRPr="001775D9" w:rsidRDefault="00524DB2" w:rsidP="007B4B23">
      <w:pPr>
        <w:numPr>
          <w:ilvl w:val="12"/>
          <w:numId w:val="0"/>
        </w:numPr>
        <w:tabs>
          <w:tab w:val="clear" w:pos="567"/>
        </w:tabs>
        <w:spacing w:line="240" w:lineRule="auto"/>
      </w:pPr>
    </w:p>
    <w:p w14:paraId="45015096" w14:textId="77777777" w:rsidR="00524DB2" w:rsidRPr="001775D9" w:rsidRDefault="00524DB2" w:rsidP="007B4B23">
      <w:pPr>
        <w:numPr>
          <w:ilvl w:val="12"/>
          <w:numId w:val="0"/>
        </w:numPr>
        <w:tabs>
          <w:tab w:val="clear" w:pos="567"/>
        </w:tabs>
        <w:spacing w:line="240" w:lineRule="auto"/>
      </w:pPr>
    </w:p>
    <w:p w14:paraId="5E7D6946" w14:textId="77777777" w:rsidR="00524DB2" w:rsidRPr="001775D9" w:rsidRDefault="00524DB2" w:rsidP="007B4B23">
      <w:pPr>
        <w:keepNext/>
        <w:numPr>
          <w:ilvl w:val="12"/>
          <w:numId w:val="0"/>
        </w:numPr>
        <w:tabs>
          <w:tab w:val="clear" w:pos="567"/>
        </w:tabs>
        <w:spacing w:line="240" w:lineRule="auto"/>
        <w:ind w:left="567" w:right="-2" w:hanging="567"/>
      </w:pPr>
      <w:r w:rsidRPr="001775D9">
        <w:rPr>
          <w:b/>
        </w:rPr>
        <w:t>4.</w:t>
      </w:r>
      <w:r w:rsidRPr="001775D9">
        <w:rPr>
          <w:b/>
        </w:rPr>
        <w:tab/>
        <w:t>Possible side effects</w:t>
      </w:r>
    </w:p>
    <w:p w14:paraId="0C3C9A05" w14:textId="77777777" w:rsidR="00524DB2" w:rsidRPr="001775D9" w:rsidRDefault="00524DB2" w:rsidP="007B4B23">
      <w:pPr>
        <w:keepNext/>
        <w:numPr>
          <w:ilvl w:val="12"/>
          <w:numId w:val="0"/>
        </w:numPr>
        <w:tabs>
          <w:tab w:val="clear" w:pos="567"/>
        </w:tabs>
        <w:spacing w:line="240" w:lineRule="auto"/>
      </w:pPr>
    </w:p>
    <w:p w14:paraId="0BED6166" w14:textId="77777777" w:rsidR="00524DB2" w:rsidRPr="001775D9" w:rsidRDefault="00524DB2" w:rsidP="00B61D9D">
      <w:pPr>
        <w:keepNext/>
        <w:spacing w:line="240" w:lineRule="auto"/>
      </w:pPr>
      <w:r w:rsidRPr="001775D9">
        <w:t xml:space="preserve">Like all medicines, this medicine can cause side effects, although not everybody gets them. Most side effects are mild to moderate. However, some may be serious and require treatment. Side effects may occur at least up to 4 months after the last </w:t>
      </w:r>
      <w:r w:rsidRPr="001775D9">
        <w:rPr>
          <w:szCs w:val="22"/>
        </w:rPr>
        <w:t>AMGEVITA</w:t>
      </w:r>
      <w:r w:rsidRPr="001775D9">
        <w:t xml:space="preserve"> injection. </w:t>
      </w:r>
    </w:p>
    <w:p w14:paraId="2CBE46A5" w14:textId="77777777" w:rsidR="00524DB2" w:rsidRPr="00D55B59" w:rsidRDefault="00524DB2" w:rsidP="007B4B23">
      <w:pPr>
        <w:pStyle w:val="Default"/>
        <w:rPr>
          <w:sz w:val="22"/>
          <w:szCs w:val="22"/>
          <w:lang w:val="en-GB"/>
          <w:rPrChange w:id="3628" w:author="Author">
            <w:rPr>
              <w:sz w:val="22"/>
              <w:szCs w:val="22"/>
            </w:rPr>
          </w:rPrChange>
        </w:rPr>
      </w:pPr>
    </w:p>
    <w:p w14:paraId="1AA8F173" w14:textId="078B6789" w:rsidR="00524DB2" w:rsidRPr="00D55B59" w:rsidRDefault="00524DB2" w:rsidP="007B4B23">
      <w:pPr>
        <w:pStyle w:val="Default"/>
        <w:keepNext/>
        <w:rPr>
          <w:sz w:val="22"/>
          <w:szCs w:val="22"/>
          <w:lang w:val="en-GB"/>
          <w:rPrChange w:id="3629" w:author="Author">
            <w:rPr>
              <w:sz w:val="22"/>
              <w:szCs w:val="22"/>
            </w:rPr>
          </w:rPrChange>
        </w:rPr>
      </w:pPr>
      <w:r w:rsidRPr="00D55B59">
        <w:rPr>
          <w:sz w:val="22"/>
          <w:szCs w:val="22"/>
          <w:lang w:val="en-GB"/>
          <w:rPrChange w:id="3630" w:author="Author">
            <w:rPr>
              <w:sz w:val="22"/>
              <w:szCs w:val="22"/>
            </w:rPr>
          </w:rPrChange>
        </w:rPr>
        <w:t>Tell your doctor immediately if you notice any of the following</w:t>
      </w:r>
      <w:r w:rsidR="00623DC0" w:rsidRPr="00D55B59">
        <w:rPr>
          <w:sz w:val="22"/>
          <w:szCs w:val="22"/>
          <w:lang w:val="en-GB"/>
          <w:rPrChange w:id="3631" w:author="Author">
            <w:rPr>
              <w:sz w:val="22"/>
              <w:szCs w:val="22"/>
            </w:rPr>
          </w:rPrChange>
        </w:rPr>
        <w:t xml:space="preserve"> signs of allergic reaction or heart failure:</w:t>
      </w:r>
    </w:p>
    <w:p w14:paraId="5E438385" w14:textId="77777777" w:rsidR="00524DB2" w:rsidRPr="001775D9" w:rsidRDefault="00524DB2" w:rsidP="00B61D9D">
      <w:pPr>
        <w:keepNext/>
        <w:numPr>
          <w:ilvl w:val="0"/>
          <w:numId w:val="13"/>
        </w:numPr>
        <w:spacing w:line="240" w:lineRule="auto"/>
        <w:ind w:left="567" w:hanging="567"/>
      </w:pPr>
      <w:r w:rsidRPr="001775D9">
        <w:t xml:space="preserve">severe rash, hives or other signs of allergic reaction; </w:t>
      </w:r>
    </w:p>
    <w:p w14:paraId="5F196EBD" w14:textId="77777777" w:rsidR="00524DB2" w:rsidRPr="001775D9" w:rsidRDefault="00524DB2" w:rsidP="00B61D9D">
      <w:pPr>
        <w:keepNext/>
        <w:numPr>
          <w:ilvl w:val="0"/>
          <w:numId w:val="13"/>
        </w:numPr>
        <w:spacing w:line="240" w:lineRule="auto"/>
        <w:ind w:left="567" w:hanging="567"/>
      </w:pPr>
      <w:r w:rsidRPr="001775D9">
        <w:t xml:space="preserve">swollen face, hands, feet; </w:t>
      </w:r>
    </w:p>
    <w:p w14:paraId="6DBA384D" w14:textId="77777777" w:rsidR="00524DB2" w:rsidRPr="001775D9" w:rsidRDefault="00524DB2" w:rsidP="00B61D9D">
      <w:pPr>
        <w:numPr>
          <w:ilvl w:val="0"/>
          <w:numId w:val="13"/>
        </w:numPr>
        <w:spacing w:line="240" w:lineRule="auto"/>
        <w:ind w:left="567" w:hanging="567"/>
      </w:pPr>
      <w:r w:rsidRPr="001775D9">
        <w:t xml:space="preserve">trouble breathing, swallowing; </w:t>
      </w:r>
    </w:p>
    <w:p w14:paraId="1C0ED48A" w14:textId="77777777" w:rsidR="00524DB2" w:rsidRPr="001775D9" w:rsidRDefault="00524DB2" w:rsidP="00B61D9D">
      <w:pPr>
        <w:numPr>
          <w:ilvl w:val="0"/>
          <w:numId w:val="13"/>
        </w:numPr>
        <w:spacing w:line="240" w:lineRule="auto"/>
        <w:ind w:left="567" w:hanging="567"/>
      </w:pPr>
      <w:r w:rsidRPr="001775D9">
        <w:t>shortness of breath with exertion or upon lying down or swelling of the feet.</w:t>
      </w:r>
    </w:p>
    <w:p w14:paraId="7FFC81A1" w14:textId="77777777" w:rsidR="00524DB2" w:rsidRPr="00D55B59" w:rsidRDefault="00524DB2" w:rsidP="007B4B23">
      <w:pPr>
        <w:pStyle w:val="Default"/>
        <w:rPr>
          <w:sz w:val="22"/>
          <w:szCs w:val="22"/>
          <w:lang w:val="en-GB"/>
          <w:rPrChange w:id="3632" w:author="Author">
            <w:rPr>
              <w:sz w:val="22"/>
              <w:szCs w:val="22"/>
            </w:rPr>
          </w:rPrChange>
        </w:rPr>
      </w:pPr>
    </w:p>
    <w:p w14:paraId="1505F2FB" w14:textId="0A0FB622" w:rsidR="00524DB2" w:rsidRPr="00D55B59" w:rsidRDefault="00524DB2" w:rsidP="007B4B23">
      <w:pPr>
        <w:pStyle w:val="Default"/>
        <w:keepNext/>
        <w:rPr>
          <w:sz w:val="22"/>
          <w:szCs w:val="22"/>
          <w:lang w:val="en-GB"/>
          <w:rPrChange w:id="3633" w:author="Author">
            <w:rPr>
              <w:sz w:val="22"/>
              <w:szCs w:val="22"/>
            </w:rPr>
          </w:rPrChange>
        </w:rPr>
      </w:pPr>
      <w:r w:rsidRPr="00D55B59">
        <w:rPr>
          <w:sz w:val="22"/>
          <w:szCs w:val="22"/>
          <w:lang w:val="en-GB"/>
          <w:rPrChange w:id="3634" w:author="Author">
            <w:rPr>
              <w:sz w:val="22"/>
              <w:szCs w:val="22"/>
            </w:rPr>
          </w:rPrChange>
        </w:rPr>
        <w:t>Tell your doctor as soon as possible if you notice any of the following</w:t>
      </w:r>
      <w:r w:rsidR="00623DC0" w:rsidRPr="00D55B59">
        <w:rPr>
          <w:sz w:val="22"/>
          <w:szCs w:val="22"/>
          <w:lang w:val="en-GB"/>
          <w:rPrChange w:id="3635" w:author="Author">
            <w:rPr>
              <w:sz w:val="22"/>
              <w:szCs w:val="22"/>
            </w:rPr>
          </w:rPrChange>
        </w:rPr>
        <w:t>:</w:t>
      </w:r>
    </w:p>
    <w:p w14:paraId="20473378" w14:textId="77777777" w:rsidR="00524DB2" w:rsidRPr="001775D9" w:rsidRDefault="00524DB2" w:rsidP="00B61D9D">
      <w:pPr>
        <w:numPr>
          <w:ilvl w:val="0"/>
          <w:numId w:val="14"/>
        </w:numPr>
        <w:spacing w:line="240" w:lineRule="auto"/>
        <w:ind w:left="567" w:hanging="567"/>
      </w:pPr>
      <w:r w:rsidRPr="001775D9">
        <w:t xml:space="preserve">signs of infection such as fever, feeling sick, wounds, dental problems, burning on urination; </w:t>
      </w:r>
    </w:p>
    <w:p w14:paraId="668E437B" w14:textId="77777777" w:rsidR="00524DB2" w:rsidRPr="001775D9" w:rsidRDefault="00524DB2" w:rsidP="00B61D9D">
      <w:pPr>
        <w:numPr>
          <w:ilvl w:val="0"/>
          <w:numId w:val="14"/>
        </w:numPr>
        <w:spacing w:line="240" w:lineRule="auto"/>
        <w:ind w:left="567" w:hanging="567"/>
      </w:pPr>
      <w:r w:rsidRPr="001775D9">
        <w:t xml:space="preserve">feeling weak or tired; </w:t>
      </w:r>
    </w:p>
    <w:p w14:paraId="7ABFAB0F" w14:textId="77777777" w:rsidR="00524DB2" w:rsidRPr="001775D9" w:rsidRDefault="00524DB2" w:rsidP="00B61D9D">
      <w:pPr>
        <w:numPr>
          <w:ilvl w:val="0"/>
          <w:numId w:val="14"/>
        </w:numPr>
        <w:spacing w:line="240" w:lineRule="auto"/>
        <w:ind w:left="567" w:hanging="567"/>
      </w:pPr>
      <w:r w:rsidRPr="001775D9">
        <w:t xml:space="preserve">coughing; </w:t>
      </w:r>
    </w:p>
    <w:p w14:paraId="26125570" w14:textId="77777777" w:rsidR="00524DB2" w:rsidRPr="001775D9" w:rsidRDefault="00524DB2" w:rsidP="00B61D9D">
      <w:pPr>
        <w:numPr>
          <w:ilvl w:val="0"/>
          <w:numId w:val="14"/>
        </w:numPr>
        <w:spacing w:line="240" w:lineRule="auto"/>
        <w:ind w:left="567" w:hanging="567"/>
      </w:pPr>
      <w:r w:rsidRPr="001775D9">
        <w:t xml:space="preserve">tingling; </w:t>
      </w:r>
    </w:p>
    <w:p w14:paraId="28646E40" w14:textId="77777777" w:rsidR="00524DB2" w:rsidRPr="001775D9" w:rsidRDefault="00524DB2" w:rsidP="00B61D9D">
      <w:pPr>
        <w:numPr>
          <w:ilvl w:val="0"/>
          <w:numId w:val="14"/>
        </w:numPr>
        <w:spacing w:line="240" w:lineRule="auto"/>
        <w:ind w:left="567" w:hanging="567"/>
      </w:pPr>
      <w:r w:rsidRPr="001775D9">
        <w:t xml:space="preserve">numbness; </w:t>
      </w:r>
    </w:p>
    <w:p w14:paraId="2FE64872" w14:textId="77777777" w:rsidR="00524DB2" w:rsidRPr="001775D9" w:rsidRDefault="00524DB2" w:rsidP="00B61D9D">
      <w:pPr>
        <w:numPr>
          <w:ilvl w:val="0"/>
          <w:numId w:val="14"/>
        </w:numPr>
        <w:spacing w:line="240" w:lineRule="auto"/>
        <w:ind w:left="567" w:hanging="567"/>
      </w:pPr>
      <w:r w:rsidRPr="001775D9">
        <w:t xml:space="preserve">double vision; </w:t>
      </w:r>
    </w:p>
    <w:p w14:paraId="307603EC" w14:textId="77777777" w:rsidR="00524DB2" w:rsidRPr="001775D9" w:rsidRDefault="00524DB2" w:rsidP="00B61D9D">
      <w:pPr>
        <w:numPr>
          <w:ilvl w:val="0"/>
          <w:numId w:val="14"/>
        </w:numPr>
        <w:spacing w:line="240" w:lineRule="auto"/>
        <w:ind w:left="567" w:hanging="567"/>
      </w:pPr>
      <w:r w:rsidRPr="001775D9">
        <w:t xml:space="preserve">arm or leg weakness; </w:t>
      </w:r>
    </w:p>
    <w:p w14:paraId="3A814BA7" w14:textId="6E112030" w:rsidR="00524DB2" w:rsidRPr="001775D9" w:rsidRDefault="00623DC0" w:rsidP="00B61D9D">
      <w:pPr>
        <w:numPr>
          <w:ilvl w:val="0"/>
          <w:numId w:val="14"/>
        </w:numPr>
        <w:spacing w:line="240" w:lineRule="auto"/>
        <w:ind w:left="567" w:hanging="567"/>
      </w:pPr>
      <w:r w:rsidRPr="001775D9">
        <w:t xml:space="preserve">signs of skin cancer such as </w:t>
      </w:r>
      <w:r w:rsidR="00524DB2" w:rsidRPr="001775D9">
        <w:t>a bump or open sore that doesn't heal;</w:t>
      </w:r>
    </w:p>
    <w:p w14:paraId="0D40141F" w14:textId="77777777" w:rsidR="00524DB2" w:rsidRPr="001775D9" w:rsidRDefault="00524DB2" w:rsidP="00B61D9D">
      <w:pPr>
        <w:numPr>
          <w:ilvl w:val="0"/>
          <w:numId w:val="14"/>
        </w:numPr>
        <w:spacing w:line="240" w:lineRule="auto"/>
        <w:ind w:left="567" w:hanging="567"/>
      </w:pPr>
      <w:r w:rsidRPr="001775D9">
        <w:t>signs and symptoms suggestive of blood disorders such as persistent fever, bruising, bleeding, paleness.</w:t>
      </w:r>
    </w:p>
    <w:p w14:paraId="6E50A38E" w14:textId="77777777" w:rsidR="00524DB2" w:rsidRPr="001775D9" w:rsidRDefault="00524DB2" w:rsidP="007B4B23">
      <w:pPr>
        <w:numPr>
          <w:ilvl w:val="12"/>
          <w:numId w:val="0"/>
        </w:numPr>
        <w:tabs>
          <w:tab w:val="clear" w:pos="567"/>
        </w:tabs>
        <w:spacing w:line="240" w:lineRule="auto"/>
        <w:ind w:right="-29"/>
        <w:rPr>
          <w:szCs w:val="22"/>
        </w:rPr>
      </w:pPr>
    </w:p>
    <w:p w14:paraId="269F6491" w14:textId="77777777" w:rsidR="00524DB2" w:rsidRPr="00D55B59" w:rsidRDefault="00524DB2" w:rsidP="007B4B23">
      <w:pPr>
        <w:pStyle w:val="Default"/>
        <w:keepNext/>
        <w:rPr>
          <w:sz w:val="22"/>
          <w:szCs w:val="22"/>
          <w:lang w:val="en-GB"/>
          <w:rPrChange w:id="3636" w:author="Author">
            <w:rPr>
              <w:sz w:val="22"/>
              <w:szCs w:val="22"/>
            </w:rPr>
          </w:rPrChange>
        </w:rPr>
      </w:pPr>
      <w:r w:rsidRPr="00D55B59">
        <w:rPr>
          <w:sz w:val="22"/>
          <w:szCs w:val="22"/>
          <w:lang w:val="en-GB"/>
          <w:rPrChange w:id="3637" w:author="Author">
            <w:rPr>
              <w:sz w:val="22"/>
              <w:szCs w:val="22"/>
            </w:rPr>
          </w:rPrChange>
        </w:rPr>
        <w:t>The symptoms described above can be signs of the below listed side effects, which have been observed with adalimumab</w:t>
      </w:r>
      <w:r w:rsidR="006D2088" w:rsidRPr="00D55B59">
        <w:rPr>
          <w:sz w:val="22"/>
          <w:szCs w:val="22"/>
          <w:lang w:val="en-GB"/>
          <w:rPrChange w:id="3638" w:author="Author">
            <w:rPr>
              <w:sz w:val="22"/>
              <w:szCs w:val="22"/>
            </w:rPr>
          </w:rPrChange>
        </w:rPr>
        <w:t>.</w:t>
      </w:r>
    </w:p>
    <w:p w14:paraId="4BE1CA65" w14:textId="77777777" w:rsidR="00524DB2" w:rsidRPr="00D55B59" w:rsidRDefault="00524DB2" w:rsidP="007B4B23">
      <w:pPr>
        <w:pStyle w:val="Default"/>
        <w:keepNext/>
        <w:rPr>
          <w:sz w:val="22"/>
          <w:szCs w:val="22"/>
          <w:lang w:val="en-GB"/>
          <w:rPrChange w:id="3639" w:author="Author">
            <w:rPr>
              <w:sz w:val="22"/>
              <w:szCs w:val="22"/>
            </w:rPr>
          </w:rPrChange>
        </w:rPr>
      </w:pPr>
    </w:p>
    <w:p w14:paraId="301E559E" w14:textId="77777777" w:rsidR="00524DB2" w:rsidRPr="00D55B59" w:rsidRDefault="00524DB2" w:rsidP="007B4B23">
      <w:pPr>
        <w:pStyle w:val="Default"/>
        <w:keepNext/>
        <w:rPr>
          <w:sz w:val="22"/>
          <w:szCs w:val="22"/>
          <w:lang w:val="en-GB"/>
          <w:rPrChange w:id="3640" w:author="Author">
            <w:rPr>
              <w:sz w:val="22"/>
              <w:szCs w:val="22"/>
            </w:rPr>
          </w:rPrChange>
        </w:rPr>
      </w:pPr>
      <w:r w:rsidRPr="00D55B59">
        <w:rPr>
          <w:sz w:val="22"/>
          <w:szCs w:val="22"/>
          <w:lang w:val="en-GB"/>
          <w:rPrChange w:id="3641" w:author="Author">
            <w:rPr>
              <w:sz w:val="22"/>
              <w:szCs w:val="22"/>
            </w:rPr>
          </w:rPrChange>
        </w:rPr>
        <w:t>Very common (may affect more than 1 in 10 people)</w:t>
      </w:r>
    </w:p>
    <w:p w14:paraId="16C74879" w14:textId="77777777" w:rsidR="00524DB2" w:rsidRPr="001775D9" w:rsidRDefault="00524DB2" w:rsidP="00B61D9D">
      <w:pPr>
        <w:keepNext/>
        <w:numPr>
          <w:ilvl w:val="0"/>
          <w:numId w:val="15"/>
        </w:numPr>
        <w:spacing w:line="240" w:lineRule="auto"/>
        <w:ind w:left="567" w:hanging="567"/>
      </w:pPr>
      <w:r w:rsidRPr="001775D9">
        <w:t xml:space="preserve">injection site reactions (including pain, swelling, redness or itching); </w:t>
      </w:r>
    </w:p>
    <w:p w14:paraId="7633F4AA" w14:textId="77777777" w:rsidR="00524DB2" w:rsidRPr="001775D9" w:rsidRDefault="00524DB2" w:rsidP="00B61D9D">
      <w:pPr>
        <w:keepNext/>
        <w:numPr>
          <w:ilvl w:val="0"/>
          <w:numId w:val="15"/>
        </w:numPr>
        <w:spacing w:line="240" w:lineRule="auto"/>
        <w:ind w:left="567" w:hanging="567"/>
      </w:pPr>
      <w:r w:rsidRPr="001775D9">
        <w:t xml:space="preserve">respiratory tract infections (including cold, runny nose, sinus infection, pneumonia); </w:t>
      </w:r>
    </w:p>
    <w:p w14:paraId="423E0C21" w14:textId="77777777" w:rsidR="00524DB2" w:rsidRPr="001775D9" w:rsidRDefault="00524DB2" w:rsidP="00B61D9D">
      <w:pPr>
        <w:keepNext/>
        <w:numPr>
          <w:ilvl w:val="0"/>
          <w:numId w:val="15"/>
        </w:numPr>
        <w:spacing w:line="240" w:lineRule="auto"/>
        <w:ind w:left="567" w:hanging="567"/>
      </w:pPr>
      <w:r w:rsidRPr="001775D9">
        <w:t xml:space="preserve">headache; </w:t>
      </w:r>
    </w:p>
    <w:p w14:paraId="616416E4" w14:textId="77777777" w:rsidR="00524DB2" w:rsidRPr="001775D9" w:rsidRDefault="00524DB2" w:rsidP="00B61D9D">
      <w:pPr>
        <w:numPr>
          <w:ilvl w:val="0"/>
          <w:numId w:val="15"/>
        </w:numPr>
        <w:spacing w:line="240" w:lineRule="auto"/>
        <w:ind w:left="567" w:hanging="567"/>
      </w:pPr>
      <w:r w:rsidRPr="001775D9">
        <w:t xml:space="preserve">abdominal pain; </w:t>
      </w:r>
    </w:p>
    <w:p w14:paraId="57CF1EEA" w14:textId="77777777" w:rsidR="00524DB2" w:rsidRPr="001775D9" w:rsidRDefault="00524DB2" w:rsidP="00B61D9D">
      <w:pPr>
        <w:numPr>
          <w:ilvl w:val="0"/>
          <w:numId w:val="15"/>
        </w:numPr>
        <w:spacing w:line="240" w:lineRule="auto"/>
        <w:ind w:left="567" w:hanging="567"/>
      </w:pPr>
      <w:r w:rsidRPr="001775D9">
        <w:t>nausea and vomiting;</w:t>
      </w:r>
    </w:p>
    <w:p w14:paraId="3FE1DB0A" w14:textId="77777777" w:rsidR="00524DB2" w:rsidRPr="001775D9" w:rsidRDefault="00524DB2" w:rsidP="00A0447F">
      <w:pPr>
        <w:numPr>
          <w:ilvl w:val="0"/>
          <w:numId w:val="15"/>
        </w:numPr>
        <w:spacing w:line="240" w:lineRule="auto"/>
        <w:ind w:left="567" w:hanging="567"/>
        <w:rPr>
          <w:szCs w:val="22"/>
        </w:rPr>
      </w:pPr>
      <w:r w:rsidRPr="001775D9">
        <w:rPr>
          <w:szCs w:val="22"/>
        </w:rPr>
        <w:t xml:space="preserve">rash; </w:t>
      </w:r>
    </w:p>
    <w:p w14:paraId="569CD4EA" w14:textId="77777777" w:rsidR="00524DB2" w:rsidRPr="001775D9" w:rsidRDefault="00524DB2" w:rsidP="00A0447F">
      <w:pPr>
        <w:numPr>
          <w:ilvl w:val="0"/>
          <w:numId w:val="15"/>
        </w:numPr>
        <w:spacing w:line="240" w:lineRule="auto"/>
        <w:ind w:left="567" w:hanging="567"/>
        <w:rPr>
          <w:szCs w:val="22"/>
        </w:rPr>
      </w:pPr>
      <w:r w:rsidRPr="001775D9">
        <w:rPr>
          <w:szCs w:val="22"/>
        </w:rPr>
        <w:t xml:space="preserve">musculoskeletal pain. </w:t>
      </w:r>
    </w:p>
    <w:p w14:paraId="59A0FD62" w14:textId="77777777" w:rsidR="00524DB2" w:rsidRPr="001775D9" w:rsidRDefault="00524DB2" w:rsidP="007B4B23">
      <w:pPr>
        <w:numPr>
          <w:ilvl w:val="12"/>
          <w:numId w:val="0"/>
        </w:numPr>
        <w:tabs>
          <w:tab w:val="clear" w:pos="567"/>
        </w:tabs>
        <w:spacing w:line="240" w:lineRule="auto"/>
        <w:outlineLvl w:val="0"/>
        <w:rPr>
          <w:szCs w:val="22"/>
        </w:rPr>
      </w:pPr>
    </w:p>
    <w:p w14:paraId="1025736B" w14:textId="77777777" w:rsidR="00524DB2" w:rsidRPr="00D55B59" w:rsidRDefault="00524DB2" w:rsidP="007B4B23">
      <w:pPr>
        <w:pStyle w:val="Default"/>
        <w:rPr>
          <w:sz w:val="22"/>
          <w:szCs w:val="22"/>
          <w:lang w:val="en-GB"/>
          <w:rPrChange w:id="3642" w:author="Author">
            <w:rPr>
              <w:sz w:val="22"/>
              <w:szCs w:val="22"/>
            </w:rPr>
          </w:rPrChange>
        </w:rPr>
      </w:pPr>
      <w:r w:rsidRPr="00D55B59">
        <w:rPr>
          <w:sz w:val="22"/>
          <w:szCs w:val="22"/>
          <w:lang w:val="en-GB"/>
          <w:rPrChange w:id="3643" w:author="Author">
            <w:rPr>
              <w:sz w:val="22"/>
              <w:szCs w:val="22"/>
            </w:rPr>
          </w:rPrChange>
        </w:rPr>
        <w:t>Common (may affect up to 1 in 10 people)</w:t>
      </w:r>
    </w:p>
    <w:p w14:paraId="07C9890C" w14:textId="77777777" w:rsidR="00524DB2" w:rsidRPr="001775D9" w:rsidRDefault="00FB3128" w:rsidP="00B61D9D">
      <w:pPr>
        <w:numPr>
          <w:ilvl w:val="0"/>
          <w:numId w:val="16"/>
        </w:numPr>
        <w:spacing w:line="240" w:lineRule="auto"/>
        <w:ind w:left="567" w:hanging="567"/>
      </w:pPr>
      <w:r w:rsidRPr="001775D9">
        <w:t xml:space="preserve">serious </w:t>
      </w:r>
      <w:r w:rsidR="00524DB2" w:rsidRPr="001775D9">
        <w:t xml:space="preserve">infections (including blood poisoning and influenza); </w:t>
      </w:r>
    </w:p>
    <w:p w14:paraId="599B352D" w14:textId="77777777" w:rsidR="000B49DA" w:rsidRPr="001775D9" w:rsidRDefault="000B49DA" w:rsidP="00163370">
      <w:pPr>
        <w:numPr>
          <w:ilvl w:val="0"/>
          <w:numId w:val="16"/>
        </w:numPr>
        <w:suppressAutoHyphens/>
        <w:spacing w:line="240" w:lineRule="auto"/>
        <w:ind w:left="567" w:hanging="567"/>
      </w:pPr>
      <w:bookmarkStart w:id="3644" w:name="_Hlk517258468"/>
      <w:r w:rsidRPr="001775D9">
        <w:t>intestinal infections (including gastroenteritis);</w:t>
      </w:r>
    </w:p>
    <w:bookmarkEnd w:id="3644"/>
    <w:p w14:paraId="3253D272" w14:textId="77777777" w:rsidR="00524DB2" w:rsidRPr="001775D9" w:rsidRDefault="00524DB2" w:rsidP="00B61D9D">
      <w:pPr>
        <w:numPr>
          <w:ilvl w:val="0"/>
          <w:numId w:val="16"/>
        </w:numPr>
        <w:spacing w:line="240" w:lineRule="auto"/>
        <w:ind w:left="567" w:hanging="567"/>
      </w:pPr>
      <w:r w:rsidRPr="001775D9">
        <w:t xml:space="preserve">skin infections (including cellulitis and shingles); </w:t>
      </w:r>
    </w:p>
    <w:p w14:paraId="54BD23BF" w14:textId="77777777" w:rsidR="00524DB2" w:rsidRPr="001775D9" w:rsidRDefault="00524DB2" w:rsidP="00B61D9D">
      <w:pPr>
        <w:numPr>
          <w:ilvl w:val="0"/>
          <w:numId w:val="16"/>
        </w:numPr>
        <w:spacing w:line="240" w:lineRule="auto"/>
        <w:ind w:left="567" w:hanging="567"/>
      </w:pPr>
      <w:r w:rsidRPr="001775D9">
        <w:t xml:space="preserve">ear infections; </w:t>
      </w:r>
    </w:p>
    <w:p w14:paraId="77114966" w14:textId="77777777" w:rsidR="00524DB2" w:rsidRPr="001775D9" w:rsidRDefault="00524DB2" w:rsidP="00B61D9D">
      <w:pPr>
        <w:numPr>
          <w:ilvl w:val="0"/>
          <w:numId w:val="16"/>
        </w:numPr>
        <w:spacing w:line="240" w:lineRule="auto"/>
        <w:ind w:left="567" w:hanging="567"/>
      </w:pPr>
      <w:r w:rsidRPr="001775D9">
        <w:t xml:space="preserve">oral infections (including tooth infections and cold sores); </w:t>
      </w:r>
    </w:p>
    <w:p w14:paraId="6D39C749" w14:textId="77777777" w:rsidR="00524DB2" w:rsidRPr="001775D9" w:rsidRDefault="00524DB2" w:rsidP="00B61D9D">
      <w:pPr>
        <w:numPr>
          <w:ilvl w:val="0"/>
          <w:numId w:val="16"/>
        </w:numPr>
        <w:spacing w:line="240" w:lineRule="auto"/>
        <w:ind w:left="567" w:hanging="567"/>
      </w:pPr>
      <w:r w:rsidRPr="001775D9">
        <w:t xml:space="preserve">reproductive tract infections; </w:t>
      </w:r>
    </w:p>
    <w:p w14:paraId="5C9F37D3" w14:textId="77777777" w:rsidR="00524DB2" w:rsidRPr="001775D9" w:rsidRDefault="00524DB2" w:rsidP="00B61D9D">
      <w:pPr>
        <w:numPr>
          <w:ilvl w:val="0"/>
          <w:numId w:val="16"/>
        </w:numPr>
        <w:spacing w:line="240" w:lineRule="auto"/>
        <w:ind w:left="567" w:hanging="567"/>
      </w:pPr>
      <w:r w:rsidRPr="001775D9">
        <w:t xml:space="preserve">urinary tract infection; </w:t>
      </w:r>
    </w:p>
    <w:p w14:paraId="632D80AD" w14:textId="77777777" w:rsidR="00524DB2" w:rsidRPr="001775D9" w:rsidRDefault="00524DB2" w:rsidP="00B61D9D">
      <w:pPr>
        <w:numPr>
          <w:ilvl w:val="0"/>
          <w:numId w:val="16"/>
        </w:numPr>
        <w:spacing w:line="240" w:lineRule="auto"/>
        <w:ind w:left="567" w:hanging="567"/>
      </w:pPr>
      <w:r w:rsidRPr="001775D9">
        <w:t xml:space="preserve">fungal infections; </w:t>
      </w:r>
    </w:p>
    <w:p w14:paraId="63AE63AF" w14:textId="77777777" w:rsidR="00524DB2" w:rsidRPr="001775D9" w:rsidRDefault="00524DB2" w:rsidP="00B61D9D">
      <w:pPr>
        <w:numPr>
          <w:ilvl w:val="0"/>
          <w:numId w:val="16"/>
        </w:numPr>
        <w:spacing w:line="240" w:lineRule="auto"/>
        <w:ind w:left="567" w:hanging="567"/>
      </w:pPr>
      <w:r w:rsidRPr="001775D9">
        <w:t xml:space="preserve">joint infections; </w:t>
      </w:r>
    </w:p>
    <w:p w14:paraId="34330D90" w14:textId="77777777" w:rsidR="00524DB2" w:rsidRPr="001775D9" w:rsidRDefault="00524DB2" w:rsidP="00B61D9D">
      <w:pPr>
        <w:numPr>
          <w:ilvl w:val="0"/>
          <w:numId w:val="16"/>
        </w:numPr>
        <w:spacing w:line="240" w:lineRule="auto"/>
        <w:ind w:left="567" w:hanging="567"/>
      </w:pPr>
      <w:r w:rsidRPr="001775D9">
        <w:t xml:space="preserve">benign tumours; </w:t>
      </w:r>
    </w:p>
    <w:p w14:paraId="259C10C0" w14:textId="77777777" w:rsidR="00524DB2" w:rsidRPr="001775D9" w:rsidRDefault="00524DB2" w:rsidP="00B61D9D">
      <w:pPr>
        <w:numPr>
          <w:ilvl w:val="0"/>
          <w:numId w:val="16"/>
        </w:numPr>
        <w:spacing w:line="240" w:lineRule="auto"/>
        <w:ind w:left="567" w:hanging="567"/>
      </w:pPr>
      <w:r w:rsidRPr="001775D9">
        <w:t xml:space="preserve">skin cancer; </w:t>
      </w:r>
    </w:p>
    <w:p w14:paraId="6F3B5B81" w14:textId="77777777" w:rsidR="00524DB2" w:rsidRPr="001775D9" w:rsidRDefault="00524DB2" w:rsidP="00B61D9D">
      <w:pPr>
        <w:numPr>
          <w:ilvl w:val="0"/>
          <w:numId w:val="16"/>
        </w:numPr>
        <w:spacing w:line="240" w:lineRule="auto"/>
        <w:ind w:left="567" w:hanging="567"/>
      </w:pPr>
      <w:r w:rsidRPr="001775D9">
        <w:t xml:space="preserve">allergic reactions (including seasonal allergy); </w:t>
      </w:r>
    </w:p>
    <w:p w14:paraId="53326830" w14:textId="77777777" w:rsidR="00524DB2" w:rsidRPr="001775D9" w:rsidRDefault="00524DB2" w:rsidP="00B61D9D">
      <w:pPr>
        <w:numPr>
          <w:ilvl w:val="0"/>
          <w:numId w:val="16"/>
        </w:numPr>
        <w:spacing w:line="240" w:lineRule="auto"/>
        <w:ind w:left="567" w:hanging="567"/>
      </w:pPr>
      <w:r w:rsidRPr="001775D9">
        <w:t xml:space="preserve">dehydration; </w:t>
      </w:r>
    </w:p>
    <w:p w14:paraId="4FD3CAE2" w14:textId="77777777" w:rsidR="00524DB2" w:rsidRPr="001775D9" w:rsidRDefault="00524DB2" w:rsidP="00B61D9D">
      <w:pPr>
        <w:numPr>
          <w:ilvl w:val="0"/>
          <w:numId w:val="16"/>
        </w:numPr>
        <w:spacing w:line="240" w:lineRule="auto"/>
        <w:ind w:left="567" w:hanging="567"/>
      </w:pPr>
      <w:r w:rsidRPr="001775D9">
        <w:t xml:space="preserve">mood swings (including depression); </w:t>
      </w:r>
    </w:p>
    <w:p w14:paraId="0B1B2AF4" w14:textId="77777777" w:rsidR="00524DB2" w:rsidRPr="001775D9" w:rsidRDefault="00524DB2" w:rsidP="00B61D9D">
      <w:pPr>
        <w:numPr>
          <w:ilvl w:val="0"/>
          <w:numId w:val="16"/>
        </w:numPr>
        <w:spacing w:line="240" w:lineRule="auto"/>
        <w:ind w:left="567" w:hanging="567"/>
      </w:pPr>
      <w:r w:rsidRPr="001775D9">
        <w:t xml:space="preserve">anxiety; </w:t>
      </w:r>
    </w:p>
    <w:p w14:paraId="2C4B86DE" w14:textId="77777777" w:rsidR="00524DB2" w:rsidRPr="001775D9" w:rsidRDefault="00524DB2" w:rsidP="00B61D9D">
      <w:pPr>
        <w:numPr>
          <w:ilvl w:val="0"/>
          <w:numId w:val="16"/>
        </w:numPr>
        <w:spacing w:line="240" w:lineRule="auto"/>
        <w:ind w:left="567" w:hanging="567"/>
      </w:pPr>
      <w:r w:rsidRPr="001775D9">
        <w:t xml:space="preserve">difficulty sleeping; </w:t>
      </w:r>
    </w:p>
    <w:p w14:paraId="6881BD46" w14:textId="77777777" w:rsidR="00524DB2" w:rsidRPr="001775D9" w:rsidRDefault="00524DB2" w:rsidP="00B61D9D">
      <w:pPr>
        <w:numPr>
          <w:ilvl w:val="0"/>
          <w:numId w:val="16"/>
        </w:numPr>
        <w:spacing w:line="240" w:lineRule="auto"/>
        <w:ind w:left="567" w:hanging="567"/>
      </w:pPr>
      <w:r w:rsidRPr="001775D9">
        <w:t xml:space="preserve">sensation disorders such as tingling, prickling or numbness; </w:t>
      </w:r>
    </w:p>
    <w:p w14:paraId="54472356" w14:textId="77777777" w:rsidR="00524DB2" w:rsidRPr="001775D9" w:rsidRDefault="00524DB2" w:rsidP="00B61D9D">
      <w:pPr>
        <w:numPr>
          <w:ilvl w:val="0"/>
          <w:numId w:val="16"/>
        </w:numPr>
        <w:spacing w:line="240" w:lineRule="auto"/>
        <w:ind w:left="567" w:hanging="567"/>
      </w:pPr>
      <w:r w:rsidRPr="001775D9">
        <w:t xml:space="preserve">migraine; </w:t>
      </w:r>
    </w:p>
    <w:p w14:paraId="48236C37" w14:textId="77777777" w:rsidR="00524DB2" w:rsidRPr="001775D9" w:rsidRDefault="00524DB2" w:rsidP="00B61D9D">
      <w:pPr>
        <w:numPr>
          <w:ilvl w:val="0"/>
          <w:numId w:val="16"/>
        </w:numPr>
        <w:spacing w:line="240" w:lineRule="auto"/>
        <w:ind w:left="567" w:hanging="567"/>
      </w:pPr>
      <w:r w:rsidRPr="001775D9">
        <w:t xml:space="preserve">nerve root compression (including low back pain and leg pain); </w:t>
      </w:r>
    </w:p>
    <w:p w14:paraId="11FB48E2" w14:textId="77777777" w:rsidR="00524DB2" w:rsidRPr="001775D9" w:rsidRDefault="00524DB2" w:rsidP="00B61D9D">
      <w:pPr>
        <w:numPr>
          <w:ilvl w:val="0"/>
          <w:numId w:val="16"/>
        </w:numPr>
        <w:spacing w:line="240" w:lineRule="auto"/>
        <w:ind w:left="567" w:hanging="567"/>
      </w:pPr>
      <w:r w:rsidRPr="001775D9">
        <w:t xml:space="preserve">vision disturbances; </w:t>
      </w:r>
    </w:p>
    <w:p w14:paraId="7027C3D7" w14:textId="77777777" w:rsidR="00524DB2" w:rsidRPr="001775D9" w:rsidRDefault="00524DB2" w:rsidP="00B61D9D">
      <w:pPr>
        <w:numPr>
          <w:ilvl w:val="0"/>
          <w:numId w:val="16"/>
        </w:numPr>
        <w:spacing w:line="240" w:lineRule="auto"/>
        <w:ind w:left="567" w:hanging="567"/>
      </w:pPr>
      <w:r w:rsidRPr="001775D9">
        <w:t xml:space="preserve">eye inflammation; </w:t>
      </w:r>
    </w:p>
    <w:p w14:paraId="409102B8" w14:textId="77777777" w:rsidR="00524DB2" w:rsidRPr="001775D9" w:rsidRDefault="00524DB2" w:rsidP="00B61D9D">
      <w:pPr>
        <w:numPr>
          <w:ilvl w:val="0"/>
          <w:numId w:val="16"/>
        </w:numPr>
        <w:spacing w:line="240" w:lineRule="auto"/>
        <w:ind w:left="567" w:hanging="567"/>
      </w:pPr>
      <w:r w:rsidRPr="001775D9">
        <w:t xml:space="preserve">inflammation of the eye lid and eye swelling; </w:t>
      </w:r>
    </w:p>
    <w:p w14:paraId="1622312D" w14:textId="7CFD3B08" w:rsidR="00524DB2" w:rsidRPr="001775D9" w:rsidRDefault="00524DB2" w:rsidP="00B61D9D">
      <w:pPr>
        <w:numPr>
          <w:ilvl w:val="0"/>
          <w:numId w:val="16"/>
        </w:numPr>
        <w:spacing w:line="240" w:lineRule="auto"/>
        <w:ind w:left="567" w:hanging="567"/>
      </w:pPr>
      <w:r w:rsidRPr="001775D9">
        <w:t>vertigo</w:t>
      </w:r>
      <w:r w:rsidR="00623DC0" w:rsidRPr="001775D9">
        <w:t xml:space="preserve"> (feeling of dizziness or spinning)</w:t>
      </w:r>
      <w:r w:rsidRPr="001775D9">
        <w:t xml:space="preserve">; </w:t>
      </w:r>
    </w:p>
    <w:p w14:paraId="38C54724" w14:textId="77777777" w:rsidR="00524DB2" w:rsidRPr="001775D9" w:rsidRDefault="00524DB2" w:rsidP="00B61D9D">
      <w:pPr>
        <w:numPr>
          <w:ilvl w:val="0"/>
          <w:numId w:val="16"/>
        </w:numPr>
        <w:spacing w:line="240" w:lineRule="auto"/>
        <w:ind w:left="567" w:hanging="567"/>
      </w:pPr>
      <w:r w:rsidRPr="001775D9">
        <w:t xml:space="preserve">sensation of heart beating rapidly; </w:t>
      </w:r>
    </w:p>
    <w:p w14:paraId="034707F9" w14:textId="77777777" w:rsidR="00524DB2" w:rsidRPr="001775D9" w:rsidRDefault="00524DB2" w:rsidP="00B61D9D">
      <w:pPr>
        <w:numPr>
          <w:ilvl w:val="0"/>
          <w:numId w:val="16"/>
        </w:numPr>
        <w:spacing w:line="240" w:lineRule="auto"/>
        <w:ind w:left="567" w:hanging="567"/>
      </w:pPr>
      <w:r w:rsidRPr="001775D9">
        <w:t xml:space="preserve">high blood pressure; </w:t>
      </w:r>
    </w:p>
    <w:p w14:paraId="57099168" w14:textId="77777777" w:rsidR="00524DB2" w:rsidRPr="001775D9" w:rsidRDefault="00524DB2" w:rsidP="00B61D9D">
      <w:pPr>
        <w:numPr>
          <w:ilvl w:val="0"/>
          <w:numId w:val="16"/>
        </w:numPr>
        <w:spacing w:line="240" w:lineRule="auto"/>
        <w:ind w:left="567" w:hanging="567"/>
      </w:pPr>
      <w:r w:rsidRPr="001775D9">
        <w:t xml:space="preserve">flushing; </w:t>
      </w:r>
    </w:p>
    <w:p w14:paraId="251C143C" w14:textId="77777777" w:rsidR="00524DB2" w:rsidRPr="001775D9" w:rsidRDefault="00524DB2" w:rsidP="00B61D9D">
      <w:pPr>
        <w:numPr>
          <w:ilvl w:val="0"/>
          <w:numId w:val="16"/>
        </w:numPr>
        <w:spacing w:line="240" w:lineRule="auto"/>
        <w:ind w:left="567" w:hanging="567"/>
      </w:pPr>
      <w:r w:rsidRPr="001775D9">
        <w:t xml:space="preserve">haematoma; </w:t>
      </w:r>
    </w:p>
    <w:p w14:paraId="4140F6EC" w14:textId="77777777" w:rsidR="00524DB2" w:rsidRPr="001775D9" w:rsidRDefault="00524DB2" w:rsidP="00B61D9D">
      <w:pPr>
        <w:numPr>
          <w:ilvl w:val="0"/>
          <w:numId w:val="16"/>
        </w:numPr>
        <w:spacing w:line="240" w:lineRule="auto"/>
        <w:ind w:left="567" w:hanging="567"/>
      </w:pPr>
      <w:r w:rsidRPr="001775D9">
        <w:t xml:space="preserve">cough; </w:t>
      </w:r>
    </w:p>
    <w:p w14:paraId="744D8D41" w14:textId="77777777" w:rsidR="00524DB2" w:rsidRPr="001775D9" w:rsidRDefault="00524DB2" w:rsidP="00B61D9D">
      <w:pPr>
        <w:numPr>
          <w:ilvl w:val="0"/>
          <w:numId w:val="16"/>
        </w:numPr>
        <w:spacing w:line="240" w:lineRule="auto"/>
        <w:ind w:left="567" w:hanging="567"/>
      </w:pPr>
      <w:r w:rsidRPr="001775D9">
        <w:t xml:space="preserve">asthma; </w:t>
      </w:r>
    </w:p>
    <w:p w14:paraId="5E30E86E" w14:textId="77777777" w:rsidR="00524DB2" w:rsidRPr="001775D9" w:rsidRDefault="00524DB2" w:rsidP="00B61D9D">
      <w:pPr>
        <w:numPr>
          <w:ilvl w:val="0"/>
          <w:numId w:val="16"/>
        </w:numPr>
        <w:spacing w:line="240" w:lineRule="auto"/>
        <w:ind w:left="567" w:hanging="567"/>
      </w:pPr>
      <w:r w:rsidRPr="001775D9">
        <w:t xml:space="preserve">shortness of breath; </w:t>
      </w:r>
    </w:p>
    <w:p w14:paraId="15519A82" w14:textId="77777777" w:rsidR="00524DB2" w:rsidRPr="001775D9" w:rsidRDefault="00524DB2" w:rsidP="00B61D9D">
      <w:pPr>
        <w:numPr>
          <w:ilvl w:val="0"/>
          <w:numId w:val="16"/>
        </w:numPr>
        <w:spacing w:line="240" w:lineRule="auto"/>
        <w:ind w:left="567" w:hanging="567"/>
      </w:pPr>
      <w:r w:rsidRPr="001775D9">
        <w:t xml:space="preserve">gastrointestinal bleeding; </w:t>
      </w:r>
    </w:p>
    <w:p w14:paraId="76A118D5" w14:textId="77777777" w:rsidR="00524DB2" w:rsidRPr="001775D9" w:rsidRDefault="00524DB2" w:rsidP="00B61D9D">
      <w:pPr>
        <w:numPr>
          <w:ilvl w:val="0"/>
          <w:numId w:val="16"/>
        </w:numPr>
        <w:spacing w:line="240" w:lineRule="auto"/>
        <w:ind w:left="567" w:hanging="567"/>
      </w:pPr>
      <w:r w:rsidRPr="001775D9">
        <w:t xml:space="preserve">dyspepsia (indigestion, bloating, heart burn); </w:t>
      </w:r>
    </w:p>
    <w:p w14:paraId="1D4298A5" w14:textId="77777777" w:rsidR="00524DB2" w:rsidRPr="001775D9" w:rsidRDefault="00524DB2" w:rsidP="00B61D9D">
      <w:pPr>
        <w:numPr>
          <w:ilvl w:val="0"/>
          <w:numId w:val="16"/>
        </w:numPr>
        <w:spacing w:line="240" w:lineRule="auto"/>
        <w:ind w:left="567" w:hanging="567"/>
      </w:pPr>
      <w:r w:rsidRPr="001775D9">
        <w:t xml:space="preserve">acid reflux disease; </w:t>
      </w:r>
    </w:p>
    <w:p w14:paraId="1EE6AFC2" w14:textId="77777777" w:rsidR="00524DB2" w:rsidRPr="001775D9" w:rsidRDefault="00524DB2" w:rsidP="00B61D9D">
      <w:pPr>
        <w:numPr>
          <w:ilvl w:val="0"/>
          <w:numId w:val="16"/>
        </w:numPr>
        <w:spacing w:line="240" w:lineRule="auto"/>
        <w:ind w:left="567" w:hanging="567"/>
      </w:pPr>
      <w:r w:rsidRPr="001775D9">
        <w:t xml:space="preserve">sicca syndrome (including dry eyes and dry mouth); </w:t>
      </w:r>
    </w:p>
    <w:p w14:paraId="12F179B3" w14:textId="77777777" w:rsidR="00524DB2" w:rsidRPr="001775D9" w:rsidRDefault="00524DB2" w:rsidP="00B61D9D">
      <w:pPr>
        <w:numPr>
          <w:ilvl w:val="0"/>
          <w:numId w:val="16"/>
        </w:numPr>
        <w:spacing w:line="240" w:lineRule="auto"/>
        <w:ind w:left="567" w:hanging="567"/>
      </w:pPr>
      <w:r w:rsidRPr="001775D9">
        <w:t xml:space="preserve">itching; </w:t>
      </w:r>
    </w:p>
    <w:p w14:paraId="54D681CC" w14:textId="77777777" w:rsidR="00524DB2" w:rsidRPr="001775D9" w:rsidRDefault="00524DB2" w:rsidP="00B61D9D">
      <w:pPr>
        <w:numPr>
          <w:ilvl w:val="0"/>
          <w:numId w:val="16"/>
        </w:numPr>
        <w:spacing w:line="240" w:lineRule="auto"/>
        <w:ind w:left="567" w:hanging="567"/>
      </w:pPr>
      <w:r w:rsidRPr="001775D9">
        <w:t xml:space="preserve">itchy rash; </w:t>
      </w:r>
    </w:p>
    <w:p w14:paraId="443E4AAC" w14:textId="77777777" w:rsidR="00524DB2" w:rsidRPr="001775D9" w:rsidRDefault="00524DB2" w:rsidP="00B61D9D">
      <w:pPr>
        <w:numPr>
          <w:ilvl w:val="0"/>
          <w:numId w:val="16"/>
        </w:numPr>
        <w:spacing w:line="240" w:lineRule="auto"/>
        <w:ind w:left="567" w:hanging="567"/>
      </w:pPr>
      <w:r w:rsidRPr="001775D9">
        <w:t xml:space="preserve">bruising; </w:t>
      </w:r>
    </w:p>
    <w:p w14:paraId="24C380FA" w14:textId="77777777" w:rsidR="00524DB2" w:rsidRPr="001775D9" w:rsidRDefault="00524DB2" w:rsidP="00B61D9D">
      <w:pPr>
        <w:numPr>
          <w:ilvl w:val="0"/>
          <w:numId w:val="16"/>
        </w:numPr>
        <w:spacing w:line="240" w:lineRule="auto"/>
        <w:ind w:left="567" w:hanging="567"/>
      </w:pPr>
      <w:r w:rsidRPr="001775D9">
        <w:t xml:space="preserve">inflammation of the skin (such as eczema); </w:t>
      </w:r>
    </w:p>
    <w:p w14:paraId="7B37BE26" w14:textId="77777777" w:rsidR="00524DB2" w:rsidRPr="001775D9" w:rsidRDefault="00524DB2" w:rsidP="00B61D9D">
      <w:pPr>
        <w:numPr>
          <w:ilvl w:val="0"/>
          <w:numId w:val="16"/>
        </w:numPr>
        <w:spacing w:line="240" w:lineRule="auto"/>
        <w:ind w:left="567" w:hanging="567"/>
      </w:pPr>
      <w:r w:rsidRPr="001775D9">
        <w:t xml:space="preserve">breaking of finger nails and toe nails; </w:t>
      </w:r>
    </w:p>
    <w:p w14:paraId="2486B503" w14:textId="77777777" w:rsidR="00524DB2" w:rsidRPr="001775D9" w:rsidRDefault="00524DB2" w:rsidP="00B61D9D">
      <w:pPr>
        <w:numPr>
          <w:ilvl w:val="0"/>
          <w:numId w:val="16"/>
        </w:numPr>
        <w:spacing w:line="240" w:lineRule="auto"/>
        <w:ind w:left="567" w:hanging="567"/>
      </w:pPr>
      <w:r w:rsidRPr="001775D9">
        <w:t xml:space="preserve">increased sweating; </w:t>
      </w:r>
    </w:p>
    <w:p w14:paraId="5EDAFBA5" w14:textId="77777777" w:rsidR="00524DB2" w:rsidRPr="001775D9" w:rsidRDefault="00524DB2" w:rsidP="00B61D9D">
      <w:pPr>
        <w:numPr>
          <w:ilvl w:val="0"/>
          <w:numId w:val="16"/>
        </w:numPr>
        <w:spacing w:line="240" w:lineRule="auto"/>
        <w:ind w:left="567" w:hanging="567"/>
      </w:pPr>
      <w:r w:rsidRPr="001775D9">
        <w:t xml:space="preserve">hair loss; </w:t>
      </w:r>
    </w:p>
    <w:p w14:paraId="11F4D4B1" w14:textId="77777777" w:rsidR="00524DB2" w:rsidRPr="001775D9" w:rsidRDefault="00524DB2" w:rsidP="00B61D9D">
      <w:pPr>
        <w:numPr>
          <w:ilvl w:val="0"/>
          <w:numId w:val="16"/>
        </w:numPr>
        <w:spacing w:line="240" w:lineRule="auto"/>
        <w:ind w:left="567" w:hanging="567"/>
      </w:pPr>
      <w:r w:rsidRPr="001775D9">
        <w:t xml:space="preserve">new onset or worsening of psoriasis; </w:t>
      </w:r>
    </w:p>
    <w:p w14:paraId="7890456B" w14:textId="77777777" w:rsidR="00524DB2" w:rsidRPr="001775D9" w:rsidRDefault="00524DB2" w:rsidP="00B61D9D">
      <w:pPr>
        <w:numPr>
          <w:ilvl w:val="0"/>
          <w:numId w:val="16"/>
        </w:numPr>
        <w:spacing w:line="240" w:lineRule="auto"/>
        <w:ind w:left="567" w:hanging="567"/>
      </w:pPr>
      <w:r w:rsidRPr="001775D9">
        <w:t xml:space="preserve">muscle spasms; </w:t>
      </w:r>
    </w:p>
    <w:p w14:paraId="51C3FFC6" w14:textId="77777777" w:rsidR="00524DB2" w:rsidRPr="001775D9" w:rsidRDefault="00524DB2" w:rsidP="00B61D9D">
      <w:pPr>
        <w:numPr>
          <w:ilvl w:val="0"/>
          <w:numId w:val="16"/>
        </w:numPr>
        <w:spacing w:line="240" w:lineRule="auto"/>
        <w:ind w:left="567" w:hanging="567"/>
      </w:pPr>
      <w:r w:rsidRPr="001775D9">
        <w:t xml:space="preserve">blood in urine; </w:t>
      </w:r>
    </w:p>
    <w:p w14:paraId="673829F7" w14:textId="77777777" w:rsidR="00524DB2" w:rsidRPr="001775D9" w:rsidRDefault="00524DB2" w:rsidP="00B61D9D">
      <w:pPr>
        <w:numPr>
          <w:ilvl w:val="0"/>
          <w:numId w:val="16"/>
        </w:numPr>
        <w:spacing w:line="240" w:lineRule="auto"/>
        <w:ind w:left="567" w:hanging="567"/>
      </w:pPr>
      <w:r w:rsidRPr="001775D9">
        <w:t xml:space="preserve">kidney problems; </w:t>
      </w:r>
    </w:p>
    <w:p w14:paraId="70AEDD2B" w14:textId="77777777" w:rsidR="00524DB2" w:rsidRPr="001775D9" w:rsidRDefault="00524DB2" w:rsidP="00B61D9D">
      <w:pPr>
        <w:numPr>
          <w:ilvl w:val="0"/>
          <w:numId w:val="16"/>
        </w:numPr>
        <w:spacing w:line="240" w:lineRule="auto"/>
        <w:ind w:left="567" w:hanging="567"/>
      </w:pPr>
      <w:r w:rsidRPr="001775D9">
        <w:t xml:space="preserve">chest pain; </w:t>
      </w:r>
    </w:p>
    <w:p w14:paraId="7F679ECC" w14:textId="77777777" w:rsidR="00524DB2" w:rsidRPr="001775D9" w:rsidRDefault="00524DB2" w:rsidP="00B61D9D">
      <w:pPr>
        <w:numPr>
          <w:ilvl w:val="0"/>
          <w:numId w:val="16"/>
        </w:numPr>
        <w:spacing w:line="240" w:lineRule="auto"/>
        <w:ind w:left="567" w:hanging="567"/>
      </w:pPr>
      <w:r w:rsidRPr="001775D9">
        <w:t xml:space="preserve">oedema; </w:t>
      </w:r>
    </w:p>
    <w:p w14:paraId="4543F2C4" w14:textId="77777777" w:rsidR="00524DB2" w:rsidRPr="001775D9" w:rsidRDefault="00524DB2" w:rsidP="00B61D9D">
      <w:pPr>
        <w:numPr>
          <w:ilvl w:val="0"/>
          <w:numId w:val="16"/>
        </w:numPr>
        <w:spacing w:line="240" w:lineRule="auto"/>
        <w:ind w:left="567" w:hanging="567"/>
      </w:pPr>
      <w:r w:rsidRPr="001775D9">
        <w:t xml:space="preserve">fever; </w:t>
      </w:r>
    </w:p>
    <w:p w14:paraId="5AC53061" w14:textId="77777777" w:rsidR="00524DB2" w:rsidRPr="001775D9" w:rsidRDefault="00524DB2" w:rsidP="00B61D9D">
      <w:pPr>
        <w:numPr>
          <w:ilvl w:val="0"/>
          <w:numId w:val="16"/>
        </w:numPr>
        <w:spacing w:line="240" w:lineRule="auto"/>
        <w:ind w:left="567" w:hanging="567"/>
      </w:pPr>
      <w:r w:rsidRPr="001775D9">
        <w:t>reduction in blood platelets which increases risk of bleeding or bruising;</w:t>
      </w:r>
    </w:p>
    <w:p w14:paraId="59DDD7A6" w14:textId="77777777" w:rsidR="00524DB2" w:rsidRPr="001775D9" w:rsidRDefault="00524DB2" w:rsidP="00163370">
      <w:pPr>
        <w:numPr>
          <w:ilvl w:val="0"/>
          <w:numId w:val="16"/>
        </w:numPr>
        <w:spacing w:line="240" w:lineRule="auto"/>
        <w:ind w:left="567" w:hanging="567"/>
        <w:rPr>
          <w:szCs w:val="22"/>
        </w:rPr>
      </w:pPr>
      <w:r w:rsidRPr="001775D9">
        <w:t>impaired</w:t>
      </w:r>
      <w:r w:rsidRPr="001775D9">
        <w:rPr>
          <w:szCs w:val="22"/>
        </w:rPr>
        <w:t xml:space="preserve"> healing. </w:t>
      </w:r>
    </w:p>
    <w:p w14:paraId="2EA6D00D" w14:textId="77777777" w:rsidR="00524DB2" w:rsidRPr="00D55B59" w:rsidRDefault="00524DB2" w:rsidP="007B4B23">
      <w:pPr>
        <w:pStyle w:val="Default"/>
        <w:rPr>
          <w:sz w:val="22"/>
          <w:szCs w:val="22"/>
          <w:lang w:val="en-GB"/>
          <w:rPrChange w:id="3645" w:author="Author">
            <w:rPr>
              <w:sz w:val="22"/>
              <w:szCs w:val="22"/>
            </w:rPr>
          </w:rPrChange>
        </w:rPr>
      </w:pPr>
    </w:p>
    <w:p w14:paraId="508846E8" w14:textId="77777777" w:rsidR="00524DB2" w:rsidRPr="00D55B59" w:rsidRDefault="00524DB2" w:rsidP="007B4B23">
      <w:pPr>
        <w:pStyle w:val="Default"/>
        <w:keepNext/>
        <w:rPr>
          <w:sz w:val="22"/>
          <w:szCs w:val="22"/>
          <w:lang w:val="en-GB"/>
          <w:rPrChange w:id="3646" w:author="Author">
            <w:rPr>
              <w:sz w:val="22"/>
              <w:szCs w:val="22"/>
            </w:rPr>
          </w:rPrChange>
        </w:rPr>
      </w:pPr>
      <w:r w:rsidRPr="00D55B59">
        <w:rPr>
          <w:sz w:val="22"/>
          <w:szCs w:val="22"/>
          <w:lang w:val="en-GB"/>
          <w:rPrChange w:id="3647" w:author="Author">
            <w:rPr>
              <w:sz w:val="22"/>
              <w:szCs w:val="22"/>
            </w:rPr>
          </w:rPrChange>
        </w:rPr>
        <w:t>Uncommon (may affect up to 1 in 100 people)</w:t>
      </w:r>
    </w:p>
    <w:p w14:paraId="1715175D" w14:textId="77777777" w:rsidR="00524DB2" w:rsidRPr="001775D9" w:rsidRDefault="00524DB2" w:rsidP="00B61D9D">
      <w:pPr>
        <w:keepNext/>
        <w:numPr>
          <w:ilvl w:val="1"/>
          <w:numId w:val="17"/>
        </w:numPr>
        <w:spacing w:line="240" w:lineRule="auto"/>
        <w:ind w:left="567" w:hanging="567"/>
      </w:pPr>
      <w:r w:rsidRPr="001775D9">
        <w:t xml:space="preserve">opportunistic infections (which include tuberculosis and other infections that occur when resistance to disease is lowered); </w:t>
      </w:r>
    </w:p>
    <w:p w14:paraId="1F2DFF89" w14:textId="77777777" w:rsidR="00524DB2" w:rsidRPr="001775D9" w:rsidRDefault="00524DB2" w:rsidP="00B61D9D">
      <w:pPr>
        <w:numPr>
          <w:ilvl w:val="1"/>
          <w:numId w:val="17"/>
        </w:numPr>
        <w:spacing w:line="240" w:lineRule="auto"/>
        <w:ind w:left="567" w:hanging="567"/>
      </w:pPr>
      <w:r w:rsidRPr="001775D9">
        <w:t xml:space="preserve">neurological infections (including viral meningitis); </w:t>
      </w:r>
    </w:p>
    <w:p w14:paraId="42B0FFD0" w14:textId="77777777" w:rsidR="00524DB2" w:rsidRPr="001775D9" w:rsidRDefault="00524DB2" w:rsidP="00B61D9D">
      <w:pPr>
        <w:numPr>
          <w:ilvl w:val="1"/>
          <w:numId w:val="17"/>
        </w:numPr>
        <w:spacing w:line="240" w:lineRule="auto"/>
        <w:ind w:left="567" w:hanging="567"/>
      </w:pPr>
      <w:r w:rsidRPr="001775D9">
        <w:t xml:space="preserve">eye infections; </w:t>
      </w:r>
    </w:p>
    <w:p w14:paraId="1B52AEA0" w14:textId="77777777" w:rsidR="00524DB2" w:rsidRPr="001775D9" w:rsidRDefault="00524DB2" w:rsidP="00B61D9D">
      <w:pPr>
        <w:numPr>
          <w:ilvl w:val="1"/>
          <w:numId w:val="17"/>
        </w:numPr>
        <w:spacing w:line="240" w:lineRule="auto"/>
        <w:ind w:left="567" w:hanging="567"/>
      </w:pPr>
      <w:r w:rsidRPr="001775D9">
        <w:t xml:space="preserve">bacterial infections; </w:t>
      </w:r>
    </w:p>
    <w:p w14:paraId="4E01DE5B" w14:textId="77777777" w:rsidR="00524DB2" w:rsidRPr="001775D9" w:rsidRDefault="00524DB2" w:rsidP="00B61D9D">
      <w:pPr>
        <w:numPr>
          <w:ilvl w:val="1"/>
          <w:numId w:val="17"/>
        </w:numPr>
        <w:spacing w:line="240" w:lineRule="auto"/>
        <w:ind w:left="567" w:hanging="567"/>
      </w:pPr>
      <w:r w:rsidRPr="001775D9">
        <w:t xml:space="preserve">diverticulitis (inflammation and infection of the large intestine); </w:t>
      </w:r>
    </w:p>
    <w:p w14:paraId="38BC25AC" w14:textId="5EF90E73" w:rsidR="00524DB2" w:rsidRPr="001775D9" w:rsidRDefault="00524DB2" w:rsidP="00B61D9D">
      <w:pPr>
        <w:numPr>
          <w:ilvl w:val="1"/>
          <w:numId w:val="17"/>
        </w:numPr>
        <w:spacing w:line="240" w:lineRule="auto"/>
        <w:ind w:left="567" w:hanging="567"/>
      </w:pPr>
      <w:r w:rsidRPr="001775D9">
        <w:t>cancer</w:t>
      </w:r>
      <w:r w:rsidR="00623DC0" w:rsidRPr="001775D9">
        <w:t>, including cancer that affects the lymph system (lymphoma) and melanoma (skin cancer)</w:t>
      </w:r>
      <w:r w:rsidRPr="001775D9">
        <w:t xml:space="preserve">; </w:t>
      </w:r>
    </w:p>
    <w:p w14:paraId="72B73198" w14:textId="77777777" w:rsidR="00524DB2" w:rsidRPr="001775D9" w:rsidRDefault="00524DB2" w:rsidP="00B61D9D">
      <w:pPr>
        <w:numPr>
          <w:ilvl w:val="1"/>
          <w:numId w:val="17"/>
        </w:numPr>
        <w:spacing w:line="240" w:lineRule="auto"/>
        <w:ind w:left="567" w:hanging="567"/>
      </w:pPr>
      <w:r w:rsidRPr="001775D9">
        <w:t xml:space="preserve">immune disorders that could affect the lungs, skin and lymph nodes (most commonly presenting as sarcoidosis); </w:t>
      </w:r>
    </w:p>
    <w:p w14:paraId="78F6771F" w14:textId="77777777" w:rsidR="00524DB2" w:rsidRPr="001775D9" w:rsidRDefault="00524DB2" w:rsidP="00B61D9D">
      <w:pPr>
        <w:numPr>
          <w:ilvl w:val="1"/>
          <w:numId w:val="17"/>
        </w:numPr>
        <w:spacing w:line="240" w:lineRule="auto"/>
        <w:ind w:left="567" w:hanging="567"/>
      </w:pPr>
      <w:r w:rsidRPr="001775D9">
        <w:t>vasculitis (inflammation of blood vessels);</w:t>
      </w:r>
    </w:p>
    <w:p w14:paraId="2244D77A" w14:textId="77777777" w:rsidR="00524DB2" w:rsidRPr="001775D9" w:rsidRDefault="00524DB2" w:rsidP="00B61D9D">
      <w:pPr>
        <w:numPr>
          <w:ilvl w:val="1"/>
          <w:numId w:val="17"/>
        </w:numPr>
        <w:spacing w:line="240" w:lineRule="auto"/>
        <w:ind w:left="567" w:hanging="567"/>
      </w:pPr>
      <w:r w:rsidRPr="001775D9">
        <w:t xml:space="preserve">tremor; </w:t>
      </w:r>
    </w:p>
    <w:p w14:paraId="460B167F" w14:textId="77777777" w:rsidR="00524DB2" w:rsidRPr="001775D9" w:rsidRDefault="00524DB2" w:rsidP="00B61D9D">
      <w:pPr>
        <w:numPr>
          <w:ilvl w:val="1"/>
          <w:numId w:val="17"/>
        </w:numPr>
        <w:spacing w:line="240" w:lineRule="auto"/>
        <w:ind w:left="567" w:hanging="567"/>
      </w:pPr>
      <w:r w:rsidRPr="001775D9">
        <w:t xml:space="preserve">neuropathy; </w:t>
      </w:r>
    </w:p>
    <w:p w14:paraId="326AE24D" w14:textId="461556B1" w:rsidR="00524DB2" w:rsidRPr="001775D9" w:rsidRDefault="00524DB2" w:rsidP="00B61D9D">
      <w:pPr>
        <w:numPr>
          <w:ilvl w:val="1"/>
          <w:numId w:val="17"/>
        </w:numPr>
        <w:spacing w:line="240" w:lineRule="auto"/>
        <w:ind w:left="567" w:hanging="567"/>
      </w:pPr>
      <w:r w:rsidRPr="001775D9">
        <w:t xml:space="preserve">stroke; </w:t>
      </w:r>
    </w:p>
    <w:p w14:paraId="4978677C" w14:textId="77777777" w:rsidR="00524DB2" w:rsidRPr="001775D9" w:rsidRDefault="00524DB2" w:rsidP="00B61D9D">
      <w:pPr>
        <w:numPr>
          <w:ilvl w:val="1"/>
          <w:numId w:val="17"/>
        </w:numPr>
        <w:spacing w:line="240" w:lineRule="auto"/>
        <w:ind w:left="567" w:hanging="567"/>
      </w:pPr>
      <w:r w:rsidRPr="001775D9">
        <w:t xml:space="preserve">hearing loss, buzzing; </w:t>
      </w:r>
    </w:p>
    <w:p w14:paraId="2B26CCC6" w14:textId="77777777" w:rsidR="00524DB2" w:rsidRPr="001775D9" w:rsidRDefault="00524DB2" w:rsidP="00B61D9D">
      <w:pPr>
        <w:numPr>
          <w:ilvl w:val="1"/>
          <w:numId w:val="17"/>
        </w:numPr>
        <w:spacing w:line="240" w:lineRule="auto"/>
        <w:ind w:left="567" w:hanging="567"/>
      </w:pPr>
      <w:r w:rsidRPr="001775D9">
        <w:t xml:space="preserve">sensation of heart beating irregularly such as skipped beats; </w:t>
      </w:r>
    </w:p>
    <w:p w14:paraId="0A8AA1C6" w14:textId="77777777" w:rsidR="00524DB2" w:rsidRPr="001775D9" w:rsidRDefault="00524DB2" w:rsidP="00B61D9D">
      <w:pPr>
        <w:numPr>
          <w:ilvl w:val="1"/>
          <w:numId w:val="17"/>
        </w:numPr>
        <w:spacing w:line="240" w:lineRule="auto"/>
        <w:ind w:left="567" w:hanging="567"/>
      </w:pPr>
      <w:r w:rsidRPr="001775D9">
        <w:t xml:space="preserve">heart problems that can cause shortness of breath or ankle swelling; </w:t>
      </w:r>
    </w:p>
    <w:p w14:paraId="036CD43E" w14:textId="77777777" w:rsidR="00524DB2" w:rsidRPr="001775D9" w:rsidRDefault="00524DB2" w:rsidP="00B61D9D">
      <w:pPr>
        <w:numPr>
          <w:ilvl w:val="1"/>
          <w:numId w:val="17"/>
        </w:numPr>
        <w:spacing w:line="240" w:lineRule="auto"/>
        <w:ind w:left="567" w:hanging="567"/>
      </w:pPr>
      <w:r w:rsidRPr="001775D9">
        <w:t xml:space="preserve">heart attack; </w:t>
      </w:r>
    </w:p>
    <w:p w14:paraId="0117018E" w14:textId="77777777" w:rsidR="00524DB2" w:rsidRPr="001775D9" w:rsidRDefault="00524DB2" w:rsidP="00B61D9D">
      <w:pPr>
        <w:numPr>
          <w:ilvl w:val="1"/>
          <w:numId w:val="17"/>
        </w:numPr>
        <w:spacing w:line="240" w:lineRule="auto"/>
        <w:ind w:left="567" w:hanging="567"/>
      </w:pPr>
      <w:r w:rsidRPr="001775D9">
        <w:t>a sac in the wall of a major artery, inflammation and clot of a vein</w:t>
      </w:r>
      <w:r w:rsidR="001241B6" w:rsidRPr="001775D9">
        <w:t>,</w:t>
      </w:r>
      <w:r w:rsidRPr="001775D9">
        <w:t xml:space="preserve"> blockage of a blood vessel; </w:t>
      </w:r>
    </w:p>
    <w:p w14:paraId="6AA34C72" w14:textId="77777777" w:rsidR="00524DB2" w:rsidRPr="001775D9" w:rsidRDefault="00524DB2" w:rsidP="00B61D9D">
      <w:pPr>
        <w:numPr>
          <w:ilvl w:val="1"/>
          <w:numId w:val="17"/>
        </w:numPr>
        <w:spacing w:line="240" w:lineRule="auto"/>
        <w:ind w:left="567" w:hanging="567"/>
      </w:pPr>
      <w:r w:rsidRPr="001775D9">
        <w:t xml:space="preserve">lung diseases causing shortness of breath (including inflammation); </w:t>
      </w:r>
    </w:p>
    <w:p w14:paraId="15B8A389" w14:textId="77777777" w:rsidR="00524DB2" w:rsidRPr="001775D9" w:rsidRDefault="00524DB2" w:rsidP="00B61D9D">
      <w:pPr>
        <w:numPr>
          <w:ilvl w:val="1"/>
          <w:numId w:val="17"/>
        </w:numPr>
        <w:spacing w:line="240" w:lineRule="auto"/>
        <w:ind w:left="567" w:hanging="567"/>
      </w:pPr>
      <w:r w:rsidRPr="001775D9">
        <w:t xml:space="preserve">pulmonary embolism (blockage in an artery of the lung); </w:t>
      </w:r>
    </w:p>
    <w:p w14:paraId="67666FD8" w14:textId="77777777" w:rsidR="00524DB2" w:rsidRPr="001775D9" w:rsidRDefault="00524DB2" w:rsidP="00B61D9D">
      <w:pPr>
        <w:numPr>
          <w:ilvl w:val="1"/>
          <w:numId w:val="17"/>
        </w:numPr>
        <w:spacing w:line="240" w:lineRule="auto"/>
        <w:ind w:left="567" w:hanging="567"/>
      </w:pPr>
      <w:r w:rsidRPr="001775D9">
        <w:t xml:space="preserve">pleural effusion (abnormal collection of fluid in the pleural space); </w:t>
      </w:r>
    </w:p>
    <w:p w14:paraId="5FDDB0B2" w14:textId="77777777" w:rsidR="00524DB2" w:rsidRPr="001775D9" w:rsidRDefault="00524DB2" w:rsidP="00B61D9D">
      <w:pPr>
        <w:numPr>
          <w:ilvl w:val="1"/>
          <w:numId w:val="17"/>
        </w:numPr>
        <w:spacing w:line="240" w:lineRule="auto"/>
        <w:ind w:left="567" w:hanging="567"/>
      </w:pPr>
      <w:r w:rsidRPr="001775D9">
        <w:t xml:space="preserve">inflammation of the pancreas which causes severe pain in the abdomen and back; </w:t>
      </w:r>
    </w:p>
    <w:p w14:paraId="56D086D6" w14:textId="77777777" w:rsidR="00524DB2" w:rsidRPr="001775D9" w:rsidRDefault="00524DB2" w:rsidP="00B61D9D">
      <w:pPr>
        <w:numPr>
          <w:ilvl w:val="1"/>
          <w:numId w:val="17"/>
        </w:numPr>
        <w:spacing w:line="240" w:lineRule="auto"/>
        <w:ind w:left="567" w:hanging="567"/>
      </w:pPr>
      <w:r w:rsidRPr="001775D9">
        <w:t xml:space="preserve">difficulty in swallowing; </w:t>
      </w:r>
    </w:p>
    <w:p w14:paraId="18D1A858" w14:textId="77777777" w:rsidR="00524DB2" w:rsidRPr="001775D9" w:rsidRDefault="00524DB2" w:rsidP="00B61D9D">
      <w:pPr>
        <w:numPr>
          <w:ilvl w:val="1"/>
          <w:numId w:val="17"/>
        </w:numPr>
        <w:spacing w:line="240" w:lineRule="auto"/>
        <w:ind w:left="567" w:hanging="567"/>
      </w:pPr>
      <w:r w:rsidRPr="001775D9">
        <w:t xml:space="preserve">facial oedema; </w:t>
      </w:r>
    </w:p>
    <w:p w14:paraId="3E340153" w14:textId="77777777" w:rsidR="00524DB2" w:rsidRPr="001775D9" w:rsidRDefault="00524DB2" w:rsidP="00B61D9D">
      <w:pPr>
        <w:numPr>
          <w:ilvl w:val="1"/>
          <w:numId w:val="17"/>
        </w:numPr>
        <w:spacing w:line="240" w:lineRule="auto"/>
        <w:ind w:left="567" w:hanging="567"/>
      </w:pPr>
      <w:r w:rsidRPr="001775D9">
        <w:t xml:space="preserve">gallbladder inflammation, gallbladder stones; </w:t>
      </w:r>
    </w:p>
    <w:p w14:paraId="6C23A052" w14:textId="77777777" w:rsidR="00524DB2" w:rsidRPr="001775D9" w:rsidRDefault="00524DB2" w:rsidP="00B61D9D">
      <w:pPr>
        <w:numPr>
          <w:ilvl w:val="1"/>
          <w:numId w:val="17"/>
        </w:numPr>
        <w:spacing w:line="240" w:lineRule="auto"/>
        <w:ind w:left="567" w:hanging="567"/>
      </w:pPr>
      <w:r w:rsidRPr="001775D9">
        <w:t xml:space="preserve">fatty liver; </w:t>
      </w:r>
    </w:p>
    <w:p w14:paraId="2DCA5B75" w14:textId="77777777" w:rsidR="00524DB2" w:rsidRPr="001775D9" w:rsidRDefault="00524DB2" w:rsidP="00B61D9D">
      <w:pPr>
        <w:numPr>
          <w:ilvl w:val="1"/>
          <w:numId w:val="17"/>
        </w:numPr>
        <w:spacing w:line="240" w:lineRule="auto"/>
        <w:ind w:left="567" w:hanging="567"/>
      </w:pPr>
      <w:r w:rsidRPr="001775D9">
        <w:t xml:space="preserve">night sweats; </w:t>
      </w:r>
    </w:p>
    <w:p w14:paraId="4723601C" w14:textId="77777777" w:rsidR="00524DB2" w:rsidRPr="001775D9" w:rsidRDefault="00524DB2" w:rsidP="00B61D9D">
      <w:pPr>
        <w:numPr>
          <w:ilvl w:val="1"/>
          <w:numId w:val="17"/>
        </w:numPr>
        <w:spacing w:line="240" w:lineRule="auto"/>
        <w:ind w:left="567" w:hanging="567"/>
      </w:pPr>
      <w:r w:rsidRPr="001775D9">
        <w:t xml:space="preserve">scar; </w:t>
      </w:r>
    </w:p>
    <w:p w14:paraId="332AEC63" w14:textId="77777777" w:rsidR="00524DB2" w:rsidRPr="001775D9" w:rsidRDefault="00524DB2" w:rsidP="00B61D9D">
      <w:pPr>
        <w:numPr>
          <w:ilvl w:val="1"/>
          <w:numId w:val="17"/>
        </w:numPr>
        <w:spacing w:line="240" w:lineRule="auto"/>
        <w:ind w:left="567" w:hanging="567"/>
      </w:pPr>
      <w:r w:rsidRPr="001775D9">
        <w:t xml:space="preserve">abnormal muscle breakdown; </w:t>
      </w:r>
    </w:p>
    <w:p w14:paraId="10BB601E" w14:textId="77777777" w:rsidR="00524DB2" w:rsidRPr="001775D9" w:rsidRDefault="00524DB2" w:rsidP="00B61D9D">
      <w:pPr>
        <w:numPr>
          <w:ilvl w:val="1"/>
          <w:numId w:val="17"/>
        </w:numPr>
        <w:spacing w:line="240" w:lineRule="auto"/>
        <w:ind w:left="567" w:hanging="567"/>
      </w:pPr>
      <w:r w:rsidRPr="001775D9">
        <w:t xml:space="preserve">systemic lupus erythematosus (including inflammation of skin, heart, lung, joints and other organ systems); </w:t>
      </w:r>
    </w:p>
    <w:p w14:paraId="7F6323AE" w14:textId="77777777" w:rsidR="00524DB2" w:rsidRPr="001775D9" w:rsidRDefault="00524DB2" w:rsidP="00B61D9D">
      <w:pPr>
        <w:numPr>
          <w:ilvl w:val="1"/>
          <w:numId w:val="17"/>
        </w:numPr>
        <w:spacing w:line="240" w:lineRule="auto"/>
        <w:ind w:left="567" w:hanging="567"/>
      </w:pPr>
      <w:r w:rsidRPr="001775D9">
        <w:t xml:space="preserve">sleep interruptions; </w:t>
      </w:r>
    </w:p>
    <w:p w14:paraId="195CC0AD" w14:textId="77777777" w:rsidR="00524DB2" w:rsidRPr="001775D9" w:rsidRDefault="00524DB2" w:rsidP="00B61D9D">
      <w:pPr>
        <w:numPr>
          <w:ilvl w:val="1"/>
          <w:numId w:val="17"/>
        </w:numPr>
        <w:spacing w:line="240" w:lineRule="auto"/>
        <w:ind w:left="567" w:hanging="567"/>
      </w:pPr>
      <w:r w:rsidRPr="001775D9">
        <w:t xml:space="preserve">impotence; </w:t>
      </w:r>
    </w:p>
    <w:p w14:paraId="16586712" w14:textId="77777777" w:rsidR="00524DB2" w:rsidRPr="001775D9" w:rsidRDefault="00524DB2" w:rsidP="00B61D9D">
      <w:pPr>
        <w:numPr>
          <w:ilvl w:val="1"/>
          <w:numId w:val="17"/>
        </w:numPr>
        <w:spacing w:line="240" w:lineRule="auto"/>
        <w:ind w:left="567" w:hanging="567"/>
      </w:pPr>
      <w:r w:rsidRPr="001775D9">
        <w:t xml:space="preserve">inflammations. </w:t>
      </w:r>
    </w:p>
    <w:p w14:paraId="5876D62F" w14:textId="77777777" w:rsidR="00524DB2" w:rsidRPr="001775D9" w:rsidRDefault="00524DB2" w:rsidP="007B4B23">
      <w:pPr>
        <w:numPr>
          <w:ilvl w:val="12"/>
          <w:numId w:val="0"/>
        </w:numPr>
        <w:tabs>
          <w:tab w:val="clear" w:pos="567"/>
        </w:tabs>
        <w:spacing w:line="240" w:lineRule="auto"/>
        <w:outlineLvl w:val="0"/>
        <w:rPr>
          <w:b/>
          <w:szCs w:val="22"/>
        </w:rPr>
      </w:pPr>
    </w:p>
    <w:p w14:paraId="6203AF33" w14:textId="11480FA0" w:rsidR="00524DB2" w:rsidRPr="00D55B59" w:rsidRDefault="00524DB2" w:rsidP="007B4B23">
      <w:pPr>
        <w:pStyle w:val="Default"/>
        <w:rPr>
          <w:sz w:val="22"/>
          <w:szCs w:val="22"/>
          <w:lang w:val="en-GB"/>
          <w:rPrChange w:id="3648" w:author="Author">
            <w:rPr>
              <w:sz w:val="22"/>
              <w:szCs w:val="22"/>
            </w:rPr>
          </w:rPrChange>
        </w:rPr>
      </w:pPr>
      <w:r w:rsidRPr="00D55B59">
        <w:rPr>
          <w:sz w:val="22"/>
          <w:szCs w:val="22"/>
          <w:lang w:val="en-GB"/>
          <w:rPrChange w:id="3649" w:author="Author">
            <w:rPr>
              <w:sz w:val="22"/>
              <w:szCs w:val="22"/>
            </w:rPr>
          </w:rPrChange>
        </w:rPr>
        <w:t>Rare (may affect up to 1 in 1,000 people)</w:t>
      </w:r>
    </w:p>
    <w:p w14:paraId="42652778" w14:textId="77777777" w:rsidR="00524DB2" w:rsidRPr="001775D9" w:rsidRDefault="00524DB2" w:rsidP="00B61D9D">
      <w:pPr>
        <w:numPr>
          <w:ilvl w:val="0"/>
          <w:numId w:val="18"/>
        </w:numPr>
        <w:spacing w:line="240" w:lineRule="auto"/>
        <w:ind w:left="567" w:hanging="567"/>
      </w:pPr>
      <w:r w:rsidRPr="001775D9">
        <w:t xml:space="preserve">leukaemia (cancer affecting the blood and bone marrow); </w:t>
      </w:r>
    </w:p>
    <w:p w14:paraId="3DA80EAB" w14:textId="77777777" w:rsidR="00524DB2" w:rsidRPr="001775D9" w:rsidRDefault="00524DB2" w:rsidP="00B61D9D">
      <w:pPr>
        <w:numPr>
          <w:ilvl w:val="0"/>
          <w:numId w:val="18"/>
        </w:numPr>
        <w:spacing w:line="240" w:lineRule="auto"/>
        <w:ind w:left="567" w:hanging="567"/>
      </w:pPr>
      <w:r w:rsidRPr="001775D9">
        <w:t xml:space="preserve">severe allergic reaction with shock; </w:t>
      </w:r>
    </w:p>
    <w:p w14:paraId="73479B6C" w14:textId="77777777" w:rsidR="00524DB2" w:rsidRPr="001775D9" w:rsidRDefault="00524DB2" w:rsidP="00B61D9D">
      <w:pPr>
        <w:numPr>
          <w:ilvl w:val="0"/>
          <w:numId w:val="18"/>
        </w:numPr>
        <w:spacing w:line="240" w:lineRule="auto"/>
        <w:ind w:left="567" w:hanging="567"/>
      </w:pPr>
      <w:r w:rsidRPr="001775D9">
        <w:t xml:space="preserve">multiple sclerosis; </w:t>
      </w:r>
    </w:p>
    <w:p w14:paraId="1D226E41" w14:textId="77777777" w:rsidR="00524DB2" w:rsidRPr="001775D9" w:rsidRDefault="00524DB2" w:rsidP="00B61D9D">
      <w:pPr>
        <w:numPr>
          <w:ilvl w:val="0"/>
          <w:numId w:val="18"/>
        </w:numPr>
        <w:spacing w:line="240" w:lineRule="auto"/>
        <w:ind w:left="567" w:hanging="567"/>
      </w:pPr>
      <w:r w:rsidRPr="001775D9">
        <w:t xml:space="preserve">nerve disorders (such as eye nerve inflammation and Guillain-Barré syndrome that may cause muscle weakness, abnormal sensations, tingling in the arms and upper body); </w:t>
      </w:r>
    </w:p>
    <w:p w14:paraId="4CEC7C5E" w14:textId="77777777" w:rsidR="00524DB2" w:rsidRPr="001775D9" w:rsidRDefault="00524DB2" w:rsidP="00B61D9D">
      <w:pPr>
        <w:numPr>
          <w:ilvl w:val="0"/>
          <w:numId w:val="18"/>
        </w:numPr>
        <w:spacing w:line="240" w:lineRule="auto"/>
        <w:ind w:left="567" w:hanging="567"/>
      </w:pPr>
      <w:r w:rsidRPr="001775D9">
        <w:t xml:space="preserve">heart stops pumping; </w:t>
      </w:r>
    </w:p>
    <w:p w14:paraId="276C0A4D" w14:textId="77777777" w:rsidR="00524DB2" w:rsidRPr="001775D9" w:rsidRDefault="00524DB2" w:rsidP="00B61D9D">
      <w:pPr>
        <w:numPr>
          <w:ilvl w:val="0"/>
          <w:numId w:val="18"/>
        </w:numPr>
        <w:spacing w:line="240" w:lineRule="auto"/>
        <w:ind w:left="567" w:hanging="567"/>
      </w:pPr>
      <w:r w:rsidRPr="001775D9">
        <w:t xml:space="preserve">pulmonary fibrosis (scarring of the lung); </w:t>
      </w:r>
    </w:p>
    <w:p w14:paraId="76D3F1E1" w14:textId="6A448807" w:rsidR="00524DB2" w:rsidRPr="001775D9" w:rsidRDefault="00524DB2" w:rsidP="00B61D9D">
      <w:pPr>
        <w:numPr>
          <w:ilvl w:val="0"/>
          <w:numId w:val="18"/>
        </w:numPr>
        <w:spacing w:line="240" w:lineRule="auto"/>
        <w:ind w:left="567" w:hanging="567"/>
      </w:pPr>
      <w:r w:rsidRPr="001775D9">
        <w:t>intestinal perforation</w:t>
      </w:r>
      <w:r w:rsidR="003E1F30" w:rsidRPr="001775D9">
        <w:t xml:space="preserve"> (hole in the wall of the gut)</w:t>
      </w:r>
      <w:r w:rsidRPr="001775D9">
        <w:t>;</w:t>
      </w:r>
    </w:p>
    <w:p w14:paraId="3BF330A3" w14:textId="20A7D3D5" w:rsidR="00524DB2" w:rsidRPr="001775D9" w:rsidRDefault="00524DB2" w:rsidP="00163370">
      <w:pPr>
        <w:numPr>
          <w:ilvl w:val="0"/>
          <w:numId w:val="16"/>
        </w:numPr>
        <w:spacing w:line="240" w:lineRule="auto"/>
        <w:ind w:left="567" w:hanging="567"/>
        <w:rPr>
          <w:szCs w:val="22"/>
        </w:rPr>
      </w:pPr>
      <w:r w:rsidRPr="001775D9">
        <w:t>hepatitis</w:t>
      </w:r>
      <w:r w:rsidR="003E1F30" w:rsidRPr="001775D9">
        <w:rPr>
          <w:szCs w:val="22"/>
        </w:rPr>
        <w:t xml:space="preserve"> (liver inflammation)</w:t>
      </w:r>
      <w:r w:rsidRPr="001775D9">
        <w:rPr>
          <w:szCs w:val="22"/>
        </w:rPr>
        <w:t xml:space="preserve">; </w:t>
      </w:r>
    </w:p>
    <w:p w14:paraId="7B9DA644" w14:textId="77777777" w:rsidR="00524DB2" w:rsidRPr="001775D9" w:rsidRDefault="00524DB2" w:rsidP="00B61D9D">
      <w:pPr>
        <w:numPr>
          <w:ilvl w:val="0"/>
          <w:numId w:val="19"/>
        </w:numPr>
        <w:spacing w:line="240" w:lineRule="auto"/>
        <w:ind w:left="567" w:hanging="567"/>
      </w:pPr>
      <w:r w:rsidRPr="001775D9">
        <w:t xml:space="preserve">reactivation of hepatitis B; </w:t>
      </w:r>
    </w:p>
    <w:p w14:paraId="6A0082B9" w14:textId="77777777" w:rsidR="00524DB2" w:rsidRPr="001775D9" w:rsidRDefault="00524DB2" w:rsidP="00B61D9D">
      <w:pPr>
        <w:numPr>
          <w:ilvl w:val="0"/>
          <w:numId w:val="19"/>
        </w:numPr>
        <w:spacing w:line="240" w:lineRule="auto"/>
        <w:ind w:left="567" w:hanging="567"/>
      </w:pPr>
      <w:r w:rsidRPr="001775D9">
        <w:t>autoimmune hepatitis (inflammation of the liver caused by the body's own immune system);</w:t>
      </w:r>
    </w:p>
    <w:p w14:paraId="30A3F582" w14:textId="77777777" w:rsidR="00524DB2" w:rsidRPr="001775D9" w:rsidRDefault="00524DB2" w:rsidP="00B61D9D">
      <w:pPr>
        <w:numPr>
          <w:ilvl w:val="0"/>
          <w:numId w:val="19"/>
        </w:numPr>
        <w:spacing w:line="240" w:lineRule="auto"/>
        <w:ind w:left="567" w:hanging="567"/>
      </w:pPr>
      <w:r w:rsidRPr="001775D9">
        <w:t xml:space="preserve">cutaneous vasculitis (inflammation of blood vessels in the skin); </w:t>
      </w:r>
    </w:p>
    <w:p w14:paraId="1D0E5133" w14:textId="0A3915D1" w:rsidR="00524DB2" w:rsidRPr="001775D9" w:rsidRDefault="00524DB2" w:rsidP="00B61D9D">
      <w:pPr>
        <w:numPr>
          <w:ilvl w:val="0"/>
          <w:numId w:val="19"/>
        </w:numPr>
        <w:spacing w:line="240" w:lineRule="auto"/>
        <w:ind w:left="567" w:hanging="567"/>
      </w:pPr>
      <w:r w:rsidRPr="001775D9">
        <w:t>Stevens-Johnson syndrome (</w:t>
      </w:r>
      <w:r w:rsidR="00AD7D34" w:rsidRPr="001775D9">
        <w:t>life-threatening reaction with flu-like symptoms and blistering rash);</w:t>
      </w:r>
      <w:r w:rsidRPr="001775D9">
        <w:t xml:space="preserve">); </w:t>
      </w:r>
    </w:p>
    <w:p w14:paraId="494DC441" w14:textId="77777777" w:rsidR="00524DB2" w:rsidRPr="001775D9" w:rsidRDefault="00524DB2" w:rsidP="00B61D9D">
      <w:pPr>
        <w:numPr>
          <w:ilvl w:val="0"/>
          <w:numId w:val="19"/>
        </w:numPr>
        <w:spacing w:line="240" w:lineRule="auto"/>
        <w:ind w:left="567" w:hanging="567"/>
      </w:pPr>
      <w:r w:rsidRPr="001775D9">
        <w:t xml:space="preserve">facial oedema associated with allergic reactions; </w:t>
      </w:r>
    </w:p>
    <w:p w14:paraId="476ECA54" w14:textId="77777777" w:rsidR="00524DB2" w:rsidRPr="00D55B59" w:rsidRDefault="00524DB2" w:rsidP="00B61D9D">
      <w:pPr>
        <w:numPr>
          <w:ilvl w:val="0"/>
          <w:numId w:val="19"/>
        </w:numPr>
        <w:spacing w:line="240" w:lineRule="auto"/>
        <w:ind w:left="567" w:hanging="567"/>
        <w:rPr>
          <w:lang w:val="it-IT"/>
          <w:rPrChange w:id="3650" w:author="Author">
            <w:rPr/>
          </w:rPrChange>
        </w:rPr>
      </w:pPr>
      <w:r w:rsidRPr="00D55B59">
        <w:rPr>
          <w:lang w:val="it-IT"/>
          <w:rPrChange w:id="3651" w:author="Author">
            <w:rPr/>
          </w:rPrChange>
        </w:rPr>
        <w:t xml:space="preserve">erythema multiforme (inflammatory skin rash); </w:t>
      </w:r>
    </w:p>
    <w:p w14:paraId="0054D4C2" w14:textId="77777777" w:rsidR="0012410B" w:rsidRPr="001775D9" w:rsidRDefault="00524DB2" w:rsidP="00B61D9D">
      <w:pPr>
        <w:numPr>
          <w:ilvl w:val="0"/>
          <w:numId w:val="19"/>
        </w:numPr>
        <w:spacing w:line="240" w:lineRule="auto"/>
        <w:ind w:left="567" w:hanging="567"/>
      </w:pPr>
      <w:r w:rsidRPr="001775D9">
        <w:t>lupus-like syndrome</w:t>
      </w:r>
      <w:r w:rsidR="0012410B" w:rsidRPr="001775D9">
        <w:t>;</w:t>
      </w:r>
    </w:p>
    <w:p w14:paraId="5172BA97" w14:textId="77777777" w:rsidR="00524DB2" w:rsidRPr="001775D9" w:rsidRDefault="0012410B" w:rsidP="00B61D9D">
      <w:pPr>
        <w:keepNext/>
        <w:keepLines/>
        <w:numPr>
          <w:ilvl w:val="0"/>
          <w:numId w:val="19"/>
        </w:numPr>
        <w:spacing w:line="240" w:lineRule="auto"/>
        <w:ind w:left="567" w:hanging="567"/>
      </w:pPr>
      <w:r w:rsidRPr="001775D9">
        <w:t>angioedema (localised swelling of the skin)</w:t>
      </w:r>
      <w:r w:rsidR="00747B80" w:rsidRPr="001775D9">
        <w:t>;</w:t>
      </w:r>
    </w:p>
    <w:p w14:paraId="396D21D4" w14:textId="77777777" w:rsidR="00F80DB3" w:rsidRPr="001775D9" w:rsidRDefault="00F80DB3" w:rsidP="00B61D9D">
      <w:pPr>
        <w:numPr>
          <w:ilvl w:val="0"/>
          <w:numId w:val="19"/>
        </w:numPr>
        <w:spacing w:line="240" w:lineRule="auto"/>
        <w:ind w:left="567" w:hanging="567"/>
      </w:pPr>
      <w:r w:rsidRPr="001775D9">
        <w:t>lichenoid skin reaction (itchy reddish-purple skin rash).</w:t>
      </w:r>
    </w:p>
    <w:p w14:paraId="2AB78441" w14:textId="77777777" w:rsidR="00524DB2" w:rsidRPr="00D55B59" w:rsidRDefault="00524DB2" w:rsidP="007B4B23">
      <w:pPr>
        <w:pStyle w:val="Default"/>
        <w:rPr>
          <w:sz w:val="22"/>
          <w:szCs w:val="22"/>
          <w:lang w:val="en-GB"/>
          <w:rPrChange w:id="3652" w:author="Author">
            <w:rPr>
              <w:sz w:val="22"/>
              <w:szCs w:val="22"/>
            </w:rPr>
          </w:rPrChange>
        </w:rPr>
      </w:pPr>
    </w:p>
    <w:p w14:paraId="5D597AF7" w14:textId="77777777" w:rsidR="00524DB2" w:rsidRPr="00D55B59" w:rsidRDefault="00524DB2" w:rsidP="007B4B23">
      <w:pPr>
        <w:pStyle w:val="Default"/>
        <w:rPr>
          <w:sz w:val="22"/>
          <w:szCs w:val="22"/>
          <w:lang w:val="en-GB"/>
          <w:rPrChange w:id="3653" w:author="Author">
            <w:rPr>
              <w:sz w:val="22"/>
              <w:szCs w:val="22"/>
            </w:rPr>
          </w:rPrChange>
        </w:rPr>
      </w:pPr>
      <w:r w:rsidRPr="00D55B59">
        <w:rPr>
          <w:sz w:val="22"/>
          <w:szCs w:val="22"/>
          <w:lang w:val="en-GB"/>
          <w:rPrChange w:id="3654" w:author="Author">
            <w:rPr>
              <w:sz w:val="22"/>
              <w:szCs w:val="22"/>
            </w:rPr>
          </w:rPrChange>
        </w:rPr>
        <w:t>Not known (frequency cannot be estimated from available data)</w:t>
      </w:r>
    </w:p>
    <w:p w14:paraId="4CCF4F44" w14:textId="77777777" w:rsidR="00524DB2" w:rsidRPr="001775D9" w:rsidRDefault="00524DB2" w:rsidP="00B61D9D">
      <w:pPr>
        <w:numPr>
          <w:ilvl w:val="0"/>
          <w:numId w:val="20"/>
        </w:numPr>
        <w:spacing w:line="240" w:lineRule="auto"/>
        <w:ind w:left="567" w:hanging="567"/>
      </w:pPr>
      <w:r w:rsidRPr="001775D9">
        <w:t xml:space="preserve">hepatosplenic T-cell lymphoma (a rare blood cancer that is often fatal); </w:t>
      </w:r>
    </w:p>
    <w:p w14:paraId="487FA882" w14:textId="77777777" w:rsidR="00487B92" w:rsidRPr="001775D9" w:rsidRDefault="00524DB2" w:rsidP="00B61D9D">
      <w:pPr>
        <w:numPr>
          <w:ilvl w:val="0"/>
          <w:numId w:val="20"/>
        </w:numPr>
        <w:spacing w:line="240" w:lineRule="auto"/>
        <w:ind w:left="567" w:hanging="567"/>
      </w:pPr>
      <w:r w:rsidRPr="001775D9">
        <w:t>Merkel cell carcinoma (a type of skin cancer);</w:t>
      </w:r>
    </w:p>
    <w:p w14:paraId="442278B2" w14:textId="437BB615" w:rsidR="00487B92" w:rsidRPr="001775D9" w:rsidRDefault="00487B92" w:rsidP="00B61D9D">
      <w:pPr>
        <w:numPr>
          <w:ilvl w:val="0"/>
          <w:numId w:val="20"/>
        </w:numPr>
        <w:spacing w:line="240" w:lineRule="auto"/>
        <w:ind w:left="567" w:hanging="567"/>
      </w:pPr>
      <w:r w:rsidRPr="001775D9">
        <w:t>Kaposi’s sarcoma, a rare cancer related to infection with human herpes virus 8. Kaposi’s</w:t>
      </w:r>
      <w:r w:rsidR="008D62CF" w:rsidRPr="001775D9">
        <w:t xml:space="preserve"> </w:t>
      </w:r>
      <w:r w:rsidRPr="001775D9">
        <w:t xml:space="preserve">sarcoma most commonly appears as purple lesions on the skin; </w:t>
      </w:r>
    </w:p>
    <w:p w14:paraId="28E6A842" w14:textId="77777777" w:rsidR="00524DB2" w:rsidRPr="001775D9" w:rsidRDefault="00524DB2" w:rsidP="00B61D9D">
      <w:pPr>
        <w:numPr>
          <w:ilvl w:val="0"/>
          <w:numId w:val="20"/>
        </w:numPr>
        <w:spacing w:line="240" w:lineRule="auto"/>
        <w:ind w:left="567" w:hanging="567"/>
      </w:pPr>
      <w:r w:rsidRPr="001775D9">
        <w:t xml:space="preserve">liver failure; </w:t>
      </w:r>
    </w:p>
    <w:p w14:paraId="297200D8" w14:textId="63F047C7" w:rsidR="00CC0DA4" w:rsidRPr="001775D9" w:rsidRDefault="00524DB2" w:rsidP="00B61D9D">
      <w:pPr>
        <w:numPr>
          <w:ilvl w:val="0"/>
          <w:numId w:val="20"/>
        </w:numPr>
        <w:spacing w:line="240" w:lineRule="auto"/>
        <w:ind w:left="567" w:hanging="567"/>
      </w:pPr>
      <w:r w:rsidRPr="001775D9">
        <w:t>worsening of a condition called dermatomyositis (seen as a skin rash accompanying muscle weakness</w:t>
      </w:r>
      <w:r w:rsidR="00CC0DA4" w:rsidRPr="001775D9">
        <w:t>);</w:t>
      </w:r>
    </w:p>
    <w:p w14:paraId="33D1BF39" w14:textId="12C08D71" w:rsidR="00524DB2" w:rsidRPr="001775D9" w:rsidRDefault="00CC0DA4" w:rsidP="00B61D9D">
      <w:pPr>
        <w:numPr>
          <w:ilvl w:val="0"/>
          <w:numId w:val="20"/>
        </w:numPr>
        <w:spacing w:line="240" w:lineRule="auto"/>
        <w:ind w:left="567" w:hanging="567"/>
      </w:pPr>
      <w:r w:rsidRPr="001775D9">
        <w:t>weight gain (for most patients, the weight gain was small).</w:t>
      </w:r>
      <w:r w:rsidR="00524DB2" w:rsidRPr="001775D9">
        <w:t xml:space="preserve"> </w:t>
      </w:r>
    </w:p>
    <w:p w14:paraId="10A1BFFB" w14:textId="77777777" w:rsidR="00524DB2" w:rsidRPr="001775D9" w:rsidRDefault="00524DB2" w:rsidP="007B4B23">
      <w:pPr>
        <w:numPr>
          <w:ilvl w:val="12"/>
          <w:numId w:val="0"/>
        </w:numPr>
        <w:tabs>
          <w:tab w:val="clear" w:pos="567"/>
        </w:tabs>
        <w:spacing w:line="240" w:lineRule="auto"/>
        <w:outlineLvl w:val="0"/>
        <w:rPr>
          <w:b/>
          <w:szCs w:val="22"/>
        </w:rPr>
      </w:pPr>
    </w:p>
    <w:p w14:paraId="284EC498" w14:textId="77777777" w:rsidR="00524DB2" w:rsidRPr="00D55B59" w:rsidRDefault="00524DB2" w:rsidP="007B4B23">
      <w:pPr>
        <w:pStyle w:val="Default"/>
        <w:keepNext/>
        <w:rPr>
          <w:sz w:val="22"/>
          <w:szCs w:val="22"/>
          <w:lang w:val="en-GB"/>
          <w:rPrChange w:id="3655" w:author="Author">
            <w:rPr>
              <w:sz w:val="22"/>
              <w:szCs w:val="22"/>
            </w:rPr>
          </w:rPrChange>
        </w:rPr>
      </w:pPr>
      <w:r w:rsidRPr="00D55B59">
        <w:rPr>
          <w:sz w:val="22"/>
          <w:szCs w:val="22"/>
          <w:lang w:val="en-GB"/>
          <w:rPrChange w:id="3656" w:author="Author">
            <w:rPr>
              <w:sz w:val="22"/>
              <w:szCs w:val="22"/>
            </w:rPr>
          </w:rPrChange>
        </w:rPr>
        <w:t xml:space="preserve">Some </w:t>
      </w:r>
      <w:r w:rsidR="00C42B33" w:rsidRPr="00D55B59">
        <w:rPr>
          <w:sz w:val="22"/>
          <w:szCs w:val="22"/>
          <w:lang w:val="en-GB"/>
          <w:rPrChange w:id="3657" w:author="Author">
            <w:rPr>
              <w:sz w:val="22"/>
              <w:szCs w:val="22"/>
            </w:rPr>
          </w:rPrChange>
        </w:rPr>
        <w:t xml:space="preserve">side effects </w:t>
      </w:r>
      <w:r w:rsidRPr="00D55B59">
        <w:rPr>
          <w:sz w:val="22"/>
          <w:szCs w:val="22"/>
          <w:lang w:val="en-GB"/>
          <w:rPrChange w:id="3658" w:author="Author">
            <w:rPr>
              <w:sz w:val="22"/>
              <w:szCs w:val="22"/>
            </w:rPr>
          </w:rPrChange>
        </w:rPr>
        <w:t xml:space="preserve">observed with adalimumab may not have symptoms and may only be discovered through blood tests. These include: </w:t>
      </w:r>
    </w:p>
    <w:p w14:paraId="70D8CED6" w14:textId="77777777" w:rsidR="00524DB2" w:rsidRPr="00D55B59" w:rsidRDefault="00524DB2" w:rsidP="007B4B23">
      <w:pPr>
        <w:pStyle w:val="Default"/>
        <w:rPr>
          <w:sz w:val="22"/>
          <w:szCs w:val="22"/>
          <w:lang w:val="en-GB"/>
          <w:rPrChange w:id="3659" w:author="Author">
            <w:rPr>
              <w:sz w:val="22"/>
              <w:szCs w:val="22"/>
            </w:rPr>
          </w:rPrChange>
        </w:rPr>
      </w:pPr>
    </w:p>
    <w:p w14:paraId="4883DCDB" w14:textId="77777777" w:rsidR="00524DB2" w:rsidRPr="00D55B59" w:rsidRDefault="00524DB2" w:rsidP="007B4B23">
      <w:pPr>
        <w:pStyle w:val="Default"/>
        <w:rPr>
          <w:sz w:val="22"/>
          <w:szCs w:val="22"/>
          <w:lang w:val="en-GB"/>
          <w:rPrChange w:id="3660" w:author="Author">
            <w:rPr>
              <w:sz w:val="22"/>
              <w:szCs w:val="22"/>
            </w:rPr>
          </w:rPrChange>
        </w:rPr>
      </w:pPr>
      <w:r w:rsidRPr="00D55B59">
        <w:rPr>
          <w:sz w:val="22"/>
          <w:szCs w:val="22"/>
          <w:lang w:val="en-GB"/>
          <w:rPrChange w:id="3661" w:author="Author">
            <w:rPr>
              <w:sz w:val="22"/>
              <w:szCs w:val="22"/>
            </w:rPr>
          </w:rPrChange>
        </w:rPr>
        <w:t>Very common (may affect more than 1 in 10 people)</w:t>
      </w:r>
    </w:p>
    <w:p w14:paraId="05BC93CE" w14:textId="77777777" w:rsidR="00524DB2" w:rsidRPr="001775D9" w:rsidRDefault="00524DB2" w:rsidP="00B61D9D">
      <w:pPr>
        <w:numPr>
          <w:ilvl w:val="0"/>
          <w:numId w:val="21"/>
        </w:numPr>
        <w:spacing w:line="240" w:lineRule="auto"/>
        <w:ind w:left="567" w:hanging="567"/>
      </w:pPr>
      <w:r w:rsidRPr="001775D9">
        <w:t xml:space="preserve">low blood measurements for white blood cells; </w:t>
      </w:r>
    </w:p>
    <w:p w14:paraId="2E7EFBF0" w14:textId="77777777" w:rsidR="00524DB2" w:rsidRPr="001775D9" w:rsidRDefault="00524DB2" w:rsidP="00B61D9D">
      <w:pPr>
        <w:numPr>
          <w:ilvl w:val="0"/>
          <w:numId w:val="21"/>
        </w:numPr>
        <w:spacing w:line="240" w:lineRule="auto"/>
        <w:ind w:left="567" w:hanging="567"/>
      </w:pPr>
      <w:r w:rsidRPr="001775D9">
        <w:t xml:space="preserve">low blood measurements for red blood cells; </w:t>
      </w:r>
    </w:p>
    <w:p w14:paraId="5893DF35" w14:textId="77777777" w:rsidR="00524DB2" w:rsidRPr="001775D9" w:rsidRDefault="00524DB2" w:rsidP="00B61D9D">
      <w:pPr>
        <w:numPr>
          <w:ilvl w:val="0"/>
          <w:numId w:val="21"/>
        </w:numPr>
        <w:spacing w:line="240" w:lineRule="auto"/>
        <w:ind w:left="567" w:hanging="567"/>
      </w:pPr>
      <w:r w:rsidRPr="001775D9">
        <w:t xml:space="preserve">increased lipids in the blood; </w:t>
      </w:r>
    </w:p>
    <w:p w14:paraId="3BE6D6DC" w14:textId="77777777" w:rsidR="00524DB2" w:rsidRPr="001775D9" w:rsidRDefault="00524DB2" w:rsidP="00B61D9D">
      <w:pPr>
        <w:numPr>
          <w:ilvl w:val="0"/>
          <w:numId w:val="21"/>
        </w:numPr>
        <w:spacing w:line="240" w:lineRule="auto"/>
        <w:ind w:left="567" w:hanging="567"/>
      </w:pPr>
      <w:r w:rsidRPr="001775D9">
        <w:t xml:space="preserve">elevated liver enzymes. </w:t>
      </w:r>
    </w:p>
    <w:p w14:paraId="21CD9143" w14:textId="77777777" w:rsidR="00524DB2" w:rsidRPr="00D55B59" w:rsidRDefault="00524DB2" w:rsidP="007B4B23">
      <w:pPr>
        <w:pStyle w:val="Default"/>
        <w:rPr>
          <w:sz w:val="22"/>
          <w:szCs w:val="22"/>
          <w:lang w:val="en-GB"/>
          <w:rPrChange w:id="3662" w:author="Author">
            <w:rPr>
              <w:sz w:val="22"/>
              <w:szCs w:val="22"/>
            </w:rPr>
          </w:rPrChange>
        </w:rPr>
      </w:pPr>
    </w:p>
    <w:p w14:paraId="664A7AEC" w14:textId="77777777" w:rsidR="00524DB2" w:rsidRPr="00D55B59" w:rsidRDefault="00524DB2" w:rsidP="007B4B23">
      <w:pPr>
        <w:pStyle w:val="Default"/>
        <w:rPr>
          <w:sz w:val="22"/>
          <w:szCs w:val="22"/>
          <w:lang w:val="en-GB"/>
          <w:rPrChange w:id="3663" w:author="Author">
            <w:rPr>
              <w:sz w:val="22"/>
              <w:szCs w:val="22"/>
            </w:rPr>
          </w:rPrChange>
        </w:rPr>
      </w:pPr>
      <w:r w:rsidRPr="00D55B59">
        <w:rPr>
          <w:sz w:val="22"/>
          <w:szCs w:val="22"/>
          <w:lang w:val="en-GB"/>
          <w:rPrChange w:id="3664" w:author="Author">
            <w:rPr>
              <w:sz w:val="22"/>
              <w:szCs w:val="22"/>
            </w:rPr>
          </w:rPrChange>
        </w:rPr>
        <w:t>Common (may affect up to 1 in 10 people)</w:t>
      </w:r>
    </w:p>
    <w:p w14:paraId="525AA9CB" w14:textId="77777777" w:rsidR="00524DB2" w:rsidRPr="001775D9" w:rsidRDefault="00524DB2" w:rsidP="00B61D9D">
      <w:pPr>
        <w:numPr>
          <w:ilvl w:val="0"/>
          <w:numId w:val="22"/>
        </w:numPr>
        <w:spacing w:line="240" w:lineRule="auto"/>
        <w:ind w:left="567" w:hanging="567"/>
      </w:pPr>
      <w:r w:rsidRPr="001775D9">
        <w:t xml:space="preserve">high blood measurements for white blood cells; </w:t>
      </w:r>
    </w:p>
    <w:p w14:paraId="7B30A676" w14:textId="77777777" w:rsidR="00524DB2" w:rsidRPr="001775D9" w:rsidRDefault="00524DB2" w:rsidP="00B61D9D">
      <w:pPr>
        <w:numPr>
          <w:ilvl w:val="0"/>
          <w:numId w:val="22"/>
        </w:numPr>
        <w:spacing w:line="240" w:lineRule="auto"/>
        <w:ind w:left="567" w:hanging="567"/>
      </w:pPr>
      <w:r w:rsidRPr="001775D9">
        <w:t xml:space="preserve">low blood measurements for platelets; </w:t>
      </w:r>
    </w:p>
    <w:p w14:paraId="146EF548" w14:textId="77777777" w:rsidR="00524DB2" w:rsidRPr="001775D9" w:rsidRDefault="00524DB2" w:rsidP="00B61D9D">
      <w:pPr>
        <w:numPr>
          <w:ilvl w:val="0"/>
          <w:numId w:val="22"/>
        </w:numPr>
        <w:spacing w:line="240" w:lineRule="auto"/>
        <w:ind w:left="567" w:hanging="567"/>
      </w:pPr>
      <w:r w:rsidRPr="001775D9">
        <w:t xml:space="preserve">increased uric acid in the blood; </w:t>
      </w:r>
    </w:p>
    <w:p w14:paraId="7FC47ABB" w14:textId="77777777" w:rsidR="00524DB2" w:rsidRPr="001775D9" w:rsidRDefault="00524DB2" w:rsidP="00B61D9D">
      <w:pPr>
        <w:numPr>
          <w:ilvl w:val="0"/>
          <w:numId w:val="22"/>
        </w:numPr>
        <w:spacing w:line="240" w:lineRule="auto"/>
        <w:ind w:left="567" w:hanging="567"/>
      </w:pPr>
      <w:r w:rsidRPr="001775D9">
        <w:t xml:space="preserve">abnormal blood measurements for sodium; </w:t>
      </w:r>
    </w:p>
    <w:p w14:paraId="2FA56540" w14:textId="77777777" w:rsidR="00524DB2" w:rsidRPr="001775D9" w:rsidRDefault="00524DB2" w:rsidP="00B61D9D">
      <w:pPr>
        <w:numPr>
          <w:ilvl w:val="0"/>
          <w:numId w:val="22"/>
        </w:numPr>
        <w:spacing w:line="240" w:lineRule="auto"/>
        <w:ind w:left="567" w:hanging="567"/>
      </w:pPr>
      <w:r w:rsidRPr="001775D9">
        <w:t xml:space="preserve">low blood measurements for calcium; </w:t>
      </w:r>
    </w:p>
    <w:p w14:paraId="772A11E7" w14:textId="77777777" w:rsidR="00524DB2" w:rsidRPr="001775D9" w:rsidRDefault="00524DB2" w:rsidP="00B61D9D">
      <w:pPr>
        <w:numPr>
          <w:ilvl w:val="0"/>
          <w:numId w:val="22"/>
        </w:numPr>
        <w:spacing w:line="240" w:lineRule="auto"/>
        <w:ind w:left="567" w:hanging="567"/>
      </w:pPr>
      <w:r w:rsidRPr="001775D9">
        <w:t xml:space="preserve">low blood measurements for phosphate; </w:t>
      </w:r>
    </w:p>
    <w:p w14:paraId="23FDB9F7" w14:textId="77777777" w:rsidR="00524DB2" w:rsidRPr="001775D9" w:rsidRDefault="00524DB2" w:rsidP="00B61D9D">
      <w:pPr>
        <w:numPr>
          <w:ilvl w:val="0"/>
          <w:numId w:val="22"/>
        </w:numPr>
        <w:spacing w:line="240" w:lineRule="auto"/>
        <w:ind w:left="567" w:hanging="567"/>
      </w:pPr>
      <w:r w:rsidRPr="001775D9">
        <w:t xml:space="preserve">high blood sugar; </w:t>
      </w:r>
    </w:p>
    <w:p w14:paraId="57D3F3B3" w14:textId="77777777" w:rsidR="00524DB2" w:rsidRPr="001775D9" w:rsidRDefault="00524DB2" w:rsidP="00B61D9D">
      <w:pPr>
        <w:numPr>
          <w:ilvl w:val="0"/>
          <w:numId w:val="22"/>
        </w:numPr>
        <w:spacing w:line="240" w:lineRule="auto"/>
        <w:ind w:left="567" w:hanging="567"/>
      </w:pPr>
      <w:r w:rsidRPr="001775D9">
        <w:t xml:space="preserve">high blood measurements for lactate dehydrogenase; </w:t>
      </w:r>
    </w:p>
    <w:p w14:paraId="7938F1FD" w14:textId="77777777" w:rsidR="00524DB2" w:rsidRPr="001775D9" w:rsidRDefault="00524DB2" w:rsidP="00B61D9D">
      <w:pPr>
        <w:numPr>
          <w:ilvl w:val="0"/>
          <w:numId w:val="22"/>
        </w:numPr>
        <w:spacing w:line="240" w:lineRule="auto"/>
        <w:ind w:left="567" w:hanging="567"/>
      </w:pPr>
      <w:r w:rsidRPr="001775D9">
        <w:t>autoantibodies present in the blood</w:t>
      </w:r>
      <w:r w:rsidR="00E2388D" w:rsidRPr="001775D9">
        <w:t>;</w:t>
      </w:r>
      <w:r w:rsidRPr="001775D9">
        <w:t xml:space="preserve"> </w:t>
      </w:r>
    </w:p>
    <w:p w14:paraId="18A8808E" w14:textId="77777777" w:rsidR="00E2388D" w:rsidRPr="001775D9" w:rsidRDefault="00E2388D" w:rsidP="00163370">
      <w:pPr>
        <w:numPr>
          <w:ilvl w:val="0"/>
          <w:numId w:val="22"/>
        </w:numPr>
        <w:spacing w:line="240" w:lineRule="auto"/>
        <w:ind w:left="567" w:hanging="567"/>
      </w:pPr>
      <w:r w:rsidRPr="001775D9">
        <w:t>low blood potassium.</w:t>
      </w:r>
    </w:p>
    <w:p w14:paraId="135894FD" w14:textId="77777777" w:rsidR="00E2388D" w:rsidRPr="00D55B59" w:rsidRDefault="00E2388D" w:rsidP="007B4B23">
      <w:pPr>
        <w:pStyle w:val="Default"/>
        <w:rPr>
          <w:sz w:val="22"/>
          <w:szCs w:val="22"/>
          <w:lang w:val="en-GB"/>
          <w:rPrChange w:id="3665" w:author="Author">
            <w:rPr>
              <w:sz w:val="22"/>
              <w:szCs w:val="22"/>
            </w:rPr>
          </w:rPrChange>
        </w:rPr>
      </w:pPr>
    </w:p>
    <w:p w14:paraId="485879BD" w14:textId="77777777" w:rsidR="00E2388D" w:rsidRPr="001775D9" w:rsidRDefault="00E2388D" w:rsidP="00B61D9D">
      <w:pPr>
        <w:spacing w:line="240" w:lineRule="auto"/>
        <w:rPr>
          <w:szCs w:val="22"/>
        </w:rPr>
      </w:pPr>
      <w:r w:rsidRPr="001775D9">
        <w:rPr>
          <w:szCs w:val="22"/>
        </w:rPr>
        <w:t>Uncommon (may affect up to 1 in 100 people)</w:t>
      </w:r>
    </w:p>
    <w:p w14:paraId="05431A9C" w14:textId="77777777" w:rsidR="00E2388D" w:rsidRPr="001775D9" w:rsidRDefault="00E2388D" w:rsidP="007B4B23">
      <w:pPr>
        <w:pStyle w:val="ListParagraph"/>
        <w:numPr>
          <w:ilvl w:val="0"/>
          <w:numId w:val="27"/>
        </w:numPr>
        <w:tabs>
          <w:tab w:val="left" w:pos="540"/>
        </w:tabs>
        <w:suppressAutoHyphens/>
        <w:ind w:hanging="720"/>
        <w:contextualSpacing w:val="0"/>
        <w:rPr>
          <w:sz w:val="22"/>
          <w:szCs w:val="22"/>
        </w:rPr>
      </w:pPr>
      <w:r w:rsidRPr="001775D9">
        <w:rPr>
          <w:sz w:val="22"/>
          <w:szCs w:val="22"/>
        </w:rPr>
        <w:t>elevated bilirubin measurement (liver blood test).</w:t>
      </w:r>
    </w:p>
    <w:p w14:paraId="7A608911" w14:textId="77777777" w:rsidR="00524DB2" w:rsidRPr="00D55B59" w:rsidRDefault="00524DB2" w:rsidP="007B4B23">
      <w:pPr>
        <w:pStyle w:val="Default"/>
        <w:rPr>
          <w:sz w:val="22"/>
          <w:szCs w:val="22"/>
          <w:lang w:val="en-GB"/>
          <w:rPrChange w:id="3666" w:author="Author">
            <w:rPr>
              <w:sz w:val="22"/>
              <w:szCs w:val="22"/>
            </w:rPr>
          </w:rPrChange>
        </w:rPr>
      </w:pPr>
    </w:p>
    <w:p w14:paraId="64774C6E" w14:textId="1B4250E4" w:rsidR="00524DB2" w:rsidRPr="00D55B59" w:rsidRDefault="00524DB2" w:rsidP="00CE74EE">
      <w:pPr>
        <w:pStyle w:val="Default"/>
        <w:rPr>
          <w:sz w:val="22"/>
          <w:szCs w:val="22"/>
          <w:lang w:val="en-GB"/>
          <w:rPrChange w:id="3667" w:author="Author">
            <w:rPr>
              <w:sz w:val="22"/>
              <w:szCs w:val="22"/>
            </w:rPr>
          </w:rPrChange>
        </w:rPr>
      </w:pPr>
      <w:r w:rsidRPr="00D55B59">
        <w:rPr>
          <w:sz w:val="22"/>
          <w:szCs w:val="22"/>
          <w:lang w:val="en-GB"/>
          <w:rPrChange w:id="3668" w:author="Author">
            <w:rPr>
              <w:sz w:val="22"/>
              <w:szCs w:val="22"/>
            </w:rPr>
          </w:rPrChange>
        </w:rPr>
        <w:t>Rare (may affect up to 1 in 1,000 people)</w:t>
      </w:r>
    </w:p>
    <w:p w14:paraId="4FBC1085" w14:textId="77777777" w:rsidR="00524DB2" w:rsidRPr="001775D9" w:rsidRDefault="00524DB2" w:rsidP="00B61D9D">
      <w:pPr>
        <w:numPr>
          <w:ilvl w:val="0"/>
          <w:numId w:val="23"/>
        </w:numPr>
        <w:spacing w:line="240" w:lineRule="auto"/>
        <w:ind w:left="567" w:hanging="567"/>
      </w:pPr>
      <w:r w:rsidRPr="001775D9">
        <w:t xml:space="preserve">low blood measurements for white blood cells, red blood cells and platelet count. </w:t>
      </w:r>
    </w:p>
    <w:p w14:paraId="7CD2A21E" w14:textId="77777777" w:rsidR="00524DB2" w:rsidRPr="00D55B59" w:rsidRDefault="00524DB2" w:rsidP="007B4B23">
      <w:pPr>
        <w:pStyle w:val="Default"/>
        <w:rPr>
          <w:sz w:val="22"/>
          <w:szCs w:val="22"/>
          <w:lang w:val="en-GB"/>
          <w:rPrChange w:id="3669" w:author="Author">
            <w:rPr>
              <w:sz w:val="22"/>
              <w:szCs w:val="22"/>
            </w:rPr>
          </w:rPrChange>
        </w:rPr>
      </w:pPr>
    </w:p>
    <w:p w14:paraId="37A25701" w14:textId="650AB567" w:rsidR="00524DB2" w:rsidRPr="001775D9" w:rsidRDefault="00524DB2" w:rsidP="00B61D9D">
      <w:pPr>
        <w:keepNext/>
        <w:numPr>
          <w:ilvl w:val="12"/>
          <w:numId w:val="0"/>
        </w:numPr>
        <w:spacing w:line="240" w:lineRule="auto"/>
        <w:outlineLvl w:val="0"/>
        <w:rPr>
          <w:b/>
          <w:szCs w:val="22"/>
          <w:lang w:eastAsia="zh-TW"/>
        </w:rPr>
      </w:pPr>
      <w:r w:rsidRPr="001775D9">
        <w:rPr>
          <w:b/>
          <w:szCs w:val="22"/>
        </w:rPr>
        <w:t>Reporting of side effects</w:t>
      </w:r>
      <w:r w:rsidR="001C55FB" w:rsidRPr="001775D9">
        <w:rPr>
          <w:b/>
          <w:szCs w:val="22"/>
        </w:rPr>
        <w:fldChar w:fldCharType="begin"/>
      </w:r>
      <w:r w:rsidR="001C55FB" w:rsidRPr="001775D9">
        <w:rPr>
          <w:b/>
          <w:szCs w:val="22"/>
        </w:rPr>
        <w:instrText xml:space="preserve"> DOCVARIABLE vault_nd_33041f75-063f-49a0-86ce-8dd4aefcc2f8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69F08FD0" w14:textId="77777777" w:rsidR="00524DB2" w:rsidRPr="001775D9" w:rsidRDefault="00524DB2" w:rsidP="00B61D9D">
      <w:pPr>
        <w:keepNext/>
        <w:numPr>
          <w:ilvl w:val="12"/>
          <w:numId w:val="0"/>
        </w:numPr>
        <w:spacing w:line="240" w:lineRule="auto"/>
        <w:outlineLvl w:val="0"/>
        <w:rPr>
          <w:b/>
          <w:szCs w:val="22"/>
          <w:lang w:eastAsia="zh-TW"/>
        </w:rPr>
      </w:pPr>
    </w:p>
    <w:p w14:paraId="4CC9FF38" w14:textId="050B3866" w:rsidR="00524DB2" w:rsidRPr="001775D9" w:rsidRDefault="00524DB2" w:rsidP="007B4B23">
      <w:pPr>
        <w:pStyle w:val="BodytextAgency"/>
        <w:rPr>
          <w:sz w:val="22"/>
          <w:lang w:val="en-GB"/>
        </w:rPr>
      </w:pPr>
      <w:r w:rsidRPr="001775D9">
        <w:rPr>
          <w:sz w:val="22"/>
          <w:szCs w:val="22"/>
          <w:lang w:val="en-GB"/>
        </w:rPr>
        <w:t>If you get any side effects, talk to your doctor or pharmacist. This includes any possible side effects not listed in this leaflet.</w:t>
      </w:r>
      <w:r w:rsidRPr="001775D9">
        <w:rPr>
          <w:szCs w:val="22"/>
          <w:lang w:val="en-GB"/>
        </w:rPr>
        <w:t xml:space="preserve"> </w:t>
      </w:r>
      <w:r w:rsidRPr="001775D9">
        <w:rPr>
          <w:sz w:val="22"/>
          <w:szCs w:val="22"/>
          <w:lang w:val="en-GB"/>
        </w:rPr>
        <w:t xml:space="preserve">You can also report side effects directly via </w:t>
      </w:r>
      <w:r>
        <w:rPr>
          <w:sz w:val="22"/>
          <w:szCs w:val="22"/>
          <w:highlight w:val="lightGray"/>
          <w:lang w:val="en-GB"/>
        </w:rPr>
        <w:t xml:space="preserve">the national reporting system listed in </w:t>
      </w:r>
      <w:r w:rsidRPr="00D55B59">
        <w:rPr>
          <w:lang w:val="en-GB"/>
          <w:rPrChange w:id="3670" w:author="Author">
            <w:rPr/>
          </w:rPrChange>
        </w:rPr>
        <w:fldChar w:fldCharType="begin"/>
      </w:r>
      <w:r w:rsidRPr="00D55B59">
        <w:rPr>
          <w:lang w:val="en-GB"/>
          <w:rPrChange w:id="3671" w:author="Author">
            <w:rPr/>
          </w:rPrChange>
        </w:rPr>
        <w:instrText>HYPERLINK "https://www.ema.europa.eu/documents/template-form/qrd-appendix-v-adverse-drug-reaction-reporting-details_en.docx"</w:instrText>
      </w:r>
      <w:r w:rsidRPr="0054063C">
        <w:rPr>
          <w:lang w:val="en-GB"/>
        </w:rPr>
      </w:r>
      <w:r w:rsidRPr="00D55B59">
        <w:rPr>
          <w:lang w:val="en-GB"/>
          <w:rPrChange w:id="3672" w:author="Author">
            <w:rPr/>
          </w:rPrChange>
        </w:rPr>
        <w:fldChar w:fldCharType="separate"/>
      </w:r>
      <w:r>
        <w:rPr>
          <w:rStyle w:val="Hyperlink"/>
          <w:sz w:val="22"/>
          <w:szCs w:val="22"/>
          <w:highlight w:val="lightGray"/>
          <w:lang w:val="en-GB"/>
        </w:rPr>
        <w:t>Appendix V</w:t>
      </w:r>
      <w:r w:rsidRPr="00D55B59">
        <w:rPr>
          <w:lang w:val="en-GB"/>
          <w:rPrChange w:id="3673" w:author="Author">
            <w:rPr/>
          </w:rPrChange>
        </w:rPr>
        <w:fldChar w:fldCharType="end"/>
      </w:r>
      <w:r w:rsidRPr="001775D9">
        <w:rPr>
          <w:sz w:val="22"/>
          <w:lang w:val="en-GB"/>
        </w:rPr>
        <w:t>. By reporting side effects you can help provide more information on the safety of this medicine.</w:t>
      </w:r>
    </w:p>
    <w:p w14:paraId="7C50ED51" w14:textId="77777777" w:rsidR="00524DB2" w:rsidRPr="001775D9" w:rsidRDefault="00524DB2" w:rsidP="00B61D9D">
      <w:pPr>
        <w:autoSpaceDE w:val="0"/>
        <w:autoSpaceDN w:val="0"/>
        <w:adjustRightInd w:val="0"/>
        <w:spacing w:line="240" w:lineRule="auto"/>
        <w:rPr>
          <w:szCs w:val="22"/>
        </w:rPr>
      </w:pPr>
    </w:p>
    <w:p w14:paraId="47AD44CC" w14:textId="77777777" w:rsidR="00FD75A3" w:rsidRPr="001775D9" w:rsidRDefault="00FD75A3" w:rsidP="00B61D9D">
      <w:pPr>
        <w:autoSpaceDE w:val="0"/>
        <w:autoSpaceDN w:val="0"/>
        <w:adjustRightInd w:val="0"/>
        <w:spacing w:line="240" w:lineRule="auto"/>
        <w:rPr>
          <w:szCs w:val="22"/>
        </w:rPr>
      </w:pPr>
    </w:p>
    <w:p w14:paraId="5D351010" w14:textId="77777777" w:rsidR="00524DB2" w:rsidRPr="001775D9" w:rsidRDefault="00524DB2" w:rsidP="007B4B23">
      <w:pPr>
        <w:keepNext/>
        <w:numPr>
          <w:ilvl w:val="12"/>
          <w:numId w:val="0"/>
        </w:numPr>
        <w:tabs>
          <w:tab w:val="clear" w:pos="567"/>
        </w:tabs>
        <w:spacing w:line="240" w:lineRule="auto"/>
        <w:ind w:left="567" w:right="-2" w:hanging="567"/>
        <w:rPr>
          <w:b/>
          <w:szCs w:val="22"/>
        </w:rPr>
      </w:pPr>
      <w:r w:rsidRPr="001775D9">
        <w:rPr>
          <w:b/>
          <w:szCs w:val="22"/>
        </w:rPr>
        <w:t>5.</w:t>
      </w:r>
      <w:r w:rsidRPr="001775D9">
        <w:rPr>
          <w:b/>
          <w:szCs w:val="22"/>
        </w:rPr>
        <w:tab/>
        <w:t>How to store AMGEVITA</w:t>
      </w:r>
    </w:p>
    <w:p w14:paraId="57B61A5D" w14:textId="77777777" w:rsidR="00524DB2" w:rsidRPr="001775D9" w:rsidRDefault="00524DB2" w:rsidP="007B4B23">
      <w:pPr>
        <w:keepNext/>
        <w:numPr>
          <w:ilvl w:val="12"/>
          <w:numId w:val="0"/>
        </w:numPr>
        <w:tabs>
          <w:tab w:val="clear" w:pos="567"/>
        </w:tabs>
        <w:spacing w:line="240" w:lineRule="auto"/>
        <w:ind w:right="-2"/>
        <w:rPr>
          <w:szCs w:val="22"/>
        </w:rPr>
      </w:pPr>
    </w:p>
    <w:p w14:paraId="001E58DA" w14:textId="77777777" w:rsidR="00524DB2" w:rsidRPr="001775D9" w:rsidRDefault="00524DB2" w:rsidP="007B4B23">
      <w:pPr>
        <w:keepNext/>
        <w:numPr>
          <w:ilvl w:val="12"/>
          <w:numId w:val="0"/>
        </w:numPr>
        <w:tabs>
          <w:tab w:val="clear" w:pos="567"/>
        </w:tabs>
        <w:spacing w:line="240" w:lineRule="auto"/>
        <w:ind w:right="-2"/>
        <w:rPr>
          <w:szCs w:val="22"/>
        </w:rPr>
      </w:pPr>
      <w:r w:rsidRPr="001775D9">
        <w:rPr>
          <w:szCs w:val="22"/>
        </w:rPr>
        <w:t xml:space="preserve">Keep </w:t>
      </w:r>
      <w:r w:rsidRPr="001775D9">
        <w:t xml:space="preserve">this medicine </w:t>
      </w:r>
      <w:r w:rsidRPr="001775D9">
        <w:rPr>
          <w:szCs w:val="22"/>
        </w:rPr>
        <w:t>out of the sight and reach of children.</w:t>
      </w:r>
    </w:p>
    <w:p w14:paraId="2743485D" w14:textId="77777777" w:rsidR="00524DB2" w:rsidRPr="001775D9" w:rsidRDefault="00524DB2" w:rsidP="007B4B23">
      <w:pPr>
        <w:keepNext/>
        <w:suppressLineNumbers/>
        <w:spacing w:line="240" w:lineRule="auto"/>
        <w:rPr>
          <w:color w:val="000000"/>
          <w:szCs w:val="22"/>
        </w:rPr>
      </w:pPr>
    </w:p>
    <w:p w14:paraId="5B3BCEDC" w14:textId="77777777" w:rsidR="00524DB2" w:rsidRPr="001775D9" w:rsidRDefault="00524DB2" w:rsidP="007B4B23">
      <w:pPr>
        <w:numPr>
          <w:ilvl w:val="12"/>
          <w:numId w:val="0"/>
        </w:numPr>
        <w:tabs>
          <w:tab w:val="clear" w:pos="567"/>
        </w:tabs>
        <w:spacing w:line="240" w:lineRule="auto"/>
        <w:ind w:right="-2"/>
        <w:rPr>
          <w:szCs w:val="22"/>
        </w:rPr>
      </w:pPr>
      <w:r w:rsidRPr="001775D9">
        <w:rPr>
          <w:szCs w:val="22"/>
        </w:rPr>
        <w:t>Do not use this medicine after the expiry date which is stated on the label and carton after EXP. The expiry date refers to the last day of that month.</w:t>
      </w:r>
    </w:p>
    <w:p w14:paraId="207BA331" w14:textId="77777777" w:rsidR="00524DB2" w:rsidRPr="001775D9" w:rsidRDefault="00524DB2" w:rsidP="007B4B23">
      <w:pPr>
        <w:numPr>
          <w:ilvl w:val="12"/>
          <w:numId w:val="0"/>
        </w:numPr>
        <w:tabs>
          <w:tab w:val="clear" w:pos="567"/>
        </w:tabs>
        <w:spacing w:line="240" w:lineRule="auto"/>
        <w:ind w:right="-2"/>
        <w:rPr>
          <w:szCs w:val="22"/>
        </w:rPr>
      </w:pPr>
    </w:p>
    <w:p w14:paraId="42305D67" w14:textId="77777777" w:rsidR="00524DB2" w:rsidRPr="001775D9" w:rsidRDefault="00524DB2" w:rsidP="007B4B23">
      <w:pPr>
        <w:keepNext/>
        <w:suppressLineNumbers/>
        <w:spacing w:line="240" w:lineRule="auto"/>
        <w:rPr>
          <w:szCs w:val="22"/>
        </w:rPr>
      </w:pPr>
      <w:r w:rsidRPr="001775D9">
        <w:rPr>
          <w:color w:val="000000"/>
          <w:szCs w:val="22"/>
        </w:rPr>
        <w:t>Store in a refrigerator (2</w:t>
      </w:r>
      <w:r w:rsidRPr="001775D9">
        <w:rPr>
          <w:color w:val="000000"/>
          <w:szCs w:val="22"/>
        </w:rPr>
        <w:sym w:font="Symbol" w:char="F0B0"/>
      </w:r>
      <w:r w:rsidRPr="001775D9">
        <w:rPr>
          <w:color w:val="000000"/>
          <w:szCs w:val="22"/>
        </w:rPr>
        <w:t>C – 8</w:t>
      </w:r>
      <w:r w:rsidRPr="001775D9">
        <w:rPr>
          <w:color w:val="000000"/>
          <w:szCs w:val="22"/>
        </w:rPr>
        <w:sym w:font="Symbol" w:char="F0B0"/>
      </w:r>
      <w:r w:rsidRPr="001775D9">
        <w:rPr>
          <w:color w:val="000000"/>
          <w:szCs w:val="22"/>
        </w:rPr>
        <w:t xml:space="preserve">C). Do not freeze. </w:t>
      </w:r>
    </w:p>
    <w:p w14:paraId="547C00A6" w14:textId="77777777" w:rsidR="00524DB2" w:rsidRPr="001775D9" w:rsidRDefault="00524DB2" w:rsidP="007B4B23">
      <w:pPr>
        <w:numPr>
          <w:ilvl w:val="12"/>
          <w:numId w:val="0"/>
        </w:numPr>
        <w:tabs>
          <w:tab w:val="clear" w:pos="567"/>
        </w:tabs>
        <w:spacing w:line="240" w:lineRule="auto"/>
        <w:ind w:right="-2"/>
        <w:rPr>
          <w:color w:val="000000"/>
          <w:szCs w:val="22"/>
        </w:rPr>
      </w:pPr>
    </w:p>
    <w:p w14:paraId="3431BE0B" w14:textId="77777777" w:rsidR="00524DB2" w:rsidRPr="001775D9" w:rsidRDefault="00524DB2" w:rsidP="007B4B23">
      <w:pPr>
        <w:numPr>
          <w:ilvl w:val="12"/>
          <w:numId w:val="0"/>
        </w:numPr>
        <w:tabs>
          <w:tab w:val="clear" w:pos="567"/>
        </w:tabs>
        <w:spacing w:line="240" w:lineRule="auto"/>
        <w:ind w:right="-2"/>
        <w:rPr>
          <w:szCs w:val="22"/>
        </w:rPr>
      </w:pPr>
      <w:r w:rsidRPr="001775D9">
        <w:rPr>
          <w:szCs w:val="22"/>
        </w:rPr>
        <w:t xml:space="preserve">Store in the original carton in order to protect from light. </w:t>
      </w:r>
    </w:p>
    <w:p w14:paraId="73546863" w14:textId="77777777" w:rsidR="00524DB2" w:rsidRPr="001775D9" w:rsidRDefault="00524DB2" w:rsidP="007B4B23">
      <w:pPr>
        <w:keepNext/>
        <w:suppressLineNumbers/>
        <w:spacing w:line="240" w:lineRule="auto"/>
        <w:rPr>
          <w:szCs w:val="22"/>
        </w:rPr>
      </w:pPr>
    </w:p>
    <w:p w14:paraId="0835873E" w14:textId="77777777" w:rsidR="00524DB2" w:rsidRPr="001775D9" w:rsidRDefault="00524DB2" w:rsidP="007B4B23">
      <w:pPr>
        <w:keepNext/>
        <w:suppressLineNumbers/>
        <w:spacing w:line="240" w:lineRule="auto"/>
        <w:rPr>
          <w:szCs w:val="22"/>
        </w:rPr>
      </w:pPr>
      <w:r w:rsidRPr="001775D9">
        <w:rPr>
          <w:szCs w:val="22"/>
        </w:rPr>
        <w:t>A single AMGEVITA pre-filled pen may be stored at temperatures up to a maximum of 25°C for a period of up to 14 days. The pre-filled pen must be protected from light, and discarded if not used within the 14-day period.</w:t>
      </w:r>
    </w:p>
    <w:p w14:paraId="089210F2" w14:textId="77777777" w:rsidR="00524DB2" w:rsidRPr="001775D9" w:rsidRDefault="00524DB2" w:rsidP="007B4B23">
      <w:pPr>
        <w:numPr>
          <w:ilvl w:val="12"/>
          <w:numId w:val="0"/>
        </w:numPr>
        <w:tabs>
          <w:tab w:val="clear" w:pos="567"/>
        </w:tabs>
        <w:spacing w:line="240" w:lineRule="auto"/>
        <w:ind w:right="-2"/>
        <w:rPr>
          <w:szCs w:val="22"/>
        </w:rPr>
      </w:pPr>
    </w:p>
    <w:p w14:paraId="66A0C8F6" w14:textId="77777777" w:rsidR="00524DB2" w:rsidRPr="001775D9" w:rsidRDefault="00524DB2" w:rsidP="007B4B23">
      <w:pPr>
        <w:spacing w:line="240" w:lineRule="auto"/>
        <w:rPr>
          <w:i/>
          <w:iCs/>
          <w:szCs w:val="22"/>
        </w:rPr>
      </w:pPr>
      <w:r w:rsidRPr="001775D9">
        <w:rPr>
          <w:szCs w:val="22"/>
        </w:rPr>
        <w:t xml:space="preserve">Do not </w:t>
      </w:r>
      <w:r w:rsidRPr="001775D9">
        <w:t xml:space="preserve">throw away any medicines </w:t>
      </w:r>
      <w:r w:rsidRPr="001775D9">
        <w:rPr>
          <w:szCs w:val="22"/>
        </w:rPr>
        <w:t xml:space="preserve">via wastewater or household waste. Ask your pharmacist how to </w:t>
      </w:r>
      <w:r w:rsidRPr="001775D9">
        <w:t xml:space="preserve">throw away </w:t>
      </w:r>
      <w:r w:rsidRPr="001775D9">
        <w:rPr>
          <w:szCs w:val="22"/>
        </w:rPr>
        <w:t xml:space="preserve">medicines you no longer use. These measures will help protect the environment. </w:t>
      </w:r>
    </w:p>
    <w:p w14:paraId="414A7649" w14:textId="77777777" w:rsidR="00524DB2" w:rsidRPr="001775D9" w:rsidRDefault="00524DB2" w:rsidP="007B4B23">
      <w:pPr>
        <w:numPr>
          <w:ilvl w:val="12"/>
          <w:numId w:val="0"/>
        </w:numPr>
        <w:tabs>
          <w:tab w:val="clear" w:pos="567"/>
        </w:tabs>
        <w:spacing w:line="240" w:lineRule="auto"/>
        <w:ind w:right="-2"/>
        <w:rPr>
          <w:szCs w:val="22"/>
        </w:rPr>
      </w:pPr>
    </w:p>
    <w:p w14:paraId="60A89E17" w14:textId="77777777" w:rsidR="0098482D" w:rsidRPr="001775D9" w:rsidRDefault="0098482D" w:rsidP="007B4B23">
      <w:pPr>
        <w:numPr>
          <w:ilvl w:val="12"/>
          <w:numId w:val="0"/>
        </w:numPr>
        <w:tabs>
          <w:tab w:val="clear" w:pos="567"/>
        </w:tabs>
        <w:spacing w:line="240" w:lineRule="auto"/>
        <w:ind w:right="-2"/>
        <w:rPr>
          <w:szCs w:val="22"/>
        </w:rPr>
      </w:pPr>
    </w:p>
    <w:p w14:paraId="3FC5D4D0" w14:textId="77777777" w:rsidR="0098482D" w:rsidRPr="001775D9" w:rsidRDefault="0098482D" w:rsidP="00B61D9D">
      <w:pPr>
        <w:keepNext/>
        <w:numPr>
          <w:ilvl w:val="12"/>
          <w:numId w:val="0"/>
        </w:numPr>
        <w:spacing w:line="240" w:lineRule="auto"/>
        <w:ind w:left="567" w:hanging="567"/>
        <w:rPr>
          <w:b/>
        </w:rPr>
      </w:pPr>
      <w:r w:rsidRPr="001775D9">
        <w:rPr>
          <w:b/>
        </w:rPr>
        <w:t>6.</w:t>
      </w:r>
      <w:r w:rsidRPr="001775D9">
        <w:rPr>
          <w:b/>
        </w:rPr>
        <w:tab/>
        <w:t>Contents of the pack and other information</w:t>
      </w:r>
    </w:p>
    <w:p w14:paraId="2381FE17" w14:textId="77777777" w:rsidR="0098482D" w:rsidRPr="001775D9" w:rsidRDefault="0098482D" w:rsidP="007B4B23">
      <w:pPr>
        <w:keepNext/>
        <w:numPr>
          <w:ilvl w:val="12"/>
          <w:numId w:val="0"/>
        </w:numPr>
        <w:tabs>
          <w:tab w:val="clear" w:pos="567"/>
        </w:tabs>
        <w:spacing w:line="240" w:lineRule="auto"/>
      </w:pPr>
    </w:p>
    <w:p w14:paraId="4CFD799E" w14:textId="77777777" w:rsidR="00524DB2" w:rsidRPr="001775D9" w:rsidRDefault="00524DB2" w:rsidP="007B4B23">
      <w:pPr>
        <w:keepNext/>
        <w:numPr>
          <w:ilvl w:val="12"/>
          <w:numId w:val="0"/>
        </w:numPr>
        <w:tabs>
          <w:tab w:val="clear" w:pos="567"/>
        </w:tabs>
        <w:spacing w:line="240" w:lineRule="auto"/>
        <w:ind w:right="-2"/>
        <w:rPr>
          <w:b/>
        </w:rPr>
      </w:pPr>
      <w:r w:rsidRPr="001775D9">
        <w:rPr>
          <w:b/>
        </w:rPr>
        <w:t xml:space="preserve">What </w:t>
      </w:r>
      <w:r w:rsidRPr="001775D9">
        <w:rPr>
          <w:b/>
          <w:szCs w:val="22"/>
        </w:rPr>
        <w:t>AMGEVITA</w:t>
      </w:r>
      <w:r w:rsidRPr="001775D9">
        <w:rPr>
          <w:b/>
        </w:rPr>
        <w:t xml:space="preserve"> contains </w:t>
      </w:r>
    </w:p>
    <w:p w14:paraId="332F8442" w14:textId="77777777" w:rsidR="00524DB2" w:rsidRPr="001775D9" w:rsidRDefault="00524DB2" w:rsidP="007B4B23">
      <w:pPr>
        <w:keepNext/>
        <w:numPr>
          <w:ilvl w:val="0"/>
          <w:numId w:val="4"/>
        </w:numPr>
        <w:tabs>
          <w:tab w:val="clear" w:pos="567"/>
        </w:tabs>
        <w:spacing w:line="240" w:lineRule="auto"/>
        <w:ind w:left="567" w:right="-2" w:hanging="567"/>
        <w:rPr>
          <w:i/>
          <w:iCs/>
          <w:szCs w:val="22"/>
        </w:rPr>
      </w:pPr>
      <w:r w:rsidRPr="001775D9">
        <w:t xml:space="preserve">The active substance is </w:t>
      </w:r>
      <w:r w:rsidRPr="001775D9">
        <w:rPr>
          <w:szCs w:val="22"/>
        </w:rPr>
        <w:t xml:space="preserve">adalimumab. Each pre-filled </w:t>
      </w:r>
      <w:r w:rsidR="004F42B9" w:rsidRPr="001775D9">
        <w:rPr>
          <w:szCs w:val="22"/>
        </w:rPr>
        <w:t>pen</w:t>
      </w:r>
      <w:r w:rsidRPr="001775D9">
        <w:rPr>
          <w:szCs w:val="22"/>
        </w:rPr>
        <w:t xml:space="preserve"> contains 40</w:t>
      </w:r>
      <w:r w:rsidR="002B6149" w:rsidRPr="001775D9">
        <w:rPr>
          <w:szCs w:val="22"/>
        </w:rPr>
        <w:t> </w:t>
      </w:r>
      <w:r w:rsidRPr="001775D9">
        <w:rPr>
          <w:szCs w:val="22"/>
        </w:rPr>
        <w:t>mg of adalimumab in 0.8</w:t>
      </w:r>
      <w:r w:rsidR="00FD75A3" w:rsidRPr="001775D9">
        <w:rPr>
          <w:szCs w:val="22"/>
        </w:rPr>
        <w:t> </w:t>
      </w:r>
      <w:r w:rsidRPr="001775D9">
        <w:rPr>
          <w:szCs w:val="22"/>
        </w:rPr>
        <w:t>mL of solution.</w:t>
      </w:r>
    </w:p>
    <w:p w14:paraId="40F193FF" w14:textId="3D4C1227" w:rsidR="00524DB2" w:rsidRPr="001775D9" w:rsidRDefault="00524DB2" w:rsidP="007B4B23">
      <w:pPr>
        <w:numPr>
          <w:ilvl w:val="0"/>
          <w:numId w:val="4"/>
        </w:numPr>
        <w:tabs>
          <w:tab w:val="clear" w:pos="567"/>
        </w:tabs>
        <w:spacing w:line="240" w:lineRule="auto"/>
        <w:ind w:left="567" w:hanging="567"/>
        <w:rPr>
          <w:szCs w:val="22"/>
        </w:rPr>
      </w:pPr>
      <w:r w:rsidRPr="001775D9">
        <w:rPr>
          <w:szCs w:val="22"/>
        </w:rPr>
        <w:t xml:space="preserve">The other ingredients are glacial acetic acid, sucrose, polysorbate 80, </w:t>
      </w:r>
      <w:r w:rsidRPr="001775D9">
        <w:rPr>
          <w:szCs w:val="22"/>
          <w:lang w:eastAsia="en-GB"/>
        </w:rPr>
        <w:t xml:space="preserve">sodium hydroxide </w:t>
      </w:r>
      <w:r w:rsidRPr="001775D9">
        <w:rPr>
          <w:szCs w:val="22"/>
        </w:rPr>
        <w:t>and water for injection</w:t>
      </w:r>
      <w:r w:rsidR="00503B55" w:rsidRPr="001775D9">
        <w:rPr>
          <w:szCs w:val="22"/>
        </w:rPr>
        <w:t>s</w:t>
      </w:r>
      <w:r w:rsidRPr="001775D9">
        <w:rPr>
          <w:szCs w:val="22"/>
        </w:rPr>
        <w:t>.</w:t>
      </w:r>
    </w:p>
    <w:p w14:paraId="0EC76413" w14:textId="77777777" w:rsidR="00524DB2" w:rsidRPr="001775D9" w:rsidRDefault="00524DB2" w:rsidP="007B4B23">
      <w:pPr>
        <w:tabs>
          <w:tab w:val="clear" w:pos="567"/>
        </w:tabs>
        <w:spacing w:line="240" w:lineRule="auto"/>
        <w:rPr>
          <w:szCs w:val="22"/>
        </w:rPr>
      </w:pPr>
    </w:p>
    <w:p w14:paraId="1256D67E" w14:textId="77777777" w:rsidR="00524DB2" w:rsidRPr="001775D9" w:rsidRDefault="00524DB2" w:rsidP="007B4B23">
      <w:pPr>
        <w:keepNext/>
        <w:numPr>
          <w:ilvl w:val="12"/>
          <w:numId w:val="0"/>
        </w:numPr>
        <w:tabs>
          <w:tab w:val="clear" w:pos="567"/>
        </w:tabs>
        <w:spacing w:line="240" w:lineRule="auto"/>
        <w:ind w:right="-2"/>
        <w:rPr>
          <w:b/>
        </w:rPr>
      </w:pPr>
      <w:r w:rsidRPr="001775D9">
        <w:rPr>
          <w:b/>
        </w:rPr>
        <w:t xml:space="preserve">What </w:t>
      </w:r>
      <w:r w:rsidRPr="001775D9">
        <w:rPr>
          <w:b/>
          <w:szCs w:val="22"/>
        </w:rPr>
        <w:t>AMGEVITA</w:t>
      </w:r>
      <w:r w:rsidRPr="001775D9">
        <w:rPr>
          <w:b/>
        </w:rPr>
        <w:t xml:space="preserve"> looks like and contents of the pack</w:t>
      </w:r>
    </w:p>
    <w:p w14:paraId="286F4BFC" w14:textId="77777777" w:rsidR="00524DB2" w:rsidRPr="001775D9" w:rsidRDefault="00524DB2" w:rsidP="007B4B23">
      <w:pPr>
        <w:keepNext/>
        <w:numPr>
          <w:ilvl w:val="12"/>
          <w:numId w:val="0"/>
        </w:numPr>
        <w:tabs>
          <w:tab w:val="clear" w:pos="567"/>
        </w:tabs>
        <w:spacing w:line="240" w:lineRule="auto"/>
        <w:rPr>
          <w:szCs w:val="22"/>
        </w:rPr>
      </w:pPr>
    </w:p>
    <w:p w14:paraId="50C2BC77" w14:textId="77777777" w:rsidR="00524DB2" w:rsidRPr="001775D9" w:rsidRDefault="00524DB2" w:rsidP="007B4B23">
      <w:pPr>
        <w:keepNext/>
        <w:tabs>
          <w:tab w:val="clear" w:pos="567"/>
        </w:tabs>
        <w:autoSpaceDE w:val="0"/>
        <w:autoSpaceDN w:val="0"/>
        <w:adjustRightInd w:val="0"/>
        <w:spacing w:line="240" w:lineRule="auto"/>
        <w:rPr>
          <w:szCs w:val="22"/>
        </w:rPr>
      </w:pPr>
      <w:r w:rsidRPr="001775D9">
        <w:rPr>
          <w:szCs w:val="22"/>
        </w:rPr>
        <w:t xml:space="preserve">AMGEVITA is a clear </w:t>
      </w:r>
      <w:r w:rsidR="00397168" w:rsidRPr="001775D9">
        <w:rPr>
          <w:rFonts w:eastAsia="Calibri"/>
          <w:bCs/>
          <w:szCs w:val="22"/>
        </w:rPr>
        <w:t>and colourless to slightly yellow</w:t>
      </w:r>
      <w:r w:rsidR="00397168" w:rsidRPr="001775D9">
        <w:rPr>
          <w:szCs w:val="22"/>
        </w:rPr>
        <w:t xml:space="preserve"> </w:t>
      </w:r>
      <w:r w:rsidRPr="001775D9">
        <w:rPr>
          <w:szCs w:val="22"/>
        </w:rPr>
        <w:t>solution.</w:t>
      </w:r>
    </w:p>
    <w:p w14:paraId="59C50ABA" w14:textId="77777777" w:rsidR="00524DB2" w:rsidRPr="001775D9" w:rsidRDefault="00524DB2" w:rsidP="007B4B23">
      <w:pPr>
        <w:keepNext/>
        <w:tabs>
          <w:tab w:val="clear" w:pos="567"/>
        </w:tabs>
        <w:autoSpaceDE w:val="0"/>
        <w:autoSpaceDN w:val="0"/>
        <w:adjustRightInd w:val="0"/>
        <w:spacing w:line="240" w:lineRule="auto"/>
        <w:rPr>
          <w:szCs w:val="22"/>
        </w:rPr>
      </w:pPr>
    </w:p>
    <w:p w14:paraId="7739782E" w14:textId="77777777" w:rsidR="00524DB2" w:rsidRPr="001775D9" w:rsidRDefault="00524DB2" w:rsidP="007B4B23">
      <w:pPr>
        <w:tabs>
          <w:tab w:val="clear" w:pos="567"/>
        </w:tabs>
        <w:autoSpaceDE w:val="0"/>
        <w:autoSpaceDN w:val="0"/>
        <w:adjustRightInd w:val="0"/>
        <w:spacing w:line="240" w:lineRule="auto"/>
        <w:rPr>
          <w:szCs w:val="22"/>
          <w:highlight w:val="yellow"/>
        </w:rPr>
      </w:pPr>
      <w:r w:rsidRPr="001775D9">
        <w:rPr>
          <w:szCs w:val="22"/>
        </w:rPr>
        <w:t xml:space="preserve">Each pack </w:t>
      </w:r>
      <w:r w:rsidR="00CD07C6" w:rsidRPr="001775D9">
        <w:rPr>
          <w:szCs w:val="22"/>
        </w:rPr>
        <w:t>contains</w:t>
      </w:r>
      <w:r w:rsidRPr="001775D9">
        <w:rPr>
          <w:szCs w:val="22"/>
        </w:rPr>
        <w:t xml:space="preserve"> 1, 2, 4 or 6 single use SureClick pre-filled pens. </w:t>
      </w:r>
    </w:p>
    <w:p w14:paraId="72C46B27" w14:textId="77777777" w:rsidR="00524DB2" w:rsidRPr="001775D9" w:rsidRDefault="00524DB2" w:rsidP="007B4B23">
      <w:pPr>
        <w:numPr>
          <w:ilvl w:val="12"/>
          <w:numId w:val="0"/>
        </w:numPr>
        <w:tabs>
          <w:tab w:val="clear" w:pos="567"/>
        </w:tabs>
        <w:spacing w:line="240" w:lineRule="auto"/>
        <w:rPr>
          <w:szCs w:val="22"/>
          <w:highlight w:val="yellow"/>
        </w:rPr>
      </w:pPr>
    </w:p>
    <w:p w14:paraId="744FAD7A" w14:textId="77777777" w:rsidR="00524DB2" w:rsidRPr="00D55B59" w:rsidRDefault="00524DB2" w:rsidP="007B4B23">
      <w:pPr>
        <w:pStyle w:val="lbltxt"/>
        <w:keepNext/>
        <w:keepLines/>
        <w:rPr>
          <w:noProof w:val="0"/>
          <w:lang w:val="en-GB"/>
          <w:rPrChange w:id="3674" w:author="Author">
            <w:rPr>
              <w:noProof w:val="0"/>
            </w:rPr>
          </w:rPrChange>
        </w:rPr>
      </w:pPr>
      <w:r w:rsidRPr="00D55B59">
        <w:rPr>
          <w:b/>
          <w:bCs/>
          <w:noProof w:val="0"/>
          <w:lang w:val="en-GB"/>
          <w:rPrChange w:id="3675" w:author="Author">
            <w:rPr>
              <w:b/>
              <w:bCs/>
              <w:noProof w:val="0"/>
            </w:rPr>
          </w:rPrChange>
        </w:rPr>
        <w:t>Marketing Authorisation Holder and Manufacturer</w:t>
      </w:r>
    </w:p>
    <w:p w14:paraId="2FBF1A55" w14:textId="4B06A32E" w:rsidR="00524DB2" w:rsidRPr="00D55B59" w:rsidRDefault="00524DB2" w:rsidP="007B4B23">
      <w:pPr>
        <w:pStyle w:val="lbltxt"/>
        <w:keepNext/>
        <w:keepLines/>
        <w:rPr>
          <w:noProof w:val="0"/>
          <w:lang w:val="en-GB"/>
          <w:rPrChange w:id="3676" w:author="Author">
            <w:rPr>
              <w:noProof w:val="0"/>
            </w:rPr>
          </w:rPrChange>
        </w:rPr>
      </w:pPr>
      <w:r w:rsidRPr="00D55B59">
        <w:rPr>
          <w:noProof w:val="0"/>
          <w:lang w:val="en-GB"/>
          <w:rPrChange w:id="3677" w:author="Author">
            <w:rPr>
              <w:noProof w:val="0"/>
            </w:rPr>
          </w:rPrChange>
        </w:rPr>
        <w:t xml:space="preserve">Amgen Europe B.V. </w:t>
      </w:r>
      <w:r w:rsidRPr="00D55B59">
        <w:rPr>
          <w:noProof w:val="0"/>
          <w:lang w:val="en-GB"/>
          <w:rPrChange w:id="3678" w:author="Author">
            <w:rPr>
              <w:noProof w:val="0"/>
            </w:rPr>
          </w:rPrChange>
        </w:rPr>
        <w:br/>
        <w:t xml:space="preserve">Minervum 7061 </w:t>
      </w:r>
      <w:r w:rsidRPr="00D55B59">
        <w:rPr>
          <w:noProof w:val="0"/>
          <w:lang w:val="en-GB"/>
          <w:rPrChange w:id="3679" w:author="Author">
            <w:rPr>
              <w:noProof w:val="0"/>
            </w:rPr>
          </w:rPrChange>
        </w:rPr>
        <w:br/>
        <w:t xml:space="preserve">4817 ZK Breda </w:t>
      </w:r>
      <w:r w:rsidRPr="00D55B59">
        <w:rPr>
          <w:noProof w:val="0"/>
          <w:lang w:val="en-GB"/>
          <w:rPrChange w:id="3680" w:author="Author">
            <w:rPr>
              <w:noProof w:val="0"/>
            </w:rPr>
          </w:rPrChange>
        </w:rPr>
        <w:br/>
        <w:t>The Netherlands</w:t>
      </w:r>
    </w:p>
    <w:p w14:paraId="5161EFD7" w14:textId="77777777" w:rsidR="00524DB2" w:rsidRPr="00D55B59" w:rsidRDefault="00524DB2" w:rsidP="007B4B23">
      <w:pPr>
        <w:pStyle w:val="lbltxt"/>
        <w:keepNext/>
        <w:rPr>
          <w:noProof w:val="0"/>
          <w:lang w:val="en-GB"/>
          <w:rPrChange w:id="3681" w:author="Author">
            <w:rPr>
              <w:noProof w:val="0"/>
            </w:rPr>
          </w:rPrChange>
        </w:rPr>
      </w:pPr>
    </w:p>
    <w:p w14:paraId="353AF774" w14:textId="77777777" w:rsidR="00524DB2" w:rsidRPr="00D55B59" w:rsidRDefault="00DE0EA8" w:rsidP="007B4B23">
      <w:pPr>
        <w:pStyle w:val="lbltxt"/>
        <w:keepNext/>
        <w:keepLines/>
        <w:rPr>
          <w:b/>
          <w:bCs/>
          <w:noProof w:val="0"/>
          <w:highlight w:val="lightGray"/>
          <w:lang w:val="en-GB"/>
          <w:rPrChange w:id="3682" w:author="Author">
            <w:rPr>
              <w:b/>
              <w:bCs/>
              <w:noProof w:val="0"/>
              <w:highlight w:val="lightGray"/>
            </w:rPr>
          </w:rPrChange>
        </w:rPr>
      </w:pPr>
      <w:r w:rsidRPr="00D55B59">
        <w:rPr>
          <w:b/>
          <w:bCs/>
          <w:noProof w:val="0"/>
          <w:highlight w:val="lightGray"/>
          <w:lang w:val="en-GB"/>
          <w:rPrChange w:id="3683" w:author="Author">
            <w:rPr>
              <w:b/>
              <w:bCs/>
              <w:noProof w:val="0"/>
              <w:highlight w:val="lightGray"/>
            </w:rPr>
          </w:rPrChange>
        </w:rPr>
        <w:t>Marketing Authorisation Holder</w:t>
      </w:r>
    </w:p>
    <w:p w14:paraId="3233E9A5" w14:textId="58AEF4A6" w:rsidR="00524DB2" w:rsidRPr="00D55B59" w:rsidRDefault="00524DB2" w:rsidP="007B4B23">
      <w:pPr>
        <w:pStyle w:val="lbltxt"/>
        <w:keepNext/>
        <w:keepLines/>
        <w:rPr>
          <w:noProof w:val="0"/>
          <w:highlight w:val="lightGray"/>
          <w:lang w:val="en-GB"/>
          <w:rPrChange w:id="3684" w:author="Author">
            <w:rPr>
              <w:noProof w:val="0"/>
              <w:highlight w:val="lightGray"/>
            </w:rPr>
          </w:rPrChange>
        </w:rPr>
      </w:pPr>
      <w:r w:rsidRPr="00D55B59">
        <w:rPr>
          <w:noProof w:val="0"/>
          <w:highlight w:val="lightGray"/>
          <w:lang w:val="en-GB"/>
          <w:rPrChange w:id="3685" w:author="Author">
            <w:rPr>
              <w:noProof w:val="0"/>
              <w:highlight w:val="lightGray"/>
            </w:rPr>
          </w:rPrChange>
        </w:rPr>
        <w:t xml:space="preserve">Amgen Europe B.V. </w:t>
      </w:r>
      <w:r w:rsidRPr="00D55B59">
        <w:rPr>
          <w:noProof w:val="0"/>
          <w:highlight w:val="lightGray"/>
          <w:lang w:val="en-GB"/>
          <w:rPrChange w:id="3686" w:author="Author">
            <w:rPr>
              <w:noProof w:val="0"/>
              <w:highlight w:val="lightGray"/>
            </w:rPr>
          </w:rPrChange>
        </w:rPr>
        <w:br/>
        <w:t xml:space="preserve">Minervum 7061 </w:t>
      </w:r>
      <w:r w:rsidRPr="00D55B59">
        <w:rPr>
          <w:noProof w:val="0"/>
          <w:highlight w:val="lightGray"/>
          <w:lang w:val="en-GB"/>
          <w:rPrChange w:id="3687" w:author="Author">
            <w:rPr>
              <w:noProof w:val="0"/>
              <w:highlight w:val="lightGray"/>
            </w:rPr>
          </w:rPrChange>
        </w:rPr>
        <w:br/>
        <w:t xml:space="preserve">4817 ZK Breda </w:t>
      </w:r>
      <w:r w:rsidRPr="00D55B59">
        <w:rPr>
          <w:noProof w:val="0"/>
          <w:highlight w:val="lightGray"/>
          <w:lang w:val="en-GB"/>
          <w:rPrChange w:id="3688" w:author="Author">
            <w:rPr>
              <w:noProof w:val="0"/>
              <w:highlight w:val="lightGray"/>
            </w:rPr>
          </w:rPrChange>
        </w:rPr>
        <w:br/>
        <w:t>The Netherlands</w:t>
      </w:r>
    </w:p>
    <w:p w14:paraId="0C9723E1" w14:textId="77777777" w:rsidR="00524DB2" w:rsidRPr="00D55B59" w:rsidRDefault="00524DB2" w:rsidP="007B4B23">
      <w:pPr>
        <w:pStyle w:val="lbltxt"/>
        <w:rPr>
          <w:noProof w:val="0"/>
          <w:highlight w:val="lightGray"/>
          <w:lang w:val="en-GB"/>
          <w:rPrChange w:id="3689" w:author="Author">
            <w:rPr>
              <w:noProof w:val="0"/>
              <w:highlight w:val="lightGray"/>
            </w:rPr>
          </w:rPrChange>
        </w:rPr>
      </w:pPr>
    </w:p>
    <w:p w14:paraId="1D48266A" w14:textId="77777777" w:rsidR="00524DB2" w:rsidRPr="00D55B59" w:rsidRDefault="00DE0EA8" w:rsidP="007B4B23">
      <w:pPr>
        <w:pStyle w:val="lbltxt"/>
        <w:keepNext/>
        <w:rPr>
          <w:b/>
          <w:noProof w:val="0"/>
          <w:highlight w:val="lightGray"/>
          <w:lang w:val="en-GB"/>
          <w:rPrChange w:id="3690" w:author="Author">
            <w:rPr>
              <w:b/>
              <w:noProof w:val="0"/>
              <w:highlight w:val="lightGray"/>
            </w:rPr>
          </w:rPrChange>
        </w:rPr>
      </w:pPr>
      <w:r w:rsidRPr="00D55B59">
        <w:rPr>
          <w:b/>
          <w:noProof w:val="0"/>
          <w:highlight w:val="lightGray"/>
          <w:lang w:val="en-GB"/>
          <w:rPrChange w:id="3691" w:author="Author">
            <w:rPr>
              <w:b/>
              <w:noProof w:val="0"/>
              <w:highlight w:val="lightGray"/>
            </w:rPr>
          </w:rPrChange>
        </w:rPr>
        <w:t>Manufacturer</w:t>
      </w:r>
    </w:p>
    <w:p w14:paraId="73F66268" w14:textId="77777777" w:rsidR="00524DB2" w:rsidRPr="00D55B59" w:rsidRDefault="00524DB2" w:rsidP="007B4B23">
      <w:pPr>
        <w:pStyle w:val="lbltxt"/>
        <w:keepNext/>
        <w:rPr>
          <w:noProof w:val="0"/>
          <w:highlight w:val="lightGray"/>
          <w:lang w:val="en-GB"/>
          <w:rPrChange w:id="3692" w:author="Author">
            <w:rPr>
              <w:noProof w:val="0"/>
              <w:highlight w:val="lightGray"/>
            </w:rPr>
          </w:rPrChange>
        </w:rPr>
      </w:pPr>
      <w:r w:rsidRPr="00D55B59">
        <w:rPr>
          <w:noProof w:val="0"/>
          <w:highlight w:val="lightGray"/>
          <w:lang w:val="en-GB"/>
          <w:rPrChange w:id="3693" w:author="Author">
            <w:rPr>
              <w:noProof w:val="0"/>
              <w:highlight w:val="lightGray"/>
            </w:rPr>
          </w:rPrChange>
        </w:rPr>
        <w:t xml:space="preserve">Amgen Technology Ireland </w:t>
      </w:r>
      <w:r w:rsidR="009C5F07" w:rsidRPr="00D55B59">
        <w:rPr>
          <w:noProof w:val="0"/>
          <w:highlight w:val="lightGray"/>
          <w:lang w:val="en-GB"/>
          <w:rPrChange w:id="3694" w:author="Author">
            <w:rPr>
              <w:noProof w:val="0"/>
              <w:highlight w:val="lightGray"/>
            </w:rPr>
          </w:rPrChange>
        </w:rPr>
        <w:t>UC</w:t>
      </w:r>
      <w:r w:rsidR="00466259" w:rsidRPr="00D55B59">
        <w:rPr>
          <w:noProof w:val="0"/>
          <w:highlight w:val="lightGray"/>
          <w:lang w:val="en-GB"/>
          <w:rPrChange w:id="3695" w:author="Author">
            <w:rPr>
              <w:noProof w:val="0"/>
              <w:highlight w:val="lightGray"/>
            </w:rPr>
          </w:rPrChange>
        </w:rPr>
        <w:t xml:space="preserve"> </w:t>
      </w:r>
    </w:p>
    <w:p w14:paraId="4E2A2EEF" w14:textId="77777777" w:rsidR="00524DB2" w:rsidRPr="00D55B59" w:rsidRDefault="00524DB2" w:rsidP="007B4B23">
      <w:pPr>
        <w:pStyle w:val="lbltxt"/>
        <w:keepNext/>
        <w:rPr>
          <w:noProof w:val="0"/>
          <w:highlight w:val="lightGray"/>
          <w:lang w:val="en-GB"/>
          <w:rPrChange w:id="3696" w:author="Author">
            <w:rPr>
              <w:noProof w:val="0"/>
              <w:highlight w:val="lightGray"/>
            </w:rPr>
          </w:rPrChange>
        </w:rPr>
      </w:pPr>
      <w:r w:rsidRPr="00D55B59">
        <w:rPr>
          <w:noProof w:val="0"/>
          <w:highlight w:val="lightGray"/>
          <w:lang w:val="en-GB"/>
          <w:rPrChange w:id="3697" w:author="Author">
            <w:rPr>
              <w:noProof w:val="0"/>
              <w:highlight w:val="lightGray"/>
            </w:rPr>
          </w:rPrChange>
        </w:rPr>
        <w:t>Pottery Road</w:t>
      </w:r>
    </w:p>
    <w:p w14:paraId="43576A1B" w14:textId="77777777" w:rsidR="00524DB2" w:rsidRPr="00D55B59" w:rsidRDefault="00524DB2" w:rsidP="007B4B23">
      <w:pPr>
        <w:pStyle w:val="lbltxt"/>
        <w:rPr>
          <w:noProof w:val="0"/>
          <w:highlight w:val="lightGray"/>
          <w:lang w:val="en-GB"/>
          <w:rPrChange w:id="3698" w:author="Author">
            <w:rPr>
              <w:noProof w:val="0"/>
              <w:highlight w:val="lightGray"/>
            </w:rPr>
          </w:rPrChange>
        </w:rPr>
      </w:pPr>
      <w:r w:rsidRPr="00D55B59">
        <w:rPr>
          <w:noProof w:val="0"/>
          <w:highlight w:val="lightGray"/>
          <w:lang w:val="en-GB"/>
          <w:rPrChange w:id="3699" w:author="Author">
            <w:rPr>
              <w:noProof w:val="0"/>
              <w:highlight w:val="lightGray"/>
            </w:rPr>
          </w:rPrChange>
        </w:rPr>
        <w:t>Dun Laoghaire</w:t>
      </w:r>
    </w:p>
    <w:p w14:paraId="0B8E5B23" w14:textId="77777777" w:rsidR="00524DB2" w:rsidRPr="00D55B59" w:rsidRDefault="00524DB2" w:rsidP="007B4B23">
      <w:pPr>
        <w:pStyle w:val="lbltxt"/>
        <w:rPr>
          <w:noProof w:val="0"/>
          <w:highlight w:val="lightGray"/>
          <w:lang w:val="en-GB"/>
          <w:rPrChange w:id="3700" w:author="Author">
            <w:rPr>
              <w:noProof w:val="0"/>
              <w:highlight w:val="lightGray"/>
            </w:rPr>
          </w:rPrChange>
        </w:rPr>
      </w:pPr>
      <w:r w:rsidRPr="00D55B59">
        <w:rPr>
          <w:noProof w:val="0"/>
          <w:highlight w:val="lightGray"/>
          <w:lang w:val="en-GB"/>
          <w:rPrChange w:id="3701" w:author="Author">
            <w:rPr>
              <w:noProof w:val="0"/>
              <w:highlight w:val="lightGray"/>
            </w:rPr>
          </w:rPrChange>
        </w:rPr>
        <w:t>Co Dublin</w:t>
      </w:r>
    </w:p>
    <w:p w14:paraId="6F4B1292" w14:textId="77777777" w:rsidR="00524DB2" w:rsidRPr="00D55B59" w:rsidRDefault="00524DB2" w:rsidP="007B4B23">
      <w:pPr>
        <w:pStyle w:val="lbltxt"/>
        <w:rPr>
          <w:noProof w:val="0"/>
          <w:lang w:val="en-GB"/>
          <w:rPrChange w:id="3702" w:author="Author">
            <w:rPr>
              <w:noProof w:val="0"/>
            </w:rPr>
          </w:rPrChange>
        </w:rPr>
      </w:pPr>
      <w:r w:rsidRPr="00D55B59">
        <w:rPr>
          <w:noProof w:val="0"/>
          <w:highlight w:val="lightGray"/>
          <w:lang w:val="en-GB"/>
          <w:rPrChange w:id="3703" w:author="Author">
            <w:rPr>
              <w:noProof w:val="0"/>
              <w:highlight w:val="lightGray"/>
            </w:rPr>
          </w:rPrChange>
        </w:rPr>
        <w:t>Ireland</w:t>
      </w:r>
    </w:p>
    <w:p w14:paraId="2E146878" w14:textId="77777777" w:rsidR="00DE0EA8" w:rsidRDefault="00DE0EA8" w:rsidP="007B4B23">
      <w:pPr>
        <w:keepNext/>
        <w:numPr>
          <w:ilvl w:val="12"/>
          <w:numId w:val="0"/>
        </w:numPr>
        <w:tabs>
          <w:tab w:val="clear" w:pos="567"/>
        </w:tabs>
        <w:spacing w:line="240" w:lineRule="auto"/>
        <w:ind w:right="-2"/>
        <w:rPr>
          <w:b/>
          <w:highlight w:val="lightGray"/>
        </w:rPr>
      </w:pPr>
    </w:p>
    <w:p w14:paraId="5FF8A021" w14:textId="77777777" w:rsidR="00DE0EA8" w:rsidRDefault="00DE0EA8" w:rsidP="007B4B23">
      <w:pPr>
        <w:keepNext/>
        <w:numPr>
          <w:ilvl w:val="12"/>
          <w:numId w:val="0"/>
        </w:numPr>
        <w:tabs>
          <w:tab w:val="clear" w:pos="567"/>
        </w:tabs>
        <w:spacing w:line="240" w:lineRule="auto"/>
        <w:ind w:right="-2"/>
        <w:rPr>
          <w:b/>
          <w:highlight w:val="lightGray"/>
        </w:rPr>
      </w:pPr>
      <w:r>
        <w:rPr>
          <w:b/>
          <w:highlight w:val="lightGray"/>
        </w:rPr>
        <w:t>Manufacturer</w:t>
      </w:r>
    </w:p>
    <w:p w14:paraId="6023F857" w14:textId="77777777" w:rsidR="00DE0EA8" w:rsidRDefault="00DE0EA8" w:rsidP="007B4B23">
      <w:pPr>
        <w:keepNext/>
        <w:spacing w:line="240" w:lineRule="auto"/>
        <w:rPr>
          <w:highlight w:val="lightGray"/>
        </w:rPr>
      </w:pPr>
      <w:r>
        <w:rPr>
          <w:highlight w:val="lightGray"/>
        </w:rPr>
        <w:t>Amgen NV</w:t>
      </w:r>
    </w:p>
    <w:p w14:paraId="5EFB0017" w14:textId="77777777" w:rsidR="0089213A" w:rsidRDefault="0089213A" w:rsidP="00B61D9D">
      <w:pPr>
        <w:autoSpaceDE w:val="0"/>
        <w:autoSpaceDN w:val="0"/>
        <w:spacing w:line="240" w:lineRule="auto"/>
        <w:rPr>
          <w:highlight w:val="lightGray"/>
        </w:rPr>
      </w:pPr>
      <w:r>
        <w:rPr>
          <w:highlight w:val="lightGray"/>
        </w:rPr>
        <w:t>Telecomlaan 5-7</w:t>
      </w:r>
    </w:p>
    <w:p w14:paraId="5E3F4E11" w14:textId="77777777" w:rsidR="0089213A" w:rsidRDefault="0089213A" w:rsidP="007B4B23">
      <w:pPr>
        <w:spacing w:line="240" w:lineRule="auto"/>
        <w:rPr>
          <w:highlight w:val="lightGray"/>
        </w:rPr>
      </w:pPr>
      <w:r>
        <w:rPr>
          <w:highlight w:val="lightGray"/>
        </w:rPr>
        <w:t>1831 Diegem</w:t>
      </w:r>
    </w:p>
    <w:p w14:paraId="3DA2C89A" w14:textId="77777777" w:rsidR="00DE0EA8" w:rsidRDefault="00DE0EA8" w:rsidP="007B4B23">
      <w:pPr>
        <w:numPr>
          <w:ilvl w:val="12"/>
          <w:numId w:val="0"/>
        </w:numPr>
        <w:tabs>
          <w:tab w:val="clear" w:pos="567"/>
        </w:tabs>
        <w:spacing w:line="240" w:lineRule="auto"/>
        <w:ind w:right="-2"/>
        <w:rPr>
          <w:highlight w:val="lightGray"/>
        </w:rPr>
      </w:pPr>
      <w:r>
        <w:rPr>
          <w:highlight w:val="lightGray"/>
        </w:rPr>
        <w:t>Belgium</w:t>
      </w:r>
    </w:p>
    <w:p w14:paraId="28F6A166" w14:textId="77777777" w:rsidR="00524DB2" w:rsidRPr="001775D9" w:rsidRDefault="00524DB2" w:rsidP="007B4B23">
      <w:pPr>
        <w:numPr>
          <w:ilvl w:val="12"/>
          <w:numId w:val="0"/>
        </w:numPr>
        <w:tabs>
          <w:tab w:val="clear" w:pos="567"/>
        </w:tabs>
        <w:spacing w:line="240" w:lineRule="auto"/>
        <w:ind w:right="-2"/>
        <w:rPr>
          <w:b/>
        </w:rPr>
      </w:pPr>
    </w:p>
    <w:p w14:paraId="189A9DA6" w14:textId="77777777" w:rsidR="001A69C5" w:rsidRPr="00F04F82" w:rsidRDefault="001A69C5" w:rsidP="00D55B59">
      <w:pPr>
        <w:keepNext/>
        <w:keepLines/>
        <w:numPr>
          <w:ilvl w:val="12"/>
          <w:numId w:val="0"/>
        </w:numPr>
        <w:tabs>
          <w:tab w:val="clear" w:pos="567"/>
        </w:tabs>
        <w:spacing w:line="240" w:lineRule="auto"/>
        <w:rPr>
          <w:szCs w:val="22"/>
        </w:rPr>
        <w:pPrChange w:id="3704" w:author="Author">
          <w:pPr>
            <w:keepNext/>
            <w:numPr>
              <w:ilvl w:val="12"/>
            </w:numPr>
            <w:tabs>
              <w:tab w:val="clear" w:pos="567"/>
            </w:tabs>
            <w:spacing w:line="240" w:lineRule="auto"/>
          </w:pPr>
        </w:pPrChange>
      </w:pPr>
      <w:r w:rsidRPr="001775D9">
        <w:rPr>
          <w:szCs w:val="22"/>
        </w:rPr>
        <w:t>For any information about this medicine, please contact the local representative of the Marketing Authorisation Holder:</w:t>
      </w:r>
    </w:p>
    <w:p w14:paraId="7E9EA9BD" w14:textId="77777777" w:rsidR="001A69C5" w:rsidRPr="001775D9" w:rsidRDefault="001A69C5" w:rsidP="00D55B59">
      <w:pPr>
        <w:keepNext/>
        <w:keepLines/>
        <w:numPr>
          <w:ilvl w:val="12"/>
          <w:numId w:val="0"/>
        </w:numPr>
        <w:tabs>
          <w:tab w:val="clear" w:pos="567"/>
        </w:tabs>
        <w:spacing w:line="240" w:lineRule="auto"/>
        <w:rPr>
          <w:szCs w:val="22"/>
        </w:rPr>
        <w:pPrChange w:id="3705" w:author="Author">
          <w:pPr>
            <w:keepNext/>
            <w:numPr>
              <w:ilvl w:val="12"/>
            </w:numPr>
            <w:tabs>
              <w:tab w:val="clear" w:pos="567"/>
            </w:tabs>
            <w:spacing w:line="240" w:lineRule="auto"/>
          </w:pPr>
        </w:pPrChange>
      </w:pPr>
    </w:p>
    <w:tbl>
      <w:tblPr>
        <w:tblW w:w="9356" w:type="dxa"/>
        <w:tblLook w:val="04A0" w:firstRow="1" w:lastRow="0" w:firstColumn="1" w:lastColumn="0" w:noHBand="0" w:noVBand="1"/>
      </w:tblPr>
      <w:tblGrid>
        <w:gridCol w:w="4677"/>
        <w:gridCol w:w="4679"/>
      </w:tblGrid>
      <w:tr w:rsidR="001A69C5" w:rsidRPr="00F04F82" w14:paraId="0FDE3D3F" w14:textId="77777777" w:rsidTr="00B7252D">
        <w:trPr>
          <w:cantSplit/>
        </w:trPr>
        <w:tc>
          <w:tcPr>
            <w:tcW w:w="4677" w:type="dxa"/>
          </w:tcPr>
          <w:p w14:paraId="27E2BFF5" w14:textId="77777777" w:rsidR="001A69C5" w:rsidRPr="00A166A8" w:rsidRDefault="001A69C5" w:rsidP="00D55B59">
            <w:pPr>
              <w:pStyle w:val="lbltxt"/>
              <w:keepNext/>
              <w:keepLines/>
              <w:rPr>
                <w:noProof w:val="0"/>
                <w:szCs w:val="22"/>
                <w:lang w:val="fr-FR"/>
              </w:rPr>
              <w:pPrChange w:id="3706" w:author="Author">
                <w:pPr>
                  <w:pStyle w:val="lbltxt"/>
                </w:pPr>
              </w:pPrChange>
            </w:pPr>
            <w:r w:rsidRPr="00A166A8">
              <w:rPr>
                <w:b/>
                <w:noProof w:val="0"/>
                <w:szCs w:val="22"/>
                <w:lang w:val="fr-FR"/>
              </w:rPr>
              <w:t>België/Belgique/Belgien</w:t>
            </w:r>
          </w:p>
          <w:p w14:paraId="40EADD11" w14:textId="77777777" w:rsidR="001A69C5" w:rsidRPr="00A166A8" w:rsidRDefault="001A69C5" w:rsidP="00D55B59">
            <w:pPr>
              <w:pStyle w:val="lbltxt"/>
              <w:keepNext/>
              <w:keepLines/>
              <w:rPr>
                <w:noProof w:val="0"/>
                <w:szCs w:val="22"/>
                <w:lang w:val="fr-FR"/>
              </w:rPr>
              <w:pPrChange w:id="3707" w:author="Author">
                <w:pPr>
                  <w:pStyle w:val="lbltxt"/>
                </w:pPr>
              </w:pPrChange>
            </w:pPr>
            <w:r w:rsidRPr="00A166A8">
              <w:rPr>
                <w:noProof w:val="0"/>
                <w:szCs w:val="22"/>
                <w:lang w:val="fr-FR"/>
              </w:rPr>
              <w:t>s.a. Amgen n.v.</w:t>
            </w:r>
          </w:p>
          <w:p w14:paraId="0D2F9E76" w14:textId="46CF930D" w:rsidR="001A69C5" w:rsidRPr="00F04F82" w:rsidRDefault="00E7410D" w:rsidP="00D55B59">
            <w:pPr>
              <w:keepNext/>
              <w:keepLines/>
              <w:rPr>
                <w:szCs w:val="22"/>
              </w:rPr>
              <w:pPrChange w:id="3708" w:author="Author">
                <w:pPr/>
              </w:pPrChange>
            </w:pPr>
            <w:r w:rsidRPr="001775D9">
              <w:rPr>
                <w:szCs w:val="22"/>
              </w:rPr>
              <w:t>Tél</w:t>
            </w:r>
            <w:r w:rsidRPr="00F04F82">
              <w:rPr>
                <w:szCs w:val="22"/>
              </w:rPr>
              <w:t>/</w:t>
            </w:r>
            <w:r w:rsidR="001A69C5" w:rsidRPr="00F04F82">
              <w:rPr>
                <w:szCs w:val="22"/>
              </w:rPr>
              <w:t>Tel: +32 (0)2 7752711</w:t>
            </w:r>
          </w:p>
          <w:p w14:paraId="76DEBAB4" w14:textId="77777777" w:rsidR="001A69C5" w:rsidRPr="001775D9" w:rsidRDefault="001A69C5" w:rsidP="00D55B59">
            <w:pPr>
              <w:keepNext/>
              <w:keepLines/>
              <w:rPr>
                <w:szCs w:val="22"/>
              </w:rPr>
              <w:pPrChange w:id="3709" w:author="Author">
                <w:pPr/>
              </w:pPrChange>
            </w:pPr>
          </w:p>
        </w:tc>
        <w:tc>
          <w:tcPr>
            <w:tcW w:w="4679" w:type="dxa"/>
          </w:tcPr>
          <w:p w14:paraId="59AD812D" w14:textId="77777777" w:rsidR="001A69C5" w:rsidRPr="00D55B59" w:rsidRDefault="001A69C5" w:rsidP="00D55B59">
            <w:pPr>
              <w:pStyle w:val="lbltxt"/>
              <w:keepNext/>
              <w:keepLines/>
              <w:rPr>
                <w:b/>
                <w:noProof w:val="0"/>
                <w:szCs w:val="22"/>
                <w:lang w:val="de-DE"/>
                <w:rPrChange w:id="3710" w:author="Author">
                  <w:rPr>
                    <w:b/>
                    <w:noProof w:val="0"/>
                    <w:szCs w:val="22"/>
                    <w:lang w:val="sv-SE"/>
                  </w:rPr>
                </w:rPrChange>
              </w:rPr>
              <w:pPrChange w:id="3711" w:author="Author">
                <w:pPr>
                  <w:pStyle w:val="lbltxt"/>
                </w:pPr>
              </w:pPrChange>
            </w:pPr>
            <w:r w:rsidRPr="00D55B59">
              <w:rPr>
                <w:b/>
                <w:noProof w:val="0"/>
                <w:szCs w:val="22"/>
                <w:lang w:val="de-DE"/>
                <w:rPrChange w:id="3712" w:author="Author">
                  <w:rPr>
                    <w:b/>
                    <w:noProof w:val="0"/>
                    <w:szCs w:val="22"/>
                    <w:lang w:val="sv-SE"/>
                  </w:rPr>
                </w:rPrChange>
              </w:rPr>
              <w:t>Lietuva</w:t>
            </w:r>
          </w:p>
          <w:p w14:paraId="704189DD" w14:textId="77777777" w:rsidR="001A69C5" w:rsidRPr="00D55B59" w:rsidRDefault="001A69C5" w:rsidP="00D55B59">
            <w:pPr>
              <w:pStyle w:val="lbltxt"/>
              <w:keepNext/>
              <w:keepLines/>
              <w:rPr>
                <w:bCs/>
                <w:noProof w:val="0"/>
                <w:szCs w:val="22"/>
                <w:lang w:val="de-DE"/>
                <w:rPrChange w:id="3713" w:author="Author">
                  <w:rPr>
                    <w:bCs/>
                    <w:noProof w:val="0"/>
                    <w:szCs w:val="22"/>
                    <w:lang w:val="sv-SE"/>
                  </w:rPr>
                </w:rPrChange>
              </w:rPr>
              <w:pPrChange w:id="3714" w:author="Author">
                <w:pPr>
                  <w:pStyle w:val="lbltxt"/>
                </w:pPr>
              </w:pPrChange>
            </w:pPr>
            <w:r w:rsidRPr="00D55B59">
              <w:rPr>
                <w:noProof w:val="0"/>
                <w:szCs w:val="22"/>
                <w:lang w:val="de-DE"/>
                <w:rPrChange w:id="3715" w:author="Author">
                  <w:rPr>
                    <w:noProof w:val="0"/>
                    <w:szCs w:val="22"/>
                    <w:lang w:val="sv-SE"/>
                  </w:rPr>
                </w:rPrChange>
              </w:rPr>
              <w:t>Amgen Switzerland AG Vilniaus filialas</w:t>
            </w:r>
          </w:p>
          <w:p w14:paraId="1D52E06B" w14:textId="24EDE9ED" w:rsidR="001A69C5" w:rsidRPr="00D55B59" w:rsidRDefault="001A69C5" w:rsidP="00D55B59">
            <w:pPr>
              <w:pStyle w:val="lbltxt"/>
              <w:keepNext/>
              <w:keepLines/>
              <w:rPr>
                <w:bCs/>
                <w:noProof w:val="0"/>
                <w:szCs w:val="22"/>
                <w:lang w:val="en-GB"/>
                <w:rPrChange w:id="3716" w:author="Author">
                  <w:rPr>
                    <w:bCs/>
                    <w:noProof w:val="0"/>
                    <w:szCs w:val="22"/>
                  </w:rPr>
                </w:rPrChange>
              </w:rPr>
              <w:pPrChange w:id="3717" w:author="Author">
                <w:pPr>
                  <w:pStyle w:val="lbltxt"/>
                </w:pPr>
              </w:pPrChange>
            </w:pPr>
            <w:r w:rsidRPr="00D55B59">
              <w:rPr>
                <w:bCs/>
                <w:noProof w:val="0"/>
                <w:szCs w:val="22"/>
                <w:lang w:val="en-GB"/>
                <w:rPrChange w:id="3718" w:author="Author">
                  <w:rPr>
                    <w:bCs/>
                    <w:noProof w:val="0"/>
                    <w:szCs w:val="22"/>
                  </w:rPr>
                </w:rPrChange>
              </w:rPr>
              <w:t>Tel</w:t>
            </w:r>
            <w:del w:id="3719" w:author="Author">
              <w:r w:rsidRPr="00D55B59" w:rsidDel="00CC5242">
                <w:rPr>
                  <w:bCs/>
                  <w:noProof w:val="0"/>
                  <w:szCs w:val="22"/>
                  <w:lang w:val="en-GB"/>
                  <w:rPrChange w:id="3720" w:author="Author">
                    <w:rPr>
                      <w:bCs/>
                      <w:noProof w:val="0"/>
                      <w:szCs w:val="22"/>
                    </w:rPr>
                  </w:rPrChange>
                </w:rPr>
                <w:delText xml:space="preserve">: </w:delText>
              </w:r>
            </w:del>
            <w:ins w:id="3721" w:author="Author">
              <w:r w:rsidR="00CC5242" w:rsidRPr="00D55B59">
                <w:rPr>
                  <w:bCs/>
                  <w:noProof w:val="0"/>
                  <w:szCs w:val="22"/>
                  <w:lang w:val="en-GB"/>
                  <w:rPrChange w:id="3722" w:author="Author">
                    <w:rPr>
                      <w:bCs/>
                      <w:noProof w:val="0"/>
                      <w:szCs w:val="22"/>
                    </w:rPr>
                  </w:rPrChange>
                </w:rPr>
                <w:t xml:space="preserve">. </w:t>
              </w:r>
            </w:ins>
            <w:r w:rsidRPr="00D55B59">
              <w:rPr>
                <w:bCs/>
                <w:noProof w:val="0"/>
                <w:szCs w:val="22"/>
                <w:lang w:val="en-GB"/>
                <w:rPrChange w:id="3723" w:author="Author">
                  <w:rPr>
                    <w:bCs/>
                    <w:noProof w:val="0"/>
                    <w:szCs w:val="22"/>
                  </w:rPr>
                </w:rPrChange>
              </w:rPr>
              <w:t>+370 5 219 7474</w:t>
            </w:r>
          </w:p>
          <w:p w14:paraId="0F78298A" w14:textId="77777777" w:rsidR="001A69C5" w:rsidRPr="001775D9" w:rsidRDefault="001A69C5" w:rsidP="00D55B59">
            <w:pPr>
              <w:keepNext/>
              <w:keepLines/>
              <w:rPr>
                <w:szCs w:val="22"/>
              </w:rPr>
              <w:pPrChange w:id="3724" w:author="Author">
                <w:pPr/>
              </w:pPrChange>
            </w:pPr>
          </w:p>
        </w:tc>
      </w:tr>
      <w:tr w:rsidR="001A69C5" w:rsidRPr="00F04F82" w14:paraId="2861DF21" w14:textId="77777777" w:rsidTr="00B7252D">
        <w:trPr>
          <w:cantSplit/>
        </w:trPr>
        <w:tc>
          <w:tcPr>
            <w:tcW w:w="4677" w:type="dxa"/>
          </w:tcPr>
          <w:p w14:paraId="5BE05082" w14:textId="77777777" w:rsidR="001A69C5" w:rsidRPr="00D55B59" w:rsidRDefault="001A69C5" w:rsidP="00B7252D">
            <w:pPr>
              <w:autoSpaceDE w:val="0"/>
              <w:autoSpaceDN w:val="0"/>
              <w:adjustRightInd w:val="0"/>
              <w:rPr>
                <w:rFonts w:eastAsia="Arial Unicode MS"/>
                <w:b/>
                <w:bCs/>
                <w:szCs w:val="22"/>
                <w:lang w:val="ru-RU"/>
                <w:rPrChange w:id="3725" w:author="Author">
                  <w:rPr>
                    <w:rFonts w:eastAsia="Arial Unicode MS"/>
                    <w:b/>
                    <w:bCs/>
                    <w:szCs w:val="22"/>
                  </w:rPr>
                </w:rPrChange>
              </w:rPr>
            </w:pPr>
            <w:r w:rsidRPr="00D55B59">
              <w:rPr>
                <w:rFonts w:eastAsia="Arial Unicode MS"/>
                <w:b/>
                <w:bCs/>
                <w:szCs w:val="22"/>
                <w:lang w:val="ru-RU"/>
                <w:rPrChange w:id="3726" w:author="Author">
                  <w:rPr>
                    <w:rFonts w:eastAsia="Arial Unicode MS"/>
                    <w:b/>
                    <w:bCs/>
                    <w:szCs w:val="22"/>
                  </w:rPr>
                </w:rPrChange>
              </w:rPr>
              <w:t>България</w:t>
            </w:r>
          </w:p>
          <w:p w14:paraId="477D7506" w14:textId="77777777" w:rsidR="001A69C5" w:rsidRPr="00D55B59" w:rsidRDefault="001A69C5" w:rsidP="00B7252D">
            <w:pPr>
              <w:pStyle w:val="lbltxt"/>
              <w:rPr>
                <w:rFonts w:eastAsia="Arial Unicode MS"/>
                <w:noProof w:val="0"/>
                <w:szCs w:val="22"/>
                <w:lang w:val="ru-RU" w:eastAsia="en-GB"/>
                <w:rPrChange w:id="3727" w:author="Author">
                  <w:rPr>
                    <w:rFonts w:eastAsia="Arial Unicode MS"/>
                    <w:noProof w:val="0"/>
                    <w:szCs w:val="22"/>
                    <w:lang w:eastAsia="en-GB"/>
                  </w:rPr>
                </w:rPrChange>
              </w:rPr>
            </w:pPr>
            <w:r w:rsidRPr="00D55B59">
              <w:rPr>
                <w:rFonts w:eastAsia="Arial Unicode MS"/>
                <w:noProof w:val="0"/>
                <w:szCs w:val="22"/>
                <w:lang w:val="ru-RU" w:eastAsia="en-GB"/>
                <w:rPrChange w:id="3728" w:author="Author">
                  <w:rPr>
                    <w:rFonts w:eastAsia="Arial Unicode MS"/>
                    <w:noProof w:val="0"/>
                    <w:szCs w:val="22"/>
                    <w:lang w:eastAsia="en-GB"/>
                  </w:rPr>
                </w:rPrChange>
              </w:rPr>
              <w:t>Амджен България ЕООД</w:t>
            </w:r>
          </w:p>
          <w:p w14:paraId="32FF534D" w14:textId="77777777" w:rsidR="001A69C5" w:rsidRPr="00D55B59" w:rsidRDefault="001A69C5" w:rsidP="00B7252D">
            <w:pPr>
              <w:pStyle w:val="lbltxt"/>
              <w:rPr>
                <w:rFonts w:eastAsia="Arial Unicode MS"/>
                <w:bCs/>
                <w:noProof w:val="0"/>
                <w:szCs w:val="22"/>
                <w:lang w:val="ru-RU"/>
                <w:rPrChange w:id="3729" w:author="Author">
                  <w:rPr>
                    <w:rFonts w:eastAsia="Arial Unicode MS"/>
                    <w:bCs/>
                    <w:noProof w:val="0"/>
                    <w:szCs w:val="22"/>
                  </w:rPr>
                </w:rPrChange>
              </w:rPr>
            </w:pPr>
            <w:r w:rsidRPr="00D55B59">
              <w:rPr>
                <w:rFonts w:eastAsia="Arial Unicode MS"/>
                <w:noProof w:val="0"/>
                <w:szCs w:val="22"/>
                <w:lang w:val="ru-RU" w:eastAsia="en-GB"/>
                <w:rPrChange w:id="3730" w:author="Author">
                  <w:rPr>
                    <w:rFonts w:eastAsia="Arial Unicode MS"/>
                    <w:noProof w:val="0"/>
                    <w:szCs w:val="22"/>
                    <w:lang w:eastAsia="en-GB"/>
                  </w:rPr>
                </w:rPrChange>
              </w:rPr>
              <w:t xml:space="preserve">Тел.: +359 </w:t>
            </w:r>
            <w:r w:rsidRPr="00D55B59">
              <w:rPr>
                <w:rFonts w:eastAsia="Arial Unicode MS"/>
                <w:bCs/>
                <w:noProof w:val="0"/>
                <w:szCs w:val="22"/>
                <w:lang w:val="ru-RU"/>
                <w:rPrChange w:id="3731" w:author="Author">
                  <w:rPr>
                    <w:rFonts w:eastAsia="Arial Unicode MS"/>
                    <w:bCs/>
                    <w:noProof w:val="0"/>
                    <w:szCs w:val="22"/>
                  </w:rPr>
                </w:rPrChange>
              </w:rPr>
              <w:t>(0)2</w:t>
            </w:r>
            <w:r w:rsidRPr="00D55B59">
              <w:rPr>
                <w:rFonts w:eastAsia="Arial Unicode MS"/>
                <w:bCs/>
                <w:noProof w:val="0"/>
                <w:szCs w:val="22"/>
                <w:lang w:val="en-GB"/>
                <w:rPrChange w:id="3732" w:author="Author">
                  <w:rPr>
                    <w:rFonts w:eastAsia="Arial Unicode MS"/>
                    <w:bCs/>
                    <w:noProof w:val="0"/>
                    <w:szCs w:val="22"/>
                  </w:rPr>
                </w:rPrChange>
              </w:rPr>
              <w:t> </w:t>
            </w:r>
            <w:r w:rsidRPr="00D55B59">
              <w:rPr>
                <w:rFonts w:eastAsia="Arial Unicode MS"/>
                <w:bCs/>
                <w:noProof w:val="0"/>
                <w:szCs w:val="22"/>
                <w:lang w:val="ru-RU"/>
                <w:rPrChange w:id="3733" w:author="Author">
                  <w:rPr>
                    <w:rFonts w:eastAsia="Arial Unicode MS"/>
                    <w:bCs/>
                    <w:noProof w:val="0"/>
                    <w:szCs w:val="22"/>
                  </w:rPr>
                </w:rPrChange>
              </w:rPr>
              <w:t>424 7440</w:t>
            </w:r>
          </w:p>
          <w:p w14:paraId="082B8EF0" w14:textId="77777777" w:rsidR="001A69C5" w:rsidRPr="00D55B59" w:rsidRDefault="001A69C5" w:rsidP="00B7252D">
            <w:pPr>
              <w:rPr>
                <w:szCs w:val="22"/>
                <w:lang w:val="ru-RU"/>
                <w:rPrChange w:id="3734" w:author="Author">
                  <w:rPr>
                    <w:szCs w:val="22"/>
                  </w:rPr>
                </w:rPrChange>
              </w:rPr>
            </w:pPr>
          </w:p>
        </w:tc>
        <w:tc>
          <w:tcPr>
            <w:tcW w:w="4679" w:type="dxa"/>
          </w:tcPr>
          <w:p w14:paraId="0A173820" w14:textId="77777777" w:rsidR="001A69C5" w:rsidRPr="00D55B59" w:rsidRDefault="001A69C5" w:rsidP="00B7252D">
            <w:pPr>
              <w:pStyle w:val="lbltxt"/>
              <w:rPr>
                <w:noProof w:val="0"/>
                <w:szCs w:val="22"/>
                <w:lang w:val="de-DE"/>
                <w:rPrChange w:id="3735" w:author="Author">
                  <w:rPr>
                    <w:noProof w:val="0"/>
                    <w:szCs w:val="22"/>
                    <w:lang w:val="fr-FR"/>
                  </w:rPr>
                </w:rPrChange>
              </w:rPr>
            </w:pPr>
            <w:r w:rsidRPr="00D55B59">
              <w:rPr>
                <w:b/>
                <w:noProof w:val="0"/>
                <w:szCs w:val="22"/>
                <w:lang w:val="de-DE"/>
                <w:rPrChange w:id="3736" w:author="Author">
                  <w:rPr>
                    <w:b/>
                    <w:noProof w:val="0"/>
                    <w:szCs w:val="22"/>
                    <w:lang w:val="fr-FR"/>
                  </w:rPr>
                </w:rPrChange>
              </w:rPr>
              <w:t>Luxembourg/Luxemburg</w:t>
            </w:r>
          </w:p>
          <w:p w14:paraId="37D0DA2C" w14:textId="77777777" w:rsidR="001A69C5" w:rsidRPr="00D55B59" w:rsidRDefault="001A69C5" w:rsidP="00B7252D">
            <w:pPr>
              <w:pStyle w:val="lbltxt"/>
              <w:rPr>
                <w:noProof w:val="0"/>
                <w:szCs w:val="22"/>
                <w:lang w:val="de-DE"/>
                <w:rPrChange w:id="3737" w:author="Author">
                  <w:rPr>
                    <w:noProof w:val="0"/>
                    <w:szCs w:val="22"/>
                    <w:lang w:val="fr-FR"/>
                  </w:rPr>
                </w:rPrChange>
              </w:rPr>
            </w:pPr>
            <w:r w:rsidRPr="00D55B59">
              <w:rPr>
                <w:noProof w:val="0"/>
                <w:szCs w:val="22"/>
                <w:lang w:val="de-DE"/>
                <w:rPrChange w:id="3738" w:author="Author">
                  <w:rPr>
                    <w:noProof w:val="0"/>
                    <w:szCs w:val="22"/>
                    <w:lang w:val="fr-FR"/>
                  </w:rPr>
                </w:rPrChange>
              </w:rPr>
              <w:t xml:space="preserve">s.a. Amgen </w:t>
            </w:r>
          </w:p>
          <w:p w14:paraId="624EACD0" w14:textId="77777777" w:rsidR="001A69C5" w:rsidRPr="00D55B59" w:rsidRDefault="001A69C5" w:rsidP="00B7252D">
            <w:pPr>
              <w:pStyle w:val="lbltxt"/>
              <w:rPr>
                <w:noProof w:val="0"/>
                <w:szCs w:val="22"/>
                <w:lang w:val="de-DE"/>
                <w:rPrChange w:id="3739" w:author="Author">
                  <w:rPr>
                    <w:noProof w:val="0"/>
                    <w:szCs w:val="22"/>
                    <w:lang w:val="fr-FR"/>
                  </w:rPr>
                </w:rPrChange>
              </w:rPr>
            </w:pPr>
            <w:r w:rsidRPr="00D55B59">
              <w:rPr>
                <w:noProof w:val="0"/>
                <w:szCs w:val="22"/>
                <w:lang w:val="de-DE"/>
                <w:rPrChange w:id="3740" w:author="Author">
                  <w:rPr>
                    <w:noProof w:val="0"/>
                    <w:szCs w:val="22"/>
                    <w:lang w:val="fr-FR"/>
                  </w:rPr>
                </w:rPrChange>
              </w:rPr>
              <w:t>Belgique/Belgien</w:t>
            </w:r>
          </w:p>
          <w:p w14:paraId="7F4897CD" w14:textId="24493536" w:rsidR="001A69C5" w:rsidRPr="00D55B59" w:rsidRDefault="00E7410D" w:rsidP="00B7252D">
            <w:pPr>
              <w:pStyle w:val="lbltxt"/>
              <w:rPr>
                <w:noProof w:val="0"/>
                <w:szCs w:val="22"/>
                <w:lang w:val="en-GB"/>
                <w:rPrChange w:id="3741" w:author="Author">
                  <w:rPr>
                    <w:noProof w:val="0"/>
                    <w:szCs w:val="22"/>
                  </w:rPr>
                </w:rPrChange>
              </w:rPr>
            </w:pPr>
            <w:r w:rsidRPr="00D55B59">
              <w:rPr>
                <w:noProof w:val="0"/>
                <w:szCs w:val="22"/>
                <w:lang w:val="en-GB"/>
                <w:rPrChange w:id="3742" w:author="Author">
                  <w:rPr>
                    <w:szCs w:val="22"/>
                  </w:rPr>
                </w:rPrChange>
              </w:rPr>
              <w:t>Tél/</w:t>
            </w:r>
            <w:r w:rsidR="001A69C5" w:rsidRPr="00D55B59">
              <w:rPr>
                <w:noProof w:val="0"/>
                <w:szCs w:val="22"/>
                <w:lang w:val="en-GB"/>
                <w:rPrChange w:id="3743" w:author="Author">
                  <w:rPr>
                    <w:noProof w:val="0"/>
                    <w:szCs w:val="22"/>
                  </w:rPr>
                </w:rPrChange>
              </w:rPr>
              <w:t>Tel: +32 (0)2 7752711</w:t>
            </w:r>
          </w:p>
          <w:p w14:paraId="1EF4976C" w14:textId="77777777" w:rsidR="001A69C5" w:rsidRPr="001775D9" w:rsidRDefault="001A69C5" w:rsidP="00B7252D">
            <w:pPr>
              <w:rPr>
                <w:szCs w:val="22"/>
              </w:rPr>
            </w:pPr>
          </w:p>
        </w:tc>
      </w:tr>
      <w:tr w:rsidR="001A69C5" w:rsidRPr="00F04F82" w14:paraId="6D88C863" w14:textId="77777777" w:rsidTr="00B7252D">
        <w:trPr>
          <w:cantSplit/>
        </w:trPr>
        <w:tc>
          <w:tcPr>
            <w:tcW w:w="4677" w:type="dxa"/>
          </w:tcPr>
          <w:p w14:paraId="4DB9C71C" w14:textId="77777777" w:rsidR="001A69C5" w:rsidRPr="00D55B59" w:rsidRDefault="001A69C5" w:rsidP="00B7252D">
            <w:pPr>
              <w:pStyle w:val="lbltxt"/>
              <w:keepNext/>
              <w:rPr>
                <w:b/>
                <w:noProof w:val="0"/>
                <w:szCs w:val="22"/>
                <w:lang w:val="de-DE"/>
                <w:rPrChange w:id="3744" w:author="Author">
                  <w:rPr>
                    <w:b/>
                    <w:noProof w:val="0"/>
                    <w:szCs w:val="22"/>
                    <w:lang w:val="sv-SE"/>
                  </w:rPr>
                </w:rPrChange>
              </w:rPr>
            </w:pPr>
            <w:r w:rsidRPr="00D55B59">
              <w:rPr>
                <w:b/>
                <w:noProof w:val="0"/>
                <w:szCs w:val="22"/>
                <w:lang w:val="de-DE"/>
                <w:rPrChange w:id="3745" w:author="Author">
                  <w:rPr>
                    <w:b/>
                    <w:noProof w:val="0"/>
                    <w:szCs w:val="22"/>
                    <w:lang w:val="sv-SE"/>
                  </w:rPr>
                </w:rPrChange>
              </w:rPr>
              <w:t>Česká republika</w:t>
            </w:r>
          </w:p>
          <w:p w14:paraId="6B185A01" w14:textId="77777777" w:rsidR="001A69C5" w:rsidRPr="00D55B59" w:rsidRDefault="001A69C5" w:rsidP="00B7252D">
            <w:pPr>
              <w:pStyle w:val="lbltxt"/>
              <w:keepNext/>
              <w:rPr>
                <w:bCs/>
                <w:noProof w:val="0"/>
                <w:szCs w:val="22"/>
                <w:lang w:val="de-DE"/>
                <w:rPrChange w:id="3746" w:author="Author">
                  <w:rPr>
                    <w:bCs/>
                    <w:noProof w:val="0"/>
                    <w:szCs w:val="22"/>
                    <w:lang w:val="sv-SE"/>
                  </w:rPr>
                </w:rPrChange>
              </w:rPr>
            </w:pPr>
            <w:r w:rsidRPr="00D55B59">
              <w:rPr>
                <w:bCs/>
                <w:noProof w:val="0"/>
                <w:szCs w:val="22"/>
                <w:lang w:val="de-DE"/>
                <w:rPrChange w:id="3747" w:author="Author">
                  <w:rPr>
                    <w:bCs/>
                    <w:noProof w:val="0"/>
                    <w:szCs w:val="22"/>
                    <w:lang w:val="sv-SE"/>
                  </w:rPr>
                </w:rPrChange>
              </w:rPr>
              <w:t>Amgen s.r.o.</w:t>
            </w:r>
          </w:p>
          <w:p w14:paraId="2041DA97" w14:textId="77777777" w:rsidR="001A69C5" w:rsidRPr="00D55B59" w:rsidRDefault="001A69C5" w:rsidP="00B7252D">
            <w:pPr>
              <w:pStyle w:val="lbltxt"/>
              <w:keepNext/>
              <w:rPr>
                <w:bCs/>
                <w:noProof w:val="0"/>
                <w:szCs w:val="22"/>
                <w:lang w:val="en-GB"/>
                <w:rPrChange w:id="3748" w:author="Author">
                  <w:rPr>
                    <w:bCs/>
                    <w:noProof w:val="0"/>
                    <w:szCs w:val="22"/>
                    <w:lang w:val="es-ES"/>
                  </w:rPr>
                </w:rPrChange>
              </w:rPr>
            </w:pPr>
            <w:r w:rsidRPr="00D55B59">
              <w:rPr>
                <w:bCs/>
                <w:noProof w:val="0"/>
                <w:szCs w:val="22"/>
                <w:lang w:val="en-GB"/>
                <w:rPrChange w:id="3749" w:author="Author">
                  <w:rPr>
                    <w:bCs/>
                    <w:noProof w:val="0"/>
                    <w:szCs w:val="22"/>
                    <w:lang w:val="es-ES"/>
                  </w:rPr>
                </w:rPrChange>
              </w:rPr>
              <w:t>Tel: +420 221 773 500</w:t>
            </w:r>
          </w:p>
          <w:p w14:paraId="196BA102" w14:textId="77777777" w:rsidR="001A69C5" w:rsidRPr="00D55B59" w:rsidRDefault="001A69C5" w:rsidP="00B7252D">
            <w:pPr>
              <w:rPr>
                <w:szCs w:val="22"/>
                <w:rPrChange w:id="3750" w:author="Author">
                  <w:rPr>
                    <w:szCs w:val="22"/>
                    <w:lang w:val="es-ES"/>
                  </w:rPr>
                </w:rPrChange>
              </w:rPr>
            </w:pPr>
          </w:p>
        </w:tc>
        <w:tc>
          <w:tcPr>
            <w:tcW w:w="4679" w:type="dxa"/>
          </w:tcPr>
          <w:p w14:paraId="510C8E83" w14:textId="77777777" w:rsidR="001A69C5" w:rsidRPr="00D55B59" w:rsidRDefault="001A69C5" w:rsidP="00B7252D">
            <w:pPr>
              <w:pStyle w:val="lbltxt"/>
              <w:rPr>
                <w:b/>
                <w:noProof w:val="0"/>
                <w:szCs w:val="22"/>
                <w:lang w:val="en-GB"/>
                <w:rPrChange w:id="3751" w:author="Author">
                  <w:rPr>
                    <w:b/>
                    <w:noProof w:val="0"/>
                    <w:szCs w:val="22"/>
                  </w:rPr>
                </w:rPrChange>
              </w:rPr>
            </w:pPr>
            <w:r w:rsidRPr="00D55B59">
              <w:rPr>
                <w:b/>
                <w:noProof w:val="0"/>
                <w:szCs w:val="22"/>
                <w:lang w:val="en-GB"/>
                <w:rPrChange w:id="3752" w:author="Author">
                  <w:rPr>
                    <w:b/>
                    <w:noProof w:val="0"/>
                    <w:szCs w:val="22"/>
                  </w:rPr>
                </w:rPrChange>
              </w:rPr>
              <w:t>Magyarország</w:t>
            </w:r>
          </w:p>
          <w:p w14:paraId="69C407B0" w14:textId="77777777" w:rsidR="001A69C5" w:rsidRPr="00D55B59" w:rsidRDefault="001A69C5" w:rsidP="00B7252D">
            <w:pPr>
              <w:pStyle w:val="lbltxt"/>
              <w:rPr>
                <w:bCs/>
                <w:noProof w:val="0"/>
                <w:szCs w:val="22"/>
                <w:lang w:val="en-GB"/>
                <w:rPrChange w:id="3753" w:author="Author">
                  <w:rPr>
                    <w:bCs/>
                    <w:noProof w:val="0"/>
                    <w:szCs w:val="22"/>
                  </w:rPr>
                </w:rPrChange>
              </w:rPr>
            </w:pPr>
            <w:r w:rsidRPr="00D55B59">
              <w:rPr>
                <w:bCs/>
                <w:noProof w:val="0"/>
                <w:szCs w:val="22"/>
                <w:lang w:val="en-GB"/>
                <w:rPrChange w:id="3754" w:author="Author">
                  <w:rPr>
                    <w:bCs/>
                    <w:noProof w:val="0"/>
                    <w:szCs w:val="22"/>
                  </w:rPr>
                </w:rPrChange>
              </w:rPr>
              <w:t>Amgen Kft.</w:t>
            </w:r>
          </w:p>
          <w:p w14:paraId="2067CB73" w14:textId="77777777" w:rsidR="001A69C5" w:rsidRPr="00D55B59" w:rsidRDefault="001A69C5" w:rsidP="00B7252D">
            <w:pPr>
              <w:pStyle w:val="lbltxt"/>
              <w:rPr>
                <w:bCs/>
                <w:noProof w:val="0"/>
                <w:szCs w:val="22"/>
                <w:lang w:val="en-GB"/>
                <w:rPrChange w:id="3755" w:author="Author">
                  <w:rPr>
                    <w:bCs/>
                    <w:noProof w:val="0"/>
                    <w:szCs w:val="22"/>
                  </w:rPr>
                </w:rPrChange>
              </w:rPr>
            </w:pPr>
            <w:r w:rsidRPr="00D55B59">
              <w:rPr>
                <w:bCs/>
                <w:noProof w:val="0"/>
                <w:szCs w:val="22"/>
                <w:lang w:val="en-GB"/>
                <w:rPrChange w:id="3756" w:author="Author">
                  <w:rPr>
                    <w:bCs/>
                    <w:noProof w:val="0"/>
                    <w:szCs w:val="22"/>
                  </w:rPr>
                </w:rPrChange>
              </w:rPr>
              <w:t>Tel.: +36 1 35 44 700</w:t>
            </w:r>
          </w:p>
          <w:p w14:paraId="48F4AC74" w14:textId="77777777" w:rsidR="001A69C5" w:rsidRPr="001775D9" w:rsidRDefault="001A69C5" w:rsidP="00B7252D">
            <w:pPr>
              <w:rPr>
                <w:szCs w:val="22"/>
              </w:rPr>
            </w:pPr>
          </w:p>
        </w:tc>
      </w:tr>
      <w:tr w:rsidR="001A69C5" w:rsidRPr="00F04F82" w14:paraId="5BAC0BED" w14:textId="77777777" w:rsidTr="00B7252D">
        <w:trPr>
          <w:cantSplit/>
        </w:trPr>
        <w:tc>
          <w:tcPr>
            <w:tcW w:w="4677" w:type="dxa"/>
          </w:tcPr>
          <w:p w14:paraId="337C6D89" w14:textId="77777777" w:rsidR="001A69C5" w:rsidRPr="00D55B59" w:rsidRDefault="001A69C5" w:rsidP="00B7252D">
            <w:pPr>
              <w:pStyle w:val="lbltxt"/>
              <w:rPr>
                <w:noProof w:val="0"/>
                <w:szCs w:val="22"/>
                <w:lang w:val="da-DK"/>
                <w:rPrChange w:id="3757" w:author="Author">
                  <w:rPr>
                    <w:noProof w:val="0"/>
                    <w:szCs w:val="22"/>
                    <w:lang w:val="sv-SE"/>
                  </w:rPr>
                </w:rPrChange>
              </w:rPr>
            </w:pPr>
            <w:r w:rsidRPr="00D55B59">
              <w:rPr>
                <w:b/>
                <w:noProof w:val="0"/>
                <w:szCs w:val="22"/>
                <w:lang w:val="da-DK"/>
                <w:rPrChange w:id="3758" w:author="Author">
                  <w:rPr>
                    <w:b/>
                    <w:noProof w:val="0"/>
                    <w:szCs w:val="22"/>
                    <w:lang w:val="sv-SE"/>
                  </w:rPr>
                </w:rPrChange>
              </w:rPr>
              <w:t>Danmark</w:t>
            </w:r>
          </w:p>
          <w:p w14:paraId="4782E614" w14:textId="77777777" w:rsidR="001A69C5" w:rsidRPr="00D55B59" w:rsidRDefault="001A69C5" w:rsidP="00B7252D">
            <w:pPr>
              <w:pStyle w:val="lbltxt"/>
              <w:rPr>
                <w:noProof w:val="0"/>
                <w:szCs w:val="22"/>
                <w:lang w:val="da-DK"/>
                <w:rPrChange w:id="3759" w:author="Author">
                  <w:rPr>
                    <w:noProof w:val="0"/>
                    <w:szCs w:val="22"/>
                    <w:lang w:val="sv-SE"/>
                  </w:rPr>
                </w:rPrChange>
              </w:rPr>
            </w:pPr>
            <w:r w:rsidRPr="00D55B59">
              <w:rPr>
                <w:noProof w:val="0"/>
                <w:szCs w:val="22"/>
                <w:lang w:val="da-DK"/>
                <w:rPrChange w:id="3760" w:author="Author">
                  <w:rPr>
                    <w:noProof w:val="0"/>
                    <w:szCs w:val="22"/>
                    <w:lang w:val="sv-SE"/>
                  </w:rPr>
                </w:rPrChange>
              </w:rPr>
              <w:t>Amgen, filial af Amgen AB, Sverige</w:t>
            </w:r>
          </w:p>
          <w:p w14:paraId="03C167C8" w14:textId="16A78B5B" w:rsidR="001A69C5" w:rsidRPr="00D55B59" w:rsidRDefault="001A69C5" w:rsidP="00B7252D">
            <w:pPr>
              <w:pStyle w:val="lbltxt"/>
              <w:rPr>
                <w:noProof w:val="0"/>
                <w:szCs w:val="22"/>
                <w:lang w:val="en-GB"/>
                <w:rPrChange w:id="3761" w:author="Author">
                  <w:rPr>
                    <w:noProof w:val="0"/>
                    <w:szCs w:val="22"/>
                  </w:rPr>
                </w:rPrChange>
              </w:rPr>
            </w:pPr>
            <w:r w:rsidRPr="00D55B59">
              <w:rPr>
                <w:noProof w:val="0"/>
                <w:szCs w:val="22"/>
                <w:lang w:val="en-GB"/>
                <w:rPrChange w:id="3762" w:author="Author">
                  <w:rPr>
                    <w:noProof w:val="0"/>
                    <w:szCs w:val="22"/>
                  </w:rPr>
                </w:rPrChange>
              </w:rPr>
              <w:t>Tlf</w:t>
            </w:r>
            <w:ins w:id="3763" w:author="Author">
              <w:r w:rsidR="004F4E9B" w:rsidRPr="00D55B59">
                <w:rPr>
                  <w:noProof w:val="0"/>
                  <w:szCs w:val="22"/>
                  <w:lang w:val="en-GB"/>
                  <w:rPrChange w:id="3764" w:author="Author">
                    <w:rPr>
                      <w:noProof w:val="0"/>
                      <w:szCs w:val="22"/>
                    </w:rPr>
                  </w:rPrChange>
                </w:rPr>
                <w:t>.</w:t>
              </w:r>
            </w:ins>
            <w:r w:rsidRPr="00D55B59">
              <w:rPr>
                <w:noProof w:val="0"/>
                <w:szCs w:val="22"/>
                <w:lang w:val="en-GB"/>
                <w:rPrChange w:id="3765" w:author="Author">
                  <w:rPr>
                    <w:noProof w:val="0"/>
                    <w:szCs w:val="22"/>
                  </w:rPr>
                </w:rPrChange>
              </w:rPr>
              <w:t>: +45 39617500</w:t>
            </w:r>
          </w:p>
          <w:p w14:paraId="2DB72751" w14:textId="77777777" w:rsidR="001A69C5" w:rsidRPr="001775D9" w:rsidRDefault="001A69C5" w:rsidP="00B7252D">
            <w:pPr>
              <w:rPr>
                <w:szCs w:val="22"/>
              </w:rPr>
            </w:pPr>
          </w:p>
        </w:tc>
        <w:tc>
          <w:tcPr>
            <w:tcW w:w="4679" w:type="dxa"/>
          </w:tcPr>
          <w:p w14:paraId="666C2916" w14:textId="77777777" w:rsidR="001A69C5" w:rsidRPr="00D55B59" w:rsidRDefault="001A69C5" w:rsidP="00B7252D">
            <w:pPr>
              <w:pStyle w:val="lbltxt"/>
              <w:rPr>
                <w:b/>
                <w:noProof w:val="0"/>
                <w:szCs w:val="22"/>
                <w:lang w:val="fi-FI"/>
                <w:rPrChange w:id="3766" w:author="Author">
                  <w:rPr>
                    <w:b/>
                    <w:noProof w:val="0"/>
                    <w:szCs w:val="22"/>
                    <w:lang w:val="sv-SE"/>
                  </w:rPr>
                </w:rPrChange>
              </w:rPr>
            </w:pPr>
            <w:r w:rsidRPr="00D55B59">
              <w:rPr>
                <w:b/>
                <w:noProof w:val="0"/>
                <w:szCs w:val="22"/>
                <w:lang w:val="fi-FI"/>
                <w:rPrChange w:id="3767" w:author="Author">
                  <w:rPr>
                    <w:b/>
                    <w:noProof w:val="0"/>
                    <w:szCs w:val="22"/>
                    <w:lang w:val="sv-SE"/>
                  </w:rPr>
                </w:rPrChange>
              </w:rPr>
              <w:t>Malta</w:t>
            </w:r>
          </w:p>
          <w:p w14:paraId="603E307A" w14:textId="78A508B4" w:rsidR="004B0067" w:rsidRPr="00D55B59" w:rsidRDefault="004B0067" w:rsidP="004B0067">
            <w:pPr>
              <w:pStyle w:val="lbltxt"/>
              <w:rPr>
                <w:noProof w:val="0"/>
                <w:szCs w:val="22"/>
                <w:lang w:val="fi-FI"/>
                <w:rPrChange w:id="3768" w:author="Author">
                  <w:rPr>
                    <w:noProof w:val="0"/>
                    <w:szCs w:val="22"/>
                    <w:lang w:val="sv-SE"/>
                  </w:rPr>
                </w:rPrChange>
              </w:rPr>
            </w:pPr>
            <w:r w:rsidRPr="00D55B59">
              <w:rPr>
                <w:noProof w:val="0"/>
                <w:szCs w:val="22"/>
                <w:lang w:val="fi-FI"/>
                <w:rPrChange w:id="3769" w:author="Author">
                  <w:rPr>
                    <w:noProof w:val="0"/>
                    <w:szCs w:val="22"/>
                    <w:lang w:val="sv-SE"/>
                  </w:rPr>
                </w:rPrChange>
              </w:rPr>
              <w:t>Amgen S.r.l.</w:t>
            </w:r>
          </w:p>
          <w:p w14:paraId="6E4BC87D" w14:textId="545B7B07" w:rsidR="00551331" w:rsidRPr="00D55B59" w:rsidRDefault="00551331" w:rsidP="004B0067">
            <w:pPr>
              <w:pStyle w:val="lbltxt"/>
              <w:rPr>
                <w:noProof w:val="0"/>
                <w:szCs w:val="22"/>
                <w:lang w:val="en-GB"/>
                <w:rPrChange w:id="3770" w:author="Author">
                  <w:rPr>
                    <w:noProof w:val="0"/>
                    <w:szCs w:val="22"/>
                    <w:lang w:val="sv-SE"/>
                  </w:rPr>
                </w:rPrChange>
              </w:rPr>
            </w:pPr>
            <w:r w:rsidRPr="00D55B59">
              <w:rPr>
                <w:noProof w:val="0"/>
                <w:szCs w:val="22"/>
                <w:lang w:val="en-GB"/>
                <w:rPrChange w:id="3771" w:author="Author">
                  <w:rPr>
                    <w:noProof w:val="0"/>
                    <w:szCs w:val="22"/>
                    <w:lang w:val="sv-SE"/>
                  </w:rPr>
                </w:rPrChange>
              </w:rPr>
              <w:t>Italy</w:t>
            </w:r>
          </w:p>
          <w:p w14:paraId="4CD6A078" w14:textId="77777777" w:rsidR="004B0067" w:rsidRPr="00D55B59" w:rsidRDefault="004B0067" w:rsidP="004B0067">
            <w:pPr>
              <w:pStyle w:val="lbltxt"/>
              <w:rPr>
                <w:noProof w:val="0"/>
                <w:szCs w:val="22"/>
                <w:lang w:val="en-GB"/>
                <w:rPrChange w:id="3772" w:author="Author">
                  <w:rPr>
                    <w:noProof w:val="0"/>
                    <w:szCs w:val="22"/>
                  </w:rPr>
                </w:rPrChange>
              </w:rPr>
            </w:pPr>
            <w:r w:rsidRPr="00D55B59">
              <w:rPr>
                <w:noProof w:val="0"/>
                <w:szCs w:val="22"/>
                <w:lang w:val="en-GB"/>
                <w:rPrChange w:id="3773" w:author="Author">
                  <w:rPr>
                    <w:noProof w:val="0"/>
                    <w:szCs w:val="22"/>
                  </w:rPr>
                </w:rPrChange>
              </w:rPr>
              <w:t>Tel: +39 02 6241121</w:t>
            </w:r>
          </w:p>
          <w:p w14:paraId="163DCB46" w14:textId="77777777" w:rsidR="001A69C5" w:rsidRPr="001775D9" w:rsidRDefault="001A69C5" w:rsidP="00B7252D">
            <w:pPr>
              <w:rPr>
                <w:szCs w:val="22"/>
              </w:rPr>
            </w:pPr>
          </w:p>
        </w:tc>
      </w:tr>
      <w:tr w:rsidR="001A69C5" w:rsidRPr="00F04F82" w14:paraId="4AADB2EA" w14:textId="77777777" w:rsidTr="00B7252D">
        <w:trPr>
          <w:cantSplit/>
        </w:trPr>
        <w:tc>
          <w:tcPr>
            <w:tcW w:w="4677" w:type="dxa"/>
          </w:tcPr>
          <w:p w14:paraId="72527895" w14:textId="77777777" w:rsidR="001A69C5" w:rsidRPr="00D55B59" w:rsidRDefault="001A69C5" w:rsidP="00B7252D">
            <w:pPr>
              <w:pStyle w:val="lbltxt"/>
              <w:rPr>
                <w:noProof w:val="0"/>
                <w:szCs w:val="22"/>
                <w:lang w:val="en-GB"/>
                <w:rPrChange w:id="3774" w:author="Author">
                  <w:rPr>
                    <w:noProof w:val="0"/>
                    <w:szCs w:val="22"/>
                  </w:rPr>
                </w:rPrChange>
              </w:rPr>
            </w:pPr>
            <w:r w:rsidRPr="00D55B59">
              <w:rPr>
                <w:b/>
                <w:noProof w:val="0"/>
                <w:szCs w:val="22"/>
                <w:lang w:val="en-GB"/>
                <w:rPrChange w:id="3775" w:author="Author">
                  <w:rPr>
                    <w:b/>
                    <w:noProof w:val="0"/>
                    <w:szCs w:val="22"/>
                  </w:rPr>
                </w:rPrChange>
              </w:rPr>
              <w:t>Deutschland</w:t>
            </w:r>
          </w:p>
          <w:p w14:paraId="60E8E523" w14:textId="4C8C6962" w:rsidR="001A69C5" w:rsidRPr="00D55B59" w:rsidRDefault="001A69C5" w:rsidP="00B7252D">
            <w:pPr>
              <w:pStyle w:val="lbltxt"/>
              <w:rPr>
                <w:noProof w:val="0"/>
                <w:szCs w:val="22"/>
                <w:lang w:val="en-GB"/>
                <w:rPrChange w:id="3776" w:author="Author">
                  <w:rPr>
                    <w:noProof w:val="0"/>
                    <w:szCs w:val="22"/>
                  </w:rPr>
                </w:rPrChange>
              </w:rPr>
            </w:pPr>
            <w:r w:rsidRPr="00D55B59">
              <w:rPr>
                <w:noProof w:val="0"/>
                <w:szCs w:val="22"/>
                <w:lang w:val="en-GB"/>
                <w:rPrChange w:id="3777" w:author="Author">
                  <w:rPr>
                    <w:noProof w:val="0"/>
                    <w:szCs w:val="22"/>
                  </w:rPr>
                </w:rPrChange>
              </w:rPr>
              <w:t>A</w:t>
            </w:r>
            <w:r w:rsidR="004B0067" w:rsidRPr="00D55B59">
              <w:rPr>
                <w:noProof w:val="0"/>
                <w:szCs w:val="22"/>
                <w:lang w:val="en-GB"/>
                <w:rPrChange w:id="3778" w:author="Author">
                  <w:rPr>
                    <w:noProof w:val="0"/>
                    <w:szCs w:val="22"/>
                  </w:rPr>
                </w:rPrChange>
              </w:rPr>
              <w:t>mgen</w:t>
            </w:r>
            <w:r w:rsidRPr="00D55B59">
              <w:rPr>
                <w:noProof w:val="0"/>
                <w:szCs w:val="22"/>
                <w:lang w:val="en-GB"/>
                <w:rPrChange w:id="3779" w:author="Author">
                  <w:rPr>
                    <w:noProof w:val="0"/>
                    <w:szCs w:val="22"/>
                  </w:rPr>
                </w:rPrChange>
              </w:rPr>
              <w:t xml:space="preserve"> GmbH</w:t>
            </w:r>
          </w:p>
          <w:p w14:paraId="61AB570A" w14:textId="278B2A24" w:rsidR="001A69C5" w:rsidRPr="00D55B59" w:rsidRDefault="001A69C5" w:rsidP="00B7252D">
            <w:pPr>
              <w:pStyle w:val="lbltxt"/>
              <w:rPr>
                <w:noProof w:val="0"/>
                <w:szCs w:val="22"/>
                <w:lang w:val="en-GB"/>
                <w:rPrChange w:id="3780" w:author="Author">
                  <w:rPr>
                    <w:noProof w:val="0"/>
                    <w:szCs w:val="22"/>
                  </w:rPr>
                </w:rPrChange>
              </w:rPr>
            </w:pPr>
            <w:r w:rsidRPr="00D55B59">
              <w:rPr>
                <w:noProof w:val="0"/>
                <w:szCs w:val="22"/>
                <w:lang w:val="en-GB"/>
                <w:rPrChange w:id="3781" w:author="Author">
                  <w:rPr>
                    <w:noProof w:val="0"/>
                    <w:szCs w:val="22"/>
                  </w:rPr>
                </w:rPrChange>
              </w:rPr>
              <w:t>Tel: +49 89 1490960</w:t>
            </w:r>
          </w:p>
          <w:p w14:paraId="053706FC" w14:textId="77777777" w:rsidR="001A69C5" w:rsidRPr="001775D9" w:rsidRDefault="001A69C5" w:rsidP="00B7252D">
            <w:pPr>
              <w:rPr>
                <w:szCs w:val="22"/>
              </w:rPr>
            </w:pPr>
          </w:p>
        </w:tc>
        <w:tc>
          <w:tcPr>
            <w:tcW w:w="4679" w:type="dxa"/>
          </w:tcPr>
          <w:p w14:paraId="2B1397B0" w14:textId="77777777" w:rsidR="001A69C5" w:rsidRPr="00D55B59" w:rsidRDefault="001A69C5" w:rsidP="00B7252D">
            <w:pPr>
              <w:pStyle w:val="lbltxt"/>
              <w:rPr>
                <w:noProof w:val="0"/>
                <w:szCs w:val="22"/>
                <w:lang w:val="en-GB"/>
                <w:rPrChange w:id="3782" w:author="Author">
                  <w:rPr>
                    <w:noProof w:val="0"/>
                    <w:szCs w:val="22"/>
                    <w:lang w:val="sv-SE"/>
                  </w:rPr>
                </w:rPrChange>
              </w:rPr>
            </w:pPr>
            <w:r w:rsidRPr="00D55B59">
              <w:rPr>
                <w:b/>
                <w:noProof w:val="0"/>
                <w:szCs w:val="22"/>
                <w:lang w:val="en-GB"/>
                <w:rPrChange w:id="3783" w:author="Author">
                  <w:rPr>
                    <w:b/>
                    <w:noProof w:val="0"/>
                    <w:szCs w:val="22"/>
                    <w:lang w:val="sv-SE"/>
                  </w:rPr>
                </w:rPrChange>
              </w:rPr>
              <w:t>Nederland</w:t>
            </w:r>
          </w:p>
          <w:p w14:paraId="29AEFFE0" w14:textId="77777777" w:rsidR="001A69C5" w:rsidRPr="00D55B59" w:rsidRDefault="001A69C5" w:rsidP="00B7252D">
            <w:pPr>
              <w:pStyle w:val="lbltxt"/>
              <w:rPr>
                <w:noProof w:val="0"/>
                <w:szCs w:val="22"/>
                <w:lang w:val="en-GB"/>
                <w:rPrChange w:id="3784" w:author="Author">
                  <w:rPr>
                    <w:noProof w:val="0"/>
                    <w:szCs w:val="22"/>
                    <w:lang w:val="sv-SE"/>
                  </w:rPr>
                </w:rPrChange>
              </w:rPr>
            </w:pPr>
            <w:r w:rsidRPr="00D55B59">
              <w:rPr>
                <w:noProof w:val="0"/>
                <w:szCs w:val="22"/>
                <w:lang w:val="en-GB"/>
                <w:rPrChange w:id="3785" w:author="Author">
                  <w:rPr>
                    <w:noProof w:val="0"/>
                    <w:szCs w:val="22"/>
                    <w:lang w:val="sv-SE"/>
                  </w:rPr>
                </w:rPrChange>
              </w:rPr>
              <w:t>Amgen B.V.</w:t>
            </w:r>
          </w:p>
          <w:p w14:paraId="399AEC0C" w14:textId="77777777" w:rsidR="001A69C5" w:rsidRPr="00D55B59" w:rsidRDefault="001A69C5" w:rsidP="00B7252D">
            <w:pPr>
              <w:pStyle w:val="lbltxt"/>
              <w:rPr>
                <w:bCs/>
                <w:noProof w:val="0"/>
                <w:szCs w:val="22"/>
                <w:lang w:val="en-GB"/>
                <w:rPrChange w:id="3786" w:author="Author">
                  <w:rPr>
                    <w:bCs/>
                    <w:noProof w:val="0"/>
                    <w:szCs w:val="22"/>
                    <w:lang w:val="sv-SE"/>
                  </w:rPr>
                </w:rPrChange>
              </w:rPr>
            </w:pPr>
            <w:r w:rsidRPr="00D55B59">
              <w:rPr>
                <w:noProof w:val="0"/>
                <w:szCs w:val="22"/>
                <w:lang w:val="en-GB"/>
                <w:rPrChange w:id="3787" w:author="Author">
                  <w:rPr>
                    <w:noProof w:val="0"/>
                    <w:szCs w:val="22"/>
                    <w:lang w:val="sv-SE"/>
                  </w:rPr>
                </w:rPrChange>
              </w:rPr>
              <w:t>Tel: +31 (0)76 5732500</w:t>
            </w:r>
          </w:p>
          <w:p w14:paraId="075E60A1" w14:textId="77777777" w:rsidR="001A69C5" w:rsidRPr="00D55B59" w:rsidRDefault="001A69C5" w:rsidP="00B7252D">
            <w:pPr>
              <w:rPr>
                <w:szCs w:val="22"/>
                <w:rPrChange w:id="3788" w:author="Author">
                  <w:rPr>
                    <w:szCs w:val="22"/>
                    <w:lang w:val="sv-SE"/>
                  </w:rPr>
                </w:rPrChange>
              </w:rPr>
            </w:pPr>
          </w:p>
        </w:tc>
      </w:tr>
      <w:tr w:rsidR="001A69C5" w:rsidRPr="00F04F82" w14:paraId="05A1ADA1" w14:textId="77777777" w:rsidTr="00B7252D">
        <w:trPr>
          <w:cantSplit/>
        </w:trPr>
        <w:tc>
          <w:tcPr>
            <w:tcW w:w="4677" w:type="dxa"/>
          </w:tcPr>
          <w:p w14:paraId="04B59E38" w14:textId="77777777" w:rsidR="001A69C5" w:rsidRPr="00D55B59" w:rsidRDefault="001A69C5" w:rsidP="00B7252D">
            <w:pPr>
              <w:pStyle w:val="lbltxt"/>
              <w:rPr>
                <w:b/>
                <w:noProof w:val="0"/>
                <w:szCs w:val="22"/>
                <w:lang w:val="en-GB"/>
                <w:rPrChange w:id="3789" w:author="Author">
                  <w:rPr>
                    <w:b/>
                    <w:noProof w:val="0"/>
                    <w:szCs w:val="22"/>
                    <w:lang w:val="sv-SE"/>
                  </w:rPr>
                </w:rPrChange>
              </w:rPr>
            </w:pPr>
            <w:r w:rsidRPr="00D55B59">
              <w:rPr>
                <w:b/>
                <w:noProof w:val="0"/>
                <w:szCs w:val="22"/>
                <w:lang w:val="en-GB"/>
                <w:rPrChange w:id="3790" w:author="Author">
                  <w:rPr>
                    <w:b/>
                    <w:noProof w:val="0"/>
                    <w:szCs w:val="22"/>
                    <w:lang w:val="sv-SE"/>
                  </w:rPr>
                </w:rPrChange>
              </w:rPr>
              <w:t>Eesti</w:t>
            </w:r>
          </w:p>
          <w:p w14:paraId="46836A57" w14:textId="77777777" w:rsidR="001A69C5" w:rsidRPr="00D55B59" w:rsidRDefault="001A69C5" w:rsidP="00B7252D">
            <w:pPr>
              <w:pStyle w:val="lbltxt"/>
              <w:rPr>
                <w:bCs/>
                <w:noProof w:val="0"/>
                <w:szCs w:val="22"/>
                <w:lang w:val="en-GB"/>
                <w:rPrChange w:id="3791" w:author="Author">
                  <w:rPr>
                    <w:bCs/>
                    <w:noProof w:val="0"/>
                    <w:szCs w:val="22"/>
                    <w:lang w:val="sv-SE"/>
                  </w:rPr>
                </w:rPrChange>
              </w:rPr>
            </w:pPr>
            <w:r w:rsidRPr="00D55B59">
              <w:rPr>
                <w:bCs/>
                <w:noProof w:val="0"/>
                <w:szCs w:val="22"/>
                <w:lang w:val="en-GB"/>
                <w:rPrChange w:id="3792" w:author="Author">
                  <w:rPr>
                    <w:bCs/>
                    <w:noProof w:val="0"/>
                    <w:szCs w:val="22"/>
                    <w:lang w:val="sv-SE"/>
                  </w:rPr>
                </w:rPrChange>
              </w:rPr>
              <w:t xml:space="preserve">Amgen Switzerland AG </w:t>
            </w:r>
            <w:r w:rsidRPr="00D55B59">
              <w:rPr>
                <w:noProof w:val="0"/>
                <w:szCs w:val="22"/>
                <w:lang w:val="en-GB"/>
                <w:rPrChange w:id="3793" w:author="Author">
                  <w:rPr>
                    <w:noProof w:val="0"/>
                    <w:szCs w:val="22"/>
                    <w:lang w:val="sv-SE"/>
                  </w:rPr>
                </w:rPrChange>
              </w:rPr>
              <w:t>Vilniaus filialas</w:t>
            </w:r>
          </w:p>
          <w:p w14:paraId="3A935496" w14:textId="77777777" w:rsidR="001A69C5" w:rsidRPr="00D55B59" w:rsidRDefault="001A69C5" w:rsidP="00B7252D">
            <w:pPr>
              <w:pStyle w:val="lbltxt"/>
              <w:rPr>
                <w:noProof w:val="0"/>
                <w:szCs w:val="22"/>
                <w:lang w:val="en-GB"/>
                <w:rPrChange w:id="3794" w:author="Author">
                  <w:rPr>
                    <w:noProof w:val="0"/>
                    <w:szCs w:val="22"/>
                  </w:rPr>
                </w:rPrChange>
              </w:rPr>
            </w:pPr>
            <w:r w:rsidRPr="00D55B59">
              <w:rPr>
                <w:bCs/>
                <w:noProof w:val="0"/>
                <w:szCs w:val="22"/>
                <w:lang w:val="en-GB"/>
                <w:rPrChange w:id="3795" w:author="Author">
                  <w:rPr>
                    <w:bCs/>
                    <w:noProof w:val="0"/>
                    <w:szCs w:val="22"/>
                  </w:rPr>
                </w:rPrChange>
              </w:rPr>
              <w:t>Tel: +</w:t>
            </w:r>
            <w:r w:rsidRPr="00D55B59">
              <w:rPr>
                <w:noProof w:val="0"/>
                <w:szCs w:val="22"/>
                <w:lang w:val="en-GB"/>
                <w:rPrChange w:id="3796" w:author="Author">
                  <w:rPr>
                    <w:noProof w:val="0"/>
                    <w:szCs w:val="22"/>
                  </w:rPr>
                </w:rPrChange>
              </w:rPr>
              <w:t>372 586 09553</w:t>
            </w:r>
          </w:p>
          <w:p w14:paraId="4120D52F" w14:textId="77777777" w:rsidR="001A69C5" w:rsidRPr="001775D9" w:rsidRDefault="001A69C5" w:rsidP="00B7252D">
            <w:pPr>
              <w:rPr>
                <w:szCs w:val="22"/>
              </w:rPr>
            </w:pPr>
          </w:p>
        </w:tc>
        <w:tc>
          <w:tcPr>
            <w:tcW w:w="4679" w:type="dxa"/>
          </w:tcPr>
          <w:p w14:paraId="239F4BFC" w14:textId="77777777" w:rsidR="001A69C5" w:rsidRPr="00D55B59" w:rsidRDefault="001A69C5" w:rsidP="00B7252D">
            <w:pPr>
              <w:pStyle w:val="lbltxt"/>
              <w:rPr>
                <w:b/>
                <w:bCs/>
                <w:noProof w:val="0"/>
                <w:szCs w:val="22"/>
                <w:lang w:val="en-GB"/>
                <w:rPrChange w:id="3797" w:author="Author">
                  <w:rPr>
                    <w:b/>
                    <w:bCs/>
                    <w:noProof w:val="0"/>
                    <w:szCs w:val="22"/>
                  </w:rPr>
                </w:rPrChange>
              </w:rPr>
            </w:pPr>
            <w:r w:rsidRPr="00D55B59">
              <w:rPr>
                <w:b/>
                <w:bCs/>
                <w:noProof w:val="0"/>
                <w:szCs w:val="22"/>
                <w:lang w:val="en-GB"/>
                <w:rPrChange w:id="3798" w:author="Author">
                  <w:rPr>
                    <w:b/>
                    <w:bCs/>
                    <w:noProof w:val="0"/>
                    <w:szCs w:val="22"/>
                  </w:rPr>
                </w:rPrChange>
              </w:rPr>
              <w:t>Norge</w:t>
            </w:r>
          </w:p>
          <w:p w14:paraId="3132C935" w14:textId="77777777" w:rsidR="001A69C5" w:rsidRPr="00D55B59" w:rsidRDefault="001A69C5" w:rsidP="00B7252D">
            <w:pPr>
              <w:pStyle w:val="lbltxt"/>
              <w:rPr>
                <w:rStyle w:val="CommentReference"/>
                <w:noProof w:val="0"/>
                <w:sz w:val="22"/>
                <w:szCs w:val="22"/>
                <w:lang w:val="en-GB"/>
                <w:rPrChange w:id="3799" w:author="Author">
                  <w:rPr>
                    <w:rStyle w:val="CommentReference"/>
                    <w:noProof w:val="0"/>
                    <w:sz w:val="22"/>
                    <w:szCs w:val="22"/>
                  </w:rPr>
                </w:rPrChange>
              </w:rPr>
            </w:pPr>
            <w:r w:rsidRPr="00D55B59">
              <w:rPr>
                <w:rStyle w:val="CommentReference"/>
                <w:noProof w:val="0"/>
                <w:sz w:val="22"/>
                <w:szCs w:val="22"/>
                <w:lang w:val="en-GB"/>
                <w:rPrChange w:id="3800" w:author="Author">
                  <w:rPr>
                    <w:rStyle w:val="CommentReference"/>
                    <w:noProof w:val="0"/>
                    <w:sz w:val="22"/>
                    <w:szCs w:val="22"/>
                  </w:rPr>
                </w:rPrChange>
              </w:rPr>
              <w:t>Amgen AB</w:t>
            </w:r>
          </w:p>
          <w:p w14:paraId="045DB4C0" w14:textId="20DC7288" w:rsidR="001A69C5" w:rsidRPr="00D55B59" w:rsidRDefault="001A69C5" w:rsidP="00B7252D">
            <w:pPr>
              <w:pStyle w:val="lbltxt"/>
              <w:rPr>
                <w:noProof w:val="0"/>
                <w:szCs w:val="22"/>
                <w:lang w:val="en-GB"/>
                <w:rPrChange w:id="3801" w:author="Author">
                  <w:rPr>
                    <w:noProof w:val="0"/>
                    <w:szCs w:val="22"/>
                  </w:rPr>
                </w:rPrChange>
              </w:rPr>
            </w:pPr>
            <w:r w:rsidRPr="00D55B59">
              <w:rPr>
                <w:rStyle w:val="CommentReference"/>
                <w:noProof w:val="0"/>
                <w:sz w:val="22"/>
                <w:szCs w:val="22"/>
                <w:lang w:val="en-GB"/>
                <w:rPrChange w:id="3802" w:author="Author">
                  <w:rPr>
                    <w:rStyle w:val="CommentReference"/>
                    <w:noProof w:val="0"/>
                    <w:sz w:val="22"/>
                    <w:szCs w:val="22"/>
                  </w:rPr>
                </w:rPrChange>
              </w:rPr>
              <w:t>T</w:t>
            </w:r>
            <w:r w:rsidR="00E7410D" w:rsidRPr="00D55B59">
              <w:rPr>
                <w:rStyle w:val="CommentReference"/>
                <w:noProof w:val="0"/>
                <w:sz w:val="22"/>
                <w:szCs w:val="22"/>
                <w:lang w:val="en-GB"/>
                <w:rPrChange w:id="3803" w:author="Author">
                  <w:rPr>
                    <w:rStyle w:val="CommentReference"/>
                    <w:noProof w:val="0"/>
                    <w:sz w:val="22"/>
                    <w:szCs w:val="22"/>
                  </w:rPr>
                </w:rPrChange>
              </w:rPr>
              <w:t>l</w:t>
            </w:r>
            <w:r w:rsidR="00E7410D" w:rsidRPr="00D55B59">
              <w:rPr>
                <w:rStyle w:val="CommentReference"/>
                <w:noProof w:val="0"/>
                <w:sz w:val="22"/>
                <w:lang w:val="en-GB"/>
                <w:rPrChange w:id="3804" w:author="Author">
                  <w:rPr>
                    <w:rStyle w:val="CommentReference"/>
                    <w:sz w:val="22"/>
                  </w:rPr>
                </w:rPrChange>
              </w:rPr>
              <w:t>f</w:t>
            </w:r>
            <w:r w:rsidRPr="00D55B59">
              <w:rPr>
                <w:rStyle w:val="CommentReference"/>
                <w:noProof w:val="0"/>
                <w:sz w:val="22"/>
                <w:szCs w:val="22"/>
                <w:lang w:val="en-GB"/>
                <w:rPrChange w:id="3805" w:author="Author">
                  <w:rPr>
                    <w:rStyle w:val="CommentReference"/>
                    <w:noProof w:val="0"/>
                    <w:sz w:val="22"/>
                    <w:szCs w:val="22"/>
                  </w:rPr>
                </w:rPrChange>
              </w:rPr>
              <w:t>: +47 23308000</w:t>
            </w:r>
          </w:p>
          <w:p w14:paraId="19EBC999" w14:textId="77777777" w:rsidR="001A69C5" w:rsidRPr="001775D9" w:rsidRDefault="001A69C5" w:rsidP="00B7252D">
            <w:pPr>
              <w:rPr>
                <w:szCs w:val="22"/>
              </w:rPr>
            </w:pPr>
          </w:p>
        </w:tc>
      </w:tr>
      <w:tr w:rsidR="001A69C5" w:rsidRPr="00F04F82" w14:paraId="1341FE05" w14:textId="77777777" w:rsidTr="00B7252D">
        <w:trPr>
          <w:cantSplit/>
        </w:trPr>
        <w:tc>
          <w:tcPr>
            <w:tcW w:w="4677" w:type="dxa"/>
          </w:tcPr>
          <w:p w14:paraId="268EB210" w14:textId="77777777" w:rsidR="001A69C5" w:rsidRPr="004E0216" w:rsidRDefault="001A69C5" w:rsidP="00B7252D">
            <w:pPr>
              <w:pStyle w:val="lbltxt"/>
              <w:rPr>
                <w:b/>
                <w:bCs/>
                <w:noProof w:val="0"/>
                <w:szCs w:val="22"/>
                <w:lang w:val="el-GR"/>
              </w:rPr>
            </w:pPr>
            <w:r w:rsidRPr="004E0216">
              <w:rPr>
                <w:b/>
                <w:bCs/>
                <w:noProof w:val="0"/>
                <w:szCs w:val="22"/>
                <w:lang w:val="el-GR"/>
              </w:rPr>
              <w:t>Ελλάδα</w:t>
            </w:r>
          </w:p>
          <w:p w14:paraId="4B51C89C" w14:textId="77777777" w:rsidR="001A69C5" w:rsidRPr="004E0216" w:rsidRDefault="001A69C5" w:rsidP="00B7252D">
            <w:pPr>
              <w:pStyle w:val="lbltxt"/>
              <w:rPr>
                <w:noProof w:val="0"/>
                <w:szCs w:val="22"/>
                <w:lang w:val="el-GR"/>
              </w:rPr>
            </w:pPr>
            <w:r w:rsidRPr="00D55B59">
              <w:rPr>
                <w:noProof w:val="0"/>
                <w:szCs w:val="22"/>
                <w:lang w:val="en-GB"/>
                <w:rPrChange w:id="3806" w:author="Author">
                  <w:rPr>
                    <w:noProof w:val="0"/>
                    <w:szCs w:val="22"/>
                  </w:rPr>
                </w:rPrChange>
              </w:rPr>
              <w:t>Amgen</w:t>
            </w:r>
            <w:r w:rsidRPr="004E0216">
              <w:rPr>
                <w:noProof w:val="0"/>
                <w:szCs w:val="22"/>
                <w:lang w:val="el-GR"/>
              </w:rPr>
              <w:t xml:space="preserve"> Ελλάς Φαρμακευτικά Ε.Π.Ε. </w:t>
            </w:r>
          </w:p>
          <w:p w14:paraId="1B89D660" w14:textId="4422A1E0" w:rsidR="001A69C5" w:rsidRPr="00D55B59" w:rsidRDefault="001A69C5" w:rsidP="00B7252D">
            <w:pPr>
              <w:pStyle w:val="lbltxt"/>
              <w:rPr>
                <w:noProof w:val="0"/>
                <w:szCs w:val="22"/>
                <w:lang w:val="en-GB"/>
                <w:rPrChange w:id="3807" w:author="Author">
                  <w:rPr>
                    <w:noProof w:val="0"/>
                    <w:szCs w:val="22"/>
                  </w:rPr>
                </w:rPrChange>
              </w:rPr>
            </w:pPr>
            <w:r w:rsidRPr="00D55B59">
              <w:rPr>
                <w:noProof w:val="0"/>
                <w:szCs w:val="22"/>
                <w:lang w:val="en-GB"/>
                <w:rPrChange w:id="3808" w:author="Author">
                  <w:rPr>
                    <w:noProof w:val="0"/>
                    <w:szCs w:val="22"/>
                  </w:rPr>
                </w:rPrChange>
              </w:rPr>
              <w:t>Τηλ: +30 210 3447000</w:t>
            </w:r>
          </w:p>
          <w:p w14:paraId="11F1E237" w14:textId="77777777" w:rsidR="001A69C5" w:rsidRPr="001775D9" w:rsidRDefault="001A69C5" w:rsidP="00B7252D">
            <w:pPr>
              <w:rPr>
                <w:szCs w:val="22"/>
              </w:rPr>
            </w:pPr>
          </w:p>
        </w:tc>
        <w:tc>
          <w:tcPr>
            <w:tcW w:w="4679" w:type="dxa"/>
          </w:tcPr>
          <w:p w14:paraId="07801A72" w14:textId="77777777" w:rsidR="001A69C5" w:rsidRPr="00D55B59" w:rsidRDefault="001A69C5" w:rsidP="00B7252D">
            <w:pPr>
              <w:pStyle w:val="lbltxt"/>
              <w:rPr>
                <w:noProof w:val="0"/>
                <w:szCs w:val="22"/>
                <w:lang w:val="en-GB"/>
                <w:rPrChange w:id="3809" w:author="Author">
                  <w:rPr>
                    <w:noProof w:val="0"/>
                    <w:szCs w:val="22"/>
                  </w:rPr>
                </w:rPrChange>
              </w:rPr>
            </w:pPr>
            <w:r w:rsidRPr="00D55B59">
              <w:rPr>
                <w:b/>
                <w:noProof w:val="0"/>
                <w:szCs w:val="22"/>
                <w:lang w:val="en-GB"/>
                <w:rPrChange w:id="3810" w:author="Author">
                  <w:rPr>
                    <w:b/>
                    <w:noProof w:val="0"/>
                    <w:szCs w:val="22"/>
                  </w:rPr>
                </w:rPrChange>
              </w:rPr>
              <w:t>Österreich</w:t>
            </w:r>
          </w:p>
          <w:p w14:paraId="58833F4F" w14:textId="77777777" w:rsidR="001A69C5" w:rsidRPr="00D55B59" w:rsidRDefault="001A69C5" w:rsidP="00B7252D">
            <w:pPr>
              <w:pStyle w:val="lbltxt"/>
              <w:rPr>
                <w:noProof w:val="0"/>
                <w:szCs w:val="22"/>
                <w:lang w:val="en-GB"/>
                <w:rPrChange w:id="3811" w:author="Author">
                  <w:rPr>
                    <w:noProof w:val="0"/>
                    <w:szCs w:val="22"/>
                  </w:rPr>
                </w:rPrChange>
              </w:rPr>
            </w:pPr>
            <w:r w:rsidRPr="00D55B59">
              <w:rPr>
                <w:noProof w:val="0"/>
                <w:szCs w:val="22"/>
                <w:lang w:val="en-GB"/>
                <w:rPrChange w:id="3812" w:author="Author">
                  <w:rPr>
                    <w:noProof w:val="0"/>
                    <w:szCs w:val="22"/>
                  </w:rPr>
                </w:rPrChange>
              </w:rPr>
              <w:t xml:space="preserve">Amgen GmbH </w:t>
            </w:r>
          </w:p>
          <w:p w14:paraId="3E20A6DF" w14:textId="77777777" w:rsidR="001A69C5" w:rsidRPr="00D55B59" w:rsidRDefault="001A69C5" w:rsidP="00B7252D">
            <w:pPr>
              <w:pStyle w:val="lbltxt"/>
              <w:rPr>
                <w:noProof w:val="0"/>
                <w:szCs w:val="22"/>
                <w:lang w:val="en-GB"/>
                <w:rPrChange w:id="3813" w:author="Author">
                  <w:rPr>
                    <w:noProof w:val="0"/>
                    <w:szCs w:val="22"/>
                  </w:rPr>
                </w:rPrChange>
              </w:rPr>
            </w:pPr>
            <w:r w:rsidRPr="00D55B59">
              <w:rPr>
                <w:noProof w:val="0"/>
                <w:szCs w:val="22"/>
                <w:lang w:val="en-GB"/>
                <w:rPrChange w:id="3814" w:author="Author">
                  <w:rPr>
                    <w:noProof w:val="0"/>
                    <w:szCs w:val="22"/>
                  </w:rPr>
                </w:rPrChange>
              </w:rPr>
              <w:t>Tel: +43 (0)1 50 217</w:t>
            </w:r>
          </w:p>
          <w:p w14:paraId="05AE8571" w14:textId="77777777" w:rsidR="001A69C5" w:rsidRPr="001775D9" w:rsidRDefault="001A69C5" w:rsidP="00B7252D">
            <w:pPr>
              <w:rPr>
                <w:szCs w:val="22"/>
              </w:rPr>
            </w:pPr>
          </w:p>
        </w:tc>
      </w:tr>
      <w:tr w:rsidR="001A69C5" w:rsidRPr="00F04F82" w14:paraId="052B3828" w14:textId="77777777" w:rsidTr="00B7252D">
        <w:trPr>
          <w:cantSplit/>
        </w:trPr>
        <w:tc>
          <w:tcPr>
            <w:tcW w:w="4677" w:type="dxa"/>
          </w:tcPr>
          <w:p w14:paraId="65BAC19B" w14:textId="77777777" w:rsidR="001A69C5" w:rsidRPr="00D55B59" w:rsidRDefault="001A69C5" w:rsidP="00B7252D">
            <w:pPr>
              <w:pStyle w:val="lbltxt"/>
              <w:keepNext/>
              <w:rPr>
                <w:noProof w:val="0"/>
                <w:szCs w:val="22"/>
                <w:lang w:val="es-ES"/>
                <w:rPrChange w:id="3815" w:author="Author">
                  <w:rPr>
                    <w:noProof w:val="0"/>
                    <w:szCs w:val="22"/>
                    <w:lang w:val="sv-SE"/>
                  </w:rPr>
                </w:rPrChange>
              </w:rPr>
            </w:pPr>
            <w:r w:rsidRPr="00D55B59">
              <w:rPr>
                <w:b/>
                <w:noProof w:val="0"/>
                <w:szCs w:val="22"/>
                <w:lang w:val="es-ES"/>
                <w:rPrChange w:id="3816" w:author="Author">
                  <w:rPr>
                    <w:b/>
                    <w:noProof w:val="0"/>
                    <w:szCs w:val="22"/>
                    <w:lang w:val="sv-SE"/>
                  </w:rPr>
                </w:rPrChange>
              </w:rPr>
              <w:t>España</w:t>
            </w:r>
          </w:p>
          <w:p w14:paraId="48A25590" w14:textId="77777777" w:rsidR="001A69C5" w:rsidRPr="00D55B59" w:rsidRDefault="001A69C5" w:rsidP="00B7252D">
            <w:pPr>
              <w:pStyle w:val="lbltxt"/>
              <w:keepNext/>
              <w:rPr>
                <w:noProof w:val="0"/>
                <w:spacing w:val="-2"/>
                <w:szCs w:val="22"/>
                <w:lang w:val="es-ES"/>
                <w:rPrChange w:id="3817" w:author="Author">
                  <w:rPr>
                    <w:noProof w:val="0"/>
                    <w:spacing w:val="-2"/>
                    <w:szCs w:val="22"/>
                    <w:lang w:val="sv-SE"/>
                  </w:rPr>
                </w:rPrChange>
              </w:rPr>
            </w:pPr>
            <w:r w:rsidRPr="00D55B59">
              <w:rPr>
                <w:noProof w:val="0"/>
                <w:spacing w:val="-2"/>
                <w:szCs w:val="22"/>
                <w:lang w:val="es-ES"/>
                <w:rPrChange w:id="3818" w:author="Author">
                  <w:rPr>
                    <w:noProof w:val="0"/>
                    <w:spacing w:val="-2"/>
                    <w:szCs w:val="22"/>
                    <w:lang w:val="sv-SE"/>
                  </w:rPr>
                </w:rPrChange>
              </w:rPr>
              <w:t>Amgen S.A.</w:t>
            </w:r>
          </w:p>
          <w:p w14:paraId="16B951A1" w14:textId="77777777" w:rsidR="001A69C5" w:rsidRPr="00D55B59" w:rsidRDefault="001A69C5" w:rsidP="00B7252D">
            <w:pPr>
              <w:pStyle w:val="lbltxt"/>
              <w:keepNext/>
              <w:rPr>
                <w:rStyle w:val="Initial"/>
                <w:szCs w:val="22"/>
                <w:lang w:val="es-ES"/>
                <w:rPrChange w:id="3819" w:author="Author">
                  <w:rPr>
                    <w:rStyle w:val="Initial"/>
                    <w:szCs w:val="22"/>
                    <w:lang w:val="sv-SE"/>
                  </w:rPr>
                </w:rPrChange>
              </w:rPr>
            </w:pPr>
            <w:r w:rsidRPr="00D55B59">
              <w:rPr>
                <w:noProof w:val="0"/>
                <w:szCs w:val="22"/>
                <w:lang w:val="es-ES"/>
                <w:rPrChange w:id="3820" w:author="Author">
                  <w:rPr>
                    <w:rFonts w:ascii="CG Times" w:hAnsi="CG Times"/>
                    <w:noProof w:val="0"/>
                    <w:sz w:val="24"/>
                    <w:szCs w:val="22"/>
                    <w:lang w:val="sv-SE"/>
                  </w:rPr>
                </w:rPrChange>
              </w:rPr>
              <w:t xml:space="preserve">Tel: +34 93 600 18 60 </w:t>
            </w:r>
          </w:p>
          <w:p w14:paraId="5E7D3892" w14:textId="77777777" w:rsidR="001A69C5" w:rsidRPr="00D55B59" w:rsidRDefault="001A69C5" w:rsidP="00B7252D">
            <w:pPr>
              <w:keepNext/>
              <w:rPr>
                <w:szCs w:val="22"/>
                <w:lang w:val="es-ES"/>
                <w:rPrChange w:id="3821" w:author="Author">
                  <w:rPr>
                    <w:szCs w:val="22"/>
                    <w:lang w:val="sv-SE"/>
                  </w:rPr>
                </w:rPrChange>
              </w:rPr>
            </w:pPr>
          </w:p>
        </w:tc>
        <w:tc>
          <w:tcPr>
            <w:tcW w:w="4679" w:type="dxa"/>
          </w:tcPr>
          <w:p w14:paraId="04F023E4" w14:textId="77777777" w:rsidR="001A69C5" w:rsidRPr="004E0216" w:rsidRDefault="001A69C5" w:rsidP="00B7252D">
            <w:pPr>
              <w:pStyle w:val="lbltxt"/>
              <w:keepNext/>
              <w:rPr>
                <w:b/>
                <w:noProof w:val="0"/>
                <w:szCs w:val="22"/>
                <w:lang w:val="pl-PL"/>
              </w:rPr>
            </w:pPr>
            <w:r w:rsidRPr="004E0216">
              <w:rPr>
                <w:b/>
                <w:noProof w:val="0"/>
                <w:szCs w:val="22"/>
                <w:lang w:val="pl-PL"/>
              </w:rPr>
              <w:t>Polska</w:t>
            </w:r>
          </w:p>
          <w:p w14:paraId="0B9D960F" w14:textId="77777777" w:rsidR="001A69C5" w:rsidRPr="004E0216" w:rsidRDefault="001A69C5" w:rsidP="00B7252D">
            <w:pPr>
              <w:pStyle w:val="lbltxt"/>
              <w:keepNext/>
              <w:rPr>
                <w:noProof w:val="0"/>
                <w:szCs w:val="22"/>
                <w:lang w:val="pl-PL"/>
              </w:rPr>
            </w:pPr>
            <w:r w:rsidRPr="004E0216">
              <w:rPr>
                <w:noProof w:val="0"/>
                <w:szCs w:val="22"/>
                <w:lang w:val="pl-PL"/>
              </w:rPr>
              <w:t xml:space="preserve">Amgen </w:t>
            </w:r>
            <w:r w:rsidRPr="004E0216">
              <w:rPr>
                <w:noProof w:val="0"/>
                <w:color w:val="000000"/>
                <w:szCs w:val="22"/>
                <w:lang w:val="pl-PL" w:eastAsia="en-GB"/>
              </w:rPr>
              <w:t>Biotechnologia</w:t>
            </w:r>
            <w:r w:rsidRPr="004E0216">
              <w:rPr>
                <w:noProof w:val="0"/>
                <w:szCs w:val="22"/>
                <w:lang w:val="pl-PL"/>
              </w:rPr>
              <w:t xml:space="preserve"> Sp. z o.o.</w:t>
            </w:r>
          </w:p>
          <w:p w14:paraId="379261B7" w14:textId="77777777" w:rsidR="001A69C5" w:rsidRPr="00D55B59" w:rsidRDefault="001A69C5" w:rsidP="00B7252D">
            <w:pPr>
              <w:pStyle w:val="lbltxt"/>
              <w:keepNext/>
              <w:rPr>
                <w:bCs/>
                <w:noProof w:val="0"/>
                <w:szCs w:val="22"/>
                <w:lang w:val="en-GB"/>
                <w:rPrChange w:id="3822" w:author="Author">
                  <w:rPr>
                    <w:bCs/>
                    <w:noProof w:val="0"/>
                    <w:szCs w:val="22"/>
                  </w:rPr>
                </w:rPrChange>
              </w:rPr>
            </w:pPr>
            <w:r w:rsidRPr="00D55B59">
              <w:rPr>
                <w:bCs/>
                <w:noProof w:val="0"/>
                <w:szCs w:val="22"/>
                <w:lang w:val="en-GB"/>
                <w:rPrChange w:id="3823" w:author="Author">
                  <w:rPr>
                    <w:bCs/>
                    <w:noProof w:val="0"/>
                    <w:szCs w:val="22"/>
                  </w:rPr>
                </w:rPrChange>
              </w:rPr>
              <w:t>Tel.: +48 22 581 3000</w:t>
            </w:r>
          </w:p>
          <w:p w14:paraId="05BB8007" w14:textId="77777777" w:rsidR="001A69C5" w:rsidRPr="001775D9" w:rsidRDefault="001A69C5" w:rsidP="00B7252D">
            <w:pPr>
              <w:keepNext/>
              <w:rPr>
                <w:szCs w:val="22"/>
              </w:rPr>
            </w:pPr>
          </w:p>
        </w:tc>
      </w:tr>
      <w:tr w:rsidR="001A69C5" w:rsidRPr="00867B3B" w14:paraId="14E7078C" w14:textId="77777777" w:rsidTr="00B7252D">
        <w:trPr>
          <w:cantSplit/>
        </w:trPr>
        <w:tc>
          <w:tcPr>
            <w:tcW w:w="4677" w:type="dxa"/>
          </w:tcPr>
          <w:p w14:paraId="6615FF11" w14:textId="77777777" w:rsidR="001A69C5" w:rsidRPr="004E0216" w:rsidRDefault="001A69C5" w:rsidP="00B7252D">
            <w:pPr>
              <w:pStyle w:val="lbltxt"/>
              <w:rPr>
                <w:noProof w:val="0"/>
                <w:szCs w:val="22"/>
                <w:lang w:val="fr-FR"/>
              </w:rPr>
            </w:pPr>
            <w:r w:rsidRPr="004E0216">
              <w:rPr>
                <w:b/>
                <w:noProof w:val="0"/>
                <w:szCs w:val="22"/>
                <w:lang w:val="fr-FR"/>
              </w:rPr>
              <w:t>France</w:t>
            </w:r>
          </w:p>
          <w:p w14:paraId="74E71347" w14:textId="77777777" w:rsidR="001A69C5" w:rsidRPr="004E0216" w:rsidRDefault="001A69C5" w:rsidP="00B7252D">
            <w:pPr>
              <w:pStyle w:val="lbltxt"/>
              <w:rPr>
                <w:noProof w:val="0"/>
                <w:szCs w:val="22"/>
                <w:lang w:val="fr-FR"/>
              </w:rPr>
            </w:pPr>
            <w:r w:rsidRPr="004E0216">
              <w:rPr>
                <w:noProof w:val="0"/>
                <w:szCs w:val="22"/>
                <w:lang w:val="fr-FR"/>
              </w:rPr>
              <w:t>Amgen S.A.S.</w:t>
            </w:r>
          </w:p>
          <w:p w14:paraId="5FDB7E68" w14:textId="77777777" w:rsidR="001A69C5" w:rsidRPr="004E0216" w:rsidRDefault="001A69C5" w:rsidP="00B7252D">
            <w:pPr>
              <w:rPr>
                <w:szCs w:val="22"/>
                <w:lang w:val="fr-FR"/>
              </w:rPr>
            </w:pPr>
            <w:r w:rsidRPr="004E0216">
              <w:rPr>
                <w:szCs w:val="22"/>
                <w:lang w:val="fr-FR"/>
              </w:rPr>
              <w:t>Tél: +33 (0)9 69 363 363</w:t>
            </w:r>
          </w:p>
          <w:p w14:paraId="028D401D" w14:textId="77777777" w:rsidR="001A69C5" w:rsidRPr="004E0216" w:rsidRDefault="001A69C5" w:rsidP="00B7252D">
            <w:pPr>
              <w:rPr>
                <w:szCs w:val="22"/>
                <w:lang w:val="fr-FR"/>
              </w:rPr>
            </w:pPr>
          </w:p>
        </w:tc>
        <w:tc>
          <w:tcPr>
            <w:tcW w:w="4679" w:type="dxa"/>
          </w:tcPr>
          <w:p w14:paraId="7FE15453" w14:textId="77777777" w:rsidR="001A69C5" w:rsidRPr="004E0216" w:rsidRDefault="001A69C5" w:rsidP="00B7252D">
            <w:pPr>
              <w:pStyle w:val="lbltxt"/>
              <w:rPr>
                <w:noProof w:val="0"/>
                <w:szCs w:val="22"/>
                <w:lang w:val="es-ES"/>
              </w:rPr>
            </w:pPr>
            <w:r w:rsidRPr="004E0216">
              <w:rPr>
                <w:b/>
                <w:noProof w:val="0"/>
                <w:szCs w:val="22"/>
                <w:lang w:val="es-ES"/>
              </w:rPr>
              <w:t>Portugal</w:t>
            </w:r>
          </w:p>
          <w:p w14:paraId="026CF26A" w14:textId="77777777" w:rsidR="001A69C5" w:rsidRPr="004E0216" w:rsidRDefault="001A69C5" w:rsidP="00B7252D">
            <w:pPr>
              <w:pStyle w:val="lbltxt"/>
              <w:rPr>
                <w:noProof w:val="0"/>
                <w:szCs w:val="22"/>
                <w:lang w:val="es-ES"/>
              </w:rPr>
            </w:pPr>
            <w:r w:rsidRPr="004E0216">
              <w:rPr>
                <w:noProof w:val="0"/>
                <w:szCs w:val="22"/>
                <w:lang w:val="es-ES"/>
              </w:rPr>
              <w:t>Amgen Biofarmacêutica, Lda.</w:t>
            </w:r>
          </w:p>
          <w:p w14:paraId="289C7319" w14:textId="77777777" w:rsidR="001A69C5" w:rsidRPr="004E0216" w:rsidRDefault="001A69C5" w:rsidP="00B7252D">
            <w:pPr>
              <w:pStyle w:val="lbltxt"/>
              <w:rPr>
                <w:noProof w:val="0"/>
                <w:szCs w:val="22"/>
                <w:lang w:val="es-ES"/>
              </w:rPr>
            </w:pPr>
            <w:r w:rsidRPr="004E0216">
              <w:rPr>
                <w:noProof w:val="0"/>
                <w:szCs w:val="22"/>
                <w:lang w:val="es-ES"/>
              </w:rPr>
              <w:t>Tel: +351 21 4220</w:t>
            </w:r>
            <w:r w:rsidR="000426A9" w:rsidRPr="00D55B59">
              <w:rPr>
                <w:noProof w:val="0"/>
                <w:szCs w:val="22"/>
                <w:lang w:val="es-ES"/>
                <w:rPrChange w:id="3824" w:author="Author">
                  <w:rPr>
                    <w:szCs w:val="22"/>
                    <w:lang w:val="es-ES"/>
                  </w:rPr>
                </w:rPrChange>
              </w:rPr>
              <w:t>606</w:t>
            </w:r>
          </w:p>
          <w:p w14:paraId="14F84E78" w14:textId="77777777" w:rsidR="001A69C5" w:rsidRPr="004E0216" w:rsidRDefault="001A69C5" w:rsidP="00B7252D">
            <w:pPr>
              <w:rPr>
                <w:szCs w:val="22"/>
                <w:lang w:val="es-ES"/>
              </w:rPr>
            </w:pPr>
          </w:p>
        </w:tc>
      </w:tr>
      <w:tr w:rsidR="001A69C5" w:rsidRPr="00F04F82" w14:paraId="2AB35A77" w14:textId="77777777" w:rsidTr="00B7252D">
        <w:trPr>
          <w:cantSplit/>
        </w:trPr>
        <w:tc>
          <w:tcPr>
            <w:tcW w:w="4677" w:type="dxa"/>
          </w:tcPr>
          <w:p w14:paraId="7E1930F1" w14:textId="77777777" w:rsidR="001A69C5" w:rsidRPr="00D55B59" w:rsidRDefault="001A69C5" w:rsidP="00B7252D">
            <w:pPr>
              <w:keepNext/>
              <w:keepLines/>
              <w:rPr>
                <w:szCs w:val="22"/>
                <w:lang w:val="es-ES"/>
                <w:rPrChange w:id="3825" w:author="Author">
                  <w:rPr>
                    <w:szCs w:val="22"/>
                    <w:lang w:val="sv-SE"/>
                  </w:rPr>
                </w:rPrChange>
              </w:rPr>
            </w:pPr>
            <w:r w:rsidRPr="00D55B59">
              <w:rPr>
                <w:b/>
                <w:szCs w:val="22"/>
                <w:lang w:val="es-ES"/>
                <w:rPrChange w:id="3826" w:author="Author">
                  <w:rPr>
                    <w:b/>
                    <w:szCs w:val="22"/>
                    <w:lang w:val="sv-SE"/>
                  </w:rPr>
                </w:rPrChange>
              </w:rPr>
              <w:t>Hrvatska</w:t>
            </w:r>
          </w:p>
          <w:p w14:paraId="27777866" w14:textId="77777777" w:rsidR="001A69C5" w:rsidRPr="00D55B59" w:rsidRDefault="001A69C5" w:rsidP="00B7252D">
            <w:pPr>
              <w:keepNext/>
              <w:keepLines/>
              <w:rPr>
                <w:szCs w:val="22"/>
                <w:lang w:val="es-ES"/>
                <w:rPrChange w:id="3827" w:author="Author">
                  <w:rPr>
                    <w:szCs w:val="22"/>
                    <w:lang w:val="sv-SE"/>
                  </w:rPr>
                </w:rPrChange>
              </w:rPr>
            </w:pPr>
            <w:r w:rsidRPr="00D55B59">
              <w:rPr>
                <w:szCs w:val="22"/>
                <w:lang w:val="es-ES"/>
                <w:rPrChange w:id="3828" w:author="Author">
                  <w:rPr>
                    <w:szCs w:val="22"/>
                    <w:lang w:val="sv-SE"/>
                  </w:rPr>
                </w:rPrChange>
              </w:rPr>
              <w:t>Amgen d.o.o.</w:t>
            </w:r>
          </w:p>
          <w:p w14:paraId="2D52BBCB" w14:textId="77777777" w:rsidR="001A69C5" w:rsidRPr="00D55B59" w:rsidRDefault="001A69C5" w:rsidP="00B7252D">
            <w:pPr>
              <w:keepNext/>
              <w:keepLines/>
              <w:rPr>
                <w:szCs w:val="22"/>
                <w:lang w:val="es-ES"/>
                <w:rPrChange w:id="3829" w:author="Author">
                  <w:rPr>
                    <w:szCs w:val="22"/>
                  </w:rPr>
                </w:rPrChange>
              </w:rPr>
            </w:pPr>
            <w:r w:rsidRPr="00D55B59">
              <w:rPr>
                <w:szCs w:val="22"/>
                <w:lang w:val="es-ES"/>
                <w:rPrChange w:id="3830" w:author="Author">
                  <w:rPr>
                    <w:szCs w:val="22"/>
                  </w:rPr>
                </w:rPrChange>
              </w:rPr>
              <w:t>Tel: +385 (0)1 562 57 20</w:t>
            </w:r>
          </w:p>
          <w:p w14:paraId="59FB334F" w14:textId="77777777" w:rsidR="001A69C5" w:rsidRPr="00D55B59" w:rsidRDefault="001A69C5" w:rsidP="00B7252D">
            <w:pPr>
              <w:keepNext/>
              <w:keepLines/>
              <w:rPr>
                <w:szCs w:val="22"/>
                <w:lang w:val="es-ES"/>
                <w:rPrChange w:id="3831" w:author="Author">
                  <w:rPr>
                    <w:szCs w:val="22"/>
                  </w:rPr>
                </w:rPrChange>
              </w:rPr>
            </w:pPr>
          </w:p>
        </w:tc>
        <w:tc>
          <w:tcPr>
            <w:tcW w:w="4679" w:type="dxa"/>
          </w:tcPr>
          <w:p w14:paraId="14EC525E" w14:textId="77777777" w:rsidR="001A69C5" w:rsidRPr="00D55B59" w:rsidRDefault="001A69C5" w:rsidP="00B7252D">
            <w:pPr>
              <w:keepNext/>
              <w:keepLines/>
              <w:suppressAutoHyphens/>
              <w:rPr>
                <w:b/>
                <w:szCs w:val="22"/>
                <w:rPrChange w:id="3832" w:author="Author">
                  <w:rPr>
                    <w:b/>
                    <w:szCs w:val="22"/>
                    <w:lang w:val="es-ES"/>
                  </w:rPr>
                </w:rPrChange>
              </w:rPr>
            </w:pPr>
            <w:r w:rsidRPr="00D55B59">
              <w:rPr>
                <w:b/>
                <w:szCs w:val="22"/>
                <w:rPrChange w:id="3833" w:author="Author">
                  <w:rPr>
                    <w:b/>
                    <w:szCs w:val="22"/>
                    <w:lang w:val="es-ES"/>
                  </w:rPr>
                </w:rPrChange>
              </w:rPr>
              <w:t>România</w:t>
            </w:r>
          </w:p>
          <w:p w14:paraId="49208C81" w14:textId="77777777" w:rsidR="001A69C5" w:rsidRPr="00D55B59" w:rsidRDefault="001A69C5" w:rsidP="00B7252D">
            <w:pPr>
              <w:keepNext/>
              <w:keepLines/>
              <w:rPr>
                <w:color w:val="000000"/>
                <w:szCs w:val="22"/>
                <w:rPrChange w:id="3834" w:author="Author">
                  <w:rPr>
                    <w:color w:val="000000"/>
                    <w:szCs w:val="22"/>
                    <w:lang w:val="es-ES"/>
                  </w:rPr>
                </w:rPrChange>
              </w:rPr>
            </w:pPr>
            <w:r w:rsidRPr="00D55B59">
              <w:rPr>
                <w:color w:val="000000"/>
                <w:szCs w:val="22"/>
                <w:rPrChange w:id="3835" w:author="Author">
                  <w:rPr>
                    <w:color w:val="000000"/>
                    <w:szCs w:val="22"/>
                    <w:lang w:val="es-ES"/>
                  </w:rPr>
                </w:rPrChange>
              </w:rPr>
              <w:t>Amgen România SRL</w:t>
            </w:r>
          </w:p>
          <w:p w14:paraId="00BB1F16" w14:textId="77777777" w:rsidR="001A69C5" w:rsidRPr="00D55B59" w:rsidRDefault="001A69C5" w:rsidP="00B7252D">
            <w:pPr>
              <w:pStyle w:val="lbltxt"/>
              <w:keepNext/>
              <w:keepLines/>
              <w:rPr>
                <w:noProof w:val="0"/>
                <w:szCs w:val="22"/>
                <w:lang w:val="en-GB"/>
                <w:rPrChange w:id="3836" w:author="Author">
                  <w:rPr>
                    <w:noProof w:val="0"/>
                    <w:szCs w:val="22"/>
                    <w:lang w:val="es-ES"/>
                  </w:rPr>
                </w:rPrChange>
              </w:rPr>
            </w:pPr>
            <w:r w:rsidRPr="00D55B59">
              <w:rPr>
                <w:noProof w:val="0"/>
                <w:szCs w:val="22"/>
                <w:lang w:val="en-GB"/>
                <w:rPrChange w:id="3837" w:author="Author">
                  <w:rPr>
                    <w:noProof w:val="0"/>
                    <w:szCs w:val="22"/>
                    <w:lang w:val="es-ES"/>
                  </w:rPr>
                </w:rPrChange>
              </w:rPr>
              <w:t>Tel: +4021 527 3000</w:t>
            </w:r>
          </w:p>
          <w:p w14:paraId="25A449E3" w14:textId="77777777" w:rsidR="001A69C5" w:rsidRPr="00D55B59" w:rsidRDefault="001A69C5" w:rsidP="00B7252D">
            <w:pPr>
              <w:keepNext/>
              <w:keepLines/>
              <w:rPr>
                <w:szCs w:val="22"/>
                <w:rPrChange w:id="3838" w:author="Author">
                  <w:rPr>
                    <w:szCs w:val="22"/>
                    <w:lang w:val="es-ES"/>
                  </w:rPr>
                </w:rPrChange>
              </w:rPr>
            </w:pPr>
          </w:p>
        </w:tc>
      </w:tr>
      <w:tr w:rsidR="001A69C5" w:rsidRPr="00F04F82" w14:paraId="3C5848E9" w14:textId="77777777" w:rsidTr="00B7252D">
        <w:trPr>
          <w:cantSplit/>
        </w:trPr>
        <w:tc>
          <w:tcPr>
            <w:tcW w:w="4677" w:type="dxa"/>
          </w:tcPr>
          <w:p w14:paraId="3DA253C5" w14:textId="77777777" w:rsidR="001A69C5" w:rsidRPr="00D55B59" w:rsidRDefault="001A69C5" w:rsidP="00B7252D">
            <w:pPr>
              <w:pStyle w:val="lbltxt"/>
              <w:rPr>
                <w:rFonts w:eastAsia="Arial Unicode MS"/>
                <w:b/>
                <w:noProof w:val="0"/>
                <w:szCs w:val="22"/>
                <w:lang w:val="en-GB"/>
                <w:rPrChange w:id="3839" w:author="Author">
                  <w:rPr>
                    <w:rFonts w:eastAsia="Arial Unicode MS"/>
                    <w:b/>
                    <w:noProof w:val="0"/>
                    <w:szCs w:val="22"/>
                  </w:rPr>
                </w:rPrChange>
              </w:rPr>
            </w:pPr>
            <w:r w:rsidRPr="00D55B59">
              <w:rPr>
                <w:rFonts w:eastAsia="Arial Unicode MS"/>
                <w:b/>
                <w:noProof w:val="0"/>
                <w:szCs w:val="22"/>
                <w:lang w:val="en-GB"/>
                <w:rPrChange w:id="3840" w:author="Author">
                  <w:rPr>
                    <w:rFonts w:eastAsia="Arial Unicode MS"/>
                    <w:b/>
                    <w:noProof w:val="0"/>
                    <w:szCs w:val="22"/>
                  </w:rPr>
                </w:rPrChange>
              </w:rPr>
              <w:t>Ireland</w:t>
            </w:r>
          </w:p>
          <w:p w14:paraId="1774882B" w14:textId="77777777" w:rsidR="001A69C5" w:rsidRPr="00D55B59" w:rsidRDefault="001A69C5" w:rsidP="00B7252D">
            <w:pPr>
              <w:pStyle w:val="lbltxt"/>
              <w:rPr>
                <w:rFonts w:eastAsia="Arial Unicode MS"/>
                <w:bCs/>
                <w:noProof w:val="0"/>
                <w:szCs w:val="22"/>
                <w:lang w:val="en-GB"/>
                <w:rPrChange w:id="3841" w:author="Author">
                  <w:rPr>
                    <w:rFonts w:eastAsia="Arial Unicode MS"/>
                    <w:bCs/>
                    <w:noProof w:val="0"/>
                    <w:szCs w:val="22"/>
                  </w:rPr>
                </w:rPrChange>
              </w:rPr>
            </w:pPr>
            <w:r w:rsidRPr="00D55B59">
              <w:rPr>
                <w:rFonts w:eastAsia="Arial Unicode MS"/>
                <w:bCs/>
                <w:noProof w:val="0"/>
                <w:szCs w:val="22"/>
                <w:lang w:val="en-GB"/>
                <w:rPrChange w:id="3842" w:author="Author">
                  <w:rPr>
                    <w:rFonts w:eastAsia="Arial Unicode MS"/>
                    <w:bCs/>
                    <w:noProof w:val="0"/>
                    <w:szCs w:val="22"/>
                  </w:rPr>
                </w:rPrChange>
              </w:rPr>
              <w:t xml:space="preserve">Amgen </w:t>
            </w:r>
            <w:r w:rsidR="000426A9" w:rsidRPr="00D55B59">
              <w:rPr>
                <w:rFonts w:eastAsia="Arial Unicode MS"/>
                <w:bCs/>
                <w:noProof w:val="0"/>
                <w:szCs w:val="22"/>
                <w:lang w:val="en-GB"/>
                <w:rPrChange w:id="3843" w:author="Author">
                  <w:rPr>
                    <w:rFonts w:eastAsia="Arial Unicode MS"/>
                    <w:bCs/>
                    <w:noProof w:val="0"/>
                    <w:szCs w:val="22"/>
                  </w:rPr>
                </w:rPrChange>
              </w:rPr>
              <w:t xml:space="preserve">Ireland </w:t>
            </w:r>
            <w:r w:rsidRPr="00D55B59">
              <w:rPr>
                <w:rFonts w:eastAsia="Arial Unicode MS"/>
                <w:bCs/>
                <w:noProof w:val="0"/>
                <w:szCs w:val="22"/>
                <w:lang w:val="en-GB"/>
                <w:rPrChange w:id="3844" w:author="Author">
                  <w:rPr>
                    <w:rFonts w:eastAsia="Arial Unicode MS"/>
                    <w:bCs/>
                    <w:noProof w:val="0"/>
                    <w:szCs w:val="22"/>
                  </w:rPr>
                </w:rPrChange>
              </w:rPr>
              <w:t>Limited</w:t>
            </w:r>
          </w:p>
          <w:p w14:paraId="6C98A273" w14:textId="77777777" w:rsidR="001A69C5" w:rsidRPr="001775D9" w:rsidRDefault="001A69C5" w:rsidP="00B7252D">
            <w:pPr>
              <w:pStyle w:val="lbltxt"/>
              <w:rPr>
                <w:rStyle w:val="Initial"/>
                <w:rFonts w:eastAsia="Arial Unicode MS"/>
                <w:bCs/>
                <w:szCs w:val="22"/>
                <w:lang w:val="en-GB"/>
              </w:rPr>
            </w:pPr>
            <w:r w:rsidRPr="00D55B59">
              <w:rPr>
                <w:rFonts w:eastAsia="Arial Unicode MS"/>
                <w:bCs/>
                <w:noProof w:val="0"/>
                <w:szCs w:val="22"/>
                <w:lang w:val="en-GB"/>
                <w:rPrChange w:id="3845" w:author="Author">
                  <w:rPr>
                    <w:rFonts w:eastAsia="Arial Unicode MS"/>
                    <w:bCs/>
                    <w:noProof w:val="0"/>
                    <w:szCs w:val="22"/>
                  </w:rPr>
                </w:rPrChange>
              </w:rPr>
              <w:t xml:space="preserve">Tel: </w:t>
            </w:r>
            <w:r w:rsidR="000426A9" w:rsidRPr="00D55B59">
              <w:rPr>
                <w:rFonts w:eastAsia="Arial Unicode MS"/>
                <w:bCs/>
                <w:noProof w:val="0"/>
                <w:szCs w:val="22"/>
                <w:lang w:val="en-GB"/>
                <w:rPrChange w:id="3846" w:author="Author">
                  <w:rPr>
                    <w:rFonts w:eastAsia="Arial Unicode MS"/>
                    <w:bCs/>
                    <w:szCs w:val="22"/>
                  </w:rPr>
                </w:rPrChange>
              </w:rPr>
              <w:t>+353 1 8527400</w:t>
            </w:r>
          </w:p>
          <w:p w14:paraId="369D04E6" w14:textId="77777777" w:rsidR="001A69C5" w:rsidRPr="00D55B59" w:rsidRDefault="001A69C5" w:rsidP="00B7252D">
            <w:pPr>
              <w:pStyle w:val="lbltxt"/>
              <w:rPr>
                <w:noProof w:val="0"/>
                <w:szCs w:val="22"/>
                <w:lang w:val="en-GB"/>
                <w:rPrChange w:id="3847" w:author="Author">
                  <w:rPr>
                    <w:noProof w:val="0"/>
                    <w:szCs w:val="22"/>
                  </w:rPr>
                </w:rPrChange>
              </w:rPr>
            </w:pPr>
          </w:p>
        </w:tc>
        <w:tc>
          <w:tcPr>
            <w:tcW w:w="4679" w:type="dxa"/>
          </w:tcPr>
          <w:p w14:paraId="40D1AD6B" w14:textId="77777777" w:rsidR="001A69C5" w:rsidRPr="00D55B59" w:rsidRDefault="001A69C5" w:rsidP="00B7252D">
            <w:pPr>
              <w:pStyle w:val="lbltxt"/>
              <w:rPr>
                <w:b/>
                <w:noProof w:val="0"/>
                <w:szCs w:val="22"/>
                <w:lang w:val="en-GB"/>
                <w:rPrChange w:id="3848" w:author="Author">
                  <w:rPr>
                    <w:b/>
                    <w:noProof w:val="0"/>
                    <w:szCs w:val="22"/>
                    <w:lang w:val="nl-NL"/>
                  </w:rPr>
                </w:rPrChange>
              </w:rPr>
            </w:pPr>
            <w:r w:rsidRPr="00D55B59">
              <w:rPr>
                <w:b/>
                <w:noProof w:val="0"/>
                <w:szCs w:val="22"/>
                <w:lang w:val="en-GB"/>
                <w:rPrChange w:id="3849" w:author="Author">
                  <w:rPr>
                    <w:b/>
                    <w:noProof w:val="0"/>
                    <w:szCs w:val="22"/>
                    <w:lang w:val="nl-NL"/>
                  </w:rPr>
                </w:rPrChange>
              </w:rPr>
              <w:t>Slovenija</w:t>
            </w:r>
          </w:p>
          <w:p w14:paraId="46F6AEBF" w14:textId="77777777" w:rsidR="001A69C5" w:rsidRPr="00D55B59" w:rsidRDefault="001A69C5" w:rsidP="00B7252D">
            <w:pPr>
              <w:pStyle w:val="lbltxt"/>
              <w:rPr>
                <w:bCs/>
                <w:noProof w:val="0"/>
                <w:szCs w:val="22"/>
                <w:lang w:val="en-GB"/>
                <w:rPrChange w:id="3850" w:author="Author">
                  <w:rPr>
                    <w:bCs/>
                    <w:noProof w:val="0"/>
                    <w:szCs w:val="22"/>
                    <w:lang w:val="nl-NL"/>
                  </w:rPr>
                </w:rPrChange>
              </w:rPr>
            </w:pPr>
            <w:r w:rsidRPr="00D55B59">
              <w:rPr>
                <w:noProof w:val="0"/>
                <w:szCs w:val="22"/>
                <w:lang w:val="en-GB"/>
                <w:rPrChange w:id="3851" w:author="Author">
                  <w:rPr>
                    <w:noProof w:val="0"/>
                    <w:szCs w:val="22"/>
                    <w:lang w:val="nl-NL"/>
                  </w:rPr>
                </w:rPrChange>
              </w:rPr>
              <w:t>AMGEN zdravila d.o.o.</w:t>
            </w:r>
          </w:p>
          <w:p w14:paraId="009ABD2B" w14:textId="77777777" w:rsidR="001A69C5" w:rsidRPr="00D55B59" w:rsidRDefault="001A69C5" w:rsidP="00B7252D">
            <w:pPr>
              <w:pStyle w:val="lbltxt"/>
              <w:rPr>
                <w:bCs/>
                <w:noProof w:val="0"/>
                <w:szCs w:val="22"/>
                <w:lang w:val="en-GB"/>
                <w:rPrChange w:id="3852" w:author="Author">
                  <w:rPr>
                    <w:bCs/>
                    <w:noProof w:val="0"/>
                    <w:szCs w:val="22"/>
                  </w:rPr>
                </w:rPrChange>
              </w:rPr>
            </w:pPr>
            <w:r w:rsidRPr="00D55B59">
              <w:rPr>
                <w:bCs/>
                <w:noProof w:val="0"/>
                <w:szCs w:val="22"/>
                <w:lang w:val="en-GB"/>
                <w:rPrChange w:id="3853" w:author="Author">
                  <w:rPr>
                    <w:bCs/>
                    <w:noProof w:val="0"/>
                    <w:szCs w:val="22"/>
                  </w:rPr>
                </w:rPrChange>
              </w:rPr>
              <w:t>Tel: +386 (0)1 585 1767</w:t>
            </w:r>
          </w:p>
          <w:p w14:paraId="0014E315" w14:textId="77777777" w:rsidR="001A69C5" w:rsidRPr="001775D9" w:rsidRDefault="001A69C5" w:rsidP="00B7252D">
            <w:pPr>
              <w:rPr>
                <w:szCs w:val="22"/>
              </w:rPr>
            </w:pPr>
          </w:p>
        </w:tc>
      </w:tr>
      <w:tr w:rsidR="001A69C5" w:rsidRPr="00F04F82" w14:paraId="07EED33B" w14:textId="77777777" w:rsidTr="00B7252D">
        <w:trPr>
          <w:cantSplit/>
        </w:trPr>
        <w:tc>
          <w:tcPr>
            <w:tcW w:w="4677" w:type="dxa"/>
          </w:tcPr>
          <w:p w14:paraId="21F1F9E6" w14:textId="77777777" w:rsidR="001A69C5" w:rsidRPr="00D55B59" w:rsidRDefault="001A69C5" w:rsidP="00B7252D">
            <w:pPr>
              <w:pStyle w:val="lbltxt"/>
              <w:rPr>
                <w:b/>
                <w:noProof w:val="0"/>
                <w:szCs w:val="22"/>
                <w:lang w:val="en-GB"/>
                <w:rPrChange w:id="3854" w:author="Author">
                  <w:rPr>
                    <w:b/>
                    <w:noProof w:val="0"/>
                    <w:szCs w:val="22"/>
                  </w:rPr>
                </w:rPrChange>
              </w:rPr>
            </w:pPr>
            <w:r w:rsidRPr="00D55B59">
              <w:rPr>
                <w:b/>
                <w:noProof w:val="0"/>
                <w:szCs w:val="22"/>
                <w:lang w:val="en-GB"/>
                <w:rPrChange w:id="3855" w:author="Author">
                  <w:rPr>
                    <w:b/>
                    <w:noProof w:val="0"/>
                    <w:szCs w:val="22"/>
                  </w:rPr>
                </w:rPrChange>
              </w:rPr>
              <w:t>Ísland</w:t>
            </w:r>
          </w:p>
          <w:p w14:paraId="5B0CB934" w14:textId="3EFD5BD2" w:rsidR="001A69C5" w:rsidRPr="00D55B59" w:rsidRDefault="001A69C5" w:rsidP="00B7252D">
            <w:pPr>
              <w:pStyle w:val="lbltxt"/>
              <w:rPr>
                <w:noProof w:val="0"/>
                <w:szCs w:val="22"/>
                <w:lang w:val="en-GB"/>
                <w:rPrChange w:id="3856" w:author="Author">
                  <w:rPr>
                    <w:noProof w:val="0"/>
                    <w:szCs w:val="22"/>
                  </w:rPr>
                </w:rPrChange>
              </w:rPr>
            </w:pPr>
            <w:r w:rsidRPr="00D55B59">
              <w:rPr>
                <w:noProof w:val="0"/>
                <w:szCs w:val="22"/>
                <w:lang w:val="en-GB"/>
                <w:rPrChange w:id="3857" w:author="Author">
                  <w:rPr>
                    <w:noProof w:val="0"/>
                    <w:szCs w:val="22"/>
                  </w:rPr>
                </w:rPrChange>
              </w:rPr>
              <w:t>Vistor</w:t>
            </w:r>
            <w:del w:id="3858" w:author="Author">
              <w:r w:rsidRPr="00D55B59" w:rsidDel="004F4E9B">
                <w:rPr>
                  <w:noProof w:val="0"/>
                  <w:szCs w:val="22"/>
                  <w:lang w:val="en-GB"/>
                  <w:rPrChange w:id="3859" w:author="Author">
                    <w:rPr>
                      <w:noProof w:val="0"/>
                      <w:szCs w:val="22"/>
                    </w:rPr>
                  </w:rPrChange>
                </w:rPr>
                <w:delText xml:space="preserve"> hf.</w:delText>
              </w:r>
            </w:del>
          </w:p>
          <w:p w14:paraId="1229F921" w14:textId="77777777" w:rsidR="001A69C5" w:rsidRPr="00D55B59" w:rsidRDefault="001A69C5" w:rsidP="00B7252D">
            <w:pPr>
              <w:pStyle w:val="lbltxt"/>
              <w:rPr>
                <w:noProof w:val="0"/>
                <w:szCs w:val="22"/>
                <w:lang w:val="en-GB"/>
                <w:rPrChange w:id="3860" w:author="Author">
                  <w:rPr>
                    <w:noProof w:val="0"/>
                    <w:szCs w:val="22"/>
                  </w:rPr>
                </w:rPrChange>
              </w:rPr>
            </w:pPr>
            <w:r w:rsidRPr="00D55B59">
              <w:rPr>
                <w:noProof w:val="0"/>
                <w:szCs w:val="22"/>
                <w:lang w:val="en-GB"/>
                <w:rPrChange w:id="3861" w:author="Author">
                  <w:rPr>
                    <w:noProof w:val="0"/>
                    <w:szCs w:val="22"/>
                  </w:rPr>
                </w:rPrChange>
              </w:rPr>
              <w:t>Sími: +354 535 7000</w:t>
            </w:r>
          </w:p>
          <w:p w14:paraId="6F47166A" w14:textId="77777777" w:rsidR="001A69C5" w:rsidRPr="001775D9" w:rsidRDefault="001A69C5" w:rsidP="00B7252D">
            <w:pPr>
              <w:rPr>
                <w:szCs w:val="22"/>
              </w:rPr>
            </w:pPr>
          </w:p>
        </w:tc>
        <w:tc>
          <w:tcPr>
            <w:tcW w:w="4679" w:type="dxa"/>
          </w:tcPr>
          <w:p w14:paraId="1533DFE4" w14:textId="77777777" w:rsidR="001A69C5" w:rsidRPr="00D55B59" w:rsidRDefault="001A69C5" w:rsidP="00B7252D">
            <w:pPr>
              <w:pStyle w:val="lbltxt"/>
              <w:rPr>
                <w:b/>
                <w:noProof w:val="0"/>
                <w:szCs w:val="22"/>
                <w:lang w:val="en-GB"/>
                <w:rPrChange w:id="3862" w:author="Author">
                  <w:rPr>
                    <w:b/>
                    <w:noProof w:val="0"/>
                    <w:szCs w:val="22"/>
                    <w:lang w:val="sv-SE"/>
                  </w:rPr>
                </w:rPrChange>
              </w:rPr>
            </w:pPr>
            <w:r w:rsidRPr="00D55B59">
              <w:rPr>
                <w:b/>
                <w:noProof w:val="0"/>
                <w:szCs w:val="22"/>
                <w:lang w:val="en-GB"/>
                <w:rPrChange w:id="3863" w:author="Author">
                  <w:rPr>
                    <w:b/>
                    <w:noProof w:val="0"/>
                    <w:szCs w:val="22"/>
                    <w:lang w:val="sv-SE"/>
                  </w:rPr>
                </w:rPrChange>
              </w:rPr>
              <w:t>Slovenská republika</w:t>
            </w:r>
          </w:p>
          <w:p w14:paraId="0220D937" w14:textId="77777777" w:rsidR="001A69C5" w:rsidRPr="00D55B59" w:rsidRDefault="001A69C5" w:rsidP="00B7252D">
            <w:pPr>
              <w:pStyle w:val="lbltxt"/>
              <w:rPr>
                <w:bCs/>
                <w:noProof w:val="0"/>
                <w:szCs w:val="22"/>
                <w:lang w:val="en-GB"/>
                <w:rPrChange w:id="3864" w:author="Author">
                  <w:rPr>
                    <w:bCs/>
                    <w:noProof w:val="0"/>
                    <w:szCs w:val="22"/>
                    <w:lang w:val="sv-SE"/>
                  </w:rPr>
                </w:rPrChange>
              </w:rPr>
            </w:pPr>
            <w:r w:rsidRPr="00D55B59">
              <w:rPr>
                <w:bCs/>
                <w:noProof w:val="0"/>
                <w:szCs w:val="22"/>
                <w:lang w:val="en-GB"/>
                <w:rPrChange w:id="3865" w:author="Author">
                  <w:rPr>
                    <w:bCs/>
                    <w:noProof w:val="0"/>
                    <w:szCs w:val="22"/>
                    <w:lang w:val="sv-SE"/>
                  </w:rPr>
                </w:rPrChange>
              </w:rPr>
              <w:t>Amgen Slovakia s.r.o.</w:t>
            </w:r>
          </w:p>
          <w:p w14:paraId="4139CCFA" w14:textId="77777777" w:rsidR="001A69C5" w:rsidRPr="00D55B59" w:rsidRDefault="001A69C5" w:rsidP="00B7252D">
            <w:pPr>
              <w:pStyle w:val="lbltxt"/>
              <w:rPr>
                <w:noProof w:val="0"/>
                <w:lang w:val="en-GB" w:eastAsia="ja-JP"/>
                <w:rPrChange w:id="3866" w:author="Author">
                  <w:rPr>
                    <w:lang w:val="en-US" w:eastAsia="ja-JP"/>
                  </w:rPr>
                </w:rPrChange>
              </w:rPr>
            </w:pPr>
            <w:r w:rsidRPr="00D55B59">
              <w:rPr>
                <w:bCs/>
                <w:noProof w:val="0"/>
                <w:szCs w:val="22"/>
                <w:lang w:val="en-GB"/>
                <w:rPrChange w:id="3867" w:author="Author">
                  <w:rPr>
                    <w:bCs/>
                    <w:noProof w:val="0"/>
                    <w:szCs w:val="22"/>
                  </w:rPr>
                </w:rPrChange>
              </w:rPr>
              <w:t xml:space="preserve">Tel: </w:t>
            </w:r>
            <w:r w:rsidRPr="00D55B59">
              <w:rPr>
                <w:noProof w:val="0"/>
                <w:lang w:val="en-GB" w:eastAsia="ja-JP"/>
                <w:rPrChange w:id="3868" w:author="Author">
                  <w:rPr>
                    <w:lang w:val="en-US" w:eastAsia="ja-JP"/>
                  </w:rPr>
                </w:rPrChange>
              </w:rPr>
              <w:t>+421 2 321 114 49</w:t>
            </w:r>
          </w:p>
          <w:p w14:paraId="61795CED" w14:textId="77777777" w:rsidR="001A69C5" w:rsidRPr="00D55B59" w:rsidRDefault="001A69C5" w:rsidP="00B7252D">
            <w:pPr>
              <w:pStyle w:val="lbltxt"/>
              <w:rPr>
                <w:noProof w:val="0"/>
                <w:szCs w:val="22"/>
                <w:lang w:val="en-GB"/>
                <w:rPrChange w:id="3869" w:author="Author">
                  <w:rPr>
                    <w:szCs w:val="22"/>
                  </w:rPr>
                </w:rPrChange>
              </w:rPr>
            </w:pPr>
          </w:p>
        </w:tc>
      </w:tr>
      <w:tr w:rsidR="001A69C5" w:rsidRPr="00F04F82" w14:paraId="407939F8" w14:textId="77777777" w:rsidTr="00B7252D">
        <w:trPr>
          <w:cantSplit/>
        </w:trPr>
        <w:tc>
          <w:tcPr>
            <w:tcW w:w="4677" w:type="dxa"/>
          </w:tcPr>
          <w:p w14:paraId="702A3DD2" w14:textId="77777777" w:rsidR="001A69C5" w:rsidRPr="00D55B59" w:rsidRDefault="001A69C5" w:rsidP="00B7252D">
            <w:pPr>
              <w:pStyle w:val="lbltxt"/>
              <w:rPr>
                <w:noProof w:val="0"/>
                <w:szCs w:val="22"/>
                <w:lang w:val="es-ES"/>
                <w:rPrChange w:id="3870" w:author="Author">
                  <w:rPr>
                    <w:noProof w:val="0"/>
                    <w:szCs w:val="22"/>
                    <w:lang w:val="pt-PT"/>
                  </w:rPr>
                </w:rPrChange>
              </w:rPr>
            </w:pPr>
            <w:r w:rsidRPr="00D55B59">
              <w:rPr>
                <w:b/>
                <w:noProof w:val="0"/>
                <w:szCs w:val="22"/>
                <w:lang w:val="es-ES"/>
                <w:rPrChange w:id="3871" w:author="Author">
                  <w:rPr>
                    <w:b/>
                    <w:noProof w:val="0"/>
                    <w:szCs w:val="22"/>
                    <w:lang w:val="pt-PT"/>
                  </w:rPr>
                </w:rPrChange>
              </w:rPr>
              <w:t>Italia</w:t>
            </w:r>
          </w:p>
          <w:p w14:paraId="1F9294C2" w14:textId="77777777" w:rsidR="001A69C5" w:rsidRPr="00D55B59" w:rsidRDefault="001A69C5" w:rsidP="00B7252D">
            <w:pPr>
              <w:pStyle w:val="lbltxt"/>
              <w:rPr>
                <w:noProof w:val="0"/>
                <w:szCs w:val="22"/>
                <w:lang w:val="es-ES"/>
                <w:rPrChange w:id="3872" w:author="Author">
                  <w:rPr>
                    <w:noProof w:val="0"/>
                    <w:szCs w:val="22"/>
                    <w:lang w:val="pt-PT"/>
                  </w:rPr>
                </w:rPrChange>
              </w:rPr>
            </w:pPr>
            <w:r w:rsidRPr="00D55B59">
              <w:rPr>
                <w:noProof w:val="0"/>
                <w:szCs w:val="22"/>
                <w:lang w:val="es-ES"/>
                <w:rPrChange w:id="3873" w:author="Author">
                  <w:rPr>
                    <w:noProof w:val="0"/>
                    <w:szCs w:val="22"/>
                    <w:lang w:val="pt-PT"/>
                  </w:rPr>
                </w:rPrChange>
              </w:rPr>
              <w:t>Amgen S.r.l.</w:t>
            </w:r>
          </w:p>
          <w:p w14:paraId="55618681" w14:textId="77777777" w:rsidR="001A69C5" w:rsidRPr="00D55B59" w:rsidRDefault="001A69C5" w:rsidP="00B7252D">
            <w:pPr>
              <w:pStyle w:val="lbltxt"/>
              <w:rPr>
                <w:noProof w:val="0"/>
                <w:szCs w:val="22"/>
                <w:lang w:val="en-GB"/>
                <w:rPrChange w:id="3874" w:author="Author">
                  <w:rPr>
                    <w:noProof w:val="0"/>
                    <w:szCs w:val="22"/>
                    <w:lang w:val="pt-PT"/>
                  </w:rPr>
                </w:rPrChange>
              </w:rPr>
            </w:pPr>
            <w:r w:rsidRPr="00D55B59">
              <w:rPr>
                <w:noProof w:val="0"/>
                <w:szCs w:val="22"/>
                <w:lang w:val="en-GB"/>
                <w:rPrChange w:id="3875" w:author="Author">
                  <w:rPr>
                    <w:noProof w:val="0"/>
                    <w:szCs w:val="22"/>
                    <w:lang w:val="pt-PT"/>
                  </w:rPr>
                </w:rPrChange>
              </w:rPr>
              <w:t>Tel: +39 02 6241121</w:t>
            </w:r>
          </w:p>
          <w:p w14:paraId="1971ED44" w14:textId="77777777" w:rsidR="001A69C5" w:rsidRPr="00D55B59" w:rsidRDefault="001A69C5" w:rsidP="00B7252D">
            <w:pPr>
              <w:rPr>
                <w:szCs w:val="22"/>
                <w:rPrChange w:id="3876" w:author="Author">
                  <w:rPr>
                    <w:szCs w:val="22"/>
                    <w:lang w:val="pt-PT"/>
                  </w:rPr>
                </w:rPrChange>
              </w:rPr>
            </w:pPr>
          </w:p>
        </w:tc>
        <w:tc>
          <w:tcPr>
            <w:tcW w:w="4679" w:type="dxa"/>
          </w:tcPr>
          <w:p w14:paraId="42A7FA7B" w14:textId="77777777" w:rsidR="001A69C5" w:rsidRPr="00D55B59" w:rsidRDefault="001A69C5" w:rsidP="00B7252D">
            <w:pPr>
              <w:pStyle w:val="lbltxt"/>
              <w:rPr>
                <w:noProof w:val="0"/>
                <w:szCs w:val="22"/>
                <w:lang w:val="en-GB"/>
                <w:rPrChange w:id="3877" w:author="Author">
                  <w:rPr>
                    <w:noProof w:val="0"/>
                    <w:szCs w:val="22"/>
                    <w:lang w:val="sv-SE"/>
                  </w:rPr>
                </w:rPrChange>
              </w:rPr>
            </w:pPr>
            <w:r w:rsidRPr="00D55B59">
              <w:rPr>
                <w:b/>
                <w:noProof w:val="0"/>
                <w:szCs w:val="22"/>
                <w:lang w:val="en-GB"/>
                <w:rPrChange w:id="3878" w:author="Author">
                  <w:rPr>
                    <w:b/>
                    <w:noProof w:val="0"/>
                    <w:szCs w:val="22"/>
                    <w:lang w:val="sv-SE"/>
                  </w:rPr>
                </w:rPrChange>
              </w:rPr>
              <w:t>Suomi/Finland</w:t>
            </w:r>
          </w:p>
          <w:p w14:paraId="5D40BAF1" w14:textId="77777777" w:rsidR="009C222E" w:rsidRPr="00D55B59" w:rsidRDefault="009C222E" w:rsidP="009C222E">
            <w:pPr>
              <w:pStyle w:val="lbltxt"/>
              <w:rPr>
                <w:noProof w:val="0"/>
                <w:szCs w:val="22"/>
                <w:lang w:val="en-GB"/>
                <w:rPrChange w:id="3879" w:author="Author">
                  <w:rPr>
                    <w:szCs w:val="22"/>
                    <w:lang w:val="nl-NL"/>
                  </w:rPr>
                </w:rPrChange>
              </w:rPr>
            </w:pPr>
            <w:r w:rsidRPr="00D55B59">
              <w:rPr>
                <w:noProof w:val="0"/>
                <w:szCs w:val="22"/>
                <w:lang w:val="en-GB"/>
                <w:rPrChange w:id="3880" w:author="Author">
                  <w:rPr>
                    <w:szCs w:val="22"/>
                    <w:lang w:val="nl-NL"/>
                  </w:rPr>
                </w:rPrChange>
              </w:rPr>
              <w:t>Amgen AB, sivuliike Suomessa/Amgen AB, filial i Finland</w:t>
            </w:r>
          </w:p>
          <w:p w14:paraId="2D25AA7A" w14:textId="77777777" w:rsidR="001A69C5" w:rsidRPr="00D55B59" w:rsidRDefault="009C222E" w:rsidP="009C222E">
            <w:pPr>
              <w:pStyle w:val="lbltxt"/>
              <w:rPr>
                <w:noProof w:val="0"/>
                <w:szCs w:val="22"/>
                <w:lang w:val="en-GB"/>
                <w:rPrChange w:id="3881" w:author="Author">
                  <w:rPr>
                    <w:szCs w:val="22"/>
                    <w:lang w:val="nl-NL"/>
                  </w:rPr>
                </w:rPrChange>
              </w:rPr>
            </w:pPr>
            <w:r w:rsidRPr="00D55B59">
              <w:rPr>
                <w:noProof w:val="0"/>
                <w:szCs w:val="22"/>
                <w:lang w:val="en-GB"/>
                <w:rPrChange w:id="3882" w:author="Author">
                  <w:rPr>
                    <w:szCs w:val="22"/>
                    <w:lang w:val="nl-NL"/>
                  </w:rPr>
                </w:rPrChange>
              </w:rPr>
              <w:t>Puh/Tel: +358 (0)9 54900500</w:t>
            </w:r>
          </w:p>
          <w:p w14:paraId="3F6FD633" w14:textId="17509BAD" w:rsidR="009C222E" w:rsidRPr="00D55B59" w:rsidRDefault="009C222E" w:rsidP="009C222E">
            <w:pPr>
              <w:pStyle w:val="lbltxt"/>
              <w:rPr>
                <w:noProof w:val="0"/>
                <w:szCs w:val="22"/>
                <w:lang w:val="en-GB"/>
                <w:rPrChange w:id="3883" w:author="Author">
                  <w:rPr>
                    <w:szCs w:val="22"/>
                    <w:lang w:val="fr-CH"/>
                  </w:rPr>
                </w:rPrChange>
              </w:rPr>
            </w:pPr>
          </w:p>
        </w:tc>
      </w:tr>
      <w:tr w:rsidR="001A69C5" w:rsidRPr="00F04F82" w14:paraId="647F7940" w14:textId="77777777" w:rsidTr="00B7252D">
        <w:trPr>
          <w:cantSplit/>
        </w:trPr>
        <w:tc>
          <w:tcPr>
            <w:tcW w:w="4677" w:type="dxa"/>
          </w:tcPr>
          <w:p w14:paraId="05B1B7F6" w14:textId="77777777" w:rsidR="001A69C5" w:rsidRPr="00D55B59" w:rsidRDefault="001A69C5" w:rsidP="00B7252D">
            <w:pPr>
              <w:pStyle w:val="lbltxt"/>
              <w:rPr>
                <w:b/>
                <w:noProof w:val="0"/>
                <w:szCs w:val="22"/>
                <w:lang w:val="en-GB"/>
                <w:rPrChange w:id="3884" w:author="Author">
                  <w:rPr>
                    <w:b/>
                    <w:noProof w:val="0"/>
                    <w:szCs w:val="22"/>
                  </w:rPr>
                </w:rPrChange>
              </w:rPr>
            </w:pPr>
            <w:r w:rsidRPr="00D55B59">
              <w:rPr>
                <w:b/>
                <w:noProof w:val="0"/>
                <w:szCs w:val="22"/>
                <w:lang w:val="en-GB"/>
                <w:rPrChange w:id="3885" w:author="Author">
                  <w:rPr>
                    <w:b/>
                    <w:noProof w:val="0"/>
                    <w:szCs w:val="22"/>
                  </w:rPr>
                </w:rPrChange>
              </w:rPr>
              <w:t>Kύπρος</w:t>
            </w:r>
          </w:p>
          <w:p w14:paraId="0DEB1C2E" w14:textId="77777777" w:rsidR="001A69C5" w:rsidRPr="001775D9" w:rsidRDefault="001A69C5" w:rsidP="00B7252D">
            <w:pPr>
              <w:rPr>
                <w:szCs w:val="22"/>
              </w:rPr>
            </w:pPr>
            <w:r w:rsidRPr="001775D9">
              <w:rPr>
                <w:szCs w:val="22"/>
              </w:rPr>
              <w:t>C.A. Papaellinas Ltd</w:t>
            </w:r>
          </w:p>
          <w:p w14:paraId="0FA4D2F3" w14:textId="7FA8D960" w:rsidR="001A69C5" w:rsidRPr="00D55B59" w:rsidRDefault="001A69C5" w:rsidP="00B7252D">
            <w:pPr>
              <w:pStyle w:val="lbltxt"/>
              <w:rPr>
                <w:noProof w:val="0"/>
                <w:szCs w:val="22"/>
                <w:lang w:val="en-GB"/>
                <w:rPrChange w:id="3886" w:author="Author">
                  <w:rPr>
                    <w:noProof w:val="0"/>
                    <w:szCs w:val="22"/>
                  </w:rPr>
                </w:rPrChange>
              </w:rPr>
            </w:pPr>
            <w:r w:rsidRPr="00D55B59">
              <w:rPr>
                <w:noProof w:val="0"/>
                <w:szCs w:val="22"/>
                <w:lang w:val="en-GB"/>
                <w:rPrChange w:id="3887" w:author="Author">
                  <w:rPr>
                    <w:noProof w:val="0"/>
                    <w:szCs w:val="22"/>
                  </w:rPr>
                </w:rPrChange>
              </w:rPr>
              <w:t>Τηλ: +357 22741 741</w:t>
            </w:r>
          </w:p>
          <w:p w14:paraId="413D7DA2" w14:textId="77777777" w:rsidR="001A69C5" w:rsidRPr="001775D9" w:rsidRDefault="001A69C5" w:rsidP="00B7252D">
            <w:pPr>
              <w:rPr>
                <w:szCs w:val="22"/>
              </w:rPr>
            </w:pPr>
          </w:p>
        </w:tc>
        <w:tc>
          <w:tcPr>
            <w:tcW w:w="4679" w:type="dxa"/>
          </w:tcPr>
          <w:p w14:paraId="6F098305" w14:textId="77777777" w:rsidR="001A69C5" w:rsidRPr="00D55B59" w:rsidRDefault="001A69C5" w:rsidP="00B7252D">
            <w:pPr>
              <w:pStyle w:val="lbltxt"/>
              <w:rPr>
                <w:noProof w:val="0"/>
                <w:szCs w:val="22"/>
                <w:lang w:val="en-GB"/>
                <w:rPrChange w:id="3888" w:author="Author">
                  <w:rPr>
                    <w:noProof w:val="0"/>
                    <w:szCs w:val="22"/>
                  </w:rPr>
                </w:rPrChange>
              </w:rPr>
            </w:pPr>
            <w:r w:rsidRPr="00D55B59">
              <w:rPr>
                <w:b/>
                <w:noProof w:val="0"/>
                <w:szCs w:val="22"/>
                <w:lang w:val="en-GB"/>
                <w:rPrChange w:id="3889" w:author="Author">
                  <w:rPr>
                    <w:b/>
                    <w:noProof w:val="0"/>
                    <w:szCs w:val="22"/>
                  </w:rPr>
                </w:rPrChange>
              </w:rPr>
              <w:t>Sverige</w:t>
            </w:r>
          </w:p>
          <w:p w14:paraId="5AF4487B" w14:textId="77777777" w:rsidR="001A69C5" w:rsidRPr="00D55B59" w:rsidRDefault="001A69C5" w:rsidP="00B7252D">
            <w:pPr>
              <w:pStyle w:val="lbltxt"/>
              <w:rPr>
                <w:noProof w:val="0"/>
                <w:szCs w:val="22"/>
                <w:lang w:val="en-GB"/>
                <w:rPrChange w:id="3890" w:author="Author">
                  <w:rPr>
                    <w:noProof w:val="0"/>
                    <w:szCs w:val="22"/>
                  </w:rPr>
                </w:rPrChange>
              </w:rPr>
            </w:pPr>
            <w:r w:rsidRPr="00D55B59">
              <w:rPr>
                <w:noProof w:val="0"/>
                <w:szCs w:val="22"/>
                <w:lang w:val="en-GB"/>
                <w:rPrChange w:id="3891" w:author="Author">
                  <w:rPr>
                    <w:noProof w:val="0"/>
                    <w:szCs w:val="22"/>
                  </w:rPr>
                </w:rPrChange>
              </w:rPr>
              <w:t xml:space="preserve">Amgen AB </w:t>
            </w:r>
          </w:p>
          <w:p w14:paraId="688D85A6" w14:textId="77777777" w:rsidR="001A69C5" w:rsidRPr="00D55B59" w:rsidRDefault="001A69C5" w:rsidP="00B7252D">
            <w:pPr>
              <w:pStyle w:val="lbltxt"/>
              <w:rPr>
                <w:noProof w:val="0"/>
                <w:szCs w:val="22"/>
                <w:lang w:val="en-GB"/>
                <w:rPrChange w:id="3892" w:author="Author">
                  <w:rPr>
                    <w:noProof w:val="0"/>
                    <w:szCs w:val="22"/>
                  </w:rPr>
                </w:rPrChange>
              </w:rPr>
            </w:pPr>
            <w:r w:rsidRPr="00D55B59">
              <w:rPr>
                <w:noProof w:val="0"/>
                <w:szCs w:val="22"/>
                <w:lang w:val="en-GB"/>
                <w:rPrChange w:id="3893" w:author="Author">
                  <w:rPr>
                    <w:noProof w:val="0"/>
                    <w:szCs w:val="22"/>
                  </w:rPr>
                </w:rPrChange>
              </w:rPr>
              <w:t>Tel: +46 (0)8 6951100</w:t>
            </w:r>
          </w:p>
          <w:p w14:paraId="184D31E2" w14:textId="77777777" w:rsidR="001A69C5" w:rsidRPr="001775D9" w:rsidRDefault="001A69C5" w:rsidP="00B7252D">
            <w:pPr>
              <w:rPr>
                <w:szCs w:val="22"/>
              </w:rPr>
            </w:pPr>
          </w:p>
        </w:tc>
      </w:tr>
      <w:tr w:rsidR="001A69C5" w:rsidRPr="00F04F82" w14:paraId="1FC22615" w14:textId="77777777" w:rsidTr="00B7252D">
        <w:trPr>
          <w:cantSplit/>
        </w:trPr>
        <w:tc>
          <w:tcPr>
            <w:tcW w:w="4677" w:type="dxa"/>
          </w:tcPr>
          <w:p w14:paraId="095B7767" w14:textId="77777777" w:rsidR="001A69C5" w:rsidRPr="00D55B59" w:rsidRDefault="001A69C5" w:rsidP="00B7252D">
            <w:pPr>
              <w:pStyle w:val="lbltxt"/>
              <w:rPr>
                <w:b/>
                <w:bCs/>
                <w:noProof w:val="0"/>
                <w:szCs w:val="22"/>
                <w:lang w:val="de-DE"/>
                <w:rPrChange w:id="3894" w:author="Author">
                  <w:rPr>
                    <w:b/>
                    <w:bCs/>
                    <w:noProof w:val="0"/>
                    <w:szCs w:val="22"/>
                    <w:lang w:val="nl-NL"/>
                  </w:rPr>
                </w:rPrChange>
              </w:rPr>
            </w:pPr>
            <w:r w:rsidRPr="00D55B59">
              <w:rPr>
                <w:b/>
                <w:bCs/>
                <w:noProof w:val="0"/>
                <w:szCs w:val="22"/>
                <w:lang w:val="de-DE"/>
                <w:rPrChange w:id="3895" w:author="Author">
                  <w:rPr>
                    <w:b/>
                    <w:bCs/>
                    <w:noProof w:val="0"/>
                    <w:szCs w:val="22"/>
                    <w:lang w:val="nl-NL"/>
                  </w:rPr>
                </w:rPrChange>
              </w:rPr>
              <w:t>Latvija</w:t>
            </w:r>
          </w:p>
          <w:p w14:paraId="15005428" w14:textId="77777777" w:rsidR="001A69C5" w:rsidRPr="00D55B59" w:rsidRDefault="001A69C5" w:rsidP="00B7252D">
            <w:pPr>
              <w:pStyle w:val="lbltxt"/>
              <w:rPr>
                <w:noProof w:val="0"/>
                <w:szCs w:val="22"/>
                <w:lang w:val="de-DE"/>
                <w:rPrChange w:id="3896" w:author="Author">
                  <w:rPr>
                    <w:noProof w:val="0"/>
                    <w:szCs w:val="22"/>
                    <w:lang w:val="nl-NL"/>
                  </w:rPr>
                </w:rPrChange>
              </w:rPr>
            </w:pPr>
            <w:r w:rsidRPr="00D55B59">
              <w:rPr>
                <w:noProof w:val="0"/>
                <w:szCs w:val="22"/>
                <w:lang w:val="de-DE"/>
                <w:rPrChange w:id="3897" w:author="Author">
                  <w:rPr>
                    <w:noProof w:val="0"/>
                    <w:szCs w:val="22"/>
                    <w:lang w:val="nl-NL"/>
                  </w:rPr>
                </w:rPrChange>
              </w:rPr>
              <w:t>Amgen Switzerland AG Rīgas filiāle</w:t>
            </w:r>
          </w:p>
          <w:p w14:paraId="48A93CAD" w14:textId="77777777" w:rsidR="001A69C5" w:rsidRPr="00D55B59" w:rsidRDefault="001A69C5" w:rsidP="00B7252D">
            <w:pPr>
              <w:pStyle w:val="lbltxt"/>
              <w:rPr>
                <w:noProof w:val="0"/>
                <w:szCs w:val="22"/>
                <w:lang w:val="en-GB"/>
                <w:rPrChange w:id="3898" w:author="Author">
                  <w:rPr>
                    <w:noProof w:val="0"/>
                    <w:szCs w:val="22"/>
                  </w:rPr>
                </w:rPrChange>
              </w:rPr>
            </w:pPr>
            <w:r w:rsidRPr="00D55B59">
              <w:rPr>
                <w:bCs/>
                <w:noProof w:val="0"/>
                <w:szCs w:val="22"/>
                <w:lang w:val="en-GB"/>
                <w:rPrChange w:id="3899" w:author="Author">
                  <w:rPr>
                    <w:bCs/>
                    <w:noProof w:val="0"/>
                    <w:szCs w:val="22"/>
                  </w:rPr>
                </w:rPrChange>
              </w:rPr>
              <w:t>Tel: +</w:t>
            </w:r>
            <w:r w:rsidRPr="00D55B59">
              <w:rPr>
                <w:noProof w:val="0"/>
                <w:szCs w:val="22"/>
                <w:lang w:val="en-GB"/>
                <w:rPrChange w:id="3900" w:author="Author">
                  <w:rPr>
                    <w:noProof w:val="0"/>
                    <w:szCs w:val="22"/>
                  </w:rPr>
                </w:rPrChange>
              </w:rPr>
              <w:t>371 257 25888</w:t>
            </w:r>
          </w:p>
          <w:p w14:paraId="1F8990E4" w14:textId="77777777" w:rsidR="001A69C5" w:rsidRPr="001775D9" w:rsidRDefault="001A69C5" w:rsidP="00B7252D">
            <w:pPr>
              <w:rPr>
                <w:szCs w:val="22"/>
              </w:rPr>
            </w:pPr>
          </w:p>
        </w:tc>
        <w:tc>
          <w:tcPr>
            <w:tcW w:w="4679" w:type="dxa"/>
          </w:tcPr>
          <w:p w14:paraId="48988F66" w14:textId="77777777" w:rsidR="001A69C5" w:rsidRPr="00D55B59" w:rsidRDefault="001A69C5" w:rsidP="00452AE6">
            <w:pPr>
              <w:pStyle w:val="lbltxt"/>
              <w:rPr>
                <w:noProof w:val="0"/>
                <w:szCs w:val="22"/>
                <w:lang w:val="en-GB"/>
                <w:rPrChange w:id="3901" w:author="Author">
                  <w:rPr>
                    <w:szCs w:val="22"/>
                  </w:rPr>
                </w:rPrChange>
              </w:rPr>
            </w:pPr>
          </w:p>
        </w:tc>
      </w:tr>
    </w:tbl>
    <w:p w14:paraId="763BA7ED" w14:textId="77777777" w:rsidR="001A69C5" w:rsidRPr="001775D9" w:rsidRDefault="001A69C5" w:rsidP="00B61D9D">
      <w:pPr>
        <w:spacing w:line="240" w:lineRule="auto"/>
        <w:rPr>
          <w:szCs w:val="22"/>
        </w:rPr>
      </w:pPr>
    </w:p>
    <w:p w14:paraId="69A6270E" w14:textId="3EF98242" w:rsidR="001A69C5" w:rsidRPr="001775D9" w:rsidRDefault="001A69C5" w:rsidP="007B4B23">
      <w:pPr>
        <w:numPr>
          <w:ilvl w:val="12"/>
          <w:numId w:val="0"/>
        </w:numPr>
        <w:tabs>
          <w:tab w:val="clear" w:pos="567"/>
        </w:tabs>
        <w:spacing w:line="240" w:lineRule="auto"/>
        <w:ind w:right="-2"/>
        <w:outlineLvl w:val="0"/>
        <w:rPr>
          <w:szCs w:val="22"/>
        </w:rPr>
      </w:pPr>
      <w:r w:rsidRPr="001775D9">
        <w:rPr>
          <w:b/>
          <w:szCs w:val="22"/>
        </w:rPr>
        <w:t xml:space="preserve">This leaflet was last </w:t>
      </w:r>
      <w:r w:rsidRPr="001775D9">
        <w:rPr>
          <w:b/>
        </w:rPr>
        <w:t>revised in</w:t>
      </w:r>
      <w:r w:rsidR="001C55FB" w:rsidRPr="001775D9">
        <w:rPr>
          <w:b/>
        </w:rPr>
        <w:fldChar w:fldCharType="begin"/>
      </w:r>
      <w:r w:rsidR="001C55FB" w:rsidRPr="001775D9">
        <w:rPr>
          <w:b/>
        </w:rPr>
        <w:instrText xml:space="preserve"> DOCVARIABLE vault_nd_2f853c8c-1227-43b4-a3b8-ea6afd0bb09a \* MERGEFORMAT </w:instrText>
      </w:r>
      <w:r w:rsidR="001C55FB" w:rsidRPr="001775D9">
        <w:rPr>
          <w:b/>
        </w:rPr>
        <w:fldChar w:fldCharType="separate"/>
      </w:r>
      <w:r w:rsidR="001C55FB" w:rsidRPr="001775D9">
        <w:rPr>
          <w:b/>
        </w:rPr>
        <w:t xml:space="preserve"> </w:t>
      </w:r>
      <w:r w:rsidR="001C55FB" w:rsidRPr="001775D9">
        <w:rPr>
          <w:b/>
        </w:rPr>
        <w:fldChar w:fldCharType="end"/>
      </w:r>
    </w:p>
    <w:p w14:paraId="26353CF2" w14:textId="77777777" w:rsidR="001A69C5" w:rsidRPr="001775D9" w:rsidRDefault="001A69C5" w:rsidP="007B4B23">
      <w:pPr>
        <w:numPr>
          <w:ilvl w:val="12"/>
          <w:numId w:val="0"/>
        </w:numPr>
        <w:spacing w:line="240" w:lineRule="auto"/>
        <w:ind w:right="-2"/>
        <w:rPr>
          <w:szCs w:val="22"/>
        </w:rPr>
      </w:pPr>
    </w:p>
    <w:p w14:paraId="636FE93A" w14:textId="77777777" w:rsidR="001A69C5" w:rsidRPr="001775D9" w:rsidRDefault="001A69C5" w:rsidP="007B4B23">
      <w:pPr>
        <w:numPr>
          <w:ilvl w:val="12"/>
          <w:numId w:val="0"/>
        </w:numPr>
        <w:tabs>
          <w:tab w:val="clear" w:pos="567"/>
        </w:tabs>
        <w:spacing w:line="240" w:lineRule="auto"/>
        <w:ind w:right="-2"/>
        <w:rPr>
          <w:b/>
        </w:rPr>
      </w:pPr>
      <w:r w:rsidRPr="001775D9">
        <w:rPr>
          <w:b/>
        </w:rPr>
        <w:t>Other sources of information</w:t>
      </w:r>
    </w:p>
    <w:p w14:paraId="575343B0" w14:textId="77777777" w:rsidR="001A69C5" w:rsidRPr="001775D9" w:rsidRDefault="001A69C5" w:rsidP="007B4B23">
      <w:pPr>
        <w:numPr>
          <w:ilvl w:val="12"/>
          <w:numId w:val="0"/>
        </w:numPr>
        <w:spacing w:line="240" w:lineRule="auto"/>
        <w:ind w:right="-2"/>
      </w:pPr>
    </w:p>
    <w:p w14:paraId="3058AD2D" w14:textId="77777777" w:rsidR="001A69C5" w:rsidRPr="001775D9" w:rsidRDefault="001A69C5" w:rsidP="007B4B23">
      <w:pPr>
        <w:numPr>
          <w:ilvl w:val="12"/>
          <w:numId w:val="0"/>
        </w:numPr>
        <w:spacing w:line="240" w:lineRule="auto"/>
        <w:ind w:right="-2"/>
        <w:rPr>
          <w:szCs w:val="22"/>
        </w:rPr>
      </w:pPr>
      <w:r w:rsidRPr="001775D9">
        <w:t xml:space="preserve">Detailed information on this medicine is available on the European Medicines Agency web site: </w:t>
      </w:r>
      <w:hyperlink r:id="rId47" w:history="1">
        <w:r w:rsidRPr="001775D9">
          <w:rPr>
            <w:rStyle w:val="Hyperlink"/>
            <w:szCs w:val="22"/>
          </w:rPr>
          <w:t>http://www.ema.europa.eu</w:t>
        </w:r>
      </w:hyperlink>
      <w:r w:rsidRPr="001775D9">
        <w:rPr>
          <w:szCs w:val="22"/>
        </w:rPr>
        <w:t>.</w:t>
      </w:r>
    </w:p>
    <w:p w14:paraId="54F862F3" w14:textId="77777777" w:rsidR="0098482D" w:rsidRPr="001775D9" w:rsidRDefault="0098482D" w:rsidP="007B4B23">
      <w:pPr>
        <w:numPr>
          <w:ilvl w:val="12"/>
          <w:numId w:val="0"/>
        </w:numPr>
        <w:spacing w:line="240" w:lineRule="auto"/>
        <w:ind w:right="-2"/>
        <w:rPr>
          <w:szCs w:val="22"/>
        </w:rPr>
      </w:pPr>
    </w:p>
    <w:p w14:paraId="57F8E8AE" w14:textId="77777777" w:rsidR="0098482D" w:rsidRPr="001775D9" w:rsidRDefault="0098482D" w:rsidP="007B4B23">
      <w:pPr>
        <w:numPr>
          <w:ilvl w:val="12"/>
          <w:numId w:val="0"/>
        </w:numPr>
        <w:tabs>
          <w:tab w:val="clear" w:pos="567"/>
        </w:tabs>
        <w:spacing w:line="240" w:lineRule="auto"/>
        <w:ind w:right="-2"/>
        <w:rPr>
          <w:szCs w:val="22"/>
        </w:rPr>
      </w:pPr>
      <w:r w:rsidRPr="001775D9">
        <w:rPr>
          <w:szCs w:val="22"/>
        </w:rPr>
        <w:t>---------------------------------------------------------------------------------------------------------------------------</w:t>
      </w:r>
    </w:p>
    <w:p w14:paraId="03034457" w14:textId="77777777" w:rsidR="0098482D" w:rsidRDefault="0098482D" w:rsidP="007B4B23">
      <w:pPr>
        <w:tabs>
          <w:tab w:val="clear" w:pos="567"/>
        </w:tabs>
        <w:suppressAutoHyphens/>
        <w:autoSpaceDE w:val="0"/>
        <w:autoSpaceDN w:val="0"/>
        <w:adjustRightInd w:val="0"/>
        <w:spacing w:line="240" w:lineRule="auto"/>
        <w:ind w:left="72"/>
        <w:contextualSpacing/>
        <w:textAlignment w:val="center"/>
        <w:rPr>
          <w:szCs w:val="22"/>
          <w:highlight w:val="lightGray"/>
        </w:rPr>
      </w:pPr>
    </w:p>
    <w:tbl>
      <w:tblPr>
        <w:tblW w:w="4999" w:type="pct"/>
        <w:tblLayout w:type="fixed"/>
        <w:tblLook w:val="04A0" w:firstRow="1" w:lastRow="0" w:firstColumn="1" w:lastColumn="0" w:noHBand="0" w:noVBand="1"/>
      </w:tblPr>
      <w:tblGrid>
        <w:gridCol w:w="1916"/>
        <w:gridCol w:w="2782"/>
        <w:gridCol w:w="2355"/>
        <w:gridCol w:w="2232"/>
      </w:tblGrid>
      <w:tr w:rsidR="0098482D" w:rsidRPr="00F04F82" w14:paraId="0C08F0E3" w14:textId="77777777" w:rsidTr="000C5413">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2F616B03" w14:textId="77777777" w:rsidR="0098482D" w:rsidRPr="001775D9" w:rsidRDefault="0098482D" w:rsidP="00FB5458">
            <w:pPr>
              <w:keepNext/>
              <w:keepLines/>
              <w:spacing w:line="240" w:lineRule="auto"/>
              <w:rPr>
                <w:szCs w:val="22"/>
              </w:rPr>
            </w:pPr>
            <w:r w:rsidRPr="001775D9">
              <w:rPr>
                <w:szCs w:val="22"/>
              </w:rPr>
              <w:t>Instructions for use:</w:t>
            </w:r>
          </w:p>
          <w:p w14:paraId="47532EC7" w14:textId="77777777" w:rsidR="0098482D" w:rsidRPr="00D55B59" w:rsidRDefault="003C5B91" w:rsidP="00FB5458">
            <w:pPr>
              <w:pStyle w:val="lbltxt"/>
              <w:keepNext/>
              <w:keepLines/>
              <w:rPr>
                <w:noProof w:val="0"/>
                <w:szCs w:val="22"/>
                <w:lang w:val="en-GB"/>
                <w:rPrChange w:id="3902" w:author="Author">
                  <w:rPr>
                    <w:noProof w:val="0"/>
                    <w:szCs w:val="22"/>
                  </w:rPr>
                </w:rPrChange>
              </w:rPr>
            </w:pPr>
            <w:r w:rsidRPr="00D55B59">
              <w:rPr>
                <w:rFonts w:eastAsia="Calibri"/>
                <w:noProof w:val="0"/>
                <w:szCs w:val="22"/>
                <w:lang w:val="en-GB"/>
                <w:rPrChange w:id="3903" w:author="Author">
                  <w:rPr>
                    <w:rFonts w:eastAsia="Calibri"/>
                    <w:noProof w:val="0"/>
                    <w:szCs w:val="22"/>
                  </w:rPr>
                </w:rPrChange>
              </w:rPr>
              <w:t>AMGEVITA</w:t>
            </w:r>
            <w:r w:rsidR="0098482D" w:rsidRPr="00D55B59">
              <w:rPr>
                <w:noProof w:val="0"/>
                <w:szCs w:val="22"/>
                <w:lang w:val="en-GB"/>
                <w:rPrChange w:id="3904" w:author="Author">
                  <w:rPr>
                    <w:noProof w:val="0"/>
                    <w:szCs w:val="22"/>
                  </w:rPr>
                </w:rPrChange>
              </w:rPr>
              <w:t xml:space="preserve"> </w:t>
            </w:r>
            <w:r w:rsidR="0098482D" w:rsidRPr="00D55B59">
              <w:rPr>
                <w:rFonts w:eastAsia="Calibri"/>
                <w:noProof w:val="0"/>
                <w:szCs w:val="22"/>
                <w:lang w:val="en-GB"/>
                <w:rPrChange w:id="3905" w:author="Author">
                  <w:rPr>
                    <w:rFonts w:eastAsia="Calibri"/>
                    <w:noProof w:val="0"/>
                    <w:szCs w:val="22"/>
                  </w:rPr>
                </w:rPrChange>
              </w:rPr>
              <w:t>single use SureClick pre-filled pen</w:t>
            </w:r>
          </w:p>
          <w:p w14:paraId="5D366D38" w14:textId="77777777" w:rsidR="0098482D" w:rsidRPr="00D55B59" w:rsidRDefault="0098482D" w:rsidP="00FB5458">
            <w:pPr>
              <w:pStyle w:val="lbltxt"/>
              <w:keepNext/>
              <w:keepLines/>
              <w:rPr>
                <w:b/>
                <w:noProof w:val="0"/>
                <w:szCs w:val="22"/>
                <w:lang w:val="en-GB"/>
                <w:rPrChange w:id="3906" w:author="Author">
                  <w:rPr>
                    <w:b/>
                    <w:noProof w:val="0"/>
                    <w:szCs w:val="22"/>
                  </w:rPr>
                </w:rPrChange>
              </w:rPr>
            </w:pPr>
            <w:r w:rsidRPr="00D55B59">
              <w:rPr>
                <w:noProof w:val="0"/>
                <w:szCs w:val="22"/>
                <w:lang w:val="en-GB"/>
                <w:rPrChange w:id="3907" w:author="Author">
                  <w:rPr>
                    <w:noProof w:val="0"/>
                    <w:szCs w:val="22"/>
                  </w:rPr>
                </w:rPrChange>
              </w:rPr>
              <w:t>For subcutaneous use</w:t>
            </w:r>
          </w:p>
        </w:tc>
      </w:tr>
      <w:tr w:rsidR="0098482D" w:rsidRPr="00F04F82" w14:paraId="070C1447" w14:textId="77777777" w:rsidTr="000C5413">
        <w:trPr>
          <w:trHeight w:val="73"/>
        </w:trPr>
        <w:tc>
          <w:tcPr>
            <w:tcW w:w="5000" w:type="pct"/>
            <w:gridSpan w:val="4"/>
            <w:tcBorders>
              <w:top w:val="single" w:sz="4" w:space="0" w:color="auto"/>
              <w:bottom w:val="single" w:sz="4" w:space="0" w:color="auto"/>
            </w:tcBorders>
          </w:tcPr>
          <w:p w14:paraId="4E0DEB63" w14:textId="77777777" w:rsidR="0098482D" w:rsidRPr="001775D9" w:rsidRDefault="0098482D" w:rsidP="00FB5458">
            <w:pPr>
              <w:keepNext/>
              <w:keepLines/>
              <w:spacing w:line="240" w:lineRule="auto"/>
              <w:jc w:val="center"/>
              <w:rPr>
                <w:bCs/>
                <w:szCs w:val="22"/>
              </w:rPr>
            </w:pPr>
          </w:p>
        </w:tc>
      </w:tr>
      <w:tr w:rsidR="0098482D" w:rsidRPr="00F04F82" w14:paraId="31875494" w14:textId="77777777" w:rsidTr="000C5413">
        <w:tc>
          <w:tcPr>
            <w:tcW w:w="5000" w:type="pct"/>
            <w:gridSpan w:val="4"/>
            <w:tcBorders>
              <w:top w:val="single" w:sz="4" w:space="0" w:color="auto"/>
              <w:left w:val="single" w:sz="4" w:space="0" w:color="auto"/>
              <w:bottom w:val="single" w:sz="4" w:space="0" w:color="auto"/>
              <w:right w:val="single" w:sz="4" w:space="0" w:color="auto"/>
            </w:tcBorders>
          </w:tcPr>
          <w:p w14:paraId="75729D10" w14:textId="77777777" w:rsidR="0098482D" w:rsidRPr="001775D9" w:rsidRDefault="0098482D" w:rsidP="00FB5458">
            <w:pPr>
              <w:keepNext/>
              <w:keepLines/>
              <w:spacing w:line="240" w:lineRule="auto"/>
              <w:jc w:val="center"/>
              <w:rPr>
                <w:b/>
                <w:bCs/>
                <w:szCs w:val="22"/>
              </w:rPr>
            </w:pPr>
            <w:r w:rsidRPr="001775D9">
              <w:rPr>
                <w:b/>
                <w:bCs/>
                <w:szCs w:val="22"/>
              </w:rPr>
              <w:t>Guide to parts</w:t>
            </w:r>
          </w:p>
          <w:p w14:paraId="490074A2" w14:textId="77777777" w:rsidR="0098482D" w:rsidRPr="001775D9" w:rsidRDefault="0098482D" w:rsidP="00FB5458">
            <w:pPr>
              <w:keepNext/>
              <w:keepLines/>
              <w:spacing w:line="240" w:lineRule="auto"/>
              <w:jc w:val="center"/>
              <w:rPr>
                <w:b/>
                <w:szCs w:val="22"/>
              </w:rPr>
            </w:pPr>
          </w:p>
        </w:tc>
      </w:tr>
      <w:tr w:rsidR="0098482D" w:rsidRPr="00F04F82" w14:paraId="2091460C" w14:textId="77777777" w:rsidTr="000C5413">
        <w:trPr>
          <w:trHeight w:val="332"/>
        </w:trPr>
        <w:tc>
          <w:tcPr>
            <w:tcW w:w="2530" w:type="pct"/>
            <w:gridSpan w:val="2"/>
            <w:tcBorders>
              <w:top w:val="single" w:sz="4" w:space="0" w:color="auto"/>
              <w:left w:val="single" w:sz="4" w:space="0" w:color="auto"/>
              <w:right w:val="single" w:sz="4" w:space="0" w:color="auto"/>
            </w:tcBorders>
          </w:tcPr>
          <w:p w14:paraId="2FC4708F" w14:textId="77777777" w:rsidR="0098482D" w:rsidRPr="001775D9" w:rsidRDefault="0098482D" w:rsidP="00FB5458">
            <w:pPr>
              <w:keepNext/>
              <w:keepLines/>
              <w:spacing w:line="240" w:lineRule="auto"/>
              <w:jc w:val="center"/>
              <w:rPr>
                <w:b/>
                <w:bCs/>
                <w:szCs w:val="22"/>
              </w:rPr>
            </w:pPr>
            <w:r w:rsidRPr="001775D9">
              <w:rPr>
                <w:b/>
                <w:bCs/>
                <w:szCs w:val="22"/>
              </w:rPr>
              <w:t>Before use</w:t>
            </w:r>
          </w:p>
        </w:tc>
        <w:tc>
          <w:tcPr>
            <w:tcW w:w="2470" w:type="pct"/>
            <w:gridSpan w:val="2"/>
            <w:tcBorders>
              <w:top w:val="single" w:sz="4" w:space="0" w:color="auto"/>
              <w:left w:val="single" w:sz="4" w:space="0" w:color="auto"/>
              <w:right w:val="single" w:sz="4" w:space="0" w:color="auto"/>
            </w:tcBorders>
          </w:tcPr>
          <w:p w14:paraId="1E1ED9AB" w14:textId="77777777" w:rsidR="0098482D" w:rsidRPr="001775D9" w:rsidRDefault="0098482D" w:rsidP="00FB5458">
            <w:pPr>
              <w:keepNext/>
              <w:spacing w:line="240" w:lineRule="auto"/>
              <w:jc w:val="center"/>
              <w:rPr>
                <w:b/>
                <w:bCs/>
                <w:szCs w:val="22"/>
              </w:rPr>
            </w:pPr>
            <w:r w:rsidRPr="001775D9">
              <w:rPr>
                <w:b/>
                <w:bCs/>
                <w:szCs w:val="22"/>
              </w:rPr>
              <w:t>After use</w:t>
            </w:r>
          </w:p>
        </w:tc>
      </w:tr>
      <w:tr w:rsidR="0098482D" w:rsidRPr="00F04F82" w14:paraId="12FCAE48" w14:textId="77777777" w:rsidTr="000C5413">
        <w:trPr>
          <w:trHeight w:val="332"/>
        </w:trPr>
        <w:tc>
          <w:tcPr>
            <w:tcW w:w="2530" w:type="pct"/>
            <w:gridSpan w:val="2"/>
            <w:tcBorders>
              <w:top w:val="single" w:sz="4" w:space="0" w:color="auto"/>
              <w:left w:val="single" w:sz="4" w:space="0" w:color="auto"/>
              <w:right w:val="single" w:sz="4" w:space="0" w:color="auto"/>
            </w:tcBorders>
            <w:vAlign w:val="center"/>
          </w:tcPr>
          <w:p w14:paraId="0038F46F" w14:textId="77777777" w:rsidR="0098482D" w:rsidRPr="001775D9" w:rsidRDefault="0098482D" w:rsidP="00FB5458">
            <w:pPr>
              <w:keepNext/>
              <w:keepLines/>
              <w:spacing w:line="240" w:lineRule="auto"/>
              <w:jc w:val="center"/>
              <w:rPr>
                <w:b/>
                <w:bCs/>
                <w:szCs w:val="22"/>
              </w:rPr>
            </w:pPr>
            <w:r w:rsidRPr="001775D9">
              <w:rPr>
                <w:szCs w:val="22"/>
              </w:rPr>
              <w:t>Blue start button</w:t>
            </w:r>
          </w:p>
        </w:tc>
        <w:tc>
          <w:tcPr>
            <w:tcW w:w="2470" w:type="pct"/>
            <w:gridSpan w:val="2"/>
            <w:tcBorders>
              <w:top w:val="single" w:sz="4" w:space="0" w:color="auto"/>
              <w:left w:val="single" w:sz="4" w:space="0" w:color="auto"/>
              <w:right w:val="single" w:sz="4" w:space="0" w:color="auto"/>
            </w:tcBorders>
          </w:tcPr>
          <w:p w14:paraId="2405F109" w14:textId="77777777" w:rsidR="0098482D" w:rsidRPr="001775D9" w:rsidRDefault="0098482D" w:rsidP="00FB5458">
            <w:pPr>
              <w:keepNext/>
              <w:spacing w:line="240" w:lineRule="auto"/>
              <w:jc w:val="center"/>
              <w:rPr>
                <w:b/>
                <w:bCs/>
                <w:szCs w:val="22"/>
              </w:rPr>
            </w:pPr>
          </w:p>
        </w:tc>
      </w:tr>
      <w:tr w:rsidR="0098482D" w:rsidRPr="00F04F82" w14:paraId="3B1C4E12" w14:textId="77777777" w:rsidTr="000C5413">
        <w:trPr>
          <w:cantSplit/>
          <w:trHeight w:val="9168"/>
        </w:trPr>
        <w:tc>
          <w:tcPr>
            <w:tcW w:w="1032" w:type="pct"/>
            <w:tcBorders>
              <w:left w:val="single" w:sz="4" w:space="0" w:color="auto"/>
              <w:bottom w:val="single" w:sz="4" w:space="0" w:color="auto"/>
            </w:tcBorders>
          </w:tcPr>
          <w:tbl>
            <w:tblPr>
              <w:tblW w:w="1701" w:type="dxa"/>
              <w:tblLayout w:type="fixed"/>
              <w:tblLook w:val="04A0" w:firstRow="1" w:lastRow="0" w:firstColumn="1" w:lastColumn="0" w:noHBand="0" w:noVBand="1"/>
            </w:tblPr>
            <w:tblGrid>
              <w:gridCol w:w="1701"/>
            </w:tblGrid>
            <w:tr w:rsidR="0098482D" w:rsidRPr="00F04F82" w14:paraId="35B1840D" w14:textId="77777777" w:rsidTr="000C5413">
              <w:trPr>
                <w:trHeight w:val="923"/>
              </w:trPr>
              <w:tc>
                <w:tcPr>
                  <w:tcW w:w="1701" w:type="dxa"/>
                  <w:tcMar>
                    <w:top w:w="113" w:type="dxa"/>
                  </w:tcMar>
                  <w:vAlign w:val="bottom"/>
                </w:tcPr>
                <w:p w14:paraId="02B6B103" w14:textId="69AF4EA0" w:rsidR="0098482D" w:rsidRPr="001775D9" w:rsidRDefault="00C7380C" w:rsidP="00FB5458">
                  <w:pPr>
                    <w:keepNext/>
                    <w:keepLines/>
                    <w:spacing w:line="240" w:lineRule="auto"/>
                    <w:jc w:val="right"/>
                    <w:rPr>
                      <w:szCs w:val="22"/>
                    </w:rPr>
                  </w:pPr>
                  <w:r w:rsidRPr="001775D9">
                    <w:rPr>
                      <w:szCs w:val="22"/>
                    </w:rPr>
                    <w:t>Expiry</w:t>
                  </w:r>
                  <w:r w:rsidR="0098482D" w:rsidRPr="001775D9">
                    <w:rPr>
                      <w:szCs w:val="22"/>
                    </w:rPr>
                    <w:t xml:space="preserve"> date</w:t>
                  </w:r>
                </w:p>
              </w:tc>
            </w:tr>
            <w:tr w:rsidR="0098482D" w:rsidRPr="00F04F82" w14:paraId="532C6DAB" w14:textId="77777777" w:rsidTr="000C5413">
              <w:trPr>
                <w:trHeight w:val="3404"/>
              </w:trPr>
              <w:tc>
                <w:tcPr>
                  <w:tcW w:w="1701" w:type="dxa"/>
                  <w:vAlign w:val="bottom"/>
                </w:tcPr>
                <w:p w14:paraId="7623B6E5" w14:textId="77777777" w:rsidR="0098482D" w:rsidRPr="001775D9" w:rsidRDefault="0098482D" w:rsidP="00FB5458">
                  <w:pPr>
                    <w:keepNext/>
                    <w:keepLines/>
                    <w:spacing w:line="240" w:lineRule="auto"/>
                    <w:jc w:val="right"/>
                    <w:rPr>
                      <w:szCs w:val="22"/>
                    </w:rPr>
                  </w:pPr>
                  <w:r w:rsidRPr="001775D9">
                    <w:rPr>
                      <w:szCs w:val="22"/>
                    </w:rPr>
                    <w:t>Window</w:t>
                  </w:r>
                </w:p>
              </w:tc>
            </w:tr>
            <w:tr w:rsidR="0098482D" w:rsidRPr="00F04F82" w14:paraId="1EFD10B1" w14:textId="77777777" w:rsidTr="000C5413">
              <w:trPr>
                <w:trHeight w:val="1000"/>
              </w:trPr>
              <w:tc>
                <w:tcPr>
                  <w:tcW w:w="1701" w:type="dxa"/>
                  <w:vAlign w:val="bottom"/>
                </w:tcPr>
                <w:p w14:paraId="6A782A56" w14:textId="77777777" w:rsidR="0098482D" w:rsidRPr="001775D9" w:rsidRDefault="0098482D" w:rsidP="00FB5458">
                  <w:pPr>
                    <w:keepNext/>
                    <w:keepLines/>
                    <w:spacing w:line="240" w:lineRule="auto"/>
                    <w:jc w:val="right"/>
                    <w:rPr>
                      <w:szCs w:val="22"/>
                    </w:rPr>
                  </w:pPr>
                  <w:r w:rsidRPr="001775D9">
                    <w:rPr>
                      <w:szCs w:val="22"/>
                    </w:rPr>
                    <w:t>Medicine</w:t>
                  </w:r>
                </w:p>
              </w:tc>
            </w:tr>
            <w:tr w:rsidR="0098482D" w:rsidRPr="00F04F82" w14:paraId="671989AA" w14:textId="77777777" w:rsidTr="000C5413">
              <w:trPr>
                <w:trHeight w:val="844"/>
              </w:trPr>
              <w:tc>
                <w:tcPr>
                  <w:tcW w:w="1701" w:type="dxa"/>
                  <w:vAlign w:val="bottom"/>
                </w:tcPr>
                <w:p w14:paraId="6D761BE8" w14:textId="77777777" w:rsidR="0098482D" w:rsidRPr="001775D9" w:rsidRDefault="0098482D" w:rsidP="00FB5458">
                  <w:pPr>
                    <w:keepNext/>
                    <w:keepLines/>
                    <w:spacing w:line="240" w:lineRule="auto"/>
                    <w:jc w:val="right"/>
                    <w:rPr>
                      <w:szCs w:val="22"/>
                    </w:rPr>
                  </w:pPr>
                  <w:r w:rsidRPr="001775D9">
                    <w:rPr>
                      <w:szCs w:val="22"/>
                    </w:rPr>
                    <w:t>Yellow cap on</w:t>
                  </w:r>
                </w:p>
              </w:tc>
            </w:tr>
          </w:tbl>
          <w:p w14:paraId="59C33EA9" w14:textId="77777777" w:rsidR="0098482D" w:rsidRPr="001775D9" w:rsidRDefault="0098482D" w:rsidP="00FB5458">
            <w:pPr>
              <w:keepNext/>
              <w:keepLines/>
              <w:spacing w:line="240" w:lineRule="auto"/>
              <w:jc w:val="right"/>
              <w:rPr>
                <w:szCs w:val="22"/>
              </w:rPr>
            </w:pPr>
          </w:p>
        </w:tc>
        <w:tc>
          <w:tcPr>
            <w:tcW w:w="1498" w:type="pct"/>
            <w:tcBorders>
              <w:bottom w:val="single" w:sz="4" w:space="0" w:color="auto"/>
              <w:right w:val="single" w:sz="4" w:space="0" w:color="auto"/>
            </w:tcBorders>
          </w:tcPr>
          <w:p w14:paraId="3247B58F" w14:textId="5A15E60A" w:rsidR="0098482D" w:rsidRPr="001775D9" w:rsidRDefault="00D96030" w:rsidP="00FB5458">
            <w:pPr>
              <w:keepNext/>
              <w:keepLines/>
              <w:spacing w:line="240" w:lineRule="auto"/>
              <w:ind w:left="-75"/>
              <w:rPr>
                <w:szCs w:val="22"/>
              </w:rPr>
            </w:pPr>
            <w:r>
              <w:rPr>
                <w:szCs w:val="22"/>
              </w:rPr>
              <w:pict w14:anchorId="7C048972">
                <v:shape id="_x0000_i1055" type="#_x0000_t75" style="width:56pt;height:319pt;visibility:visible;mso-wrap-style:square">
                  <v:imagedata r:id="rId48" o:title=""/>
                </v:shape>
              </w:pict>
            </w:r>
          </w:p>
        </w:tc>
        <w:tc>
          <w:tcPr>
            <w:tcW w:w="1268" w:type="pct"/>
            <w:tcBorders>
              <w:left w:val="single" w:sz="4" w:space="0" w:color="auto"/>
              <w:bottom w:val="single" w:sz="4" w:space="0" w:color="auto"/>
            </w:tcBorders>
          </w:tcPr>
          <w:p w14:paraId="040CF277" w14:textId="77777777" w:rsidR="007D2403" w:rsidRPr="001775D9" w:rsidRDefault="007D2403" w:rsidP="00FB5458">
            <w:pPr>
              <w:spacing w:line="240" w:lineRule="auto"/>
              <w:ind w:right="139"/>
              <w:jc w:val="right"/>
              <w:rPr>
                <w:sz w:val="10"/>
                <w:szCs w:val="10"/>
                <w:lang w:eastAsia="en-GB"/>
              </w:rPr>
            </w:pPr>
          </w:p>
          <w:p w14:paraId="7FBE6597" w14:textId="1AD3789A" w:rsidR="0098482D" w:rsidRPr="001775D9" w:rsidRDefault="00D96030" w:rsidP="00FB5458">
            <w:pPr>
              <w:spacing w:line="240" w:lineRule="auto"/>
              <w:ind w:right="139"/>
              <w:jc w:val="right"/>
              <w:rPr>
                <w:szCs w:val="22"/>
              </w:rPr>
            </w:pPr>
            <w:r>
              <w:rPr>
                <w:szCs w:val="22"/>
              </w:rPr>
              <w:pict w14:anchorId="7F327C30">
                <v:shape id="Picture 32" o:spid="_x0000_i1056" type="#_x0000_t75" style="width:51.5pt;height:375pt;visibility:visible;mso-wrap-style:square">
                  <v:imagedata r:id="rId49" o:title=""/>
                </v:shape>
              </w:pict>
            </w:r>
          </w:p>
        </w:tc>
        <w:tc>
          <w:tcPr>
            <w:tcW w:w="1201" w:type="pct"/>
            <w:tcBorders>
              <w:bottom w:val="single" w:sz="4" w:space="0" w:color="auto"/>
              <w:right w:val="single" w:sz="4" w:space="0" w:color="auto"/>
            </w:tcBorders>
          </w:tcPr>
          <w:tbl>
            <w:tblPr>
              <w:tblW w:w="0" w:type="auto"/>
              <w:tblLayout w:type="fixed"/>
              <w:tblLook w:val="04A0" w:firstRow="1" w:lastRow="0" w:firstColumn="1" w:lastColumn="0" w:noHBand="0" w:noVBand="1"/>
            </w:tblPr>
            <w:tblGrid>
              <w:gridCol w:w="2327"/>
            </w:tblGrid>
            <w:tr w:rsidR="0098482D" w:rsidRPr="00F04F82" w14:paraId="78F4DB31" w14:textId="77777777" w:rsidTr="000C5413">
              <w:trPr>
                <w:trHeight w:val="852"/>
              </w:trPr>
              <w:tc>
                <w:tcPr>
                  <w:tcW w:w="2327" w:type="dxa"/>
                  <w:vAlign w:val="bottom"/>
                </w:tcPr>
                <w:p w14:paraId="464C520F" w14:textId="05683FB2" w:rsidR="0098482D" w:rsidRPr="001775D9" w:rsidRDefault="00C7380C" w:rsidP="00FB5458">
                  <w:pPr>
                    <w:spacing w:line="240" w:lineRule="auto"/>
                    <w:rPr>
                      <w:szCs w:val="22"/>
                    </w:rPr>
                  </w:pPr>
                  <w:r w:rsidRPr="001775D9">
                    <w:rPr>
                      <w:szCs w:val="22"/>
                    </w:rPr>
                    <w:t>Expiry</w:t>
                  </w:r>
                  <w:r w:rsidR="0098482D" w:rsidRPr="001775D9">
                    <w:rPr>
                      <w:szCs w:val="22"/>
                    </w:rPr>
                    <w:t xml:space="preserve"> date</w:t>
                  </w:r>
                </w:p>
              </w:tc>
            </w:tr>
            <w:tr w:rsidR="0098482D" w:rsidRPr="00F04F82" w14:paraId="1A69F7F0" w14:textId="77777777" w:rsidTr="000C5413">
              <w:trPr>
                <w:trHeight w:val="3288"/>
              </w:trPr>
              <w:tc>
                <w:tcPr>
                  <w:tcW w:w="2327" w:type="dxa"/>
                  <w:vAlign w:val="bottom"/>
                </w:tcPr>
                <w:p w14:paraId="6489ED85" w14:textId="77777777" w:rsidR="0098482D" w:rsidRPr="001775D9" w:rsidRDefault="0098482D" w:rsidP="00FB5458">
                  <w:pPr>
                    <w:spacing w:line="240" w:lineRule="auto"/>
                    <w:rPr>
                      <w:szCs w:val="22"/>
                    </w:rPr>
                  </w:pPr>
                  <w:r w:rsidRPr="001775D9">
                    <w:rPr>
                      <w:szCs w:val="22"/>
                    </w:rPr>
                    <w:t>Yellow window (injection complete)</w:t>
                  </w:r>
                </w:p>
              </w:tc>
            </w:tr>
            <w:tr w:rsidR="0098482D" w:rsidRPr="00F04F82" w14:paraId="76A69C0A" w14:textId="77777777" w:rsidTr="000C5413">
              <w:trPr>
                <w:trHeight w:val="2003"/>
              </w:trPr>
              <w:tc>
                <w:tcPr>
                  <w:tcW w:w="2327" w:type="dxa"/>
                  <w:vAlign w:val="bottom"/>
                </w:tcPr>
                <w:p w14:paraId="6E5965E3" w14:textId="77777777" w:rsidR="0098482D" w:rsidRPr="001775D9" w:rsidRDefault="0098482D" w:rsidP="00FB5458">
                  <w:pPr>
                    <w:spacing w:line="240" w:lineRule="auto"/>
                    <w:rPr>
                      <w:szCs w:val="22"/>
                    </w:rPr>
                  </w:pPr>
                  <w:r w:rsidRPr="001775D9">
                    <w:rPr>
                      <w:szCs w:val="22"/>
                    </w:rPr>
                    <w:t xml:space="preserve">Yellow safety guard </w:t>
                  </w:r>
                </w:p>
              </w:tc>
            </w:tr>
            <w:tr w:rsidR="0098482D" w:rsidRPr="00F04F82" w14:paraId="225ED87A" w14:textId="77777777" w:rsidTr="000C5413">
              <w:trPr>
                <w:trHeight w:val="990"/>
              </w:trPr>
              <w:tc>
                <w:tcPr>
                  <w:tcW w:w="2327" w:type="dxa"/>
                  <w:vAlign w:val="bottom"/>
                </w:tcPr>
                <w:p w14:paraId="70BD1F18" w14:textId="77777777" w:rsidR="0098482D" w:rsidRPr="001775D9" w:rsidRDefault="0098482D" w:rsidP="00FB5458">
                  <w:pPr>
                    <w:spacing w:line="240" w:lineRule="auto"/>
                    <w:rPr>
                      <w:szCs w:val="22"/>
                    </w:rPr>
                  </w:pPr>
                  <w:r w:rsidRPr="001775D9">
                    <w:rPr>
                      <w:szCs w:val="22"/>
                    </w:rPr>
                    <w:t>Yellow cap off</w:t>
                  </w:r>
                </w:p>
              </w:tc>
            </w:tr>
          </w:tbl>
          <w:p w14:paraId="2BA3846F" w14:textId="77777777" w:rsidR="0098482D" w:rsidRPr="001775D9" w:rsidRDefault="0098482D" w:rsidP="00FB5458">
            <w:pPr>
              <w:spacing w:line="240" w:lineRule="auto"/>
              <w:rPr>
                <w:szCs w:val="22"/>
              </w:rPr>
            </w:pPr>
          </w:p>
        </w:tc>
      </w:tr>
      <w:tr w:rsidR="0098482D" w:rsidRPr="00F04F82" w14:paraId="40276B99" w14:textId="77777777" w:rsidTr="000C5413">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47EBE7C6" w14:textId="77777777" w:rsidR="0098482D" w:rsidRPr="001775D9" w:rsidRDefault="0098482D" w:rsidP="00FB5458">
            <w:pPr>
              <w:spacing w:line="240" w:lineRule="auto"/>
              <w:rPr>
                <w:szCs w:val="22"/>
              </w:rPr>
            </w:pPr>
            <w:r w:rsidRPr="001775D9">
              <w:rPr>
                <w:b/>
                <w:szCs w:val="22"/>
              </w:rPr>
              <w:t xml:space="preserve">Important: </w:t>
            </w:r>
            <w:r w:rsidRPr="001775D9">
              <w:rPr>
                <w:szCs w:val="22"/>
              </w:rPr>
              <w:t>Needle is inside</w:t>
            </w:r>
          </w:p>
        </w:tc>
      </w:tr>
    </w:tbl>
    <w:p w14:paraId="4357B029" w14:textId="77777777" w:rsidR="009706F0" w:rsidRPr="00D55B59" w:rsidRDefault="009706F0" w:rsidP="00FB5458">
      <w:pPr>
        <w:pStyle w:val="lbltxt"/>
        <w:rPr>
          <w:b/>
          <w:noProof w:val="0"/>
          <w:szCs w:val="22"/>
          <w:lang w:val="en-GB"/>
          <w:rPrChange w:id="3908" w:author="Author">
            <w:rPr>
              <w:b/>
              <w:noProof w:val="0"/>
              <w:szCs w:val="22"/>
            </w:rPr>
          </w:rPrChange>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77"/>
        <w:gridCol w:w="8608"/>
      </w:tblGrid>
      <w:tr w:rsidR="009706F0" w:rsidRPr="00F04F82" w14:paraId="31D9B975" w14:textId="77777777" w:rsidTr="00B7795B">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160DFE19" w14:textId="77777777" w:rsidR="009706F0" w:rsidRPr="001775D9" w:rsidRDefault="009706F0" w:rsidP="00FB5458">
            <w:pPr>
              <w:keepNext/>
              <w:keepLines/>
              <w:spacing w:line="240" w:lineRule="auto"/>
              <w:jc w:val="center"/>
              <w:rPr>
                <w:b/>
                <w:szCs w:val="22"/>
              </w:rPr>
            </w:pPr>
            <w:r w:rsidRPr="001775D9">
              <w:rPr>
                <w:b/>
                <w:szCs w:val="22"/>
              </w:rPr>
              <w:t>Important</w:t>
            </w:r>
          </w:p>
        </w:tc>
      </w:tr>
      <w:tr w:rsidR="009706F0" w:rsidRPr="00F04F82" w14:paraId="610E50D3" w14:textId="77777777" w:rsidTr="00B7795B">
        <w:trPr>
          <w:cantSplit/>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08AC9613" w14:textId="77777777" w:rsidR="009706F0" w:rsidRPr="001775D9" w:rsidRDefault="009706F0" w:rsidP="00FB5458">
            <w:pPr>
              <w:keepNext/>
              <w:keepLines/>
              <w:suppressAutoHyphens/>
              <w:autoSpaceDE w:val="0"/>
              <w:autoSpaceDN w:val="0"/>
              <w:adjustRightInd w:val="0"/>
              <w:spacing w:line="240" w:lineRule="auto"/>
              <w:textAlignment w:val="center"/>
              <w:rPr>
                <w:b/>
                <w:bCs/>
                <w:color w:val="000000"/>
                <w:spacing w:val="-4"/>
                <w:szCs w:val="22"/>
              </w:rPr>
            </w:pPr>
            <w:r w:rsidRPr="001775D9">
              <w:rPr>
                <w:b/>
                <w:bCs/>
                <w:color w:val="000000"/>
                <w:spacing w:val="-4"/>
                <w:szCs w:val="22"/>
              </w:rPr>
              <w:t>Before you use a</w:t>
            </w:r>
            <w:r w:rsidR="00907807" w:rsidRPr="001775D9">
              <w:rPr>
                <w:b/>
                <w:bCs/>
                <w:color w:val="000000"/>
                <w:spacing w:val="-4"/>
                <w:szCs w:val="22"/>
              </w:rPr>
              <w:t>n</w:t>
            </w:r>
            <w:r w:rsidRPr="001775D9">
              <w:rPr>
                <w:b/>
                <w:bCs/>
                <w:color w:val="000000"/>
                <w:spacing w:val="-4"/>
                <w:szCs w:val="22"/>
              </w:rPr>
              <w:t xml:space="preserve"> AMGEVITA pre-filled pen, read this important information:</w:t>
            </w:r>
          </w:p>
          <w:p w14:paraId="6005FED6" w14:textId="77777777" w:rsidR="009706F0" w:rsidRPr="001775D9" w:rsidRDefault="009706F0" w:rsidP="00FB5458">
            <w:pPr>
              <w:keepNext/>
              <w:keepLines/>
              <w:suppressAutoHyphens/>
              <w:autoSpaceDE w:val="0"/>
              <w:autoSpaceDN w:val="0"/>
              <w:adjustRightInd w:val="0"/>
              <w:spacing w:line="240" w:lineRule="auto"/>
              <w:textAlignment w:val="center"/>
              <w:rPr>
                <w:b/>
                <w:bCs/>
                <w:color w:val="000000"/>
                <w:szCs w:val="22"/>
              </w:rPr>
            </w:pPr>
          </w:p>
        </w:tc>
      </w:tr>
      <w:tr w:rsidR="009706F0" w:rsidRPr="00F04F82" w14:paraId="0C71F846" w14:textId="77777777" w:rsidTr="00B7795B">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7D3F9CDE" w14:textId="77777777" w:rsidR="009706F0" w:rsidRPr="001775D9" w:rsidRDefault="009706F0" w:rsidP="00FB5458">
            <w:pPr>
              <w:keepNext/>
              <w:tabs>
                <w:tab w:val="clear" w:pos="567"/>
              </w:tabs>
              <w:autoSpaceDE w:val="0"/>
              <w:autoSpaceDN w:val="0"/>
              <w:adjustRightInd w:val="0"/>
              <w:spacing w:line="240" w:lineRule="auto"/>
              <w:rPr>
                <w:rFonts w:eastAsia="Calibri"/>
                <w:b/>
                <w:bCs/>
                <w:szCs w:val="22"/>
              </w:rPr>
            </w:pPr>
            <w:r w:rsidRPr="001775D9">
              <w:rPr>
                <w:rFonts w:eastAsia="Calibri"/>
                <w:b/>
                <w:bCs/>
                <w:szCs w:val="22"/>
              </w:rPr>
              <w:t>Using your AMGEVITA pre-filled pen</w:t>
            </w:r>
          </w:p>
        </w:tc>
      </w:tr>
      <w:tr w:rsidR="009706F0" w:rsidRPr="00F04F82" w14:paraId="774F17B6" w14:textId="77777777" w:rsidTr="000C5413">
        <w:trPr>
          <w:cantSplit/>
        </w:trPr>
        <w:tc>
          <w:tcPr>
            <w:tcW w:w="314" w:type="pct"/>
            <w:tcBorders>
              <w:top w:val="nil"/>
              <w:left w:val="single" w:sz="4" w:space="0" w:color="auto"/>
              <w:bottom w:val="nil"/>
              <w:right w:val="nil"/>
            </w:tcBorders>
            <w:tcMar>
              <w:left w:w="57" w:type="dxa"/>
            </w:tcMar>
          </w:tcPr>
          <w:p w14:paraId="0B4E4038" w14:textId="77777777" w:rsidR="009706F0" w:rsidRPr="001775D9" w:rsidRDefault="009706F0" w:rsidP="00FB5458">
            <w:pPr>
              <w:pStyle w:val="ListParagraph"/>
              <w:keepNext/>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86" w:type="pct"/>
            <w:tcBorders>
              <w:top w:val="nil"/>
              <w:left w:val="nil"/>
              <w:bottom w:val="nil"/>
              <w:right w:val="single" w:sz="4" w:space="0" w:color="auto"/>
            </w:tcBorders>
            <w:tcMar>
              <w:top w:w="57" w:type="dxa"/>
              <w:left w:w="0" w:type="dxa"/>
              <w:bottom w:w="57" w:type="dxa"/>
              <w:right w:w="57" w:type="dxa"/>
            </w:tcMar>
          </w:tcPr>
          <w:p w14:paraId="54024CF4" w14:textId="77777777" w:rsidR="009706F0" w:rsidRPr="001775D9" w:rsidRDefault="009706F0" w:rsidP="00FB5458">
            <w:pPr>
              <w:keepNext/>
              <w:tabs>
                <w:tab w:val="clear" w:pos="567"/>
              </w:tabs>
              <w:autoSpaceDE w:val="0"/>
              <w:autoSpaceDN w:val="0"/>
              <w:adjustRightInd w:val="0"/>
              <w:spacing w:line="240" w:lineRule="auto"/>
              <w:rPr>
                <w:rFonts w:eastAsia="Calibri"/>
                <w:szCs w:val="22"/>
              </w:rPr>
            </w:pPr>
            <w:r w:rsidRPr="001775D9">
              <w:rPr>
                <w:rFonts w:eastAsia="Calibri"/>
                <w:szCs w:val="22"/>
              </w:rPr>
              <w:t>It is important that you do not try to give the injection unless you or your caregiver has received training.</w:t>
            </w:r>
          </w:p>
        </w:tc>
      </w:tr>
      <w:tr w:rsidR="009706F0" w:rsidRPr="00F04F82" w14:paraId="79B982A3" w14:textId="77777777" w:rsidTr="000C5413">
        <w:trPr>
          <w:cantSplit/>
        </w:trPr>
        <w:tc>
          <w:tcPr>
            <w:tcW w:w="314" w:type="pct"/>
            <w:tcBorders>
              <w:top w:val="nil"/>
              <w:left w:val="single" w:sz="4" w:space="0" w:color="auto"/>
              <w:bottom w:val="single" w:sz="4" w:space="0" w:color="auto"/>
              <w:right w:val="nil"/>
            </w:tcBorders>
            <w:tcMar>
              <w:left w:w="57" w:type="dxa"/>
            </w:tcMar>
          </w:tcPr>
          <w:p w14:paraId="304D909D" w14:textId="77777777" w:rsidR="009706F0" w:rsidRPr="001775D9" w:rsidRDefault="009706F0"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86" w:type="pct"/>
            <w:tcBorders>
              <w:top w:val="nil"/>
              <w:left w:val="nil"/>
              <w:bottom w:val="single" w:sz="4" w:space="0" w:color="auto"/>
              <w:right w:val="single" w:sz="4" w:space="0" w:color="auto"/>
            </w:tcBorders>
            <w:tcMar>
              <w:top w:w="57" w:type="dxa"/>
              <w:left w:w="0" w:type="dxa"/>
              <w:bottom w:w="57" w:type="dxa"/>
              <w:right w:w="57" w:type="dxa"/>
            </w:tcMar>
          </w:tcPr>
          <w:p w14:paraId="2AB1954D" w14:textId="77777777" w:rsidR="009706F0" w:rsidRPr="001775D9" w:rsidRDefault="009706F0" w:rsidP="00FB5458">
            <w:pPr>
              <w:tabs>
                <w:tab w:val="clear" w:pos="567"/>
              </w:tabs>
              <w:autoSpaceDE w:val="0"/>
              <w:autoSpaceDN w:val="0"/>
              <w:adjustRightInd w:val="0"/>
              <w:spacing w:line="240" w:lineRule="auto"/>
              <w:rPr>
                <w:rFonts w:eastAsia="Calibri"/>
                <w:szCs w:val="22"/>
              </w:rPr>
            </w:pPr>
            <w:r w:rsidRPr="001775D9">
              <w:rPr>
                <w:rFonts w:eastAsia="Calibri"/>
                <w:b/>
                <w:bCs/>
                <w:szCs w:val="22"/>
              </w:rPr>
              <w:t>Do not</w:t>
            </w:r>
            <w:r w:rsidRPr="001775D9">
              <w:rPr>
                <w:rFonts w:eastAsia="Calibri"/>
                <w:szCs w:val="22"/>
              </w:rPr>
              <w:t xml:space="preserve"> use a</w:t>
            </w:r>
            <w:r w:rsidR="00907807" w:rsidRPr="001775D9">
              <w:rPr>
                <w:rFonts w:eastAsia="Calibri"/>
                <w:szCs w:val="22"/>
              </w:rPr>
              <w:t>n</w:t>
            </w:r>
            <w:r w:rsidRPr="001775D9">
              <w:rPr>
                <w:rFonts w:eastAsia="Calibri"/>
                <w:szCs w:val="22"/>
              </w:rPr>
              <w:t xml:space="preserve"> AMGEVITA pre-filled pen if it has been dropped on a hard surface. Part of the AMGEVITA pre-filled pen may be broken even if you cannot see the break. Use a new AMGEVITA pre-filled pen.</w:t>
            </w:r>
          </w:p>
        </w:tc>
      </w:tr>
    </w:tbl>
    <w:p w14:paraId="554770B3" w14:textId="77777777" w:rsidR="009706F0" w:rsidRPr="001775D9" w:rsidRDefault="009706F0" w:rsidP="00FB5458">
      <w:pPr>
        <w:spacing w:line="240" w:lineRule="auto"/>
        <w:ind w:left="567" w:hanging="567"/>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85"/>
      </w:tblGrid>
      <w:tr w:rsidR="009706F0" w:rsidRPr="00F04F82" w14:paraId="2033F352" w14:textId="77777777" w:rsidTr="00B7795B">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0BB658F" w14:textId="77777777" w:rsidR="009706F0" w:rsidRPr="001775D9" w:rsidRDefault="009706F0" w:rsidP="00FB5458">
            <w:pPr>
              <w:keepLines/>
              <w:suppressAutoHyphens/>
              <w:autoSpaceDE w:val="0"/>
              <w:autoSpaceDN w:val="0"/>
              <w:adjustRightInd w:val="0"/>
              <w:spacing w:line="240" w:lineRule="auto"/>
              <w:jc w:val="center"/>
              <w:textAlignment w:val="center"/>
              <w:rPr>
                <w:b/>
                <w:color w:val="000000"/>
                <w:szCs w:val="22"/>
              </w:rPr>
            </w:pPr>
            <w:r w:rsidRPr="001775D9">
              <w:rPr>
                <w:b/>
                <w:bCs/>
                <w:szCs w:val="22"/>
              </w:rPr>
              <w:t>Step 1: Prepare</w:t>
            </w:r>
          </w:p>
        </w:tc>
      </w:tr>
    </w:tbl>
    <w:p w14:paraId="040A5880" w14:textId="77777777" w:rsidR="009706F0" w:rsidRPr="001775D9" w:rsidRDefault="009706F0" w:rsidP="00FB5458">
      <w:pPr>
        <w:keepLines/>
        <w:spacing w:line="240" w:lineRule="auto"/>
        <w:ind w:left="567" w:hanging="567"/>
        <w:rPr>
          <w:b/>
          <w:bC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57"/>
        <w:gridCol w:w="8628"/>
      </w:tblGrid>
      <w:tr w:rsidR="009706F0" w:rsidRPr="00F04F82" w14:paraId="5E3E47AC" w14:textId="77777777" w:rsidTr="00B7795B">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BF1D376" w14:textId="77777777" w:rsidR="009706F0" w:rsidRPr="001775D9" w:rsidRDefault="009706F0" w:rsidP="00FB5458">
            <w:pPr>
              <w:keepLines/>
              <w:suppressAutoHyphens/>
              <w:autoSpaceDE w:val="0"/>
              <w:autoSpaceDN w:val="0"/>
              <w:adjustRightInd w:val="0"/>
              <w:spacing w:line="240" w:lineRule="auto"/>
              <w:textAlignment w:val="center"/>
              <w:rPr>
                <w:b/>
                <w:color w:val="000000"/>
                <w:szCs w:val="22"/>
              </w:rPr>
            </w:pPr>
            <w:r w:rsidRPr="001775D9">
              <w:rPr>
                <w:b/>
                <w:szCs w:val="22"/>
              </w:rPr>
              <w:t>A.</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4A08BF" w14:textId="77777777" w:rsidR="009706F0" w:rsidRPr="001775D9" w:rsidRDefault="009706F0" w:rsidP="00FB5458">
            <w:pPr>
              <w:keepLines/>
              <w:tabs>
                <w:tab w:val="clear" w:pos="567"/>
              </w:tabs>
              <w:autoSpaceDE w:val="0"/>
              <w:autoSpaceDN w:val="0"/>
              <w:adjustRightInd w:val="0"/>
              <w:spacing w:line="240" w:lineRule="auto"/>
              <w:rPr>
                <w:color w:val="000000"/>
                <w:szCs w:val="22"/>
              </w:rPr>
            </w:pPr>
            <w:r w:rsidRPr="001775D9">
              <w:rPr>
                <w:bCs/>
                <w:szCs w:val="22"/>
              </w:rPr>
              <w:t>Remove one AMGEVITA pre-filled pen from the package.</w:t>
            </w:r>
          </w:p>
        </w:tc>
      </w:tr>
      <w:tr w:rsidR="009706F0" w:rsidRPr="00F04F82" w14:paraId="402DB663" w14:textId="77777777" w:rsidTr="00B7795B">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6508BD8" w14:textId="77777777" w:rsidR="009706F0" w:rsidRPr="001775D9" w:rsidRDefault="009706F0" w:rsidP="00FB5458">
            <w:pPr>
              <w:suppressAutoHyphens/>
              <w:autoSpaceDE w:val="0"/>
              <w:autoSpaceDN w:val="0"/>
              <w:adjustRightInd w:val="0"/>
              <w:spacing w:line="240" w:lineRule="auto"/>
              <w:textAlignment w:val="center"/>
              <w:rPr>
                <w:color w:val="000000"/>
                <w:szCs w:val="22"/>
              </w:rPr>
            </w:pPr>
            <w:r w:rsidRPr="001775D9">
              <w:rPr>
                <w:color w:val="000000"/>
                <w:szCs w:val="22"/>
              </w:rPr>
              <w:t>Carefully lift the pre-filled pen straight up out of the box.</w:t>
            </w:r>
          </w:p>
          <w:p w14:paraId="2B11A8B3" w14:textId="77777777" w:rsidR="009706F0" w:rsidRPr="001775D9" w:rsidRDefault="009706F0" w:rsidP="00FB5458">
            <w:pPr>
              <w:suppressAutoHyphens/>
              <w:autoSpaceDE w:val="0"/>
              <w:autoSpaceDN w:val="0"/>
              <w:adjustRightInd w:val="0"/>
              <w:spacing w:line="240" w:lineRule="auto"/>
              <w:textAlignment w:val="center"/>
              <w:rPr>
                <w:color w:val="000000"/>
                <w:szCs w:val="22"/>
              </w:rPr>
            </w:pPr>
          </w:p>
          <w:p w14:paraId="5F819C97" w14:textId="77777777" w:rsidR="009706F0" w:rsidRPr="001775D9" w:rsidRDefault="009706F0" w:rsidP="00FB5458">
            <w:pPr>
              <w:suppressAutoHyphens/>
              <w:autoSpaceDE w:val="0"/>
              <w:autoSpaceDN w:val="0"/>
              <w:adjustRightInd w:val="0"/>
              <w:spacing w:line="240" w:lineRule="auto"/>
              <w:textAlignment w:val="center"/>
              <w:rPr>
                <w:color w:val="000000"/>
                <w:szCs w:val="22"/>
              </w:rPr>
            </w:pPr>
            <w:r w:rsidRPr="001775D9">
              <w:rPr>
                <w:color w:val="000000"/>
                <w:szCs w:val="22"/>
              </w:rPr>
              <w:t>Put the original package with any unused pre-filled pens back in the refrigerator.</w:t>
            </w:r>
          </w:p>
          <w:p w14:paraId="0A61243A" w14:textId="77777777" w:rsidR="009706F0" w:rsidRPr="001775D9" w:rsidRDefault="009706F0" w:rsidP="00FB5458">
            <w:pPr>
              <w:suppressAutoHyphens/>
              <w:autoSpaceDE w:val="0"/>
              <w:autoSpaceDN w:val="0"/>
              <w:adjustRightInd w:val="0"/>
              <w:spacing w:line="240" w:lineRule="auto"/>
              <w:textAlignment w:val="center"/>
              <w:rPr>
                <w:color w:val="000000"/>
                <w:szCs w:val="22"/>
              </w:rPr>
            </w:pPr>
          </w:p>
          <w:p w14:paraId="4BB7709A" w14:textId="77777777" w:rsidR="009706F0" w:rsidRPr="001775D9" w:rsidRDefault="009706F0" w:rsidP="00FB5458">
            <w:pPr>
              <w:suppressAutoHyphens/>
              <w:autoSpaceDE w:val="0"/>
              <w:autoSpaceDN w:val="0"/>
              <w:adjustRightInd w:val="0"/>
              <w:spacing w:line="240" w:lineRule="auto"/>
              <w:textAlignment w:val="center"/>
              <w:rPr>
                <w:color w:val="000000"/>
                <w:szCs w:val="22"/>
              </w:rPr>
            </w:pPr>
            <w:r w:rsidRPr="001775D9">
              <w:rPr>
                <w:color w:val="000000"/>
                <w:szCs w:val="22"/>
              </w:rPr>
              <w:t xml:space="preserve">For a more comfortable injection, leave the pre-filled pen at room temperature for </w:t>
            </w:r>
            <w:r w:rsidRPr="001775D9">
              <w:rPr>
                <w:b/>
                <w:color w:val="000000"/>
                <w:szCs w:val="22"/>
              </w:rPr>
              <w:t>15 to 30</w:t>
            </w:r>
            <w:r w:rsidRPr="001775D9">
              <w:rPr>
                <w:color w:val="000000"/>
                <w:szCs w:val="22"/>
              </w:rPr>
              <w:t xml:space="preserve"> minutes before injecting.</w:t>
            </w:r>
          </w:p>
          <w:p w14:paraId="5767B23D" w14:textId="77777777" w:rsidR="009706F0" w:rsidRPr="001775D9" w:rsidRDefault="009706F0" w:rsidP="00FB5458">
            <w:pPr>
              <w:suppressAutoHyphens/>
              <w:autoSpaceDE w:val="0"/>
              <w:autoSpaceDN w:val="0"/>
              <w:adjustRightInd w:val="0"/>
              <w:spacing w:line="240" w:lineRule="auto"/>
              <w:textAlignment w:val="center"/>
              <w:rPr>
                <w:color w:val="000000"/>
                <w:szCs w:val="22"/>
              </w:rPr>
            </w:pPr>
          </w:p>
        </w:tc>
      </w:tr>
      <w:tr w:rsidR="009706F0" w:rsidRPr="00F04F82" w14:paraId="338DAA88"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34BAC0D8" w14:textId="77777777" w:rsidR="009706F0" w:rsidRPr="001775D9" w:rsidRDefault="009706F0"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7B84DFE1" w14:textId="77777777" w:rsidR="009706F0" w:rsidRPr="001775D9" w:rsidRDefault="009706F0" w:rsidP="00FB5458">
            <w:pPr>
              <w:tabs>
                <w:tab w:val="clear" w:pos="567"/>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put the pre-filled pen back in the refrigerator once it has reached room temperature.</w:t>
            </w:r>
          </w:p>
        </w:tc>
      </w:tr>
      <w:tr w:rsidR="009706F0" w:rsidRPr="00F04F82" w14:paraId="20588DE7"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5CD3FD8B" w14:textId="77777777" w:rsidR="009706F0" w:rsidRPr="001775D9" w:rsidRDefault="009706F0"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4BB2AB0A" w14:textId="77777777" w:rsidR="009706F0" w:rsidRPr="001775D9" w:rsidRDefault="009706F0" w:rsidP="00FB5458">
            <w:pPr>
              <w:tabs>
                <w:tab w:val="clear" w:pos="567"/>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try to warm the pre-filled pen by using a heat source such as hot water or microwave.</w:t>
            </w:r>
          </w:p>
        </w:tc>
      </w:tr>
      <w:tr w:rsidR="009706F0" w:rsidRPr="00F04F82" w14:paraId="3D02B7F5"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0048A6A5" w14:textId="77777777" w:rsidR="009706F0" w:rsidRPr="001775D9" w:rsidRDefault="009706F0"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7E2DC59B" w14:textId="77777777" w:rsidR="009706F0" w:rsidRPr="001775D9" w:rsidRDefault="009706F0" w:rsidP="00FB5458">
            <w:pPr>
              <w:tabs>
                <w:tab w:val="clear" w:pos="567"/>
              </w:tabs>
              <w:autoSpaceDE w:val="0"/>
              <w:autoSpaceDN w:val="0"/>
              <w:adjustRightInd w:val="0"/>
              <w:spacing w:line="240" w:lineRule="auto"/>
              <w:ind w:left="720" w:hanging="720"/>
              <w:rPr>
                <w:rFonts w:eastAsia="Calibri"/>
                <w:szCs w:val="22"/>
              </w:rPr>
            </w:pPr>
            <w:r w:rsidRPr="001775D9">
              <w:rPr>
                <w:rFonts w:eastAsia="Calibri"/>
                <w:b/>
                <w:bCs/>
                <w:szCs w:val="22"/>
              </w:rPr>
              <w:t xml:space="preserve">Do not </w:t>
            </w:r>
            <w:r w:rsidRPr="001775D9">
              <w:rPr>
                <w:rFonts w:eastAsia="Calibri"/>
                <w:szCs w:val="22"/>
              </w:rPr>
              <w:t>shake the pre-filled pen.</w:t>
            </w:r>
          </w:p>
        </w:tc>
      </w:tr>
      <w:tr w:rsidR="009706F0" w:rsidRPr="00F04F82" w14:paraId="6F34333E" w14:textId="77777777" w:rsidTr="00B7795B">
        <w:tc>
          <w:tcPr>
            <w:tcW w:w="303" w:type="pct"/>
            <w:tcBorders>
              <w:top w:val="nil"/>
              <w:left w:val="single" w:sz="4" w:space="0" w:color="auto"/>
              <w:bottom w:val="single" w:sz="4" w:space="0" w:color="auto"/>
              <w:right w:val="nil"/>
            </w:tcBorders>
            <w:tcMar>
              <w:top w:w="28" w:type="dxa"/>
              <w:left w:w="57" w:type="dxa"/>
              <w:bottom w:w="28" w:type="dxa"/>
              <w:right w:w="57" w:type="dxa"/>
            </w:tcMar>
          </w:tcPr>
          <w:p w14:paraId="2C580267" w14:textId="77777777" w:rsidR="009706F0" w:rsidRPr="001775D9" w:rsidRDefault="009706F0"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single" w:sz="4" w:space="0" w:color="auto"/>
              <w:right w:val="single" w:sz="4" w:space="0" w:color="auto"/>
            </w:tcBorders>
            <w:tcMar>
              <w:left w:w="0" w:type="dxa"/>
            </w:tcMar>
          </w:tcPr>
          <w:p w14:paraId="4760FF6F" w14:textId="77777777" w:rsidR="009706F0" w:rsidRPr="001775D9" w:rsidRDefault="009706F0" w:rsidP="00FB5458">
            <w:pPr>
              <w:tabs>
                <w:tab w:val="clear" w:pos="567"/>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remove the yellow cap from the pre-filled pen yet.</w:t>
            </w:r>
          </w:p>
        </w:tc>
      </w:tr>
    </w:tbl>
    <w:p w14:paraId="409EBD45" w14:textId="77777777" w:rsidR="009706F0" w:rsidRPr="001775D9" w:rsidRDefault="009706F0" w:rsidP="00FB545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60"/>
        <w:gridCol w:w="8676"/>
      </w:tblGrid>
      <w:tr w:rsidR="009706F0" w:rsidRPr="00F04F82" w14:paraId="1999F0A9" w14:textId="77777777" w:rsidTr="00C6271F">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4CFE1B3" w14:textId="77777777" w:rsidR="009706F0" w:rsidRPr="001775D9" w:rsidRDefault="009706F0" w:rsidP="003967F9">
            <w:pPr>
              <w:suppressAutoHyphens/>
              <w:autoSpaceDE w:val="0"/>
              <w:autoSpaceDN w:val="0"/>
              <w:adjustRightInd w:val="0"/>
              <w:spacing w:line="240" w:lineRule="auto"/>
              <w:textAlignment w:val="center"/>
              <w:rPr>
                <w:b/>
                <w:color w:val="000000"/>
                <w:szCs w:val="22"/>
              </w:rPr>
            </w:pPr>
            <w:r w:rsidRPr="001775D9">
              <w:rPr>
                <w:rStyle w:val="bodybold"/>
                <w:szCs w:val="22"/>
              </w:rPr>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56125D81" w14:textId="77777777" w:rsidR="009706F0" w:rsidRPr="001775D9" w:rsidRDefault="009706F0" w:rsidP="00FB5458">
            <w:pPr>
              <w:tabs>
                <w:tab w:val="clear" w:pos="567"/>
              </w:tabs>
              <w:autoSpaceDE w:val="0"/>
              <w:autoSpaceDN w:val="0"/>
              <w:adjustRightInd w:val="0"/>
              <w:spacing w:line="240" w:lineRule="auto"/>
              <w:rPr>
                <w:color w:val="000000"/>
                <w:szCs w:val="22"/>
              </w:rPr>
            </w:pPr>
            <w:r w:rsidRPr="001775D9">
              <w:rPr>
                <w:rFonts w:eastAsia="Calibri"/>
                <w:szCs w:val="22"/>
              </w:rPr>
              <w:t>Inspect the AMGEVITA pre-filled pen.</w:t>
            </w:r>
          </w:p>
        </w:tc>
      </w:tr>
      <w:tr w:rsidR="009706F0" w:rsidRPr="00F04F82" w14:paraId="3409B6CE" w14:textId="77777777" w:rsidTr="00C6271F">
        <w:trPr>
          <w:trHeight w:val="1624"/>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843"/>
              <w:gridCol w:w="2552"/>
              <w:gridCol w:w="4712"/>
            </w:tblGrid>
            <w:tr w:rsidR="009706F0" w:rsidRPr="00F04F82" w14:paraId="71090B7A" w14:textId="77777777" w:rsidTr="00B7795B">
              <w:tc>
                <w:tcPr>
                  <w:tcW w:w="9107" w:type="dxa"/>
                  <w:gridSpan w:val="3"/>
                </w:tcPr>
                <w:p w14:paraId="41B25238" w14:textId="4462FBE1" w:rsidR="009706F0" w:rsidRPr="001775D9" w:rsidRDefault="00D96030" w:rsidP="003967F9">
                  <w:pPr>
                    <w:tabs>
                      <w:tab w:val="clear" w:pos="567"/>
                    </w:tabs>
                    <w:autoSpaceDE w:val="0"/>
                    <w:autoSpaceDN w:val="0"/>
                    <w:adjustRightInd w:val="0"/>
                    <w:spacing w:line="240" w:lineRule="auto"/>
                    <w:rPr>
                      <w:rFonts w:eastAsia="Calibri"/>
                      <w:bCs/>
                      <w:szCs w:val="22"/>
                    </w:rPr>
                  </w:pPr>
                  <w:r>
                    <w:rPr>
                      <w:rFonts w:eastAsia="Calibri"/>
                      <w:szCs w:val="22"/>
                    </w:rPr>
                    <w:pict w14:anchorId="1807FC60">
                      <v:shape id="Picture 47" o:spid="_x0000_i1057" type="#_x0000_t75" style="width:267.5pt;height:1in;visibility:visible;mso-wrap-style:square">
                        <v:imagedata r:id="rId50" o:title=""/>
                      </v:shape>
                    </w:pict>
                  </w:r>
                </w:p>
              </w:tc>
            </w:tr>
            <w:tr w:rsidR="009706F0" w:rsidRPr="00F04F82" w14:paraId="1090D518" w14:textId="77777777" w:rsidTr="00B7795B">
              <w:tc>
                <w:tcPr>
                  <w:tcW w:w="1843" w:type="dxa"/>
                </w:tcPr>
                <w:p w14:paraId="030A3F0F" w14:textId="77777777" w:rsidR="009706F0" w:rsidRPr="001775D9" w:rsidRDefault="009706F0" w:rsidP="003967F9">
                  <w:pPr>
                    <w:tabs>
                      <w:tab w:val="clear" w:pos="567"/>
                    </w:tabs>
                    <w:autoSpaceDE w:val="0"/>
                    <w:autoSpaceDN w:val="0"/>
                    <w:adjustRightInd w:val="0"/>
                    <w:spacing w:line="240" w:lineRule="auto"/>
                    <w:rPr>
                      <w:rFonts w:eastAsia="Calibri"/>
                      <w:bCs/>
                      <w:szCs w:val="22"/>
                    </w:rPr>
                  </w:pPr>
                  <w:r w:rsidRPr="001775D9">
                    <w:rPr>
                      <w:bCs/>
                      <w:szCs w:val="22"/>
                    </w:rPr>
                    <w:t>Yellow cap on</w:t>
                  </w:r>
                </w:p>
              </w:tc>
              <w:tc>
                <w:tcPr>
                  <w:tcW w:w="2552" w:type="dxa"/>
                </w:tcPr>
                <w:p w14:paraId="3B21E01E" w14:textId="77777777" w:rsidR="009706F0" w:rsidRPr="001775D9" w:rsidRDefault="009706F0" w:rsidP="003967F9">
                  <w:pPr>
                    <w:tabs>
                      <w:tab w:val="clear" w:pos="567"/>
                    </w:tabs>
                    <w:autoSpaceDE w:val="0"/>
                    <w:autoSpaceDN w:val="0"/>
                    <w:adjustRightInd w:val="0"/>
                    <w:spacing w:line="240" w:lineRule="auto"/>
                    <w:jc w:val="center"/>
                    <w:rPr>
                      <w:rFonts w:eastAsia="Calibri"/>
                      <w:bCs/>
                      <w:szCs w:val="22"/>
                    </w:rPr>
                  </w:pPr>
                  <w:r w:rsidRPr="001775D9">
                    <w:rPr>
                      <w:bCs/>
                      <w:szCs w:val="22"/>
                    </w:rPr>
                    <w:t>Window</w:t>
                  </w:r>
                </w:p>
              </w:tc>
              <w:tc>
                <w:tcPr>
                  <w:tcW w:w="4712" w:type="dxa"/>
                </w:tcPr>
                <w:p w14:paraId="1D9FA530" w14:textId="77777777" w:rsidR="009706F0" w:rsidRPr="001775D9" w:rsidRDefault="009706F0" w:rsidP="003967F9">
                  <w:pPr>
                    <w:tabs>
                      <w:tab w:val="clear" w:pos="567"/>
                    </w:tabs>
                    <w:autoSpaceDE w:val="0"/>
                    <w:autoSpaceDN w:val="0"/>
                    <w:adjustRightInd w:val="0"/>
                    <w:spacing w:line="240" w:lineRule="auto"/>
                    <w:rPr>
                      <w:rFonts w:eastAsia="Calibri"/>
                      <w:bCs/>
                      <w:szCs w:val="22"/>
                    </w:rPr>
                  </w:pPr>
                  <w:r w:rsidRPr="001775D9">
                    <w:rPr>
                      <w:bCs/>
                      <w:szCs w:val="22"/>
                    </w:rPr>
                    <w:t>Medicine</w:t>
                  </w:r>
                </w:p>
              </w:tc>
            </w:tr>
          </w:tbl>
          <w:p w14:paraId="1F4BA51B" w14:textId="77777777" w:rsidR="009706F0" w:rsidRPr="001775D9" w:rsidRDefault="009706F0" w:rsidP="003967F9">
            <w:pPr>
              <w:tabs>
                <w:tab w:val="clear" w:pos="567"/>
              </w:tabs>
              <w:autoSpaceDE w:val="0"/>
              <w:autoSpaceDN w:val="0"/>
              <w:adjustRightInd w:val="0"/>
              <w:spacing w:line="240" w:lineRule="auto"/>
              <w:rPr>
                <w:rFonts w:eastAsia="Calibri"/>
                <w:bCs/>
                <w:szCs w:val="22"/>
              </w:rPr>
            </w:pPr>
          </w:p>
        </w:tc>
      </w:tr>
      <w:tr w:rsidR="009706F0" w:rsidRPr="00F04F82" w14:paraId="4330F6AB" w14:textId="77777777" w:rsidTr="00C6271F">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3B6C6F0" w14:textId="77777777" w:rsidR="009706F0" w:rsidRPr="001775D9" w:rsidRDefault="009706F0" w:rsidP="003967F9">
            <w:pPr>
              <w:tabs>
                <w:tab w:val="clear" w:pos="567"/>
              </w:tabs>
              <w:autoSpaceDE w:val="0"/>
              <w:autoSpaceDN w:val="0"/>
              <w:adjustRightInd w:val="0"/>
              <w:spacing w:line="240" w:lineRule="auto"/>
              <w:rPr>
                <w:rFonts w:eastAsia="Calibri"/>
                <w:b/>
                <w:bCs/>
                <w:szCs w:val="22"/>
              </w:rPr>
            </w:pPr>
            <w:r w:rsidRPr="001775D9">
              <w:rPr>
                <w:rFonts w:eastAsia="Calibri"/>
                <w:b/>
                <w:bCs/>
                <w:szCs w:val="22"/>
              </w:rPr>
              <w:t>Make sure the medicine in the window is clear and colourless to slightly yellow.</w:t>
            </w:r>
          </w:p>
          <w:p w14:paraId="45FAD7AE" w14:textId="77777777" w:rsidR="009706F0" w:rsidRPr="001775D9" w:rsidRDefault="009706F0" w:rsidP="003967F9">
            <w:pPr>
              <w:tabs>
                <w:tab w:val="clear" w:pos="567"/>
              </w:tabs>
              <w:autoSpaceDE w:val="0"/>
              <w:autoSpaceDN w:val="0"/>
              <w:adjustRightInd w:val="0"/>
              <w:spacing w:line="240" w:lineRule="auto"/>
              <w:rPr>
                <w:rFonts w:eastAsia="Calibri"/>
                <w:bCs/>
                <w:szCs w:val="22"/>
              </w:rPr>
            </w:pPr>
          </w:p>
        </w:tc>
      </w:tr>
      <w:tr w:rsidR="009706F0" w:rsidRPr="00F04F82" w14:paraId="35FADCD0" w14:textId="77777777" w:rsidTr="00C6271F">
        <w:tc>
          <w:tcPr>
            <w:tcW w:w="303" w:type="pct"/>
            <w:tcBorders>
              <w:top w:val="nil"/>
              <w:left w:val="single" w:sz="4" w:space="0" w:color="auto"/>
              <w:bottom w:val="nil"/>
              <w:right w:val="nil"/>
            </w:tcBorders>
            <w:tcMar>
              <w:top w:w="28" w:type="dxa"/>
              <w:left w:w="57" w:type="dxa"/>
              <w:bottom w:w="28" w:type="dxa"/>
              <w:right w:w="57" w:type="dxa"/>
            </w:tcMar>
          </w:tcPr>
          <w:p w14:paraId="4873CA66" w14:textId="77777777" w:rsidR="009706F0" w:rsidRPr="001775D9" w:rsidRDefault="009706F0" w:rsidP="003967F9">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1D288173" w14:textId="77777777" w:rsidR="009706F0" w:rsidRPr="001775D9" w:rsidRDefault="009706F0" w:rsidP="00FB5458">
            <w:pPr>
              <w:pStyle w:val="ListParagraph"/>
              <w:suppressAutoHyphens/>
              <w:autoSpaceDE w:val="0"/>
              <w:autoSpaceDN w:val="0"/>
              <w:adjustRightInd w:val="0"/>
              <w:ind w:left="0"/>
              <w:textAlignment w:val="center"/>
              <w:rPr>
                <w:color w:val="000000"/>
                <w:sz w:val="22"/>
                <w:szCs w:val="22"/>
              </w:rPr>
            </w:pPr>
            <w:r w:rsidRPr="001775D9">
              <w:rPr>
                <w:b/>
                <w:bCs/>
                <w:color w:val="000000"/>
                <w:sz w:val="22"/>
                <w:szCs w:val="22"/>
              </w:rPr>
              <w:t>Do not</w:t>
            </w:r>
            <w:r w:rsidRPr="001775D9">
              <w:rPr>
                <w:color w:val="000000"/>
                <w:sz w:val="22"/>
                <w:szCs w:val="22"/>
              </w:rPr>
              <w:t xml:space="preserve"> use the pre-filled pen if:</w:t>
            </w:r>
          </w:p>
        </w:tc>
      </w:tr>
      <w:tr w:rsidR="009706F0" w:rsidRPr="00F04F82" w14:paraId="0FD4F47C" w14:textId="77777777" w:rsidTr="00C6271F">
        <w:tc>
          <w:tcPr>
            <w:tcW w:w="303" w:type="pct"/>
            <w:tcBorders>
              <w:top w:val="nil"/>
              <w:left w:val="single" w:sz="4" w:space="0" w:color="auto"/>
              <w:bottom w:val="nil"/>
              <w:right w:val="nil"/>
            </w:tcBorders>
            <w:tcMar>
              <w:top w:w="28" w:type="dxa"/>
              <w:left w:w="57" w:type="dxa"/>
              <w:bottom w:w="28" w:type="dxa"/>
              <w:right w:w="57" w:type="dxa"/>
            </w:tcMar>
          </w:tcPr>
          <w:p w14:paraId="73F5EEB4" w14:textId="77777777" w:rsidR="009706F0" w:rsidRPr="001775D9" w:rsidRDefault="009706F0" w:rsidP="003967F9">
            <w:pPr>
              <w:spacing w:line="240" w:lineRule="auto"/>
              <w:rPr>
                <w:color w:val="000000"/>
                <w:szCs w:val="22"/>
              </w:rPr>
            </w:pPr>
          </w:p>
        </w:tc>
        <w:tc>
          <w:tcPr>
            <w:tcW w:w="4697" w:type="pct"/>
            <w:tcBorders>
              <w:top w:val="nil"/>
              <w:left w:val="nil"/>
              <w:bottom w:val="nil"/>
              <w:right w:val="single" w:sz="4" w:space="0" w:color="auto"/>
            </w:tcBorders>
            <w:tcMar>
              <w:left w:w="57" w:type="dxa"/>
            </w:tcMar>
          </w:tcPr>
          <w:p w14:paraId="3CD352BF" w14:textId="64F20577" w:rsidR="009706F0" w:rsidRPr="001775D9" w:rsidRDefault="005B0F59" w:rsidP="005B0F59">
            <w:pPr>
              <w:pStyle w:val="ListParagraph"/>
              <w:numPr>
                <w:ilvl w:val="0"/>
                <w:numId w:val="25"/>
              </w:numPr>
              <w:tabs>
                <w:tab w:val="left" w:pos="567"/>
              </w:tabs>
              <w:ind w:left="567" w:hanging="567"/>
              <w:rPr>
                <w:sz w:val="22"/>
                <w:szCs w:val="22"/>
              </w:rPr>
            </w:pPr>
            <w:del w:id="3909" w:author="Author">
              <w:r w:rsidRPr="001775D9" w:rsidDel="006A0775">
                <w:rPr>
                  <w:sz w:val="22"/>
                  <w:szCs w:val="22"/>
                </w:rPr>
                <w:tab/>
              </w:r>
            </w:del>
            <w:r w:rsidR="009706F0" w:rsidRPr="001775D9">
              <w:rPr>
                <w:sz w:val="22"/>
                <w:szCs w:val="22"/>
              </w:rPr>
              <w:t>The medicine is cloudy or discoloured, or contains flakes or particles.</w:t>
            </w:r>
          </w:p>
          <w:p w14:paraId="121A3DD6" w14:textId="1F56DAC2" w:rsidR="009706F0" w:rsidRPr="001775D9" w:rsidRDefault="005B0F59" w:rsidP="005B0F59">
            <w:pPr>
              <w:pStyle w:val="ListParagraph"/>
              <w:numPr>
                <w:ilvl w:val="0"/>
                <w:numId w:val="25"/>
              </w:numPr>
              <w:tabs>
                <w:tab w:val="left" w:pos="567"/>
              </w:tabs>
              <w:ind w:left="567" w:hanging="567"/>
              <w:rPr>
                <w:sz w:val="22"/>
                <w:szCs w:val="22"/>
              </w:rPr>
            </w:pPr>
            <w:del w:id="3910" w:author="Author">
              <w:r w:rsidRPr="001775D9" w:rsidDel="006A0775">
                <w:rPr>
                  <w:sz w:val="22"/>
                  <w:szCs w:val="22"/>
                </w:rPr>
                <w:tab/>
              </w:r>
            </w:del>
            <w:r w:rsidR="009706F0" w:rsidRPr="001775D9">
              <w:rPr>
                <w:sz w:val="22"/>
                <w:szCs w:val="22"/>
              </w:rPr>
              <w:t>Any part appears cracked or broken.</w:t>
            </w:r>
          </w:p>
          <w:p w14:paraId="13C2E30E" w14:textId="608C31C2" w:rsidR="009706F0" w:rsidRPr="001775D9" w:rsidRDefault="005B0F59" w:rsidP="005B0F59">
            <w:pPr>
              <w:pStyle w:val="ListParagraph"/>
              <w:numPr>
                <w:ilvl w:val="0"/>
                <w:numId w:val="25"/>
              </w:numPr>
              <w:tabs>
                <w:tab w:val="left" w:pos="567"/>
              </w:tabs>
              <w:ind w:left="567" w:hanging="567"/>
              <w:rPr>
                <w:sz w:val="22"/>
                <w:szCs w:val="22"/>
              </w:rPr>
            </w:pPr>
            <w:del w:id="3911" w:author="Author">
              <w:r w:rsidRPr="001775D9" w:rsidDel="006A0775">
                <w:rPr>
                  <w:sz w:val="22"/>
                  <w:szCs w:val="22"/>
                </w:rPr>
                <w:tab/>
              </w:r>
            </w:del>
            <w:r w:rsidR="009706F0" w:rsidRPr="001775D9">
              <w:rPr>
                <w:sz w:val="22"/>
                <w:szCs w:val="22"/>
              </w:rPr>
              <w:t>The pre-filled pen has been dropped</w:t>
            </w:r>
            <w:r w:rsidR="005224FE" w:rsidRPr="001775D9">
              <w:rPr>
                <w:sz w:val="22"/>
                <w:szCs w:val="22"/>
              </w:rPr>
              <w:t xml:space="preserve"> on a hard surface</w:t>
            </w:r>
            <w:r w:rsidR="009706F0" w:rsidRPr="001775D9">
              <w:rPr>
                <w:sz w:val="22"/>
                <w:szCs w:val="22"/>
              </w:rPr>
              <w:t>.</w:t>
            </w:r>
          </w:p>
          <w:p w14:paraId="368D5F49" w14:textId="2FBC6803" w:rsidR="009706F0" w:rsidRPr="001775D9" w:rsidRDefault="005B0F59" w:rsidP="005B0F59">
            <w:pPr>
              <w:pStyle w:val="ListParagraph"/>
              <w:numPr>
                <w:ilvl w:val="0"/>
                <w:numId w:val="25"/>
              </w:numPr>
              <w:tabs>
                <w:tab w:val="left" w:pos="567"/>
              </w:tabs>
              <w:ind w:left="567" w:hanging="567"/>
              <w:rPr>
                <w:sz w:val="22"/>
                <w:szCs w:val="22"/>
              </w:rPr>
            </w:pPr>
            <w:del w:id="3912" w:author="Author">
              <w:r w:rsidRPr="001775D9" w:rsidDel="006A0775">
                <w:rPr>
                  <w:sz w:val="22"/>
                  <w:szCs w:val="22"/>
                </w:rPr>
                <w:tab/>
              </w:r>
            </w:del>
            <w:r w:rsidR="009706F0" w:rsidRPr="001775D9">
              <w:rPr>
                <w:sz w:val="22"/>
                <w:szCs w:val="22"/>
              </w:rPr>
              <w:t>The yellow cap is missing or not securely attached.</w:t>
            </w:r>
          </w:p>
          <w:p w14:paraId="688D4D22" w14:textId="73F37743" w:rsidR="009706F0" w:rsidRPr="001775D9" w:rsidRDefault="005B0F59" w:rsidP="005B0F59">
            <w:pPr>
              <w:pStyle w:val="ListParagraph"/>
              <w:numPr>
                <w:ilvl w:val="0"/>
                <w:numId w:val="25"/>
              </w:numPr>
              <w:tabs>
                <w:tab w:val="left" w:pos="567"/>
              </w:tabs>
              <w:ind w:left="567" w:hanging="567"/>
              <w:rPr>
                <w:sz w:val="22"/>
                <w:szCs w:val="22"/>
              </w:rPr>
            </w:pPr>
            <w:del w:id="3913" w:author="Author">
              <w:r w:rsidRPr="001775D9" w:rsidDel="006A0775">
                <w:rPr>
                  <w:sz w:val="22"/>
                  <w:szCs w:val="22"/>
                </w:rPr>
                <w:tab/>
              </w:r>
            </w:del>
            <w:r w:rsidR="009706F0" w:rsidRPr="001775D9">
              <w:rPr>
                <w:sz w:val="22"/>
                <w:szCs w:val="22"/>
              </w:rPr>
              <w:t xml:space="preserve">The </w:t>
            </w:r>
            <w:r w:rsidR="00C7380C" w:rsidRPr="001775D9">
              <w:rPr>
                <w:sz w:val="22"/>
                <w:szCs w:val="20"/>
              </w:rPr>
              <w:t>expiry</w:t>
            </w:r>
            <w:r w:rsidR="009706F0" w:rsidRPr="001775D9">
              <w:rPr>
                <w:sz w:val="22"/>
                <w:szCs w:val="22"/>
              </w:rPr>
              <w:t xml:space="preserve"> date printed on the label has passed.</w:t>
            </w:r>
          </w:p>
        </w:tc>
      </w:tr>
      <w:tr w:rsidR="009706F0" w:rsidRPr="00F04F82" w14:paraId="4E4EADCA" w14:textId="77777777" w:rsidTr="00C6271F">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77B3F86F" w14:textId="77777777" w:rsidR="009706F0" w:rsidRPr="001775D9" w:rsidRDefault="009706F0" w:rsidP="003967F9">
            <w:pPr>
              <w:pStyle w:val="DONOT"/>
              <w:spacing w:line="240" w:lineRule="auto"/>
              <w:rPr>
                <w:sz w:val="22"/>
                <w:szCs w:val="22"/>
                <w:lang w:val="en-GB"/>
              </w:rPr>
            </w:pPr>
            <w:r w:rsidRPr="001775D9">
              <w:rPr>
                <w:rFonts w:eastAsia="PMingLiU"/>
                <w:color w:val="000000"/>
                <w:sz w:val="22"/>
                <w:szCs w:val="22"/>
                <w:lang w:val="en-GB"/>
              </w:rPr>
              <w:t>In all cases, use a new pre-filled pen</w:t>
            </w:r>
            <w:r w:rsidRPr="001775D9">
              <w:rPr>
                <w:color w:val="000000"/>
                <w:sz w:val="22"/>
                <w:szCs w:val="22"/>
                <w:lang w:val="en-GB"/>
              </w:rPr>
              <w:t>.</w:t>
            </w:r>
          </w:p>
        </w:tc>
      </w:tr>
    </w:tbl>
    <w:p w14:paraId="3B6DF4C7" w14:textId="77777777" w:rsidR="009706F0" w:rsidRPr="001775D9" w:rsidRDefault="009706F0" w:rsidP="00FB545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60"/>
        <w:gridCol w:w="8676"/>
      </w:tblGrid>
      <w:tr w:rsidR="009706F0" w:rsidRPr="00F04F82" w14:paraId="14843364" w14:textId="77777777" w:rsidTr="00B7795B">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543A55" w14:textId="77777777" w:rsidR="009706F0" w:rsidRPr="001775D9" w:rsidRDefault="009706F0" w:rsidP="003967F9">
            <w:pPr>
              <w:keepNext/>
              <w:keepLines/>
              <w:suppressAutoHyphens/>
              <w:autoSpaceDE w:val="0"/>
              <w:autoSpaceDN w:val="0"/>
              <w:adjustRightInd w:val="0"/>
              <w:spacing w:line="240" w:lineRule="auto"/>
              <w:textAlignment w:val="center"/>
              <w:rPr>
                <w:b/>
                <w:color w:val="000000"/>
                <w:szCs w:val="22"/>
              </w:rPr>
            </w:pPr>
            <w:r w:rsidRPr="001775D9">
              <w:rPr>
                <w:rStyle w:val="bodybold"/>
                <w:szCs w:val="22"/>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2E4E7FA9" w14:textId="77777777" w:rsidR="009E3533" w:rsidRPr="001775D9" w:rsidRDefault="009706F0" w:rsidP="003967F9">
            <w:pPr>
              <w:pStyle w:val="BasicParagraph"/>
              <w:keepNext/>
              <w:keepLines/>
              <w:widowControl/>
              <w:suppressAutoHyphens/>
              <w:spacing w:line="240" w:lineRule="auto"/>
              <w:rPr>
                <w:rFonts w:ascii="Times New Roman" w:hAnsi="Times New Roman" w:cs="Times New Roman"/>
                <w:bCs/>
                <w:szCs w:val="22"/>
                <w:lang w:val="en-GB"/>
              </w:rPr>
            </w:pPr>
            <w:r w:rsidRPr="001775D9">
              <w:rPr>
                <w:rFonts w:ascii="Times New Roman" w:hAnsi="Times New Roman" w:cs="Times New Roman"/>
                <w:bCs/>
                <w:szCs w:val="22"/>
                <w:lang w:val="en-GB"/>
              </w:rPr>
              <w:t>Gather all materials needed for your injection.</w:t>
            </w:r>
          </w:p>
        </w:tc>
      </w:tr>
      <w:tr w:rsidR="009706F0" w:rsidRPr="00F04F82" w14:paraId="69C3AD92" w14:textId="77777777" w:rsidTr="00B7795B">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2EB43143" w14:textId="77777777" w:rsidR="009706F0" w:rsidRPr="001775D9" w:rsidRDefault="009706F0" w:rsidP="003967F9">
            <w:pPr>
              <w:keepNext/>
              <w:keepLines/>
              <w:spacing w:line="240" w:lineRule="auto"/>
              <w:rPr>
                <w:szCs w:val="22"/>
              </w:rPr>
            </w:pPr>
            <w:r w:rsidRPr="001775D9">
              <w:rPr>
                <w:szCs w:val="22"/>
              </w:rPr>
              <w:t>Wash your hands thoroughly with soap and water.</w:t>
            </w:r>
          </w:p>
          <w:p w14:paraId="51D29814" w14:textId="77777777" w:rsidR="009E3533" w:rsidRPr="001775D9" w:rsidRDefault="009706F0" w:rsidP="003967F9">
            <w:pPr>
              <w:keepNext/>
              <w:keepLines/>
              <w:spacing w:line="240" w:lineRule="auto"/>
              <w:rPr>
                <w:szCs w:val="22"/>
              </w:rPr>
            </w:pPr>
            <w:r w:rsidRPr="001775D9">
              <w:rPr>
                <w:szCs w:val="22"/>
              </w:rPr>
              <w:t xml:space="preserve">On a clean, well-lit work surface, place </w:t>
            </w:r>
            <w:r w:rsidR="009E3533" w:rsidRPr="00D55B59">
              <w:rPr>
                <w:rPrChange w:id="3914" w:author="Author">
                  <w:rPr>
                    <w:lang w:val="en-US"/>
                  </w:rPr>
                </w:rPrChange>
              </w:rPr>
              <w:t>a new, pre-filled pen.</w:t>
            </w:r>
          </w:p>
          <w:p w14:paraId="17210EB6" w14:textId="77777777" w:rsidR="009E3533" w:rsidRPr="001775D9" w:rsidRDefault="009E3533" w:rsidP="003967F9">
            <w:pPr>
              <w:keepNext/>
              <w:keepLines/>
              <w:spacing w:line="240" w:lineRule="auto"/>
              <w:rPr>
                <w:szCs w:val="22"/>
              </w:rPr>
            </w:pPr>
          </w:p>
          <w:p w14:paraId="6A3E0E9E" w14:textId="77777777" w:rsidR="009706F0" w:rsidRPr="001775D9" w:rsidRDefault="009E3533" w:rsidP="003967F9">
            <w:pPr>
              <w:keepNext/>
              <w:keepLines/>
              <w:spacing w:line="240" w:lineRule="auto"/>
              <w:rPr>
                <w:szCs w:val="22"/>
              </w:rPr>
            </w:pPr>
            <w:r w:rsidRPr="00D55B59">
              <w:rPr>
                <w:rPrChange w:id="3915" w:author="Author">
                  <w:rPr>
                    <w:lang w:val="en-US"/>
                  </w:rPr>
                </w:rPrChange>
              </w:rPr>
              <w:t>You will also need these additional items, as they are not included in the carton</w:t>
            </w:r>
            <w:r w:rsidR="009706F0" w:rsidRPr="001775D9">
              <w:rPr>
                <w:szCs w:val="22"/>
              </w:rPr>
              <w:t>:</w:t>
            </w:r>
          </w:p>
        </w:tc>
      </w:tr>
      <w:tr w:rsidR="009706F0" w:rsidRPr="00F04F82" w14:paraId="7E1A41FE"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12E6A2A4" w14:textId="77777777" w:rsidR="009706F0" w:rsidRPr="001775D9" w:rsidRDefault="009706F0" w:rsidP="003967F9">
            <w:pPr>
              <w:keepNext/>
              <w:keepLines/>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34FA36EF" w14:textId="77777777" w:rsidR="009706F0" w:rsidRPr="001775D9" w:rsidRDefault="009706F0" w:rsidP="003967F9">
            <w:pPr>
              <w:pStyle w:val="ListParagraph"/>
              <w:keepNext/>
              <w:keepLines/>
              <w:suppressAutoHyphens/>
              <w:autoSpaceDE w:val="0"/>
              <w:autoSpaceDN w:val="0"/>
              <w:adjustRightInd w:val="0"/>
              <w:ind w:left="0"/>
              <w:textAlignment w:val="center"/>
              <w:rPr>
                <w:color w:val="000000"/>
                <w:sz w:val="22"/>
                <w:szCs w:val="22"/>
              </w:rPr>
            </w:pPr>
            <w:r w:rsidRPr="001775D9">
              <w:rPr>
                <w:color w:val="000000"/>
                <w:sz w:val="22"/>
                <w:szCs w:val="22"/>
              </w:rPr>
              <w:t>Alcohol wipes</w:t>
            </w:r>
          </w:p>
        </w:tc>
      </w:tr>
      <w:tr w:rsidR="009706F0" w:rsidRPr="00F04F82" w14:paraId="0C0E74C0"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50629EF0" w14:textId="77777777" w:rsidR="009706F0" w:rsidRPr="001775D9" w:rsidRDefault="009706F0" w:rsidP="003967F9">
            <w:pPr>
              <w:keepNext/>
              <w:keepLines/>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72784C27" w14:textId="77777777" w:rsidR="009706F0" w:rsidRPr="001775D9" w:rsidRDefault="009706F0" w:rsidP="003967F9">
            <w:pPr>
              <w:pStyle w:val="ListParagraph"/>
              <w:keepNext/>
              <w:keepLines/>
              <w:suppressAutoHyphens/>
              <w:autoSpaceDE w:val="0"/>
              <w:autoSpaceDN w:val="0"/>
              <w:adjustRightInd w:val="0"/>
              <w:ind w:left="0"/>
              <w:textAlignment w:val="center"/>
              <w:rPr>
                <w:color w:val="000000"/>
                <w:sz w:val="22"/>
                <w:szCs w:val="22"/>
              </w:rPr>
            </w:pPr>
            <w:r w:rsidRPr="001775D9">
              <w:rPr>
                <w:color w:val="000000"/>
                <w:sz w:val="22"/>
                <w:szCs w:val="22"/>
              </w:rPr>
              <w:t>Cotton ball or gauze pad</w:t>
            </w:r>
          </w:p>
        </w:tc>
      </w:tr>
      <w:tr w:rsidR="009706F0" w:rsidRPr="00F04F82" w14:paraId="4C2A4A78"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21A1918A" w14:textId="77777777" w:rsidR="009706F0" w:rsidRPr="001775D9" w:rsidRDefault="009706F0" w:rsidP="003967F9">
            <w:pPr>
              <w:keepNext/>
              <w:keepLines/>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4E591FEB" w14:textId="77777777" w:rsidR="009706F0" w:rsidRPr="001775D9" w:rsidRDefault="009706F0" w:rsidP="003967F9">
            <w:pPr>
              <w:pStyle w:val="ListParagraph"/>
              <w:keepNext/>
              <w:keepLines/>
              <w:suppressAutoHyphens/>
              <w:autoSpaceDE w:val="0"/>
              <w:autoSpaceDN w:val="0"/>
              <w:adjustRightInd w:val="0"/>
              <w:ind w:left="0"/>
              <w:textAlignment w:val="center"/>
              <w:rPr>
                <w:color w:val="000000"/>
                <w:sz w:val="22"/>
                <w:szCs w:val="22"/>
              </w:rPr>
            </w:pPr>
            <w:r w:rsidRPr="001775D9">
              <w:rPr>
                <w:color w:val="000000"/>
                <w:sz w:val="22"/>
                <w:szCs w:val="22"/>
              </w:rPr>
              <w:t>Plaster</w:t>
            </w:r>
          </w:p>
        </w:tc>
      </w:tr>
      <w:tr w:rsidR="009706F0" w:rsidRPr="00F04F82" w14:paraId="288C564C"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0D77BE1B" w14:textId="77777777" w:rsidR="009706F0" w:rsidRPr="001775D9" w:rsidRDefault="009706F0" w:rsidP="00FB5458">
            <w:pPr>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45C4C37C" w14:textId="77777777" w:rsidR="009706F0" w:rsidRPr="001775D9" w:rsidRDefault="009706F0"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Sharps disposal container</w:t>
            </w:r>
          </w:p>
        </w:tc>
      </w:tr>
      <w:tr w:rsidR="009706F0" w:rsidRPr="00F04F82" w14:paraId="7D5098AA" w14:textId="77777777" w:rsidTr="00B7795B">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9706F0" w:rsidRPr="00F04F82" w14:paraId="47E58D70" w14:textId="77777777" w:rsidTr="00B7795B">
              <w:tc>
                <w:tcPr>
                  <w:tcW w:w="2830" w:type="dxa"/>
                  <w:vAlign w:val="center"/>
                </w:tcPr>
                <w:p w14:paraId="2AD76AD1" w14:textId="39E6F9B4" w:rsidR="009706F0" w:rsidRPr="001775D9" w:rsidRDefault="00D96030" w:rsidP="00FB5458">
                  <w:pPr>
                    <w:pStyle w:val="DONOT"/>
                    <w:spacing w:line="240" w:lineRule="auto"/>
                    <w:jc w:val="center"/>
                    <w:rPr>
                      <w:sz w:val="22"/>
                      <w:szCs w:val="22"/>
                      <w:lang w:val="en-GB"/>
                    </w:rPr>
                  </w:pPr>
                  <w:r>
                    <w:rPr>
                      <w:sz w:val="22"/>
                      <w:szCs w:val="22"/>
                      <w:lang w:val="en-GB"/>
                    </w:rPr>
                    <w:pict w14:anchorId="3081FF46">
                      <v:shape id="_x0000_i1058" type="#_x0000_t75" style="width:118.5pt;height:16pt;visibility:visible;mso-wrap-style:square">
                        <v:imagedata r:id="rId51" o:title=""/>
                      </v:shape>
                    </w:pict>
                  </w:r>
                </w:p>
              </w:tc>
              <w:tc>
                <w:tcPr>
                  <w:tcW w:w="6237" w:type="dxa"/>
                </w:tcPr>
                <w:p w14:paraId="25299929" w14:textId="30480395" w:rsidR="009706F0" w:rsidRPr="001775D9" w:rsidRDefault="00D96030" w:rsidP="00FB5458">
                  <w:pPr>
                    <w:pStyle w:val="DONOT"/>
                    <w:spacing w:line="240" w:lineRule="auto"/>
                    <w:rPr>
                      <w:sz w:val="22"/>
                      <w:szCs w:val="22"/>
                      <w:lang w:val="en-GB"/>
                    </w:rPr>
                  </w:pPr>
                  <w:r>
                    <w:rPr>
                      <w:sz w:val="22"/>
                      <w:szCs w:val="22"/>
                      <w:lang w:val="en-GB"/>
                    </w:rPr>
                    <w:pict w14:anchorId="780F63C1">
                      <v:shape id="_x0000_i1059" type="#_x0000_t75" style="width:2in;height:88pt;visibility:visible;mso-wrap-style:square">
                        <v:imagedata r:id="rId39" o:title=""/>
                      </v:shape>
                    </w:pict>
                  </w:r>
                </w:p>
              </w:tc>
            </w:tr>
          </w:tbl>
          <w:p w14:paraId="4C6FEFD5" w14:textId="77777777" w:rsidR="009706F0" w:rsidRPr="001775D9" w:rsidRDefault="009706F0" w:rsidP="00FB5458">
            <w:pPr>
              <w:pStyle w:val="DONOT"/>
              <w:spacing w:line="240" w:lineRule="auto"/>
              <w:rPr>
                <w:sz w:val="22"/>
                <w:szCs w:val="22"/>
                <w:lang w:val="en-GB"/>
              </w:rPr>
            </w:pPr>
          </w:p>
        </w:tc>
      </w:tr>
    </w:tbl>
    <w:p w14:paraId="17FDAD3E" w14:textId="77777777" w:rsidR="009706F0" w:rsidRPr="001775D9" w:rsidRDefault="009706F0" w:rsidP="00FB5458">
      <w:pPr>
        <w:pStyle w:val="BasicParagraph"/>
        <w:widowControl/>
        <w:suppressAutoHyphens/>
        <w:spacing w:line="240" w:lineRule="auto"/>
        <w:rPr>
          <w:rStyle w:val="bodybold"/>
          <w:rFonts w:ascii="Times New Roman" w:hAnsi="Times New Roman"/>
          <w:color w:val="auto"/>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60"/>
        <w:gridCol w:w="8676"/>
      </w:tblGrid>
      <w:tr w:rsidR="009706F0" w:rsidRPr="00F04F82" w14:paraId="672428C7" w14:textId="77777777" w:rsidTr="00B7795B">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EBE42F" w14:textId="77777777" w:rsidR="009706F0" w:rsidRPr="001775D9" w:rsidRDefault="009706F0" w:rsidP="00FB5458">
            <w:pPr>
              <w:keepNext/>
              <w:keepLines/>
              <w:suppressAutoHyphens/>
              <w:autoSpaceDE w:val="0"/>
              <w:autoSpaceDN w:val="0"/>
              <w:adjustRightInd w:val="0"/>
              <w:spacing w:line="240" w:lineRule="auto"/>
              <w:textAlignment w:val="center"/>
              <w:rPr>
                <w:b/>
                <w:color w:val="000000"/>
                <w:szCs w:val="22"/>
              </w:rPr>
            </w:pPr>
            <w:r w:rsidRPr="001775D9">
              <w:rPr>
                <w:rStyle w:val="bodybold"/>
                <w:szCs w:val="22"/>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699DD5E9" w14:textId="77777777" w:rsidR="009706F0" w:rsidRPr="001775D9" w:rsidRDefault="009706F0" w:rsidP="00FB5458">
            <w:pPr>
              <w:pStyle w:val="BasicParagraph"/>
              <w:keepNext/>
              <w:keepLines/>
              <w:widowControl/>
              <w:suppressAutoHyphens/>
              <w:spacing w:line="240" w:lineRule="auto"/>
              <w:rPr>
                <w:rFonts w:ascii="Times New Roman" w:hAnsi="Times New Roman" w:cs="Times New Roman"/>
                <w:b/>
                <w:bCs/>
                <w:szCs w:val="22"/>
                <w:lang w:val="en-GB"/>
              </w:rPr>
            </w:pPr>
            <w:r w:rsidRPr="001775D9">
              <w:rPr>
                <w:rFonts w:ascii="Times New Roman" w:hAnsi="Times New Roman" w:cs="Times New Roman"/>
                <w:bCs/>
                <w:szCs w:val="22"/>
                <w:lang w:val="en-GB"/>
              </w:rPr>
              <w:t>Prepare and clean your injection site.</w:t>
            </w:r>
          </w:p>
        </w:tc>
      </w:tr>
      <w:tr w:rsidR="009706F0" w:rsidRPr="00F04F82" w14:paraId="4FE0B96B" w14:textId="77777777" w:rsidTr="00B7795B">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598"/>
              <w:gridCol w:w="3593"/>
            </w:tblGrid>
            <w:tr w:rsidR="009706F0" w:rsidRPr="00F04F82" w14:paraId="5D7CA004" w14:textId="77777777" w:rsidTr="001C2A6A">
              <w:trPr>
                <w:trHeight w:val="1743"/>
                <w:jc w:val="right"/>
              </w:trPr>
              <w:tc>
                <w:tcPr>
                  <w:tcW w:w="2598" w:type="dxa"/>
                  <w:vMerge w:val="restart"/>
                </w:tcPr>
                <w:p w14:paraId="713D5207" w14:textId="035014C4" w:rsidR="009706F0" w:rsidRPr="001775D9" w:rsidRDefault="00D96030" w:rsidP="00FB5458">
                  <w:pPr>
                    <w:pStyle w:val="BasicParagraph"/>
                    <w:keepNext/>
                    <w:keepLines/>
                    <w:widowControl/>
                    <w:suppressAutoHyphens/>
                    <w:spacing w:line="240" w:lineRule="auto"/>
                    <w:ind w:right="-108"/>
                    <w:rPr>
                      <w:rFonts w:ascii="Times New Roman" w:hAnsi="Times New Roman" w:cs="Times New Roman"/>
                      <w:b/>
                      <w:bCs/>
                      <w:szCs w:val="22"/>
                      <w:lang w:val="en-GB"/>
                    </w:rPr>
                  </w:pPr>
                  <w:r>
                    <w:rPr>
                      <w:rFonts w:ascii="Times New Roman" w:hAnsi="Times New Roman" w:cs="Times New Roman"/>
                      <w:b/>
                      <w:szCs w:val="22"/>
                      <w:lang w:val="en-GB"/>
                    </w:rPr>
                    <w:pict w14:anchorId="6FE02590">
                      <v:shape id="_x0000_i1060" type="#_x0000_t75" style="width:123.5pt;height:175pt;visibility:visible;mso-wrap-style:square">
                        <v:imagedata r:id="rId40" o:title=""/>
                      </v:shape>
                    </w:pict>
                  </w:r>
                </w:p>
              </w:tc>
              <w:tc>
                <w:tcPr>
                  <w:tcW w:w="3593" w:type="dxa"/>
                  <w:vAlign w:val="bottom"/>
                </w:tcPr>
                <w:p w14:paraId="5880BA6C" w14:textId="77777777" w:rsidR="009706F0" w:rsidRPr="001775D9" w:rsidRDefault="009706F0" w:rsidP="00FB5458">
                  <w:pPr>
                    <w:pStyle w:val="BasicParagraph"/>
                    <w:keepNext/>
                    <w:keepLines/>
                    <w:widowControl/>
                    <w:suppressAutoHyphens/>
                    <w:spacing w:line="240" w:lineRule="auto"/>
                    <w:ind w:left="-36"/>
                    <w:rPr>
                      <w:rFonts w:ascii="Times New Roman" w:hAnsi="Times New Roman" w:cs="Times New Roman"/>
                      <w:bCs/>
                      <w:szCs w:val="22"/>
                      <w:lang w:val="en-GB"/>
                    </w:rPr>
                  </w:pPr>
                  <w:r w:rsidRPr="001775D9">
                    <w:rPr>
                      <w:rFonts w:ascii="Times New Roman" w:hAnsi="Times New Roman" w:cs="Times New Roman"/>
                      <w:bCs/>
                      <w:szCs w:val="22"/>
                      <w:lang w:val="en-GB"/>
                    </w:rPr>
                    <w:t>Belly</w:t>
                  </w:r>
                </w:p>
              </w:tc>
            </w:tr>
            <w:tr w:rsidR="009706F0" w:rsidRPr="00F04F82" w14:paraId="1118C85B" w14:textId="77777777" w:rsidTr="00B7795B">
              <w:trPr>
                <w:jc w:val="right"/>
              </w:trPr>
              <w:tc>
                <w:tcPr>
                  <w:tcW w:w="2598" w:type="dxa"/>
                  <w:vMerge/>
                </w:tcPr>
                <w:p w14:paraId="1113B10B" w14:textId="77777777" w:rsidR="009706F0" w:rsidRPr="00F04F82" w:rsidRDefault="009706F0" w:rsidP="00FB5458">
                  <w:pPr>
                    <w:pStyle w:val="BasicParagraph"/>
                    <w:keepNext/>
                    <w:keepLines/>
                    <w:widowControl/>
                    <w:suppressAutoHyphens/>
                    <w:spacing w:line="240" w:lineRule="auto"/>
                    <w:rPr>
                      <w:rFonts w:ascii="Times New Roman" w:hAnsi="Times New Roman" w:cs="Times New Roman"/>
                      <w:b/>
                      <w:bCs/>
                      <w:szCs w:val="22"/>
                      <w:lang w:val="en-GB"/>
                    </w:rPr>
                  </w:pPr>
                </w:p>
              </w:tc>
              <w:tc>
                <w:tcPr>
                  <w:tcW w:w="3593" w:type="dxa"/>
                  <w:vAlign w:val="center"/>
                </w:tcPr>
                <w:p w14:paraId="3B7BA293" w14:textId="77777777" w:rsidR="009706F0" w:rsidRPr="001775D9" w:rsidRDefault="009706F0" w:rsidP="00FB5458">
                  <w:pPr>
                    <w:pStyle w:val="BasicParagraph"/>
                    <w:keepNext/>
                    <w:keepLines/>
                    <w:widowControl/>
                    <w:suppressAutoHyphens/>
                    <w:spacing w:line="240" w:lineRule="auto"/>
                    <w:ind w:left="-36"/>
                    <w:rPr>
                      <w:rFonts w:ascii="Times New Roman" w:hAnsi="Times New Roman" w:cs="Times New Roman"/>
                      <w:bCs/>
                      <w:szCs w:val="22"/>
                      <w:lang w:val="en-GB"/>
                    </w:rPr>
                  </w:pPr>
                  <w:r w:rsidRPr="001775D9">
                    <w:rPr>
                      <w:rFonts w:ascii="Times New Roman" w:hAnsi="Times New Roman" w:cs="Times New Roman"/>
                      <w:bCs/>
                      <w:szCs w:val="22"/>
                      <w:lang w:val="en-GB"/>
                    </w:rPr>
                    <w:t>Thigh</w:t>
                  </w:r>
                </w:p>
              </w:tc>
            </w:tr>
          </w:tbl>
          <w:p w14:paraId="7ECB148F" w14:textId="77777777" w:rsidR="009706F0" w:rsidRPr="001775D9" w:rsidRDefault="009706F0" w:rsidP="00FB5458">
            <w:pPr>
              <w:keepNext/>
              <w:keepLines/>
              <w:spacing w:line="240" w:lineRule="auto"/>
              <w:rPr>
                <w:szCs w:val="22"/>
              </w:rPr>
            </w:pPr>
          </w:p>
        </w:tc>
      </w:tr>
      <w:tr w:rsidR="009706F0" w:rsidRPr="00F04F82" w14:paraId="678E57E3" w14:textId="77777777" w:rsidTr="00B7795B">
        <w:trPr>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B36274B" w14:textId="77777777" w:rsidR="009706F0" w:rsidRPr="001775D9" w:rsidRDefault="009706F0" w:rsidP="00FB5458">
            <w:pPr>
              <w:keepNext/>
              <w:keepLines/>
              <w:suppressAutoHyphens/>
              <w:autoSpaceDE w:val="0"/>
              <w:autoSpaceDN w:val="0"/>
              <w:adjustRightInd w:val="0"/>
              <w:spacing w:line="240" w:lineRule="auto"/>
              <w:textAlignment w:val="center"/>
              <w:rPr>
                <w:b/>
                <w:bCs/>
                <w:color w:val="000000"/>
                <w:szCs w:val="22"/>
              </w:rPr>
            </w:pPr>
            <w:r w:rsidRPr="001775D9">
              <w:rPr>
                <w:b/>
                <w:bCs/>
                <w:color w:val="000000"/>
                <w:szCs w:val="22"/>
              </w:rPr>
              <w:t>You can use:</w:t>
            </w:r>
          </w:p>
        </w:tc>
      </w:tr>
      <w:tr w:rsidR="009706F0" w:rsidRPr="00F04F82" w14:paraId="1C03B4D2"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5ACE922E" w14:textId="77777777" w:rsidR="009706F0" w:rsidRPr="001775D9" w:rsidRDefault="009706F0" w:rsidP="00FB5458">
            <w:pPr>
              <w:keepNext/>
              <w:keepLines/>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41CACC12" w14:textId="77777777" w:rsidR="009706F0" w:rsidRPr="001775D9" w:rsidRDefault="009706F0" w:rsidP="00FB5458">
            <w:pPr>
              <w:pStyle w:val="ListParagraph"/>
              <w:keepNext/>
              <w:keepLines/>
              <w:suppressAutoHyphens/>
              <w:autoSpaceDE w:val="0"/>
              <w:autoSpaceDN w:val="0"/>
              <w:adjustRightInd w:val="0"/>
              <w:ind w:left="0"/>
              <w:textAlignment w:val="center"/>
              <w:rPr>
                <w:color w:val="000000"/>
                <w:sz w:val="22"/>
                <w:szCs w:val="22"/>
              </w:rPr>
            </w:pPr>
            <w:r w:rsidRPr="001775D9">
              <w:rPr>
                <w:color w:val="000000"/>
                <w:sz w:val="22"/>
                <w:szCs w:val="22"/>
              </w:rPr>
              <w:t>Your thigh</w:t>
            </w:r>
          </w:p>
        </w:tc>
      </w:tr>
      <w:tr w:rsidR="009706F0" w:rsidRPr="00F04F82" w14:paraId="353A4F28"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553C8D71" w14:textId="77777777" w:rsidR="009706F0" w:rsidRPr="001775D9" w:rsidRDefault="009706F0" w:rsidP="00FB5458">
            <w:pPr>
              <w:keepNext/>
              <w:keepLines/>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0F0B07E3" w14:textId="77777777" w:rsidR="009706F0" w:rsidRPr="001775D9" w:rsidRDefault="009706F0" w:rsidP="00FB5458">
            <w:pPr>
              <w:pStyle w:val="ListParagraph"/>
              <w:keepNext/>
              <w:keepLines/>
              <w:suppressAutoHyphens/>
              <w:autoSpaceDE w:val="0"/>
              <w:autoSpaceDN w:val="0"/>
              <w:adjustRightInd w:val="0"/>
              <w:ind w:left="0"/>
              <w:textAlignment w:val="center"/>
              <w:rPr>
                <w:color w:val="000000"/>
                <w:sz w:val="22"/>
                <w:szCs w:val="22"/>
              </w:rPr>
            </w:pPr>
            <w:r w:rsidRPr="001775D9">
              <w:rPr>
                <w:color w:val="000000"/>
                <w:sz w:val="22"/>
                <w:szCs w:val="22"/>
              </w:rPr>
              <w:t>Belly, except for a 2-inch (5 centimetre) area right around your belly button</w:t>
            </w:r>
          </w:p>
        </w:tc>
      </w:tr>
      <w:tr w:rsidR="009706F0" w:rsidRPr="00F04F82" w14:paraId="76D6E35B" w14:textId="77777777" w:rsidTr="00B7795B">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8FB7425" w14:textId="77777777" w:rsidR="009706F0" w:rsidRPr="001775D9" w:rsidRDefault="009706F0" w:rsidP="00FB5458">
            <w:pPr>
              <w:pStyle w:val="ListParagraph"/>
              <w:keepNext/>
              <w:keepLines/>
              <w:suppressAutoHyphens/>
              <w:autoSpaceDE w:val="0"/>
              <w:autoSpaceDN w:val="0"/>
              <w:adjustRightInd w:val="0"/>
              <w:ind w:left="0"/>
              <w:textAlignment w:val="center"/>
              <w:rPr>
                <w:color w:val="000000"/>
                <w:sz w:val="22"/>
                <w:szCs w:val="22"/>
              </w:rPr>
            </w:pPr>
          </w:p>
          <w:p w14:paraId="01A37547" w14:textId="77777777" w:rsidR="009706F0" w:rsidRPr="001775D9" w:rsidRDefault="009706F0" w:rsidP="00FB5458">
            <w:pPr>
              <w:pStyle w:val="ListParagraph"/>
              <w:keepNext/>
              <w:keepLines/>
              <w:suppressAutoHyphens/>
              <w:autoSpaceDE w:val="0"/>
              <w:autoSpaceDN w:val="0"/>
              <w:adjustRightInd w:val="0"/>
              <w:ind w:left="0"/>
              <w:textAlignment w:val="center"/>
              <w:rPr>
                <w:color w:val="000000"/>
                <w:sz w:val="22"/>
                <w:szCs w:val="22"/>
              </w:rPr>
            </w:pPr>
            <w:r w:rsidRPr="001775D9">
              <w:rPr>
                <w:color w:val="000000"/>
                <w:sz w:val="22"/>
                <w:szCs w:val="22"/>
              </w:rPr>
              <w:t>Clean your injection site with an alcohol wipe. Let your skin dry.</w:t>
            </w:r>
          </w:p>
        </w:tc>
      </w:tr>
      <w:tr w:rsidR="009706F0" w:rsidRPr="00F04F82" w14:paraId="680D670A"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2CDD0D9A" w14:textId="77777777" w:rsidR="009706F0" w:rsidRPr="001775D9" w:rsidRDefault="009706F0" w:rsidP="00FB5458">
            <w:pPr>
              <w:keepNext/>
              <w:keepLines/>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375F8F68" w14:textId="77777777" w:rsidR="009706F0" w:rsidRPr="001775D9" w:rsidRDefault="009706F0" w:rsidP="00FB5458">
            <w:pPr>
              <w:pStyle w:val="ListParagraph"/>
              <w:keepNext/>
              <w:keepLines/>
              <w:suppressAutoHyphens/>
              <w:autoSpaceDE w:val="0"/>
              <w:autoSpaceDN w:val="0"/>
              <w:adjustRightInd w:val="0"/>
              <w:ind w:left="0"/>
              <w:textAlignment w:val="center"/>
              <w:rPr>
                <w:color w:val="000000"/>
                <w:sz w:val="22"/>
                <w:szCs w:val="22"/>
              </w:rPr>
            </w:pPr>
            <w:r w:rsidRPr="001775D9">
              <w:rPr>
                <w:b/>
                <w:bCs/>
                <w:color w:val="000000"/>
                <w:sz w:val="22"/>
                <w:szCs w:val="22"/>
              </w:rPr>
              <w:t>Do not</w:t>
            </w:r>
            <w:r w:rsidRPr="001775D9">
              <w:rPr>
                <w:color w:val="000000"/>
                <w:sz w:val="22"/>
                <w:szCs w:val="22"/>
              </w:rPr>
              <w:t xml:space="preserve"> touch this area again before injecting.</w:t>
            </w:r>
          </w:p>
        </w:tc>
      </w:tr>
      <w:tr w:rsidR="009706F0" w:rsidRPr="00F04F82" w14:paraId="531FDCAB"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6536D7CD" w14:textId="77777777" w:rsidR="009706F0" w:rsidRPr="001775D9" w:rsidRDefault="009706F0" w:rsidP="00FB5458">
            <w:pPr>
              <w:keepNext/>
              <w:keepLines/>
              <w:spacing w:line="240" w:lineRule="auto"/>
              <w:rPr>
                <w:szCs w:val="22"/>
              </w:rPr>
            </w:pPr>
            <w:r w:rsidRPr="001775D9">
              <w:rPr>
                <w:color w:val="000000"/>
                <w:szCs w:val="22"/>
              </w:rPr>
              <w:t>●</w:t>
            </w:r>
          </w:p>
        </w:tc>
        <w:tc>
          <w:tcPr>
            <w:tcW w:w="4697" w:type="pct"/>
            <w:tcBorders>
              <w:top w:val="nil"/>
              <w:left w:val="nil"/>
              <w:bottom w:val="nil"/>
              <w:right w:val="single" w:sz="4" w:space="0" w:color="auto"/>
            </w:tcBorders>
            <w:tcMar>
              <w:left w:w="57" w:type="dxa"/>
            </w:tcMar>
          </w:tcPr>
          <w:p w14:paraId="0401C644" w14:textId="77777777" w:rsidR="009706F0" w:rsidRPr="001775D9" w:rsidRDefault="009706F0" w:rsidP="00FB5458">
            <w:pPr>
              <w:pStyle w:val="ListParagraph"/>
              <w:keepNext/>
              <w:keepLines/>
              <w:suppressAutoHyphens/>
              <w:autoSpaceDE w:val="0"/>
              <w:autoSpaceDN w:val="0"/>
              <w:adjustRightInd w:val="0"/>
              <w:ind w:left="0"/>
              <w:textAlignment w:val="center"/>
              <w:rPr>
                <w:color w:val="000000"/>
                <w:sz w:val="22"/>
                <w:szCs w:val="22"/>
              </w:rPr>
            </w:pPr>
            <w:r w:rsidRPr="001775D9">
              <w:rPr>
                <w:color w:val="000000"/>
                <w:sz w:val="22"/>
                <w:szCs w:val="22"/>
              </w:rPr>
              <w:t>If you want to use the same injection site, make sure it is not the same spot on the injection site you used for a previous injection.</w:t>
            </w:r>
          </w:p>
        </w:tc>
      </w:tr>
      <w:tr w:rsidR="009706F0" w:rsidRPr="00F04F82" w14:paraId="03A622E4" w14:textId="77777777" w:rsidTr="00B7795B">
        <w:tc>
          <w:tcPr>
            <w:tcW w:w="303" w:type="pct"/>
            <w:tcBorders>
              <w:top w:val="nil"/>
              <w:left w:val="single" w:sz="4" w:space="0" w:color="auto"/>
              <w:bottom w:val="nil"/>
              <w:right w:val="nil"/>
            </w:tcBorders>
            <w:tcMar>
              <w:top w:w="28" w:type="dxa"/>
              <w:left w:w="57" w:type="dxa"/>
              <w:bottom w:w="28" w:type="dxa"/>
              <w:right w:w="57" w:type="dxa"/>
            </w:tcMar>
          </w:tcPr>
          <w:p w14:paraId="08616E48" w14:textId="77777777" w:rsidR="009706F0" w:rsidRPr="001775D9" w:rsidRDefault="009706F0" w:rsidP="00FB5458">
            <w:pPr>
              <w:spacing w:line="240" w:lineRule="auto"/>
              <w:rPr>
                <w:color w:val="000000"/>
                <w:szCs w:val="22"/>
              </w:rPr>
            </w:pPr>
          </w:p>
        </w:tc>
        <w:tc>
          <w:tcPr>
            <w:tcW w:w="4697" w:type="pct"/>
            <w:tcBorders>
              <w:top w:val="nil"/>
              <w:left w:val="nil"/>
              <w:bottom w:val="nil"/>
              <w:right w:val="single" w:sz="4" w:space="0" w:color="auto"/>
            </w:tcBorders>
            <w:tcMar>
              <w:left w:w="57" w:type="dxa"/>
            </w:tcMar>
          </w:tcPr>
          <w:p w14:paraId="1CD071B0" w14:textId="456C10F0" w:rsidR="009706F0" w:rsidRPr="001775D9" w:rsidRDefault="005B0F59" w:rsidP="005B0F59">
            <w:pPr>
              <w:pStyle w:val="ListParagraph"/>
              <w:numPr>
                <w:ilvl w:val="0"/>
                <w:numId w:val="24"/>
              </w:numPr>
              <w:tabs>
                <w:tab w:val="left" w:pos="567"/>
              </w:tabs>
              <w:ind w:left="567" w:hanging="567"/>
              <w:rPr>
                <w:sz w:val="22"/>
                <w:szCs w:val="22"/>
              </w:rPr>
            </w:pPr>
            <w:del w:id="3916" w:author="Author">
              <w:r w:rsidRPr="001775D9" w:rsidDel="005D286B">
                <w:rPr>
                  <w:b/>
                  <w:sz w:val="22"/>
                  <w:szCs w:val="22"/>
                </w:rPr>
                <w:tab/>
              </w:r>
            </w:del>
            <w:r w:rsidR="009706F0" w:rsidRPr="001775D9">
              <w:rPr>
                <w:b/>
                <w:sz w:val="22"/>
                <w:szCs w:val="22"/>
              </w:rPr>
              <w:t>Do not</w:t>
            </w:r>
            <w:r w:rsidR="009706F0" w:rsidRPr="001775D9">
              <w:rPr>
                <w:sz w:val="22"/>
                <w:szCs w:val="22"/>
              </w:rPr>
              <w:t xml:space="preserve"> inject into areas where the skin is tender, bruised, red, or hard. Avoid injecting into areas with scars or stretch marks.</w:t>
            </w:r>
          </w:p>
        </w:tc>
      </w:tr>
      <w:tr w:rsidR="009706F0" w:rsidRPr="00F04F82" w14:paraId="4DF3045C" w14:textId="77777777" w:rsidTr="00B7795B">
        <w:tc>
          <w:tcPr>
            <w:tcW w:w="303" w:type="pct"/>
            <w:tcBorders>
              <w:top w:val="nil"/>
              <w:left w:val="single" w:sz="4" w:space="0" w:color="auto"/>
              <w:bottom w:val="single" w:sz="4" w:space="0" w:color="auto"/>
              <w:right w:val="nil"/>
            </w:tcBorders>
            <w:tcMar>
              <w:top w:w="28" w:type="dxa"/>
              <w:left w:w="57" w:type="dxa"/>
              <w:bottom w:w="28" w:type="dxa"/>
              <w:right w:w="57" w:type="dxa"/>
            </w:tcMar>
          </w:tcPr>
          <w:p w14:paraId="17952FEA" w14:textId="77777777" w:rsidR="009706F0" w:rsidRPr="001775D9" w:rsidRDefault="009706F0" w:rsidP="00FB5458">
            <w:pPr>
              <w:spacing w:line="240" w:lineRule="auto"/>
              <w:rPr>
                <w:szCs w:val="22"/>
              </w:rPr>
            </w:pPr>
            <w:r w:rsidRPr="001775D9">
              <w:rPr>
                <w:color w:val="000000"/>
                <w:szCs w:val="22"/>
              </w:rPr>
              <w:t>●</w:t>
            </w:r>
          </w:p>
        </w:tc>
        <w:tc>
          <w:tcPr>
            <w:tcW w:w="4697" w:type="pct"/>
            <w:tcBorders>
              <w:top w:val="nil"/>
              <w:left w:val="nil"/>
              <w:bottom w:val="single" w:sz="4" w:space="0" w:color="auto"/>
              <w:right w:val="single" w:sz="4" w:space="0" w:color="auto"/>
            </w:tcBorders>
            <w:tcMar>
              <w:left w:w="57" w:type="dxa"/>
            </w:tcMar>
          </w:tcPr>
          <w:p w14:paraId="515BE87E" w14:textId="77777777" w:rsidR="009706F0" w:rsidRPr="001775D9" w:rsidRDefault="009706F0" w:rsidP="00FB5458">
            <w:pPr>
              <w:pStyle w:val="ListParagraph"/>
              <w:suppressAutoHyphens/>
              <w:autoSpaceDE w:val="0"/>
              <w:autoSpaceDN w:val="0"/>
              <w:adjustRightInd w:val="0"/>
              <w:ind w:left="0"/>
              <w:textAlignment w:val="center"/>
              <w:rPr>
                <w:color w:val="000000"/>
                <w:sz w:val="22"/>
                <w:szCs w:val="22"/>
              </w:rPr>
            </w:pPr>
            <w:r w:rsidRPr="001775D9">
              <w:rPr>
                <w:color w:val="000000"/>
                <w:sz w:val="22"/>
                <w:szCs w:val="22"/>
              </w:rPr>
              <w:t>If you have psoriasis, you should avoid injecting directly into raised, thick, red, or scaly skin patch or lesion.</w:t>
            </w:r>
          </w:p>
        </w:tc>
      </w:tr>
    </w:tbl>
    <w:p w14:paraId="7EFB2E69" w14:textId="77777777" w:rsidR="009706F0" w:rsidRPr="001775D9" w:rsidRDefault="009706F0" w:rsidP="00FB5458">
      <w:pPr>
        <w:pStyle w:val="STEPS"/>
        <w:widowControl/>
        <w:spacing w:before="0" w:line="240" w:lineRule="auto"/>
        <w:rPr>
          <w:rFonts w:cs="Times New Roman"/>
          <w:sz w:val="22"/>
          <w:szCs w:val="22"/>
          <w:lang w:val="en-GB"/>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271"/>
      </w:tblGrid>
      <w:tr w:rsidR="009706F0" w:rsidRPr="00F04F82" w14:paraId="2E2117C5" w14:textId="77777777" w:rsidTr="00B7795B">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5306F0E" w14:textId="77777777" w:rsidR="009706F0" w:rsidRPr="001775D9" w:rsidRDefault="009706F0" w:rsidP="003967F9">
            <w:pPr>
              <w:keepNext/>
              <w:keepLines/>
              <w:suppressAutoHyphens/>
              <w:autoSpaceDE w:val="0"/>
              <w:autoSpaceDN w:val="0"/>
              <w:adjustRightInd w:val="0"/>
              <w:spacing w:line="240" w:lineRule="auto"/>
              <w:jc w:val="center"/>
              <w:textAlignment w:val="center"/>
              <w:rPr>
                <w:b/>
                <w:bCs/>
                <w:color w:val="000000"/>
                <w:szCs w:val="22"/>
              </w:rPr>
            </w:pPr>
            <w:r w:rsidRPr="001775D9">
              <w:rPr>
                <w:b/>
                <w:bCs/>
                <w:szCs w:val="22"/>
              </w:rPr>
              <w:t>Step 2: Get ready</w:t>
            </w:r>
          </w:p>
        </w:tc>
      </w:tr>
    </w:tbl>
    <w:p w14:paraId="4699B66F" w14:textId="77777777" w:rsidR="009706F0" w:rsidRPr="001775D9" w:rsidRDefault="009706F0" w:rsidP="003967F9">
      <w:pPr>
        <w:keepNext/>
        <w:keepLines/>
        <w:spacing w:line="240" w:lineRule="auto"/>
        <w:ind w:left="567" w:hanging="567"/>
        <w:rPr>
          <w:b/>
          <w:bCs/>
          <w:szCs w:val="16"/>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21"/>
        <w:gridCol w:w="8650"/>
      </w:tblGrid>
      <w:tr w:rsidR="009706F0" w:rsidRPr="00F04F82" w14:paraId="25BA84E3" w14:textId="77777777" w:rsidTr="00B7795B">
        <w:tc>
          <w:tcPr>
            <w:tcW w:w="33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1F8A04F" w14:textId="77777777" w:rsidR="009706F0" w:rsidRPr="001775D9" w:rsidRDefault="009706F0" w:rsidP="003967F9">
            <w:pPr>
              <w:keepNext/>
              <w:keepLines/>
              <w:suppressAutoHyphens/>
              <w:autoSpaceDE w:val="0"/>
              <w:autoSpaceDN w:val="0"/>
              <w:adjustRightInd w:val="0"/>
              <w:spacing w:line="240" w:lineRule="auto"/>
              <w:textAlignment w:val="center"/>
              <w:rPr>
                <w:b/>
                <w:color w:val="000000"/>
                <w:szCs w:val="22"/>
              </w:rPr>
            </w:pPr>
            <w:r w:rsidRPr="001775D9">
              <w:rPr>
                <w:b/>
                <w:szCs w:val="22"/>
              </w:rPr>
              <w:t>E.</w:t>
            </w:r>
          </w:p>
        </w:tc>
        <w:tc>
          <w:tcPr>
            <w:tcW w:w="466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A2AC454" w14:textId="77777777" w:rsidR="009706F0" w:rsidRPr="001775D9" w:rsidRDefault="009706F0" w:rsidP="003967F9">
            <w:pPr>
              <w:keepNext/>
              <w:keepLines/>
              <w:tabs>
                <w:tab w:val="clear" w:pos="567"/>
              </w:tabs>
              <w:autoSpaceDE w:val="0"/>
              <w:autoSpaceDN w:val="0"/>
              <w:adjustRightInd w:val="0"/>
              <w:spacing w:line="240" w:lineRule="auto"/>
              <w:rPr>
                <w:color w:val="000000"/>
                <w:szCs w:val="22"/>
              </w:rPr>
            </w:pPr>
            <w:r w:rsidRPr="001775D9">
              <w:rPr>
                <w:szCs w:val="22"/>
              </w:rPr>
              <w:t>Pull the yellow cap straight off when you are ready to inject.</w:t>
            </w:r>
          </w:p>
        </w:tc>
      </w:tr>
      <w:tr w:rsidR="009706F0" w:rsidRPr="00F04F82" w14:paraId="3C160D3F" w14:textId="77777777" w:rsidTr="00B7795B">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7F88BF0B" w14:textId="5252D0D2" w:rsidR="009706F0" w:rsidRPr="001775D9" w:rsidRDefault="00D96030" w:rsidP="003967F9">
            <w:pPr>
              <w:keepNext/>
              <w:keepLines/>
              <w:suppressAutoHyphens/>
              <w:autoSpaceDE w:val="0"/>
              <w:autoSpaceDN w:val="0"/>
              <w:adjustRightInd w:val="0"/>
              <w:spacing w:line="240" w:lineRule="auto"/>
              <w:textAlignment w:val="center"/>
              <w:rPr>
                <w:color w:val="000000"/>
                <w:szCs w:val="22"/>
              </w:rPr>
            </w:pPr>
            <w:r>
              <w:rPr>
                <w:lang w:eastAsia="en-GB"/>
              </w:rPr>
              <w:pict w14:anchorId="011D9F49">
                <v:shape id="_x0000_i1061" type="#_x0000_t75" style="width:257pt;height:190.5pt;visibility:visible;mso-wrap-style:square">
                  <v:imagedata r:id="rId52" o:title=""/>
                </v:shape>
              </w:pict>
            </w:r>
          </w:p>
        </w:tc>
      </w:tr>
      <w:tr w:rsidR="009706F0" w:rsidRPr="00F04F82" w14:paraId="66D6A2E2" w14:textId="77777777" w:rsidTr="00B7795B">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506F44B" w14:textId="77777777" w:rsidR="009706F0" w:rsidRPr="001775D9" w:rsidRDefault="009706F0" w:rsidP="00FB5458">
            <w:pPr>
              <w:suppressAutoHyphens/>
              <w:autoSpaceDE w:val="0"/>
              <w:autoSpaceDN w:val="0"/>
              <w:adjustRightInd w:val="0"/>
              <w:spacing w:line="240" w:lineRule="auto"/>
              <w:textAlignment w:val="center"/>
              <w:rPr>
                <w:color w:val="000000"/>
                <w:szCs w:val="22"/>
              </w:rPr>
            </w:pPr>
            <w:r w:rsidRPr="001775D9">
              <w:rPr>
                <w:color w:val="000000"/>
                <w:szCs w:val="22"/>
              </w:rPr>
              <w:t>It is normal to see a drop of liquid at the end of the needle or yellow safety guard.</w:t>
            </w:r>
          </w:p>
        </w:tc>
      </w:tr>
      <w:tr w:rsidR="009706F0" w:rsidRPr="00F04F82" w14:paraId="2C60E18A" w14:textId="77777777" w:rsidTr="00B7795B">
        <w:tc>
          <w:tcPr>
            <w:tcW w:w="335" w:type="pct"/>
            <w:tcBorders>
              <w:top w:val="nil"/>
              <w:left w:val="single" w:sz="4" w:space="0" w:color="auto"/>
              <w:bottom w:val="nil"/>
              <w:right w:val="nil"/>
            </w:tcBorders>
            <w:tcMar>
              <w:top w:w="28" w:type="dxa"/>
              <w:left w:w="57" w:type="dxa"/>
              <w:bottom w:w="28" w:type="dxa"/>
              <w:right w:w="57" w:type="dxa"/>
            </w:tcMar>
          </w:tcPr>
          <w:p w14:paraId="5333966F" w14:textId="77777777" w:rsidR="009706F0" w:rsidRPr="001775D9" w:rsidRDefault="009706F0"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65" w:type="pct"/>
            <w:tcBorders>
              <w:top w:val="nil"/>
              <w:left w:val="nil"/>
              <w:bottom w:val="nil"/>
              <w:right w:val="single" w:sz="4" w:space="0" w:color="auto"/>
            </w:tcBorders>
            <w:tcMar>
              <w:left w:w="0" w:type="dxa"/>
            </w:tcMar>
          </w:tcPr>
          <w:p w14:paraId="7D1F1476" w14:textId="77777777" w:rsidR="009706F0" w:rsidRPr="001775D9" w:rsidRDefault="009706F0" w:rsidP="00FB5458">
            <w:pPr>
              <w:tabs>
                <w:tab w:val="clear" w:pos="567"/>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twist or bend the yellow cap.</w:t>
            </w:r>
          </w:p>
        </w:tc>
      </w:tr>
      <w:tr w:rsidR="009706F0" w:rsidRPr="00F04F82" w14:paraId="0C532566" w14:textId="77777777" w:rsidTr="00B7795B">
        <w:tc>
          <w:tcPr>
            <w:tcW w:w="335" w:type="pct"/>
            <w:tcBorders>
              <w:top w:val="nil"/>
              <w:left w:val="single" w:sz="4" w:space="0" w:color="auto"/>
              <w:bottom w:val="nil"/>
              <w:right w:val="nil"/>
            </w:tcBorders>
            <w:tcMar>
              <w:top w:w="28" w:type="dxa"/>
              <w:left w:w="57" w:type="dxa"/>
              <w:bottom w:w="28" w:type="dxa"/>
              <w:right w:w="57" w:type="dxa"/>
            </w:tcMar>
          </w:tcPr>
          <w:p w14:paraId="1BB9298D" w14:textId="77777777" w:rsidR="009706F0" w:rsidRPr="001775D9" w:rsidRDefault="009706F0"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65" w:type="pct"/>
            <w:tcBorders>
              <w:top w:val="nil"/>
              <w:left w:val="nil"/>
              <w:bottom w:val="nil"/>
              <w:right w:val="single" w:sz="4" w:space="0" w:color="auto"/>
            </w:tcBorders>
            <w:tcMar>
              <w:left w:w="0" w:type="dxa"/>
            </w:tcMar>
          </w:tcPr>
          <w:p w14:paraId="297BC577" w14:textId="77777777" w:rsidR="009706F0" w:rsidRPr="001775D9" w:rsidRDefault="009706F0" w:rsidP="00FB5458">
            <w:pPr>
              <w:tabs>
                <w:tab w:val="clear" w:pos="567"/>
              </w:tabs>
              <w:autoSpaceDE w:val="0"/>
              <w:autoSpaceDN w:val="0"/>
              <w:adjustRightInd w:val="0"/>
              <w:spacing w:line="240" w:lineRule="auto"/>
              <w:ind w:left="720" w:hanging="720"/>
              <w:rPr>
                <w:rFonts w:eastAsia="Calibri"/>
                <w:szCs w:val="22"/>
              </w:rPr>
            </w:pPr>
            <w:r w:rsidRPr="001775D9">
              <w:rPr>
                <w:rFonts w:eastAsia="Calibri"/>
                <w:b/>
                <w:bCs/>
                <w:szCs w:val="22"/>
              </w:rPr>
              <w:t xml:space="preserve">Do not </w:t>
            </w:r>
            <w:r w:rsidRPr="001775D9">
              <w:rPr>
                <w:rFonts w:eastAsia="Calibri"/>
                <w:szCs w:val="22"/>
              </w:rPr>
              <w:t>put the yellow cap back onto the pre-filled pen.</w:t>
            </w:r>
          </w:p>
        </w:tc>
      </w:tr>
      <w:tr w:rsidR="009706F0" w:rsidRPr="00F04F82" w14:paraId="2E9203D8" w14:textId="77777777" w:rsidTr="00B7795B">
        <w:tc>
          <w:tcPr>
            <w:tcW w:w="335" w:type="pct"/>
            <w:tcBorders>
              <w:top w:val="nil"/>
              <w:left w:val="single" w:sz="4" w:space="0" w:color="auto"/>
              <w:bottom w:val="single" w:sz="4" w:space="0" w:color="auto"/>
              <w:right w:val="nil"/>
            </w:tcBorders>
            <w:tcMar>
              <w:top w:w="28" w:type="dxa"/>
              <w:left w:w="57" w:type="dxa"/>
              <w:bottom w:w="28" w:type="dxa"/>
              <w:right w:w="57" w:type="dxa"/>
            </w:tcMar>
          </w:tcPr>
          <w:p w14:paraId="6CCE7240" w14:textId="77777777" w:rsidR="009706F0" w:rsidRPr="001775D9" w:rsidRDefault="009706F0" w:rsidP="00FB5458">
            <w:pPr>
              <w:pStyle w:val="ListParagraph"/>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65" w:type="pct"/>
            <w:tcBorders>
              <w:top w:val="nil"/>
              <w:left w:val="nil"/>
              <w:bottom w:val="single" w:sz="4" w:space="0" w:color="auto"/>
              <w:right w:val="single" w:sz="4" w:space="0" w:color="auto"/>
            </w:tcBorders>
            <w:tcMar>
              <w:left w:w="0" w:type="dxa"/>
            </w:tcMar>
          </w:tcPr>
          <w:p w14:paraId="4701E3EE" w14:textId="77777777" w:rsidR="009706F0" w:rsidRPr="001775D9" w:rsidRDefault="009706F0" w:rsidP="00FB5458">
            <w:pPr>
              <w:tabs>
                <w:tab w:val="clear" w:pos="567"/>
                <w:tab w:val="left" w:pos="5520"/>
              </w:tabs>
              <w:autoSpaceDE w:val="0"/>
              <w:autoSpaceDN w:val="0"/>
              <w:adjustRightInd w:val="0"/>
              <w:spacing w:line="240" w:lineRule="auto"/>
              <w:rPr>
                <w:rFonts w:eastAsia="Calibri"/>
                <w:szCs w:val="22"/>
              </w:rPr>
            </w:pPr>
            <w:r w:rsidRPr="001775D9">
              <w:rPr>
                <w:rFonts w:eastAsia="Calibri"/>
                <w:b/>
                <w:bCs/>
                <w:szCs w:val="22"/>
              </w:rPr>
              <w:t xml:space="preserve">Do not </w:t>
            </w:r>
            <w:r w:rsidRPr="001775D9">
              <w:rPr>
                <w:rFonts w:eastAsia="Calibri"/>
                <w:szCs w:val="22"/>
              </w:rPr>
              <w:t>remove the yellow cap from the pre-filled pen until you are ready to inject.</w:t>
            </w:r>
          </w:p>
        </w:tc>
      </w:tr>
    </w:tbl>
    <w:p w14:paraId="32AA3BE7" w14:textId="77777777" w:rsidR="009706F0" w:rsidRPr="001775D9" w:rsidRDefault="009706F0" w:rsidP="00FB545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en-GB"/>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0"/>
        <w:gridCol w:w="8731"/>
      </w:tblGrid>
      <w:tr w:rsidR="009706F0" w:rsidRPr="00F04F82" w14:paraId="1D5E5BA1" w14:textId="77777777" w:rsidTr="00151D97">
        <w:tc>
          <w:tcPr>
            <w:tcW w:w="29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7C8DCDE" w14:textId="77777777" w:rsidR="009706F0" w:rsidRPr="001775D9" w:rsidRDefault="009706F0" w:rsidP="00FB5458">
            <w:pPr>
              <w:keepNext/>
              <w:keepLines/>
              <w:suppressAutoHyphens/>
              <w:autoSpaceDE w:val="0"/>
              <w:autoSpaceDN w:val="0"/>
              <w:adjustRightInd w:val="0"/>
              <w:spacing w:line="240" w:lineRule="auto"/>
              <w:textAlignment w:val="center"/>
              <w:rPr>
                <w:b/>
                <w:color w:val="000000"/>
                <w:szCs w:val="22"/>
              </w:rPr>
            </w:pPr>
            <w:r w:rsidRPr="001775D9">
              <w:rPr>
                <w:b/>
                <w:szCs w:val="22"/>
              </w:rPr>
              <w:t>F.</w:t>
            </w:r>
          </w:p>
        </w:tc>
        <w:tc>
          <w:tcPr>
            <w:tcW w:w="47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FCE0337" w14:textId="77777777" w:rsidR="009706F0" w:rsidRPr="001775D9" w:rsidRDefault="009706F0" w:rsidP="00FB5458">
            <w:pPr>
              <w:keepNext/>
              <w:keepLines/>
              <w:tabs>
                <w:tab w:val="clear" w:pos="567"/>
              </w:tabs>
              <w:autoSpaceDE w:val="0"/>
              <w:autoSpaceDN w:val="0"/>
              <w:adjustRightInd w:val="0"/>
              <w:spacing w:line="240" w:lineRule="auto"/>
              <w:rPr>
                <w:color w:val="000000"/>
                <w:szCs w:val="22"/>
              </w:rPr>
            </w:pPr>
            <w:r w:rsidRPr="001775D9">
              <w:rPr>
                <w:szCs w:val="22"/>
              </w:rPr>
              <w:t>Stretch or pinch your injection site to create a firm surface.</w:t>
            </w:r>
          </w:p>
        </w:tc>
      </w:tr>
      <w:tr w:rsidR="009706F0" w:rsidRPr="00F04F82" w14:paraId="0E84943F" w14:textId="77777777" w:rsidTr="00151D9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47EDF2B3" w14:textId="77777777" w:rsidR="009706F0" w:rsidRPr="001775D9" w:rsidRDefault="009706F0" w:rsidP="00FB5458">
            <w:pPr>
              <w:pStyle w:val="BULLETED"/>
              <w:keepNext/>
              <w:keepLines/>
              <w:widowControl/>
              <w:numPr>
                <w:ilvl w:val="0"/>
                <w:numId w:val="0"/>
              </w:numPr>
              <w:spacing w:before="0" w:line="240" w:lineRule="auto"/>
              <w:rPr>
                <w:b/>
                <w:sz w:val="22"/>
                <w:szCs w:val="22"/>
                <w:lang w:val="en-GB"/>
              </w:rPr>
            </w:pPr>
            <w:r w:rsidRPr="001775D9">
              <w:rPr>
                <w:b/>
                <w:sz w:val="22"/>
                <w:szCs w:val="22"/>
                <w:lang w:val="en-GB"/>
              </w:rPr>
              <w:t>Stretch method</w:t>
            </w:r>
          </w:p>
        </w:tc>
      </w:tr>
      <w:tr w:rsidR="009706F0" w:rsidRPr="00F04F82" w14:paraId="71526D01" w14:textId="77777777" w:rsidTr="00151D9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F37F8DA" w14:textId="07A77621" w:rsidR="009706F0" w:rsidRPr="001775D9" w:rsidRDefault="00D96030" w:rsidP="00FB5458">
            <w:pPr>
              <w:keepNext/>
              <w:keepLines/>
              <w:suppressAutoHyphens/>
              <w:autoSpaceDE w:val="0"/>
              <w:autoSpaceDN w:val="0"/>
              <w:adjustRightInd w:val="0"/>
              <w:spacing w:line="240" w:lineRule="auto"/>
              <w:textAlignment w:val="center"/>
              <w:rPr>
                <w:color w:val="000000"/>
                <w:szCs w:val="22"/>
              </w:rPr>
            </w:pPr>
            <w:r>
              <w:pict w14:anchorId="1EFD9A90">
                <v:shape id="_x0000_i1062" type="#_x0000_t75" style="width:190.5pt;height:149pt;visibility:visible;mso-wrap-style:square">
                  <v:imagedata r:id="rId53" o:title=""/>
                </v:shape>
              </w:pict>
            </w:r>
          </w:p>
        </w:tc>
      </w:tr>
      <w:tr w:rsidR="009706F0" w:rsidRPr="00F04F82" w14:paraId="06095A1B" w14:textId="77777777" w:rsidTr="00151D9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22CA6D8" w14:textId="77777777" w:rsidR="009706F0" w:rsidRPr="001775D9" w:rsidRDefault="009706F0" w:rsidP="00FB5458">
            <w:pPr>
              <w:keepNext/>
              <w:keepLines/>
              <w:suppressAutoHyphens/>
              <w:autoSpaceDE w:val="0"/>
              <w:autoSpaceDN w:val="0"/>
              <w:adjustRightInd w:val="0"/>
              <w:spacing w:line="240" w:lineRule="auto"/>
              <w:textAlignment w:val="center"/>
              <w:rPr>
                <w:color w:val="000000"/>
                <w:szCs w:val="22"/>
              </w:rPr>
            </w:pPr>
            <w:r w:rsidRPr="001775D9">
              <w:rPr>
                <w:color w:val="000000"/>
                <w:szCs w:val="22"/>
              </w:rPr>
              <w:t xml:space="preserve">Stretch the skin firmly by moving your thumb and fingers in opposite directions, creating an area about </w:t>
            </w:r>
            <w:r w:rsidRPr="001775D9">
              <w:rPr>
                <w:b/>
                <w:color w:val="000000"/>
                <w:szCs w:val="22"/>
              </w:rPr>
              <w:t>2</w:t>
            </w:r>
            <w:r w:rsidRPr="001775D9">
              <w:rPr>
                <w:color w:val="000000"/>
                <w:szCs w:val="22"/>
              </w:rPr>
              <w:t> inches (</w:t>
            </w:r>
            <w:r w:rsidRPr="001775D9">
              <w:rPr>
                <w:b/>
                <w:color w:val="000000"/>
                <w:szCs w:val="22"/>
              </w:rPr>
              <w:t>5</w:t>
            </w:r>
            <w:r w:rsidRPr="001775D9">
              <w:rPr>
                <w:color w:val="000000"/>
                <w:szCs w:val="22"/>
              </w:rPr>
              <w:t xml:space="preserve"> centimetres) wide.</w:t>
            </w:r>
          </w:p>
        </w:tc>
      </w:tr>
      <w:tr w:rsidR="009706F0" w:rsidRPr="00F04F82" w14:paraId="35205F68" w14:textId="77777777" w:rsidTr="00151D9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2FD262AD" w14:textId="77777777" w:rsidR="009706F0" w:rsidRPr="001775D9" w:rsidRDefault="009706F0" w:rsidP="00FB5458">
            <w:pPr>
              <w:keepNext/>
              <w:keepLines/>
              <w:tabs>
                <w:tab w:val="clear" w:pos="567"/>
              </w:tabs>
              <w:autoSpaceDE w:val="0"/>
              <w:autoSpaceDN w:val="0"/>
              <w:adjustRightInd w:val="0"/>
              <w:spacing w:line="240" w:lineRule="auto"/>
              <w:ind w:left="720" w:hanging="720"/>
              <w:jc w:val="center"/>
              <w:rPr>
                <w:rFonts w:eastAsia="Calibri"/>
                <w:b/>
                <w:bCs/>
                <w:szCs w:val="22"/>
              </w:rPr>
            </w:pPr>
            <w:r w:rsidRPr="001775D9">
              <w:rPr>
                <w:rFonts w:eastAsia="Calibri"/>
                <w:b/>
                <w:bCs/>
                <w:szCs w:val="22"/>
              </w:rPr>
              <w:t>OR</w:t>
            </w:r>
          </w:p>
        </w:tc>
      </w:tr>
      <w:tr w:rsidR="009706F0" w:rsidRPr="00F04F82" w14:paraId="267CEDAB" w14:textId="77777777" w:rsidTr="00151D9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5F8D7D6" w14:textId="77777777" w:rsidR="009706F0" w:rsidRPr="001775D9" w:rsidRDefault="009706F0" w:rsidP="00FB5458">
            <w:pPr>
              <w:pStyle w:val="BULLETED"/>
              <w:widowControl/>
              <w:numPr>
                <w:ilvl w:val="0"/>
                <w:numId w:val="0"/>
              </w:numPr>
              <w:spacing w:before="0" w:line="240" w:lineRule="auto"/>
              <w:rPr>
                <w:b/>
                <w:sz w:val="22"/>
                <w:szCs w:val="22"/>
                <w:lang w:val="en-GB"/>
              </w:rPr>
            </w:pPr>
            <w:r w:rsidRPr="001775D9">
              <w:rPr>
                <w:b/>
                <w:sz w:val="22"/>
                <w:szCs w:val="22"/>
                <w:lang w:val="en-GB"/>
              </w:rPr>
              <w:t>Pinch method</w:t>
            </w:r>
          </w:p>
        </w:tc>
      </w:tr>
      <w:tr w:rsidR="009706F0" w:rsidRPr="00F04F82" w14:paraId="7392A026" w14:textId="77777777" w:rsidTr="00151D9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21B68ED7" w14:textId="26D0F032" w:rsidR="009706F0" w:rsidRPr="001775D9" w:rsidRDefault="00D96030" w:rsidP="00FB5458">
            <w:pPr>
              <w:tabs>
                <w:tab w:val="clear" w:pos="567"/>
              </w:tabs>
              <w:autoSpaceDE w:val="0"/>
              <w:autoSpaceDN w:val="0"/>
              <w:adjustRightInd w:val="0"/>
              <w:spacing w:line="240" w:lineRule="auto"/>
              <w:ind w:left="720" w:hanging="720"/>
              <w:rPr>
                <w:rFonts w:eastAsia="Calibri"/>
                <w:b/>
                <w:bCs/>
                <w:szCs w:val="22"/>
              </w:rPr>
            </w:pPr>
            <w:r>
              <w:rPr>
                <w:szCs w:val="22"/>
                <w:lang w:eastAsia="en-GB"/>
              </w:rPr>
              <w:pict w14:anchorId="644B7E51">
                <v:shape id="_x0000_i1063" type="#_x0000_t75" style="width:190pt;height:113pt;visibility:visible;mso-wrap-style:square">
                  <v:imagedata r:id="rId42" o:title=""/>
                </v:shape>
              </w:pict>
            </w:r>
          </w:p>
        </w:tc>
      </w:tr>
      <w:tr w:rsidR="009706F0" w:rsidRPr="00F04F82" w14:paraId="14EB0F68" w14:textId="77777777" w:rsidTr="00151D9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B16CE09" w14:textId="77777777" w:rsidR="009706F0" w:rsidRPr="001775D9" w:rsidRDefault="009706F0" w:rsidP="00FB5458">
            <w:pPr>
              <w:suppressAutoHyphens/>
              <w:autoSpaceDE w:val="0"/>
              <w:autoSpaceDN w:val="0"/>
              <w:adjustRightInd w:val="0"/>
              <w:spacing w:line="240" w:lineRule="auto"/>
              <w:textAlignment w:val="center"/>
              <w:rPr>
                <w:color w:val="000000"/>
                <w:szCs w:val="22"/>
              </w:rPr>
            </w:pPr>
            <w:r w:rsidRPr="001775D9">
              <w:rPr>
                <w:color w:val="000000"/>
                <w:szCs w:val="22"/>
              </w:rPr>
              <w:t xml:space="preserve">Pinch the skin firmly between your thumb and fingers, creating an area about </w:t>
            </w:r>
            <w:r w:rsidRPr="001775D9">
              <w:rPr>
                <w:b/>
                <w:color w:val="000000"/>
                <w:szCs w:val="22"/>
              </w:rPr>
              <w:t>2</w:t>
            </w:r>
            <w:r w:rsidRPr="001775D9">
              <w:rPr>
                <w:color w:val="000000"/>
                <w:szCs w:val="22"/>
              </w:rPr>
              <w:t xml:space="preserve"> inches (</w:t>
            </w:r>
            <w:r w:rsidRPr="001775D9">
              <w:rPr>
                <w:b/>
                <w:color w:val="000000"/>
                <w:szCs w:val="22"/>
              </w:rPr>
              <w:t>5</w:t>
            </w:r>
            <w:r w:rsidRPr="001775D9">
              <w:rPr>
                <w:color w:val="000000"/>
                <w:szCs w:val="22"/>
              </w:rPr>
              <w:t xml:space="preserve"> centimetres) wide.</w:t>
            </w:r>
          </w:p>
        </w:tc>
      </w:tr>
      <w:tr w:rsidR="009706F0" w:rsidRPr="00F04F82" w14:paraId="4F171EAC" w14:textId="77777777" w:rsidTr="00151D9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18BABDFC" w14:textId="77777777" w:rsidR="009706F0" w:rsidRPr="001775D9" w:rsidRDefault="009706F0" w:rsidP="00FB5458">
            <w:pPr>
              <w:tabs>
                <w:tab w:val="clear" w:pos="567"/>
              </w:tabs>
              <w:autoSpaceDE w:val="0"/>
              <w:autoSpaceDN w:val="0"/>
              <w:adjustRightInd w:val="0"/>
              <w:spacing w:line="240" w:lineRule="auto"/>
              <w:rPr>
                <w:rFonts w:eastAsia="Calibri"/>
                <w:szCs w:val="22"/>
              </w:rPr>
            </w:pPr>
            <w:r w:rsidRPr="001775D9">
              <w:rPr>
                <w:rFonts w:eastAsia="Calibri"/>
                <w:b/>
                <w:bCs/>
                <w:szCs w:val="22"/>
              </w:rPr>
              <w:t xml:space="preserve">Important: </w:t>
            </w:r>
            <w:r w:rsidRPr="001775D9">
              <w:rPr>
                <w:rFonts w:eastAsia="Calibri"/>
                <w:szCs w:val="22"/>
              </w:rPr>
              <w:t>Keep the skin stretched or pinched while injecting.</w:t>
            </w:r>
          </w:p>
        </w:tc>
      </w:tr>
    </w:tbl>
    <w:p w14:paraId="45009A2E" w14:textId="77777777" w:rsidR="009706F0" w:rsidRPr="001775D9" w:rsidRDefault="009706F0" w:rsidP="00FB5458">
      <w:pPr>
        <w:pStyle w:val="BULLETED"/>
        <w:widowControl/>
        <w:numPr>
          <w:ilvl w:val="0"/>
          <w:numId w:val="0"/>
        </w:numPr>
        <w:spacing w:before="0" w:line="240" w:lineRule="auto"/>
        <w:rPr>
          <w:b/>
          <w:sz w:val="22"/>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85"/>
      </w:tblGrid>
      <w:tr w:rsidR="009706F0" w:rsidRPr="00F04F82" w14:paraId="6439E811" w14:textId="77777777" w:rsidTr="00B7795B">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27AD8E" w14:textId="77777777" w:rsidR="009706F0" w:rsidRPr="001775D9" w:rsidRDefault="009706F0" w:rsidP="00FB5458">
            <w:pPr>
              <w:pStyle w:val="BULLETED"/>
              <w:widowControl/>
              <w:numPr>
                <w:ilvl w:val="0"/>
                <w:numId w:val="0"/>
              </w:numPr>
              <w:spacing w:before="0" w:line="240" w:lineRule="auto"/>
              <w:jc w:val="center"/>
              <w:rPr>
                <w:b/>
                <w:sz w:val="22"/>
                <w:szCs w:val="22"/>
                <w:lang w:val="en-GB"/>
              </w:rPr>
            </w:pPr>
            <w:r w:rsidRPr="001775D9">
              <w:rPr>
                <w:b/>
                <w:sz w:val="22"/>
                <w:szCs w:val="22"/>
                <w:lang w:val="en-GB"/>
              </w:rPr>
              <w:t>Step 3: Inject</w:t>
            </w:r>
          </w:p>
        </w:tc>
      </w:tr>
    </w:tbl>
    <w:p w14:paraId="1C88B8F5" w14:textId="77777777" w:rsidR="009706F0" w:rsidRPr="001775D9" w:rsidRDefault="009706F0" w:rsidP="00FB5458">
      <w:pPr>
        <w:keepLines/>
        <w:spacing w:line="240" w:lineRule="auto"/>
        <w:ind w:left="567" w:hanging="567"/>
        <w:rPr>
          <w:b/>
          <w:bCs/>
          <w:sz w:val="16"/>
          <w:szCs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0"/>
        <w:gridCol w:w="8647"/>
      </w:tblGrid>
      <w:tr w:rsidR="009706F0" w:rsidRPr="00F04F82" w14:paraId="2B9D7F49" w14:textId="77777777" w:rsidTr="00B7795B">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42C4E3E" w14:textId="77777777" w:rsidR="009706F0" w:rsidRPr="001775D9" w:rsidRDefault="009706F0" w:rsidP="00FB5458">
            <w:pPr>
              <w:keepLines/>
              <w:suppressAutoHyphens/>
              <w:autoSpaceDE w:val="0"/>
              <w:autoSpaceDN w:val="0"/>
              <w:adjustRightInd w:val="0"/>
              <w:spacing w:line="240" w:lineRule="auto"/>
              <w:textAlignment w:val="center"/>
              <w:rPr>
                <w:b/>
                <w:color w:val="000000"/>
                <w:szCs w:val="22"/>
              </w:rPr>
            </w:pPr>
            <w:r w:rsidRPr="001775D9">
              <w:rPr>
                <w:b/>
                <w:szCs w:val="22"/>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2C2860C" w14:textId="77777777" w:rsidR="009706F0" w:rsidRPr="001775D9" w:rsidRDefault="009706F0" w:rsidP="00FB5458">
            <w:pPr>
              <w:keepLines/>
              <w:tabs>
                <w:tab w:val="clear" w:pos="567"/>
              </w:tabs>
              <w:autoSpaceDE w:val="0"/>
              <w:autoSpaceDN w:val="0"/>
              <w:adjustRightInd w:val="0"/>
              <w:spacing w:line="240" w:lineRule="auto"/>
              <w:rPr>
                <w:color w:val="000000"/>
                <w:szCs w:val="22"/>
              </w:rPr>
            </w:pPr>
            <w:r w:rsidRPr="001775D9">
              <w:rPr>
                <w:szCs w:val="22"/>
              </w:rPr>
              <w:t xml:space="preserve">Hold the stretch or pinch. With the yellow cap off, </w:t>
            </w:r>
            <w:r w:rsidRPr="001775D9">
              <w:rPr>
                <w:b/>
                <w:bCs/>
                <w:szCs w:val="22"/>
              </w:rPr>
              <w:t>place</w:t>
            </w:r>
            <w:r w:rsidRPr="001775D9">
              <w:rPr>
                <w:szCs w:val="22"/>
              </w:rPr>
              <w:t xml:space="preserve"> the pre-filled pen on your skin at 90</w:t>
            </w:r>
            <w:r w:rsidRPr="001775D9">
              <w:rPr>
                <w:bCs/>
                <w:szCs w:val="22"/>
              </w:rPr>
              <w:t> </w:t>
            </w:r>
            <w:r w:rsidRPr="001775D9">
              <w:rPr>
                <w:szCs w:val="22"/>
              </w:rPr>
              <w:t>degrees.</w:t>
            </w:r>
          </w:p>
        </w:tc>
      </w:tr>
      <w:tr w:rsidR="009706F0" w:rsidRPr="00F04F82" w14:paraId="3CBFE6CA" w14:textId="77777777" w:rsidTr="00B7795B">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428CFFC" w14:textId="5166C446" w:rsidR="009706F0" w:rsidRPr="001775D9" w:rsidRDefault="00D96030" w:rsidP="00FB5458">
            <w:pPr>
              <w:suppressAutoHyphens/>
              <w:autoSpaceDE w:val="0"/>
              <w:autoSpaceDN w:val="0"/>
              <w:adjustRightInd w:val="0"/>
              <w:spacing w:line="240" w:lineRule="auto"/>
              <w:textAlignment w:val="center"/>
              <w:rPr>
                <w:color w:val="000000"/>
                <w:szCs w:val="22"/>
              </w:rPr>
            </w:pPr>
            <w:r>
              <w:rPr>
                <w:rFonts w:ascii="Verdana" w:hAnsi="Verdana" w:cs="Arial"/>
                <w:b/>
                <w:szCs w:val="22"/>
                <w:lang w:eastAsia="en-GB"/>
              </w:rPr>
              <w:pict w14:anchorId="675F4A64">
                <v:shape id="Picture 54" o:spid="_x0000_i1064" type="#_x0000_t75" style="width:221.5pt;height:118pt;visibility:visible;mso-wrap-style:square">
                  <v:imagedata r:id="rId54" o:title=""/>
                </v:shape>
              </w:pict>
            </w:r>
          </w:p>
        </w:tc>
      </w:tr>
      <w:tr w:rsidR="009706F0" w:rsidRPr="00F04F82" w14:paraId="5A62EEE9" w14:textId="77777777" w:rsidTr="00B7795B">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905B0F8" w14:textId="77777777" w:rsidR="009706F0" w:rsidRPr="001775D9" w:rsidRDefault="009706F0" w:rsidP="00FB5458">
            <w:pPr>
              <w:pStyle w:val="BULLETED"/>
              <w:widowControl/>
              <w:numPr>
                <w:ilvl w:val="0"/>
                <w:numId w:val="0"/>
              </w:numPr>
              <w:spacing w:before="0" w:line="240" w:lineRule="auto"/>
              <w:rPr>
                <w:sz w:val="22"/>
                <w:szCs w:val="22"/>
                <w:lang w:val="en-GB"/>
              </w:rPr>
            </w:pPr>
            <w:r w:rsidRPr="001775D9">
              <w:rPr>
                <w:b/>
                <w:spacing w:val="2"/>
                <w:sz w:val="22"/>
                <w:szCs w:val="22"/>
                <w:lang w:val="en-GB"/>
              </w:rPr>
              <w:t xml:space="preserve">Important: </w:t>
            </w:r>
            <w:r w:rsidRPr="001775D9">
              <w:rPr>
                <w:spacing w:val="2"/>
                <w:sz w:val="22"/>
                <w:szCs w:val="22"/>
                <w:lang w:val="en-GB"/>
              </w:rPr>
              <w:t>Do not touch the blue start button yet.</w:t>
            </w:r>
          </w:p>
        </w:tc>
      </w:tr>
    </w:tbl>
    <w:p w14:paraId="2074522A" w14:textId="77777777" w:rsidR="009706F0" w:rsidRPr="001775D9" w:rsidRDefault="009706F0" w:rsidP="00FB545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7"/>
        <w:gridCol w:w="8498"/>
      </w:tblGrid>
      <w:tr w:rsidR="009706F0" w:rsidRPr="00F04F82" w14:paraId="5C8A4018" w14:textId="77777777" w:rsidTr="00540FA8">
        <w:tc>
          <w:tcPr>
            <w:tcW w:w="3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980CFDA" w14:textId="77777777" w:rsidR="009706F0" w:rsidRPr="001775D9" w:rsidRDefault="009706F0" w:rsidP="00FB5458">
            <w:pPr>
              <w:keepNext/>
              <w:keepLines/>
              <w:suppressAutoHyphens/>
              <w:autoSpaceDE w:val="0"/>
              <w:autoSpaceDN w:val="0"/>
              <w:adjustRightInd w:val="0"/>
              <w:spacing w:line="240" w:lineRule="auto"/>
              <w:textAlignment w:val="center"/>
              <w:rPr>
                <w:b/>
                <w:color w:val="000000"/>
                <w:szCs w:val="22"/>
              </w:rPr>
            </w:pPr>
            <w:r w:rsidRPr="001775D9">
              <w:rPr>
                <w:b/>
                <w:szCs w:val="22"/>
              </w:rPr>
              <w:t>H.</w:t>
            </w:r>
          </w:p>
        </w:tc>
        <w:tc>
          <w:tcPr>
            <w:tcW w:w="46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DB2B9AF" w14:textId="77777777" w:rsidR="009706F0" w:rsidRPr="001775D9" w:rsidRDefault="009706F0" w:rsidP="00FB5458">
            <w:pPr>
              <w:keepLines/>
              <w:tabs>
                <w:tab w:val="clear" w:pos="567"/>
              </w:tabs>
              <w:autoSpaceDE w:val="0"/>
              <w:autoSpaceDN w:val="0"/>
              <w:adjustRightInd w:val="0"/>
              <w:spacing w:line="240" w:lineRule="auto"/>
              <w:rPr>
                <w:color w:val="000000"/>
                <w:szCs w:val="22"/>
              </w:rPr>
            </w:pPr>
            <w:r w:rsidRPr="001775D9">
              <w:rPr>
                <w:szCs w:val="22"/>
              </w:rPr>
              <w:t xml:space="preserve">Firmly </w:t>
            </w:r>
            <w:r w:rsidRPr="001775D9">
              <w:rPr>
                <w:b/>
                <w:szCs w:val="22"/>
              </w:rPr>
              <w:t>push</w:t>
            </w:r>
            <w:r w:rsidRPr="001775D9">
              <w:rPr>
                <w:szCs w:val="22"/>
              </w:rPr>
              <w:t xml:space="preserve"> </w:t>
            </w:r>
            <w:r w:rsidRPr="001775D9">
              <w:rPr>
                <w:bCs/>
                <w:szCs w:val="22"/>
              </w:rPr>
              <w:t>the pre-filled pen down onto the skin until it stops moving.</w:t>
            </w:r>
          </w:p>
        </w:tc>
      </w:tr>
      <w:tr w:rsidR="009706F0" w:rsidRPr="00F04F82" w14:paraId="7262F7A9" w14:textId="77777777" w:rsidTr="00540FA8">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9706F0" w:rsidRPr="00F04F82" w14:paraId="22DEB148" w14:textId="77777777" w:rsidTr="00B7795B">
              <w:trPr>
                <w:trHeight w:val="437"/>
              </w:trPr>
              <w:tc>
                <w:tcPr>
                  <w:tcW w:w="4820" w:type="dxa"/>
                  <w:vMerge w:val="restart"/>
                </w:tcPr>
                <w:p w14:paraId="3EC9CA89" w14:textId="33A97FAE" w:rsidR="009706F0" w:rsidRPr="001775D9" w:rsidDel="00E94E5E" w:rsidRDefault="00D96030" w:rsidP="00FB5458">
                  <w:pPr>
                    <w:pStyle w:val="BULLETED"/>
                    <w:keepNext/>
                    <w:keepLines/>
                    <w:widowControl/>
                    <w:numPr>
                      <w:ilvl w:val="0"/>
                      <w:numId w:val="0"/>
                    </w:numPr>
                    <w:spacing w:before="0" w:line="240" w:lineRule="auto"/>
                    <w:rPr>
                      <w:b/>
                      <w:sz w:val="22"/>
                      <w:szCs w:val="22"/>
                      <w:lang w:val="en-GB" w:eastAsia="en-US"/>
                    </w:rPr>
                  </w:pPr>
                  <w:r>
                    <w:rPr>
                      <w:b/>
                      <w:sz w:val="22"/>
                      <w:szCs w:val="22"/>
                      <w:lang w:val="en-GB" w:eastAsia="en-US"/>
                    </w:rPr>
                    <w:pict w14:anchorId="3904875B">
                      <v:shape id="_x0000_i1065" type="#_x0000_t75" style="width:3in;height:118.5pt;visibility:visible;mso-wrap-style:square">
                        <v:imagedata r:id="rId55" o:title=""/>
                      </v:shape>
                    </w:pict>
                  </w:r>
                </w:p>
              </w:tc>
              <w:tc>
                <w:tcPr>
                  <w:tcW w:w="4054" w:type="dxa"/>
                  <w:tcMar>
                    <w:left w:w="567" w:type="dxa"/>
                  </w:tcMar>
                  <w:vAlign w:val="bottom"/>
                </w:tcPr>
                <w:p w14:paraId="5E6BC03C" w14:textId="57B2E5B6" w:rsidR="001A69C5" w:rsidRPr="001775D9" w:rsidRDefault="00D96030" w:rsidP="001A69C5">
                  <w:pPr>
                    <w:pStyle w:val="BULLETED"/>
                    <w:keepNext/>
                    <w:keepLines/>
                    <w:widowControl/>
                    <w:numPr>
                      <w:ilvl w:val="0"/>
                      <w:numId w:val="0"/>
                    </w:numPr>
                    <w:spacing w:before="0" w:line="240" w:lineRule="auto"/>
                    <w:ind w:left="-108"/>
                    <w:rPr>
                      <w:b/>
                      <w:sz w:val="22"/>
                      <w:szCs w:val="22"/>
                      <w:lang w:val="en-GB" w:eastAsia="en-GB"/>
                    </w:rPr>
                  </w:pPr>
                  <w:r>
                    <w:rPr>
                      <w:b/>
                      <w:sz w:val="22"/>
                      <w:szCs w:val="22"/>
                      <w:lang w:val="en-GB" w:eastAsia="en-US"/>
                    </w:rPr>
                    <w:pict w14:anchorId="54C73D68">
                      <v:shape id="_x0000_i1066" type="#_x0000_t75" style="width:61.5pt;height:61.5pt;visibility:visible;mso-wrap-style:square">
                        <v:imagedata r:id="rId56" o:title=""/>
                      </v:shape>
                    </w:pict>
                  </w:r>
                  <w:r w:rsidR="001A69C5" w:rsidRPr="001775D9">
                    <w:rPr>
                      <w:b/>
                      <w:sz w:val="22"/>
                      <w:szCs w:val="22"/>
                      <w:lang w:val="en-GB" w:eastAsia="en-GB"/>
                    </w:rPr>
                    <w:t>Push down</w:t>
                  </w:r>
                </w:p>
                <w:p w14:paraId="66BAAF29" w14:textId="77777777" w:rsidR="009706F0" w:rsidRPr="001775D9" w:rsidRDefault="009706F0" w:rsidP="00FB5458">
                  <w:pPr>
                    <w:pStyle w:val="BULLETED"/>
                    <w:keepNext/>
                    <w:keepLines/>
                    <w:widowControl/>
                    <w:numPr>
                      <w:ilvl w:val="0"/>
                      <w:numId w:val="0"/>
                    </w:numPr>
                    <w:spacing w:before="0" w:line="240" w:lineRule="auto"/>
                    <w:ind w:left="-108"/>
                    <w:rPr>
                      <w:b/>
                      <w:sz w:val="22"/>
                      <w:szCs w:val="22"/>
                      <w:lang w:val="en-GB" w:eastAsia="en-US"/>
                    </w:rPr>
                  </w:pPr>
                </w:p>
              </w:tc>
            </w:tr>
            <w:tr w:rsidR="009706F0" w:rsidRPr="00F04F82" w14:paraId="40D4D9A3" w14:textId="77777777" w:rsidTr="00B7795B">
              <w:trPr>
                <w:trHeight w:val="1200"/>
              </w:trPr>
              <w:tc>
                <w:tcPr>
                  <w:tcW w:w="4820" w:type="dxa"/>
                  <w:vMerge/>
                </w:tcPr>
                <w:p w14:paraId="5443D486" w14:textId="77777777" w:rsidR="009706F0" w:rsidRPr="00F04F82" w:rsidRDefault="009706F0" w:rsidP="00FB5458">
                  <w:pPr>
                    <w:pStyle w:val="BULLETED"/>
                    <w:keepNext/>
                    <w:keepLines/>
                    <w:widowControl/>
                    <w:numPr>
                      <w:ilvl w:val="0"/>
                      <w:numId w:val="0"/>
                    </w:numPr>
                    <w:spacing w:before="0" w:line="240" w:lineRule="auto"/>
                    <w:rPr>
                      <w:b/>
                      <w:sz w:val="22"/>
                      <w:szCs w:val="22"/>
                      <w:lang w:val="en-GB" w:eastAsia="nl-NL"/>
                    </w:rPr>
                  </w:pPr>
                </w:p>
              </w:tc>
              <w:tc>
                <w:tcPr>
                  <w:tcW w:w="4054" w:type="dxa"/>
                </w:tcPr>
                <w:p w14:paraId="493CE974" w14:textId="77777777" w:rsidR="009706F0" w:rsidRPr="001775D9" w:rsidRDefault="009706F0" w:rsidP="00FB5458">
                  <w:pPr>
                    <w:pStyle w:val="BULLETED"/>
                    <w:keepNext/>
                    <w:keepLines/>
                    <w:widowControl/>
                    <w:numPr>
                      <w:ilvl w:val="0"/>
                      <w:numId w:val="0"/>
                    </w:numPr>
                    <w:spacing w:before="0" w:line="240" w:lineRule="auto"/>
                    <w:ind w:left="189"/>
                    <w:rPr>
                      <w:b/>
                      <w:sz w:val="22"/>
                      <w:szCs w:val="22"/>
                      <w:lang w:val="en-GB" w:eastAsia="en-US"/>
                    </w:rPr>
                  </w:pPr>
                </w:p>
              </w:tc>
            </w:tr>
          </w:tbl>
          <w:p w14:paraId="40AE1B88" w14:textId="77777777" w:rsidR="009706F0" w:rsidRPr="001775D9" w:rsidRDefault="009706F0" w:rsidP="00FB5458">
            <w:pPr>
              <w:keepNext/>
              <w:keepLines/>
              <w:suppressAutoHyphens/>
              <w:autoSpaceDE w:val="0"/>
              <w:autoSpaceDN w:val="0"/>
              <w:adjustRightInd w:val="0"/>
              <w:spacing w:line="240" w:lineRule="auto"/>
              <w:textAlignment w:val="center"/>
              <w:rPr>
                <w:color w:val="000000"/>
                <w:szCs w:val="22"/>
              </w:rPr>
            </w:pPr>
          </w:p>
        </w:tc>
      </w:tr>
      <w:tr w:rsidR="009706F0" w:rsidRPr="00F04F82" w14:paraId="4FF2869A" w14:textId="77777777" w:rsidTr="00540FA8">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59C404A1" w14:textId="77777777" w:rsidR="009706F0" w:rsidRPr="001775D9" w:rsidRDefault="009706F0" w:rsidP="00FB5458">
            <w:pPr>
              <w:pStyle w:val="BULLETED"/>
              <w:keepNext/>
              <w:keepLines/>
              <w:widowControl/>
              <w:numPr>
                <w:ilvl w:val="0"/>
                <w:numId w:val="0"/>
              </w:numPr>
              <w:spacing w:before="0" w:line="240" w:lineRule="auto"/>
              <w:rPr>
                <w:sz w:val="22"/>
                <w:szCs w:val="22"/>
                <w:lang w:val="en-GB"/>
              </w:rPr>
            </w:pPr>
            <w:r w:rsidRPr="001775D9">
              <w:rPr>
                <w:b/>
                <w:spacing w:val="2"/>
                <w:sz w:val="22"/>
                <w:szCs w:val="22"/>
                <w:lang w:val="en-GB"/>
              </w:rPr>
              <w:t xml:space="preserve">Important: </w:t>
            </w:r>
            <w:r w:rsidRPr="001775D9">
              <w:rPr>
                <w:bCs/>
                <w:spacing w:val="2"/>
                <w:sz w:val="22"/>
                <w:szCs w:val="22"/>
                <w:lang w:val="en-GB"/>
              </w:rPr>
              <w:t>You must push all the way down but do not touch the blue start button until you are ready to inject.</w:t>
            </w:r>
          </w:p>
        </w:tc>
      </w:tr>
    </w:tbl>
    <w:p w14:paraId="2622B44A" w14:textId="77777777" w:rsidR="009706F0" w:rsidRPr="001775D9" w:rsidRDefault="009706F0" w:rsidP="00FB5458">
      <w:pPr>
        <w:pStyle w:val="BULLETED"/>
        <w:widowControl/>
        <w:numPr>
          <w:ilvl w:val="0"/>
          <w:numId w:val="0"/>
        </w:numPr>
        <w:spacing w:before="0" w:line="240" w:lineRule="auto"/>
        <w:rPr>
          <w:b/>
          <w:sz w:val="22"/>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6"/>
        <w:gridCol w:w="8649"/>
      </w:tblGrid>
      <w:tr w:rsidR="009706F0" w:rsidRPr="00F04F82" w14:paraId="27B4C0D5" w14:textId="77777777" w:rsidTr="00B7795B">
        <w:tc>
          <w:tcPr>
            <w:tcW w:w="29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C6B3568" w14:textId="77777777" w:rsidR="009706F0" w:rsidRPr="001775D9" w:rsidRDefault="009706F0" w:rsidP="00FB5458">
            <w:pPr>
              <w:keepLines/>
              <w:suppressAutoHyphens/>
              <w:autoSpaceDE w:val="0"/>
              <w:autoSpaceDN w:val="0"/>
              <w:adjustRightInd w:val="0"/>
              <w:spacing w:line="240" w:lineRule="auto"/>
              <w:textAlignment w:val="center"/>
              <w:rPr>
                <w:b/>
                <w:color w:val="000000"/>
                <w:szCs w:val="22"/>
              </w:rPr>
            </w:pPr>
            <w:r w:rsidRPr="001775D9">
              <w:rPr>
                <w:b/>
                <w:szCs w:val="22"/>
              </w:rPr>
              <w:t>I.</w:t>
            </w:r>
          </w:p>
        </w:tc>
        <w:tc>
          <w:tcPr>
            <w:tcW w:w="470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7EC84F0" w14:textId="77777777" w:rsidR="009706F0" w:rsidRPr="001775D9" w:rsidRDefault="009706F0" w:rsidP="00FB5458">
            <w:pPr>
              <w:keepLines/>
              <w:tabs>
                <w:tab w:val="clear" w:pos="567"/>
              </w:tabs>
              <w:autoSpaceDE w:val="0"/>
              <w:autoSpaceDN w:val="0"/>
              <w:adjustRightInd w:val="0"/>
              <w:spacing w:line="240" w:lineRule="auto"/>
              <w:rPr>
                <w:color w:val="000000"/>
                <w:szCs w:val="22"/>
              </w:rPr>
            </w:pPr>
            <w:r w:rsidRPr="001775D9">
              <w:rPr>
                <w:szCs w:val="22"/>
              </w:rPr>
              <w:t xml:space="preserve">When you are ready to inject, </w:t>
            </w:r>
            <w:r w:rsidRPr="001775D9">
              <w:rPr>
                <w:b/>
                <w:bCs/>
                <w:szCs w:val="22"/>
              </w:rPr>
              <w:t xml:space="preserve">press </w:t>
            </w:r>
            <w:r w:rsidRPr="001775D9">
              <w:rPr>
                <w:szCs w:val="22"/>
              </w:rPr>
              <w:t>the blue start button.</w:t>
            </w:r>
            <w:r w:rsidR="00B10FED" w:rsidRPr="001775D9">
              <w:rPr>
                <w:szCs w:val="22"/>
              </w:rPr>
              <w:t xml:space="preserve"> You will hear a click</w:t>
            </w:r>
            <w:r w:rsidR="00F713B0" w:rsidRPr="001775D9">
              <w:rPr>
                <w:szCs w:val="22"/>
              </w:rPr>
              <w:t>.</w:t>
            </w:r>
          </w:p>
        </w:tc>
      </w:tr>
      <w:tr w:rsidR="009706F0" w:rsidRPr="00F04F82" w14:paraId="7C0B407D" w14:textId="77777777" w:rsidTr="00B7795B">
        <w:trPr>
          <w:trHeight w:val="393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C567675" w14:textId="76A83BD3" w:rsidR="009706F0" w:rsidRPr="001775D9" w:rsidRDefault="00D96030" w:rsidP="00FB5458">
            <w:pPr>
              <w:suppressAutoHyphens/>
              <w:autoSpaceDE w:val="0"/>
              <w:autoSpaceDN w:val="0"/>
              <w:adjustRightInd w:val="0"/>
              <w:spacing w:line="240" w:lineRule="auto"/>
              <w:textAlignment w:val="center"/>
              <w:rPr>
                <w:color w:val="000000"/>
                <w:szCs w:val="22"/>
              </w:rPr>
            </w:pPr>
            <w:r>
              <w:pict w14:anchorId="4BE55C72">
                <v:shapetype id="_x0000_t202" coordsize="21600,21600" o:spt="202" path="m,l,21600r21600,l21600,xe">
                  <v:stroke joinstyle="miter"/>
                  <v:path gradientshapeok="t" o:connecttype="rect"/>
                </v:shapetype>
                <v:shape id="_x0000_s2078" type="#_x0000_t202" style="position:absolute;margin-left:34.1pt;margin-top:13.85pt;width:52.5pt;height:23.3pt;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" fillcolor="windowText" strokeweight=".5pt">
                  <v:path arrowok="t"/>
                  <v:textbox>
                    <w:txbxContent>
                      <w:p w14:paraId="75C6D782" w14:textId="77777777" w:rsidR="00D47253" w:rsidRPr="001775D9" w:rsidRDefault="00D47253" w:rsidP="009706F0">
                        <w:pPr>
                          <w:rPr>
                            <w:color w:val="FFFFFF"/>
                            <w:sz w:val="20"/>
                          </w:rPr>
                        </w:pPr>
                        <w:r w:rsidRPr="001775D9">
                          <w:rPr>
                            <w:b/>
                            <w:color w:val="FFFFFF"/>
                            <w:sz w:val="20"/>
                          </w:rPr>
                          <w:t>“Click”</w:t>
                        </w:r>
                      </w:p>
                    </w:txbxContent>
                  </v:textbox>
                </v:shape>
              </w:pict>
            </w:r>
            <w:r>
              <w:rPr>
                <w:lang w:eastAsia="en-GB"/>
              </w:rPr>
              <w:pict w14:anchorId="0232D5FA">
                <v:shape id="Picture 43" o:spid="_x0000_i1067" type="#_x0000_t75" style="width:262.5pt;height:164.5pt;visibility:visible;mso-wrap-style:square">
                  <v:imagedata r:id="rId57" o:title=""/>
                </v:shape>
              </w:pict>
            </w:r>
          </w:p>
        </w:tc>
      </w:tr>
    </w:tbl>
    <w:p w14:paraId="56B60162" w14:textId="77777777" w:rsidR="009706F0" w:rsidRPr="001775D9" w:rsidRDefault="009706F0" w:rsidP="00FB5458">
      <w:pPr>
        <w:pStyle w:val="BULLETED"/>
        <w:widowControl/>
        <w:numPr>
          <w:ilvl w:val="0"/>
          <w:numId w:val="0"/>
        </w:numPr>
        <w:spacing w:before="0" w:line="240" w:lineRule="auto"/>
        <w:rPr>
          <w:b/>
          <w:sz w:val="22"/>
          <w:szCs w:val="22"/>
          <w:lang w:val="en-GB"/>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45"/>
        <w:gridCol w:w="8485"/>
      </w:tblGrid>
      <w:tr w:rsidR="009706F0" w:rsidRPr="00F04F82" w14:paraId="70A8ED47" w14:textId="77777777" w:rsidTr="00B7795B">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F5FDDC0" w14:textId="77777777" w:rsidR="009706F0" w:rsidRPr="001775D9" w:rsidRDefault="009706F0" w:rsidP="00FB5458">
            <w:pPr>
              <w:keepNext/>
              <w:keepLines/>
              <w:suppressAutoHyphens/>
              <w:autoSpaceDE w:val="0"/>
              <w:autoSpaceDN w:val="0"/>
              <w:adjustRightInd w:val="0"/>
              <w:spacing w:line="240" w:lineRule="auto"/>
              <w:textAlignment w:val="center"/>
              <w:rPr>
                <w:b/>
                <w:color w:val="000000"/>
                <w:szCs w:val="22"/>
              </w:rPr>
            </w:pPr>
            <w:r w:rsidRPr="001775D9">
              <w:rPr>
                <w:b/>
                <w:szCs w:val="22"/>
              </w:rPr>
              <w:t>J.</w:t>
            </w:r>
          </w:p>
        </w:tc>
        <w:tc>
          <w:tcPr>
            <w:tcW w:w="464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BCADDBA" w14:textId="77777777" w:rsidR="009706F0" w:rsidRPr="001775D9" w:rsidRDefault="009706F0" w:rsidP="00FB5458">
            <w:pPr>
              <w:keepNext/>
              <w:keepLines/>
              <w:tabs>
                <w:tab w:val="clear" w:pos="567"/>
              </w:tabs>
              <w:autoSpaceDE w:val="0"/>
              <w:autoSpaceDN w:val="0"/>
              <w:adjustRightInd w:val="0"/>
              <w:spacing w:line="240" w:lineRule="auto"/>
              <w:rPr>
                <w:color w:val="000000"/>
                <w:szCs w:val="22"/>
              </w:rPr>
            </w:pPr>
            <w:r w:rsidRPr="001775D9">
              <w:rPr>
                <w:szCs w:val="22"/>
              </w:rPr>
              <w:t xml:space="preserve">Keep </w:t>
            </w:r>
            <w:r w:rsidRPr="001775D9">
              <w:rPr>
                <w:b/>
                <w:bCs/>
                <w:szCs w:val="22"/>
              </w:rPr>
              <w:t xml:space="preserve">pushing </w:t>
            </w:r>
            <w:r w:rsidRPr="001775D9">
              <w:rPr>
                <w:szCs w:val="22"/>
              </w:rPr>
              <w:t>down on your skin. Your injection could take about 10 seconds.</w:t>
            </w:r>
          </w:p>
        </w:tc>
      </w:tr>
      <w:tr w:rsidR="009706F0" w:rsidRPr="00F04F82" w14:paraId="6B3CF5BA" w14:textId="77777777" w:rsidTr="00B7795B">
        <w:trPr>
          <w:trHeight w:val="293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9072" w:type="dxa"/>
              <w:tblLayout w:type="fixed"/>
              <w:tblLook w:val="04A0" w:firstRow="1" w:lastRow="0" w:firstColumn="1" w:lastColumn="0" w:noHBand="0" w:noVBand="1"/>
            </w:tblPr>
            <w:tblGrid>
              <w:gridCol w:w="3196"/>
              <w:gridCol w:w="2900"/>
              <w:gridCol w:w="1292"/>
              <w:gridCol w:w="1684"/>
            </w:tblGrid>
            <w:tr w:rsidR="009706F0" w:rsidRPr="00F04F82" w14:paraId="26BA4784" w14:textId="77777777" w:rsidTr="00B7795B">
              <w:tc>
                <w:tcPr>
                  <w:tcW w:w="6096" w:type="dxa"/>
                  <w:gridSpan w:val="2"/>
                  <w:vMerge w:val="restart"/>
                </w:tcPr>
                <w:p w14:paraId="1BA3AC4A" w14:textId="584C792C" w:rsidR="009706F0" w:rsidRPr="00D55B59" w:rsidRDefault="00D96030" w:rsidP="00FB5458">
                  <w:pPr>
                    <w:pStyle w:val="BULLETED"/>
                    <w:keepNext/>
                    <w:keepLines/>
                    <w:widowControl/>
                    <w:numPr>
                      <w:ilvl w:val="0"/>
                      <w:numId w:val="0"/>
                    </w:numPr>
                    <w:spacing w:before="0"/>
                    <w:rPr>
                      <w:szCs w:val="22"/>
                      <w:lang w:val="en-GB"/>
                      <w:rPrChange w:id="3917" w:author="Author">
                        <w:rPr>
                          <w:szCs w:val="22"/>
                        </w:rPr>
                      </w:rPrChange>
                    </w:rPr>
                  </w:pPr>
                  <w:r>
                    <w:rPr>
                      <w:lang w:val="en-GB"/>
                    </w:rPr>
                    <w:pict w14:anchorId="3D3B8522">
                      <v:shape id="Text Box 2" o:spid="_x0000_s2077" type="#_x0000_t202" style="position:absolute;margin-left:28.35pt;margin-top:17.1pt;width:49.1pt;height:18.6pt;z-index: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" fillcolor="windowText" strokeweight=".5pt">
                        <v:path arrowok="t"/>
                        <v:textbox>
                          <w:txbxContent>
                            <w:p w14:paraId="7747E8CE" w14:textId="77777777" w:rsidR="00D47253" w:rsidRPr="001775D9" w:rsidRDefault="00D47253" w:rsidP="009706F0">
                              <w:pPr>
                                <w:rPr>
                                  <w:color w:val="FFFFFF"/>
                                  <w:sz w:val="20"/>
                                </w:rPr>
                              </w:pPr>
                              <w:r w:rsidRPr="001775D9">
                                <w:rPr>
                                  <w:b/>
                                  <w:color w:val="FFFFFF"/>
                                  <w:sz w:val="20"/>
                                </w:rPr>
                                <w:t>“Click”</w:t>
                              </w:r>
                            </w:p>
                          </w:txbxContent>
                        </v:textbox>
                      </v:shape>
                    </w:pict>
                  </w:r>
                  <w:r>
                    <w:rPr>
                      <w:lang w:val="en-GB" w:eastAsia="en-GB"/>
                    </w:rPr>
                    <w:pict w14:anchorId="7124FECB">
                      <v:shape id="Picture 44" o:spid="_x0000_i1068" type="#_x0000_t75" style="width:283pt;height:175pt;visibility:visible;mso-wrap-style:square">
                        <v:imagedata r:id="rId58" o:title=""/>
                      </v:shape>
                    </w:pict>
                  </w:r>
                  <w:r w:rsidR="009706F0" w:rsidRPr="00D55B59">
                    <w:rPr>
                      <w:rFonts w:ascii="Verdana" w:hAnsi="Verdana" w:cs="Arial"/>
                      <w:sz w:val="14"/>
                      <w:szCs w:val="14"/>
                      <w:lang w:val="en-GB" w:eastAsia="en-US"/>
                      <w:rPrChange w:id="3918" w:author="Author">
                        <w:rPr>
                          <w:rFonts w:ascii="Verdana" w:hAnsi="Verdana" w:cs="Arial"/>
                          <w:noProof/>
                          <w:sz w:val="14"/>
                          <w:szCs w:val="14"/>
                          <w:lang w:eastAsia="en-US"/>
                        </w:rPr>
                      </w:rPrChange>
                    </w:rPr>
                    <w:t xml:space="preserve">    </w:t>
                  </w:r>
                </w:p>
              </w:tc>
              <w:tc>
                <w:tcPr>
                  <w:tcW w:w="1292" w:type="dxa"/>
                </w:tcPr>
                <w:p w14:paraId="71155125" w14:textId="77777777" w:rsidR="009706F0" w:rsidRPr="001775D9" w:rsidRDefault="009706F0" w:rsidP="00FB5458">
                  <w:pPr>
                    <w:keepNext/>
                    <w:keepLines/>
                    <w:suppressAutoHyphens/>
                    <w:autoSpaceDE w:val="0"/>
                    <w:autoSpaceDN w:val="0"/>
                    <w:adjustRightInd w:val="0"/>
                    <w:spacing w:line="240" w:lineRule="auto"/>
                    <w:jc w:val="center"/>
                    <w:textAlignment w:val="center"/>
                    <w:rPr>
                      <w:color w:val="000000"/>
                      <w:szCs w:val="22"/>
                    </w:rPr>
                  </w:pPr>
                  <w:r w:rsidRPr="001775D9">
                    <w:rPr>
                      <w:b/>
                      <w:color w:val="000000"/>
                      <w:szCs w:val="22"/>
                    </w:rPr>
                    <w:t>~10s</w:t>
                  </w:r>
                </w:p>
              </w:tc>
              <w:tc>
                <w:tcPr>
                  <w:tcW w:w="1684" w:type="dxa"/>
                </w:tcPr>
                <w:p w14:paraId="59D6F678" w14:textId="77777777" w:rsidR="009706F0" w:rsidRPr="001775D9" w:rsidRDefault="009706F0" w:rsidP="00FB5458">
                  <w:pPr>
                    <w:keepNext/>
                    <w:keepLines/>
                    <w:suppressAutoHyphens/>
                    <w:autoSpaceDE w:val="0"/>
                    <w:autoSpaceDN w:val="0"/>
                    <w:adjustRightInd w:val="0"/>
                    <w:spacing w:line="240" w:lineRule="auto"/>
                    <w:textAlignment w:val="center"/>
                    <w:rPr>
                      <w:color w:val="000000"/>
                      <w:szCs w:val="22"/>
                    </w:rPr>
                  </w:pPr>
                </w:p>
              </w:tc>
            </w:tr>
            <w:tr w:rsidR="009706F0" w:rsidRPr="00F04F82" w14:paraId="26CB6C36" w14:textId="77777777" w:rsidTr="00B7795B">
              <w:trPr>
                <w:trHeight w:val="960"/>
              </w:trPr>
              <w:tc>
                <w:tcPr>
                  <w:tcW w:w="6096" w:type="dxa"/>
                  <w:gridSpan w:val="2"/>
                  <w:vMerge/>
                </w:tcPr>
                <w:p w14:paraId="53565856" w14:textId="77777777" w:rsidR="009706F0" w:rsidRPr="00F04F82" w:rsidRDefault="009706F0" w:rsidP="00FB5458">
                  <w:pPr>
                    <w:keepNext/>
                    <w:keepLines/>
                    <w:suppressAutoHyphens/>
                    <w:autoSpaceDE w:val="0"/>
                    <w:autoSpaceDN w:val="0"/>
                    <w:adjustRightInd w:val="0"/>
                    <w:spacing w:line="240" w:lineRule="auto"/>
                    <w:textAlignment w:val="center"/>
                    <w:rPr>
                      <w:color w:val="000000"/>
                      <w:szCs w:val="22"/>
                    </w:rPr>
                  </w:pPr>
                </w:p>
              </w:tc>
              <w:tc>
                <w:tcPr>
                  <w:tcW w:w="1292" w:type="dxa"/>
                </w:tcPr>
                <w:p w14:paraId="3287BCBA" w14:textId="53480946" w:rsidR="009706F0" w:rsidRPr="001775D9" w:rsidRDefault="00D96030" w:rsidP="00FB5458">
                  <w:pPr>
                    <w:keepNext/>
                    <w:keepLines/>
                    <w:suppressAutoHyphens/>
                    <w:autoSpaceDE w:val="0"/>
                    <w:autoSpaceDN w:val="0"/>
                    <w:adjustRightInd w:val="0"/>
                    <w:spacing w:line="240" w:lineRule="auto"/>
                    <w:jc w:val="center"/>
                    <w:textAlignment w:val="center"/>
                    <w:rPr>
                      <w:color w:val="000000"/>
                      <w:szCs w:val="22"/>
                    </w:rPr>
                  </w:pPr>
                  <w:r>
                    <w:rPr>
                      <w:lang w:eastAsia="en-GB"/>
                    </w:rPr>
                    <w:pict w14:anchorId="1E9EF93A">
                      <v:shape id="Picture 45" o:spid="_x0000_i1069" type="#_x0000_t75" alt="SYM0152 v2" style="width:46pt;height:46pt;visibility:visible;mso-wrap-style:square">
                        <v:imagedata r:id="rId59" o:title="SYM0152 v2"/>
                      </v:shape>
                    </w:pict>
                  </w:r>
                </w:p>
              </w:tc>
              <w:tc>
                <w:tcPr>
                  <w:tcW w:w="1684" w:type="dxa"/>
                </w:tcPr>
                <w:p w14:paraId="1C5FEB1D" w14:textId="02AB6E99" w:rsidR="009706F0" w:rsidRPr="001775D9" w:rsidRDefault="00D96030" w:rsidP="00FB5458">
                  <w:pPr>
                    <w:keepNext/>
                    <w:keepLines/>
                    <w:suppressAutoHyphens/>
                    <w:autoSpaceDE w:val="0"/>
                    <w:autoSpaceDN w:val="0"/>
                    <w:adjustRightInd w:val="0"/>
                    <w:spacing w:line="240" w:lineRule="auto"/>
                    <w:textAlignment w:val="center"/>
                    <w:rPr>
                      <w:color w:val="000000"/>
                      <w:szCs w:val="22"/>
                    </w:rPr>
                  </w:pPr>
                  <w:r>
                    <w:pict w14:anchorId="0D39FFA6">
                      <v:shape id="Picture 60" o:spid="_x0000_s2076" type="#_x0000_t75" style="position:absolute;margin-left:-5.4pt;margin-top:.3pt;width:76.3pt;height:76.9pt;z-index: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60" o:title=""/>
                        <w10:wrap type="square"/>
                      </v:shape>
                    </w:pict>
                  </w:r>
                </w:p>
              </w:tc>
            </w:tr>
            <w:tr w:rsidR="009706F0" w:rsidRPr="00F04F82" w14:paraId="3862570D" w14:textId="77777777" w:rsidTr="00B7795B">
              <w:trPr>
                <w:trHeight w:val="2116"/>
              </w:trPr>
              <w:tc>
                <w:tcPr>
                  <w:tcW w:w="6096" w:type="dxa"/>
                  <w:gridSpan w:val="2"/>
                  <w:vMerge/>
                </w:tcPr>
                <w:p w14:paraId="650321B1" w14:textId="77777777" w:rsidR="009706F0" w:rsidRPr="00F04F82" w:rsidRDefault="009706F0" w:rsidP="00FB5458">
                  <w:pPr>
                    <w:keepNext/>
                    <w:keepLines/>
                    <w:suppressAutoHyphens/>
                    <w:autoSpaceDE w:val="0"/>
                    <w:autoSpaceDN w:val="0"/>
                    <w:adjustRightInd w:val="0"/>
                    <w:spacing w:line="240" w:lineRule="auto"/>
                    <w:textAlignment w:val="center"/>
                    <w:rPr>
                      <w:color w:val="000000"/>
                      <w:szCs w:val="22"/>
                    </w:rPr>
                  </w:pPr>
                </w:p>
              </w:tc>
              <w:tc>
                <w:tcPr>
                  <w:tcW w:w="2976" w:type="dxa"/>
                  <w:gridSpan w:val="2"/>
                </w:tcPr>
                <w:p w14:paraId="4430677B" w14:textId="77777777" w:rsidR="009706F0" w:rsidRPr="001775D9" w:rsidRDefault="009706F0" w:rsidP="00FB5458">
                  <w:pPr>
                    <w:keepNext/>
                    <w:keepLines/>
                    <w:autoSpaceDE w:val="0"/>
                    <w:autoSpaceDN w:val="0"/>
                    <w:adjustRightInd w:val="0"/>
                    <w:spacing w:line="240" w:lineRule="auto"/>
                    <w:jc w:val="both"/>
                    <w:textAlignment w:val="center"/>
                    <w:rPr>
                      <w:color w:val="000000"/>
                      <w:szCs w:val="22"/>
                    </w:rPr>
                  </w:pPr>
                  <w:r w:rsidRPr="001775D9">
                    <w:rPr>
                      <w:color w:val="000000"/>
                      <w:szCs w:val="22"/>
                    </w:rPr>
                    <w:t xml:space="preserve">The window turns yellow </w:t>
                  </w:r>
                  <w:r w:rsidR="00B10FED" w:rsidRPr="001775D9">
                    <w:rPr>
                      <w:color w:val="000000"/>
                      <w:szCs w:val="22"/>
                    </w:rPr>
                    <w:t>w</w:t>
                  </w:r>
                  <w:r w:rsidRPr="001775D9">
                    <w:rPr>
                      <w:color w:val="000000"/>
                      <w:szCs w:val="22"/>
                    </w:rPr>
                    <w:t>hen the injection is done</w:t>
                  </w:r>
                  <w:r w:rsidR="00B10FED" w:rsidRPr="001775D9">
                    <w:rPr>
                      <w:color w:val="000000"/>
                      <w:szCs w:val="22"/>
                    </w:rPr>
                    <w:t>.</w:t>
                  </w:r>
                </w:p>
                <w:p w14:paraId="0FFEADE8" w14:textId="77777777" w:rsidR="00B10FED" w:rsidRPr="001775D9" w:rsidRDefault="00B10FED" w:rsidP="00FB5458">
                  <w:pPr>
                    <w:keepNext/>
                    <w:keepLines/>
                    <w:autoSpaceDE w:val="0"/>
                    <w:autoSpaceDN w:val="0"/>
                    <w:adjustRightInd w:val="0"/>
                    <w:spacing w:line="240" w:lineRule="auto"/>
                    <w:jc w:val="both"/>
                    <w:textAlignment w:val="center"/>
                    <w:rPr>
                      <w:color w:val="000000"/>
                      <w:szCs w:val="22"/>
                    </w:rPr>
                  </w:pPr>
                  <w:r w:rsidRPr="001775D9">
                    <w:rPr>
                      <w:color w:val="000000"/>
                      <w:szCs w:val="22"/>
                    </w:rPr>
                    <w:t>You may hear a second click.</w:t>
                  </w:r>
                </w:p>
              </w:tc>
            </w:tr>
            <w:tr w:rsidR="009706F0" w:rsidRPr="00F04F82" w14:paraId="0D1CF614" w14:textId="77777777" w:rsidTr="00B7795B">
              <w:trPr>
                <w:trHeight w:val="1835"/>
              </w:trPr>
              <w:tc>
                <w:tcPr>
                  <w:tcW w:w="3196" w:type="dxa"/>
                  <w:tcMar>
                    <w:left w:w="0" w:type="dxa"/>
                    <w:right w:w="0" w:type="dxa"/>
                  </w:tcMar>
                </w:tcPr>
                <w:p w14:paraId="2FB26949" w14:textId="503D619A" w:rsidR="009706F0" w:rsidRPr="001775D9" w:rsidRDefault="00D96030" w:rsidP="00FB5458">
                  <w:pPr>
                    <w:keepNext/>
                    <w:keepLines/>
                    <w:suppressAutoHyphens/>
                    <w:autoSpaceDE w:val="0"/>
                    <w:autoSpaceDN w:val="0"/>
                    <w:adjustRightInd w:val="0"/>
                    <w:spacing w:line="240" w:lineRule="auto"/>
                    <w:textAlignment w:val="center"/>
                    <w:rPr>
                      <w:color w:val="000000"/>
                      <w:szCs w:val="22"/>
                    </w:rPr>
                  </w:pPr>
                  <w:r>
                    <w:rPr>
                      <w:color w:val="000000"/>
                      <w:szCs w:val="22"/>
                    </w:rPr>
                    <w:pict w14:anchorId="570B4B25">
                      <v:shape id="_x0000_i1070" type="#_x0000_t75" style="width:82.5pt;height:77.5pt;visibility:visible;mso-wrap-style:square">
                        <v:imagedata r:id="rId61" o:title=""/>
                      </v:shape>
                    </w:pict>
                  </w:r>
                </w:p>
              </w:tc>
              <w:tc>
                <w:tcPr>
                  <w:tcW w:w="5876" w:type="dxa"/>
                  <w:gridSpan w:val="3"/>
                  <w:tcMar>
                    <w:top w:w="142" w:type="dxa"/>
                  </w:tcMar>
                </w:tcPr>
                <w:p w14:paraId="6A7DEE02" w14:textId="77777777" w:rsidR="009706F0" w:rsidRPr="001775D9" w:rsidRDefault="009706F0" w:rsidP="00FB5458">
                  <w:pPr>
                    <w:keepNext/>
                    <w:keepLines/>
                    <w:suppressAutoHyphens/>
                    <w:autoSpaceDE w:val="0"/>
                    <w:autoSpaceDN w:val="0"/>
                    <w:adjustRightInd w:val="0"/>
                    <w:spacing w:line="240" w:lineRule="auto"/>
                    <w:textAlignment w:val="center"/>
                    <w:rPr>
                      <w:color w:val="000000"/>
                      <w:szCs w:val="22"/>
                    </w:rPr>
                  </w:pPr>
                  <w:r w:rsidRPr="001775D9">
                    <w:rPr>
                      <w:b/>
                      <w:bCs/>
                      <w:color w:val="000000"/>
                      <w:szCs w:val="22"/>
                    </w:rPr>
                    <w:t xml:space="preserve">Note: </w:t>
                  </w:r>
                  <w:r w:rsidRPr="001775D9">
                    <w:rPr>
                      <w:color w:val="000000"/>
                      <w:szCs w:val="22"/>
                    </w:rPr>
                    <w:t xml:space="preserve">After you remove the pre-filled pen from your </w:t>
                  </w:r>
                </w:p>
                <w:p w14:paraId="7C20B06B" w14:textId="77777777" w:rsidR="009706F0" w:rsidRPr="001775D9" w:rsidRDefault="009706F0" w:rsidP="00FB5458">
                  <w:pPr>
                    <w:pStyle w:val="BULLETED"/>
                    <w:keepNext/>
                    <w:keepLines/>
                    <w:widowControl/>
                    <w:numPr>
                      <w:ilvl w:val="0"/>
                      <w:numId w:val="0"/>
                    </w:numPr>
                    <w:spacing w:before="0" w:line="240" w:lineRule="auto"/>
                    <w:rPr>
                      <w:sz w:val="22"/>
                      <w:szCs w:val="22"/>
                      <w:lang w:val="en-GB"/>
                    </w:rPr>
                  </w:pPr>
                  <w:r w:rsidRPr="001775D9">
                    <w:rPr>
                      <w:sz w:val="22"/>
                      <w:szCs w:val="22"/>
                      <w:lang w:val="en-GB"/>
                    </w:rPr>
                    <w:t>skin, the needle will be automatically covered.</w:t>
                  </w:r>
                </w:p>
              </w:tc>
            </w:tr>
            <w:tr w:rsidR="009706F0" w:rsidRPr="00F04F82" w14:paraId="7EA67808" w14:textId="77777777" w:rsidTr="00B7795B">
              <w:tc>
                <w:tcPr>
                  <w:tcW w:w="9072" w:type="dxa"/>
                  <w:gridSpan w:val="4"/>
                </w:tcPr>
                <w:p w14:paraId="2B1924D3" w14:textId="77777777" w:rsidR="009706F0" w:rsidRPr="001775D9" w:rsidRDefault="009706F0" w:rsidP="00FB5458">
                  <w:pPr>
                    <w:keepNext/>
                    <w:keepLines/>
                    <w:suppressAutoHyphens/>
                    <w:autoSpaceDE w:val="0"/>
                    <w:autoSpaceDN w:val="0"/>
                    <w:adjustRightInd w:val="0"/>
                    <w:spacing w:line="240" w:lineRule="auto"/>
                    <w:textAlignment w:val="center"/>
                    <w:rPr>
                      <w:color w:val="000000"/>
                      <w:szCs w:val="22"/>
                    </w:rPr>
                  </w:pPr>
                  <w:r w:rsidRPr="001775D9">
                    <w:rPr>
                      <w:b/>
                      <w:szCs w:val="22"/>
                    </w:rPr>
                    <w:t>Important:</w:t>
                  </w:r>
                  <w:r w:rsidRPr="001775D9">
                    <w:rPr>
                      <w:szCs w:val="22"/>
                    </w:rPr>
                    <w:t xml:space="preserve"> When you remove the pre-filled pen, if the window has not turned yellow, or if it looks like the medicine is still injecting, this means you have not received a full dose. Call your doctor immediately.</w:t>
                  </w:r>
                </w:p>
              </w:tc>
            </w:tr>
          </w:tbl>
          <w:p w14:paraId="5357D2C0" w14:textId="77777777" w:rsidR="009706F0" w:rsidRPr="001775D9" w:rsidRDefault="009706F0" w:rsidP="00FB5458">
            <w:pPr>
              <w:keepNext/>
              <w:keepLines/>
              <w:suppressAutoHyphens/>
              <w:autoSpaceDE w:val="0"/>
              <w:autoSpaceDN w:val="0"/>
              <w:adjustRightInd w:val="0"/>
              <w:spacing w:line="240" w:lineRule="auto"/>
              <w:textAlignment w:val="center"/>
              <w:rPr>
                <w:color w:val="000000"/>
                <w:szCs w:val="22"/>
              </w:rPr>
            </w:pPr>
          </w:p>
        </w:tc>
      </w:tr>
    </w:tbl>
    <w:p w14:paraId="1CABC294" w14:textId="77777777" w:rsidR="009706F0" w:rsidRPr="001775D9" w:rsidRDefault="009706F0" w:rsidP="00FB5458">
      <w:pPr>
        <w:pStyle w:val="SUBSTEP"/>
        <w:widowControl/>
        <w:spacing w:before="0" w:line="240" w:lineRule="auto"/>
        <w:ind w:left="0" w:firstLine="0"/>
        <w:rPr>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85"/>
      </w:tblGrid>
      <w:tr w:rsidR="009706F0" w:rsidRPr="00F04F82" w14:paraId="369B8466" w14:textId="77777777" w:rsidTr="00B7795B">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5471B9" w14:textId="77777777" w:rsidR="009706F0" w:rsidRPr="001775D9" w:rsidRDefault="009706F0" w:rsidP="00FB5458">
            <w:pPr>
              <w:pStyle w:val="BULLETED"/>
              <w:keepNext/>
              <w:keepLines/>
              <w:widowControl/>
              <w:numPr>
                <w:ilvl w:val="0"/>
                <w:numId w:val="0"/>
              </w:numPr>
              <w:spacing w:before="0" w:line="240" w:lineRule="auto"/>
              <w:jc w:val="center"/>
              <w:rPr>
                <w:b/>
                <w:sz w:val="22"/>
                <w:szCs w:val="22"/>
                <w:lang w:val="en-GB"/>
              </w:rPr>
            </w:pPr>
            <w:r w:rsidRPr="001775D9">
              <w:rPr>
                <w:b/>
                <w:sz w:val="22"/>
                <w:szCs w:val="22"/>
                <w:lang w:val="en-GB"/>
              </w:rPr>
              <w:t>Step 4: Finish</w:t>
            </w:r>
          </w:p>
        </w:tc>
      </w:tr>
    </w:tbl>
    <w:p w14:paraId="07330DC2" w14:textId="77777777" w:rsidR="009706F0" w:rsidRPr="001775D9" w:rsidRDefault="009706F0" w:rsidP="00FB5458">
      <w:pPr>
        <w:keepNext/>
        <w:keepLines/>
        <w:spacing w:line="240" w:lineRule="auto"/>
        <w:ind w:left="567" w:hanging="567"/>
        <w:rPr>
          <w:b/>
          <w:bCs/>
          <w:szCs w:val="2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0"/>
        <w:gridCol w:w="17"/>
        <w:gridCol w:w="8630"/>
      </w:tblGrid>
      <w:tr w:rsidR="009706F0" w:rsidRPr="00F04F82" w14:paraId="6C705D55" w14:textId="77777777" w:rsidTr="00B7795B">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CA370A4" w14:textId="77777777" w:rsidR="009706F0" w:rsidRPr="001775D9" w:rsidRDefault="009706F0" w:rsidP="00FB5458">
            <w:pPr>
              <w:keepNext/>
              <w:keepLines/>
              <w:suppressAutoHyphens/>
              <w:autoSpaceDE w:val="0"/>
              <w:autoSpaceDN w:val="0"/>
              <w:adjustRightInd w:val="0"/>
              <w:spacing w:line="240" w:lineRule="auto"/>
              <w:textAlignment w:val="center"/>
              <w:rPr>
                <w:b/>
                <w:color w:val="000000"/>
                <w:szCs w:val="22"/>
              </w:rPr>
            </w:pPr>
            <w:r w:rsidRPr="001775D9">
              <w:rPr>
                <w:b/>
                <w:szCs w:val="22"/>
              </w:rPr>
              <w:t>K.</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5252104" w14:textId="77777777" w:rsidR="009706F0" w:rsidRPr="001775D9" w:rsidRDefault="009706F0" w:rsidP="00FB5458">
            <w:pPr>
              <w:keepNext/>
              <w:keepLines/>
              <w:tabs>
                <w:tab w:val="clear" w:pos="567"/>
              </w:tabs>
              <w:autoSpaceDE w:val="0"/>
              <w:autoSpaceDN w:val="0"/>
              <w:adjustRightInd w:val="0"/>
              <w:spacing w:line="240" w:lineRule="auto"/>
              <w:rPr>
                <w:color w:val="000000"/>
                <w:szCs w:val="22"/>
              </w:rPr>
            </w:pPr>
            <w:r w:rsidRPr="001775D9">
              <w:rPr>
                <w:szCs w:val="22"/>
              </w:rPr>
              <w:t>Discard the used pre-filled pen and the yellow cap.</w:t>
            </w:r>
          </w:p>
        </w:tc>
      </w:tr>
      <w:tr w:rsidR="009706F0" w:rsidRPr="00F04F82" w14:paraId="4062707F" w14:textId="77777777" w:rsidTr="00B7795B">
        <w:trPr>
          <w:trHeight w:val="3930"/>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2DB97FA4" w14:textId="2F409928" w:rsidR="009706F0" w:rsidRPr="001775D9" w:rsidRDefault="00D96030" w:rsidP="00FB5458">
            <w:pPr>
              <w:keepNext/>
              <w:keepLines/>
              <w:suppressAutoHyphens/>
              <w:autoSpaceDE w:val="0"/>
              <w:autoSpaceDN w:val="0"/>
              <w:adjustRightInd w:val="0"/>
              <w:spacing w:line="240" w:lineRule="auto"/>
              <w:textAlignment w:val="center"/>
              <w:rPr>
                <w:color w:val="000000"/>
                <w:szCs w:val="22"/>
              </w:rPr>
            </w:pPr>
            <w:r>
              <w:rPr>
                <w:rFonts w:ascii="Verdana" w:hAnsi="Verdana" w:cs="Arial"/>
                <w:szCs w:val="22"/>
                <w:lang w:eastAsia="en-GB"/>
              </w:rPr>
              <w:pict w14:anchorId="7CD13046">
                <v:shape id="_x0000_i1071" type="#_x0000_t75" style="width:2in;height:185pt;visibility:visible;mso-wrap-style:square">
                  <v:imagedata r:id="rId62" o:title=""/>
                </v:shape>
              </w:pict>
            </w:r>
          </w:p>
        </w:tc>
      </w:tr>
      <w:tr w:rsidR="009706F0" w:rsidRPr="00F04F82" w14:paraId="28212F50" w14:textId="77777777" w:rsidTr="00B7795B">
        <w:tc>
          <w:tcPr>
            <w:tcW w:w="303" w:type="pct"/>
            <w:gridSpan w:val="2"/>
            <w:tcBorders>
              <w:top w:val="nil"/>
              <w:left w:val="single" w:sz="4" w:space="0" w:color="auto"/>
              <w:bottom w:val="nil"/>
              <w:right w:val="nil"/>
            </w:tcBorders>
            <w:tcMar>
              <w:top w:w="28" w:type="dxa"/>
              <w:left w:w="57" w:type="dxa"/>
              <w:bottom w:w="28" w:type="dxa"/>
              <w:right w:w="57" w:type="dxa"/>
            </w:tcMar>
          </w:tcPr>
          <w:p w14:paraId="1B82A1A3" w14:textId="77777777" w:rsidR="009706F0" w:rsidRPr="001775D9" w:rsidRDefault="009706F0" w:rsidP="00FB5458">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7D7FBA76" w14:textId="77777777" w:rsidR="009706F0" w:rsidRPr="001775D9" w:rsidRDefault="009706F0" w:rsidP="00FB5458">
            <w:pPr>
              <w:keepNext/>
              <w:keepLines/>
              <w:tabs>
                <w:tab w:val="clear" w:pos="567"/>
              </w:tabs>
              <w:autoSpaceDE w:val="0"/>
              <w:autoSpaceDN w:val="0"/>
              <w:adjustRightInd w:val="0"/>
              <w:spacing w:line="240" w:lineRule="auto"/>
              <w:rPr>
                <w:rFonts w:eastAsia="Calibri"/>
                <w:szCs w:val="22"/>
              </w:rPr>
            </w:pPr>
            <w:r w:rsidRPr="001775D9">
              <w:rPr>
                <w:rFonts w:eastAsia="Calibri"/>
                <w:szCs w:val="22"/>
              </w:rPr>
              <w:t xml:space="preserve">Put the used pre-filled pen in a sharps disposal container immediately after use. </w:t>
            </w:r>
            <w:r w:rsidRPr="001775D9">
              <w:rPr>
                <w:rFonts w:eastAsia="Calibri"/>
                <w:b/>
                <w:szCs w:val="22"/>
              </w:rPr>
              <w:t xml:space="preserve">Do not </w:t>
            </w:r>
            <w:r w:rsidRPr="001775D9">
              <w:rPr>
                <w:rFonts w:eastAsia="Calibri"/>
                <w:szCs w:val="22"/>
              </w:rPr>
              <w:t>throw away (dispose of) the pre-filled pen in your household waste.</w:t>
            </w:r>
          </w:p>
        </w:tc>
      </w:tr>
      <w:tr w:rsidR="009706F0" w:rsidRPr="00F04F82" w14:paraId="626624AD" w14:textId="77777777" w:rsidTr="00B7795B">
        <w:tc>
          <w:tcPr>
            <w:tcW w:w="303" w:type="pct"/>
            <w:gridSpan w:val="2"/>
            <w:tcBorders>
              <w:top w:val="nil"/>
              <w:left w:val="single" w:sz="4" w:space="0" w:color="auto"/>
              <w:bottom w:val="nil"/>
              <w:right w:val="nil"/>
            </w:tcBorders>
            <w:tcMar>
              <w:top w:w="28" w:type="dxa"/>
              <w:left w:w="57" w:type="dxa"/>
              <w:bottom w:w="28" w:type="dxa"/>
              <w:right w:w="57" w:type="dxa"/>
            </w:tcMar>
          </w:tcPr>
          <w:p w14:paraId="1C20E003" w14:textId="77777777" w:rsidR="009706F0" w:rsidRPr="001775D9" w:rsidRDefault="009706F0" w:rsidP="00FB5458">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343EA5A9" w14:textId="77777777" w:rsidR="009706F0" w:rsidRPr="001775D9" w:rsidRDefault="009706F0" w:rsidP="00FB5458">
            <w:pPr>
              <w:keepNext/>
              <w:keepLines/>
              <w:tabs>
                <w:tab w:val="clear" w:pos="567"/>
              </w:tabs>
              <w:suppressAutoHyphens/>
              <w:autoSpaceDE w:val="0"/>
              <w:autoSpaceDN w:val="0"/>
              <w:adjustRightInd w:val="0"/>
              <w:spacing w:line="240" w:lineRule="auto"/>
              <w:textAlignment w:val="center"/>
              <w:rPr>
                <w:color w:val="000000"/>
                <w:szCs w:val="22"/>
              </w:rPr>
            </w:pPr>
            <w:r w:rsidRPr="001775D9">
              <w:rPr>
                <w:rFonts w:eastAsia="Calibri"/>
                <w:szCs w:val="22"/>
              </w:rPr>
              <w:t>Talk with your doctor or pharmacist about proper disposal. There may be local guidelines for disposal.</w:t>
            </w:r>
          </w:p>
        </w:tc>
      </w:tr>
      <w:tr w:rsidR="009706F0" w:rsidRPr="00F04F82" w14:paraId="60E1A435" w14:textId="77777777" w:rsidTr="00B7795B">
        <w:tc>
          <w:tcPr>
            <w:tcW w:w="303" w:type="pct"/>
            <w:gridSpan w:val="2"/>
            <w:tcBorders>
              <w:top w:val="nil"/>
              <w:left w:val="single" w:sz="4" w:space="0" w:color="auto"/>
              <w:bottom w:val="nil"/>
              <w:right w:val="nil"/>
            </w:tcBorders>
            <w:tcMar>
              <w:top w:w="28" w:type="dxa"/>
              <w:left w:w="57" w:type="dxa"/>
              <w:bottom w:w="28" w:type="dxa"/>
              <w:right w:w="57" w:type="dxa"/>
            </w:tcMar>
          </w:tcPr>
          <w:p w14:paraId="0399EA5A" w14:textId="77777777" w:rsidR="009706F0" w:rsidRPr="001775D9" w:rsidRDefault="009706F0" w:rsidP="00FB5458">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42C02895" w14:textId="77777777" w:rsidR="009706F0" w:rsidRPr="001775D9" w:rsidRDefault="009706F0" w:rsidP="00FB5458">
            <w:pPr>
              <w:keepNext/>
              <w:keepLines/>
              <w:tabs>
                <w:tab w:val="clear" w:pos="567"/>
              </w:tabs>
              <w:autoSpaceDE w:val="0"/>
              <w:autoSpaceDN w:val="0"/>
              <w:adjustRightInd w:val="0"/>
              <w:spacing w:line="240" w:lineRule="auto"/>
              <w:rPr>
                <w:rFonts w:eastAsia="Calibri"/>
                <w:b/>
                <w:bCs/>
                <w:szCs w:val="22"/>
              </w:rPr>
            </w:pPr>
            <w:r w:rsidRPr="001775D9">
              <w:rPr>
                <w:rFonts w:eastAsia="Calibri"/>
                <w:b/>
                <w:bCs/>
                <w:szCs w:val="22"/>
              </w:rPr>
              <w:t>Do not</w:t>
            </w:r>
            <w:r w:rsidRPr="001775D9">
              <w:rPr>
                <w:rFonts w:eastAsia="Calibri"/>
                <w:szCs w:val="22"/>
              </w:rPr>
              <w:t xml:space="preserve"> reuse the pre-filled pen.</w:t>
            </w:r>
          </w:p>
        </w:tc>
      </w:tr>
      <w:tr w:rsidR="009706F0" w:rsidRPr="00F04F82" w14:paraId="1E814964" w14:textId="77777777" w:rsidTr="00B7795B">
        <w:tc>
          <w:tcPr>
            <w:tcW w:w="303" w:type="pct"/>
            <w:gridSpan w:val="2"/>
            <w:tcBorders>
              <w:top w:val="nil"/>
              <w:left w:val="single" w:sz="4" w:space="0" w:color="auto"/>
              <w:bottom w:val="nil"/>
              <w:right w:val="nil"/>
            </w:tcBorders>
            <w:tcMar>
              <w:top w:w="28" w:type="dxa"/>
              <w:left w:w="57" w:type="dxa"/>
              <w:bottom w:w="28" w:type="dxa"/>
              <w:right w:w="57" w:type="dxa"/>
            </w:tcMar>
          </w:tcPr>
          <w:p w14:paraId="4B657B6A" w14:textId="77777777" w:rsidR="009706F0" w:rsidRPr="001775D9" w:rsidRDefault="009706F0" w:rsidP="00FB5458">
            <w:pPr>
              <w:pStyle w:val="ListParagraph"/>
              <w:keepNext/>
              <w:keepLines/>
              <w:tabs>
                <w:tab w:val="left" w:pos="90"/>
              </w:tabs>
              <w:suppressAutoHyphens/>
              <w:autoSpaceDE w:val="0"/>
              <w:autoSpaceDN w:val="0"/>
              <w:adjustRightInd w:val="0"/>
              <w:ind w:left="0"/>
              <w:textAlignment w:val="center"/>
              <w:rPr>
                <w:color w:val="000000"/>
                <w:sz w:val="22"/>
                <w:szCs w:val="22"/>
              </w:rPr>
            </w:pPr>
            <w:r w:rsidRPr="001775D9">
              <w:rPr>
                <w:color w:val="000000"/>
                <w:sz w:val="22"/>
                <w:szCs w:val="22"/>
              </w:rPr>
              <w:t>●</w:t>
            </w:r>
          </w:p>
        </w:tc>
        <w:tc>
          <w:tcPr>
            <w:tcW w:w="4697" w:type="pct"/>
            <w:tcBorders>
              <w:top w:val="nil"/>
              <w:left w:val="nil"/>
              <w:bottom w:val="nil"/>
              <w:right w:val="single" w:sz="4" w:space="0" w:color="auto"/>
            </w:tcBorders>
            <w:tcMar>
              <w:left w:w="0" w:type="dxa"/>
            </w:tcMar>
          </w:tcPr>
          <w:p w14:paraId="0F3C7C82" w14:textId="77777777" w:rsidR="009706F0" w:rsidRPr="001775D9" w:rsidRDefault="009706F0" w:rsidP="00FB5458">
            <w:pPr>
              <w:keepNext/>
              <w:keepLines/>
              <w:tabs>
                <w:tab w:val="clear" w:pos="567"/>
              </w:tabs>
              <w:autoSpaceDE w:val="0"/>
              <w:autoSpaceDN w:val="0"/>
              <w:adjustRightInd w:val="0"/>
              <w:spacing w:line="240" w:lineRule="auto"/>
              <w:rPr>
                <w:rFonts w:eastAsia="Calibri"/>
                <w:b/>
                <w:bCs/>
                <w:szCs w:val="22"/>
              </w:rPr>
            </w:pPr>
            <w:r w:rsidRPr="001775D9">
              <w:rPr>
                <w:rFonts w:eastAsia="Calibri"/>
                <w:b/>
                <w:bCs/>
                <w:szCs w:val="22"/>
              </w:rPr>
              <w:t xml:space="preserve">Do not </w:t>
            </w:r>
            <w:r w:rsidRPr="001775D9">
              <w:rPr>
                <w:rFonts w:eastAsia="Calibri"/>
                <w:szCs w:val="22"/>
              </w:rPr>
              <w:t>recycle the pre-filled pen or sharps disposal container or throw them into the household waste.</w:t>
            </w:r>
          </w:p>
        </w:tc>
      </w:tr>
      <w:tr w:rsidR="009706F0" w:rsidRPr="00F04F82" w14:paraId="6FD79AC5" w14:textId="77777777" w:rsidTr="00B7795B">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60E943B7" w14:textId="77777777" w:rsidR="009706F0" w:rsidRPr="001775D9" w:rsidRDefault="009706F0" w:rsidP="00FB5458">
            <w:pPr>
              <w:pStyle w:val="SUBSTEP"/>
              <w:keepNext/>
              <w:keepLines/>
              <w:widowControl/>
              <w:tabs>
                <w:tab w:val="clear" w:pos="240"/>
                <w:tab w:val="clear" w:pos="360"/>
                <w:tab w:val="clear" w:pos="660"/>
                <w:tab w:val="clear" w:pos="780"/>
              </w:tabs>
              <w:spacing w:before="0" w:line="240" w:lineRule="auto"/>
              <w:ind w:left="0" w:firstLine="0"/>
              <w:rPr>
                <w:b w:val="0"/>
                <w:szCs w:val="22"/>
                <w:lang w:val="en-GB"/>
              </w:rPr>
            </w:pPr>
            <w:r w:rsidRPr="001775D9">
              <w:rPr>
                <w:bCs w:val="0"/>
                <w:szCs w:val="22"/>
                <w:lang w:val="en-GB"/>
              </w:rPr>
              <w:t>Important:</w:t>
            </w:r>
            <w:r w:rsidRPr="001775D9">
              <w:rPr>
                <w:b w:val="0"/>
                <w:szCs w:val="22"/>
                <w:lang w:val="en-GB"/>
              </w:rPr>
              <w:t xml:space="preserve"> Always keep the sharps disposal container out of the sight and reach of children.</w:t>
            </w:r>
          </w:p>
        </w:tc>
      </w:tr>
    </w:tbl>
    <w:p w14:paraId="3D5968DC" w14:textId="77777777" w:rsidR="009706F0" w:rsidRPr="001775D9" w:rsidRDefault="009706F0" w:rsidP="00FB545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57"/>
        <w:gridCol w:w="8628"/>
      </w:tblGrid>
      <w:tr w:rsidR="009706F0" w:rsidRPr="00F04F82" w14:paraId="518B2219" w14:textId="77777777" w:rsidTr="00B7795B">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A188BFA" w14:textId="77777777" w:rsidR="009706F0" w:rsidRPr="001775D9" w:rsidRDefault="009706F0" w:rsidP="00FB5458">
            <w:pPr>
              <w:keepLines/>
              <w:suppressAutoHyphens/>
              <w:autoSpaceDE w:val="0"/>
              <w:autoSpaceDN w:val="0"/>
              <w:adjustRightInd w:val="0"/>
              <w:spacing w:line="240" w:lineRule="auto"/>
              <w:textAlignment w:val="center"/>
              <w:rPr>
                <w:b/>
                <w:color w:val="000000"/>
                <w:szCs w:val="22"/>
              </w:rPr>
            </w:pPr>
            <w:r w:rsidRPr="001775D9">
              <w:rPr>
                <w:b/>
                <w:szCs w:val="22"/>
              </w:rPr>
              <w:t>L.</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ABEB750" w14:textId="77777777" w:rsidR="009706F0" w:rsidRPr="001775D9" w:rsidRDefault="009706F0" w:rsidP="00FB5458">
            <w:pPr>
              <w:keepLines/>
              <w:tabs>
                <w:tab w:val="clear" w:pos="567"/>
              </w:tabs>
              <w:autoSpaceDE w:val="0"/>
              <w:autoSpaceDN w:val="0"/>
              <w:adjustRightInd w:val="0"/>
              <w:spacing w:line="240" w:lineRule="auto"/>
              <w:rPr>
                <w:color w:val="000000"/>
                <w:szCs w:val="22"/>
              </w:rPr>
            </w:pPr>
            <w:r w:rsidRPr="001775D9">
              <w:rPr>
                <w:szCs w:val="22"/>
              </w:rPr>
              <w:t>Examine the injection site.</w:t>
            </w:r>
          </w:p>
        </w:tc>
      </w:tr>
      <w:tr w:rsidR="009706F0" w:rsidRPr="00F04F82" w14:paraId="028C8002" w14:textId="77777777" w:rsidTr="00B7795B">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1A7EF19" w14:textId="77777777" w:rsidR="009706F0" w:rsidRPr="001775D9" w:rsidRDefault="009706F0" w:rsidP="00FB5458">
            <w:pPr>
              <w:suppressAutoHyphens/>
              <w:autoSpaceDE w:val="0"/>
              <w:autoSpaceDN w:val="0"/>
              <w:adjustRightInd w:val="0"/>
              <w:spacing w:line="240" w:lineRule="auto"/>
              <w:textAlignment w:val="center"/>
              <w:rPr>
                <w:color w:val="000000"/>
                <w:szCs w:val="22"/>
              </w:rPr>
            </w:pPr>
            <w:r w:rsidRPr="001775D9">
              <w:rPr>
                <w:color w:val="000000"/>
                <w:szCs w:val="22"/>
              </w:rPr>
              <w:t xml:space="preserve">If there is blood, press a cotton ball or gauze pad on your injection site. </w:t>
            </w:r>
            <w:r w:rsidRPr="001775D9">
              <w:rPr>
                <w:b/>
                <w:bCs/>
                <w:color w:val="000000"/>
                <w:szCs w:val="22"/>
              </w:rPr>
              <w:t>Do not</w:t>
            </w:r>
            <w:r w:rsidRPr="001775D9">
              <w:rPr>
                <w:color w:val="000000"/>
                <w:szCs w:val="22"/>
              </w:rPr>
              <w:t xml:space="preserve"> rub the injection site. Apply a plaster if needed.</w:t>
            </w:r>
          </w:p>
        </w:tc>
      </w:tr>
    </w:tbl>
    <w:p w14:paraId="63176BBF" w14:textId="0B68D751" w:rsidR="00E83814" w:rsidRDefault="00E83814" w:rsidP="00FB5458">
      <w:pPr>
        <w:tabs>
          <w:tab w:val="clear" w:pos="567"/>
          <w:tab w:val="left" w:pos="0"/>
        </w:tabs>
        <w:spacing w:line="240" w:lineRule="auto"/>
        <w:rPr>
          <w:szCs w:val="22"/>
          <w:highlight w:val="lightGray"/>
        </w:rPr>
      </w:pPr>
    </w:p>
    <w:p w14:paraId="411B201A" w14:textId="51266F1B" w:rsidR="00F67EFB" w:rsidRDefault="00F67EFB" w:rsidP="00FB5458">
      <w:pPr>
        <w:tabs>
          <w:tab w:val="clear" w:pos="567"/>
          <w:tab w:val="left" w:pos="0"/>
        </w:tabs>
        <w:spacing w:line="240" w:lineRule="auto"/>
        <w:rPr>
          <w:szCs w:val="22"/>
          <w:highlight w:val="lightGray"/>
        </w:rPr>
      </w:pPr>
    </w:p>
    <w:p w14:paraId="4A8149BB" w14:textId="06BDA830" w:rsidR="00F67EFB" w:rsidRDefault="00F67EFB" w:rsidP="00FB5458">
      <w:pPr>
        <w:tabs>
          <w:tab w:val="clear" w:pos="567"/>
          <w:tab w:val="left" w:pos="0"/>
        </w:tabs>
        <w:spacing w:line="240" w:lineRule="auto"/>
        <w:rPr>
          <w:szCs w:val="22"/>
          <w:highlight w:val="lightGray"/>
        </w:rPr>
      </w:pPr>
    </w:p>
    <w:p w14:paraId="34E9EB31" w14:textId="37FBB08B" w:rsidR="00F67EFB" w:rsidRDefault="00F67EFB" w:rsidP="00FB5458">
      <w:pPr>
        <w:tabs>
          <w:tab w:val="clear" w:pos="567"/>
          <w:tab w:val="left" w:pos="0"/>
        </w:tabs>
        <w:spacing w:line="240" w:lineRule="auto"/>
        <w:rPr>
          <w:szCs w:val="22"/>
          <w:highlight w:val="lightGray"/>
        </w:rPr>
      </w:pPr>
    </w:p>
    <w:p w14:paraId="04B3ACDF" w14:textId="0308CAF8" w:rsidR="008E788D" w:rsidRPr="001775D9" w:rsidRDefault="00187810" w:rsidP="006A71EE">
      <w:pPr>
        <w:tabs>
          <w:tab w:val="clear" w:pos="567"/>
        </w:tabs>
        <w:spacing w:line="240" w:lineRule="auto"/>
        <w:jc w:val="center"/>
        <w:outlineLvl w:val="0"/>
      </w:pPr>
      <w:r w:rsidRPr="001775D9">
        <w:rPr>
          <w:b/>
        </w:rPr>
        <w:br w:type="page"/>
      </w:r>
      <w:r w:rsidR="008E788D" w:rsidRPr="001775D9">
        <w:rPr>
          <w:b/>
        </w:rPr>
        <w:t>Package leaflet: Information for the user</w:t>
      </w:r>
      <w:r w:rsidR="001C55FB" w:rsidRPr="001775D9">
        <w:rPr>
          <w:b/>
        </w:rPr>
        <w:fldChar w:fldCharType="begin"/>
      </w:r>
      <w:r w:rsidR="001C55FB" w:rsidRPr="001775D9">
        <w:rPr>
          <w:b/>
        </w:rPr>
        <w:instrText xml:space="preserve"> DOCVARIABLE vault_nd_57835aa2-8cfa-4da2-8edc-cbe3318cdccb \* MERGEFORMAT </w:instrText>
      </w:r>
      <w:r w:rsidR="001C55FB" w:rsidRPr="001775D9">
        <w:rPr>
          <w:b/>
        </w:rPr>
        <w:fldChar w:fldCharType="separate"/>
      </w:r>
      <w:r w:rsidR="001C55FB" w:rsidRPr="001775D9">
        <w:rPr>
          <w:b/>
        </w:rPr>
        <w:t xml:space="preserve"> </w:t>
      </w:r>
      <w:r w:rsidR="001C55FB" w:rsidRPr="001775D9">
        <w:rPr>
          <w:b/>
        </w:rPr>
        <w:fldChar w:fldCharType="end"/>
      </w:r>
    </w:p>
    <w:p w14:paraId="7BFBA9B2" w14:textId="77777777" w:rsidR="008E788D" w:rsidRPr="001775D9" w:rsidRDefault="008E788D" w:rsidP="006A71EE">
      <w:pPr>
        <w:numPr>
          <w:ilvl w:val="12"/>
          <w:numId w:val="0"/>
        </w:numPr>
        <w:shd w:val="clear" w:color="auto" w:fill="FFFFFF"/>
        <w:tabs>
          <w:tab w:val="clear" w:pos="567"/>
        </w:tabs>
        <w:spacing w:line="240" w:lineRule="auto"/>
        <w:jc w:val="center"/>
      </w:pPr>
    </w:p>
    <w:p w14:paraId="00AA04D5" w14:textId="48A1AF21" w:rsidR="008E788D" w:rsidRPr="001775D9" w:rsidRDefault="008E788D" w:rsidP="006A71EE">
      <w:pPr>
        <w:tabs>
          <w:tab w:val="left" w:pos="993"/>
        </w:tabs>
        <w:spacing w:line="240" w:lineRule="auto"/>
        <w:jc w:val="center"/>
        <w:outlineLvl w:val="0"/>
        <w:rPr>
          <w:b/>
        </w:rPr>
      </w:pPr>
      <w:r w:rsidRPr="001775D9">
        <w:rPr>
          <w:b/>
        </w:rPr>
        <w:t>AMGEVITA</w:t>
      </w:r>
      <w:r w:rsidRPr="001775D9" w:rsidDel="006B71D6">
        <w:rPr>
          <w:b/>
        </w:rPr>
        <w:t xml:space="preserve"> </w:t>
      </w:r>
      <w:r w:rsidRPr="001775D9">
        <w:rPr>
          <w:b/>
        </w:rPr>
        <w:t>20 mg solution for injection in pre-filled syringe</w:t>
      </w:r>
      <w:r w:rsidR="001C55FB" w:rsidRPr="001775D9">
        <w:rPr>
          <w:b/>
        </w:rPr>
        <w:fldChar w:fldCharType="begin"/>
      </w:r>
      <w:r w:rsidR="001C55FB" w:rsidRPr="001775D9">
        <w:rPr>
          <w:b/>
        </w:rPr>
        <w:instrText xml:space="preserve"> DOCVARIABLE vault_nd_3b2cb802-cdc4-4cd3-a021-b56610cd41f2 \* MERGEFORMAT </w:instrText>
      </w:r>
      <w:r w:rsidR="001C55FB" w:rsidRPr="001775D9">
        <w:rPr>
          <w:b/>
        </w:rPr>
        <w:fldChar w:fldCharType="separate"/>
      </w:r>
      <w:r w:rsidR="001C55FB" w:rsidRPr="001775D9">
        <w:rPr>
          <w:b/>
        </w:rPr>
        <w:t xml:space="preserve"> </w:t>
      </w:r>
      <w:r w:rsidR="001C55FB" w:rsidRPr="001775D9">
        <w:rPr>
          <w:b/>
        </w:rPr>
        <w:fldChar w:fldCharType="end"/>
      </w:r>
    </w:p>
    <w:p w14:paraId="158819E7" w14:textId="57FA2D3E" w:rsidR="008E788D" w:rsidRPr="001775D9" w:rsidRDefault="008E788D" w:rsidP="006A71EE">
      <w:pPr>
        <w:tabs>
          <w:tab w:val="left" w:pos="993"/>
        </w:tabs>
        <w:spacing w:line="240" w:lineRule="auto"/>
        <w:jc w:val="center"/>
        <w:outlineLvl w:val="0"/>
        <w:rPr>
          <w:b/>
        </w:rPr>
      </w:pPr>
      <w:r w:rsidRPr="001775D9">
        <w:rPr>
          <w:b/>
        </w:rPr>
        <w:t>AMGEVITA 40 mg solution for injection in pre-filled syringe</w:t>
      </w:r>
      <w:r w:rsidR="001C55FB" w:rsidRPr="001775D9">
        <w:rPr>
          <w:b/>
        </w:rPr>
        <w:fldChar w:fldCharType="begin"/>
      </w:r>
      <w:r w:rsidR="001C55FB" w:rsidRPr="001775D9">
        <w:rPr>
          <w:b/>
        </w:rPr>
        <w:instrText xml:space="preserve"> DOCVARIABLE vault_nd_bca665a9-9a42-46e8-8bbe-4523abaac2fb \* MERGEFORMAT </w:instrText>
      </w:r>
      <w:r w:rsidR="001C55FB" w:rsidRPr="001775D9">
        <w:rPr>
          <w:b/>
        </w:rPr>
        <w:fldChar w:fldCharType="separate"/>
      </w:r>
      <w:r w:rsidR="001C55FB" w:rsidRPr="001775D9">
        <w:rPr>
          <w:b/>
        </w:rPr>
        <w:t xml:space="preserve"> </w:t>
      </w:r>
      <w:r w:rsidR="001C55FB" w:rsidRPr="001775D9">
        <w:rPr>
          <w:b/>
        </w:rPr>
        <w:fldChar w:fldCharType="end"/>
      </w:r>
    </w:p>
    <w:p w14:paraId="21566114" w14:textId="5109ACE1" w:rsidR="008E788D" w:rsidRPr="001775D9" w:rsidRDefault="008E788D" w:rsidP="006A71EE">
      <w:pPr>
        <w:tabs>
          <w:tab w:val="left" w:pos="993"/>
        </w:tabs>
        <w:spacing w:line="240" w:lineRule="auto"/>
        <w:jc w:val="center"/>
        <w:outlineLvl w:val="0"/>
        <w:rPr>
          <w:b/>
        </w:rPr>
      </w:pPr>
      <w:r w:rsidRPr="001775D9">
        <w:rPr>
          <w:b/>
        </w:rPr>
        <w:t>AMGEVITA 80 mg solution for injection in pre-filled syringe</w:t>
      </w:r>
      <w:r w:rsidR="001C55FB" w:rsidRPr="001775D9">
        <w:rPr>
          <w:b/>
        </w:rPr>
        <w:fldChar w:fldCharType="begin"/>
      </w:r>
      <w:r w:rsidR="001C55FB" w:rsidRPr="001775D9">
        <w:rPr>
          <w:b/>
        </w:rPr>
        <w:instrText xml:space="preserve"> DOCVARIABLE vault_nd_9da34410-c33f-4004-aec6-13ebaddce3bc \* MERGEFORMAT </w:instrText>
      </w:r>
      <w:r w:rsidR="001C55FB" w:rsidRPr="001775D9">
        <w:rPr>
          <w:b/>
        </w:rPr>
        <w:fldChar w:fldCharType="separate"/>
      </w:r>
      <w:r w:rsidR="001C55FB" w:rsidRPr="001775D9">
        <w:rPr>
          <w:b/>
        </w:rPr>
        <w:t xml:space="preserve"> </w:t>
      </w:r>
      <w:r w:rsidR="001C55FB" w:rsidRPr="001775D9">
        <w:rPr>
          <w:b/>
        </w:rPr>
        <w:fldChar w:fldCharType="end"/>
      </w:r>
    </w:p>
    <w:p w14:paraId="09D6F70D" w14:textId="77777777" w:rsidR="008E788D" w:rsidRPr="001775D9" w:rsidRDefault="008E788D" w:rsidP="006A71EE">
      <w:pPr>
        <w:numPr>
          <w:ilvl w:val="12"/>
          <w:numId w:val="0"/>
        </w:numPr>
        <w:tabs>
          <w:tab w:val="clear" w:pos="567"/>
        </w:tabs>
        <w:spacing w:line="240" w:lineRule="auto"/>
        <w:jc w:val="center"/>
      </w:pPr>
      <w:r w:rsidRPr="001775D9">
        <w:t>adalimumab</w:t>
      </w:r>
    </w:p>
    <w:p w14:paraId="16D06117" w14:textId="77777777" w:rsidR="008E788D" w:rsidRPr="001775D9" w:rsidRDefault="008E788D" w:rsidP="006A71EE">
      <w:pPr>
        <w:tabs>
          <w:tab w:val="clear" w:pos="567"/>
        </w:tabs>
        <w:spacing w:line="240" w:lineRule="auto"/>
      </w:pPr>
    </w:p>
    <w:p w14:paraId="53296364" w14:textId="77777777" w:rsidR="008E788D" w:rsidRPr="001775D9" w:rsidRDefault="008E788D" w:rsidP="006A71EE">
      <w:pPr>
        <w:tabs>
          <w:tab w:val="clear" w:pos="567"/>
        </w:tabs>
        <w:spacing w:line="240" w:lineRule="auto"/>
      </w:pPr>
    </w:p>
    <w:p w14:paraId="75D6E614" w14:textId="77777777" w:rsidR="008E788D" w:rsidRPr="001775D9" w:rsidRDefault="008E788D" w:rsidP="006A71EE">
      <w:pPr>
        <w:tabs>
          <w:tab w:val="clear" w:pos="567"/>
        </w:tabs>
        <w:suppressAutoHyphens/>
        <w:spacing w:line="240" w:lineRule="auto"/>
      </w:pPr>
      <w:r w:rsidRPr="001775D9">
        <w:rPr>
          <w:b/>
        </w:rPr>
        <w:t>Read all of this leaflet carefully before you start using this medicine because it contains important information for you.</w:t>
      </w:r>
    </w:p>
    <w:p w14:paraId="50458141" w14:textId="77777777" w:rsidR="008E788D" w:rsidRPr="00F04F82" w:rsidRDefault="008E788D" w:rsidP="00D55B59">
      <w:pPr>
        <w:numPr>
          <w:ilvl w:val="0"/>
          <w:numId w:val="3"/>
        </w:numPr>
        <w:spacing w:line="240" w:lineRule="auto"/>
        <w:ind w:left="567" w:hanging="567"/>
        <w:pPrChange w:id="3919" w:author="Author">
          <w:pPr>
            <w:numPr>
              <w:numId w:val="3"/>
            </w:numPr>
            <w:tabs>
              <w:tab w:val="clear" w:pos="567"/>
            </w:tabs>
            <w:spacing w:line="240" w:lineRule="auto"/>
            <w:ind w:left="567" w:right="-2" w:hanging="567"/>
          </w:pPr>
        </w:pPrChange>
      </w:pPr>
      <w:r w:rsidRPr="001775D9">
        <w:t xml:space="preserve">Keep this leaflet. You may need to read it again. </w:t>
      </w:r>
    </w:p>
    <w:p w14:paraId="157C7B59" w14:textId="77777777" w:rsidR="008E788D" w:rsidRPr="00D55B59" w:rsidRDefault="008E788D" w:rsidP="00D55B59">
      <w:pPr>
        <w:pStyle w:val="Default"/>
        <w:numPr>
          <w:ilvl w:val="0"/>
          <w:numId w:val="3"/>
        </w:numPr>
        <w:tabs>
          <w:tab w:val="left" w:pos="567"/>
        </w:tabs>
        <w:ind w:left="567" w:hanging="567"/>
        <w:rPr>
          <w:sz w:val="22"/>
          <w:szCs w:val="22"/>
          <w:lang w:val="en-GB"/>
          <w:rPrChange w:id="3920" w:author="Author">
            <w:rPr>
              <w:sz w:val="22"/>
              <w:szCs w:val="22"/>
            </w:rPr>
          </w:rPrChange>
        </w:rPr>
        <w:pPrChange w:id="3921" w:author="Author">
          <w:pPr>
            <w:pStyle w:val="Default"/>
            <w:numPr>
              <w:numId w:val="3"/>
            </w:numPr>
            <w:ind w:left="567" w:hanging="567"/>
          </w:pPr>
        </w:pPrChange>
      </w:pPr>
      <w:r w:rsidRPr="00D55B59">
        <w:rPr>
          <w:sz w:val="22"/>
          <w:szCs w:val="22"/>
          <w:lang w:val="en-GB"/>
          <w:rPrChange w:id="3922" w:author="Author">
            <w:rPr>
              <w:sz w:val="22"/>
              <w:szCs w:val="22"/>
            </w:rPr>
          </w:rPrChange>
        </w:rPr>
        <w:t xml:space="preserve">Your doctor will also give you a </w:t>
      </w:r>
      <w:r w:rsidRPr="00D55B59">
        <w:rPr>
          <w:b/>
          <w:sz w:val="22"/>
          <w:szCs w:val="22"/>
          <w:lang w:val="en-GB"/>
          <w:rPrChange w:id="3923" w:author="Author">
            <w:rPr>
              <w:b/>
              <w:sz w:val="22"/>
              <w:szCs w:val="22"/>
            </w:rPr>
          </w:rPrChange>
        </w:rPr>
        <w:t>Patient Reminder Card</w:t>
      </w:r>
      <w:r w:rsidRPr="00D55B59">
        <w:rPr>
          <w:sz w:val="22"/>
          <w:szCs w:val="22"/>
          <w:lang w:val="en-GB"/>
          <w:rPrChange w:id="3924" w:author="Author">
            <w:rPr>
              <w:sz w:val="22"/>
              <w:szCs w:val="22"/>
            </w:rPr>
          </w:rPrChange>
        </w:rPr>
        <w:t xml:space="preserve">, which contains important safety information that you need to be aware of before you are given AMGEVITA and during treatment with AMGEVITA. Keep this </w:t>
      </w:r>
      <w:r w:rsidRPr="00D55B59">
        <w:rPr>
          <w:b/>
          <w:sz w:val="22"/>
          <w:szCs w:val="22"/>
          <w:lang w:val="en-GB"/>
          <w:rPrChange w:id="3925" w:author="Author">
            <w:rPr>
              <w:b/>
              <w:sz w:val="22"/>
              <w:szCs w:val="22"/>
            </w:rPr>
          </w:rPrChange>
        </w:rPr>
        <w:t>Patient Reminder Card</w:t>
      </w:r>
      <w:r w:rsidRPr="00D55B59">
        <w:rPr>
          <w:sz w:val="22"/>
          <w:szCs w:val="22"/>
          <w:lang w:val="en-GB"/>
          <w:rPrChange w:id="3926" w:author="Author">
            <w:rPr>
              <w:sz w:val="22"/>
              <w:szCs w:val="22"/>
            </w:rPr>
          </w:rPrChange>
        </w:rPr>
        <w:t xml:space="preserve"> with you. </w:t>
      </w:r>
    </w:p>
    <w:p w14:paraId="6394CBEA" w14:textId="77777777" w:rsidR="008E788D" w:rsidRPr="00F04F82" w:rsidRDefault="008E788D" w:rsidP="00D55B59">
      <w:pPr>
        <w:numPr>
          <w:ilvl w:val="0"/>
          <w:numId w:val="3"/>
        </w:numPr>
        <w:spacing w:line="240" w:lineRule="auto"/>
        <w:ind w:left="567" w:hanging="567"/>
        <w:pPrChange w:id="3927" w:author="Author">
          <w:pPr>
            <w:numPr>
              <w:numId w:val="3"/>
            </w:numPr>
            <w:tabs>
              <w:tab w:val="clear" w:pos="567"/>
            </w:tabs>
            <w:spacing w:line="240" w:lineRule="auto"/>
            <w:ind w:left="567" w:right="-2" w:hanging="567"/>
          </w:pPr>
        </w:pPrChange>
      </w:pPr>
      <w:r w:rsidRPr="001775D9">
        <w:t>If you have any further questions, ask your doctor or pharmacist.</w:t>
      </w:r>
    </w:p>
    <w:p w14:paraId="5E5FADE4" w14:textId="77777777" w:rsidR="008E788D" w:rsidRPr="00F04F82" w:rsidRDefault="008E788D" w:rsidP="00D55B59">
      <w:pPr>
        <w:spacing w:line="240" w:lineRule="auto"/>
        <w:ind w:left="567" w:hanging="567"/>
        <w:pPrChange w:id="3928" w:author="Author">
          <w:pPr>
            <w:spacing w:line="240" w:lineRule="auto"/>
            <w:ind w:left="567" w:right="-2" w:hanging="567"/>
          </w:pPr>
        </w:pPrChange>
      </w:pPr>
      <w:r w:rsidRPr="001775D9">
        <w:t>-</w:t>
      </w:r>
      <w:r w:rsidRPr="001775D9">
        <w:tab/>
        <w:t>This medicine has been prescribed for you only. Do not pass it on to others. It may harm them, even if their signs of illness are the same as yours.</w:t>
      </w:r>
      <w:r w:rsidRPr="00F04F82">
        <w:rPr>
          <w:color w:val="008000"/>
        </w:rPr>
        <w:t xml:space="preserve"> </w:t>
      </w:r>
    </w:p>
    <w:p w14:paraId="179EF486" w14:textId="77777777" w:rsidR="008E788D" w:rsidRPr="001775D9" w:rsidRDefault="008E788D" w:rsidP="006D0A16">
      <w:pPr>
        <w:numPr>
          <w:ilvl w:val="0"/>
          <w:numId w:val="3"/>
        </w:numPr>
        <w:spacing w:line="240" w:lineRule="auto"/>
        <w:ind w:left="567" w:hanging="567"/>
      </w:pPr>
      <w:r w:rsidRPr="001775D9">
        <w:t>If you get any side effects, talk to your doctor or pharmacist. This includes any possible side effects not listed in this leaflet (see section 4).</w:t>
      </w:r>
    </w:p>
    <w:p w14:paraId="48177359" w14:textId="77777777" w:rsidR="008E788D" w:rsidRPr="001775D9" w:rsidRDefault="008E788D" w:rsidP="006A71EE">
      <w:pPr>
        <w:keepNext/>
        <w:numPr>
          <w:ilvl w:val="12"/>
          <w:numId w:val="0"/>
        </w:numPr>
        <w:tabs>
          <w:tab w:val="clear" w:pos="567"/>
        </w:tabs>
        <w:spacing w:line="240" w:lineRule="auto"/>
        <w:ind w:right="-2"/>
        <w:outlineLvl w:val="0"/>
        <w:rPr>
          <w:b/>
        </w:rPr>
      </w:pPr>
    </w:p>
    <w:p w14:paraId="46B0FFCA" w14:textId="44F35190" w:rsidR="008E788D" w:rsidRPr="001775D9" w:rsidRDefault="008E788D" w:rsidP="006A71EE">
      <w:pPr>
        <w:keepNext/>
        <w:numPr>
          <w:ilvl w:val="12"/>
          <w:numId w:val="0"/>
        </w:numPr>
        <w:tabs>
          <w:tab w:val="clear" w:pos="567"/>
        </w:tabs>
        <w:spacing w:line="240" w:lineRule="auto"/>
        <w:ind w:right="-2"/>
        <w:outlineLvl w:val="0"/>
        <w:rPr>
          <w:b/>
        </w:rPr>
      </w:pPr>
      <w:r w:rsidRPr="001775D9">
        <w:rPr>
          <w:b/>
        </w:rPr>
        <w:t>What is in this leaflet</w:t>
      </w:r>
      <w:r w:rsidR="001C55FB" w:rsidRPr="001775D9">
        <w:rPr>
          <w:b/>
        </w:rPr>
        <w:fldChar w:fldCharType="begin"/>
      </w:r>
      <w:r w:rsidR="001C55FB" w:rsidRPr="001775D9">
        <w:rPr>
          <w:b/>
        </w:rPr>
        <w:instrText xml:space="preserve"> DOCVARIABLE vault_nd_6d1298e2-0853-4558-af43-b515f4526283 \* MERGEFORMAT </w:instrText>
      </w:r>
      <w:r w:rsidR="001C55FB" w:rsidRPr="001775D9">
        <w:rPr>
          <w:b/>
        </w:rPr>
        <w:fldChar w:fldCharType="separate"/>
      </w:r>
      <w:r w:rsidR="001C55FB" w:rsidRPr="001775D9">
        <w:rPr>
          <w:b/>
        </w:rPr>
        <w:t xml:space="preserve"> </w:t>
      </w:r>
      <w:r w:rsidR="001C55FB" w:rsidRPr="001775D9">
        <w:rPr>
          <w:b/>
        </w:rPr>
        <w:fldChar w:fldCharType="end"/>
      </w:r>
    </w:p>
    <w:p w14:paraId="0F51B5C9" w14:textId="77777777" w:rsidR="008E788D" w:rsidRPr="001775D9" w:rsidRDefault="008E788D" w:rsidP="006A71EE">
      <w:pPr>
        <w:keepNext/>
        <w:numPr>
          <w:ilvl w:val="12"/>
          <w:numId w:val="0"/>
        </w:numPr>
        <w:tabs>
          <w:tab w:val="clear" w:pos="567"/>
        </w:tabs>
        <w:spacing w:line="240" w:lineRule="auto"/>
        <w:ind w:right="-2"/>
        <w:outlineLvl w:val="0"/>
      </w:pPr>
    </w:p>
    <w:p w14:paraId="4CB7ABD9" w14:textId="77777777" w:rsidR="008E788D" w:rsidRPr="001775D9" w:rsidRDefault="008E788D" w:rsidP="006A71EE">
      <w:pPr>
        <w:numPr>
          <w:ilvl w:val="12"/>
          <w:numId w:val="0"/>
        </w:numPr>
        <w:spacing w:line="240" w:lineRule="auto"/>
        <w:ind w:left="567" w:hanging="567"/>
      </w:pPr>
      <w:r w:rsidRPr="001775D9">
        <w:t>1.</w:t>
      </w:r>
      <w:r w:rsidRPr="001775D9">
        <w:tab/>
        <w:t xml:space="preserve">What </w:t>
      </w:r>
      <w:r w:rsidRPr="001775D9">
        <w:rPr>
          <w:szCs w:val="22"/>
        </w:rPr>
        <w:t>AMGEVITA</w:t>
      </w:r>
      <w:r w:rsidRPr="001775D9">
        <w:t xml:space="preserve"> is and what it is used for </w:t>
      </w:r>
    </w:p>
    <w:p w14:paraId="3D4876C7" w14:textId="77777777" w:rsidR="008E788D" w:rsidRPr="001775D9" w:rsidRDefault="008E788D" w:rsidP="006A71EE">
      <w:pPr>
        <w:numPr>
          <w:ilvl w:val="12"/>
          <w:numId w:val="0"/>
        </w:numPr>
        <w:spacing w:line="240" w:lineRule="auto"/>
        <w:ind w:left="567" w:hanging="567"/>
      </w:pPr>
      <w:r w:rsidRPr="001775D9">
        <w:t>2.</w:t>
      </w:r>
      <w:r w:rsidRPr="001775D9">
        <w:tab/>
        <w:t xml:space="preserve">What you need to know before you use </w:t>
      </w:r>
      <w:r w:rsidRPr="001775D9">
        <w:rPr>
          <w:szCs w:val="22"/>
        </w:rPr>
        <w:t>AMGEVITA</w:t>
      </w:r>
      <w:r w:rsidRPr="001775D9">
        <w:t xml:space="preserve"> </w:t>
      </w:r>
    </w:p>
    <w:p w14:paraId="20018D0E" w14:textId="77777777" w:rsidR="008E788D" w:rsidRPr="001775D9" w:rsidRDefault="008E788D" w:rsidP="006A71EE">
      <w:pPr>
        <w:numPr>
          <w:ilvl w:val="12"/>
          <w:numId w:val="0"/>
        </w:numPr>
        <w:spacing w:line="240" w:lineRule="auto"/>
        <w:ind w:left="567" w:hanging="567"/>
      </w:pPr>
      <w:r w:rsidRPr="001775D9">
        <w:t>3.</w:t>
      </w:r>
      <w:r w:rsidRPr="001775D9">
        <w:tab/>
        <w:t xml:space="preserve">How to use </w:t>
      </w:r>
      <w:r w:rsidRPr="001775D9">
        <w:rPr>
          <w:szCs w:val="22"/>
        </w:rPr>
        <w:t>AMGEVITA</w:t>
      </w:r>
    </w:p>
    <w:p w14:paraId="768D26FA" w14:textId="77777777" w:rsidR="008E788D" w:rsidRPr="001775D9" w:rsidRDefault="008E788D" w:rsidP="006A71EE">
      <w:pPr>
        <w:numPr>
          <w:ilvl w:val="12"/>
          <w:numId w:val="0"/>
        </w:numPr>
        <w:spacing w:line="240" w:lineRule="auto"/>
        <w:ind w:left="567" w:hanging="567"/>
      </w:pPr>
      <w:r w:rsidRPr="001775D9">
        <w:t>4.</w:t>
      </w:r>
      <w:r w:rsidRPr="001775D9">
        <w:tab/>
        <w:t xml:space="preserve">Possible side effects </w:t>
      </w:r>
    </w:p>
    <w:p w14:paraId="201D3D4F" w14:textId="77777777" w:rsidR="008E788D" w:rsidRPr="001775D9" w:rsidRDefault="008E788D" w:rsidP="006A71EE">
      <w:pPr>
        <w:numPr>
          <w:ilvl w:val="12"/>
          <w:numId w:val="0"/>
        </w:numPr>
        <w:spacing w:line="240" w:lineRule="auto"/>
        <w:ind w:left="567" w:hanging="567"/>
      </w:pPr>
      <w:r w:rsidRPr="001775D9">
        <w:t>5.</w:t>
      </w:r>
      <w:r w:rsidRPr="001775D9">
        <w:tab/>
        <w:t xml:space="preserve">How to store </w:t>
      </w:r>
      <w:r w:rsidRPr="001775D9">
        <w:rPr>
          <w:szCs w:val="22"/>
        </w:rPr>
        <w:t>AMGEVITA</w:t>
      </w:r>
      <w:r w:rsidRPr="001775D9">
        <w:t xml:space="preserve"> </w:t>
      </w:r>
    </w:p>
    <w:p w14:paraId="1CC5B62D" w14:textId="77777777" w:rsidR="008E788D" w:rsidRPr="001775D9" w:rsidRDefault="008E788D" w:rsidP="006A71EE">
      <w:pPr>
        <w:numPr>
          <w:ilvl w:val="12"/>
          <w:numId w:val="0"/>
        </w:numPr>
        <w:spacing w:line="240" w:lineRule="auto"/>
        <w:ind w:left="567" w:hanging="567"/>
      </w:pPr>
      <w:r w:rsidRPr="001775D9">
        <w:t>6.</w:t>
      </w:r>
      <w:r w:rsidRPr="001775D9">
        <w:tab/>
        <w:t>Contents of the pack and other information</w:t>
      </w:r>
    </w:p>
    <w:p w14:paraId="67EA91D8" w14:textId="77777777" w:rsidR="008E788D" w:rsidRPr="001775D9" w:rsidRDefault="008E788D" w:rsidP="006A71EE">
      <w:pPr>
        <w:numPr>
          <w:ilvl w:val="12"/>
          <w:numId w:val="0"/>
        </w:numPr>
        <w:tabs>
          <w:tab w:val="clear" w:pos="567"/>
        </w:tabs>
        <w:spacing w:line="240" w:lineRule="auto"/>
        <w:ind w:right="-2"/>
      </w:pPr>
    </w:p>
    <w:p w14:paraId="2CE9FFD5" w14:textId="77777777" w:rsidR="008E788D" w:rsidRPr="001775D9" w:rsidRDefault="008E788D" w:rsidP="006A71EE">
      <w:pPr>
        <w:numPr>
          <w:ilvl w:val="12"/>
          <w:numId w:val="0"/>
        </w:numPr>
        <w:tabs>
          <w:tab w:val="clear" w:pos="567"/>
        </w:tabs>
        <w:spacing w:line="240" w:lineRule="auto"/>
        <w:rPr>
          <w:szCs w:val="22"/>
        </w:rPr>
      </w:pPr>
    </w:p>
    <w:p w14:paraId="28086B97" w14:textId="77777777" w:rsidR="008E788D" w:rsidRPr="001775D9" w:rsidRDefault="008E788D" w:rsidP="00B61D9D">
      <w:pPr>
        <w:spacing w:line="240" w:lineRule="auto"/>
        <w:ind w:left="567" w:hanging="567"/>
        <w:rPr>
          <w:b/>
          <w:szCs w:val="22"/>
        </w:rPr>
      </w:pPr>
      <w:r w:rsidRPr="001775D9">
        <w:rPr>
          <w:b/>
          <w:szCs w:val="22"/>
        </w:rPr>
        <w:t>1.</w:t>
      </w:r>
      <w:r w:rsidRPr="001775D9">
        <w:rPr>
          <w:b/>
          <w:szCs w:val="22"/>
        </w:rPr>
        <w:tab/>
        <w:t>What AMGEVITA is and what it is used for</w:t>
      </w:r>
    </w:p>
    <w:p w14:paraId="66145832" w14:textId="77777777" w:rsidR="008E788D" w:rsidRPr="001775D9" w:rsidRDefault="008E788D" w:rsidP="006A71EE">
      <w:pPr>
        <w:numPr>
          <w:ilvl w:val="12"/>
          <w:numId w:val="0"/>
        </w:numPr>
        <w:tabs>
          <w:tab w:val="clear" w:pos="567"/>
        </w:tabs>
        <w:spacing w:line="240" w:lineRule="auto"/>
        <w:rPr>
          <w:szCs w:val="22"/>
        </w:rPr>
      </w:pPr>
    </w:p>
    <w:p w14:paraId="358855EC" w14:textId="77777777" w:rsidR="008E788D" w:rsidRPr="001775D9" w:rsidRDefault="008E788D" w:rsidP="006A71EE">
      <w:pPr>
        <w:numPr>
          <w:ilvl w:val="12"/>
          <w:numId w:val="0"/>
        </w:numPr>
        <w:tabs>
          <w:tab w:val="clear" w:pos="567"/>
        </w:tabs>
        <w:spacing w:line="240" w:lineRule="auto"/>
      </w:pPr>
      <w:r w:rsidRPr="001775D9">
        <w:rPr>
          <w:szCs w:val="22"/>
        </w:rPr>
        <w:t>AMGEVITA</w:t>
      </w:r>
      <w:r w:rsidRPr="001775D9">
        <w:t xml:space="preserve"> contains the active substance adalimumab, a medicine that acts on your body’s immune (defence) system. </w:t>
      </w:r>
    </w:p>
    <w:p w14:paraId="4A551DD1" w14:textId="77777777" w:rsidR="008E788D" w:rsidRPr="001775D9" w:rsidRDefault="008E788D" w:rsidP="006A71EE">
      <w:pPr>
        <w:tabs>
          <w:tab w:val="clear" w:pos="567"/>
        </w:tabs>
        <w:spacing w:line="240" w:lineRule="auto"/>
        <w:ind w:right="-2"/>
      </w:pPr>
    </w:p>
    <w:p w14:paraId="3E65C806" w14:textId="77777777" w:rsidR="008E788D" w:rsidRPr="001775D9" w:rsidRDefault="008E788D" w:rsidP="006A71EE">
      <w:pPr>
        <w:tabs>
          <w:tab w:val="clear" w:pos="567"/>
        </w:tabs>
        <w:spacing w:line="240" w:lineRule="auto"/>
        <w:ind w:right="-2"/>
        <w:rPr>
          <w:szCs w:val="22"/>
        </w:rPr>
      </w:pPr>
      <w:r w:rsidRPr="001775D9">
        <w:rPr>
          <w:szCs w:val="22"/>
        </w:rPr>
        <w:t>AMGEVITA is intended for the treatment of the inflammatory diseases described below:</w:t>
      </w:r>
    </w:p>
    <w:p w14:paraId="61B753A3" w14:textId="77777777" w:rsidR="008E788D" w:rsidRPr="00F04F82" w:rsidRDefault="008E788D" w:rsidP="00D55B59">
      <w:pPr>
        <w:numPr>
          <w:ilvl w:val="1"/>
          <w:numId w:val="32"/>
        </w:numPr>
        <w:spacing w:line="240" w:lineRule="auto"/>
        <w:ind w:left="567" w:hanging="567"/>
        <w:rPr>
          <w:szCs w:val="22"/>
        </w:rPr>
        <w:pPrChange w:id="3929" w:author="Author">
          <w:pPr>
            <w:numPr>
              <w:ilvl w:val="1"/>
              <w:numId w:val="32"/>
            </w:numPr>
            <w:tabs>
              <w:tab w:val="clear" w:pos="567"/>
            </w:tabs>
            <w:spacing w:line="240" w:lineRule="auto"/>
            <w:ind w:left="567" w:right="-2" w:hanging="567"/>
          </w:pPr>
        </w:pPrChange>
      </w:pPr>
      <w:r w:rsidRPr="001775D9">
        <w:rPr>
          <w:szCs w:val="22"/>
        </w:rPr>
        <w:t>Rheumatoid arthritis</w:t>
      </w:r>
    </w:p>
    <w:p w14:paraId="51107CAA" w14:textId="77777777" w:rsidR="008E788D" w:rsidRPr="00F04F82" w:rsidRDefault="008E788D" w:rsidP="00D55B59">
      <w:pPr>
        <w:numPr>
          <w:ilvl w:val="1"/>
          <w:numId w:val="32"/>
        </w:numPr>
        <w:spacing w:line="240" w:lineRule="auto"/>
        <w:ind w:left="567" w:hanging="567"/>
        <w:rPr>
          <w:szCs w:val="22"/>
        </w:rPr>
        <w:pPrChange w:id="3930" w:author="Author">
          <w:pPr>
            <w:numPr>
              <w:ilvl w:val="1"/>
              <w:numId w:val="32"/>
            </w:numPr>
            <w:tabs>
              <w:tab w:val="clear" w:pos="567"/>
            </w:tabs>
            <w:spacing w:line="240" w:lineRule="auto"/>
            <w:ind w:left="567" w:right="-2" w:hanging="567"/>
          </w:pPr>
        </w:pPrChange>
      </w:pPr>
      <w:r w:rsidRPr="001775D9">
        <w:rPr>
          <w:szCs w:val="22"/>
        </w:rPr>
        <w:t>Polyarticular juvenile idiopathic arthritis</w:t>
      </w:r>
    </w:p>
    <w:p w14:paraId="008B678B" w14:textId="77777777" w:rsidR="008E788D" w:rsidRPr="00F04F82" w:rsidRDefault="008E788D" w:rsidP="00D55B59">
      <w:pPr>
        <w:numPr>
          <w:ilvl w:val="1"/>
          <w:numId w:val="32"/>
        </w:numPr>
        <w:spacing w:line="240" w:lineRule="auto"/>
        <w:ind w:left="567" w:hanging="567"/>
        <w:rPr>
          <w:szCs w:val="22"/>
        </w:rPr>
        <w:pPrChange w:id="3931" w:author="Author">
          <w:pPr>
            <w:numPr>
              <w:ilvl w:val="1"/>
              <w:numId w:val="32"/>
            </w:numPr>
            <w:tabs>
              <w:tab w:val="clear" w:pos="567"/>
            </w:tabs>
            <w:spacing w:line="240" w:lineRule="auto"/>
            <w:ind w:left="567" w:right="-2" w:hanging="567"/>
          </w:pPr>
        </w:pPrChange>
      </w:pPr>
      <w:r w:rsidRPr="001775D9">
        <w:rPr>
          <w:szCs w:val="22"/>
        </w:rPr>
        <w:t>Enthesitis-related arthritis</w:t>
      </w:r>
    </w:p>
    <w:p w14:paraId="7F0FF48B" w14:textId="77777777" w:rsidR="008E788D" w:rsidRPr="00F04F82" w:rsidRDefault="008E788D" w:rsidP="00D55B59">
      <w:pPr>
        <w:numPr>
          <w:ilvl w:val="1"/>
          <w:numId w:val="32"/>
        </w:numPr>
        <w:spacing w:line="240" w:lineRule="auto"/>
        <w:ind w:left="567" w:hanging="567"/>
        <w:rPr>
          <w:szCs w:val="22"/>
        </w:rPr>
        <w:pPrChange w:id="3932" w:author="Author">
          <w:pPr>
            <w:numPr>
              <w:ilvl w:val="1"/>
              <w:numId w:val="32"/>
            </w:numPr>
            <w:tabs>
              <w:tab w:val="clear" w:pos="567"/>
            </w:tabs>
            <w:spacing w:line="240" w:lineRule="auto"/>
            <w:ind w:left="567" w:right="-2" w:hanging="567"/>
          </w:pPr>
        </w:pPrChange>
      </w:pPr>
      <w:r w:rsidRPr="001775D9">
        <w:rPr>
          <w:szCs w:val="22"/>
        </w:rPr>
        <w:t>Ankylosing spondylitis</w:t>
      </w:r>
    </w:p>
    <w:p w14:paraId="2225696B" w14:textId="77777777" w:rsidR="008E788D" w:rsidRPr="00F04F82" w:rsidRDefault="008E788D" w:rsidP="00D55B59">
      <w:pPr>
        <w:numPr>
          <w:ilvl w:val="1"/>
          <w:numId w:val="32"/>
        </w:numPr>
        <w:spacing w:line="240" w:lineRule="auto"/>
        <w:ind w:left="567" w:hanging="567"/>
        <w:rPr>
          <w:szCs w:val="22"/>
        </w:rPr>
        <w:pPrChange w:id="3933" w:author="Author">
          <w:pPr>
            <w:numPr>
              <w:ilvl w:val="1"/>
              <w:numId w:val="32"/>
            </w:numPr>
            <w:tabs>
              <w:tab w:val="clear" w:pos="567"/>
            </w:tabs>
            <w:spacing w:line="240" w:lineRule="auto"/>
            <w:ind w:left="567" w:right="-2" w:hanging="567"/>
          </w:pPr>
        </w:pPrChange>
      </w:pPr>
      <w:r w:rsidRPr="001775D9">
        <w:rPr>
          <w:szCs w:val="22"/>
        </w:rPr>
        <w:t>Axial spondyloarthritis without radiographic evidence of ankylosing spondylitis</w:t>
      </w:r>
    </w:p>
    <w:p w14:paraId="1049E2B3" w14:textId="77777777" w:rsidR="008E788D" w:rsidRPr="00F04F82" w:rsidRDefault="008E788D" w:rsidP="00D55B59">
      <w:pPr>
        <w:numPr>
          <w:ilvl w:val="1"/>
          <w:numId w:val="32"/>
        </w:numPr>
        <w:spacing w:line="240" w:lineRule="auto"/>
        <w:ind w:left="567" w:hanging="567"/>
        <w:rPr>
          <w:szCs w:val="22"/>
        </w:rPr>
        <w:pPrChange w:id="3934" w:author="Author">
          <w:pPr>
            <w:numPr>
              <w:ilvl w:val="1"/>
              <w:numId w:val="32"/>
            </w:numPr>
            <w:tabs>
              <w:tab w:val="clear" w:pos="567"/>
            </w:tabs>
            <w:spacing w:line="240" w:lineRule="auto"/>
            <w:ind w:left="567" w:right="-2" w:hanging="567"/>
          </w:pPr>
        </w:pPrChange>
      </w:pPr>
      <w:r w:rsidRPr="001775D9">
        <w:rPr>
          <w:szCs w:val="22"/>
        </w:rPr>
        <w:t>Psoriatic arthritis</w:t>
      </w:r>
    </w:p>
    <w:p w14:paraId="7D8AA2AC" w14:textId="77777777" w:rsidR="008E788D" w:rsidRPr="00F04F82" w:rsidRDefault="008E788D" w:rsidP="00D55B59">
      <w:pPr>
        <w:numPr>
          <w:ilvl w:val="1"/>
          <w:numId w:val="32"/>
        </w:numPr>
        <w:spacing w:line="240" w:lineRule="auto"/>
        <w:ind w:left="567" w:hanging="567"/>
        <w:rPr>
          <w:szCs w:val="22"/>
        </w:rPr>
        <w:pPrChange w:id="3935" w:author="Author">
          <w:pPr>
            <w:numPr>
              <w:ilvl w:val="1"/>
              <w:numId w:val="32"/>
            </w:numPr>
            <w:tabs>
              <w:tab w:val="clear" w:pos="567"/>
            </w:tabs>
            <w:spacing w:line="240" w:lineRule="auto"/>
            <w:ind w:left="567" w:right="-2" w:hanging="567"/>
          </w:pPr>
        </w:pPrChange>
      </w:pPr>
      <w:r w:rsidRPr="001775D9">
        <w:rPr>
          <w:szCs w:val="22"/>
        </w:rPr>
        <w:t xml:space="preserve">Plaque </w:t>
      </w:r>
      <w:r w:rsidRPr="00F04F82">
        <w:rPr>
          <w:szCs w:val="22"/>
        </w:rPr>
        <w:t xml:space="preserve">psoriasis </w:t>
      </w:r>
    </w:p>
    <w:p w14:paraId="4A8FA2C9" w14:textId="77777777" w:rsidR="008E788D" w:rsidRPr="00F04F82" w:rsidRDefault="008E788D" w:rsidP="00D55B59">
      <w:pPr>
        <w:numPr>
          <w:ilvl w:val="1"/>
          <w:numId w:val="32"/>
        </w:numPr>
        <w:spacing w:line="240" w:lineRule="auto"/>
        <w:ind w:left="567" w:hanging="567"/>
        <w:rPr>
          <w:szCs w:val="22"/>
        </w:rPr>
        <w:pPrChange w:id="3936" w:author="Author">
          <w:pPr>
            <w:numPr>
              <w:ilvl w:val="1"/>
              <w:numId w:val="32"/>
            </w:numPr>
            <w:tabs>
              <w:tab w:val="clear" w:pos="567"/>
            </w:tabs>
            <w:spacing w:line="240" w:lineRule="auto"/>
            <w:ind w:left="567" w:right="-2" w:hanging="567"/>
          </w:pPr>
        </w:pPrChange>
      </w:pPr>
      <w:r w:rsidRPr="001775D9">
        <w:rPr>
          <w:szCs w:val="22"/>
        </w:rPr>
        <w:t>Hidradenitis suppurativa</w:t>
      </w:r>
    </w:p>
    <w:p w14:paraId="0364CE11" w14:textId="77777777" w:rsidR="008E788D" w:rsidRPr="00F04F82" w:rsidRDefault="008E788D" w:rsidP="00D55B59">
      <w:pPr>
        <w:numPr>
          <w:ilvl w:val="1"/>
          <w:numId w:val="32"/>
        </w:numPr>
        <w:spacing w:line="240" w:lineRule="auto"/>
        <w:ind w:left="567" w:hanging="567"/>
        <w:rPr>
          <w:szCs w:val="22"/>
        </w:rPr>
        <w:pPrChange w:id="3937" w:author="Author">
          <w:pPr>
            <w:numPr>
              <w:ilvl w:val="1"/>
              <w:numId w:val="32"/>
            </w:numPr>
            <w:tabs>
              <w:tab w:val="clear" w:pos="567"/>
            </w:tabs>
            <w:spacing w:line="240" w:lineRule="auto"/>
            <w:ind w:left="567" w:right="-2" w:hanging="567"/>
          </w:pPr>
        </w:pPrChange>
      </w:pPr>
      <w:r w:rsidRPr="001775D9">
        <w:rPr>
          <w:szCs w:val="22"/>
        </w:rPr>
        <w:t xml:space="preserve">Crohn’s disease </w:t>
      </w:r>
    </w:p>
    <w:p w14:paraId="4D421BDF" w14:textId="77777777" w:rsidR="008E788D" w:rsidRPr="00F04F82" w:rsidRDefault="008E788D" w:rsidP="00D55B59">
      <w:pPr>
        <w:numPr>
          <w:ilvl w:val="1"/>
          <w:numId w:val="32"/>
        </w:numPr>
        <w:spacing w:line="240" w:lineRule="auto"/>
        <w:ind w:left="567" w:hanging="567"/>
        <w:rPr>
          <w:szCs w:val="22"/>
        </w:rPr>
        <w:pPrChange w:id="3938" w:author="Author">
          <w:pPr>
            <w:numPr>
              <w:ilvl w:val="1"/>
              <w:numId w:val="32"/>
            </w:numPr>
            <w:tabs>
              <w:tab w:val="clear" w:pos="567"/>
            </w:tabs>
            <w:spacing w:line="240" w:lineRule="auto"/>
            <w:ind w:left="567" w:right="-2" w:hanging="567"/>
          </w:pPr>
        </w:pPrChange>
      </w:pPr>
      <w:r w:rsidRPr="001775D9">
        <w:rPr>
          <w:szCs w:val="22"/>
        </w:rPr>
        <w:t>Ulcerative colitis</w:t>
      </w:r>
    </w:p>
    <w:p w14:paraId="7C340E9A" w14:textId="77777777" w:rsidR="008E788D" w:rsidRPr="00F04F82" w:rsidRDefault="008E788D" w:rsidP="00D55B59">
      <w:pPr>
        <w:numPr>
          <w:ilvl w:val="1"/>
          <w:numId w:val="32"/>
        </w:numPr>
        <w:spacing w:line="240" w:lineRule="auto"/>
        <w:ind w:left="567" w:hanging="567"/>
        <w:rPr>
          <w:szCs w:val="22"/>
        </w:rPr>
        <w:pPrChange w:id="3939" w:author="Author">
          <w:pPr>
            <w:numPr>
              <w:ilvl w:val="1"/>
              <w:numId w:val="32"/>
            </w:numPr>
            <w:tabs>
              <w:tab w:val="clear" w:pos="567"/>
            </w:tabs>
            <w:spacing w:line="240" w:lineRule="auto"/>
            <w:ind w:left="567" w:right="-2" w:hanging="567"/>
          </w:pPr>
        </w:pPrChange>
      </w:pPr>
      <w:r w:rsidRPr="001775D9">
        <w:rPr>
          <w:szCs w:val="22"/>
        </w:rPr>
        <w:t>Non-infectious uveitis</w:t>
      </w:r>
    </w:p>
    <w:p w14:paraId="74212CEB" w14:textId="77777777" w:rsidR="008E788D" w:rsidRPr="001775D9" w:rsidRDefault="008E788D" w:rsidP="006A71EE">
      <w:pPr>
        <w:tabs>
          <w:tab w:val="clear" w:pos="567"/>
        </w:tabs>
        <w:spacing w:line="240" w:lineRule="auto"/>
        <w:ind w:right="-2"/>
        <w:rPr>
          <w:szCs w:val="22"/>
        </w:rPr>
      </w:pPr>
    </w:p>
    <w:p w14:paraId="37C520B1" w14:textId="77777777" w:rsidR="008E788D" w:rsidRPr="001775D9" w:rsidRDefault="008E788D" w:rsidP="006A71EE">
      <w:pPr>
        <w:tabs>
          <w:tab w:val="clear" w:pos="567"/>
        </w:tabs>
        <w:spacing w:line="240" w:lineRule="auto"/>
        <w:ind w:right="-2"/>
      </w:pPr>
      <w:r w:rsidRPr="001775D9">
        <w:t xml:space="preserve">The active ingredient in AMGEVITA, adalimumab, is a human monoclonal antibody. Monoclonal antibodies are proteins that attach to a specific target. </w:t>
      </w:r>
    </w:p>
    <w:p w14:paraId="208400BE" w14:textId="77777777" w:rsidR="008E788D" w:rsidRPr="001775D9" w:rsidRDefault="008E788D" w:rsidP="006A71EE">
      <w:pPr>
        <w:tabs>
          <w:tab w:val="clear" w:pos="567"/>
        </w:tabs>
        <w:spacing w:line="240" w:lineRule="auto"/>
        <w:ind w:right="-2"/>
      </w:pPr>
    </w:p>
    <w:p w14:paraId="031D35B8" w14:textId="77777777" w:rsidR="008E788D" w:rsidRPr="001775D9" w:rsidRDefault="008E788D" w:rsidP="006A71EE">
      <w:pPr>
        <w:tabs>
          <w:tab w:val="clear" w:pos="567"/>
        </w:tabs>
        <w:spacing w:line="240" w:lineRule="auto"/>
        <w:ind w:right="-2"/>
      </w:pPr>
      <w:r w:rsidRPr="001775D9">
        <w:t>The target of adalimumab is a protein called tumour necrosis factor (TNFα), which is involved in the immune (defence) system and is present at increased levels in the inflammatory diseases listed above. By attaching to TNFα, AMGEVITA decreases the process of inflammation in these diseases.</w:t>
      </w:r>
    </w:p>
    <w:p w14:paraId="12A28C45" w14:textId="77777777" w:rsidR="008E788D" w:rsidRPr="001775D9" w:rsidRDefault="008E788D" w:rsidP="006A71EE">
      <w:pPr>
        <w:tabs>
          <w:tab w:val="clear" w:pos="567"/>
        </w:tabs>
        <w:spacing w:line="240" w:lineRule="auto"/>
        <w:ind w:right="-2"/>
        <w:rPr>
          <w:szCs w:val="22"/>
        </w:rPr>
      </w:pPr>
    </w:p>
    <w:p w14:paraId="00EBDDEF" w14:textId="77777777" w:rsidR="008E788D" w:rsidRPr="00D55B59" w:rsidRDefault="008E788D" w:rsidP="008E788D">
      <w:pPr>
        <w:pStyle w:val="Default"/>
        <w:keepNext/>
        <w:keepLines/>
        <w:rPr>
          <w:sz w:val="22"/>
          <w:szCs w:val="22"/>
          <w:u w:val="single"/>
          <w:lang w:val="en-GB"/>
          <w:rPrChange w:id="3940" w:author="Author">
            <w:rPr>
              <w:sz w:val="22"/>
              <w:szCs w:val="22"/>
              <w:u w:val="single"/>
            </w:rPr>
          </w:rPrChange>
        </w:rPr>
      </w:pPr>
      <w:r w:rsidRPr="00D55B59">
        <w:rPr>
          <w:sz w:val="22"/>
          <w:szCs w:val="22"/>
          <w:u w:val="single"/>
          <w:lang w:val="en-GB"/>
          <w:rPrChange w:id="3941" w:author="Author">
            <w:rPr>
              <w:sz w:val="22"/>
              <w:szCs w:val="22"/>
              <w:u w:val="single"/>
            </w:rPr>
          </w:rPrChange>
        </w:rPr>
        <w:t xml:space="preserve">Rheumatoid arthritis </w:t>
      </w:r>
    </w:p>
    <w:p w14:paraId="73ADBA0A" w14:textId="77777777" w:rsidR="008E788D" w:rsidRPr="00D55B59" w:rsidRDefault="008E788D" w:rsidP="008E788D">
      <w:pPr>
        <w:pStyle w:val="Default"/>
        <w:keepNext/>
        <w:keepLines/>
        <w:rPr>
          <w:sz w:val="22"/>
          <w:szCs w:val="22"/>
          <w:lang w:val="en-GB"/>
          <w:rPrChange w:id="3942" w:author="Author">
            <w:rPr>
              <w:sz w:val="22"/>
              <w:szCs w:val="22"/>
            </w:rPr>
          </w:rPrChange>
        </w:rPr>
      </w:pPr>
    </w:p>
    <w:p w14:paraId="6AC715E1" w14:textId="77777777" w:rsidR="008E788D" w:rsidRPr="00D55B59" w:rsidRDefault="008E788D" w:rsidP="008E788D">
      <w:pPr>
        <w:pStyle w:val="Default"/>
        <w:rPr>
          <w:sz w:val="22"/>
          <w:szCs w:val="22"/>
          <w:lang w:val="en-GB"/>
          <w:rPrChange w:id="3943" w:author="Author">
            <w:rPr>
              <w:sz w:val="22"/>
              <w:szCs w:val="22"/>
            </w:rPr>
          </w:rPrChange>
        </w:rPr>
      </w:pPr>
      <w:r w:rsidRPr="00D55B59">
        <w:rPr>
          <w:sz w:val="22"/>
          <w:szCs w:val="22"/>
          <w:lang w:val="en-GB"/>
          <w:rPrChange w:id="3944" w:author="Author">
            <w:rPr>
              <w:sz w:val="22"/>
              <w:szCs w:val="22"/>
            </w:rPr>
          </w:rPrChange>
        </w:rPr>
        <w:t xml:space="preserve">Rheumatoid arthritis is an inflammatory disease of the joints. </w:t>
      </w:r>
    </w:p>
    <w:p w14:paraId="729F550B" w14:textId="77777777" w:rsidR="008E788D" w:rsidRPr="00D55B59" w:rsidRDefault="008E788D" w:rsidP="008E788D">
      <w:pPr>
        <w:pStyle w:val="Default"/>
        <w:rPr>
          <w:sz w:val="22"/>
          <w:szCs w:val="22"/>
          <w:lang w:val="en-GB"/>
          <w:rPrChange w:id="3945" w:author="Author">
            <w:rPr>
              <w:sz w:val="22"/>
              <w:szCs w:val="22"/>
            </w:rPr>
          </w:rPrChange>
        </w:rPr>
      </w:pPr>
    </w:p>
    <w:p w14:paraId="658E6E05" w14:textId="77777777" w:rsidR="008E788D" w:rsidRPr="001775D9" w:rsidRDefault="008E788D" w:rsidP="008E788D">
      <w:pPr>
        <w:tabs>
          <w:tab w:val="clear" w:pos="567"/>
        </w:tabs>
        <w:spacing w:line="240" w:lineRule="auto"/>
        <w:ind w:right="-2"/>
        <w:rPr>
          <w:szCs w:val="22"/>
        </w:rPr>
      </w:pPr>
      <w:r w:rsidRPr="001775D9">
        <w:rPr>
          <w:szCs w:val="22"/>
        </w:rPr>
        <w:t xml:space="preserve">AMGEVITA is used to treat rheumatoid arthritis in adults. If you have moderate to severe active rheumatoid arthritis, you may first be given other disease-modifying medicines, such as methotrexate. If you do not respond well enough to these medicines, you will be given AMGEVITA to treat your rheumatoid arthritis. </w:t>
      </w:r>
    </w:p>
    <w:p w14:paraId="241FACBB" w14:textId="77777777" w:rsidR="008E788D" w:rsidRPr="001775D9" w:rsidRDefault="008E788D" w:rsidP="008E788D">
      <w:pPr>
        <w:tabs>
          <w:tab w:val="clear" w:pos="567"/>
        </w:tabs>
        <w:spacing w:line="240" w:lineRule="auto"/>
        <w:ind w:right="-2"/>
        <w:rPr>
          <w:szCs w:val="22"/>
        </w:rPr>
      </w:pPr>
    </w:p>
    <w:p w14:paraId="6E323F86" w14:textId="77777777" w:rsidR="008E788D" w:rsidRPr="001775D9" w:rsidRDefault="008E788D" w:rsidP="008E788D">
      <w:pPr>
        <w:tabs>
          <w:tab w:val="clear" w:pos="567"/>
        </w:tabs>
        <w:spacing w:line="240" w:lineRule="auto"/>
        <w:ind w:right="-2"/>
        <w:rPr>
          <w:szCs w:val="22"/>
        </w:rPr>
      </w:pPr>
      <w:r w:rsidRPr="001775D9">
        <w:rPr>
          <w:szCs w:val="22"/>
        </w:rPr>
        <w:t>AMGEVITA can also be used to treat severe, active and progressive rheumatoid arthritis without previous methotrexate treatment.</w:t>
      </w:r>
    </w:p>
    <w:p w14:paraId="18BBDD5C" w14:textId="77777777" w:rsidR="008E788D" w:rsidRPr="00D55B59" w:rsidRDefault="008E788D" w:rsidP="008E788D">
      <w:pPr>
        <w:pStyle w:val="Default"/>
        <w:rPr>
          <w:sz w:val="22"/>
          <w:szCs w:val="22"/>
          <w:lang w:val="en-GB"/>
          <w:rPrChange w:id="3946" w:author="Author">
            <w:rPr>
              <w:sz w:val="22"/>
              <w:szCs w:val="22"/>
            </w:rPr>
          </w:rPrChange>
        </w:rPr>
      </w:pPr>
    </w:p>
    <w:p w14:paraId="7A27D8A0" w14:textId="77777777" w:rsidR="008E788D" w:rsidRPr="00D55B59" w:rsidRDefault="008E788D" w:rsidP="008E788D">
      <w:pPr>
        <w:pStyle w:val="Default"/>
        <w:rPr>
          <w:sz w:val="22"/>
          <w:szCs w:val="22"/>
          <w:lang w:val="en-GB"/>
          <w:rPrChange w:id="3947" w:author="Author">
            <w:rPr>
              <w:sz w:val="22"/>
              <w:szCs w:val="22"/>
            </w:rPr>
          </w:rPrChange>
        </w:rPr>
      </w:pPr>
      <w:r w:rsidRPr="00D55B59">
        <w:rPr>
          <w:sz w:val="22"/>
          <w:szCs w:val="22"/>
          <w:lang w:val="en-GB"/>
          <w:rPrChange w:id="3948" w:author="Author">
            <w:rPr>
              <w:sz w:val="22"/>
              <w:szCs w:val="22"/>
            </w:rPr>
          </w:rPrChange>
        </w:rPr>
        <w:t xml:space="preserve">AMGEVITA slows down the damage to the cartilage and bone of the joints caused by the disease and to improve physical function. </w:t>
      </w:r>
    </w:p>
    <w:p w14:paraId="65AE79E5" w14:textId="77777777" w:rsidR="008E788D" w:rsidRPr="001775D9" w:rsidRDefault="008E788D" w:rsidP="008E788D">
      <w:pPr>
        <w:tabs>
          <w:tab w:val="clear" w:pos="567"/>
        </w:tabs>
        <w:spacing w:line="240" w:lineRule="auto"/>
        <w:ind w:right="-2"/>
        <w:rPr>
          <w:szCs w:val="22"/>
        </w:rPr>
      </w:pPr>
    </w:p>
    <w:p w14:paraId="7187251F" w14:textId="77777777" w:rsidR="008E788D" w:rsidRPr="001775D9" w:rsidRDefault="008E788D" w:rsidP="008E788D">
      <w:pPr>
        <w:tabs>
          <w:tab w:val="clear" w:pos="567"/>
        </w:tabs>
        <w:spacing w:line="240" w:lineRule="auto"/>
        <w:ind w:right="-2"/>
        <w:rPr>
          <w:szCs w:val="22"/>
        </w:rPr>
      </w:pPr>
      <w:r w:rsidRPr="001775D9">
        <w:rPr>
          <w:szCs w:val="22"/>
        </w:rPr>
        <w:t>Usually, AMGEVITA is used with methotrexate. If your doctor determines that methotrexate is inappropriate, AMGEVITA can be given alone.</w:t>
      </w:r>
    </w:p>
    <w:p w14:paraId="68A81BC8" w14:textId="77777777" w:rsidR="008E788D" w:rsidRPr="001775D9" w:rsidRDefault="008E788D" w:rsidP="008E788D">
      <w:pPr>
        <w:tabs>
          <w:tab w:val="clear" w:pos="567"/>
        </w:tabs>
        <w:spacing w:line="240" w:lineRule="auto"/>
        <w:ind w:right="-2"/>
        <w:rPr>
          <w:szCs w:val="22"/>
        </w:rPr>
      </w:pPr>
    </w:p>
    <w:p w14:paraId="143EBBDF" w14:textId="77777777" w:rsidR="008E788D" w:rsidRPr="00D55B59" w:rsidRDefault="008E788D" w:rsidP="008E788D">
      <w:pPr>
        <w:pStyle w:val="Default"/>
        <w:rPr>
          <w:sz w:val="22"/>
          <w:szCs w:val="22"/>
          <w:u w:val="single"/>
          <w:lang w:val="en-GB"/>
          <w:rPrChange w:id="3949" w:author="Author">
            <w:rPr>
              <w:sz w:val="22"/>
              <w:szCs w:val="22"/>
              <w:u w:val="single"/>
            </w:rPr>
          </w:rPrChange>
        </w:rPr>
      </w:pPr>
      <w:r w:rsidRPr="00D55B59">
        <w:rPr>
          <w:sz w:val="22"/>
          <w:szCs w:val="22"/>
          <w:u w:val="single"/>
          <w:lang w:val="en-GB"/>
          <w:rPrChange w:id="3950" w:author="Author">
            <w:rPr>
              <w:sz w:val="22"/>
              <w:szCs w:val="22"/>
              <w:u w:val="single"/>
            </w:rPr>
          </w:rPrChange>
        </w:rPr>
        <w:t xml:space="preserve">Polyarticular juvenile idiopathic arthritis and enthesitis-related arthritis </w:t>
      </w:r>
    </w:p>
    <w:p w14:paraId="45BA2949" w14:textId="77777777" w:rsidR="008E788D" w:rsidRPr="00D55B59" w:rsidRDefault="008E788D" w:rsidP="008E788D">
      <w:pPr>
        <w:pStyle w:val="Default"/>
        <w:rPr>
          <w:sz w:val="22"/>
          <w:szCs w:val="22"/>
          <w:lang w:val="en-GB"/>
          <w:rPrChange w:id="3951" w:author="Author">
            <w:rPr>
              <w:sz w:val="22"/>
              <w:szCs w:val="22"/>
            </w:rPr>
          </w:rPrChange>
        </w:rPr>
      </w:pPr>
    </w:p>
    <w:p w14:paraId="11CEB61B" w14:textId="77777777" w:rsidR="008E788D" w:rsidRPr="00D55B59" w:rsidRDefault="008E788D" w:rsidP="008E788D">
      <w:pPr>
        <w:pStyle w:val="Default"/>
        <w:rPr>
          <w:sz w:val="22"/>
          <w:szCs w:val="22"/>
          <w:lang w:val="en-GB"/>
          <w:rPrChange w:id="3952" w:author="Author">
            <w:rPr>
              <w:sz w:val="22"/>
              <w:szCs w:val="22"/>
            </w:rPr>
          </w:rPrChange>
        </w:rPr>
      </w:pPr>
      <w:r w:rsidRPr="00D55B59">
        <w:rPr>
          <w:sz w:val="22"/>
          <w:szCs w:val="22"/>
          <w:lang w:val="en-GB"/>
          <w:rPrChange w:id="3953" w:author="Author">
            <w:rPr>
              <w:sz w:val="22"/>
              <w:szCs w:val="22"/>
            </w:rPr>
          </w:rPrChange>
        </w:rPr>
        <w:t xml:space="preserve">Polyarticular juvenile idiopathic arthritis and enthesitis-related arthritis are inflammatory diseases of the joints that usually first appear in childhood. </w:t>
      </w:r>
    </w:p>
    <w:p w14:paraId="422CE274" w14:textId="77777777" w:rsidR="008E788D" w:rsidRPr="00D55B59" w:rsidRDefault="008E788D" w:rsidP="008E788D">
      <w:pPr>
        <w:pStyle w:val="Default"/>
        <w:rPr>
          <w:sz w:val="22"/>
          <w:szCs w:val="22"/>
          <w:lang w:val="en-GB"/>
          <w:rPrChange w:id="3954" w:author="Author">
            <w:rPr>
              <w:sz w:val="22"/>
              <w:szCs w:val="22"/>
            </w:rPr>
          </w:rPrChange>
        </w:rPr>
      </w:pPr>
    </w:p>
    <w:p w14:paraId="4EF86244" w14:textId="77777777" w:rsidR="008E788D" w:rsidRPr="00D55B59" w:rsidRDefault="008E788D" w:rsidP="008E788D">
      <w:pPr>
        <w:pStyle w:val="Default"/>
        <w:rPr>
          <w:rFonts w:eastAsia="PMingLiU"/>
          <w:color w:val="auto"/>
          <w:sz w:val="22"/>
          <w:szCs w:val="22"/>
          <w:lang w:val="en-GB" w:eastAsia="en-US"/>
          <w:rPrChange w:id="3955" w:author="Author">
            <w:rPr>
              <w:rFonts w:eastAsia="PMingLiU"/>
              <w:color w:val="auto"/>
              <w:sz w:val="22"/>
              <w:szCs w:val="22"/>
              <w:lang w:eastAsia="en-US"/>
            </w:rPr>
          </w:rPrChange>
        </w:rPr>
      </w:pPr>
      <w:r w:rsidRPr="00D55B59">
        <w:rPr>
          <w:sz w:val="22"/>
          <w:szCs w:val="22"/>
          <w:lang w:val="en-GB"/>
          <w:rPrChange w:id="3956" w:author="Author">
            <w:rPr>
              <w:sz w:val="22"/>
              <w:szCs w:val="22"/>
            </w:rPr>
          </w:rPrChange>
        </w:rPr>
        <w:t xml:space="preserve">AMGEVITA is used to treat polyarticular juvenile idiopathic arthritis in patients from 2 years and enthesitis-related arthritis in patients from 6 years. You may first be given other disease-modifying medicines, such as methotrexate. If you do not respond well enough to these medicines, you will be given AMGEVITA to treat your polyarticular juvenile idiopathic arthritis or enthesitis-related arthritis. </w:t>
      </w:r>
    </w:p>
    <w:p w14:paraId="29DEBAA6" w14:textId="77777777" w:rsidR="008E788D" w:rsidRPr="00D55B59" w:rsidRDefault="008E788D" w:rsidP="008E788D">
      <w:pPr>
        <w:pStyle w:val="Default"/>
        <w:rPr>
          <w:sz w:val="22"/>
          <w:szCs w:val="22"/>
          <w:lang w:val="en-GB"/>
          <w:rPrChange w:id="3957" w:author="Author">
            <w:rPr>
              <w:sz w:val="22"/>
              <w:szCs w:val="22"/>
            </w:rPr>
          </w:rPrChange>
        </w:rPr>
      </w:pPr>
    </w:p>
    <w:p w14:paraId="60AB3404" w14:textId="77777777" w:rsidR="008E788D" w:rsidRPr="00D55B59" w:rsidRDefault="008E788D" w:rsidP="008E788D">
      <w:pPr>
        <w:pStyle w:val="Default"/>
        <w:rPr>
          <w:sz w:val="22"/>
          <w:szCs w:val="22"/>
          <w:u w:val="single"/>
          <w:lang w:val="en-GB"/>
          <w:rPrChange w:id="3958" w:author="Author">
            <w:rPr>
              <w:sz w:val="22"/>
              <w:szCs w:val="22"/>
              <w:u w:val="single"/>
            </w:rPr>
          </w:rPrChange>
        </w:rPr>
      </w:pPr>
      <w:r w:rsidRPr="00D55B59">
        <w:rPr>
          <w:sz w:val="22"/>
          <w:szCs w:val="22"/>
          <w:u w:val="single"/>
          <w:lang w:val="en-GB"/>
          <w:rPrChange w:id="3959" w:author="Author">
            <w:rPr>
              <w:sz w:val="22"/>
              <w:szCs w:val="22"/>
              <w:u w:val="single"/>
            </w:rPr>
          </w:rPrChange>
        </w:rPr>
        <w:t xml:space="preserve">Ankylosing spondylitis and axial spondyloarthritis without radiographic evidence of ankylosing spondylitis </w:t>
      </w:r>
    </w:p>
    <w:p w14:paraId="22F762C2" w14:textId="77777777" w:rsidR="008E788D" w:rsidRPr="00D55B59" w:rsidRDefault="008E788D" w:rsidP="008E788D">
      <w:pPr>
        <w:pStyle w:val="Default"/>
        <w:rPr>
          <w:sz w:val="22"/>
          <w:szCs w:val="22"/>
          <w:lang w:val="en-GB"/>
          <w:rPrChange w:id="3960" w:author="Author">
            <w:rPr>
              <w:sz w:val="22"/>
              <w:szCs w:val="22"/>
            </w:rPr>
          </w:rPrChange>
        </w:rPr>
      </w:pPr>
    </w:p>
    <w:p w14:paraId="07947623" w14:textId="77777777" w:rsidR="008E788D" w:rsidRPr="001775D9" w:rsidRDefault="008E788D" w:rsidP="008E788D">
      <w:pPr>
        <w:tabs>
          <w:tab w:val="clear" w:pos="567"/>
        </w:tabs>
        <w:autoSpaceDE w:val="0"/>
        <w:autoSpaceDN w:val="0"/>
        <w:adjustRightInd w:val="0"/>
        <w:spacing w:line="240" w:lineRule="auto"/>
        <w:rPr>
          <w:szCs w:val="22"/>
        </w:rPr>
      </w:pPr>
      <w:r w:rsidRPr="001775D9">
        <w:rPr>
          <w:szCs w:val="22"/>
        </w:rPr>
        <w:t xml:space="preserve">Ankylosing spondylitis and axial spondyloarthritis without radiographic evidence of ankylosing spondylitis, are inflammatory diseases of the spine. </w:t>
      </w:r>
    </w:p>
    <w:p w14:paraId="6584BF08" w14:textId="77777777" w:rsidR="008E788D" w:rsidRPr="00D55B59" w:rsidRDefault="008E788D" w:rsidP="008E788D">
      <w:pPr>
        <w:pStyle w:val="Default"/>
        <w:rPr>
          <w:sz w:val="22"/>
          <w:szCs w:val="22"/>
          <w:lang w:val="en-GB"/>
          <w:rPrChange w:id="3961" w:author="Author">
            <w:rPr>
              <w:sz w:val="22"/>
              <w:szCs w:val="22"/>
            </w:rPr>
          </w:rPrChange>
        </w:rPr>
      </w:pPr>
    </w:p>
    <w:p w14:paraId="30A17717" w14:textId="77777777" w:rsidR="008E788D" w:rsidRPr="00D55B59" w:rsidRDefault="008E788D" w:rsidP="008E788D">
      <w:pPr>
        <w:pStyle w:val="Default"/>
        <w:rPr>
          <w:sz w:val="22"/>
          <w:szCs w:val="22"/>
          <w:lang w:val="en-GB"/>
          <w:rPrChange w:id="3962" w:author="Author">
            <w:rPr>
              <w:sz w:val="22"/>
              <w:szCs w:val="22"/>
            </w:rPr>
          </w:rPrChange>
        </w:rPr>
      </w:pPr>
      <w:r w:rsidRPr="00D55B59">
        <w:rPr>
          <w:sz w:val="22"/>
          <w:szCs w:val="22"/>
          <w:lang w:val="en-GB"/>
          <w:rPrChange w:id="3963" w:author="Author">
            <w:rPr>
              <w:sz w:val="22"/>
              <w:szCs w:val="22"/>
            </w:rPr>
          </w:rPrChange>
        </w:rPr>
        <w:t xml:space="preserve">AMGEVITA is used to treat ankylosing spondylitis and axial spondyloarthritis without radiographic evidence of ankylosing spondylitis in adults. If you have ankylosing spondylitis or axial spondyloarthritis without radiographic evidence of ankylosing spondylitis, you will first be given other medicines. If you do not respond well enough to these medicines, you will be given AMGEVITA to reduce the signs and symptoms of your disease. </w:t>
      </w:r>
    </w:p>
    <w:p w14:paraId="3D627763" w14:textId="77777777" w:rsidR="008E788D" w:rsidRPr="00D55B59" w:rsidRDefault="008E788D" w:rsidP="008E788D">
      <w:pPr>
        <w:pStyle w:val="Default"/>
        <w:rPr>
          <w:sz w:val="22"/>
          <w:szCs w:val="22"/>
          <w:lang w:val="en-GB"/>
          <w:rPrChange w:id="3964" w:author="Author">
            <w:rPr>
              <w:sz w:val="22"/>
              <w:szCs w:val="22"/>
            </w:rPr>
          </w:rPrChange>
        </w:rPr>
      </w:pPr>
    </w:p>
    <w:p w14:paraId="058AD621" w14:textId="77777777" w:rsidR="008E788D" w:rsidRPr="00D55B59" w:rsidRDefault="008E788D" w:rsidP="008E788D">
      <w:pPr>
        <w:pStyle w:val="Default"/>
        <w:rPr>
          <w:sz w:val="22"/>
          <w:szCs w:val="22"/>
          <w:u w:val="single"/>
          <w:lang w:val="en-GB"/>
          <w:rPrChange w:id="3965" w:author="Author">
            <w:rPr>
              <w:sz w:val="22"/>
              <w:szCs w:val="22"/>
              <w:u w:val="single"/>
            </w:rPr>
          </w:rPrChange>
        </w:rPr>
      </w:pPr>
      <w:r w:rsidRPr="00D55B59">
        <w:rPr>
          <w:sz w:val="22"/>
          <w:szCs w:val="22"/>
          <w:u w:val="single"/>
          <w:lang w:val="en-GB"/>
          <w:rPrChange w:id="3966" w:author="Author">
            <w:rPr>
              <w:sz w:val="22"/>
              <w:szCs w:val="22"/>
              <w:u w:val="single"/>
            </w:rPr>
          </w:rPrChange>
        </w:rPr>
        <w:t xml:space="preserve">Psoriatic arthritis </w:t>
      </w:r>
    </w:p>
    <w:p w14:paraId="3A455634" w14:textId="77777777" w:rsidR="008E788D" w:rsidRPr="00D55B59" w:rsidRDefault="008E788D" w:rsidP="008E788D">
      <w:pPr>
        <w:pStyle w:val="Default"/>
        <w:rPr>
          <w:sz w:val="22"/>
          <w:szCs w:val="22"/>
          <w:lang w:val="en-GB"/>
          <w:rPrChange w:id="3967" w:author="Author">
            <w:rPr>
              <w:sz w:val="22"/>
              <w:szCs w:val="22"/>
            </w:rPr>
          </w:rPrChange>
        </w:rPr>
      </w:pPr>
    </w:p>
    <w:p w14:paraId="1108D4CC" w14:textId="77777777" w:rsidR="008E788D" w:rsidRPr="00D55B59" w:rsidRDefault="008E788D" w:rsidP="008E788D">
      <w:pPr>
        <w:pStyle w:val="Default"/>
        <w:rPr>
          <w:sz w:val="22"/>
          <w:szCs w:val="22"/>
          <w:lang w:val="en-GB"/>
          <w:rPrChange w:id="3968" w:author="Author">
            <w:rPr>
              <w:sz w:val="22"/>
              <w:szCs w:val="22"/>
            </w:rPr>
          </w:rPrChange>
        </w:rPr>
      </w:pPr>
      <w:r w:rsidRPr="00D55B59">
        <w:rPr>
          <w:sz w:val="22"/>
          <w:szCs w:val="22"/>
          <w:lang w:val="en-GB"/>
          <w:rPrChange w:id="3969" w:author="Author">
            <w:rPr>
              <w:sz w:val="22"/>
              <w:szCs w:val="22"/>
            </w:rPr>
          </w:rPrChange>
        </w:rPr>
        <w:t xml:space="preserve">Psoriatic arthritis is an inflammation of the joints associated with psoriasis. </w:t>
      </w:r>
    </w:p>
    <w:p w14:paraId="1AD849AA" w14:textId="77777777" w:rsidR="008E788D" w:rsidRPr="00D55B59" w:rsidRDefault="008E788D" w:rsidP="008E788D">
      <w:pPr>
        <w:pStyle w:val="Default"/>
        <w:rPr>
          <w:sz w:val="22"/>
          <w:szCs w:val="22"/>
          <w:lang w:val="en-GB"/>
          <w:rPrChange w:id="3970" w:author="Author">
            <w:rPr>
              <w:sz w:val="22"/>
              <w:szCs w:val="22"/>
            </w:rPr>
          </w:rPrChange>
        </w:rPr>
      </w:pPr>
    </w:p>
    <w:p w14:paraId="768EB108" w14:textId="77777777" w:rsidR="008E788D" w:rsidRPr="00D55B59" w:rsidRDefault="008E788D" w:rsidP="008E788D">
      <w:pPr>
        <w:pStyle w:val="Default"/>
        <w:rPr>
          <w:sz w:val="22"/>
          <w:szCs w:val="22"/>
          <w:lang w:val="en-GB"/>
          <w:rPrChange w:id="3971" w:author="Author">
            <w:rPr>
              <w:sz w:val="22"/>
              <w:szCs w:val="22"/>
            </w:rPr>
          </w:rPrChange>
        </w:rPr>
      </w:pPr>
      <w:r w:rsidRPr="00D55B59">
        <w:rPr>
          <w:sz w:val="22"/>
          <w:szCs w:val="22"/>
          <w:lang w:val="en-GB"/>
          <w:rPrChange w:id="3972" w:author="Author">
            <w:rPr>
              <w:sz w:val="22"/>
              <w:szCs w:val="22"/>
            </w:rPr>
          </w:rPrChange>
        </w:rPr>
        <w:t xml:space="preserve">AMGEVITA is used to treat psoriatic arthritis in adults. AMGEVITA slows down the damage to the cartilage and bone of the joints caused by the disease and to improve physical function. </w:t>
      </w:r>
    </w:p>
    <w:p w14:paraId="5B2A7B89" w14:textId="77777777" w:rsidR="008E788D" w:rsidRPr="00D55B59" w:rsidRDefault="008E788D" w:rsidP="008E788D">
      <w:pPr>
        <w:pStyle w:val="Default"/>
        <w:rPr>
          <w:sz w:val="22"/>
          <w:szCs w:val="22"/>
          <w:lang w:val="en-GB"/>
          <w:rPrChange w:id="3973" w:author="Author">
            <w:rPr>
              <w:sz w:val="22"/>
              <w:szCs w:val="22"/>
            </w:rPr>
          </w:rPrChange>
        </w:rPr>
      </w:pPr>
    </w:p>
    <w:p w14:paraId="07D22BE3" w14:textId="77777777" w:rsidR="008E788D" w:rsidRPr="00D55B59" w:rsidRDefault="008E788D" w:rsidP="008E788D">
      <w:pPr>
        <w:pStyle w:val="Default"/>
        <w:rPr>
          <w:sz w:val="22"/>
          <w:szCs w:val="22"/>
          <w:u w:val="single"/>
          <w:lang w:val="en-GB"/>
          <w:rPrChange w:id="3974" w:author="Author">
            <w:rPr>
              <w:sz w:val="22"/>
              <w:szCs w:val="22"/>
              <w:u w:val="single"/>
            </w:rPr>
          </w:rPrChange>
        </w:rPr>
      </w:pPr>
      <w:r w:rsidRPr="00D55B59">
        <w:rPr>
          <w:sz w:val="22"/>
          <w:szCs w:val="22"/>
          <w:u w:val="single"/>
          <w:lang w:val="en-GB"/>
          <w:rPrChange w:id="3975" w:author="Author">
            <w:rPr>
              <w:sz w:val="22"/>
              <w:szCs w:val="22"/>
              <w:u w:val="single"/>
            </w:rPr>
          </w:rPrChange>
        </w:rPr>
        <w:t>Plaque psoriasis in adults and children</w:t>
      </w:r>
    </w:p>
    <w:p w14:paraId="24EA5345" w14:textId="77777777" w:rsidR="008E788D" w:rsidRPr="001775D9" w:rsidRDefault="008E788D" w:rsidP="008E788D">
      <w:pPr>
        <w:tabs>
          <w:tab w:val="clear" w:pos="567"/>
        </w:tabs>
        <w:spacing w:line="240" w:lineRule="auto"/>
        <w:ind w:right="-2"/>
        <w:rPr>
          <w:szCs w:val="22"/>
        </w:rPr>
      </w:pPr>
    </w:p>
    <w:p w14:paraId="4C89538F" w14:textId="77777777" w:rsidR="008E788D" w:rsidRPr="001775D9" w:rsidRDefault="008E788D" w:rsidP="008E788D">
      <w:pPr>
        <w:tabs>
          <w:tab w:val="clear" w:pos="567"/>
        </w:tabs>
        <w:spacing w:line="240" w:lineRule="auto"/>
        <w:ind w:right="-2"/>
        <w:rPr>
          <w:rFonts w:eastAsia="MS Mincho"/>
          <w:color w:val="000000"/>
          <w:szCs w:val="22"/>
          <w:lang w:eastAsia="ja-JP"/>
        </w:rPr>
      </w:pPr>
      <w:r w:rsidRPr="001775D9">
        <w:rPr>
          <w:rFonts w:eastAsia="MS Mincho"/>
          <w:color w:val="000000"/>
          <w:szCs w:val="22"/>
          <w:lang w:eastAsia="ja-JP"/>
        </w:rPr>
        <w:t xml:space="preserve">Plaque psoriasis is a skin condition that causes red, flaky, crusty patches of skin covered with silvery scales. </w:t>
      </w:r>
      <w:r w:rsidRPr="001775D9">
        <w:t>Plaque psoriasis can also affect the nails, causing them to crumble, become thickened and lift away from the nail bed which can be painful</w:t>
      </w:r>
      <w:r w:rsidRPr="001775D9">
        <w:rPr>
          <w:rFonts w:eastAsia="MS Mincho"/>
          <w:color w:val="000000"/>
          <w:szCs w:val="22"/>
          <w:lang w:eastAsia="ja-JP"/>
        </w:rPr>
        <w:t>. Psoriasis is believed to be caused by a problem with the body’s immune system that leads to an increased production of skin cells.</w:t>
      </w:r>
    </w:p>
    <w:p w14:paraId="4B577874" w14:textId="77777777" w:rsidR="008E788D" w:rsidRPr="001775D9" w:rsidRDefault="008E788D" w:rsidP="008E788D">
      <w:pPr>
        <w:tabs>
          <w:tab w:val="clear" w:pos="567"/>
        </w:tabs>
        <w:autoSpaceDE w:val="0"/>
        <w:autoSpaceDN w:val="0"/>
        <w:adjustRightInd w:val="0"/>
        <w:spacing w:line="240" w:lineRule="auto"/>
        <w:rPr>
          <w:szCs w:val="22"/>
        </w:rPr>
      </w:pPr>
    </w:p>
    <w:p w14:paraId="75B4DC5E" w14:textId="77777777" w:rsidR="008E788D" w:rsidRPr="001775D9" w:rsidRDefault="008E788D" w:rsidP="008E788D">
      <w:pPr>
        <w:tabs>
          <w:tab w:val="clear" w:pos="567"/>
        </w:tabs>
        <w:autoSpaceDE w:val="0"/>
        <w:autoSpaceDN w:val="0"/>
        <w:adjustRightInd w:val="0"/>
        <w:spacing w:line="240" w:lineRule="auto"/>
        <w:rPr>
          <w:szCs w:val="22"/>
        </w:rPr>
      </w:pPr>
      <w:r w:rsidRPr="001775D9">
        <w:rPr>
          <w:szCs w:val="22"/>
        </w:rPr>
        <w:t xml:space="preserve">AMGEVITA </w:t>
      </w:r>
      <w:r w:rsidRPr="001775D9">
        <w:t>i</w:t>
      </w:r>
      <w:r w:rsidRPr="001775D9">
        <w:rPr>
          <w:szCs w:val="22"/>
        </w:rPr>
        <w:t xml:space="preserve">s used </w:t>
      </w:r>
      <w:r w:rsidRPr="001775D9">
        <w:t>t</w:t>
      </w:r>
      <w:r w:rsidRPr="001775D9">
        <w:rPr>
          <w:szCs w:val="22"/>
        </w:rPr>
        <w:t xml:space="preserve">o </w:t>
      </w:r>
      <w:r w:rsidRPr="001775D9">
        <w:t>t</w:t>
      </w:r>
      <w:r w:rsidRPr="001775D9">
        <w:rPr>
          <w:szCs w:val="22"/>
        </w:rPr>
        <w:t>reat moderate to severe plaque psoriasis in adults.</w:t>
      </w:r>
      <w:r w:rsidRPr="001775D9">
        <w:t xml:space="preserve"> </w:t>
      </w:r>
      <w:r w:rsidRPr="001775D9">
        <w:rPr>
          <w:szCs w:val="22"/>
        </w:rPr>
        <w:t>AMGEVITA is also used to treat severe plaque psoriasis in children and adolescents aged 4 to 17 years for whom topical therapy and phototherapies have either not worked very well or are not suitable.</w:t>
      </w:r>
    </w:p>
    <w:p w14:paraId="3677075F" w14:textId="77777777" w:rsidR="008E788D" w:rsidRPr="001775D9" w:rsidRDefault="008E788D" w:rsidP="008E788D">
      <w:pPr>
        <w:tabs>
          <w:tab w:val="clear" w:pos="567"/>
        </w:tabs>
        <w:autoSpaceDE w:val="0"/>
        <w:autoSpaceDN w:val="0"/>
        <w:adjustRightInd w:val="0"/>
        <w:spacing w:line="240" w:lineRule="auto"/>
        <w:rPr>
          <w:szCs w:val="22"/>
        </w:rPr>
      </w:pPr>
    </w:p>
    <w:p w14:paraId="0F629FDB" w14:textId="77777777" w:rsidR="008E788D" w:rsidRPr="001775D9" w:rsidRDefault="008E788D" w:rsidP="008E788D">
      <w:pPr>
        <w:keepNext/>
        <w:tabs>
          <w:tab w:val="clear" w:pos="567"/>
        </w:tabs>
        <w:autoSpaceDE w:val="0"/>
        <w:autoSpaceDN w:val="0"/>
        <w:adjustRightInd w:val="0"/>
        <w:spacing w:line="240" w:lineRule="auto"/>
        <w:rPr>
          <w:szCs w:val="22"/>
          <w:u w:val="single"/>
        </w:rPr>
      </w:pPr>
      <w:r w:rsidRPr="001775D9">
        <w:rPr>
          <w:szCs w:val="22"/>
          <w:u w:val="single"/>
        </w:rPr>
        <w:t>Hidradenitis suppurativa in adults and adolescents</w:t>
      </w:r>
    </w:p>
    <w:p w14:paraId="559B4DF4" w14:textId="77777777" w:rsidR="008E788D" w:rsidRPr="001775D9" w:rsidRDefault="008E788D" w:rsidP="008E788D">
      <w:pPr>
        <w:keepNext/>
        <w:tabs>
          <w:tab w:val="clear" w:pos="567"/>
        </w:tabs>
        <w:autoSpaceDE w:val="0"/>
        <w:autoSpaceDN w:val="0"/>
        <w:adjustRightInd w:val="0"/>
        <w:spacing w:line="240" w:lineRule="auto"/>
        <w:rPr>
          <w:szCs w:val="22"/>
        </w:rPr>
      </w:pPr>
    </w:p>
    <w:p w14:paraId="420A68BA" w14:textId="77777777" w:rsidR="008E788D" w:rsidRPr="001775D9" w:rsidRDefault="008E788D" w:rsidP="008E788D">
      <w:pPr>
        <w:tabs>
          <w:tab w:val="clear" w:pos="567"/>
        </w:tabs>
        <w:autoSpaceDE w:val="0"/>
        <w:autoSpaceDN w:val="0"/>
        <w:adjustRightInd w:val="0"/>
        <w:spacing w:line="240" w:lineRule="auto"/>
        <w:rPr>
          <w:szCs w:val="22"/>
        </w:rPr>
      </w:pPr>
      <w:r w:rsidRPr="001775D9">
        <w:rPr>
          <w:szCs w:val="22"/>
        </w:rPr>
        <w:t>Hidradenitis suppurativa (sometimes called acne inversa) is a chronic and often painful inflammatory skin disease. Symptoms may include tender nodules (lumps) and abscesses (boils) that may leak pus. It most commonly affects specific areas of the skin, such as under the breasts, the armpits, inner thighs, groin and buttocks. Scarring may also occur in affected areas.</w:t>
      </w:r>
    </w:p>
    <w:p w14:paraId="24606E4E" w14:textId="77777777" w:rsidR="008E788D" w:rsidRPr="001775D9" w:rsidRDefault="008E788D" w:rsidP="008E788D">
      <w:pPr>
        <w:tabs>
          <w:tab w:val="clear" w:pos="567"/>
        </w:tabs>
        <w:autoSpaceDE w:val="0"/>
        <w:autoSpaceDN w:val="0"/>
        <w:adjustRightInd w:val="0"/>
        <w:spacing w:line="240" w:lineRule="auto"/>
        <w:rPr>
          <w:szCs w:val="22"/>
        </w:rPr>
      </w:pPr>
    </w:p>
    <w:p w14:paraId="22746BCC" w14:textId="77777777" w:rsidR="008E788D" w:rsidRPr="001775D9" w:rsidRDefault="008E788D" w:rsidP="008E788D">
      <w:pPr>
        <w:tabs>
          <w:tab w:val="clear" w:pos="567"/>
        </w:tabs>
        <w:autoSpaceDE w:val="0"/>
        <w:autoSpaceDN w:val="0"/>
        <w:adjustRightInd w:val="0"/>
        <w:spacing w:line="240" w:lineRule="auto"/>
        <w:rPr>
          <w:szCs w:val="22"/>
        </w:rPr>
      </w:pPr>
      <w:r w:rsidRPr="001775D9">
        <w:rPr>
          <w:szCs w:val="22"/>
        </w:rPr>
        <w:t>AMGEVITA is used to treat hidradenitis suppurativa in adults and adolescents from 12 years of age. AMGEVITA can reduce the number of nodules and abscesses you have, and the pain that is often associated with the disease. You may first be given other medicines. If you do not respond well enough to these medicines, you will be given AMGEVITA.</w:t>
      </w:r>
    </w:p>
    <w:p w14:paraId="67583332" w14:textId="77777777" w:rsidR="008E788D" w:rsidRPr="00D55B59" w:rsidRDefault="008E788D" w:rsidP="008E788D">
      <w:pPr>
        <w:pStyle w:val="Default"/>
        <w:rPr>
          <w:sz w:val="22"/>
          <w:szCs w:val="22"/>
          <w:u w:val="single"/>
          <w:lang w:val="en-GB"/>
          <w:rPrChange w:id="3976" w:author="Author">
            <w:rPr>
              <w:sz w:val="22"/>
              <w:szCs w:val="22"/>
              <w:u w:val="single"/>
            </w:rPr>
          </w:rPrChange>
        </w:rPr>
      </w:pPr>
    </w:p>
    <w:p w14:paraId="3DB0E6F2" w14:textId="77777777" w:rsidR="008E788D" w:rsidRPr="00D55B59" w:rsidRDefault="008E788D" w:rsidP="008E788D">
      <w:pPr>
        <w:pStyle w:val="Default"/>
        <w:rPr>
          <w:sz w:val="22"/>
          <w:szCs w:val="22"/>
          <w:u w:val="single"/>
          <w:lang w:val="en-GB"/>
          <w:rPrChange w:id="3977" w:author="Author">
            <w:rPr>
              <w:sz w:val="22"/>
              <w:szCs w:val="22"/>
              <w:u w:val="single"/>
            </w:rPr>
          </w:rPrChange>
        </w:rPr>
      </w:pPr>
      <w:r w:rsidRPr="00D55B59">
        <w:rPr>
          <w:sz w:val="22"/>
          <w:szCs w:val="22"/>
          <w:u w:val="single"/>
          <w:lang w:val="en-GB"/>
          <w:rPrChange w:id="3978" w:author="Author">
            <w:rPr>
              <w:sz w:val="22"/>
              <w:szCs w:val="22"/>
              <w:u w:val="single"/>
            </w:rPr>
          </w:rPrChange>
        </w:rPr>
        <w:t xml:space="preserve">Crohn’s disease in </w:t>
      </w:r>
      <w:r w:rsidRPr="00D55B59">
        <w:rPr>
          <w:rFonts w:eastAsia="PMingLiU"/>
          <w:sz w:val="22"/>
          <w:szCs w:val="22"/>
          <w:u w:val="single"/>
          <w:lang w:val="en-GB" w:eastAsia="zh-TW"/>
          <w:rPrChange w:id="3979" w:author="Author">
            <w:rPr>
              <w:rFonts w:eastAsia="PMingLiU"/>
              <w:sz w:val="22"/>
              <w:szCs w:val="22"/>
              <w:u w:val="single"/>
              <w:lang w:eastAsia="zh-TW"/>
            </w:rPr>
          </w:rPrChange>
        </w:rPr>
        <w:t>a</w:t>
      </w:r>
      <w:r w:rsidRPr="00D55B59">
        <w:rPr>
          <w:sz w:val="22"/>
          <w:szCs w:val="22"/>
          <w:u w:val="single"/>
          <w:lang w:val="en-GB"/>
          <w:rPrChange w:id="3980" w:author="Author">
            <w:rPr>
              <w:sz w:val="22"/>
              <w:szCs w:val="22"/>
              <w:u w:val="single"/>
            </w:rPr>
          </w:rPrChange>
        </w:rPr>
        <w:t xml:space="preserve">dults and </w:t>
      </w:r>
      <w:r w:rsidRPr="00D55B59">
        <w:rPr>
          <w:rFonts w:eastAsia="PMingLiU"/>
          <w:sz w:val="22"/>
          <w:szCs w:val="22"/>
          <w:u w:val="single"/>
          <w:lang w:val="en-GB" w:eastAsia="zh-TW"/>
          <w:rPrChange w:id="3981" w:author="Author">
            <w:rPr>
              <w:rFonts w:eastAsia="PMingLiU"/>
              <w:sz w:val="22"/>
              <w:szCs w:val="22"/>
              <w:u w:val="single"/>
              <w:lang w:eastAsia="zh-TW"/>
            </w:rPr>
          </w:rPrChange>
        </w:rPr>
        <w:t>c</w:t>
      </w:r>
      <w:r w:rsidRPr="00D55B59">
        <w:rPr>
          <w:sz w:val="22"/>
          <w:szCs w:val="22"/>
          <w:u w:val="single"/>
          <w:lang w:val="en-GB"/>
          <w:rPrChange w:id="3982" w:author="Author">
            <w:rPr>
              <w:sz w:val="22"/>
              <w:szCs w:val="22"/>
              <w:u w:val="single"/>
            </w:rPr>
          </w:rPrChange>
        </w:rPr>
        <w:t xml:space="preserve">hildren </w:t>
      </w:r>
    </w:p>
    <w:p w14:paraId="4698AD54" w14:textId="77777777" w:rsidR="008E788D" w:rsidRPr="00D55B59" w:rsidRDefault="008E788D" w:rsidP="008E788D">
      <w:pPr>
        <w:pStyle w:val="Default"/>
        <w:rPr>
          <w:sz w:val="22"/>
          <w:szCs w:val="22"/>
          <w:lang w:val="en-GB"/>
          <w:rPrChange w:id="3983" w:author="Author">
            <w:rPr>
              <w:sz w:val="22"/>
              <w:szCs w:val="22"/>
            </w:rPr>
          </w:rPrChange>
        </w:rPr>
      </w:pPr>
    </w:p>
    <w:p w14:paraId="6A3E3A11" w14:textId="77777777" w:rsidR="008E788D" w:rsidRPr="00D55B59" w:rsidRDefault="008E788D" w:rsidP="008E788D">
      <w:pPr>
        <w:pStyle w:val="Default"/>
        <w:rPr>
          <w:rFonts w:eastAsia="PMingLiU"/>
          <w:color w:val="auto"/>
          <w:sz w:val="22"/>
          <w:szCs w:val="22"/>
          <w:lang w:val="en-GB" w:eastAsia="en-US"/>
          <w:rPrChange w:id="3984" w:author="Author">
            <w:rPr>
              <w:rFonts w:eastAsia="PMingLiU"/>
              <w:color w:val="auto"/>
              <w:sz w:val="22"/>
              <w:szCs w:val="22"/>
              <w:lang w:eastAsia="en-US"/>
            </w:rPr>
          </w:rPrChange>
        </w:rPr>
      </w:pPr>
      <w:r w:rsidRPr="00D55B59">
        <w:rPr>
          <w:rFonts w:eastAsia="PMingLiU"/>
          <w:color w:val="auto"/>
          <w:sz w:val="22"/>
          <w:szCs w:val="22"/>
          <w:lang w:val="en-GB" w:eastAsia="en-US"/>
          <w:rPrChange w:id="3985" w:author="Author">
            <w:rPr>
              <w:rFonts w:eastAsia="PMingLiU"/>
              <w:color w:val="auto"/>
              <w:sz w:val="22"/>
              <w:szCs w:val="22"/>
              <w:lang w:eastAsia="en-US"/>
            </w:rPr>
          </w:rPrChange>
        </w:rPr>
        <w:t>Crohn’s disease is an inflammatory disease of the digestive tract.</w:t>
      </w:r>
    </w:p>
    <w:p w14:paraId="7046941C" w14:textId="77777777" w:rsidR="008E788D" w:rsidRPr="00D55B59" w:rsidRDefault="008E788D" w:rsidP="008E788D">
      <w:pPr>
        <w:pStyle w:val="Default"/>
        <w:rPr>
          <w:rFonts w:ascii="TimesNewRoman" w:hAnsi="TimesNewRoman" w:cs="TimesNewRoman"/>
          <w:szCs w:val="22"/>
          <w:lang w:val="en-GB"/>
          <w:rPrChange w:id="3986" w:author="Author">
            <w:rPr>
              <w:rFonts w:ascii="TimesNewRoman" w:hAnsi="TimesNewRoman" w:cs="TimesNewRoman"/>
              <w:szCs w:val="22"/>
            </w:rPr>
          </w:rPrChange>
        </w:rPr>
      </w:pPr>
    </w:p>
    <w:p w14:paraId="5EACF2A0" w14:textId="77777777" w:rsidR="008E788D" w:rsidRPr="00D55B59" w:rsidRDefault="008E788D" w:rsidP="008E788D">
      <w:pPr>
        <w:pStyle w:val="Default"/>
        <w:rPr>
          <w:sz w:val="22"/>
          <w:szCs w:val="22"/>
          <w:lang w:val="en-GB"/>
          <w:rPrChange w:id="3987" w:author="Author">
            <w:rPr>
              <w:sz w:val="22"/>
              <w:szCs w:val="22"/>
            </w:rPr>
          </w:rPrChange>
        </w:rPr>
      </w:pPr>
      <w:r w:rsidRPr="00D55B59">
        <w:rPr>
          <w:sz w:val="22"/>
          <w:szCs w:val="22"/>
          <w:lang w:val="en-GB"/>
          <w:rPrChange w:id="3988" w:author="Author">
            <w:rPr>
              <w:sz w:val="22"/>
              <w:szCs w:val="22"/>
            </w:rPr>
          </w:rPrChange>
        </w:rPr>
        <w:t xml:space="preserve">AMGEVITA is used to treat Crohn’s disease in adults and children aged 6 to 17 years. If you have Crohn’s disease you will first be given other medicines. If you do not respond well enough to these medicines, you will be given AMGEVITA to reduce the signs and symptoms of your Crohn’s disease. </w:t>
      </w:r>
    </w:p>
    <w:p w14:paraId="2BE4D917" w14:textId="77777777" w:rsidR="008E788D" w:rsidRPr="00D55B59" w:rsidRDefault="008E788D" w:rsidP="008E788D">
      <w:pPr>
        <w:pStyle w:val="Default"/>
        <w:rPr>
          <w:sz w:val="22"/>
          <w:szCs w:val="22"/>
          <w:lang w:val="en-GB"/>
          <w:rPrChange w:id="3989" w:author="Author">
            <w:rPr>
              <w:sz w:val="22"/>
              <w:szCs w:val="22"/>
            </w:rPr>
          </w:rPrChange>
        </w:rPr>
      </w:pPr>
    </w:p>
    <w:p w14:paraId="05690F97" w14:textId="77777777" w:rsidR="008E788D" w:rsidRPr="00D55B59" w:rsidRDefault="008E788D" w:rsidP="008E788D">
      <w:pPr>
        <w:pStyle w:val="Default"/>
        <w:rPr>
          <w:sz w:val="22"/>
          <w:szCs w:val="22"/>
          <w:u w:val="single"/>
          <w:lang w:val="en-GB"/>
          <w:rPrChange w:id="3990" w:author="Author">
            <w:rPr>
              <w:sz w:val="22"/>
              <w:szCs w:val="22"/>
              <w:u w:val="single"/>
            </w:rPr>
          </w:rPrChange>
        </w:rPr>
      </w:pPr>
      <w:r w:rsidRPr="00D55B59">
        <w:rPr>
          <w:sz w:val="22"/>
          <w:szCs w:val="22"/>
          <w:u w:val="single"/>
          <w:lang w:val="en-GB"/>
          <w:rPrChange w:id="3991" w:author="Author">
            <w:rPr>
              <w:sz w:val="22"/>
              <w:szCs w:val="22"/>
              <w:u w:val="single"/>
            </w:rPr>
          </w:rPrChange>
        </w:rPr>
        <w:t xml:space="preserve">Ulcerative </w:t>
      </w:r>
      <w:r w:rsidRPr="00D55B59">
        <w:rPr>
          <w:rFonts w:eastAsia="PMingLiU"/>
          <w:sz w:val="22"/>
          <w:szCs w:val="22"/>
          <w:u w:val="single"/>
          <w:lang w:val="en-GB" w:eastAsia="zh-TW"/>
          <w:rPrChange w:id="3992" w:author="Author">
            <w:rPr>
              <w:rFonts w:eastAsia="PMingLiU"/>
              <w:sz w:val="22"/>
              <w:szCs w:val="22"/>
              <w:u w:val="single"/>
              <w:lang w:eastAsia="zh-TW"/>
            </w:rPr>
          </w:rPrChange>
        </w:rPr>
        <w:t>c</w:t>
      </w:r>
      <w:r w:rsidRPr="00D55B59">
        <w:rPr>
          <w:sz w:val="22"/>
          <w:szCs w:val="22"/>
          <w:u w:val="single"/>
          <w:lang w:val="en-GB"/>
          <w:rPrChange w:id="3993" w:author="Author">
            <w:rPr>
              <w:sz w:val="22"/>
              <w:szCs w:val="22"/>
              <w:u w:val="single"/>
            </w:rPr>
          </w:rPrChange>
        </w:rPr>
        <w:t xml:space="preserve">olitis in adults and children </w:t>
      </w:r>
    </w:p>
    <w:p w14:paraId="2A87CB3B" w14:textId="77777777" w:rsidR="008E788D" w:rsidRPr="001775D9" w:rsidRDefault="008E788D" w:rsidP="008E788D">
      <w:pPr>
        <w:tabs>
          <w:tab w:val="clear" w:pos="567"/>
        </w:tabs>
        <w:spacing w:line="240" w:lineRule="auto"/>
        <w:ind w:right="-2"/>
        <w:rPr>
          <w:szCs w:val="22"/>
        </w:rPr>
      </w:pPr>
    </w:p>
    <w:p w14:paraId="368C52D4" w14:textId="77777777" w:rsidR="008E788D" w:rsidRPr="001775D9" w:rsidRDefault="008E788D" w:rsidP="008E788D">
      <w:pPr>
        <w:tabs>
          <w:tab w:val="clear" w:pos="567"/>
        </w:tabs>
        <w:spacing w:line="240" w:lineRule="auto"/>
        <w:ind w:right="-2"/>
        <w:rPr>
          <w:szCs w:val="22"/>
        </w:rPr>
      </w:pPr>
      <w:r w:rsidRPr="001775D9">
        <w:rPr>
          <w:szCs w:val="22"/>
        </w:rPr>
        <w:t>Ulcerative colitis is an inflammatory disease of the large intestine.</w:t>
      </w:r>
    </w:p>
    <w:p w14:paraId="405251ED" w14:textId="77777777" w:rsidR="008E788D" w:rsidRPr="001775D9" w:rsidRDefault="008E788D" w:rsidP="008E788D">
      <w:pPr>
        <w:tabs>
          <w:tab w:val="clear" w:pos="567"/>
        </w:tabs>
        <w:spacing w:line="240" w:lineRule="auto"/>
        <w:ind w:right="-2"/>
        <w:rPr>
          <w:szCs w:val="22"/>
        </w:rPr>
      </w:pPr>
    </w:p>
    <w:p w14:paraId="311DD2CE" w14:textId="3906E03A" w:rsidR="008E788D" w:rsidRPr="001775D9" w:rsidRDefault="008E788D" w:rsidP="008E788D">
      <w:pPr>
        <w:tabs>
          <w:tab w:val="clear" w:pos="567"/>
        </w:tabs>
        <w:spacing w:line="240" w:lineRule="auto"/>
        <w:ind w:right="-2"/>
        <w:rPr>
          <w:szCs w:val="22"/>
        </w:rPr>
      </w:pPr>
      <w:r w:rsidRPr="001775D9">
        <w:rPr>
          <w:szCs w:val="22"/>
        </w:rPr>
        <w:t>AMGEVITA is used to treat moderate to severe ulcerative colitis in adults and children aged 6 to 17</w:t>
      </w:r>
      <w:r w:rsidR="00AC71A1" w:rsidRPr="001775D9">
        <w:rPr>
          <w:szCs w:val="22"/>
        </w:rPr>
        <w:t> </w:t>
      </w:r>
      <w:r w:rsidRPr="001775D9">
        <w:rPr>
          <w:szCs w:val="22"/>
        </w:rPr>
        <w:t>years. If you have ulcerative colitis you may first be given other medicines. If you do not respond well enough to these medicines, you will be given AMGEVITA to reduce the signs and symptoms of your disease.</w:t>
      </w:r>
    </w:p>
    <w:p w14:paraId="602CFD47" w14:textId="77777777" w:rsidR="008E788D" w:rsidRPr="001775D9" w:rsidRDefault="008E788D" w:rsidP="008E788D">
      <w:pPr>
        <w:tabs>
          <w:tab w:val="clear" w:pos="567"/>
        </w:tabs>
        <w:spacing w:line="240" w:lineRule="auto"/>
        <w:ind w:right="-2"/>
        <w:rPr>
          <w:szCs w:val="22"/>
        </w:rPr>
      </w:pPr>
    </w:p>
    <w:p w14:paraId="38FD81D5" w14:textId="77777777" w:rsidR="008E788D" w:rsidRPr="001775D9" w:rsidRDefault="008E788D" w:rsidP="008E788D">
      <w:pPr>
        <w:tabs>
          <w:tab w:val="clear" w:pos="567"/>
        </w:tabs>
        <w:autoSpaceDE w:val="0"/>
        <w:autoSpaceDN w:val="0"/>
        <w:adjustRightInd w:val="0"/>
        <w:spacing w:line="240" w:lineRule="auto"/>
        <w:rPr>
          <w:szCs w:val="22"/>
          <w:u w:val="single"/>
          <w:lang w:eastAsia="en-GB"/>
        </w:rPr>
      </w:pPr>
      <w:r w:rsidRPr="001775D9">
        <w:rPr>
          <w:szCs w:val="22"/>
          <w:u w:val="single"/>
          <w:lang w:eastAsia="en-GB"/>
        </w:rPr>
        <w:t>Non-infectious uveitis in adults and children</w:t>
      </w:r>
    </w:p>
    <w:p w14:paraId="706A9793" w14:textId="77777777" w:rsidR="008E788D" w:rsidRPr="001775D9" w:rsidRDefault="008E788D" w:rsidP="008E788D">
      <w:pPr>
        <w:tabs>
          <w:tab w:val="clear" w:pos="567"/>
        </w:tabs>
        <w:autoSpaceDE w:val="0"/>
        <w:autoSpaceDN w:val="0"/>
        <w:adjustRightInd w:val="0"/>
        <w:spacing w:line="240" w:lineRule="auto"/>
        <w:rPr>
          <w:szCs w:val="22"/>
          <w:lang w:eastAsia="en-GB"/>
        </w:rPr>
      </w:pPr>
    </w:p>
    <w:p w14:paraId="4445E261" w14:textId="77777777" w:rsidR="008E788D" w:rsidRPr="001775D9" w:rsidRDefault="008E788D" w:rsidP="008E788D">
      <w:pPr>
        <w:tabs>
          <w:tab w:val="clear" w:pos="567"/>
        </w:tabs>
        <w:spacing w:line="240" w:lineRule="auto"/>
        <w:ind w:right="-2"/>
        <w:rPr>
          <w:szCs w:val="22"/>
          <w:lang w:eastAsia="en-GB"/>
        </w:rPr>
      </w:pPr>
      <w:r w:rsidRPr="001775D9">
        <w:rPr>
          <w:szCs w:val="22"/>
          <w:lang w:eastAsia="en-GB"/>
        </w:rPr>
        <w:t xml:space="preserve">Non-infectious uveitis is an inflammatory disease affecting certain parts of the eye. </w:t>
      </w:r>
    </w:p>
    <w:p w14:paraId="480A865E" w14:textId="77777777" w:rsidR="008E788D" w:rsidRPr="001775D9" w:rsidRDefault="008E788D" w:rsidP="008E788D">
      <w:pPr>
        <w:tabs>
          <w:tab w:val="clear" w:pos="567"/>
        </w:tabs>
        <w:spacing w:line="240" w:lineRule="auto"/>
        <w:ind w:right="-2"/>
        <w:rPr>
          <w:szCs w:val="22"/>
          <w:lang w:eastAsia="en-GB"/>
        </w:rPr>
      </w:pPr>
    </w:p>
    <w:p w14:paraId="56D1A9E6" w14:textId="77777777" w:rsidR="008E788D" w:rsidRPr="001775D9" w:rsidRDefault="008E788D" w:rsidP="008E788D">
      <w:pPr>
        <w:tabs>
          <w:tab w:val="clear" w:pos="567"/>
        </w:tabs>
        <w:spacing w:line="240" w:lineRule="auto"/>
        <w:ind w:right="-2"/>
        <w:rPr>
          <w:szCs w:val="22"/>
          <w:lang w:eastAsia="en-GB"/>
        </w:rPr>
      </w:pPr>
      <w:r w:rsidRPr="001775D9">
        <w:rPr>
          <w:szCs w:val="22"/>
          <w:lang w:eastAsia="en-GB"/>
        </w:rPr>
        <w:t>AMGEVITA is used to treat</w:t>
      </w:r>
    </w:p>
    <w:p w14:paraId="446FD005" w14:textId="77777777" w:rsidR="008E788D" w:rsidRPr="001775D9" w:rsidRDefault="008E788D" w:rsidP="003E6601">
      <w:pPr>
        <w:numPr>
          <w:ilvl w:val="0"/>
          <w:numId w:val="34"/>
        </w:numPr>
        <w:spacing w:line="240" w:lineRule="auto"/>
        <w:ind w:left="567" w:hanging="567"/>
        <w:rPr>
          <w:szCs w:val="22"/>
        </w:rPr>
      </w:pPr>
      <w:r w:rsidRPr="001775D9">
        <w:rPr>
          <w:szCs w:val="22"/>
          <w:lang w:eastAsia="en-GB"/>
        </w:rPr>
        <w:t xml:space="preserve">Adults with non-infectious uveitis with inflammation affecting the back of the eye. </w:t>
      </w:r>
    </w:p>
    <w:p w14:paraId="108C2623" w14:textId="77777777" w:rsidR="008E788D" w:rsidRPr="001775D9" w:rsidRDefault="008E788D" w:rsidP="003E6601">
      <w:pPr>
        <w:numPr>
          <w:ilvl w:val="0"/>
          <w:numId w:val="34"/>
        </w:numPr>
        <w:spacing w:line="240" w:lineRule="auto"/>
        <w:ind w:left="567" w:hanging="567"/>
        <w:rPr>
          <w:szCs w:val="22"/>
        </w:rPr>
      </w:pPr>
      <w:r w:rsidRPr="001775D9">
        <w:rPr>
          <w:szCs w:val="22"/>
          <w:lang w:eastAsia="en-GB"/>
        </w:rPr>
        <w:t>Children from 2 years of age with chronic non-infectious uveitis with inflammation affecting the front of the eye.</w:t>
      </w:r>
    </w:p>
    <w:p w14:paraId="6B9FC9C7" w14:textId="77777777" w:rsidR="008E788D" w:rsidRPr="001775D9" w:rsidRDefault="008E788D" w:rsidP="008E788D">
      <w:pPr>
        <w:tabs>
          <w:tab w:val="clear" w:pos="567"/>
        </w:tabs>
        <w:spacing w:line="240" w:lineRule="auto"/>
        <w:ind w:right="-2"/>
        <w:rPr>
          <w:szCs w:val="22"/>
          <w:lang w:eastAsia="en-GB"/>
        </w:rPr>
      </w:pPr>
    </w:p>
    <w:p w14:paraId="6C0CD8EB" w14:textId="77777777" w:rsidR="008E788D" w:rsidRPr="001775D9" w:rsidRDefault="008E788D" w:rsidP="008E788D">
      <w:pPr>
        <w:tabs>
          <w:tab w:val="clear" w:pos="567"/>
        </w:tabs>
        <w:spacing w:line="240" w:lineRule="auto"/>
        <w:ind w:right="-2"/>
        <w:rPr>
          <w:szCs w:val="22"/>
        </w:rPr>
      </w:pPr>
      <w:r w:rsidRPr="001775D9">
        <w:rPr>
          <w:szCs w:val="22"/>
          <w:lang w:eastAsia="en-GB"/>
        </w:rPr>
        <w:t>This inflammation may lead to a decrease of vision and/or the presence of floaters in the eye (black dots or wispy lines that move across the field of vision). AMGEVITA works by reducing this inflammation.</w:t>
      </w:r>
    </w:p>
    <w:p w14:paraId="43EA9280" w14:textId="77777777" w:rsidR="008E788D" w:rsidRPr="001775D9" w:rsidRDefault="008E788D" w:rsidP="008E788D">
      <w:pPr>
        <w:tabs>
          <w:tab w:val="clear" w:pos="567"/>
        </w:tabs>
        <w:spacing w:line="240" w:lineRule="auto"/>
        <w:ind w:right="-2"/>
        <w:rPr>
          <w:szCs w:val="22"/>
        </w:rPr>
      </w:pPr>
    </w:p>
    <w:p w14:paraId="19031E55" w14:textId="77777777" w:rsidR="008E788D" w:rsidRPr="001775D9" w:rsidRDefault="008E788D" w:rsidP="008E788D">
      <w:pPr>
        <w:tabs>
          <w:tab w:val="clear" w:pos="567"/>
        </w:tabs>
        <w:spacing w:line="240" w:lineRule="auto"/>
        <w:ind w:right="-2"/>
        <w:rPr>
          <w:szCs w:val="22"/>
        </w:rPr>
      </w:pPr>
    </w:p>
    <w:p w14:paraId="27AF5096" w14:textId="77777777" w:rsidR="008E788D" w:rsidRPr="001775D9" w:rsidRDefault="008E788D" w:rsidP="00B61D9D">
      <w:pPr>
        <w:keepNext/>
        <w:spacing w:line="240" w:lineRule="auto"/>
        <w:ind w:left="567" w:hanging="567"/>
        <w:rPr>
          <w:b/>
          <w:szCs w:val="22"/>
        </w:rPr>
      </w:pPr>
      <w:r w:rsidRPr="001775D9">
        <w:rPr>
          <w:b/>
        </w:rPr>
        <w:t>2.</w:t>
      </w:r>
      <w:r w:rsidRPr="001775D9">
        <w:rPr>
          <w:b/>
        </w:rPr>
        <w:tab/>
        <w:t xml:space="preserve">What you need to know before you use </w:t>
      </w:r>
      <w:r w:rsidRPr="001775D9">
        <w:rPr>
          <w:b/>
          <w:szCs w:val="22"/>
        </w:rPr>
        <w:t>AMGEVITA</w:t>
      </w:r>
    </w:p>
    <w:p w14:paraId="0BB35CB1" w14:textId="77777777" w:rsidR="008E788D" w:rsidRPr="001775D9" w:rsidRDefault="008E788D" w:rsidP="008E788D">
      <w:pPr>
        <w:keepNext/>
        <w:numPr>
          <w:ilvl w:val="12"/>
          <w:numId w:val="0"/>
        </w:numPr>
        <w:tabs>
          <w:tab w:val="clear" w:pos="567"/>
        </w:tabs>
        <w:spacing w:line="240" w:lineRule="auto"/>
        <w:outlineLvl w:val="0"/>
        <w:rPr>
          <w:i/>
          <w:szCs w:val="22"/>
        </w:rPr>
      </w:pPr>
    </w:p>
    <w:p w14:paraId="7AF7AFBD" w14:textId="3A20A35D" w:rsidR="008E788D" w:rsidRPr="001775D9" w:rsidRDefault="008E788D" w:rsidP="008E788D">
      <w:pPr>
        <w:keepNext/>
        <w:numPr>
          <w:ilvl w:val="12"/>
          <w:numId w:val="0"/>
        </w:numPr>
        <w:tabs>
          <w:tab w:val="clear" w:pos="567"/>
        </w:tabs>
        <w:spacing w:line="240" w:lineRule="auto"/>
        <w:outlineLvl w:val="0"/>
        <w:rPr>
          <w:b/>
          <w:szCs w:val="22"/>
        </w:rPr>
      </w:pPr>
      <w:r w:rsidRPr="001775D9">
        <w:rPr>
          <w:b/>
          <w:szCs w:val="22"/>
        </w:rPr>
        <w:t>Do not use AMGEVITA:</w:t>
      </w:r>
      <w:r w:rsidR="001C55FB" w:rsidRPr="001775D9">
        <w:rPr>
          <w:b/>
          <w:szCs w:val="22"/>
        </w:rPr>
        <w:fldChar w:fldCharType="begin"/>
      </w:r>
      <w:r w:rsidR="001C55FB" w:rsidRPr="001775D9">
        <w:rPr>
          <w:b/>
          <w:szCs w:val="22"/>
        </w:rPr>
        <w:instrText xml:space="preserve"> DOCVARIABLE vault_nd_8cf8893e-47c8-44c6-a7fb-75452c907e46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B1DE3C5" w14:textId="77777777" w:rsidR="008E788D" w:rsidRPr="001775D9" w:rsidRDefault="008E788D" w:rsidP="008E788D">
      <w:pPr>
        <w:keepNext/>
        <w:numPr>
          <w:ilvl w:val="12"/>
          <w:numId w:val="0"/>
        </w:numPr>
        <w:tabs>
          <w:tab w:val="clear" w:pos="567"/>
        </w:tabs>
        <w:spacing w:line="240" w:lineRule="auto"/>
        <w:outlineLvl w:val="0"/>
        <w:rPr>
          <w:szCs w:val="22"/>
        </w:rPr>
      </w:pPr>
    </w:p>
    <w:p w14:paraId="14B7A4A8" w14:textId="77777777" w:rsidR="008E788D" w:rsidRPr="00F04F82" w:rsidRDefault="008E788D" w:rsidP="00D55B59">
      <w:pPr>
        <w:numPr>
          <w:ilvl w:val="12"/>
          <w:numId w:val="0"/>
        </w:numPr>
        <w:spacing w:line="240" w:lineRule="auto"/>
        <w:ind w:left="567" w:hanging="567"/>
        <w:rPr>
          <w:szCs w:val="22"/>
        </w:rPr>
        <w:pPrChange w:id="3994" w:author="Author">
          <w:pPr>
            <w:numPr>
              <w:ilvl w:val="12"/>
            </w:numPr>
            <w:tabs>
              <w:tab w:val="clear" w:pos="567"/>
            </w:tabs>
            <w:spacing w:line="240" w:lineRule="auto"/>
            <w:ind w:left="567" w:hanging="567"/>
          </w:pPr>
        </w:pPrChange>
      </w:pPr>
      <w:r w:rsidRPr="001775D9">
        <w:rPr>
          <w:szCs w:val="22"/>
        </w:rPr>
        <w:t>-</w:t>
      </w:r>
      <w:r w:rsidRPr="001775D9">
        <w:rPr>
          <w:szCs w:val="22"/>
        </w:rPr>
        <w:tab/>
        <w:t xml:space="preserve">if you are allergic to adalimumab or any of the other ingredients of </w:t>
      </w:r>
      <w:r w:rsidRPr="00F04F82">
        <w:t xml:space="preserve">this medicine (listed in </w:t>
      </w:r>
      <w:r w:rsidRPr="001775D9">
        <w:t>section</w:t>
      </w:r>
      <w:r w:rsidRPr="00F04F82">
        <w:rPr>
          <w:lang w:eastAsia="zh-TW"/>
        </w:rPr>
        <w:t> </w:t>
      </w:r>
      <w:r w:rsidRPr="00F04F82">
        <w:t>6)</w:t>
      </w:r>
      <w:r w:rsidRPr="00F04F82">
        <w:rPr>
          <w:szCs w:val="22"/>
        </w:rPr>
        <w:t>.</w:t>
      </w:r>
    </w:p>
    <w:p w14:paraId="64347B53" w14:textId="77777777" w:rsidR="008E788D" w:rsidRPr="00F04F82" w:rsidRDefault="008E788D" w:rsidP="00D55B59">
      <w:pPr>
        <w:numPr>
          <w:ilvl w:val="0"/>
          <w:numId w:val="8"/>
        </w:numPr>
        <w:spacing w:line="240" w:lineRule="auto"/>
        <w:ind w:left="567" w:hanging="567"/>
        <w:rPr>
          <w:szCs w:val="22"/>
        </w:rPr>
        <w:pPrChange w:id="3995" w:author="Author">
          <w:pPr>
            <w:numPr>
              <w:numId w:val="8"/>
            </w:numPr>
            <w:tabs>
              <w:tab w:val="clear" w:pos="567"/>
            </w:tabs>
            <w:spacing w:line="240" w:lineRule="auto"/>
            <w:ind w:left="567" w:hanging="567"/>
          </w:pPr>
        </w:pPrChange>
      </w:pPr>
      <w:r w:rsidRPr="001775D9">
        <w:rPr>
          <w:szCs w:val="22"/>
        </w:rPr>
        <w:t>if you have a severe infection, including active tuberculosis</w:t>
      </w:r>
      <w:r w:rsidRPr="00F04F82">
        <w:rPr>
          <w:szCs w:val="22"/>
        </w:rPr>
        <w:t xml:space="preserve">, sepsis (blood infection) or other </w:t>
      </w:r>
      <w:r w:rsidRPr="001775D9">
        <w:rPr>
          <w:szCs w:val="22"/>
        </w:rPr>
        <w:t>opportunistic infections (unusual infections associated with a weakened immune system)</w:t>
      </w:r>
      <w:r w:rsidRPr="00F04F82">
        <w:rPr>
          <w:szCs w:val="22"/>
        </w:rPr>
        <w:t xml:space="preserve"> (see </w:t>
      </w:r>
      <w:r w:rsidRPr="001775D9">
        <w:rPr>
          <w:szCs w:val="22"/>
        </w:rPr>
        <w:t xml:space="preserve">“Warnings and precautions”). It is important that you tell your doctor if you have symptoms of infections, e.g. fever, wounds, feeling tired, dental problems. </w:t>
      </w:r>
    </w:p>
    <w:p w14:paraId="4C6C0521" w14:textId="77777777" w:rsidR="008E788D" w:rsidRPr="00D55B59" w:rsidRDefault="008E788D" w:rsidP="00D55B59">
      <w:pPr>
        <w:pStyle w:val="Default"/>
        <w:numPr>
          <w:ilvl w:val="0"/>
          <w:numId w:val="8"/>
        </w:numPr>
        <w:tabs>
          <w:tab w:val="left" w:pos="567"/>
        </w:tabs>
        <w:ind w:left="567" w:hanging="567"/>
        <w:rPr>
          <w:sz w:val="22"/>
          <w:szCs w:val="22"/>
          <w:lang w:val="en-GB"/>
          <w:rPrChange w:id="3996" w:author="Author">
            <w:rPr>
              <w:sz w:val="22"/>
              <w:szCs w:val="22"/>
            </w:rPr>
          </w:rPrChange>
        </w:rPr>
        <w:pPrChange w:id="3997" w:author="Author">
          <w:pPr>
            <w:pStyle w:val="Default"/>
            <w:numPr>
              <w:numId w:val="8"/>
            </w:numPr>
            <w:ind w:left="567" w:hanging="567"/>
          </w:pPr>
        </w:pPrChange>
      </w:pPr>
      <w:r w:rsidRPr="00D55B59">
        <w:rPr>
          <w:sz w:val="22"/>
          <w:szCs w:val="22"/>
          <w:lang w:val="en-GB"/>
          <w:rPrChange w:id="3998" w:author="Author">
            <w:rPr>
              <w:sz w:val="22"/>
              <w:szCs w:val="22"/>
            </w:rPr>
          </w:rPrChange>
        </w:rPr>
        <w:t xml:space="preserve">if you have moderate or severe heart failure. It is important to tell your doctor if you have had or have a serious heart condition (see “Warnings and precautions”). </w:t>
      </w:r>
    </w:p>
    <w:p w14:paraId="670DA4FE" w14:textId="77777777" w:rsidR="008E788D" w:rsidRPr="001775D9" w:rsidRDefault="008E788D" w:rsidP="008E788D">
      <w:pPr>
        <w:numPr>
          <w:ilvl w:val="12"/>
          <w:numId w:val="0"/>
        </w:numPr>
        <w:tabs>
          <w:tab w:val="clear" w:pos="567"/>
        </w:tabs>
        <w:spacing w:line="240" w:lineRule="auto"/>
        <w:ind w:left="567" w:hanging="567"/>
        <w:rPr>
          <w:szCs w:val="22"/>
        </w:rPr>
      </w:pPr>
    </w:p>
    <w:p w14:paraId="117F9498" w14:textId="141446C8" w:rsidR="008E788D" w:rsidRPr="001775D9" w:rsidRDefault="008E788D" w:rsidP="006A71EE">
      <w:pPr>
        <w:keepNext/>
        <w:numPr>
          <w:ilvl w:val="12"/>
          <w:numId w:val="0"/>
        </w:numPr>
        <w:tabs>
          <w:tab w:val="clear" w:pos="567"/>
        </w:tabs>
        <w:spacing w:line="240" w:lineRule="auto"/>
        <w:outlineLvl w:val="0"/>
        <w:rPr>
          <w:b/>
          <w:szCs w:val="22"/>
        </w:rPr>
      </w:pPr>
      <w:r w:rsidRPr="001775D9">
        <w:rPr>
          <w:b/>
        </w:rPr>
        <w:t>Warnings and precautions</w:t>
      </w:r>
      <w:r w:rsidR="001C55FB" w:rsidRPr="001775D9">
        <w:rPr>
          <w:b/>
        </w:rPr>
        <w:fldChar w:fldCharType="begin"/>
      </w:r>
      <w:r w:rsidR="001C55FB" w:rsidRPr="001775D9">
        <w:rPr>
          <w:b/>
        </w:rPr>
        <w:instrText xml:space="preserve"> DOCVARIABLE vault_nd_3352aba4-0c6d-4333-b375-bbfb29cd8b09 \* MERGEFORMAT </w:instrText>
      </w:r>
      <w:r w:rsidR="001C55FB" w:rsidRPr="001775D9">
        <w:rPr>
          <w:b/>
        </w:rPr>
        <w:fldChar w:fldCharType="separate"/>
      </w:r>
      <w:r w:rsidR="001C55FB" w:rsidRPr="001775D9">
        <w:rPr>
          <w:b/>
        </w:rPr>
        <w:t xml:space="preserve"> </w:t>
      </w:r>
      <w:r w:rsidR="001C55FB" w:rsidRPr="001775D9">
        <w:rPr>
          <w:b/>
        </w:rPr>
        <w:fldChar w:fldCharType="end"/>
      </w:r>
    </w:p>
    <w:p w14:paraId="66744968" w14:textId="77777777" w:rsidR="008E788D" w:rsidRPr="001775D9" w:rsidRDefault="008E788D" w:rsidP="006A71EE">
      <w:pPr>
        <w:keepNext/>
        <w:numPr>
          <w:ilvl w:val="12"/>
          <w:numId w:val="0"/>
        </w:numPr>
        <w:tabs>
          <w:tab w:val="clear" w:pos="567"/>
        </w:tabs>
        <w:spacing w:line="240" w:lineRule="auto"/>
      </w:pPr>
    </w:p>
    <w:p w14:paraId="163111D8" w14:textId="77777777" w:rsidR="008E788D" w:rsidRPr="001775D9" w:rsidRDefault="008E788D" w:rsidP="006A71EE">
      <w:pPr>
        <w:keepNext/>
        <w:numPr>
          <w:ilvl w:val="12"/>
          <w:numId w:val="0"/>
        </w:numPr>
        <w:tabs>
          <w:tab w:val="clear" w:pos="567"/>
        </w:tabs>
        <w:spacing w:line="240" w:lineRule="auto"/>
      </w:pPr>
      <w:r w:rsidRPr="001775D9">
        <w:t xml:space="preserve">Talk to your doctor or pharmacist before using </w:t>
      </w:r>
      <w:r w:rsidRPr="001775D9">
        <w:rPr>
          <w:szCs w:val="22"/>
        </w:rPr>
        <w:t>AMGEVITA</w:t>
      </w:r>
      <w:r w:rsidRPr="001775D9">
        <w:t>:</w:t>
      </w:r>
    </w:p>
    <w:p w14:paraId="738656FE" w14:textId="77777777" w:rsidR="008E788D" w:rsidRPr="001775D9" w:rsidRDefault="008E788D" w:rsidP="006A71EE">
      <w:pPr>
        <w:keepNext/>
        <w:numPr>
          <w:ilvl w:val="12"/>
          <w:numId w:val="0"/>
        </w:numPr>
        <w:spacing w:line="240" w:lineRule="auto"/>
        <w:ind w:right="-2"/>
        <w:rPr>
          <w:szCs w:val="22"/>
        </w:rPr>
      </w:pPr>
    </w:p>
    <w:p w14:paraId="03C45214" w14:textId="77777777" w:rsidR="008E788D" w:rsidRPr="00D55B59" w:rsidRDefault="008E788D" w:rsidP="006A71EE">
      <w:pPr>
        <w:pStyle w:val="Default"/>
        <w:tabs>
          <w:tab w:val="left" w:pos="567"/>
        </w:tabs>
        <w:rPr>
          <w:sz w:val="22"/>
          <w:szCs w:val="22"/>
          <w:lang w:val="en-GB"/>
          <w:rPrChange w:id="3999" w:author="Author">
            <w:rPr>
              <w:sz w:val="22"/>
              <w:szCs w:val="22"/>
            </w:rPr>
          </w:rPrChange>
        </w:rPr>
      </w:pPr>
      <w:r w:rsidRPr="00D55B59">
        <w:rPr>
          <w:sz w:val="22"/>
          <w:szCs w:val="22"/>
          <w:lang w:val="en-GB"/>
          <w:rPrChange w:id="4000" w:author="Author">
            <w:rPr>
              <w:sz w:val="22"/>
              <w:szCs w:val="22"/>
            </w:rPr>
          </w:rPrChange>
        </w:rPr>
        <w:t>Allergic reactions</w:t>
      </w:r>
    </w:p>
    <w:p w14:paraId="1D8D69DD" w14:textId="77777777" w:rsidR="008E788D" w:rsidRPr="00D55B59" w:rsidRDefault="008E788D" w:rsidP="006A71EE">
      <w:pPr>
        <w:pStyle w:val="Default"/>
        <w:tabs>
          <w:tab w:val="left" w:pos="567"/>
        </w:tabs>
        <w:rPr>
          <w:sz w:val="22"/>
          <w:szCs w:val="22"/>
          <w:lang w:val="en-GB"/>
          <w:rPrChange w:id="4001" w:author="Author">
            <w:rPr>
              <w:sz w:val="22"/>
              <w:szCs w:val="22"/>
            </w:rPr>
          </w:rPrChange>
        </w:rPr>
      </w:pPr>
    </w:p>
    <w:p w14:paraId="5522F749" w14:textId="77777777" w:rsidR="008E788D" w:rsidRPr="00D55B59" w:rsidRDefault="008E788D" w:rsidP="006A71EE">
      <w:pPr>
        <w:pStyle w:val="Default"/>
        <w:numPr>
          <w:ilvl w:val="0"/>
          <w:numId w:val="9"/>
        </w:numPr>
        <w:tabs>
          <w:tab w:val="left" w:pos="567"/>
        </w:tabs>
        <w:ind w:left="567" w:hanging="567"/>
        <w:rPr>
          <w:sz w:val="22"/>
          <w:szCs w:val="22"/>
          <w:lang w:val="en-GB"/>
          <w:rPrChange w:id="4002" w:author="Author">
            <w:rPr>
              <w:sz w:val="22"/>
              <w:szCs w:val="22"/>
            </w:rPr>
          </w:rPrChange>
        </w:rPr>
      </w:pPr>
      <w:r w:rsidRPr="00D55B59">
        <w:rPr>
          <w:sz w:val="22"/>
          <w:szCs w:val="22"/>
          <w:lang w:val="en-GB"/>
          <w:rPrChange w:id="4003" w:author="Author">
            <w:rPr>
              <w:sz w:val="22"/>
              <w:szCs w:val="22"/>
            </w:rPr>
          </w:rPrChange>
        </w:rPr>
        <w:t xml:space="preserve">If you experience allergic reactions with symptoms such as chest tightness, wheezing, dizziness, swelling or rash do not inject more AMGEVITA and contact your doctor immediately since, in rare cases, these reactions can be life threatening. </w:t>
      </w:r>
    </w:p>
    <w:p w14:paraId="3975879B" w14:textId="77777777" w:rsidR="008E788D" w:rsidRPr="00D55B59" w:rsidRDefault="008E788D" w:rsidP="006A71EE">
      <w:pPr>
        <w:pStyle w:val="Default"/>
        <w:tabs>
          <w:tab w:val="left" w:pos="567"/>
        </w:tabs>
        <w:rPr>
          <w:sz w:val="22"/>
          <w:szCs w:val="22"/>
          <w:lang w:val="en-GB"/>
          <w:rPrChange w:id="4004" w:author="Author">
            <w:rPr>
              <w:sz w:val="22"/>
              <w:szCs w:val="22"/>
            </w:rPr>
          </w:rPrChange>
        </w:rPr>
      </w:pPr>
    </w:p>
    <w:p w14:paraId="6CE02836" w14:textId="77777777" w:rsidR="008E788D" w:rsidRPr="00D55B59" w:rsidRDefault="008E788D" w:rsidP="006A71EE">
      <w:pPr>
        <w:pStyle w:val="Default"/>
        <w:tabs>
          <w:tab w:val="left" w:pos="567"/>
        </w:tabs>
        <w:rPr>
          <w:sz w:val="22"/>
          <w:szCs w:val="22"/>
          <w:lang w:val="en-GB"/>
          <w:rPrChange w:id="4005" w:author="Author">
            <w:rPr>
              <w:sz w:val="22"/>
              <w:szCs w:val="22"/>
            </w:rPr>
          </w:rPrChange>
        </w:rPr>
      </w:pPr>
      <w:r w:rsidRPr="00D55B59">
        <w:rPr>
          <w:sz w:val="22"/>
          <w:szCs w:val="22"/>
          <w:lang w:val="en-GB"/>
          <w:rPrChange w:id="4006" w:author="Author">
            <w:rPr>
              <w:sz w:val="22"/>
              <w:szCs w:val="22"/>
            </w:rPr>
          </w:rPrChange>
        </w:rPr>
        <w:t>Infections</w:t>
      </w:r>
    </w:p>
    <w:p w14:paraId="6E7396D3" w14:textId="77777777" w:rsidR="008E788D" w:rsidRPr="00D55B59" w:rsidRDefault="008E788D" w:rsidP="006A71EE">
      <w:pPr>
        <w:pStyle w:val="Default"/>
        <w:tabs>
          <w:tab w:val="left" w:pos="567"/>
        </w:tabs>
        <w:ind w:left="567" w:hanging="567"/>
        <w:rPr>
          <w:sz w:val="22"/>
          <w:szCs w:val="22"/>
          <w:lang w:val="en-GB"/>
          <w:rPrChange w:id="4007" w:author="Author">
            <w:rPr>
              <w:sz w:val="22"/>
              <w:szCs w:val="22"/>
            </w:rPr>
          </w:rPrChange>
        </w:rPr>
      </w:pPr>
    </w:p>
    <w:p w14:paraId="636E1C8E" w14:textId="77777777" w:rsidR="008E788D" w:rsidRPr="00D55B59" w:rsidRDefault="008E788D" w:rsidP="006A71EE">
      <w:pPr>
        <w:pStyle w:val="Default"/>
        <w:numPr>
          <w:ilvl w:val="0"/>
          <w:numId w:val="9"/>
        </w:numPr>
        <w:tabs>
          <w:tab w:val="left" w:pos="567"/>
        </w:tabs>
        <w:ind w:left="567" w:hanging="567"/>
        <w:rPr>
          <w:sz w:val="22"/>
          <w:szCs w:val="22"/>
          <w:lang w:val="en-GB"/>
          <w:rPrChange w:id="4008" w:author="Author">
            <w:rPr>
              <w:sz w:val="22"/>
              <w:szCs w:val="22"/>
            </w:rPr>
          </w:rPrChange>
        </w:rPr>
      </w:pPr>
      <w:r w:rsidRPr="00D55B59">
        <w:rPr>
          <w:sz w:val="22"/>
          <w:szCs w:val="22"/>
          <w:lang w:val="en-GB"/>
          <w:rPrChange w:id="4009" w:author="Author">
            <w:rPr>
              <w:sz w:val="22"/>
              <w:szCs w:val="22"/>
            </w:rPr>
          </w:rPrChange>
        </w:rPr>
        <w:t>If you have an infection, including long-term or localised infection (for example, leg ulcer) consult your doctor before starting AMGEVITA. If you are unsure, contact your doctor.</w:t>
      </w:r>
    </w:p>
    <w:p w14:paraId="124A4FD3" w14:textId="77777777" w:rsidR="008E788D" w:rsidRPr="00D55B59" w:rsidRDefault="008E788D" w:rsidP="006A71EE">
      <w:pPr>
        <w:pStyle w:val="Default"/>
        <w:numPr>
          <w:ilvl w:val="0"/>
          <w:numId w:val="9"/>
        </w:numPr>
        <w:tabs>
          <w:tab w:val="left" w:pos="567"/>
        </w:tabs>
        <w:ind w:left="567" w:hanging="567"/>
        <w:rPr>
          <w:sz w:val="22"/>
          <w:szCs w:val="22"/>
          <w:lang w:val="en-GB"/>
          <w:rPrChange w:id="4010" w:author="Author">
            <w:rPr>
              <w:sz w:val="22"/>
              <w:szCs w:val="22"/>
            </w:rPr>
          </w:rPrChange>
        </w:rPr>
      </w:pPr>
      <w:r w:rsidRPr="00D55B59">
        <w:rPr>
          <w:sz w:val="22"/>
          <w:szCs w:val="22"/>
          <w:lang w:val="en-GB"/>
          <w:rPrChange w:id="4011" w:author="Author">
            <w:rPr>
              <w:sz w:val="22"/>
              <w:szCs w:val="22"/>
            </w:rPr>
          </w:rPrChange>
        </w:rPr>
        <w:t xml:space="preserve">You might get infections more easily while you are receiving AMGEVITA treatment. This risk may increase if your lung function is impaired. These infections may be serious and include tuberculosis, infections caused by viruses, fungi, parasites or bacteria, or other opportunistic infections and sepsis that may, in rare cases, be life-threatening. It is important to tell your doctor if you get symptoms such as fever, wounds, feeling tired or dental problems. Your doctor may recommend temporary discontinuation of AMGEVITA. </w:t>
      </w:r>
    </w:p>
    <w:p w14:paraId="47E51C22" w14:textId="77777777" w:rsidR="008E788D" w:rsidRPr="00D55B59" w:rsidRDefault="008E788D" w:rsidP="006A71EE">
      <w:pPr>
        <w:pStyle w:val="Default"/>
        <w:tabs>
          <w:tab w:val="left" w:pos="567"/>
        </w:tabs>
        <w:ind w:left="567" w:hanging="567"/>
        <w:rPr>
          <w:sz w:val="22"/>
          <w:szCs w:val="22"/>
          <w:lang w:val="en-GB"/>
          <w:rPrChange w:id="4012" w:author="Author">
            <w:rPr>
              <w:sz w:val="22"/>
              <w:szCs w:val="22"/>
            </w:rPr>
          </w:rPrChange>
        </w:rPr>
      </w:pPr>
    </w:p>
    <w:p w14:paraId="3B750CF5" w14:textId="77777777" w:rsidR="008E788D" w:rsidRPr="001775D9" w:rsidRDefault="008E788D" w:rsidP="00B61D9D">
      <w:pPr>
        <w:spacing w:line="240" w:lineRule="auto"/>
      </w:pPr>
      <w:r w:rsidRPr="001775D9">
        <w:t>Tuberculosis</w:t>
      </w:r>
    </w:p>
    <w:p w14:paraId="147EED38" w14:textId="77777777" w:rsidR="008E788D" w:rsidRPr="001775D9" w:rsidRDefault="008E788D" w:rsidP="00B61D9D">
      <w:pPr>
        <w:spacing w:line="240" w:lineRule="auto"/>
        <w:ind w:left="567"/>
      </w:pPr>
    </w:p>
    <w:p w14:paraId="645F4B7E" w14:textId="77777777" w:rsidR="008E788D" w:rsidRPr="001775D9" w:rsidRDefault="008E788D" w:rsidP="00B61D9D">
      <w:pPr>
        <w:numPr>
          <w:ilvl w:val="0"/>
          <w:numId w:val="9"/>
        </w:numPr>
        <w:spacing w:line="240" w:lineRule="auto"/>
        <w:ind w:left="567" w:hanging="567"/>
      </w:pPr>
      <w:r w:rsidRPr="001775D9">
        <w:t xml:space="preserve">As cases of tuberculosis have been reported in patients treated with adalimumab, your doctor will check you for signs and symptoms of tuberculosis before starting </w:t>
      </w:r>
      <w:r w:rsidRPr="001775D9">
        <w:rPr>
          <w:szCs w:val="22"/>
        </w:rPr>
        <w:t>AMGEVITA</w:t>
      </w:r>
      <w:r w:rsidRPr="001775D9">
        <w:t xml:space="preserve">. This will include a thorough medical evaluation including your medical history and appropriate screening tests (for example chest x-ray and a tuberculin test). The conduct and results of these tests should be recorded on your </w:t>
      </w:r>
      <w:r w:rsidRPr="001775D9">
        <w:rPr>
          <w:b/>
        </w:rPr>
        <w:t>Patient Reminder Card</w:t>
      </w:r>
      <w:r w:rsidRPr="001775D9">
        <w:t xml:space="preserve">. It is very important that you tell your doctor if you have ever had tuberculosis, or if you have been in close contact with someone who has had tuberculosis. </w:t>
      </w:r>
    </w:p>
    <w:p w14:paraId="36E00BEC" w14:textId="77777777" w:rsidR="008E788D" w:rsidRPr="001775D9" w:rsidRDefault="008E788D" w:rsidP="00B61D9D">
      <w:pPr>
        <w:numPr>
          <w:ilvl w:val="0"/>
          <w:numId w:val="9"/>
        </w:numPr>
        <w:spacing w:line="240" w:lineRule="auto"/>
        <w:ind w:left="567" w:hanging="567"/>
      </w:pPr>
      <w:r w:rsidRPr="001775D9">
        <w:t xml:space="preserve">Tuberculosis can develop during therapy even if you have received preventative treatment for tuberculosis. </w:t>
      </w:r>
    </w:p>
    <w:p w14:paraId="4C362CD5" w14:textId="77777777" w:rsidR="008E788D" w:rsidRPr="001775D9" w:rsidRDefault="008E788D" w:rsidP="00B61D9D">
      <w:pPr>
        <w:numPr>
          <w:ilvl w:val="0"/>
          <w:numId w:val="9"/>
        </w:numPr>
        <w:spacing w:line="240" w:lineRule="auto"/>
        <w:ind w:left="567" w:hanging="567"/>
      </w:pPr>
      <w:r w:rsidRPr="001775D9">
        <w:t xml:space="preserve">If symptoms of tuberculosis (persistent cough, weight loss, listlessness, mild fever), or any other infection appear during or after therapy, tell your doctor immediately. </w:t>
      </w:r>
    </w:p>
    <w:p w14:paraId="5562C7E3" w14:textId="77777777" w:rsidR="008E788D" w:rsidRPr="00D55B59" w:rsidRDefault="008E788D" w:rsidP="006A71EE">
      <w:pPr>
        <w:pStyle w:val="Default"/>
        <w:tabs>
          <w:tab w:val="left" w:pos="567"/>
        </w:tabs>
        <w:ind w:left="567" w:hanging="567"/>
        <w:rPr>
          <w:sz w:val="22"/>
          <w:szCs w:val="22"/>
          <w:lang w:val="en-GB"/>
          <w:rPrChange w:id="4013" w:author="Author">
            <w:rPr>
              <w:sz w:val="22"/>
              <w:szCs w:val="22"/>
            </w:rPr>
          </w:rPrChange>
        </w:rPr>
      </w:pPr>
    </w:p>
    <w:p w14:paraId="499B2781" w14:textId="77777777" w:rsidR="008E788D" w:rsidRPr="001775D9" w:rsidRDefault="008E788D" w:rsidP="00B61D9D">
      <w:pPr>
        <w:spacing w:line="240" w:lineRule="auto"/>
      </w:pPr>
      <w:r w:rsidRPr="001775D9">
        <w:t>Travel / recurrent infection</w:t>
      </w:r>
    </w:p>
    <w:p w14:paraId="60476A1C" w14:textId="77777777" w:rsidR="008E788D" w:rsidRPr="001775D9" w:rsidRDefault="008E788D" w:rsidP="00B61D9D">
      <w:pPr>
        <w:spacing w:line="240" w:lineRule="auto"/>
        <w:ind w:left="567"/>
      </w:pPr>
    </w:p>
    <w:p w14:paraId="2EBEA3BE" w14:textId="77777777" w:rsidR="008E788D" w:rsidRPr="001775D9" w:rsidRDefault="008E788D" w:rsidP="00B61D9D">
      <w:pPr>
        <w:numPr>
          <w:ilvl w:val="0"/>
          <w:numId w:val="10"/>
        </w:numPr>
        <w:spacing w:line="240" w:lineRule="auto"/>
        <w:ind w:left="567" w:hanging="567"/>
      </w:pPr>
      <w:r w:rsidRPr="001775D9">
        <w:t xml:space="preserve">Advise your doctor if you reside or travel in regions where fungal infections such as histoplasmosis, coccidioidomycosis or blastomycosis are endemic. </w:t>
      </w:r>
    </w:p>
    <w:p w14:paraId="629C7541" w14:textId="77777777" w:rsidR="008E788D" w:rsidRPr="001775D9" w:rsidRDefault="008E788D" w:rsidP="00B61D9D">
      <w:pPr>
        <w:numPr>
          <w:ilvl w:val="0"/>
          <w:numId w:val="10"/>
        </w:numPr>
        <w:spacing w:line="240" w:lineRule="auto"/>
        <w:ind w:left="567" w:hanging="567"/>
      </w:pPr>
      <w:r w:rsidRPr="001775D9">
        <w:t xml:space="preserve">Advise your doctor if you have a history of recurrent infections or other conditions that increase the risk of infections. </w:t>
      </w:r>
    </w:p>
    <w:p w14:paraId="274B3886" w14:textId="77777777" w:rsidR="008E788D" w:rsidRPr="001775D9" w:rsidRDefault="008E788D" w:rsidP="00B61D9D">
      <w:pPr>
        <w:spacing w:line="240" w:lineRule="auto"/>
      </w:pPr>
    </w:p>
    <w:p w14:paraId="0BC43477" w14:textId="77777777" w:rsidR="008E788D" w:rsidRPr="001775D9" w:rsidRDefault="008E788D" w:rsidP="00B61D9D">
      <w:pPr>
        <w:spacing w:line="240" w:lineRule="auto"/>
      </w:pPr>
      <w:r w:rsidRPr="001775D9">
        <w:t>Hepatitis B virus</w:t>
      </w:r>
    </w:p>
    <w:p w14:paraId="011D6D29" w14:textId="77777777" w:rsidR="008E788D" w:rsidRPr="001775D9" w:rsidRDefault="008E788D" w:rsidP="00B61D9D">
      <w:pPr>
        <w:spacing w:line="240" w:lineRule="auto"/>
        <w:ind w:left="567" w:hanging="567"/>
      </w:pPr>
    </w:p>
    <w:p w14:paraId="60F16CA6" w14:textId="77777777" w:rsidR="008E788D" w:rsidRPr="001775D9" w:rsidRDefault="008E788D" w:rsidP="00B61D9D">
      <w:pPr>
        <w:numPr>
          <w:ilvl w:val="0"/>
          <w:numId w:val="10"/>
        </w:numPr>
        <w:spacing w:line="240" w:lineRule="auto"/>
        <w:ind w:left="567" w:hanging="567"/>
      </w:pPr>
      <w:r w:rsidRPr="001775D9">
        <w:t xml:space="preserve">Advise your doctor if you are a carrier of the hepatitis B virus (HBV), if you have active HBV or if you think you might be at risk of contracting HBV. Your doctor should test you for HBV. </w:t>
      </w:r>
      <w:r w:rsidRPr="001775D9">
        <w:rPr>
          <w:szCs w:val="22"/>
        </w:rPr>
        <w:t>AMGEVITA</w:t>
      </w:r>
      <w:r w:rsidRPr="001775D9">
        <w:t xml:space="preserve"> can cause reactivation of HBV in people who carry this virus. In some rare cases, especially if you are taking other medicines that suppress the immune system, reactivation of HBV can be life-threatening. </w:t>
      </w:r>
    </w:p>
    <w:p w14:paraId="28E20356" w14:textId="77777777" w:rsidR="008E788D" w:rsidRPr="001775D9" w:rsidRDefault="008E788D" w:rsidP="006A71EE">
      <w:pPr>
        <w:pStyle w:val="ListParagraph"/>
      </w:pPr>
    </w:p>
    <w:p w14:paraId="01A6AFD2" w14:textId="77777777" w:rsidR="008E788D" w:rsidRPr="001775D9" w:rsidRDefault="008E788D" w:rsidP="006A71EE">
      <w:pPr>
        <w:tabs>
          <w:tab w:val="clear" w:pos="567"/>
        </w:tabs>
        <w:autoSpaceDE w:val="0"/>
        <w:autoSpaceDN w:val="0"/>
        <w:adjustRightInd w:val="0"/>
        <w:spacing w:line="240" w:lineRule="auto"/>
      </w:pPr>
      <w:r w:rsidRPr="001775D9">
        <w:t>Age over 65 years</w:t>
      </w:r>
    </w:p>
    <w:p w14:paraId="72B3B9E4" w14:textId="77777777" w:rsidR="008E788D" w:rsidRPr="001775D9" w:rsidRDefault="008E788D" w:rsidP="006A71EE">
      <w:pPr>
        <w:tabs>
          <w:tab w:val="clear" w:pos="567"/>
        </w:tabs>
        <w:autoSpaceDE w:val="0"/>
        <w:autoSpaceDN w:val="0"/>
        <w:adjustRightInd w:val="0"/>
        <w:spacing w:line="240" w:lineRule="auto"/>
        <w:ind w:left="567"/>
      </w:pPr>
    </w:p>
    <w:p w14:paraId="73EF5F48" w14:textId="77777777" w:rsidR="008E788D" w:rsidRPr="00F04F82" w:rsidRDefault="008E788D" w:rsidP="00D55B59">
      <w:pPr>
        <w:numPr>
          <w:ilvl w:val="0"/>
          <w:numId w:val="10"/>
        </w:numPr>
        <w:autoSpaceDE w:val="0"/>
        <w:autoSpaceDN w:val="0"/>
        <w:adjustRightInd w:val="0"/>
        <w:spacing w:line="240" w:lineRule="auto"/>
        <w:ind w:left="567" w:hanging="567"/>
        <w:pPrChange w:id="4014" w:author="Author">
          <w:pPr>
            <w:numPr>
              <w:numId w:val="10"/>
            </w:numPr>
            <w:tabs>
              <w:tab w:val="clear" w:pos="567"/>
            </w:tabs>
            <w:autoSpaceDE w:val="0"/>
            <w:autoSpaceDN w:val="0"/>
            <w:adjustRightInd w:val="0"/>
            <w:spacing w:line="240" w:lineRule="auto"/>
            <w:ind w:left="567" w:hanging="567"/>
          </w:pPr>
        </w:pPrChange>
      </w:pPr>
      <w:r w:rsidRPr="001775D9">
        <w:rPr>
          <w:szCs w:val="22"/>
          <w:lang w:eastAsia="en-GB"/>
        </w:rPr>
        <w:t xml:space="preserve">If you are over 65 years you may be more susceptible to infections while taking </w:t>
      </w:r>
      <w:r w:rsidRPr="00F04F82">
        <w:rPr>
          <w:szCs w:val="22"/>
        </w:rPr>
        <w:t>AMGEVITA</w:t>
      </w:r>
      <w:r w:rsidRPr="00F04F82">
        <w:rPr>
          <w:szCs w:val="22"/>
          <w:lang w:eastAsia="en-GB"/>
        </w:rPr>
        <w:t xml:space="preserve">. </w:t>
      </w:r>
      <w:r w:rsidRPr="001775D9">
        <w:rPr>
          <w:szCs w:val="22"/>
          <w:lang w:eastAsia="en-GB"/>
        </w:rPr>
        <w:t xml:space="preserve">You and your doctor should pay special attention to signs of infection while you are being treated with </w:t>
      </w:r>
      <w:r w:rsidRPr="00F04F82">
        <w:rPr>
          <w:szCs w:val="22"/>
        </w:rPr>
        <w:t>AMGEVITA</w:t>
      </w:r>
      <w:r w:rsidRPr="00F04F82">
        <w:rPr>
          <w:szCs w:val="22"/>
          <w:lang w:eastAsia="en-GB"/>
        </w:rPr>
        <w:t xml:space="preserve">. It is important to tell your doctor if you get symptoms of infections, </w:t>
      </w:r>
      <w:r w:rsidRPr="001775D9">
        <w:rPr>
          <w:szCs w:val="22"/>
          <w:lang w:eastAsia="en-GB"/>
        </w:rPr>
        <w:t>such as fever, wounds, feeling tired or dental problems.</w:t>
      </w:r>
    </w:p>
    <w:p w14:paraId="4127317C" w14:textId="77777777" w:rsidR="008E788D" w:rsidRPr="001775D9" w:rsidRDefault="008E788D" w:rsidP="008E788D">
      <w:pPr>
        <w:tabs>
          <w:tab w:val="clear" w:pos="567"/>
        </w:tabs>
        <w:autoSpaceDE w:val="0"/>
        <w:autoSpaceDN w:val="0"/>
        <w:adjustRightInd w:val="0"/>
        <w:spacing w:line="240" w:lineRule="auto"/>
      </w:pPr>
    </w:p>
    <w:p w14:paraId="17A24448" w14:textId="77777777" w:rsidR="008E788D" w:rsidRPr="001775D9" w:rsidRDefault="008E788D" w:rsidP="006A71EE">
      <w:pPr>
        <w:tabs>
          <w:tab w:val="clear" w:pos="567"/>
        </w:tabs>
        <w:autoSpaceDE w:val="0"/>
        <w:autoSpaceDN w:val="0"/>
        <w:adjustRightInd w:val="0"/>
        <w:spacing w:line="240" w:lineRule="auto"/>
        <w:rPr>
          <w:szCs w:val="22"/>
          <w:lang w:eastAsia="en-GB"/>
        </w:rPr>
      </w:pPr>
      <w:r w:rsidRPr="001775D9">
        <w:rPr>
          <w:szCs w:val="22"/>
          <w:lang w:eastAsia="en-GB"/>
        </w:rPr>
        <w:t>Surgery or dental procedures</w:t>
      </w:r>
    </w:p>
    <w:p w14:paraId="472236A7" w14:textId="77777777" w:rsidR="008E788D" w:rsidRPr="001775D9" w:rsidRDefault="008E788D" w:rsidP="006A71EE">
      <w:pPr>
        <w:tabs>
          <w:tab w:val="clear" w:pos="567"/>
        </w:tabs>
        <w:autoSpaceDE w:val="0"/>
        <w:autoSpaceDN w:val="0"/>
        <w:adjustRightInd w:val="0"/>
        <w:spacing w:line="240" w:lineRule="auto"/>
        <w:ind w:left="567"/>
        <w:rPr>
          <w:szCs w:val="22"/>
          <w:lang w:eastAsia="en-GB"/>
        </w:rPr>
      </w:pPr>
    </w:p>
    <w:p w14:paraId="06977CDD" w14:textId="77777777" w:rsidR="008E788D" w:rsidRPr="00F04F82" w:rsidRDefault="008E788D" w:rsidP="00D55B59">
      <w:pPr>
        <w:numPr>
          <w:ilvl w:val="0"/>
          <w:numId w:val="10"/>
        </w:numPr>
        <w:autoSpaceDE w:val="0"/>
        <w:autoSpaceDN w:val="0"/>
        <w:adjustRightInd w:val="0"/>
        <w:spacing w:line="240" w:lineRule="auto"/>
        <w:ind w:left="567" w:hanging="567"/>
        <w:rPr>
          <w:szCs w:val="22"/>
          <w:lang w:eastAsia="en-GB"/>
        </w:rPr>
        <w:pPrChange w:id="4015" w:author="Author">
          <w:pPr>
            <w:numPr>
              <w:numId w:val="10"/>
            </w:numPr>
            <w:tabs>
              <w:tab w:val="clear" w:pos="567"/>
            </w:tabs>
            <w:autoSpaceDE w:val="0"/>
            <w:autoSpaceDN w:val="0"/>
            <w:adjustRightInd w:val="0"/>
            <w:spacing w:line="240" w:lineRule="auto"/>
            <w:ind w:left="567" w:hanging="567"/>
          </w:pPr>
        </w:pPrChange>
      </w:pPr>
      <w:r w:rsidRPr="001775D9">
        <w:rPr>
          <w:szCs w:val="22"/>
          <w:lang w:eastAsia="en-GB"/>
        </w:rPr>
        <w:t xml:space="preserve">If you are about to undergo surgery or dental procedures please inform your doctor that you are taking </w:t>
      </w:r>
      <w:r w:rsidRPr="00F04F82">
        <w:rPr>
          <w:szCs w:val="22"/>
        </w:rPr>
        <w:t>AMGEVITA</w:t>
      </w:r>
      <w:r w:rsidRPr="00F04F82">
        <w:rPr>
          <w:szCs w:val="22"/>
          <w:lang w:eastAsia="en-GB"/>
        </w:rPr>
        <w:t xml:space="preserve">. Your doctor may recommend temporary discontinuation of </w:t>
      </w:r>
      <w:r w:rsidRPr="00F04F82">
        <w:rPr>
          <w:szCs w:val="22"/>
        </w:rPr>
        <w:t>AMGEVITA</w:t>
      </w:r>
      <w:r w:rsidRPr="00F04F82">
        <w:rPr>
          <w:szCs w:val="22"/>
          <w:lang w:eastAsia="en-GB"/>
        </w:rPr>
        <w:t>.</w:t>
      </w:r>
    </w:p>
    <w:p w14:paraId="7C9DD5BD" w14:textId="77777777" w:rsidR="008E788D" w:rsidRPr="001775D9" w:rsidRDefault="008E788D" w:rsidP="006A71EE">
      <w:pPr>
        <w:tabs>
          <w:tab w:val="clear" w:pos="567"/>
        </w:tabs>
        <w:autoSpaceDE w:val="0"/>
        <w:autoSpaceDN w:val="0"/>
        <w:adjustRightInd w:val="0"/>
        <w:spacing w:line="240" w:lineRule="auto"/>
        <w:rPr>
          <w:szCs w:val="22"/>
          <w:lang w:eastAsia="en-GB"/>
        </w:rPr>
      </w:pPr>
    </w:p>
    <w:p w14:paraId="4E1DC159" w14:textId="77777777" w:rsidR="008E788D" w:rsidRPr="001775D9" w:rsidRDefault="008E788D" w:rsidP="006A71EE">
      <w:pPr>
        <w:tabs>
          <w:tab w:val="clear" w:pos="567"/>
        </w:tabs>
        <w:autoSpaceDE w:val="0"/>
        <w:autoSpaceDN w:val="0"/>
        <w:adjustRightInd w:val="0"/>
        <w:spacing w:line="240" w:lineRule="auto"/>
        <w:rPr>
          <w:szCs w:val="22"/>
          <w:lang w:eastAsia="en-GB"/>
        </w:rPr>
      </w:pPr>
      <w:r w:rsidRPr="001775D9">
        <w:rPr>
          <w:szCs w:val="22"/>
          <w:lang w:eastAsia="en-GB"/>
        </w:rPr>
        <w:t>Demyelinating disease</w:t>
      </w:r>
    </w:p>
    <w:p w14:paraId="668F5FC0" w14:textId="77777777" w:rsidR="008E788D" w:rsidRPr="001775D9" w:rsidRDefault="008E788D" w:rsidP="006A71EE">
      <w:pPr>
        <w:tabs>
          <w:tab w:val="clear" w:pos="567"/>
        </w:tabs>
        <w:autoSpaceDE w:val="0"/>
        <w:autoSpaceDN w:val="0"/>
        <w:adjustRightInd w:val="0"/>
        <w:spacing w:line="240" w:lineRule="auto"/>
        <w:rPr>
          <w:szCs w:val="22"/>
          <w:lang w:eastAsia="en-GB"/>
        </w:rPr>
      </w:pPr>
    </w:p>
    <w:p w14:paraId="25594296" w14:textId="77777777" w:rsidR="008E788D" w:rsidRPr="00F04F82" w:rsidRDefault="008E788D" w:rsidP="00D55B59">
      <w:pPr>
        <w:numPr>
          <w:ilvl w:val="0"/>
          <w:numId w:val="10"/>
        </w:numPr>
        <w:autoSpaceDE w:val="0"/>
        <w:autoSpaceDN w:val="0"/>
        <w:adjustRightInd w:val="0"/>
        <w:spacing w:line="240" w:lineRule="auto"/>
        <w:ind w:left="567" w:hanging="567"/>
        <w:rPr>
          <w:szCs w:val="22"/>
          <w:lang w:eastAsia="en-GB"/>
        </w:rPr>
        <w:pPrChange w:id="4016" w:author="Author">
          <w:pPr>
            <w:numPr>
              <w:numId w:val="10"/>
            </w:numPr>
            <w:tabs>
              <w:tab w:val="clear" w:pos="567"/>
            </w:tabs>
            <w:autoSpaceDE w:val="0"/>
            <w:autoSpaceDN w:val="0"/>
            <w:adjustRightInd w:val="0"/>
            <w:spacing w:line="240" w:lineRule="auto"/>
            <w:ind w:left="567" w:hanging="567"/>
          </w:pPr>
        </w:pPrChange>
      </w:pPr>
      <w:r w:rsidRPr="001775D9">
        <w:rPr>
          <w:szCs w:val="22"/>
          <w:lang w:eastAsia="en-GB"/>
        </w:rPr>
        <w:t xml:space="preserve">If you have </w:t>
      </w:r>
      <w:r w:rsidRPr="00F04F82">
        <w:rPr>
          <w:szCs w:val="22"/>
          <w:lang w:eastAsia="en-GB"/>
        </w:rPr>
        <w:t xml:space="preserve">or develop demyelinating disease such as multiple sclerosis, your doctor will decide </w:t>
      </w:r>
      <w:r w:rsidRPr="001775D9">
        <w:rPr>
          <w:szCs w:val="22"/>
          <w:lang w:eastAsia="en-GB"/>
        </w:rPr>
        <w:t>if you should receive</w:t>
      </w:r>
      <w:r w:rsidRPr="00F04F82">
        <w:rPr>
          <w:szCs w:val="22"/>
          <w:lang w:eastAsia="en-GB"/>
        </w:rPr>
        <w:t xml:space="preserve"> or continue to receive </w:t>
      </w:r>
      <w:r w:rsidRPr="00F04F82">
        <w:rPr>
          <w:szCs w:val="22"/>
        </w:rPr>
        <w:t>AMGEVITA</w:t>
      </w:r>
      <w:r w:rsidRPr="00F04F82">
        <w:t xml:space="preserve">. </w:t>
      </w:r>
      <w:r w:rsidRPr="00F04F82">
        <w:rPr>
          <w:szCs w:val="22"/>
          <w:lang w:eastAsia="en-GB"/>
        </w:rPr>
        <w:t xml:space="preserve">Tell your doctor immediately if you </w:t>
      </w:r>
      <w:r w:rsidRPr="001775D9">
        <w:rPr>
          <w:szCs w:val="22"/>
          <w:lang w:eastAsia="en-GB"/>
        </w:rPr>
        <w:t>experience symptoms like changes in your vision, weakness in your arms or legs or numbness</w:t>
      </w:r>
      <w:r w:rsidRPr="00F04F82">
        <w:rPr>
          <w:szCs w:val="22"/>
          <w:lang w:eastAsia="en-GB"/>
        </w:rPr>
        <w:t xml:space="preserve"> </w:t>
      </w:r>
      <w:r w:rsidRPr="001775D9">
        <w:rPr>
          <w:szCs w:val="22"/>
          <w:lang w:eastAsia="en-GB"/>
        </w:rPr>
        <w:t>or tingling in any part of your body.</w:t>
      </w:r>
    </w:p>
    <w:p w14:paraId="6C5C354E" w14:textId="77777777" w:rsidR="008E788D" w:rsidRPr="001775D9" w:rsidRDefault="008E788D" w:rsidP="006A71EE">
      <w:pPr>
        <w:tabs>
          <w:tab w:val="clear" w:pos="567"/>
        </w:tabs>
        <w:autoSpaceDE w:val="0"/>
        <w:autoSpaceDN w:val="0"/>
        <w:adjustRightInd w:val="0"/>
        <w:spacing w:line="240" w:lineRule="auto"/>
        <w:ind w:left="567"/>
        <w:rPr>
          <w:szCs w:val="22"/>
          <w:lang w:eastAsia="en-GB"/>
        </w:rPr>
      </w:pPr>
    </w:p>
    <w:p w14:paraId="2875CFBF" w14:textId="77777777" w:rsidR="008E788D" w:rsidRPr="001775D9" w:rsidRDefault="008E788D" w:rsidP="006A71EE">
      <w:pPr>
        <w:tabs>
          <w:tab w:val="clear" w:pos="567"/>
        </w:tabs>
        <w:autoSpaceDE w:val="0"/>
        <w:autoSpaceDN w:val="0"/>
        <w:adjustRightInd w:val="0"/>
        <w:spacing w:line="240" w:lineRule="auto"/>
        <w:rPr>
          <w:szCs w:val="22"/>
          <w:lang w:eastAsia="en-GB"/>
        </w:rPr>
      </w:pPr>
      <w:r w:rsidRPr="001775D9">
        <w:rPr>
          <w:szCs w:val="22"/>
          <w:lang w:eastAsia="en-GB"/>
        </w:rPr>
        <w:t>Vaccinations</w:t>
      </w:r>
    </w:p>
    <w:p w14:paraId="4AAFA721" w14:textId="77777777" w:rsidR="008E788D" w:rsidRPr="001775D9" w:rsidRDefault="008E788D" w:rsidP="006A71EE">
      <w:pPr>
        <w:tabs>
          <w:tab w:val="clear" w:pos="567"/>
        </w:tabs>
        <w:autoSpaceDE w:val="0"/>
        <w:autoSpaceDN w:val="0"/>
        <w:adjustRightInd w:val="0"/>
        <w:spacing w:line="240" w:lineRule="auto"/>
        <w:ind w:left="567"/>
        <w:rPr>
          <w:szCs w:val="22"/>
          <w:lang w:eastAsia="en-GB"/>
        </w:rPr>
      </w:pPr>
    </w:p>
    <w:p w14:paraId="4FAB8789" w14:textId="77777777" w:rsidR="008E788D" w:rsidRPr="00F04F82" w:rsidRDefault="008E788D" w:rsidP="00D55B59">
      <w:pPr>
        <w:numPr>
          <w:ilvl w:val="0"/>
          <w:numId w:val="26"/>
        </w:numPr>
        <w:autoSpaceDE w:val="0"/>
        <w:autoSpaceDN w:val="0"/>
        <w:adjustRightInd w:val="0"/>
        <w:spacing w:line="240" w:lineRule="auto"/>
        <w:ind w:left="567" w:hanging="567"/>
        <w:rPr>
          <w:szCs w:val="22"/>
          <w:lang w:eastAsia="en-GB"/>
        </w:rPr>
        <w:pPrChange w:id="4017"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 xml:space="preserve">Certain vaccines contain living but weakened forms of disease-causing bacteria or viruses that may cause infections and should not be given while receiving </w:t>
      </w:r>
      <w:r w:rsidRPr="00F04F82">
        <w:rPr>
          <w:szCs w:val="22"/>
        </w:rPr>
        <w:t>AMGEVITA</w:t>
      </w:r>
      <w:r w:rsidRPr="00F04F82">
        <w:rPr>
          <w:szCs w:val="22"/>
          <w:lang w:eastAsia="en-GB"/>
        </w:rPr>
        <w:t xml:space="preserve">. Please check with </w:t>
      </w:r>
      <w:r w:rsidRPr="001775D9">
        <w:rPr>
          <w:szCs w:val="22"/>
          <w:lang w:eastAsia="en-GB"/>
        </w:rPr>
        <w:t>your doctor before you receive any vaccines. It is recommended that children, if possibl</w:t>
      </w:r>
      <w:r w:rsidRPr="00F04F82">
        <w:rPr>
          <w:szCs w:val="22"/>
          <w:lang w:eastAsia="en-GB"/>
        </w:rPr>
        <w:t xml:space="preserve">e, be </w:t>
      </w:r>
      <w:r w:rsidRPr="001775D9">
        <w:rPr>
          <w:szCs w:val="22"/>
          <w:lang w:eastAsia="en-GB"/>
        </w:rPr>
        <w:t xml:space="preserve">brought up to date with all immunisations in agreement with current immunisation guidelines prior to initiating </w:t>
      </w:r>
      <w:r w:rsidRPr="00F04F82">
        <w:rPr>
          <w:szCs w:val="22"/>
        </w:rPr>
        <w:t>AMGEVITA</w:t>
      </w:r>
      <w:r w:rsidRPr="00F04F82">
        <w:rPr>
          <w:szCs w:val="22"/>
          <w:lang w:eastAsia="en-GB"/>
        </w:rPr>
        <w:t xml:space="preserve"> therapy. </w:t>
      </w:r>
    </w:p>
    <w:p w14:paraId="027B77DA" w14:textId="77777777" w:rsidR="008E788D" w:rsidRPr="00F04F82" w:rsidRDefault="008E788D" w:rsidP="00D55B59">
      <w:pPr>
        <w:numPr>
          <w:ilvl w:val="0"/>
          <w:numId w:val="26"/>
        </w:numPr>
        <w:autoSpaceDE w:val="0"/>
        <w:autoSpaceDN w:val="0"/>
        <w:adjustRightInd w:val="0"/>
        <w:spacing w:line="240" w:lineRule="auto"/>
        <w:ind w:left="567" w:hanging="567"/>
        <w:rPr>
          <w:szCs w:val="22"/>
          <w:lang w:eastAsia="en-GB"/>
        </w:rPr>
        <w:pPrChange w:id="4018"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 xml:space="preserve">If you received </w:t>
      </w:r>
      <w:r w:rsidRPr="00F04F82">
        <w:rPr>
          <w:szCs w:val="22"/>
        </w:rPr>
        <w:t>AMGEVITA</w:t>
      </w:r>
      <w:r w:rsidRPr="00F04F82">
        <w:rPr>
          <w:szCs w:val="22"/>
          <w:lang w:eastAsia="en-GB"/>
        </w:rPr>
        <w:t xml:space="preserve"> while you were pregnant, your baby may be at higher risk for </w:t>
      </w:r>
      <w:r w:rsidRPr="001775D9">
        <w:rPr>
          <w:szCs w:val="22"/>
          <w:lang w:eastAsia="en-GB"/>
        </w:rPr>
        <w:t xml:space="preserve">getting such an infection for up to approximately five months after the last dose you received during pregnancy. It is important that you tell your baby's doctors and other health care professionals about your </w:t>
      </w:r>
      <w:r w:rsidRPr="00F04F82">
        <w:rPr>
          <w:szCs w:val="22"/>
        </w:rPr>
        <w:t>AMGEVITA</w:t>
      </w:r>
      <w:r w:rsidRPr="00F04F82">
        <w:rPr>
          <w:szCs w:val="22"/>
          <w:lang w:eastAsia="en-GB"/>
        </w:rPr>
        <w:t xml:space="preserve"> use during your pregnancy so they can decide when your </w:t>
      </w:r>
      <w:r w:rsidRPr="001775D9">
        <w:rPr>
          <w:szCs w:val="22"/>
          <w:lang w:eastAsia="en-GB"/>
        </w:rPr>
        <w:t>baby should receive any vaccine.</w:t>
      </w:r>
    </w:p>
    <w:p w14:paraId="55B19AF2" w14:textId="77777777" w:rsidR="008E788D" w:rsidRPr="001775D9" w:rsidRDefault="008E788D" w:rsidP="006A71EE">
      <w:pPr>
        <w:tabs>
          <w:tab w:val="clear" w:pos="567"/>
        </w:tabs>
        <w:autoSpaceDE w:val="0"/>
        <w:autoSpaceDN w:val="0"/>
        <w:adjustRightInd w:val="0"/>
        <w:spacing w:line="240" w:lineRule="auto"/>
        <w:ind w:left="567" w:hanging="567"/>
        <w:rPr>
          <w:szCs w:val="22"/>
          <w:lang w:eastAsia="en-GB"/>
        </w:rPr>
      </w:pPr>
    </w:p>
    <w:p w14:paraId="19920AF6" w14:textId="77777777" w:rsidR="008E788D" w:rsidRPr="001775D9" w:rsidRDefault="008E788D" w:rsidP="006A71EE">
      <w:pPr>
        <w:tabs>
          <w:tab w:val="clear" w:pos="567"/>
        </w:tabs>
        <w:autoSpaceDE w:val="0"/>
        <w:autoSpaceDN w:val="0"/>
        <w:adjustRightInd w:val="0"/>
        <w:spacing w:line="240" w:lineRule="auto"/>
        <w:rPr>
          <w:szCs w:val="22"/>
          <w:lang w:eastAsia="en-GB"/>
        </w:rPr>
      </w:pPr>
      <w:r w:rsidRPr="001775D9">
        <w:rPr>
          <w:szCs w:val="22"/>
          <w:lang w:eastAsia="en-GB"/>
        </w:rPr>
        <w:t>Heart failure</w:t>
      </w:r>
    </w:p>
    <w:p w14:paraId="12BB5011" w14:textId="77777777" w:rsidR="008E788D" w:rsidRPr="001775D9" w:rsidRDefault="008E788D" w:rsidP="006A71EE">
      <w:pPr>
        <w:tabs>
          <w:tab w:val="clear" w:pos="567"/>
        </w:tabs>
        <w:autoSpaceDE w:val="0"/>
        <w:autoSpaceDN w:val="0"/>
        <w:adjustRightInd w:val="0"/>
        <w:spacing w:line="240" w:lineRule="auto"/>
        <w:ind w:left="567"/>
        <w:rPr>
          <w:szCs w:val="22"/>
          <w:lang w:eastAsia="en-GB"/>
        </w:rPr>
      </w:pPr>
    </w:p>
    <w:p w14:paraId="36FB67B4" w14:textId="77777777" w:rsidR="008E788D" w:rsidRPr="00F04F82" w:rsidRDefault="008E788D" w:rsidP="00D55B59">
      <w:pPr>
        <w:numPr>
          <w:ilvl w:val="0"/>
          <w:numId w:val="26"/>
        </w:numPr>
        <w:autoSpaceDE w:val="0"/>
        <w:autoSpaceDN w:val="0"/>
        <w:adjustRightInd w:val="0"/>
        <w:spacing w:line="240" w:lineRule="auto"/>
        <w:ind w:left="567" w:hanging="567"/>
        <w:rPr>
          <w:szCs w:val="22"/>
          <w:lang w:eastAsia="en-GB"/>
        </w:rPr>
        <w:pPrChange w:id="4019"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 xml:space="preserve">If you have mild heart failure and you are being treated with </w:t>
      </w:r>
      <w:r w:rsidRPr="00F04F82">
        <w:rPr>
          <w:szCs w:val="22"/>
        </w:rPr>
        <w:t>AMGEVITA</w:t>
      </w:r>
      <w:r w:rsidRPr="00F04F82">
        <w:rPr>
          <w:szCs w:val="22"/>
          <w:lang w:eastAsia="en-GB"/>
        </w:rPr>
        <w:t xml:space="preserve">, your heart failure </w:t>
      </w:r>
      <w:r w:rsidRPr="001775D9">
        <w:rPr>
          <w:szCs w:val="22"/>
          <w:lang w:eastAsia="en-GB"/>
        </w:rPr>
        <w:t>status must be closely monitored by your doctor. It is important to tell your doctor if you have had or have a serious heart condition. If you develop new or worsening symptoms of heart failure (e.g. shortness of breath, or swelling of your feet), you must contact your doctor immediately. Your doctor will decide if you should receive AMGEVITA.</w:t>
      </w:r>
    </w:p>
    <w:p w14:paraId="65C641D3" w14:textId="77777777" w:rsidR="008E788D" w:rsidRPr="001775D9" w:rsidRDefault="008E788D" w:rsidP="006A71EE">
      <w:pPr>
        <w:tabs>
          <w:tab w:val="clear" w:pos="567"/>
        </w:tabs>
        <w:autoSpaceDE w:val="0"/>
        <w:autoSpaceDN w:val="0"/>
        <w:adjustRightInd w:val="0"/>
        <w:spacing w:line="240" w:lineRule="auto"/>
        <w:rPr>
          <w:szCs w:val="22"/>
          <w:lang w:eastAsia="en-GB"/>
        </w:rPr>
      </w:pPr>
    </w:p>
    <w:p w14:paraId="01D828E7" w14:textId="77777777" w:rsidR="008E788D" w:rsidRPr="001775D9" w:rsidRDefault="008E788D" w:rsidP="006A71EE">
      <w:pPr>
        <w:tabs>
          <w:tab w:val="clear" w:pos="567"/>
        </w:tabs>
        <w:autoSpaceDE w:val="0"/>
        <w:autoSpaceDN w:val="0"/>
        <w:adjustRightInd w:val="0"/>
        <w:spacing w:line="240" w:lineRule="auto"/>
        <w:rPr>
          <w:szCs w:val="22"/>
          <w:lang w:eastAsia="en-GB"/>
        </w:rPr>
      </w:pPr>
      <w:r w:rsidRPr="001775D9">
        <w:rPr>
          <w:szCs w:val="22"/>
          <w:lang w:eastAsia="en-GB"/>
        </w:rPr>
        <w:t>Fever, bruising, bleeding or looking pale</w:t>
      </w:r>
    </w:p>
    <w:p w14:paraId="5CA5D2F3" w14:textId="77777777" w:rsidR="008E788D" w:rsidRPr="001775D9" w:rsidRDefault="008E788D" w:rsidP="006A71EE">
      <w:pPr>
        <w:tabs>
          <w:tab w:val="clear" w:pos="567"/>
        </w:tabs>
        <w:autoSpaceDE w:val="0"/>
        <w:autoSpaceDN w:val="0"/>
        <w:adjustRightInd w:val="0"/>
        <w:spacing w:line="240" w:lineRule="auto"/>
        <w:rPr>
          <w:szCs w:val="22"/>
          <w:lang w:eastAsia="en-GB"/>
        </w:rPr>
      </w:pPr>
    </w:p>
    <w:p w14:paraId="609A947C" w14:textId="77777777" w:rsidR="008E788D" w:rsidRPr="00F04F82" w:rsidRDefault="008E788D" w:rsidP="00D55B59">
      <w:pPr>
        <w:numPr>
          <w:ilvl w:val="0"/>
          <w:numId w:val="26"/>
        </w:numPr>
        <w:autoSpaceDE w:val="0"/>
        <w:autoSpaceDN w:val="0"/>
        <w:adjustRightInd w:val="0"/>
        <w:spacing w:line="240" w:lineRule="auto"/>
        <w:ind w:left="567" w:hanging="567"/>
        <w:rPr>
          <w:szCs w:val="22"/>
          <w:lang w:eastAsia="en-GB"/>
        </w:rPr>
        <w:pPrChange w:id="4020"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In some patients the body may fail to produce enough of the blood cells that help your body fight infections or help you to stop bleeding. If you develop a fever that does not go away, bruise or bleed very easily or look very pale, call your doctor right away. Your doctor may decide to stop treatment.</w:t>
      </w:r>
    </w:p>
    <w:p w14:paraId="253F5295" w14:textId="77777777" w:rsidR="008E788D" w:rsidRPr="001775D9" w:rsidRDefault="008E788D" w:rsidP="006A71EE">
      <w:pPr>
        <w:tabs>
          <w:tab w:val="clear" w:pos="567"/>
        </w:tabs>
        <w:autoSpaceDE w:val="0"/>
        <w:autoSpaceDN w:val="0"/>
        <w:adjustRightInd w:val="0"/>
        <w:spacing w:line="240" w:lineRule="auto"/>
        <w:rPr>
          <w:szCs w:val="22"/>
          <w:lang w:eastAsia="en-GB"/>
        </w:rPr>
      </w:pPr>
    </w:p>
    <w:p w14:paraId="094FE96F" w14:textId="77777777" w:rsidR="008E788D" w:rsidRPr="001775D9" w:rsidRDefault="008E788D" w:rsidP="006A71EE">
      <w:pPr>
        <w:tabs>
          <w:tab w:val="clear" w:pos="567"/>
        </w:tabs>
        <w:autoSpaceDE w:val="0"/>
        <w:autoSpaceDN w:val="0"/>
        <w:adjustRightInd w:val="0"/>
        <w:spacing w:line="240" w:lineRule="auto"/>
        <w:rPr>
          <w:szCs w:val="22"/>
          <w:lang w:eastAsia="en-GB"/>
        </w:rPr>
      </w:pPr>
      <w:r w:rsidRPr="001775D9">
        <w:rPr>
          <w:szCs w:val="22"/>
          <w:lang w:eastAsia="en-GB"/>
        </w:rPr>
        <w:t>Cancer</w:t>
      </w:r>
    </w:p>
    <w:p w14:paraId="59BB0FDB" w14:textId="77777777" w:rsidR="008E788D" w:rsidRPr="001775D9" w:rsidRDefault="008E788D" w:rsidP="006A71EE">
      <w:pPr>
        <w:tabs>
          <w:tab w:val="clear" w:pos="567"/>
        </w:tabs>
        <w:autoSpaceDE w:val="0"/>
        <w:autoSpaceDN w:val="0"/>
        <w:adjustRightInd w:val="0"/>
        <w:spacing w:line="240" w:lineRule="auto"/>
        <w:ind w:left="567"/>
        <w:rPr>
          <w:szCs w:val="22"/>
          <w:lang w:eastAsia="en-GB"/>
        </w:rPr>
      </w:pPr>
    </w:p>
    <w:p w14:paraId="785C17CD" w14:textId="77777777" w:rsidR="008E788D" w:rsidRPr="00F04F82" w:rsidRDefault="008E788D" w:rsidP="00D55B59">
      <w:pPr>
        <w:numPr>
          <w:ilvl w:val="0"/>
          <w:numId w:val="26"/>
        </w:numPr>
        <w:autoSpaceDE w:val="0"/>
        <w:autoSpaceDN w:val="0"/>
        <w:adjustRightInd w:val="0"/>
        <w:spacing w:line="240" w:lineRule="auto"/>
        <w:ind w:left="567" w:hanging="567"/>
        <w:rPr>
          <w:szCs w:val="22"/>
          <w:lang w:eastAsia="en-GB"/>
        </w:rPr>
        <w:pPrChange w:id="4021"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There have been very rare cases of certain kinds of cancer in children and adult patients taking adalimumab or other TNF blockers. People with more serious rheumatoid arthritis that have had the disease for a long time may have a higher than average risk of getting lymphoma (a cancer that affects the lymph system), and leuk</w:t>
      </w:r>
      <w:r w:rsidRPr="00F04F82">
        <w:rPr>
          <w:szCs w:val="22"/>
          <w:lang w:eastAsia="en-GB"/>
        </w:rPr>
        <w:t xml:space="preserve">aemia (a cancer that affects the blood and bone </w:t>
      </w:r>
      <w:r w:rsidRPr="001775D9">
        <w:rPr>
          <w:szCs w:val="22"/>
          <w:lang w:eastAsia="en-GB"/>
        </w:rPr>
        <w:t xml:space="preserve">marrow). </w:t>
      </w:r>
    </w:p>
    <w:p w14:paraId="000A0C1D" w14:textId="57D4EB5C" w:rsidR="008E788D" w:rsidRPr="00F04F82" w:rsidRDefault="008E788D" w:rsidP="00D55B59">
      <w:pPr>
        <w:numPr>
          <w:ilvl w:val="0"/>
          <w:numId w:val="26"/>
        </w:numPr>
        <w:autoSpaceDE w:val="0"/>
        <w:autoSpaceDN w:val="0"/>
        <w:adjustRightInd w:val="0"/>
        <w:spacing w:line="240" w:lineRule="auto"/>
        <w:ind w:left="567" w:hanging="567"/>
        <w:rPr>
          <w:szCs w:val="22"/>
          <w:lang w:eastAsia="en-GB"/>
        </w:rPr>
        <w:pPrChange w:id="4022"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 xml:space="preserve">If you take </w:t>
      </w:r>
      <w:r w:rsidRPr="00F04F82">
        <w:rPr>
          <w:szCs w:val="22"/>
        </w:rPr>
        <w:t>AMGEVITA</w:t>
      </w:r>
      <w:r w:rsidRPr="00F04F82">
        <w:rPr>
          <w:szCs w:val="22"/>
          <w:lang w:eastAsia="en-GB"/>
        </w:rPr>
        <w:t xml:space="preserve"> the risk of getting lymphoma, leukaemia, or other cancers may </w:t>
      </w:r>
      <w:r w:rsidRPr="001775D9">
        <w:rPr>
          <w:szCs w:val="22"/>
          <w:lang w:eastAsia="en-GB"/>
        </w:rPr>
        <w:t>increase. On rare occasions, a specific and severe type of lymphoma has been observed in patients taking adalimumab. Some of those patients were also treated with azathioprine or 6</w:t>
      </w:r>
      <w:r w:rsidR="00AC71A1" w:rsidRPr="00F04F82">
        <w:rPr>
          <w:szCs w:val="22"/>
          <w:lang w:eastAsia="en-GB"/>
        </w:rPr>
        <w:noBreakHyphen/>
      </w:r>
      <w:r w:rsidRPr="00F04F82">
        <w:rPr>
          <w:szCs w:val="22"/>
          <w:lang w:eastAsia="en-GB"/>
        </w:rPr>
        <w:t xml:space="preserve">mercaptopurine. Tell your doctor if you are taking azathioprine or 6-mercaptopurine with </w:t>
      </w:r>
      <w:r w:rsidRPr="001775D9">
        <w:rPr>
          <w:szCs w:val="22"/>
        </w:rPr>
        <w:t>AMGEVITA</w:t>
      </w:r>
      <w:r w:rsidRPr="00F04F82">
        <w:rPr>
          <w:szCs w:val="22"/>
          <w:lang w:eastAsia="en-GB"/>
        </w:rPr>
        <w:t xml:space="preserve">. </w:t>
      </w:r>
    </w:p>
    <w:p w14:paraId="1C7F52BC" w14:textId="77777777" w:rsidR="008E788D" w:rsidRPr="00F04F82" w:rsidRDefault="008E788D" w:rsidP="00D55B59">
      <w:pPr>
        <w:numPr>
          <w:ilvl w:val="0"/>
          <w:numId w:val="26"/>
        </w:numPr>
        <w:autoSpaceDE w:val="0"/>
        <w:autoSpaceDN w:val="0"/>
        <w:adjustRightInd w:val="0"/>
        <w:spacing w:line="240" w:lineRule="auto"/>
        <w:ind w:left="567" w:hanging="567"/>
        <w:pPrChange w:id="4023"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In addition, cases of non-melanoma skin cancer have been observed in patients taking adalimumab. If new skin lesions appear during or after therapy or if existing lesions change appearance, tell your doctor.</w:t>
      </w:r>
    </w:p>
    <w:p w14:paraId="5B95B17E" w14:textId="77777777" w:rsidR="008E788D" w:rsidRPr="001775D9" w:rsidRDefault="008E788D" w:rsidP="00B61D9D">
      <w:pPr>
        <w:numPr>
          <w:ilvl w:val="0"/>
          <w:numId w:val="11"/>
        </w:numPr>
        <w:spacing w:line="240" w:lineRule="auto"/>
        <w:ind w:left="567" w:hanging="567"/>
      </w:pPr>
      <w:r w:rsidRPr="001775D9">
        <w:t xml:space="preserve">There have been cases of cancers, other than lymphoma in patients with a specific type of lung disease called Chronic Obstructive Pulmonary Disease (COPD) treated with another TNF blocker. If you have COPD, or are a heavy smoker, you should discuss with your doctor whether treatment with a TNF blocker is appropriate for you. </w:t>
      </w:r>
    </w:p>
    <w:p w14:paraId="18C702EC" w14:textId="77777777" w:rsidR="008E788D" w:rsidRPr="001775D9" w:rsidRDefault="008E788D" w:rsidP="00B61D9D">
      <w:pPr>
        <w:spacing w:line="240" w:lineRule="auto"/>
      </w:pPr>
    </w:p>
    <w:p w14:paraId="25C7CA8A" w14:textId="77777777" w:rsidR="008E788D" w:rsidRPr="001775D9" w:rsidRDefault="008E788D" w:rsidP="00B61D9D">
      <w:pPr>
        <w:spacing w:line="240" w:lineRule="auto"/>
      </w:pPr>
      <w:r w:rsidRPr="001775D9">
        <w:t>Autoimmune disease</w:t>
      </w:r>
      <w:del w:id="4024" w:author="Author">
        <w:r w:rsidRPr="00F04F82" w:rsidDel="008413BC">
          <w:delText>s</w:delText>
        </w:r>
      </w:del>
    </w:p>
    <w:p w14:paraId="7CB1C973" w14:textId="77777777" w:rsidR="008E788D" w:rsidRPr="001775D9" w:rsidRDefault="008E788D" w:rsidP="00B61D9D">
      <w:pPr>
        <w:spacing w:line="240" w:lineRule="auto"/>
        <w:ind w:left="567"/>
      </w:pPr>
    </w:p>
    <w:p w14:paraId="4B8A3F42" w14:textId="77777777" w:rsidR="008E788D" w:rsidRPr="001775D9" w:rsidRDefault="008E788D" w:rsidP="006A71EE">
      <w:pPr>
        <w:numPr>
          <w:ilvl w:val="12"/>
          <w:numId w:val="0"/>
        </w:numPr>
        <w:tabs>
          <w:tab w:val="clear" w:pos="567"/>
        </w:tabs>
        <w:spacing w:line="240" w:lineRule="auto"/>
        <w:ind w:left="567" w:right="-2" w:hanging="567"/>
        <w:rPr>
          <w:szCs w:val="22"/>
        </w:rPr>
      </w:pPr>
      <w:r w:rsidRPr="001775D9">
        <w:rPr>
          <w:szCs w:val="22"/>
        </w:rPr>
        <w:t>-</w:t>
      </w:r>
      <w:r w:rsidRPr="001775D9">
        <w:rPr>
          <w:szCs w:val="22"/>
        </w:rPr>
        <w:tab/>
        <w:t>On rare occasions, treatment with AMGEVITA could result in lupus-like syndrome. Contact your doctor if symptoms such as persistent unexplained rash, fever, joint pain or tiredness occur.</w:t>
      </w:r>
    </w:p>
    <w:p w14:paraId="11A991D5" w14:textId="77777777" w:rsidR="008E788D" w:rsidRPr="001775D9" w:rsidRDefault="008E788D" w:rsidP="006A71EE">
      <w:pPr>
        <w:tabs>
          <w:tab w:val="clear" w:pos="567"/>
          <w:tab w:val="left" w:pos="0"/>
        </w:tabs>
        <w:spacing w:line="240" w:lineRule="auto"/>
        <w:rPr>
          <w:szCs w:val="22"/>
        </w:rPr>
      </w:pPr>
    </w:p>
    <w:p w14:paraId="314C5D77" w14:textId="77777777" w:rsidR="008E788D" w:rsidRPr="001775D9" w:rsidRDefault="008E788D" w:rsidP="006A71EE">
      <w:pPr>
        <w:tabs>
          <w:tab w:val="clear" w:pos="567"/>
          <w:tab w:val="left" w:pos="0"/>
        </w:tabs>
        <w:spacing w:line="240" w:lineRule="auto"/>
        <w:rPr>
          <w:szCs w:val="22"/>
        </w:rPr>
      </w:pPr>
      <w:r w:rsidRPr="001775D9">
        <w:t>In order to improve the traceability of this medicine, your doctor or pharmacist should record the name and the lot number of the product you have been given in your patient file. You may also wish to make a note of these details in case you are asked for this information in the future.</w:t>
      </w:r>
    </w:p>
    <w:p w14:paraId="59AA63D6" w14:textId="77777777" w:rsidR="008E788D" w:rsidRPr="001775D9" w:rsidRDefault="008E788D" w:rsidP="006A71EE">
      <w:pPr>
        <w:numPr>
          <w:ilvl w:val="12"/>
          <w:numId w:val="0"/>
        </w:numPr>
        <w:tabs>
          <w:tab w:val="clear" w:pos="567"/>
        </w:tabs>
        <w:spacing w:line="240" w:lineRule="auto"/>
        <w:ind w:right="-2"/>
        <w:rPr>
          <w:szCs w:val="22"/>
        </w:rPr>
      </w:pPr>
    </w:p>
    <w:p w14:paraId="78C4FF20" w14:textId="77777777" w:rsidR="008E788D" w:rsidRPr="001775D9" w:rsidRDefault="008E788D" w:rsidP="006A71EE">
      <w:pPr>
        <w:numPr>
          <w:ilvl w:val="12"/>
          <w:numId w:val="0"/>
        </w:numPr>
        <w:tabs>
          <w:tab w:val="clear" w:pos="567"/>
        </w:tabs>
        <w:spacing w:line="240" w:lineRule="auto"/>
        <w:rPr>
          <w:b/>
          <w:bCs/>
        </w:rPr>
      </w:pPr>
      <w:r w:rsidRPr="001775D9">
        <w:rPr>
          <w:b/>
          <w:bCs/>
        </w:rPr>
        <w:t>Children and adolescents</w:t>
      </w:r>
    </w:p>
    <w:p w14:paraId="387C6E87" w14:textId="77777777" w:rsidR="008E788D" w:rsidRPr="00D55B59" w:rsidRDefault="008E788D" w:rsidP="006A71EE">
      <w:pPr>
        <w:pStyle w:val="Default"/>
        <w:rPr>
          <w:lang w:val="en-GB"/>
          <w:rPrChange w:id="4025" w:author="Author">
            <w:rPr/>
          </w:rPrChange>
        </w:rPr>
      </w:pPr>
    </w:p>
    <w:p w14:paraId="18A90D48" w14:textId="77777777" w:rsidR="008E788D" w:rsidRPr="00D55B59" w:rsidRDefault="008E788D" w:rsidP="00D55B59">
      <w:pPr>
        <w:pStyle w:val="Default"/>
        <w:numPr>
          <w:ilvl w:val="0"/>
          <w:numId w:val="12"/>
        </w:numPr>
        <w:tabs>
          <w:tab w:val="left" w:pos="567"/>
        </w:tabs>
        <w:ind w:left="567" w:hanging="567"/>
        <w:rPr>
          <w:sz w:val="22"/>
          <w:szCs w:val="22"/>
          <w:lang w:val="en-GB"/>
          <w:rPrChange w:id="4026" w:author="Author">
            <w:rPr>
              <w:sz w:val="22"/>
              <w:szCs w:val="22"/>
            </w:rPr>
          </w:rPrChange>
        </w:rPr>
        <w:pPrChange w:id="4027" w:author="Author">
          <w:pPr>
            <w:pStyle w:val="Default"/>
            <w:numPr>
              <w:numId w:val="12"/>
            </w:numPr>
            <w:ind w:left="567" w:hanging="567"/>
          </w:pPr>
        </w:pPrChange>
      </w:pPr>
      <w:r w:rsidRPr="00D55B59">
        <w:rPr>
          <w:sz w:val="22"/>
          <w:szCs w:val="22"/>
          <w:lang w:val="en-GB"/>
          <w:rPrChange w:id="4028" w:author="Author">
            <w:rPr>
              <w:sz w:val="22"/>
              <w:szCs w:val="22"/>
            </w:rPr>
          </w:rPrChange>
        </w:rPr>
        <w:t>Vaccinations: if possible children should be up to date with all vaccinations before using AMGEVITA.</w:t>
      </w:r>
    </w:p>
    <w:p w14:paraId="286F4DA3" w14:textId="77777777" w:rsidR="008E788D" w:rsidRPr="001775D9" w:rsidRDefault="008E788D" w:rsidP="006A71EE">
      <w:pPr>
        <w:numPr>
          <w:ilvl w:val="12"/>
          <w:numId w:val="0"/>
        </w:numPr>
        <w:tabs>
          <w:tab w:val="clear" w:pos="567"/>
        </w:tabs>
        <w:spacing w:line="240" w:lineRule="auto"/>
        <w:rPr>
          <w:szCs w:val="22"/>
        </w:rPr>
      </w:pPr>
    </w:p>
    <w:p w14:paraId="51022ED2" w14:textId="77777777" w:rsidR="008E788D" w:rsidRPr="00D55B59" w:rsidRDefault="008E788D" w:rsidP="00D55B59">
      <w:pPr>
        <w:pStyle w:val="Default"/>
        <w:numPr>
          <w:ilvl w:val="0"/>
          <w:numId w:val="12"/>
        </w:numPr>
        <w:tabs>
          <w:tab w:val="left" w:pos="567"/>
        </w:tabs>
        <w:ind w:left="567" w:hanging="567"/>
        <w:rPr>
          <w:sz w:val="22"/>
          <w:szCs w:val="22"/>
          <w:lang w:val="en-GB"/>
          <w:rPrChange w:id="4029" w:author="Author">
            <w:rPr>
              <w:sz w:val="22"/>
              <w:szCs w:val="22"/>
            </w:rPr>
          </w:rPrChange>
        </w:rPr>
        <w:pPrChange w:id="4030" w:author="Author">
          <w:pPr>
            <w:pStyle w:val="Default"/>
            <w:numPr>
              <w:numId w:val="12"/>
            </w:numPr>
            <w:ind w:left="567" w:hanging="567"/>
          </w:pPr>
        </w:pPrChange>
      </w:pPr>
      <w:r w:rsidRPr="00D55B59">
        <w:rPr>
          <w:sz w:val="22"/>
          <w:szCs w:val="22"/>
          <w:lang w:val="en-GB"/>
          <w:rPrChange w:id="4031" w:author="Author">
            <w:rPr>
              <w:sz w:val="22"/>
              <w:szCs w:val="22"/>
            </w:rPr>
          </w:rPrChange>
        </w:rPr>
        <w:t>Do not give AMGEVITA to children with polyarticular juvenile idiopathic arthritis below the age of 2 years.</w:t>
      </w:r>
    </w:p>
    <w:p w14:paraId="5BCB0880" w14:textId="77777777" w:rsidR="008E788D" w:rsidRPr="00D55B59" w:rsidRDefault="008E788D" w:rsidP="006A71EE">
      <w:pPr>
        <w:pStyle w:val="Default"/>
        <w:rPr>
          <w:sz w:val="22"/>
          <w:szCs w:val="22"/>
          <w:lang w:val="en-GB"/>
          <w:rPrChange w:id="4032" w:author="Author">
            <w:rPr>
              <w:sz w:val="22"/>
              <w:szCs w:val="22"/>
            </w:rPr>
          </w:rPrChange>
        </w:rPr>
      </w:pPr>
    </w:p>
    <w:p w14:paraId="17120B04" w14:textId="77777777" w:rsidR="008E788D" w:rsidRPr="00D55B59" w:rsidRDefault="008E788D" w:rsidP="00D55B59">
      <w:pPr>
        <w:pStyle w:val="Default"/>
        <w:numPr>
          <w:ilvl w:val="0"/>
          <w:numId w:val="12"/>
        </w:numPr>
        <w:tabs>
          <w:tab w:val="left" w:pos="567"/>
        </w:tabs>
        <w:ind w:left="567" w:hanging="567"/>
        <w:rPr>
          <w:sz w:val="22"/>
          <w:szCs w:val="22"/>
          <w:lang w:val="en-GB"/>
          <w:rPrChange w:id="4033" w:author="Author">
            <w:rPr>
              <w:sz w:val="22"/>
              <w:szCs w:val="22"/>
            </w:rPr>
          </w:rPrChange>
        </w:rPr>
        <w:pPrChange w:id="4034" w:author="Author">
          <w:pPr>
            <w:pStyle w:val="Default"/>
            <w:numPr>
              <w:numId w:val="12"/>
            </w:numPr>
            <w:ind w:left="567" w:hanging="567"/>
          </w:pPr>
        </w:pPrChange>
      </w:pPr>
      <w:r w:rsidRPr="00D55B59">
        <w:rPr>
          <w:sz w:val="22"/>
          <w:szCs w:val="22"/>
          <w:lang w:val="en-GB"/>
          <w:rPrChange w:id="4035" w:author="Author">
            <w:rPr>
              <w:sz w:val="22"/>
              <w:szCs w:val="22"/>
            </w:rPr>
          </w:rPrChange>
        </w:rPr>
        <w:t>Do not give AMGEVITA to children with plaque psoriasis below the age of 4 years.</w:t>
      </w:r>
    </w:p>
    <w:p w14:paraId="2A3D5D3D" w14:textId="77777777" w:rsidR="008E788D" w:rsidRPr="001775D9" w:rsidRDefault="008E788D" w:rsidP="006A71EE">
      <w:pPr>
        <w:pStyle w:val="ListParagraph"/>
        <w:rPr>
          <w:sz w:val="22"/>
          <w:szCs w:val="22"/>
        </w:rPr>
      </w:pPr>
    </w:p>
    <w:p w14:paraId="0F2EBD43" w14:textId="77777777" w:rsidR="008E788D" w:rsidRPr="00D55B59" w:rsidRDefault="008E788D" w:rsidP="00D55B59">
      <w:pPr>
        <w:pStyle w:val="Default"/>
        <w:numPr>
          <w:ilvl w:val="0"/>
          <w:numId w:val="12"/>
        </w:numPr>
        <w:tabs>
          <w:tab w:val="left" w:pos="567"/>
        </w:tabs>
        <w:ind w:left="567" w:hanging="567"/>
        <w:rPr>
          <w:sz w:val="22"/>
          <w:szCs w:val="22"/>
          <w:lang w:val="en-GB"/>
          <w:rPrChange w:id="4036" w:author="Author">
            <w:rPr>
              <w:sz w:val="22"/>
              <w:szCs w:val="22"/>
            </w:rPr>
          </w:rPrChange>
        </w:rPr>
        <w:pPrChange w:id="4037" w:author="Author">
          <w:pPr>
            <w:pStyle w:val="Default"/>
            <w:numPr>
              <w:numId w:val="12"/>
            </w:numPr>
            <w:ind w:left="567" w:hanging="567"/>
          </w:pPr>
        </w:pPrChange>
      </w:pPr>
      <w:r w:rsidRPr="00D55B59">
        <w:rPr>
          <w:sz w:val="22"/>
          <w:szCs w:val="22"/>
          <w:lang w:val="en-GB"/>
          <w:rPrChange w:id="4038" w:author="Author">
            <w:rPr>
              <w:sz w:val="22"/>
              <w:szCs w:val="22"/>
            </w:rPr>
          </w:rPrChange>
        </w:rPr>
        <w:t xml:space="preserve">Do not give AMGEVITA to children with Crohn’s disease or ulcerative colitis below the age of 6 years. </w:t>
      </w:r>
    </w:p>
    <w:p w14:paraId="0F1F6D7D" w14:textId="77777777" w:rsidR="008E788D" w:rsidRPr="001775D9" w:rsidRDefault="008E788D" w:rsidP="006A71EE">
      <w:pPr>
        <w:pStyle w:val="ListParagraph"/>
        <w:rPr>
          <w:sz w:val="22"/>
          <w:szCs w:val="22"/>
        </w:rPr>
      </w:pPr>
    </w:p>
    <w:p w14:paraId="43B80616" w14:textId="77777777" w:rsidR="008E788D" w:rsidRPr="001775D9" w:rsidRDefault="008E788D" w:rsidP="006A71EE">
      <w:pPr>
        <w:numPr>
          <w:ilvl w:val="12"/>
          <w:numId w:val="0"/>
        </w:numPr>
        <w:tabs>
          <w:tab w:val="clear" w:pos="567"/>
        </w:tabs>
        <w:spacing w:line="240" w:lineRule="auto"/>
        <w:ind w:right="-2"/>
      </w:pPr>
      <w:r w:rsidRPr="001775D9">
        <w:rPr>
          <w:b/>
        </w:rPr>
        <w:t xml:space="preserve">Other medicines and </w:t>
      </w:r>
      <w:r w:rsidRPr="001775D9">
        <w:rPr>
          <w:b/>
          <w:szCs w:val="22"/>
        </w:rPr>
        <w:t>AMGEVITA</w:t>
      </w:r>
      <w:r w:rsidRPr="001775D9">
        <w:rPr>
          <w:b/>
        </w:rPr>
        <w:t xml:space="preserve"> </w:t>
      </w:r>
    </w:p>
    <w:p w14:paraId="05CE643F" w14:textId="77777777" w:rsidR="008E788D" w:rsidRPr="001775D9" w:rsidRDefault="008E788D" w:rsidP="006A71EE">
      <w:pPr>
        <w:numPr>
          <w:ilvl w:val="12"/>
          <w:numId w:val="0"/>
        </w:numPr>
        <w:tabs>
          <w:tab w:val="clear" w:pos="567"/>
        </w:tabs>
        <w:spacing w:line="240" w:lineRule="auto"/>
        <w:ind w:right="-2"/>
      </w:pPr>
    </w:p>
    <w:p w14:paraId="59E867BA" w14:textId="77777777" w:rsidR="008E788D" w:rsidRPr="001775D9" w:rsidRDefault="008E788D" w:rsidP="006A71EE">
      <w:pPr>
        <w:numPr>
          <w:ilvl w:val="12"/>
          <w:numId w:val="0"/>
        </w:numPr>
        <w:tabs>
          <w:tab w:val="clear" w:pos="567"/>
        </w:tabs>
        <w:spacing w:line="240" w:lineRule="auto"/>
        <w:ind w:right="-2"/>
        <w:rPr>
          <w:szCs w:val="22"/>
        </w:rPr>
      </w:pPr>
      <w:r w:rsidRPr="001775D9">
        <w:t>Tell your doctor or pharmacist if you are taking, have recently taken</w:t>
      </w:r>
      <w:r w:rsidRPr="001775D9">
        <w:rPr>
          <w:szCs w:val="22"/>
        </w:rPr>
        <w:t xml:space="preserve"> </w:t>
      </w:r>
      <w:r w:rsidRPr="001775D9">
        <w:t xml:space="preserve">or might take </w:t>
      </w:r>
      <w:r w:rsidRPr="001775D9">
        <w:rPr>
          <w:szCs w:val="22"/>
        </w:rPr>
        <w:t>any other medicines.</w:t>
      </w:r>
    </w:p>
    <w:p w14:paraId="43E0362B" w14:textId="77777777" w:rsidR="008E788D" w:rsidRPr="00D55B59" w:rsidRDefault="008E788D" w:rsidP="006A71EE">
      <w:pPr>
        <w:pStyle w:val="Default"/>
        <w:rPr>
          <w:sz w:val="22"/>
          <w:szCs w:val="22"/>
          <w:lang w:val="en-GB"/>
          <w:rPrChange w:id="4039" w:author="Author">
            <w:rPr>
              <w:sz w:val="22"/>
              <w:szCs w:val="22"/>
            </w:rPr>
          </w:rPrChange>
        </w:rPr>
      </w:pPr>
    </w:p>
    <w:p w14:paraId="0B8AE32B" w14:textId="77777777" w:rsidR="008E788D" w:rsidRPr="00D55B59" w:rsidRDefault="008E788D" w:rsidP="006A71EE">
      <w:pPr>
        <w:pStyle w:val="Default"/>
        <w:rPr>
          <w:sz w:val="22"/>
          <w:szCs w:val="22"/>
          <w:lang w:val="en-GB"/>
          <w:rPrChange w:id="4040" w:author="Author">
            <w:rPr>
              <w:sz w:val="22"/>
              <w:szCs w:val="22"/>
            </w:rPr>
          </w:rPrChange>
        </w:rPr>
      </w:pPr>
      <w:r w:rsidRPr="00D55B59">
        <w:rPr>
          <w:sz w:val="22"/>
          <w:szCs w:val="22"/>
          <w:lang w:val="en-GB"/>
          <w:rPrChange w:id="4041" w:author="Author">
            <w:rPr>
              <w:sz w:val="22"/>
              <w:szCs w:val="22"/>
            </w:rPr>
          </w:rPrChange>
        </w:rPr>
        <w:t xml:space="preserve">AMGEVITA can be taken together with methotrexate or certain disease-modifying anti-rheumatic agents (sulfasalazine, hydroxychloroquine, leflunomide and injectable gold preparations), steroids or pain medications including non-steroidal anti-inflammatory drugs (NSAIDs). </w:t>
      </w:r>
    </w:p>
    <w:p w14:paraId="6A39B066" w14:textId="77777777" w:rsidR="008E788D" w:rsidRPr="001775D9" w:rsidRDefault="008E788D" w:rsidP="006A71EE">
      <w:pPr>
        <w:numPr>
          <w:ilvl w:val="12"/>
          <w:numId w:val="0"/>
        </w:numPr>
        <w:tabs>
          <w:tab w:val="clear" w:pos="567"/>
        </w:tabs>
        <w:spacing w:line="240" w:lineRule="auto"/>
        <w:ind w:right="-2"/>
        <w:rPr>
          <w:szCs w:val="22"/>
        </w:rPr>
      </w:pPr>
    </w:p>
    <w:p w14:paraId="423139B5" w14:textId="77777777" w:rsidR="008E788D" w:rsidRPr="001775D9" w:rsidRDefault="008E788D" w:rsidP="006A71EE">
      <w:pPr>
        <w:numPr>
          <w:ilvl w:val="12"/>
          <w:numId w:val="0"/>
        </w:numPr>
        <w:tabs>
          <w:tab w:val="clear" w:pos="567"/>
        </w:tabs>
        <w:spacing w:line="240" w:lineRule="auto"/>
        <w:ind w:right="-2"/>
        <w:rPr>
          <w:szCs w:val="22"/>
        </w:rPr>
      </w:pPr>
      <w:r w:rsidRPr="001775D9">
        <w:rPr>
          <w:szCs w:val="22"/>
        </w:rPr>
        <w:t xml:space="preserve">You should not take AMGEVITA with medicines containing the active substances, anakinra or abatacept </w:t>
      </w:r>
      <w:r w:rsidRPr="001775D9">
        <w:t>due to increased risk of serious infection</w:t>
      </w:r>
      <w:r w:rsidRPr="001775D9">
        <w:rPr>
          <w:szCs w:val="22"/>
        </w:rPr>
        <w:t>. If you have questions, please ask your doctor.</w:t>
      </w:r>
    </w:p>
    <w:p w14:paraId="757FA9DF" w14:textId="77777777" w:rsidR="008E788D" w:rsidRPr="001775D9" w:rsidRDefault="008E788D" w:rsidP="006A71EE">
      <w:pPr>
        <w:numPr>
          <w:ilvl w:val="12"/>
          <w:numId w:val="0"/>
        </w:numPr>
        <w:tabs>
          <w:tab w:val="clear" w:pos="567"/>
        </w:tabs>
        <w:spacing w:line="240" w:lineRule="auto"/>
        <w:ind w:right="-2"/>
        <w:outlineLvl w:val="0"/>
        <w:rPr>
          <w:szCs w:val="22"/>
        </w:rPr>
      </w:pPr>
    </w:p>
    <w:p w14:paraId="3DA4B70A" w14:textId="58AC6E44" w:rsidR="008E788D" w:rsidRPr="001775D9" w:rsidRDefault="008E788D" w:rsidP="006A71EE">
      <w:pPr>
        <w:keepNext/>
        <w:numPr>
          <w:ilvl w:val="12"/>
          <w:numId w:val="0"/>
        </w:numPr>
        <w:tabs>
          <w:tab w:val="clear" w:pos="567"/>
        </w:tabs>
        <w:spacing w:line="240" w:lineRule="auto"/>
        <w:outlineLvl w:val="0"/>
        <w:rPr>
          <w:b/>
        </w:rPr>
      </w:pPr>
      <w:r w:rsidRPr="001775D9">
        <w:rPr>
          <w:b/>
          <w:szCs w:val="22"/>
        </w:rPr>
        <w:t>Pregnancy and breast-feeding</w:t>
      </w:r>
      <w:r w:rsidR="001C55FB" w:rsidRPr="001775D9">
        <w:rPr>
          <w:b/>
          <w:szCs w:val="22"/>
        </w:rPr>
        <w:fldChar w:fldCharType="begin"/>
      </w:r>
      <w:r w:rsidR="001C55FB" w:rsidRPr="001775D9">
        <w:rPr>
          <w:b/>
          <w:szCs w:val="22"/>
        </w:rPr>
        <w:instrText xml:space="preserve"> DOCVARIABLE vault_nd_e56eb407-942c-4ba1-8bee-d67a0626cea4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30ECB2E" w14:textId="77777777" w:rsidR="008E788D" w:rsidRPr="001775D9" w:rsidRDefault="008E788D" w:rsidP="006A71EE">
      <w:pPr>
        <w:keepNext/>
        <w:numPr>
          <w:ilvl w:val="12"/>
          <w:numId w:val="0"/>
        </w:numPr>
        <w:tabs>
          <w:tab w:val="clear" w:pos="567"/>
        </w:tabs>
        <w:spacing w:line="240" w:lineRule="auto"/>
        <w:outlineLvl w:val="0"/>
        <w:rPr>
          <w:b/>
          <w:szCs w:val="22"/>
        </w:rPr>
      </w:pPr>
    </w:p>
    <w:p w14:paraId="199587AB" w14:textId="77777777" w:rsidR="008E788D" w:rsidRPr="00D55B59" w:rsidRDefault="008E788D" w:rsidP="006A71EE">
      <w:pPr>
        <w:pStyle w:val="Default"/>
        <w:numPr>
          <w:ilvl w:val="0"/>
          <w:numId w:val="35"/>
        </w:numPr>
        <w:tabs>
          <w:tab w:val="left" w:pos="567"/>
        </w:tabs>
        <w:ind w:left="567" w:hanging="567"/>
        <w:rPr>
          <w:sz w:val="22"/>
          <w:szCs w:val="22"/>
          <w:lang w:val="en-GB"/>
          <w:rPrChange w:id="4042" w:author="Author">
            <w:rPr>
              <w:sz w:val="22"/>
              <w:szCs w:val="22"/>
            </w:rPr>
          </w:rPrChange>
        </w:rPr>
      </w:pPr>
      <w:r w:rsidRPr="00D55B59">
        <w:rPr>
          <w:sz w:val="22"/>
          <w:szCs w:val="22"/>
          <w:lang w:val="en-GB"/>
          <w:rPrChange w:id="4043" w:author="Author">
            <w:rPr>
              <w:sz w:val="22"/>
              <w:szCs w:val="22"/>
            </w:rPr>
          </w:rPrChange>
        </w:rPr>
        <w:t>You should consider the use of adequate contraception to prevent pregnancy and continue its use for at least 5 months after the last AMGEVITA treatment.</w:t>
      </w:r>
    </w:p>
    <w:p w14:paraId="18826A97" w14:textId="77777777" w:rsidR="008E788D" w:rsidRPr="001775D9" w:rsidRDefault="008E788D" w:rsidP="006A71EE">
      <w:pPr>
        <w:pStyle w:val="ListParagraph"/>
        <w:numPr>
          <w:ilvl w:val="0"/>
          <w:numId w:val="35"/>
        </w:numPr>
        <w:tabs>
          <w:tab w:val="left" w:pos="567"/>
        </w:tabs>
        <w:suppressAutoHyphens/>
        <w:ind w:left="567" w:hanging="567"/>
        <w:contextualSpacing w:val="0"/>
        <w:rPr>
          <w:sz w:val="22"/>
          <w:szCs w:val="22"/>
        </w:rPr>
      </w:pPr>
      <w:r w:rsidRPr="001775D9">
        <w:rPr>
          <w:sz w:val="22"/>
          <w:szCs w:val="22"/>
        </w:rPr>
        <w:t>If you are pregnant, think you may be pregnant or are planning to have a baby, ask your doctor for advice about taking this medicine.</w:t>
      </w:r>
    </w:p>
    <w:p w14:paraId="5E3FD08F" w14:textId="77777777" w:rsidR="008E788D" w:rsidRPr="001775D9" w:rsidRDefault="008E788D"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AMGEVITA should only be used during a pregnancy if needed.</w:t>
      </w:r>
    </w:p>
    <w:p w14:paraId="5130F682" w14:textId="77777777" w:rsidR="008E788D" w:rsidRPr="001775D9" w:rsidRDefault="008E788D"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According to a pregnancy study, there was no higher risk of birth defects when the mother had received AMGEVITA during pregnancy compared with mothers with the same disease who did not receive AMGEVITA.</w:t>
      </w:r>
    </w:p>
    <w:p w14:paraId="5E6DBD08" w14:textId="77777777" w:rsidR="008E788D" w:rsidRPr="001775D9" w:rsidRDefault="008E788D"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AMGEVITA can be used during breast-feeding.</w:t>
      </w:r>
    </w:p>
    <w:p w14:paraId="32F9B3A6" w14:textId="77777777" w:rsidR="008E788D" w:rsidRPr="001775D9" w:rsidRDefault="008E788D"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If you receive AMGEVITA during your pregnancy, your baby may have a higher risk for getting an infection.</w:t>
      </w:r>
    </w:p>
    <w:p w14:paraId="306DB5AE" w14:textId="77777777" w:rsidR="008E788D" w:rsidRPr="001775D9" w:rsidRDefault="008E788D"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It is important that you tell your baby’s doctors and other health care professionals about your AMGEVITA use during your pregnancy before the baby receives any vaccine. For more information on vaccines see the “Warnings and precautions” section.</w:t>
      </w:r>
    </w:p>
    <w:p w14:paraId="7BDFADE6" w14:textId="77777777" w:rsidR="008E788D" w:rsidRPr="001775D9" w:rsidRDefault="008E788D" w:rsidP="006A71EE">
      <w:pPr>
        <w:numPr>
          <w:ilvl w:val="12"/>
          <w:numId w:val="0"/>
        </w:numPr>
        <w:tabs>
          <w:tab w:val="clear" w:pos="567"/>
        </w:tabs>
        <w:spacing w:line="240" w:lineRule="auto"/>
        <w:rPr>
          <w:szCs w:val="22"/>
        </w:rPr>
      </w:pPr>
    </w:p>
    <w:p w14:paraId="4F1F3AA7" w14:textId="26ADA84F" w:rsidR="008E788D" w:rsidRPr="001775D9" w:rsidRDefault="008E788D" w:rsidP="006A71EE">
      <w:pPr>
        <w:keepNext/>
        <w:numPr>
          <w:ilvl w:val="12"/>
          <w:numId w:val="0"/>
        </w:numPr>
        <w:tabs>
          <w:tab w:val="clear" w:pos="567"/>
        </w:tabs>
        <w:spacing w:line="240" w:lineRule="auto"/>
        <w:outlineLvl w:val="0"/>
        <w:rPr>
          <w:szCs w:val="22"/>
        </w:rPr>
      </w:pPr>
      <w:r w:rsidRPr="001775D9">
        <w:rPr>
          <w:b/>
          <w:szCs w:val="22"/>
        </w:rPr>
        <w:t>Driving and using machines</w:t>
      </w:r>
      <w:r w:rsidR="001C55FB" w:rsidRPr="001775D9">
        <w:rPr>
          <w:b/>
          <w:szCs w:val="22"/>
        </w:rPr>
        <w:fldChar w:fldCharType="begin"/>
      </w:r>
      <w:r w:rsidR="001C55FB" w:rsidRPr="001775D9">
        <w:rPr>
          <w:b/>
          <w:szCs w:val="22"/>
        </w:rPr>
        <w:instrText xml:space="preserve"> DOCVARIABLE vault_nd_175d4727-be5d-4936-9fd6-de2143698b44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C19FA4C" w14:textId="77777777" w:rsidR="008E788D" w:rsidRPr="001775D9" w:rsidRDefault="008E788D" w:rsidP="006A71EE">
      <w:pPr>
        <w:keepNext/>
        <w:numPr>
          <w:ilvl w:val="12"/>
          <w:numId w:val="0"/>
        </w:numPr>
        <w:tabs>
          <w:tab w:val="clear" w:pos="567"/>
        </w:tabs>
        <w:spacing w:line="240" w:lineRule="auto"/>
        <w:rPr>
          <w:szCs w:val="22"/>
        </w:rPr>
      </w:pPr>
    </w:p>
    <w:p w14:paraId="0BA42974" w14:textId="77777777" w:rsidR="008E788D" w:rsidRPr="001775D9" w:rsidRDefault="008E788D" w:rsidP="006A71EE">
      <w:pPr>
        <w:numPr>
          <w:ilvl w:val="12"/>
          <w:numId w:val="0"/>
        </w:numPr>
        <w:tabs>
          <w:tab w:val="clear" w:pos="567"/>
        </w:tabs>
        <w:spacing w:line="240" w:lineRule="auto"/>
        <w:ind w:right="-2"/>
        <w:rPr>
          <w:szCs w:val="22"/>
        </w:rPr>
      </w:pPr>
      <w:r w:rsidRPr="001775D9">
        <w:rPr>
          <w:szCs w:val="22"/>
        </w:rPr>
        <w:t>AMGEVITA may have a minor influence on your ability to drive, cycle or use machines. Room spinning sensation (vertigo) and vision disturbances may occur after taking AMGEVITA.</w:t>
      </w:r>
    </w:p>
    <w:p w14:paraId="33D6F3B9" w14:textId="77777777" w:rsidR="008E788D" w:rsidRPr="001775D9" w:rsidRDefault="008E788D" w:rsidP="006A71EE">
      <w:pPr>
        <w:numPr>
          <w:ilvl w:val="12"/>
          <w:numId w:val="0"/>
        </w:numPr>
        <w:tabs>
          <w:tab w:val="clear" w:pos="567"/>
        </w:tabs>
        <w:spacing w:line="240" w:lineRule="auto"/>
        <w:ind w:right="-2"/>
        <w:rPr>
          <w:szCs w:val="22"/>
        </w:rPr>
      </w:pPr>
    </w:p>
    <w:p w14:paraId="5850DCF8" w14:textId="406F3E2F" w:rsidR="008E788D" w:rsidRPr="001775D9" w:rsidRDefault="008E788D" w:rsidP="006A71EE">
      <w:pPr>
        <w:numPr>
          <w:ilvl w:val="12"/>
          <w:numId w:val="0"/>
        </w:numPr>
        <w:tabs>
          <w:tab w:val="clear" w:pos="567"/>
        </w:tabs>
        <w:spacing w:line="240" w:lineRule="auto"/>
        <w:ind w:right="-2"/>
        <w:outlineLvl w:val="0"/>
        <w:rPr>
          <w:b/>
          <w:szCs w:val="22"/>
        </w:rPr>
      </w:pPr>
      <w:r w:rsidRPr="001775D9">
        <w:rPr>
          <w:b/>
          <w:szCs w:val="22"/>
        </w:rPr>
        <w:t>AMGEVITA contains sodium</w:t>
      </w:r>
      <w:r w:rsidR="001C55FB" w:rsidRPr="001775D9">
        <w:rPr>
          <w:b/>
          <w:szCs w:val="22"/>
        </w:rPr>
        <w:fldChar w:fldCharType="begin"/>
      </w:r>
      <w:r w:rsidR="001C55FB" w:rsidRPr="001775D9">
        <w:rPr>
          <w:b/>
          <w:szCs w:val="22"/>
        </w:rPr>
        <w:instrText xml:space="preserve"> DOCVARIABLE vault_nd_4fcbb246-98fe-4374-a7e9-32c6f3d2fdc0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139EAFD" w14:textId="77777777" w:rsidR="008E788D" w:rsidRPr="001775D9" w:rsidRDefault="008E788D" w:rsidP="006A71EE">
      <w:pPr>
        <w:numPr>
          <w:ilvl w:val="12"/>
          <w:numId w:val="0"/>
        </w:numPr>
        <w:tabs>
          <w:tab w:val="clear" w:pos="567"/>
        </w:tabs>
        <w:spacing w:line="240" w:lineRule="auto"/>
        <w:rPr>
          <w:szCs w:val="22"/>
        </w:rPr>
      </w:pPr>
    </w:p>
    <w:p w14:paraId="15F8BE09" w14:textId="77777777" w:rsidR="008E788D" w:rsidRPr="001775D9" w:rsidRDefault="008E788D" w:rsidP="006A71EE">
      <w:pPr>
        <w:numPr>
          <w:ilvl w:val="12"/>
          <w:numId w:val="0"/>
        </w:numPr>
        <w:tabs>
          <w:tab w:val="clear" w:pos="567"/>
        </w:tabs>
        <w:spacing w:line="240" w:lineRule="auto"/>
        <w:rPr>
          <w:szCs w:val="22"/>
        </w:rPr>
      </w:pPr>
      <w:r w:rsidRPr="001775D9">
        <w:rPr>
          <w:szCs w:val="22"/>
        </w:rPr>
        <w:t>This medicine contains less than 1 mmol of sodium (23 mg) per 0.8 mL dose, that is to say essentially ‘sodium-free’.</w:t>
      </w:r>
    </w:p>
    <w:p w14:paraId="029F15BF" w14:textId="77777777" w:rsidR="008E788D" w:rsidRPr="001775D9" w:rsidRDefault="008E788D" w:rsidP="006A71EE">
      <w:pPr>
        <w:numPr>
          <w:ilvl w:val="12"/>
          <w:numId w:val="0"/>
        </w:numPr>
        <w:tabs>
          <w:tab w:val="clear" w:pos="567"/>
        </w:tabs>
        <w:spacing w:line="240" w:lineRule="auto"/>
        <w:ind w:right="-2"/>
        <w:rPr>
          <w:szCs w:val="22"/>
        </w:rPr>
      </w:pPr>
    </w:p>
    <w:p w14:paraId="2C11F5E3" w14:textId="77777777" w:rsidR="008E788D" w:rsidRPr="001775D9" w:rsidRDefault="008E788D" w:rsidP="006A71EE">
      <w:pPr>
        <w:numPr>
          <w:ilvl w:val="12"/>
          <w:numId w:val="0"/>
        </w:numPr>
        <w:tabs>
          <w:tab w:val="clear" w:pos="567"/>
        </w:tabs>
        <w:spacing w:line="240" w:lineRule="auto"/>
        <w:ind w:right="-2"/>
        <w:rPr>
          <w:szCs w:val="22"/>
        </w:rPr>
      </w:pPr>
    </w:p>
    <w:p w14:paraId="4812D378" w14:textId="77777777" w:rsidR="008E788D" w:rsidRPr="001775D9" w:rsidRDefault="008E788D" w:rsidP="00B61D9D">
      <w:pPr>
        <w:keepNext/>
        <w:spacing w:line="240" w:lineRule="auto"/>
        <w:ind w:left="567" w:hanging="567"/>
        <w:rPr>
          <w:b/>
          <w:szCs w:val="22"/>
        </w:rPr>
      </w:pPr>
      <w:r w:rsidRPr="001775D9">
        <w:rPr>
          <w:b/>
          <w:szCs w:val="22"/>
        </w:rPr>
        <w:t>3.</w:t>
      </w:r>
      <w:r w:rsidRPr="001775D9">
        <w:rPr>
          <w:b/>
          <w:szCs w:val="22"/>
        </w:rPr>
        <w:tab/>
        <w:t>H</w:t>
      </w:r>
      <w:r w:rsidRPr="001775D9">
        <w:rPr>
          <w:b/>
        </w:rPr>
        <w:t xml:space="preserve">ow to use </w:t>
      </w:r>
      <w:r w:rsidRPr="001775D9">
        <w:rPr>
          <w:b/>
          <w:szCs w:val="22"/>
        </w:rPr>
        <w:t>AMGEVITA</w:t>
      </w:r>
    </w:p>
    <w:p w14:paraId="15477072" w14:textId="77777777" w:rsidR="008E788D" w:rsidRPr="001775D9" w:rsidRDefault="008E788D" w:rsidP="006A71EE">
      <w:pPr>
        <w:numPr>
          <w:ilvl w:val="12"/>
          <w:numId w:val="0"/>
        </w:numPr>
        <w:tabs>
          <w:tab w:val="clear" w:pos="567"/>
        </w:tabs>
        <w:spacing w:line="240" w:lineRule="auto"/>
        <w:ind w:right="-2"/>
        <w:rPr>
          <w:szCs w:val="22"/>
        </w:rPr>
      </w:pPr>
    </w:p>
    <w:p w14:paraId="70B194B0" w14:textId="77777777" w:rsidR="008E788D" w:rsidRPr="001775D9" w:rsidRDefault="008E788D" w:rsidP="00B61D9D">
      <w:pPr>
        <w:numPr>
          <w:ilvl w:val="12"/>
          <w:numId w:val="0"/>
        </w:numPr>
        <w:tabs>
          <w:tab w:val="clear" w:pos="567"/>
          <w:tab w:val="left" w:pos="720"/>
        </w:tabs>
        <w:spacing w:line="240" w:lineRule="auto"/>
        <w:ind w:right="-2"/>
      </w:pPr>
      <w:r w:rsidRPr="001775D9">
        <w:rPr>
          <w:szCs w:val="22"/>
        </w:rPr>
        <w:t xml:space="preserve">Always use </w:t>
      </w:r>
      <w:r w:rsidRPr="001775D9">
        <w:t>this medicine</w:t>
      </w:r>
      <w:r w:rsidRPr="001775D9">
        <w:rPr>
          <w:szCs w:val="22"/>
        </w:rPr>
        <w:t xml:space="preserve"> exactly as your doctor </w:t>
      </w:r>
      <w:r w:rsidRPr="001775D9">
        <w:t xml:space="preserve">or pharmacist </w:t>
      </w:r>
      <w:r w:rsidRPr="001775D9">
        <w:rPr>
          <w:szCs w:val="22"/>
        </w:rPr>
        <w:t xml:space="preserve">has told you. Check with your doctor or pharmacist if you are not sure. </w:t>
      </w:r>
    </w:p>
    <w:p w14:paraId="67A20485" w14:textId="77777777" w:rsidR="008E788D" w:rsidRPr="001775D9" w:rsidRDefault="008E788D" w:rsidP="006A71EE">
      <w:pPr>
        <w:numPr>
          <w:ilvl w:val="12"/>
          <w:numId w:val="0"/>
        </w:numPr>
        <w:tabs>
          <w:tab w:val="clear" w:pos="567"/>
        </w:tabs>
        <w:spacing w:line="240" w:lineRule="auto"/>
        <w:ind w:right="-2"/>
        <w:rPr>
          <w:szCs w:val="22"/>
        </w:rPr>
      </w:pPr>
    </w:p>
    <w:p w14:paraId="4D944166" w14:textId="77777777" w:rsidR="008E788D" w:rsidRPr="00D55B59" w:rsidRDefault="008E788D" w:rsidP="006A71EE">
      <w:pPr>
        <w:pStyle w:val="Default"/>
        <w:rPr>
          <w:sz w:val="22"/>
          <w:szCs w:val="22"/>
          <w:u w:val="single"/>
          <w:lang w:val="en-GB"/>
          <w:rPrChange w:id="4044" w:author="Author">
            <w:rPr>
              <w:sz w:val="22"/>
              <w:szCs w:val="22"/>
              <w:u w:val="single"/>
            </w:rPr>
          </w:rPrChange>
        </w:rPr>
      </w:pPr>
      <w:r w:rsidRPr="00D55B59">
        <w:rPr>
          <w:sz w:val="22"/>
          <w:szCs w:val="22"/>
          <w:u w:val="single"/>
          <w:lang w:val="en-GB"/>
          <w:rPrChange w:id="4045" w:author="Author">
            <w:rPr>
              <w:sz w:val="22"/>
              <w:szCs w:val="22"/>
              <w:u w:val="single"/>
            </w:rPr>
          </w:rPrChange>
        </w:rPr>
        <w:t xml:space="preserve">Adults with rheumatoid arthritis, psoriatic arthritis, ankylosing spondylitis or axial spondyloarthritis without radiographic evidence of ankylosing spondylitis </w:t>
      </w:r>
    </w:p>
    <w:p w14:paraId="4B9DD326" w14:textId="77777777" w:rsidR="008E788D" w:rsidRPr="001775D9" w:rsidRDefault="008E788D" w:rsidP="006A71EE">
      <w:pPr>
        <w:numPr>
          <w:ilvl w:val="12"/>
          <w:numId w:val="0"/>
        </w:numPr>
        <w:tabs>
          <w:tab w:val="clear" w:pos="567"/>
        </w:tabs>
        <w:spacing w:line="240" w:lineRule="auto"/>
        <w:ind w:right="-2"/>
        <w:rPr>
          <w:szCs w:val="22"/>
        </w:rPr>
      </w:pPr>
    </w:p>
    <w:p w14:paraId="00BA44A1" w14:textId="77777777" w:rsidR="008E788D" w:rsidRPr="00D55B59" w:rsidRDefault="008E788D" w:rsidP="006A71EE">
      <w:pPr>
        <w:pStyle w:val="Default"/>
        <w:rPr>
          <w:sz w:val="22"/>
          <w:szCs w:val="22"/>
          <w:lang w:val="en-GB"/>
          <w:rPrChange w:id="4046" w:author="Author">
            <w:rPr>
              <w:sz w:val="22"/>
              <w:szCs w:val="22"/>
            </w:rPr>
          </w:rPrChange>
        </w:rPr>
      </w:pPr>
      <w:r w:rsidRPr="00D55B59">
        <w:rPr>
          <w:sz w:val="22"/>
          <w:szCs w:val="22"/>
          <w:lang w:val="en-GB"/>
          <w:rPrChange w:id="4047" w:author="Author">
            <w:rPr>
              <w:sz w:val="22"/>
              <w:szCs w:val="22"/>
            </w:rPr>
          </w:rPrChange>
        </w:rPr>
        <w:t>AMGEVITA is injected under the skin (subcutaneous use). The usual dose for adults with rheumatoid arthritis, ankylosing spondylitis, axial spondyloarthritis without radiographic evidence of ankylosing</w:t>
      </w:r>
      <w:r w:rsidRPr="00D55B59">
        <w:rPr>
          <w:szCs w:val="22"/>
          <w:lang w:val="en-GB"/>
          <w:rPrChange w:id="4048" w:author="Author">
            <w:rPr>
              <w:szCs w:val="22"/>
            </w:rPr>
          </w:rPrChange>
        </w:rPr>
        <w:t xml:space="preserve"> </w:t>
      </w:r>
      <w:r w:rsidRPr="00D55B59">
        <w:rPr>
          <w:sz w:val="22"/>
          <w:szCs w:val="22"/>
          <w:lang w:val="en-GB"/>
          <w:rPrChange w:id="4049" w:author="Author">
            <w:rPr>
              <w:sz w:val="22"/>
              <w:szCs w:val="22"/>
            </w:rPr>
          </w:rPrChange>
        </w:rPr>
        <w:t xml:space="preserve">spondylitis, and for patients with psoriatic arthritis is 40 mg given every other week as a single dose. </w:t>
      </w:r>
    </w:p>
    <w:p w14:paraId="04E79694" w14:textId="77777777" w:rsidR="008E788D" w:rsidRPr="00D55B59" w:rsidRDefault="008E788D" w:rsidP="006A71EE">
      <w:pPr>
        <w:pStyle w:val="Default"/>
        <w:rPr>
          <w:sz w:val="22"/>
          <w:szCs w:val="22"/>
          <w:lang w:val="en-GB"/>
          <w:rPrChange w:id="4050" w:author="Author">
            <w:rPr>
              <w:sz w:val="22"/>
              <w:szCs w:val="22"/>
            </w:rPr>
          </w:rPrChange>
        </w:rPr>
      </w:pPr>
    </w:p>
    <w:p w14:paraId="4388672F" w14:textId="77777777" w:rsidR="008E788D" w:rsidRPr="00D55B59" w:rsidRDefault="008E788D" w:rsidP="006A71EE">
      <w:pPr>
        <w:pStyle w:val="Default"/>
        <w:rPr>
          <w:sz w:val="22"/>
          <w:szCs w:val="22"/>
          <w:lang w:val="en-GB"/>
          <w:rPrChange w:id="4051" w:author="Author">
            <w:rPr>
              <w:sz w:val="22"/>
              <w:szCs w:val="22"/>
            </w:rPr>
          </w:rPrChange>
        </w:rPr>
      </w:pPr>
      <w:r w:rsidRPr="00D55B59">
        <w:rPr>
          <w:sz w:val="22"/>
          <w:szCs w:val="22"/>
          <w:lang w:val="en-GB"/>
          <w:rPrChange w:id="4052" w:author="Author">
            <w:rPr>
              <w:sz w:val="22"/>
              <w:szCs w:val="22"/>
            </w:rPr>
          </w:rPrChange>
        </w:rPr>
        <w:t xml:space="preserve">In rheumatoid arthritis, methotrexate is continued while using AMGEVITA. If your doctor determines that methotrexate is inappropriate, AMGEVITA can be given alone. </w:t>
      </w:r>
    </w:p>
    <w:p w14:paraId="62EB5CFB" w14:textId="77777777" w:rsidR="008E788D" w:rsidRPr="001775D9" w:rsidRDefault="008E788D" w:rsidP="006A71EE">
      <w:pPr>
        <w:numPr>
          <w:ilvl w:val="12"/>
          <w:numId w:val="0"/>
        </w:numPr>
        <w:tabs>
          <w:tab w:val="clear" w:pos="567"/>
        </w:tabs>
        <w:spacing w:line="240" w:lineRule="auto"/>
        <w:ind w:right="-2"/>
        <w:rPr>
          <w:szCs w:val="22"/>
        </w:rPr>
      </w:pPr>
    </w:p>
    <w:p w14:paraId="7A5B0124" w14:textId="77777777" w:rsidR="008E788D" w:rsidRPr="001775D9" w:rsidRDefault="008E788D" w:rsidP="006A71EE">
      <w:pPr>
        <w:numPr>
          <w:ilvl w:val="12"/>
          <w:numId w:val="0"/>
        </w:numPr>
        <w:tabs>
          <w:tab w:val="clear" w:pos="567"/>
        </w:tabs>
        <w:spacing w:line="240" w:lineRule="auto"/>
        <w:ind w:right="-2"/>
        <w:rPr>
          <w:szCs w:val="22"/>
        </w:rPr>
      </w:pPr>
      <w:r w:rsidRPr="001775D9">
        <w:rPr>
          <w:szCs w:val="22"/>
        </w:rPr>
        <w:t>If you have rheumatoid arthritis and you do not receive methotrexate with your AMGEVITA therapy, your doctor may decide to give 40 mg every week or 80</w:t>
      </w:r>
      <w:r w:rsidRPr="001775D9">
        <w:rPr>
          <w:szCs w:val="22"/>
          <w:lang w:eastAsia="en-GB"/>
        </w:rPr>
        <w:t> </w:t>
      </w:r>
      <w:r w:rsidRPr="001775D9">
        <w:rPr>
          <w:szCs w:val="22"/>
        </w:rPr>
        <w:t>mg</w:t>
      </w:r>
      <w:r w:rsidRPr="00D55B59">
        <w:rPr>
          <w:szCs w:val="22"/>
          <w:rPrChange w:id="4053" w:author="Author">
            <w:rPr>
              <w:szCs w:val="22"/>
              <w:lang w:val="en-US"/>
            </w:rPr>
          </w:rPrChange>
        </w:rPr>
        <w:t xml:space="preserve"> </w:t>
      </w:r>
      <w:r w:rsidRPr="001775D9">
        <w:rPr>
          <w:szCs w:val="22"/>
        </w:rPr>
        <w:t>every other week.</w:t>
      </w:r>
    </w:p>
    <w:p w14:paraId="1047BADE" w14:textId="77777777" w:rsidR="008E788D" w:rsidRPr="001775D9" w:rsidRDefault="008E788D" w:rsidP="006A71EE">
      <w:pPr>
        <w:numPr>
          <w:ilvl w:val="12"/>
          <w:numId w:val="0"/>
        </w:numPr>
        <w:tabs>
          <w:tab w:val="clear" w:pos="567"/>
        </w:tabs>
        <w:spacing w:line="240" w:lineRule="auto"/>
        <w:ind w:right="-2"/>
        <w:rPr>
          <w:szCs w:val="22"/>
        </w:rPr>
      </w:pPr>
    </w:p>
    <w:p w14:paraId="2AD882A2" w14:textId="77777777" w:rsidR="008E788D" w:rsidRPr="00D55B59" w:rsidRDefault="008E788D" w:rsidP="006A71EE">
      <w:pPr>
        <w:pStyle w:val="Default"/>
        <w:keepNext/>
        <w:rPr>
          <w:sz w:val="22"/>
          <w:szCs w:val="22"/>
          <w:u w:val="single"/>
          <w:lang w:val="en-GB"/>
          <w:rPrChange w:id="4054" w:author="Author">
            <w:rPr>
              <w:sz w:val="22"/>
              <w:szCs w:val="22"/>
              <w:u w:val="single"/>
            </w:rPr>
          </w:rPrChange>
        </w:rPr>
      </w:pPr>
      <w:r w:rsidRPr="00D55B59">
        <w:rPr>
          <w:sz w:val="22"/>
          <w:szCs w:val="22"/>
          <w:u w:val="single"/>
          <w:lang w:val="en-GB"/>
          <w:rPrChange w:id="4055" w:author="Author">
            <w:rPr>
              <w:sz w:val="22"/>
              <w:szCs w:val="22"/>
              <w:u w:val="single"/>
            </w:rPr>
          </w:rPrChange>
        </w:rPr>
        <w:t xml:space="preserve">Children, adolescents and adults with polyarticular juvenile idiopathic arthritis </w:t>
      </w:r>
    </w:p>
    <w:p w14:paraId="4F184C3B" w14:textId="77777777" w:rsidR="008E788D" w:rsidRPr="00D55B59" w:rsidRDefault="008E788D" w:rsidP="006A71EE">
      <w:pPr>
        <w:pStyle w:val="Default"/>
        <w:keepNext/>
        <w:rPr>
          <w:sz w:val="22"/>
          <w:szCs w:val="22"/>
          <w:lang w:val="en-GB"/>
          <w:rPrChange w:id="4056" w:author="Author">
            <w:rPr>
              <w:sz w:val="22"/>
              <w:szCs w:val="22"/>
            </w:rPr>
          </w:rPrChange>
        </w:rPr>
      </w:pPr>
    </w:p>
    <w:p w14:paraId="723142EE" w14:textId="77777777" w:rsidR="008E788D" w:rsidRPr="001775D9" w:rsidRDefault="008E788D" w:rsidP="00B61D9D">
      <w:pPr>
        <w:keepNext/>
        <w:numPr>
          <w:ilvl w:val="12"/>
          <w:numId w:val="0"/>
        </w:numPr>
        <w:tabs>
          <w:tab w:val="clear" w:pos="567"/>
          <w:tab w:val="left" w:pos="720"/>
        </w:tabs>
        <w:spacing w:line="240" w:lineRule="auto"/>
        <w:rPr>
          <w:i/>
        </w:rPr>
      </w:pPr>
      <w:r w:rsidRPr="001775D9">
        <w:rPr>
          <w:i/>
        </w:rPr>
        <w:t>Children and adolescents from 2 years of age weighing 10 kg to less than 30 kg</w:t>
      </w:r>
    </w:p>
    <w:p w14:paraId="66E199F2" w14:textId="77777777" w:rsidR="008E788D" w:rsidRPr="001775D9" w:rsidRDefault="008E788D" w:rsidP="00B61D9D">
      <w:pPr>
        <w:keepNext/>
        <w:numPr>
          <w:ilvl w:val="12"/>
          <w:numId w:val="0"/>
        </w:numPr>
        <w:tabs>
          <w:tab w:val="clear" w:pos="567"/>
          <w:tab w:val="left" w:pos="720"/>
        </w:tabs>
        <w:spacing w:line="240" w:lineRule="auto"/>
        <w:rPr>
          <w:u w:val="single"/>
        </w:rPr>
      </w:pPr>
    </w:p>
    <w:p w14:paraId="77DBD1EC" w14:textId="77777777" w:rsidR="008E788D" w:rsidRPr="001775D9" w:rsidRDefault="008E788D" w:rsidP="00B61D9D">
      <w:pPr>
        <w:keepNext/>
        <w:numPr>
          <w:ilvl w:val="12"/>
          <w:numId w:val="0"/>
        </w:numPr>
        <w:tabs>
          <w:tab w:val="clear" w:pos="567"/>
          <w:tab w:val="left" w:pos="720"/>
        </w:tabs>
        <w:spacing w:line="240" w:lineRule="auto"/>
        <w:rPr>
          <w:u w:val="single"/>
        </w:rPr>
      </w:pPr>
      <w:r w:rsidRPr="001775D9">
        <w:t>The recommended dose of AMGEVITA is 20 mg every other week.</w:t>
      </w:r>
    </w:p>
    <w:p w14:paraId="471131FC" w14:textId="77777777" w:rsidR="008E788D" w:rsidRPr="001775D9" w:rsidRDefault="008E788D" w:rsidP="00B61D9D">
      <w:pPr>
        <w:keepNext/>
        <w:numPr>
          <w:ilvl w:val="12"/>
          <w:numId w:val="0"/>
        </w:numPr>
        <w:tabs>
          <w:tab w:val="clear" w:pos="567"/>
          <w:tab w:val="left" w:pos="720"/>
        </w:tabs>
        <w:spacing w:line="240" w:lineRule="auto"/>
        <w:rPr>
          <w:u w:val="single"/>
        </w:rPr>
      </w:pPr>
    </w:p>
    <w:p w14:paraId="79B77612" w14:textId="77777777" w:rsidR="008E788D" w:rsidRPr="001775D9" w:rsidRDefault="008E788D" w:rsidP="00B61D9D">
      <w:pPr>
        <w:keepNext/>
        <w:numPr>
          <w:ilvl w:val="12"/>
          <w:numId w:val="0"/>
        </w:numPr>
        <w:tabs>
          <w:tab w:val="clear" w:pos="567"/>
          <w:tab w:val="left" w:pos="720"/>
        </w:tabs>
        <w:spacing w:line="240" w:lineRule="auto"/>
        <w:rPr>
          <w:i/>
        </w:rPr>
      </w:pPr>
      <w:r w:rsidRPr="001775D9">
        <w:rPr>
          <w:i/>
        </w:rPr>
        <w:t>Children, adolescents and adults from 2 years of age weighing 30 kg or more</w:t>
      </w:r>
    </w:p>
    <w:p w14:paraId="0E399577" w14:textId="77777777" w:rsidR="008E788D" w:rsidRPr="001775D9" w:rsidRDefault="008E788D" w:rsidP="00B61D9D">
      <w:pPr>
        <w:keepNext/>
        <w:numPr>
          <w:ilvl w:val="12"/>
          <w:numId w:val="0"/>
        </w:numPr>
        <w:tabs>
          <w:tab w:val="clear" w:pos="567"/>
          <w:tab w:val="left" w:pos="720"/>
        </w:tabs>
        <w:spacing w:line="240" w:lineRule="auto"/>
      </w:pPr>
    </w:p>
    <w:p w14:paraId="5227B2B2" w14:textId="77777777" w:rsidR="008E788D" w:rsidRPr="001775D9" w:rsidRDefault="008E788D" w:rsidP="00B61D9D">
      <w:pPr>
        <w:keepNext/>
        <w:numPr>
          <w:ilvl w:val="12"/>
          <w:numId w:val="0"/>
        </w:numPr>
        <w:tabs>
          <w:tab w:val="clear" w:pos="567"/>
          <w:tab w:val="left" w:pos="720"/>
        </w:tabs>
        <w:spacing w:line="240" w:lineRule="auto"/>
      </w:pPr>
      <w:r w:rsidRPr="001775D9">
        <w:t>The recommended dose of AMGEVITA is 40 mg every other week.</w:t>
      </w:r>
    </w:p>
    <w:p w14:paraId="57FF46E8" w14:textId="77777777" w:rsidR="008E788D" w:rsidRPr="00D55B59" w:rsidRDefault="008E788D" w:rsidP="006A71EE">
      <w:pPr>
        <w:pStyle w:val="Default"/>
        <w:rPr>
          <w:sz w:val="22"/>
          <w:szCs w:val="22"/>
          <w:lang w:val="en-GB"/>
          <w:rPrChange w:id="4057" w:author="Author">
            <w:rPr>
              <w:sz w:val="22"/>
              <w:szCs w:val="22"/>
            </w:rPr>
          </w:rPrChange>
        </w:rPr>
      </w:pPr>
    </w:p>
    <w:p w14:paraId="77500FDD" w14:textId="77777777" w:rsidR="008E788D" w:rsidRPr="00D55B59" w:rsidRDefault="008E788D" w:rsidP="006A71EE">
      <w:pPr>
        <w:pStyle w:val="Default"/>
        <w:keepNext/>
        <w:rPr>
          <w:sz w:val="22"/>
          <w:szCs w:val="22"/>
          <w:u w:val="single"/>
          <w:lang w:val="en-GB"/>
          <w:rPrChange w:id="4058" w:author="Author">
            <w:rPr>
              <w:sz w:val="22"/>
              <w:szCs w:val="22"/>
              <w:u w:val="single"/>
            </w:rPr>
          </w:rPrChange>
        </w:rPr>
      </w:pPr>
      <w:r w:rsidRPr="00D55B59">
        <w:rPr>
          <w:sz w:val="22"/>
          <w:szCs w:val="22"/>
          <w:u w:val="single"/>
          <w:lang w:val="en-GB"/>
          <w:rPrChange w:id="4059" w:author="Author">
            <w:rPr>
              <w:sz w:val="22"/>
              <w:szCs w:val="22"/>
              <w:u w:val="single"/>
            </w:rPr>
          </w:rPrChange>
        </w:rPr>
        <w:t>Children, adolescents and adults with enthesitis-related arthritis</w:t>
      </w:r>
    </w:p>
    <w:p w14:paraId="557D8C77" w14:textId="77777777" w:rsidR="008E788D" w:rsidRPr="00D55B59" w:rsidRDefault="008E788D" w:rsidP="006A71EE">
      <w:pPr>
        <w:pStyle w:val="Default"/>
        <w:keepNext/>
        <w:rPr>
          <w:sz w:val="22"/>
          <w:szCs w:val="22"/>
          <w:u w:val="single"/>
          <w:lang w:val="en-GB"/>
          <w:rPrChange w:id="4060" w:author="Author">
            <w:rPr>
              <w:sz w:val="22"/>
              <w:szCs w:val="22"/>
              <w:u w:val="single"/>
            </w:rPr>
          </w:rPrChange>
        </w:rPr>
      </w:pPr>
    </w:p>
    <w:p w14:paraId="4C82A2BF" w14:textId="77777777" w:rsidR="008E788D" w:rsidRPr="001775D9" w:rsidRDefault="008E788D" w:rsidP="00B61D9D">
      <w:pPr>
        <w:keepNext/>
        <w:numPr>
          <w:ilvl w:val="12"/>
          <w:numId w:val="0"/>
        </w:numPr>
        <w:tabs>
          <w:tab w:val="clear" w:pos="567"/>
          <w:tab w:val="left" w:pos="720"/>
        </w:tabs>
        <w:spacing w:line="240" w:lineRule="auto"/>
        <w:rPr>
          <w:i/>
        </w:rPr>
      </w:pPr>
      <w:r w:rsidRPr="001775D9">
        <w:rPr>
          <w:i/>
        </w:rPr>
        <w:t>Children and adolescents from 6 years of age weighing 15 kg to less than 30 kg</w:t>
      </w:r>
    </w:p>
    <w:p w14:paraId="4AAA5A58" w14:textId="77777777" w:rsidR="008E788D" w:rsidRPr="001775D9" w:rsidRDefault="008E788D" w:rsidP="00B61D9D">
      <w:pPr>
        <w:keepNext/>
        <w:numPr>
          <w:ilvl w:val="12"/>
          <w:numId w:val="0"/>
        </w:numPr>
        <w:tabs>
          <w:tab w:val="clear" w:pos="567"/>
          <w:tab w:val="left" w:pos="720"/>
        </w:tabs>
        <w:spacing w:line="240" w:lineRule="auto"/>
        <w:rPr>
          <w:u w:val="single"/>
        </w:rPr>
      </w:pPr>
    </w:p>
    <w:p w14:paraId="0458BD76" w14:textId="77777777" w:rsidR="008E788D" w:rsidRPr="001775D9" w:rsidRDefault="008E788D" w:rsidP="00B61D9D">
      <w:pPr>
        <w:keepNext/>
        <w:numPr>
          <w:ilvl w:val="12"/>
          <w:numId w:val="0"/>
        </w:numPr>
        <w:tabs>
          <w:tab w:val="clear" w:pos="567"/>
          <w:tab w:val="left" w:pos="720"/>
        </w:tabs>
        <w:spacing w:line="240" w:lineRule="auto"/>
        <w:rPr>
          <w:u w:val="single"/>
        </w:rPr>
      </w:pPr>
      <w:r w:rsidRPr="001775D9">
        <w:t>The recommended dose of AMGEVITA is 20 mg every other week.</w:t>
      </w:r>
    </w:p>
    <w:p w14:paraId="5B690306" w14:textId="77777777" w:rsidR="008E788D" w:rsidRPr="001775D9" w:rsidRDefault="008E788D" w:rsidP="00B61D9D">
      <w:pPr>
        <w:keepNext/>
        <w:numPr>
          <w:ilvl w:val="12"/>
          <w:numId w:val="0"/>
        </w:numPr>
        <w:tabs>
          <w:tab w:val="clear" w:pos="567"/>
          <w:tab w:val="left" w:pos="720"/>
        </w:tabs>
        <w:spacing w:line="240" w:lineRule="auto"/>
        <w:rPr>
          <w:u w:val="single"/>
        </w:rPr>
      </w:pPr>
    </w:p>
    <w:p w14:paraId="66A5EEFE" w14:textId="77777777" w:rsidR="008E788D" w:rsidRPr="001775D9" w:rsidRDefault="008E788D" w:rsidP="00B61D9D">
      <w:pPr>
        <w:keepNext/>
        <w:numPr>
          <w:ilvl w:val="12"/>
          <w:numId w:val="0"/>
        </w:numPr>
        <w:tabs>
          <w:tab w:val="clear" w:pos="567"/>
          <w:tab w:val="left" w:pos="720"/>
        </w:tabs>
        <w:spacing w:line="240" w:lineRule="auto"/>
        <w:rPr>
          <w:i/>
        </w:rPr>
      </w:pPr>
      <w:r w:rsidRPr="001775D9">
        <w:rPr>
          <w:i/>
        </w:rPr>
        <w:t>Children, adolescents and adults from 6 years of age weighing 30 kg or more</w:t>
      </w:r>
    </w:p>
    <w:p w14:paraId="06CE831C" w14:textId="77777777" w:rsidR="008E788D" w:rsidRPr="001775D9" w:rsidRDefault="008E788D" w:rsidP="00B61D9D">
      <w:pPr>
        <w:keepNext/>
        <w:numPr>
          <w:ilvl w:val="12"/>
          <w:numId w:val="0"/>
        </w:numPr>
        <w:tabs>
          <w:tab w:val="clear" w:pos="567"/>
          <w:tab w:val="left" w:pos="720"/>
        </w:tabs>
        <w:spacing w:line="240" w:lineRule="auto"/>
      </w:pPr>
    </w:p>
    <w:p w14:paraId="3B886DD0" w14:textId="77777777" w:rsidR="008E788D" w:rsidRPr="001775D9" w:rsidRDefault="008E788D" w:rsidP="00B61D9D">
      <w:pPr>
        <w:keepNext/>
        <w:numPr>
          <w:ilvl w:val="12"/>
          <w:numId w:val="0"/>
        </w:numPr>
        <w:tabs>
          <w:tab w:val="clear" w:pos="567"/>
          <w:tab w:val="left" w:pos="720"/>
        </w:tabs>
        <w:spacing w:line="240" w:lineRule="auto"/>
      </w:pPr>
      <w:r w:rsidRPr="001775D9">
        <w:t>The recommended dose of AMGEVITA is 40 mg every other week.</w:t>
      </w:r>
    </w:p>
    <w:p w14:paraId="7BE99794" w14:textId="77777777" w:rsidR="008E788D" w:rsidRPr="001775D9" w:rsidRDefault="008E788D" w:rsidP="006A71EE">
      <w:pPr>
        <w:tabs>
          <w:tab w:val="clear" w:pos="567"/>
        </w:tabs>
        <w:autoSpaceDE w:val="0"/>
        <w:autoSpaceDN w:val="0"/>
        <w:adjustRightInd w:val="0"/>
        <w:spacing w:line="240" w:lineRule="auto"/>
        <w:rPr>
          <w:szCs w:val="22"/>
        </w:rPr>
      </w:pPr>
    </w:p>
    <w:p w14:paraId="4B6912DC" w14:textId="77777777" w:rsidR="008E788D" w:rsidRPr="00D55B59" w:rsidRDefault="008E788D" w:rsidP="006A71EE">
      <w:pPr>
        <w:pStyle w:val="Default"/>
        <w:rPr>
          <w:sz w:val="22"/>
          <w:szCs w:val="22"/>
          <w:u w:val="single"/>
          <w:lang w:val="en-GB"/>
          <w:rPrChange w:id="4061" w:author="Author">
            <w:rPr>
              <w:sz w:val="22"/>
              <w:szCs w:val="22"/>
              <w:u w:val="single"/>
            </w:rPr>
          </w:rPrChange>
        </w:rPr>
      </w:pPr>
      <w:r w:rsidRPr="00D55B59">
        <w:rPr>
          <w:sz w:val="22"/>
          <w:szCs w:val="22"/>
          <w:u w:val="single"/>
          <w:lang w:val="en-GB"/>
          <w:rPrChange w:id="4062" w:author="Author">
            <w:rPr>
              <w:sz w:val="22"/>
              <w:szCs w:val="22"/>
              <w:u w:val="single"/>
            </w:rPr>
          </w:rPrChange>
        </w:rPr>
        <w:t xml:space="preserve">Adults with plaque </w:t>
      </w:r>
      <w:r w:rsidRPr="00D55B59">
        <w:rPr>
          <w:rFonts w:eastAsia="PMingLiU"/>
          <w:sz w:val="22"/>
          <w:szCs w:val="22"/>
          <w:u w:val="single"/>
          <w:lang w:val="en-GB" w:eastAsia="zh-TW"/>
          <w:rPrChange w:id="4063" w:author="Author">
            <w:rPr>
              <w:rFonts w:eastAsia="PMingLiU"/>
              <w:sz w:val="22"/>
              <w:szCs w:val="22"/>
              <w:u w:val="single"/>
              <w:lang w:eastAsia="zh-TW"/>
            </w:rPr>
          </w:rPrChange>
        </w:rPr>
        <w:t>p</w:t>
      </w:r>
      <w:r w:rsidRPr="00D55B59">
        <w:rPr>
          <w:sz w:val="22"/>
          <w:szCs w:val="22"/>
          <w:u w:val="single"/>
          <w:lang w:val="en-GB"/>
          <w:rPrChange w:id="4064" w:author="Author">
            <w:rPr>
              <w:sz w:val="22"/>
              <w:szCs w:val="22"/>
              <w:u w:val="single"/>
            </w:rPr>
          </w:rPrChange>
        </w:rPr>
        <w:t xml:space="preserve">soriasis </w:t>
      </w:r>
    </w:p>
    <w:p w14:paraId="190552C6" w14:textId="77777777" w:rsidR="008E788D" w:rsidRPr="00D55B59" w:rsidRDefault="008E788D" w:rsidP="006A71EE">
      <w:pPr>
        <w:pStyle w:val="Default"/>
        <w:rPr>
          <w:sz w:val="22"/>
          <w:szCs w:val="22"/>
          <w:lang w:val="en-GB"/>
          <w:rPrChange w:id="4065" w:author="Author">
            <w:rPr>
              <w:sz w:val="22"/>
              <w:szCs w:val="22"/>
            </w:rPr>
          </w:rPrChange>
        </w:rPr>
      </w:pPr>
    </w:p>
    <w:p w14:paraId="7C452907" w14:textId="386240E3" w:rsidR="008E788D" w:rsidRPr="001775D9" w:rsidRDefault="008E788D" w:rsidP="006A71EE">
      <w:pPr>
        <w:tabs>
          <w:tab w:val="clear" w:pos="567"/>
        </w:tabs>
        <w:autoSpaceDE w:val="0"/>
        <w:autoSpaceDN w:val="0"/>
        <w:adjustRightInd w:val="0"/>
        <w:spacing w:line="240" w:lineRule="auto"/>
        <w:rPr>
          <w:szCs w:val="22"/>
        </w:rPr>
      </w:pPr>
      <w:r w:rsidRPr="001775D9">
        <w:rPr>
          <w:szCs w:val="22"/>
        </w:rPr>
        <w:t xml:space="preserve">The usual dose for adults with plaque psoriasis is an initial dose of 80 mg, followed by 40 mg given every other week starting one week after the initial dose. You should continue to inject AMGEVITA for as long as your doctor has told you. </w:t>
      </w:r>
      <w:r w:rsidRPr="001775D9">
        <w:rPr>
          <w:szCs w:val="22"/>
          <w:lang w:eastAsia="en-GB"/>
        </w:rPr>
        <w:t>Depending on your response, your doctor may increase the dose to 40 mg every week or 80 mg every other week.</w:t>
      </w:r>
      <w:r w:rsidRPr="001775D9">
        <w:rPr>
          <w:szCs w:val="22"/>
        </w:rPr>
        <w:t xml:space="preserve"> </w:t>
      </w:r>
    </w:p>
    <w:p w14:paraId="0443ED1B" w14:textId="77777777" w:rsidR="008E788D" w:rsidRPr="00D55B59" w:rsidRDefault="008E788D" w:rsidP="006A71EE">
      <w:pPr>
        <w:pStyle w:val="Default"/>
        <w:rPr>
          <w:sz w:val="22"/>
          <w:szCs w:val="22"/>
          <w:lang w:val="en-GB"/>
          <w:rPrChange w:id="4066" w:author="Author">
            <w:rPr>
              <w:sz w:val="22"/>
              <w:szCs w:val="22"/>
            </w:rPr>
          </w:rPrChange>
        </w:rPr>
      </w:pPr>
    </w:p>
    <w:p w14:paraId="3CEBC627" w14:textId="77777777" w:rsidR="008E788D" w:rsidRPr="00D55B59" w:rsidRDefault="008E788D" w:rsidP="006A71EE">
      <w:pPr>
        <w:pStyle w:val="Default"/>
        <w:keepNext/>
        <w:keepLines/>
        <w:rPr>
          <w:sz w:val="22"/>
          <w:szCs w:val="22"/>
          <w:u w:val="single"/>
          <w:lang w:val="en-GB"/>
          <w:rPrChange w:id="4067" w:author="Author">
            <w:rPr>
              <w:sz w:val="22"/>
              <w:szCs w:val="22"/>
              <w:u w:val="single"/>
            </w:rPr>
          </w:rPrChange>
        </w:rPr>
      </w:pPr>
      <w:r w:rsidRPr="00D55B59">
        <w:rPr>
          <w:sz w:val="22"/>
          <w:szCs w:val="22"/>
          <w:u w:val="single"/>
          <w:lang w:val="en-GB"/>
          <w:rPrChange w:id="4068" w:author="Author">
            <w:rPr>
              <w:sz w:val="22"/>
              <w:szCs w:val="22"/>
              <w:u w:val="single"/>
            </w:rPr>
          </w:rPrChange>
        </w:rPr>
        <w:t xml:space="preserve">Children and </w:t>
      </w:r>
      <w:r w:rsidRPr="00D55B59">
        <w:rPr>
          <w:rFonts w:eastAsia="PMingLiU"/>
          <w:sz w:val="22"/>
          <w:szCs w:val="22"/>
          <w:u w:val="single"/>
          <w:lang w:val="en-GB" w:eastAsia="zh-TW"/>
          <w:rPrChange w:id="4069" w:author="Author">
            <w:rPr>
              <w:rFonts w:eastAsia="PMingLiU"/>
              <w:sz w:val="22"/>
              <w:szCs w:val="22"/>
              <w:u w:val="single"/>
              <w:lang w:eastAsia="zh-TW"/>
            </w:rPr>
          </w:rPrChange>
        </w:rPr>
        <w:t>a</w:t>
      </w:r>
      <w:r w:rsidRPr="00D55B59">
        <w:rPr>
          <w:sz w:val="22"/>
          <w:szCs w:val="22"/>
          <w:u w:val="single"/>
          <w:lang w:val="en-GB"/>
          <w:rPrChange w:id="4070" w:author="Author">
            <w:rPr>
              <w:sz w:val="22"/>
              <w:szCs w:val="22"/>
              <w:u w:val="single"/>
            </w:rPr>
          </w:rPrChange>
        </w:rPr>
        <w:t xml:space="preserve">dolescents with </w:t>
      </w:r>
      <w:r w:rsidRPr="00D55B59">
        <w:rPr>
          <w:rFonts w:eastAsia="PMingLiU"/>
          <w:sz w:val="22"/>
          <w:szCs w:val="22"/>
          <w:u w:val="single"/>
          <w:lang w:val="en-GB" w:eastAsia="zh-TW"/>
          <w:rPrChange w:id="4071" w:author="Author">
            <w:rPr>
              <w:rFonts w:eastAsia="PMingLiU"/>
              <w:sz w:val="22"/>
              <w:szCs w:val="22"/>
              <w:u w:val="single"/>
              <w:lang w:eastAsia="zh-TW"/>
            </w:rPr>
          </w:rPrChange>
        </w:rPr>
        <w:t>p</w:t>
      </w:r>
      <w:r w:rsidRPr="00D55B59">
        <w:rPr>
          <w:sz w:val="22"/>
          <w:szCs w:val="22"/>
          <w:u w:val="single"/>
          <w:lang w:val="en-GB"/>
          <w:rPrChange w:id="4072" w:author="Author">
            <w:rPr>
              <w:sz w:val="22"/>
              <w:szCs w:val="22"/>
              <w:u w:val="single"/>
            </w:rPr>
          </w:rPrChange>
        </w:rPr>
        <w:t xml:space="preserve">laque </w:t>
      </w:r>
      <w:r w:rsidRPr="00D55B59">
        <w:rPr>
          <w:rFonts w:eastAsia="PMingLiU"/>
          <w:sz w:val="22"/>
          <w:szCs w:val="22"/>
          <w:u w:val="single"/>
          <w:lang w:val="en-GB" w:eastAsia="zh-TW"/>
          <w:rPrChange w:id="4073" w:author="Author">
            <w:rPr>
              <w:rFonts w:eastAsia="PMingLiU"/>
              <w:sz w:val="22"/>
              <w:szCs w:val="22"/>
              <w:u w:val="single"/>
              <w:lang w:eastAsia="zh-TW"/>
            </w:rPr>
          </w:rPrChange>
        </w:rPr>
        <w:t>p</w:t>
      </w:r>
      <w:r w:rsidRPr="00D55B59">
        <w:rPr>
          <w:sz w:val="22"/>
          <w:szCs w:val="22"/>
          <w:u w:val="single"/>
          <w:lang w:val="en-GB"/>
          <w:rPrChange w:id="4074" w:author="Author">
            <w:rPr>
              <w:sz w:val="22"/>
              <w:szCs w:val="22"/>
              <w:u w:val="single"/>
            </w:rPr>
          </w:rPrChange>
        </w:rPr>
        <w:t xml:space="preserve">soriasis </w:t>
      </w:r>
    </w:p>
    <w:p w14:paraId="3C1D997D" w14:textId="77777777" w:rsidR="008E788D" w:rsidRPr="00D55B59" w:rsidRDefault="008E788D" w:rsidP="006A71EE">
      <w:pPr>
        <w:pStyle w:val="Default"/>
        <w:keepNext/>
        <w:keepLines/>
        <w:rPr>
          <w:sz w:val="22"/>
          <w:szCs w:val="22"/>
          <w:u w:val="single"/>
          <w:lang w:val="en-GB"/>
          <w:rPrChange w:id="4075" w:author="Author">
            <w:rPr>
              <w:sz w:val="22"/>
              <w:szCs w:val="22"/>
              <w:u w:val="single"/>
            </w:rPr>
          </w:rPrChange>
        </w:rPr>
      </w:pPr>
    </w:p>
    <w:p w14:paraId="569629A6" w14:textId="77777777" w:rsidR="008E788D" w:rsidRPr="001775D9" w:rsidRDefault="008E788D" w:rsidP="00B61D9D">
      <w:pPr>
        <w:numPr>
          <w:ilvl w:val="12"/>
          <w:numId w:val="0"/>
        </w:numPr>
        <w:tabs>
          <w:tab w:val="clear" w:pos="567"/>
          <w:tab w:val="left" w:pos="1590"/>
        </w:tabs>
        <w:spacing w:line="240" w:lineRule="auto"/>
        <w:ind w:right="-2"/>
        <w:rPr>
          <w:i/>
        </w:rPr>
      </w:pPr>
      <w:r w:rsidRPr="001775D9">
        <w:rPr>
          <w:i/>
        </w:rPr>
        <w:t>Children and adolescents from 4 to 17 years of age weighing 15 kg to less than 30 kg</w:t>
      </w:r>
    </w:p>
    <w:p w14:paraId="59C8ABF5" w14:textId="77777777" w:rsidR="008E788D" w:rsidRPr="001775D9" w:rsidRDefault="008E788D" w:rsidP="00B61D9D">
      <w:pPr>
        <w:numPr>
          <w:ilvl w:val="12"/>
          <w:numId w:val="0"/>
        </w:numPr>
        <w:tabs>
          <w:tab w:val="clear" w:pos="567"/>
          <w:tab w:val="left" w:pos="1590"/>
        </w:tabs>
        <w:spacing w:line="240" w:lineRule="auto"/>
        <w:ind w:right="-2"/>
      </w:pPr>
    </w:p>
    <w:p w14:paraId="0279AA01" w14:textId="77777777" w:rsidR="008E788D" w:rsidRPr="00D55B59" w:rsidRDefault="008E788D" w:rsidP="00B61D9D">
      <w:pPr>
        <w:numPr>
          <w:ilvl w:val="12"/>
          <w:numId w:val="0"/>
        </w:numPr>
        <w:tabs>
          <w:tab w:val="clear" w:pos="567"/>
          <w:tab w:val="left" w:pos="720"/>
        </w:tabs>
        <w:spacing w:line="240" w:lineRule="auto"/>
        <w:ind w:right="-2"/>
        <w:rPr>
          <w:rPrChange w:id="4076" w:author="Author">
            <w:rPr>
              <w:lang w:val="en-US"/>
            </w:rPr>
          </w:rPrChange>
        </w:rPr>
      </w:pPr>
      <w:r w:rsidRPr="001775D9">
        <w:t>The recommended dose of AMGEVITA is an initial dose of 20 mg, followed by 20 mg one week later. Thereafter, the usual dose is 20 mg every other week.</w:t>
      </w:r>
    </w:p>
    <w:p w14:paraId="107B8D3B" w14:textId="77777777" w:rsidR="008E788D" w:rsidRPr="001775D9" w:rsidRDefault="008E788D" w:rsidP="00B61D9D">
      <w:pPr>
        <w:numPr>
          <w:ilvl w:val="12"/>
          <w:numId w:val="0"/>
        </w:numPr>
        <w:tabs>
          <w:tab w:val="clear" w:pos="567"/>
          <w:tab w:val="left" w:pos="720"/>
        </w:tabs>
        <w:spacing w:line="240" w:lineRule="auto"/>
        <w:ind w:right="-2"/>
      </w:pPr>
    </w:p>
    <w:p w14:paraId="6EE5D1FF" w14:textId="77777777" w:rsidR="008E788D" w:rsidRPr="001775D9" w:rsidRDefault="008E788D" w:rsidP="00B61D9D">
      <w:pPr>
        <w:numPr>
          <w:ilvl w:val="12"/>
          <w:numId w:val="0"/>
        </w:numPr>
        <w:tabs>
          <w:tab w:val="clear" w:pos="567"/>
          <w:tab w:val="left" w:pos="720"/>
        </w:tabs>
        <w:spacing w:line="240" w:lineRule="auto"/>
        <w:ind w:right="-2"/>
        <w:rPr>
          <w:i/>
        </w:rPr>
      </w:pPr>
      <w:r w:rsidRPr="001775D9">
        <w:rPr>
          <w:i/>
        </w:rPr>
        <w:t>Children and adolescents from 4 to 17 years of age weighing 30 kg</w:t>
      </w:r>
      <w:r w:rsidRPr="001775D9">
        <w:t xml:space="preserve"> </w:t>
      </w:r>
      <w:r w:rsidRPr="001775D9">
        <w:rPr>
          <w:i/>
        </w:rPr>
        <w:t>or more</w:t>
      </w:r>
    </w:p>
    <w:p w14:paraId="01B61203" w14:textId="77777777" w:rsidR="008E788D" w:rsidRPr="001775D9" w:rsidRDefault="008E788D" w:rsidP="00B61D9D">
      <w:pPr>
        <w:numPr>
          <w:ilvl w:val="12"/>
          <w:numId w:val="0"/>
        </w:numPr>
        <w:tabs>
          <w:tab w:val="clear" w:pos="567"/>
          <w:tab w:val="left" w:pos="720"/>
        </w:tabs>
        <w:spacing w:line="240" w:lineRule="auto"/>
        <w:ind w:right="-2"/>
      </w:pPr>
    </w:p>
    <w:p w14:paraId="40DD9FA2" w14:textId="77777777" w:rsidR="008E788D" w:rsidRPr="00D55B59" w:rsidRDefault="008E788D" w:rsidP="00B61D9D">
      <w:pPr>
        <w:numPr>
          <w:ilvl w:val="12"/>
          <w:numId w:val="0"/>
        </w:numPr>
        <w:tabs>
          <w:tab w:val="clear" w:pos="567"/>
          <w:tab w:val="left" w:pos="720"/>
        </w:tabs>
        <w:spacing w:line="240" w:lineRule="auto"/>
        <w:ind w:right="-2"/>
        <w:rPr>
          <w:rPrChange w:id="4077" w:author="Author">
            <w:rPr>
              <w:lang w:val="en-US"/>
            </w:rPr>
          </w:rPrChange>
        </w:rPr>
      </w:pPr>
      <w:r w:rsidRPr="001775D9">
        <w:t>The recommended dose of AMGEVITA is an initial dose of 40 mg, followed by 40 mg one week later. Thereafter, the usual dose is 40 mg every other week.</w:t>
      </w:r>
    </w:p>
    <w:p w14:paraId="1141D995" w14:textId="77777777" w:rsidR="008E788D" w:rsidRPr="00D55B59" w:rsidRDefault="008E788D" w:rsidP="006A71EE">
      <w:pPr>
        <w:pStyle w:val="Default"/>
        <w:rPr>
          <w:sz w:val="22"/>
          <w:szCs w:val="22"/>
          <w:lang w:val="en-GB"/>
          <w:rPrChange w:id="4078" w:author="Author">
            <w:rPr>
              <w:sz w:val="22"/>
              <w:szCs w:val="22"/>
            </w:rPr>
          </w:rPrChange>
        </w:rPr>
      </w:pPr>
    </w:p>
    <w:p w14:paraId="2644D770" w14:textId="77777777" w:rsidR="008E788D" w:rsidRPr="00D55B59" w:rsidRDefault="008E788D" w:rsidP="006A71EE">
      <w:pPr>
        <w:pStyle w:val="Default"/>
        <w:keepNext/>
        <w:rPr>
          <w:sz w:val="22"/>
          <w:szCs w:val="22"/>
          <w:u w:val="single"/>
          <w:lang w:val="en-GB"/>
          <w:rPrChange w:id="4079" w:author="Author">
            <w:rPr>
              <w:sz w:val="22"/>
              <w:szCs w:val="22"/>
              <w:u w:val="single"/>
            </w:rPr>
          </w:rPrChange>
        </w:rPr>
      </w:pPr>
      <w:r w:rsidRPr="00D55B59">
        <w:rPr>
          <w:sz w:val="22"/>
          <w:szCs w:val="22"/>
          <w:u w:val="single"/>
          <w:lang w:val="en-GB"/>
          <w:rPrChange w:id="4080" w:author="Author">
            <w:rPr>
              <w:sz w:val="22"/>
              <w:szCs w:val="22"/>
              <w:u w:val="single"/>
            </w:rPr>
          </w:rPrChange>
        </w:rPr>
        <w:t>Adults with hidradenitis suppurativa</w:t>
      </w:r>
    </w:p>
    <w:p w14:paraId="3A09A0E8" w14:textId="77777777" w:rsidR="008E788D" w:rsidRPr="001775D9" w:rsidRDefault="008E788D" w:rsidP="006A71EE">
      <w:pPr>
        <w:keepNext/>
        <w:tabs>
          <w:tab w:val="clear" w:pos="567"/>
        </w:tabs>
        <w:autoSpaceDE w:val="0"/>
        <w:autoSpaceDN w:val="0"/>
        <w:adjustRightInd w:val="0"/>
        <w:spacing w:line="240" w:lineRule="auto"/>
        <w:rPr>
          <w:rFonts w:ascii="TimesNewRoman" w:hAnsi="TimesNewRoman" w:cs="TimesNewRoman"/>
          <w:szCs w:val="22"/>
        </w:rPr>
      </w:pPr>
    </w:p>
    <w:p w14:paraId="1E6EA71F" w14:textId="20CBD46C" w:rsidR="008E788D" w:rsidRPr="00D55B59" w:rsidRDefault="008E788D" w:rsidP="006A71EE">
      <w:pPr>
        <w:pStyle w:val="Default"/>
        <w:rPr>
          <w:sz w:val="22"/>
          <w:szCs w:val="22"/>
          <w:lang w:val="en-GB"/>
          <w:rPrChange w:id="4081" w:author="Author">
            <w:rPr>
              <w:sz w:val="22"/>
              <w:szCs w:val="22"/>
            </w:rPr>
          </w:rPrChange>
        </w:rPr>
      </w:pPr>
      <w:r w:rsidRPr="00D55B59">
        <w:rPr>
          <w:sz w:val="22"/>
          <w:szCs w:val="22"/>
          <w:lang w:val="en-GB"/>
          <w:rPrChange w:id="4082" w:author="Author">
            <w:rPr>
              <w:sz w:val="22"/>
              <w:szCs w:val="22"/>
            </w:rPr>
          </w:rPrChange>
        </w:rPr>
        <w:t>The usual dose regimen for hidradenitis suppurativa is an initial dose of 160 mg (</w:t>
      </w:r>
      <w:r w:rsidR="00183690" w:rsidRPr="00D55B59">
        <w:rPr>
          <w:sz w:val="22"/>
          <w:szCs w:val="22"/>
          <w:lang w:val="en-GB"/>
          <w:rPrChange w:id="4083" w:author="Author">
            <w:rPr>
              <w:sz w:val="22"/>
              <w:szCs w:val="22"/>
            </w:rPr>
          </w:rPrChange>
        </w:rPr>
        <w:t>two 80 mg injections in one day or one 80 mg injection per day for two consecutive days</w:t>
      </w:r>
      <w:r w:rsidRPr="00D55B59">
        <w:rPr>
          <w:sz w:val="22"/>
          <w:szCs w:val="22"/>
          <w:lang w:val="en-GB"/>
          <w:rPrChange w:id="4084" w:author="Author">
            <w:rPr>
              <w:sz w:val="22"/>
              <w:szCs w:val="22"/>
            </w:rPr>
          </w:rPrChange>
        </w:rPr>
        <w:t>), followed by an 80 mg dose two weeks later. After two further weeks, continue with a dose of 40 mg every week or 80</w:t>
      </w:r>
      <w:r w:rsidRPr="00D55B59">
        <w:rPr>
          <w:szCs w:val="22"/>
          <w:lang w:val="en-GB" w:eastAsia="en-GB"/>
          <w:rPrChange w:id="4085" w:author="Author">
            <w:rPr>
              <w:szCs w:val="22"/>
              <w:lang w:eastAsia="en-GB"/>
            </w:rPr>
          </w:rPrChange>
        </w:rPr>
        <w:t> </w:t>
      </w:r>
      <w:r w:rsidRPr="00D55B59">
        <w:rPr>
          <w:sz w:val="22"/>
          <w:szCs w:val="22"/>
          <w:lang w:val="en-GB"/>
          <w:rPrChange w:id="4086" w:author="Author">
            <w:rPr>
              <w:sz w:val="22"/>
              <w:szCs w:val="22"/>
            </w:rPr>
          </w:rPrChange>
        </w:rPr>
        <w:t>mg every other week, as prescribed by your doctor. It is recommended that you use an antiseptic wash daily on the affected areas.</w:t>
      </w:r>
    </w:p>
    <w:p w14:paraId="160E04A4" w14:textId="77777777" w:rsidR="008E788D" w:rsidRPr="00D55B59" w:rsidRDefault="008E788D" w:rsidP="006A71EE">
      <w:pPr>
        <w:pStyle w:val="Default"/>
        <w:rPr>
          <w:sz w:val="22"/>
          <w:szCs w:val="22"/>
          <w:lang w:val="en-GB"/>
          <w:rPrChange w:id="4087" w:author="Author">
            <w:rPr>
              <w:sz w:val="22"/>
              <w:szCs w:val="22"/>
            </w:rPr>
          </w:rPrChange>
        </w:rPr>
      </w:pPr>
    </w:p>
    <w:p w14:paraId="32D4B9C8" w14:textId="77777777" w:rsidR="008E788D" w:rsidRPr="00D55B59" w:rsidRDefault="008E788D" w:rsidP="006A71EE">
      <w:pPr>
        <w:pStyle w:val="Default"/>
        <w:keepNext/>
        <w:rPr>
          <w:sz w:val="22"/>
          <w:szCs w:val="22"/>
          <w:u w:val="single"/>
          <w:lang w:val="en-GB"/>
          <w:rPrChange w:id="4088" w:author="Author">
            <w:rPr>
              <w:sz w:val="22"/>
              <w:szCs w:val="22"/>
              <w:u w:val="single"/>
            </w:rPr>
          </w:rPrChange>
        </w:rPr>
      </w:pPr>
      <w:r w:rsidRPr="00D55B59">
        <w:rPr>
          <w:sz w:val="22"/>
          <w:szCs w:val="22"/>
          <w:u w:val="single"/>
          <w:lang w:val="en-GB"/>
          <w:rPrChange w:id="4089" w:author="Author">
            <w:rPr>
              <w:sz w:val="22"/>
              <w:szCs w:val="22"/>
              <w:u w:val="single"/>
            </w:rPr>
          </w:rPrChange>
        </w:rPr>
        <w:t>Adolescents with hidradenitis suppurativa from 12 to 17 years of age weighing 30</w:t>
      </w:r>
      <w:r w:rsidRPr="00D55B59">
        <w:rPr>
          <w:szCs w:val="22"/>
          <w:lang w:val="en-GB" w:eastAsia="en-GB"/>
          <w:rPrChange w:id="4090" w:author="Author">
            <w:rPr>
              <w:szCs w:val="22"/>
              <w:lang w:eastAsia="en-GB"/>
            </w:rPr>
          </w:rPrChange>
        </w:rPr>
        <w:t> </w:t>
      </w:r>
      <w:r w:rsidRPr="00D55B59">
        <w:rPr>
          <w:sz w:val="22"/>
          <w:szCs w:val="22"/>
          <w:u w:val="single"/>
          <w:lang w:val="en-GB"/>
          <w:rPrChange w:id="4091" w:author="Author">
            <w:rPr>
              <w:sz w:val="22"/>
              <w:szCs w:val="22"/>
              <w:u w:val="single"/>
            </w:rPr>
          </w:rPrChange>
        </w:rPr>
        <w:t>kg or more</w:t>
      </w:r>
    </w:p>
    <w:p w14:paraId="25E7FBF5" w14:textId="77777777" w:rsidR="008E788D" w:rsidRPr="00D55B59" w:rsidRDefault="008E788D" w:rsidP="006A71EE">
      <w:pPr>
        <w:pStyle w:val="Default"/>
        <w:keepNext/>
        <w:rPr>
          <w:sz w:val="22"/>
          <w:szCs w:val="22"/>
          <w:lang w:val="en-GB"/>
          <w:rPrChange w:id="4092" w:author="Author">
            <w:rPr>
              <w:sz w:val="22"/>
              <w:szCs w:val="22"/>
            </w:rPr>
          </w:rPrChange>
        </w:rPr>
      </w:pPr>
    </w:p>
    <w:p w14:paraId="4FB9B8B9" w14:textId="21F694EB" w:rsidR="008E788D" w:rsidRPr="00D55B59" w:rsidRDefault="008E788D" w:rsidP="006A71EE">
      <w:pPr>
        <w:pStyle w:val="Default"/>
        <w:keepNext/>
        <w:rPr>
          <w:sz w:val="22"/>
          <w:szCs w:val="22"/>
          <w:lang w:val="en-GB"/>
          <w:rPrChange w:id="4093" w:author="Author">
            <w:rPr>
              <w:sz w:val="22"/>
              <w:szCs w:val="22"/>
            </w:rPr>
          </w:rPrChange>
        </w:rPr>
      </w:pPr>
      <w:r w:rsidRPr="00D55B59">
        <w:rPr>
          <w:sz w:val="22"/>
          <w:szCs w:val="22"/>
          <w:lang w:val="en-GB"/>
          <w:rPrChange w:id="4094" w:author="Author">
            <w:rPr>
              <w:sz w:val="22"/>
              <w:szCs w:val="22"/>
            </w:rPr>
          </w:rPrChange>
        </w:rPr>
        <w:t>The recommended dose of AMGEVITA is an initial dose of 80</w:t>
      </w:r>
      <w:r w:rsidRPr="00D55B59">
        <w:rPr>
          <w:szCs w:val="22"/>
          <w:lang w:val="en-GB" w:eastAsia="en-GB"/>
          <w:rPrChange w:id="4095" w:author="Author">
            <w:rPr>
              <w:szCs w:val="22"/>
              <w:lang w:eastAsia="en-GB"/>
            </w:rPr>
          </w:rPrChange>
        </w:rPr>
        <w:t> </w:t>
      </w:r>
      <w:r w:rsidRPr="00D55B59">
        <w:rPr>
          <w:sz w:val="22"/>
          <w:szCs w:val="22"/>
          <w:lang w:val="en-GB"/>
          <w:rPrChange w:id="4096" w:author="Author">
            <w:rPr>
              <w:sz w:val="22"/>
              <w:szCs w:val="22"/>
            </w:rPr>
          </w:rPrChange>
        </w:rPr>
        <w:t>mg, followed by 40</w:t>
      </w:r>
      <w:r w:rsidRPr="00D55B59">
        <w:rPr>
          <w:szCs w:val="22"/>
          <w:lang w:val="en-GB" w:eastAsia="en-GB"/>
          <w:rPrChange w:id="4097" w:author="Author">
            <w:rPr>
              <w:szCs w:val="22"/>
              <w:lang w:eastAsia="en-GB"/>
            </w:rPr>
          </w:rPrChange>
        </w:rPr>
        <w:t> </w:t>
      </w:r>
      <w:r w:rsidRPr="00D55B59">
        <w:rPr>
          <w:sz w:val="22"/>
          <w:szCs w:val="22"/>
          <w:lang w:val="en-GB"/>
          <w:rPrChange w:id="4098" w:author="Author">
            <w:rPr>
              <w:sz w:val="22"/>
              <w:szCs w:val="22"/>
            </w:rPr>
          </w:rPrChange>
        </w:rPr>
        <w:t>mg every other week starting one week later. If you have an inadequate response to AMGEVITA 40</w:t>
      </w:r>
      <w:r w:rsidRPr="00D55B59">
        <w:rPr>
          <w:szCs w:val="22"/>
          <w:lang w:val="en-GB" w:eastAsia="en-GB"/>
          <w:rPrChange w:id="4099" w:author="Author">
            <w:rPr>
              <w:szCs w:val="22"/>
              <w:lang w:eastAsia="en-GB"/>
            </w:rPr>
          </w:rPrChange>
        </w:rPr>
        <w:t> </w:t>
      </w:r>
      <w:r w:rsidRPr="00D55B59">
        <w:rPr>
          <w:sz w:val="22"/>
          <w:szCs w:val="22"/>
          <w:lang w:val="en-GB"/>
          <w:rPrChange w:id="4100" w:author="Author">
            <w:rPr>
              <w:sz w:val="22"/>
              <w:szCs w:val="22"/>
            </w:rPr>
          </w:rPrChange>
        </w:rPr>
        <w:t>mg every other week, your doctor may increase the dose to 40</w:t>
      </w:r>
      <w:r w:rsidRPr="00D55B59">
        <w:rPr>
          <w:szCs w:val="22"/>
          <w:lang w:val="en-GB" w:eastAsia="en-GB"/>
          <w:rPrChange w:id="4101" w:author="Author">
            <w:rPr>
              <w:szCs w:val="22"/>
              <w:lang w:eastAsia="en-GB"/>
            </w:rPr>
          </w:rPrChange>
        </w:rPr>
        <w:t> </w:t>
      </w:r>
      <w:r w:rsidRPr="00D55B59">
        <w:rPr>
          <w:sz w:val="22"/>
          <w:szCs w:val="22"/>
          <w:lang w:val="en-GB"/>
          <w:rPrChange w:id="4102" w:author="Author">
            <w:rPr>
              <w:sz w:val="22"/>
              <w:szCs w:val="22"/>
            </w:rPr>
          </w:rPrChange>
        </w:rPr>
        <w:t>mg every week or 80</w:t>
      </w:r>
      <w:r w:rsidRPr="00D55B59">
        <w:rPr>
          <w:szCs w:val="22"/>
          <w:lang w:val="en-GB" w:eastAsia="en-GB"/>
          <w:rPrChange w:id="4103" w:author="Author">
            <w:rPr>
              <w:szCs w:val="22"/>
              <w:lang w:eastAsia="en-GB"/>
            </w:rPr>
          </w:rPrChange>
        </w:rPr>
        <w:t> </w:t>
      </w:r>
      <w:r w:rsidRPr="00D55B59">
        <w:rPr>
          <w:sz w:val="22"/>
          <w:szCs w:val="22"/>
          <w:lang w:val="en-GB"/>
          <w:rPrChange w:id="4104" w:author="Author">
            <w:rPr>
              <w:sz w:val="22"/>
              <w:szCs w:val="22"/>
            </w:rPr>
          </w:rPrChange>
        </w:rPr>
        <w:t xml:space="preserve">mg every other week. </w:t>
      </w:r>
    </w:p>
    <w:p w14:paraId="22F07F6E" w14:textId="77777777" w:rsidR="008E788D" w:rsidRPr="00D55B59" w:rsidRDefault="008E788D" w:rsidP="006A71EE">
      <w:pPr>
        <w:pStyle w:val="Default"/>
        <w:rPr>
          <w:sz w:val="22"/>
          <w:szCs w:val="22"/>
          <w:lang w:val="en-GB"/>
          <w:rPrChange w:id="4105" w:author="Author">
            <w:rPr>
              <w:sz w:val="22"/>
              <w:szCs w:val="22"/>
            </w:rPr>
          </w:rPrChange>
        </w:rPr>
      </w:pPr>
    </w:p>
    <w:p w14:paraId="7F5559DA" w14:textId="77777777" w:rsidR="008E788D" w:rsidRPr="00D55B59" w:rsidRDefault="008E788D" w:rsidP="006A71EE">
      <w:pPr>
        <w:pStyle w:val="Default"/>
        <w:rPr>
          <w:sz w:val="22"/>
          <w:szCs w:val="22"/>
          <w:u w:val="single"/>
          <w:lang w:val="en-GB"/>
          <w:rPrChange w:id="4106" w:author="Author">
            <w:rPr>
              <w:sz w:val="22"/>
              <w:szCs w:val="22"/>
              <w:u w:val="single"/>
            </w:rPr>
          </w:rPrChange>
        </w:rPr>
      </w:pPr>
      <w:r w:rsidRPr="00D55B59">
        <w:rPr>
          <w:sz w:val="22"/>
          <w:szCs w:val="22"/>
          <w:lang w:val="en-GB"/>
          <w:rPrChange w:id="4107" w:author="Author">
            <w:rPr>
              <w:sz w:val="22"/>
              <w:szCs w:val="22"/>
            </w:rPr>
          </w:rPrChange>
        </w:rPr>
        <w:t>It is recommended that you use an antiseptic wash daily on the affected areas.</w:t>
      </w:r>
    </w:p>
    <w:p w14:paraId="0864F78F" w14:textId="77777777" w:rsidR="008E788D" w:rsidRPr="00D55B59" w:rsidRDefault="008E788D" w:rsidP="006A71EE">
      <w:pPr>
        <w:pStyle w:val="Default"/>
        <w:rPr>
          <w:sz w:val="22"/>
          <w:szCs w:val="22"/>
          <w:u w:val="single"/>
          <w:lang w:val="en-GB"/>
          <w:rPrChange w:id="4108" w:author="Author">
            <w:rPr>
              <w:sz w:val="22"/>
              <w:szCs w:val="22"/>
              <w:u w:val="single"/>
            </w:rPr>
          </w:rPrChange>
        </w:rPr>
      </w:pPr>
    </w:p>
    <w:p w14:paraId="2479EA10" w14:textId="77777777" w:rsidR="008E788D" w:rsidRPr="00D55B59" w:rsidRDefault="008E788D" w:rsidP="006A71EE">
      <w:pPr>
        <w:pStyle w:val="Default"/>
        <w:rPr>
          <w:sz w:val="22"/>
          <w:szCs w:val="22"/>
          <w:u w:val="single"/>
          <w:lang w:val="en-GB"/>
          <w:rPrChange w:id="4109" w:author="Author">
            <w:rPr>
              <w:sz w:val="22"/>
              <w:szCs w:val="22"/>
              <w:u w:val="single"/>
            </w:rPr>
          </w:rPrChange>
        </w:rPr>
      </w:pPr>
      <w:r w:rsidRPr="00D55B59">
        <w:rPr>
          <w:sz w:val="22"/>
          <w:szCs w:val="22"/>
          <w:u w:val="single"/>
          <w:lang w:val="en-GB"/>
          <w:rPrChange w:id="4110" w:author="Author">
            <w:rPr>
              <w:sz w:val="22"/>
              <w:szCs w:val="22"/>
              <w:u w:val="single"/>
            </w:rPr>
          </w:rPrChange>
        </w:rPr>
        <w:t xml:space="preserve">Adults with Crohn’s disease </w:t>
      </w:r>
    </w:p>
    <w:p w14:paraId="74153BBB" w14:textId="77777777" w:rsidR="008E788D" w:rsidRPr="00D55B59" w:rsidRDefault="008E788D" w:rsidP="006A71EE">
      <w:pPr>
        <w:pStyle w:val="Default"/>
        <w:rPr>
          <w:sz w:val="22"/>
          <w:szCs w:val="22"/>
          <w:lang w:val="en-GB"/>
          <w:rPrChange w:id="4111" w:author="Author">
            <w:rPr>
              <w:sz w:val="22"/>
              <w:szCs w:val="22"/>
            </w:rPr>
          </w:rPrChange>
        </w:rPr>
      </w:pPr>
    </w:p>
    <w:p w14:paraId="6DA15F8E" w14:textId="1E55FD8B" w:rsidR="008E788D" w:rsidRPr="00D55B59" w:rsidRDefault="008E788D" w:rsidP="006A71EE">
      <w:pPr>
        <w:pStyle w:val="Default"/>
        <w:rPr>
          <w:sz w:val="22"/>
          <w:szCs w:val="22"/>
          <w:lang w:val="en-GB"/>
          <w:rPrChange w:id="4112" w:author="Author">
            <w:rPr>
              <w:sz w:val="22"/>
              <w:szCs w:val="22"/>
            </w:rPr>
          </w:rPrChange>
        </w:rPr>
      </w:pPr>
      <w:r w:rsidRPr="00D55B59">
        <w:rPr>
          <w:sz w:val="22"/>
          <w:szCs w:val="22"/>
          <w:lang w:val="en-GB"/>
          <w:rPrChange w:id="4113" w:author="Author">
            <w:rPr>
              <w:sz w:val="22"/>
              <w:szCs w:val="22"/>
            </w:rPr>
          </w:rPrChange>
        </w:rPr>
        <w:t>The usual dose regimen for Crohn’s disease is 80 mg initially followed by 40 mg every other week two weeks later. If a faster response is required, your doctor may prescribe an initial dose of 160 mg (</w:t>
      </w:r>
      <w:r w:rsidR="00183690" w:rsidRPr="00D55B59">
        <w:rPr>
          <w:sz w:val="22"/>
          <w:szCs w:val="22"/>
          <w:lang w:val="en-GB"/>
          <w:rPrChange w:id="4114" w:author="Author">
            <w:rPr>
              <w:sz w:val="22"/>
              <w:szCs w:val="22"/>
            </w:rPr>
          </w:rPrChange>
        </w:rPr>
        <w:t>two 80 mg injections in one day or one 80 mg injection per day for two consecutive days</w:t>
      </w:r>
      <w:r w:rsidRPr="00D55B59">
        <w:rPr>
          <w:sz w:val="22"/>
          <w:szCs w:val="22"/>
          <w:lang w:val="en-GB"/>
          <w:rPrChange w:id="4115" w:author="Author">
            <w:rPr>
              <w:sz w:val="22"/>
              <w:szCs w:val="22"/>
            </w:rPr>
          </w:rPrChange>
        </w:rPr>
        <w:t>), followed by 80 mg two weeks later, and thereafter as 40 mg every other week. Depending on your response, your doctor may increase the dose to 40 mg every week or 80</w:t>
      </w:r>
      <w:r w:rsidRPr="00D55B59">
        <w:rPr>
          <w:szCs w:val="22"/>
          <w:lang w:val="en-GB" w:eastAsia="en-GB"/>
          <w:rPrChange w:id="4116" w:author="Author">
            <w:rPr>
              <w:szCs w:val="22"/>
              <w:lang w:eastAsia="en-GB"/>
            </w:rPr>
          </w:rPrChange>
        </w:rPr>
        <w:t> </w:t>
      </w:r>
      <w:r w:rsidRPr="00D55B59">
        <w:rPr>
          <w:sz w:val="22"/>
          <w:szCs w:val="22"/>
          <w:lang w:val="en-GB"/>
          <w:rPrChange w:id="4117" w:author="Author">
            <w:rPr>
              <w:sz w:val="22"/>
              <w:szCs w:val="22"/>
            </w:rPr>
          </w:rPrChange>
        </w:rPr>
        <w:t xml:space="preserve">mg every other week. </w:t>
      </w:r>
    </w:p>
    <w:p w14:paraId="62DBB6B5" w14:textId="77777777" w:rsidR="008E788D" w:rsidRPr="00D55B59" w:rsidRDefault="008E788D" w:rsidP="006A71EE">
      <w:pPr>
        <w:pStyle w:val="Default"/>
        <w:rPr>
          <w:sz w:val="22"/>
          <w:szCs w:val="22"/>
          <w:lang w:val="en-GB"/>
          <w:rPrChange w:id="4118" w:author="Author">
            <w:rPr>
              <w:sz w:val="22"/>
              <w:szCs w:val="22"/>
            </w:rPr>
          </w:rPrChange>
        </w:rPr>
      </w:pPr>
    </w:p>
    <w:p w14:paraId="21FD1BCB" w14:textId="77777777" w:rsidR="008E788D" w:rsidRPr="00D55B59" w:rsidRDefault="008E788D" w:rsidP="006A71EE">
      <w:pPr>
        <w:pStyle w:val="Default"/>
        <w:keepNext/>
        <w:rPr>
          <w:sz w:val="22"/>
          <w:szCs w:val="22"/>
          <w:u w:val="single"/>
          <w:lang w:val="en-GB"/>
          <w:rPrChange w:id="4119" w:author="Author">
            <w:rPr>
              <w:sz w:val="22"/>
              <w:szCs w:val="22"/>
              <w:u w:val="single"/>
            </w:rPr>
          </w:rPrChange>
        </w:rPr>
      </w:pPr>
      <w:r w:rsidRPr="00D55B59">
        <w:rPr>
          <w:sz w:val="22"/>
          <w:szCs w:val="22"/>
          <w:u w:val="single"/>
          <w:lang w:val="en-GB"/>
          <w:rPrChange w:id="4120" w:author="Author">
            <w:rPr>
              <w:sz w:val="22"/>
              <w:szCs w:val="22"/>
              <w:u w:val="single"/>
            </w:rPr>
          </w:rPrChange>
        </w:rPr>
        <w:t xml:space="preserve">Children and adolescents with Crohn's </w:t>
      </w:r>
      <w:r w:rsidRPr="00D55B59">
        <w:rPr>
          <w:rFonts w:eastAsia="PMingLiU"/>
          <w:sz w:val="22"/>
          <w:szCs w:val="22"/>
          <w:u w:val="single"/>
          <w:lang w:val="en-GB" w:eastAsia="zh-TW"/>
          <w:rPrChange w:id="4121" w:author="Author">
            <w:rPr>
              <w:rFonts w:eastAsia="PMingLiU"/>
              <w:sz w:val="22"/>
              <w:szCs w:val="22"/>
              <w:u w:val="single"/>
              <w:lang w:eastAsia="zh-TW"/>
            </w:rPr>
          </w:rPrChange>
        </w:rPr>
        <w:t>d</w:t>
      </w:r>
      <w:r w:rsidRPr="00D55B59">
        <w:rPr>
          <w:sz w:val="22"/>
          <w:szCs w:val="22"/>
          <w:u w:val="single"/>
          <w:lang w:val="en-GB"/>
          <w:rPrChange w:id="4122" w:author="Author">
            <w:rPr>
              <w:sz w:val="22"/>
              <w:szCs w:val="22"/>
              <w:u w:val="single"/>
            </w:rPr>
          </w:rPrChange>
        </w:rPr>
        <w:t xml:space="preserve">isease </w:t>
      </w:r>
    </w:p>
    <w:p w14:paraId="061FECA7" w14:textId="77777777" w:rsidR="008E788D" w:rsidRPr="00D55B59" w:rsidRDefault="008E788D" w:rsidP="006A71EE">
      <w:pPr>
        <w:pStyle w:val="Default"/>
        <w:keepNext/>
        <w:rPr>
          <w:sz w:val="22"/>
          <w:szCs w:val="22"/>
          <w:u w:val="single"/>
          <w:lang w:val="en-GB"/>
          <w:rPrChange w:id="4123" w:author="Author">
            <w:rPr>
              <w:sz w:val="22"/>
              <w:szCs w:val="22"/>
              <w:u w:val="single"/>
            </w:rPr>
          </w:rPrChange>
        </w:rPr>
      </w:pPr>
    </w:p>
    <w:p w14:paraId="11C67519" w14:textId="77777777" w:rsidR="008E788D" w:rsidRPr="001775D9" w:rsidRDefault="008E788D" w:rsidP="00B61D9D">
      <w:pPr>
        <w:spacing w:line="240" w:lineRule="auto"/>
        <w:ind w:right="34"/>
        <w:rPr>
          <w:bCs/>
          <w:u w:val="single"/>
        </w:rPr>
      </w:pPr>
      <w:r w:rsidRPr="001775D9">
        <w:rPr>
          <w:bCs/>
          <w:i/>
        </w:rPr>
        <w:t>Children and adolescents from 6 to 17 years of age weighing less than 40 kg</w:t>
      </w:r>
    </w:p>
    <w:p w14:paraId="0586FCED" w14:textId="77777777" w:rsidR="008E788D" w:rsidRPr="00D55B59" w:rsidRDefault="008E788D" w:rsidP="006A71EE">
      <w:pPr>
        <w:pStyle w:val="Default"/>
        <w:rPr>
          <w:sz w:val="22"/>
          <w:szCs w:val="22"/>
          <w:u w:val="single"/>
          <w:lang w:val="en-GB"/>
          <w:rPrChange w:id="4124" w:author="Author">
            <w:rPr>
              <w:sz w:val="22"/>
              <w:szCs w:val="22"/>
              <w:u w:val="single"/>
            </w:rPr>
          </w:rPrChange>
        </w:rPr>
      </w:pPr>
    </w:p>
    <w:p w14:paraId="26A1D675" w14:textId="0E81DA24" w:rsidR="008E788D" w:rsidRPr="00D55B59" w:rsidRDefault="008E788D" w:rsidP="006A71EE">
      <w:pPr>
        <w:pStyle w:val="Default"/>
        <w:rPr>
          <w:sz w:val="22"/>
          <w:szCs w:val="22"/>
          <w:lang w:val="en-GB"/>
          <w:rPrChange w:id="4125" w:author="Author">
            <w:rPr>
              <w:sz w:val="22"/>
              <w:szCs w:val="22"/>
            </w:rPr>
          </w:rPrChange>
        </w:rPr>
      </w:pPr>
      <w:r w:rsidRPr="00D55B59">
        <w:rPr>
          <w:sz w:val="22"/>
          <w:szCs w:val="22"/>
          <w:lang w:val="en-GB"/>
          <w:rPrChange w:id="4126" w:author="Author">
            <w:rPr>
              <w:sz w:val="22"/>
              <w:szCs w:val="22"/>
            </w:rPr>
          </w:rPrChange>
        </w:rPr>
        <w:t>The usual dose regimen is 40 mg initially followed by 20 mg two weeks later. If a faster response is required, your doctor may prescribe an initial dose of 80 mg followed by 40</w:t>
      </w:r>
      <w:r w:rsidRPr="00D55B59">
        <w:rPr>
          <w:rFonts w:eastAsia="PMingLiU"/>
          <w:sz w:val="22"/>
          <w:szCs w:val="22"/>
          <w:lang w:val="en-GB" w:eastAsia="zh-TW"/>
          <w:rPrChange w:id="4127" w:author="Author">
            <w:rPr>
              <w:rFonts w:eastAsia="PMingLiU"/>
              <w:sz w:val="22"/>
              <w:szCs w:val="22"/>
              <w:lang w:eastAsia="zh-TW"/>
            </w:rPr>
          </w:rPrChange>
        </w:rPr>
        <w:t> </w:t>
      </w:r>
      <w:r w:rsidRPr="00D55B59">
        <w:rPr>
          <w:sz w:val="22"/>
          <w:szCs w:val="22"/>
          <w:lang w:val="en-GB"/>
          <w:rPrChange w:id="4128" w:author="Author">
            <w:rPr>
              <w:sz w:val="22"/>
              <w:szCs w:val="22"/>
            </w:rPr>
          </w:rPrChange>
        </w:rPr>
        <w:t xml:space="preserve">mg two weeks later. </w:t>
      </w:r>
    </w:p>
    <w:p w14:paraId="29AD0F7C" w14:textId="77777777" w:rsidR="008E788D" w:rsidRPr="00D55B59" w:rsidRDefault="008E788D" w:rsidP="006A71EE">
      <w:pPr>
        <w:pStyle w:val="Default"/>
        <w:rPr>
          <w:sz w:val="22"/>
          <w:szCs w:val="22"/>
          <w:lang w:val="en-GB"/>
          <w:rPrChange w:id="4129" w:author="Author">
            <w:rPr>
              <w:sz w:val="22"/>
              <w:szCs w:val="22"/>
            </w:rPr>
          </w:rPrChange>
        </w:rPr>
      </w:pPr>
    </w:p>
    <w:p w14:paraId="6F37DEBD" w14:textId="77777777" w:rsidR="008E788D" w:rsidRPr="00D55B59" w:rsidRDefault="008E788D" w:rsidP="006A71EE">
      <w:pPr>
        <w:pStyle w:val="Default"/>
        <w:rPr>
          <w:sz w:val="22"/>
          <w:szCs w:val="22"/>
          <w:lang w:val="en-GB"/>
          <w:rPrChange w:id="4130" w:author="Author">
            <w:rPr>
              <w:sz w:val="22"/>
              <w:szCs w:val="22"/>
            </w:rPr>
          </w:rPrChange>
        </w:rPr>
      </w:pPr>
      <w:r w:rsidRPr="00D55B59">
        <w:rPr>
          <w:sz w:val="22"/>
          <w:szCs w:val="22"/>
          <w:lang w:val="en-GB"/>
          <w:rPrChange w:id="4131" w:author="Author">
            <w:rPr>
              <w:sz w:val="22"/>
              <w:szCs w:val="22"/>
            </w:rPr>
          </w:rPrChange>
        </w:rPr>
        <w:t xml:space="preserve">Thereafter, the usual dose is 20 mg every other week. Depending on your response, your doctor may increase the dose frequency to 20 mg every week. </w:t>
      </w:r>
    </w:p>
    <w:p w14:paraId="4D68D891" w14:textId="77777777" w:rsidR="008E788D" w:rsidRPr="00D55B59" w:rsidRDefault="008E788D" w:rsidP="006A71EE">
      <w:pPr>
        <w:pStyle w:val="Default"/>
        <w:rPr>
          <w:sz w:val="22"/>
          <w:szCs w:val="22"/>
          <w:lang w:val="en-GB"/>
          <w:rPrChange w:id="4132" w:author="Author">
            <w:rPr>
              <w:sz w:val="22"/>
              <w:szCs w:val="22"/>
            </w:rPr>
          </w:rPrChange>
        </w:rPr>
      </w:pPr>
    </w:p>
    <w:p w14:paraId="4A491FB2" w14:textId="77777777" w:rsidR="008E788D" w:rsidRPr="001775D9" w:rsidRDefault="008E788D" w:rsidP="00B61D9D">
      <w:pPr>
        <w:spacing w:line="240" w:lineRule="auto"/>
        <w:ind w:right="34"/>
        <w:rPr>
          <w:bCs/>
          <w:u w:val="single"/>
        </w:rPr>
      </w:pPr>
      <w:r w:rsidRPr="001775D9">
        <w:rPr>
          <w:bCs/>
          <w:i/>
        </w:rPr>
        <w:t>Children and adolescents from 6 to 17 years of age weighing 40 kg or more</w:t>
      </w:r>
      <w:r w:rsidRPr="001775D9">
        <w:rPr>
          <w:bCs/>
          <w:u w:val="single"/>
        </w:rPr>
        <w:t xml:space="preserve"> </w:t>
      </w:r>
    </w:p>
    <w:p w14:paraId="7251D484" w14:textId="77777777" w:rsidR="008E788D" w:rsidRPr="00D55B59" w:rsidRDefault="008E788D" w:rsidP="006A71EE">
      <w:pPr>
        <w:pStyle w:val="Default"/>
        <w:rPr>
          <w:sz w:val="22"/>
          <w:szCs w:val="22"/>
          <w:u w:val="single"/>
          <w:lang w:val="en-GB"/>
          <w:rPrChange w:id="4133" w:author="Author">
            <w:rPr>
              <w:sz w:val="22"/>
              <w:szCs w:val="22"/>
              <w:u w:val="single"/>
            </w:rPr>
          </w:rPrChange>
        </w:rPr>
      </w:pPr>
    </w:p>
    <w:p w14:paraId="4852B886" w14:textId="1982FDC2" w:rsidR="008E788D" w:rsidRPr="001775D9" w:rsidRDefault="008E788D" w:rsidP="006A71EE">
      <w:pPr>
        <w:numPr>
          <w:ilvl w:val="12"/>
          <w:numId w:val="0"/>
        </w:numPr>
        <w:tabs>
          <w:tab w:val="clear" w:pos="567"/>
        </w:tabs>
        <w:spacing w:line="240" w:lineRule="auto"/>
        <w:ind w:right="-2"/>
        <w:rPr>
          <w:szCs w:val="22"/>
        </w:rPr>
      </w:pPr>
      <w:r w:rsidRPr="001775D9">
        <w:rPr>
          <w:szCs w:val="22"/>
        </w:rPr>
        <w:t>The usual dose regimen is 80 mg initially followed by 40 mg two weeks later. If a faster response is required, your doctor may prescribe an initial dose of 160 mg (</w:t>
      </w:r>
      <w:r w:rsidR="00183690" w:rsidRPr="001775D9">
        <w:rPr>
          <w:szCs w:val="22"/>
        </w:rPr>
        <w:t>two 80 mg injections in one day or one 80 mg injection per day for two consecutive days</w:t>
      </w:r>
      <w:r w:rsidRPr="001775D9">
        <w:rPr>
          <w:szCs w:val="22"/>
        </w:rPr>
        <w:t>) followed by 80 mg two weeks later.</w:t>
      </w:r>
    </w:p>
    <w:p w14:paraId="287DCE2A" w14:textId="77777777" w:rsidR="008E788D" w:rsidRPr="001775D9" w:rsidRDefault="008E788D" w:rsidP="006A71EE">
      <w:pPr>
        <w:numPr>
          <w:ilvl w:val="12"/>
          <w:numId w:val="0"/>
        </w:numPr>
        <w:tabs>
          <w:tab w:val="clear" w:pos="567"/>
        </w:tabs>
        <w:spacing w:line="240" w:lineRule="auto"/>
        <w:ind w:right="-2"/>
        <w:rPr>
          <w:szCs w:val="22"/>
        </w:rPr>
      </w:pPr>
    </w:p>
    <w:p w14:paraId="7D5AE0CB" w14:textId="77777777" w:rsidR="008E788D" w:rsidRPr="00D55B59" w:rsidRDefault="008E788D" w:rsidP="008E788D">
      <w:pPr>
        <w:pStyle w:val="Default"/>
        <w:rPr>
          <w:sz w:val="22"/>
          <w:szCs w:val="22"/>
          <w:lang w:val="en-GB"/>
          <w:rPrChange w:id="4134" w:author="Author">
            <w:rPr>
              <w:sz w:val="22"/>
              <w:szCs w:val="22"/>
            </w:rPr>
          </w:rPrChange>
        </w:rPr>
      </w:pPr>
      <w:r w:rsidRPr="00D55B59">
        <w:rPr>
          <w:sz w:val="22"/>
          <w:szCs w:val="22"/>
          <w:lang w:val="en-GB"/>
          <w:rPrChange w:id="4135" w:author="Author">
            <w:rPr>
              <w:sz w:val="22"/>
              <w:szCs w:val="22"/>
            </w:rPr>
          </w:rPrChange>
        </w:rPr>
        <w:t>Thereafter, the usual dose is 40 mg every other week. Depending on your response, your doctor may increase the dose to 40 mg every week or 80</w:t>
      </w:r>
      <w:r w:rsidRPr="00D55B59">
        <w:rPr>
          <w:szCs w:val="22"/>
          <w:lang w:val="en-GB" w:eastAsia="en-GB"/>
          <w:rPrChange w:id="4136" w:author="Author">
            <w:rPr>
              <w:szCs w:val="22"/>
              <w:lang w:eastAsia="en-GB"/>
            </w:rPr>
          </w:rPrChange>
        </w:rPr>
        <w:t> </w:t>
      </w:r>
      <w:r w:rsidRPr="00D55B59">
        <w:rPr>
          <w:sz w:val="22"/>
          <w:szCs w:val="22"/>
          <w:lang w:val="en-GB"/>
          <w:rPrChange w:id="4137" w:author="Author">
            <w:rPr>
              <w:sz w:val="22"/>
              <w:szCs w:val="22"/>
            </w:rPr>
          </w:rPrChange>
        </w:rPr>
        <w:t xml:space="preserve">mg every other week. </w:t>
      </w:r>
    </w:p>
    <w:p w14:paraId="226ECD26" w14:textId="77777777" w:rsidR="008E788D" w:rsidRPr="00D55B59" w:rsidRDefault="008E788D" w:rsidP="008E788D">
      <w:pPr>
        <w:pStyle w:val="Default"/>
        <w:rPr>
          <w:sz w:val="22"/>
          <w:szCs w:val="22"/>
          <w:lang w:val="en-GB"/>
          <w:rPrChange w:id="4138" w:author="Author">
            <w:rPr>
              <w:sz w:val="22"/>
              <w:szCs w:val="22"/>
            </w:rPr>
          </w:rPrChange>
        </w:rPr>
      </w:pPr>
    </w:p>
    <w:p w14:paraId="0FC0F8F5" w14:textId="77777777" w:rsidR="008E788D" w:rsidRPr="00D55B59" w:rsidRDefault="008E788D" w:rsidP="008E788D">
      <w:pPr>
        <w:pStyle w:val="Default"/>
        <w:keepNext/>
        <w:rPr>
          <w:sz w:val="22"/>
          <w:szCs w:val="22"/>
          <w:u w:val="single"/>
          <w:lang w:val="en-GB"/>
          <w:rPrChange w:id="4139" w:author="Author">
            <w:rPr>
              <w:sz w:val="22"/>
              <w:szCs w:val="22"/>
              <w:u w:val="single"/>
            </w:rPr>
          </w:rPrChange>
        </w:rPr>
      </w:pPr>
      <w:r w:rsidRPr="00D55B59">
        <w:rPr>
          <w:sz w:val="22"/>
          <w:szCs w:val="22"/>
          <w:u w:val="single"/>
          <w:lang w:val="en-GB"/>
          <w:rPrChange w:id="4140" w:author="Author">
            <w:rPr>
              <w:sz w:val="22"/>
              <w:szCs w:val="22"/>
              <w:u w:val="single"/>
            </w:rPr>
          </w:rPrChange>
        </w:rPr>
        <w:t xml:space="preserve">Adults with ulcerative colitis </w:t>
      </w:r>
    </w:p>
    <w:p w14:paraId="791B93C9" w14:textId="77777777" w:rsidR="008E788D" w:rsidRPr="001775D9" w:rsidRDefault="008E788D" w:rsidP="008E788D">
      <w:pPr>
        <w:numPr>
          <w:ilvl w:val="12"/>
          <w:numId w:val="0"/>
        </w:numPr>
        <w:tabs>
          <w:tab w:val="clear" w:pos="567"/>
        </w:tabs>
        <w:spacing w:line="240" w:lineRule="auto"/>
        <w:ind w:right="-2"/>
        <w:rPr>
          <w:szCs w:val="22"/>
        </w:rPr>
      </w:pPr>
    </w:p>
    <w:p w14:paraId="32017C7B" w14:textId="32DEB243" w:rsidR="008E788D" w:rsidRPr="001775D9" w:rsidRDefault="008E788D" w:rsidP="008E788D">
      <w:pPr>
        <w:tabs>
          <w:tab w:val="clear" w:pos="567"/>
        </w:tabs>
        <w:autoSpaceDE w:val="0"/>
        <w:autoSpaceDN w:val="0"/>
        <w:adjustRightInd w:val="0"/>
        <w:spacing w:line="240" w:lineRule="auto"/>
        <w:rPr>
          <w:szCs w:val="22"/>
        </w:rPr>
      </w:pPr>
      <w:r w:rsidRPr="001775D9">
        <w:rPr>
          <w:szCs w:val="22"/>
        </w:rPr>
        <w:t>The usual AMGEVITA dose for adults with ulcerative colitis is 160 mg initially (</w:t>
      </w:r>
      <w:r w:rsidR="00183690" w:rsidRPr="001775D9">
        <w:rPr>
          <w:szCs w:val="22"/>
        </w:rPr>
        <w:t>two 80 mg injections in one day or one 80 mg injection per day for two consecutive days</w:t>
      </w:r>
      <w:r w:rsidRPr="001775D9">
        <w:rPr>
          <w:szCs w:val="22"/>
        </w:rPr>
        <w:t>) followed by 80 mg two weeks later, then 40 mg every other week. Depending on your response, your doctor may increase the dose to 40 mg every week or 80</w:t>
      </w:r>
      <w:r w:rsidRPr="001775D9">
        <w:rPr>
          <w:szCs w:val="22"/>
          <w:lang w:eastAsia="en-GB"/>
        </w:rPr>
        <w:t> </w:t>
      </w:r>
      <w:r w:rsidRPr="001775D9">
        <w:rPr>
          <w:szCs w:val="22"/>
        </w:rPr>
        <w:t>mg every other week.</w:t>
      </w:r>
    </w:p>
    <w:p w14:paraId="7E115B43" w14:textId="77777777" w:rsidR="008E788D" w:rsidRPr="001775D9" w:rsidRDefault="008E788D" w:rsidP="008E788D">
      <w:pPr>
        <w:tabs>
          <w:tab w:val="clear" w:pos="567"/>
        </w:tabs>
        <w:autoSpaceDE w:val="0"/>
        <w:autoSpaceDN w:val="0"/>
        <w:adjustRightInd w:val="0"/>
        <w:spacing w:line="240" w:lineRule="auto"/>
        <w:rPr>
          <w:szCs w:val="22"/>
        </w:rPr>
      </w:pPr>
    </w:p>
    <w:p w14:paraId="7AE71EB5" w14:textId="77777777" w:rsidR="008E788D" w:rsidRPr="001775D9" w:rsidRDefault="008E788D" w:rsidP="008E788D">
      <w:pPr>
        <w:numPr>
          <w:ilvl w:val="12"/>
          <w:numId w:val="0"/>
        </w:numPr>
        <w:tabs>
          <w:tab w:val="clear" w:pos="567"/>
          <w:tab w:val="left" w:pos="720"/>
        </w:tabs>
        <w:spacing w:line="240" w:lineRule="auto"/>
        <w:ind w:right="-2"/>
        <w:rPr>
          <w:szCs w:val="22"/>
          <w:u w:val="single"/>
        </w:rPr>
      </w:pPr>
      <w:r w:rsidRPr="001775D9">
        <w:rPr>
          <w:szCs w:val="22"/>
          <w:u w:val="single"/>
        </w:rPr>
        <w:t>Children and adolescents with ulcerative colitis</w:t>
      </w:r>
    </w:p>
    <w:p w14:paraId="0F92123F" w14:textId="77777777" w:rsidR="008E788D" w:rsidRPr="001775D9" w:rsidRDefault="008E788D" w:rsidP="008E788D">
      <w:pPr>
        <w:numPr>
          <w:ilvl w:val="12"/>
          <w:numId w:val="0"/>
        </w:numPr>
        <w:tabs>
          <w:tab w:val="clear" w:pos="567"/>
          <w:tab w:val="left" w:pos="720"/>
        </w:tabs>
        <w:spacing w:line="240" w:lineRule="auto"/>
        <w:ind w:right="-2"/>
        <w:rPr>
          <w:szCs w:val="22"/>
        </w:rPr>
      </w:pPr>
    </w:p>
    <w:p w14:paraId="71D2C48A" w14:textId="77777777" w:rsidR="008E788D" w:rsidRPr="001775D9" w:rsidRDefault="008E788D" w:rsidP="008E788D">
      <w:pPr>
        <w:numPr>
          <w:ilvl w:val="12"/>
          <w:numId w:val="0"/>
        </w:numPr>
        <w:tabs>
          <w:tab w:val="clear" w:pos="567"/>
          <w:tab w:val="left" w:pos="720"/>
        </w:tabs>
        <w:spacing w:line="240" w:lineRule="auto"/>
        <w:ind w:right="-2"/>
        <w:rPr>
          <w:i/>
          <w:iCs/>
          <w:szCs w:val="22"/>
        </w:rPr>
      </w:pPr>
      <w:r w:rsidRPr="001775D9">
        <w:rPr>
          <w:i/>
          <w:iCs/>
          <w:szCs w:val="22"/>
        </w:rPr>
        <w:t>Children and adolescents from 6 years of age weighing less than 40</w:t>
      </w:r>
      <w:r w:rsidRPr="001775D9">
        <w:rPr>
          <w:szCs w:val="22"/>
        </w:rPr>
        <w:t> </w:t>
      </w:r>
      <w:r w:rsidRPr="001775D9">
        <w:rPr>
          <w:i/>
          <w:iCs/>
          <w:szCs w:val="22"/>
        </w:rPr>
        <w:t>kg</w:t>
      </w:r>
    </w:p>
    <w:p w14:paraId="3DCAD12D" w14:textId="77777777" w:rsidR="008E788D" w:rsidRPr="001775D9" w:rsidRDefault="008E788D" w:rsidP="008E788D">
      <w:pPr>
        <w:numPr>
          <w:ilvl w:val="12"/>
          <w:numId w:val="0"/>
        </w:numPr>
        <w:tabs>
          <w:tab w:val="clear" w:pos="567"/>
          <w:tab w:val="left" w:pos="720"/>
        </w:tabs>
        <w:spacing w:line="240" w:lineRule="auto"/>
        <w:ind w:right="-2"/>
        <w:rPr>
          <w:szCs w:val="22"/>
        </w:rPr>
      </w:pPr>
    </w:p>
    <w:p w14:paraId="28C78CAE" w14:textId="167A2930" w:rsidR="008E788D" w:rsidRPr="001775D9" w:rsidRDefault="008E788D" w:rsidP="008E788D">
      <w:pPr>
        <w:numPr>
          <w:ilvl w:val="12"/>
          <w:numId w:val="0"/>
        </w:numPr>
        <w:tabs>
          <w:tab w:val="clear" w:pos="567"/>
          <w:tab w:val="left" w:pos="720"/>
        </w:tabs>
        <w:spacing w:line="240" w:lineRule="auto"/>
        <w:ind w:right="-2"/>
        <w:rPr>
          <w:szCs w:val="22"/>
        </w:rPr>
      </w:pPr>
      <w:r w:rsidRPr="001775D9">
        <w:rPr>
          <w:szCs w:val="22"/>
        </w:rPr>
        <w:t>The usual AMGEVITA dose is 80 mg initially followed by 40 mg (as one 40 mg injection) two weeks later. Thereafter, the usual dose is 40 mg every other week.</w:t>
      </w:r>
    </w:p>
    <w:p w14:paraId="0A6CC72E" w14:textId="77777777" w:rsidR="008E788D" w:rsidRPr="001775D9" w:rsidRDefault="008E788D" w:rsidP="008E788D">
      <w:pPr>
        <w:numPr>
          <w:ilvl w:val="12"/>
          <w:numId w:val="0"/>
        </w:numPr>
        <w:tabs>
          <w:tab w:val="clear" w:pos="567"/>
          <w:tab w:val="left" w:pos="720"/>
        </w:tabs>
        <w:spacing w:line="240" w:lineRule="auto"/>
        <w:ind w:right="-2"/>
        <w:rPr>
          <w:szCs w:val="22"/>
        </w:rPr>
      </w:pPr>
    </w:p>
    <w:p w14:paraId="0A21ECA2" w14:textId="77777777" w:rsidR="008E788D" w:rsidRPr="001775D9" w:rsidRDefault="008E788D" w:rsidP="008E788D">
      <w:pPr>
        <w:numPr>
          <w:ilvl w:val="12"/>
          <w:numId w:val="0"/>
        </w:numPr>
        <w:tabs>
          <w:tab w:val="clear" w:pos="567"/>
          <w:tab w:val="left" w:pos="720"/>
        </w:tabs>
        <w:spacing w:line="240" w:lineRule="auto"/>
        <w:ind w:right="-2"/>
        <w:rPr>
          <w:szCs w:val="22"/>
        </w:rPr>
      </w:pPr>
      <w:r w:rsidRPr="001775D9">
        <w:rPr>
          <w:szCs w:val="22"/>
        </w:rPr>
        <w:t>Patients who turn 18 years of age while on 40 mg every other week, should continue their prescribed dose.</w:t>
      </w:r>
    </w:p>
    <w:p w14:paraId="527FA9D0" w14:textId="77777777" w:rsidR="008E788D" w:rsidRPr="001775D9" w:rsidRDefault="008E788D" w:rsidP="008E788D">
      <w:pPr>
        <w:numPr>
          <w:ilvl w:val="12"/>
          <w:numId w:val="0"/>
        </w:numPr>
        <w:tabs>
          <w:tab w:val="clear" w:pos="567"/>
          <w:tab w:val="left" w:pos="720"/>
        </w:tabs>
        <w:spacing w:line="240" w:lineRule="auto"/>
        <w:ind w:right="-2"/>
        <w:rPr>
          <w:szCs w:val="22"/>
        </w:rPr>
      </w:pPr>
    </w:p>
    <w:p w14:paraId="06A27BCA" w14:textId="77777777" w:rsidR="008E788D" w:rsidRPr="001775D9" w:rsidRDefault="008E788D" w:rsidP="008E788D">
      <w:pPr>
        <w:numPr>
          <w:ilvl w:val="12"/>
          <w:numId w:val="0"/>
        </w:numPr>
        <w:tabs>
          <w:tab w:val="clear" w:pos="567"/>
          <w:tab w:val="left" w:pos="720"/>
        </w:tabs>
        <w:spacing w:line="240" w:lineRule="auto"/>
        <w:ind w:right="-2"/>
        <w:rPr>
          <w:i/>
          <w:iCs/>
          <w:szCs w:val="22"/>
        </w:rPr>
      </w:pPr>
      <w:r w:rsidRPr="001775D9">
        <w:rPr>
          <w:i/>
          <w:iCs/>
          <w:szCs w:val="22"/>
        </w:rPr>
        <w:t>Children and adolescents from 6 years of age weighing 40</w:t>
      </w:r>
      <w:r w:rsidRPr="001775D9">
        <w:rPr>
          <w:szCs w:val="22"/>
        </w:rPr>
        <w:t> </w:t>
      </w:r>
      <w:r w:rsidRPr="001775D9">
        <w:rPr>
          <w:i/>
          <w:iCs/>
          <w:szCs w:val="22"/>
        </w:rPr>
        <w:t>kg or more</w:t>
      </w:r>
    </w:p>
    <w:p w14:paraId="2273A517" w14:textId="77777777" w:rsidR="008E788D" w:rsidRPr="001775D9" w:rsidRDefault="008E788D" w:rsidP="008E788D">
      <w:pPr>
        <w:numPr>
          <w:ilvl w:val="12"/>
          <w:numId w:val="0"/>
        </w:numPr>
        <w:tabs>
          <w:tab w:val="clear" w:pos="567"/>
          <w:tab w:val="left" w:pos="720"/>
        </w:tabs>
        <w:spacing w:line="240" w:lineRule="auto"/>
        <w:ind w:right="-2"/>
        <w:rPr>
          <w:szCs w:val="22"/>
        </w:rPr>
      </w:pPr>
    </w:p>
    <w:p w14:paraId="49911961" w14:textId="72AF627F" w:rsidR="008E788D" w:rsidRPr="001775D9" w:rsidRDefault="008E788D" w:rsidP="008E788D">
      <w:pPr>
        <w:numPr>
          <w:ilvl w:val="12"/>
          <w:numId w:val="0"/>
        </w:numPr>
        <w:tabs>
          <w:tab w:val="clear" w:pos="567"/>
          <w:tab w:val="left" w:pos="720"/>
        </w:tabs>
        <w:spacing w:line="240" w:lineRule="auto"/>
        <w:ind w:right="-2"/>
        <w:rPr>
          <w:szCs w:val="22"/>
        </w:rPr>
      </w:pPr>
      <w:r w:rsidRPr="001775D9">
        <w:rPr>
          <w:szCs w:val="22"/>
        </w:rPr>
        <w:t>The usual AMGEVITA dose is 160 mg (</w:t>
      </w:r>
      <w:r w:rsidR="000148BE" w:rsidRPr="001775D9">
        <w:rPr>
          <w:szCs w:val="22"/>
        </w:rPr>
        <w:t>two 80 mg injections in one day or one 80 mg injection per day for two consecutive days</w:t>
      </w:r>
      <w:r w:rsidRPr="001775D9">
        <w:rPr>
          <w:szCs w:val="22"/>
        </w:rPr>
        <w:t>) initially, followed by 80 mg two weeks later. Thereafter the usual dose is 80 mg every other week.</w:t>
      </w:r>
    </w:p>
    <w:p w14:paraId="5E8776A7" w14:textId="77777777" w:rsidR="008E788D" w:rsidRPr="001775D9" w:rsidRDefault="008E788D" w:rsidP="008E788D">
      <w:pPr>
        <w:numPr>
          <w:ilvl w:val="12"/>
          <w:numId w:val="0"/>
        </w:numPr>
        <w:tabs>
          <w:tab w:val="clear" w:pos="567"/>
          <w:tab w:val="left" w:pos="720"/>
        </w:tabs>
        <w:spacing w:line="240" w:lineRule="auto"/>
        <w:ind w:right="-2"/>
        <w:rPr>
          <w:szCs w:val="22"/>
        </w:rPr>
      </w:pPr>
    </w:p>
    <w:p w14:paraId="0DDFCB66" w14:textId="77777777" w:rsidR="008E788D" w:rsidRPr="001775D9" w:rsidRDefault="008E788D" w:rsidP="008E788D">
      <w:pPr>
        <w:numPr>
          <w:ilvl w:val="12"/>
          <w:numId w:val="0"/>
        </w:numPr>
        <w:tabs>
          <w:tab w:val="clear" w:pos="567"/>
          <w:tab w:val="left" w:pos="720"/>
        </w:tabs>
        <w:spacing w:line="240" w:lineRule="auto"/>
        <w:ind w:right="-2"/>
        <w:rPr>
          <w:szCs w:val="22"/>
        </w:rPr>
      </w:pPr>
      <w:r w:rsidRPr="001775D9">
        <w:rPr>
          <w:szCs w:val="22"/>
        </w:rPr>
        <w:t>Patients who turn 18 years of age while on 80 mg every other week, should continue their prescribed dose.</w:t>
      </w:r>
    </w:p>
    <w:p w14:paraId="5D8ABCA7" w14:textId="77777777" w:rsidR="008E788D" w:rsidRPr="001775D9" w:rsidRDefault="008E788D" w:rsidP="008E788D">
      <w:pPr>
        <w:numPr>
          <w:ilvl w:val="12"/>
          <w:numId w:val="0"/>
        </w:numPr>
        <w:tabs>
          <w:tab w:val="clear" w:pos="567"/>
          <w:tab w:val="left" w:pos="720"/>
        </w:tabs>
        <w:spacing w:line="240" w:lineRule="auto"/>
        <w:ind w:right="-2"/>
        <w:rPr>
          <w:szCs w:val="22"/>
        </w:rPr>
      </w:pPr>
    </w:p>
    <w:p w14:paraId="2E744024" w14:textId="77777777" w:rsidR="008E788D" w:rsidRPr="001775D9" w:rsidRDefault="008E788D" w:rsidP="008E788D">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Adults with non-infectious uveitis</w:t>
      </w:r>
    </w:p>
    <w:p w14:paraId="3CCD6704" w14:textId="77777777" w:rsidR="008E788D" w:rsidRPr="001775D9" w:rsidRDefault="008E788D" w:rsidP="008E788D">
      <w:pPr>
        <w:keepNext/>
        <w:tabs>
          <w:tab w:val="clear" w:pos="567"/>
        </w:tabs>
        <w:autoSpaceDE w:val="0"/>
        <w:autoSpaceDN w:val="0"/>
        <w:adjustRightInd w:val="0"/>
        <w:spacing w:line="240" w:lineRule="auto"/>
        <w:rPr>
          <w:szCs w:val="22"/>
          <w:lang w:eastAsia="en-GB"/>
        </w:rPr>
      </w:pPr>
    </w:p>
    <w:p w14:paraId="2EF5D84D" w14:textId="400E2AC5" w:rsidR="008E788D" w:rsidRPr="001775D9" w:rsidRDefault="008E788D" w:rsidP="008E788D">
      <w:pPr>
        <w:tabs>
          <w:tab w:val="clear" w:pos="567"/>
        </w:tabs>
        <w:autoSpaceDE w:val="0"/>
        <w:autoSpaceDN w:val="0"/>
        <w:adjustRightInd w:val="0"/>
        <w:spacing w:line="240" w:lineRule="auto"/>
        <w:rPr>
          <w:szCs w:val="22"/>
          <w:lang w:eastAsia="en-GB"/>
        </w:rPr>
      </w:pPr>
      <w:r w:rsidRPr="001775D9">
        <w:rPr>
          <w:szCs w:val="22"/>
          <w:lang w:eastAsia="en-GB"/>
        </w:rPr>
        <w:t>The usual dose for adults with non-infectious uveitis is an initial dose of 80 mg, followed by 40 mg given every other week starting one week after the initial dose. You should continue to inject AMGEVITA for as long as your doctor has told you.</w:t>
      </w:r>
    </w:p>
    <w:p w14:paraId="2877BF44" w14:textId="77777777" w:rsidR="008E788D" w:rsidRPr="001775D9" w:rsidRDefault="008E788D" w:rsidP="008E788D">
      <w:pPr>
        <w:tabs>
          <w:tab w:val="clear" w:pos="567"/>
        </w:tabs>
        <w:autoSpaceDE w:val="0"/>
        <w:autoSpaceDN w:val="0"/>
        <w:adjustRightInd w:val="0"/>
        <w:spacing w:line="240" w:lineRule="auto"/>
        <w:rPr>
          <w:szCs w:val="22"/>
          <w:lang w:eastAsia="en-GB"/>
        </w:rPr>
      </w:pPr>
    </w:p>
    <w:p w14:paraId="14F15D83" w14:textId="77777777" w:rsidR="008E788D" w:rsidRPr="001775D9" w:rsidRDefault="008E788D" w:rsidP="008E788D">
      <w:pPr>
        <w:tabs>
          <w:tab w:val="clear" w:pos="567"/>
        </w:tabs>
        <w:autoSpaceDE w:val="0"/>
        <w:autoSpaceDN w:val="0"/>
        <w:adjustRightInd w:val="0"/>
        <w:spacing w:line="240" w:lineRule="auto"/>
        <w:rPr>
          <w:szCs w:val="22"/>
          <w:lang w:eastAsia="en-GB"/>
        </w:rPr>
      </w:pPr>
      <w:r w:rsidRPr="001775D9">
        <w:rPr>
          <w:szCs w:val="22"/>
          <w:lang w:eastAsia="en-GB"/>
        </w:rPr>
        <w:t>In non-infectious uveitis, corticosteroids or other medicines that influence the immune system may be continued while using AMGEVITA. AMGEVITA can also be given alone.</w:t>
      </w:r>
    </w:p>
    <w:p w14:paraId="0A9D1AD9" w14:textId="77777777" w:rsidR="008E788D" w:rsidRPr="001775D9" w:rsidRDefault="008E788D" w:rsidP="008E788D">
      <w:pPr>
        <w:tabs>
          <w:tab w:val="clear" w:pos="567"/>
        </w:tabs>
        <w:autoSpaceDE w:val="0"/>
        <w:autoSpaceDN w:val="0"/>
        <w:adjustRightInd w:val="0"/>
        <w:spacing w:line="240" w:lineRule="auto"/>
        <w:rPr>
          <w:szCs w:val="22"/>
          <w:lang w:eastAsia="en-GB"/>
        </w:rPr>
      </w:pPr>
    </w:p>
    <w:p w14:paraId="481BA969" w14:textId="77777777" w:rsidR="008E788D" w:rsidRPr="001775D9" w:rsidRDefault="008E788D" w:rsidP="008E788D">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Children and adolescents with chronic non-infectious uveitis from 2 years of age</w:t>
      </w:r>
    </w:p>
    <w:p w14:paraId="683EEBEC" w14:textId="77777777" w:rsidR="008E788D" w:rsidRPr="001775D9" w:rsidRDefault="008E788D" w:rsidP="008E788D">
      <w:pPr>
        <w:keepNext/>
        <w:tabs>
          <w:tab w:val="clear" w:pos="567"/>
        </w:tabs>
        <w:autoSpaceDE w:val="0"/>
        <w:autoSpaceDN w:val="0"/>
        <w:adjustRightInd w:val="0"/>
        <w:spacing w:line="240" w:lineRule="auto"/>
        <w:rPr>
          <w:szCs w:val="22"/>
          <w:lang w:eastAsia="en-GB"/>
        </w:rPr>
      </w:pPr>
    </w:p>
    <w:p w14:paraId="50EDA136" w14:textId="77777777" w:rsidR="008E788D" w:rsidRPr="001775D9" w:rsidRDefault="008E788D" w:rsidP="008E788D">
      <w:pPr>
        <w:keepNext/>
        <w:tabs>
          <w:tab w:val="clear" w:pos="567"/>
        </w:tabs>
        <w:autoSpaceDE w:val="0"/>
        <w:autoSpaceDN w:val="0"/>
        <w:adjustRightInd w:val="0"/>
        <w:spacing w:line="240" w:lineRule="auto"/>
        <w:rPr>
          <w:i/>
          <w:szCs w:val="22"/>
          <w:lang w:eastAsia="en-GB"/>
        </w:rPr>
      </w:pPr>
      <w:r w:rsidRPr="001775D9">
        <w:rPr>
          <w:i/>
          <w:szCs w:val="22"/>
          <w:lang w:eastAsia="en-GB"/>
        </w:rPr>
        <w:t>Children and adolescents from 2 years of age weighing less than 30</w:t>
      </w:r>
      <w:r w:rsidRPr="001775D9">
        <w:rPr>
          <w:szCs w:val="22"/>
          <w:lang w:eastAsia="en-GB"/>
        </w:rPr>
        <w:t> </w:t>
      </w:r>
      <w:r w:rsidRPr="001775D9">
        <w:rPr>
          <w:i/>
          <w:szCs w:val="22"/>
          <w:lang w:eastAsia="en-GB"/>
        </w:rPr>
        <w:t>kg</w:t>
      </w:r>
    </w:p>
    <w:p w14:paraId="474E84B6" w14:textId="77777777" w:rsidR="008E788D" w:rsidRPr="001775D9" w:rsidRDefault="008E788D" w:rsidP="008E788D">
      <w:pPr>
        <w:keepNext/>
        <w:tabs>
          <w:tab w:val="clear" w:pos="567"/>
        </w:tabs>
        <w:autoSpaceDE w:val="0"/>
        <w:autoSpaceDN w:val="0"/>
        <w:adjustRightInd w:val="0"/>
        <w:spacing w:line="240" w:lineRule="auto"/>
        <w:rPr>
          <w:szCs w:val="22"/>
          <w:lang w:eastAsia="en-GB"/>
        </w:rPr>
      </w:pPr>
    </w:p>
    <w:p w14:paraId="2A4609C5" w14:textId="77777777" w:rsidR="008E788D" w:rsidRPr="001775D9" w:rsidRDefault="008E788D" w:rsidP="008E788D">
      <w:pPr>
        <w:keepNext/>
        <w:tabs>
          <w:tab w:val="clear" w:pos="567"/>
        </w:tabs>
        <w:autoSpaceDE w:val="0"/>
        <w:autoSpaceDN w:val="0"/>
        <w:adjustRightInd w:val="0"/>
        <w:spacing w:line="240" w:lineRule="auto"/>
        <w:rPr>
          <w:szCs w:val="22"/>
          <w:lang w:eastAsia="en-GB"/>
        </w:rPr>
      </w:pPr>
      <w:r w:rsidRPr="001775D9">
        <w:rPr>
          <w:szCs w:val="22"/>
          <w:lang w:eastAsia="en-GB"/>
        </w:rPr>
        <w:t>The usual dose of AMGEVITA is 20 mg every other week with methotrexate.</w:t>
      </w:r>
    </w:p>
    <w:p w14:paraId="5BF18143" w14:textId="77777777" w:rsidR="008E788D" w:rsidRPr="001775D9" w:rsidRDefault="008E788D" w:rsidP="008E788D">
      <w:pPr>
        <w:tabs>
          <w:tab w:val="clear" w:pos="567"/>
        </w:tabs>
        <w:autoSpaceDE w:val="0"/>
        <w:autoSpaceDN w:val="0"/>
        <w:adjustRightInd w:val="0"/>
        <w:spacing w:line="240" w:lineRule="auto"/>
        <w:rPr>
          <w:szCs w:val="22"/>
          <w:lang w:eastAsia="en-GB"/>
        </w:rPr>
      </w:pPr>
    </w:p>
    <w:p w14:paraId="5AF8D81B" w14:textId="77777777" w:rsidR="008E788D" w:rsidRPr="001775D9" w:rsidRDefault="008E788D" w:rsidP="008E788D">
      <w:pPr>
        <w:tabs>
          <w:tab w:val="clear" w:pos="567"/>
        </w:tabs>
        <w:autoSpaceDE w:val="0"/>
        <w:autoSpaceDN w:val="0"/>
        <w:adjustRightInd w:val="0"/>
        <w:spacing w:line="240" w:lineRule="auto"/>
        <w:rPr>
          <w:szCs w:val="22"/>
          <w:lang w:eastAsia="en-GB"/>
        </w:rPr>
      </w:pPr>
      <w:r w:rsidRPr="001775D9">
        <w:rPr>
          <w:szCs w:val="22"/>
          <w:lang w:eastAsia="en-GB"/>
        </w:rPr>
        <w:t>Your doctor may also prescribe an initial dose of 40 mg which may be administered one week prior to the start of the usual dose.</w:t>
      </w:r>
    </w:p>
    <w:p w14:paraId="17876BD0" w14:textId="77777777" w:rsidR="008E788D" w:rsidRPr="001775D9" w:rsidRDefault="008E788D" w:rsidP="008E788D">
      <w:pPr>
        <w:tabs>
          <w:tab w:val="clear" w:pos="567"/>
        </w:tabs>
        <w:autoSpaceDE w:val="0"/>
        <w:autoSpaceDN w:val="0"/>
        <w:adjustRightInd w:val="0"/>
        <w:spacing w:line="240" w:lineRule="auto"/>
        <w:rPr>
          <w:szCs w:val="22"/>
          <w:lang w:eastAsia="en-GB"/>
        </w:rPr>
      </w:pPr>
    </w:p>
    <w:p w14:paraId="413FC289" w14:textId="77777777" w:rsidR="008E788D" w:rsidRPr="001775D9" w:rsidRDefault="008E788D" w:rsidP="008E788D">
      <w:pPr>
        <w:keepNext/>
        <w:tabs>
          <w:tab w:val="clear" w:pos="567"/>
        </w:tabs>
        <w:autoSpaceDE w:val="0"/>
        <w:autoSpaceDN w:val="0"/>
        <w:adjustRightInd w:val="0"/>
        <w:spacing w:line="240" w:lineRule="auto"/>
        <w:rPr>
          <w:i/>
          <w:szCs w:val="22"/>
          <w:lang w:eastAsia="en-GB"/>
        </w:rPr>
      </w:pPr>
      <w:r w:rsidRPr="001775D9">
        <w:rPr>
          <w:i/>
          <w:szCs w:val="22"/>
          <w:lang w:eastAsia="en-GB"/>
        </w:rPr>
        <w:t>Children and adolescents from 2 years of age weighing 30</w:t>
      </w:r>
      <w:r w:rsidRPr="001775D9">
        <w:rPr>
          <w:szCs w:val="22"/>
          <w:lang w:eastAsia="en-GB"/>
        </w:rPr>
        <w:t> </w:t>
      </w:r>
      <w:r w:rsidRPr="001775D9">
        <w:rPr>
          <w:i/>
          <w:szCs w:val="22"/>
          <w:lang w:eastAsia="en-GB"/>
        </w:rPr>
        <w:t>kg or more</w:t>
      </w:r>
    </w:p>
    <w:p w14:paraId="4616CF8C" w14:textId="77777777" w:rsidR="008E788D" w:rsidRPr="001775D9" w:rsidRDefault="008E788D" w:rsidP="008E788D">
      <w:pPr>
        <w:keepNext/>
        <w:tabs>
          <w:tab w:val="clear" w:pos="567"/>
        </w:tabs>
        <w:autoSpaceDE w:val="0"/>
        <w:autoSpaceDN w:val="0"/>
        <w:adjustRightInd w:val="0"/>
        <w:spacing w:line="240" w:lineRule="auto"/>
        <w:rPr>
          <w:szCs w:val="22"/>
          <w:lang w:eastAsia="en-GB"/>
        </w:rPr>
      </w:pPr>
    </w:p>
    <w:p w14:paraId="7424F62A" w14:textId="77777777" w:rsidR="008E788D" w:rsidRPr="001775D9" w:rsidRDefault="008E788D" w:rsidP="008E788D">
      <w:pPr>
        <w:keepNext/>
        <w:tabs>
          <w:tab w:val="clear" w:pos="567"/>
        </w:tabs>
        <w:autoSpaceDE w:val="0"/>
        <w:autoSpaceDN w:val="0"/>
        <w:adjustRightInd w:val="0"/>
        <w:spacing w:line="240" w:lineRule="auto"/>
        <w:rPr>
          <w:szCs w:val="22"/>
          <w:lang w:eastAsia="en-GB"/>
        </w:rPr>
      </w:pPr>
      <w:r w:rsidRPr="001775D9">
        <w:rPr>
          <w:szCs w:val="22"/>
          <w:lang w:eastAsia="en-GB"/>
        </w:rPr>
        <w:t>The usual dose of AMGEVITA is 40 mg every other week with methotrexate.</w:t>
      </w:r>
    </w:p>
    <w:p w14:paraId="49048DF6" w14:textId="77777777" w:rsidR="008E788D" w:rsidRPr="001775D9" w:rsidRDefault="008E788D" w:rsidP="008E788D">
      <w:pPr>
        <w:tabs>
          <w:tab w:val="clear" w:pos="567"/>
        </w:tabs>
        <w:autoSpaceDE w:val="0"/>
        <w:autoSpaceDN w:val="0"/>
        <w:adjustRightInd w:val="0"/>
        <w:spacing w:line="240" w:lineRule="auto"/>
        <w:rPr>
          <w:szCs w:val="22"/>
          <w:lang w:eastAsia="en-GB"/>
        </w:rPr>
      </w:pPr>
    </w:p>
    <w:p w14:paraId="4EC6F500" w14:textId="77777777" w:rsidR="008E788D" w:rsidRPr="001775D9" w:rsidRDefault="008E788D" w:rsidP="008E788D">
      <w:pPr>
        <w:numPr>
          <w:ilvl w:val="12"/>
          <w:numId w:val="0"/>
        </w:numPr>
        <w:tabs>
          <w:tab w:val="clear" w:pos="567"/>
        </w:tabs>
        <w:spacing w:line="240" w:lineRule="auto"/>
        <w:ind w:right="-2"/>
        <w:rPr>
          <w:szCs w:val="22"/>
        </w:rPr>
      </w:pPr>
      <w:r w:rsidRPr="001775D9">
        <w:rPr>
          <w:szCs w:val="22"/>
          <w:lang w:eastAsia="en-GB"/>
        </w:rPr>
        <w:t>Your doctor may also prescribe an initial dose of 80 mg which may be administered one week prior to the start of the usual dose.</w:t>
      </w:r>
    </w:p>
    <w:p w14:paraId="41B1EAA6" w14:textId="77777777" w:rsidR="008E788D" w:rsidRPr="00D55B59" w:rsidRDefault="008E788D" w:rsidP="008E788D">
      <w:pPr>
        <w:pStyle w:val="Default"/>
        <w:rPr>
          <w:b/>
          <w:bCs/>
          <w:sz w:val="22"/>
          <w:szCs w:val="22"/>
          <w:lang w:val="en-GB"/>
          <w:rPrChange w:id="4141" w:author="Author">
            <w:rPr>
              <w:b/>
              <w:bCs/>
              <w:sz w:val="22"/>
              <w:szCs w:val="22"/>
            </w:rPr>
          </w:rPrChange>
        </w:rPr>
      </w:pPr>
    </w:p>
    <w:p w14:paraId="6183C07D" w14:textId="77777777" w:rsidR="008E788D" w:rsidRPr="00D55B59" w:rsidRDefault="008E788D" w:rsidP="008E788D">
      <w:pPr>
        <w:pStyle w:val="Default"/>
        <w:rPr>
          <w:sz w:val="22"/>
          <w:szCs w:val="22"/>
          <w:lang w:val="en-GB"/>
          <w:rPrChange w:id="4142" w:author="Author">
            <w:rPr>
              <w:sz w:val="22"/>
              <w:szCs w:val="22"/>
            </w:rPr>
          </w:rPrChange>
        </w:rPr>
      </w:pPr>
      <w:r w:rsidRPr="00D55B59">
        <w:rPr>
          <w:b/>
          <w:bCs/>
          <w:sz w:val="22"/>
          <w:szCs w:val="22"/>
          <w:lang w:val="en-GB"/>
          <w:rPrChange w:id="4143" w:author="Author">
            <w:rPr>
              <w:b/>
              <w:bCs/>
              <w:sz w:val="22"/>
              <w:szCs w:val="22"/>
            </w:rPr>
          </w:rPrChange>
        </w:rPr>
        <w:t xml:space="preserve">Method and route of administration </w:t>
      </w:r>
    </w:p>
    <w:p w14:paraId="167C619D" w14:textId="77777777" w:rsidR="008E788D" w:rsidRPr="001775D9" w:rsidRDefault="008E788D" w:rsidP="008E788D">
      <w:pPr>
        <w:numPr>
          <w:ilvl w:val="12"/>
          <w:numId w:val="0"/>
        </w:numPr>
        <w:tabs>
          <w:tab w:val="clear" w:pos="567"/>
        </w:tabs>
        <w:spacing w:line="240" w:lineRule="auto"/>
        <w:ind w:right="-2"/>
        <w:rPr>
          <w:szCs w:val="22"/>
        </w:rPr>
      </w:pPr>
    </w:p>
    <w:p w14:paraId="3CB99495" w14:textId="77777777" w:rsidR="008E788D" w:rsidRPr="001775D9" w:rsidRDefault="008E788D" w:rsidP="008E788D">
      <w:pPr>
        <w:numPr>
          <w:ilvl w:val="12"/>
          <w:numId w:val="0"/>
        </w:numPr>
        <w:tabs>
          <w:tab w:val="clear" w:pos="567"/>
        </w:tabs>
        <w:spacing w:line="240" w:lineRule="auto"/>
        <w:ind w:right="-2"/>
        <w:rPr>
          <w:szCs w:val="22"/>
        </w:rPr>
      </w:pPr>
      <w:r w:rsidRPr="001775D9">
        <w:rPr>
          <w:szCs w:val="22"/>
        </w:rPr>
        <w:t xml:space="preserve">AMGEVITA is administered by injection under the skin (subcutaneous injection). </w:t>
      </w:r>
    </w:p>
    <w:p w14:paraId="3685FC16" w14:textId="77777777" w:rsidR="008E788D" w:rsidRPr="001775D9" w:rsidRDefault="008E788D" w:rsidP="006A71EE">
      <w:pPr>
        <w:numPr>
          <w:ilvl w:val="12"/>
          <w:numId w:val="0"/>
        </w:numPr>
        <w:tabs>
          <w:tab w:val="clear" w:pos="567"/>
        </w:tabs>
        <w:spacing w:line="240" w:lineRule="auto"/>
        <w:ind w:right="-2"/>
        <w:rPr>
          <w:szCs w:val="22"/>
        </w:rPr>
      </w:pPr>
    </w:p>
    <w:p w14:paraId="4D24974E" w14:textId="77777777" w:rsidR="008E788D" w:rsidRPr="001775D9" w:rsidRDefault="008E788D" w:rsidP="006A71EE">
      <w:pPr>
        <w:numPr>
          <w:ilvl w:val="12"/>
          <w:numId w:val="0"/>
        </w:numPr>
        <w:tabs>
          <w:tab w:val="clear" w:pos="567"/>
        </w:tabs>
        <w:spacing w:line="240" w:lineRule="auto"/>
        <w:ind w:right="-2"/>
        <w:rPr>
          <w:szCs w:val="22"/>
        </w:rPr>
      </w:pPr>
      <w:r w:rsidRPr="001775D9">
        <w:rPr>
          <w:szCs w:val="22"/>
        </w:rPr>
        <w:t xml:space="preserve">Detailed instructions on how to inject AMGEVITA are provided in “Instructions for use” section. </w:t>
      </w:r>
    </w:p>
    <w:p w14:paraId="0FCD77D6" w14:textId="77777777" w:rsidR="008E788D" w:rsidRPr="001775D9" w:rsidRDefault="008E788D" w:rsidP="006A71EE">
      <w:pPr>
        <w:numPr>
          <w:ilvl w:val="12"/>
          <w:numId w:val="0"/>
        </w:numPr>
        <w:tabs>
          <w:tab w:val="clear" w:pos="567"/>
        </w:tabs>
        <w:spacing w:line="240" w:lineRule="auto"/>
        <w:ind w:right="-2"/>
        <w:rPr>
          <w:szCs w:val="22"/>
        </w:rPr>
      </w:pPr>
    </w:p>
    <w:p w14:paraId="587B00D1" w14:textId="7337EC73" w:rsidR="008E788D" w:rsidRPr="001775D9" w:rsidRDefault="008E788D" w:rsidP="006A71EE">
      <w:pPr>
        <w:numPr>
          <w:ilvl w:val="12"/>
          <w:numId w:val="0"/>
        </w:numPr>
        <w:tabs>
          <w:tab w:val="clear" w:pos="567"/>
        </w:tabs>
        <w:spacing w:line="240" w:lineRule="auto"/>
        <w:ind w:right="-2"/>
        <w:outlineLvl w:val="0"/>
        <w:rPr>
          <w:szCs w:val="22"/>
        </w:rPr>
      </w:pPr>
      <w:r w:rsidRPr="001775D9">
        <w:rPr>
          <w:b/>
          <w:szCs w:val="22"/>
        </w:rPr>
        <w:t>If you use more AMGEVITA than you should</w:t>
      </w:r>
      <w:r w:rsidR="001C55FB" w:rsidRPr="001775D9">
        <w:rPr>
          <w:b/>
          <w:szCs w:val="22"/>
        </w:rPr>
        <w:fldChar w:fldCharType="begin"/>
      </w:r>
      <w:r w:rsidR="001C55FB" w:rsidRPr="001775D9">
        <w:rPr>
          <w:b/>
          <w:szCs w:val="22"/>
        </w:rPr>
        <w:instrText xml:space="preserve"> DOCVARIABLE vault_nd_40a19a4a-9bdc-4c59-aec0-92cbc9a1b37e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1DB34FC" w14:textId="77777777" w:rsidR="008E788D" w:rsidRPr="001775D9" w:rsidRDefault="008E788D" w:rsidP="006A71EE">
      <w:pPr>
        <w:numPr>
          <w:ilvl w:val="12"/>
          <w:numId w:val="0"/>
        </w:numPr>
        <w:tabs>
          <w:tab w:val="clear" w:pos="567"/>
        </w:tabs>
        <w:spacing w:line="240" w:lineRule="auto"/>
        <w:ind w:right="-2"/>
        <w:outlineLvl w:val="0"/>
        <w:rPr>
          <w:szCs w:val="22"/>
        </w:rPr>
      </w:pPr>
    </w:p>
    <w:p w14:paraId="518C5FF8" w14:textId="1E95A435" w:rsidR="008E788D" w:rsidRPr="001775D9" w:rsidRDefault="008E788D" w:rsidP="006A71EE">
      <w:pPr>
        <w:numPr>
          <w:ilvl w:val="12"/>
          <w:numId w:val="0"/>
        </w:numPr>
        <w:tabs>
          <w:tab w:val="clear" w:pos="567"/>
        </w:tabs>
        <w:spacing w:line="240" w:lineRule="auto"/>
        <w:ind w:right="-2"/>
        <w:outlineLvl w:val="0"/>
        <w:rPr>
          <w:szCs w:val="22"/>
        </w:rPr>
      </w:pPr>
      <w:r w:rsidRPr="001775D9">
        <w:rPr>
          <w:szCs w:val="22"/>
        </w:rPr>
        <w:t>If you accidentally inject AMGEVITA more frequently than told to by your doctor or pharmacist, call your doctor or pharmacist and tell him/her that you have taken more. Always take the outer carton of this medicine with you, even if it is empty.</w:t>
      </w:r>
      <w:r w:rsidR="001C55FB" w:rsidRPr="001775D9">
        <w:rPr>
          <w:szCs w:val="22"/>
        </w:rPr>
        <w:fldChar w:fldCharType="begin"/>
      </w:r>
      <w:r w:rsidR="001C55FB" w:rsidRPr="001775D9">
        <w:rPr>
          <w:szCs w:val="22"/>
        </w:rPr>
        <w:instrText xml:space="preserve"> DOCVARIABLE vault_nd_aa5f258b-83c6-44f2-807b-3c5d5d21abb7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114A7E52" w14:textId="77777777" w:rsidR="008E788D" w:rsidRPr="001775D9" w:rsidRDefault="008E788D" w:rsidP="006A71EE">
      <w:pPr>
        <w:numPr>
          <w:ilvl w:val="12"/>
          <w:numId w:val="0"/>
        </w:numPr>
        <w:tabs>
          <w:tab w:val="clear" w:pos="567"/>
        </w:tabs>
        <w:spacing w:line="240" w:lineRule="auto"/>
        <w:ind w:right="-2"/>
        <w:outlineLvl w:val="0"/>
        <w:rPr>
          <w:szCs w:val="22"/>
        </w:rPr>
      </w:pPr>
    </w:p>
    <w:p w14:paraId="71DCD65E" w14:textId="38D312BC" w:rsidR="008E788D" w:rsidRPr="001775D9" w:rsidRDefault="008E788D" w:rsidP="006A71EE">
      <w:pPr>
        <w:keepNext/>
        <w:numPr>
          <w:ilvl w:val="12"/>
          <w:numId w:val="0"/>
        </w:numPr>
        <w:tabs>
          <w:tab w:val="clear" w:pos="567"/>
        </w:tabs>
        <w:spacing w:line="240" w:lineRule="auto"/>
        <w:outlineLvl w:val="0"/>
        <w:rPr>
          <w:b/>
          <w:szCs w:val="22"/>
        </w:rPr>
      </w:pPr>
      <w:r w:rsidRPr="001775D9">
        <w:rPr>
          <w:b/>
          <w:szCs w:val="22"/>
        </w:rPr>
        <w:t>If you forget to use AMGEVITA</w:t>
      </w:r>
      <w:r w:rsidR="001C55FB" w:rsidRPr="001775D9">
        <w:rPr>
          <w:b/>
          <w:szCs w:val="22"/>
        </w:rPr>
        <w:fldChar w:fldCharType="begin"/>
      </w:r>
      <w:r w:rsidR="001C55FB" w:rsidRPr="001775D9">
        <w:rPr>
          <w:b/>
          <w:szCs w:val="22"/>
        </w:rPr>
        <w:instrText xml:space="preserve"> DOCVARIABLE vault_nd_60dd2def-a52f-479b-b612-6ba4114d5be8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018D866" w14:textId="77777777" w:rsidR="008E788D" w:rsidRPr="001775D9" w:rsidRDefault="008E788D" w:rsidP="006A71EE">
      <w:pPr>
        <w:keepNext/>
        <w:numPr>
          <w:ilvl w:val="12"/>
          <w:numId w:val="0"/>
        </w:numPr>
        <w:tabs>
          <w:tab w:val="clear" w:pos="567"/>
        </w:tabs>
        <w:spacing w:line="240" w:lineRule="auto"/>
        <w:outlineLvl w:val="0"/>
        <w:rPr>
          <w:b/>
          <w:szCs w:val="22"/>
        </w:rPr>
      </w:pPr>
    </w:p>
    <w:p w14:paraId="14328B76" w14:textId="164D813B" w:rsidR="008E788D" w:rsidRPr="001775D9" w:rsidRDefault="008E788D" w:rsidP="006A71EE">
      <w:pPr>
        <w:numPr>
          <w:ilvl w:val="12"/>
          <w:numId w:val="0"/>
        </w:numPr>
        <w:tabs>
          <w:tab w:val="clear" w:pos="567"/>
        </w:tabs>
        <w:spacing w:line="240" w:lineRule="auto"/>
        <w:ind w:right="-2"/>
        <w:outlineLvl w:val="0"/>
        <w:rPr>
          <w:szCs w:val="22"/>
        </w:rPr>
      </w:pPr>
      <w:r w:rsidRPr="001775D9">
        <w:rPr>
          <w:szCs w:val="22"/>
        </w:rPr>
        <w:t>If you forget to give yourself an injection, you should inject the next dose of AMGEVITA as soon as you remember. Then take your next dose as you would have on your originally scheduled day, had you not forgotten a dose.</w:t>
      </w:r>
      <w:r w:rsidR="001C55FB" w:rsidRPr="001775D9">
        <w:rPr>
          <w:szCs w:val="22"/>
        </w:rPr>
        <w:fldChar w:fldCharType="begin"/>
      </w:r>
      <w:r w:rsidR="001C55FB" w:rsidRPr="001775D9">
        <w:rPr>
          <w:szCs w:val="22"/>
        </w:rPr>
        <w:instrText xml:space="preserve"> DOCVARIABLE vault_nd_6b20a97b-2362-494f-8bfa-404386cc7a06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721CEF80" w14:textId="77777777" w:rsidR="008E788D" w:rsidRPr="001775D9" w:rsidRDefault="008E788D" w:rsidP="006A71EE">
      <w:pPr>
        <w:numPr>
          <w:ilvl w:val="12"/>
          <w:numId w:val="0"/>
        </w:numPr>
        <w:tabs>
          <w:tab w:val="clear" w:pos="567"/>
        </w:tabs>
        <w:spacing w:line="240" w:lineRule="auto"/>
        <w:ind w:right="-2"/>
        <w:rPr>
          <w:szCs w:val="22"/>
        </w:rPr>
      </w:pPr>
    </w:p>
    <w:p w14:paraId="5B1D0632" w14:textId="5ED710F7" w:rsidR="008E788D" w:rsidRPr="001775D9" w:rsidRDefault="008E788D" w:rsidP="006A71EE">
      <w:pPr>
        <w:keepNext/>
        <w:numPr>
          <w:ilvl w:val="12"/>
          <w:numId w:val="0"/>
        </w:numPr>
        <w:tabs>
          <w:tab w:val="clear" w:pos="567"/>
        </w:tabs>
        <w:spacing w:line="240" w:lineRule="auto"/>
        <w:outlineLvl w:val="0"/>
        <w:rPr>
          <w:b/>
          <w:szCs w:val="22"/>
        </w:rPr>
      </w:pPr>
      <w:r w:rsidRPr="001775D9">
        <w:rPr>
          <w:b/>
          <w:szCs w:val="22"/>
        </w:rPr>
        <w:t>If you stop using AMGEVITA</w:t>
      </w:r>
      <w:r w:rsidR="001C55FB" w:rsidRPr="001775D9">
        <w:rPr>
          <w:b/>
          <w:szCs w:val="22"/>
        </w:rPr>
        <w:fldChar w:fldCharType="begin"/>
      </w:r>
      <w:r w:rsidR="001C55FB" w:rsidRPr="001775D9">
        <w:rPr>
          <w:b/>
          <w:szCs w:val="22"/>
        </w:rPr>
        <w:instrText xml:space="preserve"> DOCVARIABLE vault_nd_e3cb9358-8db8-44ee-b0cb-c68fd5cd19b5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383A062" w14:textId="77777777" w:rsidR="008E788D" w:rsidRPr="001775D9" w:rsidRDefault="008E788D" w:rsidP="006A71EE">
      <w:pPr>
        <w:keepNext/>
        <w:numPr>
          <w:ilvl w:val="12"/>
          <w:numId w:val="0"/>
        </w:numPr>
        <w:tabs>
          <w:tab w:val="clear" w:pos="567"/>
        </w:tabs>
        <w:spacing w:line="240" w:lineRule="auto"/>
        <w:outlineLvl w:val="0"/>
        <w:rPr>
          <w:b/>
          <w:szCs w:val="22"/>
        </w:rPr>
      </w:pPr>
    </w:p>
    <w:p w14:paraId="6BAC7883" w14:textId="689A9E3C" w:rsidR="008E788D" w:rsidRPr="001775D9" w:rsidRDefault="008E788D" w:rsidP="006A71EE">
      <w:pPr>
        <w:keepNext/>
        <w:numPr>
          <w:ilvl w:val="12"/>
          <w:numId w:val="0"/>
        </w:numPr>
        <w:tabs>
          <w:tab w:val="clear" w:pos="567"/>
        </w:tabs>
        <w:spacing w:line="240" w:lineRule="auto"/>
        <w:outlineLvl w:val="0"/>
        <w:rPr>
          <w:szCs w:val="22"/>
        </w:rPr>
      </w:pPr>
      <w:r w:rsidRPr="001775D9">
        <w:rPr>
          <w:szCs w:val="22"/>
        </w:rPr>
        <w:t>The decision to stop using AMGEVITA should be discussed with your doctor. Your symptoms may return upon discontinuation.</w:t>
      </w:r>
      <w:r w:rsidR="001C55FB" w:rsidRPr="001775D9">
        <w:rPr>
          <w:szCs w:val="22"/>
        </w:rPr>
        <w:fldChar w:fldCharType="begin"/>
      </w:r>
      <w:r w:rsidR="001C55FB" w:rsidRPr="001775D9">
        <w:rPr>
          <w:szCs w:val="22"/>
        </w:rPr>
        <w:instrText xml:space="preserve"> DOCVARIABLE vault_nd_f86641ab-76b1-4b09-8a7a-422981b23950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52981A2C" w14:textId="77777777" w:rsidR="008E788D" w:rsidRPr="001775D9" w:rsidRDefault="008E788D" w:rsidP="006A71EE">
      <w:pPr>
        <w:numPr>
          <w:ilvl w:val="12"/>
          <w:numId w:val="0"/>
        </w:numPr>
        <w:tabs>
          <w:tab w:val="clear" w:pos="567"/>
        </w:tabs>
        <w:spacing w:line="240" w:lineRule="auto"/>
        <w:ind w:right="-2"/>
        <w:outlineLvl w:val="0"/>
        <w:rPr>
          <w:b/>
          <w:szCs w:val="22"/>
        </w:rPr>
      </w:pPr>
    </w:p>
    <w:p w14:paraId="3030E912" w14:textId="77777777" w:rsidR="008E788D" w:rsidRPr="001775D9" w:rsidRDefault="008E788D" w:rsidP="006A71EE">
      <w:pPr>
        <w:numPr>
          <w:ilvl w:val="12"/>
          <w:numId w:val="0"/>
        </w:numPr>
        <w:tabs>
          <w:tab w:val="clear" w:pos="567"/>
        </w:tabs>
        <w:spacing w:line="240" w:lineRule="auto"/>
        <w:ind w:right="-29"/>
      </w:pPr>
      <w:r w:rsidRPr="001775D9">
        <w:rPr>
          <w:szCs w:val="22"/>
        </w:rPr>
        <w:t>If you have any further questions on the use of this medicine, ask your doctor or pharmacist</w:t>
      </w:r>
      <w:r w:rsidRPr="001775D9">
        <w:t>.</w:t>
      </w:r>
    </w:p>
    <w:p w14:paraId="5F6A1E45" w14:textId="77777777" w:rsidR="008E788D" w:rsidRPr="001775D9" w:rsidRDefault="008E788D" w:rsidP="006A71EE">
      <w:pPr>
        <w:numPr>
          <w:ilvl w:val="12"/>
          <w:numId w:val="0"/>
        </w:numPr>
        <w:tabs>
          <w:tab w:val="clear" w:pos="567"/>
        </w:tabs>
        <w:spacing w:line="240" w:lineRule="auto"/>
      </w:pPr>
    </w:p>
    <w:p w14:paraId="051828E4" w14:textId="77777777" w:rsidR="008E788D" w:rsidRPr="001775D9" w:rsidRDefault="008E788D" w:rsidP="006A71EE">
      <w:pPr>
        <w:numPr>
          <w:ilvl w:val="12"/>
          <w:numId w:val="0"/>
        </w:numPr>
        <w:tabs>
          <w:tab w:val="clear" w:pos="567"/>
        </w:tabs>
        <w:spacing w:line="240" w:lineRule="auto"/>
      </w:pPr>
    </w:p>
    <w:p w14:paraId="0AE574EB" w14:textId="77777777" w:rsidR="008E788D" w:rsidRPr="001775D9" w:rsidRDefault="008E788D" w:rsidP="006A71EE">
      <w:pPr>
        <w:keepNext/>
        <w:numPr>
          <w:ilvl w:val="12"/>
          <w:numId w:val="0"/>
        </w:numPr>
        <w:tabs>
          <w:tab w:val="clear" w:pos="567"/>
        </w:tabs>
        <w:spacing w:line="240" w:lineRule="auto"/>
        <w:ind w:left="567" w:right="-2" w:hanging="567"/>
      </w:pPr>
      <w:r w:rsidRPr="001775D9">
        <w:rPr>
          <w:b/>
        </w:rPr>
        <w:t>4.</w:t>
      </w:r>
      <w:r w:rsidRPr="001775D9">
        <w:rPr>
          <w:b/>
        </w:rPr>
        <w:tab/>
        <w:t>Possible side effects</w:t>
      </w:r>
    </w:p>
    <w:p w14:paraId="1FC316CB" w14:textId="77777777" w:rsidR="008E788D" w:rsidRPr="001775D9" w:rsidRDefault="008E788D" w:rsidP="006A71EE">
      <w:pPr>
        <w:keepNext/>
        <w:numPr>
          <w:ilvl w:val="12"/>
          <w:numId w:val="0"/>
        </w:numPr>
        <w:tabs>
          <w:tab w:val="clear" w:pos="567"/>
        </w:tabs>
        <w:spacing w:line="240" w:lineRule="auto"/>
      </w:pPr>
    </w:p>
    <w:p w14:paraId="1A4E1ECC" w14:textId="77777777" w:rsidR="008E788D" w:rsidRPr="001775D9" w:rsidRDefault="008E788D" w:rsidP="00B61D9D">
      <w:pPr>
        <w:keepNext/>
        <w:spacing w:line="240" w:lineRule="auto"/>
      </w:pPr>
      <w:r w:rsidRPr="001775D9">
        <w:t xml:space="preserve">Like all medicines, this medicine can cause side effects, although not everybody gets them. Most side effects are mild to moderate. However, some may be serious and require treatment. Side effects may occur at least up to 4 months after the last </w:t>
      </w:r>
      <w:r w:rsidRPr="001775D9">
        <w:rPr>
          <w:szCs w:val="22"/>
        </w:rPr>
        <w:t>AMGEVITA</w:t>
      </w:r>
      <w:r w:rsidRPr="001775D9">
        <w:t xml:space="preserve"> injection. </w:t>
      </w:r>
    </w:p>
    <w:p w14:paraId="420042AA" w14:textId="77777777" w:rsidR="008E788D" w:rsidRPr="00D55B59" w:rsidRDefault="008E788D" w:rsidP="006A71EE">
      <w:pPr>
        <w:pStyle w:val="Default"/>
        <w:rPr>
          <w:sz w:val="22"/>
          <w:szCs w:val="22"/>
          <w:lang w:val="en-GB"/>
          <w:rPrChange w:id="4144" w:author="Author">
            <w:rPr>
              <w:sz w:val="22"/>
              <w:szCs w:val="22"/>
            </w:rPr>
          </w:rPrChange>
        </w:rPr>
      </w:pPr>
    </w:p>
    <w:p w14:paraId="1F0A4356" w14:textId="77777777" w:rsidR="008E788D" w:rsidRPr="00D55B59" w:rsidRDefault="008E788D" w:rsidP="006A71EE">
      <w:pPr>
        <w:pStyle w:val="Default"/>
        <w:rPr>
          <w:sz w:val="22"/>
          <w:szCs w:val="22"/>
          <w:lang w:val="en-GB"/>
          <w:rPrChange w:id="4145" w:author="Author">
            <w:rPr>
              <w:sz w:val="22"/>
              <w:szCs w:val="22"/>
            </w:rPr>
          </w:rPrChange>
        </w:rPr>
      </w:pPr>
      <w:r w:rsidRPr="00D55B59">
        <w:rPr>
          <w:sz w:val="22"/>
          <w:szCs w:val="22"/>
          <w:lang w:val="en-GB"/>
          <w:rPrChange w:id="4146" w:author="Author">
            <w:rPr>
              <w:sz w:val="22"/>
              <w:szCs w:val="22"/>
            </w:rPr>
          </w:rPrChange>
        </w:rPr>
        <w:t>Tell your doctor immediately if you notice any of the following signs of allergic reaction or heart failure:</w:t>
      </w:r>
    </w:p>
    <w:p w14:paraId="67C5E9F8" w14:textId="77777777" w:rsidR="008E788D" w:rsidRPr="001775D9" w:rsidRDefault="008E788D" w:rsidP="00B61D9D">
      <w:pPr>
        <w:numPr>
          <w:ilvl w:val="0"/>
          <w:numId w:val="13"/>
        </w:numPr>
        <w:spacing w:line="240" w:lineRule="auto"/>
        <w:ind w:left="567" w:hanging="567"/>
      </w:pPr>
      <w:r w:rsidRPr="001775D9">
        <w:t xml:space="preserve">severe rash, hives or other signs of allergic reaction; </w:t>
      </w:r>
    </w:p>
    <w:p w14:paraId="2EADC3FC" w14:textId="77777777" w:rsidR="008E788D" w:rsidRPr="001775D9" w:rsidRDefault="008E788D" w:rsidP="00B61D9D">
      <w:pPr>
        <w:numPr>
          <w:ilvl w:val="0"/>
          <w:numId w:val="13"/>
        </w:numPr>
        <w:spacing w:line="240" w:lineRule="auto"/>
        <w:ind w:left="567" w:hanging="567"/>
      </w:pPr>
      <w:r w:rsidRPr="001775D9">
        <w:t xml:space="preserve">swollen face, hands, feet; </w:t>
      </w:r>
    </w:p>
    <w:p w14:paraId="5B445BCF" w14:textId="77777777" w:rsidR="008E788D" w:rsidRPr="001775D9" w:rsidRDefault="008E788D" w:rsidP="00B61D9D">
      <w:pPr>
        <w:numPr>
          <w:ilvl w:val="0"/>
          <w:numId w:val="13"/>
        </w:numPr>
        <w:spacing w:line="240" w:lineRule="auto"/>
        <w:ind w:left="567" w:hanging="567"/>
      </w:pPr>
      <w:r w:rsidRPr="001775D9">
        <w:t xml:space="preserve">trouble breathing, swallowing; </w:t>
      </w:r>
    </w:p>
    <w:p w14:paraId="6882F60E" w14:textId="77777777" w:rsidR="008E788D" w:rsidRPr="001775D9" w:rsidRDefault="008E788D" w:rsidP="00B61D9D">
      <w:pPr>
        <w:numPr>
          <w:ilvl w:val="0"/>
          <w:numId w:val="13"/>
        </w:numPr>
        <w:spacing w:line="240" w:lineRule="auto"/>
        <w:ind w:left="567" w:hanging="567"/>
      </w:pPr>
      <w:r w:rsidRPr="001775D9">
        <w:t>shortness of breath with exertion or upon lying down or swelling of the feet.</w:t>
      </w:r>
    </w:p>
    <w:p w14:paraId="03265979" w14:textId="77777777" w:rsidR="008E788D" w:rsidRPr="00D55B59" w:rsidRDefault="008E788D" w:rsidP="006A71EE">
      <w:pPr>
        <w:pStyle w:val="Default"/>
        <w:rPr>
          <w:sz w:val="22"/>
          <w:szCs w:val="22"/>
          <w:lang w:val="en-GB"/>
          <w:rPrChange w:id="4147" w:author="Author">
            <w:rPr>
              <w:sz w:val="22"/>
              <w:szCs w:val="22"/>
            </w:rPr>
          </w:rPrChange>
        </w:rPr>
      </w:pPr>
    </w:p>
    <w:p w14:paraId="71431706" w14:textId="77777777" w:rsidR="008E788D" w:rsidRPr="00D55B59" w:rsidRDefault="008E788D" w:rsidP="006A71EE">
      <w:pPr>
        <w:pStyle w:val="Default"/>
        <w:keepNext/>
        <w:keepLines/>
        <w:rPr>
          <w:sz w:val="22"/>
          <w:szCs w:val="22"/>
          <w:lang w:val="en-GB"/>
          <w:rPrChange w:id="4148" w:author="Author">
            <w:rPr>
              <w:sz w:val="22"/>
              <w:szCs w:val="22"/>
            </w:rPr>
          </w:rPrChange>
        </w:rPr>
      </w:pPr>
      <w:r w:rsidRPr="00D55B59">
        <w:rPr>
          <w:sz w:val="22"/>
          <w:szCs w:val="22"/>
          <w:lang w:val="en-GB"/>
          <w:rPrChange w:id="4149" w:author="Author">
            <w:rPr>
              <w:sz w:val="22"/>
              <w:szCs w:val="22"/>
            </w:rPr>
          </w:rPrChange>
        </w:rPr>
        <w:t xml:space="preserve">Tell your doctor as soon as possible if you notice any of the following: </w:t>
      </w:r>
    </w:p>
    <w:p w14:paraId="35D7377F" w14:textId="77777777" w:rsidR="008E788D" w:rsidRPr="001775D9" w:rsidRDefault="008E788D" w:rsidP="00B61D9D">
      <w:pPr>
        <w:keepNext/>
        <w:keepLines/>
        <w:numPr>
          <w:ilvl w:val="0"/>
          <w:numId w:val="14"/>
        </w:numPr>
        <w:spacing w:line="240" w:lineRule="auto"/>
        <w:ind w:left="567" w:hanging="567"/>
      </w:pPr>
      <w:r w:rsidRPr="001775D9">
        <w:t xml:space="preserve">signs of infection such as fever, feeling sick, wounds, dental problems, burning on urination; </w:t>
      </w:r>
    </w:p>
    <w:p w14:paraId="1C78C65A" w14:textId="77777777" w:rsidR="008E788D" w:rsidRPr="001775D9" w:rsidRDefault="008E788D" w:rsidP="00B61D9D">
      <w:pPr>
        <w:keepNext/>
        <w:keepLines/>
        <w:numPr>
          <w:ilvl w:val="0"/>
          <w:numId w:val="14"/>
        </w:numPr>
        <w:spacing w:line="240" w:lineRule="auto"/>
        <w:ind w:left="567" w:hanging="567"/>
      </w:pPr>
      <w:r w:rsidRPr="001775D9">
        <w:t xml:space="preserve">feeling weak or tired; </w:t>
      </w:r>
    </w:p>
    <w:p w14:paraId="605E1B8C" w14:textId="77777777" w:rsidR="008E788D" w:rsidRPr="001775D9" w:rsidRDefault="008E788D" w:rsidP="00B61D9D">
      <w:pPr>
        <w:numPr>
          <w:ilvl w:val="0"/>
          <w:numId w:val="14"/>
        </w:numPr>
        <w:spacing w:line="240" w:lineRule="auto"/>
        <w:ind w:left="567" w:hanging="567"/>
      </w:pPr>
      <w:r w:rsidRPr="001775D9">
        <w:t xml:space="preserve">coughing; </w:t>
      </w:r>
    </w:p>
    <w:p w14:paraId="1553B430" w14:textId="77777777" w:rsidR="008E788D" w:rsidRPr="001775D9" w:rsidRDefault="008E788D" w:rsidP="00B61D9D">
      <w:pPr>
        <w:numPr>
          <w:ilvl w:val="0"/>
          <w:numId w:val="14"/>
        </w:numPr>
        <w:spacing w:line="240" w:lineRule="auto"/>
        <w:ind w:left="567" w:hanging="567"/>
      </w:pPr>
      <w:r w:rsidRPr="001775D9">
        <w:t xml:space="preserve">tingling; </w:t>
      </w:r>
    </w:p>
    <w:p w14:paraId="47343F3F" w14:textId="77777777" w:rsidR="008E788D" w:rsidRPr="001775D9" w:rsidRDefault="008E788D" w:rsidP="00B61D9D">
      <w:pPr>
        <w:numPr>
          <w:ilvl w:val="0"/>
          <w:numId w:val="14"/>
        </w:numPr>
        <w:spacing w:line="240" w:lineRule="auto"/>
        <w:ind w:left="567" w:hanging="567"/>
      </w:pPr>
      <w:r w:rsidRPr="001775D9">
        <w:t xml:space="preserve">numbness; </w:t>
      </w:r>
    </w:p>
    <w:p w14:paraId="3A6B3B5D" w14:textId="77777777" w:rsidR="008E788D" w:rsidRPr="001775D9" w:rsidRDefault="008E788D" w:rsidP="00B61D9D">
      <w:pPr>
        <w:numPr>
          <w:ilvl w:val="0"/>
          <w:numId w:val="14"/>
        </w:numPr>
        <w:spacing w:line="240" w:lineRule="auto"/>
        <w:ind w:left="567" w:hanging="567"/>
      </w:pPr>
      <w:r w:rsidRPr="001775D9">
        <w:t xml:space="preserve">double vision; </w:t>
      </w:r>
    </w:p>
    <w:p w14:paraId="3ED132B5" w14:textId="77777777" w:rsidR="008E788D" w:rsidRPr="001775D9" w:rsidRDefault="008E788D" w:rsidP="00B61D9D">
      <w:pPr>
        <w:numPr>
          <w:ilvl w:val="0"/>
          <w:numId w:val="14"/>
        </w:numPr>
        <w:spacing w:line="240" w:lineRule="auto"/>
        <w:ind w:left="567" w:hanging="567"/>
      </w:pPr>
      <w:r w:rsidRPr="001775D9">
        <w:t xml:space="preserve">arm or leg weakness; </w:t>
      </w:r>
    </w:p>
    <w:p w14:paraId="7A930E03" w14:textId="77777777" w:rsidR="008E788D" w:rsidRPr="001775D9" w:rsidRDefault="008E788D" w:rsidP="00B61D9D">
      <w:pPr>
        <w:numPr>
          <w:ilvl w:val="0"/>
          <w:numId w:val="14"/>
        </w:numPr>
        <w:spacing w:line="240" w:lineRule="auto"/>
        <w:ind w:left="567" w:hanging="567"/>
      </w:pPr>
      <w:r w:rsidRPr="001775D9">
        <w:t>signs of skin cancer such as a bump or open sore that doesn't heal;</w:t>
      </w:r>
    </w:p>
    <w:p w14:paraId="768D7522" w14:textId="77777777" w:rsidR="008E788D" w:rsidRPr="001775D9" w:rsidRDefault="008E788D" w:rsidP="00B61D9D">
      <w:pPr>
        <w:numPr>
          <w:ilvl w:val="0"/>
          <w:numId w:val="14"/>
        </w:numPr>
        <w:spacing w:line="240" w:lineRule="auto"/>
        <w:ind w:left="567" w:hanging="567"/>
      </w:pPr>
      <w:r w:rsidRPr="001775D9">
        <w:t>signs and symptoms suggestive of blood disorders such as persistent fever, bruising, bleeding, paleness.</w:t>
      </w:r>
    </w:p>
    <w:p w14:paraId="2BD396DC" w14:textId="77777777" w:rsidR="008E788D" w:rsidRPr="001775D9" w:rsidRDefault="008E788D" w:rsidP="006A71EE">
      <w:pPr>
        <w:numPr>
          <w:ilvl w:val="12"/>
          <w:numId w:val="0"/>
        </w:numPr>
        <w:tabs>
          <w:tab w:val="clear" w:pos="567"/>
        </w:tabs>
        <w:spacing w:line="240" w:lineRule="auto"/>
        <w:ind w:right="-29"/>
        <w:rPr>
          <w:szCs w:val="22"/>
        </w:rPr>
      </w:pPr>
    </w:p>
    <w:p w14:paraId="6F4F32FC" w14:textId="77777777" w:rsidR="008E788D" w:rsidRPr="00D55B59" w:rsidRDefault="008E788D" w:rsidP="006A71EE">
      <w:pPr>
        <w:pStyle w:val="Default"/>
        <w:rPr>
          <w:sz w:val="22"/>
          <w:szCs w:val="22"/>
          <w:lang w:val="en-GB"/>
          <w:rPrChange w:id="4150" w:author="Author">
            <w:rPr>
              <w:sz w:val="22"/>
              <w:szCs w:val="22"/>
            </w:rPr>
          </w:rPrChange>
        </w:rPr>
      </w:pPr>
      <w:r w:rsidRPr="00D55B59">
        <w:rPr>
          <w:sz w:val="22"/>
          <w:szCs w:val="22"/>
          <w:lang w:val="en-GB"/>
          <w:rPrChange w:id="4151" w:author="Author">
            <w:rPr>
              <w:sz w:val="22"/>
              <w:szCs w:val="22"/>
            </w:rPr>
          </w:rPrChange>
        </w:rPr>
        <w:t xml:space="preserve">The symptoms described above can be signs of the below listed side effects, which have been observed with adalimumab. </w:t>
      </w:r>
    </w:p>
    <w:p w14:paraId="4C63EF2C" w14:textId="77777777" w:rsidR="008E788D" w:rsidRPr="00D55B59" w:rsidRDefault="008E788D" w:rsidP="006A71EE">
      <w:pPr>
        <w:pStyle w:val="Default"/>
        <w:rPr>
          <w:sz w:val="22"/>
          <w:szCs w:val="22"/>
          <w:lang w:val="en-GB"/>
          <w:rPrChange w:id="4152" w:author="Author">
            <w:rPr>
              <w:sz w:val="22"/>
              <w:szCs w:val="22"/>
            </w:rPr>
          </w:rPrChange>
        </w:rPr>
      </w:pPr>
    </w:p>
    <w:p w14:paraId="30DB4E1E" w14:textId="77777777" w:rsidR="008E788D" w:rsidRPr="00D55B59" w:rsidRDefault="008E788D" w:rsidP="006A71EE">
      <w:pPr>
        <w:pStyle w:val="Default"/>
        <w:rPr>
          <w:sz w:val="22"/>
          <w:szCs w:val="22"/>
          <w:lang w:val="en-GB"/>
          <w:rPrChange w:id="4153" w:author="Author">
            <w:rPr>
              <w:sz w:val="22"/>
              <w:szCs w:val="22"/>
            </w:rPr>
          </w:rPrChange>
        </w:rPr>
      </w:pPr>
      <w:r w:rsidRPr="00D55B59">
        <w:rPr>
          <w:sz w:val="22"/>
          <w:szCs w:val="22"/>
          <w:lang w:val="en-GB"/>
          <w:rPrChange w:id="4154" w:author="Author">
            <w:rPr>
              <w:sz w:val="22"/>
              <w:szCs w:val="22"/>
            </w:rPr>
          </w:rPrChange>
        </w:rPr>
        <w:t xml:space="preserve">Very common (may affect more than 1 in 10 people) </w:t>
      </w:r>
    </w:p>
    <w:p w14:paraId="68509449" w14:textId="77777777" w:rsidR="008E788D" w:rsidRPr="001775D9" w:rsidRDefault="008E788D" w:rsidP="00B61D9D">
      <w:pPr>
        <w:numPr>
          <w:ilvl w:val="0"/>
          <w:numId w:val="15"/>
        </w:numPr>
        <w:spacing w:line="240" w:lineRule="auto"/>
        <w:ind w:left="567" w:hanging="567"/>
      </w:pPr>
      <w:r w:rsidRPr="001775D9">
        <w:t xml:space="preserve">injection site reactions (including pain, swelling, redness or itching); </w:t>
      </w:r>
    </w:p>
    <w:p w14:paraId="7655A7FB" w14:textId="77777777" w:rsidR="008E788D" w:rsidRPr="001775D9" w:rsidRDefault="008E788D" w:rsidP="00B61D9D">
      <w:pPr>
        <w:numPr>
          <w:ilvl w:val="0"/>
          <w:numId w:val="15"/>
        </w:numPr>
        <w:spacing w:line="240" w:lineRule="auto"/>
        <w:ind w:left="567" w:hanging="567"/>
      </w:pPr>
      <w:r w:rsidRPr="001775D9">
        <w:t xml:space="preserve">respiratory tract infections (including cold, runny nose, sinus infection, pneumonia); </w:t>
      </w:r>
    </w:p>
    <w:p w14:paraId="4F1A44DD" w14:textId="77777777" w:rsidR="008E788D" w:rsidRPr="001775D9" w:rsidRDefault="008E788D" w:rsidP="00B61D9D">
      <w:pPr>
        <w:numPr>
          <w:ilvl w:val="0"/>
          <w:numId w:val="15"/>
        </w:numPr>
        <w:spacing w:line="240" w:lineRule="auto"/>
        <w:ind w:left="567" w:hanging="567"/>
      </w:pPr>
      <w:r w:rsidRPr="001775D9">
        <w:t xml:space="preserve">headache; </w:t>
      </w:r>
    </w:p>
    <w:p w14:paraId="3DD0B5B7" w14:textId="77777777" w:rsidR="008E788D" w:rsidRPr="001775D9" w:rsidRDefault="008E788D" w:rsidP="00B61D9D">
      <w:pPr>
        <w:numPr>
          <w:ilvl w:val="0"/>
          <w:numId w:val="15"/>
        </w:numPr>
        <w:spacing w:line="240" w:lineRule="auto"/>
        <w:ind w:left="567" w:hanging="567"/>
      </w:pPr>
      <w:r w:rsidRPr="001775D9">
        <w:t xml:space="preserve">abdominal pain; </w:t>
      </w:r>
    </w:p>
    <w:p w14:paraId="0AD808BF" w14:textId="77777777" w:rsidR="008E788D" w:rsidRPr="001775D9" w:rsidRDefault="008E788D" w:rsidP="00B61D9D">
      <w:pPr>
        <w:numPr>
          <w:ilvl w:val="0"/>
          <w:numId w:val="15"/>
        </w:numPr>
        <w:spacing w:line="240" w:lineRule="auto"/>
        <w:ind w:left="567" w:hanging="567"/>
      </w:pPr>
      <w:r w:rsidRPr="001775D9">
        <w:t>nausea and vomiting;</w:t>
      </w:r>
    </w:p>
    <w:p w14:paraId="1CD44402" w14:textId="77777777" w:rsidR="008E788D" w:rsidRPr="00F04F82" w:rsidRDefault="008E788D" w:rsidP="00D55B59">
      <w:pPr>
        <w:numPr>
          <w:ilvl w:val="0"/>
          <w:numId w:val="15"/>
        </w:numPr>
        <w:spacing w:line="240" w:lineRule="auto"/>
        <w:ind w:left="567" w:hanging="567"/>
        <w:rPr>
          <w:szCs w:val="22"/>
        </w:rPr>
        <w:pPrChange w:id="4155" w:author="Author">
          <w:pPr>
            <w:pStyle w:val="Default"/>
            <w:numPr>
              <w:numId w:val="15"/>
            </w:numPr>
            <w:ind w:left="567" w:hanging="567"/>
          </w:pPr>
        </w:pPrChange>
      </w:pPr>
      <w:r w:rsidRPr="001775D9">
        <w:rPr>
          <w:szCs w:val="22"/>
        </w:rPr>
        <w:t xml:space="preserve">rash; </w:t>
      </w:r>
    </w:p>
    <w:p w14:paraId="1641B22F" w14:textId="77777777" w:rsidR="008E788D" w:rsidRPr="00F04F82" w:rsidRDefault="008E788D" w:rsidP="00D55B59">
      <w:pPr>
        <w:numPr>
          <w:ilvl w:val="0"/>
          <w:numId w:val="15"/>
        </w:numPr>
        <w:spacing w:line="240" w:lineRule="auto"/>
        <w:ind w:left="567" w:hanging="567"/>
        <w:rPr>
          <w:szCs w:val="22"/>
        </w:rPr>
        <w:pPrChange w:id="4156" w:author="Author">
          <w:pPr>
            <w:pStyle w:val="Default"/>
            <w:numPr>
              <w:numId w:val="15"/>
            </w:numPr>
            <w:ind w:left="567" w:hanging="567"/>
          </w:pPr>
        </w:pPrChange>
      </w:pPr>
      <w:r w:rsidRPr="001775D9">
        <w:rPr>
          <w:szCs w:val="22"/>
        </w:rPr>
        <w:t xml:space="preserve">musculoskeletal pain. </w:t>
      </w:r>
    </w:p>
    <w:p w14:paraId="715D640D" w14:textId="77777777" w:rsidR="008E788D" w:rsidRPr="001775D9" w:rsidRDefault="008E788D" w:rsidP="006A71EE">
      <w:pPr>
        <w:numPr>
          <w:ilvl w:val="12"/>
          <w:numId w:val="0"/>
        </w:numPr>
        <w:tabs>
          <w:tab w:val="clear" w:pos="567"/>
        </w:tabs>
        <w:spacing w:line="240" w:lineRule="auto"/>
        <w:outlineLvl w:val="0"/>
        <w:rPr>
          <w:b/>
          <w:szCs w:val="22"/>
        </w:rPr>
      </w:pPr>
    </w:p>
    <w:p w14:paraId="26D442A8" w14:textId="77777777" w:rsidR="008E788D" w:rsidRPr="00D55B59" w:rsidRDefault="008E788D" w:rsidP="006A71EE">
      <w:pPr>
        <w:pStyle w:val="Default"/>
        <w:rPr>
          <w:sz w:val="22"/>
          <w:szCs w:val="22"/>
          <w:lang w:val="en-GB"/>
          <w:rPrChange w:id="4157" w:author="Author">
            <w:rPr>
              <w:sz w:val="22"/>
              <w:szCs w:val="22"/>
            </w:rPr>
          </w:rPrChange>
        </w:rPr>
      </w:pPr>
      <w:r w:rsidRPr="00D55B59">
        <w:rPr>
          <w:sz w:val="22"/>
          <w:szCs w:val="22"/>
          <w:lang w:val="en-GB"/>
          <w:rPrChange w:id="4158" w:author="Author">
            <w:rPr>
              <w:sz w:val="22"/>
              <w:szCs w:val="22"/>
            </w:rPr>
          </w:rPrChange>
        </w:rPr>
        <w:t xml:space="preserve">Common (may affect up to 1 in 10 people) </w:t>
      </w:r>
    </w:p>
    <w:p w14:paraId="380DEB4B" w14:textId="77777777" w:rsidR="008E788D" w:rsidRPr="001775D9" w:rsidRDefault="008E788D" w:rsidP="00B61D9D">
      <w:pPr>
        <w:numPr>
          <w:ilvl w:val="0"/>
          <w:numId w:val="16"/>
        </w:numPr>
        <w:spacing w:line="240" w:lineRule="auto"/>
        <w:ind w:left="567" w:hanging="567"/>
      </w:pPr>
      <w:r w:rsidRPr="001775D9">
        <w:t xml:space="preserve">serious infections (including blood poisoning and influenza); </w:t>
      </w:r>
    </w:p>
    <w:p w14:paraId="090861EF" w14:textId="77777777" w:rsidR="008E788D" w:rsidRPr="00F04F82" w:rsidRDefault="008E788D" w:rsidP="00D55B59">
      <w:pPr>
        <w:numPr>
          <w:ilvl w:val="0"/>
          <w:numId w:val="16"/>
        </w:numPr>
        <w:spacing w:line="240" w:lineRule="auto"/>
        <w:ind w:left="567" w:hanging="567"/>
        <w:pPrChange w:id="4159" w:author="Author">
          <w:pPr>
            <w:numPr>
              <w:numId w:val="16"/>
            </w:numPr>
            <w:tabs>
              <w:tab w:val="clear" w:pos="567"/>
            </w:tabs>
            <w:suppressAutoHyphens/>
            <w:spacing w:line="240" w:lineRule="auto"/>
            <w:ind w:left="567" w:hanging="567"/>
          </w:pPr>
        </w:pPrChange>
      </w:pPr>
      <w:r w:rsidRPr="001775D9">
        <w:t>intestinal infections (including gastroenteritis);</w:t>
      </w:r>
    </w:p>
    <w:p w14:paraId="21A1BE74" w14:textId="77777777" w:rsidR="008E788D" w:rsidRPr="001775D9" w:rsidRDefault="008E788D" w:rsidP="00B61D9D">
      <w:pPr>
        <w:numPr>
          <w:ilvl w:val="0"/>
          <w:numId w:val="16"/>
        </w:numPr>
        <w:spacing w:line="240" w:lineRule="auto"/>
        <w:ind w:left="567" w:hanging="567"/>
      </w:pPr>
      <w:r w:rsidRPr="001775D9">
        <w:t xml:space="preserve">skin infections (including cellulitis and shingles); </w:t>
      </w:r>
    </w:p>
    <w:p w14:paraId="55143D8F" w14:textId="77777777" w:rsidR="008E788D" w:rsidRPr="001775D9" w:rsidRDefault="008E788D" w:rsidP="00B61D9D">
      <w:pPr>
        <w:numPr>
          <w:ilvl w:val="0"/>
          <w:numId w:val="16"/>
        </w:numPr>
        <w:spacing w:line="240" w:lineRule="auto"/>
        <w:ind w:left="567" w:hanging="567"/>
      </w:pPr>
      <w:r w:rsidRPr="001775D9">
        <w:t xml:space="preserve">ear infections; </w:t>
      </w:r>
    </w:p>
    <w:p w14:paraId="048A737D" w14:textId="77777777" w:rsidR="008E788D" w:rsidRPr="001775D9" w:rsidRDefault="008E788D" w:rsidP="00B61D9D">
      <w:pPr>
        <w:numPr>
          <w:ilvl w:val="0"/>
          <w:numId w:val="16"/>
        </w:numPr>
        <w:spacing w:line="240" w:lineRule="auto"/>
        <w:ind w:left="567" w:hanging="567"/>
      </w:pPr>
      <w:r w:rsidRPr="001775D9">
        <w:t xml:space="preserve">oral infections (including tooth infections and cold sores); </w:t>
      </w:r>
    </w:p>
    <w:p w14:paraId="4E7D4266" w14:textId="77777777" w:rsidR="008E788D" w:rsidRPr="001775D9" w:rsidRDefault="008E788D" w:rsidP="00B61D9D">
      <w:pPr>
        <w:numPr>
          <w:ilvl w:val="0"/>
          <w:numId w:val="16"/>
        </w:numPr>
        <w:spacing w:line="240" w:lineRule="auto"/>
        <w:ind w:left="567" w:hanging="567"/>
      </w:pPr>
      <w:r w:rsidRPr="001775D9">
        <w:t xml:space="preserve">reproductive tract infections; </w:t>
      </w:r>
    </w:p>
    <w:p w14:paraId="3669218A" w14:textId="77777777" w:rsidR="008E788D" w:rsidRPr="001775D9" w:rsidRDefault="008E788D" w:rsidP="00B61D9D">
      <w:pPr>
        <w:numPr>
          <w:ilvl w:val="0"/>
          <w:numId w:val="16"/>
        </w:numPr>
        <w:spacing w:line="240" w:lineRule="auto"/>
        <w:ind w:left="567" w:hanging="567"/>
      </w:pPr>
      <w:r w:rsidRPr="001775D9">
        <w:t xml:space="preserve">urinary tract infection; </w:t>
      </w:r>
    </w:p>
    <w:p w14:paraId="7A3886D8" w14:textId="77777777" w:rsidR="008E788D" w:rsidRPr="001775D9" w:rsidRDefault="008E788D" w:rsidP="00B61D9D">
      <w:pPr>
        <w:numPr>
          <w:ilvl w:val="0"/>
          <w:numId w:val="16"/>
        </w:numPr>
        <w:spacing w:line="240" w:lineRule="auto"/>
        <w:ind w:left="567" w:hanging="567"/>
      </w:pPr>
      <w:r w:rsidRPr="001775D9">
        <w:t xml:space="preserve">fungal infections; </w:t>
      </w:r>
    </w:p>
    <w:p w14:paraId="6599F2E5" w14:textId="77777777" w:rsidR="008E788D" w:rsidRPr="001775D9" w:rsidRDefault="008E788D" w:rsidP="00B61D9D">
      <w:pPr>
        <w:numPr>
          <w:ilvl w:val="0"/>
          <w:numId w:val="16"/>
        </w:numPr>
        <w:spacing w:line="240" w:lineRule="auto"/>
        <w:ind w:left="567" w:hanging="567"/>
      </w:pPr>
      <w:r w:rsidRPr="001775D9">
        <w:t xml:space="preserve">joint infections; </w:t>
      </w:r>
    </w:p>
    <w:p w14:paraId="5E0820B8" w14:textId="77777777" w:rsidR="008E788D" w:rsidRPr="001775D9" w:rsidRDefault="008E788D" w:rsidP="00B61D9D">
      <w:pPr>
        <w:numPr>
          <w:ilvl w:val="0"/>
          <w:numId w:val="16"/>
        </w:numPr>
        <w:spacing w:line="240" w:lineRule="auto"/>
        <w:ind w:left="567" w:hanging="567"/>
      </w:pPr>
      <w:r w:rsidRPr="001775D9">
        <w:t xml:space="preserve">benign tumours; </w:t>
      </w:r>
    </w:p>
    <w:p w14:paraId="78DC1166" w14:textId="77777777" w:rsidR="008E788D" w:rsidRPr="001775D9" w:rsidRDefault="008E788D" w:rsidP="00B61D9D">
      <w:pPr>
        <w:numPr>
          <w:ilvl w:val="0"/>
          <w:numId w:val="16"/>
        </w:numPr>
        <w:spacing w:line="240" w:lineRule="auto"/>
        <w:ind w:left="567" w:hanging="567"/>
      </w:pPr>
      <w:r w:rsidRPr="001775D9">
        <w:t xml:space="preserve">skin cancer; </w:t>
      </w:r>
    </w:p>
    <w:p w14:paraId="2D947F1A" w14:textId="77777777" w:rsidR="008E788D" w:rsidRPr="001775D9" w:rsidRDefault="008E788D" w:rsidP="00B61D9D">
      <w:pPr>
        <w:numPr>
          <w:ilvl w:val="0"/>
          <w:numId w:val="16"/>
        </w:numPr>
        <w:spacing w:line="240" w:lineRule="auto"/>
        <w:ind w:left="567" w:hanging="567"/>
      </w:pPr>
      <w:r w:rsidRPr="001775D9">
        <w:t xml:space="preserve">allergic reactions (including seasonal allergy); </w:t>
      </w:r>
    </w:p>
    <w:p w14:paraId="34DCC477" w14:textId="77777777" w:rsidR="008E788D" w:rsidRPr="001775D9" w:rsidRDefault="008E788D" w:rsidP="00B61D9D">
      <w:pPr>
        <w:numPr>
          <w:ilvl w:val="0"/>
          <w:numId w:val="16"/>
        </w:numPr>
        <w:spacing w:line="240" w:lineRule="auto"/>
        <w:ind w:left="567" w:hanging="567"/>
      </w:pPr>
      <w:r w:rsidRPr="001775D9">
        <w:t xml:space="preserve">dehydration; </w:t>
      </w:r>
    </w:p>
    <w:p w14:paraId="1469CFAB" w14:textId="77777777" w:rsidR="008E788D" w:rsidRPr="001775D9" w:rsidRDefault="008E788D" w:rsidP="00B61D9D">
      <w:pPr>
        <w:numPr>
          <w:ilvl w:val="0"/>
          <w:numId w:val="16"/>
        </w:numPr>
        <w:spacing w:line="240" w:lineRule="auto"/>
        <w:ind w:left="567" w:hanging="567"/>
      </w:pPr>
      <w:r w:rsidRPr="001775D9">
        <w:t xml:space="preserve">mood swings (including depression); </w:t>
      </w:r>
    </w:p>
    <w:p w14:paraId="3A507CB5" w14:textId="77777777" w:rsidR="008E788D" w:rsidRPr="001775D9" w:rsidRDefault="008E788D" w:rsidP="00B61D9D">
      <w:pPr>
        <w:numPr>
          <w:ilvl w:val="0"/>
          <w:numId w:val="16"/>
        </w:numPr>
        <w:spacing w:line="240" w:lineRule="auto"/>
        <w:ind w:left="567" w:hanging="567"/>
      </w:pPr>
      <w:r w:rsidRPr="001775D9">
        <w:t xml:space="preserve">anxiety; </w:t>
      </w:r>
    </w:p>
    <w:p w14:paraId="3CCCFE53" w14:textId="77777777" w:rsidR="008E788D" w:rsidRPr="001775D9" w:rsidRDefault="008E788D" w:rsidP="00B61D9D">
      <w:pPr>
        <w:numPr>
          <w:ilvl w:val="0"/>
          <w:numId w:val="16"/>
        </w:numPr>
        <w:spacing w:line="240" w:lineRule="auto"/>
        <w:ind w:left="567" w:hanging="567"/>
      </w:pPr>
      <w:r w:rsidRPr="001775D9">
        <w:t xml:space="preserve">difficulty sleeping; </w:t>
      </w:r>
    </w:p>
    <w:p w14:paraId="1F459670" w14:textId="77777777" w:rsidR="008E788D" w:rsidRPr="001775D9" w:rsidRDefault="008E788D" w:rsidP="00B61D9D">
      <w:pPr>
        <w:numPr>
          <w:ilvl w:val="0"/>
          <w:numId w:val="16"/>
        </w:numPr>
        <w:spacing w:line="240" w:lineRule="auto"/>
        <w:ind w:left="567" w:hanging="567"/>
      </w:pPr>
      <w:r w:rsidRPr="001775D9">
        <w:t xml:space="preserve">sensation disorders such as tingling, prickling or numbness; </w:t>
      </w:r>
    </w:p>
    <w:p w14:paraId="4BA909D3" w14:textId="77777777" w:rsidR="008E788D" w:rsidRPr="001775D9" w:rsidRDefault="008E788D" w:rsidP="00B61D9D">
      <w:pPr>
        <w:numPr>
          <w:ilvl w:val="0"/>
          <w:numId w:val="16"/>
        </w:numPr>
        <w:spacing w:line="240" w:lineRule="auto"/>
        <w:ind w:left="567" w:hanging="567"/>
      </w:pPr>
      <w:r w:rsidRPr="001775D9">
        <w:t xml:space="preserve">migraine; </w:t>
      </w:r>
    </w:p>
    <w:p w14:paraId="2EEAB3E7" w14:textId="77777777" w:rsidR="008E788D" w:rsidRPr="001775D9" w:rsidRDefault="008E788D" w:rsidP="00B61D9D">
      <w:pPr>
        <w:numPr>
          <w:ilvl w:val="0"/>
          <w:numId w:val="16"/>
        </w:numPr>
        <w:spacing w:line="240" w:lineRule="auto"/>
        <w:ind w:left="567" w:hanging="567"/>
      </w:pPr>
      <w:r w:rsidRPr="001775D9">
        <w:t xml:space="preserve">nerve root compression (including low back pain and leg pain); </w:t>
      </w:r>
    </w:p>
    <w:p w14:paraId="7D046CFF" w14:textId="77777777" w:rsidR="008E788D" w:rsidRPr="001775D9" w:rsidRDefault="008E788D" w:rsidP="00B61D9D">
      <w:pPr>
        <w:numPr>
          <w:ilvl w:val="0"/>
          <w:numId w:val="16"/>
        </w:numPr>
        <w:spacing w:line="240" w:lineRule="auto"/>
        <w:ind w:left="567" w:hanging="567"/>
      </w:pPr>
      <w:r w:rsidRPr="001775D9">
        <w:t xml:space="preserve">vision disturbances; </w:t>
      </w:r>
    </w:p>
    <w:p w14:paraId="2DD668CD" w14:textId="77777777" w:rsidR="008E788D" w:rsidRPr="001775D9" w:rsidRDefault="008E788D" w:rsidP="00B61D9D">
      <w:pPr>
        <w:numPr>
          <w:ilvl w:val="0"/>
          <w:numId w:val="16"/>
        </w:numPr>
        <w:spacing w:line="240" w:lineRule="auto"/>
        <w:ind w:left="567" w:hanging="567"/>
      </w:pPr>
      <w:r w:rsidRPr="001775D9">
        <w:t xml:space="preserve">eye inflammation; </w:t>
      </w:r>
    </w:p>
    <w:p w14:paraId="157F452F" w14:textId="77777777" w:rsidR="008E788D" w:rsidRPr="001775D9" w:rsidRDefault="008E788D" w:rsidP="00B61D9D">
      <w:pPr>
        <w:numPr>
          <w:ilvl w:val="0"/>
          <w:numId w:val="16"/>
        </w:numPr>
        <w:spacing w:line="240" w:lineRule="auto"/>
        <w:ind w:left="567" w:hanging="567"/>
      </w:pPr>
      <w:r w:rsidRPr="001775D9">
        <w:t xml:space="preserve">inflammation of the eye lid and eye swelling; </w:t>
      </w:r>
    </w:p>
    <w:p w14:paraId="4E8DE534" w14:textId="77777777" w:rsidR="008E788D" w:rsidRPr="001775D9" w:rsidRDefault="008E788D" w:rsidP="00B61D9D">
      <w:pPr>
        <w:numPr>
          <w:ilvl w:val="0"/>
          <w:numId w:val="16"/>
        </w:numPr>
        <w:spacing w:line="240" w:lineRule="auto"/>
        <w:ind w:left="567" w:hanging="567"/>
      </w:pPr>
      <w:r w:rsidRPr="001775D9">
        <w:t xml:space="preserve">vertigo (feeling of dizziness or spinning); </w:t>
      </w:r>
    </w:p>
    <w:p w14:paraId="349EE085" w14:textId="77777777" w:rsidR="008E788D" w:rsidRPr="001775D9" w:rsidRDefault="008E788D" w:rsidP="00B61D9D">
      <w:pPr>
        <w:numPr>
          <w:ilvl w:val="0"/>
          <w:numId w:val="16"/>
        </w:numPr>
        <w:spacing w:line="240" w:lineRule="auto"/>
        <w:ind w:left="567" w:hanging="567"/>
      </w:pPr>
      <w:r w:rsidRPr="001775D9">
        <w:t xml:space="preserve">sensation of heart beating rapidly; </w:t>
      </w:r>
    </w:p>
    <w:p w14:paraId="4E1825FB" w14:textId="77777777" w:rsidR="008E788D" w:rsidRPr="001775D9" w:rsidRDefault="008E788D" w:rsidP="00B61D9D">
      <w:pPr>
        <w:numPr>
          <w:ilvl w:val="0"/>
          <w:numId w:val="16"/>
        </w:numPr>
        <w:spacing w:line="240" w:lineRule="auto"/>
        <w:ind w:left="567" w:hanging="567"/>
      </w:pPr>
      <w:r w:rsidRPr="001775D9">
        <w:t xml:space="preserve">high blood pressure; </w:t>
      </w:r>
    </w:p>
    <w:p w14:paraId="0F75FBF5" w14:textId="77777777" w:rsidR="008E788D" w:rsidRPr="001775D9" w:rsidRDefault="008E788D" w:rsidP="00B61D9D">
      <w:pPr>
        <w:numPr>
          <w:ilvl w:val="0"/>
          <w:numId w:val="16"/>
        </w:numPr>
        <w:spacing w:line="240" w:lineRule="auto"/>
        <w:ind w:left="567" w:hanging="567"/>
      </w:pPr>
      <w:r w:rsidRPr="001775D9">
        <w:t xml:space="preserve">flushing; </w:t>
      </w:r>
    </w:p>
    <w:p w14:paraId="3C4F9D74" w14:textId="77777777" w:rsidR="008E788D" w:rsidRPr="001775D9" w:rsidRDefault="008E788D" w:rsidP="00B61D9D">
      <w:pPr>
        <w:numPr>
          <w:ilvl w:val="0"/>
          <w:numId w:val="16"/>
        </w:numPr>
        <w:spacing w:line="240" w:lineRule="auto"/>
        <w:ind w:left="567" w:hanging="567"/>
      </w:pPr>
      <w:r w:rsidRPr="001775D9">
        <w:t xml:space="preserve">haematoma; </w:t>
      </w:r>
    </w:p>
    <w:p w14:paraId="55582E80" w14:textId="77777777" w:rsidR="008E788D" w:rsidRPr="001775D9" w:rsidRDefault="008E788D" w:rsidP="00B61D9D">
      <w:pPr>
        <w:numPr>
          <w:ilvl w:val="0"/>
          <w:numId w:val="16"/>
        </w:numPr>
        <w:spacing w:line="240" w:lineRule="auto"/>
        <w:ind w:left="567" w:hanging="567"/>
      </w:pPr>
      <w:r w:rsidRPr="001775D9">
        <w:t xml:space="preserve">cough; </w:t>
      </w:r>
    </w:p>
    <w:p w14:paraId="32FCC9A8" w14:textId="77777777" w:rsidR="008E788D" w:rsidRPr="001775D9" w:rsidRDefault="008E788D" w:rsidP="00B61D9D">
      <w:pPr>
        <w:numPr>
          <w:ilvl w:val="0"/>
          <w:numId w:val="16"/>
        </w:numPr>
        <w:spacing w:line="240" w:lineRule="auto"/>
        <w:ind w:left="567" w:hanging="567"/>
      </w:pPr>
      <w:r w:rsidRPr="001775D9">
        <w:t xml:space="preserve">asthma; </w:t>
      </w:r>
    </w:p>
    <w:p w14:paraId="26D0EDC0" w14:textId="77777777" w:rsidR="008E788D" w:rsidRPr="001775D9" w:rsidRDefault="008E788D" w:rsidP="00B61D9D">
      <w:pPr>
        <w:numPr>
          <w:ilvl w:val="0"/>
          <w:numId w:val="16"/>
        </w:numPr>
        <w:spacing w:line="240" w:lineRule="auto"/>
        <w:ind w:left="567" w:hanging="567"/>
      </w:pPr>
      <w:r w:rsidRPr="001775D9">
        <w:t xml:space="preserve">shortness of breath; </w:t>
      </w:r>
    </w:p>
    <w:p w14:paraId="383DAFAC" w14:textId="77777777" w:rsidR="008E788D" w:rsidRPr="001775D9" w:rsidRDefault="008E788D" w:rsidP="00B61D9D">
      <w:pPr>
        <w:numPr>
          <w:ilvl w:val="0"/>
          <w:numId w:val="16"/>
        </w:numPr>
        <w:spacing w:line="240" w:lineRule="auto"/>
        <w:ind w:left="567" w:hanging="567"/>
      </w:pPr>
      <w:r w:rsidRPr="001775D9">
        <w:t xml:space="preserve">gastrointestinal bleeding; </w:t>
      </w:r>
    </w:p>
    <w:p w14:paraId="318939EB" w14:textId="77777777" w:rsidR="008E788D" w:rsidRPr="001775D9" w:rsidRDefault="008E788D" w:rsidP="00B61D9D">
      <w:pPr>
        <w:numPr>
          <w:ilvl w:val="0"/>
          <w:numId w:val="16"/>
        </w:numPr>
        <w:spacing w:line="240" w:lineRule="auto"/>
        <w:ind w:left="567" w:hanging="567"/>
      </w:pPr>
      <w:r w:rsidRPr="001775D9">
        <w:t xml:space="preserve">dyspepsia (indigestion, bloating, heart burn); </w:t>
      </w:r>
    </w:p>
    <w:p w14:paraId="787FBD71" w14:textId="77777777" w:rsidR="008E788D" w:rsidRPr="001775D9" w:rsidRDefault="008E788D" w:rsidP="00B61D9D">
      <w:pPr>
        <w:numPr>
          <w:ilvl w:val="0"/>
          <w:numId w:val="16"/>
        </w:numPr>
        <w:spacing w:line="240" w:lineRule="auto"/>
        <w:ind w:left="567" w:hanging="567"/>
      </w:pPr>
      <w:r w:rsidRPr="001775D9">
        <w:t xml:space="preserve">acid reflux disease; </w:t>
      </w:r>
    </w:p>
    <w:p w14:paraId="5793866B" w14:textId="77777777" w:rsidR="008E788D" w:rsidRPr="001775D9" w:rsidRDefault="008E788D" w:rsidP="00B61D9D">
      <w:pPr>
        <w:numPr>
          <w:ilvl w:val="0"/>
          <w:numId w:val="16"/>
        </w:numPr>
        <w:spacing w:line="240" w:lineRule="auto"/>
        <w:ind w:left="567" w:hanging="567"/>
      </w:pPr>
      <w:r w:rsidRPr="001775D9">
        <w:t xml:space="preserve">sicca syndrome (including dry eyes and dry mouth); </w:t>
      </w:r>
    </w:p>
    <w:p w14:paraId="5198A624" w14:textId="77777777" w:rsidR="008E788D" w:rsidRPr="001775D9" w:rsidRDefault="008E788D" w:rsidP="00B61D9D">
      <w:pPr>
        <w:numPr>
          <w:ilvl w:val="0"/>
          <w:numId w:val="16"/>
        </w:numPr>
        <w:spacing w:line="240" w:lineRule="auto"/>
        <w:ind w:left="567" w:hanging="567"/>
      </w:pPr>
      <w:r w:rsidRPr="001775D9">
        <w:t xml:space="preserve">itching; </w:t>
      </w:r>
    </w:p>
    <w:p w14:paraId="682A82CD" w14:textId="77777777" w:rsidR="008E788D" w:rsidRPr="001775D9" w:rsidRDefault="008E788D" w:rsidP="00B61D9D">
      <w:pPr>
        <w:numPr>
          <w:ilvl w:val="0"/>
          <w:numId w:val="16"/>
        </w:numPr>
        <w:spacing w:line="240" w:lineRule="auto"/>
        <w:ind w:left="567" w:hanging="567"/>
      </w:pPr>
      <w:r w:rsidRPr="001775D9">
        <w:t xml:space="preserve">itchy rash; </w:t>
      </w:r>
    </w:p>
    <w:p w14:paraId="41E8D681" w14:textId="77777777" w:rsidR="008E788D" w:rsidRPr="001775D9" w:rsidRDefault="008E788D" w:rsidP="00B61D9D">
      <w:pPr>
        <w:numPr>
          <w:ilvl w:val="0"/>
          <w:numId w:val="16"/>
        </w:numPr>
        <w:spacing w:line="240" w:lineRule="auto"/>
        <w:ind w:left="567" w:hanging="567"/>
      </w:pPr>
      <w:r w:rsidRPr="001775D9">
        <w:t xml:space="preserve">bruising; </w:t>
      </w:r>
    </w:p>
    <w:p w14:paraId="1C79D926" w14:textId="77777777" w:rsidR="008E788D" w:rsidRPr="001775D9" w:rsidRDefault="008E788D" w:rsidP="00B61D9D">
      <w:pPr>
        <w:numPr>
          <w:ilvl w:val="0"/>
          <w:numId w:val="16"/>
        </w:numPr>
        <w:spacing w:line="240" w:lineRule="auto"/>
        <w:ind w:left="567" w:hanging="567"/>
      </w:pPr>
      <w:r w:rsidRPr="001775D9">
        <w:t xml:space="preserve">inflammation of the skin (such as eczema); </w:t>
      </w:r>
    </w:p>
    <w:p w14:paraId="098C48D2" w14:textId="77777777" w:rsidR="008E788D" w:rsidRPr="001775D9" w:rsidRDefault="008E788D" w:rsidP="00B61D9D">
      <w:pPr>
        <w:numPr>
          <w:ilvl w:val="0"/>
          <w:numId w:val="16"/>
        </w:numPr>
        <w:spacing w:line="240" w:lineRule="auto"/>
        <w:ind w:left="567" w:hanging="567"/>
      </w:pPr>
      <w:r w:rsidRPr="001775D9">
        <w:t xml:space="preserve">breaking of finger nails and toe nails; </w:t>
      </w:r>
    </w:p>
    <w:p w14:paraId="65D254BD" w14:textId="77777777" w:rsidR="008E788D" w:rsidRPr="001775D9" w:rsidRDefault="008E788D" w:rsidP="00B61D9D">
      <w:pPr>
        <w:numPr>
          <w:ilvl w:val="0"/>
          <w:numId w:val="16"/>
        </w:numPr>
        <w:spacing w:line="240" w:lineRule="auto"/>
        <w:ind w:left="567" w:hanging="567"/>
      </w:pPr>
      <w:r w:rsidRPr="001775D9">
        <w:t xml:space="preserve">increased sweating; </w:t>
      </w:r>
    </w:p>
    <w:p w14:paraId="5109B631" w14:textId="77777777" w:rsidR="008E788D" w:rsidRPr="001775D9" w:rsidRDefault="008E788D" w:rsidP="00B61D9D">
      <w:pPr>
        <w:numPr>
          <w:ilvl w:val="0"/>
          <w:numId w:val="16"/>
        </w:numPr>
        <w:spacing w:line="240" w:lineRule="auto"/>
        <w:ind w:left="567" w:hanging="567"/>
      </w:pPr>
      <w:r w:rsidRPr="001775D9">
        <w:t xml:space="preserve">hair loss; </w:t>
      </w:r>
    </w:p>
    <w:p w14:paraId="7C9F6657" w14:textId="77777777" w:rsidR="008E788D" w:rsidRPr="001775D9" w:rsidRDefault="008E788D" w:rsidP="00B61D9D">
      <w:pPr>
        <w:numPr>
          <w:ilvl w:val="0"/>
          <w:numId w:val="16"/>
        </w:numPr>
        <w:spacing w:line="240" w:lineRule="auto"/>
        <w:ind w:left="567" w:hanging="567"/>
      </w:pPr>
      <w:r w:rsidRPr="001775D9">
        <w:t xml:space="preserve">new onset or worsening of psoriasis; </w:t>
      </w:r>
    </w:p>
    <w:p w14:paraId="0A261111" w14:textId="77777777" w:rsidR="008E788D" w:rsidRPr="001775D9" w:rsidRDefault="008E788D" w:rsidP="00B61D9D">
      <w:pPr>
        <w:numPr>
          <w:ilvl w:val="0"/>
          <w:numId w:val="16"/>
        </w:numPr>
        <w:spacing w:line="240" w:lineRule="auto"/>
        <w:ind w:left="567" w:hanging="567"/>
      </w:pPr>
      <w:r w:rsidRPr="001775D9">
        <w:t xml:space="preserve">muscle spasms; </w:t>
      </w:r>
    </w:p>
    <w:p w14:paraId="71697D95" w14:textId="77777777" w:rsidR="008E788D" w:rsidRPr="001775D9" w:rsidRDefault="008E788D" w:rsidP="00B61D9D">
      <w:pPr>
        <w:numPr>
          <w:ilvl w:val="0"/>
          <w:numId w:val="16"/>
        </w:numPr>
        <w:spacing w:line="240" w:lineRule="auto"/>
        <w:ind w:left="567" w:hanging="567"/>
      </w:pPr>
      <w:r w:rsidRPr="001775D9">
        <w:t xml:space="preserve">blood in urine; </w:t>
      </w:r>
    </w:p>
    <w:p w14:paraId="7703B71C" w14:textId="77777777" w:rsidR="008E788D" w:rsidRPr="001775D9" w:rsidRDefault="008E788D" w:rsidP="00B61D9D">
      <w:pPr>
        <w:numPr>
          <w:ilvl w:val="0"/>
          <w:numId w:val="16"/>
        </w:numPr>
        <w:spacing w:line="240" w:lineRule="auto"/>
        <w:ind w:left="567" w:hanging="567"/>
      </w:pPr>
      <w:r w:rsidRPr="001775D9">
        <w:t xml:space="preserve">kidney problems; </w:t>
      </w:r>
    </w:p>
    <w:p w14:paraId="6494A248" w14:textId="77777777" w:rsidR="008E788D" w:rsidRPr="001775D9" w:rsidRDefault="008E788D" w:rsidP="00B61D9D">
      <w:pPr>
        <w:numPr>
          <w:ilvl w:val="0"/>
          <w:numId w:val="16"/>
        </w:numPr>
        <w:spacing w:line="240" w:lineRule="auto"/>
        <w:ind w:left="567" w:hanging="567"/>
      </w:pPr>
      <w:r w:rsidRPr="001775D9">
        <w:t xml:space="preserve">chest pain; </w:t>
      </w:r>
    </w:p>
    <w:p w14:paraId="3522A0C3" w14:textId="77777777" w:rsidR="008E788D" w:rsidRPr="001775D9" w:rsidRDefault="008E788D" w:rsidP="00B61D9D">
      <w:pPr>
        <w:numPr>
          <w:ilvl w:val="0"/>
          <w:numId w:val="16"/>
        </w:numPr>
        <w:spacing w:line="240" w:lineRule="auto"/>
        <w:ind w:left="567" w:hanging="567"/>
      </w:pPr>
      <w:r w:rsidRPr="001775D9">
        <w:t xml:space="preserve">oedema; </w:t>
      </w:r>
    </w:p>
    <w:p w14:paraId="0C7E354E" w14:textId="77777777" w:rsidR="008E788D" w:rsidRPr="001775D9" w:rsidRDefault="008E788D" w:rsidP="00B61D9D">
      <w:pPr>
        <w:numPr>
          <w:ilvl w:val="0"/>
          <w:numId w:val="16"/>
        </w:numPr>
        <w:spacing w:line="240" w:lineRule="auto"/>
        <w:ind w:left="567" w:hanging="567"/>
      </w:pPr>
      <w:r w:rsidRPr="001775D9">
        <w:t xml:space="preserve">fever; </w:t>
      </w:r>
    </w:p>
    <w:p w14:paraId="60CFAA5B" w14:textId="77777777" w:rsidR="008E788D" w:rsidRPr="001775D9" w:rsidRDefault="008E788D" w:rsidP="00B61D9D">
      <w:pPr>
        <w:numPr>
          <w:ilvl w:val="0"/>
          <w:numId w:val="16"/>
        </w:numPr>
        <w:spacing w:line="240" w:lineRule="auto"/>
        <w:ind w:left="567" w:hanging="567"/>
      </w:pPr>
      <w:r w:rsidRPr="001775D9">
        <w:t>reduction in blood platelets which increases risk of bleeding or bruising;</w:t>
      </w:r>
    </w:p>
    <w:p w14:paraId="19C747AB" w14:textId="77777777" w:rsidR="008E788D" w:rsidRPr="00F04F82" w:rsidRDefault="008E788D" w:rsidP="00D55B59">
      <w:pPr>
        <w:numPr>
          <w:ilvl w:val="0"/>
          <w:numId w:val="16"/>
        </w:numPr>
        <w:spacing w:line="240" w:lineRule="auto"/>
        <w:ind w:left="567" w:hanging="567"/>
        <w:rPr>
          <w:szCs w:val="22"/>
        </w:rPr>
        <w:pPrChange w:id="4160" w:author="Author">
          <w:pPr>
            <w:pStyle w:val="Default"/>
            <w:numPr>
              <w:numId w:val="16"/>
            </w:numPr>
            <w:ind w:left="567" w:hanging="567"/>
          </w:pPr>
        </w:pPrChange>
      </w:pPr>
      <w:r w:rsidRPr="001775D9">
        <w:t>impaired</w:t>
      </w:r>
      <w:r w:rsidRPr="00F04F82">
        <w:rPr>
          <w:szCs w:val="22"/>
        </w:rPr>
        <w:t xml:space="preserve"> healing. </w:t>
      </w:r>
    </w:p>
    <w:p w14:paraId="0D152019" w14:textId="77777777" w:rsidR="008E788D" w:rsidRPr="00D55B59" w:rsidRDefault="008E788D" w:rsidP="006A71EE">
      <w:pPr>
        <w:pStyle w:val="Default"/>
        <w:rPr>
          <w:sz w:val="22"/>
          <w:szCs w:val="22"/>
          <w:lang w:val="en-GB"/>
          <w:rPrChange w:id="4161" w:author="Author">
            <w:rPr>
              <w:sz w:val="22"/>
              <w:szCs w:val="22"/>
            </w:rPr>
          </w:rPrChange>
        </w:rPr>
      </w:pPr>
    </w:p>
    <w:p w14:paraId="7E7D22AA" w14:textId="77777777" w:rsidR="008E788D" w:rsidRPr="00D55B59" w:rsidRDefault="008E788D" w:rsidP="00B61D9D">
      <w:pPr>
        <w:pStyle w:val="Default"/>
        <w:keepNext/>
        <w:rPr>
          <w:sz w:val="22"/>
          <w:szCs w:val="22"/>
          <w:lang w:val="en-GB"/>
          <w:rPrChange w:id="4162" w:author="Author">
            <w:rPr>
              <w:sz w:val="22"/>
              <w:szCs w:val="22"/>
            </w:rPr>
          </w:rPrChange>
        </w:rPr>
      </w:pPr>
      <w:r w:rsidRPr="00D55B59">
        <w:rPr>
          <w:sz w:val="22"/>
          <w:szCs w:val="22"/>
          <w:lang w:val="en-GB"/>
          <w:rPrChange w:id="4163" w:author="Author">
            <w:rPr>
              <w:sz w:val="22"/>
              <w:szCs w:val="22"/>
            </w:rPr>
          </w:rPrChange>
        </w:rPr>
        <w:t xml:space="preserve">Uncommon (may affect up to 1 in 100 people) </w:t>
      </w:r>
    </w:p>
    <w:p w14:paraId="21A7CDD1" w14:textId="77777777" w:rsidR="008E788D" w:rsidRPr="001775D9" w:rsidRDefault="008E788D" w:rsidP="00B61D9D">
      <w:pPr>
        <w:numPr>
          <w:ilvl w:val="1"/>
          <w:numId w:val="17"/>
        </w:numPr>
        <w:spacing w:line="240" w:lineRule="auto"/>
        <w:ind w:left="567" w:hanging="567"/>
      </w:pPr>
      <w:r w:rsidRPr="001775D9">
        <w:t xml:space="preserve">opportunistic infections (which include tuberculosis and other infections that occur when resistance to disease is lowered); </w:t>
      </w:r>
    </w:p>
    <w:p w14:paraId="3D8FA0B8" w14:textId="77777777" w:rsidR="008E788D" w:rsidRPr="001775D9" w:rsidRDefault="008E788D" w:rsidP="00B61D9D">
      <w:pPr>
        <w:numPr>
          <w:ilvl w:val="1"/>
          <w:numId w:val="17"/>
        </w:numPr>
        <w:spacing w:line="240" w:lineRule="auto"/>
        <w:ind w:left="567" w:hanging="567"/>
      </w:pPr>
      <w:r w:rsidRPr="001775D9">
        <w:t xml:space="preserve">neurological infections (including viral meningitis); </w:t>
      </w:r>
    </w:p>
    <w:p w14:paraId="4A158BDC" w14:textId="77777777" w:rsidR="008E788D" w:rsidRPr="001775D9" w:rsidRDefault="008E788D" w:rsidP="00B61D9D">
      <w:pPr>
        <w:numPr>
          <w:ilvl w:val="1"/>
          <w:numId w:val="17"/>
        </w:numPr>
        <w:spacing w:line="240" w:lineRule="auto"/>
        <w:ind w:left="567" w:hanging="567"/>
      </w:pPr>
      <w:r w:rsidRPr="001775D9">
        <w:t xml:space="preserve">eye infections; </w:t>
      </w:r>
    </w:p>
    <w:p w14:paraId="37A348AB" w14:textId="77777777" w:rsidR="008E788D" w:rsidRPr="001775D9" w:rsidRDefault="008E788D" w:rsidP="00B61D9D">
      <w:pPr>
        <w:numPr>
          <w:ilvl w:val="1"/>
          <w:numId w:val="17"/>
        </w:numPr>
        <w:spacing w:line="240" w:lineRule="auto"/>
        <w:ind w:left="567" w:hanging="567"/>
      </w:pPr>
      <w:r w:rsidRPr="001775D9">
        <w:t xml:space="preserve">bacterial infections; </w:t>
      </w:r>
    </w:p>
    <w:p w14:paraId="0E27A87B" w14:textId="77777777" w:rsidR="008E788D" w:rsidRPr="001775D9" w:rsidRDefault="008E788D" w:rsidP="00B61D9D">
      <w:pPr>
        <w:numPr>
          <w:ilvl w:val="1"/>
          <w:numId w:val="17"/>
        </w:numPr>
        <w:spacing w:line="240" w:lineRule="auto"/>
        <w:ind w:left="567" w:hanging="567"/>
      </w:pPr>
      <w:r w:rsidRPr="001775D9">
        <w:t xml:space="preserve">diverticulitis (inflammation and infection of the large intestine); </w:t>
      </w:r>
    </w:p>
    <w:p w14:paraId="227740CA" w14:textId="77777777" w:rsidR="008E788D" w:rsidRPr="001775D9" w:rsidRDefault="008E788D" w:rsidP="00B61D9D">
      <w:pPr>
        <w:numPr>
          <w:ilvl w:val="1"/>
          <w:numId w:val="17"/>
        </w:numPr>
        <w:spacing w:line="240" w:lineRule="auto"/>
        <w:ind w:left="567" w:hanging="567"/>
      </w:pPr>
      <w:r w:rsidRPr="001775D9">
        <w:t xml:space="preserve">cancer, including cancer that affects the lymph system (lymphoma) and melanoma (skin cancer); </w:t>
      </w:r>
    </w:p>
    <w:p w14:paraId="53FD5182" w14:textId="77777777" w:rsidR="008E788D" w:rsidRPr="001775D9" w:rsidRDefault="008E788D" w:rsidP="00B61D9D">
      <w:pPr>
        <w:numPr>
          <w:ilvl w:val="1"/>
          <w:numId w:val="17"/>
        </w:numPr>
        <w:spacing w:line="240" w:lineRule="auto"/>
        <w:ind w:left="567" w:hanging="567"/>
      </w:pPr>
      <w:r w:rsidRPr="001775D9">
        <w:t xml:space="preserve">immune disorders that could affect the lungs, skin and lymph nodes (most commonly presenting as sarcoidosis); </w:t>
      </w:r>
    </w:p>
    <w:p w14:paraId="382CD70C" w14:textId="77777777" w:rsidR="008E788D" w:rsidRPr="001775D9" w:rsidRDefault="008E788D" w:rsidP="00B61D9D">
      <w:pPr>
        <w:numPr>
          <w:ilvl w:val="1"/>
          <w:numId w:val="17"/>
        </w:numPr>
        <w:spacing w:line="240" w:lineRule="auto"/>
        <w:ind w:left="567" w:hanging="567"/>
      </w:pPr>
      <w:r w:rsidRPr="001775D9">
        <w:t>vasculitis (inflammation of blood vessels);</w:t>
      </w:r>
    </w:p>
    <w:p w14:paraId="2B42B3A3" w14:textId="77777777" w:rsidR="008E788D" w:rsidRPr="001775D9" w:rsidRDefault="008E788D" w:rsidP="00B61D9D">
      <w:pPr>
        <w:numPr>
          <w:ilvl w:val="1"/>
          <w:numId w:val="17"/>
        </w:numPr>
        <w:spacing w:line="240" w:lineRule="auto"/>
        <w:ind w:left="567" w:hanging="567"/>
      </w:pPr>
      <w:r w:rsidRPr="001775D9">
        <w:t xml:space="preserve">tremor; </w:t>
      </w:r>
    </w:p>
    <w:p w14:paraId="38F24A9C" w14:textId="77777777" w:rsidR="008E788D" w:rsidRPr="001775D9" w:rsidRDefault="008E788D" w:rsidP="00B61D9D">
      <w:pPr>
        <w:numPr>
          <w:ilvl w:val="1"/>
          <w:numId w:val="17"/>
        </w:numPr>
        <w:spacing w:line="240" w:lineRule="auto"/>
        <w:ind w:left="567" w:hanging="567"/>
      </w:pPr>
      <w:r w:rsidRPr="001775D9">
        <w:t xml:space="preserve">neuropathy; </w:t>
      </w:r>
    </w:p>
    <w:p w14:paraId="422506B5" w14:textId="77777777" w:rsidR="008E788D" w:rsidRPr="001775D9" w:rsidRDefault="008E788D" w:rsidP="00B61D9D">
      <w:pPr>
        <w:numPr>
          <w:ilvl w:val="1"/>
          <w:numId w:val="17"/>
        </w:numPr>
        <w:spacing w:line="240" w:lineRule="auto"/>
        <w:ind w:left="567" w:hanging="567"/>
      </w:pPr>
      <w:r w:rsidRPr="001775D9">
        <w:t xml:space="preserve">stroke; </w:t>
      </w:r>
    </w:p>
    <w:p w14:paraId="217F24E6" w14:textId="77777777" w:rsidR="008E788D" w:rsidRPr="001775D9" w:rsidRDefault="008E788D" w:rsidP="00B61D9D">
      <w:pPr>
        <w:numPr>
          <w:ilvl w:val="1"/>
          <w:numId w:val="17"/>
        </w:numPr>
        <w:spacing w:line="240" w:lineRule="auto"/>
        <w:ind w:left="567" w:hanging="567"/>
      </w:pPr>
      <w:r w:rsidRPr="001775D9">
        <w:t xml:space="preserve">hearing loss, buzzing; </w:t>
      </w:r>
    </w:p>
    <w:p w14:paraId="25B7488C" w14:textId="77777777" w:rsidR="008E788D" w:rsidRPr="001775D9" w:rsidRDefault="008E788D" w:rsidP="00B61D9D">
      <w:pPr>
        <w:numPr>
          <w:ilvl w:val="1"/>
          <w:numId w:val="17"/>
        </w:numPr>
        <w:spacing w:line="240" w:lineRule="auto"/>
        <w:ind w:left="567" w:hanging="567"/>
      </w:pPr>
      <w:r w:rsidRPr="001775D9">
        <w:t xml:space="preserve">sensation of heart beating irregularly such as skipped beats; </w:t>
      </w:r>
    </w:p>
    <w:p w14:paraId="0366F728" w14:textId="77777777" w:rsidR="008E788D" w:rsidRPr="001775D9" w:rsidRDefault="008E788D" w:rsidP="00B61D9D">
      <w:pPr>
        <w:numPr>
          <w:ilvl w:val="1"/>
          <w:numId w:val="17"/>
        </w:numPr>
        <w:spacing w:line="240" w:lineRule="auto"/>
        <w:ind w:left="567" w:hanging="567"/>
      </w:pPr>
      <w:r w:rsidRPr="001775D9">
        <w:t xml:space="preserve">heart problems that can cause shortness of breath or ankle swelling; </w:t>
      </w:r>
    </w:p>
    <w:p w14:paraId="20247A46" w14:textId="77777777" w:rsidR="008E788D" w:rsidRPr="001775D9" w:rsidRDefault="008E788D" w:rsidP="00B61D9D">
      <w:pPr>
        <w:numPr>
          <w:ilvl w:val="1"/>
          <w:numId w:val="17"/>
        </w:numPr>
        <w:spacing w:line="240" w:lineRule="auto"/>
        <w:ind w:left="567" w:hanging="567"/>
      </w:pPr>
      <w:r w:rsidRPr="001775D9">
        <w:t xml:space="preserve">heart attack; </w:t>
      </w:r>
    </w:p>
    <w:p w14:paraId="32738082" w14:textId="77777777" w:rsidR="008E788D" w:rsidRPr="001775D9" w:rsidRDefault="008E788D" w:rsidP="00B61D9D">
      <w:pPr>
        <w:numPr>
          <w:ilvl w:val="1"/>
          <w:numId w:val="17"/>
        </w:numPr>
        <w:spacing w:line="240" w:lineRule="auto"/>
        <w:ind w:left="567" w:hanging="567"/>
      </w:pPr>
      <w:r w:rsidRPr="001775D9">
        <w:t xml:space="preserve">a sac in the wall of a major artery, inflammation and clot of a vein, blockage of a blood vessel; </w:t>
      </w:r>
    </w:p>
    <w:p w14:paraId="1415D418" w14:textId="77777777" w:rsidR="008E788D" w:rsidRPr="001775D9" w:rsidRDefault="008E788D" w:rsidP="00B61D9D">
      <w:pPr>
        <w:numPr>
          <w:ilvl w:val="1"/>
          <w:numId w:val="17"/>
        </w:numPr>
        <w:spacing w:line="240" w:lineRule="auto"/>
        <w:ind w:left="567" w:hanging="567"/>
      </w:pPr>
      <w:r w:rsidRPr="001775D9">
        <w:t xml:space="preserve">lung diseases causing shortness of breath (including inflammation); </w:t>
      </w:r>
    </w:p>
    <w:p w14:paraId="24766088" w14:textId="77777777" w:rsidR="008E788D" w:rsidRPr="001775D9" w:rsidRDefault="008E788D" w:rsidP="00B61D9D">
      <w:pPr>
        <w:numPr>
          <w:ilvl w:val="1"/>
          <w:numId w:val="17"/>
        </w:numPr>
        <w:spacing w:line="240" w:lineRule="auto"/>
        <w:ind w:left="567" w:hanging="567"/>
      </w:pPr>
      <w:r w:rsidRPr="001775D9">
        <w:t xml:space="preserve">pulmonary embolism (blockage in an artery of the lung); </w:t>
      </w:r>
    </w:p>
    <w:p w14:paraId="6C6203A4" w14:textId="77777777" w:rsidR="008E788D" w:rsidRPr="001775D9" w:rsidRDefault="008E788D" w:rsidP="00B61D9D">
      <w:pPr>
        <w:numPr>
          <w:ilvl w:val="1"/>
          <w:numId w:val="17"/>
        </w:numPr>
        <w:spacing w:line="240" w:lineRule="auto"/>
        <w:ind w:left="567" w:hanging="567"/>
      </w:pPr>
      <w:r w:rsidRPr="001775D9">
        <w:t xml:space="preserve">pleural effusion (abnormal collection of fluid in the pleural space); </w:t>
      </w:r>
    </w:p>
    <w:p w14:paraId="07329A4D" w14:textId="77777777" w:rsidR="008E788D" w:rsidRPr="001775D9" w:rsidRDefault="008E788D" w:rsidP="00B61D9D">
      <w:pPr>
        <w:numPr>
          <w:ilvl w:val="1"/>
          <w:numId w:val="17"/>
        </w:numPr>
        <w:spacing w:line="240" w:lineRule="auto"/>
        <w:ind w:left="567" w:hanging="567"/>
      </w:pPr>
      <w:r w:rsidRPr="001775D9">
        <w:t xml:space="preserve">inflammation of the pancreas which causes severe pain in the abdomen and back; </w:t>
      </w:r>
    </w:p>
    <w:p w14:paraId="3B5628DB" w14:textId="77777777" w:rsidR="008E788D" w:rsidRPr="001775D9" w:rsidRDefault="008E788D" w:rsidP="00B61D9D">
      <w:pPr>
        <w:numPr>
          <w:ilvl w:val="1"/>
          <w:numId w:val="17"/>
        </w:numPr>
        <w:spacing w:line="240" w:lineRule="auto"/>
        <w:ind w:left="567" w:hanging="567"/>
      </w:pPr>
      <w:r w:rsidRPr="001775D9">
        <w:t xml:space="preserve">difficulty in swallowing; </w:t>
      </w:r>
    </w:p>
    <w:p w14:paraId="736A2BD4" w14:textId="77777777" w:rsidR="008E788D" w:rsidRPr="001775D9" w:rsidRDefault="008E788D" w:rsidP="00B61D9D">
      <w:pPr>
        <w:numPr>
          <w:ilvl w:val="1"/>
          <w:numId w:val="17"/>
        </w:numPr>
        <w:spacing w:line="240" w:lineRule="auto"/>
        <w:ind w:left="567" w:hanging="567"/>
      </w:pPr>
      <w:r w:rsidRPr="001775D9">
        <w:t xml:space="preserve">facial oedema; </w:t>
      </w:r>
    </w:p>
    <w:p w14:paraId="4B204ECA" w14:textId="77777777" w:rsidR="008E788D" w:rsidRPr="001775D9" w:rsidRDefault="008E788D" w:rsidP="00B61D9D">
      <w:pPr>
        <w:numPr>
          <w:ilvl w:val="1"/>
          <w:numId w:val="17"/>
        </w:numPr>
        <w:spacing w:line="240" w:lineRule="auto"/>
        <w:ind w:left="567" w:hanging="567"/>
      </w:pPr>
      <w:r w:rsidRPr="001775D9">
        <w:t xml:space="preserve">gallbladder inflammation, gallbladder stones; </w:t>
      </w:r>
    </w:p>
    <w:p w14:paraId="317B6F14" w14:textId="77777777" w:rsidR="008E788D" w:rsidRPr="001775D9" w:rsidRDefault="008E788D" w:rsidP="00B61D9D">
      <w:pPr>
        <w:numPr>
          <w:ilvl w:val="1"/>
          <w:numId w:val="17"/>
        </w:numPr>
        <w:spacing w:line="240" w:lineRule="auto"/>
        <w:ind w:left="567" w:hanging="567"/>
      </w:pPr>
      <w:r w:rsidRPr="001775D9">
        <w:t xml:space="preserve">fatty liver; </w:t>
      </w:r>
    </w:p>
    <w:p w14:paraId="676127FB" w14:textId="77777777" w:rsidR="008E788D" w:rsidRPr="001775D9" w:rsidRDefault="008E788D" w:rsidP="00B61D9D">
      <w:pPr>
        <w:numPr>
          <w:ilvl w:val="1"/>
          <w:numId w:val="17"/>
        </w:numPr>
        <w:spacing w:line="240" w:lineRule="auto"/>
        <w:ind w:left="567" w:hanging="567"/>
      </w:pPr>
      <w:r w:rsidRPr="001775D9">
        <w:t xml:space="preserve">night sweats; </w:t>
      </w:r>
    </w:p>
    <w:p w14:paraId="1547C099" w14:textId="77777777" w:rsidR="008E788D" w:rsidRPr="001775D9" w:rsidRDefault="008E788D" w:rsidP="00B61D9D">
      <w:pPr>
        <w:numPr>
          <w:ilvl w:val="1"/>
          <w:numId w:val="17"/>
        </w:numPr>
        <w:spacing w:line="240" w:lineRule="auto"/>
        <w:ind w:left="567" w:hanging="567"/>
      </w:pPr>
      <w:r w:rsidRPr="001775D9">
        <w:t xml:space="preserve">scar; </w:t>
      </w:r>
    </w:p>
    <w:p w14:paraId="7CB45D15" w14:textId="77777777" w:rsidR="008E788D" w:rsidRPr="001775D9" w:rsidRDefault="008E788D" w:rsidP="00B61D9D">
      <w:pPr>
        <w:numPr>
          <w:ilvl w:val="1"/>
          <w:numId w:val="17"/>
        </w:numPr>
        <w:spacing w:line="240" w:lineRule="auto"/>
        <w:ind w:left="567" w:hanging="567"/>
      </w:pPr>
      <w:r w:rsidRPr="001775D9">
        <w:t xml:space="preserve">abnormal muscle breakdown; </w:t>
      </w:r>
    </w:p>
    <w:p w14:paraId="2E63F4FA" w14:textId="77777777" w:rsidR="008E788D" w:rsidRPr="001775D9" w:rsidRDefault="008E788D" w:rsidP="00B61D9D">
      <w:pPr>
        <w:numPr>
          <w:ilvl w:val="1"/>
          <w:numId w:val="17"/>
        </w:numPr>
        <w:spacing w:line="240" w:lineRule="auto"/>
        <w:ind w:left="567" w:hanging="567"/>
      </w:pPr>
      <w:r w:rsidRPr="001775D9">
        <w:t xml:space="preserve">systemic lupus erythematosus (including inflammation of skin, heart, lung, joints and other organ systems); </w:t>
      </w:r>
    </w:p>
    <w:p w14:paraId="4BB9E885" w14:textId="77777777" w:rsidR="008E788D" w:rsidRPr="001775D9" w:rsidRDefault="008E788D" w:rsidP="00B61D9D">
      <w:pPr>
        <w:numPr>
          <w:ilvl w:val="1"/>
          <w:numId w:val="17"/>
        </w:numPr>
        <w:spacing w:line="240" w:lineRule="auto"/>
        <w:ind w:left="567" w:hanging="567"/>
      </w:pPr>
      <w:r w:rsidRPr="001775D9">
        <w:t xml:space="preserve">sleep interruptions; </w:t>
      </w:r>
    </w:p>
    <w:p w14:paraId="361A1E05" w14:textId="77777777" w:rsidR="008E788D" w:rsidRPr="001775D9" w:rsidRDefault="008E788D" w:rsidP="00B61D9D">
      <w:pPr>
        <w:numPr>
          <w:ilvl w:val="1"/>
          <w:numId w:val="17"/>
        </w:numPr>
        <w:spacing w:line="240" w:lineRule="auto"/>
        <w:ind w:left="567" w:hanging="567"/>
      </w:pPr>
      <w:r w:rsidRPr="001775D9">
        <w:t xml:space="preserve">impotence; </w:t>
      </w:r>
    </w:p>
    <w:p w14:paraId="22FE6848" w14:textId="77777777" w:rsidR="008E788D" w:rsidRPr="001775D9" w:rsidRDefault="008E788D" w:rsidP="00B61D9D">
      <w:pPr>
        <w:numPr>
          <w:ilvl w:val="1"/>
          <w:numId w:val="17"/>
        </w:numPr>
        <w:spacing w:line="240" w:lineRule="auto"/>
        <w:ind w:left="567" w:hanging="567"/>
      </w:pPr>
      <w:r w:rsidRPr="001775D9">
        <w:t xml:space="preserve">inflammations. </w:t>
      </w:r>
    </w:p>
    <w:p w14:paraId="14F34A0E" w14:textId="77777777" w:rsidR="008E788D" w:rsidRPr="001775D9" w:rsidRDefault="008E788D" w:rsidP="006A71EE">
      <w:pPr>
        <w:numPr>
          <w:ilvl w:val="12"/>
          <w:numId w:val="0"/>
        </w:numPr>
        <w:tabs>
          <w:tab w:val="clear" w:pos="567"/>
        </w:tabs>
        <w:spacing w:line="240" w:lineRule="auto"/>
        <w:outlineLvl w:val="0"/>
        <w:rPr>
          <w:b/>
          <w:szCs w:val="22"/>
        </w:rPr>
      </w:pPr>
    </w:p>
    <w:p w14:paraId="546CC1E4" w14:textId="63EC7E28" w:rsidR="008E788D" w:rsidRPr="00D55B59" w:rsidRDefault="008E788D" w:rsidP="006A71EE">
      <w:pPr>
        <w:pStyle w:val="Default"/>
        <w:keepNext/>
        <w:rPr>
          <w:sz w:val="22"/>
          <w:szCs w:val="22"/>
          <w:lang w:val="en-GB"/>
          <w:rPrChange w:id="4164" w:author="Author">
            <w:rPr>
              <w:sz w:val="22"/>
              <w:szCs w:val="22"/>
            </w:rPr>
          </w:rPrChange>
        </w:rPr>
      </w:pPr>
      <w:r w:rsidRPr="00D55B59">
        <w:rPr>
          <w:sz w:val="22"/>
          <w:szCs w:val="22"/>
          <w:lang w:val="en-GB"/>
          <w:rPrChange w:id="4165" w:author="Author">
            <w:rPr>
              <w:sz w:val="22"/>
              <w:szCs w:val="22"/>
            </w:rPr>
          </w:rPrChange>
        </w:rPr>
        <w:t>Rare (may affect up to 1 in 1</w:t>
      </w:r>
      <w:r w:rsidR="00CE74EE" w:rsidRPr="00D55B59">
        <w:rPr>
          <w:sz w:val="22"/>
          <w:szCs w:val="22"/>
          <w:lang w:val="en-GB"/>
          <w:rPrChange w:id="4166" w:author="Author">
            <w:rPr>
              <w:sz w:val="22"/>
              <w:szCs w:val="22"/>
            </w:rPr>
          </w:rPrChange>
        </w:rPr>
        <w:t> </w:t>
      </w:r>
      <w:r w:rsidRPr="00D55B59">
        <w:rPr>
          <w:sz w:val="22"/>
          <w:szCs w:val="22"/>
          <w:lang w:val="en-GB"/>
          <w:rPrChange w:id="4167" w:author="Author">
            <w:rPr>
              <w:sz w:val="22"/>
              <w:szCs w:val="22"/>
            </w:rPr>
          </w:rPrChange>
        </w:rPr>
        <w:t xml:space="preserve">000 people) </w:t>
      </w:r>
    </w:p>
    <w:p w14:paraId="6B573A9E" w14:textId="77777777" w:rsidR="008E788D" w:rsidRPr="001775D9" w:rsidRDefault="008E788D" w:rsidP="00B61D9D">
      <w:pPr>
        <w:keepNext/>
        <w:numPr>
          <w:ilvl w:val="0"/>
          <w:numId w:val="18"/>
        </w:numPr>
        <w:spacing w:line="240" w:lineRule="auto"/>
        <w:ind w:left="567" w:hanging="567"/>
      </w:pPr>
      <w:r w:rsidRPr="001775D9">
        <w:t xml:space="preserve">leukaemia (cancer affecting the blood and bone marrow); </w:t>
      </w:r>
    </w:p>
    <w:p w14:paraId="0C70A3BB" w14:textId="77777777" w:rsidR="008E788D" w:rsidRPr="001775D9" w:rsidRDefault="008E788D" w:rsidP="00B61D9D">
      <w:pPr>
        <w:keepNext/>
        <w:numPr>
          <w:ilvl w:val="0"/>
          <w:numId w:val="18"/>
        </w:numPr>
        <w:spacing w:line="240" w:lineRule="auto"/>
        <w:ind w:left="567" w:hanging="567"/>
      </w:pPr>
      <w:r w:rsidRPr="001775D9">
        <w:t xml:space="preserve">severe allergic reaction with shock; </w:t>
      </w:r>
    </w:p>
    <w:p w14:paraId="5845F8CD" w14:textId="77777777" w:rsidR="008E788D" w:rsidRPr="001775D9" w:rsidRDefault="008E788D" w:rsidP="00B61D9D">
      <w:pPr>
        <w:numPr>
          <w:ilvl w:val="0"/>
          <w:numId w:val="18"/>
        </w:numPr>
        <w:spacing w:line="240" w:lineRule="auto"/>
        <w:ind w:left="567" w:hanging="567"/>
      </w:pPr>
      <w:r w:rsidRPr="001775D9">
        <w:t xml:space="preserve">multiple sclerosis; </w:t>
      </w:r>
    </w:p>
    <w:p w14:paraId="0F66AF56" w14:textId="77777777" w:rsidR="008E788D" w:rsidRPr="001775D9" w:rsidRDefault="008E788D" w:rsidP="00B61D9D">
      <w:pPr>
        <w:numPr>
          <w:ilvl w:val="0"/>
          <w:numId w:val="18"/>
        </w:numPr>
        <w:spacing w:line="240" w:lineRule="auto"/>
        <w:ind w:left="567" w:hanging="567"/>
      </w:pPr>
      <w:r w:rsidRPr="001775D9">
        <w:t xml:space="preserve">nerve disorders (such as eye nerve inflammation and Guillain-Barré syndrome that may cause muscle weakness, abnormal sensations, tingling in the arms and upper body); </w:t>
      </w:r>
    </w:p>
    <w:p w14:paraId="71612811" w14:textId="77777777" w:rsidR="008E788D" w:rsidRPr="001775D9" w:rsidRDefault="008E788D" w:rsidP="00B61D9D">
      <w:pPr>
        <w:numPr>
          <w:ilvl w:val="0"/>
          <w:numId w:val="18"/>
        </w:numPr>
        <w:spacing w:line="240" w:lineRule="auto"/>
        <w:ind w:left="567" w:hanging="567"/>
      </w:pPr>
      <w:r w:rsidRPr="001775D9">
        <w:t xml:space="preserve">heart stops pumping; </w:t>
      </w:r>
    </w:p>
    <w:p w14:paraId="374B0C5D" w14:textId="77777777" w:rsidR="008E788D" w:rsidRPr="001775D9" w:rsidRDefault="008E788D" w:rsidP="00B61D9D">
      <w:pPr>
        <w:numPr>
          <w:ilvl w:val="0"/>
          <w:numId w:val="18"/>
        </w:numPr>
        <w:spacing w:line="240" w:lineRule="auto"/>
        <w:ind w:left="567" w:hanging="567"/>
      </w:pPr>
      <w:r w:rsidRPr="001775D9">
        <w:t xml:space="preserve">pulmonary fibrosis (scarring of the lung); </w:t>
      </w:r>
    </w:p>
    <w:p w14:paraId="55260CBF" w14:textId="77777777" w:rsidR="008E788D" w:rsidRPr="001775D9" w:rsidRDefault="008E788D" w:rsidP="00B61D9D">
      <w:pPr>
        <w:numPr>
          <w:ilvl w:val="0"/>
          <w:numId w:val="18"/>
        </w:numPr>
        <w:spacing w:line="240" w:lineRule="auto"/>
        <w:ind w:left="567" w:hanging="567"/>
      </w:pPr>
      <w:r w:rsidRPr="001775D9">
        <w:t>intestinal perforation (hole in the wall of the gut);</w:t>
      </w:r>
    </w:p>
    <w:p w14:paraId="2FC3E7BC" w14:textId="77777777" w:rsidR="008E788D" w:rsidRPr="00F04F82" w:rsidRDefault="008E788D" w:rsidP="00D55B59">
      <w:pPr>
        <w:numPr>
          <w:ilvl w:val="0"/>
          <w:numId w:val="18"/>
        </w:numPr>
        <w:spacing w:line="240" w:lineRule="auto"/>
        <w:ind w:left="567" w:hanging="567"/>
        <w:rPr>
          <w:szCs w:val="22"/>
        </w:rPr>
        <w:pPrChange w:id="4168" w:author="Author">
          <w:pPr>
            <w:pStyle w:val="Default"/>
            <w:numPr>
              <w:numId w:val="18"/>
            </w:numPr>
            <w:ind w:left="567" w:hanging="567"/>
          </w:pPr>
        </w:pPrChange>
      </w:pPr>
      <w:r w:rsidRPr="001775D9">
        <w:rPr>
          <w:szCs w:val="22"/>
        </w:rPr>
        <w:t>hepatitis</w:t>
      </w:r>
      <w:r w:rsidRPr="00F04F82">
        <w:rPr>
          <w:szCs w:val="22"/>
        </w:rPr>
        <w:t xml:space="preserve"> (liver inflammation); </w:t>
      </w:r>
    </w:p>
    <w:p w14:paraId="099DE3CD" w14:textId="77777777" w:rsidR="008E788D" w:rsidRPr="001775D9" w:rsidRDefault="008E788D" w:rsidP="00B61D9D">
      <w:pPr>
        <w:numPr>
          <w:ilvl w:val="0"/>
          <w:numId w:val="19"/>
        </w:numPr>
        <w:spacing w:line="240" w:lineRule="auto"/>
        <w:ind w:left="567" w:hanging="567"/>
      </w:pPr>
      <w:r w:rsidRPr="001775D9">
        <w:t xml:space="preserve">reactivation of hepatitis B; </w:t>
      </w:r>
    </w:p>
    <w:p w14:paraId="0938F469" w14:textId="77777777" w:rsidR="008E788D" w:rsidRPr="001775D9" w:rsidRDefault="008E788D" w:rsidP="00B61D9D">
      <w:pPr>
        <w:numPr>
          <w:ilvl w:val="0"/>
          <w:numId w:val="19"/>
        </w:numPr>
        <w:spacing w:line="240" w:lineRule="auto"/>
        <w:ind w:left="567" w:hanging="567"/>
      </w:pPr>
      <w:r w:rsidRPr="001775D9">
        <w:t>autoimmune hepatitis (inflammation of the liver caused by the body's own immune system);</w:t>
      </w:r>
    </w:p>
    <w:p w14:paraId="690517D0" w14:textId="77777777" w:rsidR="008E788D" w:rsidRPr="001775D9" w:rsidRDefault="008E788D" w:rsidP="00B61D9D">
      <w:pPr>
        <w:numPr>
          <w:ilvl w:val="0"/>
          <w:numId w:val="19"/>
        </w:numPr>
        <w:spacing w:line="240" w:lineRule="auto"/>
        <w:ind w:left="567" w:hanging="567"/>
      </w:pPr>
      <w:r w:rsidRPr="001775D9">
        <w:t xml:space="preserve">cutaneous vasculitis (inflammation of blood vessels in the skin); </w:t>
      </w:r>
    </w:p>
    <w:p w14:paraId="036F8532" w14:textId="77777777" w:rsidR="008E788D" w:rsidRPr="001775D9" w:rsidRDefault="008E788D" w:rsidP="00B61D9D">
      <w:pPr>
        <w:numPr>
          <w:ilvl w:val="0"/>
          <w:numId w:val="19"/>
        </w:numPr>
        <w:spacing w:line="240" w:lineRule="auto"/>
        <w:ind w:left="567" w:hanging="567"/>
      </w:pPr>
      <w:r w:rsidRPr="001775D9">
        <w:t xml:space="preserve">Stevens-Johnson syndrome (life-threatening reaction with flu-like symptoms and blistering rash); </w:t>
      </w:r>
    </w:p>
    <w:p w14:paraId="68558197" w14:textId="77777777" w:rsidR="008E788D" w:rsidRPr="001775D9" w:rsidRDefault="008E788D" w:rsidP="00B61D9D">
      <w:pPr>
        <w:numPr>
          <w:ilvl w:val="0"/>
          <w:numId w:val="19"/>
        </w:numPr>
        <w:spacing w:line="240" w:lineRule="auto"/>
        <w:ind w:left="567" w:hanging="567"/>
      </w:pPr>
      <w:r w:rsidRPr="001775D9">
        <w:t xml:space="preserve">facial oedema associated with allergic reactions; </w:t>
      </w:r>
    </w:p>
    <w:p w14:paraId="33596110" w14:textId="77777777" w:rsidR="008E788D" w:rsidRPr="00D55B59" w:rsidRDefault="008E788D" w:rsidP="00B61D9D">
      <w:pPr>
        <w:numPr>
          <w:ilvl w:val="0"/>
          <w:numId w:val="19"/>
        </w:numPr>
        <w:spacing w:line="240" w:lineRule="auto"/>
        <w:ind w:left="567" w:hanging="567"/>
        <w:rPr>
          <w:lang w:val="it-IT"/>
          <w:rPrChange w:id="4169" w:author="Author">
            <w:rPr/>
          </w:rPrChange>
        </w:rPr>
      </w:pPr>
      <w:r w:rsidRPr="00D55B59">
        <w:rPr>
          <w:lang w:val="it-IT"/>
          <w:rPrChange w:id="4170" w:author="Author">
            <w:rPr/>
          </w:rPrChange>
        </w:rPr>
        <w:t xml:space="preserve">erythema multiforme (inflammatory skin rash); </w:t>
      </w:r>
    </w:p>
    <w:p w14:paraId="06ED692D" w14:textId="77777777" w:rsidR="008E788D" w:rsidRPr="001775D9" w:rsidRDefault="008E788D" w:rsidP="00B61D9D">
      <w:pPr>
        <w:numPr>
          <w:ilvl w:val="0"/>
          <w:numId w:val="19"/>
        </w:numPr>
        <w:spacing w:line="240" w:lineRule="auto"/>
        <w:ind w:left="567" w:hanging="567"/>
      </w:pPr>
      <w:r w:rsidRPr="001775D9">
        <w:t>lupus-like syndrome;</w:t>
      </w:r>
    </w:p>
    <w:p w14:paraId="5CE885F7" w14:textId="77777777" w:rsidR="008E788D" w:rsidRPr="001775D9" w:rsidRDefault="008E788D" w:rsidP="00B61D9D">
      <w:pPr>
        <w:keepNext/>
        <w:keepLines/>
        <w:numPr>
          <w:ilvl w:val="0"/>
          <w:numId w:val="19"/>
        </w:numPr>
        <w:spacing w:line="240" w:lineRule="auto"/>
        <w:ind w:left="567" w:hanging="567"/>
      </w:pPr>
      <w:r w:rsidRPr="001775D9">
        <w:t>angioedema (localised swelling of the skin);</w:t>
      </w:r>
    </w:p>
    <w:p w14:paraId="5F682B6C" w14:textId="77777777" w:rsidR="008E788D" w:rsidRPr="001775D9" w:rsidRDefault="008E788D" w:rsidP="00B61D9D">
      <w:pPr>
        <w:numPr>
          <w:ilvl w:val="0"/>
          <w:numId w:val="19"/>
        </w:numPr>
        <w:spacing w:line="240" w:lineRule="auto"/>
        <w:ind w:left="567" w:hanging="567"/>
      </w:pPr>
      <w:r w:rsidRPr="001775D9">
        <w:t>lichenoid skin reaction (itchy reddish-purple skin rash).</w:t>
      </w:r>
    </w:p>
    <w:p w14:paraId="3A56AE25" w14:textId="77777777" w:rsidR="008E788D" w:rsidRPr="00D55B59" w:rsidRDefault="008E788D" w:rsidP="006A71EE">
      <w:pPr>
        <w:pStyle w:val="Default"/>
        <w:rPr>
          <w:sz w:val="22"/>
          <w:szCs w:val="22"/>
          <w:lang w:val="en-GB"/>
          <w:rPrChange w:id="4171" w:author="Author">
            <w:rPr>
              <w:sz w:val="22"/>
              <w:szCs w:val="22"/>
            </w:rPr>
          </w:rPrChange>
        </w:rPr>
      </w:pPr>
    </w:p>
    <w:p w14:paraId="2A63881A" w14:textId="77777777" w:rsidR="008E788D" w:rsidRPr="00D55B59" w:rsidRDefault="008E788D" w:rsidP="006A71EE">
      <w:pPr>
        <w:pStyle w:val="Default"/>
        <w:rPr>
          <w:sz w:val="22"/>
          <w:szCs w:val="22"/>
          <w:lang w:val="en-GB"/>
          <w:rPrChange w:id="4172" w:author="Author">
            <w:rPr>
              <w:sz w:val="22"/>
              <w:szCs w:val="22"/>
            </w:rPr>
          </w:rPrChange>
        </w:rPr>
      </w:pPr>
      <w:r w:rsidRPr="00D55B59">
        <w:rPr>
          <w:sz w:val="22"/>
          <w:szCs w:val="22"/>
          <w:lang w:val="en-GB"/>
          <w:rPrChange w:id="4173" w:author="Author">
            <w:rPr>
              <w:sz w:val="22"/>
              <w:szCs w:val="22"/>
            </w:rPr>
          </w:rPrChange>
        </w:rPr>
        <w:t>Not known (frequency cannot be estimated from available data)</w:t>
      </w:r>
    </w:p>
    <w:p w14:paraId="47690BEF" w14:textId="77777777" w:rsidR="008E788D" w:rsidRPr="001775D9" w:rsidRDefault="008E788D" w:rsidP="00B61D9D">
      <w:pPr>
        <w:numPr>
          <w:ilvl w:val="0"/>
          <w:numId w:val="20"/>
        </w:numPr>
        <w:spacing w:line="240" w:lineRule="auto"/>
        <w:ind w:left="567" w:hanging="567"/>
      </w:pPr>
      <w:r w:rsidRPr="001775D9">
        <w:t xml:space="preserve">hepatosplenic T-cell lymphoma (a rare blood cancer that is often fatal); </w:t>
      </w:r>
    </w:p>
    <w:p w14:paraId="23FBBC66" w14:textId="77777777" w:rsidR="008E788D" w:rsidRPr="001775D9" w:rsidRDefault="008E788D" w:rsidP="00B61D9D">
      <w:pPr>
        <w:numPr>
          <w:ilvl w:val="0"/>
          <w:numId w:val="20"/>
        </w:numPr>
        <w:spacing w:line="240" w:lineRule="auto"/>
        <w:ind w:left="567" w:hanging="567"/>
      </w:pPr>
      <w:r w:rsidRPr="001775D9">
        <w:t>Merkel cell carcinoma (a type of skin cancer);</w:t>
      </w:r>
    </w:p>
    <w:p w14:paraId="7B48AE03" w14:textId="02B0BB5F" w:rsidR="008E788D" w:rsidRPr="001775D9" w:rsidRDefault="008E788D" w:rsidP="00B61D9D">
      <w:pPr>
        <w:numPr>
          <w:ilvl w:val="0"/>
          <w:numId w:val="20"/>
        </w:numPr>
        <w:spacing w:line="240" w:lineRule="auto"/>
        <w:ind w:left="567" w:hanging="567"/>
      </w:pPr>
      <w:r w:rsidRPr="001775D9">
        <w:t>Kaposi’s sarcoma, a rare cancer related to infection with human herpes virus 8. Kaposi’s</w:t>
      </w:r>
      <w:r w:rsidR="0024203F" w:rsidRPr="001775D9">
        <w:t xml:space="preserve"> </w:t>
      </w:r>
      <w:r w:rsidRPr="001775D9">
        <w:t xml:space="preserve">sarcoma most commonly appears as purple lesions on the skin; </w:t>
      </w:r>
    </w:p>
    <w:p w14:paraId="2E48AE9D" w14:textId="77777777" w:rsidR="008E788D" w:rsidRPr="001775D9" w:rsidRDefault="008E788D" w:rsidP="00B61D9D">
      <w:pPr>
        <w:numPr>
          <w:ilvl w:val="0"/>
          <w:numId w:val="20"/>
        </w:numPr>
        <w:spacing w:line="240" w:lineRule="auto"/>
        <w:ind w:left="567" w:hanging="567"/>
      </w:pPr>
      <w:r w:rsidRPr="001775D9">
        <w:t xml:space="preserve">liver failure; </w:t>
      </w:r>
    </w:p>
    <w:p w14:paraId="355F8AE3" w14:textId="77777777" w:rsidR="008E788D" w:rsidRPr="001775D9" w:rsidRDefault="008E788D" w:rsidP="00B61D9D">
      <w:pPr>
        <w:numPr>
          <w:ilvl w:val="0"/>
          <w:numId w:val="20"/>
        </w:numPr>
        <w:spacing w:line="240" w:lineRule="auto"/>
        <w:ind w:left="567" w:hanging="567"/>
      </w:pPr>
      <w:r w:rsidRPr="001775D9">
        <w:t>worsening of a condition called dermatomyositis (seen as a skin rash accompanying muscle weakness);</w:t>
      </w:r>
    </w:p>
    <w:p w14:paraId="2D5FF5BE" w14:textId="77777777" w:rsidR="008E788D" w:rsidRPr="001775D9" w:rsidRDefault="008E788D" w:rsidP="00B61D9D">
      <w:pPr>
        <w:numPr>
          <w:ilvl w:val="0"/>
          <w:numId w:val="20"/>
        </w:numPr>
        <w:spacing w:line="240" w:lineRule="auto"/>
        <w:ind w:left="567" w:hanging="567"/>
      </w:pPr>
      <w:r w:rsidRPr="001775D9">
        <w:t xml:space="preserve">weight gain (for most patients, the weight gain was small). </w:t>
      </w:r>
    </w:p>
    <w:p w14:paraId="5563343E" w14:textId="77777777" w:rsidR="008E788D" w:rsidRPr="001775D9" w:rsidRDefault="008E788D" w:rsidP="006A71EE">
      <w:pPr>
        <w:numPr>
          <w:ilvl w:val="12"/>
          <w:numId w:val="0"/>
        </w:numPr>
        <w:tabs>
          <w:tab w:val="clear" w:pos="567"/>
        </w:tabs>
        <w:spacing w:line="240" w:lineRule="auto"/>
        <w:outlineLvl w:val="0"/>
        <w:rPr>
          <w:b/>
          <w:szCs w:val="22"/>
        </w:rPr>
      </w:pPr>
    </w:p>
    <w:p w14:paraId="59D80D88" w14:textId="77777777" w:rsidR="008E788D" w:rsidRPr="00D55B59" w:rsidRDefault="008E788D" w:rsidP="006A71EE">
      <w:pPr>
        <w:pStyle w:val="Default"/>
        <w:rPr>
          <w:sz w:val="22"/>
          <w:szCs w:val="22"/>
          <w:lang w:val="en-GB"/>
          <w:rPrChange w:id="4174" w:author="Author">
            <w:rPr>
              <w:sz w:val="22"/>
              <w:szCs w:val="22"/>
            </w:rPr>
          </w:rPrChange>
        </w:rPr>
      </w:pPr>
      <w:r w:rsidRPr="00D55B59">
        <w:rPr>
          <w:sz w:val="22"/>
          <w:szCs w:val="22"/>
          <w:lang w:val="en-GB"/>
          <w:rPrChange w:id="4175" w:author="Author">
            <w:rPr>
              <w:sz w:val="22"/>
              <w:szCs w:val="22"/>
            </w:rPr>
          </w:rPrChange>
        </w:rPr>
        <w:t xml:space="preserve">Some side effects observed with adalimumab may not have symptoms and may only be discovered through blood tests. These include: </w:t>
      </w:r>
    </w:p>
    <w:p w14:paraId="508C0088" w14:textId="77777777" w:rsidR="008E788D" w:rsidRPr="00D55B59" w:rsidRDefault="008E788D" w:rsidP="006A71EE">
      <w:pPr>
        <w:pStyle w:val="Default"/>
        <w:rPr>
          <w:sz w:val="22"/>
          <w:szCs w:val="22"/>
          <w:lang w:val="en-GB"/>
          <w:rPrChange w:id="4176" w:author="Author">
            <w:rPr>
              <w:sz w:val="22"/>
              <w:szCs w:val="22"/>
            </w:rPr>
          </w:rPrChange>
        </w:rPr>
      </w:pPr>
    </w:p>
    <w:p w14:paraId="25FD515A" w14:textId="77777777" w:rsidR="008E788D" w:rsidRPr="00D55B59" w:rsidRDefault="008E788D" w:rsidP="006A71EE">
      <w:pPr>
        <w:pStyle w:val="Default"/>
        <w:keepNext/>
        <w:rPr>
          <w:sz w:val="22"/>
          <w:szCs w:val="22"/>
          <w:lang w:val="en-GB"/>
          <w:rPrChange w:id="4177" w:author="Author">
            <w:rPr>
              <w:sz w:val="22"/>
              <w:szCs w:val="22"/>
            </w:rPr>
          </w:rPrChange>
        </w:rPr>
      </w:pPr>
      <w:r w:rsidRPr="00D55B59">
        <w:rPr>
          <w:sz w:val="22"/>
          <w:szCs w:val="22"/>
          <w:lang w:val="en-GB"/>
          <w:rPrChange w:id="4178" w:author="Author">
            <w:rPr>
              <w:sz w:val="22"/>
              <w:szCs w:val="22"/>
            </w:rPr>
          </w:rPrChange>
        </w:rPr>
        <w:t xml:space="preserve">Very common (may affect more than 1 in 10 people) </w:t>
      </w:r>
    </w:p>
    <w:p w14:paraId="0226AB69" w14:textId="77777777" w:rsidR="008E788D" w:rsidRPr="001775D9" w:rsidRDefault="008E788D" w:rsidP="00B61D9D">
      <w:pPr>
        <w:keepNext/>
        <w:numPr>
          <w:ilvl w:val="0"/>
          <w:numId w:val="21"/>
        </w:numPr>
        <w:spacing w:line="240" w:lineRule="auto"/>
        <w:ind w:left="567" w:hanging="567"/>
      </w:pPr>
      <w:r w:rsidRPr="001775D9">
        <w:t xml:space="preserve">low blood measurements for white blood cells; </w:t>
      </w:r>
    </w:p>
    <w:p w14:paraId="208A9A16" w14:textId="77777777" w:rsidR="008E788D" w:rsidRPr="001775D9" w:rsidRDefault="008E788D" w:rsidP="00B61D9D">
      <w:pPr>
        <w:numPr>
          <w:ilvl w:val="0"/>
          <w:numId w:val="21"/>
        </w:numPr>
        <w:spacing w:line="240" w:lineRule="auto"/>
        <w:ind w:left="567" w:hanging="567"/>
      </w:pPr>
      <w:r w:rsidRPr="001775D9">
        <w:t xml:space="preserve">low blood measurements for red blood cells; </w:t>
      </w:r>
    </w:p>
    <w:p w14:paraId="004607A7" w14:textId="77777777" w:rsidR="008E788D" w:rsidRPr="001775D9" w:rsidRDefault="008E788D" w:rsidP="00B61D9D">
      <w:pPr>
        <w:numPr>
          <w:ilvl w:val="0"/>
          <w:numId w:val="21"/>
        </w:numPr>
        <w:spacing w:line="240" w:lineRule="auto"/>
        <w:ind w:left="567" w:hanging="567"/>
      </w:pPr>
      <w:r w:rsidRPr="001775D9">
        <w:t xml:space="preserve">increased lipids in the blood; </w:t>
      </w:r>
    </w:p>
    <w:p w14:paraId="19A04AFE" w14:textId="77777777" w:rsidR="008E788D" w:rsidRPr="001775D9" w:rsidRDefault="008E788D" w:rsidP="00B61D9D">
      <w:pPr>
        <w:numPr>
          <w:ilvl w:val="0"/>
          <w:numId w:val="21"/>
        </w:numPr>
        <w:spacing w:line="240" w:lineRule="auto"/>
        <w:ind w:left="567" w:hanging="567"/>
      </w:pPr>
      <w:r w:rsidRPr="001775D9">
        <w:t xml:space="preserve">elevated liver enzymes. </w:t>
      </w:r>
    </w:p>
    <w:p w14:paraId="3569A407" w14:textId="77777777" w:rsidR="008E788D" w:rsidRPr="00D55B59" w:rsidRDefault="008E788D" w:rsidP="006A71EE">
      <w:pPr>
        <w:pStyle w:val="Default"/>
        <w:rPr>
          <w:sz w:val="22"/>
          <w:szCs w:val="22"/>
          <w:lang w:val="en-GB"/>
          <w:rPrChange w:id="4179" w:author="Author">
            <w:rPr>
              <w:sz w:val="22"/>
              <w:szCs w:val="22"/>
            </w:rPr>
          </w:rPrChange>
        </w:rPr>
      </w:pPr>
    </w:p>
    <w:p w14:paraId="30C679C4" w14:textId="77777777" w:rsidR="008E788D" w:rsidRPr="00D55B59" w:rsidRDefault="008E788D" w:rsidP="006A71EE">
      <w:pPr>
        <w:pStyle w:val="Default"/>
        <w:keepNext/>
        <w:rPr>
          <w:sz w:val="22"/>
          <w:szCs w:val="22"/>
          <w:lang w:val="en-GB"/>
          <w:rPrChange w:id="4180" w:author="Author">
            <w:rPr>
              <w:sz w:val="22"/>
              <w:szCs w:val="22"/>
            </w:rPr>
          </w:rPrChange>
        </w:rPr>
      </w:pPr>
      <w:r w:rsidRPr="00D55B59">
        <w:rPr>
          <w:sz w:val="22"/>
          <w:szCs w:val="22"/>
          <w:lang w:val="en-GB"/>
          <w:rPrChange w:id="4181" w:author="Author">
            <w:rPr>
              <w:sz w:val="22"/>
              <w:szCs w:val="22"/>
            </w:rPr>
          </w:rPrChange>
        </w:rPr>
        <w:t xml:space="preserve">Common (may affect up to 1 in 10 people) </w:t>
      </w:r>
    </w:p>
    <w:p w14:paraId="493A1C5C" w14:textId="77777777" w:rsidR="008E788D" w:rsidRPr="001775D9" w:rsidRDefault="008E788D" w:rsidP="00B61D9D">
      <w:pPr>
        <w:keepNext/>
        <w:numPr>
          <w:ilvl w:val="0"/>
          <w:numId w:val="22"/>
        </w:numPr>
        <w:spacing w:line="240" w:lineRule="auto"/>
        <w:ind w:left="567" w:hanging="567"/>
      </w:pPr>
      <w:r w:rsidRPr="001775D9">
        <w:t xml:space="preserve">high blood measurements for white blood cells; </w:t>
      </w:r>
    </w:p>
    <w:p w14:paraId="555ECC30" w14:textId="77777777" w:rsidR="008E788D" w:rsidRPr="001775D9" w:rsidRDefault="008E788D" w:rsidP="00B61D9D">
      <w:pPr>
        <w:keepNext/>
        <w:numPr>
          <w:ilvl w:val="0"/>
          <w:numId w:val="22"/>
        </w:numPr>
        <w:spacing w:line="240" w:lineRule="auto"/>
        <w:ind w:left="567" w:hanging="567"/>
      </w:pPr>
      <w:r w:rsidRPr="001775D9">
        <w:t xml:space="preserve">low blood measurements for platelets; </w:t>
      </w:r>
    </w:p>
    <w:p w14:paraId="30CC3451" w14:textId="77777777" w:rsidR="008E788D" w:rsidRPr="001775D9" w:rsidRDefault="008E788D" w:rsidP="00B61D9D">
      <w:pPr>
        <w:numPr>
          <w:ilvl w:val="0"/>
          <w:numId w:val="22"/>
        </w:numPr>
        <w:spacing w:line="240" w:lineRule="auto"/>
        <w:ind w:left="567" w:hanging="567"/>
      </w:pPr>
      <w:r w:rsidRPr="001775D9">
        <w:t xml:space="preserve">increased uric acid in the blood; </w:t>
      </w:r>
    </w:p>
    <w:p w14:paraId="24FFC9F7" w14:textId="77777777" w:rsidR="008E788D" w:rsidRPr="001775D9" w:rsidRDefault="008E788D" w:rsidP="00B61D9D">
      <w:pPr>
        <w:numPr>
          <w:ilvl w:val="0"/>
          <w:numId w:val="22"/>
        </w:numPr>
        <w:spacing w:line="240" w:lineRule="auto"/>
        <w:ind w:left="567" w:hanging="567"/>
      </w:pPr>
      <w:r w:rsidRPr="001775D9">
        <w:t xml:space="preserve">abnormal blood measurements for sodium; </w:t>
      </w:r>
    </w:p>
    <w:p w14:paraId="03F3C799" w14:textId="77777777" w:rsidR="008E788D" w:rsidRPr="001775D9" w:rsidRDefault="008E788D" w:rsidP="00B61D9D">
      <w:pPr>
        <w:numPr>
          <w:ilvl w:val="0"/>
          <w:numId w:val="22"/>
        </w:numPr>
        <w:spacing w:line="240" w:lineRule="auto"/>
        <w:ind w:left="567" w:hanging="567"/>
      </w:pPr>
      <w:r w:rsidRPr="001775D9">
        <w:t xml:space="preserve">low blood measurements for calcium; </w:t>
      </w:r>
    </w:p>
    <w:p w14:paraId="3A3CFB45" w14:textId="77777777" w:rsidR="008E788D" w:rsidRPr="001775D9" w:rsidRDefault="008E788D" w:rsidP="00B61D9D">
      <w:pPr>
        <w:numPr>
          <w:ilvl w:val="0"/>
          <w:numId w:val="22"/>
        </w:numPr>
        <w:spacing w:line="240" w:lineRule="auto"/>
        <w:ind w:left="567" w:hanging="567"/>
      </w:pPr>
      <w:r w:rsidRPr="001775D9">
        <w:t xml:space="preserve">low blood measurements for phosphate; </w:t>
      </w:r>
    </w:p>
    <w:p w14:paraId="508052DE" w14:textId="77777777" w:rsidR="008E788D" w:rsidRPr="001775D9" w:rsidRDefault="008E788D" w:rsidP="00B61D9D">
      <w:pPr>
        <w:numPr>
          <w:ilvl w:val="0"/>
          <w:numId w:val="22"/>
        </w:numPr>
        <w:spacing w:line="240" w:lineRule="auto"/>
        <w:ind w:left="567" w:hanging="567"/>
      </w:pPr>
      <w:r w:rsidRPr="001775D9">
        <w:t xml:space="preserve">high blood sugar; </w:t>
      </w:r>
    </w:p>
    <w:p w14:paraId="65F7EF74" w14:textId="77777777" w:rsidR="008E788D" w:rsidRPr="001775D9" w:rsidRDefault="008E788D" w:rsidP="00B61D9D">
      <w:pPr>
        <w:numPr>
          <w:ilvl w:val="0"/>
          <w:numId w:val="22"/>
        </w:numPr>
        <w:spacing w:line="240" w:lineRule="auto"/>
        <w:ind w:left="567" w:hanging="567"/>
      </w:pPr>
      <w:r w:rsidRPr="001775D9">
        <w:t xml:space="preserve">high blood measurements for lactate dehydrogenase; </w:t>
      </w:r>
    </w:p>
    <w:p w14:paraId="73AA290D" w14:textId="77777777" w:rsidR="008E788D" w:rsidRPr="001775D9" w:rsidRDefault="008E788D" w:rsidP="00B61D9D">
      <w:pPr>
        <w:numPr>
          <w:ilvl w:val="0"/>
          <w:numId w:val="22"/>
        </w:numPr>
        <w:spacing w:line="240" w:lineRule="auto"/>
        <w:ind w:left="567" w:hanging="567"/>
      </w:pPr>
      <w:r w:rsidRPr="001775D9">
        <w:t>autoantibodies present in the blood;</w:t>
      </w:r>
    </w:p>
    <w:p w14:paraId="61F5D7D9" w14:textId="77777777" w:rsidR="008E788D" w:rsidRPr="00F04F82" w:rsidRDefault="008E788D" w:rsidP="00D55B59">
      <w:pPr>
        <w:numPr>
          <w:ilvl w:val="0"/>
          <w:numId w:val="22"/>
        </w:numPr>
        <w:spacing w:line="240" w:lineRule="auto"/>
        <w:ind w:left="567" w:hanging="567"/>
        <w:pPrChange w:id="4182" w:author="Author">
          <w:pPr>
            <w:numPr>
              <w:numId w:val="22"/>
            </w:numPr>
            <w:tabs>
              <w:tab w:val="clear" w:pos="567"/>
            </w:tabs>
            <w:suppressAutoHyphens/>
            <w:spacing w:line="240" w:lineRule="auto"/>
            <w:ind w:left="567" w:hanging="567"/>
          </w:pPr>
        </w:pPrChange>
      </w:pPr>
      <w:r w:rsidRPr="001775D9">
        <w:t>low blood potassium.</w:t>
      </w:r>
    </w:p>
    <w:p w14:paraId="2F66910D" w14:textId="77777777" w:rsidR="008E788D" w:rsidRPr="00D55B59" w:rsidRDefault="008E788D" w:rsidP="006A71EE">
      <w:pPr>
        <w:pStyle w:val="Default"/>
        <w:rPr>
          <w:sz w:val="22"/>
          <w:szCs w:val="22"/>
          <w:lang w:val="en-GB"/>
          <w:rPrChange w:id="4183" w:author="Author">
            <w:rPr>
              <w:sz w:val="22"/>
              <w:szCs w:val="22"/>
            </w:rPr>
          </w:rPrChange>
        </w:rPr>
      </w:pPr>
    </w:p>
    <w:p w14:paraId="0CD764CF" w14:textId="77777777" w:rsidR="008E788D" w:rsidRPr="001775D9" w:rsidRDefault="008E788D" w:rsidP="00B61D9D">
      <w:pPr>
        <w:spacing w:line="240" w:lineRule="auto"/>
        <w:ind w:left="360" w:hanging="360"/>
        <w:rPr>
          <w:szCs w:val="22"/>
        </w:rPr>
      </w:pPr>
      <w:r w:rsidRPr="001775D9">
        <w:rPr>
          <w:szCs w:val="22"/>
        </w:rPr>
        <w:t>Uncommon (may affect up to 1 in 100 people)</w:t>
      </w:r>
    </w:p>
    <w:p w14:paraId="3E431ECF" w14:textId="77777777" w:rsidR="008E788D" w:rsidRPr="001775D9" w:rsidRDefault="008E788D" w:rsidP="006A71EE">
      <w:pPr>
        <w:pStyle w:val="ListParagraph"/>
        <w:numPr>
          <w:ilvl w:val="0"/>
          <w:numId w:val="27"/>
        </w:numPr>
        <w:tabs>
          <w:tab w:val="left" w:pos="540"/>
        </w:tabs>
        <w:suppressAutoHyphens/>
        <w:ind w:hanging="720"/>
        <w:contextualSpacing w:val="0"/>
        <w:rPr>
          <w:sz w:val="22"/>
          <w:szCs w:val="22"/>
        </w:rPr>
      </w:pPr>
      <w:r w:rsidRPr="001775D9">
        <w:rPr>
          <w:sz w:val="22"/>
          <w:szCs w:val="22"/>
        </w:rPr>
        <w:t>elevated bilirubin measurement (liver blood test).</w:t>
      </w:r>
    </w:p>
    <w:p w14:paraId="3001BB39" w14:textId="77777777" w:rsidR="008E788D" w:rsidRPr="00D55B59" w:rsidRDefault="008E788D" w:rsidP="006A71EE">
      <w:pPr>
        <w:pStyle w:val="Default"/>
        <w:ind w:left="360"/>
        <w:rPr>
          <w:sz w:val="22"/>
          <w:szCs w:val="22"/>
          <w:lang w:val="en-GB"/>
          <w:rPrChange w:id="4184" w:author="Author">
            <w:rPr>
              <w:sz w:val="22"/>
              <w:szCs w:val="22"/>
            </w:rPr>
          </w:rPrChange>
        </w:rPr>
      </w:pPr>
    </w:p>
    <w:p w14:paraId="4D78533F" w14:textId="5110E222" w:rsidR="008E788D" w:rsidRPr="00D55B59" w:rsidRDefault="008E788D" w:rsidP="006A71EE">
      <w:pPr>
        <w:pStyle w:val="Default"/>
        <w:ind w:left="360" w:hanging="360"/>
        <w:rPr>
          <w:sz w:val="22"/>
          <w:szCs w:val="22"/>
          <w:lang w:val="en-GB"/>
          <w:rPrChange w:id="4185" w:author="Author">
            <w:rPr>
              <w:sz w:val="22"/>
              <w:szCs w:val="22"/>
            </w:rPr>
          </w:rPrChange>
        </w:rPr>
      </w:pPr>
      <w:r w:rsidRPr="00D55B59">
        <w:rPr>
          <w:sz w:val="22"/>
          <w:szCs w:val="22"/>
          <w:lang w:val="en-GB"/>
          <w:rPrChange w:id="4186" w:author="Author">
            <w:rPr>
              <w:sz w:val="22"/>
              <w:szCs w:val="22"/>
            </w:rPr>
          </w:rPrChange>
        </w:rPr>
        <w:t>Rare (may affect up to 1 in 1</w:t>
      </w:r>
      <w:r w:rsidR="00CE74EE" w:rsidRPr="00D55B59">
        <w:rPr>
          <w:sz w:val="22"/>
          <w:szCs w:val="22"/>
          <w:lang w:val="en-GB"/>
          <w:rPrChange w:id="4187" w:author="Author">
            <w:rPr>
              <w:sz w:val="22"/>
              <w:szCs w:val="22"/>
            </w:rPr>
          </w:rPrChange>
        </w:rPr>
        <w:t> </w:t>
      </w:r>
      <w:r w:rsidRPr="00D55B59">
        <w:rPr>
          <w:sz w:val="22"/>
          <w:szCs w:val="22"/>
          <w:lang w:val="en-GB"/>
          <w:rPrChange w:id="4188" w:author="Author">
            <w:rPr>
              <w:sz w:val="22"/>
              <w:szCs w:val="22"/>
            </w:rPr>
          </w:rPrChange>
        </w:rPr>
        <w:t>000 people)</w:t>
      </w:r>
    </w:p>
    <w:p w14:paraId="1C1E740D" w14:textId="77777777" w:rsidR="008E788D" w:rsidRPr="001775D9" w:rsidRDefault="008E788D" w:rsidP="00B61D9D">
      <w:pPr>
        <w:numPr>
          <w:ilvl w:val="0"/>
          <w:numId w:val="23"/>
        </w:numPr>
        <w:spacing w:line="240" w:lineRule="auto"/>
        <w:ind w:left="567" w:hanging="567"/>
      </w:pPr>
      <w:r w:rsidRPr="001775D9">
        <w:t xml:space="preserve">low blood measurements for white blood cells, red blood cells and platelet count. </w:t>
      </w:r>
    </w:p>
    <w:p w14:paraId="5756DA3B" w14:textId="77777777" w:rsidR="008E788D" w:rsidRPr="00D55B59" w:rsidRDefault="008E788D" w:rsidP="006A71EE">
      <w:pPr>
        <w:pStyle w:val="Default"/>
        <w:rPr>
          <w:sz w:val="22"/>
          <w:szCs w:val="22"/>
          <w:lang w:val="en-GB"/>
          <w:rPrChange w:id="4189" w:author="Author">
            <w:rPr>
              <w:sz w:val="22"/>
              <w:szCs w:val="22"/>
            </w:rPr>
          </w:rPrChange>
        </w:rPr>
      </w:pPr>
    </w:p>
    <w:p w14:paraId="39FEFC86" w14:textId="254B0525" w:rsidR="008E788D" w:rsidRPr="001775D9" w:rsidRDefault="008E788D" w:rsidP="00B61D9D">
      <w:pPr>
        <w:keepNext/>
        <w:numPr>
          <w:ilvl w:val="12"/>
          <w:numId w:val="0"/>
        </w:numPr>
        <w:spacing w:line="240" w:lineRule="auto"/>
        <w:outlineLvl w:val="0"/>
        <w:rPr>
          <w:b/>
          <w:szCs w:val="22"/>
          <w:lang w:eastAsia="zh-TW"/>
        </w:rPr>
      </w:pPr>
      <w:r w:rsidRPr="001775D9">
        <w:rPr>
          <w:b/>
          <w:szCs w:val="22"/>
        </w:rPr>
        <w:t>Reporting of side effects</w:t>
      </w:r>
      <w:r w:rsidR="001C55FB" w:rsidRPr="001775D9">
        <w:rPr>
          <w:b/>
          <w:szCs w:val="22"/>
        </w:rPr>
        <w:fldChar w:fldCharType="begin"/>
      </w:r>
      <w:r w:rsidR="001C55FB" w:rsidRPr="001775D9">
        <w:rPr>
          <w:b/>
          <w:szCs w:val="22"/>
        </w:rPr>
        <w:instrText xml:space="preserve"> DOCVARIABLE vault_nd_00ed9bad-8faa-42aa-8d57-97a01a570a75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062A7A86" w14:textId="77777777" w:rsidR="008E788D" w:rsidRPr="001775D9" w:rsidRDefault="008E788D" w:rsidP="00B61D9D">
      <w:pPr>
        <w:keepNext/>
        <w:numPr>
          <w:ilvl w:val="12"/>
          <w:numId w:val="0"/>
        </w:numPr>
        <w:spacing w:line="240" w:lineRule="auto"/>
        <w:outlineLvl w:val="0"/>
        <w:rPr>
          <w:b/>
          <w:szCs w:val="22"/>
          <w:lang w:eastAsia="zh-TW"/>
        </w:rPr>
      </w:pPr>
    </w:p>
    <w:p w14:paraId="26AB11FD" w14:textId="172A2B5C" w:rsidR="008E788D" w:rsidRPr="001775D9" w:rsidRDefault="008E788D" w:rsidP="00B61D9D">
      <w:pPr>
        <w:autoSpaceDE w:val="0"/>
        <w:autoSpaceDN w:val="0"/>
        <w:adjustRightInd w:val="0"/>
        <w:spacing w:line="240" w:lineRule="auto"/>
      </w:pPr>
      <w:r w:rsidRPr="001775D9">
        <w:rPr>
          <w:szCs w:val="22"/>
        </w:rPr>
        <w:t xml:space="preserve">If you get any side effects, talk to your doctor or pharmacist. This includes any possible side effects not listed in this leaflet. You can also report side effects directly via </w:t>
      </w:r>
      <w:r>
        <w:rPr>
          <w:szCs w:val="22"/>
          <w:highlight w:val="lightGray"/>
        </w:rPr>
        <w:t xml:space="preserve">the national reporting system listed in </w:t>
      </w:r>
      <w:hyperlink r:id="rId63" w:history="1">
        <w:r>
          <w:rPr>
            <w:rStyle w:val="Hyperlink"/>
            <w:szCs w:val="22"/>
            <w:highlight w:val="lightGray"/>
          </w:rPr>
          <w:t>Appendix V</w:t>
        </w:r>
      </w:hyperlink>
      <w:r w:rsidRPr="001775D9">
        <w:t>. By reporting side effects you can help provide more information on the safety of this medicine.</w:t>
      </w:r>
    </w:p>
    <w:p w14:paraId="0BDDF04E" w14:textId="77777777" w:rsidR="008E788D" w:rsidRPr="001775D9" w:rsidRDefault="008E788D" w:rsidP="00B61D9D">
      <w:pPr>
        <w:autoSpaceDE w:val="0"/>
        <w:autoSpaceDN w:val="0"/>
        <w:adjustRightInd w:val="0"/>
        <w:spacing w:line="240" w:lineRule="auto"/>
        <w:rPr>
          <w:szCs w:val="22"/>
        </w:rPr>
      </w:pPr>
    </w:p>
    <w:p w14:paraId="5C588832" w14:textId="77777777" w:rsidR="008E788D" w:rsidRPr="001775D9" w:rsidRDefault="008E788D" w:rsidP="00B61D9D">
      <w:pPr>
        <w:autoSpaceDE w:val="0"/>
        <w:autoSpaceDN w:val="0"/>
        <w:adjustRightInd w:val="0"/>
        <w:spacing w:line="240" w:lineRule="auto"/>
        <w:rPr>
          <w:szCs w:val="22"/>
        </w:rPr>
      </w:pPr>
    </w:p>
    <w:p w14:paraId="4B6DD848" w14:textId="77777777" w:rsidR="008E788D" w:rsidRPr="001775D9" w:rsidRDefault="008E788D" w:rsidP="006A71EE">
      <w:pPr>
        <w:numPr>
          <w:ilvl w:val="12"/>
          <w:numId w:val="0"/>
        </w:numPr>
        <w:tabs>
          <w:tab w:val="clear" w:pos="567"/>
        </w:tabs>
        <w:spacing w:line="240" w:lineRule="auto"/>
        <w:ind w:left="567" w:right="-2" w:hanging="567"/>
        <w:rPr>
          <w:b/>
          <w:szCs w:val="22"/>
        </w:rPr>
      </w:pPr>
      <w:r w:rsidRPr="001775D9">
        <w:rPr>
          <w:b/>
          <w:szCs w:val="22"/>
        </w:rPr>
        <w:t>5.</w:t>
      </w:r>
      <w:r w:rsidRPr="001775D9">
        <w:rPr>
          <w:b/>
          <w:szCs w:val="22"/>
        </w:rPr>
        <w:tab/>
        <w:t>How to store AMGEVITA</w:t>
      </w:r>
    </w:p>
    <w:p w14:paraId="500F0E22" w14:textId="77777777" w:rsidR="008E788D" w:rsidRPr="001775D9" w:rsidRDefault="008E788D" w:rsidP="006A71EE">
      <w:pPr>
        <w:numPr>
          <w:ilvl w:val="12"/>
          <w:numId w:val="0"/>
        </w:numPr>
        <w:tabs>
          <w:tab w:val="clear" w:pos="567"/>
        </w:tabs>
        <w:spacing w:line="240" w:lineRule="auto"/>
        <w:ind w:right="-2"/>
        <w:rPr>
          <w:szCs w:val="22"/>
        </w:rPr>
      </w:pPr>
    </w:p>
    <w:p w14:paraId="6C9E0F3B" w14:textId="77777777" w:rsidR="008E788D" w:rsidRPr="001775D9" w:rsidRDefault="008E788D" w:rsidP="006A71EE">
      <w:pPr>
        <w:numPr>
          <w:ilvl w:val="12"/>
          <w:numId w:val="0"/>
        </w:numPr>
        <w:tabs>
          <w:tab w:val="clear" w:pos="567"/>
        </w:tabs>
        <w:spacing w:line="240" w:lineRule="auto"/>
        <w:ind w:right="-2"/>
        <w:rPr>
          <w:szCs w:val="22"/>
        </w:rPr>
      </w:pPr>
      <w:r w:rsidRPr="001775D9">
        <w:rPr>
          <w:szCs w:val="22"/>
        </w:rPr>
        <w:t xml:space="preserve">Keep </w:t>
      </w:r>
      <w:r w:rsidRPr="001775D9">
        <w:t xml:space="preserve">this medicine </w:t>
      </w:r>
      <w:r w:rsidRPr="001775D9">
        <w:rPr>
          <w:szCs w:val="22"/>
        </w:rPr>
        <w:t>out of the sight and reach of children.</w:t>
      </w:r>
    </w:p>
    <w:p w14:paraId="06BB4552" w14:textId="77777777" w:rsidR="008E788D" w:rsidRPr="001775D9" w:rsidRDefault="008E788D" w:rsidP="006A71EE">
      <w:pPr>
        <w:keepNext/>
        <w:suppressLineNumbers/>
        <w:spacing w:line="240" w:lineRule="auto"/>
        <w:rPr>
          <w:color w:val="000000"/>
          <w:szCs w:val="22"/>
        </w:rPr>
      </w:pPr>
    </w:p>
    <w:p w14:paraId="595F0A11" w14:textId="77777777" w:rsidR="008E788D" w:rsidRPr="001775D9" w:rsidRDefault="008E788D" w:rsidP="006A71EE">
      <w:pPr>
        <w:numPr>
          <w:ilvl w:val="12"/>
          <w:numId w:val="0"/>
        </w:numPr>
        <w:tabs>
          <w:tab w:val="clear" w:pos="567"/>
        </w:tabs>
        <w:spacing w:line="240" w:lineRule="auto"/>
        <w:ind w:right="-2"/>
        <w:rPr>
          <w:szCs w:val="22"/>
        </w:rPr>
      </w:pPr>
      <w:r w:rsidRPr="001775D9">
        <w:rPr>
          <w:szCs w:val="22"/>
        </w:rPr>
        <w:t>Do not use this medicine after the expiry date which is stated on the label/blister and carton after EXP. The expiry date refers to the last day of that month.</w:t>
      </w:r>
    </w:p>
    <w:p w14:paraId="2E121F9E" w14:textId="77777777" w:rsidR="008E788D" w:rsidRPr="001775D9" w:rsidRDefault="008E788D" w:rsidP="006A71EE">
      <w:pPr>
        <w:numPr>
          <w:ilvl w:val="12"/>
          <w:numId w:val="0"/>
        </w:numPr>
        <w:tabs>
          <w:tab w:val="clear" w:pos="567"/>
        </w:tabs>
        <w:spacing w:line="240" w:lineRule="auto"/>
        <w:ind w:right="-2"/>
        <w:rPr>
          <w:szCs w:val="22"/>
        </w:rPr>
      </w:pPr>
    </w:p>
    <w:p w14:paraId="0853CA64" w14:textId="77777777" w:rsidR="008E788D" w:rsidRPr="001775D9" w:rsidRDefault="008E788D" w:rsidP="006A71EE">
      <w:pPr>
        <w:keepNext/>
        <w:suppressLineNumbers/>
        <w:spacing w:line="240" w:lineRule="auto"/>
        <w:rPr>
          <w:szCs w:val="22"/>
        </w:rPr>
      </w:pPr>
      <w:r w:rsidRPr="001775D9">
        <w:rPr>
          <w:color w:val="000000"/>
          <w:szCs w:val="22"/>
        </w:rPr>
        <w:t>Store in a refrigerator (2</w:t>
      </w:r>
      <w:r w:rsidRPr="001775D9">
        <w:rPr>
          <w:color w:val="000000"/>
          <w:szCs w:val="22"/>
        </w:rPr>
        <w:sym w:font="Symbol" w:char="F0B0"/>
      </w:r>
      <w:r w:rsidRPr="001775D9">
        <w:rPr>
          <w:color w:val="000000"/>
          <w:szCs w:val="22"/>
        </w:rPr>
        <w:t>C – 8</w:t>
      </w:r>
      <w:r w:rsidRPr="001775D9">
        <w:rPr>
          <w:color w:val="000000"/>
          <w:szCs w:val="22"/>
        </w:rPr>
        <w:sym w:font="Symbol" w:char="F0B0"/>
      </w:r>
      <w:r w:rsidRPr="001775D9">
        <w:rPr>
          <w:color w:val="000000"/>
          <w:szCs w:val="22"/>
        </w:rPr>
        <w:t xml:space="preserve">C). Do not freeze. </w:t>
      </w:r>
    </w:p>
    <w:p w14:paraId="11881794" w14:textId="77777777" w:rsidR="008E788D" w:rsidRPr="001775D9" w:rsidRDefault="008E788D" w:rsidP="006A71EE">
      <w:pPr>
        <w:numPr>
          <w:ilvl w:val="12"/>
          <w:numId w:val="0"/>
        </w:numPr>
        <w:tabs>
          <w:tab w:val="clear" w:pos="567"/>
        </w:tabs>
        <w:spacing w:line="240" w:lineRule="auto"/>
        <w:ind w:right="-2"/>
        <w:rPr>
          <w:color w:val="000000"/>
          <w:szCs w:val="22"/>
        </w:rPr>
      </w:pPr>
    </w:p>
    <w:p w14:paraId="2CFD338D" w14:textId="77777777" w:rsidR="008E788D" w:rsidRPr="001775D9" w:rsidRDefault="008E788D" w:rsidP="006A71EE">
      <w:pPr>
        <w:numPr>
          <w:ilvl w:val="12"/>
          <w:numId w:val="0"/>
        </w:numPr>
        <w:tabs>
          <w:tab w:val="clear" w:pos="567"/>
        </w:tabs>
        <w:spacing w:line="240" w:lineRule="auto"/>
        <w:ind w:right="-2"/>
        <w:rPr>
          <w:szCs w:val="22"/>
        </w:rPr>
      </w:pPr>
      <w:r w:rsidRPr="001775D9">
        <w:rPr>
          <w:szCs w:val="22"/>
        </w:rPr>
        <w:t xml:space="preserve">Store in the original carton in order to protect from light. </w:t>
      </w:r>
    </w:p>
    <w:p w14:paraId="08AF7733" w14:textId="77777777" w:rsidR="008E788D" w:rsidRPr="001775D9" w:rsidRDefault="008E788D" w:rsidP="006A71EE">
      <w:pPr>
        <w:keepNext/>
        <w:suppressLineNumbers/>
        <w:spacing w:line="240" w:lineRule="auto"/>
        <w:rPr>
          <w:szCs w:val="22"/>
        </w:rPr>
      </w:pPr>
    </w:p>
    <w:p w14:paraId="4E7CA43C" w14:textId="77777777" w:rsidR="008E788D" w:rsidRPr="001775D9" w:rsidRDefault="008E788D" w:rsidP="006A71EE">
      <w:pPr>
        <w:keepNext/>
        <w:suppressLineNumbers/>
        <w:spacing w:line="240" w:lineRule="auto"/>
        <w:rPr>
          <w:szCs w:val="22"/>
        </w:rPr>
      </w:pPr>
      <w:r w:rsidRPr="001775D9">
        <w:rPr>
          <w:szCs w:val="22"/>
        </w:rPr>
        <w:t>A single AMGEVITA pre-filled syringe may be stored at temperatures up to a maximum of 25°C for a period of up to 14 days. The pre-filled syringe must be protected from light, and discarded if not used within the 14-day period.</w:t>
      </w:r>
    </w:p>
    <w:p w14:paraId="1EB5814B" w14:textId="77777777" w:rsidR="008E788D" w:rsidRPr="001775D9" w:rsidRDefault="008E788D" w:rsidP="006A71EE">
      <w:pPr>
        <w:numPr>
          <w:ilvl w:val="12"/>
          <w:numId w:val="0"/>
        </w:numPr>
        <w:tabs>
          <w:tab w:val="clear" w:pos="567"/>
        </w:tabs>
        <w:spacing w:line="240" w:lineRule="auto"/>
        <w:ind w:right="-2"/>
        <w:rPr>
          <w:szCs w:val="22"/>
        </w:rPr>
      </w:pPr>
    </w:p>
    <w:p w14:paraId="342DD883" w14:textId="77777777" w:rsidR="008E788D" w:rsidRPr="001775D9" w:rsidRDefault="008E788D" w:rsidP="006A71EE">
      <w:pPr>
        <w:spacing w:line="240" w:lineRule="auto"/>
        <w:rPr>
          <w:i/>
          <w:iCs/>
          <w:szCs w:val="22"/>
        </w:rPr>
      </w:pPr>
      <w:r w:rsidRPr="001775D9">
        <w:rPr>
          <w:szCs w:val="22"/>
        </w:rPr>
        <w:t xml:space="preserve">Do not </w:t>
      </w:r>
      <w:r w:rsidRPr="001775D9">
        <w:t xml:space="preserve">throw away any medicines </w:t>
      </w:r>
      <w:r w:rsidRPr="001775D9">
        <w:rPr>
          <w:szCs w:val="22"/>
        </w:rPr>
        <w:t xml:space="preserve">via wastewater or household waste. Ask your pharmacist how to </w:t>
      </w:r>
      <w:r w:rsidRPr="001775D9">
        <w:t xml:space="preserve">throw away </w:t>
      </w:r>
      <w:r w:rsidRPr="001775D9">
        <w:rPr>
          <w:szCs w:val="22"/>
        </w:rPr>
        <w:t xml:space="preserve">medicines you no longer use. These measures will help protect the environment. </w:t>
      </w:r>
    </w:p>
    <w:p w14:paraId="5DD7F141" w14:textId="77777777" w:rsidR="008E788D" w:rsidRPr="001775D9" w:rsidRDefault="008E788D" w:rsidP="006A71EE">
      <w:pPr>
        <w:numPr>
          <w:ilvl w:val="12"/>
          <w:numId w:val="0"/>
        </w:numPr>
        <w:tabs>
          <w:tab w:val="clear" w:pos="567"/>
        </w:tabs>
        <w:spacing w:line="240" w:lineRule="auto"/>
        <w:ind w:right="-2"/>
        <w:rPr>
          <w:szCs w:val="22"/>
        </w:rPr>
      </w:pPr>
    </w:p>
    <w:p w14:paraId="404F3862" w14:textId="77777777" w:rsidR="008E788D" w:rsidRPr="001775D9" w:rsidRDefault="008E788D" w:rsidP="006A71EE">
      <w:pPr>
        <w:numPr>
          <w:ilvl w:val="12"/>
          <w:numId w:val="0"/>
        </w:numPr>
        <w:tabs>
          <w:tab w:val="clear" w:pos="567"/>
        </w:tabs>
        <w:spacing w:line="240" w:lineRule="auto"/>
        <w:ind w:right="-2"/>
        <w:rPr>
          <w:szCs w:val="22"/>
        </w:rPr>
      </w:pPr>
    </w:p>
    <w:p w14:paraId="3A32E56A" w14:textId="77777777" w:rsidR="008E788D" w:rsidRPr="001775D9" w:rsidRDefault="008E788D" w:rsidP="00B61D9D">
      <w:pPr>
        <w:keepNext/>
        <w:numPr>
          <w:ilvl w:val="12"/>
          <w:numId w:val="0"/>
        </w:numPr>
        <w:spacing w:line="240" w:lineRule="auto"/>
        <w:ind w:left="567" w:hanging="567"/>
        <w:rPr>
          <w:b/>
        </w:rPr>
      </w:pPr>
      <w:r w:rsidRPr="001775D9">
        <w:rPr>
          <w:b/>
        </w:rPr>
        <w:t>6.</w:t>
      </w:r>
      <w:r w:rsidRPr="001775D9">
        <w:rPr>
          <w:b/>
        </w:rPr>
        <w:tab/>
        <w:t>Contents of the pack and other information</w:t>
      </w:r>
    </w:p>
    <w:p w14:paraId="4D97D6DE" w14:textId="77777777" w:rsidR="008E788D" w:rsidRPr="001775D9" w:rsidRDefault="008E788D" w:rsidP="006A71EE">
      <w:pPr>
        <w:keepNext/>
        <w:numPr>
          <w:ilvl w:val="12"/>
          <w:numId w:val="0"/>
        </w:numPr>
        <w:tabs>
          <w:tab w:val="clear" w:pos="567"/>
        </w:tabs>
        <w:spacing w:line="240" w:lineRule="auto"/>
      </w:pPr>
    </w:p>
    <w:p w14:paraId="551AE7CD" w14:textId="77777777" w:rsidR="008E788D" w:rsidRPr="001775D9" w:rsidRDefault="008E788D" w:rsidP="006A71EE">
      <w:pPr>
        <w:keepNext/>
        <w:numPr>
          <w:ilvl w:val="12"/>
          <w:numId w:val="0"/>
        </w:numPr>
        <w:tabs>
          <w:tab w:val="clear" w:pos="567"/>
        </w:tabs>
        <w:spacing w:line="240" w:lineRule="auto"/>
        <w:ind w:right="-2"/>
        <w:rPr>
          <w:b/>
        </w:rPr>
      </w:pPr>
      <w:r w:rsidRPr="001775D9">
        <w:rPr>
          <w:b/>
        </w:rPr>
        <w:t xml:space="preserve">What </w:t>
      </w:r>
      <w:r w:rsidRPr="001775D9">
        <w:rPr>
          <w:b/>
          <w:szCs w:val="22"/>
        </w:rPr>
        <w:t>AMGEVITA</w:t>
      </w:r>
      <w:r w:rsidRPr="001775D9">
        <w:rPr>
          <w:b/>
        </w:rPr>
        <w:t xml:space="preserve"> contains </w:t>
      </w:r>
    </w:p>
    <w:p w14:paraId="043B858F" w14:textId="77777777" w:rsidR="008E788D" w:rsidRPr="001775D9" w:rsidRDefault="008E788D" w:rsidP="006A71EE">
      <w:pPr>
        <w:keepNext/>
        <w:numPr>
          <w:ilvl w:val="0"/>
          <w:numId w:val="4"/>
        </w:numPr>
        <w:tabs>
          <w:tab w:val="clear" w:pos="567"/>
        </w:tabs>
        <w:spacing w:line="240" w:lineRule="auto"/>
        <w:ind w:left="567" w:right="-2" w:hanging="567"/>
        <w:rPr>
          <w:i/>
          <w:iCs/>
          <w:szCs w:val="22"/>
        </w:rPr>
      </w:pPr>
      <w:r w:rsidRPr="001775D9">
        <w:t xml:space="preserve">The active substance is </w:t>
      </w:r>
      <w:r w:rsidRPr="001775D9">
        <w:rPr>
          <w:szCs w:val="22"/>
        </w:rPr>
        <w:t>adalimumab. Each pre-filled syringe contains 20 mg of adalimumab in 0.2 mL of solution, 40 mg of adalimumab in 0.4 mL of solution or 80 mg of adalimumab in 0.8 mL of solution.</w:t>
      </w:r>
    </w:p>
    <w:p w14:paraId="7A7F6981" w14:textId="77777777" w:rsidR="008E788D" w:rsidRPr="001775D9" w:rsidRDefault="008E788D" w:rsidP="006A71EE">
      <w:pPr>
        <w:numPr>
          <w:ilvl w:val="0"/>
          <w:numId w:val="4"/>
        </w:numPr>
        <w:tabs>
          <w:tab w:val="clear" w:pos="567"/>
        </w:tabs>
        <w:spacing w:line="240" w:lineRule="auto"/>
        <w:ind w:left="567" w:hanging="567"/>
        <w:rPr>
          <w:szCs w:val="22"/>
        </w:rPr>
      </w:pPr>
      <w:r w:rsidRPr="001775D9">
        <w:rPr>
          <w:szCs w:val="22"/>
        </w:rPr>
        <w:t xml:space="preserve">The other ingredients are L-lactic acid, sucrose, polysorbate 80, </w:t>
      </w:r>
      <w:r w:rsidRPr="001775D9">
        <w:rPr>
          <w:szCs w:val="22"/>
          <w:lang w:eastAsia="en-GB"/>
        </w:rPr>
        <w:t xml:space="preserve">sodium hydroxide </w:t>
      </w:r>
      <w:r w:rsidRPr="001775D9">
        <w:rPr>
          <w:szCs w:val="22"/>
        </w:rPr>
        <w:t>and water for injections.</w:t>
      </w:r>
    </w:p>
    <w:p w14:paraId="04FF80AA" w14:textId="77777777" w:rsidR="008E788D" w:rsidRPr="001775D9" w:rsidRDefault="008E788D" w:rsidP="006A71EE">
      <w:pPr>
        <w:tabs>
          <w:tab w:val="clear" w:pos="567"/>
        </w:tabs>
        <w:spacing w:line="240" w:lineRule="auto"/>
        <w:rPr>
          <w:szCs w:val="22"/>
        </w:rPr>
      </w:pPr>
    </w:p>
    <w:p w14:paraId="58F7A48A" w14:textId="77777777" w:rsidR="008E788D" w:rsidRPr="001775D9" w:rsidRDefault="008E788D" w:rsidP="006A71EE">
      <w:pPr>
        <w:keepNext/>
        <w:numPr>
          <w:ilvl w:val="12"/>
          <w:numId w:val="0"/>
        </w:numPr>
        <w:tabs>
          <w:tab w:val="clear" w:pos="567"/>
        </w:tabs>
        <w:spacing w:line="240" w:lineRule="auto"/>
        <w:ind w:right="-2"/>
        <w:rPr>
          <w:b/>
        </w:rPr>
      </w:pPr>
      <w:r w:rsidRPr="001775D9">
        <w:rPr>
          <w:b/>
        </w:rPr>
        <w:t xml:space="preserve">What </w:t>
      </w:r>
      <w:r w:rsidRPr="001775D9">
        <w:rPr>
          <w:b/>
          <w:szCs w:val="22"/>
        </w:rPr>
        <w:t>AMGEVITA</w:t>
      </w:r>
      <w:r w:rsidRPr="001775D9">
        <w:rPr>
          <w:b/>
        </w:rPr>
        <w:t xml:space="preserve"> looks like and contents of the pack</w:t>
      </w:r>
    </w:p>
    <w:p w14:paraId="2F703779" w14:textId="77777777" w:rsidR="008E788D" w:rsidRPr="001775D9" w:rsidRDefault="008E788D" w:rsidP="006A71EE">
      <w:pPr>
        <w:keepNext/>
        <w:numPr>
          <w:ilvl w:val="12"/>
          <w:numId w:val="0"/>
        </w:numPr>
        <w:tabs>
          <w:tab w:val="clear" w:pos="567"/>
        </w:tabs>
        <w:spacing w:line="240" w:lineRule="auto"/>
        <w:rPr>
          <w:szCs w:val="22"/>
        </w:rPr>
      </w:pPr>
    </w:p>
    <w:p w14:paraId="7F0CE1AA" w14:textId="77777777" w:rsidR="008E788D" w:rsidRPr="001775D9" w:rsidRDefault="008E788D" w:rsidP="006A71EE">
      <w:pPr>
        <w:keepNext/>
        <w:tabs>
          <w:tab w:val="clear" w:pos="567"/>
        </w:tabs>
        <w:autoSpaceDE w:val="0"/>
        <w:autoSpaceDN w:val="0"/>
        <w:adjustRightInd w:val="0"/>
        <w:spacing w:line="240" w:lineRule="auto"/>
        <w:rPr>
          <w:szCs w:val="22"/>
        </w:rPr>
      </w:pPr>
      <w:r w:rsidRPr="001775D9">
        <w:rPr>
          <w:szCs w:val="22"/>
        </w:rPr>
        <w:t xml:space="preserve">AMGEVITA is a clear </w:t>
      </w:r>
      <w:r w:rsidRPr="001775D9">
        <w:rPr>
          <w:rFonts w:eastAsia="Calibri"/>
          <w:bCs/>
          <w:szCs w:val="22"/>
        </w:rPr>
        <w:t>and colourless to slightly yellow</w:t>
      </w:r>
      <w:r w:rsidRPr="001775D9">
        <w:rPr>
          <w:szCs w:val="22"/>
        </w:rPr>
        <w:t xml:space="preserve"> solution.</w:t>
      </w:r>
    </w:p>
    <w:p w14:paraId="2C3A2641" w14:textId="77777777" w:rsidR="008E788D" w:rsidRPr="001775D9" w:rsidRDefault="008E788D" w:rsidP="006A71EE">
      <w:pPr>
        <w:keepNext/>
        <w:numPr>
          <w:ilvl w:val="12"/>
          <w:numId w:val="0"/>
        </w:numPr>
        <w:tabs>
          <w:tab w:val="clear" w:pos="567"/>
        </w:tabs>
        <w:spacing w:line="240" w:lineRule="auto"/>
        <w:rPr>
          <w:szCs w:val="22"/>
        </w:rPr>
      </w:pPr>
    </w:p>
    <w:p w14:paraId="4DDA49E1" w14:textId="2F4C2DF1" w:rsidR="008E788D" w:rsidRPr="001775D9" w:rsidRDefault="008E788D" w:rsidP="006A71EE">
      <w:pPr>
        <w:numPr>
          <w:ilvl w:val="12"/>
          <w:numId w:val="0"/>
        </w:numPr>
        <w:tabs>
          <w:tab w:val="clear" w:pos="567"/>
        </w:tabs>
        <w:spacing w:line="240" w:lineRule="auto"/>
        <w:rPr>
          <w:szCs w:val="22"/>
        </w:rPr>
      </w:pPr>
      <w:r w:rsidRPr="001775D9">
        <w:rPr>
          <w:szCs w:val="22"/>
        </w:rPr>
        <w:t>Each pack contains 1 single</w:t>
      </w:r>
      <w:r w:rsidR="00241B1A" w:rsidRPr="001775D9">
        <w:rPr>
          <w:szCs w:val="22"/>
        </w:rPr>
        <w:t>-</w:t>
      </w:r>
      <w:r w:rsidRPr="001775D9">
        <w:rPr>
          <w:szCs w:val="22"/>
        </w:rPr>
        <w:t xml:space="preserve">use 20 mg pre-filled syringe (with yellow plunger rod). </w:t>
      </w:r>
    </w:p>
    <w:p w14:paraId="4A511467" w14:textId="009C48B6" w:rsidR="008E788D" w:rsidRPr="001775D9" w:rsidRDefault="008E788D" w:rsidP="006A71EE">
      <w:pPr>
        <w:numPr>
          <w:ilvl w:val="12"/>
          <w:numId w:val="0"/>
        </w:numPr>
        <w:tabs>
          <w:tab w:val="clear" w:pos="567"/>
        </w:tabs>
        <w:spacing w:line="240" w:lineRule="auto"/>
        <w:rPr>
          <w:szCs w:val="22"/>
        </w:rPr>
      </w:pPr>
      <w:r w:rsidRPr="001775D9">
        <w:rPr>
          <w:szCs w:val="22"/>
        </w:rPr>
        <w:t>Each pack contains 1, 2 or 6 single</w:t>
      </w:r>
      <w:r w:rsidR="00241B1A" w:rsidRPr="001775D9">
        <w:rPr>
          <w:szCs w:val="22"/>
        </w:rPr>
        <w:t>-</w:t>
      </w:r>
      <w:r w:rsidRPr="001775D9">
        <w:rPr>
          <w:szCs w:val="22"/>
        </w:rPr>
        <w:t>use 40 mg pre-filled syringes (with blue plunger rod).</w:t>
      </w:r>
    </w:p>
    <w:p w14:paraId="2388A131" w14:textId="7AD82643" w:rsidR="008E788D" w:rsidRPr="001775D9" w:rsidRDefault="008E788D" w:rsidP="006A71EE">
      <w:pPr>
        <w:numPr>
          <w:ilvl w:val="12"/>
          <w:numId w:val="0"/>
        </w:numPr>
        <w:tabs>
          <w:tab w:val="clear" w:pos="567"/>
        </w:tabs>
        <w:spacing w:line="240" w:lineRule="auto"/>
        <w:rPr>
          <w:szCs w:val="22"/>
        </w:rPr>
      </w:pPr>
      <w:r w:rsidRPr="001775D9">
        <w:rPr>
          <w:szCs w:val="22"/>
        </w:rPr>
        <w:t>Each pack contains 1, 2 or 3 single</w:t>
      </w:r>
      <w:r w:rsidR="00241B1A" w:rsidRPr="001775D9">
        <w:rPr>
          <w:rStyle w:val="CommentReference"/>
        </w:rPr>
        <w:t>-</w:t>
      </w:r>
      <w:r w:rsidRPr="001775D9">
        <w:rPr>
          <w:szCs w:val="22"/>
        </w:rPr>
        <w:t>use 80 mg pre-filled syringes (with orange plunger rod).</w:t>
      </w:r>
    </w:p>
    <w:p w14:paraId="4B9C8C3F" w14:textId="77777777" w:rsidR="008E788D" w:rsidRPr="001775D9" w:rsidRDefault="008E788D" w:rsidP="006A71EE">
      <w:pPr>
        <w:numPr>
          <w:ilvl w:val="12"/>
          <w:numId w:val="0"/>
        </w:numPr>
        <w:tabs>
          <w:tab w:val="clear" w:pos="567"/>
        </w:tabs>
        <w:spacing w:line="240" w:lineRule="auto"/>
        <w:rPr>
          <w:szCs w:val="22"/>
        </w:rPr>
      </w:pPr>
    </w:p>
    <w:p w14:paraId="4FBD369C" w14:textId="77777777" w:rsidR="008E788D" w:rsidRPr="00D55B59" w:rsidRDefault="008E788D" w:rsidP="006A71EE">
      <w:pPr>
        <w:pStyle w:val="lbltxt"/>
        <w:keepNext/>
        <w:rPr>
          <w:noProof w:val="0"/>
          <w:lang w:val="en-GB"/>
          <w:rPrChange w:id="4190" w:author="Author">
            <w:rPr>
              <w:noProof w:val="0"/>
            </w:rPr>
          </w:rPrChange>
        </w:rPr>
      </w:pPr>
      <w:r w:rsidRPr="00D55B59">
        <w:rPr>
          <w:b/>
          <w:bCs/>
          <w:noProof w:val="0"/>
          <w:lang w:val="en-GB"/>
          <w:rPrChange w:id="4191" w:author="Author">
            <w:rPr>
              <w:b/>
              <w:bCs/>
              <w:noProof w:val="0"/>
            </w:rPr>
          </w:rPrChange>
        </w:rPr>
        <w:t>Marketing Authorisation Holder and Manufacturer</w:t>
      </w:r>
    </w:p>
    <w:p w14:paraId="28E4E3D4" w14:textId="77777777" w:rsidR="008E788D" w:rsidRPr="00D55B59" w:rsidRDefault="008E788D" w:rsidP="006A71EE">
      <w:pPr>
        <w:pStyle w:val="lbltxt"/>
        <w:rPr>
          <w:noProof w:val="0"/>
          <w:lang w:val="en-GB"/>
          <w:rPrChange w:id="4192" w:author="Author">
            <w:rPr>
              <w:noProof w:val="0"/>
            </w:rPr>
          </w:rPrChange>
        </w:rPr>
      </w:pPr>
      <w:r w:rsidRPr="00D55B59">
        <w:rPr>
          <w:noProof w:val="0"/>
          <w:lang w:val="en-GB"/>
          <w:rPrChange w:id="4193" w:author="Author">
            <w:rPr>
              <w:noProof w:val="0"/>
            </w:rPr>
          </w:rPrChange>
        </w:rPr>
        <w:t xml:space="preserve">Amgen Europe B.V. </w:t>
      </w:r>
      <w:r w:rsidRPr="00D55B59">
        <w:rPr>
          <w:noProof w:val="0"/>
          <w:lang w:val="en-GB"/>
          <w:rPrChange w:id="4194" w:author="Author">
            <w:rPr>
              <w:noProof w:val="0"/>
            </w:rPr>
          </w:rPrChange>
        </w:rPr>
        <w:br/>
        <w:t xml:space="preserve">Minervum 7061 </w:t>
      </w:r>
      <w:r w:rsidRPr="00D55B59">
        <w:rPr>
          <w:noProof w:val="0"/>
          <w:lang w:val="en-GB"/>
          <w:rPrChange w:id="4195" w:author="Author">
            <w:rPr>
              <w:noProof w:val="0"/>
            </w:rPr>
          </w:rPrChange>
        </w:rPr>
        <w:br/>
        <w:t xml:space="preserve">4817 ZK Breda </w:t>
      </w:r>
      <w:r w:rsidRPr="00D55B59">
        <w:rPr>
          <w:noProof w:val="0"/>
          <w:lang w:val="en-GB"/>
          <w:rPrChange w:id="4196" w:author="Author">
            <w:rPr>
              <w:noProof w:val="0"/>
            </w:rPr>
          </w:rPrChange>
        </w:rPr>
        <w:br/>
        <w:t>The Netherlands</w:t>
      </w:r>
    </w:p>
    <w:p w14:paraId="7004F7BB" w14:textId="77777777" w:rsidR="008E788D" w:rsidRPr="00D55B59" w:rsidRDefault="008E788D" w:rsidP="006A71EE">
      <w:pPr>
        <w:pStyle w:val="lbltxt"/>
        <w:rPr>
          <w:noProof w:val="0"/>
          <w:lang w:val="en-GB"/>
          <w:rPrChange w:id="4197" w:author="Author">
            <w:rPr>
              <w:noProof w:val="0"/>
            </w:rPr>
          </w:rPrChange>
        </w:rPr>
      </w:pPr>
    </w:p>
    <w:p w14:paraId="09A0B839" w14:textId="77777777" w:rsidR="008E788D" w:rsidRPr="00D55B59" w:rsidRDefault="008E788D" w:rsidP="006A71EE">
      <w:pPr>
        <w:pStyle w:val="lbltxt"/>
        <w:keepNext/>
        <w:keepLines/>
        <w:rPr>
          <w:b/>
          <w:bCs/>
          <w:noProof w:val="0"/>
          <w:highlight w:val="lightGray"/>
          <w:lang w:val="en-GB"/>
          <w:rPrChange w:id="4198" w:author="Author">
            <w:rPr>
              <w:b/>
              <w:bCs/>
              <w:noProof w:val="0"/>
              <w:highlight w:val="lightGray"/>
            </w:rPr>
          </w:rPrChange>
        </w:rPr>
      </w:pPr>
      <w:r w:rsidRPr="00D55B59">
        <w:rPr>
          <w:b/>
          <w:bCs/>
          <w:noProof w:val="0"/>
          <w:highlight w:val="lightGray"/>
          <w:lang w:val="en-GB"/>
          <w:rPrChange w:id="4199" w:author="Author">
            <w:rPr>
              <w:b/>
              <w:bCs/>
              <w:noProof w:val="0"/>
              <w:highlight w:val="lightGray"/>
            </w:rPr>
          </w:rPrChange>
        </w:rPr>
        <w:t>Marketing Authorisation Holder</w:t>
      </w:r>
    </w:p>
    <w:p w14:paraId="75C81CC6" w14:textId="77777777" w:rsidR="008E788D" w:rsidRPr="00D55B59" w:rsidRDefault="008E788D" w:rsidP="006A71EE">
      <w:pPr>
        <w:pStyle w:val="lbltxt"/>
        <w:keepNext/>
        <w:keepLines/>
        <w:rPr>
          <w:noProof w:val="0"/>
          <w:highlight w:val="lightGray"/>
          <w:lang w:val="en-GB"/>
          <w:rPrChange w:id="4200" w:author="Author">
            <w:rPr>
              <w:noProof w:val="0"/>
              <w:highlight w:val="lightGray"/>
            </w:rPr>
          </w:rPrChange>
        </w:rPr>
      </w:pPr>
      <w:r w:rsidRPr="00D55B59">
        <w:rPr>
          <w:noProof w:val="0"/>
          <w:highlight w:val="lightGray"/>
          <w:lang w:val="en-GB"/>
          <w:rPrChange w:id="4201" w:author="Author">
            <w:rPr>
              <w:noProof w:val="0"/>
              <w:highlight w:val="lightGray"/>
            </w:rPr>
          </w:rPrChange>
        </w:rPr>
        <w:t xml:space="preserve">Amgen Europe B.V. </w:t>
      </w:r>
      <w:r w:rsidRPr="00D55B59">
        <w:rPr>
          <w:noProof w:val="0"/>
          <w:highlight w:val="lightGray"/>
          <w:lang w:val="en-GB"/>
          <w:rPrChange w:id="4202" w:author="Author">
            <w:rPr>
              <w:noProof w:val="0"/>
              <w:highlight w:val="lightGray"/>
            </w:rPr>
          </w:rPrChange>
        </w:rPr>
        <w:br/>
        <w:t xml:space="preserve">Minervum 7061 </w:t>
      </w:r>
      <w:r w:rsidRPr="00D55B59">
        <w:rPr>
          <w:noProof w:val="0"/>
          <w:highlight w:val="lightGray"/>
          <w:lang w:val="en-GB"/>
          <w:rPrChange w:id="4203" w:author="Author">
            <w:rPr>
              <w:noProof w:val="0"/>
              <w:highlight w:val="lightGray"/>
            </w:rPr>
          </w:rPrChange>
        </w:rPr>
        <w:br/>
        <w:t xml:space="preserve">4817 ZK Breda </w:t>
      </w:r>
      <w:r w:rsidRPr="00D55B59">
        <w:rPr>
          <w:noProof w:val="0"/>
          <w:highlight w:val="lightGray"/>
          <w:lang w:val="en-GB"/>
          <w:rPrChange w:id="4204" w:author="Author">
            <w:rPr>
              <w:noProof w:val="0"/>
              <w:highlight w:val="lightGray"/>
            </w:rPr>
          </w:rPrChange>
        </w:rPr>
        <w:br/>
        <w:t>The Netherlands</w:t>
      </w:r>
    </w:p>
    <w:p w14:paraId="1904CF5E" w14:textId="77777777" w:rsidR="008E788D" w:rsidRPr="00D55B59" w:rsidRDefault="008E788D" w:rsidP="006A71EE">
      <w:pPr>
        <w:pStyle w:val="lbltxt"/>
        <w:rPr>
          <w:noProof w:val="0"/>
          <w:highlight w:val="lightGray"/>
          <w:lang w:val="en-GB"/>
          <w:rPrChange w:id="4205" w:author="Author">
            <w:rPr>
              <w:noProof w:val="0"/>
              <w:highlight w:val="lightGray"/>
            </w:rPr>
          </w:rPrChange>
        </w:rPr>
      </w:pPr>
    </w:p>
    <w:p w14:paraId="6894114D" w14:textId="77777777" w:rsidR="008E788D" w:rsidRPr="00D55B59" w:rsidRDefault="008E788D" w:rsidP="006A71EE">
      <w:pPr>
        <w:pStyle w:val="lbltxt"/>
        <w:keepNext/>
        <w:keepLines/>
        <w:rPr>
          <w:b/>
          <w:noProof w:val="0"/>
          <w:highlight w:val="lightGray"/>
          <w:lang w:val="en-GB"/>
          <w:rPrChange w:id="4206" w:author="Author">
            <w:rPr>
              <w:b/>
              <w:noProof w:val="0"/>
              <w:highlight w:val="lightGray"/>
            </w:rPr>
          </w:rPrChange>
        </w:rPr>
      </w:pPr>
      <w:r w:rsidRPr="00D55B59">
        <w:rPr>
          <w:b/>
          <w:noProof w:val="0"/>
          <w:highlight w:val="lightGray"/>
          <w:lang w:val="en-GB"/>
          <w:rPrChange w:id="4207" w:author="Author">
            <w:rPr>
              <w:b/>
              <w:noProof w:val="0"/>
              <w:highlight w:val="lightGray"/>
            </w:rPr>
          </w:rPrChange>
        </w:rPr>
        <w:t>Manufacturer</w:t>
      </w:r>
    </w:p>
    <w:p w14:paraId="1368B41B" w14:textId="77777777" w:rsidR="008E788D" w:rsidRPr="00D55B59" w:rsidRDefault="008E788D" w:rsidP="006A71EE">
      <w:pPr>
        <w:pStyle w:val="lbltxt"/>
        <w:keepNext/>
        <w:keepLines/>
        <w:rPr>
          <w:noProof w:val="0"/>
          <w:highlight w:val="lightGray"/>
          <w:lang w:val="en-GB"/>
          <w:rPrChange w:id="4208" w:author="Author">
            <w:rPr>
              <w:noProof w:val="0"/>
              <w:highlight w:val="lightGray"/>
            </w:rPr>
          </w:rPrChange>
        </w:rPr>
      </w:pPr>
      <w:r w:rsidRPr="00D55B59">
        <w:rPr>
          <w:noProof w:val="0"/>
          <w:highlight w:val="lightGray"/>
          <w:lang w:val="en-GB"/>
          <w:rPrChange w:id="4209" w:author="Author">
            <w:rPr>
              <w:noProof w:val="0"/>
              <w:highlight w:val="lightGray"/>
            </w:rPr>
          </w:rPrChange>
        </w:rPr>
        <w:t xml:space="preserve">Amgen Technology Ireland UC </w:t>
      </w:r>
    </w:p>
    <w:p w14:paraId="32D23053" w14:textId="77777777" w:rsidR="008E788D" w:rsidRPr="00D55B59" w:rsidRDefault="008E788D" w:rsidP="006A71EE">
      <w:pPr>
        <w:pStyle w:val="lbltxt"/>
        <w:keepNext/>
        <w:keepLines/>
        <w:rPr>
          <w:noProof w:val="0"/>
          <w:highlight w:val="lightGray"/>
          <w:lang w:val="en-GB"/>
          <w:rPrChange w:id="4210" w:author="Author">
            <w:rPr>
              <w:noProof w:val="0"/>
              <w:highlight w:val="lightGray"/>
            </w:rPr>
          </w:rPrChange>
        </w:rPr>
      </w:pPr>
      <w:r w:rsidRPr="00D55B59">
        <w:rPr>
          <w:noProof w:val="0"/>
          <w:highlight w:val="lightGray"/>
          <w:lang w:val="en-GB"/>
          <w:rPrChange w:id="4211" w:author="Author">
            <w:rPr>
              <w:noProof w:val="0"/>
              <w:highlight w:val="lightGray"/>
            </w:rPr>
          </w:rPrChange>
        </w:rPr>
        <w:t>Pottery Road</w:t>
      </w:r>
    </w:p>
    <w:p w14:paraId="4494A2B0" w14:textId="77777777" w:rsidR="008E788D" w:rsidRPr="00D55B59" w:rsidRDefault="008E788D" w:rsidP="006A71EE">
      <w:pPr>
        <w:pStyle w:val="lbltxt"/>
        <w:rPr>
          <w:noProof w:val="0"/>
          <w:highlight w:val="lightGray"/>
          <w:lang w:val="en-GB"/>
          <w:rPrChange w:id="4212" w:author="Author">
            <w:rPr>
              <w:noProof w:val="0"/>
              <w:highlight w:val="lightGray"/>
            </w:rPr>
          </w:rPrChange>
        </w:rPr>
      </w:pPr>
      <w:r w:rsidRPr="00D55B59">
        <w:rPr>
          <w:noProof w:val="0"/>
          <w:highlight w:val="lightGray"/>
          <w:lang w:val="en-GB"/>
          <w:rPrChange w:id="4213" w:author="Author">
            <w:rPr>
              <w:noProof w:val="0"/>
              <w:highlight w:val="lightGray"/>
            </w:rPr>
          </w:rPrChange>
        </w:rPr>
        <w:t>Dun Laoghaire</w:t>
      </w:r>
    </w:p>
    <w:p w14:paraId="15321F2B" w14:textId="77777777" w:rsidR="008E788D" w:rsidRPr="00D55B59" w:rsidRDefault="008E788D" w:rsidP="006A71EE">
      <w:pPr>
        <w:pStyle w:val="lbltxt"/>
        <w:rPr>
          <w:noProof w:val="0"/>
          <w:highlight w:val="lightGray"/>
          <w:lang w:val="en-GB"/>
          <w:rPrChange w:id="4214" w:author="Author">
            <w:rPr>
              <w:noProof w:val="0"/>
              <w:highlight w:val="lightGray"/>
            </w:rPr>
          </w:rPrChange>
        </w:rPr>
      </w:pPr>
      <w:r w:rsidRPr="00D55B59">
        <w:rPr>
          <w:noProof w:val="0"/>
          <w:highlight w:val="lightGray"/>
          <w:lang w:val="en-GB"/>
          <w:rPrChange w:id="4215" w:author="Author">
            <w:rPr>
              <w:noProof w:val="0"/>
              <w:highlight w:val="lightGray"/>
            </w:rPr>
          </w:rPrChange>
        </w:rPr>
        <w:t>Co Dublin</w:t>
      </w:r>
    </w:p>
    <w:p w14:paraId="3EE2774F" w14:textId="77777777" w:rsidR="008E788D" w:rsidRPr="00D55B59" w:rsidRDefault="008E788D" w:rsidP="006A71EE">
      <w:pPr>
        <w:pStyle w:val="lbltxt"/>
        <w:rPr>
          <w:noProof w:val="0"/>
          <w:lang w:val="en-GB"/>
          <w:rPrChange w:id="4216" w:author="Author">
            <w:rPr>
              <w:noProof w:val="0"/>
            </w:rPr>
          </w:rPrChange>
        </w:rPr>
      </w:pPr>
      <w:r w:rsidRPr="00D55B59">
        <w:rPr>
          <w:noProof w:val="0"/>
          <w:highlight w:val="lightGray"/>
          <w:lang w:val="en-GB"/>
          <w:rPrChange w:id="4217" w:author="Author">
            <w:rPr>
              <w:noProof w:val="0"/>
              <w:highlight w:val="lightGray"/>
            </w:rPr>
          </w:rPrChange>
        </w:rPr>
        <w:t>Ireland</w:t>
      </w:r>
    </w:p>
    <w:p w14:paraId="1107DE81" w14:textId="77777777" w:rsidR="008E788D" w:rsidRPr="001775D9" w:rsidRDefault="008E788D" w:rsidP="006A71EE">
      <w:pPr>
        <w:numPr>
          <w:ilvl w:val="12"/>
          <w:numId w:val="0"/>
        </w:numPr>
        <w:tabs>
          <w:tab w:val="clear" w:pos="567"/>
        </w:tabs>
        <w:spacing w:line="240" w:lineRule="auto"/>
        <w:ind w:right="-2"/>
        <w:rPr>
          <w:b/>
        </w:rPr>
      </w:pPr>
    </w:p>
    <w:p w14:paraId="75EFB54E" w14:textId="77777777" w:rsidR="008E788D" w:rsidRDefault="008E788D" w:rsidP="006A71EE">
      <w:pPr>
        <w:keepNext/>
        <w:numPr>
          <w:ilvl w:val="12"/>
          <w:numId w:val="0"/>
        </w:numPr>
        <w:tabs>
          <w:tab w:val="clear" w:pos="567"/>
        </w:tabs>
        <w:spacing w:line="240" w:lineRule="auto"/>
        <w:ind w:right="-2"/>
        <w:rPr>
          <w:b/>
          <w:highlight w:val="lightGray"/>
        </w:rPr>
      </w:pPr>
      <w:r>
        <w:rPr>
          <w:b/>
          <w:highlight w:val="lightGray"/>
        </w:rPr>
        <w:t>Manufacturer</w:t>
      </w:r>
    </w:p>
    <w:p w14:paraId="080B6541" w14:textId="77777777" w:rsidR="008E788D" w:rsidRDefault="008E788D" w:rsidP="006A71EE">
      <w:pPr>
        <w:keepNext/>
        <w:spacing w:line="240" w:lineRule="auto"/>
        <w:rPr>
          <w:highlight w:val="lightGray"/>
        </w:rPr>
      </w:pPr>
      <w:r>
        <w:rPr>
          <w:highlight w:val="lightGray"/>
        </w:rPr>
        <w:t>Amgen NV</w:t>
      </w:r>
    </w:p>
    <w:p w14:paraId="38382217" w14:textId="77777777" w:rsidR="008E788D" w:rsidRDefault="008E788D" w:rsidP="00B61D9D">
      <w:pPr>
        <w:autoSpaceDE w:val="0"/>
        <w:autoSpaceDN w:val="0"/>
        <w:spacing w:line="240" w:lineRule="auto"/>
        <w:rPr>
          <w:highlight w:val="lightGray"/>
        </w:rPr>
      </w:pPr>
      <w:r>
        <w:rPr>
          <w:highlight w:val="lightGray"/>
        </w:rPr>
        <w:t>Telecomlaan 5-7</w:t>
      </w:r>
    </w:p>
    <w:p w14:paraId="5C809E07" w14:textId="77777777" w:rsidR="008E788D" w:rsidRDefault="008E788D" w:rsidP="006A71EE">
      <w:pPr>
        <w:spacing w:line="240" w:lineRule="auto"/>
        <w:rPr>
          <w:highlight w:val="lightGray"/>
        </w:rPr>
      </w:pPr>
      <w:r>
        <w:rPr>
          <w:highlight w:val="lightGray"/>
        </w:rPr>
        <w:t>1831 Diegem</w:t>
      </w:r>
    </w:p>
    <w:p w14:paraId="4D3B4BEF" w14:textId="77777777" w:rsidR="008E788D" w:rsidRDefault="008E788D" w:rsidP="006A71EE">
      <w:pPr>
        <w:numPr>
          <w:ilvl w:val="12"/>
          <w:numId w:val="0"/>
        </w:numPr>
        <w:tabs>
          <w:tab w:val="clear" w:pos="567"/>
        </w:tabs>
        <w:spacing w:line="240" w:lineRule="auto"/>
        <w:ind w:right="-2"/>
        <w:rPr>
          <w:highlight w:val="lightGray"/>
        </w:rPr>
      </w:pPr>
      <w:r>
        <w:rPr>
          <w:highlight w:val="lightGray"/>
        </w:rPr>
        <w:t>Belgium</w:t>
      </w:r>
    </w:p>
    <w:p w14:paraId="76DCDE0C" w14:textId="77777777" w:rsidR="008E788D" w:rsidRPr="001775D9" w:rsidRDefault="008E788D" w:rsidP="006A71EE">
      <w:pPr>
        <w:numPr>
          <w:ilvl w:val="12"/>
          <w:numId w:val="0"/>
        </w:numPr>
        <w:tabs>
          <w:tab w:val="clear" w:pos="567"/>
        </w:tabs>
        <w:spacing w:line="240" w:lineRule="auto"/>
        <w:ind w:right="-2"/>
        <w:rPr>
          <w:szCs w:val="22"/>
        </w:rPr>
      </w:pPr>
    </w:p>
    <w:p w14:paraId="123F647A" w14:textId="77777777" w:rsidR="008E788D" w:rsidRPr="001775D9" w:rsidRDefault="008E788D" w:rsidP="008E788D">
      <w:pPr>
        <w:keepNext/>
        <w:numPr>
          <w:ilvl w:val="12"/>
          <w:numId w:val="0"/>
        </w:numPr>
        <w:tabs>
          <w:tab w:val="clear" w:pos="567"/>
        </w:tabs>
        <w:spacing w:line="240" w:lineRule="auto"/>
        <w:ind w:right="-2"/>
        <w:rPr>
          <w:szCs w:val="22"/>
        </w:rPr>
      </w:pPr>
      <w:r w:rsidRPr="001775D9">
        <w:rPr>
          <w:szCs w:val="22"/>
        </w:rPr>
        <w:t>For any information about this medicine, please contact the local representative of the Marketing Authorisation Holder:</w:t>
      </w:r>
    </w:p>
    <w:p w14:paraId="24FE6860" w14:textId="77777777" w:rsidR="008E788D" w:rsidRPr="001775D9" w:rsidRDefault="008E788D" w:rsidP="008E788D">
      <w:pPr>
        <w:keepNext/>
        <w:numPr>
          <w:ilvl w:val="12"/>
          <w:numId w:val="0"/>
        </w:numPr>
        <w:tabs>
          <w:tab w:val="clear" w:pos="567"/>
        </w:tabs>
        <w:spacing w:line="240" w:lineRule="auto"/>
        <w:ind w:right="-2"/>
        <w:rPr>
          <w:szCs w:val="22"/>
        </w:rPr>
      </w:pPr>
    </w:p>
    <w:tbl>
      <w:tblPr>
        <w:tblW w:w="9356" w:type="dxa"/>
        <w:tblLook w:val="04A0" w:firstRow="1" w:lastRow="0" w:firstColumn="1" w:lastColumn="0" w:noHBand="0" w:noVBand="1"/>
      </w:tblPr>
      <w:tblGrid>
        <w:gridCol w:w="4677"/>
        <w:gridCol w:w="4679"/>
      </w:tblGrid>
      <w:tr w:rsidR="008E788D" w:rsidRPr="00F04F82" w14:paraId="620E6738" w14:textId="77777777" w:rsidTr="00D47253">
        <w:trPr>
          <w:cantSplit/>
        </w:trPr>
        <w:tc>
          <w:tcPr>
            <w:tcW w:w="4677" w:type="dxa"/>
          </w:tcPr>
          <w:p w14:paraId="4EF6EC5D" w14:textId="77777777" w:rsidR="008E788D" w:rsidRPr="00A166A8" w:rsidRDefault="008E788D" w:rsidP="00D47253">
            <w:pPr>
              <w:pStyle w:val="lbltxt"/>
              <w:keepNext/>
              <w:rPr>
                <w:noProof w:val="0"/>
                <w:szCs w:val="22"/>
                <w:lang w:val="fr-FR"/>
              </w:rPr>
            </w:pPr>
            <w:r w:rsidRPr="00A166A8">
              <w:rPr>
                <w:b/>
                <w:noProof w:val="0"/>
                <w:szCs w:val="22"/>
                <w:lang w:val="fr-FR"/>
              </w:rPr>
              <w:t>België/Belgique/Belgien</w:t>
            </w:r>
          </w:p>
          <w:p w14:paraId="71D67C2E" w14:textId="77777777" w:rsidR="008E788D" w:rsidRPr="00A166A8" w:rsidRDefault="008E788D" w:rsidP="00D47253">
            <w:pPr>
              <w:pStyle w:val="lbltxt"/>
              <w:keepNext/>
              <w:rPr>
                <w:noProof w:val="0"/>
                <w:szCs w:val="22"/>
                <w:lang w:val="fr-FR"/>
              </w:rPr>
            </w:pPr>
            <w:r w:rsidRPr="00A166A8">
              <w:rPr>
                <w:noProof w:val="0"/>
                <w:szCs w:val="22"/>
                <w:lang w:val="fr-FR"/>
              </w:rPr>
              <w:t>s.a. Amgen n.v.</w:t>
            </w:r>
          </w:p>
          <w:p w14:paraId="4C66ED17" w14:textId="77777777" w:rsidR="008E788D" w:rsidRPr="001775D9" w:rsidRDefault="008E788D" w:rsidP="00D47253">
            <w:pPr>
              <w:keepNext/>
              <w:rPr>
                <w:szCs w:val="22"/>
              </w:rPr>
            </w:pPr>
            <w:r w:rsidRPr="001775D9">
              <w:rPr>
                <w:szCs w:val="22"/>
              </w:rPr>
              <w:t>Tél/Tel: +32 (0)2 7752711</w:t>
            </w:r>
          </w:p>
          <w:p w14:paraId="23A27947" w14:textId="77777777" w:rsidR="008E788D" w:rsidRPr="001775D9" w:rsidRDefault="008E788D" w:rsidP="00D47253">
            <w:pPr>
              <w:keepNext/>
              <w:rPr>
                <w:szCs w:val="22"/>
              </w:rPr>
            </w:pPr>
          </w:p>
        </w:tc>
        <w:tc>
          <w:tcPr>
            <w:tcW w:w="4679" w:type="dxa"/>
          </w:tcPr>
          <w:p w14:paraId="2B135E2E" w14:textId="77777777" w:rsidR="008E788D" w:rsidRPr="00D55B59" w:rsidRDefault="008E788D" w:rsidP="00D47253">
            <w:pPr>
              <w:pStyle w:val="lbltxt"/>
              <w:keepNext/>
              <w:rPr>
                <w:b/>
                <w:noProof w:val="0"/>
                <w:szCs w:val="22"/>
                <w:lang w:val="de-DE"/>
                <w:rPrChange w:id="4218" w:author="Author">
                  <w:rPr>
                    <w:b/>
                    <w:noProof w:val="0"/>
                    <w:szCs w:val="22"/>
                    <w:lang w:val="sv-SE"/>
                  </w:rPr>
                </w:rPrChange>
              </w:rPr>
            </w:pPr>
            <w:r w:rsidRPr="00D55B59">
              <w:rPr>
                <w:b/>
                <w:noProof w:val="0"/>
                <w:szCs w:val="22"/>
                <w:lang w:val="de-DE"/>
                <w:rPrChange w:id="4219" w:author="Author">
                  <w:rPr>
                    <w:b/>
                    <w:noProof w:val="0"/>
                    <w:szCs w:val="22"/>
                    <w:lang w:val="sv-SE"/>
                  </w:rPr>
                </w:rPrChange>
              </w:rPr>
              <w:t>Lietuva</w:t>
            </w:r>
          </w:p>
          <w:p w14:paraId="2110C5D5" w14:textId="77777777" w:rsidR="008E788D" w:rsidRPr="00D55B59" w:rsidRDefault="008E788D" w:rsidP="00D47253">
            <w:pPr>
              <w:pStyle w:val="lbltxt"/>
              <w:keepNext/>
              <w:rPr>
                <w:bCs/>
                <w:noProof w:val="0"/>
                <w:szCs w:val="22"/>
                <w:lang w:val="de-DE"/>
                <w:rPrChange w:id="4220" w:author="Author">
                  <w:rPr>
                    <w:bCs/>
                    <w:noProof w:val="0"/>
                    <w:szCs w:val="22"/>
                    <w:lang w:val="sv-SE"/>
                  </w:rPr>
                </w:rPrChange>
              </w:rPr>
            </w:pPr>
            <w:r w:rsidRPr="00D55B59">
              <w:rPr>
                <w:noProof w:val="0"/>
                <w:szCs w:val="22"/>
                <w:lang w:val="de-DE"/>
                <w:rPrChange w:id="4221" w:author="Author">
                  <w:rPr>
                    <w:noProof w:val="0"/>
                    <w:szCs w:val="22"/>
                    <w:lang w:val="sv-SE"/>
                  </w:rPr>
                </w:rPrChange>
              </w:rPr>
              <w:t>Amgen Switzerland AG Vilniaus filialas</w:t>
            </w:r>
          </w:p>
          <w:p w14:paraId="1B823BEC" w14:textId="4B70207D" w:rsidR="008E788D" w:rsidRPr="00D55B59" w:rsidRDefault="008E788D" w:rsidP="00D47253">
            <w:pPr>
              <w:pStyle w:val="lbltxt"/>
              <w:keepNext/>
              <w:rPr>
                <w:bCs/>
                <w:noProof w:val="0"/>
                <w:szCs w:val="22"/>
                <w:lang w:val="en-GB"/>
                <w:rPrChange w:id="4222" w:author="Author">
                  <w:rPr>
                    <w:bCs/>
                    <w:noProof w:val="0"/>
                    <w:szCs w:val="22"/>
                  </w:rPr>
                </w:rPrChange>
              </w:rPr>
            </w:pPr>
            <w:r w:rsidRPr="00D55B59">
              <w:rPr>
                <w:bCs/>
                <w:noProof w:val="0"/>
                <w:szCs w:val="22"/>
                <w:lang w:val="en-GB"/>
                <w:rPrChange w:id="4223" w:author="Author">
                  <w:rPr>
                    <w:bCs/>
                    <w:noProof w:val="0"/>
                    <w:szCs w:val="22"/>
                  </w:rPr>
                </w:rPrChange>
              </w:rPr>
              <w:t>Tel</w:t>
            </w:r>
            <w:del w:id="4224" w:author="Author">
              <w:r w:rsidRPr="00D55B59" w:rsidDel="00950645">
                <w:rPr>
                  <w:bCs/>
                  <w:noProof w:val="0"/>
                  <w:szCs w:val="22"/>
                  <w:lang w:val="en-GB"/>
                  <w:rPrChange w:id="4225" w:author="Author">
                    <w:rPr>
                      <w:bCs/>
                      <w:noProof w:val="0"/>
                      <w:szCs w:val="22"/>
                    </w:rPr>
                  </w:rPrChange>
                </w:rPr>
                <w:delText xml:space="preserve">: </w:delText>
              </w:r>
            </w:del>
            <w:ins w:id="4226" w:author="Author">
              <w:r w:rsidR="00950645" w:rsidRPr="00D55B59">
                <w:rPr>
                  <w:bCs/>
                  <w:noProof w:val="0"/>
                  <w:szCs w:val="22"/>
                  <w:lang w:val="en-GB"/>
                  <w:rPrChange w:id="4227" w:author="Author">
                    <w:rPr>
                      <w:bCs/>
                      <w:noProof w:val="0"/>
                      <w:szCs w:val="22"/>
                    </w:rPr>
                  </w:rPrChange>
                </w:rPr>
                <w:t xml:space="preserve">. </w:t>
              </w:r>
            </w:ins>
            <w:r w:rsidRPr="00D55B59">
              <w:rPr>
                <w:bCs/>
                <w:noProof w:val="0"/>
                <w:szCs w:val="22"/>
                <w:lang w:val="en-GB"/>
                <w:rPrChange w:id="4228" w:author="Author">
                  <w:rPr>
                    <w:bCs/>
                    <w:noProof w:val="0"/>
                    <w:szCs w:val="22"/>
                  </w:rPr>
                </w:rPrChange>
              </w:rPr>
              <w:t>+370 5 219 7474</w:t>
            </w:r>
          </w:p>
          <w:p w14:paraId="6E418168" w14:textId="77777777" w:rsidR="008E788D" w:rsidRPr="001775D9" w:rsidRDefault="008E788D" w:rsidP="00D47253">
            <w:pPr>
              <w:keepNext/>
              <w:rPr>
                <w:szCs w:val="22"/>
              </w:rPr>
            </w:pPr>
          </w:p>
        </w:tc>
      </w:tr>
      <w:tr w:rsidR="008E788D" w:rsidRPr="00F04F82" w14:paraId="7930828C" w14:textId="77777777" w:rsidTr="00D47253">
        <w:trPr>
          <w:cantSplit/>
        </w:trPr>
        <w:tc>
          <w:tcPr>
            <w:tcW w:w="4677" w:type="dxa"/>
          </w:tcPr>
          <w:p w14:paraId="5D9AB3AC" w14:textId="77777777" w:rsidR="008E788D" w:rsidRPr="00D55B59" w:rsidRDefault="008E788D" w:rsidP="00D47253">
            <w:pPr>
              <w:autoSpaceDE w:val="0"/>
              <w:autoSpaceDN w:val="0"/>
              <w:adjustRightInd w:val="0"/>
              <w:rPr>
                <w:rFonts w:eastAsia="Arial Unicode MS"/>
                <w:b/>
                <w:bCs/>
                <w:szCs w:val="22"/>
                <w:lang w:val="ru-RU"/>
                <w:rPrChange w:id="4229" w:author="Author">
                  <w:rPr>
                    <w:rFonts w:eastAsia="Arial Unicode MS"/>
                    <w:b/>
                    <w:bCs/>
                    <w:szCs w:val="22"/>
                  </w:rPr>
                </w:rPrChange>
              </w:rPr>
            </w:pPr>
            <w:r w:rsidRPr="00D55B59">
              <w:rPr>
                <w:rFonts w:eastAsia="Arial Unicode MS"/>
                <w:b/>
                <w:bCs/>
                <w:szCs w:val="22"/>
                <w:lang w:val="ru-RU"/>
                <w:rPrChange w:id="4230" w:author="Author">
                  <w:rPr>
                    <w:rFonts w:eastAsia="Arial Unicode MS"/>
                    <w:b/>
                    <w:bCs/>
                    <w:szCs w:val="22"/>
                  </w:rPr>
                </w:rPrChange>
              </w:rPr>
              <w:t>България</w:t>
            </w:r>
          </w:p>
          <w:p w14:paraId="12EBAFA5" w14:textId="77777777" w:rsidR="008E788D" w:rsidRPr="00D55B59" w:rsidRDefault="008E788D" w:rsidP="00D47253">
            <w:pPr>
              <w:pStyle w:val="lbltxt"/>
              <w:rPr>
                <w:rFonts w:eastAsia="Arial Unicode MS"/>
                <w:noProof w:val="0"/>
                <w:szCs w:val="22"/>
                <w:lang w:val="ru-RU" w:eastAsia="en-GB"/>
                <w:rPrChange w:id="4231" w:author="Author">
                  <w:rPr>
                    <w:rFonts w:eastAsia="Arial Unicode MS"/>
                    <w:noProof w:val="0"/>
                    <w:szCs w:val="22"/>
                    <w:lang w:eastAsia="en-GB"/>
                  </w:rPr>
                </w:rPrChange>
              </w:rPr>
            </w:pPr>
            <w:r w:rsidRPr="00D55B59">
              <w:rPr>
                <w:rFonts w:eastAsia="Arial Unicode MS"/>
                <w:noProof w:val="0"/>
                <w:szCs w:val="22"/>
                <w:lang w:val="ru-RU" w:eastAsia="en-GB"/>
                <w:rPrChange w:id="4232" w:author="Author">
                  <w:rPr>
                    <w:rFonts w:eastAsia="Arial Unicode MS"/>
                    <w:noProof w:val="0"/>
                    <w:szCs w:val="22"/>
                    <w:lang w:eastAsia="en-GB"/>
                  </w:rPr>
                </w:rPrChange>
              </w:rPr>
              <w:t>Амджен България ЕООД</w:t>
            </w:r>
          </w:p>
          <w:p w14:paraId="76BDFE77" w14:textId="77777777" w:rsidR="008E788D" w:rsidRPr="00D55B59" w:rsidRDefault="008E788D" w:rsidP="00D47253">
            <w:pPr>
              <w:pStyle w:val="lbltxt"/>
              <w:rPr>
                <w:rFonts w:eastAsia="Arial Unicode MS"/>
                <w:bCs/>
                <w:noProof w:val="0"/>
                <w:szCs w:val="22"/>
                <w:lang w:val="ru-RU"/>
                <w:rPrChange w:id="4233" w:author="Author">
                  <w:rPr>
                    <w:rFonts w:eastAsia="Arial Unicode MS"/>
                    <w:bCs/>
                    <w:noProof w:val="0"/>
                    <w:szCs w:val="22"/>
                  </w:rPr>
                </w:rPrChange>
              </w:rPr>
            </w:pPr>
            <w:r w:rsidRPr="00D55B59">
              <w:rPr>
                <w:rFonts w:eastAsia="Arial Unicode MS"/>
                <w:noProof w:val="0"/>
                <w:szCs w:val="22"/>
                <w:lang w:val="ru-RU" w:eastAsia="en-GB"/>
                <w:rPrChange w:id="4234" w:author="Author">
                  <w:rPr>
                    <w:rFonts w:eastAsia="Arial Unicode MS"/>
                    <w:noProof w:val="0"/>
                    <w:szCs w:val="22"/>
                    <w:lang w:eastAsia="en-GB"/>
                  </w:rPr>
                </w:rPrChange>
              </w:rPr>
              <w:t xml:space="preserve">Тел.: +359 </w:t>
            </w:r>
            <w:r w:rsidRPr="00D55B59">
              <w:rPr>
                <w:rFonts w:eastAsia="Arial Unicode MS"/>
                <w:bCs/>
                <w:noProof w:val="0"/>
                <w:szCs w:val="22"/>
                <w:lang w:val="ru-RU"/>
                <w:rPrChange w:id="4235" w:author="Author">
                  <w:rPr>
                    <w:rFonts w:eastAsia="Arial Unicode MS"/>
                    <w:bCs/>
                    <w:noProof w:val="0"/>
                    <w:szCs w:val="22"/>
                  </w:rPr>
                </w:rPrChange>
              </w:rPr>
              <w:t>(0)2</w:t>
            </w:r>
            <w:r w:rsidRPr="00D55B59">
              <w:rPr>
                <w:rFonts w:eastAsia="Arial Unicode MS"/>
                <w:bCs/>
                <w:noProof w:val="0"/>
                <w:szCs w:val="22"/>
                <w:lang w:val="en-GB"/>
                <w:rPrChange w:id="4236" w:author="Author">
                  <w:rPr>
                    <w:rFonts w:eastAsia="Arial Unicode MS"/>
                    <w:bCs/>
                    <w:noProof w:val="0"/>
                    <w:szCs w:val="22"/>
                  </w:rPr>
                </w:rPrChange>
              </w:rPr>
              <w:t> </w:t>
            </w:r>
            <w:r w:rsidRPr="00D55B59">
              <w:rPr>
                <w:rFonts w:eastAsia="Arial Unicode MS"/>
                <w:bCs/>
                <w:noProof w:val="0"/>
                <w:szCs w:val="22"/>
                <w:lang w:val="ru-RU"/>
                <w:rPrChange w:id="4237" w:author="Author">
                  <w:rPr>
                    <w:rFonts w:eastAsia="Arial Unicode MS"/>
                    <w:bCs/>
                    <w:noProof w:val="0"/>
                    <w:szCs w:val="22"/>
                  </w:rPr>
                </w:rPrChange>
              </w:rPr>
              <w:t>424 7440</w:t>
            </w:r>
          </w:p>
          <w:p w14:paraId="71D81DE7" w14:textId="77777777" w:rsidR="008E788D" w:rsidRPr="00D55B59" w:rsidRDefault="008E788D" w:rsidP="00D47253">
            <w:pPr>
              <w:rPr>
                <w:szCs w:val="22"/>
                <w:lang w:val="ru-RU"/>
                <w:rPrChange w:id="4238" w:author="Author">
                  <w:rPr>
                    <w:szCs w:val="22"/>
                  </w:rPr>
                </w:rPrChange>
              </w:rPr>
            </w:pPr>
          </w:p>
        </w:tc>
        <w:tc>
          <w:tcPr>
            <w:tcW w:w="4679" w:type="dxa"/>
          </w:tcPr>
          <w:p w14:paraId="0B001EBB" w14:textId="77777777" w:rsidR="008E788D" w:rsidRPr="00D55B59" w:rsidRDefault="008E788D" w:rsidP="00D47253">
            <w:pPr>
              <w:pStyle w:val="lbltxt"/>
              <w:rPr>
                <w:noProof w:val="0"/>
                <w:szCs w:val="22"/>
                <w:lang w:val="de-DE"/>
                <w:rPrChange w:id="4239" w:author="Author">
                  <w:rPr>
                    <w:noProof w:val="0"/>
                    <w:szCs w:val="22"/>
                    <w:lang w:val="fr-FR"/>
                  </w:rPr>
                </w:rPrChange>
              </w:rPr>
            </w:pPr>
            <w:r w:rsidRPr="00D55B59">
              <w:rPr>
                <w:b/>
                <w:noProof w:val="0"/>
                <w:szCs w:val="22"/>
                <w:lang w:val="de-DE"/>
                <w:rPrChange w:id="4240" w:author="Author">
                  <w:rPr>
                    <w:b/>
                    <w:noProof w:val="0"/>
                    <w:szCs w:val="22"/>
                    <w:lang w:val="fr-FR"/>
                  </w:rPr>
                </w:rPrChange>
              </w:rPr>
              <w:t>Luxembourg/Luxemburg</w:t>
            </w:r>
          </w:p>
          <w:p w14:paraId="1EA7B07F" w14:textId="77777777" w:rsidR="008E788D" w:rsidRPr="00D55B59" w:rsidRDefault="008E788D" w:rsidP="00D47253">
            <w:pPr>
              <w:pStyle w:val="lbltxt"/>
              <w:rPr>
                <w:noProof w:val="0"/>
                <w:szCs w:val="22"/>
                <w:lang w:val="de-DE"/>
                <w:rPrChange w:id="4241" w:author="Author">
                  <w:rPr>
                    <w:noProof w:val="0"/>
                    <w:szCs w:val="22"/>
                    <w:lang w:val="fr-FR"/>
                  </w:rPr>
                </w:rPrChange>
              </w:rPr>
            </w:pPr>
            <w:r w:rsidRPr="00D55B59">
              <w:rPr>
                <w:noProof w:val="0"/>
                <w:szCs w:val="22"/>
                <w:lang w:val="de-DE"/>
                <w:rPrChange w:id="4242" w:author="Author">
                  <w:rPr>
                    <w:noProof w:val="0"/>
                    <w:szCs w:val="22"/>
                    <w:lang w:val="fr-FR"/>
                  </w:rPr>
                </w:rPrChange>
              </w:rPr>
              <w:t xml:space="preserve">s.a. Amgen </w:t>
            </w:r>
          </w:p>
          <w:p w14:paraId="222AB355" w14:textId="77777777" w:rsidR="008E788D" w:rsidRPr="00D55B59" w:rsidRDefault="008E788D" w:rsidP="00D47253">
            <w:pPr>
              <w:pStyle w:val="lbltxt"/>
              <w:rPr>
                <w:noProof w:val="0"/>
                <w:szCs w:val="22"/>
                <w:lang w:val="de-DE"/>
                <w:rPrChange w:id="4243" w:author="Author">
                  <w:rPr>
                    <w:noProof w:val="0"/>
                    <w:szCs w:val="22"/>
                    <w:lang w:val="fr-FR"/>
                  </w:rPr>
                </w:rPrChange>
              </w:rPr>
            </w:pPr>
            <w:r w:rsidRPr="00D55B59">
              <w:rPr>
                <w:noProof w:val="0"/>
                <w:szCs w:val="22"/>
                <w:lang w:val="de-DE"/>
                <w:rPrChange w:id="4244" w:author="Author">
                  <w:rPr>
                    <w:noProof w:val="0"/>
                    <w:szCs w:val="22"/>
                    <w:lang w:val="fr-FR"/>
                  </w:rPr>
                </w:rPrChange>
              </w:rPr>
              <w:t>Belgique/Belgien</w:t>
            </w:r>
          </w:p>
          <w:p w14:paraId="5B2E8A63" w14:textId="77777777" w:rsidR="008E788D" w:rsidRPr="00D55B59" w:rsidRDefault="008E788D" w:rsidP="00D47253">
            <w:pPr>
              <w:pStyle w:val="lbltxt"/>
              <w:rPr>
                <w:noProof w:val="0"/>
                <w:szCs w:val="22"/>
                <w:lang w:val="en-GB"/>
                <w:rPrChange w:id="4245" w:author="Author">
                  <w:rPr>
                    <w:noProof w:val="0"/>
                    <w:szCs w:val="22"/>
                  </w:rPr>
                </w:rPrChange>
              </w:rPr>
            </w:pPr>
            <w:r w:rsidRPr="00D55B59">
              <w:rPr>
                <w:noProof w:val="0"/>
                <w:szCs w:val="22"/>
                <w:lang w:val="en-GB"/>
                <w:rPrChange w:id="4246" w:author="Author">
                  <w:rPr>
                    <w:szCs w:val="22"/>
                  </w:rPr>
                </w:rPrChange>
              </w:rPr>
              <w:t>Tél</w:t>
            </w:r>
            <w:r w:rsidRPr="00D55B59">
              <w:rPr>
                <w:noProof w:val="0"/>
                <w:szCs w:val="22"/>
                <w:lang w:val="en-GB"/>
                <w:rPrChange w:id="4247" w:author="Author">
                  <w:rPr>
                    <w:noProof w:val="0"/>
                    <w:szCs w:val="22"/>
                  </w:rPr>
                </w:rPrChange>
              </w:rPr>
              <w:t>/Tel: +32 (0)2 7752711</w:t>
            </w:r>
          </w:p>
          <w:p w14:paraId="237FCEE2" w14:textId="77777777" w:rsidR="008E788D" w:rsidRPr="001775D9" w:rsidRDefault="008E788D" w:rsidP="00D47253">
            <w:pPr>
              <w:rPr>
                <w:szCs w:val="22"/>
              </w:rPr>
            </w:pPr>
          </w:p>
        </w:tc>
      </w:tr>
      <w:tr w:rsidR="008E788D" w:rsidRPr="00F04F82" w14:paraId="25CDDDE7" w14:textId="77777777" w:rsidTr="00D47253">
        <w:trPr>
          <w:cantSplit/>
        </w:trPr>
        <w:tc>
          <w:tcPr>
            <w:tcW w:w="4677" w:type="dxa"/>
          </w:tcPr>
          <w:p w14:paraId="550D3BE1" w14:textId="77777777" w:rsidR="008E788D" w:rsidRPr="00D55B59" w:rsidRDefault="008E788D" w:rsidP="00D47253">
            <w:pPr>
              <w:pStyle w:val="lbltxt"/>
              <w:keepNext/>
              <w:rPr>
                <w:b/>
                <w:noProof w:val="0"/>
                <w:szCs w:val="22"/>
                <w:lang w:val="de-DE"/>
                <w:rPrChange w:id="4248" w:author="Author">
                  <w:rPr>
                    <w:b/>
                    <w:noProof w:val="0"/>
                    <w:szCs w:val="22"/>
                    <w:lang w:val="sv-SE"/>
                  </w:rPr>
                </w:rPrChange>
              </w:rPr>
            </w:pPr>
            <w:r w:rsidRPr="00D55B59">
              <w:rPr>
                <w:b/>
                <w:noProof w:val="0"/>
                <w:szCs w:val="22"/>
                <w:lang w:val="de-DE"/>
                <w:rPrChange w:id="4249" w:author="Author">
                  <w:rPr>
                    <w:b/>
                    <w:noProof w:val="0"/>
                    <w:szCs w:val="22"/>
                    <w:lang w:val="sv-SE"/>
                  </w:rPr>
                </w:rPrChange>
              </w:rPr>
              <w:t>Česká republika</w:t>
            </w:r>
          </w:p>
          <w:p w14:paraId="77BF0CDD" w14:textId="77777777" w:rsidR="008E788D" w:rsidRPr="00D55B59" w:rsidRDefault="008E788D" w:rsidP="00D47253">
            <w:pPr>
              <w:pStyle w:val="lbltxt"/>
              <w:keepNext/>
              <w:rPr>
                <w:bCs/>
                <w:noProof w:val="0"/>
                <w:szCs w:val="22"/>
                <w:lang w:val="de-DE"/>
                <w:rPrChange w:id="4250" w:author="Author">
                  <w:rPr>
                    <w:bCs/>
                    <w:noProof w:val="0"/>
                    <w:szCs w:val="22"/>
                    <w:lang w:val="sv-SE"/>
                  </w:rPr>
                </w:rPrChange>
              </w:rPr>
            </w:pPr>
            <w:r w:rsidRPr="00D55B59">
              <w:rPr>
                <w:bCs/>
                <w:noProof w:val="0"/>
                <w:szCs w:val="22"/>
                <w:lang w:val="de-DE"/>
                <w:rPrChange w:id="4251" w:author="Author">
                  <w:rPr>
                    <w:bCs/>
                    <w:noProof w:val="0"/>
                    <w:szCs w:val="22"/>
                    <w:lang w:val="sv-SE"/>
                  </w:rPr>
                </w:rPrChange>
              </w:rPr>
              <w:t>Amgen s.r.o.</w:t>
            </w:r>
          </w:p>
          <w:p w14:paraId="775D6A3A" w14:textId="77777777" w:rsidR="008E788D" w:rsidRPr="00D55B59" w:rsidRDefault="008E788D" w:rsidP="00D47253">
            <w:pPr>
              <w:pStyle w:val="lbltxt"/>
              <w:keepNext/>
              <w:rPr>
                <w:bCs/>
                <w:noProof w:val="0"/>
                <w:szCs w:val="22"/>
                <w:lang w:val="en-GB"/>
                <w:rPrChange w:id="4252" w:author="Author">
                  <w:rPr>
                    <w:bCs/>
                    <w:noProof w:val="0"/>
                    <w:szCs w:val="22"/>
                    <w:lang w:val="es-ES"/>
                  </w:rPr>
                </w:rPrChange>
              </w:rPr>
            </w:pPr>
            <w:r w:rsidRPr="00D55B59">
              <w:rPr>
                <w:bCs/>
                <w:noProof w:val="0"/>
                <w:szCs w:val="22"/>
                <w:lang w:val="en-GB"/>
                <w:rPrChange w:id="4253" w:author="Author">
                  <w:rPr>
                    <w:bCs/>
                    <w:noProof w:val="0"/>
                    <w:szCs w:val="22"/>
                    <w:lang w:val="es-ES"/>
                  </w:rPr>
                </w:rPrChange>
              </w:rPr>
              <w:t>Tel: +420 221 773 500</w:t>
            </w:r>
          </w:p>
          <w:p w14:paraId="55C11B4B" w14:textId="77777777" w:rsidR="008E788D" w:rsidRPr="00D55B59" w:rsidRDefault="008E788D" w:rsidP="00D47253">
            <w:pPr>
              <w:rPr>
                <w:szCs w:val="22"/>
                <w:rPrChange w:id="4254" w:author="Author">
                  <w:rPr>
                    <w:szCs w:val="22"/>
                    <w:lang w:val="es-ES"/>
                  </w:rPr>
                </w:rPrChange>
              </w:rPr>
            </w:pPr>
          </w:p>
        </w:tc>
        <w:tc>
          <w:tcPr>
            <w:tcW w:w="4679" w:type="dxa"/>
          </w:tcPr>
          <w:p w14:paraId="6C40FF8F" w14:textId="77777777" w:rsidR="008E788D" w:rsidRPr="00D55B59" w:rsidRDefault="008E788D" w:rsidP="00D47253">
            <w:pPr>
              <w:pStyle w:val="lbltxt"/>
              <w:rPr>
                <w:b/>
                <w:noProof w:val="0"/>
                <w:szCs w:val="22"/>
                <w:lang w:val="en-GB"/>
                <w:rPrChange w:id="4255" w:author="Author">
                  <w:rPr>
                    <w:b/>
                    <w:noProof w:val="0"/>
                    <w:szCs w:val="22"/>
                  </w:rPr>
                </w:rPrChange>
              </w:rPr>
            </w:pPr>
            <w:r w:rsidRPr="00D55B59">
              <w:rPr>
                <w:b/>
                <w:noProof w:val="0"/>
                <w:szCs w:val="22"/>
                <w:lang w:val="en-GB"/>
                <w:rPrChange w:id="4256" w:author="Author">
                  <w:rPr>
                    <w:b/>
                    <w:noProof w:val="0"/>
                    <w:szCs w:val="22"/>
                  </w:rPr>
                </w:rPrChange>
              </w:rPr>
              <w:t>Magyarország</w:t>
            </w:r>
          </w:p>
          <w:p w14:paraId="1498FFB2" w14:textId="77777777" w:rsidR="008E788D" w:rsidRPr="00D55B59" w:rsidRDefault="008E788D" w:rsidP="00D47253">
            <w:pPr>
              <w:pStyle w:val="lbltxt"/>
              <w:rPr>
                <w:bCs/>
                <w:noProof w:val="0"/>
                <w:szCs w:val="22"/>
                <w:lang w:val="en-GB"/>
                <w:rPrChange w:id="4257" w:author="Author">
                  <w:rPr>
                    <w:bCs/>
                    <w:noProof w:val="0"/>
                    <w:szCs w:val="22"/>
                  </w:rPr>
                </w:rPrChange>
              </w:rPr>
            </w:pPr>
            <w:r w:rsidRPr="00D55B59">
              <w:rPr>
                <w:bCs/>
                <w:noProof w:val="0"/>
                <w:szCs w:val="22"/>
                <w:lang w:val="en-GB"/>
                <w:rPrChange w:id="4258" w:author="Author">
                  <w:rPr>
                    <w:bCs/>
                    <w:noProof w:val="0"/>
                    <w:szCs w:val="22"/>
                  </w:rPr>
                </w:rPrChange>
              </w:rPr>
              <w:t>Amgen Kft.</w:t>
            </w:r>
          </w:p>
          <w:p w14:paraId="4C96151F" w14:textId="77777777" w:rsidR="008E788D" w:rsidRPr="00D55B59" w:rsidRDefault="008E788D" w:rsidP="00D47253">
            <w:pPr>
              <w:pStyle w:val="lbltxt"/>
              <w:rPr>
                <w:bCs/>
                <w:noProof w:val="0"/>
                <w:szCs w:val="22"/>
                <w:lang w:val="en-GB"/>
                <w:rPrChange w:id="4259" w:author="Author">
                  <w:rPr>
                    <w:bCs/>
                    <w:noProof w:val="0"/>
                    <w:szCs w:val="22"/>
                  </w:rPr>
                </w:rPrChange>
              </w:rPr>
            </w:pPr>
            <w:r w:rsidRPr="00D55B59">
              <w:rPr>
                <w:bCs/>
                <w:noProof w:val="0"/>
                <w:szCs w:val="22"/>
                <w:lang w:val="en-GB"/>
                <w:rPrChange w:id="4260" w:author="Author">
                  <w:rPr>
                    <w:bCs/>
                    <w:noProof w:val="0"/>
                    <w:szCs w:val="22"/>
                  </w:rPr>
                </w:rPrChange>
              </w:rPr>
              <w:t>Tel.: +36 1 35 44 700</w:t>
            </w:r>
          </w:p>
          <w:p w14:paraId="34B52EB6" w14:textId="77777777" w:rsidR="008E788D" w:rsidRPr="001775D9" w:rsidRDefault="008E788D" w:rsidP="00D47253">
            <w:pPr>
              <w:rPr>
                <w:szCs w:val="22"/>
              </w:rPr>
            </w:pPr>
          </w:p>
        </w:tc>
      </w:tr>
      <w:tr w:rsidR="008E788D" w:rsidRPr="00F04F82" w14:paraId="046F49C3" w14:textId="77777777" w:rsidTr="00D47253">
        <w:trPr>
          <w:cantSplit/>
        </w:trPr>
        <w:tc>
          <w:tcPr>
            <w:tcW w:w="4677" w:type="dxa"/>
          </w:tcPr>
          <w:p w14:paraId="65C69BF7" w14:textId="77777777" w:rsidR="008E788D" w:rsidRPr="00D55B59" w:rsidRDefault="008E788D" w:rsidP="00D47253">
            <w:pPr>
              <w:pStyle w:val="lbltxt"/>
              <w:rPr>
                <w:noProof w:val="0"/>
                <w:szCs w:val="22"/>
                <w:lang w:val="da-DK"/>
                <w:rPrChange w:id="4261" w:author="Author">
                  <w:rPr>
                    <w:noProof w:val="0"/>
                    <w:szCs w:val="22"/>
                    <w:lang w:val="sv-SE"/>
                  </w:rPr>
                </w:rPrChange>
              </w:rPr>
            </w:pPr>
            <w:r w:rsidRPr="00D55B59">
              <w:rPr>
                <w:b/>
                <w:noProof w:val="0"/>
                <w:szCs w:val="22"/>
                <w:lang w:val="da-DK"/>
                <w:rPrChange w:id="4262" w:author="Author">
                  <w:rPr>
                    <w:b/>
                    <w:noProof w:val="0"/>
                    <w:szCs w:val="22"/>
                    <w:lang w:val="sv-SE"/>
                  </w:rPr>
                </w:rPrChange>
              </w:rPr>
              <w:t>Danmark</w:t>
            </w:r>
          </w:p>
          <w:p w14:paraId="0F5A43A7" w14:textId="77777777" w:rsidR="008E788D" w:rsidRPr="00D55B59" w:rsidRDefault="008E788D" w:rsidP="00D47253">
            <w:pPr>
              <w:pStyle w:val="lbltxt"/>
              <w:rPr>
                <w:noProof w:val="0"/>
                <w:szCs w:val="22"/>
                <w:lang w:val="da-DK"/>
                <w:rPrChange w:id="4263" w:author="Author">
                  <w:rPr>
                    <w:noProof w:val="0"/>
                    <w:szCs w:val="22"/>
                    <w:lang w:val="sv-SE"/>
                  </w:rPr>
                </w:rPrChange>
              </w:rPr>
            </w:pPr>
            <w:r w:rsidRPr="00D55B59">
              <w:rPr>
                <w:noProof w:val="0"/>
                <w:szCs w:val="22"/>
                <w:lang w:val="da-DK"/>
                <w:rPrChange w:id="4264" w:author="Author">
                  <w:rPr>
                    <w:noProof w:val="0"/>
                    <w:szCs w:val="22"/>
                    <w:lang w:val="sv-SE"/>
                  </w:rPr>
                </w:rPrChange>
              </w:rPr>
              <w:t>Amgen, filial af Amgen AB, Sverige</w:t>
            </w:r>
          </w:p>
          <w:p w14:paraId="14E206E2" w14:textId="18E16A0C" w:rsidR="008E788D" w:rsidRPr="00D55B59" w:rsidRDefault="008E788D" w:rsidP="00D47253">
            <w:pPr>
              <w:pStyle w:val="lbltxt"/>
              <w:rPr>
                <w:noProof w:val="0"/>
                <w:szCs w:val="22"/>
                <w:lang w:val="en-GB"/>
                <w:rPrChange w:id="4265" w:author="Author">
                  <w:rPr>
                    <w:noProof w:val="0"/>
                    <w:szCs w:val="22"/>
                  </w:rPr>
                </w:rPrChange>
              </w:rPr>
            </w:pPr>
            <w:r w:rsidRPr="00D55B59">
              <w:rPr>
                <w:noProof w:val="0"/>
                <w:szCs w:val="22"/>
                <w:lang w:val="en-GB"/>
                <w:rPrChange w:id="4266" w:author="Author">
                  <w:rPr>
                    <w:noProof w:val="0"/>
                    <w:szCs w:val="22"/>
                  </w:rPr>
                </w:rPrChange>
              </w:rPr>
              <w:t>Tlf</w:t>
            </w:r>
            <w:ins w:id="4267" w:author="Author">
              <w:r w:rsidR="00950645" w:rsidRPr="00D55B59">
                <w:rPr>
                  <w:noProof w:val="0"/>
                  <w:szCs w:val="22"/>
                  <w:lang w:val="en-GB"/>
                  <w:rPrChange w:id="4268" w:author="Author">
                    <w:rPr>
                      <w:noProof w:val="0"/>
                      <w:szCs w:val="22"/>
                    </w:rPr>
                  </w:rPrChange>
                </w:rPr>
                <w:t>.</w:t>
              </w:r>
            </w:ins>
            <w:r w:rsidRPr="00D55B59">
              <w:rPr>
                <w:noProof w:val="0"/>
                <w:szCs w:val="22"/>
                <w:lang w:val="en-GB"/>
                <w:rPrChange w:id="4269" w:author="Author">
                  <w:rPr>
                    <w:noProof w:val="0"/>
                    <w:szCs w:val="22"/>
                  </w:rPr>
                </w:rPrChange>
              </w:rPr>
              <w:t>: +45 39617500</w:t>
            </w:r>
          </w:p>
          <w:p w14:paraId="3E2EBBD5" w14:textId="77777777" w:rsidR="008E788D" w:rsidRPr="001775D9" w:rsidRDefault="008E788D" w:rsidP="00D47253">
            <w:pPr>
              <w:rPr>
                <w:szCs w:val="22"/>
              </w:rPr>
            </w:pPr>
          </w:p>
        </w:tc>
        <w:tc>
          <w:tcPr>
            <w:tcW w:w="4679" w:type="dxa"/>
          </w:tcPr>
          <w:p w14:paraId="21E8A8E8" w14:textId="77777777" w:rsidR="008E788D" w:rsidRPr="00D55B59" w:rsidRDefault="008E788D" w:rsidP="00D47253">
            <w:pPr>
              <w:pStyle w:val="lbltxt"/>
              <w:rPr>
                <w:b/>
                <w:noProof w:val="0"/>
                <w:szCs w:val="22"/>
                <w:lang w:val="fi-FI"/>
                <w:rPrChange w:id="4270" w:author="Author">
                  <w:rPr>
                    <w:b/>
                    <w:noProof w:val="0"/>
                    <w:szCs w:val="22"/>
                    <w:lang w:val="sv-SE"/>
                  </w:rPr>
                </w:rPrChange>
              </w:rPr>
            </w:pPr>
            <w:r w:rsidRPr="00D55B59">
              <w:rPr>
                <w:b/>
                <w:noProof w:val="0"/>
                <w:szCs w:val="22"/>
                <w:lang w:val="fi-FI"/>
                <w:rPrChange w:id="4271" w:author="Author">
                  <w:rPr>
                    <w:b/>
                    <w:noProof w:val="0"/>
                    <w:szCs w:val="22"/>
                    <w:lang w:val="sv-SE"/>
                  </w:rPr>
                </w:rPrChange>
              </w:rPr>
              <w:t>Malta</w:t>
            </w:r>
          </w:p>
          <w:p w14:paraId="75A48D8A" w14:textId="77777777" w:rsidR="008E788D" w:rsidRPr="00D55B59" w:rsidRDefault="008E788D" w:rsidP="00D47253">
            <w:pPr>
              <w:pStyle w:val="lbltxt"/>
              <w:rPr>
                <w:noProof w:val="0"/>
                <w:szCs w:val="22"/>
                <w:lang w:val="fi-FI"/>
                <w:rPrChange w:id="4272" w:author="Author">
                  <w:rPr>
                    <w:noProof w:val="0"/>
                    <w:szCs w:val="22"/>
                    <w:lang w:val="sv-SE"/>
                  </w:rPr>
                </w:rPrChange>
              </w:rPr>
            </w:pPr>
            <w:r w:rsidRPr="00D55B59">
              <w:rPr>
                <w:noProof w:val="0"/>
                <w:szCs w:val="22"/>
                <w:lang w:val="fi-FI"/>
                <w:rPrChange w:id="4273" w:author="Author">
                  <w:rPr>
                    <w:noProof w:val="0"/>
                    <w:szCs w:val="22"/>
                    <w:lang w:val="sv-SE"/>
                  </w:rPr>
                </w:rPrChange>
              </w:rPr>
              <w:t>Amgen S.r.l.</w:t>
            </w:r>
          </w:p>
          <w:p w14:paraId="44D6EF5A" w14:textId="77777777" w:rsidR="008E788D" w:rsidRPr="00D55B59" w:rsidRDefault="008E788D" w:rsidP="00D47253">
            <w:pPr>
              <w:pStyle w:val="lbltxt"/>
              <w:rPr>
                <w:noProof w:val="0"/>
                <w:szCs w:val="22"/>
                <w:lang w:val="en-GB"/>
                <w:rPrChange w:id="4274" w:author="Author">
                  <w:rPr>
                    <w:noProof w:val="0"/>
                    <w:szCs w:val="22"/>
                    <w:lang w:val="sv-SE"/>
                  </w:rPr>
                </w:rPrChange>
              </w:rPr>
            </w:pPr>
            <w:r w:rsidRPr="00D55B59">
              <w:rPr>
                <w:noProof w:val="0"/>
                <w:szCs w:val="22"/>
                <w:lang w:val="en-GB"/>
                <w:rPrChange w:id="4275" w:author="Author">
                  <w:rPr>
                    <w:noProof w:val="0"/>
                    <w:szCs w:val="22"/>
                    <w:lang w:val="sv-SE"/>
                  </w:rPr>
                </w:rPrChange>
              </w:rPr>
              <w:t>Italy</w:t>
            </w:r>
          </w:p>
          <w:p w14:paraId="04A9323B" w14:textId="77777777" w:rsidR="008E788D" w:rsidRPr="00D55B59" w:rsidRDefault="008E788D" w:rsidP="00D47253">
            <w:pPr>
              <w:pStyle w:val="lbltxt"/>
              <w:rPr>
                <w:noProof w:val="0"/>
                <w:szCs w:val="22"/>
                <w:lang w:val="en-GB"/>
                <w:rPrChange w:id="4276" w:author="Author">
                  <w:rPr>
                    <w:noProof w:val="0"/>
                    <w:szCs w:val="22"/>
                  </w:rPr>
                </w:rPrChange>
              </w:rPr>
            </w:pPr>
            <w:r w:rsidRPr="00D55B59">
              <w:rPr>
                <w:noProof w:val="0"/>
                <w:szCs w:val="22"/>
                <w:lang w:val="en-GB"/>
                <w:rPrChange w:id="4277" w:author="Author">
                  <w:rPr>
                    <w:noProof w:val="0"/>
                    <w:szCs w:val="22"/>
                  </w:rPr>
                </w:rPrChange>
              </w:rPr>
              <w:t>Tel: +39 02 6241121</w:t>
            </w:r>
          </w:p>
          <w:p w14:paraId="69F8AF70" w14:textId="77777777" w:rsidR="008E788D" w:rsidRPr="001775D9" w:rsidRDefault="008E788D" w:rsidP="00D47253">
            <w:pPr>
              <w:rPr>
                <w:szCs w:val="22"/>
              </w:rPr>
            </w:pPr>
          </w:p>
        </w:tc>
      </w:tr>
      <w:tr w:rsidR="008E788D" w:rsidRPr="00F04F82" w14:paraId="331247F5" w14:textId="77777777" w:rsidTr="00D47253">
        <w:trPr>
          <w:cantSplit/>
        </w:trPr>
        <w:tc>
          <w:tcPr>
            <w:tcW w:w="4677" w:type="dxa"/>
          </w:tcPr>
          <w:p w14:paraId="3C6D6ACC" w14:textId="77777777" w:rsidR="008E788D" w:rsidRPr="00D55B59" w:rsidRDefault="008E788D" w:rsidP="00D47253">
            <w:pPr>
              <w:pStyle w:val="lbltxt"/>
              <w:rPr>
                <w:noProof w:val="0"/>
                <w:szCs w:val="22"/>
                <w:lang w:val="en-GB"/>
                <w:rPrChange w:id="4278" w:author="Author">
                  <w:rPr>
                    <w:noProof w:val="0"/>
                    <w:szCs w:val="22"/>
                  </w:rPr>
                </w:rPrChange>
              </w:rPr>
            </w:pPr>
            <w:r w:rsidRPr="00D55B59">
              <w:rPr>
                <w:b/>
                <w:noProof w:val="0"/>
                <w:szCs w:val="22"/>
                <w:lang w:val="en-GB"/>
                <w:rPrChange w:id="4279" w:author="Author">
                  <w:rPr>
                    <w:b/>
                    <w:noProof w:val="0"/>
                    <w:szCs w:val="22"/>
                  </w:rPr>
                </w:rPrChange>
              </w:rPr>
              <w:t>Deutschland</w:t>
            </w:r>
          </w:p>
          <w:p w14:paraId="4CA6ED59" w14:textId="77777777" w:rsidR="008E788D" w:rsidRPr="00D55B59" w:rsidRDefault="008E788D" w:rsidP="00D47253">
            <w:pPr>
              <w:pStyle w:val="lbltxt"/>
              <w:rPr>
                <w:noProof w:val="0"/>
                <w:szCs w:val="22"/>
                <w:lang w:val="en-GB"/>
                <w:rPrChange w:id="4280" w:author="Author">
                  <w:rPr>
                    <w:noProof w:val="0"/>
                    <w:szCs w:val="22"/>
                  </w:rPr>
                </w:rPrChange>
              </w:rPr>
            </w:pPr>
            <w:r w:rsidRPr="00D55B59">
              <w:rPr>
                <w:noProof w:val="0"/>
                <w:szCs w:val="22"/>
                <w:lang w:val="en-GB"/>
                <w:rPrChange w:id="4281" w:author="Author">
                  <w:rPr>
                    <w:noProof w:val="0"/>
                    <w:szCs w:val="22"/>
                  </w:rPr>
                </w:rPrChange>
              </w:rPr>
              <w:t>Amgen GmbH</w:t>
            </w:r>
          </w:p>
          <w:p w14:paraId="3AEC55FC" w14:textId="77777777" w:rsidR="008E788D" w:rsidRPr="00D55B59" w:rsidRDefault="008E788D" w:rsidP="00D47253">
            <w:pPr>
              <w:pStyle w:val="lbltxt"/>
              <w:rPr>
                <w:noProof w:val="0"/>
                <w:szCs w:val="22"/>
                <w:lang w:val="en-GB"/>
                <w:rPrChange w:id="4282" w:author="Author">
                  <w:rPr>
                    <w:noProof w:val="0"/>
                    <w:szCs w:val="22"/>
                  </w:rPr>
                </w:rPrChange>
              </w:rPr>
            </w:pPr>
            <w:r w:rsidRPr="00D55B59">
              <w:rPr>
                <w:noProof w:val="0"/>
                <w:szCs w:val="22"/>
                <w:lang w:val="en-GB"/>
                <w:rPrChange w:id="4283" w:author="Author">
                  <w:rPr>
                    <w:noProof w:val="0"/>
                    <w:szCs w:val="22"/>
                  </w:rPr>
                </w:rPrChange>
              </w:rPr>
              <w:t>Tel: +49 89 1490960</w:t>
            </w:r>
          </w:p>
          <w:p w14:paraId="17AB788B" w14:textId="77777777" w:rsidR="008E788D" w:rsidRPr="001775D9" w:rsidRDefault="008E788D" w:rsidP="00D47253">
            <w:pPr>
              <w:rPr>
                <w:szCs w:val="22"/>
              </w:rPr>
            </w:pPr>
          </w:p>
        </w:tc>
        <w:tc>
          <w:tcPr>
            <w:tcW w:w="4679" w:type="dxa"/>
          </w:tcPr>
          <w:p w14:paraId="283C37BA" w14:textId="77777777" w:rsidR="008E788D" w:rsidRPr="00D55B59" w:rsidRDefault="008E788D" w:rsidP="00D47253">
            <w:pPr>
              <w:pStyle w:val="lbltxt"/>
              <w:rPr>
                <w:noProof w:val="0"/>
                <w:szCs w:val="22"/>
                <w:lang w:val="en-GB"/>
                <w:rPrChange w:id="4284" w:author="Author">
                  <w:rPr>
                    <w:noProof w:val="0"/>
                    <w:szCs w:val="22"/>
                    <w:lang w:val="sv-SE"/>
                  </w:rPr>
                </w:rPrChange>
              </w:rPr>
            </w:pPr>
            <w:r w:rsidRPr="00D55B59">
              <w:rPr>
                <w:b/>
                <w:noProof w:val="0"/>
                <w:szCs w:val="22"/>
                <w:lang w:val="en-GB"/>
                <w:rPrChange w:id="4285" w:author="Author">
                  <w:rPr>
                    <w:b/>
                    <w:noProof w:val="0"/>
                    <w:szCs w:val="22"/>
                    <w:lang w:val="sv-SE"/>
                  </w:rPr>
                </w:rPrChange>
              </w:rPr>
              <w:t>Nederland</w:t>
            </w:r>
          </w:p>
          <w:p w14:paraId="29329C22" w14:textId="77777777" w:rsidR="008E788D" w:rsidRPr="00D55B59" w:rsidRDefault="008E788D" w:rsidP="00D47253">
            <w:pPr>
              <w:pStyle w:val="lbltxt"/>
              <w:rPr>
                <w:noProof w:val="0"/>
                <w:szCs w:val="22"/>
                <w:lang w:val="en-GB"/>
                <w:rPrChange w:id="4286" w:author="Author">
                  <w:rPr>
                    <w:noProof w:val="0"/>
                    <w:szCs w:val="22"/>
                    <w:lang w:val="sv-SE"/>
                  </w:rPr>
                </w:rPrChange>
              </w:rPr>
            </w:pPr>
            <w:r w:rsidRPr="00D55B59">
              <w:rPr>
                <w:noProof w:val="0"/>
                <w:szCs w:val="22"/>
                <w:lang w:val="en-GB"/>
                <w:rPrChange w:id="4287" w:author="Author">
                  <w:rPr>
                    <w:noProof w:val="0"/>
                    <w:szCs w:val="22"/>
                    <w:lang w:val="sv-SE"/>
                  </w:rPr>
                </w:rPrChange>
              </w:rPr>
              <w:t>Amgen B.V.</w:t>
            </w:r>
          </w:p>
          <w:p w14:paraId="159C9BB9" w14:textId="77777777" w:rsidR="008E788D" w:rsidRPr="00D55B59" w:rsidRDefault="008E788D" w:rsidP="00D47253">
            <w:pPr>
              <w:pStyle w:val="lbltxt"/>
              <w:rPr>
                <w:bCs/>
                <w:noProof w:val="0"/>
                <w:szCs w:val="22"/>
                <w:lang w:val="en-GB"/>
                <w:rPrChange w:id="4288" w:author="Author">
                  <w:rPr>
                    <w:bCs/>
                    <w:noProof w:val="0"/>
                    <w:szCs w:val="22"/>
                    <w:lang w:val="sv-SE"/>
                  </w:rPr>
                </w:rPrChange>
              </w:rPr>
            </w:pPr>
            <w:r w:rsidRPr="00D55B59">
              <w:rPr>
                <w:noProof w:val="0"/>
                <w:szCs w:val="22"/>
                <w:lang w:val="en-GB"/>
                <w:rPrChange w:id="4289" w:author="Author">
                  <w:rPr>
                    <w:noProof w:val="0"/>
                    <w:szCs w:val="22"/>
                    <w:lang w:val="sv-SE"/>
                  </w:rPr>
                </w:rPrChange>
              </w:rPr>
              <w:t>Tel: +31 (0)76 5732500</w:t>
            </w:r>
          </w:p>
          <w:p w14:paraId="340EB3BE" w14:textId="77777777" w:rsidR="008E788D" w:rsidRPr="00D55B59" w:rsidRDefault="008E788D" w:rsidP="00D47253">
            <w:pPr>
              <w:rPr>
                <w:szCs w:val="22"/>
                <w:rPrChange w:id="4290" w:author="Author">
                  <w:rPr>
                    <w:szCs w:val="22"/>
                    <w:lang w:val="sv-SE"/>
                  </w:rPr>
                </w:rPrChange>
              </w:rPr>
            </w:pPr>
          </w:p>
        </w:tc>
      </w:tr>
      <w:tr w:rsidR="008E788D" w:rsidRPr="00F04F82" w14:paraId="007D67EA" w14:textId="77777777" w:rsidTr="00D47253">
        <w:trPr>
          <w:cantSplit/>
        </w:trPr>
        <w:tc>
          <w:tcPr>
            <w:tcW w:w="4677" w:type="dxa"/>
          </w:tcPr>
          <w:p w14:paraId="5F5F43DD" w14:textId="77777777" w:rsidR="008E788D" w:rsidRPr="00D55B59" w:rsidRDefault="008E788D" w:rsidP="00D47253">
            <w:pPr>
              <w:pStyle w:val="lbltxt"/>
              <w:rPr>
                <w:b/>
                <w:noProof w:val="0"/>
                <w:szCs w:val="22"/>
                <w:lang w:val="en-GB"/>
                <w:rPrChange w:id="4291" w:author="Author">
                  <w:rPr>
                    <w:b/>
                    <w:noProof w:val="0"/>
                    <w:szCs w:val="22"/>
                    <w:lang w:val="sv-SE"/>
                  </w:rPr>
                </w:rPrChange>
              </w:rPr>
            </w:pPr>
            <w:r w:rsidRPr="00D55B59">
              <w:rPr>
                <w:b/>
                <w:noProof w:val="0"/>
                <w:szCs w:val="22"/>
                <w:lang w:val="en-GB"/>
                <w:rPrChange w:id="4292" w:author="Author">
                  <w:rPr>
                    <w:b/>
                    <w:noProof w:val="0"/>
                    <w:szCs w:val="22"/>
                    <w:lang w:val="sv-SE"/>
                  </w:rPr>
                </w:rPrChange>
              </w:rPr>
              <w:t>Eesti</w:t>
            </w:r>
          </w:p>
          <w:p w14:paraId="64BB6886" w14:textId="77777777" w:rsidR="008E788D" w:rsidRPr="00D55B59" w:rsidRDefault="008E788D" w:rsidP="00D47253">
            <w:pPr>
              <w:pStyle w:val="lbltxt"/>
              <w:rPr>
                <w:bCs/>
                <w:noProof w:val="0"/>
                <w:szCs w:val="22"/>
                <w:lang w:val="en-GB"/>
                <w:rPrChange w:id="4293" w:author="Author">
                  <w:rPr>
                    <w:bCs/>
                    <w:noProof w:val="0"/>
                    <w:szCs w:val="22"/>
                    <w:lang w:val="sv-SE"/>
                  </w:rPr>
                </w:rPrChange>
              </w:rPr>
            </w:pPr>
            <w:r w:rsidRPr="00D55B59">
              <w:rPr>
                <w:bCs/>
                <w:noProof w:val="0"/>
                <w:szCs w:val="22"/>
                <w:lang w:val="en-GB"/>
                <w:rPrChange w:id="4294" w:author="Author">
                  <w:rPr>
                    <w:bCs/>
                    <w:noProof w:val="0"/>
                    <w:szCs w:val="22"/>
                    <w:lang w:val="sv-SE"/>
                  </w:rPr>
                </w:rPrChange>
              </w:rPr>
              <w:t xml:space="preserve">Amgen Switzerland AG </w:t>
            </w:r>
            <w:r w:rsidRPr="00D55B59">
              <w:rPr>
                <w:noProof w:val="0"/>
                <w:szCs w:val="22"/>
                <w:lang w:val="en-GB"/>
                <w:rPrChange w:id="4295" w:author="Author">
                  <w:rPr>
                    <w:noProof w:val="0"/>
                    <w:szCs w:val="22"/>
                    <w:lang w:val="sv-SE"/>
                  </w:rPr>
                </w:rPrChange>
              </w:rPr>
              <w:t>Vilniaus filialas</w:t>
            </w:r>
          </w:p>
          <w:p w14:paraId="04A5C476" w14:textId="77777777" w:rsidR="008E788D" w:rsidRPr="00D55B59" w:rsidRDefault="008E788D" w:rsidP="00D47253">
            <w:pPr>
              <w:pStyle w:val="lbltxt"/>
              <w:rPr>
                <w:noProof w:val="0"/>
                <w:szCs w:val="22"/>
                <w:lang w:val="en-GB"/>
                <w:rPrChange w:id="4296" w:author="Author">
                  <w:rPr>
                    <w:noProof w:val="0"/>
                    <w:szCs w:val="22"/>
                  </w:rPr>
                </w:rPrChange>
              </w:rPr>
            </w:pPr>
            <w:r w:rsidRPr="00D55B59">
              <w:rPr>
                <w:bCs/>
                <w:noProof w:val="0"/>
                <w:szCs w:val="22"/>
                <w:lang w:val="en-GB"/>
                <w:rPrChange w:id="4297" w:author="Author">
                  <w:rPr>
                    <w:bCs/>
                    <w:noProof w:val="0"/>
                    <w:szCs w:val="22"/>
                  </w:rPr>
                </w:rPrChange>
              </w:rPr>
              <w:t>Tel: +</w:t>
            </w:r>
            <w:r w:rsidRPr="00D55B59">
              <w:rPr>
                <w:noProof w:val="0"/>
                <w:szCs w:val="22"/>
                <w:lang w:val="en-GB"/>
                <w:rPrChange w:id="4298" w:author="Author">
                  <w:rPr>
                    <w:noProof w:val="0"/>
                    <w:szCs w:val="22"/>
                  </w:rPr>
                </w:rPrChange>
              </w:rPr>
              <w:t>372 586 09553</w:t>
            </w:r>
          </w:p>
          <w:p w14:paraId="666E85EE" w14:textId="77777777" w:rsidR="008E788D" w:rsidRPr="001775D9" w:rsidRDefault="008E788D" w:rsidP="00D47253">
            <w:pPr>
              <w:rPr>
                <w:szCs w:val="22"/>
              </w:rPr>
            </w:pPr>
          </w:p>
        </w:tc>
        <w:tc>
          <w:tcPr>
            <w:tcW w:w="4679" w:type="dxa"/>
          </w:tcPr>
          <w:p w14:paraId="3914FBF7" w14:textId="77777777" w:rsidR="008E788D" w:rsidRPr="00D55B59" w:rsidRDefault="008E788D" w:rsidP="00D47253">
            <w:pPr>
              <w:pStyle w:val="lbltxt"/>
              <w:rPr>
                <w:b/>
                <w:bCs/>
                <w:noProof w:val="0"/>
                <w:szCs w:val="22"/>
                <w:lang w:val="en-GB"/>
                <w:rPrChange w:id="4299" w:author="Author">
                  <w:rPr>
                    <w:b/>
                    <w:bCs/>
                    <w:noProof w:val="0"/>
                    <w:szCs w:val="22"/>
                  </w:rPr>
                </w:rPrChange>
              </w:rPr>
            </w:pPr>
            <w:r w:rsidRPr="00D55B59">
              <w:rPr>
                <w:b/>
                <w:bCs/>
                <w:noProof w:val="0"/>
                <w:szCs w:val="22"/>
                <w:lang w:val="en-GB"/>
                <w:rPrChange w:id="4300" w:author="Author">
                  <w:rPr>
                    <w:b/>
                    <w:bCs/>
                    <w:noProof w:val="0"/>
                    <w:szCs w:val="22"/>
                  </w:rPr>
                </w:rPrChange>
              </w:rPr>
              <w:t>Norge</w:t>
            </w:r>
          </w:p>
          <w:p w14:paraId="7512F9E9" w14:textId="77777777" w:rsidR="008E788D" w:rsidRPr="00D55B59" w:rsidRDefault="008E788D" w:rsidP="00D47253">
            <w:pPr>
              <w:pStyle w:val="lbltxt"/>
              <w:rPr>
                <w:rStyle w:val="CommentReference"/>
                <w:noProof w:val="0"/>
                <w:sz w:val="22"/>
                <w:szCs w:val="22"/>
                <w:lang w:val="en-GB"/>
                <w:rPrChange w:id="4301" w:author="Author">
                  <w:rPr>
                    <w:rStyle w:val="CommentReference"/>
                    <w:noProof w:val="0"/>
                    <w:sz w:val="22"/>
                    <w:szCs w:val="22"/>
                  </w:rPr>
                </w:rPrChange>
              </w:rPr>
            </w:pPr>
            <w:r w:rsidRPr="00D55B59">
              <w:rPr>
                <w:rStyle w:val="CommentReference"/>
                <w:noProof w:val="0"/>
                <w:sz w:val="22"/>
                <w:szCs w:val="22"/>
                <w:lang w:val="en-GB"/>
                <w:rPrChange w:id="4302" w:author="Author">
                  <w:rPr>
                    <w:rStyle w:val="CommentReference"/>
                    <w:noProof w:val="0"/>
                    <w:sz w:val="22"/>
                    <w:szCs w:val="22"/>
                  </w:rPr>
                </w:rPrChange>
              </w:rPr>
              <w:t>Amgen AB</w:t>
            </w:r>
          </w:p>
          <w:p w14:paraId="740A4EE9" w14:textId="77777777" w:rsidR="008E788D" w:rsidRPr="00D55B59" w:rsidRDefault="008E788D" w:rsidP="00D47253">
            <w:pPr>
              <w:pStyle w:val="lbltxt"/>
              <w:rPr>
                <w:noProof w:val="0"/>
                <w:szCs w:val="22"/>
                <w:lang w:val="en-GB"/>
                <w:rPrChange w:id="4303" w:author="Author">
                  <w:rPr>
                    <w:noProof w:val="0"/>
                    <w:szCs w:val="22"/>
                  </w:rPr>
                </w:rPrChange>
              </w:rPr>
            </w:pPr>
            <w:r w:rsidRPr="00D55B59">
              <w:rPr>
                <w:rStyle w:val="CommentReference"/>
                <w:noProof w:val="0"/>
                <w:sz w:val="22"/>
                <w:szCs w:val="22"/>
                <w:lang w:val="en-GB"/>
                <w:rPrChange w:id="4304" w:author="Author">
                  <w:rPr>
                    <w:rStyle w:val="CommentReference"/>
                    <w:noProof w:val="0"/>
                    <w:sz w:val="22"/>
                    <w:szCs w:val="22"/>
                  </w:rPr>
                </w:rPrChange>
              </w:rPr>
              <w:t>Tl</w:t>
            </w:r>
            <w:r w:rsidRPr="00D55B59">
              <w:rPr>
                <w:rStyle w:val="CommentReference"/>
                <w:noProof w:val="0"/>
                <w:sz w:val="22"/>
                <w:lang w:val="en-GB"/>
                <w:rPrChange w:id="4305" w:author="Author">
                  <w:rPr>
                    <w:rStyle w:val="CommentReference"/>
                    <w:sz w:val="22"/>
                  </w:rPr>
                </w:rPrChange>
              </w:rPr>
              <w:t>f</w:t>
            </w:r>
            <w:r w:rsidRPr="00D55B59">
              <w:rPr>
                <w:rStyle w:val="CommentReference"/>
                <w:noProof w:val="0"/>
                <w:sz w:val="22"/>
                <w:szCs w:val="22"/>
                <w:lang w:val="en-GB"/>
                <w:rPrChange w:id="4306" w:author="Author">
                  <w:rPr>
                    <w:rStyle w:val="CommentReference"/>
                    <w:noProof w:val="0"/>
                    <w:sz w:val="22"/>
                    <w:szCs w:val="22"/>
                  </w:rPr>
                </w:rPrChange>
              </w:rPr>
              <w:t>: +47 23308000</w:t>
            </w:r>
          </w:p>
          <w:p w14:paraId="4A8236CE" w14:textId="77777777" w:rsidR="008E788D" w:rsidRPr="001775D9" w:rsidRDefault="008E788D" w:rsidP="00D47253">
            <w:pPr>
              <w:rPr>
                <w:szCs w:val="22"/>
              </w:rPr>
            </w:pPr>
          </w:p>
        </w:tc>
      </w:tr>
      <w:tr w:rsidR="008E788D" w:rsidRPr="00F04F82" w14:paraId="5DDACBFE" w14:textId="77777777" w:rsidTr="00D47253">
        <w:trPr>
          <w:cantSplit/>
        </w:trPr>
        <w:tc>
          <w:tcPr>
            <w:tcW w:w="4677" w:type="dxa"/>
          </w:tcPr>
          <w:p w14:paraId="66081EC6" w14:textId="77777777" w:rsidR="008E788D" w:rsidRPr="00391CB4" w:rsidRDefault="008E788D" w:rsidP="00D47253">
            <w:pPr>
              <w:pStyle w:val="lbltxt"/>
              <w:rPr>
                <w:b/>
                <w:bCs/>
                <w:noProof w:val="0"/>
                <w:szCs w:val="22"/>
                <w:lang w:val="el-GR"/>
              </w:rPr>
            </w:pPr>
            <w:r w:rsidRPr="00391CB4">
              <w:rPr>
                <w:b/>
                <w:bCs/>
                <w:noProof w:val="0"/>
                <w:szCs w:val="22"/>
                <w:lang w:val="el-GR"/>
              </w:rPr>
              <w:t>Ελλάδα</w:t>
            </w:r>
          </w:p>
          <w:p w14:paraId="6091768F" w14:textId="77777777" w:rsidR="008E788D" w:rsidRPr="00391CB4" w:rsidRDefault="008E788D" w:rsidP="00D47253">
            <w:pPr>
              <w:pStyle w:val="lbltxt"/>
              <w:rPr>
                <w:noProof w:val="0"/>
                <w:szCs w:val="22"/>
                <w:lang w:val="el-GR"/>
              </w:rPr>
            </w:pPr>
            <w:r w:rsidRPr="00D55B59">
              <w:rPr>
                <w:noProof w:val="0"/>
                <w:szCs w:val="22"/>
                <w:lang w:val="en-GB"/>
                <w:rPrChange w:id="4307" w:author="Author">
                  <w:rPr>
                    <w:noProof w:val="0"/>
                    <w:szCs w:val="22"/>
                  </w:rPr>
                </w:rPrChange>
              </w:rPr>
              <w:t>Amgen</w:t>
            </w:r>
            <w:r w:rsidRPr="00391CB4">
              <w:rPr>
                <w:noProof w:val="0"/>
                <w:szCs w:val="22"/>
                <w:lang w:val="el-GR"/>
              </w:rPr>
              <w:t xml:space="preserve"> Ελλάς Φαρμακευτικά Ε.Π.Ε. </w:t>
            </w:r>
          </w:p>
          <w:p w14:paraId="477E2F14" w14:textId="77777777" w:rsidR="008E788D" w:rsidRPr="00D55B59" w:rsidRDefault="008E788D" w:rsidP="00D47253">
            <w:pPr>
              <w:pStyle w:val="lbltxt"/>
              <w:rPr>
                <w:noProof w:val="0"/>
                <w:szCs w:val="22"/>
                <w:lang w:val="en-GB"/>
                <w:rPrChange w:id="4308" w:author="Author">
                  <w:rPr>
                    <w:noProof w:val="0"/>
                    <w:szCs w:val="22"/>
                  </w:rPr>
                </w:rPrChange>
              </w:rPr>
            </w:pPr>
            <w:r w:rsidRPr="00D55B59">
              <w:rPr>
                <w:noProof w:val="0"/>
                <w:szCs w:val="22"/>
                <w:lang w:val="en-GB"/>
                <w:rPrChange w:id="4309" w:author="Author">
                  <w:rPr>
                    <w:noProof w:val="0"/>
                    <w:szCs w:val="22"/>
                  </w:rPr>
                </w:rPrChange>
              </w:rPr>
              <w:t>Τηλ: +30 210 3447000</w:t>
            </w:r>
          </w:p>
          <w:p w14:paraId="4EE0F805" w14:textId="77777777" w:rsidR="008E788D" w:rsidRPr="001775D9" w:rsidRDefault="008E788D" w:rsidP="00D47253">
            <w:pPr>
              <w:rPr>
                <w:szCs w:val="22"/>
              </w:rPr>
            </w:pPr>
          </w:p>
        </w:tc>
        <w:tc>
          <w:tcPr>
            <w:tcW w:w="4679" w:type="dxa"/>
          </w:tcPr>
          <w:p w14:paraId="2797A4EB" w14:textId="77777777" w:rsidR="008E788D" w:rsidRPr="00D55B59" w:rsidRDefault="008E788D" w:rsidP="00D47253">
            <w:pPr>
              <w:pStyle w:val="lbltxt"/>
              <w:rPr>
                <w:noProof w:val="0"/>
                <w:szCs w:val="22"/>
                <w:lang w:val="en-GB"/>
                <w:rPrChange w:id="4310" w:author="Author">
                  <w:rPr>
                    <w:noProof w:val="0"/>
                    <w:szCs w:val="22"/>
                  </w:rPr>
                </w:rPrChange>
              </w:rPr>
            </w:pPr>
            <w:r w:rsidRPr="00D55B59">
              <w:rPr>
                <w:b/>
                <w:noProof w:val="0"/>
                <w:szCs w:val="22"/>
                <w:lang w:val="en-GB"/>
                <w:rPrChange w:id="4311" w:author="Author">
                  <w:rPr>
                    <w:b/>
                    <w:noProof w:val="0"/>
                    <w:szCs w:val="22"/>
                  </w:rPr>
                </w:rPrChange>
              </w:rPr>
              <w:t>Österreich</w:t>
            </w:r>
          </w:p>
          <w:p w14:paraId="7F9EA1AF" w14:textId="77777777" w:rsidR="008E788D" w:rsidRPr="00D55B59" w:rsidRDefault="008E788D" w:rsidP="00D47253">
            <w:pPr>
              <w:pStyle w:val="lbltxt"/>
              <w:rPr>
                <w:noProof w:val="0"/>
                <w:szCs w:val="22"/>
                <w:lang w:val="en-GB"/>
                <w:rPrChange w:id="4312" w:author="Author">
                  <w:rPr>
                    <w:noProof w:val="0"/>
                    <w:szCs w:val="22"/>
                  </w:rPr>
                </w:rPrChange>
              </w:rPr>
            </w:pPr>
            <w:r w:rsidRPr="00D55B59">
              <w:rPr>
                <w:noProof w:val="0"/>
                <w:szCs w:val="22"/>
                <w:lang w:val="en-GB"/>
                <w:rPrChange w:id="4313" w:author="Author">
                  <w:rPr>
                    <w:noProof w:val="0"/>
                    <w:szCs w:val="22"/>
                  </w:rPr>
                </w:rPrChange>
              </w:rPr>
              <w:t xml:space="preserve">Amgen GmbH </w:t>
            </w:r>
          </w:p>
          <w:p w14:paraId="03ADC05F" w14:textId="77777777" w:rsidR="008E788D" w:rsidRPr="00D55B59" w:rsidRDefault="008E788D" w:rsidP="00D47253">
            <w:pPr>
              <w:pStyle w:val="lbltxt"/>
              <w:rPr>
                <w:noProof w:val="0"/>
                <w:szCs w:val="22"/>
                <w:lang w:val="en-GB"/>
                <w:rPrChange w:id="4314" w:author="Author">
                  <w:rPr>
                    <w:noProof w:val="0"/>
                    <w:szCs w:val="22"/>
                  </w:rPr>
                </w:rPrChange>
              </w:rPr>
            </w:pPr>
            <w:r w:rsidRPr="00D55B59">
              <w:rPr>
                <w:noProof w:val="0"/>
                <w:szCs w:val="22"/>
                <w:lang w:val="en-GB"/>
                <w:rPrChange w:id="4315" w:author="Author">
                  <w:rPr>
                    <w:noProof w:val="0"/>
                    <w:szCs w:val="22"/>
                  </w:rPr>
                </w:rPrChange>
              </w:rPr>
              <w:t>Tel: +43 (0)1 50 217</w:t>
            </w:r>
          </w:p>
          <w:p w14:paraId="3BB9B17D" w14:textId="77777777" w:rsidR="008E788D" w:rsidRPr="001775D9" w:rsidRDefault="008E788D" w:rsidP="00D47253">
            <w:pPr>
              <w:rPr>
                <w:szCs w:val="22"/>
              </w:rPr>
            </w:pPr>
          </w:p>
        </w:tc>
      </w:tr>
      <w:tr w:rsidR="008E788D" w:rsidRPr="00F04F82" w14:paraId="0717749A" w14:textId="77777777" w:rsidTr="00D47253">
        <w:trPr>
          <w:cantSplit/>
        </w:trPr>
        <w:tc>
          <w:tcPr>
            <w:tcW w:w="4677" w:type="dxa"/>
          </w:tcPr>
          <w:p w14:paraId="2DD0C955" w14:textId="77777777" w:rsidR="008E788D" w:rsidRPr="00D55B59" w:rsidRDefault="008E788D" w:rsidP="00D47253">
            <w:pPr>
              <w:pStyle w:val="lbltxt"/>
              <w:keepNext/>
              <w:rPr>
                <w:noProof w:val="0"/>
                <w:szCs w:val="22"/>
                <w:lang w:val="es-ES"/>
                <w:rPrChange w:id="4316" w:author="Author">
                  <w:rPr>
                    <w:noProof w:val="0"/>
                    <w:szCs w:val="22"/>
                    <w:lang w:val="sv-SE"/>
                  </w:rPr>
                </w:rPrChange>
              </w:rPr>
            </w:pPr>
            <w:r w:rsidRPr="00D55B59">
              <w:rPr>
                <w:b/>
                <w:noProof w:val="0"/>
                <w:szCs w:val="22"/>
                <w:lang w:val="es-ES"/>
                <w:rPrChange w:id="4317" w:author="Author">
                  <w:rPr>
                    <w:b/>
                    <w:noProof w:val="0"/>
                    <w:szCs w:val="22"/>
                    <w:lang w:val="sv-SE"/>
                  </w:rPr>
                </w:rPrChange>
              </w:rPr>
              <w:t>España</w:t>
            </w:r>
          </w:p>
          <w:p w14:paraId="3DC89799" w14:textId="77777777" w:rsidR="008E788D" w:rsidRPr="00D55B59" w:rsidRDefault="008E788D" w:rsidP="00D47253">
            <w:pPr>
              <w:pStyle w:val="lbltxt"/>
              <w:keepNext/>
              <w:rPr>
                <w:noProof w:val="0"/>
                <w:spacing w:val="-2"/>
                <w:szCs w:val="22"/>
                <w:lang w:val="es-ES"/>
                <w:rPrChange w:id="4318" w:author="Author">
                  <w:rPr>
                    <w:noProof w:val="0"/>
                    <w:spacing w:val="-2"/>
                    <w:szCs w:val="22"/>
                    <w:lang w:val="sv-SE"/>
                  </w:rPr>
                </w:rPrChange>
              </w:rPr>
            </w:pPr>
            <w:r w:rsidRPr="00D55B59">
              <w:rPr>
                <w:noProof w:val="0"/>
                <w:spacing w:val="-2"/>
                <w:szCs w:val="22"/>
                <w:lang w:val="es-ES"/>
                <w:rPrChange w:id="4319" w:author="Author">
                  <w:rPr>
                    <w:noProof w:val="0"/>
                    <w:spacing w:val="-2"/>
                    <w:szCs w:val="22"/>
                    <w:lang w:val="sv-SE"/>
                  </w:rPr>
                </w:rPrChange>
              </w:rPr>
              <w:t>Amgen S.A.</w:t>
            </w:r>
          </w:p>
          <w:p w14:paraId="536C9AA1" w14:textId="77777777" w:rsidR="008E788D" w:rsidRPr="00D55B59" w:rsidRDefault="008E788D" w:rsidP="00D47253">
            <w:pPr>
              <w:pStyle w:val="lbltxt"/>
              <w:keepNext/>
              <w:rPr>
                <w:rStyle w:val="Initial"/>
                <w:szCs w:val="22"/>
                <w:lang w:val="es-ES"/>
                <w:rPrChange w:id="4320" w:author="Author">
                  <w:rPr>
                    <w:rStyle w:val="Initial"/>
                    <w:szCs w:val="22"/>
                    <w:lang w:val="sv-SE"/>
                  </w:rPr>
                </w:rPrChange>
              </w:rPr>
            </w:pPr>
            <w:r w:rsidRPr="00D55B59">
              <w:rPr>
                <w:noProof w:val="0"/>
                <w:szCs w:val="22"/>
                <w:lang w:val="es-ES"/>
                <w:rPrChange w:id="4321" w:author="Author">
                  <w:rPr>
                    <w:rFonts w:ascii="CG Times" w:hAnsi="CG Times"/>
                    <w:noProof w:val="0"/>
                    <w:sz w:val="24"/>
                    <w:szCs w:val="22"/>
                    <w:lang w:val="sv-SE"/>
                  </w:rPr>
                </w:rPrChange>
              </w:rPr>
              <w:t xml:space="preserve">Tel: +34 93 600 18 60 </w:t>
            </w:r>
          </w:p>
          <w:p w14:paraId="0874E85C" w14:textId="77777777" w:rsidR="008E788D" w:rsidRPr="00D55B59" w:rsidRDefault="008E788D" w:rsidP="00D47253">
            <w:pPr>
              <w:keepNext/>
              <w:rPr>
                <w:szCs w:val="22"/>
                <w:lang w:val="es-ES"/>
                <w:rPrChange w:id="4322" w:author="Author">
                  <w:rPr>
                    <w:szCs w:val="22"/>
                    <w:lang w:val="sv-SE"/>
                  </w:rPr>
                </w:rPrChange>
              </w:rPr>
            </w:pPr>
          </w:p>
        </w:tc>
        <w:tc>
          <w:tcPr>
            <w:tcW w:w="4679" w:type="dxa"/>
          </w:tcPr>
          <w:p w14:paraId="0802CB0C" w14:textId="77777777" w:rsidR="008E788D" w:rsidRPr="00247EF0" w:rsidRDefault="008E788D" w:rsidP="00D47253">
            <w:pPr>
              <w:pStyle w:val="lbltxt"/>
              <w:keepNext/>
              <w:rPr>
                <w:b/>
                <w:noProof w:val="0"/>
                <w:szCs w:val="22"/>
                <w:lang w:val="pl-PL"/>
              </w:rPr>
            </w:pPr>
            <w:r w:rsidRPr="00247EF0">
              <w:rPr>
                <w:b/>
                <w:noProof w:val="0"/>
                <w:szCs w:val="22"/>
                <w:lang w:val="pl-PL"/>
              </w:rPr>
              <w:t>Polska</w:t>
            </w:r>
          </w:p>
          <w:p w14:paraId="6E34329F" w14:textId="77777777" w:rsidR="008E788D" w:rsidRPr="00247EF0" w:rsidRDefault="008E788D" w:rsidP="00D47253">
            <w:pPr>
              <w:pStyle w:val="lbltxt"/>
              <w:keepNext/>
              <w:rPr>
                <w:noProof w:val="0"/>
                <w:szCs w:val="22"/>
                <w:lang w:val="pl-PL"/>
              </w:rPr>
            </w:pPr>
            <w:r w:rsidRPr="00247EF0">
              <w:rPr>
                <w:noProof w:val="0"/>
                <w:szCs w:val="22"/>
                <w:lang w:val="pl-PL"/>
              </w:rPr>
              <w:t xml:space="preserve">Amgen </w:t>
            </w:r>
            <w:r w:rsidRPr="00247EF0">
              <w:rPr>
                <w:noProof w:val="0"/>
                <w:color w:val="000000"/>
                <w:szCs w:val="22"/>
                <w:lang w:val="pl-PL" w:eastAsia="en-GB"/>
              </w:rPr>
              <w:t>Biotechnologia</w:t>
            </w:r>
            <w:r w:rsidRPr="00247EF0">
              <w:rPr>
                <w:noProof w:val="0"/>
                <w:szCs w:val="22"/>
                <w:lang w:val="pl-PL"/>
              </w:rPr>
              <w:t xml:space="preserve"> Sp. z o.o.</w:t>
            </w:r>
          </w:p>
          <w:p w14:paraId="6386DE7E" w14:textId="77777777" w:rsidR="008E788D" w:rsidRPr="00D55B59" w:rsidRDefault="008E788D" w:rsidP="00D47253">
            <w:pPr>
              <w:pStyle w:val="lbltxt"/>
              <w:keepNext/>
              <w:rPr>
                <w:bCs/>
                <w:noProof w:val="0"/>
                <w:szCs w:val="22"/>
                <w:lang w:val="en-GB"/>
                <w:rPrChange w:id="4323" w:author="Author">
                  <w:rPr>
                    <w:bCs/>
                    <w:noProof w:val="0"/>
                    <w:szCs w:val="22"/>
                  </w:rPr>
                </w:rPrChange>
              </w:rPr>
            </w:pPr>
            <w:r w:rsidRPr="00D55B59">
              <w:rPr>
                <w:bCs/>
                <w:noProof w:val="0"/>
                <w:szCs w:val="22"/>
                <w:lang w:val="en-GB"/>
                <w:rPrChange w:id="4324" w:author="Author">
                  <w:rPr>
                    <w:bCs/>
                    <w:noProof w:val="0"/>
                    <w:szCs w:val="22"/>
                  </w:rPr>
                </w:rPrChange>
              </w:rPr>
              <w:t>Tel.: +48 22 581 3000</w:t>
            </w:r>
          </w:p>
          <w:p w14:paraId="481274CB" w14:textId="77777777" w:rsidR="008E788D" w:rsidRPr="001775D9" w:rsidRDefault="008E788D" w:rsidP="00D47253">
            <w:pPr>
              <w:keepNext/>
              <w:rPr>
                <w:szCs w:val="22"/>
              </w:rPr>
            </w:pPr>
          </w:p>
        </w:tc>
      </w:tr>
      <w:tr w:rsidR="008E788D" w:rsidRPr="00867B3B" w14:paraId="42693CAD" w14:textId="77777777" w:rsidTr="00D47253">
        <w:trPr>
          <w:cantSplit/>
        </w:trPr>
        <w:tc>
          <w:tcPr>
            <w:tcW w:w="4677" w:type="dxa"/>
          </w:tcPr>
          <w:p w14:paraId="29E0FE28" w14:textId="77777777" w:rsidR="008E788D" w:rsidRPr="00247EF0" w:rsidRDefault="008E788D" w:rsidP="00D47253">
            <w:pPr>
              <w:pStyle w:val="lbltxt"/>
              <w:rPr>
                <w:noProof w:val="0"/>
                <w:szCs w:val="22"/>
                <w:lang w:val="fr-FR"/>
              </w:rPr>
            </w:pPr>
            <w:r w:rsidRPr="00247EF0">
              <w:rPr>
                <w:b/>
                <w:noProof w:val="0"/>
                <w:szCs w:val="22"/>
                <w:lang w:val="fr-FR"/>
              </w:rPr>
              <w:t>France</w:t>
            </w:r>
          </w:p>
          <w:p w14:paraId="3782FF93" w14:textId="77777777" w:rsidR="008E788D" w:rsidRPr="00247EF0" w:rsidRDefault="008E788D" w:rsidP="00D47253">
            <w:pPr>
              <w:pStyle w:val="lbltxt"/>
              <w:rPr>
                <w:noProof w:val="0"/>
                <w:szCs w:val="22"/>
                <w:lang w:val="fr-FR"/>
              </w:rPr>
            </w:pPr>
            <w:r w:rsidRPr="00247EF0">
              <w:rPr>
                <w:noProof w:val="0"/>
                <w:szCs w:val="22"/>
                <w:lang w:val="fr-FR"/>
              </w:rPr>
              <w:t>Amgen S.A.S.</w:t>
            </w:r>
          </w:p>
          <w:p w14:paraId="37938956" w14:textId="77777777" w:rsidR="008E788D" w:rsidRPr="00247EF0" w:rsidRDefault="008E788D" w:rsidP="00D47253">
            <w:pPr>
              <w:rPr>
                <w:szCs w:val="22"/>
                <w:lang w:val="fr-FR"/>
              </w:rPr>
            </w:pPr>
            <w:r w:rsidRPr="00247EF0">
              <w:rPr>
                <w:szCs w:val="22"/>
                <w:lang w:val="fr-FR"/>
              </w:rPr>
              <w:t>Tél: +33 (0)9 69 363 363</w:t>
            </w:r>
          </w:p>
          <w:p w14:paraId="32088767" w14:textId="77777777" w:rsidR="008E788D" w:rsidRPr="00247EF0" w:rsidRDefault="008E788D" w:rsidP="00D47253">
            <w:pPr>
              <w:rPr>
                <w:szCs w:val="22"/>
                <w:lang w:val="fr-FR"/>
              </w:rPr>
            </w:pPr>
          </w:p>
        </w:tc>
        <w:tc>
          <w:tcPr>
            <w:tcW w:w="4679" w:type="dxa"/>
          </w:tcPr>
          <w:p w14:paraId="0C3F481F" w14:textId="77777777" w:rsidR="008E788D" w:rsidRPr="00247EF0" w:rsidRDefault="008E788D" w:rsidP="00D47253">
            <w:pPr>
              <w:pStyle w:val="lbltxt"/>
              <w:rPr>
                <w:noProof w:val="0"/>
                <w:szCs w:val="22"/>
                <w:lang w:val="es-ES"/>
              </w:rPr>
            </w:pPr>
            <w:r w:rsidRPr="00247EF0">
              <w:rPr>
                <w:b/>
                <w:noProof w:val="0"/>
                <w:szCs w:val="22"/>
                <w:lang w:val="es-ES"/>
              </w:rPr>
              <w:t>Portugal</w:t>
            </w:r>
          </w:p>
          <w:p w14:paraId="72BE8E99" w14:textId="77777777" w:rsidR="008E788D" w:rsidRPr="00247EF0" w:rsidRDefault="008E788D" w:rsidP="00D47253">
            <w:pPr>
              <w:pStyle w:val="lbltxt"/>
              <w:rPr>
                <w:noProof w:val="0"/>
                <w:szCs w:val="22"/>
                <w:lang w:val="es-ES"/>
              </w:rPr>
            </w:pPr>
            <w:r w:rsidRPr="00247EF0">
              <w:rPr>
                <w:noProof w:val="0"/>
                <w:szCs w:val="22"/>
                <w:lang w:val="es-ES"/>
              </w:rPr>
              <w:t>Amgen Biofarmacêutica, Lda.</w:t>
            </w:r>
          </w:p>
          <w:p w14:paraId="13716C69" w14:textId="77777777" w:rsidR="008E788D" w:rsidRPr="00247EF0" w:rsidRDefault="008E788D" w:rsidP="00D47253">
            <w:pPr>
              <w:pStyle w:val="lbltxt"/>
              <w:rPr>
                <w:noProof w:val="0"/>
                <w:szCs w:val="22"/>
                <w:lang w:val="es-ES"/>
              </w:rPr>
            </w:pPr>
            <w:r w:rsidRPr="00247EF0">
              <w:rPr>
                <w:noProof w:val="0"/>
                <w:szCs w:val="22"/>
                <w:lang w:val="es-ES"/>
              </w:rPr>
              <w:t>Tel: +351 21 4220606</w:t>
            </w:r>
          </w:p>
          <w:p w14:paraId="0158B01F" w14:textId="77777777" w:rsidR="008E788D" w:rsidRPr="00247EF0" w:rsidRDefault="008E788D" w:rsidP="00D47253">
            <w:pPr>
              <w:rPr>
                <w:szCs w:val="22"/>
                <w:lang w:val="es-ES"/>
              </w:rPr>
            </w:pPr>
          </w:p>
        </w:tc>
      </w:tr>
      <w:tr w:rsidR="008E788D" w:rsidRPr="00F04F82" w14:paraId="30B8D1BB" w14:textId="77777777" w:rsidTr="00D47253">
        <w:trPr>
          <w:cantSplit/>
        </w:trPr>
        <w:tc>
          <w:tcPr>
            <w:tcW w:w="4677" w:type="dxa"/>
          </w:tcPr>
          <w:p w14:paraId="5A498127" w14:textId="77777777" w:rsidR="008E788D" w:rsidRPr="00D55B59" w:rsidRDefault="008E788D" w:rsidP="00D47253">
            <w:pPr>
              <w:keepNext/>
              <w:keepLines/>
              <w:rPr>
                <w:szCs w:val="22"/>
                <w:lang w:val="es-ES"/>
                <w:rPrChange w:id="4325" w:author="Author">
                  <w:rPr>
                    <w:szCs w:val="22"/>
                    <w:lang w:val="sv-SE"/>
                  </w:rPr>
                </w:rPrChange>
              </w:rPr>
            </w:pPr>
            <w:r w:rsidRPr="00D55B59">
              <w:rPr>
                <w:b/>
                <w:szCs w:val="22"/>
                <w:lang w:val="es-ES"/>
                <w:rPrChange w:id="4326" w:author="Author">
                  <w:rPr>
                    <w:b/>
                    <w:szCs w:val="22"/>
                    <w:lang w:val="sv-SE"/>
                  </w:rPr>
                </w:rPrChange>
              </w:rPr>
              <w:t>Hrvatska</w:t>
            </w:r>
          </w:p>
          <w:p w14:paraId="50ECA556" w14:textId="77777777" w:rsidR="008E788D" w:rsidRPr="00D55B59" w:rsidRDefault="008E788D" w:rsidP="00D47253">
            <w:pPr>
              <w:keepNext/>
              <w:keepLines/>
              <w:rPr>
                <w:szCs w:val="22"/>
                <w:lang w:val="es-ES"/>
                <w:rPrChange w:id="4327" w:author="Author">
                  <w:rPr>
                    <w:szCs w:val="22"/>
                    <w:lang w:val="sv-SE"/>
                  </w:rPr>
                </w:rPrChange>
              </w:rPr>
            </w:pPr>
            <w:r w:rsidRPr="00D55B59">
              <w:rPr>
                <w:szCs w:val="22"/>
                <w:lang w:val="es-ES"/>
                <w:rPrChange w:id="4328" w:author="Author">
                  <w:rPr>
                    <w:szCs w:val="22"/>
                    <w:lang w:val="sv-SE"/>
                  </w:rPr>
                </w:rPrChange>
              </w:rPr>
              <w:t>Amgen d.o.o.</w:t>
            </w:r>
          </w:p>
          <w:p w14:paraId="218FAADD" w14:textId="77777777" w:rsidR="008E788D" w:rsidRPr="00391CB4" w:rsidRDefault="008E788D" w:rsidP="00D47253">
            <w:pPr>
              <w:keepNext/>
              <w:keepLines/>
              <w:rPr>
                <w:szCs w:val="22"/>
                <w:lang w:val="es-ES"/>
              </w:rPr>
            </w:pPr>
            <w:r w:rsidRPr="00391CB4">
              <w:rPr>
                <w:szCs w:val="22"/>
                <w:lang w:val="es-ES"/>
              </w:rPr>
              <w:t>Tel: +385 (0)1 562 57 20</w:t>
            </w:r>
          </w:p>
          <w:p w14:paraId="1F9A92DD" w14:textId="77777777" w:rsidR="008E788D" w:rsidRPr="00391CB4" w:rsidRDefault="008E788D" w:rsidP="00D47253">
            <w:pPr>
              <w:keepNext/>
              <w:keepLines/>
              <w:rPr>
                <w:szCs w:val="22"/>
                <w:lang w:val="es-ES"/>
              </w:rPr>
            </w:pPr>
          </w:p>
        </w:tc>
        <w:tc>
          <w:tcPr>
            <w:tcW w:w="4679" w:type="dxa"/>
          </w:tcPr>
          <w:p w14:paraId="0800F311" w14:textId="77777777" w:rsidR="008E788D" w:rsidRPr="00D55B59" w:rsidRDefault="008E788D" w:rsidP="00D47253">
            <w:pPr>
              <w:keepNext/>
              <w:keepLines/>
              <w:suppressAutoHyphens/>
              <w:rPr>
                <w:b/>
                <w:szCs w:val="22"/>
                <w:rPrChange w:id="4329" w:author="Author">
                  <w:rPr>
                    <w:b/>
                    <w:szCs w:val="22"/>
                    <w:lang w:val="es-ES"/>
                  </w:rPr>
                </w:rPrChange>
              </w:rPr>
            </w:pPr>
            <w:r w:rsidRPr="00D55B59">
              <w:rPr>
                <w:b/>
                <w:szCs w:val="22"/>
                <w:rPrChange w:id="4330" w:author="Author">
                  <w:rPr>
                    <w:b/>
                    <w:szCs w:val="22"/>
                    <w:lang w:val="es-ES"/>
                  </w:rPr>
                </w:rPrChange>
              </w:rPr>
              <w:t>România</w:t>
            </w:r>
          </w:p>
          <w:p w14:paraId="2779914B" w14:textId="77777777" w:rsidR="008E788D" w:rsidRPr="00D55B59" w:rsidRDefault="008E788D" w:rsidP="00D47253">
            <w:pPr>
              <w:keepNext/>
              <w:keepLines/>
              <w:rPr>
                <w:color w:val="000000"/>
                <w:szCs w:val="22"/>
                <w:rPrChange w:id="4331" w:author="Author">
                  <w:rPr>
                    <w:color w:val="000000"/>
                    <w:szCs w:val="22"/>
                    <w:lang w:val="es-ES"/>
                  </w:rPr>
                </w:rPrChange>
              </w:rPr>
            </w:pPr>
            <w:r w:rsidRPr="00D55B59">
              <w:rPr>
                <w:color w:val="000000"/>
                <w:szCs w:val="22"/>
                <w:rPrChange w:id="4332" w:author="Author">
                  <w:rPr>
                    <w:color w:val="000000"/>
                    <w:szCs w:val="22"/>
                    <w:lang w:val="es-ES"/>
                  </w:rPr>
                </w:rPrChange>
              </w:rPr>
              <w:t>Amgen România SRL</w:t>
            </w:r>
          </w:p>
          <w:p w14:paraId="7DC7B3F9" w14:textId="77777777" w:rsidR="008E788D" w:rsidRPr="00D55B59" w:rsidRDefault="008E788D" w:rsidP="00D47253">
            <w:pPr>
              <w:pStyle w:val="lbltxt"/>
              <w:keepNext/>
              <w:keepLines/>
              <w:rPr>
                <w:noProof w:val="0"/>
                <w:szCs w:val="22"/>
                <w:lang w:val="en-GB"/>
                <w:rPrChange w:id="4333" w:author="Author">
                  <w:rPr>
                    <w:noProof w:val="0"/>
                    <w:szCs w:val="22"/>
                    <w:lang w:val="es-ES"/>
                  </w:rPr>
                </w:rPrChange>
              </w:rPr>
            </w:pPr>
            <w:r w:rsidRPr="00D55B59">
              <w:rPr>
                <w:noProof w:val="0"/>
                <w:szCs w:val="22"/>
                <w:lang w:val="en-GB"/>
                <w:rPrChange w:id="4334" w:author="Author">
                  <w:rPr>
                    <w:noProof w:val="0"/>
                    <w:szCs w:val="22"/>
                    <w:lang w:val="es-ES"/>
                  </w:rPr>
                </w:rPrChange>
              </w:rPr>
              <w:t>Tel: +4021 527 3000</w:t>
            </w:r>
          </w:p>
          <w:p w14:paraId="71504D77" w14:textId="77777777" w:rsidR="008E788D" w:rsidRPr="00D55B59" w:rsidRDefault="008E788D" w:rsidP="00D47253">
            <w:pPr>
              <w:keepNext/>
              <w:keepLines/>
              <w:rPr>
                <w:szCs w:val="22"/>
                <w:rPrChange w:id="4335" w:author="Author">
                  <w:rPr>
                    <w:szCs w:val="22"/>
                    <w:lang w:val="es-ES"/>
                  </w:rPr>
                </w:rPrChange>
              </w:rPr>
            </w:pPr>
          </w:p>
        </w:tc>
      </w:tr>
      <w:tr w:rsidR="008E788D" w:rsidRPr="00F04F82" w14:paraId="0FFA6C1D" w14:textId="77777777" w:rsidTr="00D47253">
        <w:trPr>
          <w:cantSplit/>
        </w:trPr>
        <w:tc>
          <w:tcPr>
            <w:tcW w:w="4677" w:type="dxa"/>
          </w:tcPr>
          <w:p w14:paraId="3D52C462" w14:textId="77777777" w:rsidR="008E788D" w:rsidRPr="00D55B59" w:rsidRDefault="008E788D" w:rsidP="00D47253">
            <w:pPr>
              <w:pStyle w:val="lbltxt"/>
              <w:rPr>
                <w:rFonts w:eastAsia="Arial Unicode MS"/>
                <w:b/>
                <w:noProof w:val="0"/>
                <w:szCs w:val="22"/>
                <w:lang w:val="en-GB"/>
                <w:rPrChange w:id="4336" w:author="Author">
                  <w:rPr>
                    <w:rFonts w:eastAsia="Arial Unicode MS"/>
                    <w:b/>
                    <w:noProof w:val="0"/>
                    <w:szCs w:val="22"/>
                  </w:rPr>
                </w:rPrChange>
              </w:rPr>
            </w:pPr>
            <w:r w:rsidRPr="00D55B59">
              <w:rPr>
                <w:rFonts w:eastAsia="Arial Unicode MS"/>
                <w:b/>
                <w:noProof w:val="0"/>
                <w:szCs w:val="22"/>
                <w:lang w:val="en-GB"/>
                <w:rPrChange w:id="4337" w:author="Author">
                  <w:rPr>
                    <w:rFonts w:eastAsia="Arial Unicode MS"/>
                    <w:b/>
                    <w:noProof w:val="0"/>
                    <w:szCs w:val="22"/>
                  </w:rPr>
                </w:rPrChange>
              </w:rPr>
              <w:t>Ireland</w:t>
            </w:r>
          </w:p>
          <w:p w14:paraId="2B44A816" w14:textId="77777777" w:rsidR="008E788D" w:rsidRPr="00D55B59" w:rsidRDefault="008E788D" w:rsidP="00D47253">
            <w:pPr>
              <w:pStyle w:val="lbltxt"/>
              <w:rPr>
                <w:rFonts w:eastAsia="Arial Unicode MS"/>
                <w:bCs/>
                <w:noProof w:val="0"/>
                <w:szCs w:val="22"/>
                <w:lang w:val="en-GB"/>
                <w:rPrChange w:id="4338" w:author="Author">
                  <w:rPr>
                    <w:rFonts w:eastAsia="Arial Unicode MS"/>
                    <w:bCs/>
                    <w:noProof w:val="0"/>
                    <w:szCs w:val="22"/>
                  </w:rPr>
                </w:rPrChange>
              </w:rPr>
            </w:pPr>
            <w:r w:rsidRPr="00D55B59">
              <w:rPr>
                <w:rFonts w:eastAsia="Arial Unicode MS"/>
                <w:bCs/>
                <w:noProof w:val="0"/>
                <w:szCs w:val="22"/>
                <w:lang w:val="en-GB"/>
                <w:rPrChange w:id="4339" w:author="Author">
                  <w:rPr>
                    <w:rFonts w:eastAsia="Arial Unicode MS"/>
                    <w:bCs/>
                    <w:noProof w:val="0"/>
                    <w:szCs w:val="22"/>
                  </w:rPr>
                </w:rPrChange>
              </w:rPr>
              <w:t>Amgen Ireland Limited</w:t>
            </w:r>
          </w:p>
          <w:p w14:paraId="03F12E96" w14:textId="77777777" w:rsidR="008E788D" w:rsidRPr="001775D9" w:rsidRDefault="008E788D" w:rsidP="00D47253">
            <w:pPr>
              <w:pStyle w:val="lbltxt"/>
              <w:rPr>
                <w:rStyle w:val="Initial"/>
                <w:rFonts w:eastAsia="Arial Unicode MS"/>
                <w:bCs/>
                <w:szCs w:val="22"/>
                <w:lang w:val="en-GB"/>
              </w:rPr>
            </w:pPr>
            <w:r w:rsidRPr="00D55B59">
              <w:rPr>
                <w:rFonts w:eastAsia="Arial Unicode MS"/>
                <w:bCs/>
                <w:noProof w:val="0"/>
                <w:szCs w:val="22"/>
                <w:lang w:val="en-GB"/>
                <w:rPrChange w:id="4340" w:author="Author">
                  <w:rPr>
                    <w:rFonts w:eastAsia="Arial Unicode MS"/>
                    <w:bCs/>
                    <w:noProof w:val="0"/>
                    <w:szCs w:val="22"/>
                  </w:rPr>
                </w:rPrChange>
              </w:rPr>
              <w:t>Tel: +353 1 8527400</w:t>
            </w:r>
          </w:p>
          <w:p w14:paraId="5694D4C2" w14:textId="77777777" w:rsidR="008E788D" w:rsidRPr="00D55B59" w:rsidRDefault="008E788D" w:rsidP="00D47253">
            <w:pPr>
              <w:pStyle w:val="lbltxt"/>
              <w:rPr>
                <w:noProof w:val="0"/>
                <w:szCs w:val="22"/>
                <w:lang w:val="en-GB"/>
                <w:rPrChange w:id="4341" w:author="Author">
                  <w:rPr>
                    <w:noProof w:val="0"/>
                    <w:szCs w:val="22"/>
                  </w:rPr>
                </w:rPrChange>
              </w:rPr>
            </w:pPr>
          </w:p>
        </w:tc>
        <w:tc>
          <w:tcPr>
            <w:tcW w:w="4679" w:type="dxa"/>
          </w:tcPr>
          <w:p w14:paraId="26B2ED05" w14:textId="77777777" w:rsidR="008E788D" w:rsidRPr="00D55B59" w:rsidRDefault="008E788D" w:rsidP="00D47253">
            <w:pPr>
              <w:pStyle w:val="lbltxt"/>
              <w:rPr>
                <w:b/>
                <w:noProof w:val="0"/>
                <w:szCs w:val="22"/>
                <w:lang w:val="en-GB"/>
                <w:rPrChange w:id="4342" w:author="Author">
                  <w:rPr>
                    <w:b/>
                    <w:noProof w:val="0"/>
                    <w:szCs w:val="22"/>
                    <w:lang w:val="nl-NL"/>
                  </w:rPr>
                </w:rPrChange>
              </w:rPr>
            </w:pPr>
            <w:r w:rsidRPr="00D55B59">
              <w:rPr>
                <w:b/>
                <w:noProof w:val="0"/>
                <w:szCs w:val="22"/>
                <w:lang w:val="en-GB"/>
                <w:rPrChange w:id="4343" w:author="Author">
                  <w:rPr>
                    <w:b/>
                    <w:noProof w:val="0"/>
                    <w:szCs w:val="22"/>
                    <w:lang w:val="nl-NL"/>
                  </w:rPr>
                </w:rPrChange>
              </w:rPr>
              <w:t>Slovenija</w:t>
            </w:r>
          </w:p>
          <w:p w14:paraId="393BAACA" w14:textId="77777777" w:rsidR="008E788D" w:rsidRPr="00D55B59" w:rsidRDefault="008E788D" w:rsidP="00D47253">
            <w:pPr>
              <w:pStyle w:val="lbltxt"/>
              <w:rPr>
                <w:bCs/>
                <w:noProof w:val="0"/>
                <w:szCs w:val="22"/>
                <w:lang w:val="en-GB"/>
                <w:rPrChange w:id="4344" w:author="Author">
                  <w:rPr>
                    <w:bCs/>
                    <w:noProof w:val="0"/>
                    <w:szCs w:val="22"/>
                    <w:lang w:val="nl-NL"/>
                  </w:rPr>
                </w:rPrChange>
              </w:rPr>
            </w:pPr>
            <w:r w:rsidRPr="00D55B59">
              <w:rPr>
                <w:noProof w:val="0"/>
                <w:szCs w:val="22"/>
                <w:lang w:val="en-GB"/>
                <w:rPrChange w:id="4345" w:author="Author">
                  <w:rPr>
                    <w:noProof w:val="0"/>
                    <w:szCs w:val="22"/>
                    <w:lang w:val="nl-NL"/>
                  </w:rPr>
                </w:rPrChange>
              </w:rPr>
              <w:t>AMGEN zdravila d.o.o.</w:t>
            </w:r>
          </w:p>
          <w:p w14:paraId="4113D648" w14:textId="77777777" w:rsidR="008E788D" w:rsidRPr="00D55B59" w:rsidRDefault="008E788D" w:rsidP="00D47253">
            <w:pPr>
              <w:pStyle w:val="lbltxt"/>
              <w:rPr>
                <w:bCs/>
                <w:noProof w:val="0"/>
                <w:szCs w:val="22"/>
                <w:lang w:val="en-GB"/>
                <w:rPrChange w:id="4346" w:author="Author">
                  <w:rPr>
                    <w:bCs/>
                    <w:noProof w:val="0"/>
                    <w:szCs w:val="22"/>
                  </w:rPr>
                </w:rPrChange>
              </w:rPr>
            </w:pPr>
            <w:r w:rsidRPr="00D55B59">
              <w:rPr>
                <w:bCs/>
                <w:noProof w:val="0"/>
                <w:szCs w:val="22"/>
                <w:lang w:val="en-GB"/>
                <w:rPrChange w:id="4347" w:author="Author">
                  <w:rPr>
                    <w:bCs/>
                    <w:noProof w:val="0"/>
                    <w:szCs w:val="22"/>
                  </w:rPr>
                </w:rPrChange>
              </w:rPr>
              <w:t>Tel: +386 (0)1 585 1767</w:t>
            </w:r>
          </w:p>
          <w:p w14:paraId="5E161397" w14:textId="77777777" w:rsidR="008E788D" w:rsidRPr="001775D9" w:rsidRDefault="008E788D" w:rsidP="00D47253">
            <w:pPr>
              <w:rPr>
                <w:szCs w:val="22"/>
              </w:rPr>
            </w:pPr>
          </w:p>
        </w:tc>
      </w:tr>
      <w:tr w:rsidR="008E788D" w:rsidRPr="00F04F82" w14:paraId="6E8C6B77" w14:textId="77777777" w:rsidTr="00D47253">
        <w:trPr>
          <w:cantSplit/>
        </w:trPr>
        <w:tc>
          <w:tcPr>
            <w:tcW w:w="4677" w:type="dxa"/>
          </w:tcPr>
          <w:p w14:paraId="1512495D" w14:textId="77777777" w:rsidR="008E788D" w:rsidRPr="00D55B59" w:rsidRDefault="008E788D" w:rsidP="00D47253">
            <w:pPr>
              <w:pStyle w:val="lbltxt"/>
              <w:rPr>
                <w:b/>
                <w:noProof w:val="0"/>
                <w:szCs w:val="22"/>
                <w:lang w:val="en-GB"/>
                <w:rPrChange w:id="4348" w:author="Author">
                  <w:rPr>
                    <w:b/>
                    <w:noProof w:val="0"/>
                    <w:szCs w:val="22"/>
                  </w:rPr>
                </w:rPrChange>
              </w:rPr>
            </w:pPr>
            <w:r w:rsidRPr="00D55B59">
              <w:rPr>
                <w:b/>
                <w:noProof w:val="0"/>
                <w:szCs w:val="22"/>
                <w:lang w:val="en-GB"/>
                <w:rPrChange w:id="4349" w:author="Author">
                  <w:rPr>
                    <w:b/>
                    <w:noProof w:val="0"/>
                    <w:szCs w:val="22"/>
                  </w:rPr>
                </w:rPrChange>
              </w:rPr>
              <w:t>Ísland</w:t>
            </w:r>
          </w:p>
          <w:p w14:paraId="79952A6E" w14:textId="1A0B58EA" w:rsidR="008E788D" w:rsidRPr="00D55B59" w:rsidRDefault="008E788D" w:rsidP="00D47253">
            <w:pPr>
              <w:pStyle w:val="lbltxt"/>
              <w:rPr>
                <w:noProof w:val="0"/>
                <w:szCs w:val="22"/>
                <w:lang w:val="en-GB"/>
                <w:rPrChange w:id="4350" w:author="Author">
                  <w:rPr>
                    <w:noProof w:val="0"/>
                    <w:szCs w:val="22"/>
                  </w:rPr>
                </w:rPrChange>
              </w:rPr>
            </w:pPr>
            <w:r w:rsidRPr="00D55B59">
              <w:rPr>
                <w:noProof w:val="0"/>
                <w:szCs w:val="22"/>
                <w:lang w:val="en-GB"/>
                <w:rPrChange w:id="4351" w:author="Author">
                  <w:rPr>
                    <w:noProof w:val="0"/>
                    <w:szCs w:val="22"/>
                  </w:rPr>
                </w:rPrChange>
              </w:rPr>
              <w:t>Vistor</w:t>
            </w:r>
            <w:del w:id="4352" w:author="Author">
              <w:r w:rsidRPr="00D55B59" w:rsidDel="00950645">
                <w:rPr>
                  <w:noProof w:val="0"/>
                  <w:szCs w:val="22"/>
                  <w:lang w:val="en-GB"/>
                  <w:rPrChange w:id="4353" w:author="Author">
                    <w:rPr>
                      <w:noProof w:val="0"/>
                      <w:szCs w:val="22"/>
                    </w:rPr>
                  </w:rPrChange>
                </w:rPr>
                <w:delText xml:space="preserve"> hf.</w:delText>
              </w:r>
            </w:del>
          </w:p>
          <w:p w14:paraId="6A89C042" w14:textId="77777777" w:rsidR="008E788D" w:rsidRPr="00D55B59" w:rsidRDefault="008E788D" w:rsidP="00D47253">
            <w:pPr>
              <w:pStyle w:val="lbltxt"/>
              <w:rPr>
                <w:noProof w:val="0"/>
                <w:szCs w:val="22"/>
                <w:lang w:val="en-GB"/>
                <w:rPrChange w:id="4354" w:author="Author">
                  <w:rPr>
                    <w:noProof w:val="0"/>
                    <w:szCs w:val="22"/>
                  </w:rPr>
                </w:rPrChange>
              </w:rPr>
            </w:pPr>
            <w:r w:rsidRPr="00D55B59">
              <w:rPr>
                <w:noProof w:val="0"/>
                <w:szCs w:val="22"/>
                <w:lang w:val="en-GB"/>
                <w:rPrChange w:id="4355" w:author="Author">
                  <w:rPr>
                    <w:noProof w:val="0"/>
                    <w:szCs w:val="22"/>
                  </w:rPr>
                </w:rPrChange>
              </w:rPr>
              <w:t>Sími: +354 535 7000</w:t>
            </w:r>
          </w:p>
          <w:p w14:paraId="41A19F62" w14:textId="77777777" w:rsidR="008E788D" w:rsidRPr="001775D9" w:rsidRDefault="008E788D" w:rsidP="00D47253">
            <w:pPr>
              <w:rPr>
                <w:szCs w:val="22"/>
              </w:rPr>
            </w:pPr>
          </w:p>
        </w:tc>
        <w:tc>
          <w:tcPr>
            <w:tcW w:w="4679" w:type="dxa"/>
          </w:tcPr>
          <w:p w14:paraId="706C52A8" w14:textId="77777777" w:rsidR="008E788D" w:rsidRPr="00D55B59" w:rsidRDefault="008E788D" w:rsidP="00D47253">
            <w:pPr>
              <w:pStyle w:val="lbltxt"/>
              <w:rPr>
                <w:b/>
                <w:noProof w:val="0"/>
                <w:szCs w:val="22"/>
                <w:lang w:val="en-GB"/>
                <w:rPrChange w:id="4356" w:author="Author">
                  <w:rPr>
                    <w:b/>
                    <w:noProof w:val="0"/>
                    <w:szCs w:val="22"/>
                    <w:lang w:val="sv-SE"/>
                  </w:rPr>
                </w:rPrChange>
              </w:rPr>
            </w:pPr>
            <w:r w:rsidRPr="00D55B59">
              <w:rPr>
                <w:b/>
                <w:noProof w:val="0"/>
                <w:szCs w:val="22"/>
                <w:lang w:val="en-GB"/>
                <w:rPrChange w:id="4357" w:author="Author">
                  <w:rPr>
                    <w:b/>
                    <w:noProof w:val="0"/>
                    <w:szCs w:val="22"/>
                    <w:lang w:val="sv-SE"/>
                  </w:rPr>
                </w:rPrChange>
              </w:rPr>
              <w:t>Slovenská republika</w:t>
            </w:r>
          </w:p>
          <w:p w14:paraId="06ABF1FE" w14:textId="77777777" w:rsidR="008E788D" w:rsidRPr="00D55B59" w:rsidRDefault="008E788D" w:rsidP="00D47253">
            <w:pPr>
              <w:pStyle w:val="lbltxt"/>
              <w:rPr>
                <w:bCs/>
                <w:noProof w:val="0"/>
                <w:szCs w:val="22"/>
                <w:lang w:val="en-GB"/>
                <w:rPrChange w:id="4358" w:author="Author">
                  <w:rPr>
                    <w:bCs/>
                    <w:noProof w:val="0"/>
                    <w:szCs w:val="22"/>
                    <w:lang w:val="sv-SE"/>
                  </w:rPr>
                </w:rPrChange>
              </w:rPr>
            </w:pPr>
            <w:r w:rsidRPr="00D55B59">
              <w:rPr>
                <w:bCs/>
                <w:noProof w:val="0"/>
                <w:szCs w:val="22"/>
                <w:lang w:val="en-GB"/>
                <w:rPrChange w:id="4359" w:author="Author">
                  <w:rPr>
                    <w:bCs/>
                    <w:noProof w:val="0"/>
                    <w:szCs w:val="22"/>
                    <w:lang w:val="sv-SE"/>
                  </w:rPr>
                </w:rPrChange>
              </w:rPr>
              <w:t>Amgen Slovakia s.r.o.</w:t>
            </w:r>
          </w:p>
          <w:p w14:paraId="0D6F539A" w14:textId="77777777" w:rsidR="008E788D" w:rsidRPr="00D55B59" w:rsidRDefault="008E788D" w:rsidP="00D47253">
            <w:pPr>
              <w:pStyle w:val="lbltxt"/>
              <w:rPr>
                <w:noProof w:val="0"/>
                <w:lang w:val="en-GB" w:eastAsia="ja-JP"/>
                <w:rPrChange w:id="4360" w:author="Author">
                  <w:rPr>
                    <w:lang w:val="en-US" w:eastAsia="ja-JP"/>
                  </w:rPr>
                </w:rPrChange>
              </w:rPr>
            </w:pPr>
            <w:r w:rsidRPr="00D55B59">
              <w:rPr>
                <w:bCs/>
                <w:noProof w:val="0"/>
                <w:szCs w:val="22"/>
                <w:lang w:val="en-GB"/>
                <w:rPrChange w:id="4361" w:author="Author">
                  <w:rPr>
                    <w:bCs/>
                    <w:noProof w:val="0"/>
                    <w:szCs w:val="22"/>
                  </w:rPr>
                </w:rPrChange>
              </w:rPr>
              <w:t xml:space="preserve">Tel: </w:t>
            </w:r>
            <w:r w:rsidRPr="00D55B59">
              <w:rPr>
                <w:noProof w:val="0"/>
                <w:lang w:val="en-GB" w:eastAsia="ja-JP"/>
                <w:rPrChange w:id="4362" w:author="Author">
                  <w:rPr>
                    <w:lang w:val="en-US" w:eastAsia="ja-JP"/>
                  </w:rPr>
                </w:rPrChange>
              </w:rPr>
              <w:t>+421 2 321 114 49</w:t>
            </w:r>
          </w:p>
          <w:p w14:paraId="02E6E283" w14:textId="77777777" w:rsidR="008E788D" w:rsidRPr="00D55B59" w:rsidRDefault="008E788D" w:rsidP="00D47253">
            <w:pPr>
              <w:pStyle w:val="lbltxt"/>
              <w:rPr>
                <w:noProof w:val="0"/>
                <w:szCs w:val="22"/>
                <w:lang w:val="en-GB"/>
                <w:rPrChange w:id="4363" w:author="Author">
                  <w:rPr>
                    <w:szCs w:val="22"/>
                  </w:rPr>
                </w:rPrChange>
              </w:rPr>
            </w:pPr>
          </w:p>
        </w:tc>
      </w:tr>
      <w:tr w:rsidR="008E788D" w:rsidRPr="00F04F82" w14:paraId="026434D9" w14:textId="77777777" w:rsidTr="00D47253">
        <w:trPr>
          <w:cantSplit/>
        </w:trPr>
        <w:tc>
          <w:tcPr>
            <w:tcW w:w="4677" w:type="dxa"/>
          </w:tcPr>
          <w:p w14:paraId="1C03B70F" w14:textId="77777777" w:rsidR="008E788D" w:rsidRPr="00D55B59" w:rsidRDefault="008E788D" w:rsidP="00D47253">
            <w:pPr>
              <w:pStyle w:val="lbltxt"/>
              <w:rPr>
                <w:noProof w:val="0"/>
                <w:szCs w:val="22"/>
                <w:lang w:val="es-ES"/>
                <w:rPrChange w:id="4364" w:author="Author">
                  <w:rPr>
                    <w:noProof w:val="0"/>
                    <w:szCs w:val="22"/>
                    <w:lang w:val="pt-PT"/>
                  </w:rPr>
                </w:rPrChange>
              </w:rPr>
            </w:pPr>
            <w:r w:rsidRPr="00D55B59">
              <w:rPr>
                <w:b/>
                <w:noProof w:val="0"/>
                <w:szCs w:val="22"/>
                <w:lang w:val="es-ES"/>
                <w:rPrChange w:id="4365" w:author="Author">
                  <w:rPr>
                    <w:b/>
                    <w:noProof w:val="0"/>
                    <w:szCs w:val="22"/>
                    <w:lang w:val="pt-PT"/>
                  </w:rPr>
                </w:rPrChange>
              </w:rPr>
              <w:t>Italia</w:t>
            </w:r>
          </w:p>
          <w:p w14:paraId="55928A8C" w14:textId="77777777" w:rsidR="008E788D" w:rsidRPr="00D55B59" w:rsidRDefault="008E788D" w:rsidP="00D47253">
            <w:pPr>
              <w:pStyle w:val="lbltxt"/>
              <w:rPr>
                <w:noProof w:val="0"/>
                <w:szCs w:val="22"/>
                <w:lang w:val="es-ES"/>
                <w:rPrChange w:id="4366" w:author="Author">
                  <w:rPr>
                    <w:noProof w:val="0"/>
                    <w:szCs w:val="22"/>
                    <w:lang w:val="pt-PT"/>
                  </w:rPr>
                </w:rPrChange>
              </w:rPr>
            </w:pPr>
            <w:r w:rsidRPr="00D55B59">
              <w:rPr>
                <w:noProof w:val="0"/>
                <w:szCs w:val="22"/>
                <w:lang w:val="es-ES"/>
                <w:rPrChange w:id="4367" w:author="Author">
                  <w:rPr>
                    <w:noProof w:val="0"/>
                    <w:szCs w:val="22"/>
                    <w:lang w:val="pt-PT"/>
                  </w:rPr>
                </w:rPrChange>
              </w:rPr>
              <w:t>Amgen S.r.l.</w:t>
            </w:r>
          </w:p>
          <w:p w14:paraId="71D9FD5D" w14:textId="77777777" w:rsidR="008E788D" w:rsidRPr="00D55B59" w:rsidRDefault="008E788D" w:rsidP="00D47253">
            <w:pPr>
              <w:pStyle w:val="lbltxt"/>
              <w:rPr>
                <w:noProof w:val="0"/>
                <w:szCs w:val="22"/>
                <w:lang w:val="en-GB"/>
                <w:rPrChange w:id="4368" w:author="Author">
                  <w:rPr>
                    <w:noProof w:val="0"/>
                    <w:szCs w:val="22"/>
                    <w:lang w:val="pt-PT"/>
                  </w:rPr>
                </w:rPrChange>
              </w:rPr>
            </w:pPr>
            <w:r w:rsidRPr="00D55B59">
              <w:rPr>
                <w:noProof w:val="0"/>
                <w:szCs w:val="22"/>
                <w:lang w:val="en-GB"/>
                <w:rPrChange w:id="4369" w:author="Author">
                  <w:rPr>
                    <w:noProof w:val="0"/>
                    <w:szCs w:val="22"/>
                    <w:lang w:val="pt-PT"/>
                  </w:rPr>
                </w:rPrChange>
              </w:rPr>
              <w:t>Tel: +39 02 6241121</w:t>
            </w:r>
          </w:p>
          <w:p w14:paraId="52D9D730" w14:textId="77777777" w:rsidR="008E788D" w:rsidRPr="00D55B59" w:rsidRDefault="008E788D" w:rsidP="00D47253">
            <w:pPr>
              <w:rPr>
                <w:szCs w:val="22"/>
                <w:rPrChange w:id="4370" w:author="Author">
                  <w:rPr>
                    <w:szCs w:val="22"/>
                    <w:lang w:val="pt-PT"/>
                  </w:rPr>
                </w:rPrChange>
              </w:rPr>
            </w:pPr>
          </w:p>
        </w:tc>
        <w:tc>
          <w:tcPr>
            <w:tcW w:w="4679" w:type="dxa"/>
          </w:tcPr>
          <w:p w14:paraId="0A2136C4" w14:textId="77777777" w:rsidR="008E788D" w:rsidRPr="00D55B59" w:rsidRDefault="008E788D" w:rsidP="00D47253">
            <w:pPr>
              <w:pStyle w:val="lbltxt"/>
              <w:rPr>
                <w:noProof w:val="0"/>
                <w:szCs w:val="22"/>
                <w:lang w:val="en-GB"/>
                <w:rPrChange w:id="4371" w:author="Author">
                  <w:rPr>
                    <w:noProof w:val="0"/>
                    <w:szCs w:val="22"/>
                    <w:lang w:val="sv-SE"/>
                  </w:rPr>
                </w:rPrChange>
              </w:rPr>
            </w:pPr>
            <w:r w:rsidRPr="00D55B59">
              <w:rPr>
                <w:b/>
                <w:noProof w:val="0"/>
                <w:szCs w:val="22"/>
                <w:lang w:val="en-GB"/>
                <w:rPrChange w:id="4372" w:author="Author">
                  <w:rPr>
                    <w:b/>
                    <w:noProof w:val="0"/>
                    <w:szCs w:val="22"/>
                    <w:lang w:val="sv-SE"/>
                  </w:rPr>
                </w:rPrChange>
              </w:rPr>
              <w:t>Suomi/Finland</w:t>
            </w:r>
          </w:p>
          <w:p w14:paraId="711ED336" w14:textId="77777777" w:rsidR="009C222E" w:rsidRPr="00D55B59" w:rsidRDefault="009C222E" w:rsidP="009C222E">
            <w:pPr>
              <w:pStyle w:val="lbltxt"/>
              <w:rPr>
                <w:noProof w:val="0"/>
                <w:szCs w:val="22"/>
                <w:lang w:val="en-GB"/>
                <w:rPrChange w:id="4373" w:author="Author">
                  <w:rPr>
                    <w:szCs w:val="22"/>
                    <w:lang w:val="nl-NL"/>
                  </w:rPr>
                </w:rPrChange>
              </w:rPr>
            </w:pPr>
            <w:r w:rsidRPr="00D55B59">
              <w:rPr>
                <w:noProof w:val="0"/>
                <w:szCs w:val="22"/>
                <w:lang w:val="en-GB"/>
                <w:rPrChange w:id="4374" w:author="Author">
                  <w:rPr>
                    <w:szCs w:val="22"/>
                    <w:lang w:val="nl-NL"/>
                  </w:rPr>
                </w:rPrChange>
              </w:rPr>
              <w:t>Amgen AB, sivuliike Suomessa/Amgen AB, filial i Finland</w:t>
            </w:r>
          </w:p>
          <w:p w14:paraId="0B4FDB23" w14:textId="29D9DC56" w:rsidR="008E788D" w:rsidRPr="00D55B59" w:rsidRDefault="009C222E" w:rsidP="00D47253">
            <w:pPr>
              <w:rPr>
                <w:szCs w:val="22"/>
                <w:rPrChange w:id="4375" w:author="Author">
                  <w:rPr>
                    <w:szCs w:val="22"/>
                    <w:lang w:val="fr-CH"/>
                  </w:rPr>
                </w:rPrChange>
              </w:rPr>
            </w:pPr>
            <w:r w:rsidRPr="00D55B59">
              <w:rPr>
                <w:szCs w:val="22"/>
                <w:rPrChange w:id="4376" w:author="Author">
                  <w:rPr>
                    <w:szCs w:val="22"/>
                    <w:lang w:val="nl-NL"/>
                  </w:rPr>
                </w:rPrChange>
              </w:rPr>
              <w:t>Puh/Tel: +358 (0)9 54900500</w:t>
            </w:r>
          </w:p>
          <w:p w14:paraId="24D45F99" w14:textId="77777777" w:rsidR="009C222E" w:rsidRPr="00D55B59" w:rsidRDefault="009C222E" w:rsidP="00D47253">
            <w:pPr>
              <w:rPr>
                <w:szCs w:val="22"/>
                <w:rPrChange w:id="4377" w:author="Author">
                  <w:rPr>
                    <w:szCs w:val="22"/>
                    <w:lang w:val="fr-CH"/>
                  </w:rPr>
                </w:rPrChange>
              </w:rPr>
            </w:pPr>
          </w:p>
        </w:tc>
      </w:tr>
      <w:tr w:rsidR="008E788D" w:rsidRPr="00F04F82" w14:paraId="44C8E0A6" w14:textId="77777777" w:rsidTr="00D47253">
        <w:trPr>
          <w:cantSplit/>
        </w:trPr>
        <w:tc>
          <w:tcPr>
            <w:tcW w:w="4677" w:type="dxa"/>
          </w:tcPr>
          <w:p w14:paraId="594C0827" w14:textId="77777777" w:rsidR="008E788D" w:rsidRPr="00D55B59" w:rsidRDefault="008E788D" w:rsidP="00D47253">
            <w:pPr>
              <w:pStyle w:val="lbltxt"/>
              <w:rPr>
                <w:b/>
                <w:noProof w:val="0"/>
                <w:szCs w:val="22"/>
                <w:lang w:val="en-GB"/>
                <w:rPrChange w:id="4378" w:author="Author">
                  <w:rPr>
                    <w:b/>
                    <w:noProof w:val="0"/>
                    <w:szCs w:val="22"/>
                  </w:rPr>
                </w:rPrChange>
              </w:rPr>
            </w:pPr>
            <w:r w:rsidRPr="00D55B59">
              <w:rPr>
                <w:b/>
                <w:noProof w:val="0"/>
                <w:szCs w:val="22"/>
                <w:lang w:val="en-GB"/>
                <w:rPrChange w:id="4379" w:author="Author">
                  <w:rPr>
                    <w:b/>
                    <w:noProof w:val="0"/>
                    <w:szCs w:val="22"/>
                  </w:rPr>
                </w:rPrChange>
              </w:rPr>
              <w:t>Kύπρος</w:t>
            </w:r>
          </w:p>
          <w:p w14:paraId="54E19729" w14:textId="77777777" w:rsidR="008E788D" w:rsidRPr="001775D9" w:rsidRDefault="008E788D" w:rsidP="00D47253">
            <w:pPr>
              <w:rPr>
                <w:szCs w:val="22"/>
              </w:rPr>
            </w:pPr>
            <w:r w:rsidRPr="001775D9">
              <w:rPr>
                <w:szCs w:val="22"/>
              </w:rPr>
              <w:t>C.A. Papaellinas Ltd</w:t>
            </w:r>
          </w:p>
          <w:p w14:paraId="6D70EC50" w14:textId="77777777" w:rsidR="008E788D" w:rsidRPr="00D55B59" w:rsidRDefault="008E788D" w:rsidP="00D47253">
            <w:pPr>
              <w:pStyle w:val="lbltxt"/>
              <w:rPr>
                <w:noProof w:val="0"/>
                <w:szCs w:val="22"/>
                <w:lang w:val="en-GB"/>
                <w:rPrChange w:id="4380" w:author="Author">
                  <w:rPr>
                    <w:noProof w:val="0"/>
                    <w:szCs w:val="22"/>
                  </w:rPr>
                </w:rPrChange>
              </w:rPr>
            </w:pPr>
            <w:r w:rsidRPr="00D55B59">
              <w:rPr>
                <w:noProof w:val="0"/>
                <w:szCs w:val="22"/>
                <w:lang w:val="en-GB"/>
                <w:rPrChange w:id="4381" w:author="Author">
                  <w:rPr>
                    <w:noProof w:val="0"/>
                    <w:szCs w:val="22"/>
                  </w:rPr>
                </w:rPrChange>
              </w:rPr>
              <w:t>Τηλ: +357 22741 741</w:t>
            </w:r>
          </w:p>
          <w:p w14:paraId="2026B2E6" w14:textId="77777777" w:rsidR="008E788D" w:rsidRPr="001775D9" w:rsidRDefault="008E788D" w:rsidP="00D47253">
            <w:pPr>
              <w:rPr>
                <w:szCs w:val="22"/>
              </w:rPr>
            </w:pPr>
          </w:p>
        </w:tc>
        <w:tc>
          <w:tcPr>
            <w:tcW w:w="4679" w:type="dxa"/>
          </w:tcPr>
          <w:p w14:paraId="07A9E285" w14:textId="77777777" w:rsidR="008E788D" w:rsidRPr="00D55B59" w:rsidRDefault="008E788D" w:rsidP="00D47253">
            <w:pPr>
              <w:pStyle w:val="lbltxt"/>
              <w:rPr>
                <w:noProof w:val="0"/>
                <w:szCs w:val="22"/>
                <w:lang w:val="en-GB"/>
                <w:rPrChange w:id="4382" w:author="Author">
                  <w:rPr>
                    <w:noProof w:val="0"/>
                    <w:szCs w:val="22"/>
                  </w:rPr>
                </w:rPrChange>
              </w:rPr>
            </w:pPr>
            <w:r w:rsidRPr="00D55B59">
              <w:rPr>
                <w:b/>
                <w:noProof w:val="0"/>
                <w:szCs w:val="22"/>
                <w:lang w:val="en-GB"/>
                <w:rPrChange w:id="4383" w:author="Author">
                  <w:rPr>
                    <w:b/>
                    <w:noProof w:val="0"/>
                    <w:szCs w:val="22"/>
                  </w:rPr>
                </w:rPrChange>
              </w:rPr>
              <w:t>Sverige</w:t>
            </w:r>
          </w:p>
          <w:p w14:paraId="1B63CE4D" w14:textId="77777777" w:rsidR="008E788D" w:rsidRPr="00D55B59" w:rsidRDefault="008E788D" w:rsidP="00D47253">
            <w:pPr>
              <w:pStyle w:val="lbltxt"/>
              <w:rPr>
                <w:noProof w:val="0"/>
                <w:szCs w:val="22"/>
                <w:lang w:val="en-GB"/>
                <w:rPrChange w:id="4384" w:author="Author">
                  <w:rPr>
                    <w:noProof w:val="0"/>
                    <w:szCs w:val="22"/>
                  </w:rPr>
                </w:rPrChange>
              </w:rPr>
            </w:pPr>
            <w:r w:rsidRPr="00D55B59">
              <w:rPr>
                <w:noProof w:val="0"/>
                <w:szCs w:val="22"/>
                <w:lang w:val="en-GB"/>
                <w:rPrChange w:id="4385" w:author="Author">
                  <w:rPr>
                    <w:noProof w:val="0"/>
                    <w:szCs w:val="22"/>
                  </w:rPr>
                </w:rPrChange>
              </w:rPr>
              <w:t xml:space="preserve">Amgen AB </w:t>
            </w:r>
          </w:p>
          <w:p w14:paraId="5EEE2C79" w14:textId="77777777" w:rsidR="008E788D" w:rsidRPr="00D55B59" w:rsidRDefault="008E788D" w:rsidP="00D47253">
            <w:pPr>
              <w:pStyle w:val="lbltxt"/>
              <w:rPr>
                <w:noProof w:val="0"/>
                <w:szCs w:val="22"/>
                <w:lang w:val="en-GB"/>
                <w:rPrChange w:id="4386" w:author="Author">
                  <w:rPr>
                    <w:noProof w:val="0"/>
                    <w:szCs w:val="22"/>
                  </w:rPr>
                </w:rPrChange>
              </w:rPr>
            </w:pPr>
            <w:r w:rsidRPr="00D55B59">
              <w:rPr>
                <w:noProof w:val="0"/>
                <w:szCs w:val="22"/>
                <w:lang w:val="en-GB"/>
                <w:rPrChange w:id="4387" w:author="Author">
                  <w:rPr>
                    <w:noProof w:val="0"/>
                    <w:szCs w:val="22"/>
                  </w:rPr>
                </w:rPrChange>
              </w:rPr>
              <w:t>Tel: +46 (0)8 6951100</w:t>
            </w:r>
          </w:p>
          <w:p w14:paraId="722D0940" w14:textId="77777777" w:rsidR="008E788D" w:rsidRPr="001775D9" w:rsidRDefault="008E788D" w:rsidP="00D47253">
            <w:pPr>
              <w:rPr>
                <w:szCs w:val="22"/>
              </w:rPr>
            </w:pPr>
          </w:p>
        </w:tc>
      </w:tr>
      <w:tr w:rsidR="008E788D" w:rsidRPr="00F04F82" w14:paraId="14260096" w14:textId="77777777" w:rsidTr="00D47253">
        <w:trPr>
          <w:cantSplit/>
        </w:trPr>
        <w:tc>
          <w:tcPr>
            <w:tcW w:w="4677" w:type="dxa"/>
          </w:tcPr>
          <w:p w14:paraId="695F18A5" w14:textId="77777777" w:rsidR="008E788D" w:rsidRPr="00D55B59" w:rsidRDefault="008E788D" w:rsidP="00D47253">
            <w:pPr>
              <w:pStyle w:val="lbltxt"/>
              <w:rPr>
                <w:b/>
                <w:bCs/>
                <w:noProof w:val="0"/>
                <w:szCs w:val="22"/>
                <w:lang w:val="de-DE"/>
                <w:rPrChange w:id="4388" w:author="Author">
                  <w:rPr>
                    <w:b/>
                    <w:bCs/>
                    <w:noProof w:val="0"/>
                    <w:szCs w:val="22"/>
                    <w:lang w:val="nl-NL"/>
                  </w:rPr>
                </w:rPrChange>
              </w:rPr>
            </w:pPr>
            <w:r w:rsidRPr="00D55B59">
              <w:rPr>
                <w:b/>
                <w:bCs/>
                <w:noProof w:val="0"/>
                <w:szCs w:val="22"/>
                <w:lang w:val="de-DE"/>
                <w:rPrChange w:id="4389" w:author="Author">
                  <w:rPr>
                    <w:b/>
                    <w:bCs/>
                    <w:noProof w:val="0"/>
                    <w:szCs w:val="22"/>
                    <w:lang w:val="nl-NL"/>
                  </w:rPr>
                </w:rPrChange>
              </w:rPr>
              <w:t>Latvija</w:t>
            </w:r>
          </w:p>
          <w:p w14:paraId="004151B4" w14:textId="77777777" w:rsidR="008E788D" w:rsidRPr="00D55B59" w:rsidRDefault="008E788D" w:rsidP="00D47253">
            <w:pPr>
              <w:pStyle w:val="lbltxt"/>
              <w:rPr>
                <w:noProof w:val="0"/>
                <w:szCs w:val="22"/>
                <w:lang w:val="de-DE"/>
                <w:rPrChange w:id="4390" w:author="Author">
                  <w:rPr>
                    <w:noProof w:val="0"/>
                    <w:szCs w:val="22"/>
                    <w:lang w:val="nl-NL"/>
                  </w:rPr>
                </w:rPrChange>
              </w:rPr>
            </w:pPr>
            <w:r w:rsidRPr="00D55B59">
              <w:rPr>
                <w:noProof w:val="0"/>
                <w:szCs w:val="22"/>
                <w:lang w:val="de-DE"/>
                <w:rPrChange w:id="4391" w:author="Author">
                  <w:rPr>
                    <w:noProof w:val="0"/>
                    <w:szCs w:val="22"/>
                    <w:lang w:val="nl-NL"/>
                  </w:rPr>
                </w:rPrChange>
              </w:rPr>
              <w:t>Amgen Switzerland AG Rīgas filiāle</w:t>
            </w:r>
          </w:p>
          <w:p w14:paraId="64E81F1C" w14:textId="77777777" w:rsidR="008E788D" w:rsidRPr="00D55B59" w:rsidRDefault="008E788D" w:rsidP="00D47253">
            <w:pPr>
              <w:pStyle w:val="lbltxt"/>
              <w:rPr>
                <w:noProof w:val="0"/>
                <w:szCs w:val="22"/>
                <w:lang w:val="en-GB"/>
                <w:rPrChange w:id="4392" w:author="Author">
                  <w:rPr>
                    <w:noProof w:val="0"/>
                    <w:szCs w:val="22"/>
                  </w:rPr>
                </w:rPrChange>
              </w:rPr>
            </w:pPr>
            <w:r w:rsidRPr="00D55B59">
              <w:rPr>
                <w:bCs/>
                <w:noProof w:val="0"/>
                <w:szCs w:val="22"/>
                <w:lang w:val="en-GB"/>
                <w:rPrChange w:id="4393" w:author="Author">
                  <w:rPr>
                    <w:bCs/>
                    <w:noProof w:val="0"/>
                    <w:szCs w:val="22"/>
                  </w:rPr>
                </w:rPrChange>
              </w:rPr>
              <w:t>Tel: +</w:t>
            </w:r>
            <w:r w:rsidRPr="00D55B59">
              <w:rPr>
                <w:noProof w:val="0"/>
                <w:szCs w:val="22"/>
                <w:lang w:val="en-GB"/>
                <w:rPrChange w:id="4394" w:author="Author">
                  <w:rPr>
                    <w:noProof w:val="0"/>
                    <w:szCs w:val="22"/>
                  </w:rPr>
                </w:rPrChange>
              </w:rPr>
              <w:t>371 257 25888</w:t>
            </w:r>
          </w:p>
          <w:p w14:paraId="37FE6245" w14:textId="77777777" w:rsidR="008E788D" w:rsidRPr="001775D9" w:rsidRDefault="008E788D" w:rsidP="00D47253">
            <w:pPr>
              <w:rPr>
                <w:szCs w:val="22"/>
              </w:rPr>
            </w:pPr>
          </w:p>
        </w:tc>
        <w:tc>
          <w:tcPr>
            <w:tcW w:w="4679" w:type="dxa"/>
          </w:tcPr>
          <w:p w14:paraId="735161E8" w14:textId="77777777" w:rsidR="008E788D" w:rsidRPr="00D55B59" w:rsidRDefault="008E788D" w:rsidP="00452AE6">
            <w:pPr>
              <w:pStyle w:val="lbltxt"/>
              <w:rPr>
                <w:noProof w:val="0"/>
                <w:szCs w:val="22"/>
                <w:lang w:val="en-GB"/>
                <w:rPrChange w:id="4395" w:author="Author">
                  <w:rPr>
                    <w:szCs w:val="22"/>
                  </w:rPr>
                </w:rPrChange>
              </w:rPr>
            </w:pPr>
          </w:p>
        </w:tc>
      </w:tr>
    </w:tbl>
    <w:p w14:paraId="10F14559" w14:textId="77777777" w:rsidR="008E788D" w:rsidRPr="001775D9" w:rsidRDefault="008E788D" w:rsidP="00B61D9D">
      <w:pPr>
        <w:spacing w:line="240" w:lineRule="auto"/>
        <w:rPr>
          <w:szCs w:val="22"/>
        </w:rPr>
      </w:pPr>
    </w:p>
    <w:p w14:paraId="12FE2C6B" w14:textId="226B5FA8" w:rsidR="008E788D" w:rsidRPr="001775D9" w:rsidRDefault="008E788D" w:rsidP="006A71EE">
      <w:pPr>
        <w:numPr>
          <w:ilvl w:val="12"/>
          <w:numId w:val="0"/>
        </w:numPr>
        <w:tabs>
          <w:tab w:val="clear" w:pos="567"/>
        </w:tabs>
        <w:spacing w:line="240" w:lineRule="auto"/>
        <w:ind w:right="-2"/>
        <w:outlineLvl w:val="0"/>
        <w:rPr>
          <w:szCs w:val="22"/>
        </w:rPr>
      </w:pPr>
      <w:r w:rsidRPr="001775D9">
        <w:rPr>
          <w:b/>
          <w:szCs w:val="22"/>
        </w:rPr>
        <w:t xml:space="preserve">This leaflet was last </w:t>
      </w:r>
      <w:r w:rsidRPr="001775D9">
        <w:rPr>
          <w:b/>
        </w:rPr>
        <w:t>revised in</w:t>
      </w:r>
      <w:r w:rsidR="001C55FB" w:rsidRPr="001775D9">
        <w:rPr>
          <w:b/>
        </w:rPr>
        <w:fldChar w:fldCharType="begin"/>
      </w:r>
      <w:r w:rsidR="001C55FB" w:rsidRPr="001775D9">
        <w:rPr>
          <w:b/>
        </w:rPr>
        <w:instrText xml:space="preserve"> DOCVARIABLE vault_nd_3d7eba98-46bb-4be3-9a02-fe75c3187ac3 \* MERGEFORMAT </w:instrText>
      </w:r>
      <w:r w:rsidR="001C55FB" w:rsidRPr="001775D9">
        <w:rPr>
          <w:b/>
        </w:rPr>
        <w:fldChar w:fldCharType="separate"/>
      </w:r>
      <w:r w:rsidR="001C55FB" w:rsidRPr="001775D9">
        <w:rPr>
          <w:b/>
        </w:rPr>
        <w:t xml:space="preserve"> </w:t>
      </w:r>
      <w:r w:rsidR="001C55FB" w:rsidRPr="001775D9">
        <w:rPr>
          <w:b/>
        </w:rPr>
        <w:fldChar w:fldCharType="end"/>
      </w:r>
    </w:p>
    <w:p w14:paraId="3BFACA7B" w14:textId="77777777" w:rsidR="008E788D" w:rsidRPr="001775D9" w:rsidRDefault="008E788D" w:rsidP="006A71EE">
      <w:pPr>
        <w:numPr>
          <w:ilvl w:val="12"/>
          <w:numId w:val="0"/>
        </w:numPr>
        <w:spacing w:line="240" w:lineRule="auto"/>
        <w:ind w:right="-2"/>
        <w:rPr>
          <w:szCs w:val="22"/>
        </w:rPr>
      </w:pPr>
    </w:p>
    <w:p w14:paraId="1F36A0B6" w14:textId="77777777" w:rsidR="008E788D" w:rsidRPr="001775D9" w:rsidRDefault="008E788D" w:rsidP="006A71EE">
      <w:pPr>
        <w:numPr>
          <w:ilvl w:val="12"/>
          <w:numId w:val="0"/>
        </w:numPr>
        <w:tabs>
          <w:tab w:val="clear" w:pos="567"/>
        </w:tabs>
        <w:spacing w:line="240" w:lineRule="auto"/>
        <w:ind w:right="-2"/>
        <w:rPr>
          <w:b/>
        </w:rPr>
      </w:pPr>
      <w:r w:rsidRPr="001775D9">
        <w:rPr>
          <w:b/>
        </w:rPr>
        <w:t>Other sources of information</w:t>
      </w:r>
    </w:p>
    <w:p w14:paraId="0DC0194C" w14:textId="77777777" w:rsidR="008E788D" w:rsidRPr="001775D9" w:rsidRDefault="008E788D" w:rsidP="006A71EE">
      <w:pPr>
        <w:numPr>
          <w:ilvl w:val="12"/>
          <w:numId w:val="0"/>
        </w:numPr>
        <w:spacing w:line="240" w:lineRule="auto"/>
        <w:ind w:right="-2"/>
      </w:pPr>
    </w:p>
    <w:p w14:paraId="1D972E69" w14:textId="77777777" w:rsidR="008E788D" w:rsidRPr="001775D9" w:rsidRDefault="008E788D" w:rsidP="006A71EE">
      <w:pPr>
        <w:numPr>
          <w:ilvl w:val="12"/>
          <w:numId w:val="0"/>
        </w:numPr>
        <w:spacing w:line="240" w:lineRule="auto"/>
        <w:ind w:right="-2"/>
        <w:rPr>
          <w:szCs w:val="22"/>
        </w:rPr>
      </w:pPr>
      <w:r w:rsidRPr="001775D9">
        <w:t xml:space="preserve">Detailed information on this medicine is available on the European Medicines Agency web site: </w:t>
      </w:r>
      <w:hyperlink r:id="rId64" w:history="1">
        <w:r w:rsidRPr="001775D9">
          <w:rPr>
            <w:rStyle w:val="Hyperlink"/>
            <w:szCs w:val="22"/>
          </w:rPr>
          <w:t>http://www.ema.europa.eu</w:t>
        </w:r>
      </w:hyperlink>
      <w:r w:rsidRPr="001775D9">
        <w:rPr>
          <w:szCs w:val="22"/>
        </w:rPr>
        <w:t>.</w:t>
      </w:r>
    </w:p>
    <w:p w14:paraId="4BDC35A8" w14:textId="77777777" w:rsidR="008E788D" w:rsidRPr="001775D9" w:rsidRDefault="008E788D" w:rsidP="008E788D">
      <w:pPr>
        <w:pageBreakBefore/>
        <w:tabs>
          <w:tab w:val="clear" w:pos="567"/>
        </w:tabs>
        <w:spacing w:line="240" w:lineRule="auto"/>
        <w:jc w:val="center"/>
        <w:outlineLvl w:val="0"/>
        <w:rPr>
          <w:b/>
        </w:rPr>
      </w:pPr>
    </w:p>
    <w:tbl>
      <w:tblPr>
        <w:tblpPr w:leftFromText="141" w:rightFromText="141" w:vertAnchor="text" w:tblpX="108" w:tblpY="1"/>
        <w:tblOverlap w:val="neve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0"/>
        <w:gridCol w:w="2607"/>
        <w:gridCol w:w="3041"/>
      </w:tblGrid>
      <w:tr w:rsidR="008E788D" w:rsidRPr="00F04F82" w14:paraId="48F1FE51" w14:textId="77777777" w:rsidTr="006A0775">
        <w:trPr>
          <w:cantSplit/>
          <w:trHeight w:val="57"/>
        </w:trPr>
        <w:tc>
          <w:tcPr>
            <w:tcW w:w="5000" w:type="pct"/>
            <w:gridSpan w:val="3"/>
            <w:tcBorders>
              <w:top w:val="single" w:sz="4" w:space="0" w:color="000000"/>
              <w:left w:val="single" w:sz="4" w:space="0" w:color="auto"/>
              <w:bottom w:val="single" w:sz="4" w:space="0" w:color="auto"/>
              <w:right w:val="single" w:sz="4" w:space="0" w:color="auto"/>
            </w:tcBorders>
            <w:hideMark/>
          </w:tcPr>
          <w:p w14:paraId="5A033AC2" w14:textId="77777777" w:rsidR="008E788D" w:rsidRPr="001775D9" w:rsidRDefault="008E788D" w:rsidP="00D47253">
            <w:pPr>
              <w:keepNext/>
              <w:keepLines/>
              <w:spacing w:line="240" w:lineRule="auto"/>
              <w:jc w:val="center"/>
              <w:rPr>
                <w:b/>
                <w:bCs/>
              </w:rPr>
            </w:pPr>
            <w:r w:rsidRPr="001775D9">
              <w:rPr>
                <w:b/>
                <w:bCs/>
              </w:rPr>
              <w:t>INSTRUCTIONS FOR USE</w:t>
            </w:r>
          </w:p>
        </w:tc>
      </w:tr>
      <w:tr w:rsidR="008E788D" w:rsidRPr="00F04F82" w14:paraId="18060779" w14:textId="77777777" w:rsidTr="00D47253">
        <w:trPr>
          <w:cantSplit/>
          <w:trHeight w:val="57"/>
        </w:trPr>
        <w:tc>
          <w:tcPr>
            <w:tcW w:w="5000" w:type="pct"/>
            <w:gridSpan w:val="3"/>
            <w:tcBorders>
              <w:top w:val="single" w:sz="4" w:space="0" w:color="auto"/>
              <w:left w:val="nil"/>
              <w:bottom w:val="single" w:sz="4" w:space="0" w:color="auto"/>
              <w:right w:val="nil"/>
            </w:tcBorders>
          </w:tcPr>
          <w:p w14:paraId="06B63B1A" w14:textId="77777777" w:rsidR="008E788D" w:rsidRPr="001775D9" w:rsidRDefault="008E788D" w:rsidP="00D47253">
            <w:pPr>
              <w:keepNext/>
              <w:keepLines/>
              <w:jc w:val="center"/>
              <w:rPr>
                <w:bCs/>
              </w:rPr>
            </w:pPr>
          </w:p>
        </w:tc>
      </w:tr>
      <w:tr w:rsidR="008E788D" w:rsidRPr="00F04F82" w14:paraId="15D785D4" w14:textId="77777777" w:rsidTr="00D47253">
        <w:trPr>
          <w:cantSplit/>
          <w:trHeight w:val="57"/>
        </w:trPr>
        <w:tc>
          <w:tcPr>
            <w:tcW w:w="5000" w:type="pct"/>
            <w:gridSpan w:val="3"/>
            <w:tcBorders>
              <w:top w:val="single" w:sz="4" w:space="0" w:color="auto"/>
              <w:left w:val="single" w:sz="4" w:space="0" w:color="auto"/>
              <w:bottom w:val="single" w:sz="4" w:space="0" w:color="auto"/>
              <w:right w:val="single" w:sz="4" w:space="0" w:color="auto"/>
            </w:tcBorders>
            <w:hideMark/>
          </w:tcPr>
          <w:p w14:paraId="3A597B2F" w14:textId="77777777" w:rsidR="008E788D" w:rsidRPr="001775D9" w:rsidRDefault="008E788D" w:rsidP="00D47253">
            <w:pPr>
              <w:keepNext/>
              <w:keepLines/>
            </w:pPr>
            <w:r w:rsidRPr="001775D9">
              <w:rPr>
                <w:bCs/>
              </w:rPr>
              <w:t>Getting to know your pre-filled syringe</w:t>
            </w:r>
          </w:p>
        </w:tc>
      </w:tr>
      <w:tr w:rsidR="008E788D" w:rsidRPr="00F04F82" w14:paraId="16668EFF" w14:textId="77777777" w:rsidTr="00D47253">
        <w:trPr>
          <w:cantSplit/>
          <w:trHeight w:val="57"/>
        </w:trPr>
        <w:tc>
          <w:tcPr>
            <w:tcW w:w="1865" w:type="pct"/>
            <w:tcBorders>
              <w:top w:val="single" w:sz="4" w:space="0" w:color="auto"/>
              <w:left w:val="single" w:sz="4" w:space="0" w:color="auto"/>
              <w:bottom w:val="single" w:sz="4" w:space="0" w:color="auto"/>
              <w:right w:val="nil"/>
            </w:tcBorders>
            <w:hideMark/>
          </w:tcPr>
          <w:tbl>
            <w:tblPr>
              <w:tblW w:w="1770" w:type="dxa"/>
              <w:tblInd w:w="1288" w:type="dxa"/>
              <w:tblCellMar>
                <w:left w:w="0" w:type="dxa"/>
                <w:right w:w="113" w:type="dxa"/>
              </w:tblCellMar>
              <w:tblLook w:val="04A0" w:firstRow="1" w:lastRow="0" w:firstColumn="1" w:lastColumn="0" w:noHBand="0" w:noVBand="1"/>
            </w:tblPr>
            <w:tblGrid>
              <w:gridCol w:w="1770"/>
            </w:tblGrid>
            <w:tr w:rsidR="008E788D" w:rsidRPr="00F04F82" w14:paraId="162BAE29" w14:textId="77777777" w:rsidTr="00D47253">
              <w:trPr>
                <w:trHeight w:val="124"/>
              </w:trPr>
              <w:tc>
                <w:tcPr>
                  <w:tcW w:w="1763" w:type="dxa"/>
                </w:tcPr>
                <w:p w14:paraId="0835E1FF" w14:textId="77777777" w:rsidR="008E788D" w:rsidRPr="001775D9" w:rsidRDefault="008E788D" w:rsidP="00D47253">
                  <w:pPr>
                    <w:framePr w:hSpace="141" w:wrap="around" w:vAnchor="text" w:hAnchor="text" w:x="108" w:y="1"/>
                    <w:suppressOverlap/>
                    <w:jc w:val="center"/>
                    <w:rPr>
                      <w:sz w:val="2"/>
                      <w:szCs w:val="2"/>
                    </w:rPr>
                  </w:pPr>
                </w:p>
              </w:tc>
            </w:tr>
            <w:tr w:rsidR="008E788D" w:rsidRPr="00F04F82" w14:paraId="35F90D5E" w14:textId="77777777" w:rsidTr="00D47253">
              <w:trPr>
                <w:trHeight w:val="990"/>
              </w:trPr>
              <w:tc>
                <w:tcPr>
                  <w:tcW w:w="1763" w:type="dxa"/>
                </w:tcPr>
                <w:p w14:paraId="24C5090D" w14:textId="77777777" w:rsidR="008E788D" w:rsidRPr="001775D9" w:rsidRDefault="008E788D" w:rsidP="00D47253">
                  <w:pPr>
                    <w:framePr w:hSpace="141" w:wrap="around" w:vAnchor="text" w:hAnchor="text" w:x="108" w:y="1"/>
                    <w:suppressOverlap/>
                    <w:jc w:val="right"/>
                  </w:pPr>
                </w:p>
              </w:tc>
            </w:tr>
            <w:tr w:rsidR="008E788D" w:rsidRPr="00F04F82" w14:paraId="63637D0F" w14:textId="77777777" w:rsidTr="00D47253">
              <w:trPr>
                <w:trHeight w:val="852"/>
              </w:trPr>
              <w:tc>
                <w:tcPr>
                  <w:tcW w:w="1763" w:type="dxa"/>
                  <w:hideMark/>
                </w:tcPr>
                <w:p w14:paraId="2E829A3A" w14:textId="77777777" w:rsidR="008E788D" w:rsidRPr="001775D9" w:rsidRDefault="008E788D" w:rsidP="00D47253">
                  <w:pPr>
                    <w:framePr w:hSpace="141" w:wrap="around" w:vAnchor="text" w:hAnchor="text" w:x="108" w:y="1"/>
                    <w:suppressOverlap/>
                    <w:jc w:val="right"/>
                  </w:pPr>
                  <w:r w:rsidRPr="001775D9">
                    <w:t>Plunger rod</w:t>
                  </w:r>
                </w:p>
              </w:tc>
            </w:tr>
            <w:tr w:rsidR="008E788D" w:rsidRPr="00F04F82" w14:paraId="6D8D7898" w14:textId="77777777" w:rsidTr="00D47253">
              <w:trPr>
                <w:trHeight w:val="594"/>
              </w:trPr>
              <w:tc>
                <w:tcPr>
                  <w:tcW w:w="1763" w:type="dxa"/>
                  <w:hideMark/>
                </w:tcPr>
                <w:p w14:paraId="7AC1880E" w14:textId="034E62EE" w:rsidR="008E788D" w:rsidRPr="001775D9" w:rsidRDefault="008E788D" w:rsidP="00D47253">
                  <w:pPr>
                    <w:framePr w:hSpace="141" w:wrap="around" w:vAnchor="text" w:hAnchor="text" w:x="108" w:y="1"/>
                    <w:suppressOverlap/>
                    <w:jc w:val="right"/>
                  </w:pPr>
                  <w:r w:rsidRPr="001775D9">
                    <w:t>Expir</w:t>
                  </w:r>
                  <w:r w:rsidR="00966A19" w:rsidRPr="001775D9">
                    <w:t>y</w:t>
                  </w:r>
                  <w:r w:rsidRPr="001775D9">
                    <w:t xml:space="preserve"> date</w:t>
                  </w:r>
                </w:p>
              </w:tc>
            </w:tr>
            <w:tr w:rsidR="008E788D" w:rsidRPr="00F04F82" w14:paraId="7EA58448" w14:textId="77777777" w:rsidTr="00D47253">
              <w:trPr>
                <w:trHeight w:val="972"/>
              </w:trPr>
              <w:tc>
                <w:tcPr>
                  <w:tcW w:w="1763" w:type="dxa"/>
                  <w:hideMark/>
                </w:tcPr>
                <w:p w14:paraId="675854A1" w14:textId="77777777" w:rsidR="008E788D" w:rsidRPr="001775D9" w:rsidRDefault="008E788D" w:rsidP="00D47253">
                  <w:pPr>
                    <w:framePr w:hSpace="141" w:wrap="around" w:vAnchor="text" w:hAnchor="text" w:x="108" w:y="1"/>
                    <w:suppressOverlap/>
                    <w:jc w:val="right"/>
                  </w:pPr>
                  <w:r w:rsidRPr="001775D9">
                    <w:t>Syringe</w:t>
                  </w:r>
                </w:p>
                <w:p w14:paraId="42B3969B" w14:textId="77777777" w:rsidR="008E788D" w:rsidRPr="001775D9" w:rsidRDefault="008E788D" w:rsidP="00D47253">
                  <w:pPr>
                    <w:framePr w:hSpace="141" w:wrap="around" w:vAnchor="text" w:hAnchor="text" w:x="108" w:y="1"/>
                    <w:suppressOverlap/>
                    <w:jc w:val="right"/>
                  </w:pPr>
                  <w:r w:rsidRPr="001775D9">
                    <w:t>body</w:t>
                  </w:r>
                </w:p>
              </w:tc>
            </w:tr>
            <w:tr w:rsidR="008E788D" w:rsidRPr="00F04F82" w14:paraId="04C5B0B5" w14:textId="77777777" w:rsidTr="00D47253">
              <w:trPr>
                <w:trHeight w:val="1128"/>
              </w:trPr>
              <w:tc>
                <w:tcPr>
                  <w:tcW w:w="1763" w:type="dxa"/>
                  <w:hideMark/>
                </w:tcPr>
                <w:p w14:paraId="2ED0C567" w14:textId="77777777" w:rsidR="008E788D" w:rsidRPr="001775D9" w:rsidRDefault="008E788D" w:rsidP="00D47253">
                  <w:pPr>
                    <w:framePr w:hSpace="141" w:wrap="around" w:vAnchor="text" w:hAnchor="text" w:x="108" w:y="1"/>
                    <w:suppressOverlap/>
                    <w:jc w:val="right"/>
                  </w:pPr>
                  <w:r w:rsidRPr="001775D9">
                    <w:t>Needle cap</w:t>
                  </w:r>
                </w:p>
                <w:p w14:paraId="1A31D504" w14:textId="77777777" w:rsidR="008E788D" w:rsidRPr="001775D9" w:rsidRDefault="008E788D" w:rsidP="00D47253">
                  <w:pPr>
                    <w:framePr w:hSpace="141" w:wrap="around" w:vAnchor="text" w:hAnchor="text" w:x="108" w:y="1"/>
                    <w:suppressOverlap/>
                    <w:jc w:val="right"/>
                  </w:pPr>
                  <w:r w:rsidRPr="001775D9">
                    <w:t>(needle inside)</w:t>
                  </w:r>
                </w:p>
              </w:tc>
            </w:tr>
          </w:tbl>
          <w:p w14:paraId="2F18B059" w14:textId="77777777" w:rsidR="008E788D" w:rsidRPr="001775D9" w:rsidRDefault="008E788D" w:rsidP="00D47253">
            <w:pPr>
              <w:keepNext/>
              <w:jc w:val="right"/>
            </w:pPr>
          </w:p>
        </w:tc>
        <w:tc>
          <w:tcPr>
            <w:tcW w:w="1447" w:type="pct"/>
            <w:tcBorders>
              <w:top w:val="nil"/>
              <w:left w:val="nil"/>
              <w:bottom w:val="single" w:sz="4" w:space="0" w:color="auto"/>
              <w:right w:val="nil"/>
            </w:tcBorders>
            <w:hideMark/>
          </w:tcPr>
          <w:p w14:paraId="613220B2" w14:textId="3160643A" w:rsidR="008E788D" w:rsidRPr="001775D9" w:rsidRDefault="00D96030" w:rsidP="00D47253">
            <w:pPr>
              <w:jc w:val="right"/>
            </w:pPr>
            <w:r>
              <w:pict w14:anchorId="1818B282">
                <v:shape id="Picture 139" o:spid="_x0000_s2075" type="#_x0000_t75" style="position:absolute;left:0;text-align:left;margin-left:23.4pt;margin-top:24.25pt;width:73.95pt;height:197.35pt;z-index: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65" o:title=""/>
                  <o:lock v:ext="edit" aspectratio="f"/>
                </v:shape>
              </w:pict>
            </w:r>
          </w:p>
        </w:tc>
        <w:tc>
          <w:tcPr>
            <w:tcW w:w="1688" w:type="pct"/>
            <w:tcBorders>
              <w:top w:val="single" w:sz="4" w:space="0" w:color="auto"/>
              <w:left w:val="nil"/>
              <w:bottom w:val="single" w:sz="4" w:space="0" w:color="auto"/>
              <w:right w:val="single" w:sz="4" w:space="0" w:color="auto"/>
            </w:tcBorders>
            <w:hideMark/>
          </w:tcPr>
          <w:tbl>
            <w:tblPr>
              <w:tblW w:w="1845" w:type="dxa"/>
              <w:tblCellMar>
                <w:left w:w="113" w:type="dxa"/>
                <w:right w:w="0" w:type="dxa"/>
              </w:tblCellMar>
              <w:tblLook w:val="04A0" w:firstRow="1" w:lastRow="0" w:firstColumn="1" w:lastColumn="0" w:noHBand="0" w:noVBand="1"/>
            </w:tblPr>
            <w:tblGrid>
              <w:gridCol w:w="1845"/>
            </w:tblGrid>
            <w:tr w:rsidR="008E788D" w:rsidRPr="00F04F82" w14:paraId="08B130A9" w14:textId="77777777" w:rsidTr="00D47253">
              <w:trPr>
                <w:trHeight w:val="461"/>
              </w:trPr>
              <w:tc>
                <w:tcPr>
                  <w:tcW w:w="1852" w:type="dxa"/>
                </w:tcPr>
                <w:p w14:paraId="5B1D28C0" w14:textId="77777777" w:rsidR="008E788D" w:rsidRPr="001775D9" w:rsidRDefault="008E788D" w:rsidP="00D47253">
                  <w:pPr>
                    <w:framePr w:hSpace="141" w:wrap="around" w:vAnchor="text" w:hAnchor="text" w:x="108" w:y="1"/>
                    <w:suppressOverlap/>
                    <w:rPr>
                      <w:sz w:val="2"/>
                      <w:szCs w:val="2"/>
                    </w:rPr>
                  </w:pPr>
                </w:p>
              </w:tc>
            </w:tr>
            <w:tr w:rsidR="008E788D" w:rsidRPr="00F04F82" w14:paraId="0F182A35" w14:textId="77777777" w:rsidTr="00D47253">
              <w:trPr>
                <w:trHeight w:val="1077"/>
              </w:trPr>
              <w:tc>
                <w:tcPr>
                  <w:tcW w:w="1852" w:type="dxa"/>
                </w:tcPr>
                <w:p w14:paraId="10A46DE2" w14:textId="77777777" w:rsidR="008E788D" w:rsidRPr="001775D9" w:rsidRDefault="008E788D" w:rsidP="00D47253">
                  <w:pPr>
                    <w:framePr w:hSpace="141" w:wrap="around" w:vAnchor="text" w:hAnchor="text" w:x="108" w:y="1"/>
                    <w:suppressOverlap/>
                  </w:pPr>
                </w:p>
              </w:tc>
            </w:tr>
            <w:tr w:rsidR="008E788D" w:rsidRPr="00F04F82" w14:paraId="08492DA1" w14:textId="77777777" w:rsidTr="00D47253">
              <w:trPr>
                <w:trHeight w:val="725"/>
              </w:trPr>
              <w:tc>
                <w:tcPr>
                  <w:tcW w:w="1852" w:type="dxa"/>
                  <w:hideMark/>
                </w:tcPr>
                <w:p w14:paraId="2D17E216" w14:textId="77777777" w:rsidR="008E788D" w:rsidRPr="001775D9" w:rsidRDefault="008E788D" w:rsidP="00D47253">
                  <w:pPr>
                    <w:framePr w:hSpace="141" w:wrap="around" w:vAnchor="text" w:hAnchor="text" w:x="108" w:y="1"/>
                    <w:suppressOverlap/>
                  </w:pPr>
                  <w:r w:rsidRPr="001775D9">
                    <w:t>Finger grip</w:t>
                  </w:r>
                </w:p>
              </w:tc>
            </w:tr>
            <w:tr w:rsidR="008E788D" w:rsidRPr="00F04F82" w14:paraId="078C68AF" w14:textId="77777777" w:rsidTr="00D47253">
              <w:trPr>
                <w:trHeight w:val="989"/>
              </w:trPr>
              <w:tc>
                <w:tcPr>
                  <w:tcW w:w="1852" w:type="dxa"/>
                  <w:hideMark/>
                </w:tcPr>
                <w:p w14:paraId="7A681F79" w14:textId="77777777" w:rsidR="008E788D" w:rsidRPr="001775D9" w:rsidRDefault="008E788D" w:rsidP="00D47253">
                  <w:pPr>
                    <w:framePr w:hSpace="141" w:wrap="around" w:vAnchor="text" w:hAnchor="text" w:x="108" w:y="1"/>
                    <w:suppressOverlap/>
                  </w:pPr>
                  <w:r w:rsidRPr="001775D9">
                    <w:t>Plunger (location may vary)</w:t>
                  </w:r>
                </w:p>
              </w:tc>
            </w:tr>
            <w:tr w:rsidR="008E788D" w:rsidRPr="00F04F82" w14:paraId="6F496FAA" w14:textId="77777777" w:rsidTr="00D47253">
              <w:trPr>
                <w:trHeight w:val="856"/>
              </w:trPr>
              <w:tc>
                <w:tcPr>
                  <w:tcW w:w="1852" w:type="dxa"/>
                  <w:hideMark/>
                </w:tcPr>
                <w:p w14:paraId="3098C1A4" w14:textId="77777777" w:rsidR="008E788D" w:rsidRPr="001775D9" w:rsidRDefault="008E788D" w:rsidP="00D47253">
                  <w:pPr>
                    <w:framePr w:hSpace="141" w:wrap="around" w:vAnchor="text" w:hAnchor="text" w:x="108" w:y="1"/>
                    <w:suppressOverlap/>
                  </w:pPr>
                  <w:r w:rsidRPr="001775D9">
                    <w:t>Medicine</w:t>
                  </w:r>
                </w:p>
              </w:tc>
            </w:tr>
          </w:tbl>
          <w:p w14:paraId="6F4DCAB6" w14:textId="77777777" w:rsidR="008E788D" w:rsidRPr="001775D9" w:rsidRDefault="008E788D" w:rsidP="00D47253"/>
        </w:tc>
      </w:tr>
    </w:tbl>
    <w:p w14:paraId="77888F3F" w14:textId="77777777" w:rsidR="008E788D" w:rsidRPr="001775D9" w:rsidRDefault="008E788D" w:rsidP="008E788D">
      <w:pPr>
        <w:spacing w:line="240" w:lineRule="auto"/>
        <w:rPr>
          <w:b/>
          <w:bCs/>
        </w:rPr>
      </w:pPr>
    </w:p>
    <w:tbl>
      <w:tblPr>
        <w:tblW w:w="4967"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8"/>
        <w:gridCol w:w="8505"/>
        <w:tblGridChange w:id="4396">
          <w:tblGrid>
            <w:gridCol w:w="568"/>
            <w:gridCol w:w="534"/>
            <w:gridCol w:w="58"/>
            <w:gridCol w:w="510"/>
            <w:gridCol w:w="58"/>
            <w:gridCol w:w="7345"/>
            <w:gridCol w:w="1102"/>
            <w:gridCol w:w="58"/>
          </w:tblGrid>
        </w:tblGridChange>
      </w:tblGrid>
      <w:tr w:rsidR="00721FFE" w:rsidRPr="00F04F82" w14:paraId="20C91A8F" w14:textId="4C96BC71" w:rsidTr="00DA06C2">
        <w:trPr>
          <w:cantSplit/>
          <w:trHeight w:val="57"/>
        </w:trPr>
        <w:tc>
          <w:tcPr>
            <w:tcW w:w="313"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hideMark/>
          </w:tcPr>
          <w:p w14:paraId="4CEC5015" w14:textId="23A17E98" w:rsidR="00721FFE" w:rsidRPr="001775D9" w:rsidRDefault="00721FFE" w:rsidP="0002405A">
            <w:pPr>
              <w:pageBreakBefore/>
              <w:spacing w:line="240" w:lineRule="auto"/>
              <w:ind w:left="567" w:hanging="567"/>
              <w:rPr>
                <w:b/>
                <w:bCs/>
              </w:rPr>
            </w:pPr>
            <w:r w:rsidRPr="001775D9">
              <w:rPr>
                <w:b/>
                <w:bCs/>
              </w:rPr>
              <w:t>1</w:t>
            </w:r>
          </w:p>
        </w:tc>
        <w:tc>
          <w:tcPr>
            <w:tcW w:w="4687" w:type="pct"/>
            <w:tcBorders>
              <w:top w:val="single" w:sz="4" w:space="0" w:color="auto"/>
              <w:left w:val="single" w:sz="4" w:space="0" w:color="auto"/>
              <w:bottom w:val="single" w:sz="4" w:space="0" w:color="auto"/>
              <w:right w:val="single" w:sz="4" w:space="0" w:color="auto"/>
            </w:tcBorders>
          </w:tcPr>
          <w:p w14:paraId="4DC811AB" w14:textId="77777777" w:rsidR="00721FFE" w:rsidRPr="001775D9" w:rsidRDefault="00721FFE" w:rsidP="00B61D9D">
            <w:pPr>
              <w:spacing w:line="240" w:lineRule="auto"/>
              <w:rPr>
                <w:b/>
                <w:bCs/>
              </w:rPr>
            </w:pPr>
            <w:r w:rsidRPr="001775D9">
              <w:rPr>
                <w:b/>
                <w:bCs/>
              </w:rPr>
              <w:t>Important information you need to know before injecting AMGEVITA</w:t>
            </w:r>
          </w:p>
        </w:tc>
      </w:tr>
      <w:tr w:rsidR="008E788D" w:rsidRPr="00867B3B" w14:paraId="4786E48A" w14:textId="77777777" w:rsidTr="0002405A">
        <w:trPr>
          <w:cantSplit/>
          <w:trHeight w:val="57"/>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5E0CAD20" w14:textId="77777777" w:rsidR="008E788D" w:rsidRPr="001775D9" w:rsidRDefault="008E788D" w:rsidP="00B61D9D">
            <w:pPr>
              <w:spacing w:line="240" w:lineRule="auto"/>
              <w:ind w:left="567" w:hanging="567"/>
              <w:rPr>
                <w:b/>
                <w:bCs/>
              </w:rPr>
            </w:pPr>
            <w:r w:rsidRPr="001775D9">
              <w:rPr>
                <w:b/>
                <w:bCs/>
              </w:rPr>
              <w:t>Dosing:</w:t>
            </w:r>
          </w:p>
          <w:p w14:paraId="275A81EA" w14:textId="77777777" w:rsidR="008E788D" w:rsidRPr="00F04F82" w:rsidRDefault="008E788D" w:rsidP="00D55B59">
            <w:pPr>
              <w:pStyle w:val="ListParagraph"/>
              <w:numPr>
                <w:ilvl w:val="0"/>
                <w:numId w:val="39"/>
              </w:numPr>
              <w:tabs>
                <w:tab w:val="left" w:pos="567"/>
              </w:tabs>
              <w:suppressAutoHyphens/>
              <w:autoSpaceDE w:val="0"/>
              <w:autoSpaceDN w:val="0"/>
              <w:adjustRightInd w:val="0"/>
              <w:ind w:left="567" w:hanging="567"/>
              <w:textAlignment w:val="center"/>
              <w:rPr>
                <w:color w:val="000000"/>
                <w:sz w:val="22"/>
                <w:szCs w:val="22"/>
              </w:rPr>
              <w:pPrChange w:id="4397" w:author="Author">
                <w:pPr>
                  <w:pStyle w:val="ListParagraph"/>
                  <w:numPr>
                    <w:numId w:val="39"/>
                  </w:numPr>
                  <w:suppressAutoHyphens/>
                  <w:autoSpaceDE w:val="0"/>
                  <w:autoSpaceDN w:val="0"/>
                  <w:adjustRightInd w:val="0"/>
                  <w:ind w:left="567" w:hanging="567"/>
                  <w:textAlignment w:val="center"/>
                </w:pPr>
              </w:pPrChange>
            </w:pPr>
            <w:r w:rsidRPr="001775D9">
              <w:rPr>
                <w:color w:val="000000"/>
                <w:sz w:val="22"/>
                <w:szCs w:val="22"/>
              </w:rPr>
              <w:t xml:space="preserve">AMGEVITA comes in three different doses: 20 mg/0.2 mL, 40 mg/0.4 mL, 80 mg/0.8 mL. Check your prescription to make sure you have the correct dose. </w:t>
            </w:r>
          </w:p>
          <w:p w14:paraId="5636A6F4" w14:textId="51F06892" w:rsidR="008E788D" w:rsidRPr="00F04F82" w:rsidRDefault="008E788D" w:rsidP="00D55B59">
            <w:pPr>
              <w:pStyle w:val="ListParagraph"/>
              <w:numPr>
                <w:ilvl w:val="0"/>
                <w:numId w:val="39"/>
              </w:numPr>
              <w:tabs>
                <w:tab w:val="left" w:pos="567"/>
              </w:tabs>
              <w:suppressAutoHyphens/>
              <w:autoSpaceDE w:val="0"/>
              <w:autoSpaceDN w:val="0"/>
              <w:adjustRightInd w:val="0"/>
              <w:ind w:left="567" w:hanging="567"/>
              <w:textAlignment w:val="center"/>
              <w:rPr>
                <w:sz w:val="22"/>
                <w:szCs w:val="22"/>
              </w:rPr>
              <w:pPrChange w:id="4398" w:author="Author">
                <w:pPr>
                  <w:pStyle w:val="ListParagraph"/>
                  <w:numPr>
                    <w:numId w:val="39"/>
                  </w:numPr>
                  <w:suppressAutoHyphens/>
                  <w:autoSpaceDE w:val="0"/>
                  <w:autoSpaceDN w:val="0"/>
                  <w:adjustRightInd w:val="0"/>
                  <w:ind w:left="567" w:hanging="567"/>
                  <w:textAlignment w:val="center"/>
                </w:pPr>
              </w:pPrChange>
            </w:pPr>
            <w:r w:rsidRPr="001775D9">
              <w:rPr>
                <w:color w:val="000000"/>
                <w:sz w:val="22"/>
                <w:szCs w:val="22"/>
              </w:rPr>
              <w:t>The colo</w:t>
            </w:r>
            <w:r w:rsidR="00945CC4" w:rsidRPr="00F04F82">
              <w:rPr>
                <w:color w:val="000000"/>
                <w:sz w:val="22"/>
                <w:szCs w:val="22"/>
              </w:rPr>
              <w:t>u</w:t>
            </w:r>
            <w:r w:rsidRPr="00F04F82">
              <w:rPr>
                <w:color w:val="000000"/>
                <w:sz w:val="22"/>
                <w:szCs w:val="22"/>
              </w:rPr>
              <w:t xml:space="preserve">r and look of the pre-filled syringe will be different for each dose. The amount of </w:t>
            </w:r>
            <w:r w:rsidRPr="001775D9">
              <w:rPr>
                <w:color w:val="000000"/>
                <w:sz w:val="22"/>
                <w:szCs w:val="22"/>
              </w:rPr>
              <w:t>medicine in the pre-filled syringe will also be different for each dose</w:t>
            </w:r>
            <w:r w:rsidRPr="00F04F82">
              <w:rPr>
                <w:sz w:val="22"/>
                <w:szCs w:val="22"/>
              </w:rPr>
              <w:t>.</w:t>
            </w:r>
          </w:p>
          <w:p w14:paraId="09AFBA48" w14:textId="77777777" w:rsidR="008E788D" w:rsidRPr="00F04F82" w:rsidRDefault="008E788D" w:rsidP="00D55B59">
            <w:pPr>
              <w:pStyle w:val="ListParagraph"/>
              <w:numPr>
                <w:ilvl w:val="0"/>
                <w:numId w:val="39"/>
              </w:numPr>
              <w:tabs>
                <w:tab w:val="left" w:pos="567"/>
              </w:tabs>
              <w:suppressAutoHyphens/>
              <w:autoSpaceDE w:val="0"/>
              <w:autoSpaceDN w:val="0"/>
              <w:adjustRightInd w:val="0"/>
              <w:ind w:left="567" w:hanging="567"/>
              <w:textAlignment w:val="center"/>
              <w:rPr>
                <w:sz w:val="22"/>
                <w:szCs w:val="22"/>
              </w:rPr>
              <w:pPrChange w:id="4399" w:author="Author">
                <w:pPr>
                  <w:pStyle w:val="ListParagraph"/>
                  <w:numPr>
                    <w:numId w:val="39"/>
                  </w:numPr>
                  <w:suppressAutoHyphens/>
                  <w:autoSpaceDE w:val="0"/>
                  <w:autoSpaceDN w:val="0"/>
                  <w:adjustRightInd w:val="0"/>
                  <w:ind w:left="567" w:hanging="567"/>
                  <w:textAlignment w:val="center"/>
                </w:pPr>
              </w:pPrChange>
            </w:pPr>
            <w:r w:rsidRPr="001775D9">
              <w:rPr>
                <w:sz w:val="22"/>
                <w:szCs w:val="22"/>
              </w:rPr>
              <w:t xml:space="preserve">For example, it`s okay for the 20 mg/0.2 mL dose to have a small amount of medicine and the 80 mg/0.8 mL to have a large amount of medicine. Check the illustrations below to see what your dose looks like in the </w:t>
            </w:r>
            <w:r w:rsidRPr="00F04F82">
              <w:rPr>
                <w:color w:val="000000"/>
                <w:sz w:val="22"/>
                <w:szCs w:val="22"/>
              </w:rPr>
              <w:t>pre-filled</w:t>
            </w:r>
            <w:r w:rsidRPr="00F04F82">
              <w:rPr>
                <w:sz w:val="22"/>
                <w:szCs w:val="22"/>
              </w:rPr>
              <w:t xml:space="preserve"> syringe. </w:t>
            </w:r>
          </w:p>
          <w:p w14:paraId="358A1541" w14:textId="77777777" w:rsidR="008E788D" w:rsidRPr="001775D9" w:rsidRDefault="008E788D" w:rsidP="00D47253">
            <w:pPr>
              <w:spacing w:line="240" w:lineRule="auto"/>
              <w:rPr>
                <w:b/>
                <w:bCs/>
              </w:rPr>
            </w:pPr>
          </w:p>
          <w:p w14:paraId="0D5E21D4" w14:textId="2366EB65" w:rsidR="008E788D" w:rsidRPr="00D55B59" w:rsidRDefault="00D96030" w:rsidP="00D47253">
            <w:pPr>
              <w:spacing w:line="240" w:lineRule="auto"/>
              <w:rPr>
                <w:b/>
                <w:bCs/>
                <w:rPrChange w:id="4400" w:author="Author">
                  <w:rPr>
                    <w:b/>
                    <w:bCs/>
                    <w:lang w:val="nl-NL"/>
                  </w:rPr>
                </w:rPrChange>
              </w:rPr>
            </w:pPr>
            <w:del w:id="4401" w:author="Author">
              <w:r>
                <w:rPr>
                  <w:b/>
                </w:rPr>
                <w:pict w14:anchorId="7EDA0A9A">
                  <v:shape id="_x0000_i1072" type="#_x0000_t75" style="width:87pt;height:195.5pt;visibility:visible;mso-wrap-style:square">
                    <v:imagedata r:id="rId66" o:title=""/>
                  </v:shape>
                </w:pict>
              </w:r>
              <w:r w:rsidR="008E788D" w:rsidRPr="00D55B59" w:rsidDel="00016ECC">
                <w:rPr>
                  <w:b/>
                  <w:bCs/>
                  <w:rPrChange w:id="4402" w:author="Author">
                    <w:rPr>
                      <w:b/>
                      <w:bCs/>
                      <w:lang w:val="nl-NL"/>
                    </w:rPr>
                  </w:rPrChange>
                </w:rPr>
                <w:delText xml:space="preserve">          </w:delText>
              </w:r>
              <w:r>
                <w:rPr>
                  <w:b/>
                </w:rPr>
                <w:pict w14:anchorId="29202A2F">
                  <v:shape id="_x0000_i1073" type="#_x0000_t75" style="width:77.5pt;height:195.5pt;visibility:visible;mso-wrap-style:square">
                    <v:imagedata r:id="rId67" o:title=""/>
                  </v:shape>
                </w:pict>
              </w:r>
              <w:r w:rsidR="008E788D" w:rsidRPr="00D55B59" w:rsidDel="00016ECC">
                <w:rPr>
                  <w:b/>
                  <w:bCs/>
                  <w:rPrChange w:id="4403" w:author="Author">
                    <w:rPr>
                      <w:b/>
                      <w:bCs/>
                      <w:lang w:val="nl-NL"/>
                    </w:rPr>
                  </w:rPrChange>
                </w:rPr>
                <w:delText xml:space="preserve">              </w:delText>
              </w:r>
              <w:r>
                <w:rPr>
                  <w:b/>
                </w:rPr>
                <w:pict w14:anchorId="533BE227">
                  <v:shape id="_x0000_i1074" type="#_x0000_t75" style="width:1in;height:195.5pt;visibility:visible;mso-wrap-style:square">
                    <v:imagedata r:id="rId68" o:title=""/>
                  </v:shape>
                </w:pict>
              </w:r>
              <w:r w:rsidR="008E788D" w:rsidRPr="00D55B59" w:rsidDel="000642AA">
                <w:rPr>
                  <w:b/>
                  <w:bCs/>
                  <w:rPrChange w:id="4404" w:author="Author">
                    <w:rPr>
                      <w:b/>
                      <w:bCs/>
                      <w:lang w:val="nl-NL"/>
                    </w:rPr>
                  </w:rPrChange>
                </w:rPr>
                <w:delText xml:space="preserve">  </w:delText>
              </w:r>
              <w:r w:rsidR="008E788D" w:rsidRPr="00D55B59" w:rsidDel="00016ECC">
                <w:rPr>
                  <w:b/>
                  <w:bCs/>
                  <w:rPrChange w:id="4405" w:author="Author">
                    <w:rPr>
                      <w:b/>
                      <w:bCs/>
                      <w:lang w:val="nl-NL"/>
                    </w:rPr>
                  </w:rPrChange>
                </w:rPr>
                <w:delText xml:space="preserve">         </w:delText>
              </w:r>
            </w:del>
            <w:ins w:id="4406" w:author="Author">
              <w:r>
                <w:rPr>
                  <w:b/>
                  <w:bCs/>
                </w:rPr>
                <w:pict w14:anchorId="58640B7B">
                  <v:shape id="_x0000_i1075" type="#_x0000_t75" style="width:411.5pt;height:195.5pt">
                    <v:imagedata r:id="rId69" o:title="ILL2703"/>
                  </v:shape>
                </w:pict>
              </w:r>
            </w:ins>
          </w:p>
          <w:p w14:paraId="6F4472DE" w14:textId="1F33491F" w:rsidR="008E788D" w:rsidRPr="00D55B59" w:rsidDel="007B661B" w:rsidRDefault="008E788D" w:rsidP="00D47253">
            <w:pPr>
              <w:spacing w:line="240" w:lineRule="auto"/>
              <w:rPr>
                <w:del w:id="4407" w:author="Author"/>
                <w:b/>
                <w:bCs/>
                <w:rPrChange w:id="4408" w:author="Author">
                  <w:rPr>
                    <w:del w:id="4409" w:author="Author"/>
                    <w:b/>
                    <w:bCs/>
                    <w:lang w:val="nl-NL"/>
                  </w:rPr>
                </w:rPrChange>
              </w:rPr>
            </w:pPr>
          </w:p>
          <w:p w14:paraId="2FF798F9" w14:textId="2D863685" w:rsidR="008E788D" w:rsidRPr="00D55B59" w:rsidRDefault="00E6272C" w:rsidP="00D47253">
            <w:pPr>
              <w:spacing w:line="240" w:lineRule="auto"/>
              <w:rPr>
                <w:b/>
                <w:bCs/>
                <w:lang w:val="da-DK"/>
                <w:rPrChange w:id="4410" w:author="Author">
                  <w:rPr>
                    <w:b/>
                    <w:bCs/>
                    <w:lang w:val="nl-NL"/>
                  </w:rPr>
                </w:rPrChange>
              </w:rPr>
            </w:pPr>
            <w:r w:rsidRPr="00D55B59">
              <w:rPr>
                <w:b/>
                <w:bCs/>
                <w:szCs w:val="22"/>
                <w:lang w:val="da-DK"/>
                <w:rPrChange w:id="4411" w:author="Author">
                  <w:rPr>
                    <w:b/>
                    <w:bCs/>
                    <w:szCs w:val="22"/>
                    <w:lang w:val="nl-NL"/>
                  </w:rPr>
                </w:rPrChange>
              </w:rPr>
              <w:t xml:space="preserve">     </w:t>
            </w:r>
            <w:r w:rsidR="008E788D" w:rsidRPr="00D55B59">
              <w:rPr>
                <w:b/>
                <w:bCs/>
                <w:szCs w:val="22"/>
                <w:lang w:val="da-DK"/>
                <w:rPrChange w:id="4412" w:author="Author">
                  <w:rPr>
                    <w:b/>
                    <w:bCs/>
                    <w:szCs w:val="22"/>
                    <w:lang w:val="nl-NL"/>
                  </w:rPr>
                </w:rPrChange>
              </w:rPr>
              <w:t xml:space="preserve">20 mg/0.2 mL     </w:t>
            </w:r>
            <w:r w:rsidRPr="00D55B59">
              <w:rPr>
                <w:b/>
                <w:bCs/>
                <w:szCs w:val="22"/>
                <w:lang w:val="da-DK"/>
                <w:rPrChange w:id="4413" w:author="Author">
                  <w:rPr>
                    <w:b/>
                    <w:bCs/>
                    <w:szCs w:val="22"/>
                    <w:lang w:val="nl-NL"/>
                  </w:rPr>
                </w:rPrChange>
              </w:rPr>
              <w:t xml:space="preserve">   </w:t>
            </w:r>
            <w:r w:rsidR="008E788D" w:rsidRPr="00D55B59">
              <w:rPr>
                <w:b/>
                <w:bCs/>
                <w:szCs w:val="22"/>
                <w:lang w:val="da-DK"/>
                <w:rPrChange w:id="4414" w:author="Author">
                  <w:rPr>
                    <w:b/>
                    <w:bCs/>
                    <w:szCs w:val="22"/>
                    <w:lang w:val="nl-NL"/>
                  </w:rPr>
                </w:rPrChange>
              </w:rPr>
              <w:t xml:space="preserve">        </w:t>
            </w:r>
            <w:ins w:id="4415" w:author="Author">
              <w:r w:rsidR="000642AA" w:rsidRPr="00D55B59">
                <w:rPr>
                  <w:b/>
                  <w:bCs/>
                  <w:szCs w:val="22"/>
                  <w:lang w:val="da-DK"/>
                  <w:rPrChange w:id="4416" w:author="Author">
                    <w:rPr>
                      <w:b/>
                      <w:bCs/>
                      <w:szCs w:val="22"/>
                      <w:lang w:val="nl-NL"/>
                    </w:rPr>
                  </w:rPrChange>
                </w:rPr>
                <w:t xml:space="preserve">                   </w:t>
              </w:r>
            </w:ins>
            <w:r w:rsidR="008E788D" w:rsidRPr="00D55B59">
              <w:rPr>
                <w:b/>
                <w:bCs/>
                <w:szCs w:val="22"/>
                <w:lang w:val="da-DK"/>
                <w:rPrChange w:id="4417" w:author="Author">
                  <w:rPr>
                    <w:b/>
                    <w:bCs/>
                    <w:szCs w:val="22"/>
                    <w:lang w:val="nl-NL"/>
                  </w:rPr>
                </w:rPrChange>
              </w:rPr>
              <w:t xml:space="preserve">40 mg/0.4 mL      </w:t>
            </w:r>
            <w:r w:rsidRPr="00D55B59">
              <w:rPr>
                <w:b/>
                <w:bCs/>
                <w:szCs w:val="22"/>
                <w:lang w:val="da-DK"/>
                <w:rPrChange w:id="4418" w:author="Author">
                  <w:rPr>
                    <w:b/>
                    <w:bCs/>
                    <w:szCs w:val="22"/>
                    <w:lang w:val="nl-NL"/>
                  </w:rPr>
                </w:rPrChange>
              </w:rPr>
              <w:t xml:space="preserve">         </w:t>
            </w:r>
            <w:r w:rsidR="008E788D" w:rsidRPr="00D55B59">
              <w:rPr>
                <w:b/>
                <w:bCs/>
                <w:szCs w:val="22"/>
                <w:lang w:val="da-DK"/>
                <w:rPrChange w:id="4419" w:author="Author">
                  <w:rPr>
                    <w:b/>
                    <w:bCs/>
                    <w:szCs w:val="22"/>
                    <w:lang w:val="nl-NL"/>
                  </w:rPr>
                </w:rPrChange>
              </w:rPr>
              <w:t xml:space="preserve">     </w:t>
            </w:r>
            <w:ins w:id="4420" w:author="Author">
              <w:r w:rsidR="000642AA" w:rsidRPr="00D55B59">
                <w:rPr>
                  <w:b/>
                  <w:bCs/>
                  <w:szCs w:val="22"/>
                  <w:lang w:val="da-DK"/>
                  <w:rPrChange w:id="4421" w:author="Author">
                    <w:rPr>
                      <w:b/>
                      <w:bCs/>
                      <w:szCs w:val="22"/>
                      <w:lang w:val="nl-NL"/>
                    </w:rPr>
                  </w:rPrChange>
                </w:rPr>
                <w:t xml:space="preserve">              </w:t>
              </w:r>
            </w:ins>
            <w:r w:rsidR="008E788D" w:rsidRPr="00D55B59">
              <w:rPr>
                <w:b/>
                <w:bCs/>
                <w:szCs w:val="22"/>
                <w:lang w:val="da-DK"/>
                <w:rPrChange w:id="4422" w:author="Author">
                  <w:rPr>
                    <w:b/>
                    <w:bCs/>
                    <w:szCs w:val="22"/>
                    <w:lang w:val="nl-NL"/>
                  </w:rPr>
                </w:rPrChange>
              </w:rPr>
              <w:t>80 mg/0.8 mL</w:t>
            </w:r>
          </w:p>
          <w:p w14:paraId="48B458B4" w14:textId="77777777" w:rsidR="008E788D" w:rsidRPr="00D55B59" w:rsidRDefault="008E788D" w:rsidP="00D47253">
            <w:pPr>
              <w:spacing w:line="240" w:lineRule="auto"/>
              <w:rPr>
                <w:b/>
                <w:bCs/>
                <w:lang w:val="da-DK"/>
                <w:rPrChange w:id="4423" w:author="Author">
                  <w:rPr>
                    <w:b/>
                    <w:bCs/>
                    <w:lang w:val="nl-NL"/>
                  </w:rPr>
                </w:rPrChange>
              </w:rPr>
            </w:pPr>
          </w:p>
          <w:p w14:paraId="49BBDFD6" w14:textId="4DC534FF" w:rsidR="008E788D" w:rsidRPr="00247EF0" w:rsidRDefault="008E788D" w:rsidP="00B61D9D">
            <w:pPr>
              <w:keepNext/>
              <w:keepLines/>
              <w:spacing w:line="240" w:lineRule="auto"/>
              <w:rPr>
                <w:b/>
                <w:bCs/>
                <w:lang w:val="da-DK"/>
              </w:rPr>
            </w:pPr>
            <w:del w:id="4424" w:author="Author">
              <w:r w:rsidRPr="00247EF0" w:rsidDel="00441FB0">
                <w:rPr>
                  <w:b/>
                  <w:bCs/>
                  <w:lang w:val="da-DK"/>
                </w:rPr>
                <w:delText>Using your AMGEVITA pre-filled syringe:</w:delText>
              </w:r>
            </w:del>
          </w:p>
        </w:tc>
      </w:tr>
      <w:tr w:rsidR="008E788D" w:rsidRPr="00F04F82" w14:paraId="0D115158" w14:textId="77777777" w:rsidTr="00DA06C2">
        <w:trPr>
          <w:cantSplit/>
          <w:trHeight w:val="57"/>
        </w:trPr>
        <w:tc>
          <w:tcPr>
            <w:tcW w:w="313" w:type="pct"/>
            <w:tcBorders>
              <w:top w:val="nil"/>
              <w:left w:val="single" w:sz="4" w:space="0" w:color="auto"/>
              <w:bottom w:val="nil"/>
              <w:right w:val="nil"/>
            </w:tcBorders>
          </w:tcPr>
          <w:p w14:paraId="1CFA6D22" w14:textId="77777777" w:rsidR="008E788D" w:rsidRPr="00247EF0" w:rsidRDefault="008E788D" w:rsidP="00D47253">
            <w:pPr>
              <w:keepNext/>
              <w:numPr>
                <w:ilvl w:val="0"/>
                <w:numId w:val="40"/>
              </w:numPr>
              <w:tabs>
                <w:tab w:val="clear" w:pos="567"/>
                <w:tab w:val="left" w:pos="708"/>
              </w:tabs>
              <w:spacing w:line="240" w:lineRule="auto"/>
              <w:ind w:left="567" w:hanging="567"/>
              <w:rPr>
                <w:lang w:val="da-DK"/>
              </w:rPr>
            </w:pPr>
          </w:p>
        </w:tc>
        <w:tc>
          <w:tcPr>
            <w:tcW w:w="4687" w:type="pct"/>
            <w:tcBorders>
              <w:top w:val="nil"/>
              <w:left w:val="nil"/>
              <w:bottom w:val="nil"/>
              <w:right w:val="single" w:sz="4" w:space="0" w:color="auto"/>
            </w:tcBorders>
            <w:tcMar>
              <w:top w:w="57" w:type="dxa"/>
              <w:left w:w="0" w:type="dxa"/>
              <w:bottom w:w="57" w:type="dxa"/>
              <w:right w:w="57" w:type="dxa"/>
            </w:tcMar>
            <w:hideMark/>
          </w:tcPr>
          <w:p w14:paraId="4E397383" w14:textId="4447186F" w:rsidR="008E788D" w:rsidRPr="001775D9" w:rsidRDefault="008E788D" w:rsidP="00D47253">
            <w:pPr>
              <w:spacing w:line="240" w:lineRule="auto"/>
              <w:rPr>
                <w:b/>
                <w:bCs/>
              </w:rPr>
            </w:pPr>
            <w:r w:rsidRPr="001775D9">
              <w:t>It is important that you do not try to give yourself the injection until you have fully read and understood th</w:t>
            </w:r>
            <w:ins w:id="4425" w:author="Author">
              <w:r w:rsidR="00EF64E6" w:rsidRPr="00F04F82">
                <w:t>is</w:t>
              </w:r>
            </w:ins>
            <w:del w:id="4426" w:author="Author">
              <w:r w:rsidRPr="00F04F82" w:rsidDel="00EF64E6">
                <w:delText>ese</w:delText>
              </w:r>
            </w:del>
            <w:r w:rsidRPr="001775D9">
              <w:t xml:space="preserve"> </w:t>
            </w:r>
            <w:ins w:id="4427" w:author="Author">
              <w:r w:rsidR="00EF64E6" w:rsidRPr="00F04F82">
                <w:t>I</w:t>
              </w:r>
            </w:ins>
            <w:del w:id="4428" w:author="Author">
              <w:r w:rsidRPr="00F04F82" w:rsidDel="00EF64E6">
                <w:delText>i</w:delText>
              </w:r>
            </w:del>
            <w:r w:rsidRPr="001775D9">
              <w:t xml:space="preserve">nstructions for </w:t>
            </w:r>
            <w:ins w:id="4429" w:author="Author">
              <w:r w:rsidR="00EF64E6" w:rsidRPr="00F04F82">
                <w:t>U</w:t>
              </w:r>
            </w:ins>
            <w:del w:id="4430" w:author="Author">
              <w:r w:rsidRPr="00F04F82" w:rsidDel="00EF64E6">
                <w:delText>u</w:delText>
              </w:r>
            </w:del>
            <w:r w:rsidRPr="001775D9">
              <w:t>se and unless you have received training from your doctor or healthcare provider.</w:t>
            </w:r>
          </w:p>
        </w:tc>
      </w:tr>
      <w:tr w:rsidR="008E788D" w:rsidRPr="00F04F82" w14:paraId="0C65D01A" w14:textId="77777777" w:rsidTr="00DA06C2">
        <w:trPr>
          <w:cantSplit/>
          <w:trHeight w:val="57"/>
        </w:trPr>
        <w:tc>
          <w:tcPr>
            <w:tcW w:w="313" w:type="pct"/>
            <w:tcBorders>
              <w:top w:val="nil"/>
              <w:left w:val="single" w:sz="4" w:space="0" w:color="auto"/>
              <w:bottom w:val="nil"/>
              <w:right w:val="nil"/>
            </w:tcBorders>
          </w:tcPr>
          <w:p w14:paraId="6C6A4DE5" w14:textId="77777777" w:rsidR="008E788D" w:rsidRPr="001775D9" w:rsidRDefault="008E788D" w:rsidP="00D47253">
            <w:pPr>
              <w:keepNext/>
              <w:numPr>
                <w:ilvl w:val="0"/>
                <w:numId w:val="40"/>
              </w:numPr>
              <w:tabs>
                <w:tab w:val="clear" w:pos="567"/>
                <w:tab w:val="left" w:pos="708"/>
              </w:tabs>
              <w:spacing w:line="240" w:lineRule="auto"/>
              <w:ind w:left="567" w:hanging="567"/>
            </w:pPr>
          </w:p>
        </w:tc>
        <w:tc>
          <w:tcPr>
            <w:tcW w:w="4687" w:type="pct"/>
            <w:tcBorders>
              <w:top w:val="nil"/>
              <w:left w:val="nil"/>
              <w:bottom w:val="nil"/>
              <w:right w:val="single" w:sz="4" w:space="0" w:color="auto"/>
            </w:tcBorders>
            <w:tcMar>
              <w:top w:w="57" w:type="dxa"/>
              <w:left w:w="0" w:type="dxa"/>
              <w:bottom w:w="57" w:type="dxa"/>
              <w:right w:w="57" w:type="dxa"/>
            </w:tcMar>
            <w:hideMark/>
          </w:tcPr>
          <w:p w14:paraId="453B3B7C" w14:textId="77777777" w:rsidR="008E788D" w:rsidRPr="001775D9" w:rsidRDefault="008E788D" w:rsidP="00D47253">
            <w:pPr>
              <w:spacing w:line="240" w:lineRule="auto"/>
              <w:rPr>
                <w:b/>
                <w:bCs/>
              </w:rPr>
            </w:pPr>
            <w:r w:rsidRPr="001775D9">
              <w:rPr>
                <w:b/>
                <w:bCs/>
              </w:rPr>
              <w:t>Do not</w:t>
            </w:r>
            <w:r w:rsidRPr="001775D9">
              <w:t xml:space="preserve"> use the </w:t>
            </w:r>
            <w:r w:rsidRPr="001775D9">
              <w:rPr>
                <w:color w:val="000000"/>
                <w:szCs w:val="22"/>
              </w:rPr>
              <w:t xml:space="preserve">pre-filled </w:t>
            </w:r>
            <w:r w:rsidRPr="001775D9">
              <w:t>syringe if the carton is damaged or seal is broken.</w:t>
            </w:r>
          </w:p>
        </w:tc>
      </w:tr>
      <w:tr w:rsidR="008E788D" w:rsidRPr="00F04F82" w14:paraId="50C343B9" w14:textId="77777777" w:rsidTr="00DA06C2">
        <w:trPr>
          <w:cantSplit/>
          <w:trHeight w:val="57"/>
        </w:trPr>
        <w:tc>
          <w:tcPr>
            <w:tcW w:w="313" w:type="pct"/>
            <w:tcBorders>
              <w:top w:val="nil"/>
              <w:left w:val="single" w:sz="4" w:space="0" w:color="auto"/>
              <w:bottom w:val="nil"/>
              <w:right w:val="nil"/>
            </w:tcBorders>
          </w:tcPr>
          <w:p w14:paraId="38ED36EF" w14:textId="77777777" w:rsidR="008E788D" w:rsidRPr="001775D9" w:rsidRDefault="008E788D" w:rsidP="00D47253">
            <w:pPr>
              <w:pStyle w:val="ListParagraph"/>
              <w:keepNext/>
              <w:numPr>
                <w:ilvl w:val="0"/>
                <w:numId w:val="41"/>
              </w:numPr>
              <w:tabs>
                <w:tab w:val="left" w:pos="474"/>
                <w:tab w:val="left" w:pos="529"/>
              </w:tabs>
              <w:ind w:left="567" w:hanging="567"/>
            </w:pPr>
          </w:p>
        </w:tc>
        <w:tc>
          <w:tcPr>
            <w:tcW w:w="4687" w:type="pct"/>
            <w:tcBorders>
              <w:top w:val="nil"/>
              <w:left w:val="nil"/>
              <w:bottom w:val="nil"/>
              <w:right w:val="single" w:sz="4" w:space="0" w:color="auto"/>
            </w:tcBorders>
            <w:tcMar>
              <w:top w:w="57" w:type="dxa"/>
              <w:left w:w="0" w:type="dxa"/>
              <w:bottom w:w="57" w:type="dxa"/>
              <w:right w:w="57" w:type="dxa"/>
            </w:tcMar>
            <w:hideMark/>
          </w:tcPr>
          <w:p w14:paraId="7F613F38" w14:textId="464C740A" w:rsidR="008E788D" w:rsidRPr="001775D9" w:rsidRDefault="008E788D" w:rsidP="00D47253">
            <w:pPr>
              <w:spacing w:line="240" w:lineRule="auto"/>
              <w:rPr>
                <w:b/>
                <w:bCs/>
              </w:rPr>
            </w:pPr>
            <w:r w:rsidRPr="001775D9">
              <w:rPr>
                <w:b/>
                <w:bCs/>
              </w:rPr>
              <w:t>Do not</w:t>
            </w:r>
            <w:r w:rsidRPr="001775D9">
              <w:t xml:space="preserve"> use the </w:t>
            </w:r>
            <w:r w:rsidRPr="001775D9">
              <w:rPr>
                <w:color w:val="000000"/>
                <w:szCs w:val="22"/>
              </w:rPr>
              <w:t xml:space="preserve">pre-filled </w:t>
            </w:r>
            <w:r w:rsidRPr="001775D9">
              <w:t>syringe after the expir</w:t>
            </w:r>
            <w:r w:rsidR="00966A19" w:rsidRPr="001775D9">
              <w:t>y</w:t>
            </w:r>
            <w:r w:rsidRPr="001775D9">
              <w:t xml:space="preserve"> date on the label.</w:t>
            </w:r>
          </w:p>
        </w:tc>
      </w:tr>
      <w:tr w:rsidR="008E788D" w:rsidRPr="00F04F82" w14:paraId="5A130724" w14:textId="77777777" w:rsidTr="00DA06C2">
        <w:trPr>
          <w:cantSplit/>
          <w:trHeight w:val="57"/>
        </w:trPr>
        <w:tc>
          <w:tcPr>
            <w:tcW w:w="313" w:type="pct"/>
            <w:tcBorders>
              <w:top w:val="nil"/>
              <w:left w:val="single" w:sz="4" w:space="0" w:color="auto"/>
              <w:bottom w:val="nil"/>
              <w:right w:val="nil"/>
            </w:tcBorders>
          </w:tcPr>
          <w:p w14:paraId="6E09FE20" w14:textId="77777777" w:rsidR="008E788D" w:rsidRPr="001775D9" w:rsidRDefault="008E788D" w:rsidP="00D47253">
            <w:pPr>
              <w:pStyle w:val="ListParagraph"/>
              <w:keepNext/>
              <w:numPr>
                <w:ilvl w:val="0"/>
                <w:numId w:val="41"/>
              </w:numPr>
              <w:tabs>
                <w:tab w:val="left" w:pos="567"/>
              </w:tabs>
              <w:ind w:left="567" w:hanging="567"/>
            </w:pPr>
          </w:p>
        </w:tc>
        <w:tc>
          <w:tcPr>
            <w:tcW w:w="4687" w:type="pct"/>
            <w:tcBorders>
              <w:top w:val="nil"/>
              <w:left w:val="nil"/>
              <w:bottom w:val="nil"/>
              <w:right w:val="single" w:sz="4" w:space="0" w:color="auto"/>
            </w:tcBorders>
            <w:tcMar>
              <w:top w:w="57" w:type="dxa"/>
              <w:left w:w="0" w:type="dxa"/>
              <w:bottom w:w="57" w:type="dxa"/>
              <w:right w:w="57" w:type="dxa"/>
            </w:tcMar>
            <w:hideMark/>
          </w:tcPr>
          <w:p w14:paraId="1066FD60" w14:textId="77777777" w:rsidR="008E788D" w:rsidRPr="001775D9" w:rsidRDefault="008E788D" w:rsidP="00D47253">
            <w:pPr>
              <w:spacing w:line="240" w:lineRule="auto"/>
              <w:rPr>
                <w:b/>
                <w:bCs/>
              </w:rPr>
            </w:pPr>
            <w:r w:rsidRPr="001775D9">
              <w:rPr>
                <w:b/>
                <w:bCs/>
              </w:rPr>
              <w:t>Do not</w:t>
            </w:r>
            <w:r w:rsidRPr="001775D9">
              <w:t xml:space="preserve"> shake the </w:t>
            </w:r>
            <w:r w:rsidRPr="001775D9">
              <w:rPr>
                <w:color w:val="000000"/>
                <w:szCs w:val="22"/>
              </w:rPr>
              <w:t xml:space="preserve">pre-filled </w:t>
            </w:r>
            <w:r w:rsidRPr="001775D9">
              <w:t>syringe.</w:t>
            </w:r>
          </w:p>
        </w:tc>
      </w:tr>
      <w:tr w:rsidR="008E788D" w:rsidRPr="00F04F82" w14:paraId="76391D71" w14:textId="77777777" w:rsidTr="00DA06C2">
        <w:trPr>
          <w:cantSplit/>
          <w:trHeight w:val="57"/>
        </w:trPr>
        <w:tc>
          <w:tcPr>
            <w:tcW w:w="313" w:type="pct"/>
            <w:tcBorders>
              <w:top w:val="nil"/>
              <w:left w:val="single" w:sz="4" w:space="0" w:color="auto"/>
              <w:bottom w:val="nil"/>
              <w:right w:val="nil"/>
            </w:tcBorders>
          </w:tcPr>
          <w:p w14:paraId="2705E3EB" w14:textId="77777777" w:rsidR="008E788D" w:rsidRPr="001775D9" w:rsidRDefault="008E788D" w:rsidP="00D47253">
            <w:pPr>
              <w:pStyle w:val="ListParagraph"/>
              <w:keepNext/>
              <w:numPr>
                <w:ilvl w:val="0"/>
                <w:numId w:val="42"/>
              </w:numPr>
              <w:tabs>
                <w:tab w:val="left" w:pos="567"/>
              </w:tabs>
              <w:ind w:left="567" w:hanging="567"/>
            </w:pPr>
          </w:p>
        </w:tc>
        <w:tc>
          <w:tcPr>
            <w:tcW w:w="4687" w:type="pct"/>
            <w:tcBorders>
              <w:top w:val="nil"/>
              <w:left w:val="nil"/>
              <w:bottom w:val="nil"/>
              <w:right w:val="single" w:sz="4" w:space="0" w:color="auto"/>
            </w:tcBorders>
            <w:tcMar>
              <w:top w:w="57" w:type="dxa"/>
              <w:left w:w="0" w:type="dxa"/>
              <w:bottom w:w="57" w:type="dxa"/>
              <w:right w:w="57" w:type="dxa"/>
            </w:tcMar>
            <w:hideMark/>
          </w:tcPr>
          <w:p w14:paraId="2805812B" w14:textId="77777777" w:rsidR="008E788D" w:rsidRPr="001775D9" w:rsidRDefault="008E788D" w:rsidP="00D47253">
            <w:pPr>
              <w:spacing w:line="240" w:lineRule="auto"/>
            </w:pPr>
            <w:r w:rsidRPr="001775D9">
              <w:rPr>
                <w:b/>
                <w:bCs/>
              </w:rPr>
              <w:t>Do not</w:t>
            </w:r>
            <w:r w:rsidRPr="001775D9">
              <w:t xml:space="preserve"> remove the needle cap from the </w:t>
            </w:r>
            <w:r w:rsidRPr="001775D9">
              <w:rPr>
                <w:color w:val="000000"/>
                <w:szCs w:val="22"/>
              </w:rPr>
              <w:t xml:space="preserve">pre-filled </w:t>
            </w:r>
            <w:r w:rsidRPr="001775D9">
              <w:t>syringe until you are ready to inject.</w:t>
            </w:r>
          </w:p>
        </w:tc>
      </w:tr>
      <w:tr w:rsidR="008E788D" w:rsidRPr="00F04F82" w14:paraId="495A07F8" w14:textId="77777777" w:rsidTr="00D55B59">
        <w:tblPrEx>
          <w:tblW w:w="4967"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PrExChange w:id="4431" w:author="Author">
            <w:tblPrEx>
              <w:tblW w:w="4967"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PrEx>
          </w:tblPrExChange>
        </w:tblPrEx>
        <w:trPr>
          <w:cantSplit/>
          <w:trHeight w:val="57"/>
          <w:trPrChange w:id="4432" w:author="Author">
            <w:trPr>
              <w:gridBefore w:val="2"/>
              <w:gridAfter w:val="0"/>
              <w:cantSplit/>
              <w:trHeight w:val="57"/>
            </w:trPr>
          </w:trPrChange>
        </w:trPr>
        <w:tc>
          <w:tcPr>
            <w:tcW w:w="313" w:type="pct"/>
            <w:tcBorders>
              <w:top w:val="nil"/>
              <w:left w:val="single" w:sz="4" w:space="0" w:color="auto"/>
              <w:bottom w:val="nil"/>
              <w:right w:val="nil"/>
            </w:tcBorders>
            <w:tcPrChange w:id="4433" w:author="Author">
              <w:tcPr>
                <w:tcW w:w="313" w:type="pct"/>
                <w:gridSpan w:val="2"/>
                <w:tcBorders>
                  <w:top w:val="nil"/>
                  <w:left w:val="single" w:sz="4" w:space="0" w:color="auto"/>
                  <w:bottom w:val="nil"/>
                  <w:right w:val="nil"/>
                </w:tcBorders>
              </w:tcPr>
            </w:tcPrChange>
          </w:tcPr>
          <w:p w14:paraId="082B7B8E" w14:textId="77777777" w:rsidR="008E788D" w:rsidRPr="001775D9" w:rsidRDefault="008E788D" w:rsidP="00D47253">
            <w:pPr>
              <w:pStyle w:val="ListParagraph"/>
              <w:keepNext/>
              <w:numPr>
                <w:ilvl w:val="0"/>
                <w:numId w:val="42"/>
              </w:numPr>
              <w:tabs>
                <w:tab w:val="left" w:pos="567"/>
              </w:tabs>
              <w:ind w:left="567" w:hanging="567"/>
            </w:pPr>
          </w:p>
        </w:tc>
        <w:tc>
          <w:tcPr>
            <w:tcW w:w="4687" w:type="pct"/>
            <w:tcBorders>
              <w:top w:val="nil"/>
              <w:left w:val="nil"/>
              <w:bottom w:val="nil"/>
              <w:right w:val="single" w:sz="4" w:space="0" w:color="auto"/>
            </w:tcBorders>
            <w:tcMar>
              <w:top w:w="57" w:type="dxa"/>
              <w:left w:w="0" w:type="dxa"/>
              <w:bottom w:w="57" w:type="dxa"/>
              <w:right w:w="57" w:type="dxa"/>
            </w:tcMar>
            <w:hideMark/>
            <w:tcPrChange w:id="4434" w:author="Author">
              <w:tcPr>
                <w:tcW w:w="4687" w:type="pct"/>
                <w:gridSpan w:val="3"/>
                <w:tcBorders>
                  <w:top w:val="nil"/>
                  <w:left w:val="nil"/>
                  <w:bottom w:val="nil"/>
                  <w:right w:val="single" w:sz="4" w:space="0" w:color="auto"/>
                </w:tcBorders>
                <w:tcMar>
                  <w:top w:w="57" w:type="dxa"/>
                  <w:left w:w="0" w:type="dxa"/>
                  <w:bottom w:w="57" w:type="dxa"/>
                  <w:right w:w="57" w:type="dxa"/>
                </w:tcMar>
                <w:hideMark/>
              </w:tcPr>
            </w:tcPrChange>
          </w:tcPr>
          <w:p w14:paraId="072FA1AC" w14:textId="77777777" w:rsidR="008E788D" w:rsidRPr="00F04F82" w:rsidRDefault="008E788D" w:rsidP="00D47253">
            <w:pPr>
              <w:spacing w:line="240" w:lineRule="auto"/>
            </w:pPr>
            <w:r w:rsidRPr="001775D9">
              <w:rPr>
                <w:b/>
                <w:bCs/>
              </w:rPr>
              <w:t>Do not</w:t>
            </w:r>
            <w:r w:rsidRPr="00F04F82">
              <w:t xml:space="preserve"> use the </w:t>
            </w:r>
            <w:r w:rsidRPr="00F04F82">
              <w:rPr>
                <w:color w:val="000000"/>
                <w:szCs w:val="22"/>
              </w:rPr>
              <w:t xml:space="preserve">pre-filled </w:t>
            </w:r>
            <w:r w:rsidRPr="00F04F82">
              <w:t>syringe if it has been frozen.</w:t>
            </w:r>
          </w:p>
        </w:tc>
      </w:tr>
      <w:tr w:rsidR="00DA06C2" w:rsidRPr="00F04F82" w14:paraId="0F4C5C70" w14:textId="77777777" w:rsidTr="00D55B59">
        <w:tblPrEx>
          <w:tblW w:w="4967"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PrExChange w:id="4435" w:author="Author">
            <w:tblPrEx>
              <w:tblW w:w="4967"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PrEx>
          </w:tblPrExChange>
        </w:tblPrEx>
        <w:trPr>
          <w:cantSplit/>
          <w:trHeight w:val="794"/>
          <w:trPrChange w:id="4436" w:author="Author">
            <w:trPr>
              <w:gridBefore w:val="3"/>
              <w:cantSplit/>
              <w:trHeight w:val="1139"/>
            </w:trPr>
          </w:trPrChange>
        </w:trPr>
        <w:tc>
          <w:tcPr>
            <w:tcW w:w="313" w:type="pct"/>
            <w:tcBorders>
              <w:top w:val="nil"/>
              <w:left w:val="single" w:sz="4" w:space="0" w:color="auto"/>
              <w:bottom w:val="nil"/>
              <w:right w:val="nil"/>
            </w:tcBorders>
            <w:tcPrChange w:id="4437" w:author="Author">
              <w:tcPr>
                <w:tcW w:w="313" w:type="pct"/>
                <w:gridSpan w:val="2"/>
                <w:tcBorders>
                  <w:top w:val="nil"/>
                  <w:left w:val="single" w:sz="4" w:space="0" w:color="auto"/>
                  <w:right w:val="nil"/>
                </w:tcBorders>
              </w:tcPr>
            </w:tcPrChange>
          </w:tcPr>
          <w:p w14:paraId="1DF08FAF" w14:textId="77777777" w:rsidR="00DA06C2" w:rsidRPr="001775D9" w:rsidRDefault="00DA06C2" w:rsidP="00D47253">
            <w:pPr>
              <w:pStyle w:val="ListParagraph"/>
              <w:keepNext/>
              <w:numPr>
                <w:ilvl w:val="0"/>
                <w:numId w:val="42"/>
              </w:numPr>
              <w:tabs>
                <w:tab w:val="left" w:pos="567"/>
              </w:tabs>
              <w:ind w:left="567" w:hanging="567"/>
            </w:pPr>
          </w:p>
        </w:tc>
        <w:tc>
          <w:tcPr>
            <w:tcW w:w="4687" w:type="pct"/>
            <w:tcBorders>
              <w:top w:val="nil"/>
              <w:left w:val="nil"/>
              <w:bottom w:val="nil"/>
              <w:right w:val="single" w:sz="4" w:space="0" w:color="auto"/>
            </w:tcBorders>
            <w:tcMar>
              <w:top w:w="57" w:type="dxa"/>
              <w:left w:w="0" w:type="dxa"/>
              <w:bottom w:w="57" w:type="dxa"/>
              <w:right w:w="57" w:type="dxa"/>
            </w:tcMar>
            <w:hideMark/>
            <w:tcPrChange w:id="4438" w:author="Author">
              <w:tcPr>
                <w:tcW w:w="4687" w:type="pct"/>
                <w:gridSpan w:val="3"/>
                <w:tcBorders>
                  <w:top w:val="nil"/>
                  <w:left w:val="nil"/>
                  <w:right w:val="single" w:sz="4" w:space="0" w:color="auto"/>
                </w:tcBorders>
                <w:tcMar>
                  <w:top w:w="57" w:type="dxa"/>
                  <w:left w:w="0" w:type="dxa"/>
                  <w:bottom w:w="57" w:type="dxa"/>
                  <w:right w:w="57" w:type="dxa"/>
                </w:tcMar>
                <w:hideMark/>
              </w:tcPr>
            </w:tcPrChange>
          </w:tcPr>
          <w:p w14:paraId="2ADFC1C0" w14:textId="77777777" w:rsidR="00DA06C2" w:rsidRPr="00F04F82" w:rsidDel="00DA06C2" w:rsidRDefault="00DA06C2" w:rsidP="00590677">
            <w:pPr>
              <w:spacing w:line="240" w:lineRule="auto"/>
              <w:rPr>
                <w:del w:id="4439" w:author="Author"/>
              </w:rPr>
            </w:pPr>
            <w:r w:rsidRPr="001775D9">
              <w:rPr>
                <w:b/>
                <w:color w:val="000000"/>
                <w:szCs w:val="22"/>
              </w:rPr>
              <w:t xml:space="preserve">Do not </w:t>
            </w:r>
            <w:r w:rsidRPr="00F04F82">
              <w:rPr>
                <w:color w:val="000000"/>
                <w:szCs w:val="22"/>
              </w:rPr>
              <w:t xml:space="preserve">use the pre-filled syringe if it has been dropped on a hard surface. Part of the pre-filled </w:t>
            </w:r>
            <w:r w:rsidRPr="001775D9">
              <w:rPr>
                <w:color w:val="000000"/>
                <w:szCs w:val="22"/>
              </w:rPr>
              <w:t>syringe may be broken even if you cannot see the break. Use a new pre-filled syringe and call your doctor or healthcare provider.</w:t>
            </w:r>
          </w:p>
          <w:p w14:paraId="30C4F734" w14:textId="6518AD14" w:rsidR="00DA06C2" w:rsidRPr="001775D9" w:rsidRDefault="00DA06C2" w:rsidP="00D55B59">
            <w:pPr>
              <w:spacing w:line="240" w:lineRule="auto"/>
              <w:pPrChange w:id="4440" w:author="Author">
                <w:pPr>
                  <w:pStyle w:val="ListParagraph"/>
                  <w:suppressAutoHyphens/>
                  <w:kinsoku w:val="0"/>
                  <w:overflowPunct w:val="0"/>
                  <w:autoSpaceDE w:val="0"/>
                  <w:autoSpaceDN w:val="0"/>
                  <w:ind w:left="0"/>
                  <w:jc w:val="both"/>
                  <w:textAlignment w:val="center"/>
                </w:pPr>
              </w:pPrChange>
            </w:pPr>
            <w:del w:id="4441" w:author="Author">
              <w:r w:rsidRPr="00F04F82" w:rsidDel="00A16177">
                <w:delText>The pre-filled syringe is not made with natural rubber latex.</w:delText>
              </w:r>
            </w:del>
          </w:p>
        </w:tc>
      </w:tr>
      <w:tr w:rsidR="008E788D" w:rsidRPr="00F04F82" w14:paraId="262AD323" w14:textId="77777777" w:rsidTr="0041717C">
        <w:trPr>
          <w:cantSplit/>
          <w:trHeight w:val="918"/>
        </w:trPr>
        <w:tc>
          <w:tcPr>
            <w:tcW w:w="5000" w:type="pct"/>
            <w:gridSpan w:val="2"/>
            <w:tcBorders>
              <w:top w:val="nil"/>
              <w:left w:val="single" w:sz="4" w:space="0" w:color="auto"/>
              <w:bottom w:val="single" w:sz="4" w:space="0" w:color="auto"/>
              <w:right w:val="single" w:sz="4" w:space="0" w:color="auto"/>
            </w:tcBorders>
            <w:hideMark/>
          </w:tcPr>
          <w:p w14:paraId="11708F01" w14:textId="75DA8F21" w:rsidR="008E788D" w:rsidRPr="001775D9" w:rsidRDefault="00D96030" w:rsidP="00D47253">
            <w:pPr>
              <w:spacing w:line="240" w:lineRule="auto"/>
              <w:rPr>
                <w:b/>
                <w:bCs/>
              </w:rPr>
            </w:pPr>
            <w:r>
              <w:pict w14:anchorId="3DD800F9">
                <v:shape id="_x0000_s2074" type="#_x0000_t202" style="position:absolute;margin-left:4.2pt;margin-top:2.8pt;width:439.1pt;height:34.7pt;z-index:1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" strokecolor="red" strokeweight="1.5pt">
                  <v:textbox style="mso-next-textbox:#_x0000_s2074;mso-fit-shape-to-text:t">
                    <w:txbxContent>
                      <w:p w14:paraId="1D006A45" w14:textId="32D16F72" w:rsidR="00D47253" w:rsidRPr="001775D9" w:rsidRDefault="00D47253" w:rsidP="00B61D9D">
                        <w:pPr>
                          <w:spacing w:line="240" w:lineRule="auto"/>
                        </w:pPr>
                        <w:r w:rsidRPr="001775D9">
                          <w:rPr>
                            <w:b/>
                            <w:bCs/>
                          </w:rPr>
                          <w:t>Important:</w:t>
                        </w:r>
                        <w:r w:rsidRPr="001775D9">
                          <w:t xml:space="preserve"> </w:t>
                        </w:r>
                        <w:r w:rsidRPr="001775D9">
                          <w:rPr>
                            <w:szCs w:val="22"/>
                          </w:rPr>
                          <w:t xml:space="preserve">Keep the </w:t>
                        </w:r>
                        <w:r w:rsidRPr="001775D9">
                          <w:rPr>
                            <w:color w:val="000000"/>
                            <w:szCs w:val="22"/>
                          </w:rPr>
                          <w:t>pre-filled syringe</w:t>
                        </w:r>
                        <w:r w:rsidRPr="001775D9">
                          <w:rPr>
                            <w:szCs w:val="22"/>
                          </w:rPr>
                          <w:t xml:space="preserve"> and sharps disposal container out of the sight and reach of children.</w:t>
                        </w:r>
                      </w:p>
                    </w:txbxContent>
                  </v:textbox>
                  <w10:wrap type="square" anchorx="margin"/>
                </v:shape>
              </w:pict>
            </w:r>
          </w:p>
        </w:tc>
      </w:tr>
    </w:tbl>
    <w:p w14:paraId="1D2DDB80" w14:textId="77777777" w:rsidR="008E788D" w:rsidRPr="001775D9" w:rsidRDefault="008E788D" w:rsidP="008E788D">
      <w:pPr>
        <w:spacing w:line="240" w:lineRule="auto"/>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7"/>
        <w:gridCol w:w="8364"/>
      </w:tblGrid>
      <w:tr w:rsidR="00721FFE" w:rsidRPr="00F04F82" w14:paraId="5CD6B638" w14:textId="27B3A033" w:rsidTr="00B61D9D">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34A84D6" w14:textId="639A5873" w:rsidR="00721FFE" w:rsidRPr="001775D9" w:rsidRDefault="00721FFE" w:rsidP="00B61D9D">
            <w:pPr>
              <w:keepNext/>
              <w:spacing w:line="240" w:lineRule="auto"/>
              <w:ind w:left="567" w:hanging="567"/>
              <w:rPr>
                <w:szCs w:val="22"/>
              </w:rPr>
            </w:pPr>
            <w:r w:rsidRPr="001775D9">
              <w:rPr>
                <w:b/>
                <w:bCs/>
                <w:szCs w:val="22"/>
              </w:rPr>
              <w:t>2</w:t>
            </w:r>
          </w:p>
        </w:tc>
        <w:tc>
          <w:tcPr>
            <w:tcW w:w="4646" w:type="pct"/>
            <w:tcBorders>
              <w:top w:val="single" w:sz="4" w:space="0" w:color="auto"/>
              <w:left w:val="single" w:sz="4" w:space="0" w:color="auto"/>
              <w:bottom w:val="single" w:sz="4" w:space="0" w:color="auto"/>
              <w:right w:val="single" w:sz="4" w:space="0" w:color="auto"/>
            </w:tcBorders>
          </w:tcPr>
          <w:p w14:paraId="31158E7C" w14:textId="77777777" w:rsidR="00721FFE" w:rsidRPr="001775D9" w:rsidRDefault="00721FFE" w:rsidP="00B61D9D">
            <w:pPr>
              <w:keepNext/>
              <w:spacing w:line="240" w:lineRule="auto"/>
              <w:rPr>
                <w:szCs w:val="22"/>
              </w:rPr>
            </w:pPr>
            <w:r w:rsidRPr="001775D9">
              <w:rPr>
                <w:b/>
                <w:bCs/>
                <w:szCs w:val="22"/>
              </w:rPr>
              <w:t>Preparing to inject AMGEVITA</w:t>
            </w:r>
          </w:p>
        </w:tc>
      </w:tr>
      <w:tr w:rsidR="008E788D" w:rsidRPr="00F04F82" w14:paraId="2FC089E2" w14:textId="77777777" w:rsidTr="00721FFE">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4197031" w14:textId="77777777" w:rsidR="008E788D" w:rsidRPr="001775D9" w:rsidRDefault="008E788D" w:rsidP="00D47253">
            <w:pPr>
              <w:keepNext/>
              <w:rPr>
                <w:b/>
                <w:bCs/>
                <w:szCs w:val="22"/>
              </w:rPr>
            </w:pPr>
            <w:r w:rsidRPr="001775D9">
              <w:rPr>
                <w:b/>
                <w:bCs/>
                <w:szCs w:val="22"/>
              </w:rPr>
              <w:t>2a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EF1DD38" w14:textId="70E1FE9D" w:rsidR="008E788D" w:rsidRPr="001775D9" w:rsidRDefault="008E788D" w:rsidP="00D47253">
            <w:pPr>
              <w:pStyle w:val="ListParagraph"/>
              <w:keepNext/>
              <w:ind w:left="567" w:hanging="567"/>
              <w:rPr>
                <w:sz w:val="22"/>
                <w:szCs w:val="22"/>
              </w:rPr>
            </w:pPr>
            <w:del w:id="4442" w:author="Author">
              <w:r w:rsidRPr="00F04F82" w:rsidDel="00943F00">
                <w:rPr>
                  <w:b/>
                  <w:bCs/>
                  <w:sz w:val="22"/>
                  <w:szCs w:val="22"/>
                </w:rPr>
                <w:delText xml:space="preserve">Grasp </w:delText>
              </w:r>
            </w:del>
            <w:ins w:id="4443" w:author="Author">
              <w:r w:rsidR="00943F00" w:rsidRPr="00F04F82">
                <w:rPr>
                  <w:b/>
                  <w:bCs/>
                  <w:sz w:val="22"/>
                  <w:szCs w:val="22"/>
                </w:rPr>
                <w:t xml:space="preserve">Hold </w:t>
              </w:r>
              <w:r w:rsidR="00AC7B31" w:rsidRPr="00F04F82">
                <w:rPr>
                  <w:b/>
                  <w:bCs/>
                  <w:sz w:val="22"/>
                  <w:szCs w:val="22"/>
                </w:rPr>
                <w:t xml:space="preserve">the </w:t>
              </w:r>
            </w:ins>
            <w:r w:rsidRPr="001775D9">
              <w:rPr>
                <w:b/>
                <w:bCs/>
                <w:sz w:val="22"/>
                <w:szCs w:val="22"/>
              </w:rPr>
              <w:t xml:space="preserve">pre-filled syringe by the body and remove </w:t>
            </w:r>
            <w:ins w:id="4444" w:author="Author">
              <w:r w:rsidR="0032537B" w:rsidRPr="00F04F82">
                <w:rPr>
                  <w:b/>
                  <w:bCs/>
                  <w:sz w:val="22"/>
                  <w:szCs w:val="22"/>
                </w:rPr>
                <w:t xml:space="preserve">it </w:t>
              </w:r>
            </w:ins>
            <w:r w:rsidRPr="001775D9">
              <w:rPr>
                <w:b/>
                <w:bCs/>
                <w:sz w:val="22"/>
                <w:szCs w:val="22"/>
              </w:rPr>
              <w:t>from the carton.</w:t>
            </w:r>
          </w:p>
        </w:tc>
      </w:tr>
      <w:tr w:rsidR="008E788D" w:rsidRPr="00F04F82" w14:paraId="40C447D7" w14:textId="77777777" w:rsidTr="00721FFE">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8766318" w14:textId="48991244" w:rsidR="008E788D" w:rsidRPr="001775D9" w:rsidRDefault="00D96030" w:rsidP="00D47253">
            <w:pPr>
              <w:pStyle w:val="ListParagraph"/>
              <w:keepNext/>
              <w:ind w:left="567" w:hanging="567"/>
              <w:jc w:val="center"/>
              <w:rPr>
                <w:b/>
                <w:bCs/>
              </w:rPr>
            </w:pPr>
            <w:r>
              <w:pict w14:anchorId="5C917FCC">
                <v:shape id="Picture 51" o:spid="_x0000_i1076" type="#_x0000_t75" style="width:252.5pt;height:128.5pt;visibility:visible;mso-wrap-style:square">
                  <v:imagedata r:id="rId70" o:title=""/>
                </v:shape>
              </w:pict>
            </w:r>
          </w:p>
        </w:tc>
      </w:tr>
      <w:tr w:rsidR="008E788D" w:rsidRPr="00F04F82" w14:paraId="75330825" w14:textId="77777777" w:rsidTr="00721FFE">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504DED1"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66E4DE5A" w14:textId="77777777" w:rsidR="008E788D" w:rsidRPr="001775D9" w:rsidRDefault="008E788D" w:rsidP="00D47253">
            <w:pPr>
              <w:rPr>
                <w:b/>
                <w:bCs/>
              </w:rPr>
            </w:pPr>
            <w:r w:rsidRPr="001775D9">
              <w:rPr>
                <w:b/>
                <w:bCs/>
                <w:szCs w:val="22"/>
              </w:rPr>
              <w:t xml:space="preserve">Do not </w:t>
            </w:r>
            <w:r w:rsidRPr="001775D9">
              <w:rPr>
                <w:szCs w:val="22"/>
              </w:rPr>
              <w:t>grab the finger grip, plunger rod, or the needle cap.</w:t>
            </w:r>
          </w:p>
        </w:tc>
      </w:tr>
      <w:tr w:rsidR="008E788D" w:rsidRPr="00F04F82" w14:paraId="0599A194" w14:textId="77777777" w:rsidTr="00721FFE">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1CC7165"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5B271691" w14:textId="77777777" w:rsidR="008E788D" w:rsidRPr="001775D9" w:rsidRDefault="008E788D" w:rsidP="00D47253">
            <w:pPr>
              <w:rPr>
                <w:b/>
                <w:bCs/>
              </w:rPr>
            </w:pPr>
            <w:r w:rsidRPr="001775D9">
              <w:rPr>
                <w:szCs w:val="22"/>
              </w:rPr>
              <w:t xml:space="preserve">Remove the number of </w:t>
            </w:r>
            <w:r w:rsidRPr="001775D9">
              <w:rPr>
                <w:color w:val="000000"/>
                <w:szCs w:val="22"/>
              </w:rPr>
              <w:t>pre-filled</w:t>
            </w:r>
            <w:r w:rsidRPr="001775D9">
              <w:rPr>
                <w:szCs w:val="22"/>
              </w:rPr>
              <w:t xml:space="preserve"> syringes you need for your injection.</w:t>
            </w:r>
          </w:p>
        </w:tc>
      </w:tr>
      <w:tr w:rsidR="008E788D" w:rsidRPr="00F04F82" w14:paraId="765B3115" w14:textId="77777777" w:rsidTr="00721FFE">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71D869A1"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hideMark/>
          </w:tcPr>
          <w:p w14:paraId="16592E8A" w14:textId="77777777" w:rsidR="008E788D" w:rsidRPr="001775D9" w:rsidRDefault="008E788D" w:rsidP="00D47253">
            <w:r w:rsidRPr="001775D9">
              <w:rPr>
                <w:szCs w:val="22"/>
              </w:rPr>
              <w:t xml:space="preserve">Put any unused </w:t>
            </w:r>
            <w:r w:rsidRPr="001775D9">
              <w:rPr>
                <w:color w:val="000000"/>
                <w:szCs w:val="22"/>
              </w:rPr>
              <w:t>pre-filled</w:t>
            </w:r>
            <w:r w:rsidRPr="001775D9">
              <w:rPr>
                <w:szCs w:val="22"/>
              </w:rPr>
              <w:t xml:space="preserve"> syringes back into the refrigerator.</w:t>
            </w:r>
          </w:p>
        </w:tc>
      </w:tr>
    </w:tbl>
    <w:p w14:paraId="2376E160" w14:textId="77777777" w:rsidR="008E788D" w:rsidRPr="001775D9" w:rsidRDefault="008E788D" w:rsidP="008E788D">
      <w:pPr>
        <w:spacing w:line="240" w:lineRule="auto"/>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7"/>
        <w:gridCol w:w="8364"/>
      </w:tblGrid>
      <w:tr w:rsidR="008E788D" w:rsidRPr="00F04F82" w14:paraId="72DD364B" w14:textId="77777777" w:rsidTr="00D47253">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2B0E556" w14:textId="77777777" w:rsidR="008E788D" w:rsidRPr="001775D9" w:rsidRDefault="008E788D" w:rsidP="00D47253">
            <w:pPr>
              <w:keepNext/>
              <w:rPr>
                <w:b/>
                <w:bCs/>
                <w:szCs w:val="22"/>
              </w:rPr>
            </w:pPr>
            <w:r w:rsidRPr="001775D9">
              <w:rPr>
                <w:b/>
                <w:bCs/>
                <w:szCs w:val="22"/>
              </w:rPr>
              <w:t>2b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75AD653" w14:textId="1A0CB162" w:rsidR="008E788D" w:rsidRPr="001775D9" w:rsidRDefault="008E788D" w:rsidP="00D47253">
            <w:pPr>
              <w:pStyle w:val="ListParagraph"/>
              <w:ind w:left="567" w:hanging="567"/>
              <w:rPr>
                <w:sz w:val="22"/>
                <w:szCs w:val="22"/>
              </w:rPr>
            </w:pPr>
            <w:r w:rsidRPr="001775D9">
              <w:rPr>
                <w:b/>
                <w:bCs/>
                <w:sz w:val="22"/>
                <w:szCs w:val="22"/>
              </w:rPr>
              <w:t xml:space="preserve">Wait </w:t>
            </w:r>
            <w:ins w:id="4445" w:author="Author">
              <w:r w:rsidR="0032537B" w:rsidRPr="00F04F82">
                <w:rPr>
                  <w:b/>
                  <w:bCs/>
                  <w:sz w:val="22"/>
                  <w:szCs w:val="22"/>
                </w:rPr>
                <w:t xml:space="preserve">15 to </w:t>
              </w:r>
            </w:ins>
            <w:r w:rsidRPr="001775D9">
              <w:rPr>
                <w:b/>
                <w:bCs/>
                <w:sz w:val="22"/>
                <w:szCs w:val="22"/>
              </w:rPr>
              <w:t>30 minutes for the pre-filled syringe to reach room temperature.</w:t>
            </w:r>
          </w:p>
        </w:tc>
      </w:tr>
      <w:tr w:rsidR="008E788D" w:rsidRPr="00F04F82" w14:paraId="77FC29C7" w14:textId="77777777" w:rsidTr="00D47253">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B78DD19" w14:textId="77777777" w:rsidR="008E788D" w:rsidRPr="001775D9" w:rsidRDefault="008E788D" w:rsidP="00D47253">
            <w:pPr>
              <w:spacing w:line="240" w:lineRule="auto"/>
              <w:jc w:val="center"/>
              <w:rPr>
                <w:b/>
                <w:bCs/>
                <w:sz w:val="36"/>
                <w:szCs w:val="36"/>
              </w:rPr>
            </w:pPr>
          </w:p>
          <w:p w14:paraId="56C6D9AE" w14:textId="77777777" w:rsidR="008E788D" w:rsidRPr="001775D9" w:rsidRDefault="008E788D" w:rsidP="00D47253">
            <w:pPr>
              <w:spacing w:line="240" w:lineRule="auto"/>
              <w:jc w:val="center"/>
              <w:rPr>
                <w:b/>
                <w:bCs/>
                <w:sz w:val="36"/>
                <w:szCs w:val="36"/>
              </w:rPr>
            </w:pPr>
            <w:r w:rsidRPr="001775D9">
              <w:rPr>
                <w:b/>
                <w:bCs/>
                <w:sz w:val="36"/>
                <w:szCs w:val="36"/>
              </w:rPr>
              <w:t>WAIT</w:t>
            </w:r>
          </w:p>
          <w:p w14:paraId="2599BAA2" w14:textId="27EE9511" w:rsidR="008E788D" w:rsidRPr="001775D9" w:rsidRDefault="00AC7B31" w:rsidP="00D47253">
            <w:pPr>
              <w:spacing w:line="240" w:lineRule="auto"/>
              <w:jc w:val="center"/>
              <w:rPr>
                <w:b/>
                <w:bCs/>
                <w:sz w:val="36"/>
                <w:szCs w:val="36"/>
              </w:rPr>
            </w:pPr>
            <w:ins w:id="4446" w:author="Author">
              <w:r w:rsidRPr="00F04F82">
                <w:rPr>
                  <w:b/>
                  <w:bCs/>
                  <w:sz w:val="36"/>
                  <w:szCs w:val="36"/>
                </w:rPr>
                <w:t xml:space="preserve">15 to </w:t>
              </w:r>
            </w:ins>
            <w:r w:rsidR="008E788D" w:rsidRPr="001775D9">
              <w:rPr>
                <w:b/>
                <w:bCs/>
                <w:sz w:val="36"/>
                <w:szCs w:val="36"/>
              </w:rPr>
              <w:t>30</w:t>
            </w:r>
          </w:p>
          <w:p w14:paraId="1599AB33" w14:textId="77777777" w:rsidR="008E788D" w:rsidRPr="001775D9" w:rsidRDefault="008E788D" w:rsidP="00D47253">
            <w:pPr>
              <w:spacing w:line="240" w:lineRule="auto"/>
              <w:jc w:val="center"/>
              <w:rPr>
                <w:b/>
                <w:bCs/>
                <w:sz w:val="36"/>
                <w:szCs w:val="36"/>
              </w:rPr>
            </w:pPr>
            <w:r w:rsidRPr="001775D9">
              <w:rPr>
                <w:b/>
                <w:bCs/>
                <w:sz w:val="36"/>
                <w:szCs w:val="36"/>
              </w:rPr>
              <w:t>minutes</w:t>
            </w:r>
          </w:p>
          <w:p w14:paraId="43498EE8" w14:textId="77777777" w:rsidR="008E788D" w:rsidRPr="001775D9" w:rsidRDefault="008E788D" w:rsidP="00D47253">
            <w:pPr>
              <w:pStyle w:val="ListParagraph"/>
              <w:ind w:left="567" w:hanging="567"/>
              <w:rPr>
                <w:b/>
                <w:bCs/>
              </w:rPr>
            </w:pPr>
          </w:p>
        </w:tc>
      </w:tr>
      <w:tr w:rsidR="008E788D" w:rsidRPr="00F04F82" w14:paraId="593C3C39"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FDBACC8"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4980474D" w14:textId="77777777" w:rsidR="008E788D" w:rsidRPr="001775D9" w:rsidRDefault="008E788D" w:rsidP="00D47253">
            <w:pPr>
              <w:spacing w:line="240" w:lineRule="auto"/>
              <w:rPr>
                <w:b/>
                <w:bCs/>
              </w:rPr>
            </w:pPr>
            <w:r w:rsidRPr="001775D9">
              <w:rPr>
                <w:szCs w:val="22"/>
              </w:rPr>
              <w:t xml:space="preserve">Let the </w:t>
            </w:r>
            <w:r w:rsidRPr="001775D9">
              <w:rPr>
                <w:color w:val="000000"/>
                <w:szCs w:val="22"/>
              </w:rPr>
              <w:t xml:space="preserve">pre-filled </w:t>
            </w:r>
            <w:r w:rsidRPr="001775D9">
              <w:rPr>
                <w:szCs w:val="22"/>
              </w:rPr>
              <w:t>syringe warm up naturally.</w:t>
            </w:r>
          </w:p>
        </w:tc>
      </w:tr>
      <w:tr w:rsidR="008E788D" w:rsidRPr="00F04F82" w14:paraId="3CB8B9F5"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6DF3C15"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6D10E89D" w14:textId="3C15E297" w:rsidR="008E788D" w:rsidRPr="001775D9" w:rsidRDefault="008E788D" w:rsidP="00D47253">
            <w:pPr>
              <w:spacing w:line="240" w:lineRule="auto"/>
            </w:pPr>
            <w:r w:rsidRPr="001775D9">
              <w:rPr>
                <w:b/>
                <w:bCs/>
                <w:szCs w:val="22"/>
              </w:rPr>
              <w:t>Do not</w:t>
            </w:r>
            <w:r w:rsidRPr="001775D9">
              <w:rPr>
                <w:szCs w:val="22"/>
              </w:rPr>
              <w:t xml:space="preserve"> heat </w:t>
            </w:r>
            <w:ins w:id="4447" w:author="Author">
              <w:r w:rsidR="001710BB" w:rsidRPr="00F04F82">
                <w:rPr>
                  <w:szCs w:val="22"/>
                </w:rPr>
                <w:t xml:space="preserve">the pre-filled syringe </w:t>
              </w:r>
            </w:ins>
            <w:r w:rsidRPr="001775D9">
              <w:rPr>
                <w:szCs w:val="22"/>
              </w:rPr>
              <w:t>with hot water, a microwave, or direct sunlight.</w:t>
            </w:r>
          </w:p>
        </w:tc>
      </w:tr>
      <w:tr w:rsidR="008E788D" w:rsidRPr="00F04F82" w14:paraId="58956018"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5C2CDA3"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6D57B3B0" w14:textId="77777777" w:rsidR="008E788D" w:rsidRPr="001775D9" w:rsidRDefault="008E788D" w:rsidP="00D47253">
            <w:pPr>
              <w:spacing w:line="240" w:lineRule="auto"/>
            </w:pPr>
            <w:r w:rsidRPr="001775D9">
              <w:rPr>
                <w:b/>
                <w:bCs/>
                <w:szCs w:val="22"/>
              </w:rPr>
              <w:t>Do not</w:t>
            </w:r>
            <w:r w:rsidRPr="001775D9">
              <w:rPr>
                <w:szCs w:val="22"/>
              </w:rPr>
              <w:t xml:space="preserve"> shake the </w:t>
            </w:r>
            <w:r w:rsidRPr="001775D9">
              <w:rPr>
                <w:color w:val="000000"/>
                <w:szCs w:val="22"/>
              </w:rPr>
              <w:t xml:space="preserve">pre-filled </w:t>
            </w:r>
            <w:r w:rsidRPr="001775D9">
              <w:rPr>
                <w:szCs w:val="22"/>
              </w:rPr>
              <w:t>syringe at any time.</w:t>
            </w:r>
          </w:p>
        </w:tc>
      </w:tr>
      <w:tr w:rsidR="00E546D3" w:rsidRPr="00F04F82" w14:paraId="57640ACA"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CB7B8AE" w14:textId="77777777" w:rsidR="00E546D3" w:rsidRPr="001775D9" w:rsidRDefault="00E546D3"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6F34CB31" w14:textId="7F4A60EF" w:rsidR="00E546D3" w:rsidRPr="001775D9" w:rsidRDefault="00E546D3" w:rsidP="00D47253">
            <w:pPr>
              <w:spacing w:line="240" w:lineRule="auto"/>
              <w:rPr>
                <w:b/>
                <w:bCs/>
                <w:szCs w:val="22"/>
              </w:rPr>
            </w:pPr>
            <w:r w:rsidRPr="001775D9">
              <w:rPr>
                <w:b/>
                <w:bCs/>
                <w:szCs w:val="22"/>
              </w:rPr>
              <w:t xml:space="preserve">Do not </w:t>
            </w:r>
            <w:r w:rsidRPr="001775D9">
              <w:rPr>
                <w:szCs w:val="22"/>
              </w:rPr>
              <w:t>place pre-filled syringe back in refrigerator after it has reached room temperature</w:t>
            </w:r>
            <w:ins w:id="4448" w:author="Author">
              <w:r w:rsidR="00B74648" w:rsidRPr="00F04F82">
                <w:rPr>
                  <w:szCs w:val="22"/>
                </w:rPr>
                <w:t>.</w:t>
              </w:r>
              <w:del w:id="4449" w:author="Author">
                <w:r w:rsidR="003A3695" w:rsidRPr="00F04F82" w:rsidDel="00B74648">
                  <w:rPr>
                    <w:szCs w:val="22"/>
                  </w:rPr>
                  <w:delText>,</w:delText>
                </w:r>
              </w:del>
            </w:ins>
          </w:p>
        </w:tc>
      </w:tr>
      <w:tr w:rsidR="008E788D" w:rsidRPr="00F04F82" w14:paraId="798A3A9A" w14:textId="77777777" w:rsidTr="00D47253">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75946DFB"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5A4C1A49" w14:textId="77777777" w:rsidR="008E788D" w:rsidRPr="001775D9" w:rsidRDefault="008E788D" w:rsidP="00D47253">
            <w:pPr>
              <w:pStyle w:val="ListParagraph"/>
              <w:ind w:left="0"/>
              <w:rPr>
                <w:b/>
                <w:bCs/>
                <w:sz w:val="22"/>
                <w:szCs w:val="22"/>
              </w:rPr>
            </w:pPr>
            <w:r w:rsidRPr="001775D9">
              <w:rPr>
                <w:sz w:val="22"/>
                <w:szCs w:val="22"/>
              </w:rPr>
              <w:t xml:space="preserve">Using the </w:t>
            </w:r>
            <w:r w:rsidRPr="001775D9">
              <w:rPr>
                <w:color w:val="000000"/>
                <w:sz w:val="22"/>
                <w:szCs w:val="22"/>
              </w:rPr>
              <w:t xml:space="preserve">pre-filled </w:t>
            </w:r>
            <w:r w:rsidRPr="001775D9">
              <w:rPr>
                <w:sz w:val="22"/>
                <w:szCs w:val="22"/>
              </w:rPr>
              <w:t>syringe at room temperature allows for a more comfortable injection</w:t>
            </w:r>
            <w:r w:rsidRPr="00D55B59">
              <w:rPr>
                <w:sz w:val="22"/>
                <w:szCs w:val="22"/>
                <w:rPrChange w:id="4450" w:author="Author">
                  <w:rPr>
                    <w:b/>
                    <w:bCs/>
                    <w:sz w:val="22"/>
                    <w:szCs w:val="22"/>
                  </w:rPr>
                </w:rPrChange>
              </w:rPr>
              <w:t>.</w:t>
            </w:r>
            <w:r w:rsidRPr="001775D9">
              <w:rPr>
                <w:b/>
                <w:bCs/>
                <w:sz w:val="22"/>
                <w:szCs w:val="22"/>
              </w:rPr>
              <w:t xml:space="preserve"> </w:t>
            </w:r>
          </w:p>
          <w:p w14:paraId="34995623" w14:textId="77777777" w:rsidR="008E788D" w:rsidRPr="001775D9" w:rsidRDefault="008E788D" w:rsidP="00D47253">
            <w:pPr>
              <w:spacing w:line="240" w:lineRule="auto"/>
            </w:pPr>
          </w:p>
        </w:tc>
      </w:tr>
    </w:tbl>
    <w:p w14:paraId="46F7277F" w14:textId="77777777" w:rsidR="008E788D" w:rsidRPr="001775D9" w:rsidRDefault="008E788D" w:rsidP="008E788D">
      <w:pPr>
        <w:spacing w:line="240" w:lineRule="auto"/>
        <w:rPr>
          <w:b/>
          <w:bCs/>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4451"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38"/>
        <w:gridCol w:w="482"/>
        <w:gridCol w:w="3260"/>
        <w:gridCol w:w="4621"/>
        <w:tblGridChange w:id="4452">
          <w:tblGrid>
            <w:gridCol w:w="638"/>
            <w:gridCol w:w="482"/>
            <w:gridCol w:w="3260"/>
            <w:gridCol w:w="4621"/>
          </w:tblGrid>
        </w:tblGridChange>
      </w:tblGrid>
      <w:tr w:rsidR="008E788D" w:rsidRPr="00F04F82" w14:paraId="4AEEC639" w14:textId="77777777" w:rsidTr="00D55B59">
        <w:trPr>
          <w:cantSplit/>
          <w:trHeight w:val="510"/>
          <w:trPrChange w:id="4453" w:author="Author">
            <w:trPr>
              <w:cantSplit/>
              <w:trHeight w:val="510"/>
            </w:trPr>
          </w:trPrChange>
        </w:trPr>
        <w:tc>
          <w:tcPr>
            <w:tcW w:w="354" w:type="pct"/>
            <w:tcBorders>
              <w:top w:val="single" w:sz="4" w:space="0" w:color="auto"/>
              <w:left w:val="single" w:sz="4" w:space="0" w:color="auto"/>
              <w:bottom w:val="single" w:sz="4" w:space="0" w:color="000000"/>
              <w:right w:val="single" w:sz="4" w:space="0" w:color="auto"/>
            </w:tcBorders>
            <w:tcMar>
              <w:top w:w="28" w:type="dxa"/>
              <w:left w:w="57" w:type="dxa"/>
              <w:bottom w:w="28" w:type="dxa"/>
              <w:right w:w="57" w:type="dxa"/>
            </w:tcMar>
            <w:hideMark/>
            <w:tcPrChange w:id="4454" w:author="Author">
              <w:tcPr>
                <w:tcW w:w="354" w:type="pct"/>
                <w:tcBorders>
                  <w:top w:val="single" w:sz="4" w:space="0" w:color="auto"/>
                  <w:left w:val="single" w:sz="4" w:space="0" w:color="auto"/>
                  <w:bottom w:val="nil"/>
                  <w:right w:val="single" w:sz="4" w:space="0" w:color="auto"/>
                </w:tcBorders>
                <w:tcMar>
                  <w:top w:w="28" w:type="dxa"/>
                  <w:left w:w="57" w:type="dxa"/>
                  <w:bottom w:w="28" w:type="dxa"/>
                  <w:right w:w="57" w:type="dxa"/>
                </w:tcMar>
                <w:hideMark/>
              </w:tcPr>
            </w:tcPrChange>
          </w:tcPr>
          <w:p w14:paraId="12B30F3A" w14:textId="77777777" w:rsidR="008E788D" w:rsidRPr="001775D9" w:rsidRDefault="008E788D" w:rsidP="00D47253">
            <w:pPr>
              <w:keepNext/>
              <w:rPr>
                <w:b/>
                <w:bCs/>
              </w:rPr>
            </w:pPr>
            <w:r w:rsidRPr="001775D9">
              <w:rPr>
                <w:b/>
                <w:bCs/>
              </w:rPr>
              <w:t>2c</w:t>
            </w:r>
          </w:p>
        </w:tc>
        <w:tc>
          <w:tcPr>
            <w:tcW w:w="4646" w:type="pct"/>
            <w:gridSpan w:val="3"/>
            <w:tcBorders>
              <w:top w:val="single" w:sz="4" w:space="0" w:color="auto"/>
              <w:left w:val="single" w:sz="4" w:space="0" w:color="auto"/>
              <w:bottom w:val="single" w:sz="4" w:space="0" w:color="000000"/>
              <w:right w:val="single" w:sz="4" w:space="0" w:color="auto"/>
            </w:tcBorders>
            <w:tcMar>
              <w:top w:w="28" w:type="dxa"/>
              <w:left w:w="57" w:type="dxa"/>
              <w:bottom w:w="28" w:type="dxa"/>
              <w:right w:w="57" w:type="dxa"/>
            </w:tcMar>
            <w:tcPrChange w:id="4455" w:author="Author">
              <w:tcPr>
                <w:tcW w:w="4646"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tcPrChange>
          </w:tcPr>
          <w:p w14:paraId="4254D150" w14:textId="4FAED2DD" w:rsidR="008E788D" w:rsidRPr="00247EF0" w:rsidRDefault="008E788D" w:rsidP="00247EF0">
            <w:pPr>
              <w:pStyle w:val="ListParagraph"/>
              <w:ind w:left="0"/>
              <w:rPr>
                <w:b/>
                <w:bCs/>
                <w:sz w:val="22"/>
                <w:szCs w:val="22"/>
              </w:rPr>
            </w:pPr>
            <w:r w:rsidRPr="001775D9">
              <w:rPr>
                <w:b/>
                <w:bCs/>
                <w:sz w:val="22"/>
                <w:szCs w:val="22"/>
              </w:rPr>
              <w:t>Gather and place the</w:t>
            </w:r>
            <w:ins w:id="4456" w:author="Author">
              <w:r w:rsidR="00FC456D" w:rsidRPr="00F04F82">
                <w:rPr>
                  <w:b/>
                  <w:bCs/>
                  <w:sz w:val="22"/>
                  <w:szCs w:val="22"/>
                </w:rPr>
                <w:t xml:space="preserve"> following</w:t>
              </w:r>
            </w:ins>
            <w:r w:rsidRPr="00F04F82">
              <w:rPr>
                <w:b/>
                <w:bCs/>
                <w:sz w:val="22"/>
                <w:szCs w:val="22"/>
              </w:rPr>
              <w:t xml:space="preserve"> items for your injection on a clean, </w:t>
            </w:r>
            <w:ins w:id="4457" w:author="Author">
              <w:r w:rsidR="00FC456D" w:rsidRPr="00F04F82">
                <w:rPr>
                  <w:b/>
                  <w:bCs/>
                  <w:sz w:val="22"/>
                  <w:szCs w:val="22"/>
                </w:rPr>
                <w:t xml:space="preserve">flat and </w:t>
              </w:r>
            </w:ins>
            <w:r w:rsidRPr="00F04F82">
              <w:rPr>
                <w:b/>
                <w:bCs/>
                <w:sz w:val="22"/>
                <w:szCs w:val="22"/>
              </w:rPr>
              <w:t xml:space="preserve">well-lit </w:t>
            </w:r>
            <w:r w:rsidRPr="001775D9">
              <w:rPr>
                <w:b/>
                <w:bCs/>
                <w:sz w:val="22"/>
                <w:szCs w:val="22"/>
              </w:rPr>
              <w:t>surface.</w:t>
            </w:r>
          </w:p>
        </w:tc>
      </w:tr>
      <w:tr w:rsidR="00247EF0" w:rsidRPr="00F04F82" w14:paraId="0DBB97B9" w14:textId="354AD8A9" w:rsidTr="004C2EC3">
        <w:trPr>
          <w:cantSplit/>
          <w:trHeight w:val="2586"/>
        </w:trPr>
        <w:tc>
          <w:tcPr>
            <w:tcW w:w="622" w:type="pct"/>
            <w:gridSpan w:val="2"/>
            <w:tcBorders>
              <w:top w:val="nil"/>
              <w:left w:val="single" w:sz="4" w:space="0" w:color="000000"/>
              <w:bottom w:val="single" w:sz="4" w:space="0" w:color="000000"/>
              <w:right w:val="nil"/>
            </w:tcBorders>
            <w:tcMar>
              <w:top w:w="28" w:type="dxa"/>
              <w:left w:w="57" w:type="dxa"/>
              <w:bottom w:w="28" w:type="dxa"/>
              <w:right w:w="57" w:type="dxa"/>
            </w:tcMar>
          </w:tcPr>
          <w:p w14:paraId="0BBCED76" w14:textId="77777777" w:rsidR="00247EF0" w:rsidRDefault="00247EF0" w:rsidP="00247EF0">
            <w:pPr>
              <w:pStyle w:val="ListParagraph"/>
              <w:ind w:left="567" w:hanging="567"/>
              <w:rPr>
                <w:sz w:val="22"/>
                <w:szCs w:val="22"/>
              </w:rPr>
            </w:pPr>
          </w:p>
          <w:p w14:paraId="538269BD" w14:textId="77777777" w:rsidR="00247EF0" w:rsidRDefault="00247EF0" w:rsidP="00247EF0">
            <w:pPr>
              <w:pStyle w:val="ListParagraph"/>
              <w:ind w:left="567" w:hanging="567"/>
              <w:rPr>
                <w:sz w:val="22"/>
                <w:szCs w:val="22"/>
              </w:rPr>
            </w:pPr>
          </w:p>
          <w:p w14:paraId="509520BB" w14:textId="77777777" w:rsidR="00247EF0" w:rsidRDefault="00247EF0" w:rsidP="00247EF0">
            <w:pPr>
              <w:pStyle w:val="ListParagraph"/>
              <w:ind w:left="567" w:hanging="567"/>
              <w:rPr>
                <w:sz w:val="22"/>
                <w:szCs w:val="22"/>
              </w:rPr>
            </w:pPr>
          </w:p>
          <w:p w14:paraId="7287113A" w14:textId="77777777" w:rsidR="00247EF0" w:rsidRDefault="00247EF0" w:rsidP="00247EF0">
            <w:pPr>
              <w:pStyle w:val="ListParagraph"/>
              <w:ind w:left="567" w:hanging="567"/>
              <w:rPr>
                <w:sz w:val="22"/>
                <w:szCs w:val="22"/>
              </w:rPr>
            </w:pPr>
          </w:p>
          <w:p w14:paraId="67D7CCA8" w14:textId="77777777" w:rsidR="00247EF0" w:rsidRDefault="00247EF0" w:rsidP="00247EF0">
            <w:pPr>
              <w:pStyle w:val="ListParagraph"/>
              <w:ind w:left="567" w:hanging="567"/>
              <w:rPr>
                <w:sz w:val="22"/>
                <w:szCs w:val="22"/>
              </w:rPr>
            </w:pPr>
          </w:p>
          <w:p w14:paraId="497E4F78" w14:textId="5F9EBD7A" w:rsidR="00247EF0" w:rsidRPr="001775D9" w:rsidRDefault="00247EF0" w:rsidP="00247EF0">
            <w:pPr>
              <w:pStyle w:val="ListParagraph"/>
              <w:ind w:left="0"/>
              <w:rPr>
                <w:b/>
                <w:bCs/>
                <w:sz w:val="22"/>
                <w:szCs w:val="22"/>
              </w:rPr>
            </w:pPr>
            <w:r w:rsidRPr="00F04F82">
              <w:rPr>
                <w:sz w:val="22"/>
                <w:szCs w:val="22"/>
              </w:rPr>
              <w:t>Sharps disposal container</w:t>
            </w:r>
          </w:p>
        </w:tc>
        <w:tc>
          <w:tcPr>
            <w:tcW w:w="1811" w:type="pct"/>
            <w:tcBorders>
              <w:top w:val="nil"/>
              <w:left w:val="nil"/>
              <w:bottom w:val="single" w:sz="4" w:space="0" w:color="000000"/>
              <w:right w:val="nil"/>
            </w:tcBorders>
          </w:tcPr>
          <w:p w14:paraId="48045223" w14:textId="4B1146A0" w:rsidR="00247EF0" w:rsidRPr="001775D9" w:rsidRDefault="00D96030" w:rsidP="00D47253">
            <w:pPr>
              <w:pStyle w:val="ListParagraph"/>
              <w:ind w:left="567" w:hanging="567"/>
              <w:rPr>
                <w:b/>
                <w:bCs/>
                <w:sz w:val="22"/>
                <w:szCs w:val="22"/>
              </w:rPr>
            </w:pPr>
            <w:r>
              <w:rPr>
                <w:b/>
                <w:bCs/>
                <w:sz w:val="22"/>
                <w:szCs w:val="22"/>
              </w:rPr>
              <w:pict w14:anchorId="6FDE4C11">
                <v:shape id="_x0000_i1077" type="#_x0000_t75" style="width:2in;height:128pt">
                  <v:imagedata r:id="rId71" o:title="ILL02524"/>
                </v:shape>
              </w:pict>
            </w:r>
          </w:p>
        </w:tc>
        <w:tc>
          <w:tcPr>
            <w:tcW w:w="2566" w:type="pct"/>
            <w:tcBorders>
              <w:top w:val="nil"/>
              <w:left w:val="nil"/>
              <w:bottom w:val="single" w:sz="4" w:space="0" w:color="000000"/>
              <w:right w:val="single" w:sz="4" w:space="0" w:color="000000"/>
            </w:tcBorders>
          </w:tcPr>
          <w:p w14:paraId="70EC288C" w14:textId="77777777" w:rsidR="00247EF0" w:rsidRDefault="00247EF0" w:rsidP="00247EF0">
            <w:pPr>
              <w:pStyle w:val="ListParagraph"/>
              <w:ind w:left="567" w:hanging="567"/>
              <w:rPr>
                <w:sz w:val="22"/>
                <w:szCs w:val="22"/>
              </w:rPr>
            </w:pPr>
          </w:p>
          <w:p w14:paraId="47F80CCF" w14:textId="3C0A4454" w:rsidR="00247EF0" w:rsidRPr="00247EF0" w:rsidRDefault="00247EF0" w:rsidP="00247EF0">
            <w:pPr>
              <w:pStyle w:val="ListParagraph"/>
              <w:ind w:left="567" w:hanging="567"/>
              <w:rPr>
                <w:sz w:val="22"/>
                <w:szCs w:val="22"/>
              </w:rPr>
            </w:pPr>
            <w:r w:rsidRPr="00247EF0">
              <w:rPr>
                <w:sz w:val="22"/>
                <w:szCs w:val="22"/>
              </w:rPr>
              <w:t>Alcohol wipe</w:t>
            </w:r>
          </w:p>
          <w:p w14:paraId="12104B87" w14:textId="77777777" w:rsidR="00247EF0" w:rsidRPr="00247EF0" w:rsidRDefault="00247EF0" w:rsidP="00247EF0">
            <w:pPr>
              <w:pStyle w:val="ListParagraph"/>
              <w:ind w:left="567" w:hanging="567"/>
              <w:rPr>
                <w:sz w:val="22"/>
                <w:szCs w:val="22"/>
              </w:rPr>
            </w:pPr>
          </w:p>
          <w:p w14:paraId="162E23DB" w14:textId="77777777" w:rsidR="00247EF0" w:rsidRPr="00247EF0" w:rsidRDefault="00247EF0" w:rsidP="00247EF0">
            <w:pPr>
              <w:pStyle w:val="ListParagraph"/>
              <w:ind w:left="567" w:hanging="567"/>
              <w:rPr>
                <w:sz w:val="22"/>
                <w:szCs w:val="22"/>
              </w:rPr>
            </w:pPr>
          </w:p>
          <w:p w14:paraId="032249AD" w14:textId="77777777" w:rsidR="00247EF0" w:rsidRPr="00247EF0" w:rsidRDefault="00247EF0" w:rsidP="00247EF0">
            <w:pPr>
              <w:pStyle w:val="ListParagraph"/>
              <w:ind w:left="567" w:hanging="567"/>
              <w:rPr>
                <w:sz w:val="22"/>
                <w:szCs w:val="22"/>
              </w:rPr>
            </w:pPr>
            <w:r w:rsidRPr="00247EF0">
              <w:rPr>
                <w:sz w:val="22"/>
                <w:szCs w:val="22"/>
              </w:rPr>
              <w:t>Plaster</w:t>
            </w:r>
          </w:p>
          <w:p w14:paraId="55711F67" w14:textId="77777777" w:rsidR="00247EF0" w:rsidRPr="00247EF0" w:rsidRDefault="00247EF0" w:rsidP="00247EF0">
            <w:pPr>
              <w:pStyle w:val="ListParagraph"/>
              <w:ind w:left="567" w:hanging="567"/>
              <w:rPr>
                <w:sz w:val="22"/>
                <w:szCs w:val="22"/>
              </w:rPr>
            </w:pPr>
          </w:p>
          <w:p w14:paraId="6FCE9D0A" w14:textId="77777777" w:rsidR="00247EF0" w:rsidRPr="00247EF0" w:rsidRDefault="00247EF0" w:rsidP="00247EF0">
            <w:pPr>
              <w:pStyle w:val="ListParagraph"/>
              <w:ind w:left="567" w:hanging="567"/>
              <w:rPr>
                <w:sz w:val="22"/>
                <w:szCs w:val="22"/>
              </w:rPr>
            </w:pPr>
          </w:p>
          <w:p w14:paraId="13668DEF" w14:textId="646B8BAE" w:rsidR="00247EF0" w:rsidRPr="001775D9" w:rsidRDefault="00247EF0" w:rsidP="00247EF0">
            <w:pPr>
              <w:pStyle w:val="ListParagraph"/>
              <w:ind w:left="567" w:hanging="567"/>
              <w:rPr>
                <w:b/>
                <w:bCs/>
                <w:sz w:val="22"/>
                <w:szCs w:val="22"/>
              </w:rPr>
            </w:pPr>
            <w:r w:rsidRPr="00247EF0">
              <w:rPr>
                <w:sz w:val="22"/>
                <w:szCs w:val="22"/>
              </w:rPr>
              <w:t>Cotton ball or gauze pad</w:t>
            </w:r>
          </w:p>
        </w:tc>
      </w:tr>
      <w:tr w:rsidR="008E788D" w:rsidRPr="00F04F82" w14:paraId="07863D67" w14:textId="77777777" w:rsidTr="00247EF0">
        <w:trPr>
          <w:cantSplit/>
          <w:trHeight w:val="57"/>
        </w:trPr>
        <w:tc>
          <w:tcPr>
            <w:tcW w:w="354" w:type="pct"/>
            <w:tcBorders>
              <w:top w:val="single" w:sz="4" w:space="0" w:color="000000"/>
              <w:left w:val="single" w:sz="4" w:space="0" w:color="auto"/>
              <w:bottom w:val="nil"/>
              <w:right w:val="nil"/>
            </w:tcBorders>
            <w:tcMar>
              <w:top w:w="28" w:type="dxa"/>
              <w:left w:w="57" w:type="dxa"/>
              <w:bottom w:w="28" w:type="dxa"/>
              <w:right w:w="57" w:type="dxa"/>
            </w:tcMar>
          </w:tcPr>
          <w:p w14:paraId="45376295"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gridSpan w:val="3"/>
            <w:tcBorders>
              <w:top w:val="single" w:sz="4" w:space="0" w:color="000000"/>
              <w:left w:val="nil"/>
              <w:bottom w:val="nil"/>
              <w:right w:val="single" w:sz="4" w:space="0" w:color="auto"/>
            </w:tcBorders>
            <w:tcMar>
              <w:top w:w="0" w:type="dxa"/>
              <w:left w:w="0" w:type="dxa"/>
              <w:bottom w:w="0" w:type="dxa"/>
              <w:right w:w="108" w:type="dxa"/>
            </w:tcMar>
            <w:hideMark/>
          </w:tcPr>
          <w:p w14:paraId="78CDBADA" w14:textId="77777777" w:rsidR="008E788D" w:rsidRPr="001775D9" w:rsidRDefault="008E788D" w:rsidP="00D47253">
            <w:pPr>
              <w:spacing w:line="240" w:lineRule="auto"/>
              <w:rPr>
                <w:b/>
                <w:bCs/>
              </w:rPr>
            </w:pPr>
            <w:r w:rsidRPr="001775D9">
              <w:t xml:space="preserve">AMGEVITA </w:t>
            </w:r>
            <w:r w:rsidRPr="001775D9">
              <w:rPr>
                <w:color w:val="000000"/>
                <w:szCs w:val="22"/>
              </w:rPr>
              <w:t xml:space="preserve">pre-filled </w:t>
            </w:r>
            <w:r w:rsidRPr="001775D9">
              <w:t>syringe (room temperature)</w:t>
            </w:r>
          </w:p>
        </w:tc>
      </w:tr>
      <w:tr w:rsidR="008E788D" w:rsidRPr="00F04F82" w14:paraId="2D1C887C"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3EE43CD"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gridSpan w:val="3"/>
            <w:tcBorders>
              <w:top w:val="nil"/>
              <w:left w:val="nil"/>
              <w:bottom w:val="nil"/>
              <w:right w:val="single" w:sz="4" w:space="0" w:color="auto"/>
            </w:tcBorders>
            <w:tcMar>
              <w:top w:w="0" w:type="dxa"/>
              <w:left w:w="0" w:type="dxa"/>
              <w:bottom w:w="0" w:type="dxa"/>
              <w:right w:w="108" w:type="dxa"/>
            </w:tcMar>
            <w:hideMark/>
          </w:tcPr>
          <w:p w14:paraId="26ABEFD5" w14:textId="77777777" w:rsidR="008E788D" w:rsidRPr="001775D9" w:rsidRDefault="008E788D" w:rsidP="00D47253">
            <w:pPr>
              <w:spacing w:line="240" w:lineRule="auto"/>
            </w:pPr>
            <w:r w:rsidRPr="001775D9">
              <w:t xml:space="preserve">Sharps disposal container </w:t>
            </w:r>
          </w:p>
        </w:tc>
      </w:tr>
      <w:tr w:rsidR="008E788D" w:rsidRPr="00F04F82" w14:paraId="70362A1C"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AACC92D"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gridSpan w:val="3"/>
            <w:tcBorders>
              <w:top w:val="nil"/>
              <w:left w:val="nil"/>
              <w:bottom w:val="nil"/>
              <w:right w:val="single" w:sz="4" w:space="0" w:color="auto"/>
            </w:tcBorders>
            <w:tcMar>
              <w:top w:w="0" w:type="dxa"/>
              <w:left w:w="0" w:type="dxa"/>
              <w:bottom w:w="0" w:type="dxa"/>
              <w:right w:w="108" w:type="dxa"/>
            </w:tcMar>
            <w:hideMark/>
          </w:tcPr>
          <w:p w14:paraId="11AE8BCE" w14:textId="77777777" w:rsidR="008E788D" w:rsidRPr="001775D9" w:rsidRDefault="008E788D" w:rsidP="00D47253">
            <w:pPr>
              <w:spacing w:line="240" w:lineRule="auto"/>
            </w:pPr>
            <w:r w:rsidRPr="001775D9">
              <w:t>Alcohol wipe</w:t>
            </w:r>
          </w:p>
        </w:tc>
      </w:tr>
      <w:tr w:rsidR="008E788D" w:rsidRPr="00F04F82" w14:paraId="0D60A527"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8FA70ED"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gridSpan w:val="3"/>
            <w:tcBorders>
              <w:top w:val="nil"/>
              <w:left w:val="nil"/>
              <w:bottom w:val="nil"/>
              <w:right w:val="single" w:sz="4" w:space="0" w:color="auto"/>
            </w:tcBorders>
            <w:tcMar>
              <w:top w:w="0" w:type="dxa"/>
              <w:left w:w="0" w:type="dxa"/>
              <w:bottom w:w="0" w:type="dxa"/>
              <w:right w:w="108" w:type="dxa"/>
            </w:tcMar>
            <w:hideMark/>
          </w:tcPr>
          <w:p w14:paraId="6ACB1E92" w14:textId="77777777" w:rsidR="008E788D" w:rsidRPr="001775D9" w:rsidRDefault="008E788D" w:rsidP="00D47253">
            <w:pPr>
              <w:spacing w:line="240" w:lineRule="auto"/>
            </w:pPr>
            <w:r w:rsidRPr="001775D9">
              <w:t>Plaster</w:t>
            </w:r>
          </w:p>
        </w:tc>
      </w:tr>
      <w:tr w:rsidR="008E788D" w:rsidRPr="00F04F82" w14:paraId="7831038D" w14:textId="77777777" w:rsidTr="00D47253">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4FAC820A"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gridSpan w:val="3"/>
            <w:tcBorders>
              <w:top w:val="nil"/>
              <w:left w:val="nil"/>
              <w:bottom w:val="single" w:sz="4" w:space="0" w:color="auto"/>
              <w:right w:val="single" w:sz="4" w:space="0" w:color="auto"/>
            </w:tcBorders>
            <w:tcMar>
              <w:top w:w="0" w:type="dxa"/>
              <w:left w:w="0" w:type="dxa"/>
              <w:bottom w:w="0" w:type="dxa"/>
              <w:right w:w="108" w:type="dxa"/>
            </w:tcMar>
            <w:hideMark/>
          </w:tcPr>
          <w:p w14:paraId="28058E4E" w14:textId="77777777" w:rsidR="008E788D" w:rsidRPr="001775D9" w:rsidRDefault="008E788D" w:rsidP="00D47253">
            <w:pPr>
              <w:spacing w:line="240" w:lineRule="auto"/>
            </w:pPr>
            <w:r w:rsidRPr="001775D9">
              <w:t>Cotton ball or gauze pad</w:t>
            </w:r>
          </w:p>
        </w:tc>
      </w:tr>
    </w:tbl>
    <w:p w14:paraId="0B62216D" w14:textId="77777777" w:rsidR="008E788D" w:rsidRPr="001775D9" w:rsidRDefault="008E788D" w:rsidP="008E788D">
      <w:pPr>
        <w:spacing w:line="240" w:lineRule="auto"/>
        <w:rPr>
          <w:b/>
          <w:bCs/>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17"/>
        <w:gridCol w:w="1141"/>
        <w:gridCol w:w="4626"/>
        <w:gridCol w:w="2730"/>
      </w:tblGrid>
      <w:tr w:rsidR="008E788D" w:rsidRPr="00F04F82" w14:paraId="74804F7A" w14:textId="77777777" w:rsidTr="00D47253">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EA906F9" w14:textId="77777777" w:rsidR="008E788D" w:rsidRPr="001775D9" w:rsidRDefault="008E788D" w:rsidP="00D47253">
            <w:pPr>
              <w:keepNext/>
              <w:rPr>
                <w:b/>
                <w:bCs/>
              </w:rPr>
            </w:pPr>
            <w:r w:rsidRPr="001775D9">
              <w:rPr>
                <w:b/>
                <w:bCs/>
              </w:rPr>
              <w:t>3</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57D5706" w14:textId="77777777" w:rsidR="008E788D" w:rsidRPr="001775D9" w:rsidRDefault="008E788D" w:rsidP="00D47253">
            <w:pPr>
              <w:pStyle w:val="ListParagraph"/>
              <w:ind w:left="567" w:hanging="567"/>
              <w:rPr>
                <w:b/>
                <w:bCs/>
                <w:sz w:val="22"/>
                <w:szCs w:val="22"/>
              </w:rPr>
            </w:pPr>
            <w:r w:rsidRPr="001775D9">
              <w:rPr>
                <w:b/>
                <w:bCs/>
                <w:sz w:val="22"/>
                <w:szCs w:val="22"/>
              </w:rPr>
              <w:t>Getting ready for your injection</w:t>
            </w:r>
          </w:p>
        </w:tc>
      </w:tr>
      <w:tr w:rsidR="008E788D" w:rsidRPr="00F04F82" w14:paraId="2901AB8C" w14:textId="77777777" w:rsidTr="00D47253">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975F467" w14:textId="77777777" w:rsidR="008E788D" w:rsidRPr="001775D9" w:rsidRDefault="008E788D" w:rsidP="00D47253">
            <w:pPr>
              <w:keepNext/>
              <w:rPr>
                <w:b/>
                <w:bCs/>
              </w:rPr>
            </w:pPr>
            <w:r w:rsidRPr="001775D9">
              <w:rPr>
                <w:b/>
                <w:bCs/>
              </w:rPr>
              <w:t>3a</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3D2E01A3" w14:textId="77777777" w:rsidR="008E788D" w:rsidRPr="001775D9" w:rsidRDefault="008E788D" w:rsidP="00D47253">
            <w:pPr>
              <w:pStyle w:val="ListParagraph"/>
              <w:ind w:left="567" w:hanging="567"/>
              <w:rPr>
                <w:sz w:val="22"/>
                <w:szCs w:val="22"/>
              </w:rPr>
            </w:pPr>
            <w:r w:rsidRPr="001775D9">
              <w:rPr>
                <w:b/>
                <w:bCs/>
                <w:sz w:val="22"/>
                <w:szCs w:val="22"/>
              </w:rPr>
              <w:t>Inspect the medicine.</w:t>
            </w:r>
          </w:p>
        </w:tc>
      </w:tr>
      <w:tr w:rsidR="008E788D" w:rsidRPr="00F04F82" w14:paraId="5DEC7719" w14:textId="77777777" w:rsidTr="00D47253">
        <w:trPr>
          <w:cantSplit/>
          <w:trHeight w:val="2070"/>
        </w:trPr>
        <w:tc>
          <w:tcPr>
            <w:tcW w:w="100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401EF1D3" w14:textId="77777777" w:rsidR="008E788D" w:rsidRPr="001775D9" w:rsidRDefault="008E788D" w:rsidP="00D47253">
            <w:pPr>
              <w:pStyle w:val="ListParagraph"/>
              <w:keepNext/>
              <w:ind w:left="567" w:hanging="567"/>
            </w:pPr>
          </w:p>
          <w:p w14:paraId="7E300EEE" w14:textId="77777777" w:rsidR="008E788D" w:rsidRPr="001775D9" w:rsidRDefault="008E788D" w:rsidP="00D47253">
            <w:pPr>
              <w:pStyle w:val="ListParagraph"/>
              <w:keepNext/>
              <w:ind w:left="567" w:hanging="567"/>
            </w:pPr>
          </w:p>
        </w:tc>
        <w:tc>
          <w:tcPr>
            <w:tcW w:w="2423" w:type="pct"/>
            <w:tcBorders>
              <w:top w:val="single" w:sz="4" w:space="0" w:color="auto"/>
              <w:left w:val="nil"/>
              <w:bottom w:val="single" w:sz="4" w:space="0" w:color="auto"/>
              <w:right w:val="nil"/>
            </w:tcBorders>
          </w:tcPr>
          <w:p w14:paraId="14B9B427" w14:textId="27BA94CE" w:rsidR="008E788D" w:rsidRPr="001775D9" w:rsidRDefault="00D96030" w:rsidP="00D47253">
            <w:pPr>
              <w:pStyle w:val="ListParagraph"/>
              <w:keepNext/>
              <w:ind w:left="567" w:hanging="567"/>
            </w:pPr>
            <w:r>
              <w:pict w14:anchorId="51191B9A">
                <v:shape id="Picture 52" o:spid="_x0000_i1078" type="#_x0000_t75" style="width:231pt;height:133.5pt;visibility:visible;mso-wrap-style:square">
                  <v:imagedata r:id="rId72" o:title=""/>
                </v:shape>
              </w:pict>
            </w:r>
          </w:p>
          <w:p w14:paraId="33410107" w14:textId="77777777" w:rsidR="008E788D" w:rsidRPr="001775D9" w:rsidRDefault="008E788D" w:rsidP="00D47253">
            <w:pPr>
              <w:pStyle w:val="ListParagraph"/>
              <w:keepNext/>
              <w:ind w:left="567" w:hanging="567"/>
            </w:pPr>
          </w:p>
          <w:p w14:paraId="5FD1409C" w14:textId="77777777" w:rsidR="008E788D" w:rsidRPr="001775D9" w:rsidRDefault="008E788D" w:rsidP="00D47253">
            <w:pPr>
              <w:pStyle w:val="ListParagraph"/>
              <w:keepNext/>
              <w:ind w:left="567" w:hanging="567"/>
            </w:pPr>
          </w:p>
        </w:tc>
        <w:tc>
          <w:tcPr>
            <w:tcW w:w="1569" w:type="pct"/>
            <w:tcBorders>
              <w:top w:val="single" w:sz="4" w:space="0" w:color="auto"/>
              <w:left w:val="nil"/>
              <w:bottom w:val="single" w:sz="4" w:space="0" w:color="auto"/>
              <w:right w:val="single" w:sz="4" w:space="0" w:color="auto"/>
            </w:tcBorders>
          </w:tcPr>
          <w:p w14:paraId="79A87D0E" w14:textId="77777777" w:rsidR="008E788D" w:rsidRPr="001775D9" w:rsidRDefault="008E788D" w:rsidP="00D47253">
            <w:pPr>
              <w:pStyle w:val="ListParagraph"/>
              <w:ind w:left="567" w:hanging="567"/>
              <w:rPr>
                <w:b/>
                <w:bCs/>
              </w:rPr>
            </w:pPr>
          </w:p>
          <w:p w14:paraId="4FD280DD" w14:textId="77777777" w:rsidR="008E788D" w:rsidRPr="001775D9" w:rsidRDefault="008E788D" w:rsidP="00D47253">
            <w:pPr>
              <w:pStyle w:val="ListParagraph"/>
              <w:ind w:left="567" w:hanging="567"/>
              <w:rPr>
                <w:b/>
                <w:bCs/>
              </w:rPr>
            </w:pPr>
          </w:p>
          <w:p w14:paraId="59A68503" w14:textId="77777777" w:rsidR="008E788D" w:rsidRPr="001775D9" w:rsidRDefault="008E788D" w:rsidP="00D47253">
            <w:pPr>
              <w:pStyle w:val="ListParagraph"/>
              <w:ind w:left="567" w:hanging="567"/>
              <w:rPr>
                <w:b/>
                <w:bCs/>
              </w:rPr>
            </w:pPr>
          </w:p>
          <w:p w14:paraId="64499F0D" w14:textId="77777777" w:rsidR="008E788D" w:rsidRPr="001775D9" w:rsidRDefault="008E788D" w:rsidP="00D47253">
            <w:pPr>
              <w:pStyle w:val="ListParagraph"/>
              <w:ind w:left="567" w:hanging="567"/>
              <w:rPr>
                <w:b/>
                <w:bCs/>
              </w:rPr>
            </w:pPr>
          </w:p>
          <w:p w14:paraId="7767A331" w14:textId="77777777" w:rsidR="008E788D" w:rsidRPr="001775D9" w:rsidRDefault="008E788D" w:rsidP="00D47253">
            <w:pPr>
              <w:pStyle w:val="ListParagraph"/>
              <w:ind w:left="567" w:hanging="567"/>
              <w:rPr>
                <w:sz w:val="22"/>
                <w:szCs w:val="22"/>
              </w:rPr>
            </w:pPr>
            <w:r w:rsidRPr="001775D9">
              <w:rPr>
                <w:sz w:val="22"/>
                <w:szCs w:val="22"/>
              </w:rPr>
              <w:t>Medicine</w:t>
            </w:r>
          </w:p>
        </w:tc>
      </w:tr>
      <w:tr w:rsidR="008E788D" w:rsidRPr="00F04F82" w14:paraId="493FDDF0" w14:textId="77777777" w:rsidTr="00D47253">
        <w:trPr>
          <w:cantSplit/>
          <w:trHeight w:val="57"/>
        </w:trPr>
        <w:tc>
          <w:tcPr>
            <w:tcW w:w="353" w:type="pct"/>
            <w:tcBorders>
              <w:top w:val="single" w:sz="4" w:space="0" w:color="auto"/>
              <w:left w:val="single" w:sz="4" w:space="0" w:color="auto"/>
              <w:bottom w:val="nil"/>
              <w:right w:val="nil"/>
            </w:tcBorders>
            <w:tcMar>
              <w:top w:w="28" w:type="dxa"/>
              <w:left w:w="57" w:type="dxa"/>
              <w:bottom w:w="28" w:type="dxa"/>
              <w:right w:w="57" w:type="dxa"/>
            </w:tcMar>
          </w:tcPr>
          <w:p w14:paraId="53A1F44A"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7" w:type="pct"/>
            <w:gridSpan w:val="3"/>
            <w:tcBorders>
              <w:top w:val="single" w:sz="4" w:space="0" w:color="auto"/>
              <w:left w:val="nil"/>
              <w:bottom w:val="nil"/>
              <w:right w:val="single" w:sz="4" w:space="0" w:color="auto"/>
            </w:tcBorders>
            <w:tcMar>
              <w:top w:w="0" w:type="dxa"/>
              <w:left w:w="0" w:type="dxa"/>
              <w:bottom w:w="0" w:type="dxa"/>
              <w:right w:w="108" w:type="dxa"/>
            </w:tcMar>
            <w:hideMark/>
          </w:tcPr>
          <w:p w14:paraId="07259E8B" w14:textId="77777777" w:rsidR="008E788D" w:rsidRPr="001775D9" w:rsidRDefault="008E788D" w:rsidP="00D47253">
            <w:pPr>
              <w:tabs>
                <w:tab w:val="clear" w:pos="567"/>
              </w:tabs>
              <w:autoSpaceDE w:val="0"/>
              <w:autoSpaceDN w:val="0"/>
              <w:adjustRightInd w:val="0"/>
              <w:spacing w:line="240" w:lineRule="auto"/>
              <w:rPr>
                <w:bCs/>
                <w:szCs w:val="22"/>
                <w:lang w:eastAsia="en-GB"/>
              </w:rPr>
            </w:pPr>
            <w:r w:rsidRPr="001775D9">
              <w:t xml:space="preserve">It should be clear and colourless to </w:t>
            </w:r>
            <w:r w:rsidRPr="001775D9">
              <w:rPr>
                <w:rFonts w:eastAsia="Calibri"/>
                <w:bCs/>
                <w:szCs w:val="22"/>
              </w:rPr>
              <w:t xml:space="preserve">slightly </w:t>
            </w:r>
            <w:r w:rsidRPr="001775D9">
              <w:t>yellow.</w:t>
            </w:r>
          </w:p>
        </w:tc>
      </w:tr>
      <w:tr w:rsidR="008E788D" w:rsidRPr="00F04F82" w14:paraId="44C75E12" w14:textId="77777777" w:rsidTr="00D47253">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323216CE"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7" w:type="pct"/>
            <w:gridSpan w:val="3"/>
            <w:tcBorders>
              <w:top w:val="nil"/>
              <w:left w:val="nil"/>
              <w:bottom w:val="nil"/>
              <w:right w:val="single" w:sz="4" w:space="0" w:color="auto"/>
            </w:tcBorders>
            <w:tcMar>
              <w:top w:w="0" w:type="dxa"/>
              <w:left w:w="0" w:type="dxa"/>
              <w:bottom w:w="0" w:type="dxa"/>
              <w:right w:w="108" w:type="dxa"/>
            </w:tcMar>
            <w:hideMark/>
          </w:tcPr>
          <w:p w14:paraId="46A1B5C7" w14:textId="77777777" w:rsidR="008E788D" w:rsidRPr="001775D9" w:rsidRDefault="008E788D" w:rsidP="00D47253">
            <w:pPr>
              <w:spacing w:line="240" w:lineRule="auto"/>
            </w:pPr>
            <w:r w:rsidRPr="001775D9">
              <w:t xml:space="preserve">It is okay to see air bubbles in the </w:t>
            </w:r>
            <w:r w:rsidRPr="001775D9">
              <w:rPr>
                <w:color w:val="000000"/>
                <w:szCs w:val="22"/>
              </w:rPr>
              <w:t>pre-filled</w:t>
            </w:r>
            <w:r w:rsidRPr="001775D9">
              <w:t xml:space="preserve"> syringe.</w:t>
            </w:r>
          </w:p>
        </w:tc>
      </w:tr>
      <w:tr w:rsidR="008E788D" w:rsidRPr="00F04F82" w14:paraId="6F6FF481" w14:textId="77777777" w:rsidTr="00D47253">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2F70BD05"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7" w:type="pct"/>
            <w:gridSpan w:val="3"/>
            <w:tcBorders>
              <w:top w:val="nil"/>
              <w:left w:val="nil"/>
              <w:bottom w:val="nil"/>
              <w:right w:val="single" w:sz="4" w:space="0" w:color="auto"/>
            </w:tcBorders>
            <w:tcMar>
              <w:top w:w="0" w:type="dxa"/>
              <w:left w:w="0" w:type="dxa"/>
              <w:bottom w:w="0" w:type="dxa"/>
              <w:right w:w="108" w:type="dxa"/>
            </w:tcMar>
            <w:hideMark/>
          </w:tcPr>
          <w:p w14:paraId="1310328D" w14:textId="4BBB2748" w:rsidR="008E788D" w:rsidRPr="001775D9" w:rsidRDefault="008E788D" w:rsidP="00D47253">
            <w:pPr>
              <w:spacing w:line="240" w:lineRule="auto"/>
            </w:pPr>
            <w:r w:rsidRPr="001775D9">
              <w:rPr>
                <w:b/>
                <w:bCs/>
              </w:rPr>
              <w:t>Do not</w:t>
            </w:r>
            <w:r w:rsidRPr="001775D9">
              <w:t xml:space="preserve"> use </w:t>
            </w:r>
            <w:ins w:id="4458" w:author="Author">
              <w:r w:rsidR="00605DBE" w:rsidRPr="00F04F82">
                <w:t xml:space="preserve">AMGEVITA </w:t>
              </w:r>
            </w:ins>
            <w:r w:rsidRPr="001775D9">
              <w:t>if the medicine is cloudy, discoloured, or contains flakes</w:t>
            </w:r>
            <w:del w:id="4459" w:author="Author">
              <w:r w:rsidRPr="00F04F82" w:rsidDel="00605DBE">
                <w:delText>,</w:delText>
              </w:r>
            </w:del>
            <w:r w:rsidRPr="001775D9">
              <w:t xml:space="preserve"> or particles</w:t>
            </w:r>
          </w:p>
        </w:tc>
      </w:tr>
      <w:tr w:rsidR="008E788D" w:rsidRPr="00F04F82" w14:paraId="74F26D6F" w14:textId="77777777" w:rsidTr="00D47253">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hideMark/>
          </w:tcPr>
          <w:p w14:paraId="3503FC4A" w14:textId="15515624" w:rsidR="008E788D" w:rsidRPr="001775D9" w:rsidRDefault="00D96030" w:rsidP="00D47253">
            <w:pPr>
              <w:spacing w:line="240" w:lineRule="auto"/>
              <w:rPr>
                <w:b/>
                <w:bCs/>
              </w:rPr>
            </w:pPr>
            <w:r>
              <w:pict w14:anchorId="183626DB">
                <v:shape id="_x0000_s2072" type="#_x0000_t202" style="position:absolute;margin-left:-.2pt;margin-top:5.15pt;width:439.05pt;height:34.7pt;z-index: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" strokecolor="red" strokeweight="1.5pt">
                  <v:textbox style="mso-fit-shape-to-text:t">
                    <w:txbxContent>
                      <w:p w14:paraId="568E1B7A" w14:textId="405EB9E4" w:rsidR="00D47253" w:rsidRPr="001775D9" w:rsidRDefault="00D47253" w:rsidP="00B61D9D">
                        <w:pPr>
                          <w:spacing w:line="240" w:lineRule="auto"/>
                        </w:pPr>
                        <w:r w:rsidRPr="001775D9">
                          <w:rPr>
                            <w:b/>
                            <w:bCs/>
                          </w:rPr>
                          <w:t xml:space="preserve">Important: </w:t>
                        </w:r>
                        <w:r w:rsidRPr="001775D9">
                          <w:t>If the medicine is cloudy, discoloured, or contains flakes or particles,</w:t>
                        </w:r>
                        <w:r w:rsidRPr="001775D9">
                          <w:rPr>
                            <w:b/>
                            <w:bCs/>
                          </w:rPr>
                          <w:t xml:space="preserve"> </w:t>
                        </w:r>
                        <w:r w:rsidRPr="001775D9">
                          <w:t>call your doctor or healthcare provider.</w:t>
                        </w:r>
                      </w:p>
                    </w:txbxContent>
                  </v:textbox>
                  <w10:wrap type="square" anchorx="margin"/>
                </v:shape>
              </w:pict>
            </w:r>
          </w:p>
        </w:tc>
      </w:tr>
    </w:tbl>
    <w:p w14:paraId="135D3144" w14:textId="77777777" w:rsidR="008E788D" w:rsidRPr="001775D9" w:rsidRDefault="008E788D" w:rsidP="008E788D">
      <w:pPr>
        <w:spacing w:line="240" w:lineRule="auto"/>
      </w:pPr>
    </w:p>
    <w:tbl>
      <w:tblPr>
        <w:tblW w:w="497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8"/>
        <w:gridCol w:w="8505"/>
      </w:tblGrid>
      <w:tr w:rsidR="008E788D" w:rsidRPr="00F04F82" w14:paraId="0A7BC565" w14:textId="77777777" w:rsidTr="0002405A">
        <w:trPr>
          <w:cantSplit/>
          <w:trHeight w:val="57"/>
        </w:trPr>
        <w:tc>
          <w:tcPr>
            <w:tcW w:w="34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937AD94" w14:textId="77777777" w:rsidR="008E788D" w:rsidRPr="001775D9" w:rsidRDefault="008E788D" w:rsidP="001C327A">
            <w:pPr>
              <w:keepNext/>
              <w:rPr>
                <w:b/>
                <w:bCs/>
                <w:szCs w:val="22"/>
              </w:rPr>
            </w:pPr>
            <w:r w:rsidRPr="001775D9">
              <w:rPr>
                <w:b/>
                <w:bCs/>
                <w:szCs w:val="22"/>
              </w:rPr>
              <w:t>3b</w:t>
            </w:r>
          </w:p>
        </w:tc>
        <w:tc>
          <w:tcPr>
            <w:tcW w:w="465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680B0997" w14:textId="4075005D" w:rsidR="008E788D" w:rsidRPr="001775D9" w:rsidRDefault="008E788D" w:rsidP="00B61D9D">
            <w:pPr>
              <w:pStyle w:val="ListParagraph"/>
              <w:keepNext/>
              <w:ind w:left="567" w:hanging="567"/>
              <w:rPr>
                <w:sz w:val="22"/>
                <w:szCs w:val="22"/>
              </w:rPr>
            </w:pPr>
            <w:r w:rsidRPr="001775D9">
              <w:rPr>
                <w:b/>
                <w:bCs/>
                <w:sz w:val="22"/>
                <w:szCs w:val="22"/>
              </w:rPr>
              <w:t xml:space="preserve">Check the </w:t>
            </w:r>
            <w:r w:rsidR="00AD2E57" w:rsidRPr="001775D9">
              <w:rPr>
                <w:b/>
                <w:bCs/>
              </w:rPr>
              <w:t>expiry</w:t>
            </w:r>
            <w:r w:rsidRPr="001775D9">
              <w:rPr>
                <w:b/>
                <w:bCs/>
                <w:sz w:val="22"/>
                <w:szCs w:val="22"/>
              </w:rPr>
              <w:t xml:space="preserve"> date (EXP) and inspect the pre-filled syringe for damage.</w:t>
            </w:r>
          </w:p>
        </w:tc>
      </w:tr>
    </w:tbl>
    <w:p w14:paraId="49505782" w14:textId="77777777" w:rsidR="008E788D" w:rsidRPr="001775D9" w:rsidRDefault="008E788D" w:rsidP="00B61D9D">
      <w:pPr>
        <w:keepNext/>
      </w:pPr>
    </w:p>
    <w:tbl>
      <w:tblPr>
        <w:tblW w:w="4962"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5"/>
        <w:gridCol w:w="1115"/>
        <w:gridCol w:w="4647"/>
        <w:gridCol w:w="2799"/>
      </w:tblGrid>
      <w:tr w:rsidR="008E788D" w:rsidRPr="00F04F82" w14:paraId="64CBBC41" w14:textId="77777777" w:rsidTr="00B61D9D">
        <w:trPr>
          <w:cantSplit/>
          <w:trHeight w:val="57"/>
        </w:trPr>
        <w:tc>
          <w:tcPr>
            <w:tcW w:w="93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2A39E953" w14:textId="77777777" w:rsidR="008E788D" w:rsidRPr="001775D9" w:rsidRDefault="008E788D" w:rsidP="00D47253">
            <w:pPr>
              <w:pStyle w:val="ListParagraph"/>
              <w:ind w:left="567" w:hanging="567"/>
            </w:pPr>
          </w:p>
          <w:p w14:paraId="0AB8D97E" w14:textId="77777777" w:rsidR="008E788D" w:rsidRPr="001775D9" w:rsidRDefault="008E788D" w:rsidP="00D47253">
            <w:pPr>
              <w:pStyle w:val="ListParagraph"/>
              <w:ind w:left="567" w:hanging="567"/>
            </w:pPr>
          </w:p>
        </w:tc>
        <w:tc>
          <w:tcPr>
            <w:tcW w:w="2535" w:type="pct"/>
            <w:tcBorders>
              <w:top w:val="single" w:sz="4" w:space="0" w:color="auto"/>
              <w:left w:val="nil"/>
              <w:bottom w:val="single" w:sz="4" w:space="0" w:color="auto"/>
              <w:right w:val="nil"/>
            </w:tcBorders>
          </w:tcPr>
          <w:p w14:paraId="707C5D0F" w14:textId="77777777" w:rsidR="008E788D" w:rsidRPr="001775D9" w:rsidRDefault="008E788D" w:rsidP="00D47253">
            <w:pPr>
              <w:pStyle w:val="ListParagraph"/>
              <w:ind w:left="567" w:hanging="567"/>
            </w:pPr>
          </w:p>
          <w:p w14:paraId="6E0B01AE" w14:textId="56C6A308" w:rsidR="008E788D" w:rsidRPr="001775D9" w:rsidRDefault="00D96030" w:rsidP="00D47253">
            <w:pPr>
              <w:pStyle w:val="ListParagraph"/>
              <w:ind w:left="567" w:hanging="567"/>
            </w:pPr>
            <w:r>
              <w:pict w14:anchorId="5AA169D7">
                <v:shape id="Picture 53" o:spid="_x0000_i1079" type="#_x0000_t75" style="width:247pt;height:134pt;visibility:visible;mso-wrap-style:square">
                  <v:imagedata r:id="rId73" o:title=""/>
                </v:shape>
              </w:pict>
            </w:r>
          </w:p>
          <w:p w14:paraId="374C6C85" w14:textId="77777777" w:rsidR="008E788D" w:rsidRPr="001775D9" w:rsidRDefault="008E788D" w:rsidP="00D47253">
            <w:pPr>
              <w:pStyle w:val="ListParagraph"/>
              <w:ind w:left="567" w:hanging="567"/>
            </w:pPr>
          </w:p>
        </w:tc>
        <w:tc>
          <w:tcPr>
            <w:tcW w:w="1528" w:type="pct"/>
            <w:tcBorders>
              <w:top w:val="single" w:sz="4" w:space="0" w:color="auto"/>
              <w:left w:val="nil"/>
              <w:bottom w:val="single" w:sz="4" w:space="0" w:color="auto"/>
              <w:right w:val="single" w:sz="4" w:space="0" w:color="auto"/>
            </w:tcBorders>
          </w:tcPr>
          <w:p w14:paraId="09EBEAFC" w14:textId="77777777" w:rsidR="008E788D" w:rsidRPr="001775D9" w:rsidRDefault="008E788D" w:rsidP="00D47253">
            <w:pPr>
              <w:pStyle w:val="ListParagraph"/>
              <w:ind w:left="567" w:hanging="567"/>
            </w:pPr>
            <w:r w:rsidRPr="001775D9">
              <w:t xml:space="preserve">              </w:t>
            </w:r>
          </w:p>
          <w:p w14:paraId="3AA26FA8" w14:textId="77777777" w:rsidR="008E788D" w:rsidRPr="001775D9" w:rsidRDefault="008E788D" w:rsidP="00D47253">
            <w:pPr>
              <w:pStyle w:val="ListParagraph"/>
              <w:ind w:left="567" w:hanging="567"/>
            </w:pPr>
          </w:p>
          <w:p w14:paraId="04A25D05" w14:textId="77777777" w:rsidR="008E788D" w:rsidRPr="001775D9" w:rsidRDefault="008E788D" w:rsidP="00D47253">
            <w:pPr>
              <w:pStyle w:val="ListParagraph"/>
              <w:ind w:left="567" w:hanging="567"/>
            </w:pPr>
          </w:p>
          <w:p w14:paraId="63D74C40" w14:textId="77777777" w:rsidR="008E788D" w:rsidRPr="001775D9" w:rsidRDefault="008E788D" w:rsidP="00D47253">
            <w:pPr>
              <w:pStyle w:val="ListParagraph"/>
              <w:ind w:left="567" w:hanging="567"/>
            </w:pPr>
          </w:p>
          <w:p w14:paraId="55951F5F" w14:textId="77777777" w:rsidR="008E788D" w:rsidRPr="001775D9" w:rsidRDefault="008E788D" w:rsidP="00D47253">
            <w:pPr>
              <w:pStyle w:val="ListParagraph"/>
              <w:ind w:left="567" w:hanging="567"/>
            </w:pPr>
          </w:p>
          <w:p w14:paraId="54E15D79" w14:textId="31DFBCDD" w:rsidR="008E788D" w:rsidRPr="001775D9" w:rsidRDefault="00AD2E57" w:rsidP="00D47253">
            <w:pPr>
              <w:pStyle w:val="ListParagraph"/>
              <w:ind w:left="567" w:hanging="567"/>
            </w:pPr>
            <w:r w:rsidRPr="001775D9">
              <w:t>Expiry</w:t>
            </w:r>
            <w:r w:rsidR="008E788D" w:rsidRPr="001775D9">
              <w:rPr>
                <w:sz w:val="22"/>
                <w:szCs w:val="22"/>
              </w:rPr>
              <w:t xml:space="preserve"> date                       </w:t>
            </w:r>
          </w:p>
        </w:tc>
      </w:tr>
      <w:tr w:rsidR="008E788D" w:rsidRPr="00F04F82" w14:paraId="4C0FBC8B" w14:textId="77777777" w:rsidTr="00B61D9D">
        <w:trPr>
          <w:cantSplit/>
          <w:trHeight w:val="57"/>
        </w:trPr>
        <w:tc>
          <w:tcPr>
            <w:tcW w:w="330" w:type="pct"/>
            <w:tcBorders>
              <w:top w:val="single" w:sz="4" w:space="0" w:color="auto"/>
              <w:left w:val="single" w:sz="4" w:space="0" w:color="auto"/>
              <w:bottom w:val="nil"/>
              <w:right w:val="nil"/>
            </w:tcBorders>
            <w:tcMar>
              <w:top w:w="28" w:type="dxa"/>
              <w:left w:w="57" w:type="dxa"/>
              <w:bottom w:w="28" w:type="dxa"/>
              <w:right w:w="57" w:type="dxa"/>
            </w:tcMar>
          </w:tcPr>
          <w:p w14:paraId="7701E685" w14:textId="77777777" w:rsidR="008E788D" w:rsidRPr="001775D9" w:rsidRDefault="008E788D" w:rsidP="00D47253">
            <w:pPr>
              <w:numPr>
                <w:ilvl w:val="0"/>
                <w:numId w:val="40"/>
              </w:numPr>
              <w:tabs>
                <w:tab w:val="clear" w:pos="567"/>
                <w:tab w:val="left" w:pos="708"/>
              </w:tabs>
              <w:spacing w:line="240" w:lineRule="auto"/>
              <w:ind w:left="567" w:hanging="567"/>
            </w:pPr>
          </w:p>
        </w:tc>
        <w:tc>
          <w:tcPr>
            <w:tcW w:w="4670" w:type="pct"/>
            <w:gridSpan w:val="3"/>
            <w:tcBorders>
              <w:top w:val="single" w:sz="4" w:space="0" w:color="auto"/>
              <w:left w:val="nil"/>
              <w:bottom w:val="nil"/>
              <w:right w:val="single" w:sz="4" w:space="0" w:color="auto"/>
            </w:tcBorders>
            <w:tcMar>
              <w:top w:w="0" w:type="dxa"/>
              <w:left w:w="0" w:type="dxa"/>
              <w:bottom w:w="0" w:type="dxa"/>
              <w:right w:w="108" w:type="dxa"/>
            </w:tcMar>
            <w:hideMark/>
          </w:tcPr>
          <w:p w14:paraId="1EF58583" w14:textId="301E5931" w:rsidR="008E788D" w:rsidRPr="001775D9" w:rsidRDefault="008E788D" w:rsidP="00D47253">
            <w:pPr>
              <w:spacing w:line="240" w:lineRule="auto"/>
              <w:rPr>
                <w:b/>
                <w:bCs/>
              </w:rPr>
            </w:pPr>
            <w:r w:rsidRPr="001775D9">
              <w:rPr>
                <w:b/>
                <w:bCs/>
              </w:rPr>
              <w:t>Do not</w:t>
            </w:r>
            <w:r w:rsidRPr="001775D9">
              <w:t xml:space="preserve"> use</w:t>
            </w:r>
            <w:ins w:id="4460" w:author="Author">
              <w:r w:rsidR="00184D7D" w:rsidRPr="00F04F82">
                <w:t xml:space="preserve"> the pre-filled syringe</w:t>
              </w:r>
            </w:ins>
            <w:r w:rsidRPr="001775D9">
              <w:t xml:space="preserve"> if the </w:t>
            </w:r>
            <w:r w:rsidR="00AD2E57" w:rsidRPr="001775D9">
              <w:t>expiry</w:t>
            </w:r>
            <w:r w:rsidRPr="001775D9">
              <w:t xml:space="preserve"> date has passed.</w:t>
            </w:r>
          </w:p>
        </w:tc>
      </w:tr>
      <w:tr w:rsidR="008E788D" w:rsidRPr="00F04F82" w14:paraId="15A9BEC4" w14:textId="77777777" w:rsidTr="00B61D9D">
        <w:trPr>
          <w:cantSplit/>
          <w:trHeight w:val="57"/>
        </w:trPr>
        <w:tc>
          <w:tcPr>
            <w:tcW w:w="330" w:type="pct"/>
            <w:tcBorders>
              <w:top w:val="nil"/>
              <w:left w:val="single" w:sz="4" w:space="0" w:color="auto"/>
              <w:bottom w:val="nil"/>
              <w:right w:val="nil"/>
            </w:tcBorders>
            <w:tcMar>
              <w:top w:w="28" w:type="dxa"/>
              <w:left w:w="57" w:type="dxa"/>
              <w:bottom w:w="28" w:type="dxa"/>
              <w:right w:w="57" w:type="dxa"/>
            </w:tcMar>
          </w:tcPr>
          <w:p w14:paraId="12C1050E" w14:textId="77777777" w:rsidR="008E788D" w:rsidRPr="001775D9" w:rsidRDefault="008E788D" w:rsidP="00D47253">
            <w:pPr>
              <w:numPr>
                <w:ilvl w:val="0"/>
                <w:numId w:val="40"/>
              </w:numPr>
              <w:tabs>
                <w:tab w:val="clear" w:pos="567"/>
                <w:tab w:val="left" w:pos="708"/>
              </w:tabs>
              <w:spacing w:line="240" w:lineRule="auto"/>
              <w:ind w:left="567" w:hanging="567"/>
            </w:pPr>
          </w:p>
        </w:tc>
        <w:tc>
          <w:tcPr>
            <w:tcW w:w="4670" w:type="pct"/>
            <w:gridSpan w:val="3"/>
            <w:tcBorders>
              <w:top w:val="nil"/>
              <w:left w:val="nil"/>
              <w:bottom w:val="nil"/>
              <w:right w:val="single" w:sz="4" w:space="0" w:color="auto"/>
            </w:tcBorders>
            <w:tcMar>
              <w:top w:w="0" w:type="dxa"/>
              <w:left w:w="0" w:type="dxa"/>
              <w:bottom w:w="0" w:type="dxa"/>
              <w:right w:w="108" w:type="dxa"/>
            </w:tcMar>
            <w:hideMark/>
          </w:tcPr>
          <w:p w14:paraId="11EB946C" w14:textId="77777777" w:rsidR="008E788D" w:rsidRPr="001775D9" w:rsidRDefault="008E788D" w:rsidP="00D47253">
            <w:pPr>
              <w:spacing w:line="240" w:lineRule="auto"/>
            </w:pPr>
            <w:r w:rsidRPr="001775D9">
              <w:rPr>
                <w:b/>
                <w:bCs/>
              </w:rPr>
              <w:t>Do not</w:t>
            </w:r>
            <w:r w:rsidRPr="001775D9">
              <w:t xml:space="preserve"> use the </w:t>
            </w:r>
            <w:r w:rsidRPr="001775D9">
              <w:rPr>
                <w:color w:val="000000"/>
                <w:szCs w:val="22"/>
              </w:rPr>
              <w:t>pre-filled</w:t>
            </w:r>
            <w:r w:rsidRPr="001775D9">
              <w:t xml:space="preserve"> syringe if:</w:t>
            </w:r>
          </w:p>
        </w:tc>
      </w:tr>
      <w:tr w:rsidR="008E788D" w:rsidRPr="00F04F82" w14:paraId="4E3196AD" w14:textId="77777777" w:rsidTr="00B61D9D">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hideMark/>
          </w:tcPr>
          <w:p w14:paraId="2C081C47" w14:textId="51ABC33F" w:rsidR="008E788D" w:rsidRPr="001775D9" w:rsidRDefault="002F5550" w:rsidP="00D47253">
            <w:pPr>
              <w:pStyle w:val="ListParagraph"/>
              <w:numPr>
                <w:ilvl w:val="0"/>
                <w:numId w:val="43"/>
              </w:numPr>
              <w:tabs>
                <w:tab w:val="left" w:pos="567"/>
                <w:tab w:val="left" w:pos="1134"/>
              </w:tabs>
              <w:ind w:left="1150" w:hanging="567"/>
              <w:rPr>
                <w:sz w:val="22"/>
                <w:szCs w:val="22"/>
              </w:rPr>
            </w:pPr>
            <w:ins w:id="4461" w:author="Author">
              <w:r w:rsidRPr="00F04F82">
                <w:rPr>
                  <w:sz w:val="22"/>
                  <w:szCs w:val="22"/>
                </w:rPr>
                <w:t>t</w:t>
              </w:r>
            </w:ins>
            <w:del w:id="4462" w:author="Author">
              <w:r w:rsidR="008E788D" w:rsidRPr="00F04F82" w:rsidDel="002F5550">
                <w:rPr>
                  <w:sz w:val="22"/>
                  <w:szCs w:val="22"/>
                </w:rPr>
                <w:delText>T</w:delText>
              </w:r>
            </w:del>
            <w:r w:rsidR="008E788D" w:rsidRPr="001775D9">
              <w:rPr>
                <w:sz w:val="22"/>
                <w:szCs w:val="22"/>
              </w:rPr>
              <w:t>he needle cap is missing or not securely attached.</w:t>
            </w:r>
          </w:p>
        </w:tc>
      </w:tr>
      <w:tr w:rsidR="008E788D" w:rsidRPr="00F04F82" w14:paraId="2356B0BC" w14:textId="77777777" w:rsidTr="00B61D9D">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hideMark/>
          </w:tcPr>
          <w:p w14:paraId="5F6E3E3E" w14:textId="7D9C58E9" w:rsidR="008E788D" w:rsidRPr="001775D9" w:rsidRDefault="002F5550" w:rsidP="00D47253">
            <w:pPr>
              <w:pStyle w:val="ListParagraph"/>
              <w:numPr>
                <w:ilvl w:val="0"/>
                <w:numId w:val="43"/>
              </w:numPr>
              <w:tabs>
                <w:tab w:val="left" w:pos="567"/>
                <w:tab w:val="left" w:pos="1134"/>
              </w:tabs>
              <w:ind w:left="1150" w:hanging="567"/>
              <w:rPr>
                <w:sz w:val="22"/>
                <w:szCs w:val="22"/>
              </w:rPr>
            </w:pPr>
            <w:ins w:id="4463" w:author="Author">
              <w:r w:rsidRPr="00F04F82">
                <w:rPr>
                  <w:sz w:val="22"/>
                  <w:szCs w:val="22"/>
                </w:rPr>
                <w:t>i</w:t>
              </w:r>
            </w:ins>
            <w:del w:id="4464" w:author="Author">
              <w:r w:rsidR="008E788D" w:rsidRPr="00F04F82" w:rsidDel="002F5550">
                <w:rPr>
                  <w:sz w:val="22"/>
                  <w:szCs w:val="22"/>
                </w:rPr>
                <w:delText>I</w:delText>
              </w:r>
            </w:del>
            <w:r w:rsidR="008E788D" w:rsidRPr="001775D9">
              <w:rPr>
                <w:sz w:val="22"/>
                <w:szCs w:val="22"/>
              </w:rPr>
              <w:t>t has cracks or broken parts.</w:t>
            </w:r>
          </w:p>
        </w:tc>
      </w:tr>
      <w:tr w:rsidR="008E788D" w:rsidRPr="00F04F82" w14:paraId="1A6B219A" w14:textId="77777777" w:rsidTr="00B61D9D">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hideMark/>
          </w:tcPr>
          <w:p w14:paraId="4FC6D877" w14:textId="6BC638DE" w:rsidR="008E788D" w:rsidRPr="001775D9" w:rsidRDefault="002F5550" w:rsidP="00D47253">
            <w:pPr>
              <w:pStyle w:val="ListParagraph"/>
              <w:numPr>
                <w:ilvl w:val="0"/>
                <w:numId w:val="43"/>
              </w:numPr>
              <w:tabs>
                <w:tab w:val="left" w:pos="567"/>
                <w:tab w:val="left" w:pos="1134"/>
              </w:tabs>
              <w:ind w:left="1150" w:hanging="567"/>
              <w:rPr>
                <w:sz w:val="22"/>
                <w:szCs w:val="22"/>
              </w:rPr>
            </w:pPr>
            <w:ins w:id="4465" w:author="Author">
              <w:r w:rsidRPr="00F04F82">
                <w:rPr>
                  <w:sz w:val="22"/>
                  <w:szCs w:val="22"/>
                </w:rPr>
                <w:t>i</w:t>
              </w:r>
            </w:ins>
            <w:del w:id="4466" w:author="Author">
              <w:r w:rsidR="008E788D" w:rsidRPr="00F04F82" w:rsidDel="002F5550">
                <w:rPr>
                  <w:sz w:val="22"/>
                  <w:szCs w:val="22"/>
                </w:rPr>
                <w:delText>I</w:delText>
              </w:r>
            </w:del>
            <w:r w:rsidR="008E788D" w:rsidRPr="001775D9">
              <w:rPr>
                <w:sz w:val="22"/>
                <w:szCs w:val="22"/>
              </w:rPr>
              <w:t>t has been dropped on a hard surface.</w:t>
            </w:r>
          </w:p>
        </w:tc>
      </w:tr>
      <w:tr w:rsidR="008E788D" w:rsidRPr="00F04F82" w14:paraId="2BDE3027" w14:textId="77777777" w:rsidTr="00B61D9D">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3E2851FD" w14:textId="7167496A" w:rsidR="008E788D" w:rsidRPr="001775D9" w:rsidRDefault="00D96030" w:rsidP="00D47253">
            <w:pPr>
              <w:pStyle w:val="ListParagraph"/>
              <w:tabs>
                <w:tab w:val="left" w:pos="567"/>
                <w:tab w:val="left" w:pos="1134"/>
              </w:tabs>
              <w:ind w:left="0"/>
              <w:rPr>
                <w:sz w:val="22"/>
                <w:szCs w:val="22"/>
              </w:rPr>
            </w:pPr>
            <w:r>
              <w:pict w14:anchorId="7CE65050">
                <v:shape id="_x0000_s2071" type="#_x0000_t202" style="position:absolute;margin-left:.95pt;margin-top:-.95pt;width:441.45pt;height:35.2pt;z-index:2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" strokecolor="red" strokeweight="1.5pt">
                  <v:textbox style="mso-fit-shape-to-text:t">
                    <w:txbxContent>
                      <w:p w14:paraId="0434106C" w14:textId="0537F2A8" w:rsidR="00D47253" w:rsidRPr="001775D9" w:rsidRDefault="00D47253" w:rsidP="008E788D">
                        <w:pPr>
                          <w:tabs>
                            <w:tab w:val="left" w:pos="1134"/>
                          </w:tabs>
                          <w:spacing w:line="240" w:lineRule="auto"/>
                        </w:pPr>
                        <w:r w:rsidRPr="001775D9">
                          <w:rPr>
                            <w:b/>
                            <w:bCs/>
                          </w:rPr>
                          <w:t>Important:</w:t>
                        </w:r>
                        <w:r w:rsidRPr="001775D9">
                          <w:t xml:space="preserve"> If the pre-filled syringe</w:t>
                        </w:r>
                        <w:del w:id="4467" w:author="Author">
                          <w:r w:rsidRPr="00F04F82" w:rsidDel="002F5550">
                            <w:delText xml:space="preserve"> </w:delText>
                          </w:r>
                          <w:r w:rsidRPr="00F04F82" w:rsidDel="00AE0E72">
                            <w:delText>is</w:delText>
                          </w:r>
                          <w:r w:rsidRPr="00F04F82" w:rsidDel="002F5550">
                            <w:delText xml:space="preserve"> medicine</w:delText>
                          </w:r>
                        </w:del>
                        <w:r w:rsidRPr="001775D9">
                          <w:t xml:space="preserve"> </w:t>
                        </w:r>
                        <w:r w:rsidRPr="001775D9">
                          <w:rPr>
                            <w:szCs w:val="22"/>
                          </w:rPr>
                          <w:t>is damaged or expired</w:t>
                        </w:r>
                        <w:r w:rsidRPr="001775D9">
                          <w:t>,</w:t>
                        </w:r>
                        <w:r w:rsidRPr="00D55B59">
                          <w:rPr>
                            <w:rPrChange w:id="4468" w:author="Author">
                              <w:rPr>
                                <w:b/>
                                <w:bCs/>
                              </w:rPr>
                            </w:rPrChange>
                          </w:rPr>
                          <w:t xml:space="preserve"> </w:t>
                        </w:r>
                        <w:r w:rsidRPr="001775D9">
                          <w:t>call your doctor or healthcare provider.</w:t>
                        </w:r>
                      </w:p>
                    </w:txbxContent>
                  </v:textbox>
                  <w10:wrap type="square" anchorx="margin"/>
                </v:shape>
              </w:pict>
            </w:r>
          </w:p>
        </w:tc>
      </w:tr>
    </w:tbl>
    <w:p w14:paraId="05EA0876" w14:textId="77777777" w:rsidR="008E788D" w:rsidRPr="001775D9" w:rsidRDefault="008E788D" w:rsidP="008E788D">
      <w:pPr>
        <w:spacing w:line="240" w:lineRule="auto"/>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7"/>
        <w:gridCol w:w="8364"/>
      </w:tblGrid>
      <w:tr w:rsidR="008E788D" w:rsidRPr="00F04F82" w14:paraId="1950A080" w14:textId="77777777" w:rsidTr="00D47253">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E53447F" w14:textId="77777777" w:rsidR="008E788D" w:rsidRPr="001775D9" w:rsidRDefault="008E788D" w:rsidP="00D47253">
            <w:pPr>
              <w:keepNext/>
              <w:rPr>
                <w:b/>
                <w:bCs/>
              </w:rPr>
            </w:pPr>
            <w:r w:rsidRPr="001775D9">
              <w:rPr>
                <w:b/>
                <w:bCs/>
              </w:rPr>
              <w:t>3c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5B77ADBA" w14:textId="1DFE9169" w:rsidR="008E788D" w:rsidRPr="00D55B59" w:rsidRDefault="008E788D" w:rsidP="00D47253">
            <w:pPr>
              <w:pStyle w:val="ListParagraph"/>
              <w:keepNext/>
              <w:ind w:left="567" w:hanging="567"/>
              <w:rPr>
                <w:sz w:val="22"/>
                <w:szCs w:val="22"/>
                <w:rPrChange w:id="4469" w:author="Author">
                  <w:rPr/>
                </w:rPrChange>
              </w:rPr>
            </w:pPr>
            <w:r w:rsidRPr="00D55B59">
              <w:rPr>
                <w:b/>
                <w:bCs/>
                <w:sz w:val="22"/>
                <w:szCs w:val="22"/>
                <w:rPrChange w:id="4470" w:author="Author">
                  <w:rPr>
                    <w:b/>
                    <w:bCs/>
                  </w:rPr>
                </w:rPrChange>
              </w:rPr>
              <w:t>Inject in</w:t>
            </w:r>
            <w:ins w:id="4471" w:author="Author">
              <w:r w:rsidR="00C32E0C" w:rsidRPr="00D55B59">
                <w:rPr>
                  <w:b/>
                  <w:bCs/>
                  <w:sz w:val="22"/>
                  <w:szCs w:val="22"/>
                  <w:rPrChange w:id="4472" w:author="Author">
                    <w:rPr>
                      <w:b/>
                      <w:bCs/>
                    </w:rPr>
                  </w:rPrChange>
                </w:rPr>
                <w:t>to</w:t>
              </w:r>
            </w:ins>
            <w:r w:rsidRPr="00D55B59">
              <w:rPr>
                <w:b/>
                <w:bCs/>
                <w:sz w:val="22"/>
                <w:szCs w:val="22"/>
                <w:rPrChange w:id="4473" w:author="Author">
                  <w:rPr>
                    <w:b/>
                    <w:bCs/>
                  </w:rPr>
                </w:rPrChange>
              </w:rPr>
              <w:t xml:space="preserve"> </w:t>
            </w:r>
            <w:ins w:id="4474" w:author="Author">
              <w:r w:rsidR="00C32E0C" w:rsidRPr="00D55B59">
                <w:rPr>
                  <w:b/>
                  <w:bCs/>
                  <w:sz w:val="22"/>
                  <w:szCs w:val="22"/>
                  <w:rPrChange w:id="4475" w:author="Author">
                    <w:rPr>
                      <w:b/>
                      <w:bCs/>
                    </w:rPr>
                  </w:rPrChange>
                </w:rPr>
                <w:t>1</w:t>
              </w:r>
            </w:ins>
            <w:del w:id="4476" w:author="Author">
              <w:r w:rsidRPr="00D55B59" w:rsidDel="00C32E0C">
                <w:rPr>
                  <w:b/>
                  <w:bCs/>
                  <w:sz w:val="22"/>
                  <w:szCs w:val="22"/>
                  <w:rPrChange w:id="4477" w:author="Author">
                    <w:rPr>
                      <w:b/>
                      <w:bCs/>
                    </w:rPr>
                  </w:rPrChange>
                </w:rPr>
                <w:delText>one</w:delText>
              </w:r>
            </w:del>
            <w:r w:rsidRPr="00D55B59">
              <w:rPr>
                <w:b/>
                <w:bCs/>
                <w:sz w:val="22"/>
                <w:szCs w:val="22"/>
                <w:rPrChange w:id="4478" w:author="Author">
                  <w:rPr>
                    <w:b/>
                    <w:bCs/>
                  </w:rPr>
                </w:rPrChange>
              </w:rPr>
              <w:t xml:space="preserve"> of these </w:t>
            </w:r>
            <w:ins w:id="4479" w:author="Author">
              <w:r w:rsidR="00C32E0C" w:rsidRPr="00D55B59">
                <w:rPr>
                  <w:b/>
                  <w:bCs/>
                  <w:sz w:val="22"/>
                  <w:szCs w:val="22"/>
                  <w:rPrChange w:id="4480" w:author="Author">
                    <w:rPr>
                      <w:b/>
                      <w:bCs/>
                    </w:rPr>
                  </w:rPrChange>
                </w:rPr>
                <w:t>sites</w:t>
              </w:r>
            </w:ins>
            <w:del w:id="4481" w:author="Author">
              <w:r w:rsidRPr="00D55B59" w:rsidDel="00C32E0C">
                <w:rPr>
                  <w:b/>
                  <w:bCs/>
                  <w:sz w:val="22"/>
                  <w:szCs w:val="22"/>
                  <w:rPrChange w:id="4482" w:author="Author">
                    <w:rPr>
                      <w:b/>
                      <w:bCs/>
                    </w:rPr>
                  </w:rPrChange>
                </w:rPr>
                <w:delText>locations</w:delText>
              </w:r>
            </w:del>
            <w:r w:rsidRPr="00D55B59">
              <w:rPr>
                <w:b/>
                <w:bCs/>
                <w:sz w:val="22"/>
                <w:szCs w:val="22"/>
                <w:rPrChange w:id="4483" w:author="Author">
                  <w:rPr>
                    <w:b/>
                    <w:bCs/>
                  </w:rPr>
                </w:rPrChange>
              </w:rPr>
              <w:t>.</w:t>
            </w:r>
          </w:p>
        </w:tc>
      </w:tr>
      <w:tr w:rsidR="008E788D" w:rsidRPr="00F04F82" w14:paraId="773BC9C2" w14:textId="77777777" w:rsidTr="00D47253">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529FF81" w14:textId="43A861DC" w:rsidR="008E788D" w:rsidRPr="001775D9" w:rsidRDefault="00D96030" w:rsidP="00D47253">
            <w:pPr>
              <w:pStyle w:val="ListParagraph"/>
              <w:keepNext/>
              <w:ind w:left="567" w:hanging="567"/>
              <w:jc w:val="center"/>
            </w:pPr>
            <w:del w:id="4484" w:author="Author">
              <w:r>
                <w:pict w14:anchorId="4C63C0E3">
                  <v:shape id="Picture 3" o:spid="_x0000_i1080" type="#_x0000_t75" style="width:149.5pt;height:149.5pt;visibility:visible;mso-wrap-style:square">
                    <v:imagedata r:id="rId74" o:title="" cropleft="13422f" cropright="13604f"/>
                  </v:shape>
                </w:pict>
              </w:r>
            </w:del>
            <w:ins w:id="4485" w:author="Author">
              <w:r>
                <w:pict w14:anchorId="2DBEFE6E">
                  <v:shape id="_x0000_i1081" type="#_x0000_t75" style="width:107.5pt;height:2in">
                    <v:imagedata r:id="rId75" o:title="ILL2439 (1)"/>
                  </v:shape>
                </w:pict>
              </w:r>
            </w:ins>
          </w:p>
        </w:tc>
      </w:tr>
      <w:tr w:rsidR="008E788D" w:rsidRPr="00F04F82" w14:paraId="4FEFBE9F"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BB805C5" w14:textId="77777777" w:rsidR="008E788D" w:rsidRPr="001775D9" w:rsidRDefault="008E788D" w:rsidP="00D47253">
            <w:pPr>
              <w:keepNext/>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6DC23ECA" w14:textId="400EA379" w:rsidR="008E788D" w:rsidRPr="001775D9" w:rsidRDefault="008E788D" w:rsidP="00D47253">
            <w:pPr>
              <w:keepNext/>
              <w:tabs>
                <w:tab w:val="left" w:pos="1134"/>
              </w:tabs>
              <w:spacing w:line="240" w:lineRule="auto"/>
              <w:rPr>
                <w:b/>
                <w:bCs/>
              </w:rPr>
            </w:pPr>
            <w:r w:rsidRPr="001775D9">
              <w:t>Inject in</w:t>
            </w:r>
            <w:ins w:id="4486" w:author="Author">
              <w:r w:rsidR="002F5550" w:rsidRPr="00F04F82">
                <w:t>to the front of</w:t>
              </w:r>
            </w:ins>
            <w:r w:rsidRPr="001775D9">
              <w:t xml:space="preserve"> your thigh or belly (except 5 c</w:t>
            </w:r>
            <w:ins w:id="4487" w:author="Author">
              <w:r w:rsidR="00500EFC" w:rsidRPr="00F04F82">
                <w:t>entime</w:t>
              </w:r>
              <w:r w:rsidR="005C0B6A" w:rsidRPr="00F04F82">
                <w:t>t</w:t>
              </w:r>
              <w:r w:rsidR="00827037" w:rsidRPr="00F04F82">
                <w:t>r</w:t>
              </w:r>
              <w:r w:rsidR="004541BE" w:rsidRPr="00F04F82">
                <w:t>e</w:t>
              </w:r>
              <w:r w:rsidR="00827037" w:rsidRPr="00F04F82">
                <w:t>s</w:t>
              </w:r>
            </w:ins>
            <w:del w:id="4488" w:author="Author">
              <w:r w:rsidRPr="00F04F82" w:rsidDel="00827037">
                <w:delText>m</w:delText>
              </w:r>
            </w:del>
            <w:r w:rsidRPr="001775D9">
              <w:t xml:space="preserve"> around your belly button).</w:t>
            </w:r>
          </w:p>
        </w:tc>
      </w:tr>
      <w:tr w:rsidR="008E788D" w:rsidRPr="00F04F82" w14:paraId="3386063C"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B70C1B0" w14:textId="77777777" w:rsidR="008E788D" w:rsidRPr="001775D9" w:rsidRDefault="008E788D" w:rsidP="00D47253">
            <w:pPr>
              <w:keepNext/>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6FC3544D" w14:textId="11540E0F" w:rsidR="008E788D" w:rsidRPr="001775D9" w:rsidRDefault="008E788D" w:rsidP="00D47253">
            <w:pPr>
              <w:keepNext/>
              <w:tabs>
                <w:tab w:val="left" w:pos="1134"/>
              </w:tabs>
              <w:spacing w:line="240" w:lineRule="auto"/>
            </w:pPr>
            <w:r w:rsidRPr="001775D9">
              <w:t>Choose a different site for each injection</w:t>
            </w:r>
            <w:ins w:id="4489" w:author="Author">
              <w:r w:rsidR="002F5550" w:rsidRPr="00F04F82">
                <w:t>.</w:t>
              </w:r>
            </w:ins>
          </w:p>
        </w:tc>
      </w:tr>
      <w:tr w:rsidR="008E788D" w:rsidRPr="00F04F82" w14:paraId="6EA2DEE0"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7A9F3CE" w14:textId="77777777" w:rsidR="008E788D" w:rsidRPr="001775D9" w:rsidRDefault="008E788D" w:rsidP="00D47253">
            <w:pPr>
              <w:keepNext/>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0DFAEEAB" w14:textId="77777777" w:rsidR="008E788D" w:rsidRPr="001775D9" w:rsidRDefault="008E788D" w:rsidP="00D47253">
            <w:pPr>
              <w:keepNext/>
              <w:tabs>
                <w:tab w:val="left" w:pos="1134"/>
              </w:tabs>
              <w:spacing w:line="240" w:lineRule="auto"/>
            </w:pPr>
            <w:r w:rsidRPr="001775D9">
              <w:t>Wash your hands thoroughly with soap and water.</w:t>
            </w:r>
          </w:p>
        </w:tc>
      </w:tr>
      <w:tr w:rsidR="008E788D" w:rsidRPr="00F04F82" w14:paraId="2AA46CFE"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94D1F86" w14:textId="77777777" w:rsidR="008E788D" w:rsidRPr="001775D9" w:rsidRDefault="008E788D" w:rsidP="00D47253">
            <w:pPr>
              <w:keepNext/>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1EBF441A" w14:textId="5D07E62C" w:rsidR="008E788D" w:rsidRPr="001775D9" w:rsidRDefault="008E788D" w:rsidP="00D47253">
            <w:pPr>
              <w:keepNext/>
              <w:spacing w:line="240" w:lineRule="auto"/>
            </w:pPr>
            <w:r w:rsidRPr="001775D9">
              <w:t xml:space="preserve">Clean </w:t>
            </w:r>
            <w:ins w:id="4490" w:author="Author">
              <w:r w:rsidR="00500EFC" w:rsidRPr="00F04F82">
                <w:t xml:space="preserve">the </w:t>
              </w:r>
            </w:ins>
            <w:r w:rsidRPr="001775D9">
              <w:t>injection site with an alcohol wipe.</w:t>
            </w:r>
          </w:p>
        </w:tc>
      </w:tr>
      <w:tr w:rsidR="008E788D" w:rsidRPr="00F04F82" w14:paraId="01953300" w14:textId="77777777" w:rsidTr="00D47253">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00F6140F"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7B6C375F" w14:textId="40824AD2" w:rsidR="008E788D" w:rsidRPr="001775D9" w:rsidRDefault="008E788D" w:rsidP="00D47253">
            <w:pPr>
              <w:tabs>
                <w:tab w:val="left" w:pos="1134"/>
              </w:tabs>
              <w:spacing w:line="240" w:lineRule="auto"/>
            </w:pPr>
            <w:r w:rsidRPr="001775D9">
              <w:t xml:space="preserve">Let </w:t>
            </w:r>
            <w:ins w:id="4491" w:author="Author">
              <w:r w:rsidR="00500EFC" w:rsidRPr="00F04F82">
                <w:t>the</w:t>
              </w:r>
            </w:ins>
            <w:del w:id="4492" w:author="Author">
              <w:r w:rsidRPr="00F04F82" w:rsidDel="00500EFC">
                <w:delText>your</w:delText>
              </w:r>
            </w:del>
            <w:r w:rsidRPr="001775D9">
              <w:t xml:space="preserve"> skin dry on its own.</w:t>
            </w:r>
          </w:p>
        </w:tc>
      </w:tr>
      <w:tr w:rsidR="008E788D" w:rsidRPr="00F04F82" w14:paraId="78074C06" w14:textId="77777777" w:rsidTr="00D47253">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53D22CD7"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410F0388" w14:textId="77777777" w:rsidR="008E788D" w:rsidRPr="001775D9" w:rsidRDefault="008E788D" w:rsidP="00D47253">
            <w:pPr>
              <w:tabs>
                <w:tab w:val="left" w:pos="1134"/>
              </w:tabs>
              <w:spacing w:line="240" w:lineRule="auto"/>
            </w:pPr>
            <w:r w:rsidRPr="001775D9">
              <w:rPr>
                <w:b/>
                <w:bCs/>
              </w:rPr>
              <w:t>Do not</w:t>
            </w:r>
            <w:r w:rsidRPr="001775D9">
              <w:t xml:space="preserve"> touch this area again before injecting.</w:t>
            </w:r>
          </w:p>
        </w:tc>
      </w:tr>
      <w:tr w:rsidR="008E788D" w:rsidRPr="00F04F82" w14:paraId="52794E7D" w14:textId="77777777" w:rsidTr="00D47253">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hideMark/>
          </w:tcPr>
          <w:p w14:paraId="4AFC774B" w14:textId="578605E4" w:rsidR="008E788D" w:rsidRPr="001775D9" w:rsidRDefault="00D96030" w:rsidP="00D47253">
            <w:pPr>
              <w:tabs>
                <w:tab w:val="left" w:pos="1134"/>
              </w:tabs>
              <w:spacing w:line="240" w:lineRule="auto"/>
              <w:rPr>
                <w:b/>
                <w:bCs/>
              </w:rPr>
            </w:pPr>
            <w:r>
              <w:pict w14:anchorId="154A6492">
                <v:shape id="_x0000_s2070" type="#_x0000_t202" style="position:absolute;margin-left:1.3pt;margin-top:4.25pt;width:441.4pt;height:21.35pt;z-index:2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" strokecolor="red" strokeweight="1.5pt">
                  <v:textbox style="mso-fit-shape-to-text:t">
                    <w:txbxContent>
                      <w:p w14:paraId="322BF645" w14:textId="0DA43F76" w:rsidR="00D47253" w:rsidRPr="001775D9" w:rsidRDefault="00D47253" w:rsidP="008E788D">
                        <w:pPr>
                          <w:tabs>
                            <w:tab w:val="left" w:pos="1134"/>
                          </w:tabs>
                          <w:spacing w:line="240" w:lineRule="auto"/>
                        </w:pPr>
                        <w:r w:rsidRPr="001775D9">
                          <w:rPr>
                            <w:b/>
                            <w:bCs/>
                          </w:rPr>
                          <w:t>Important:</w:t>
                        </w:r>
                        <w:r w:rsidRPr="001775D9">
                          <w:t xml:space="preserve"> Avoid areas with scars, stretch marks, or where </w:t>
                        </w:r>
                        <w:ins w:id="4493" w:author="Author">
                          <w:r w:rsidR="00620FDD" w:rsidRPr="00F04F82">
                            <w:t xml:space="preserve">the </w:t>
                          </w:r>
                        </w:ins>
                        <w:r w:rsidRPr="001775D9">
                          <w:t>skin is tender, bruised, red or hard.</w:t>
                        </w:r>
                      </w:p>
                    </w:txbxContent>
                  </v:textbox>
                  <w10:wrap type="square" anchorx="margin"/>
                </v:shape>
              </w:pict>
            </w:r>
          </w:p>
        </w:tc>
      </w:tr>
    </w:tbl>
    <w:p w14:paraId="12C4EDE0" w14:textId="77777777" w:rsidR="008E788D" w:rsidRPr="001775D9" w:rsidRDefault="008E788D" w:rsidP="008E788D">
      <w:pPr>
        <w:tabs>
          <w:tab w:val="left" w:pos="1134"/>
        </w:tabs>
        <w:spacing w:line="240" w:lineRule="auto"/>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7"/>
        <w:gridCol w:w="8364"/>
      </w:tblGrid>
      <w:tr w:rsidR="008E788D" w:rsidRPr="00F04F82" w14:paraId="64FECAF2" w14:textId="77777777" w:rsidTr="00D47253">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27E66366" w14:textId="77777777" w:rsidR="008E788D" w:rsidRPr="001775D9" w:rsidRDefault="008E788D" w:rsidP="00D47253">
            <w:pPr>
              <w:keepNext/>
              <w:rPr>
                <w:b/>
                <w:bCs/>
              </w:rPr>
            </w:pPr>
            <w:r w:rsidRPr="001775D9">
              <w:rPr>
                <w:b/>
                <w:bCs/>
              </w:rPr>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C7FFC4C" w14:textId="77777777" w:rsidR="008E788D" w:rsidRPr="001775D9" w:rsidRDefault="008E788D" w:rsidP="00D47253">
            <w:pPr>
              <w:pStyle w:val="ListParagraph"/>
              <w:ind w:left="567" w:hanging="567"/>
            </w:pPr>
            <w:r w:rsidRPr="001775D9">
              <w:rPr>
                <w:b/>
                <w:bCs/>
                <w:sz w:val="22"/>
                <w:szCs w:val="22"/>
              </w:rPr>
              <w:t>Injecting AMGEVITA</w:t>
            </w:r>
          </w:p>
        </w:tc>
      </w:tr>
      <w:tr w:rsidR="008E788D" w:rsidRPr="00F04F82" w14:paraId="65E7E4FA" w14:textId="77777777" w:rsidTr="00B61D9D">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1DBC8FDD" w14:textId="6DD8F859" w:rsidR="008E788D" w:rsidRPr="00D55B59" w:rsidRDefault="00D96030" w:rsidP="00B61D9D">
            <w:pPr>
              <w:pStyle w:val="ListParagraph"/>
              <w:ind w:left="0"/>
              <w:rPr>
                <w:rPrChange w:id="4494" w:author="Author">
                  <w:rPr>
                    <w:noProof/>
                  </w:rPr>
                </w:rPrChange>
              </w:rPr>
            </w:pPr>
            <w:r>
              <w:pict w14:anchorId="09B9A89F">
                <v:shape id="_x0000_s2069" type="#_x0000_t202" style="position:absolute;margin-left:-.2pt;margin-top:3.05pt;width:441.45pt;height:34pt;z-index:1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" strokecolor="red" strokeweight="1.5pt">
                  <v:textbox style="mso-next-textbox:#_x0000_s2069;mso-fit-shape-to-text:t">
                    <w:txbxContent>
                      <w:p w14:paraId="744BC470" w14:textId="79338196" w:rsidR="00D47253" w:rsidRPr="001775D9" w:rsidRDefault="00D47253" w:rsidP="008E788D">
                        <w:pPr>
                          <w:tabs>
                            <w:tab w:val="left" w:pos="1134"/>
                          </w:tabs>
                          <w:spacing w:line="240" w:lineRule="auto"/>
                        </w:pPr>
                        <w:r w:rsidRPr="001775D9">
                          <w:rPr>
                            <w:b/>
                            <w:bCs/>
                          </w:rPr>
                          <w:t>Important:</w:t>
                        </w:r>
                        <w:r w:rsidRPr="001775D9">
                          <w:t xml:space="preserve"> Only remove the needle cap when you can inject right away (within 5 minutes) because the medicine can dry out.</w:t>
                        </w:r>
                        <w:ins w:id="4495" w:author="Author">
                          <w:r w:rsidR="00391ECA" w:rsidRPr="00F04F82">
                            <w:t xml:space="preserve"> Do not recap.</w:t>
                          </w:r>
                        </w:ins>
                      </w:p>
                    </w:txbxContent>
                  </v:textbox>
                  <w10:wrap type="square" anchorx="margin"/>
                </v:shape>
              </w:pict>
            </w:r>
          </w:p>
        </w:tc>
      </w:tr>
      <w:tr w:rsidR="008E788D" w:rsidRPr="00F04F82" w14:paraId="40542299" w14:textId="77777777" w:rsidTr="00D47253">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C4846E8" w14:textId="77777777" w:rsidR="008E788D" w:rsidRPr="001775D9" w:rsidRDefault="008E788D" w:rsidP="00D47253">
            <w:pPr>
              <w:keepNext/>
              <w:rPr>
                <w:b/>
                <w:bCs/>
              </w:rPr>
            </w:pPr>
            <w:r w:rsidRPr="001775D9">
              <w:rPr>
                <w:b/>
                <w:bCs/>
              </w:rPr>
              <w:t>4a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4BD4DDF7" w14:textId="77777777" w:rsidR="008E788D" w:rsidRPr="001775D9" w:rsidRDefault="008E788D" w:rsidP="00D47253">
            <w:pPr>
              <w:pStyle w:val="ListParagraph"/>
              <w:ind w:left="567" w:hanging="567"/>
              <w:rPr>
                <w:sz w:val="22"/>
                <w:szCs w:val="22"/>
              </w:rPr>
            </w:pPr>
            <w:r w:rsidRPr="001775D9">
              <w:rPr>
                <w:b/>
                <w:bCs/>
                <w:sz w:val="22"/>
                <w:szCs w:val="22"/>
              </w:rPr>
              <w:t>Pull the needle cap straight off while holding the pre-filled syringe barrel.</w:t>
            </w:r>
          </w:p>
        </w:tc>
      </w:tr>
      <w:tr w:rsidR="008E788D" w:rsidRPr="00F04F82" w14:paraId="44BAB34D" w14:textId="77777777" w:rsidTr="00D47253">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6C02790" w14:textId="22F7A89F" w:rsidR="008E788D" w:rsidRPr="001775D9" w:rsidRDefault="00D96030" w:rsidP="00D47253">
            <w:pPr>
              <w:pStyle w:val="ListParagraph"/>
              <w:ind w:left="567" w:hanging="567"/>
              <w:jc w:val="center"/>
              <w:rPr>
                <w:b/>
                <w:bCs/>
              </w:rPr>
            </w:pPr>
            <w:r>
              <w:pict w14:anchorId="74060E92">
                <v:shape id="_x0000_i1082" type="#_x0000_t75" style="width:252.5pt;height:118.5pt;visibility:visible;mso-wrap-style:square">
                  <v:imagedata r:id="rId76" o:title=""/>
                </v:shape>
              </w:pict>
            </w:r>
          </w:p>
        </w:tc>
      </w:tr>
      <w:tr w:rsidR="008E788D" w:rsidRPr="00F04F82" w14:paraId="03A70822"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97D71B4"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6C7FF355" w14:textId="77777777" w:rsidR="008E788D" w:rsidRPr="001775D9" w:rsidRDefault="008E788D" w:rsidP="00D47253">
            <w:pPr>
              <w:tabs>
                <w:tab w:val="left" w:pos="1134"/>
              </w:tabs>
              <w:spacing w:line="240" w:lineRule="auto"/>
              <w:rPr>
                <w:b/>
                <w:bCs/>
              </w:rPr>
            </w:pPr>
            <w:r w:rsidRPr="001775D9">
              <w:rPr>
                <w:b/>
                <w:bCs/>
              </w:rPr>
              <w:t>Do not</w:t>
            </w:r>
            <w:r w:rsidRPr="001775D9">
              <w:t xml:space="preserve"> twist or bend the needle cap.</w:t>
            </w:r>
          </w:p>
        </w:tc>
      </w:tr>
      <w:tr w:rsidR="008E788D" w:rsidRPr="00F04F82" w14:paraId="5D4F0CD9"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9EFA465"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39827854" w14:textId="77777777" w:rsidR="008E788D" w:rsidRPr="001775D9" w:rsidRDefault="008E788D" w:rsidP="00D47253">
            <w:pPr>
              <w:tabs>
                <w:tab w:val="left" w:pos="1134"/>
              </w:tabs>
              <w:spacing w:line="240" w:lineRule="auto"/>
            </w:pPr>
            <w:r w:rsidRPr="001775D9">
              <w:rPr>
                <w:b/>
                <w:bCs/>
              </w:rPr>
              <w:t>Never</w:t>
            </w:r>
            <w:r w:rsidRPr="001775D9">
              <w:t xml:space="preserve"> put the needle cap back on. It may damage the needle.</w:t>
            </w:r>
          </w:p>
        </w:tc>
      </w:tr>
      <w:tr w:rsidR="008E788D" w:rsidRPr="00F04F82" w14:paraId="5423498B"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CACD4F9"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4D731CC3" w14:textId="7150E7CF" w:rsidR="008E788D" w:rsidRPr="001775D9" w:rsidRDefault="008E788D" w:rsidP="00D47253">
            <w:pPr>
              <w:tabs>
                <w:tab w:val="left" w:pos="1134"/>
              </w:tabs>
              <w:spacing w:line="240" w:lineRule="auto"/>
            </w:pPr>
            <w:r w:rsidRPr="001775D9">
              <w:rPr>
                <w:b/>
                <w:bCs/>
              </w:rPr>
              <w:t>Do not</w:t>
            </w:r>
            <w:r w:rsidRPr="001775D9">
              <w:t xml:space="preserve"> let anything touch the needle </w:t>
            </w:r>
            <w:ins w:id="4496" w:author="Author">
              <w:r w:rsidR="00F95E12" w:rsidRPr="00F04F82">
                <w:t>after you remove the needle cap</w:t>
              </w:r>
            </w:ins>
            <w:del w:id="4497" w:author="Author">
              <w:r w:rsidRPr="00F04F82" w:rsidDel="00F95E12">
                <w:delText>once the needle cap is removed</w:delText>
              </w:r>
            </w:del>
            <w:r w:rsidRPr="001775D9">
              <w:t>.</w:t>
            </w:r>
          </w:p>
        </w:tc>
      </w:tr>
      <w:tr w:rsidR="008E788D" w:rsidRPr="00F04F82" w14:paraId="3378D267" w14:textId="77777777" w:rsidTr="00D47253">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8C93821"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0A7B33A4" w14:textId="15D9526C" w:rsidR="008E788D" w:rsidRPr="001775D9" w:rsidRDefault="008E788D" w:rsidP="00D47253">
            <w:pPr>
              <w:tabs>
                <w:tab w:val="left" w:pos="1134"/>
              </w:tabs>
              <w:spacing w:line="240" w:lineRule="auto"/>
            </w:pPr>
            <w:r w:rsidRPr="001775D9">
              <w:rPr>
                <w:b/>
                <w:bCs/>
              </w:rPr>
              <w:t>Do not</w:t>
            </w:r>
            <w:r w:rsidRPr="001775D9">
              <w:t xml:space="preserve"> place the uncapped pre-filled syringe on any surface </w:t>
            </w:r>
            <w:ins w:id="4498" w:author="Author">
              <w:r w:rsidR="00375240" w:rsidRPr="00F04F82">
                <w:t>after you remove the needle</w:t>
              </w:r>
              <w:r w:rsidR="00286AF8" w:rsidRPr="00F04F82">
                <w:t xml:space="preserve"> </w:t>
              </w:r>
              <w:r w:rsidR="00375240" w:rsidRPr="00F04F82">
                <w:t>cap</w:t>
              </w:r>
            </w:ins>
            <w:del w:id="4499" w:author="Author">
              <w:r w:rsidRPr="00F04F82" w:rsidDel="00375240">
                <w:delText>once the needle cap is removed</w:delText>
              </w:r>
            </w:del>
            <w:r w:rsidRPr="001775D9">
              <w:t>.</w:t>
            </w:r>
          </w:p>
        </w:tc>
      </w:tr>
      <w:tr w:rsidR="008E788D" w:rsidRPr="00F04F82" w14:paraId="75585DA2" w14:textId="77777777" w:rsidTr="00D47253">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3D2C7942"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
          <w:p w14:paraId="6E34A986" w14:textId="77777777" w:rsidR="008E788D" w:rsidRPr="001775D9" w:rsidRDefault="008E788D" w:rsidP="00D47253">
            <w:pPr>
              <w:tabs>
                <w:tab w:val="left" w:pos="1134"/>
              </w:tabs>
              <w:spacing w:line="240" w:lineRule="auto"/>
            </w:pPr>
            <w:r w:rsidRPr="001775D9">
              <w:rPr>
                <w:b/>
                <w:bCs/>
              </w:rPr>
              <w:t>Do not</w:t>
            </w:r>
            <w:r w:rsidRPr="001775D9">
              <w:t xml:space="preserve"> try to push air bubbles out of the pre-filled syringe. It is okay to see air bubbles.</w:t>
            </w:r>
          </w:p>
        </w:tc>
      </w:tr>
      <w:tr w:rsidR="008E788D" w:rsidRPr="00F04F82" w14:paraId="4E93C439" w14:textId="77777777" w:rsidTr="00D47253">
        <w:trPr>
          <w:cantSplit/>
          <w:trHeight w:val="55"/>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5A0CF5AE"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hideMark/>
          </w:tcPr>
          <w:p w14:paraId="43708323" w14:textId="6511D283" w:rsidR="000872FD" w:rsidRPr="00F04F82" w:rsidRDefault="005D22FB" w:rsidP="00D47253">
            <w:pPr>
              <w:tabs>
                <w:tab w:val="left" w:pos="1134"/>
              </w:tabs>
              <w:spacing w:line="240" w:lineRule="auto"/>
              <w:rPr>
                <w:ins w:id="4500" w:author="Author"/>
              </w:rPr>
            </w:pPr>
            <w:ins w:id="4501" w:author="Author">
              <w:r w:rsidRPr="00F04F82">
                <w:t>It is normal to see a drop of medicine</w:t>
              </w:r>
              <w:r w:rsidR="006E193B" w:rsidRPr="00F04F82">
                <w:t xml:space="preserve"> come out of the needle.</w:t>
              </w:r>
              <w:r w:rsidRPr="00F04F82">
                <w:t xml:space="preserve"> </w:t>
              </w:r>
            </w:ins>
          </w:p>
          <w:p w14:paraId="3E39E85B" w14:textId="6DE901FA" w:rsidR="008E788D" w:rsidRPr="001775D9" w:rsidRDefault="008E788D" w:rsidP="000872FD">
            <w:pPr>
              <w:tabs>
                <w:tab w:val="left" w:pos="1134"/>
              </w:tabs>
              <w:spacing w:line="240" w:lineRule="auto"/>
              <w:ind w:left="-645"/>
            </w:pPr>
            <w:del w:id="4502" w:author="Author">
              <w:r w:rsidRPr="00F04F82" w:rsidDel="005D22FB">
                <w:delText>A drop of medicine is normal.</w:delText>
              </w:r>
            </w:del>
          </w:p>
        </w:tc>
      </w:tr>
    </w:tbl>
    <w:p w14:paraId="15DB9E65" w14:textId="77777777" w:rsidR="008E788D" w:rsidRPr="001775D9" w:rsidRDefault="008E788D" w:rsidP="008E788D">
      <w:pPr>
        <w:tabs>
          <w:tab w:val="left" w:pos="1134"/>
        </w:tabs>
        <w:spacing w:line="240" w:lineRule="auto"/>
      </w:pPr>
    </w:p>
    <w:tbl>
      <w:tblPr>
        <w:tblW w:w="5016"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4503"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588"/>
        <w:gridCol w:w="4019"/>
        <w:gridCol w:w="4607"/>
        <w:tblGridChange w:id="4504">
          <w:tblGrid>
            <w:gridCol w:w="392"/>
            <w:gridCol w:w="196"/>
            <w:gridCol w:w="154"/>
            <w:gridCol w:w="114"/>
            <w:gridCol w:w="3751"/>
            <w:gridCol w:w="4286"/>
            <w:gridCol w:w="321"/>
            <w:gridCol w:w="292"/>
          </w:tblGrid>
        </w:tblGridChange>
      </w:tblGrid>
      <w:tr w:rsidR="008E788D" w:rsidRPr="00F04F82" w14:paraId="1F490627" w14:textId="77777777" w:rsidTr="00D55B59">
        <w:trPr>
          <w:cantSplit/>
          <w:trHeight w:val="57"/>
          <w:trPrChange w:id="4505" w:author="Author">
            <w:trPr>
              <w:gridBefore w:val="1"/>
              <w:gridAfter w:val="0"/>
              <w:wAfter w:w="6" w:type="dxa"/>
              <w:cantSplit/>
              <w:trHeight w:val="57"/>
            </w:trPr>
          </w:trPrChange>
        </w:trPr>
        <w:tc>
          <w:tcPr>
            <w:tcW w:w="31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06" w:author="Author">
              <w:tcPr>
                <w:tcW w:w="354"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25583A72" w14:textId="77777777" w:rsidR="008E788D" w:rsidRPr="00F04F82" w:rsidRDefault="008E788D" w:rsidP="00D47253">
            <w:pPr>
              <w:keepNext/>
              <w:rPr>
                <w:b/>
                <w:bCs/>
              </w:rPr>
            </w:pPr>
            <w:r w:rsidRPr="001775D9">
              <w:rPr>
                <w:b/>
                <w:bCs/>
              </w:rPr>
              <w:t>4b</w:t>
            </w:r>
          </w:p>
        </w:tc>
        <w:tc>
          <w:tcPr>
            <w:tcW w:w="4681"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07" w:author="Author">
              <w:tcPr>
                <w:tcW w:w="464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44C6F244" w14:textId="77777777" w:rsidR="008E788D" w:rsidRPr="00F04F82" w:rsidRDefault="008E788D" w:rsidP="00D47253">
            <w:pPr>
              <w:pStyle w:val="ListParagraph"/>
              <w:keepNext/>
              <w:ind w:left="567" w:hanging="567"/>
            </w:pPr>
            <w:r w:rsidRPr="001775D9">
              <w:rPr>
                <w:b/>
                <w:bCs/>
                <w:sz w:val="22"/>
                <w:szCs w:val="22"/>
              </w:rPr>
              <w:t>Pinch the skin around the injection site before the injection.</w:t>
            </w:r>
          </w:p>
        </w:tc>
      </w:tr>
      <w:tr w:rsidR="008E788D" w:rsidRPr="00F04F82" w:rsidDel="002A0D70" w14:paraId="27FF6151" w14:textId="6D92761A" w:rsidTr="00D55B59">
        <w:trPr>
          <w:cantSplit/>
          <w:trHeight w:val="57"/>
          <w:del w:id="4508" w:author="Author"/>
          <w:trPrChange w:id="4509" w:author="Author">
            <w:trPr>
              <w:gridBefore w:val="1"/>
              <w:gridAfter w:val="0"/>
              <w:wAfter w:w="6" w:type="dxa"/>
              <w:cantSplit/>
              <w:trHeight w:val="57"/>
            </w:trPr>
          </w:trPrChange>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10" w:author="Author">
              <w:tcPr>
                <w:tcW w:w="5000" w:type="pct"/>
                <w:gridSpan w:val="5"/>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4F7DCBC7" w14:textId="6B3BBB6F" w:rsidR="008E788D" w:rsidRPr="00F04F82" w:rsidDel="002A0D70" w:rsidRDefault="008E788D" w:rsidP="00D47253">
            <w:pPr>
              <w:keepNext/>
              <w:tabs>
                <w:tab w:val="left" w:pos="1134"/>
              </w:tabs>
              <w:spacing w:line="240" w:lineRule="auto"/>
              <w:jc w:val="center"/>
              <w:rPr>
                <w:del w:id="4511" w:author="Author"/>
              </w:rPr>
            </w:pPr>
            <w:del w:id="4512" w:author="Author">
              <w:r w:rsidRPr="00F04F82" w:rsidDel="002A0D70">
                <w:rPr>
                  <w:b/>
                  <w:bCs/>
                </w:rPr>
                <w:delText>PINCH</w:delText>
              </w:r>
            </w:del>
          </w:p>
        </w:tc>
      </w:tr>
      <w:tr w:rsidR="00E9201A" w:rsidRPr="00F04F82" w14:paraId="79CD94E4" w14:textId="77777777" w:rsidTr="008F28F0">
        <w:trPr>
          <w:cantSplit/>
          <w:trHeight w:val="57"/>
        </w:trPr>
        <w:tc>
          <w:tcPr>
            <w:tcW w:w="250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hideMark/>
          </w:tcPr>
          <w:p w14:paraId="3AC542A7" w14:textId="77777777" w:rsidR="00E9201A" w:rsidRPr="001775D9" w:rsidRDefault="00E9201A" w:rsidP="00E9201A">
            <w:pPr>
              <w:keepNext/>
              <w:tabs>
                <w:tab w:val="left" w:pos="514"/>
                <w:tab w:val="left" w:pos="1134"/>
                <w:tab w:val="center" w:pos="4507"/>
              </w:tabs>
              <w:spacing w:line="240" w:lineRule="auto"/>
              <w:rPr>
                <w:szCs w:val="22"/>
                <w:lang w:eastAsia="en-GB"/>
              </w:rPr>
            </w:pPr>
          </w:p>
          <w:p w14:paraId="744960AA" w14:textId="77777777" w:rsidR="00D7482F" w:rsidRPr="00F04F82" w:rsidRDefault="00E9201A" w:rsidP="00270D68">
            <w:pPr>
              <w:keepNext/>
              <w:tabs>
                <w:tab w:val="left" w:pos="1134"/>
              </w:tabs>
              <w:spacing w:line="240" w:lineRule="auto"/>
              <w:jc w:val="right"/>
              <w:rPr>
                <w:ins w:id="4513" w:author="Author"/>
                <w:szCs w:val="22"/>
                <w:lang w:eastAsia="en-GB"/>
              </w:rPr>
            </w:pPr>
            <w:ins w:id="4514" w:author="Author">
              <w:r w:rsidRPr="00D55B59">
                <w:rPr>
                  <w:szCs w:val="22"/>
                  <w:lang w:eastAsia="en-GB"/>
                  <w:rPrChange w:id="4515" w:author="Author">
                    <w:rPr>
                      <w:noProof/>
                    </w:rPr>
                  </w:rPrChange>
                </w:rPr>
                <w:t xml:space="preserve">PINCH skin at </w:t>
              </w:r>
            </w:ins>
          </w:p>
          <w:p w14:paraId="16C53569" w14:textId="043159A9" w:rsidR="00E9201A" w:rsidRPr="00F04F82" w:rsidRDefault="00E9201A" w:rsidP="00D55B59">
            <w:pPr>
              <w:keepNext/>
              <w:tabs>
                <w:tab w:val="left" w:pos="1134"/>
              </w:tabs>
              <w:spacing w:line="240" w:lineRule="auto"/>
              <w:jc w:val="right"/>
              <w:rPr>
                <w:szCs w:val="22"/>
                <w:lang w:eastAsia="en-GB"/>
              </w:rPr>
              <w:pPrChange w:id="4516" w:author="Author">
                <w:pPr>
                  <w:keepNext/>
                  <w:tabs>
                    <w:tab w:val="left" w:pos="514"/>
                    <w:tab w:val="left" w:pos="1134"/>
                    <w:tab w:val="center" w:pos="4507"/>
                  </w:tabs>
                  <w:spacing w:after="120" w:line="240" w:lineRule="auto"/>
                  <w:jc w:val="right"/>
                </w:pPr>
              </w:pPrChange>
            </w:pPr>
            <w:ins w:id="4517" w:author="Author">
              <w:r w:rsidRPr="00D55B59">
                <w:rPr>
                  <w:szCs w:val="22"/>
                  <w:lang w:eastAsia="en-GB"/>
                  <w:rPrChange w:id="4518" w:author="Author">
                    <w:rPr>
                      <w:noProof/>
                    </w:rPr>
                  </w:rPrChange>
                </w:rPr>
                <w:t>injection site</w:t>
              </w:r>
            </w:ins>
          </w:p>
        </w:tc>
        <w:tc>
          <w:tcPr>
            <w:tcW w:w="2500" w:type="pct"/>
            <w:tcBorders>
              <w:top w:val="single" w:sz="4" w:space="0" w:color="auto"/>
              <w:left w:val="nil"/>
              <w:bottom w:val="single" w:sz="4" w:space="0" w:color="auto"/>
              <w:right w:val="single" w:sz="4" w:space="0" w:color="auto"/>
            </w:tcBorders>
          </w:tcPr>
          <w:p w14:paraId="357D8288" w14:textId="15A960AC" w:rsidR="00E9201A" w:rsidRPr="00D55B59" w:rsidRDefault="00E9201A" w:rsidP="003D255B">
            <w:pPr>
              <w:keepNext/>
              <w:tabs>
                <w:tab w:val="left" w:pos="514"/>
                <w:tab w:val="left" w:pos="1134"/>
                <w:tab w:val="center" w:pos="4507"/>
              </w:tabs>
              <w:spacing w:after="100" w:afterAutospacing="1" w:line="240" w:lineRule="auto"/>
              <w:rPr>
                <w:ins w:id="4519" w:author="Author"/>
                <w:rPrChange w:id="4520" w:author="Author">
                  <w:rPr>
                    <w:ins w:id="4521" w:author="Author"/>
                    <w:noProof/>
                  </w:rPr>
                </w:rPrChange>
              </w:rPr>
            </w:pPr>
            <w:ins w:id="4522" w:author="Author">
              <w:del w:id="4523" w:author="Author">
                <w:r w:rsidRPr="00D55B59" w:rsidDel="00272FDF">
                  <w:rPr>
                    <w:rPrChange w:id="4524" w:author="Author">
                      <w:rPr>
                        <w:noProof/>
                      </w:rPr>
                    </w:rPrChange>
                  </w:rPr>
                  <w:tab/>
                </w:r>
              </w:del>
            </w:ins>
          </w:p>
          <w:p w14:paraId="0B4539F8" w14:textId="3C03E770" w:rsidR="00E9201A" w:rsidRPr="00F04F82" w:rsidRDefault="00D96030" w:rsidP="00D55B59">
            <w:pPr>
              <w:keepNext/>
              <w:tabs>
                <w:tab w:val="left" w:pos="514"/>
                <w:tab w:val="left" w:pos="1134"/>
                <w:tab w:val="center" w:pos="4507"/>
              </w:tabs>
              <w:spacing w:after="100" w:afterAutospacing="1" w:line="240" w:lineRule="auto"/>
              <w:rPr>
                <w:b/>
                <w:bCs/>
              </w:rPr>
              <w:pPrChange w:id="4525" w:author="Author">
                <w:pPr>
                  <w:keepNext/>
                  <w:tabs>
                    <w:tab w:val="left" w:pos="1134"/>
                  </w:tabs>
                  <w:spacing w:line="240" w:lineRule="auto"/>
                  <w:jc w:val="center"/>
                </w:pPr>
              </w:pPrChange>
            </w:pPr>
            <w:del w:id="4526" w:author="Author">
              <w:r>
                <w:pict w14:anchorId="77D4D813">
                  <v:shape id="_x0000_i1083" type="#_x0000_t75" style="width:149.5pt;height:92.5pt;visibility:visible;mso-wrap-style:square">
                    <v:imagedata r:id="rId77" o:title=""/>
                  </v:shape>
                </w:pict>
              </w:r>
            </w:del>
            <w:ins w:id="4527" w:author="Author">
              <w:r>
                <w:pict w14:anchorId="7E6FD010">
                  <v:shape id="_x0000_i1084" type="#_x0000_t75" style="width:169.5pt;height:1in">
                    <v:imagedata r:id="rId78" o:title="ILL2483"/>
                  </v:shape>
                </w:pict>
              </w:r>
            </w:ins>
          </w:p>
        </w:tc>
      </w:tr>
      <w:tr w:rsidR="002D7F06" w:rsidRPr="00F04F82" w14:paraId="5E49BE9B" w14:textId="77777777" w:rsidTr="002D7F06">
        <w:trPr>
          <w:cantSplit/>
          <w:trHeight w:val="57"/>
        </w:trPr>
        <w:tc>
          <w:tcPr>
            <w:tcW w:w="319" w:type="pct"/>
            <w:tcBorders>
              <w:top w:val="nil"/>
              <w:left w:val="single" w:sz="4" w:space="0" w:color="auto"/>
              <w:bottom w:val="nil"/>
              <w:right w:val="nil"/>
            </w:tcBorders>
            <w:tcMar>
              <w:top w:w="28" w:type="dxa"/>
              <w:left w:w="57" w:type="dxa"/>
              <w:bottom w:w="28" w:type="dxa"/>
              <w:right w:w="57" w:type="dxa"/>
            </w:tcMar>
          </w:tcPr>
          <w:p w14:paraId="5ED5D8B3" w14:textId="77777777" w:rsidR="008E788D" w:rsidRPr="001775D9" w:rsidRDefault="008E788D" w:rsidP="00D47253">
            <w:pPr>
              <w:numPr>
                <w:ilvl w:val="0"/>
                <w:numId w:val="40"/>
              </w:numPr>
              <w:tabs>
                <w:tab w:val="clear" w:pos="567"/>
                <w:tab w:val="left" w:pos="708"/>
              </w:tabs>
              <w:spacing w:line="240" w:lineRule="auto"/>
              <w:ind w:left="567" w:hanging="567"/>
            </w:pPr>
          </w:p>
        </w:tc>
        <w:tc>
          <w:tcPr>
            <w:tcW w:w="4681" w:type="pct"/>
            <w:gridSpan w:val="2"/>
            <w:tcBorders>
              <w:top w:val="nil"/>
              <w:left w:val="nil"/>
              <w:bottom w:val="nil"/>
              <w:right w:val="single" w:sz="4" w:space="0" w:color="auto"/>
            </w:tcBorders>
            <w:tcMar>
              <w:top w:w="0" w:type="dxa"/>
              <w:left w:w="0" w:type="dxa"/>
              <w:bottom w:w="0" w:type="dxa"/>
              <w:right w:w="108" w:type="dxa"/>
            </w:tcMar>
            <w:hideMark/>
          </w:tcPr>
          <w:p w14:paraId="4CE73E31" w14:textId="737311F8" w:rsidR="008E788D" w:rsidRPr="001775D9" w:rsidRDefault="008E788D" w:rsidP="00D47253">
            <w:pPr>
              <w:tabs>
                <w:tab w:val="left" w:pos="1134"/>
              </w:tabs>
              <w:spacing w:line="240" w:lineRule="auto"/>
              <w:rPr>
                <w:b/>
                <w:bCs/>
              </w:rPr>
            </w:pPr>
            <w:r w:rsidRPr="001775D9">
              <w:t>Pinch the skin between</w:t>
            </w:r>
            <w:ins w:id="4528" w:author="Author">
              <w:r w:rsidR="003452A4" w:rsidRPr="00F04F82">
                <w:t xml:space="preserve"> the</w:t>
              </w:r>
            </w:ins>
            <w:r w:rsidRPr="001775D9">
              <w:t xml:space="preserve"> thumb and </w:t>
            </w:r>
            <w:ins w:id="4529" w:author="Author">
              <w:r w:rsidR="003452A4" w:rsidRPr="00F04F82">
                <w:t>pointer (</w:t>
              </w:r>
            </w:ins>
            <w:r w:rsidRPr="001775D9">
              <w:t>index</w:t>
            </w:r>
            <w:ins w:id="4530" w:author="Author">
              <w:r w:rsidR="003452A4" w:rsidRPr="00F04F82">
                <w:t>)</w:t>
              </w:r>
            </w:ins>
            <w:r w:rsidRPr="001775D9">
              <w:t xml:space="preserve"> finger to create a bump for the injection.</w:t>
            </w:r>
          </w:p>
        </w:tc>
      </w:tr>
      <w:tr w:rsidR="002D7F06" w:rsidRPr="00F04F82" w14:paraId="03FB14AA" w14:textId="77777777" w:rsidTr="002D7F06">
        <w:trPr>
          <w:cantSplit/>
          <w:trHeight w:val="57"/>
        </w:trPr>
        <w:tc>
          <w:tcPr>
            <w:tcW w:w="319" w:type="pct"/>
            <w:tcBorders>
              <w:top w:val="nil"/>
              <w:left w:val="single" w:sz="4" w:space="0" w:color="auto"/>
              <w:bottom w:val="nil"/>
              <w:right w:val="nil"/>
            </w:tcBorders>
            <w:tcMar>
              <w:top w:w="28" w:type="dxa"/>
              <w:left w:w="57" w:type="dxa"/>
              <w:bottom w:w="28" w:type="dxa"/>
              <w:right w:w="57" w:type="dxa"/>
            </w:tcMar>
          </w:tcPr>
          <w:p w14:paraId="4E223439" w14:textId="77777777" w:rsidR="008E788D" w:rsidRPr="001775D9" w:rsidRDefault="008E788D" w:rsidP="00D47253">
            <w:pPr>
              <w:numPr>
                <w:ilvl w:val="0"/>
                <w:numId w:val="40"/>
              </w:numPr>
              <w:tabs>
                <w:tab w:val="clear" w:pos="567"/>
                <w:tab w:val="left" w:pos="708"/>
              </w:tabs>
              <w:spacing w:line="240" w:lineRule="auto"/>
              <w:ind w:left="567" w:hanging="567"/>
            </w:pPr>
          </w:p>
        </w:tc>
        <w:tc>
          <w:tcPr>
            <w:tcW w:w="4681" w:type="pct"/>
            <w:gridSpan w:val="2"/>
            <w:tcBorders>
              <w:top w:val="nil"/>
              <w:left w:val="nil"/>
              <w:bottom w:val="nil"/>
              <w:right w:val="single" w:sz="4" w:space="0" w:color="auto"/>
            </w:tcBorders>
            <w:tcMar>
              <w:top w:w="0" w:type="dxa"/>
              <w:left w:w="0" w:type="dxa"/>
              <w:bottom w:w="0" w:type="dxa"/>
              <w:right w:w="108" w:type="dxa"/>
            </w:tcMar>
            <w:hideMark/>
          </w:tcPr>
          <w:p w14:paraId="113A4879" w14:textId="617EC856" w:rsidR="008E788D" w:rsidRPr="001775D9" w:rsidRDefault="008E788D" w:rsidP="00D47253">
            <w:pPr>
              <w:tabs>
                <w:tab w:val="left" w:pos="1134"/>
              </w:tabs>
              <w:spacing w:line="240" w:lineRule="auto"/>
            </w:pPr>
            <w:r w:rsidRPr="001775D9">
              <w:t>If possible, the bump should be about 5 c</w:t>
            </w:r>
            <w:ins w:id="4531" w:author="Author">
              <w:r w:rsidR="003452A4" w:rsidRPr="00F04F82">
                <w:t>entimet</w:t>
              </w:r>
              <w:r w:rsidR="00827037" w:rsidRPr="00F04F82">
                <w:t>r</w:t>
              </w:r>
              <w:r w:rsidR="00A91EB5" w:rsidRPr="00F04F82">
                <w:t>e</w:t>
              </w:r>
              <w:r w:rsidR="00827037" w:rsidRPr="00F04F82">
                <w:t>s</w:t>
              </w:r>
            </w:ins>
            <w:del w:id="4532" w:author="Author">
              <w:r w:rsidRPr="00F04F82" w:rsidDel="00827037">
                <w:delText>m</w:delText>
              </w:r>
            </w:del>
            <w:r w:rsidRPr="001775D9">
              <w:t xml:space="preserve"> wide.</w:t>
            </w:r>
          </w:p>
        </w:tc>
      </w:tr>
      <w:tr w:rsidR="00566308" w:rsidRPr="00F04F82" w14:paraId="083A8D83" w14:textId="77777777" w:rsidTr="00D55B59">
        <w:trPr>
          <w:cantSplit/>
          <w:trHeight w:val="57"/>
          <w:ins w:id="4533" w:author="Author"/>
          <w:trPrChange w:id="4534" w:author="Author">
            <w:trPr>
              <w:gridBefore w:val="3"/>
              <w:cantSplit/>
              <w:trHeight w:val="57"/>
            </w:trPr>
          </w:trPrChange>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Change w:id="4535" w:author="Author">
              <w:tcPr>
                <w:tcW w:w="5000" w:type="pct"/>
                <w:gridSpan w:val="5"/>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04E60AD7" w14:textId="77777777" w:rsidR="004A0BDF" w:rsidRPr="00F04F82" w:rsidRDefault="00D96030" w:rsidP="002B53D1">
            <w:pPr>
              <w:tabs>
                <w:tab w:val="left" w:pos="1134"/>
              </w:tabs>
              <w:spacing w:line="240" w:lineRule="auto"/>
              <w:rPr>
                <w:ins w:id="4536" w:author="Author"/>
                <w:b/>
                <w:bCs/>
              </w:rPr>
            </w:pPr>
            <w:ins w:id="4537" w:author="Author">
              <w:r>
                <w:pict w14:anchorId="32C49FE0">
                  <v:shape id="_x0000_s2259" type="#_x0000_t202" style="position:absolute;margin-left:-.2pt;margin-top:2.4pt;width:439.05pt;height:21.35pt;z-index:3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" strokecolor="red" strokeweight="1.5pt">
                    <v:textbox style="mso-next-textbox:#_x0000_s2259;mso-fit-shape-to-text:t">
                      <w:txbxContent>
                        <w:p w14:paraId="3C362692" w14:textId="155E142E" w:rsidR="004A0BDF" w:rsidRPr="00F04F82" w:rsidRDefault="004A0BDF" w:rsidP="00D55B59">
                          <w:pPr>
                            <w:tabs>
                              <w:tab w:val="left" w:pos="1134"/>
                            </w:tabs>
                            <w:spacing w:line="240" w:lineRule="auto"/>
                            <w:ind w:left="-567" w:firstLine="567"/>
                            <w:pPrChange w:id="4538" w:author="Author">
                              <w:pPr>
                                <w:tabs>
                                  <w:tab w:val="left" w:pos="1134"/>
                                </w:tabs>
                                <w:spacing w:line="240" w:lineRule="auto"/>
                              </w:pPr>
                            </w:pPrChange>
                          </w:pPr>
                          <w:r w:rsidRPr="001775D9">
                            <w:rPr>
                              <w:b/>
                              <w:bCs/>
                            </w:rPr>
                            <w:t>Important:</w:t>
                          </w:r>
                          <w:r w:rsidRPr="00F04F82">
                            <w:t xml:space="preserve"> Continue to pinch the skin until </w:t>
                          </w:r>
                          <w:ins w:id="4539" w:author="Author">
                            <w:r w:rsidR="003452A4" w:rsidRPr="00F04F82">
                              <w:t xml:space="preserve">the </w:t>
                            </w:r>
                          </w:ins>
                          <w:r w:rsidRPr="00F04F82">
                            <w:t>injection is complete.</w:t>
                          </w:r>
                        </w:p>
                      </w:txbxContent>
                    </v:textbox>
                    <w10:wrap type="square" anchorx="margin"/>
                  </v:shape>
                </w:pict>
              </w:r>
            </w:ins>
          </w:p>
        </w:tc>
      </w:tr>
    </w:tbl>
    <w:p w14:paraId="525474E7" w14:textId="77777777" w:rsidR="008E788D" w:rsidRPr="001775D9" w:rsidRDefault="008E788D" w:rsidP="008E788D">
      <w:pPr>
        <w:tabs>
          <w:tab w:val="left" w:pos="1134"/>
        </w:tabs>
        <w:spacing w:line="240" w:lineRule="auto"/>
      </w:pPr>
    </w:p>
    <w:tbl>
      <w:tblPr>
        <w:tblW w:w="5008"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4540"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517"/>
        <w:gridCol w:w="103"/>
        <w:gridCol w:w="723"/>
        <w:gridCol w:w="7857"/>
        <w:tblGridChange w:id="4541">
          <w:tblGrid>
            <w:gridCol w:w="620"/>
            <w:gridCol w:w="25"/>
            <w:gridCol w:w="8464"/>
            <w:gridCol w:w="91"/>
          </w:tblGrid>
        </w:tblGridChange>
      </w:tblGrid>
      <w:tr w:rsidR="008E788D" w:rsidRPr="00F04F82" w14:paraId="3059ABB5" w14:textId="77777777" w:rsidTr="00D55B59">
        <w:trPr>
          <w:cantSplit/>
          <w:trHeight w:val="57"/>
          <w:trPrChange w:id="4542" w:author="Author">
            <w:trPr>
              <w:gridAfter w:val="0"/>
              <w:cantSplit/>
              <w:trHeight w:val="57"/>
            </w:trPr>
          </w:trPrChange>
        </w:trPr>
        <w:tc>
          <w:tcPr>
            <w:tcW w:w="337"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43" w:author="Author">
              <w:tcPr>
                <w:tcW w:w="354"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0D15B623" w14:textId="77777777" w:rsidR="008E788D" w:rsidRPr="00F04F82" w:rsidRDefault="008E788D" w:rsidP="00D47253">
            <w:pPr>
              <w:keepNext/>
              <w:rPr>
                <w:b/>
                <w:bCs/>
              </w:rPr>
            </w:pPr>
            <w:r w:rsidRPr="001775D9">
              <w:rPr>
                <w:b/>
                <w:bCs/>
              </w:rPr>
              <w:t>4c</w:t>
            </w:r>
          </w:p>
        </w:tc>
        <w:tc>
          <w:tcPr>
            <w:tcW w:w="4663"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44" w:author="Author">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14F905A1" w14:textId="61AD7510" w:rsidR="008E788D" w:rsidRPr="00F04F82" w:rsidRDefault="008E788D" w:rsidP="00D47253">
            <w:pPr>
              <w:pStyle w:val="ListParagraph"/>
              <w:ind w:left="567" w:hanging="567"/>
            </w:pPr>
            <w:r w:rsidRPr="001775D9">
              <w:rPr>
                <w:b/>
                <w:bCs/>
                <w:sz w:val="22"/>
                <w:szCs w:val="22"/>
              </w:rPr>
              <w:t>Insert the needle into the pinched skin</w:t>
            </w:r>
            <w:ins w:id="4545" w:author="Author">
              <w:r w:rsidR="00D87A91" w:rsidRPr="00F04F82">
                <w:rPr>
                  <w:b/>
                  <w:bCs/>
                  <w:sz w:val="22"/>
                  <w:szCs w:val="22"/>
                </w:rPr>
                <w:t xml:space="preserve"> at a 45-degree angle</w:t>
              </w:r>
            </w:ins>
            <w:r w:rsidRPr="00F04F82">
              <w:rPr>
                <w:b/>
                <w:bCs/>
              </w:rPr>
              <w:t>.</w:t>
            </w:r>
          </w:p>
        </w:tc>
      </w:tr>
      <w:tr w:rsidR="008E788D" w:rsidRPr="00F04F82" w14:paraId="270BA7F8" w14:textId="77777777" w:rsidTr="00D55B59">
        <w:trPr>
          <w:cantSplit/>
          <w:trHeight w:val="57"/>
          <w:trPrChange w:id="4546" w:author="Author">
            <w:trPr>
              <w:gridAfter w:val="0"/>
              <w:cantSplit/>
              <w:trHeight w:val="57"/>
            </w:trPr>
          </w:trPrChange>
        </w:trPr>
        <w:tc>
          <w:tcPr>
            <w:tcW w:w="5000"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47" w:author="Author">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7B1D1DC2" w14:textId="77777777" w:rsidR="008E788D" w:rsidRPr="00F04F82" w:rsidRDefault="008E788D" w:rsidP="00D47253">
            <w:pPr>
              <w:tabs>
                <w:tab w:val="left" w:pos="1134"/>
              </w:tabs>
              <w:spacing w:line="240" w:lineRule="auto"/>
              <w:jc w:val="center"/>
            </w:pPr>
            <w:r w:rsidRPr="001775D9">
              <w:rPr>
                <w:b/>
                <w:bCs/>
              </w:rPr>
              <w:t>INSERT</w:t>
            </w:r>
          </w:p>
        </w:tc>
      </w:tr>
      <w:tr w:rsidR="008E788D" w:rsidRPr="00F04F82" w14:paraId="41D1F46E" w14:textId="77777777" w:rsidTr="00D55B59">
        <w:trPr>
          <w:cantSplit/>
          <w:trHeight w:val="57"/>
          <w:trPrChange w:id="4548" w:author="Author">
            <w:trPr>
              <w:gridAfter w:val="0"/>
              <w:cantSplit/>
              <w:trHeight w:val="57"/>
            </w:trPr>
          </w:trPrChange>
        </w:trPr>
        <w:tc>
          <w:tcPr>
            <w:tcW w:w="5000"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49" w:author="Author">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05379EC1" w14:textId="4F69C33F" w:rsidR="008E788D" w:rsidRPr="001775D9" w:rsidRDefault="00D96030" w:rsidP="00D47253">
            <w:pPr>
              <w:tabs>
                <w:tab w:val="left" w:pos="1134"/>
              </w:tabs>
              <w:spacing w:line="240" w:lineRule="auto"/>
              <w:jc w:val="center"/>
              <w:rPr>
                <w:b/>
                <w:bCs/>
              </w:rPr>
            </w:pPr>
            <w:del w:id="4550" w:author="Author">
              <w:r>
                <w:pict w14:anchorId="7BC1EA43">
                  <v:shape id="_x0000_i1085" type="#_x0000_t75" style="width:205.5pt;height:123.5pt;visibility:visible;mso-wrap-style:square">
                    <v:imagedata r:id="rId79" o:title=""/>
                  </v:shape>
                </w:pict>
              </w:r>
            </w:del>
            <w:ins w:id="4551" w:author="Author">
              <w:r>
                <w:pict w14:anchorId="24D5DB6A">
                  <v:shape id="_x0000_i1086" type="#_x0000_t75" style="width:242pt;height:123.5pt">
                    <v:imagedata r:id="rId80" o:title="ILL2418"/>
                  </v:shape>
                </w:pict>
              </w:r>
            </w:ins>
          </w:p>
        </w:tc>
      </w:tr>
      <w:tr w:rsidR="008E788D" w:rsidRPr="00F04F82" w:rsidDel="00D87A91" w14:paraId="6FD6911D" w14:textId="4C036BB9" w:rsidTr="00D55B59">
        <w:trPr>
          <w:gridBefore w:val="1"/>
          <w:cantSplit/>
          <w:trHeight w:val="57"/>
          <w:del w:id="4552" w:author="Author"/>
          <w:trPrChange w:id="4553" w:author="Author">
            <w:trPr>
              <w:gridAfter w:val="0"/>
              <w:cantSplit/>
              <w:trHeight w:val="57"/>
            </w:trPr>
          </w:trPrChange>
        </w:trPr>
        <w:tc>
          <w:tcPr>
            <w:tcW w:w="393" w:type="pct"/>
            <w:gridSpan w:val="2"/>
            <w:tcBorders>
              <w:top w:val="nil"/>
              <w:left w:val="single" w:sz="4" w:space="0" w:color="auto"/>
              <w:bottom w:val="nil"/>
              <w:right w:val="nil"/>
            </w:tcBorders>
            <w:tcMar>
              <w:top w:w="28" w:type="dxa"/>
              <w:left w:w="57" w:type="dxa"/>
              <w:bottom w:w="28" w:type="dxa"/>
              <w:right w:w="57" w:type="dxa"/>
            </w:tcMar>
            <w:tcPrChange w:id="4554"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2E9B0125" w14:textId="4CC19589" w:rsidR="008E788D" w:rsidRPr="00F04F82" w:rsidDel="00D87A91" w:rsidRDefault="008E788D" w:rsidP="00D47253">
            <w:pPr>
              <w:numPr>
                <w:ilvl w:val="0"/>
                <w:numId w:val="40"/>
              </w:numPr>
              <w:tabs>
                <w:tab w:val="clear" w:pos="567"/>
                <w:tab w:val="left" w:pos="708"/>
              </w:tabs>
              <w:spacing w:line="240" w:lineRule="auto"/>
              <w:ind w:left="567" w:hanging="567"/>
              <w:rPr>
                <w:del w:id="4555" w:author="Author"/>
              </w:rPr>
            </w:pPr>
          </w:p>
        </w:tc>
        <w:tc>
          <w:tcPr>
            <w:tcW w:w="4326" w:type="pct"/>
            <w:tcBorders>
              <w:top w:val="nil"/>
              <w:left w:val="nil"/>
              <w:bottom w:val="nil"/>
              <w:right w:val="single" w:sz="4" w:space="0" w:color="auto"/>
            </w:tcBorders>
            <w:tcMar>
              <w:top w:w="0" w:type="dxa"/>
              <w:left w:w="0" w:type="dxa"/>
              <w:bottom w:w="0" w:type="dxa"/>
              <w:right w:w="108" w:type="dxa"/>
            </w:tcMar>
            <w:hideMark/>
            <w:tcPrChange w:id="4556" w:author="Author">
              <w:tcPr>
                <w:tcW w:w="4646" w:type="pct"/>
                <w:tcBorders>
                  <w:top w:val="nil"/>
                  <w:left w:val="nil"/>
                  <w:bottom w:val="nil"/>
                  <w:right w:val="single" w:sz="4" w:space="0" w:color="auto"/>
                </w:tcBorders>
                <w:tcMar>
                  <w:top w:w="0" w:type="dxa"/>
                  <w:left w:w="0" w:type="dxa"/>
                  <w:bottom w:w="0" w:type="dxa"/>
                  <w:right w:w="108" w:type="dxa"/>
                </w:tcMar>
                <w:hideMark/>
              </w:tcPr>
            </w:tcPrChange>
          </w:tcPr>
          <w:p w14:paraId="0B87B279" w14:textId="464479DA" w:rsidR="008E788D" w:rsidRPr="00F04F82" w:rsidDel="00D87A91" w:rsidRDefault="008E788D" w:rsidP="00D47253">
            <w:pPr>
              <w:tabs>
                <w:tab w:val="left" w:pos="1134"/>
              </w:tabs>
              <w:spacing w:line="240" w:lineRule="auto"/>
              <w:rPr>
                <w:del w:id="4557" w:author="Author"/>
                <w:b/>
                <w:bCs/>
              </w:rPr>
            </w:pPr>
            <w:del w:id="4558" w:author="Author">
              <w:r w:rsidRPr="00F04F82" w:rsidDel="00D87A91">
                <w:delText>Insert the needle into the pinched skin either straight in or at a 45 degree angle.</w:delText>
              </w:r>
            </w:del>
          </w:p>
        </w:tc>
      </w:tr>
      <w:tr w:rsidR="008E788D" w:rsidRPr="00F04F82" w14:paraId="5FC9205C" w14:textId="77777777" w:rsidTr="00D55B59">
        <w:trPr>
          <w:cantSplit/>
          <w:trHeight w:val="57"/>
          <w:trPrChange w:id="4559" w:author="Author">
            <w:trPr>
              <w:gridAfter w:val="0"/>
              <w:cantSplit/>
              <w:trHeight w:val="57"/>
            </w:trPr>
          </w:trPrChange>
        </w:trPr>
        <w:tc>
          <w:tcPr>
            <w:tcW w:w="337" w:type="pct"/>
            <w:gridSpan w:val="2"/>
            <w:tcBorders>
              <w:top w:val="nil"/>
              <w:left w:val="single" w:sz="4" w:space="0" w:color="auto"/>
              <w:bottom w:val="single" w:sz="4" w:space="0" w:color="auto"/>
              <w:right w:val="nil"/>
            </w:tcBorders>
            <w:tcMar>
              <w:top w:w="28" w:type="dxa"/>
              <w:left w:w="57" w:type="dxa"/>
              <w:bottom w:w="28" w:type="dxa"/>
              <w:right w:w="57" w:type="dxa"/>
            </w:tcMar>
            <w:tcPrChange w:id="4560" w:author="Author">
              <w:tcPr>
                <w:tcW w:w="354" w:type="pct"/>
                <w:gridSpan w:val="2"/>
                <w:tcBorders>
                  <w:top w:val="nil"/>
                  <w:left w:val="single" w:sz="4" w:space="0" w:color="auto"/>
                  <w:bottom w:val="single" w:sz="4" w:space="0" w:color="auto"/>
                  <w:right w:val="nil"/>
                </w:tcBorders>
                <w:tcMar>
                  <w:top w:w="28" w:type="dxa"/>
                  <w:left w:w="57" w:type="dxa"/>
                  <w:bottom w:w="28" w:type="dxa"/>
                  <w:right w:w="57" w:type="dxa"/>
                </w:tcMar>
              </w:tcPr>
            </w:tcPrChange>
          </w:tcPr>
          <w:p w14:paraId="1589F87A" w14:textId="77777777" w:rsidR="008E788D" w:rsidRPr="001775D9" w:rsidRDefault="008E788D" w:rsidP="00D47253">
            <w:pPr>
              <w:numPr>
                <w:ilvl w:val="0"/>
                <w:numId w:val="40"/>
              </w:numPr>
              <w:tabs>
                <w:tab w:val="clear" w:pos="567"/>
                <w:tab w:val="left" w:pos="708"/>
              </w:tabs>
              <w:spacing w:line="240" w:lineRule="auto"/>
              <w:ind w:left="567" w:hanging="567"/>
            </w:pPr>
          </w:p>
        </w:tc>
        <w:tc>
          <w:tcPr>
            <w:tcW w:w="4663" w:type="pct"/>
            <w:gridSpan w:val="2"/>
            <w:tcBorders>
              <w:top w:val="nil"/>
              <w:left w:val="nil"/>
              <w:bottom w:val="single" w:sz="4" w:space="0" w:color="auto"/>
              <w:right w:val="single" w:sz="4" w:space="0" w:color="auto"/>
            </w:tcBorders>
            <w:tcMar>
              <w:top w:w="0" w:type="dxa"/>
              <w:left w:w="0" w:type="dxa"/>
              <w:bottom w:w="0" w:type="dxa"/>
              <w:right w:w="108" w:type="dxa"/>
            </w:tcMar>
            <w:hideMark/>
            <w:tcPrChange w:id="4561" w:author="Author">
              <w:tcPr>
                <w:tcW w:w="4646" w:type="pct"/>
                <w:tcBorders>
                  <w:top w:val="nil"/>
                  <w:left w:val="nil"/>
                  <w:bottom w:val="single" w:sz="4" w:space="0" w:color="auto"/>
                  <w:right w:val="single" w:sz="4" w:space="0" w:color="auto"/>
                </w:tcBorders>
                <w:tcMar>
                  <w:top w:w="0" w:type="dxa"/>
                  <w:left w:w="0" w:type="dxa"/>
                  <w:bottom w:w="0" w:type="dxa"/>
                  <w:right w:w="108" w:type="dxa"/>
                </w:tcMar>
                <w:hideMark/>
              </w:tcPr>
            </w:tcPrChange>
          </w:tcPr>
          <w:p w14:paraId="690E2C5F" w14:textId="77777777" w:rsidR="008E788D" w:rsidRPr="00F04F82" w:rsidRDefault="008E788D" w:rsidP="00D47253">
            <w:pPr>
              <w:tabs>
                <w:tab w:val="left" w:pos="1134"/>
              </w:tabs>
              <w:spacing w:line="240" w:lineRule="auto"/>
            </w:pPr>
            <w:r w:rsidRPr="001775D9">
              <w:rPr>
                <w:b/>
                <w:bCs/>
              </w:rPr>
              <w:t>Do not</w:t>
            </w:r>
            <w:r w:rsidRPr="00F04F82">
              <w:t xml:space="preserve"> place your finger on the plunger rod while inserting the needle, as this may result in loss </w:t>
            </w:r>
            <w:r w:rsidRPr="001775D9">
              <w:t>of medicine.</w:t>
            </w:r>
          </w:p>
        </w:tc>
      </w:tr>
    </w:tbl>
    <w:p w14:paraId="41EB602F" w14:textId="77777777" w:rsidR="008E788D" w:rsidRPr="001775D9" w:rsidRDefault="008E788D" w:rsidP="008E788D">
      <w:pPr>
        <w:tabs>
          <w:tab w:val="left" w:pos="1134"/>
        </w:tabs>
        <w:spacing w:line="240" w:lineRule="auto"/>
      </w:pPr>
    </w:p>
    <w:tbl>
      <w:tblPr>
        <w:tblW w:w="4968"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4562" w:author="Author">
          <w:tblPr>
            <w:tblW w:w="496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285"/>
        <w:gridCol w:w="95"/>
        <w:gridCol w:w="8748"/>
        <w:tblGridChange w:id="4563">
          <w:tblGrid>
            <w:gridCol w:w="285"/>
            <w:gridCol w:w="95"/>
            <w:gridCol w:w="12"/>
            <w:gridCol w:w="403"/>
            <w:gridCol w:w="174"/>
            <w:gridCol w:w="7465"/>
            <w:gridCol w:w="454"/>
            <w:gridCol w:w="240"/>
            <w:gridCol w:w="201"/>
          </w:tblGrid>
        </w:tblGridChange>
      </w:tblGrid>
      <w:tr w:rsidR="0043565D" w:rsidRPr="00F04F82" w14:paraId="799BD240" w14:textId="77777777" w:rsidTr="00D55B59">
        <w:trPr>
          <w:cantSplit/>
          <w:trHeight w:val="57"/>
          <w:trPrChange w:id="4564" w:author="Author">
            <w:trPr>
              <w:gridBefore w:val="3"/>
              <w:wAfter w:w="95" w:type="pct"/>
              <w:cantSplit/>
              <w:trHeight w:val="57"/>
            </w:trPr>
          </w:trPrChange>
        </w:trPr>
        <w:tc>
          <w:tcPr>
            <w:tcW w:w="31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65" w:author="Author">
              <w:tcPr>
                <w:tcW w:w="381"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7DD5C117" w14:textId="77777777" w:rsidR="008E788D" w:rsidRPr="00F04F82" w:rsidRDefault="008E788D" w:rsidP="00D47253">
            <w:pPr>
              <w:keepNext/>
              <w:rPr>
                <w:b/>
                <w:bCs/>
              </w:rPr>
            </w:pPr>
            <w:r w:rsidRPr="001775D9">
              <w:rPr>
                <w:b/>
                <w:bCs/>
              </w:rPr>
              <w:t>4d</w:t>
            </w:r>
          </w:p>
        </w:tc>
        <w:tc>
          <w:tcPr>
            <w:tcW w:w="467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66" w:author="Author">
              <w:tcPr>
                <w:tcW w:w="4524"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0C5D7D47" w14:textId="3AA1B78D" w:rsidR="008E788D" w:rsidRPr="00F04F82" w:rsidRDefault="008E788D" w:rsidP="00D47253">
            <w:pPr>
              <w:pStyle w:val="ListParagraph"/>
              <w:tabs>
                <w:tab w:val="left" w:pos="0"/>
              </w:tabs>
              <w:ind w:left="0"/>
            </w:pPr>
            <w:r w:rsidRPr="001775D9">
              <w:rPr>
                <w:b/>
                <w:bCs/>
                <w:sz w:val="22"/>
                <w:szCs w:val="22"/>
              </w:rPr>
              <w:t xml:space="preserve">Slowly press the plunger rod </w:t>
            </w:r>
            <w:ins w:id="4567" w:author="Author">
              <w:r w:rsidR="00D87A91" w:rsidRPr="00F04F82">
                <w:rPr>
                  <w:b/>
                  <w:bCs/>
                  <w:sz w:val="22"/>
                  <w:szCs w:val="22"/>
                </w:rPr>
                <w:t>all the way</w:t>
              </w:r>
            </w:ins>
            <w:del w:id="4568" w:author="Author">
              <w:r w:rsidRPr="00F04F82" w:rsidDel="00D87A91">
                <w:rPr>
                  <w:b/>
                  <w:bCs/>
                  <w:sz w:val="22"/>
                  <w:szCs w:val="22"/>
                </w:rPr>
                <w:delText>down to</w:delText>
              </w:r>
            </w:del>
            <w:ins w:id="4569" w:author="Author">
              <w:r w:rsidR="00C21074" w:rsidRPr="00F04F82">
                <w:rPr>
                  <w:b/>
                  <w:bCs/>
                  <w:sz w:val="22"/>
                  <w:szCs w:val="22"/>
                </w:rPr>
                <w:t xml:space="preserve"> until it reaches</w:t>
              </w:r>
            </w:ins>
            <w:r w:rsidRPr="00F04F82">
              <w:rPr>
                <w:b/>
                <w:bCs/>
                <w:sz w:val="22"/>
                <w:szCs w:val="22"/>
              </w:rPr>
              <w:t xml:space="preserve"> the bottom of the pre-</w:t>
            </w:r>
            <w:r w:rsidRPr="001775D9">
              <w:rPr>
                <w:b/>
                <w:bCs/>
                <w:sz w:val="22"/>
                <w:szCs w:val="22"/>
              </w:rPr>
              <w:t>filled syringe to inject the medicine.</w:t>
            </w:r>
          </w:p>
        </w:tc>
      </w:tr>
      <w:tr w:rsidR="008E788D" w:rsidRPr="00F04F82" w14:paraId="7C8FB9F5" w14:textId="77777777" w:rsidTr="00D55B59">
        <w:tblPrEx>
          <w:tblPrExChange w:id="4570" w:author="Author">
            <w:tblPrEx>
              <w:tblW w:w="4900" w:type="pct"/>
            </w:tblPrEx>
          </w:tblPrExChange>
        </w:tblPrEx>
        <w:trPr>
          <w:cantSplit/>
          <w:trHeight w:val="57"/>
          <w:trPrChange w:id="4571" w:author="Author">
            <w:trPr>
              <w:gridBefore w:val="3"/>
              <w:gridAfter w:val="0"/>
              <w:wAfter w:w="6" w:type="dxa"/>
              <w:cantSplit/>
              <w:trHeight w:val="57"/>
            </w:trPr>
          </w:trPrChange>
        </w:trPr>
        <w:tc>
          <w:tcPr>
            <w:tcW w:w="4992"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72" w:author="Author">
              <w:tcPr>
                <w:tcW w:w="5000"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69DDC9B3" w14:textId="77777777" w:rsidR="008E788D" w:rsidRPr="00F04F82" w:rsidRDefault="008E788D" w:rsidP="00D47253">
            <w:pPr>
              <w:tabs>
                <w:tab w:val="left" w:pos="1134"/>
              </w:tabs>
              <w:spacing w:line="240" w:lineRule="auto"/>
              <w:jc w:val="center"/>
            </w:pPr>
            <w:r w:rsidRPr="001775D9">
              <w:rPr>
                <w:b/>
                <w:bCs/>
              </w:rPr>
              <w:t>INJECT</w:t>
            </w:r>
          </w:p>
        </w:tc>
      </w:tr>
      <w:tr w:rsidR="008E788D" w:rsidRPr="00F04F82" w14:paraId="494EC685" w14:textId="77777777" w:rsidTr="00D55B59">
        <w:tblPrEx>
          <w:tblPrExChange w:id="4573" w:author="Author">
            <w:tblPrEx>
              <w:tblW w:w="4900" w:type="pct"/>
            </w:tblPrEx>
          </w:tblPrExChange>
        </w:tblPrEx>
        <w:trPr>
          <w:cantSplit/>
          <w:trHeight w:val="57"/>
          <w:trPrChange w:id="4574" w:author="Author">
            <w:trPr>
              <w:gridBefore w:val="3"/>
              <w:gridAfter w:val="0"/>
              <w:wAfter w:w="6" w:type="dxa"/>
              <w:cantSplit/>
              <w:trHeight w:val="57"/>
            </w:trPr>
          </w:trPrChange>
        </w:trPr>
        <w:tc>
          <w:tcPr>
            <w:tcW w:w="4992"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75" w:author="Author">
              <w:tcPr>
                <w:tcW w:w="5000"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30DDD55B" w14:textId="06C9AAFC" w:rsidR="008E788D" w:rsidRPr="001775D9" w:rsidRDefault="00D96030" w:rsidP="00D47253">
            <w:pPr>
              <w:tabs>
                <w:tab w:val="left" w:pos="1134"/>
              </w:tabs>
              <w:spacing w:line="240" w:lineRule="auto"/>
              <w:jc w:val="center"/>
              <w:rPr>
                <w:b/>
                <w:bCs/>
              </w:rPr>
            </w:pPr>
            <w:r>
              <w:rPr>
                <w:b/>
              </w:rPr>
              <w:pict w14:anchorId="5776CEE3">
                <v:shape id="Picture 58" o:spid="_x0000_i1087" type="#_x0000_t75" style="width:195.5pt;height:123.5pt;visibility:visible;mso-wrap-style:square">
                  <v:imagedata r:id="rId81" o:title=""/>
                </v:shape>
              </w:pict>
            </w:r>
          </w:p>
        </w:tc>
      </w:tr>
      <w:tr w:rsidR="0043565D" w:rsidRPr="00F04F82" w14:paraId="09A381E8" w14:textId="77777777" w:rsidTr="00D55B59">
        <w:tblPrEx>
          <w:tblPrExChange w:id="4576" w:author="Author">
            <w:tblPrEx>
              <w:tblW w:w="4581" w:type="pct"/>
            </w:tblPrEx>
          </w:tblPrExChange>
        </w:tblPrEx>
        <w:trPr>
          <w:cantSplit/>
          <w:trHeight w:val="57"/>
          <w:trPrChange w:id="4577" w:author="Author">
            <w:trPr>
              <w:gridBefore w:val="3"/>
              <w:gridAfter w:val="0"/>
              <w:cantSplit/>
              <w:trHeight w:val="57"/>
            </w:trPr>
          </w:trPrChange>
        </w:trPr>
        <w:tc>
          <w:tcPr>
            <w:tcW w:w="316" w:type="pct"/>
            <w:gridSpan w:val="2"/>
            <w:tcBorders>
              <w:top w:val="nil"/>
              <w:left w:val="single" w:sz="4" w:space="0" w:color="auto"/>
              <w:bottom w:val="nil"/>
              <w:right w:val="nil"/>
            </w:tcBorders>
            <w:tcMar>
              <w:top w:w="28" w:type="dxa"/>
              <w:left w:w="57" w:type="dxa"/>
              <w:bottom w:w="28" w:type="dxa"/>
              <w:right w:w="57" w:type="dxa"/>
            </w:tcMar>
            <w:tcPrChange w:id="4578" w:author="Author">
              <w:tcPr>
                <w:tcW w:w="413" w:type="pct"/>
                <w:tcBorders>
                  <w:top w:val="nil"/>
                  <w:left w:val="single" w:sz="4" w:space="0" w:color="auto"/>
                  <w:bottom w:val="nil"/>
                  <w:right w:val="nil"/>
                </w:tcBorders>
                <w:tcMar>
                  <w:top w:w="28" w:type="dxa"/>
                  <w:left w:w="57" w:type="dxa"/>
                  <w:bottom w:w="28" w:type="dxa"/>
                  <w:right w:w="57" w:type="dxa"/>
                </w:tcMar>
              </w:tcPr>
            </w:tcPrChange>
          </w:tcPr>
          <w:p w14:paraId="6E22BA93" w14:textId="77777777" w:rsidR="008E788D" w:rsidRPr="001775D9" w:rsidRDefault="008E788D" w:rsidP="00D47253">
            <w:pPr>
              <w:numPr>
                <w:ilvl w:val="0"/>
                <w:numId w:val="40"/>
              </w:numPr>
              <w:tabs>
                <w:tab w:val="clear" w:pos="567"/>
                <w:tab w:val="left" w:pos="708"/>
              </w:tabs>
              <w:spacing w:line="240" w:lineRule="auto"/>
              <w:ind w:left="567" w:hanging="567"/>
            </w:pPr>
          </w:p>
        </w:tc>
        <w:tc>
          <w:tcPr>
            <w:tcW w:w="4676" w:type="pct"/>
            <w:tcBorders>
              <w:top w:val="nil"/>
              <w:left w:val="nil"/>
              <w:bottom w:val="nil"/>
              <w:right w:val="single" w:sz="4" w:space="0" w:color="auto"/>
            </w:tcBorders>
            <w:tcMar>
              <w:top w:w="0" w:type="dxa"/>
              <w:left w:w="0" w:type="dxa"/>
              <w:bottom w:w="0" w:type="dxa"/>
              <w:right w:w="108" w:type="dxa"/>
            </w:tcMar>
            <w:hideMark/>
            <w:tcPrChange w:id="4579" w:author="Author">
              <w:tcPr>
                <w:tcW w:w="4587" w:type="pct"/>
                <w:gridSpan w:val="2"/>
                <w:tcBorders>
                  <w:top w:val="nil"/>
                  <w:left w:val="nil"/>
                  <w:bottom w:val="nil"/>
                  <w:right w:val="single" w:sz="4" w:space="0" w:color="auto"/>
                </w:tcBorders>
                <w:tcMar>
                  <w:top w:w="0" w:type="dxa"/>
                  <w:left w:w="0" w:type="dxa"/>
                  <w:bottom w:w="0" w:type="dxa"/>
                  <w:right w:w="108" w:type="dxa"/>
                </w:tcMar>
                <w:hideMark/>
              </w:tcPr>
            </w:tcPrChange>
          </w:tcPr>
          <w:p w14:paraId="455C8693" w14:textId="259114EA" w:rsidR="008E788D" w:rsidRPr="00F04F82" w:rsidRDefault="008E788D" w:rsidP="00D47253">
            <w:r w:rsidRPr="001775D9">
              <w:rPr>
                <w:b/>
                <w:bCs/>
              </w:rPr>
              <w:t>Do not</w:t>
            </w:r>
            <w:r w:rsidRPr="00F04F82">
              <w:t xml:space="preserve"> pull back on the plunger </w:t>
            </w:r>
            <w:ins w:id="4580" w:author="Author">
              <w:r w:rsidR="00C21074" w:rsidRPr="00F04F82">
                <w:t xml:space="preserve">rod </w:t>
              </w:r>
            </w:ins>
            <w:r w:rsidRPr="00F04F82">
              <w:t>at any time.</w:t>
            </w:r>
          </w:p>
        </w:tc>
      </w:tr>
      <w:tr w:rsidR="0043565D" w:rsidRPr="00F04F82" w14:paraId="7B51B3B7" w14:textId="77777777" w:rsidTr="00D55B59">
        <w:tblPrEx>
          <w:tblPrExChange w:id="4581" w:author="Author">
            <w:tblPrEx>
              <w:tblW w:w="4581" w:type="pct"/>
            </w:tblPrEx>
          </w:tblPrExChange>
        </w:tblPrEx>
        <w:trPr>
          <w:cantSplit/>
          <w:trHeight w:val="57"/>
          <w:trPrChange w:id="4582" w:author="Author">
            <w:trPr>
              <w:gridBefore w:val="3"/>
              <w:gridAfter w:val="0"/>
              <w:cantSplit/>
              <w:trHeight w:val="57"/>
            </w:trPr>
          </w:trPrChange>
        </w:trPr>
        <w:tc>
          <w:tcPr>
            <w:tcW w:w="316" w:type="pct"/>
            <w:gridSpan w:val="2"/>
            <w:tcBorders>
              <w:top w:val="nil"/>
              <w:left w:val="single" w:sz="4" w:space="0" w:color="auto"/>
              <w:bottom w:val="single" w:sz="4" w:space="0" w:color="auto"/>
              <w:right w:val="nil"/>
            </w:tcBorders>
            <w:tcMar>
              <w:top w:w="28" w:type="dxa"/>
              <w:left w:w="57" w:type="dxa"/>
              <w:bottom w:w="28" w:type="dxa"/>
              <w:right w:w="57" w:type="dxa"/>
            </w:tcMar>
            <w:tcPrChange w:id="4583" w:author="Author">
              <w:tcPr>
                <w:tcW w:w="413" w:type="pct"/>
                <w:tcBorders>
                  <w:top w:val="nil"/>
                  <w:left w:val="single" w:sz="4" w:space="0" w:color="auto"/>
                  <w:bottom w:val="single" w:sz="4" w:space="0" w:color="auto"/>
                  <w:right w:val="nil"/>
                </w:tcBorders>
                <w:tcMar>
                  <w:top w:w="28" w:type="dxa"/>
                  <w:left w:w="57" w:type="dxa"/>
                  <w:bottom w:w="28" w:type="dxa"/>
                  <w:right w:w="57" w:type="dxa"/>
                </w:tcMar>
              </w:tcPr>
            </w:tcPrChange>
          </w:tcPr>
          <w:p w14:paraId="60BB6637" w14:textId="77777777" w:rsidR="008E788D" w:rsidRPr="001775D9" w:rsidRDefault="008E788D" w:rsidP="00D47253">
            <w:pPr>
              <w:numPr>
                <w:ilvl w:val="0"/>
                <w:numId w:val="40"/>
              </w:numPr>
              <w:tabs>
                <w:tab w:val="clear" w:pos="567"/>
                <w:tab w:val="left" w:pos="708"/>
              </w:tabs>
              <w:spacing w:line="240" w:lineRule="auto"/>
              <w:ind w:left="567" w:hanging="567"/>
            </w:pPr>
          </w:p>
        </w:tc>
        <w:tc>
          <w:tcPr>
            <w:tcW w:w="4676" w:type="pct"/>
            <w:tcBorders>
              <w:top w:val="nil"/>
              <w:left w:val="nil"/>
              <w:bottom w:val="single" w:sz="4" w:space="0" w:color="auto"/>
              <w:right w:val="single" w:sz="4" w:space="0" w:color="auto"/>
            </w:tcBorders>
            <w:tcMar>
              <w:top w:w="0" w:type="dxa"/>
              <w:left w:w="0" w:type="dxa"/>
              <w:bottom w:w="0" w:type="dxa"/>
              <w:right w:w="108" w:type="dxa"/>
            </w:tcMar>
            <w:hideMark/>
            <w:tcPrChange w:id="4584" w:author="Author">
              <w:tcPr>
                <w:tcW w:w="4587" w:type="pct"/>
                <w:gridSpan w:val="2"/>
                <w:tcBorders>
                  <w:top w:val="nil"/>
                  <w:left w:val="nil"/>
                  <w:bottom w:val="single" w:sz="4" w:space="0" w:color="auto"/>
                  <w:right w:val="single" w:sz="4" w:space="0" w:color="auto"/>
                </w:tcBorders>
                <w:tcMar>
                  <w:top w:w="0" w:type="dxa"/>
                  <w:left w:w="0" w:type="dxa"/>
                  <w:bottom w:w="0" w:type="dxa"/>
                  <w:right w:w="108" w:type="dxa"/>
                </w:tcMar>
                <w:hideMark/>
              </w:tcPr>
            </w:tcPrChange>
          </w:tcPr>
          <w:p w14:paraId="104D2A05" w14:textId="1C3991D2" w:rsidR="008E788D" w:rsidRPr="00F04F82" w:rsidRDefault="008E788D" w:rsidP="00D47253">
            <w:pPr>
              <w:tabs>
                <w:tab w:val="left" w:pos="1134"/>
              </w:tabs>
              <w:spacing w:line="240" w:lineRule="auto"/>
            </w:pPr>
            <w:r w:rsidRPr="001775D9">
              <w:rPr>
                <w:b/>
                <w:bCs/>
              </w:rPr>
              <w:t>Do not</w:t>
            </w:r>
            <w:r w:rsidRPr="00F04F82">
              <w:t xml:space="preserve"> remove the needle until all </w:t>
            </w:r>
            <w:ins w:id="4585" w:author="Author">
              <w:r w:rsidR="00644BA3" w:rsidRPr="00F04F82">
                <w:t xml:space="preserve">of </w:t>
              </w:r>
            </w:ins>
            <w:r w:rsidRPr="00F04F82">
              <w:t xml:space="preserve">the medicine </w:t>
            </w:r>
            <w:ins w:id="4586" w:author="Author">
              <w:r w:rsidR="00644BA3" w:rsidRPr="00F04F82">
                <w:t>has been injected</w:t>
              </w:r>
            </w:ins>
            <w:del w:id="4587" w:author="Author">
              <w:r w:rsidRPr="00F04F82" w:rsidDel="00644BA3">
                <w:delText>is delivered</w:delText>
              </w:r>
            </w:del>
            <w:r w:rsidRPr="00F04F82">
              <w:t>.</w:t>
            </w:r>
          </w:p>
        </w:tc>
      </w:tr>
      <w:tr w:rsidR="0043565D" w:rsidRPr="00F04F82" w:rsidDel="00CB194A" w14:paraId="46FFE0BA" w14:textId="690C2204" w:rsidTr="0043565D">
        <w:trPr>
          <w:gridBefore w:val="1"/>
          <w:cantSplit/>
          <w:trHeight w:val="57"/>
          <w:del w:id="4588" w:author="Author"/>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8768CB0" w14:textId="3CFD005F" w:rsidR="00BD6F25" w:rsidRPr="00F04F82" w:rsidDel="00CB194A" w:rsidRDefault="00D96030" w:rsidP="008B48AD">
            <w:pPr>
              <w:tabs>
                <w:tab w:val="left" w:pos="1134"/>
              </w:tabs>
              <w:spacing w:line="240" w:lineRule="auto"/>
              <w:rPr>
                <w:del w:id="4589" w:author="Author"/>
                <w:b/>
                <w:bCs/>
              </w:rPr>
            </w:pPr>
            <w:del w:id="4590" w:author="Author">
              <w:r>
                <w:pict w14:anchorId="6FCC3B6E">
                  <v:shape id="_x0000_s2068" type="#_x0000_t202" style="position:absolute;margin-left:-.2pt;margin-top:2.4pt;width:439.05pt;height:21.35pt;z-index:3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" strokecolor="red" strokeweight="1.5pt">
                    <v:textbox style="mso-next-textbox:#_x0000_s2068;mso-fit-shape-to-text:t">
                      <w:txbxContent>
                        <w:p w14:paraId="0AFC0C4E" w14:textId="3A57FA0F" w:rsidR="00D47253" w:rsidRPr="001775D9" w:rsidRDefault="00D47253" w:rsidP="00BD6F25">
                          <w:pPr>
                            <w:tabs>
                              <w:tab w:val="left" w:pos="1134"/>
                            </w:tabs>
                            <w:spacing w:line="240" w:lineRule="auto"/>
                          </w:pPr>
                          <w:del w:id="4591" w:author="Author">
                            <w:r w:rsidRPr="00F04F82" w:rsidDel="00C547CE">
                              <w:rPr>
                                <w:b/>
                                <w:bCs/>
                              </w:rPr>
                              <w:delText>Important:</w:delText>
                            </w:r>
                            <w:r w:rsidRPr="00F04F82" w:rsidDel="00C547CE">
                              <w:delText xml:space="preserve"> Continue to pinch the skin until injection is complete</w:delText>
                            </w:r>
                          </w:del>
                          <w:ins w:id="4592" w:author="Author">
                            <w:del w:id="4593" w:author="Author">
                              <w:r w:rsidR="00EB58B8" w:rsidRPr="00F04F82" w:rsidDel="00C547CE">
                                <w:delText>.</w:delText>
                              </w:r>
                            </w:del>
                          </w:ins>
                          <w:del w:id="4594" w:author="Author">
                            <w:r w:rsidRPr="00F04F82" w:rsidDel="00EB58B8">
                              <w:delText xml:space="preserve"> </w:delText>
                            </w:r>
                          </w:del>
                        </w:p>
                      </w:txbxContent>
                    </v:textbox>
                    <w10:wrap type="square" anchorx="margin"/>
                  </v:shape>
                </w:pict>
              </w:r>
            </w:del>
          </w:p>
        </w:tc>
      </w:tr>
    </w:tbl>
    <w:p w14:paraId="2A029422" w14:textId="77777777" w:rsidR="008E788D" w:rsidRPr="001775D9" w:rsidRDefault="008E788D" w:rsidP="008E788D">
      <w:pPr>
        <w:tabs>
          <w:tab w:val="left" w:pos="1134"/>
        </w:tabs>
        <w:spacing w:line="240" w:lineRule="auto"/>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4595" w:author="Author">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37"/>
        <w:gridCol w:w="8364"/>
        <w:tblGridChange w:id="4596">
          <w:tblGrid>
            <w:gridCol w:w="637"/>
            <w:gridCol w:w="8364"/>
          </w:tblGrid>
        </w:tblGridChange>
      </w:tblGrid>
      <w:tr w:rsidR="00721FFE" w:rsidRPr="00F04F82" w14:paraId="67EF3D11" w14:textId="29C81F9E" w:rsidTr="00D55B59">
        <w:trPr>
          <w:cantSplit/>
          <w:trHeight w:val="57"/>
          <w:trPrChange w:id="4597" w:author="Author">
            <w:trPr>
              <w:cantSplit/>
              <w:trHeight w:val="57"/>
            </w:trPr>
          </w:trPrChange>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598" w:author="Author">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3FF9A9AE" w14:textId="4313C7A4" w:rsidR="00721FFE" w:rsidRPr="00F04F82" w:rsidRDefault="00721FFE" w:rsidP="0002405A">
            <w:pPr>
              <w:keepNext/>
              <w:keepLines/>
              <w:tabs>
                <w:tab w:val="left" w:pos="1134"/>
              </w:tabs>
              <w:spacing w:line="240" w:lineRule="auto"/>
              <w:ind w:left="567" w:hanging="567"/>
            </w:pPr>
            <w:r w:rsidRPr="001775D9">
              <w:rPr>
                <w:b/>
                <w:bCs/>
              </w:rPr>
              <w:t>5</w:t>
            </w:r>
          </w:p>
        </w:tc>
        <w:tc>
          <w:tcPr>
            <w:tcW w:w="4646" w:type="pct"/>
            <w:tcBorders>
              <w:top w:val="single" w:sz="4" w:space="0" w:color="auto"/>
              <w:left w:val="single" w:sz="4" w:space="0" w:color="auto"/>
              <w:bottom w:val="single" w:sz="4" w:space="0" w:color="auto"/>
              <w:right w:val="single" w:sz="4" w:space="0" w:color="auto"/>
            </w:tcBorders>
            <w:tcPrChange w:id="4599" w:author="Author">
              <w:tcPr>
                <w:tcW w:w="4646" w:type="pct"/>
                <w:tcBorders>
                  <w:top w:val="single" w:sz="4" w:space="0" w:color="auto"/>
                  <w:left w:val="single" w:sz="4" w:space="0" w:color="auto"/>
                  <w:bottom w:val="single" w:sz="4" w:space="0" w:color="auto"/>
                  <w:right w:val="single" w:sz="4" w:space="0" w:color="auto"/>
                </w:tcBorders>
              </w:tcPr>
            </w:tcPrChange>
          </w:tcPr>
          <w:p w14:paraId="7D71BEC5" w14:textId="64611700" w:rsidR="00721FFE" w:rsidRPr="00F04F82" w:rsidRDefault="00721FFE" w:rsidP="0002405A">
            <w:pPr>
              <w:keepNext/>
              <w:keepLines/>
              <w:tabs>
                <w:tab w:val="left" w:pos="1134"/>
              </w:tabs>
              <w:spacing w:line="240" w:lineRule="auto"/>
            </w:pPr>
            <w:r w:rsidRPr="001775D9">
              <w:rPr>
                <w:b/>
                <w:bCs/>
              </w:rPr>
              <w:t xml:space="preserve">Disposing </w:t>
            </w:r>
            <w:ins w:id="4600" w:author="Author">
              <w:r w:rsidR="00191E59" w:rsidRPr="00F04F82">
                <w:rPr>
                  <w:b/>
                  <w:bCs/>
                </w:rPr>
                <w:t>of</w:t>
              </w:r>
              <w:r w:rsidR="00A42ECD" w:rsidRPr="00F04F82">
                <w:rPr>
                  <w:b/>
                  <w:bCs/>
                </w:rPr>
                <w:t xml:space="preserve"> </w:t>
              </w:r>
            </w:ins>
            <w:del w:id="4601" w:author="Author">
              <w:r w:rsidRPr="00F04F82" w:rsidDel="00191E59">
                <w:rPr>
                  <w:b/>
                  <w:bCs/>
                </w:rPr>
                <w:delText xml:space="preserve">and finishing </w:delText>
              </w:r>
            </w:del>
            <w:r w:rsidRPr="00F04F82">
              <w:rPr>
                <w:b/>
                <w:bCs/>
              </w:rPr>
              <w:t>AMGEVITA</w:t>
            </w:r>
            <w:ins w:id="4602" w:author="Author">
              <w:r w:rsidR="00191E59" w:rsidRPr="00F04F82">
                <w:rPr>
                  <w:b/>
                  <w:bCs/>
                </w:rPr>
                <w:t xml:space="preserve"> and </w:t>
              </w:r>
              <w:r w:rsidR="00A42ECD" w:rsidRPr="00F04F82">
                <w:rPr>
                  <w:b/>
                  <w:bCs/>
                </w:rPr>
                <w:t>c</w:t>
              </w:r>
              <w:r w:rsidR="00191E59" w:rsidRPr="00F04F82">
                <w:rPr>
                  <w:b/>
                  <w:bCs/>
                </w:rPr>
                <w:t>hecking the</w:t>
              </w:r>
              <w:r w:rsidR="00A42ECD" w:rsidRPr="00F04F82">
                <w:rPr>
                  <w:b/>
                  <w:bCs/>
                </w:rPr>
                <w:t xml:space="preserve"> </w:t>
              </w:r>
              <w:del w:id="4603" w:author="Author">
                <w:r w:rsidR="00191E59" w:rsidRPr="00F04F82" w:rsidDel="00A42ECD">
                  <w:rPr>
                    <w:b/>
                    <w:bCs/>
                  </w:rPr>
                  <w:delText xml:space="preserve"> </w:delText>
                </w:r>
              </w:del>
              <w:r w:rsidR="00A42ECD" w:rsidRPr="00F04F82">
                <w:rPr>
                  <w:b/>
                  <w:bCs/>
                </w:rPr>
                <w:t>i</w:t>
              </w:r>
              <w:r w:rsidR="00191E59" w:rsidRPr="00F04F82">
                <w:rPr>
                  <w:b/>
                  <w:bCs/>
                </w:rPr>
                <w:t xml:space="preserve">njection </w:t>
              </w:r>
              <w:r w:rsidR="00A42ECD" w:rsidRPr="00F04F82">
                <w:rPr>
                  <w:b/>
                  <w:bCs/>
                </w:rPr>
                <w:t>s</w:t>
              </w:r>
              <w:r w:rsidR="00191E59" w:rsidRPr="00F04F82">
                <w:rPr>
                  <w:b/>
                  <w:bCs/>
                </w:rPr>
                <w:t>ite</w:t>
              </w:r>
            </w:ins>
          </w:p>
        </w:tc>
      </w:tr>
      <w:tr w:rsidR="008E788D" w:rsidRPr="00F04F82" w14:paraId="7BFEC0B1" w14:textId="77777777" w:rsidTr="00D55B59">
        <w:trPr>
          <w:cantSplit/>
          <w:trHeight w:val="57"/>
          <w:trPrChange w:id="4604"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605"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6006B29B" w14:textId="7FE80532" w:rsidR="008E788D" w:rsidRPr="001775D9" w:rsidRDefault="00D96030" w:rsidP="0002405A">
            <w:pPr>
              <w:keepNext/>
              <w:keepLines/>
              <w:tabs>
                <w:tab w:val="left" w:pos="1134"/>
              </w:tabs>
              <w:spacing w:line="240" w:lineRule="auto"/>
              <w:rPr>
                <w:b/>
                <w:bCs/>
              </w:rPr>
            </w:pPr>
            <w:r>
              <w:pict w14:anchorId="13B8FDEF">
                <v:shape id="_x0000_s2067" type="#_x0000_t202" style="position:absolute;margin-left:-.2pt;margin-top:1.55pt;width:439.05pt;height:21.35pt;z-index: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" strokecolor="red" strokeweight="1.5pt">
                  <v:textbox style="mso-next-textbox:#_x0000_s2067;mso-fit-shape-to-text:t">
                    <w:txbxContent>
                      <w:p w14:paraId="36052381" w14:textId="2F97BBC0" w:rsidR="00D47253" w:rsidRPr="001775D9" w:rsidRDefault="00D47253" w:rsidP="00EA4716">
                        <w:pPr>
                          <w:tabs>
                            <w:tab w:val="left" w:pos="1134"/>
                          </w:tabs>
                          <w:spacing w:line="240" w:lineRule="auto"/>
                        </w:pPr>
                        <w:r w:rsidRPr="001775D9">
                          <w:rPr>
                            <w:b/>
                            <w:bCs/>
                          </w:rPr>
                          <w:t>Important:</w:t>
                        </w:r>
                        <w:r w:rsidRPr="001775D9">
                          <w:t xml:space="preserve"> Never put the needle cap back on.</w:t>
                        </w:r>
                      </w:p>
                    </w:txbxContent>
                  </v:textbox>
                  <w10:wrap type="square" anchorx="margin"/>
                </v:shape>
              </w:pict>
            </w:r>
          </w:p>
        </w:tc>
      </w:tr>
      <w:tr w:rsidR="008E788D" w:rsidRPr="00F04F82" w14:paraId="38294950" w14:textId="77777777" w:rsidTr="00A321CA">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77334514" w14:textId="77777777" w:rsidR="008E788D" w:rsidRPr="001775D9" w:rsidRDefault="008E788D" w:rsidP="0002405A">
            <w:pPr>
              <w:keepNext/>
              <w:keepLines/>
              <w:rPr>
                <w:b/>
                <w:bCs/>
              </w:rPr>
            </w:pPr>
            <w:r w:rsidRPr="001775D9">
              <w:rPr>
                <w:b/>
                <w:bCs/>
              </w:rPr>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p w14:paraId="04EDF6FF" w14:textId="55C71259" w:rsidR="008E788D" w:rsidRPr="001775D9" w:rsidRDefault="00AF2655" w:rsidP="0002405A">
            <w:pPr>
              <w:pStyle w:val="ListParagraph"/>
              <w:keepNext/>
              <w:keepLines/>
              <w:tabs>
                <w:tab w:val="left" w:pos="0"/>
              </w:tabs>
              <w:ind w:left="0"/>
              <w:rPr>
                <w:sz w:val="22"/>
                <w:szCs w:val="22"/>
              </w:rPr>
            </w:pPr>
            <w:ins w:id="4606" w:author="Author">
              <w:r w:rsidRPr="00F04F82">
                <w:rPr>
                  <w:b/>
                  <w:bCs/>
                  <w:sz w:val="22"/>
                  <w:szCs w:val="22"/>
                </w:rPr>
                <w:t>Place</w:t>
              </w:r>
            </w:ins>
            <w:del w:id="4607" w:author="Author">
              <w:r w:rsidR="008E788D" w:rsidRPr="00F04F82" w:rsidDel="00AF2655">
                <w:rPr>
                  <w:b/>
                  <w:bCs/>
                  <w:sz w:val="22"/>
                  <w:szCs w:val="22"/>
                </w:rPr>
                <w:delText>Discard</w:delText>
              </w:r>
            </w:del>
            <w:r w:rsidR="008E788D" w:rsidRPr="001775D9">
              <w:rPr>
                <w:b/>
                <w:bCs/>
                <w:sz w:val="22"/>
                <w:szCs w:val="22"/>
              </w:rPr>
              <w:t xml:space="preserve"> the used pre-filled syringe and needle cap in </w:t>
            </w:r>
            <w:ins w:id="4608" w:author="Author">
              <w:r w:rsidRPr="00F04F82">
                <w:rPr>
                  <w:b/>
                  <w:bCs/>
                  <w:sz w:val="22"/>
                  <w:szCs w:val="22"/>
                </w:rPr>
                <w:t>a</w:t>
              </w:r>
            </w:ins>
            <w:del w:id="4609" w:author="Author">
              <w:r w:rsidR="008E788D" w:rsidRPr="00F04F82" w:rsidDel="00AF2655">
                <w:rPr>
                  <w:b/>
                  <w:bCs/>
                  <w:sz w:val="22"/>
                  <w:szCs w:val="22"/>
                </w:rPr>
                <w:delText>the</w:delText>
              </w:r>
            </w:del>
            <w:r w:rsidR="008E788D" w:rsidRPr="001775D9">
              <w:rPr>
                <w:b/>
                <w:bCs/>
                <w:sz w:val="22"/>
                <w:szCs w:val="22"/>
              </w:rPr>
              <w:t xml:space="preserve"> sharps disposal container</w:t>
            </w:r>
            <w:ins w:id="4610" w:author="Author">
              <w:r w:rsidR="00857429" w:rsidRPr="00F04F82">
                <w:rPr>
                  <w:b/>
                  <w:bCs/>
                  <w:sz w:val="22"/>
                  <w:szCs w:val="22"/>
                </w:rPr>
                <w:t xml:space="preserve"> right away after use</w:t>
              </w:r>
            </w:ins>
            <w:r w:rsidR="008E788D" w:rsidRPr="001775D9">
              <w:rPr>
                <w:b/>
                <w:bCs/>
                <w:sz w:val="22"/>
                <w:szCs w:val="22"/>
              </w:rPr>
              <w:t>.</w:t>
            </w:r>
          </w:p>
        </w:tc>
      </w:tr>
      <w:tr w:rsidR="008E788D" w:rsidRPr="00F04F82" w14:paraId="2B8532E5" w14:textId="77777777" w:rsidTr="00D55B59">
        <w:trPr>
          <w:cantSplit/>
          <w:trHeight w:val="57"/>
          <w:trPrChange w:id="4611"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Change w:id="4612"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22EE5024" w14:textId="1A36556A" w:rsidR="008E788D" w:rsidRPr="001775D9" w:rsidRDefault="00D96030" w:rsidP="00D47253">
            <w:pPr>
              <w:pStyle w:val="ListParagraph"/>
              <w:tabs>
                <w:tab w:val="left" w:pos="0"/>
              </w:tabs>
              <w:ind w:left="0"/>
              <w:jc w:val="center"/>
              <w:rPr>
                <w:b/>
                <w:bCs/>
              </w:rPr>
            </w:pPr>
            <w:r>
              <w:pict w14:anchorId="1FD46853">
                <v:shape id="Picture 59" o:spid="_x0000_i1088" type="#_x0000_t75" style="width:169.5pt;height:103pt;visibility:visible;mso-wrap-style:square">
                  <v:imagedata r:id="rId82" o:title=""/>
                </v:shape>
              </w:pict>
            </w:r>
          </w:p>
        </w:tc>
      </w:tr>
      <w:tr w:rsidR="008E788D" w:rsidRPr="00F04F82" w14:paraId="4A394F47" w14:textId="77777777" w:rsidTr="00D55B59">
        <w:trPr>
          <w:cantSplit/>
          <w:trHeight w:val="904"/>
          <w:trPrChange w:id="4613" w:author="Author">
            <w:trPr>
              <w:cantSplit/>
              <w:trHeight w:val="904"/>
            </w:trPr>
          </w:trPrChange>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hideMark/>
            <w:tcPrChange w:id="4614" w:author="Author">
              <w:tcPr>
                <w:tcW w:w="5000" w:type="pct"/>
                <w:gridSpan w:val="2"/>
                <w:tcBorders>
                  <w:top w:val="nil"/>
                  <w:left w:val="single" w:sz="4" w:space="0" w:color="auto"/>
                  <w:bottom w:val="nil"/>
                  <w:right w:val="single" w:sz="4" w:space="0" w:color="auto"/>
                </w:tcBorders>
                <w:tcMar>
                  <w:top w:w="28" w:type="dxa"/>
                  <w:left w:w="57" w:type="dxa"/>
                  <w:bottom w:w="28" w:type="dxa"/>
                  <w:right w:w="57" w:type="dxa"/>
                </w:tcMar>
                <w:hideMark/>
              </w:tcPr>
            </w:tcPrChange>
          </w:tcPr>
          <w:p w14:paraId="2FFE4F6A" w14:textId="2050BB7D" w:rsidR="008E788D" w:rsidRPr="001775D9" w:rsidRDefault="00D96030" w:rsidP="00D47253">
            <w:r>
              <w:pict w14:anchorId="435698CC">
                <v:shape id="_x0000_s2066" type="#_x0000_t202" style="position:absolute;margin-left:-.2pt;margin-top:1.45pt;width:438.3pt;height:22.05pt;z-index:1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" strokecolor="red" strokeweight="1.5pt">
                  <v:textbox style="mso-next-textbox:#_x0000_s2066;mso-fit-shape-to-text:t">
                    <w:txbxContent>
                      <w:p w14:paraId="25F81A67" w14:textId="1AD395EB" w:rsidR="00D47253" w:rsidRPr="001775D9" w:rsidRDefault="00D47253" w:rsidP="00B61D9D">
                        <w:pPr>
                          <w:spacing w:line="240" w:lineRule="auto"/>
                        </w:pPr>
                        <w:r w:rsidRPr="001775D9">
                          <w:rPr>
                            <w:b/>
                            <w:bCs/>
                          </w:rPr>
                          <w:t>Do not</w:t>
                        </w:r>
                        <w:r w:rsidRPr="001775D9">
                          <w:t xml:space="preserve"> recycle the pre-filled syringe or throw it into the household waste.</w:t>
                        </w:r>
                      </w:p>
                    </w:txbxContent>
                  </v:textbox>
                  <w10:wrap type="square" anchorx="margin"/>
                </v:shape>
              </w:pict>
            </w:r>
          </w:p>
        </w:tc>
      </w:tr>
      <w:tr w:rsidR="008E788D" w:rsidRPr="00F04F82" w14:paraId="170ED98F" w14:textId="77777777" w:rsidTr="00D55B59">
        <w:trPr>
          <w:cantSplit/>
          <w:trHeight w:val="57"/>
          <w:trPrChange w:id="4615"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4616"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13A3325C"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Change w:id="4617" w:author="Author">
              <w:tcPr>
                <w:tcW w:w="4646" w:type="pct"/>
                <w:tcBorders>
                  <w:top w:val="nil"/>
                  <w:left w:val="nil"/>
                  <w:bottom w:val="nil"/>
                  <w:right w:val="single" w:sz="4" w:space="0" w:color="auto"/>
                </w:tcBorders>
                <w:tcMar>
                  <w:top w:w="0" w:type="dxa"/>
                  <w:left w:w="0" w:type="dxa"/>
                  <w:bottom w:w="0" w:type="dxa"/>
                  <w:right w:w="108" w:type="dxa"/>
                </w:tcMar>
                <w:hideMark/>
              </w:tcPr>
            </w:tcPrChange>
          </w:tcPr>
          <w:p w14:paraId="76CFA58C" w14:textId="77777777" w:rsidR="008E788D" w:rsidRPr="00F04F82" w:rsidRDefault="008E788D" w:rsidP="00B61D9D">
            <w:pPr>
              <w:spacing w:line="240" w:lineRule="auto"/>
              <w:rPr>
                <w:b/>
                <w:bCs/>
              </w:rPr>
            </w:pPr>
            <w:r w:rsidRPr="001775D9">
              <w:rPr>
                <w:b/>
                <w:bCs/>
              </w:rPr>
              <w:t>Do not</w:t>
            </w:r>
            <w:r w:rsidRPr="00F04F82">
              <w:t xml:space="preserve"> reuse the pre-filled syringe.</w:t>
            </w:r>
          </w:p>
        </w:tc>
      </w:tr>
      <w:tr w:rsidR="008E788D" w:rsidRPr="00F04F82" w14:paraId="1472F5D5" w14:textId="77777777" w:rsidTr="00D55B59">
        <w:trPr>
          <w:cantSplit/>
          <w:trHeight w:val="57"/>
          <w:trPrChange w:id="4618"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4619"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2FBCF36E"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Change w:id="4620" w:author="Author">
              <w:tcPr>
                <w:tcW w:w="4646" w:type="pct"/>
                <w:tcBorders>
                  <w:top w:val="nil"/>
                  <w:left w:val="nil"/>
                  <w:bottom w:val="nil"/>
                  <w:right w:val="single" w:sz="4" w:space="0" w:color="auto"/>
                </w:tcBorders>
                <w:tcMar>
                  <w:top w:w="0" w:type="dxa"/>
                  <w:left w:w="0" w:type="dxa"/>
                  <w:bottom w:w="0" w:type="dxa"/>
                  <w:right w:w="108" w:type="dxa"/>
                </w:tcMar>
                <w:hideMark/>
              </w:tcPr>
            </w:tcPrChange>
          </w:tcPr>
          <w:p w14:paraId="7ED38A70" w14:textId="77777777" w:rsidR="008E788D" w:rsidRPr="00F04F82" w:rsidRDefault="008E788D" w:rsidP="00B61D9D">
            <w:pPr>
              <w:spacing w:line="240" w:lineRule="auto"/>
              <w:rPr>
                <w:b/>
                <w:bCs/>
              </w:rPr>
            </w:pPr>
            <w:r w:rsidRPr="001775D9">
              <w:rPr>
                <w:rFonts w:eastAsia="Calibri"/>
                <w:b/>
                <w:szCs w:val="22"/>
              </w:rPr>
              <w:t>Do not</w:t>
            </w:r>
            <w:r w:rsidRPr="00F04F82">
              <w:rPr>
                <w:rFonts w:eastAsia="Calibri"/>
                <w:szCs w:val="22"/>
              </w:rPr>
              <w:t xml:space="preserve"> use any medicine that is left in the used </w:t>
            </w:r>
            <w:r w:rsidRPr="00F04F82">
              <w:rPr>
                <w:color w:val="000000"/>
                <w:szCs w:val="22"/>
              </w:rPr>
              <w:t>pre-filled</w:t>
            </w:r>
            <w:r w:rsidRPr="00F04F82">
              <w:rPr>
                <w:rFonts w:eastAsia="Calibri"/>
                <w:szCs w:val="22"/>
              </w:rPr>
              <w:t xml:space="preserve"> syringe.</w:t>
            </w:r>
          </w:p>
        </w:tc>
      </w:tr>
      <w:tr w:rsidR="008E788D" w:rsidRPr="00F04F82" w14:paraId="082EF2EB" w14:textId="77777777" w:rsidTr="00D55B59">
        <w:trPr>
          <w:cantSplit/>
          <w:trHeight w:val="57"/>
          <w:trPrChange w:id="4621"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4622"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194DABB2"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Change w:id="4623" w:author="Author">
              <w:tcPr>
                <w:tcW w:w="4646" w:type="pct"/>
                <w:tcBorders>
                  <w:top w:val="nil"/>
                  <w:left w:val="nil"/>
                  <w:bottom w:val="nil"/>
                  <w:right w:val="single" w:sz="4" w:space="0" w:color="auto"/>
                </w:tcBorders>
                <w:tcMar>
                  <w:top w:w="0" w:type="dxa"/>
                  <w:left w:w="0" w:type="dxa"/>
                  <w:bottom w:w="0" w:type="dxa"/>
                  <w:right w:w="108" w:type="dxa"/>
                </w:tcMar>
                <w:hideMark/>
              </w:tcPr>
            </w:tcPrChange>
          </w:tcPr>
          <w:p w14:paraId="53C091CC" w14:textId="77777777" w:rsidR="008E788D" w:rsidRPr="00F04F82" w:rsidRDefault="008E788D" w:rsidP="00B61D9D">
            <w:pPr>
              <w:spacing w:line="240" w:lineRule="auto"/>
              <w:rPr>
                <w:rFonts w:eastAsia="Calibri"/>
                <w:szCs w:val="22"/>
              </w:rPr>
            </w:pPr>
            <w:r w:rsidRPr="001775D9">
              <w:rPr>
                <w:rFonts w:eastAsia="Calibri"/>
                <w:szCs w:val="22"/>
              </w:rPr>
              <w:t xml:space="preserve">Put the used AMGEVITA syringe in a sharps disposal container immediately after use. </w:t>
            </w:r>
          </w:p>
          <w:p w14:paraId="1DA6198D" w14:textId="77777777" w:rsidR="008E788D" w:rsidRPr="00F04F82" w:rsidRDefault="008E788D" w:rsidP="00B61D9D">
            <w:pPr>
              <w:spacing w:line="240" w:lineRule="auto"/>
              <w:rPr>
                <w:b/>
                <w:bCs/>
              </w:rPr>
            </w:pPr>
            <w:r w:rsidRPr="001775D9">
              <w:rPr>
                <w:rFonts w:eastAsia="Calibri"/>
                <w:b/>
                <w:bCs/>
                <w:szCs w:val="22"/>
              </w:rPr>
              <w:t>Do not</w:t>
            </w:r>
            <w:r w:rsidRPr="00F04F82">
              <w:rPr>
                <w:rFonts w:eastAsia="Calibri"/>
                <w:szCs w:val="22"/>
              </w:rPr>
              <w:t xml:space="preserve"> throw away (dispose of) the syringe in your household waste.</w:t>
            </w:r>
          </w:p>
        </w:tc>
      </w:tr>
      <w:tr w:rsidR="008E788D" w:rsidRPr="00F04F82" w14:paraId="3DDF2D09" w14:textId="77777777" w:rsidTr="00D55B59">
        <w:trPr>
          <w:cantSplit/>
          <w:trHeight w:val="57"/>
          <w:trPrChange w:id="4624"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4625"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0C29D9CC"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Change w:id="4626" w:author="Author">
              <w:tcPr>
                <w:tcW w:w="4646" w:type="pct"/>
                <w:tcBorders>
                  <w:top w:val="nil"/>
                  <w:left w:val="nil"/>
                  <w:bottom w:val="nil"/>
                  <w:right w:val="single" w:sz="4" w:space="0" w:color="auto"/>
                </w:tcBorders>
                <w:tcMar>
                  <w:top w:w="0" w:type="dxa"/>
                  <w:left w:w="0" w:type="dxa"/>
                  <w:bottom w:w="0" w:type="dxa"/>
                  <w:right w:w="108" w:type="dxa"/>
                </w:tcMar>
                <w:hideMark/>
              </w:tcPr>
            </w:tcPrChange>
          </w:tcPr>
          <w:p w14:paraId="3C9511F8" w14:textId="77777777" w:rsidR="008E788D" w:rsidRPr="00F04F82" w:rsidRDefault="008E788D" w:rsidP="00B61D9D">
            <w:pPr>
              <w:spacing w:line="240" w:lineRule="auto"/>
              <w:rPr>
                <w:b/>
                <w:bCs/>
              </w:rPr>
            </w:pPr>
            <w:r w:rsidRPr="001775D9">
              <w:rPr>
                <w:rFonts w:eastAsia="Calibri"/>
                <w:szCs w:val="22"/>
              </w:rPr>
              <w:t>Talk with your doctor or pharmacist about proper disposal. There may be local guidelines for disposal.</w:t>
            </w:r>
          </w:p>
        </w:tc>
      </w:tr>
      <w:tr w:rsidR="008E788D" w:rsidRPr="00F04F82" w14:paraId="47409DB9" w14:textId="77777777" w:rsidTr="00D55B59">
        <w:trPr>
          <w:cantSplit/>
          <w:trHeight w:val="57"/>
          <w:trPrChange w:id="4627"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4628"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35CF9939" w14:textId="77777777" w:rsidR="008E788D" w:rsidRPr="001775D9" w:rsidRDefault="008E788D" w:rsidP="00D47253">
            <w:pPr>
              <w:numPr>
                <w:ilvl w:val="0"/>
                <w:numId w:val="40"/>
              </w:numPr>
              <w:tabs>
                <w:tab w:val="clear" w:pos="567"/>
                <w:tab w:val="left" w:pos="708"/>
              </w:tabs>
              <w:spacing w:line="240" w:lineRule="auto"/>
              <w:ind w:left="567" w:hanging="567"/>
            </w:pPr>
          </w:p>
        </w:tc>
        <w:tc>
          <w:tcPr>
            <w:tcW w:w="4646" w:type="pct"/>
            <w:tcBorders>
              <w:top w:val="nil"/>
              <w:left w:val="nil"/>
              <w:bottom w:val="nil"/>
              <w:right w:val="single" w:sz="4" w:space="0" w:color="auto"/>
            </w:tcBorders>
            <w:tcMar>
              <w:top w:w="0" w:type="dxa"/>
              <w:left w:w="0" w:type="dxa"/>
              <w:bottom w:w="0" w:type="dxa"/>
              <w:right w:w="108" w:type="dxa"/>
            </w:tcMar>
            <w:hideMark/>
            <w:tcPrChange w:id="4629" w:author="Author">
              <w:tcPr>
                <w:tcW w:w="4646" w:type="pct"/>
                <w:tcBorders>
                  <w:top w:val="nil"/>
                  <w:left w:val="nil"/>
                  <w:bottom w:val="nil"/>
                  <w:right w:val="single" w:sz="4" w:space="0" w:color="auto"/>
                </w:tcBorders>
                <w:tcMar>
                  <w:top w:w="0" w:type="dxa"/>
                  <w:left w:w="0" w:type="dxa"/>
                  <w:bottom w:w="0" w:type="dxa"/>
                  <w:right w:w="108" w:type="dxa"/>
                </w:tcMar>
                <w:hideMark/>
              </w:tcPr>
            </w:tcPrChange>
          </w:tcPr>
          <w:p w14:paraId="7835E935" w14:textId="77777777" w:rsidR="008E788D" w:rsidRPr="00F04F82" w:rsidRDefault="008E788D" w:rsidP="00B61D9D">
            <w:pPr>
              <w:spacing w:line="240" w:lineRule="auto"/>
              <w:rPr>
                <w:b/>
                <w:bCs/>
              </w:rPr>
            </w:pPr>
            <w:r w:rsidRPr="001775D9">
              <w:rPr>
                <w:rFonts w:eastAsia="Calibri"/>
                <w:b/>
                <w:bCs/>
                <w:szCs w:val="22"/>
              </w:rPr>
              <w:t>Do not</w:t>
            </w:r>
            <w:r w:rsidRPr="00F04F82">
              <w:rPr>
                <w:rFonts w:eastAsia="Calibri"/>
                <w:szCs w:val="22"/>
              </w:rPr>
              <w:t xml:space="preserve"> recycle the syringe or sharps disposal container or throw them into the household </w:t>
            </w:r>
            <w:r w:rsidRPr="001775D9">
              <w:rPr>
                <w:rFonts w:eastAsia="Calibri"/>
                <w:szCs w:val="22"/>
              </w:rPr>
              <w:t>waste.</w:t>
            </w:r>
          </w:p>
        </w:tc>
      </w:tr>
      <w:tr w:rsidR="008E788D" w:rsidRPr="00F04F82" w14:paraId="49982F22" w14:textId="77777777" w:rsidTr="00D55B59">
        <w:trPr>
          <w:cantSplit/>
          <w:trHeight w:val="57"/>
          <w:trPrChange w:id="4630" w:author="Author">
            <w:trPr>
              <w:cantSplit/>
              <w:trHeight w:val="57"/>
            </w:trPr>
          </w:trPrChange>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hideMark/>
            <w:tcPrChange w:id="4631" w:author="Author">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hideMark/>
              </w:tcPr>
            </w:tcPrChange>
          </w:tcPr>
          <w:p w14:paraId="14EFABA2" w14:textId="46066135" w:rsidR="008943A3" w:rsidRPr="00D55B59" w:rsidRDefault="00D96030" w:rsidP="00B61D9D">
            <w:pPr>
              <w:spacing w:line="240" w:lineRule="auto"/>
              <w:rPr>
                <w:szCs w:val="22"/>
                <w:rPrChange w:id="4632" w:author="Author">
                  <w:rPr>
                    <w:b/>
                    <w:bCs/>
                  </w:rPr>
                </w:rPrChange>
              </w:rPr>
            </w:pPr>
            <w:ins w:id="4633" w:author="Author">
              <w:r>
                <w:rPr>
                  <w:b/>
                  <w:bCs/>
                  <w:szCs w:val="22"/>
                </w:rPr>
                <w:pict w14:anchorId="435698CC">
                  <v:shape id="_x0000_s2162" type="#_x0000_t202" style="position:absolute;margin-left:.55pt;margin-top:3.75pt;width:438.3pt;height:21.35pt;z-index:32;visibility:visible;mso-wrap-style:square;mso-width-percent:0;mso-height-percent:200;mso-wrap-distance-left:9pt;mso-wrap-distance-top:3.6pt;mso-wrap-distance-right:9pt;mso-wrap-distance-bottom:3.6pt;mso-position-horizontal-relative:margin;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" strokecolor="red" strokeweight="1.5pt">
                    <v:textbox style="mso-next-textbox:#_x0000_s2162;mso-fit-shape-to-text:t">
                      <w:txbxContent>
                        <w:p w14:paraId="5647CF34" w14:textId="3F7DA69F" w:rsidR="008943A3" w:rsidRPr="001775D9" w:rsidRDefault="008943A3" w:rsidP="008943A3">
                          <w:pPr>
                            <w:spacing w:line="240" w:lineRule="auto"/>
                          </w:pPr>
                          <w:ins w:id="4634" w:author="Author">
                            <w:r w:rsidRPr="00F04F82">
                              <w:rPr>
                                <w:b/>
                                <w:bCs/>
                                <w:szCs w:val="22"/>
                              </w:rPr>
                              <w:t>Important</w:t>
                            </w:r>
                            <w:r w:rsidRPr="00D55B59">
                              <w:rPr>
                                <w:b/>
                                <w:bCs/>
                                <w:szCs w:val="22"/>
                                <w:rPrChange w:id="4635" w:author="Author">
                                  <w:rPr>
                                    <w:szCs w:val="22"/>
                                  </w:rPr>
                                </w:rPrChange>
                              </w:rPr>
                              <w:t>:</w:t>
                            </w:r>
                            <w:r w:rsidRPr="00F04F82">
                              <w:rPr>
                                <w:szCs w:val="22"/>
                              </w:rPr>
                              <w:t xml:space="preserve"> Always keep the sharps disposal container out of the sight and reach of children.</w:t>
                            </w:r>
                          </w:ins>
                        </w:p>
                      </w:txbxContent>
                    </v:textbox>
                    <w10:wrap type="square" anchorx="margin"/>
                  </v:shape>
                </w:pict>
              </w:r>
            </w:ins>
            <w:del w:id="4636" w:author="Author">
              <w:r w:rsidR="008E788D" w:rsidRPr="00F04F82" w:rsidDel="008943A3">
                <w:rPr>
                  <w:b/>
                  <w:bCs/>
                  <w:szCs w:val="22"/>
                </w:rPr>
                <w:delText>Important</w:delText>
              </w:r>
              <w:r w:rsidR="008E788D" w:rsidRPr="00F04F82" w:rsidDel="008943A3">
                <w:rPr>
                  <w:szCs w:val="22"/>
                </w:rPr>
                <w:delText>: Always keep the sharps disposal container out of the sight and reach of children.</w:delText>
              </w:r>
            </w:del>
          </w:p>
        </w:tc>
      </w:tr>
    </w:tbl>
    <w:p w14:paraId="6E54F78D" w14:textId="77777777" w:rsidR="008E788D" w:rsidRPr="001775D9" w:rsidRDefault="008E788D" w:rsidP="008E788D">
      <w:pPr>
        <w:tabs>
          <w:tab w:val="left" w:pos="1134"/>
        </w:tabs>
        <w:spacing w:line="240" w:lineRule="auto"/>
      </w:pPr>
    </w:p>
    <w:tbl>
      <w:tblPr>
        <w:tblW w:w="90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2"/>
        <w:gridCol w:w="8391"/>
      </w:tblGrid>
      <w:tr w:rsidR="008B48AD" w:rsidRPr="00F04F82" w14:paraId="7C96F0B5" w14:textId="48C17A29" w:rsidTr="003101E5">
        <w:trPr>
          <w:trHeight w:val="345"/>
        </w:trPr>
        <w:tc>
          <w:tcPr>
            <w:tcW w:w="652" w:type="dxa"/>
          </w:tcPr>
          <w:p w14:paraId="74730BC1" w14:textId="2A92A0A1" w:rsidR="008B48AD" w:rsidRPr="001775D9" w:rsidRDefault="008B48AD" w:rsidP="00B61D9D">
            <w:pPr>
              <w:pStyle w:val="ListParagraph"/>
              <w:keepNext/>
              <w:keepLines/>
              <w:autoSpaceDE w:val="0"/>
              <w:autoSpaceDN w:val="0"/>
              <w:adjustRightInd w:val="0"/>
              <w:ind w:left="0"/>
              <w:textAlignment w:val="center"/>
              <w:rPr>
                <w:sz w:val="22"/>
                <w:szCs w:val="22"/>
              </w:rPr>
            </w:pPr>
            <w:r w:rsidRPr="001775D9">
              <w:rPr>
                <w:b/>
                <w:bCs/>
                <w:sz w:val="22"/>
                <w:szCs w:val="22"/>
              </w:rPr>
              <w:t>5b</w:t>
            </w:r>
          </w:p>
        </w:tc>
        <w:tc>
          <w:tcPr>
            <w:tcW w:w="8391" w:type="dxa"/>
            <w:tcBorders>
              <w:top w:val="single" w:sz="4" w:space="0" w:color="000000"/>
            </w:tcBorders>
          </w:tcPr>
          <w:p w14:paraId="41784BA3" w14:textId="1CC6A00A" w:rsidR="008B48AD" w:rsidRPr="001775D9" w:rsidRDefault="008B48AD" w:rsidP="00B61D9D">
            <w:pPr>
              <w:pStyle w:val="ListParagraph"/>
              <w:keepNext/>
              <w:keepLines/>
              <w:autoSpaceDE w:val="0"/>
              <w:autoSpaceDN w:val="0"/>
              <w:adjustRightInd w:val="0"/>
              <w:ind w:left="0"/>
              <w:textAlignment w:val="center"/>
              <w:rPr>
                <w:sz w:val="22"/>
                <w:szCs w:val="22"/>
              </w:rPr>
            </w:pPr>
            <w:r w:rsidRPr="001775D9">
              <w:rPr>
                <w:b/>
                <w:bCs/>
                <w:sz w:val="22"/>
                <w:szCs w:val="22"/>
              </w:rPr>
              <w:t xml:space="preserve">Check </w:t>
            </w:r>
            <w:ins w:id="4637" w:author="Author">
              <w:r w:rsidR="00A0728C" w:rsidRPr="00F04F82">
                <w:rPr>
                  <w:b/>
                  <w:bCs/>
                  <w:sz w:val="22"/>
                  <w:szCs w:val="22"/>
                </w:rPr>
                <w:t xml:space="preserve">the </w:t>
              </w:r>
            </w:ins>
            <w:r w:rsidRPr="001775D9">
              <w:rPr>
                <w:b/>
                <w:bCs/>
                <w:sz w:val="22"/>
                <w:szCs w:val="22"/>
              </w:rPr>
              <w:t>injection site.</w:t>
            </w:r>
          </w:p>
        </w:tc>
      </w:tr>
      <w:tr w:rsidR="004E2B04" w:rsidRPr="00F04F82" w14:paraId="7D5AAF29" w14:textId="20FD29B4" w:rsidTr="00727683">
        <w:trPr>
          <w:trHeight w:val="325"/>
        </w:trPr>
        <w:tc>
          <w:tcPr>
            <w:tcW w:w="652" w:type="dxa"/>
            <w:tcBorders>
              <w:bottom w:val="nil"/>
              <w:right w:val="nil"/>
            </w:tcBorders>
          </w:tcPr>
          <w:p w14:paraId="54312B65" w14:textId="77777777" w:rsidR="004E2B04" w:rsidRPr="001775D9" w:rsidDel="008B48AD" w:rsidRDefault="004E2B04" w:rsidP="00B61D9D">
            <w:pPr>
              <w:pStyle w:val="ListParagraph"/>
              <w:keepNext/>
              <w:keepLines/>
              <w:numPr>
                <w:ilvl w:val="0"/>
                <w:numId w:val="50"/>
              </w:numPr>
              <w:autoSpaceDE w:val="0"/>
              <w:autoSpaceDN w:val="0"/>
              <w:adjustRightInd w:val="0"/>
              <w:ind w:left="0" w:firstLine="0"/>
              <w:textAlignment w:val="center"/>
              <w:rPr>
                <w:sz w:val="22"/>
                <w:szCs w:val="22"/>
              </w:rPr>
            </w:pPr>
          </w:p>
        </w:tc>
        <w:tc>
          <w:tcPr>
            <w:tcW w:w="8391" w:type="dxa"/>
            <w:tcBorders>
              <w:left w:val="nil"/>
              <w:bottom w:val="nil"/>
            </w:tcBorders>
          </w:tcPr>
          <w:p w14:paraId="2B3592FE" w14:textId="28A38285" w:rsidR="004E2B04" w:rsidRPr="001775D9" w:rsidDel="008B48AD" w:rsidRDefault="004E2B04" w:rsidP="00B61D9D">
            <w:pPr>
              <w:pStyle w:val="ListParagraph"/>
              <w:keepNext/>
              <w:keepLines/>
              <w:autoSpaceDE w:val="0"/>
              <w:autoSpaceDN w:val="0"/>
              <w:adjustRightInd w:val="0"/>
              <w:ind w:left="0" w:right="1414"/>
              <w:textAlignment w:val="center"/>
              <w:rPr>
                <w:sz w:val="22"/>
                <w:szCs w:val="22"/>
              </w:rPr>
            </w:pPr>
            <w:r w:rsidRPr="001775D9">
              <w:rPr>
                <w:b/>
                <w:color w:val="000000"/>
                <w:sz w:val="22"/>
                <w:szCs w:val="22"/>
              </w:rPr>
              <w:t>Do not</w:t>
            </w:r>
            <w:r w:rsidRPr="001775D9">
              <w:rPr>
                <w:color w:val="000000"/>
                <w:sz w:val="22"/>
                <w:szCs w:val="22"/>
              </w:rPr>
              <w:t xml:space="preserve"> rub the injection site.</w:t>
            </w:r>
          </w:p>
        </w:tc>
      </w:tr>
      <w:tr w:rsidR="004E2B04" w:rsidRPr="00F04F82" w14:paraId="7F9500F7" w14:textId="5070D120" w:rsidTr="00727683">
        <w:trPr>
          <w:trHeight w:val="366"/>
        </w:trPr>
        <w:tc>
          <w:tcPr>
            <w:tcW w:w="652" w:type="dxa"/>
            <w:tcBorders>
              <w:top w:val="nil"/>
              <w:right w:val="nil"/>
            </w:tcBorders>
            <w:hideMark/>
          </w:tcPr>
          <w:p w14:paraId="78E4E0E7" w14:textId="4969D0EC" w:rsidR="004E2B04" w:rsidRPr="00D55B59" w:rsidRDefault="004E2B04" w:rsidP="00B61D9D">
            <w:pPr>
              <w:pStyle w:val="ARROWBULLETED"/>
              <w:keepNext/>
              <w:keepLines/>
              <w:widowControl/>
              <w:numPr>
                <w:ilvl w:val="0"/>
                <w:numId w:val="44"/>
              </w:numPr>
              <w:tabs>
                <w:tab w:val="clear" w:pos="828"/>
              </w:tabs>
              <w:suppressAutoHyphens w:val="0"/>
              <w:spacing w:before="0" w:line="240" w:lineRule="auto"/>
              <w:ind w:left="0" w:firstLine="0"/>
              <w:rPr>
                <w:sz w:val="22"/>
                <w:szCs w:val="22"/>
                <w:lang w:val="en-GB"/>
                <w:rPrChange w:id="4638" w:author="Author">
                  <w:rPr>
                    <w:sz w:val="22"/>
                    <w:szCs w:val="22"/>
                  </w:rPr>
                </w:rPrChange>
              </w:rPr>
            </w:pPr>
          </w:p>
        </w:tc>
        <w:tc>
          <w:tcPr>
            <w:tcW w:w="8391" w:type="dxa"/>
            <w:tcBorders>
              <w:top w:val="nil"/>
              <w:left w:val="nil"/>
            </w:tcBorders>
          </w:tcPr>
          <w:p w14:paraId="131396BD" w14:textId="4E35DF5B" w:rsidR="004E2B04" w:rsidRPr="00D55B59" w:rsidRDefault="004E2B04" w:rsidP="00B61D9D">
            <w:pPr>
              <w:pStyle w:val="ARROWBULLETED"/>
              <w:keepNext/>
              <w:keepLines/>
              <w:widowControl/>
              <w:numPr>
                <w:ilvl w:val="0"/>
                <w:numId w:val="0"/>
              </w:numPr>
              <w:tabs>
                <w:tab w:val="left" w:pos="708"/>
              </w:tabs>
              <w:suppressAutoHyphens w:val="0"/>
              <w:spacing w:before="0" w:line="240" w:lineRule="auto"/>
              <w:rPr>
                <w:sz w:val="22"/>
                <w:szCs w:val="22"/>
                <w:lang w:val="en-GB"/>
                <w:rPrChange w:id="4639" w:author="Author">
                  <w:rPr>
                    <w:sz w:val="22"/>
                    <w:szCs w:val="22"/>
                  </w:rPr>
                </w:rPrChange>
              </w:rPr>
            </w:pPr>
            <w:r w:rsidRPr="00D55B59">
              <w:rPr>
                <w:sz w:val="22"/>
                <w:szCs w:val="22"/>
                <w:lang w:val="en-GB"/>
                <w:rPrChange w:id="4640" w:author="Author">
                  <w:rPr>
                    <w:sz w:val="22"/>
                    <w:szCs w:val="22"/>
                  </w:rPr>
                </w:rPrChange>
              </w:rPr>
              <w:t xml:space="preserve">If there is blood, press a cotton ball or gauze pad on your injection site. Apply a plaster if necessary. </w:t>
            </w:r>
          </w:p>
        </w:tc>
      </w:tr>
    </w:tbl>
    <w:p w14:paraId="08DC777B" w14:textId="74318C93" w:rsidR="00E03C85" w:rsidRPr="001775D9" w:rsidRDefault="00E03C85" w:rsidP="006A71EE">
      <w:pPr>
        <w:pageBreakBefore/>
        <w:tabs>
          <w:tab w:val="clear" w:pos="567"/>
        </w:tabs>
        <w:spacing w:line="240" w:lineRule="auto"/>
        <w:jc w:val="center"/>
        <w:outlineLvl w:val="0"/>
      </w:pPr>
      <w:r w:rsidRPr="001775D9">
        <w:rPr>
          <w:b/>
        </w:rPr>
        <w:t>Package leaflet: Information for the user</w:t>
      </w:r>
      <w:r w:rsidR="001C55FB" w:rsidRPr="001775D9">
        <w:rPr>
          <w:b/>
        </w:rPr>
        <w:fldChar w:fldCharType="begin"/>
      </w:r>
      <w:r w:rsidR="001C55FB" w:rsidRPr="001775D9">
        <w:rPr>
          <w:b/>
        </w:rPr>
        <w:instrText xml:space="preserve"> DOCVARIABLE vault_nd_60437ed6-0495-458e-8a15-8c2f9fca3a2c \* MERGEFORMAT </w:instrText>
      </w:r>
      <w:r w:rsidR="001C55FB" w:rsidRPr="001775D9">
        <w:rPr>
          <w:b/>
        </w:rPr>
        <w:fldChar w:fldCharType="separate"/>
      </w:r>
      <w:r w:rsidR="001C55FB" w:rsidRPr="001775D9">
        <w:rPr>
          <w:b/>
        </w:rPr>
        <w:t xml:space="preserve"> </w:t>
      </w:r>
      <w:r w:rsidR="001C55FB" w:rsidRPr="001775D9">
        <w:rPr>
          <w:b/>
        </w:rPr>
        <w:fldChar w:fldCharType="end"/>
      </w:r>
    </w:p>
    <w:p w14:paraId="0CE06375" w14:textId="77777777" w:rsidR="00E03C85" w:rsidRPr="001775D9" w:rsidRDefault="00E03C85" w:rsidP="006A71EE">
      <w:pPr>
        <w:numPr>
          <w:ilvl w:val="12"/>
          <w:numId w:val="0"/>
        </w:numPr>
        <w:shd w:val="clear" w:color="auto" w:fill="FFFFFF"/>
        <w:tabs>
          <w:tab w:val="clear" w:pos="567"/>
        </w:tabs>
        <w:spacing w:line="240" w:lineRule="auto"/>
        <w:jc w:val="center"/>
      </w:pPr>
    </w:p>
    <w:p w14:paraId="175434B5" w14:textId="7761D396" w:rsidR="00E03C85" w:rsidRPr="001775D9" w:rsidRDefault="00E03C85" w:rsidP="006A71EE">
      <w:pPr>
        <w:tabs>
          <w:tab w:val="left" w:pos="993"/>
        </w:tabs>
        <w:spacing w:line="240" w:lineRule="auto"/>
        <w:jc w:val="center"/>
        <w:outlineLvl w:val="0"/>
        <w:rPr>
          <w:b/>
        </w:rPr>
      </w:pPr>
      <w:r w:rsidRPr="001775D9">
        <w:rPr>
          <w:b/>
        </w:rPr>
        <w:t>AMGEVITA</w:t>
      </w:r>
      <w:r w:rsidRPr="001775D9" w:rsidDel="006B71D6">
        <w:rPr>
          <w:b/>
        </w:rPr>
        <w:t xml:space="preserve"> </w:t>
      </w:r>
      <w:r w:rsidRPr="001775D9">
        <w:rPr>
          <w:b/>
        </w:rPr>
        <w:t>40 mg solution for injection in pre-filled pen</w:t>
      </w:r>
      <w:r w:rsidR="001C55FB" w:rsidRPr="001775D9">
        <w:rPr>
          <w:b/>
        </w:rPr>
        <w:fldChar w:fldCharType="begin"/>
      </w:r>
      <w:r w:rsidR="001C55FB" w:rsidRPr="001775D9">
        <w:rPr>
          <w:b/>
        </w:rPr>
        <w:instrText xml:space="preserve"> DOCVARIABLE vault_nd_71373426-0173-4787-8f66-74414d8408a5 \* MERGEFORMAT </w:instrText>
      </w:r>
      <w:r w:rsidR="001C55FB" w:rsidRPr="001775D9">
        <w:rPr>
          <w:b/>
        </w:rPr>
        <w:fldChar w:fldCharType="separate"/>
      </w:r>
      <w:r w:rsidR="001C55FB" w:rsidRPr="001775D9">
        <w:rPr>
          <w:b/>
        </w:rPr>
        <w:t xml:space="preserve"> </w:t>
      </w:r>
      <w:r w:rsidR="001C55FB" w:rsidRPr="001775D9">
        <w:rPr>
          <w:b/>
        </w:rPr>
        <w:fldChar w:fldCharType="end"/>
      </w:r>
    </w:p>
    <w:p w14:paraId="292C666F" w14:textId="77777777" w:rsidR="00E03C85" w:rsidRPr="001775D9" w:rsidRDefault="00E03C85" w:rsidP="006A71EE">
      <w:pPr>
        <w:numPr>
          <w:ilvl w:val="12"/>
          <w:numId w:val="0"/>
        </w:numPr>
        <w:tabs>
          <w:tab w:val="clear" w:pos="567"/>
        </w:tabs>
        <w:spacing w:line="240" w:lineRule="auto"/>
        <w:jc w:val="center"/>
      </w:pPr>
      <w:r w:rsidRPr="001775D9">
        <w:t>adalimumab</w:t>
      </w:r>
    </w:p>
    <w:p w14:paraId="2762872B" w14:textId="77777777" w:rsidR="00E03C85" w:rsidRPr="001775D9" w:rsidRDefault="00E03C85" w:rsidP="006A71EE">
      <w:pPr>
        <w:tabs>
          <w:tab w:val="clear" w:pos="567"/>
        </w:tabs>
        <w:spacing w:line="240" w:lineRule="auto"/>
      </w:pPr>
    </w:p>
    <w:p w14:paraId="09E8441B" w14:textId="77777777" w:rsidR="00E03C85" w:rsidRPr="001775D9" w:rsidRDefault="00E03C85" w:rsidP="006A71EE">
      <w:pPr>
        <w:tabs>
          <w:tab w:val="clear" w:pos="567"/>
        </w:tabs>
        <w:suppressAutoHyphens/>
        <w:spacing w:line="240" w:lineRule="auto"/>
        <w:rPr>
          <w:b/>
        </w:rPr>
      </w:pPr>
    </w:p>
    <w:p w14:paraId="2E897E3A" w14:textId="77777777" w:rsidR="00E03C85" w:rsidRPr="001775D9" w:rsidRDefault="00E03C85" w:rsidP="006A71EE">
      <w:pPr>
        <w:tabs>
          <w:tab w:val="clear" w:pos="567"/>
        </w:tabs>
        <w:suppressAutoHyphens/>
        <w:spacing w:line="240" w:lineRule="auto"/>
      </w:pPr>
      <w:r w:rsidRPr="001775D9">
        <w:rPr>
          <w:b/>
        </w:rPr>
        <w:t>Read all of this leaflet carefully before you start using this medicine because it contains important information for you.</w:t>
      </w:r>
    </w:p>
    <w:p w14:paraId="6BBC364F" w14:textId="77777777" w:rsidR="00E03C85" w:rsidRPr="00F04F82" w:rsidRDefault="00E03C85" w:rsidP="00D55B59">
      <w:pPr>
        <w:numPr>
          <w:ilvl w:val="0"/>
          <w:numId w:val="3"/>
        </w:numPr>
        <w:spacing w:line="240" w:lineRule="auto"/>
        <w:ind w:left="567" w:hanging="567"/>
        <w:pPrChange w:id="4641" w:author="Author">
          <w:pPr>
            <w:numPr>
              <w:numId w:val="3"/>
            </w:numPr>
            <w:tabs>
              <w:tab w:val="clear" w:pos="567"/>
            </w:tabs>
            <w:spacing w:line="240" w:lineRule="auto"/>
            <w:ind w:left="567" w:right="-2" w:hanging="567"/>
          </w:pPr>
        </w:pPrChange>
      </w:pPr>
      <w:r w:rsidRPr="001775D9">
        <w:t xml:space="preserve">Keep this leaflet. You may need to read it again. </w:t>
      </w:r>
    </w:p>
    <w:p w14:paraId="2E7C5A3A" w14:textId="77777777" w:rsidR="00E03C85" w:rsidRPr="00D55B59" w:rsidRDefault="00E03C85" w:rsidP="00D55B59">
      <w:pPr>
        <w:pStyle w:val="Default"/>
        <w:numPr>
          <w:ilvl w:val="0"/>
          <w:numId w:val="3"/>
        </w:numPr>
        <w:tabs>
          <w:tab w:val="left" w:pos="567"/>
        </w:tabs>
        <w:ind w:left="567" w:hanging="567"/>
        <w:rPr>
          <w:sz w:val="22"/>
          <w:szCs w:val="22"/>
          <w:lang w:val="en-GB"/>
          <w:rPrChange w:id="4642" w:author="Author">
            <w:rPr>
              <w:sz w:val="22"/>
              <w:szCs w:val="22"/>
            </w:rPr>
          </w:rPrChange>
        </w:rPr>
        <w:pPrChange w:id="4643" w:author="Author">
          <w:pPr>
            <w:pStyle w:val="Default"/>
            <w:numPr>
              <w:numId w:val="3"/>
            </w:numPr>
            <w:ind w:left="567" w:hanging="567"/>
          </w:pPr>
        </w:pPrChange>
      </w:pPr>
      <w:r w:rsidRPr="00D55B59">
        <w:rPr>
          <w:sz w:val="22"/>
          <w:szCs w:val="22"/>
          <w:lang w:val="en-GB"/>
          <w:rPrChange w:id="4644" w:author="Author">
            <w:rPr>
              <w:sz w:val="22"/>
              <w:szCs w:val="22"/>
            </w:rPr>
          </w:rPrChange>
        </w:rPr>
        <w:t xml:space="preserve">Your doctor will also give you a </w:t>
      </w:r>
      <w:r w:rsidRPr="00D55B59">
        <w:rPr>
          <w:b/>
          <w:sz w:val="22"/>
          <w:szCs w:val="22"/>
          <w:lang w:val="en-GB"/>
          <w:rPrChange w:id="4645" w:author="Author">
            <w:rPr>
              <w:b/>
              <w:sz w:val="22"/>
              <w:szCs w:val="22"/>
            </w:rPr>
          </w:rPrChange>
        </w:rPr>
        <w:t>Patient Reminder Card</w:t>
      </w:r>
      <w:r w:rsidRPr="00D55B59">
        <w:rPr>
          <w:sz w:val="22"/>
          <w:szCs w:val="22"/>
          <w:lang w:val="en-GB"/>
          <w:rPrChange w:id="4646" w:author="Author">
            <w:rPr>
              <w:sz w:val="22"/>
              <w:szCs w:val="22"/>
            </w:rPr>
          </w:rPrChange>
        </w:rPr>
        <w:t xml:space="preserve">, which contains important safety information that you need to be aware of before you are given AMGEVITA and during treatment with AMGEVITA. Keep this </w:t>
      </w:r>
      <w:r w:rsidRPr="00D55B59">
        <w:rPr>
          <w:b/>
          <w:sz w:val="22"/>
          <w:szCs w:val="22"/>
          <w:lang w:val="en-GB"/>
          <w:rPrChange w:id="4647" w:author="Author">
            <w:rPr>
              <w:b/>
              <w:sz w:val="22"/>
              <w:szCs w:val="22"/>
            </w:rPr>
          </w:rPrChange>
        </w:rPr>
        <w:t>Patient Reminder Card</w:t>
      </w:r>
      <w:r w:rsidRPr="00D55B59">
        <w:rPr>
          <w:sz w:val="22"/>
          <w:szCs w:val="22"/>
          <w:lang w:val="en-GB"/>
          <w:rPrChange w:id="4648" w:author="Author">
            <w:rPr>
              <w:sz w:val="22"/>
              <w:szCs w:val="22"/>
            </w:rPr>
          </w:rPrChange>
        </w:rPr>
        <w:t xml:space="preserve"> with you. </w:t>
      </w:r>
    </w:p>
    <w:p w14:paraId="739E41B4" w14:textId="77777777" w:rsidR="00E03C85" w:rsidRPr="00F04F82" w:rsidRDefault="00E03C85" w:rsidP="00D55B59">
      <w:pPr>
        <w:numPr>
          <w:ilvl w:val="0"/>
          <w:numId w:val="3"/>
        </w:numPr>
        <w:spacing w:line="240" w:lineRule="auto"/>
        <w:ind w:left="567" w:hanging="567"/>
        <w:pPrChange w:id="4649" w:author="Author">
          <w:pPr>
            <w:numPr>
              <w:numId w:val="3"/>
            </w:numPr>
            <w:tabs>
              <w:tab w:val="clear" w:pos="567"/>
            </w:tabs>
            <w:spacing w:line="240" w:lineRule="auto"/>
            <w:ind w:left="567" w:right="-2" w:hanging="567"/>
          </w:pPr>
        </w:pPrChange>
      </w:pPr>
      <w:r w:rsidRPr="001775D9">
        <w:t>If you have any further questions, ask your doctor or pharmacist.</w:t>
      </w:r>
    </w:p>
    <w:p w14:paraId="194B800B" w14:textId="77777777" w:rsidR="00E03C85" w:rsidRPr="00F04F82" w:rsidRDefault="00E03C85" w:rsidP="00D55B59">
      <w:pPr>
        <w:spacing w:line="240" w:lineRule="auto"/>
        <w:ind w:left="567" w:hanging="567"/>
        <w:pPrChange w:id="4650" w:author="Author">
          <w:pPr>
            <w:spacing w:line="240" w:lineRule="auto"/>
            <w:ind w:left="567" w:right="-2" w:hanging="567"/>
          </w:pPr>
        </w:pPrChange>
      </w:pPr>
      <w:r w:rsidRPr="001775D9">
        <w:t>-</w:t>
      </w:r>
      <w:r w:rsidRPr="001775D9">
        <w:tab/>
        <w:t>This medicine has been prescribed for you only. Do not pass it on to others. It may harm them, even if their signs of illness are the same as yours.</w:t>
      </w:r>
      <w:r w:rsidRPr="00F04F82">
        <w:t xml:space="preserve"> </w:t>
      </w:r>
    </w:p>
    <w:p w14:paraId="007BDDF9" w14:textId="77777777" w:rsidR="00E03C85" w:rsidRPr="001775D9" w:rsidRDefault="00E03C85" w:rsidP="0043565D">
      <w:pPr>
        <w:numPr>
          <w:ilvl w:val="0"/>
          <w:numId w:val="3"/>
        </w:numPr>
        <w:spacing w:line="240" w:lineRule="auto"/>
        <w:ind w:left="567" w:hanging="567"/>
      </w:pPr>
      <w:r w:rsidRPr="001775D9">
        <w:t>If you get any side effects, talk to your doctor or pharmacist. This includes any possible side effects not listed in this leaflet (see section 4).</w:t>
      </w:r>
    </w:p>
    <w:p w14:paraId="2AFF40DF" w14:textId="77777777" w:rsidR="00E03C85" w:rsidRPr="001775D9" w:rsidRDefault="00E03C85" w:rsidP="006A71EE">
      <w:pPr>
        <w:tabs>
          <w:tab w:val="clear" w:pos="567"/>
        </w:tabs>
        <w:spacing w:line="240" w:lineRule="auto"/>
        <w:ind w:right="-2"/>
      </w:pPr>
    </w:p>
    <w:p w14:paraId="1D687352" w14:textId="5E028CBB" w:rsidR="00E03C85" w:rsidRPr="001775D9" w:rsidRDefault="00E03C85" w:rsidP="006A71EE">
      <w:pPr>
        <w:keepNext/>
        <w:numPr>
          <w:ilvl w:val="12"/>
          <w:numId w:val="0"/>
        </w:numPr>
        <w:tabs>
          <w:tab w:val="clear" w:pos="567"/>
        </w:tabs>
        <w:spacing w:line="240" w:lineRule="auto"/>
        <w:ind w:right="-2"/>
        <w:outlineLvl w:val="0"/>
        <w:rPr>
          <w:b/>
        </w:rPr>
      </w:pPr>
      <w:r w:rsidRPr="001775D9">
        <w:rPr>
          <w:b/>
        </w:rPr>
        <w:t>What is in this leaflet</w:t>
      </w:r>
      <w:r w:rsidR="001C55FB" w:rsidRPr="001775D9">
        <w:rPr>
          <w:b/>
        </w:rPr>
        <w:fldChar w:fldCharType="begin"/>
      </w:r>
      <w:r w:rsidR="001C55FB" w:rsidRPr="001775D9">
        <w:rPr>
          <w:b/>
        </w:rPr>
        <w:instrText xml:space="preserve"> DOCVARIABLE vault_nd_7d79eb55-6feb-4b7c-8e07-8206a1223745 \* MERGEFORMAT </w:instrText>
      </w:r>
      <w:r w:rsidR="001C55FB" w:rsidRPr="001775D9">
        <w:rPr>
          <w:b/>
        </w:rPr>
        <w:fldChar w:fldCharType="separate"/>
      </w:r>
      <w:r w:rsidR="001C55FB" w:rsidRPr="001775D9">
        <w:rPr>
          <w:b/>
        </w:rPr>
        <w:t xml:space="preserve"> </w:t>
      </w:r>
      <w:r w:rsidR="001C55FB" w:rsidRPr="001775D9">
        <w:rPr>
          <w:b/>
        </w:rPr>
        <w:fldChar w:fldCharType="end"/>
      </w:r>
    </w:p>
    <w:p w14:paraId="4B1CDAA1" w14:textId="77777777" w:rsidR="00E03C85" w:rsidRPr="001775D9" w:rsidRDefault="00E03C85" w:rsidP="006A71EE">
      <w:pPr>
        <w:keepNext/>
        <w:numPr>
          <w:ilvl w:val="12"/>
          <w:numId w:val="0"/>
        </w:numPr>
        <w:tabs>
          <w:tab w:val="clear" w:pos="567"/>
        </w:tabs>
        <w:spacing w:line="240" w:lineRule="auto"/>
        <w:ind w:right="-2"/>
        <w:outlineLvl w:val="0"/>
      </w:pPr>
    </w:p>
    <w:p w14:paraId="2CFC3FC6" w14:textId="77777777" w:rsidR="00E03C85" w:rsidRPr="001775D9" w:rsidRDefault="00E03C85" w:rsidP="00B61D9D">
      <w:pPr>
        <w:numPr>
          <w:ilvl w:val="12"/>
          <w:numId w:val="0"/>
        </w:numPr>
        <w:spacing w:line="240" w:lineRule="auto"/>
        <w:ind w:left="567" w:hanging="567"/>
      </w:pPr>
      <w:r w:rsidRPr="001775D9">
        <w:t>1.</w:t>
      </w:r>
      <w:r w:rsidRPr="001775D9">
        <w:tab/>
        <w:t xml:space="preserve">What </w:t>
      </w:r>
      <w:r w:rsidRPr="001775D9">
        <w:rPr>
          <w:szCs w:val="22"/>
        </w:rPr>
        <w:t>AMGEVITA</w:t>
      </w:r>
      <w:r w:rsidRPr="001775D9">
        <w:t xml:space="preserve"> is and what it is used for </w:t>
      </w:r>
    </w:p>
    <w:p w14:paraId="642752AA" w14:textId="77777777" w:rsidR="00E03C85" w:rsidRPr="001775D9" w:rsidRDefault="00E03C85" w:rsidP="00B61D9D">
      <w:pPr>
        <w:numPr>
          <w:ilvl w:val="12"/>
          <w:numId w:val="0"/>
        </w:numPr>
        <w:spacing w:line="240" w:lineRule="auto"/>
        <w:ind w:left="567" w:hanging="567"/>
      </w:pPr>
      <w:r w:rsidRPr="001775D9">
        <w:t>2.</w:t>
      </w:r>
      <w:r w:rsidRPr="001775D9">
        <w:tab/>
        <w:t xml:space="preserve">What you need to know before you use </w:t>
      </w:r>
      <w:r w:rsidRPr="001775D9">
        <w:rPr>
          <w:szCs w:val="22"/>
        </w:rPr>
        <w:t>AMGEVITA</w:t>
      </w:r>
      <w:r w:rsidRPr="001775D9">
        <w:t xml:space="preserve"> </w:t>
      </w:r>
    </w:p>
    <w:p w14:paraId="539B2563" w14:textId="77777777" w:rsidR="00E03C85" w:rsidRPr="001775D9" w:rsidRDefault="00E03C85" w:rsidP="00B61D9D">
      <w:pPr>
        <w:numPr>
          <w:ilvl w:val="12"/>
          <w:numId w:val="0"/>
        </w:numPr>
        <w:spacing w:line="240" w:lineRule="auto"/>
        <w:ind w:left="567" w:hanging="567"/>
      </w:pPr>
      <w:r w:rsidRPr="001775D9">
        <w:t>3.</w:t>
      </w:r>
      <w:r w:rsidRPr="001775D9">
        <w:tab/>
        <w:t xml:space="preserve">How to use </w:t>
      </w:r>
      <w:r w:rsidRPr="001775D9">
        <w:rPr>
          <w:szCs w:val="22"/>
        </w:rPr>
        <w:t>AMGEVITA</w:t>
      </w:r>
    </w:p>
    <w:p w14:paraId="01F63ACF" w14:textId="77777777" w:rsidR="00E03C85" w:rsidRPr="001775D9" w:rsidRDefault="00E03C85" w:rsidP="00B61D9D">
      <w:pPr>
        <w:numPr>
          <w:ilvl w:val="12"/>
          <w:numId w:val="0"/>
        </w:numPr>
        <w:spacing w:line="240" w:lineRule="auto"/>
        <w:ind w:left="567" w:hanging="567"/>
      </w:pPr>
      <w:r w:rsidRPr="001775D9">
        <w:t>4.</w:t>
      </w:r>
      <w:r w:rsidRPr="001775D9">
        <w:tab/>
        <w:t xml:space="preserve">Possible side effects </w:t>
      </w:r>
    </w:p>
    <w:p w14:paraId="5E3AC3A1" w14:textId="77777777" w:rsidR="00E03C85" w:rsidRPr="001775D9" w:rsidRDefault="00E03C85" w:rsidP="00B61D9D">
      <w:pPr>
        <w:numPr>
          <w:ilvl w:val="12"/>
          <w:numId w:val="0"/>
        </w:numPr>
        <w:spacing w:line="240" w:lineRule="auto"/>
        <w:ind w:left="567" w:hanging="567"/>
      </w:pPr>
      <w:r w:rsidRPr="001775D9">
        <w:t>5.</w:t>
      </w:r>
      <w:r w:rsidRPr="001775D9">
        <w:tab/>
        <w:t xml:space="preserve">How to store </w:t>
      </w:r>
      <w:r w:rsidRPr="001775D9">
        <w:rPr>
          <w:szCs w:val="22"/>
        </w:rPr>
        <w:t>AMGEVITA</w:t>
      </w:r>
      <w:r w:rsidRPr="001775D9">
        <w:t xml:space="preserve"> </w:t>
      </w:r>
    </w:p>
    <w:p w14:paraId="0F6FECAF" w14:textId="77777777" w:rsidR="00E03C85" w:rsidRPr="001775D9" w:rsidRDefault="00E03C85" w:rsidP="00B61D9D">
      <w:pPr>
        <w:numPr>
          <w:ilvl w:val="12"/>
          <w:numId w:val="0"/>
        </w:numPr>
        <w:spacing w:line="240" w:lineRule="auto"/>
        <w:ind w:left="567" w:hanging="567"/>
      </w:pPr>
      <w:r w:rsidRPr="001775D9">
        <w:t>6.</w:t>
      </w:r>
      <w:r w:rsidRPr="001775D9">
        <w:tab/>
        <w:t>Contents of the pack and other information</w:t>
      </w:r>
    </w:p>
    <w:p w14:paraId="53D79CFC" w14:textId="77777777" w:rsidR="00E03C85" w:rsidRPr="001775D9" w:rsidRDefault="00E03C85" w:rsidP="006A71EE">
      <w:pPr>
        <w:numPr>
          <w:ilvl w:val="12"/>
          <w:numId w:val="0"/>
        </w:numPr>
        <w:tabs>
          <w:tab w:val="clear" w:pos="567"/>
        </w:tabs>
        <w:spacing w:line="240" w:lineRule="auto"/>
        <w:ind w:right="-2"/>
      </w:pPr>
    </w:p>
    <w:p w14:paraId="11AE5E38" w14:textId="77777777" w:rsidR="00E03C85" w:rsidRPr="001775D9" w:rsidRDefault="00E03C85" w:rsidP="006A71EE">
      <w:pPr>
        <w:numPr>
          <w:ilvl w:val="12"/>
          <w:numId w:val="0"/>
        </w:numPr>
        <w:tabs>
          <w:tab w:val="clear" w:pos="567"/>
        </w:tabs>
        <w:spacing w:line="240" w:lineRule="auto"/>
        <w:rPr>
          <w:szCs w:val="22"/>
        </w:rPr>
      </w:pPr>
    </w:p>
    <w:p w14:paraId="696148AF" w14:textId="77777777" w:rsidR="00E03C85" w:rsidRPr="001775D9" w:rsidRDefault="00E03C85" w:rsidP="00B61D9D">
      <w:pPr>
        <w:spacing w:line="240" w:lineRule="auto"/>
        <w:ind w:left="567" w:hanging="567"/>
        <w:rPr>
          <w:b/>
          <w:szCs w:val="22"/>
        </w:rPr>
      </w:pPr>
      <w:r w:rsidRPr="001775D9">
        <w:rPr>
          <w:b/>
          <w:szCs w:val="22"/>
        </w:rPr>
        <w:t>1.</w:t>
      </w:r>
      <w:r w:rsidRPr="001775D9">
        <w:rPr>
          <w:b/>
          <w:szCs w:val="22"/>
        </w:rPr>
        <w:tab/>
        <w:t>What AMGEVITA is and what it is used for</w:t>
      </w:r>
    </w:p>
    <w:p w14:paraId="542E4035" w14:textId="77777777" w:rsidR="00E03C85" w:rsidRPr="001775D9" w:rsidRDefault="00E03C85" w:rsidP="006A71EE">
      <w:pPr>
        <w:numPr>
          <w:ilvl w:val="12"/>
          <w:numId w:val="0"/>
        </w:numPr>
        <w:tabs>
          <w:tab w:val="clear" w:pos="567"/>
        </w:tabs>
        <w:spacing w:line="240" w:lineRule="auto"/>
        <w:rPr>
          <w:szCs w:val="22"/>
        </w:rPr>
      </w:pPr>
    </w:p>
    <w:p w14:paraId="0D621AE8" w14:textId="77777777" w:rsidR="00E03C85" w:rsidRPr="001775D9" w:rsidRDefault="00E03C85" w:rsidP="006A71EE">
      <w:pPr>
        <w:numPr>
          <w:ilvl w:val="12"/>
          <w:numId w:val="0"/>
        </w:numPr>
        <w:tabs>
          <w:tab w:val="clear" w:pos="567"/>
        </w:tabs>
        <w:spacing w:line="240" w:lineRule="auto"/>
      </w:pPr>
      <w:r w:rsidRPr="001775D9">
        <w:rPr>
          <w:szCs w:val="22"/>
        </w:rPr>
        <w:t>AMGEVITA</w:t>
      </w:r>
      <w:r w:rsidRPr="001775D9">
        <w:t xml:space="preserve"> contains the active substance adalimumab, a medicine that acts on your body’s immune (defence) system. </w:t>
      </w:r>
    </w:p>
    <w:p w14:paraId="07AEEE1B" w14:textId="77777777" w:rsidR="00E03C85" w:rsidRPr="001775D9" w:rsidRDefault="00E03C85" w:rsidP="006A71EE">
      <w:pPr>
        <w:tabs>
          <w:tab w:val="clear" w:pos="567"/>
        </w:tabs>
        <w:spacing w:line="240" w:lineRule="auto"/>
        <w:ind w:right="-2"/>
      </w:pPr>
    </w:p>
    <w:p w14:paraId="5CF141A5" w14:textId="77777777" w:rsidR="00E03C85" w:rsidRPr="001775D9" w:rsidRDefault="00E03C85" w:rsidP="006A71EE">
      <w:pPr>
        <w:tabs>
          <w:tab w:val="clear" w:pos="567"/>
        </w:tabs>
        <w:spacing w:line="240" w:lineRule="auto"/>
        <w:ind w:right="-2"/>
        <w:rPr>
          <w:szCs w:val="22"/>
        </w:rPr>
      </w:pPr>
      <w:r w:rsidRPr="001775D9">
        <w:rPr>
          <w:szCs w:val="22"/>
        </w:rPr>
        <w:t>AMGEVITA is intended for the treatment of the inflammatory diseases described below:</w:t>
      </w:r>
    </w:p>
    <w:p w14:paraId="2E704DDB" w14:textId="77777777" w:rsidR="00E03C85" w:rsidRPr="00F04F82" w:rsidRDefault="00E03C85" w:rsidP="00D55B59">
      <w:pPr>
        <w:numPr>
          <w:ilvl w:val="1"/>
          <w:numId w:val="33"/>
        </w:numPr>
        <w:spacing w:line="240" w:lineRule="auto"/>
        <w:ind w:left="567" w:hanging="567"/>
        <w:rPr>
          <w:szCs w:val="22"/>
        </w:rPr>
        <w:pPrChange w:id="4651" w:author="Author">
          <w:pPr>
            <w:numPr>
              <w:ilvl w:val="1"/>
              <w:numId w:val="33"/>
            </w:numPr>
            <w:tabs>
              <w:tab w:val="clear" w:pos="567"/>
            </w:tabs>
            <w:spacing w:line="240" w:lineRule="auto"/>
            <w:ind w:left="567" w:right="-2" w:hanging="567"/>
          </w:pPr>
        </w:pPrChange>
      </w:pPr>
      <w:r w:rsidRPr="001775D9">
        <w:rPr>
          <w:szCs w:val="22"/>
        </w:rPr>
        <w:t>Rheumatoid arthritis</w:t>
      </w:r>
    </w:p>
    <w:p w14:paraId="25678827" w14:textId="77777777" w:rsidR="00E03C85" w:rsidRPr="00F04F82" w:rsidRDefault="00E03C85" w:rsidP="00D55B59">
      <w:pPr>
        <w:numPr>
          <w:ilvl w:val="1"/>
          <w:numId w:val="33"/>
        </w:numPr>
        <w:spacing w:line="240" w:lineRule="auto"/>
        <w:ind w:left="567" w:hanging="567"/>
        <w:rPr>
          <w:szCs w:val="22"/>
        </w:rPr>
        <w:pPrChange w:id="4652" w:author="Author">
          <w:pPr>
            <w:numPr>
              <w:ilvl w:val="1"/>
              <w:numId w:val="33"/>
            </w:numPr>
            <w:tabs>
              <w:tab w:val="clear" w:pos="567"/>
            </w:tabs>
            <w:spacing w:line="240" w:lineRule="auto"/>
            <w:ind w:left="567" w:right="-2" w:hanging="567"/>
          </w:pPr>
        </w:pPrChange>
      </w:pPr>
      <w:r w:rsidRPr="001775D9">
        <w:rPr>
          <w:szCs w:val="22"/>
        </w:rPr>
        <w:t>Polyarticular juvenile idiopathic arthritis</w:t>
      </w:r>
    </w:p>
    <w:p w14:paraId="0FDEFF7C" w14:textId="77777777" w:rsidR="00E03C85" w:rsidRPr="00F04F82" w:rsidRDefault="00E03C85" w:rsidP="00D55B59">
      <w:pPr>
        <w:numPr>
          <w:ilvl w:val="1"/>
          <w:numId w:val="33"/>
        </w:numPr>
        <w:spacing w:line="240" w:lineRule="auto"/>
        <w:ind w:left="567" w:hanging="567"/>
        <w:rPr>
          <w:szCs w:val="22"/>
        </w:rPr>
        <w:pPrChange w:id="4653" w:author="Author">
          <w:pPr>
            <w:numPr>
              <w:ilvl w:val="1"/>
              <w:numId w:val="33"/>
            </w:numPr>
            <w:tabs>
              <w:tab w:val="clear" w:pos="567"/>
            </w:tabs>
            <w:spacing w:line="240" w:lineRule="auto"/>
            <w:ind w:left="567" w:right="-2" w:hanging="567"/>
          </w:pPr>
        </w:pPrChange>
      </w:pPr>
      <w:r w:rsidRPr="001775D9">
        <w:rPr>
          <w:szCs w:val="22"/>
        </w:rPr>
        <w:t>Enthesitis-related arthritis</w:t>
      </w:r>
    </w:p>
    <w:p w14:paraId="78FBFE2D" w14:textId="77777777" w:rsidR="00E03C85" w:rsidRPr="00F04F82" w:rsidRDefault="00E03C85" w:rsidP="00D55B59">
      <w:pPr>
        <w:numPr>
          <w:ilvl w:val="1"/>
          <w:numId w:val="33"/>
        </w:numPr>
        <w:spacing w:line="240" w:lineRule="auto"/>
        <w:ind w:left="567" w:hanging="567"/>
        <w:rPr>
          <w:szCs w:val="22"/>
        </w:rPr>
        <w:pPrChange w:id="4654" w:author="Author">
          <w:pPr>
            <w:numPr>
              <w:ilvl w:val="1"/>
              <w:numId w:val="33"/>
            </w:numPr>
            <w:tabs>
              <w:tab w:val="clear" w:pos="567"/>
            </w:tabs>
            <w:spacing w:line="240" w:lineRule="auto"/>
            <w:ind w:left="567" w:right="-2" w:hanging="567"/>
          </w:pPr>
        </w:pPrChange>
      </w:pPr>
      <w:r w:rsidRPr="001775D9">
        <w:rPr>
          <w:szCs w:val="22"/>
        </w:rPr>
        <w:t>Ankylosing spondylitis</w:t>
      </w:r>
    </w:p>
    <w:p w14:paraId="76530525" w14:textId="77777777" w:rsidR="00E03C85" w:rsidRPr="00F04F82" w:rsidRDefault="00E03C85" w:rsidP="00D55B59">
      <w:pPr>
        <w:numPr>
          <w:ilvl w:val="1"/>
          <w:numId w:val="33"/>
        </w:numPr>
        <w:spacing w:line="240" w:lineRule="auto"/>
        <w:ind w:left="567" w:hanging="567"/>
        <w:rPr>
          <w:szCs w:val="22"/>
        </w:rPr>
        <w:pPrChange w:id="4655" w:author="Author">
          <w:pPr>
            <w:numPr>
              <w:ilvl w:val="1"/>
              <w:numId w:val="33"/>
            </w:numPr>
            <w:tabs>
              <w:tab w:val="clear" w:pos="567"/>
            </w:tabs>
            <w:spacing w:line="240" w:lineRule="auto"/>
            <w:ind w:left="567" w:right="-2" w:hanging="567"/>
          </w:pPr>
        </w:pPrChange>
      </w:pPr>
      <w:r w:rsidRPr="001775D9">
        <w:rPr>
          <w:szCs w:val="22"/>
        </w:rPr>
        <w:t>Axial spondyloarthritis without radiographic evidence of ankylosing spondylitis</w:t>
      </w:r>
    </w:p>
    <w:p w14:paraId="69F965EF" w14:textId="77777777" w:rsidR="00E03C85" w:rsidRPr="00F04F82" w:rsidRDefault="00E03C85" w:rsidP="00D55B59">
      <w:pPr>
        <w:numPr>
          <w:ilvl w:val="1"/>
          <w:numId w:val="33"/>
        </w:numPr>
        <w:spacing w:line="240" w:lineRule="auto"/>
        <w:ind w:left="567" w:hanging="567"/>
        <w:rPr>
          <w:szCs w:val="22"/>
        </w:rPr>
        <w:pPrChange w:id="4656" w:author="Author">
          <w:pPr>
            <w:numPr>
              <w:ilvl w:val="1"/>
              <w:numId w:val="33"/>
            </w:numPr>
            <w:tabs>
              <w:tab w:val="clear" w:pos="567"/>
            </w:tabs>
            <w:spacing w:line="240" w:lineRule="auto"/>
            <w:ind w:left="567" w:right="-2" w:hanging="567"/>
          </w:pPr>
        </w:pPrChange>
      </w:pPr>
      <w:r w:rsidRPr="001775D9">
        <w:rPr>
          <w:szCs w:val="22"/>
        </w:rPr>
        <w:t>Psoriatic arthritis</w:t>
      </w:r>
    </w:p>
    <w:p w14:paraId="1FC867A7" w14:textId="77777777" w:rsidR="00E03C85" w:rsidRPr="00F04F82" w:rsidRDefault="00E03C85" w:rsidP="00D55B59">
      <w:pPr>
        <w:numPr>
          <w:ilvl w:val="1"/>
          <w:numId w:val="33"/>
        </w:numPr>
        <w:spacing w:line="240" w:lineRule="auto"/>
        <w:ind w:left="567" w:hanging="567"/>
        <w:rPr>
          <w:szCs w:val="22"/>
        </w:rPr>
        <w:pPrChange w:id="4657" w:author="Author">
          <w:pPr>
            <w:numPr>
              <w:ilvl w:val="1"/>
              <w:numId w:val="33"/>
            </w:numPr>
            <w:tabs>
              <w:tab w:val="clear" w:pos="567"/>
            </w:tabs>
            <w:spacing w:line="240" w:lineRule="auto"/>
            <w:ind w:left="567" w:right="-2" w:hanging="567"/>
          </w:pPr>
        </w:pPrChange>
      </w:pPr>
      <w:r w:rsidRPr="001775D9">
        <w:rPr>
          <w:szCs w:val="22"/>
        </w:rPr>
        <w:t xml:space="preserve">Plaque </w:t>
      </w:r>
      <w:r w:rsidRPr="00F04F82">
        <w:rPr>
          <w:szCs w:val="22"/>
        </w:rPr>
        <w:t xml:space="preserve">psoriasis </w:t>
      </w:r>
    </w:p>
    <w:p w14:paraId="663D45BC" w14:textId="77777777" w:rsidR="00E03C85" w:rsidRPr="00F04F82" w:rsidRDefault="00E03C85" w:rsidP="00D55B59">
      <w:pPr>
        <w:numPr>
          <w:ilvl w:val="1"/>
          <w:numId w:val="33"/>
        </w:numPr>
        <w:spacing w:line="240" w:lineRule="auto"/>
        <w:ind w:left="567" w:hanging="567"/>
        <w:rPr>
          <w:szCs w:val="22"/>
        </w:rPr>
        <w:pPrChange w:id="4658" w:author="Author">
          <w:pPr>
            <w:numPr>
              <w:ilvl w:val="1"/>
              <w:numId w:val="33"/>
            </w:numPr>
            <w:tabs>
              <w:tab w:val="clear" w:pos="567"/>
            </w:tabs>
            <w:spacing w:line="240" w:lineRule="auto"/>
            <w:ind w:left="567" w:right="-2" w:hanging="567"/>
          </w:pPr>
        </w:pPrChange>
      </w:pPr>
      <w:r w:rsidRPr="001775D9">
        <w:rPr>
          <w:szCs w:val="22"/>
        </w:rPr>
        <w:t>Hidradenitis suppurativa</w:t>
      </w:r>
      <w:r w:rsidRPr="00F04F82">
        <w:rPr>
          <w:szCs w:val="22"/>
        </w:rPr>
        <w:t xml:space="preserve"> </w:t>
      </w:r>
    </w:p>
    <w:p w14:paraId="57A935DB" w14:textId="77777777" w:rsidR="00E03C85" w:rsidRPr="00F04F82" w:rsidRDefault="00E03C85" w:rsidP="00D55B59">
      <w:pPr>
        <w:numPr>
          <w:ilvl w:val="1"/>
          <w:numId w:val="33"/>
        </w:numPr>
        <w:spacing w:line="240" w:lineRule="auto"/>
        <w:ind w:left="567" w:hanging="567"/>
        <w:rPr>
          <w:szCs w:val="22"/>
        </w:rPr>
        <w:pPrChange w:id="4659" w:author="Author">
          <w:pPr>
            <w:numPr>
              <w:ilvl w:val="1"/>
              <w:numId w:val="33"/>
            </w:numPr>
            <w:tabs>
              <w:tab w:val="clear" w:pos="567"/>
            </w:tabs>
            <w:spacing w:line="240" w:lineRule="auto"/>
            <w:ind w:left="567" w:right="-2" w:hanging="567"/>
          </w:pPr>
        </w:pPrChange>
      </w:pPr>
      <w:r w:rsidRPr="001775D9">
        <w:rPr>
          <w:szCs w:val="22"/>
        </w:rPr>
        <w:t>Crohn’</w:t>
      </w:r>
      <w:r w:rsidRPr="00F04F82">
        <w:rPr>
          <w:szCs w:val="22"/>
        </w:rPr>
        <w:t xml:space="preserve">s disease </w:t>
      </w:r>
    </w:p>
    <w:p w14:paraId="1183F65E" w14:textId="77777777" w:rsidR="00E03C85" w:rsidRPr="00F04F82" w:rsidRDefault="00E03C85" w:rsidP="00D55B59">
      <w:pPr>
        <w:numPr>
          <w:ilvl w:val="1"/>
          <w:numId w:val="33"/>
        </w:numPr>
        <w:spacing w:line="240" w:lineRule="auto"/>
        <w:ind w:left="567" w:hanging="567"/>
        <w:rPr>
          <w:szCs w:val="22"/>
        </w:rPr>
        <w:pPrChange w:id="4660" w:author="Author">
          <w:pPr>
            <w:numPr>
              <w:ilvl w:val="1"/>
              <w:numId w:val="33"/>
            </w:numPr>
            <w:tabs>
              <w:tab w:val="clear" w:pos="567"/>
            </w:tabs>
            <w:spacing w:line="240" w:lineRule="auto"/>
            <w:ind w:left="567" w:right="-2" w:hanging="567"/>
          </w:pPr>
        </w:pPrChange>
      </w:pPr>
      <w:r w:rsidRPr="001775D9">
        <w:rPr>
          <w:szCs w:val="22"/>
        </w:rPr>
        <w:t>Ulcerative colitis</w:t>
      </w:r>
    </w:p>
    <w:p w14:paraId="0E8F2588" w14:textId="77777777" w:rsidR="00E03C85" w:rsidRPr="00F04F82" w:rsidRDefault="00E03C85" w:rsidP="00D55B59">
      <w:pPr>
        <w:numPr>
          <w:ilvl w:val="1"/>
          <w:numId w:val="33"/>
        </w:numPr>
        <w:spacing w:line="240" w:lineRule="auto"/>
        <w:ind w:left="567" w:hanging="567"/>
        <w:pPrChange w:id="4661" w:author="Author">
          <w:pPr>
            <w:numPr>
              <w:ilvl w:val="1"/>
              <w:numId w:val="33"/>
            </w:numPr>
            <w:tabs>
              <w:tab w:val="clear" w:pos="567"/>
            </w:tabs>
            <w:spacing w:line="240" w:lineRule="auto"/>
            <w:ind w:left="567" w:right="-2" w:hanging="567"/>
          </w:pPr>
        </w:pPrChange>
      </w:pPr>
      <w:r w:rsidRPr="001775D9">
        <w:rPr>
          <w:szCs w:val="22"/>
        </w:rPr>
        <w:t>Non-infectious uveitis</w:t>
      </w:r>
      <w:r w:rsidRPr="00F04F82">
        <w:rPr>
          <w:szCs w:val="22"/>
        </w:rPr>
        <w:t xml:space="preserve"> </w:t>
      </w:r>
    </w:p>
    <w:p w14:paraId="249F7A6C" w14:textId="77777777" w:rsidR="00E03C85" w:rsidRPr="001775D9" w:rsidRDefault="00E03C85" w:rsidP="006A71EE">
      <w:pPr>
        <w:tabs>
          <w:tab w:val="clear" w:pos="567"/>
        </w:tabs>
        <w:spacing w:line="240" w:lineRule="auto"/>
        <w:ind w:right="-2"/>
      </w:pPr>
    </w:p>
    <w:p w14:paraId="15283490" w14:textId="77777777" w:rsidR="00E03C85" w:rsidRPr="001775D9" w:rsidRDefault="00E03C85" w:rsidP="006A71EE">
      <w:pPr>
        <w:tabs>
          <w:tab w:val="clear" w:pos="567"/>
        </w:tabs>
        <w:spacing w:line="240" w:lineRule="auto"/>
        <w:ind w:right="-2"/>
      </w:pPr>
      <w:r w:rsidRPr="001775D9">
        <w:t xml:space="preserve">The active ingredient in AMGEVITA, adalimumab, is a human monoclonal antibody. Monoclonal antibodies are proteins that attach to a specific target. </w:t>
      </w:r>
    </w:p>
    <w:p w14:paraId="42753C0C" w14:textId="77777777" w:rsidR="00E03C85" w:rsidRPr="001775D9" w:rsidRDefault="00E03C85" w:rsidP="006A71EE">
      <w:pPr>
        <w:tabs>
          <w:tab w:val="clear" w:pos="567"/>
        </w:tabs>
        <w:spacing w:line="240" w:lineRule="auto"/>
        <w:ind w:right="-2"/>
      </w:pPr>
    </w:p>
    <w:p w14:paraId="268D79FE" w14:textId="77777777" w:rsidR="00E03C85" w:rsidRPr="001775D9" w:rsidRDefault="00E03C85" w:rsidP="006A71EE">
      <w:pPr>
        <w:tabs>
          <w:tab w:val="clear" w:pos="567"/>
        </w:tabs>
        <w:spacing w:line="240" w:lineRule="auto"/>
        <w:ind w:right="-2"/>
      </w:pPr>
      <w:r w:rsidRPr="001775D9">
        <w:t>The target of adalimumab is a protein called tumour necrosis factor (TNFα), which is involved in the immune (defence) system and is present at increased levels in the inflammatory diseases listed above. By attaching to TNFα, AMGEVITA decreases the process of inflammation in these diseases.</w:t>
      </w:r>
    </w:p>
    <w:p w14:paraId="1C8DD2C0" w14:textId="77777777" w:rsidR="00E03C85" w:rsidRPr="001775D9" w:rsidRDefault="00E03C85" w:rsidP="006A71EE">
      <w:pPr>
        <w:tabs>
          <w:tab w:val="clear" w:pos="567"/>
        </w:tabs>
        <w:spacing w:line="240" w:lineRule="auto"/>
        <w:ind w:right="-2"/>
        <w:rPr>
          <w:szCs w:val="22"/>
        </w:rPr>
      </w:pPr>
    </w:p>
    <w:p w14:paraId="07DAE28D" w14:textId="77777777" w:rsidR="00E03C85" w:rsidRPr="00D55B59" w:rsidRDefault="00E03C85" w:rsidP="006A71EE">
      <w:pPr>
        <w:pStyle w:val="Default"/>
        <w:keepNext/>
        <w:rPr>
          <w:sz w:val="22"/>
          <w:szCs w:val="22"/>
          <w:u w:val="single"/>
          <w:lang w:val="en-GB"/>
          <w:rPrChange w:id="4662" w:author="Author">
            <w:rPr>
              <w:sz w:val="22"/>
              <w:szCs w:val="22"/>
              <w:u w:val="single"/>
            </w:rPr>
          </w:rPrChange>
        </w:rPr>
      </w:pPr>
      <w:r w:rsidRPr="00D55B59">
        <w:rPr>
          <w:sz w:val="22"/>
          <w:szCs w:val="22"/>
          <w:u w:val="single"/>
          <w:lang w:val="en-GB"/>
          <w:rPrChange w:id="4663" w:author="Author">
            <w:rPr>
              <w:sz w:val="22"/>
              <w:szCs w:val="22"/>
              <w:u w:val="single"/>
            </w:rPr>
          </w:rPrChange>
        </w:rPr>
        <w:t xml:space="preserve">Rheumatoid arthritis </w:t>
      </w:r>
    </w:p>
    <w:p w14:paraId="7331E3AE" w14:textId="77777777" w:rsidR="00E03C85" w:rsidRPr="00D55B59" w:rsidRDefault="00E03C85" w:rsidP="006A71EE">
      <w:pPr>
        <w:pStyle w:val="Default"/>
        <w:keepNext/>
        <w:rPr>
          <w:sz w:val="22"/>
          <w:szCs w:val="22"/>
          <w:lang w:val="en-GB"/>
          <w:rPrChange w:id="4664" w:author="Author">
            <w:rPr>
              <w:sz w:val="22"/>
              <w:szCs w:val="22"/>
            </w:rPr>
          </w:rPrChange>
        </w:rPr>
      </w:pPr>
    </w:p>
    <w:p w14:paraId="5BF88DB5" w14:textId="77777777" w:rsidR="00E03C85" w:rsidRPr="00D55B59" w:rsidRDefault="00E03C85" w:rsidP="006A71EE">
      <w:pPr>
        <w:pStyle w:val="Default"/>
        <w:rPr>
          <w:sz w:val="22"/>
          <w:szCs w:val="22"/>
          <w:lang w:val="en-GB"/>
          <w:rPrChange w:id="4665" w:author="Author">
            <w:rPr>
              <w:sz w:val="22"/>
              <w:szCs w:val="22"/>
            </w:rPr>
          </w:rPrChange>
        </w:rPr>
      </w:pPr>
      <w:r w:rsidRPr="00D55B59">
        <w:rPr>
          <w:sz w:val="22"/>
          <w:szCs w:val="22"/>
          <w:lang w:val="en-GB"/>
          <w:rPrChange w:id="4666" w:author="Author">
            <w:rPr>
              <w:sz w:val="22"/>
              <w:szCs w:val="22"/>
            </w:rPr>
          </w:rPrChange>
        </w:rPr>
        <w:t xml:space="preserve">Rheumatoid arthritis is an inflammatory disease of the joints. </w:t>
      </w:r>
    </w:p>
    <w:p w14:paraId="69615090" w14:textId="77777777" w:rsidR="00E03C85" w:rsidRPr="00D55B59" w:rsidRDefault="00E03C85" w:rsidP="00E03C85">
      <w:pPr>
        <w:pStyle w:val="Default"/>
        <w:rPr>
          <w:sz w:val="22"/>
          <w:szCs w:val="22"/>
          <w:lang w:val="en-GB"/>
          <w:rPrChange w:id="4667" w:author="Author">
            <w:rPr>
              <w:sz w:val="22"/>
              <w:szCs w:val="22"/>
            </w:rPr>
          </w:rPrChange>
        </w:rPr>
      </w:pPr>
    </w:p>
    <w:p w14:paraId="555C8F29" w14:textId="77777777" w:rsidR="00E03C85" w:rsidRPr="001775D9" w:rsidRDefault="00E03C85" w:rsidP="00E03C85">
      <w:pPr>
        <w:tabs>
          <w:tab w:val="clear" w:pos="567"/>
        </w:tabs>
        <w:spacing w:line="240" w:lineRule="auto"/>
        <w:ind w:right="-2"/>
        <w:rPr>
          <w:szCs w:val="22"/>
        </w:rPr>
      </w:pPr>
      <w:r w:rsidRPr="001775D9">
        <w:rPr>
          <w:szCs w:val="22"/>
        </w:rPr>
        <w:t xml:space="preserve">AMGEVITA is used to treat rheumatoid arthritis in adults. If you have moderate to severe active rheumatoid arthritis, you may first be given other disease-modifying medicines, such as methotrexate. If you do not respond well enough to these medicines, you will be given AMGEVITA to treat your rheumatoid arthritis. </w:t>
      </w:r>
    </w:p>
    <w:p w14:paraId="5AECF27B" w14:textId="77777777" w:rsidR="00E03C85" w:rsidRPr="001775D9" w:rsidRDefault="00E03C85" w:rsidP="00E03C85">
      <w:pPr>
        <w:tabs>
          <w:tab w:val="clear" w:pos="567"/>
        </w:tabs>
        <w:spacing w:line="240" w:lineRule="auto"/>
        <w:ind w:right="-2"/>
        <w:rPr>
          <w:szCs w:val="22"/>
        </w:rPr>
      </w:pPr>
    </w:p>
    <w:p w14:paraId="4F1F49AD" w14:textId="77777777" w:rsidR="00E03C85" w:rsidRPr="001775D9" w:rsidRDefault="00E03C85" w:rsidP="00E03C85">
      <w:pPr>
        <w:tabs>
          <w:tab w:val="clear" w:pos="567"/>
        </w:tabs>
        <w:spacing w:line="240" w:lineRule="auto"/>
        <w:ind w:right="-2"/>
        <w:rPr>
          <w:szCs w:val="22"/>
        </w:rPr>
      </w:pPr>
      <w:r w:rsidRPr="001775D9">
        <w:rPr>
          <w:szCs w:val="22"/>
        </w:rPr>
        <w:t>AMGEVITA can also be used to treat severe, active and progressive rheumatoid arthritis without previous methotrexate treatment.</w:t>
      </w:r>
    </w:p>
    <w:p w14:paraId="7E5A4863" w14:textId="77777777" w:rsidR="00E03C85" w:rsidRPr="00D55B59" w:rsidRDefault="00E03C85" w:rsidP="00E03C85">
      <w:pPr>
        <w:pStyle w:val="Default"/>
        <w:rPr>
          <w:sz w:val="22"/>
          <w:szCs w:val="22"/>
          <w:lang w:val="en-GB"/>
          <w:rPrChange w:id="4668" w:author="Author">
            <w:rPr>
              <w:sz w:val="22"/>
              <w:szCs w:val="22"/>
            </w:rPr>
          </w:rPrChange>
        </w:rPr>
      </w:pPr>
    </w:p>
    <w:p w14:paraId="6897F64C" w14:textId="77777777" w:rsidR="00E03C85" w:rsidRPr="00D55B59" w:rsidRDefault="00E03C85" w:rsidP="00E03C85">
      <w:pPr>
        <w:pStyle w:val="Default"/>
        <w:rPr>
          <w:sz w:val="22"/>
          <w:szCs w:val="22"/>
          <w:lang w:val="en-GB"/>
          <w:rPrChange w:id="4669" w:author="Author">
            <w:rPr>
              <w:sz w:val="22"/>
              <w:szCs w:val="22"/>
            </w:rPr>
          </w:rPrChange>
        </w:rPr>
      </w:pPr>
      <w:r w:rsidRPr="00D55B59">
        <w:rPr>
          <w:sz w:val="22"/>
          <w:szCs w:val="22"/>
          <w:lang w:val="en-GB"/>
          <w:rPrChange w:id="4670" w:author="Author">
            <w:rPr>
              <w:sz w:val="22"/>
              <w:szCs w:val="22"/>
            </w:rPr>
          </w:rPrChange>
        </w:rPr>
        <w:t xml:space="preserve">AMGEVITA slows down the damage to the cartilage and bone of the joints caused by the disease and to improve physical function. </w:t>
      </w:r>
    </w:p>
    <w:p w14:paraId="28D0B706" w14:textId="77777777" w:rsidR="00E03C85" w:rsidRPr="001775D9" w:rsidRDefault="00E03C85" w:rsidP="00E03C85">
      <w:pPr>
        <w:tabs>
          <w:tab w:val="clear" w:pos="567"/>
        </w:tabs>
        <w:spacing w:line="240" w:lineRule="auto"/>
        <w:ind w:right="-2"/>
        <w:rPr>
          <w:szCs w:val="22"/>
        </w:rPr>
      </w:pPr>
    </w:p>
    <w:p w14:paraId="6A0A2CDB" w14:textId="77777777" w:rsidR="00E03C85" w:rsidRPr="001775D9" w:rsidRDefault="00E03C85" w:rsidP="00E03C85">
      <w:pPr>
        <w:tabs>
          <w:tab w:val="clear" w:pos="567"/>
        </w:tabs>
        <w:spacing w:line="240" w:lineRule="auto"/>
        <w:ind w:right="-2"/>
        <w:rPr>
          <w:szCs w:val="22"/>
        </w:rPr>
      </w:pPr>
      <w:r w:rsidRPr="001775D9">
        <w:rPr>
          <w:szCs w:val="22"/>
        </w:rPr>
        <w:t>Usually, AMGEVITA is used with methotrexate. If your doctor determines that methotrexate is inappropriate, AMGEVITA can be given alone.</w:t>
      </w:r>
    </w:p>
    <w:p w14:paraId="2367B8EF" w14:textId="77777777" w:rsidR="00E03C85" w:rsidRPr="001775D9" w:rsidRDefault="00E03C85" w:rsidP="00E03C85">
      <w:pPr>
        <w:tabs>
          <w:tab w:val="clear" w:pos="567"/>
        </w:tabs>
        <w:spacing w:line="240" w:lineRule="auto"/>
        <w:ind w:right="-2"/>
        <w:rPr>
          <w:szCs w:val="22"/>
        </w:rPr>
      </w:pPr>
    </w:p>
    <w:p w14:paraId="5D2E6776" w14:textId="77777777" w:rsidR="00E03C85" w:rsidRPr="00D55B59" w:rsidRDefault="00E03C85" w:rsidP="00E03C85">
      <w:pPr>
        <w:pStyle w:val="Default"/>
        <w:rPr>
          <w:sz w:val="22"/>
          <w:szCs w:val="22"/>
          <w:u w:val="single"/>
          <w:lang w:val="en-GB"/>
          <w:rPrChange w:id="4671" w:author="Author">
            <w:rPr>
              <w:sz w:val="22"/>
              <w:szCs w:val="22"/>
              <w:u w:val="single"/>
            </w:rPr>
          </w:rPrChange>
        </w:rPr>
      </w:pPr>
      <w:r w:rsidRPr="00D55B59">
        <w:rPr>
          <w:sz w:val="22"/>
          <w:szCs w:val="22"/>
          <w:u w:val="single"/>
          <w:lang w:val="en-GB"/>
          <w:rPrChange w:id="4672" w:author="Author">
            <w:rPr>
              <w:sz w:val="22"/>
              <w:szCs w:val="22"/>
              <w:u w:val="single"/>
            </w:rPr>
          </w:rPrChange>
        </w:rPr>
        <w:t>Polyarticular juvenile idiopathic arthritis and enthesitis-related arthritis</w:t>
      </w:r>
    </w:p>
    <w:p w14:paraId="58441460" w14:textId="77777777" w:rsidR="00E03C85" w:rsidRPr="00D55B59" w:rsidRDefault="00E03C85" w:rsidP="00E03C85">
      <w:pPr>
        <w:pStyle w:val="Default"/>
        <w:rPr>
          <w:sz w:val="22"/>
          <w:szCs w:val="22"/>
          <w:lang w:val="en-GB"/>
          <w:rPrChange w:id="4673" w:author="Author">
            <w:rPr>
              <w:sz w:val="22"/>
              <w:szCs w:val="22"/>
            </w:rPr>
          </w:rPrChange>
        </w:rPr>
      </w:pPr>
    </w:p>
    <w:p w14:paraId="46CE800A" w14:textId="77777777" w:rsidR="00E03C85" w:rsidRPr="00D55B59" w:rsidRDefault="00E03C85" w:rsidP="00E03C85">
      <w:pPr>
        <w:pStyle w:val="Default"/>
        <w:rPr>
          <w:sz w:val="22"/>
          <w:szCs w:val="22"/>
          <w:lang w:val="en-GB"/>
          <w:rPrChange w:id="4674" w:author="Author">
            <w:rPr>
              <w:sz w:val="22"/>
              <w:szCs w:val="22"/>
            </w:rPr>
          </w:rPrChange>
        </w:rPr>
      </w:pPr>
      <w:r w:rsidRPr="00D55B59">
        <w:rPr>
          <w:sz w:val="22"/>
          <w:szCs w:val="22"/>
          <w:lang w:val="en-GB"/>
          <w:rPrChange w:id="4675" w:author="Author">
            <w:rPr>
              <w:sz w:val="22"/>
              <w:szCs w:val="22"/>
            </w:rPr>
          </w:rPrChange>
        </w:rPr>
        <w:t xml:space="preserve">Polyarticular juvenile idiopathic arthritis and enthesitis-related arthritis are inflammatory diseases of the joints that usually first appear in childhood. </w:t>
      </w:r>
    </w:p>
    <w:p w14:paraId="7B12DF50" w14:textId="77777777" w:rsidR="00E03C85" w:rsidRPr="00D55B59" w:rsidRDefault="00E03C85" w:rsidP="00E03C85">
      <w:pPr>
        <w:pStyle w:val="Default"/>
        <w:rPr>
          <w:sz w:val="22"/>
          <w:szCs w:val="22"/>
          <w:lang w:val="en-GB"/>
          <w:rPrChange w:id="4676" w:author="Author">
            <w:rPr>
              <w:sz w:val="22"/>
              <w:szCs w:val="22"/>
            </w:rPr>
          </w:rPrChange>
        </w:rPr>
      </w:pPr>
    </w:p>
    <w:p w14:paraId="1E0DFE8B" w14:textId="77777777" w:rsidR="00E03C85" w:rsidRPr="00D55B59" w:rsidRDefault="00E03C85" w:rsidP="00E03C85">
      <w:pPr>
        <w:pStyle w:val="Default"/>
        <w:rPr>
          <w:rFonts w:eastAsia="PMingLiU"/>
          <w:color w:val="auto"/>
          <w:sz w:val="22"/>
          <w:szCs w:val="22"/>
          <w:lang w:val="en-GB" w:eastAsia="en-US"/>
          <w:rPrChange w:id="4677" w:author="Author">
            <w:rPr>
              <w:rFonts w:eastAsia="PMingLiU"/>
              <w:color w:val="auto"/>
              <w:sz w:val="22"/>
              <w:szCs w:val="22"/>
              <w:lang w:eastAsia="en-US"/>
            </w:rPr>
          </w:rPrChange>
        </w:rPr>
      </w:pPr>
      <w:r w:rsidRPr="00D55B59">
        <w:rPr>
          <w:sz w:val="22"/>
          <w:szCs w:val="22"/>
          <w:lang w:val="en-GB"/>
          <w:rPrChange w:id="4678" w:author="Author">
            <w:rPr>
              <w:sz w:val="22"/>
              <w:szCs w:val="22"/>
            </w:rPr>
          </w:rPrChange>
        </w:rPr>
        <w:t xml:space="preserve">AMGEVITA is used to treat polyarticular juvenile idiopathic arthritis in patients from 2 years and enthesitis-related arthritis in patients from 6 years. You may first be given other disease-modifying medicines, such as methotrexate. If you do not respond well enough to these medicines, you will be given AMGEVITA to treat your polyarticular juvenile idiopathic arthritis or enthesitis-related arthritis. </w:t>
      </w:r>
    </w:p>
    <w:p w14:paraId="19EAE55A" w14:textId="77777777" w:rsidR="00E03C85" w:rsidRPr="00D55B59" w:rsidRDefault="00E03C85" w:rsidP="00E03C85">
      <w:pPr>
        <w:pStyle w:val="Default"/>
        <w:rPr>
          <w:sz w:val="22"/>
          <w:szCs w:val="22"/>
          <w:lang w:val="en-GB"/>
          <w:rPrChange w:id="4679" w:author="Author">
            <w:rPr>
              <w:sz w:val="22"/>
              <w:szCs w:val="22"/>
            </w:rPr>
          </w:rPrChange>
        </w:rPr>
      </w:pPr>
    </w:p>
    <w:p w14:paraId="636D72C7" w14:textId="77777777" w:rsidR="00E03C85" w:rsidRPr="00D55B59" w:rsidRDefault="00E03C85" w:rsidP="00E03C85">
      <w:pPr>
        <w:pStyle w:val="Default"/>
        <w:rPr>
          <w:sz w:val="22"/>
          <w:szCs w:val="22"/>
          <w:u w:val="single"/>
          <w:lang w:val="en-GB"/>
          <w:rPrChange w:id="4680" w:author="Author">
            <w:rPr>
              <w:sz w:val="22"/>
              <w:szCs w:val="22"/>
              <w:u w:val="single"/>
            </w:rPr>
          </w:rPrChange>
        </w:rPr>
      </w:pPr>
      <w:r w:rsidRPr="00D55B59">
        <w:rPr>
          <w:sz w:val="22"/>
          <w:szCs w:val="22"/>
          <w:u w:val="single"/>
          <w:lang w:val="en-GB"/>
          <w:rPrChange w:id="4681" w:author="Author">
            <w:rPr>
              <w:sz w:val="22"/>
              <w:szCs w:val="22"/>
              <w:u w:val="single"/>
            </w:rPr>
          </w:rPrChange>
        </w:rPr>
        <w:t xml:space="preserve">Ankylosing spondylitis and axial spondyloarthritis without radiographic evidence of ankylosing spondylitis </w:t>
      </w:r>
    </w:p>
    <w:p w14:paraId="78D92843" w14:textId="77777777" w:rsidR="00E03C85" w:rsidRPr="00D55B59" w:rsidRDefault="00E03C85" w:rsidP="00E03C85">
      <w:pPr>
        <w:pStyle w:val="Default"/>
        <w:rPr>
          <w:sz w:val="22"/>
          <w:szCs w:val="22"/>
          <w:lang w:val="en-GB"/>
          <w:rPrChange w:id="4682" w:author="Author">
            <w:rPr>
              <w:sz w:val="22"/>
              <w:szCs w:val="22"/>
            </w:rPr>
          </w:rPrChange>
        </w:rPr>
      </w:pPr>
    </w:p>
    <w:p w14:paraId="3DEA88BA" w14:textId="77777777" w:rsidR="00E03C85" w:rsidRPr="001775D9" w:rsidRDefault="00E03C85" w:rsidP="00E03C85">
      <w:pPr>
        <w:tabs>
          <w:tab w:val="clear" w:pos="567"/>
        </w:tabs>
        <w:autoSpaceDE w:val="0"/>
        <w:autoSpaceDN w:val="0"/>
        <w:adjustRightInd w:val="0"/>
        <w:spacing w:line="240" w:lineRule="auto"/>
        <w:rPr>
          <w:szCs w:val="22"/>
        </w:rPr>
      </w:pPr>
      <w:r w:rsidRPr="001775D9">
        <w:rPr>
          <w:szCs w:val="22"/>
        </w:rPr>
        <w:t xml:space="preserve">Ankylosing spondylitis and axial spondyloarthritis without radiographic evidence of ankylosing spondylitis, are inflammatory diseases of the spine. </w:t>
      </w:r>
    </w:p>
    <w:p w14:paraId="698C211B" w14:textId="77777777" w:rsidR="00E03C85" w:rsidRPr="00D55B59" w:rsidRDefault="00E03C85" w:rsidP="00E03C85">
      <w:pPr>
        <w:pStyle w:val="Default"/>
        <w:rPr>
          <w:sz w:val="22"/>
          <w:szCs w:val="22"/>
          <w:lang w:val="en-GB"/>
          <w:rPrChange w:id="4683" w:author="Author">
            <w:rPr>
              <w:sz w:val="22"/>
              <w:szCs w:val="22"/>
            </w:rPr>
          </w:rPrChange>
        </w:rPr>
      </w:pPr>
    </w:p>
    <w:p w14:paraId="3FDF0B56" w14:textId="77777777" w:rsidR="00E03C85" w:rsidRPr="00D55B59" w:rsidRDefault="00E03C85" w:rsidP="00E03C85">
      <w:pPr>
        <w:pStyle w:val="Default"/>
        <w:rPr>
          <w:sz w:val="22"/>
          <w:szCs w:val="22"/>
          <w:lang w:val="en-GB"/>
          <w:rPrChange w:id="4684" w:author="Author">
            <w:rPr>
              <w:sz w:val="22"/>
              <w:szCs w:val="22"/>
            </w:rPr>
          </w:rPrChange>
        </w:rPr>
      </w:pPr>
      <w:r w:rsidRPr="00D55B59">
        <w:rPr>
          <w:sz w:val="22"/>
          <w:szCs w:val="22"/>
          <w:lang w:val="en-GB"/>
          <w:rPrChange w:id="4685" w:author="Author">
            <w:rPr>
              <w:sz w:val="22"/>
              <w:szCs w:val="22"/>
            </w:rPr>
          </w:rPrChange>
        </w:rPr>
        <w:t xml:space="preserve">AMGEVITA is used to treat ankylosing spondylitis and axial spondyloarthritis without radiographic evidence of ankylosing spondylitis in adults. If you have ankylosing spondylitis or axial spondyloarthritis without radiographic evidence of ankylosing spondylitis, you will first be given other medicines. If you do not respond well enough to these medicines, you will be given AMGEVITA to reduce the signs and symptoms of your disease. </w:t>
      </w:r>
    </w:p>
    <w:p w14:paraId="6AC2A5C0" w14:textId="77777777" w:rsidR="00E03C85" w:rsidRPr="00D55B59" w:rsidRDefault="00E03C85" w:rsidP="00E03C85">
      <w:pPr>
        <w:pStyle w:val="Default"/>
        <w:rPr>
          <w:sz w:val="22"/>
          <w:szCs w:val="22"/>
          <w:lang w:val="en-GB"/>
          <w:rPrChange w:id="4686" w:author="Author">
            <w:rPr>
              <w:sz w:val="22"/>
              <w:szCs w:val="22"/>
            </w:rPr>
          </w:rPrChange>
        </w:rPr>
      </w:pPr>
    </w:p>
    <w:p w14:paraId="485DA9D7" w14:textId="77777777" w:rsidR="00E03C85" w:rsidRPr="00D55B59" w:rsidRDefault="00E03C85" w:rsidP="00E03C85">
      <w:pPr>
        <w:pStyle w:val="Default"/>
        <w:rPr>
          <w:sz w:val="22"/>
          <w:szCs w:val="22"/>
          <w:u w:val="single"/>
          <w:lang w:val="en-GB"/>
          <w:rPrChange w:id="4687" w:author="Author">
            <w:rPr>
              <w:sz w:val="22"/>
              <w:szCs w:val="22"/>
              <w:u w:val="single"/>
            </w:rPr>
          </w:rPrChange>
        </w:rPr>
      </w:pPr>
      <w:r w:rsidRPr="00D55B59">
        <w:rPr>
          <w:sz w:val="22"/>
          <w:szCs w:val="22"/>
          <w:u w:val="single"/>
          <w:lang w:val="en-GB"/>
          <w:rPrChange w:id="4688" w:author="Author">
            <w:rPr>
              <w:sz w:val="22"/>
              <w:szCs w:val="22"/>
              <w:u w:val="single"/>
            </w:rPr>
          </w:rPrChange>
        </w:rPr>
        <w:t xml:space="preserve">Psoriatic arthritis </w:t>
      </w:r>
    </w:p>
    <w:p w14:paraId="4C4976F2" w14:textId="77777777" w:rsidR="00E03C85" w:rsidRPr="00D55B59" w:rsidRDefault="00E03C85" w:rsidP="00E03C85">
      <w:pPr>
        <w:pStyle w:val="Default"/>
        <w:rPr>
          <w:sz w:val="22"/>
          <w:szCs w:val="22"/>
          <w:lang w:val="en-GB"/>
          <w:rPrChange w:id="4689" w:author="Author">
            <w:rPr>
              <w:sz w:val="22"/>
              <w:szCs w:val="22"/>
            </w:rPr>
          </w:rPrChange>
        </w:rPr>
      </w:pPr>
    </w:p>
    <w:p w14:paraId="3964F396" w14:textId="77777777" w:rsidR="00E03C85" w:rsidRPr="00D55B59" w:rsidRDefault="00E03C85" w:rsidP="00E03C85">
      <w:pPr>
        <w:pStyle w:val="Default"/>
        <w:rPr>
          <w:sz w:val="22"/>
          <w:szCs w:val="22"/>
          <w:lang w:val="en-GB"/>
          <w:rPrChange w:id="4690" w:author="Author">
            <w:rPr>
              <w:sz w:val="22"/>
              <w:szCs w:val="22"/>
            </w:rPr>
          </w:rPrChange>
        </w:rPr>
      </w:pPr>
      <w:r w:rsidRPr="00D55B59">
        <w:rPr>
          <w:sz w:val="22"/>
          <w:szCs w:val="22"/>
          <w:lang w:val="en-GB"/>
          <w:rPrChange w:id="4691" w:author="Author">
            <w:rPr>
              <w:sz w:val="22"/>
              <w:szCs w:val="22"/>
            </w:rPr>
          </w:rPrChange>
        </w:rPr>
        <w:t xml:space="preserve">Psoriatic arthritis is an inflammation of the joints associated with psoriasis. </w:t>
      </w:r>
    </w:p>
    <w:p w14:paraId="70E19AE1" w14:textId="77777777" w:rsidR="00E03C85" w:rsidRPr="00D55B59" w:rsidRDefault="00E03C85" w:rsidP="00E03C85">
      <w:pPr>
        <w:pStyle w:val="Default"/>
        <w:rPr>
          <w:sz w:val="22"/>
          <w:szCs w:val="22"/>
          <w:lang w:val="en-GB"/>
          <w:rPrChange w:id="4692" w:author="Author">
            <w:rPr>
              <w:sz w:val="22"/>
              <w:szCs w:val="22"/>
            </w:rPr>
          </w:rPrChange>
        </w:rPr>
      </w:pPr>
    </w:p>
    <w:p w14:paraId="19FF9E54" w14:textId="77777777" w:rsidR="00E03C85" w:rsidRPr="00D55B59" w:rsidRDefault="00E03C85" w:rsidP="00E03C85">
      <w:pPr>
        <w:pStyle w:val="Default"/>
        <w:rPr>
          <w:sz w:val="22"/>
          <w:szCs w:val="22"/>
          <w:lang w:val="en-GB"/>
          <w:rPrChange w:id="4693" w:author="Author">
            <w:rPr>
              <w:sz w:val="22"/>
              <w:szCs w:val="22"/>
            </w:rPr>
          </w:rPrChange>
        </w:rPr>
      </w:pPr>
      <w:r w:rsidRPr="00D55B59">
        <w:rPr>
          <w:sz w:val="22"/>
          <w:szCs w:val="22"/>
          <w:lang w:val="en-GB"/>
          <w:rPrChange w:id="4694" w:author="Author">
            <w:rPr>
              <w:sz w:val="22"/>
              <w:szCs w:val="22"/>
            </w:rPr>
          </w:rPrChange>
        </w:rPr>
        <w:t xml:space="preserve">AMGEVITA is used to treat psoriatic arthritis in adults. AMGEVITA slows down the damage to the cartilage and bone of the joints caused by the disease and to improve physical function. </w:t>
      </w:r>
    </w:p>
    <w:p w14:paraId="7E69C844" w14:textId="77777777" w:rsidR="00E03C85" w:rsidRPr="00D55B59" w:rsidRDefault="00E03C85" w:rsidP="00E03C85">
      <w:pPr>
        <w:pStyle w:val="Default"/>
        <w:rPr>
          <w:sz w:val="22"/>
          <w:szCs w:val="22"/>
          <w:lang w:val="en-GB"/>
          <w:rPrChange w:id="4695" w:author="Author">
            <w:rPr>
              <w:sz w:val="22"/>
              <w:szCs w:val="22"/>
            </w:rPr>
          </w:rPrChange>
        </w:rPr>
      </w:pPr>
    </w:p>
    <w:p w14:paraId="3B34CB0B" w14:textId="77777777" w:rsidR="00E03C85" w:rsidRPr="00D55B59" w:rsidRDefault="00E03C85" w:rsidP="00E03C85">
      <w:pPr>
        <w:pStyle w:val="Default"/>
        <w:rPr>
          <w:sz w:val="22"/>
          <w:szCs w:val="22"/>
          <w:u w:val="single"/>
          <w:lang w:val="en-GB"/>
          <w:rPrChange w:id="4696" w:author="Author">
            <w:rPr>
              <w:sz w:val="22"/>
              <w:szCs w:val="22"/>
              <w:u w:val="single"/>
            </w:rPr>
          </w:rPrChange>
        </w:rPr>
      </w:pPr>
      <w:r w:rsidRPr="00D55B59">
        <w:rPr>
          <w:sz w:val="22"/>
          <w:szCs w:val="22"/>
          <w:u w:val="single"/>
          <w:lang w:val="en-GB"/>
          <w:rPrChange w:id="4697" w:author="Author">
            <w:rPr>
              <w:sz w:val="22"/>
              <w:szCs w:val="22"/>
              <w:u w:val="single"/>
            </w:rPr>
          </w:rPrChange>
        </w:rPr>
        <w:t>Plaque psoriasis in adults and children</w:t>
      </w:r>
    </w:p>
    <w:p w14:paraId="735E4607" w14:textId="77777777" w:rsidR="00E03C85" w:rsidRPr="001775D9" w:rsidRDefault="00E03C85" w:rsidP="00E03C85">
      <w:pPr>
        <w:tabs>
          <w:tab w:val="clear" w:pos="567"/>
        </w:tabs>
        <w:spacing w:line="240" w:lineRule="auto"/>
        <w:ind w:right="-2"/>
        <w:rPr>
          <w:szCs w:val="22"/>
        </w:rPr>
      </w:pPr>
    </w:p>
    <w:p w14:paraId="02B15D01" w14:textId="77777777" w:rsidR="00E03C85" w:rsidRPr="001775D9" w:rsidRDefault="00E03C85" w:rsidP="00E03C85">
      <w:pPr>
        <w:tabs>
          <w:tab w:val="clear" w:pos="567"/>
        </w:tabs>
        <w:spacing w:line="240" w:lineRule="auto"/>
        <w:ind w:right="-2"/>
        <w:rPr>
          <w:rFonts w:eastAsia="MS Mincho"/>
          <w:color w:val="000000"/>
          <w:szCs w:val="22"/>
          <w:lang w:eastAsia="ja-JP"/>
        </w:rPr>
      </w:pPr>
      <w:r w:rsidRPr="001775D9">
        <w:rPr>
          <w:rFonts w:eastAsia="MS Mincho"/>
          <w:color w:val="000000"/>
          <w:szCs w:val="22"/>
          <w:lang w:eastAsia="ja-JP"/>
        </w:rPr>
        <w:t xml:space="preserve">Plaque psoriasis is a skin condition that causes red, flaky, crusty patches of skin covered with silvery scales. </w:t>
      </w:r>
      <w:r w:rsidRPr="001775D9">
        <w:t>Plaque psoriasis can also affect the nails, causing them to crumble, become thickened and lift away from the nail bed which can be painful</w:t>
      </w:r>
      <w:r w:rsidRPr="001775D9">
        <w:rPr>
          <w:rFonts w:eastAsia="MS Mincho"/>
          <w:color w:val="000000"/>
          <w:szCs w:val="22"/>
          <w:lang w:eastAsia="ja-JP"/>
        </w:rPr>
        <w:t>. Psoriasis is believed to be caused by a problem with the body’s immune system that leads to an increased production of skin cells.</w:t>
      </w:r>
    </w:p>
    <w:p w14:paraId="6949968C" w14:textId="77777777" w:rsidR="00E03C85" w:rsidRPr="001775D9" w:rsidRDefault="00E03C85" w:rsidP="00E03C85">
      <w:pPr>
        <w:tabs>
          <w:tab w:val="clear" w:pos="567"/>
        </w:tabs>
        <w:autoSpaceDE w:val="0"/>
        <w:autoSpaceDN w:val="0"/>
        <w:adjustRightInd w:val="0"/>
        <w:spacing w:line="240" w:lineRule="auto"/>
        <w:rPr>
          <w:szCs w:val="22"/>
        </w:rPr>
      </w:pPr>
    </w:p>
    <w:p w14:paraId="472178FD" w14:textId="77777777" w:rsidR="00E03C85" w:rsidRPr="001775D9" w:rsidRDefault="00E03C85" w:rsidP="00E03C85">
      <w:pPr>
        <w:tabs>
          <w:tab w:val="clear" w:pos="567"/>
        </w:tabs>
        <w:autoSpaceDE w:val="0"/>
        <w:autoSpaceDN w:val="0"/>
        <w:adjustRightInd w:val="0"/>
        <w:spacing w:line="240" w:lineRule="auto"/>
        <w:rPr>
          <w:szCs w:val="22"/>
        </w:rPr>
      </w:pPr>
      <w:r w:rsidRPr="001775D9">
        <w:rPr>
          <w:szCs w:val="22"/>
        </w:rPr>
        <w:t xml:space="preserve">AMGEVITA </w:t>
      </w:r>
      <w:r w:rsidRPr="001775D9">
        <w:t>i</w:t>
      </w:r>
      <w:r w:rsidRPr="001775D9">
        <w:rPr>
          <w:szCs w:val="22"/>
        </w:rPr>
        <w:t xml:space="preserve">s used </w:t>
      </w:r>
      <w:r w:rsidRPr="001775D9">
        <w:t>t</w:t>
      </w:r>
      <w:r w:rsidRPr="001775D9">
        <w:rPr>
          <w:szCs w:val="22"/>
        </w:rPr>
        <w:t xml:space="preserve">o </w:t>
      </w:r>
      <w:r w:rsidRPr="001775D9">
        <w:t>t</w:t>
      </w:r>
      <w:r w:rsidRPr="001775D9">
        <w:rPr>
          <w:szCs w:val="22"/>
        </w:rPr>
        <w:t>reat moderate to severe plaque psoriasis in adults.</w:t>
      </w:r>
      <w:r w:rsidRPr="001775D9">
        <w:t xml:space="preserve"> </w:t>
      </w:r>
      <w:r w:rsidRPr="001775D9">
        <w:rPr>
          <w:szCs w:val="22"/>
        </w:rPr>
        <w:t>AMGEVITA is also used to treat severe plaque psoriasis in children and adolescents aged 4 to 17 years for whom topical therapy and phototherapies have either not worked very well or are not suitable.</w:t>
      </w:r>
    </w:p>
    <w:p w14:paraId="6A2B639D" w14:textId="77777777" w:rsidR="00E03C85" w:rsidRPr="001775D9" w:rsidRDefault="00E03C85" w:rsidP="00E03C85">
      <w:pPr>
        <w:tabs>
          <w:tab w:val="clear" w:pos="567"/>
        </w:tabs>
        <w:autoSpaceDE w:val="0"/>
        <w:autoSpaceDN w:val="0"/>
        <w:adjustRightInd w:val="0"/>
        <w:spacing w:line="240" w:lineRule="auto"/>
        <w:rPr>
          <w:szCs w:val="22"/>
        </w:rPr>
      </w:pPr>
    </w:p>
    <w:p w14:paraId="1D9978D8" w14:textId="77777777" w:rsidR="00E03C85" w:rsidRPr="001775D9" w:rsidRDefault="00E03C85" w:rsidP="00E03C85">
      <w:pPr>
        <w:keepNext/>
        <w:tabs>
          <w:tab w:val="clear" w:pos="567"/>
        </w:tabs>
        <w:autoSpaceDE w:val="0"/>
        <w:autoSpaceDN w:val="0"/>
        <w:adjustRightInd w:val="0"/>
        <w:spacing w:line="240" w:lineRule="auto"/>
        <w:rPr>
          <w:szCs w:val="22"/>
          <w:u w:val="single"/>
        </w:rPr>
      </w:pPr>
      <w:r w:rsidRPr="001775D9">
        <w:rPr>
          <w:szCs w:val="22"/>
          <w:u w:val="single"/>
        </w:rPr>
        <w:t>Hidradenitis suppurativa in adults and adolescents</w:t>
      </w:r>
    </w:p>
    <w:p w14:paraId="23BDC525" w14:textId="77777777" w:rsidR="00E03C85" w:rsidRPr="001775D9" w:rsidRDefault="00E03C85" w:rsidP="00E03C85">
      <w:pPr>
        <w:keepNext/>
        <w:tabs>
          <w:tab w:val="clear" w:pos="567"/>
        </w:tabs>
        <w:autoSpaceDE w:val="0"/>
        <w:autoSpaceDN w:val="0"/>
        <w:adjustRightInd w:val="0"/>
        <w:spacing w:line="240" w:lineRule="auto"/>
        <w:rPr>
          <w:szCs w:val="22"/>
        </w:rPr>
      </w:pPr>
    </w:p>
    <w:p w14:paraId="4240EBA4" w14:textId="77777777" w:rsidR="00E03C85" w:rsidRPr="001775D9" w:rsidRDefault="00E03C85" w:rsidP="00E03C85">
      <w:pPr>
        <w:keepNext/>
        <w:tabs>
          <w:tab w:val="clear" w:pos="567"/>
        </w:tabs>
        <w:autoSpaceDE w:val="0"/>
        <w:autoSpaceDN w:val="0"/>
        <w:adjustRightInd w:val="0"/>
        <w:spacing w:line="240" w:lineRule="auto"/>
        <w:rPr>
          <w:szCs w:val="22"/>
        </w:rPr>
      </w:pPr>
      <w:r w:rsidRPr="001775D9">
        <w:rPr>
          <w:szCs w:val="22"/>
        </w:rPr>
        <w:t>Hidradenitis suppurativa (sometimes called acne inversa) is a chronic and often painful inflammatory skin disease. Symptoms may include tender nodules (lumps) and abscesses (boils) that may leak pus. It most commonly affects specific areas of the skin, such as under the breasts, the armpits, inner thighs, groin and buttocks. Scarring may also occur in affected areas.</w:t>
      </w:r>
    </w:p>
    <w:p w14:paraId="4F9CCC31" w14:textId="77777777" w:rsidR="00E03C85" w:rsidRPr="001775D9" w:rsidRDefault="00E03C85" w:rsidP="00E03C85">
      <w:pPr>
        <w:tabs>
          <w:tab w:val="clear" w:pos="567"/>
        </w:tabs>
        <w:autoSpaceDE w:val="0"/>
        <w:autoSpaceDN w:val="0"/>
        <w:adjustRightInd w:val="0"/>
        <w:spacing w:line="240" w:lineRule="auto"/>
        <w:rPr>
          <w:szCs w:val="22"/>
        </w:rPr>
      </w:pPr>
    </w:p>
    <w:p w14:paraId="4D5256EE" w14:textId="77777777" w:rsidR="00E03C85" w:rsidRPr="001775D9" w:rsidRDefault="00E03C85" w:rsidP="00E03C85">
      <w:pPr>
        <w:tabs>
          <w:tab w:val="clear" w:pos="567"/>
        </w:tabs>
        <w:autoSpaceDE w:val="0"/>
        <w:autoSpaceDN w:val="0"/>
        <w:adjustRightInd w:val="0"/>
        <w:spacing w:line="240" w:lineRule="auto"/>
        <w:rPr>
          <w:szCs w:val="22"/>
        </w:rPr>
      </w:pPr>
      <w:r w:rsidRPr="001775D9">
        <w:rPr>
          <w:szCs w:val="22"/>
        </w:rPr>
        <w:t>AMGEVITA is used to treat hidradenitis suppurativa in adults and adolescents from 12 years of age. AMGEVITA can reduce the number of nodules and abscesses you have, and the pain that is often associated with the disease. You may first be given other medicines. If you do not respond well enough to these medicines, you will be given AMGEVITA.</w:t>
      </w:r>
    </w:p>
    <w:p w14:paraId="6ADDCE36" w14:textId="77777777" w:rsidR="00E03C85" w:rsidRPr="00D55B59" w:rsidRDefault="00E03C85" w:rsidP="00E03C85">
      <w:pPr>
        <w:pStyle w:val="Default"/>
        <w:rPr>
          <w:sz w:val="22"/>
          <w:szCs w:val="22"/>
          <w:u w:val="single"/>
          <w:lang w:val="en-GB"/>
          <w:rPrChange w:id="4698" w:author="Author">
            <w:rPr>
              <w:sz w:val="22"/>
              <w:szCs w:val="22"/>
              <w:u w:val="single"/>
            </w:rPr>
          </w:rPrChange>
        </w:rPr>
      </w:pPr>
    </w:p>
    <w:p w14:paraId="5A3CE115" w14:textId="77777777" w:rsidR="00E03C85" w:rsidRPr="00D55B59" w:rsidRDefault="00E03C85" w:rsidP="00E03C85">
      <w:pPr>
        <w:pStyle w:val="Default"/>
        <w:rPr>
          <w:sz w:val="22"/>
          <w:szCs w:val="22"/>
          <w:u w:val="single"/>
          <w:lang w:val="en-GB"/>
          <w:rPrChange w:id="4699" w:author="Author">
            <w:rPr>
              <w:sz w:val="22"/>
              <w:szCs w:val="22"/>
              <w:u w:val="single"/>
            </w:rPr>
          </w:rPrChange>
        </w:rPr>
      </w:pPr>
      <w:r w:rsidRPr="00D55B59">
        <w:rPr>
          <w:sz w:val="22"/>
          <w:szCs w:val="22"/>
          <w:u w:val="single"/>
          <w:lang w:val="en-GB"/>
          <w:rPrChange w:id="4700" w:author="Author">
            <w:rPr>
              <w:sz w:val="22"/>
              <w:szCs w:val="22"/>
              <w:u w:val="single"/>
            </w:rPr>
          </w:rPrChange>
        </w:rPr>
        <w:t xml:space="preserve">Crohn’s disease in </w:t>
      </w:r>
      <w:r w:rsidRPr="00D55B59">
        <w:rPr>
          <w:rFonts w:eastAsia="PMingLiU"/>
          <w:sz w:val="22"/>
          <w:szCs w:val="22"/>
          <w:u w:val="single"/>
          <w:lang w:val="en-GB" w:eastAsia="zh-TW"/>
          <w:rPrChange w:id="4701" w:author="Author">
            <w:rPr>
              <w:rFonts w:eastAsia="PMingLiU"/>
              <w:sz w:val="22"/>
              <w:szCs w:val="22"/>
              <w:u w:val="single"/>
              <w:lang w:eastAsia="zh-TW"/>
            </w:rPr>
          </w:rPrChange>
        </w:rPr>
        <w:t>a</w:t>
      </w:r>
      <w:r w:rsidRPr="00D55B59">
        <w:rPr>
          <w:sz w:val="22"/>
          <w:szCs w:val="22"/>
          <w:u w:val="single"/>
          <w:lang w:val="en-GB"/>
          <w:rPrChange w:id="4702" w:author="Author">
            <w:rPr>
              <w:sz w:val="22"/>
              <w:szCs w:val="22"/>
              <w:u w:val="single"/>
            </w:rPr>
          </w:rPrChange>
        </w:rPr>
        <w:t xml:space="preserve">dults and </w:t>
      </w:r>
      <w:r w:rsidRPr="00D55B59">
        <w:rPr>
          <w:rFonts w:eastAsia="PMingLiU"/>
          <w:sz w:val="22"/>
          <w:szCs w:val="22"/>
          <w:u w:val="single"/>
          <w:lang w:val="en-GB" w:eastAsia="zh-TW"/>
          <w:rPrChange w:id="4703" w:author="Author">
            <w:rPr>
              <w:rFonts w:eastAsia="PMingLiU"/>
              <w:sz w:val="22"/>
              <w:szCs w:val="22"/>
              <w:u w:val="single"/>
              <w:lang w:eastAsia="zh-TW"/>
            </w:rPr>
          </w:rPrChange>
        </w:rPr>
        <w:t>c</w:t>
      </w:r>
      <w:r w:rsidRPr="00D55B59">
        <w:rPr>
          <w:sz w:val="22"/>
          <w:szCs w:val="22"/>
          <w:u w:val="single"/>
          <w:lang w:val="en-GB"/>
          <w:rPrChange w:id="4704" w:author="Author">
            <w:rPr>
              <w:sz w:val="22"/>
              <w:szCs w:val="22"/>
              <w:u w:val="single"/>
            </w:rPr>
          </w:rPrChange>
        </w:rPr>
        <w:t xml:space="preserve">hildren </w:t>
      </w:r>
    </w:p>
    <w:p w14:paraId="6C93B905" w14:textId="77777777" w:rsidR="00E03C85" w:rsidRPr="00D55B59" w:rsidRDefault="00E03C85" w:rsidP="00E03C85">
      <w:pPr>
        <w:pStyle w:val="Default"/>
        <w:rPr>
          <w:sz w:val="22"/>
          <w:szCs w:val="22"/>
          <w:lang w:val="en-GB"/>
          <w:rPrChange w:id="4705" w:author="Author">
            <w:rPr>
              <w:sz w:val="22"/>
              <w:szCs w:val="22"/>
            </w:rPr>
          </w:rPrChange>
        </w:rPr>
      </w:pPr>
    </w:p>
    <w:p w14:paraId="7A2DDF36" w14:textId="77777777" w:rsidR="00E03C85" w:rsidRPr="00D55B59" w:rsidRDefault="00E03C85" w:rsidP="00E03C85">
      <w:pPr>
        <w:pStyle w:val="Default"/>
        <w:contextualSpacing/>
        <w:rPr>
          <w:rFonts w:eastAsia="PMingLiU"/>
          <w:color w:val="auto"/>
          <w:sz w:val="22"/>
          <w:szCs w:val="22"/>
          <w:lang w:val="en-GB" w:eastAsia="en-US"/>
          <w:rPrChange w:id="4706" w:author="Author">
            <w:rPr>
              <w:rFonts w:eastAsia="PMingLiU"/>
              <w:color w:val="auto"/>
              <w:sz w:val="22"/>
              <w:szCs w:val="22"/>
              <w:lang w:eastAsia="en-US"/>
            </w:rPr>
          </w:rPrChange>
        </w:rPr>
      </w:pPr>
      <w:r w:rsidRPr="00D55B59">
        <w:rPr>
          <w:rFonts w:eastAsia="PMingLiU"/>
          <w:color w:val="auto"/>
          <w:sz w:val="22"/>
          <w:szCs w:val="22"/>
          <w:lang w:val="en-GB" w:eastAsia="en-US"/>
          <w:rPrChange w:id="4707" w:author="Author">
            <w:rPr>
              <w:rFonts w:eastAsia="PMingLiU"/>
              <w:color w:val="auto"/>
              <w:sz w:val="22"/>
              <w:szCs w:val="22"/>
              <w:lang w:eastAsia="en-US"/>
            </w:rPr>
          </w:rPrChange>
        </w:rPr>
        <w:t>Crohn’s disease is an inflammatory disease of the digestive tract.</w:t>
      </w:r>
    </w:p>
    <w:p w14:paraId="4CD9181F" w14:textId="77777777" w:rsidR="00E03C85" w:rsidRPr="00D55B59" w:rsidRDefault="00E03C85" w:rsidP="00E03C85">
      <w:pPr>
        <w:pStyle w:val="Default"/>
        <w:contextualSpacing/>
        <w:rPr>
          <w:sz w:val="22"/>
          <w:szCs w:val="20"/>
          <w:lang w:val="en-GB"/>
          <w:rPrChange w:id="4708" w:author="Author">
            <w:rPr>
              <w:sz w:val="22"/>
              <w:szCs w:val="20"/>
            </w:rPr>
          </w:rPrChange>
        </w:rPr>
      </w:pPr>
    </w:p>
    <w:p w14:paraId="3F7F40B1" w14:textId="77777777" w:rsidR="00E03C85" w:rsidRPr="00D55B59" w:rsidRDefault="00E03C85" w:rsidP="00E03C85">
      <w:pPr>
        <w:pStyle w:val="Default"/>
        <w:contextualSpacing/>
        <w:rPr>
          <w:sz w:val="22"/>
          <w:szCs w:val="22"/>
          <w:lang w:val="en-GB"/>
          <w:rPrChange w:id="4709" w:author="Author">
            <w:rPr>
              <w:sz w:val="22"/>
              <w:szCs w:val="22"/>
            </w:rPr>
          </w:rPrChange>
        </w:rPr>
      </w:pPr>
      <w:r w:rsidRPr="00D55B59">
        <w:rPr>
          <w:sz w:val="22"/>
          <w:szCs w:val="22"/>
          <w:lang w:val="en-GB"/>
          <w:rPrChange w:id="4710" w:author="Author">
            <w:rPr>
              <w:sz w:val="22"/>
              <w:szCs w:val="22"/>
            </w:rPr>
          </w:rPrChange>
        </w:rPr>
        <w:t xml:space="preserve">AMGEVITA is used to treat Crohn’s disease in adults and children aged 6 to 17 years. If you have Crohn’s disease you will first be given other medicines. If you do not respond well enough to these medicines, you will be given AMGEVITA to reduce the signs and symptoms of your Crohn’s disease. </w:t>
      </w:r>
    </w:p>
    <w:p w14:paraId="0FE1A191" w14:textId="77777777" w:rsidR="00E03C85" w:rsidRPr="00D55B59" w:rsidRDefault="00E03C85" w:rsidP="00E03C85">
      <w:pPr>
        <w:pStyle w:val="Default"/>
        <w:rPr>
          <w:sz w:val="22"/>
          <w:szCs w:val="22"/>
          <w:lang w:val="en-GB"/>
          <w:rPrChange w:id="4711" w:author="Author">
            <w:rPr>
              <w:sz w:val="22"/>
              <w:szCs w:val="22"/>
            </w:rPr>
          </w:rPrChange>
        </w:rPr>
      </w:pPr>
    </w:p>
    <w:p w14:paraId="5DFFF44B" w14:textId="77777777" w:rsidR="00E03C85" w:rsidRPr="00D55B59" w:rsidRDefault="00E03C85" w:rsidP="00E03C85">
      <w:pPr>
        <w:pStyle w:val="Default"/>
        <w:rPr>
          <w:sz w:val="22"/>
          <w:szCs w:val="22"/>
          <w:u w:val="single"/>
          <w:lang w:val="en-GB"/>
          <w:rPrChange w:id="4712" w:author="Author">
            <w:rPr>
              <w:sz w:val="22"/>
              <w:szCs w:val="22"/>
              <w:u w:val="single"/>
            </w:rPr>
          </w:rPrChange>
        </w:rPr>
      </w:pPr>
      <w:r w:rsidRPr="00D55B59">
        <w:rPr>
          <w:sz w:val="22"/>
          <w:szCs w:val="22"/>
          <w:u w:val="single"/>
          <w:lang w:val="en-GB"/>
          <w:rPrChange w:id="4713" w:author="Author">
            <w:rPr>
              <w:sz w:val="22"/>
              <w:szCs w:val="22"/>
              <w:u w:val="single"/>
            </w:rPr>
          </w:rPrChange>
        </w:rPr>
        <w:t xml:space="preserve">Ulcerative </w:t>
      </w:r>
      <w:r w:rsidRPr="00D55B59">
        <w:rPr>
          <w:rFonts w:eastAsia="PMingLiU"/>
          <w:sz w:val="22"/>
          <w:szCs w:val="22"/>
          <w:u w:val="single"/>
          <w:lang w:val="en-GB" w:eastAsia="zh-TW"/>
          <w:rPrChange w:id="4714" w:author="Author">
            <w:rPr>
              <w:rFonts w:eastAsia="PMingLiU"/>
              <w:sz w:val="22"/>
              <w:szCs w:val="22"/>
              <w:u w:val="single"/>
              <w:lang w:eastAsia="zh-TW"/>
            </w:rPr>
          </w:rPrChange>
        </w:rPr>
        <w:t>c</w:t>
      </w:r>
      <w:r w:rsidRPr="00D55B59">
        <w:rPr>
          <w:sz w:val="22"/>
          <w:szCs w:val="22"/>
          <w:u w:val="single"/>
          <w:lang w:val="en-GB"/>
          <w:rPrChange w:id="4715" w:author="Author">
            <w:rPr>
              <w:sz w:val="22"/>
              <w:szCs w:val="22"/>
              <w:u w:val="single"/>
            </w:rPr>
          </w:rPrChange>
        </w:rPr>
        <w:t xml:space="preserve">olitis in adults and children </w:t>
      </w:r>
    </w:p>
    <w:p w14:paraId="3F4BB910" w14:textId="77777777" w:rsidR="00E03C85" w:rsidRPr="001775D9" w:rsidRDefault="00E03C85" w:rsidP="00E03C85">
      <w:pPr>
        <w:tabs>
          <w:tab w:val="clear" w:pos="567"/>
        </w:tabs>
        <w:spacing w:line="240" w:lineRule="auto"/>
        <w:ind w:right="-2"/>
        <w:rPr>
          <w:szCs w:val="22"/>
        </w:rPr>
      </w:pPr>
    </w:p>
    <w:p w14:paraId="57077028" w14:textId="77777777" w:rsidR="00E03C85" w:rsidRPr="001775D9" w:rsidRDefault="00E03C85" w:rsidP="00E03C85">
      <w:pPr>
        <w:tabs>
          <w:tab w:val="clear" w:pos="567"/>
        </w:tabs>
        <w:spacing w:line="240" w:lineRule="auto"/>
        <w:ind w:right="-2"/>
        <w:rPr>
          <w:szCs w:val="22"/>
        </w:rPr>
      </w:pPr>
      <w:r w:rsidRPr="001775D9">
        <w:rPr>
          <w:szCs w:val="22"/>
        </w:rPr>
        <w:t>Ulcerative colitis is an inflammatory disease of the large intestine.</w:t>
      </w:r>
    </w:p>
    <w:p w14:paraId="53668419" w14:textId="77777777" w:rsidR="00E03C85" w:rsidRPr="001775D9" w:rsidRDefault="00E03C85" w:rsidP="00E03C85">
      <w:pPr>
        <w:tabs>
          <w:tab w:val="clear" w:pos="567"/>
        </w:tabs>
        <w:spacing w:line="240" w:lineRule="auto"/>
        <w:ind w:right="-2"/>
        <w:rPr>
          <w:szCs w:val="22"/>
        </w:rPr>
      </w:pPr>
    </w:p>
    <w:p w14:paraId="1EE69D8F" w14:textId="03C6782F" w:rsidR="00E03C85" w:rsidRPr="001775D9" w:rsidRDefault="00E03C85" w:rsidP="00E03C85">
      <w:pPr>
        <w:tabs>
          <w:tab w:val="clear" w:pos="567"/>
        </w:tabs>
        <w:spacing w:line="240" w:lineRule="auto"/>
        <w:ind w:right="-2"/>
        <w:rPr>
          <w:szCs w:val="22"/>
        </w:rPr>
      </w:pPr>
      <w:r w:rsidRPr="001775D9">
        <w:rPr>
          <w:szCs w:val="22"/>
        </w:rPr>
        <w:t>AMGEVITA is used to treat moderate to severe ulcerative colitis in adults and children aged 6 to 17</w:t>
      </w:r>
      <w:r w:rsidR="000E495D" w:rsidRPr="001775D9">
        <w:rPr>
          <w:szCs w:val="22"/>
        </w:rPr>
        <w:t> </w:t>
      </w:r>
      <w:r w:rsidRPr="001775D9">
        <w:rPr>
          <w:szCs w:val="22"/>
        </w:rPr>
        <w:t>years. If you have ulcerative colitis you may first be given other medicines. If you do not respond well enough to these medicines, you will be given AMGEVITA to reduce the signs and symptoms of your disease.</w:t>
      </w:r>
    </w:p>
    <w:p w14:paraId="10372EB3" w14:textId="77777777" w:rsidR="00E03C85" w:rsidRPr="001775D9" w:rsidRDefault="00E03C85" w:rsidP="00E03C85">
      <w:pPr>
        <w:tabs>
          <w:tab w:val="clear" w:pos="567"/>
        </w:tabs>
        <w:spacing w:line="240" w:lineRule="auto"/>
        <w:ind w:right="-2"/>
        <w:rPr>
          <w:szCs w:val="22"/>
        </w:rPr>
      </w:pPr>
    </w:p>
    <w:p w14:paraId="300741E6" w14:textId="77777777" w:rsidR="00E03C85" w:rsidRPr="001775D9" w:rsidRDefault="00E03C85" w:rsidP="00E03C85">
      <w:pPr>
        <w:tabs>
          <w:tab w:val="clear" w:pos="567"/>
        </w:tabs>
        <w:autoSpaceDE w:val="0"/>
        <w:autoSpaceDN w:val="0"/>
        <w:adjustRightInd w:val="0"/>
        <w:spacing w:line="240" w:lineRule="auto"/>
        <w:rPr>
          <w:szCs w:val="22"/>
          <w:u w:val="single"/>
          <w:lang w:eastAsia="en-GB"/>
        </w:rPr>
      </w:pPr>
      <w:r w:rsidRPr="001775D9">
        <w:rPr>
          <w:szCs w:val="22"/>
          <w:u w:val="single"/>
          <w:lang w:eastAsia="en-GB"/>
        </w:rPr>
        <w:t>Non-infectious uveitis in adults and children</w:t>
      </w:r>
    </w:p>
    <w:p w14:paraId="2177E93A" w14:textId="77777777" w:rsidR="00E03C85" w:rsidRPr="001775D9" w:rsidRDefault="00E03C85" w:rsidP="00E03C85">
      <w:pPr>
        <w:tabs>
          <w:tab w:val="clear" w:pos="567"/>
        </w:tabs>
        <w:autoSpaceDE w:val="0"/>
        <w:autoSpaceDN w:val="0"/>
        <w:adjustRightInd w:val="0"/>
        <w:spacing w:line="240" w:lineRule="auto"/>
        <w:rPr>
          <w:szCs w:val="22"/>
          <w:lang w:eastAsia="en-GB"/>
        </w:rPr>
      </w:pPr>
    </w:p>
    <w:p w14:paraId="103B134A" w14:textId="77777777" w:rsidR="00E03C85" w:rsidRPr="001775D9" w:rsidRDefault="00E03C85" w:rsidP="00E03C85">
      <w:pPr>
        <w:tabs>
          <w:tab w:val="clear" w:pos="567"/>
        </w:tabs>
        <w:spacing w:line="240" w:lineRule="auto"/>
        <w:ind w:right="-2"/>
        <w:rPr>
          <w:szCs w:val="22"/>
          <w:lang w:eastAsia="en-GB"/>
        </w:rPr>
      </w:pPr>
      <w:r w:rsidRPr="001775D9">
        <w:rPr>
          <w:szCs w:val="22"/>
          <w:lang w:eastAsia="en-GB"/>
        </w:rPr>
        <w:t xml:space="preserve">Non-infectious uveitis is an inflammatory disease affecting certain parts of the eye. </w:t>
      </w:r>
    </w:p>
    <w:p w14:paraId="455FC0B8" w14:textId="77777777" w:rsidR="00E03C85" w:rsidRPr="001775D9" w:rsidRDefault="00E03C85" w:rsidP="00E03C85">
      <w:pPr>
        <w:tabs>
          <w:tab w:val="clear" w:pos="567"/>
        </w:tabs>
        <w:spacing w:line="240" w:lineRule="auto"/>
        <w:ind w:right="-2"/>
        <w:rPr>
          <w:szCs w:val="22"/>
          <w:lang w:eastAsia="en-GB"/>
        </w:rPr>
      </w:pPr>
    </w:p>
    <w:p w14:paraId="05712D96" w14:textId="77777777" w:rsidR="00E03C85" w:rsidRPr="001775D9" w:rsidRDefault="00E03C85" w:rsidP="00E03C85">
      <w:pPr>
        <w:tabs>
          <w:tab w:val="clear" w:pos="567"/>
        </w:tabs>
        <w:spacing w:line="240" w:lineRule="auto"/>
        <w:ind w:right="-2"/>
        <w:rPr>
          <w:szCs w:val="22"/>
          <w:lang w:eastAsia="en-GB"/>
        </w:rPr>
      </w:pPr>
      <w:r w:rsidRPr="001775D9">
        <w:rPr>
          <w:szCs w:val="22"/>
          <w:lang w:eastAsia="en-GB"/>
        </w:rPr>
        <w:t xml:space="preserve">AMGEVITA is used to treat </w:t>
      </w:r>
    </w:p>
    <w:p w14:paraId="61EE85B1" w14:textId="77777777" w:rsidR="00E03C85" w:rsidRPr="001775D9" w:rsidRDefault="00E03C85" w:rsidP="00EF343D">
      <w:pPr>
        <w:numPr>
          <w:ilvl w:val="0"/>
          <w:numId w:val="36"/>
        </w:numPr>
        <w:spacing w:line="240" w:lineRule="auto"/>
        <w:ind w:left="567" w:hanging="567"/>
        <w:rPr>
          <w:szCs w:val="22"/>
          <w:lang w:eastAsia="en-GB"/>
        </w:rPr>
      </w:pPr>
      <w:r w:rsidRPr="001775D9">
        <w:rPr>
          <w:szCs w:val="22"/>
          <w:lang w:eastAsia="en-GB"/>
        </w:rPr>
        <w:t>Adults with non-infectious uveitis with inflammation affecting the back of the eye.</w:t>
      </w:r>
    </w:p>
    <w:p w14:paraId="168BCBF8" w14:textId="77777777" w:rsidR="00E03C85" w:rsidRPr="001775D9" w:rsidRDefault="00E03C85" w:rsidP="00EF343D">
      <w:pPr>
        <w:numPr>
          <w:ilvl w:val="0"/>
          <w:numId w:val="36"/>
        </w:numPr>
        <w:spacing w:line="240" w:lineRule="auto"/>
        <w:ind w:left="567" w:hanging="567"/>
        <w:rPr>
          <w:szCs w:val="22"/>
          <w:lang w:eastAsia="en-GB"/>
        </w:rPr>
      </w:pPr>
      <w:r w:rsidRPr="001775D9">
        <w:rPr>
          <w:szCs w:val="22"/>
          <w:lang w:eastAsia="en-GB"/>
        </w:rPr>
        <w:t>Children from 2 years of age with chronic non-infectious uveitis with inflammation affecting the front of the eye.</w:t>
      </w:r>
    </w:p>
    <w:p w14:paraId="0C1C9574" w14:textId="77777777" w:rsidR="00E03C85" w:rsidRPr="001775D9" w:rsidRDefault="00E03C85" w:rsidP="00E03C85">
      <w:pPr>
        <w:tabs>
          <w:tab w:val="clear" w:pos="567"/>
        </w:tabs>
        <w:spacing w:line="240" w:lineRule="auto"/>
        <w:ind w:right="-2"/>
        <w:rPr>
          <w:szCs w:val="22"/>
          <w:lang w:eastAsia="en-GB"/>
        </w:rPr>
      </w:pPr>
    </w:p>
    <w:p w14:paraId="3F9E4AFF" w14:textId="77777777" w:rsidR="00E03C85" w:rsidRPr="001775D9" w:rsidRDefault="00E03C85" w:rsidP="00E03C85">
      <w:pPr>
        <w:tabs>
          <w:tab w:val="clear" w:pos="567"/>
        </w:tabs>
        <w:spacing w:line="240" w:lineRule="auto"/>
        <w:ind w:right="-2"/>
        <w:rPr>
          <w:szCs w:val="22"/>
          <w:lang w:eastAsia="en-GB"/>
        </w:rPr>
      </w:pPr>
      <w:r w:rsidRPr="001775D9">
        <w:rPr>
          <w:szCs w:val="22"/>
          <w:lang w:eastAsia="en-GB"/>
        </w:rPr>
        <w:t>This inflammation may lead to a decrease of vision and/or the presence of floaters in the eye (black dots or wispy lines that move across the field of vision). AMGEVITA works by reducing this inflammation.</w:t>
      </w:r>
    </w:p>
    <w:p w14:paraId="36AFF9E5" w14:textId="77777777" w:rsidR="00E03C85" w:rsidRPr="001775D9" w:rsidRDefault="00E03C85" w:rsidP="00E03C85">
      <w:pPr>
        <w:tabs>
          <w:tab w:val="clear" w:pos="567"/>
        </w:tabs>
        <w:spacing w:line="240" w:lineRule="auto"/>
        <w:ind w:right="-2"/>
        <w:rPr>
          <w:szCs w:val="22"/>
          <w:lang w:eastAsia="en-GB"/>
        </w:rPr>
      </w:pPr>
    </w:p>
    <w:p w14:paraId="18129731" w14:textId="77777777" w:rsidR="00E03C85" w:rsidRPr="001775D9" w:rsidRDefault="00E03C85" w:rsidP="00E03C85">
      <w:pPr>
        <w:tabs>
          <w:tab w:val="clear" w:pos="567"/>
        </w:tabs>
        <w:spacing w:line="240" w:lineRule="auto"/>
        <w:ind w:right="-2"/>
        <w:rPr>
          <w:szCs w:val="22"/>
        </w:rPr>
      </w:pPr>
    </w:p>
    <w:p w14:paraId="1C3EF3D7" w14:textId="77777777" w:rsidR="00E03C85" w:rsidRPr="001775D9" w:rsidRDefault="00E03C85" w:rsidP="00B61D9D">
      <w:pPr>
        <w:keepNext/>
        <w:spacing w:line="240" w:lineRule="auto"/>
        <w:ind w:left="567" w:hanging="567"/>
        <w:rPr>
          <w:b/>
          <w:szCs w:val="22"/>
        </w:rPr>
      </w:pPr>
      <w:r w:rsidRPr="001775D9">
        <w:rPr>
          <w:b/>
        </w:rPr>
        <w:t>2.</w:t>
      </w:r>
      <w:r w:rsidRPr="001775D9">
        <w:rPr>
          <w:b/>
        </w:rPr>
        <w:tab/>
        <w:t xml:space="preserve">What you need to know before you use </w:t>
      </w:r>
      <w:r w:rsidRPr="001775D9">
        <w:rPr>
          <w:b/>
          <w:szCs w:val="22"/>
        </w:rPr>
        <w:t>AMGEVITA</w:t>
      </w:r>
    </w:p>
    <w:p w14:paraId="361D4C0F" w14:textId="77777777" w:rsidR="00E03C85" w:rsidRPr="001775D9" w:rsidRDefault="00E03C85" w:rsidP="00E03C85">
      <w:pPr>
        <w:keepNext/>
        <w:spacing w:line="240" w:lineRule="auto"/>
        <w:ind w:right="-2"/>
        <w:rPr>
          <w:b/>
          <w:szCs w:val="22"/>
        </w:rPr>
      </w:pPr>
    </w:p>
    <w:p w14:paraId="1CFBA3D5" w14:textId="40023450" w:rsidR="00E03C85" w:rsidRPr="001775D9" w:rsidRDefault="00E03C85" w:rsidP="00E03C85">
      <w:pPr>
        <w:keepNext/>
        <w:numPr>
          <w:ilvl w:val="12"/>
          <w:numId w:val="0"/>
        </w:numPr>
        <w:tabs>
          <w:tab w:val="clear" w:pos="567"/>
        </w:tabs>
        <w:spacing w:line="240" w:lineRule="auto"/>
        <w:outlineLvl w:val="0"/>
        <w:rPr>
          <w:b/>
          <w:szCs w:val="22"/>
        </w:rPr>
      </w:pPr>
      <w:r w:rsidRPr="001775D9">
        <w:rPr>
          <w:b/>
          <w:szCs w:val="22"/>
        </w:rPr>
        <w:t>Do not use AMGEVITA:</w:t>
      </w:r>
      <w:r w:rsidR="001C55FB" w:rsidRPr="001775D9">
        <w:rPr>
          <w:b/>
          <w:szCs w:val="22"/>
        </w:rPr>
        <w:fldChar w:fldCharType="begin"/>
      </w:r>
      <w:r w:rsidR="001C55FB" w:rsidRPr="001775D9">
        <w:rPr>
          <w:b/>
          <w:szCs w:val="22"/>
        </w:rPr>
        <w:instrText xml:space="preserve"> DOCVARIABLE vault_nd_4654df56-16de-412c-ad38-26f015a4bd63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CC8E7AF" w14:textId="77777777" w:rsidR="00E03C85" w:rsidRPr="001775D9" w:rsidRDefault="00E03C85" w:rsidP="00E03C85">
      <w:pPr>
        <w:keepNext/>
        <w:numPr>
          <w:ilvl w:val="12"/>
          <w:numId w:val="0"/>
        </w:numPr>
        <w:tabs>
          <w:tab w:val="clear" w:pos="567"/>
        </w:tabs>
        <w:spacing w:line="240" w:lineRule="auto"/>
        <w:outlineLvl w:val="0"/>
        <w:rPr>
          <w:szCs w:val="22"/>
        </w:rPr>
      </w:pPr>
    </w:p>
    <w:p w14:paraId="426D2573" w14:textId="77777777" w:rsidR="00E03C85" w:rsidRPr="00F04F82" w:rsidRDefault="00E03C85" w:rsidP="00D55B59">
      <w:pPr>
        <w:numPr>
          <w:ilvl w:val="12"/>
          <w:numId w:val="0"/>
        </w:numPr>
        <w:spacing w:line="240" w:lineRule="auto"/>
        <w:ind w:left="567" w:hanging="567"/>
        <w:rPr>
          <w:szCs w:val="22"/>
        </w:rPr>
        <w:pPrChange w:id="4716" w:author="Author">
          <w:pPr>
            <w:numPr>
              <w:ilvl w:val="12"/>
            </w:numPr>
            <w:tabs>
              <w:tab w:val="clear" w:pos="567"/>
            </w:tabs>
            <w:spacing w:line="240" w:lineRule="auto"/>
            <w:ind w:left="567" w:hanging="567"/>
          </w:pPr>
        </w:pPrChange>
      </w:pPr>
      <w:r w:rsidRPr="001775D9">
        <w:rPr>
          <w:szCs w:val="22"/>
        </w:rPr>
        <w:t>-</w:t>
      </w:r>
      <w:r w:rsidRPr="001775D9">
        <w:rPr>
          <w:szCs w:val="22"/>
        </w:rPr>
        <w:tab/>
        <w:t xml:space="preserve">if you are allergic to adalimumab or any of the other ingredients of </w:t>
      </w:r>
      <w:r w:rsidRPr="00F04F82">
        <w:t xml:space="preserve">this medicine (listed in </w:t>
      </w:r>
      <w:r w:rsidRPr="001775D9">
        <w:t>section</w:t>
      </w:r>
      <w:r w:rsidRPr="00F04F82">
        <w:rPr>
          <w:lang w:eastAsia="zh-TW"/>
        </w:rPr>
        <w:t> </w:t>
      </w:r>
      <w:r w:rsidRPr="00F04F82">
        <w:t>6)</w:t>
      </w:r>
      <w:r w:rsidRPr="00F04F82">
        <w:rPr>
          <w:szCs w:val="22"/>
        </w:rPr>
        <w:t>.</w:t>
      </w:r>
    </w:p>
    <w:p w14:paraId="704296CC" w14:textId="77777777" w:rsidR="00E03C85" w:rsidRPr="00F04F82" w:rsidRDefault="00E03C85" w:rsidP="00D55B59">
      <w:pPr>
        <w:numPr>
          <w:ilvl w:val="0"/>
          <w:numId w:val="8"/>
        </w:numPr>
        <w:spacing w:line="240" w:lineRule="auto"/>
        <w:ind w:left="567" w:hanging="567"/>
        <w:rPr>
          <w:szCs w:val="22"/>
        </w:rPr>
        <w:pPrChange w:id="4717" w:author="Author">
          <w:pPr>
            <w:numPr>
              <w:numId w:val="8"/>
            </w:numPr>
            <w:tabs>
              <w:tab w:val="clear" w:pos="567"/>
            </w:tabs>
            <w:spacing w:line="240" w:lineRule="auto"/>
            <w:ind w:left="567" w:hanging="567"/>
          </w:pPr>
        </w:pPrChange>
      </w:pPr>
      <w:r w:rsidRPr="001775D9">
        <w:rPr>
          <w:szCs w:val="22"/>
        </w:rPr>
        <w:t>if you have a severe infection, including active tuberculosis</w:t>
      </w:r>
      <w:r w:rsidRPr="00F04F82">
        <w:rPr>
          <w:szCs w:val="22"/>
        </w:rPr>
        <w:t xml:space="preserve">, sepsis (blood infection) or other </w:t>
      </w:r>
      <w:r w:rsidRPr="001775D9">
        <w:rPr>
          <w:szCs w:val="22"/>
        </w:rPr>
        <w:t>opportunistic infections (unusual infections associated with a weakened immune system)</w:t>
      </w:r>
      <w:r w:rsidRPr="00F04F82">
        <w:rPr>
          <w:szCs w:val="22"/>
        </w:rPr>
        <w:t xml:space="preserve"> (see </w:t>
      </w:r>
      <w:r w:rsidRPr="001775D9">
        <w:rPr>
          <w:szCs w:val="22"/>
        </w:rPr>
        <w:t xml:space="preserve">“Warnings and precautions”). It is important that you tell your doctor if you have symptoms of infections, e.g. fever, wounds, feeling tired, dental problems. </w:t>
      </w:r>
    </w:p>
    <w:p w14:paraId="45A01123" w14:textId="77777777" w:rsidR="00E03C85" w:rsidRPr="00D55B59" w:rsidRDefault="00E03C85" w:rsidP="00D55B59">
      <w:pPr>
        <w:pStyle w:val="Default"/>
        <w:numPr>
          <w:ilvl w:val="0"/>
          <w:numId w:val="8"/>
        </w:numPr>
        <w:tabs>
          <w:tab w:val="left" w:pos="567"/>
        </w:tabs>
        <w:ind w:left="567" w:hanging="567"/>
        <w:rPr>
          <w:sz w:val="22"/>
          <w:szCs w:val="22"/>
          <w:lang w:val="en-GB"/>
          <w:rPrChange w:id="4718" w:author="Author">
            <w:rPr>
              <w:sz w:val="22"/>
              <w:szCs w:val="22"/>
            </w:rPr>
          </w:rPrChange>
        </w:rPr>
        <w:pPrChange w:id="4719" w:author="Author">
          <w:pPr>
            <w:pStyle w:val="Default"/>
            <w:numPr>
              <w:numId w:val="8"/>
            </w:numPr>
            <w:ind w:left="567" w:hanging="567"/>
          </w:pPr>
        </w:pPrChange>
      </w:pPr>
      <w:r w:rsidRPr="00D55B59">
        <w:rPr>
          <w:sz w:val="22"/>
          <w:szCs w:val="22"/>
          <w:lang w:val="en-GB"/>
          <w:rPrChange w:id="4720" w:author="Author">
            <w:rPr>
              <w:sz w:val="22"/>
              <w:szCs w:val="22"/>
            </w:rPr>
          </w:rPrChange>
        </w:rPr>
        <w:t xml:space="preserve">if you have moderate or severe heart failure. It is important to tell your doctor if you have had or have a serious heart condition (see “Warnings and precautions”). </w:t>
      </w:r>
    </w:p>
    <w:p w14:paraId="28BE3D77" w14:textId="77777777" w:rsidR="00E03C85" w:rsidRPr="001775D9" w:rsidRDefault="00E03C85" w:rsidP="00E03C85">
      <w:pPr>
        <w:numPr>
          <w:ilvl w:val="12"/>
          <w:numId w:val="0"/>
        </w:numPr>
        <w:tabs>
          <w:tab w:val="clear" w:pos="567"/>
        </w:tabs>
        <w:spacing w:line="240" w:lineRule="auto"/>
        <w:ind w:left="567" w:hanging="567"/>
        <w:rPr>
          <w:szCs w:val="22"/>
        </w:rPr>
      </w:pPr>
    </w:p>
    <w:p w14:paraId="2548B83A" w14:textId="5AD1B484" w:rsidR="00E03C85" w:rsidRPr="001775D9" w:rsidRDefault="00E03C85" w:rsidP="006A71EE">
      <w:pPr>
        <w:keepNext/>
        <w:keepLines/>
        <w:numPr>
          <w:ilvl w:val="12"/>
          <w:numId w:val="0"/>
        </w:numPr>
        <w:tabs>
          <w:tab w:val="clear" w:pos="567"/>
        </w:tabs>
        <w:spacing w:line="240" w:lineRule="auto"/>
        <w:outlineLvl w:val="0"/>
        <w:rPr>
          <w:b/>
          <w:szCs w:val="22"/>
        </w:rPr>
      </w:pPr>
      <w:r w:rsidRPr="001775D9">
        <w:rPr>
          <w:b/>
        </w:rPr>
        <w:t>Warnings and precautions</w:t>
      </w:r>
      <w:r w:rsidR="001C55FB" w:rsidRPr="001775D9">
        <w:rPr>
          <w:b/>
        </w:rPr>
        <w:fldChar w:fldCharType="begin"/>
      </w:r>
      <w:r w:rsidR="001C55FB" w:rsidRPr="001775D9">
        <w:rPr>
          <w:b/>
        </w:rPr>
        <w:instrText xml:space="preserve"> DOCVARIABLE vault_nd_95889110-8548-4630-886f-fe1be52c77a8 \* MERGEFORMAT </w:instrText>
      </w:r>
      <w:r w:rsidR="001C55FB" w:rsidRPr="001775D9">
        <w:rPr>
          <w:b/>
        </w:rPr>
        <w:fldChar w:fldCharType="separate"/>
      </w:r>
      <w:r w:rsidR="001C55FB" w:rsidRPr="001775D9">
        <w:rPr>
          <w:b/>
        </w:rPr>
        <w:t xml:space="preserve"> </w:t>
      </w:r>
      <w:r w:rsidR="001C55FB" w:rsidRPr="001775D9">
        <w:rPr>
          <w:b/>
        </w:rPr>
        <w:fldChar w:fldCharType="end"/>
      </w:r>
    </w:p>
    <w:p w14:paraId="71D0532C" w14:textId="77777777" w:rsidR="00E03C85" w:rsidRPr="001775D9" w:rsidRDefault="00E03C85" w:rsidP="006A71EE">
      <w:pPr>
        <w:keepNext/>
        <w:keepLines/>
        <w:numPr>
          <w:ilvl w:val="12"/>
          <w:numId w:val="0"/>
        </w:numPr>
        <w:tabs>
          <w:tab w:val="clear" w:pos="567"/>
        </w:tabs>
        <w:spacing w:line="240" w:lineRule="auto"/>
      </w:pPr>
    </w:p>
    <w:p w14:paraId="6013B179" w14:textId="77777777" w:rsidR="00E03C85" w:rsidRPr="001775D9" w:rsidRDefault="00E03C85" w:rsidP="006A71EE">
      <w:pPr>
        <w:keepNext/>
        <w:keepLines/>
        <w:numPr>
          <w:ilvl w:val="12"/>
          <w:numId w:val="0"/>
        </w:numPr>
        <w:tabs>
          <w:tab w:val="clear" w:pos="567"/>
        </w:tabs>
        <w:spacing w:line="240" w:lineRule="auto"/>
      </w:pPr>
      <w:r w:rsidRPr="001775D9">
        <w:t xml:space="preserve">Talk to your doctor or pharmacist before using </w:t>
      </w:r>
      <w:r w:rsidRPr="001775D9">
        <w:rPr>
          <w:szCs w:val="22"/>
        </w:rPr>
        <w:t>AMGEVITA</w:t>
      </w:r>
      <w:r w:rsidRPr="001775D9">
        <w:t>:</w:t>
      </w:r>
    </w:p>
    <w:p w14:paraId="6E8C5DC6" w14:textId="77777777" w:rsidR="00E03C85" w:rsidRPr="001775D9" w:rsidRDefault="00E03C85" w:rsidP="006A71EE">
      <w:pPr>
        <w:numPr>
          <w:ilvl w:val="12"/>
          <w:numId w:val="0"/>
        </w:numPr>
        <w:spacing w:line="240" w:lineRule="auto"/>
        <w:ind w:right="-2"/>
        <w:rPr>
          <w:szCs w:val="22"/>
        </w:rPr>
      </w:pPr>
    </w:p>
    <w:p w14:paraId="19F66793" w14:textId="01A5A6F5" w:rsidR="00E03C85" w:rsidRPr="00D55B59" w:rsidRDefault="00E03C85" w:rsidP="006A71EE">
      <w:pPr>
        <w:pStyle w:val="Default"/>
        <w:tabs>
          <w:tab w:val="left" w:pos="567"/>
        </w:tabs>
        <w:rPr>
          <w:sz w:val="22"/>
          <w:szCs w:val="22"/>
          <w:lang w:val="en-GB"/>
          <w:rPrChange w:id="4721" w:author="Author">
            <w:rPr>
              <w:sz w:val="22"/>
              <w:szCs w:val="22"/>
            </w:rPr>
          </w:rPrChange>
        </w:rPr>
      </w:pPr>
      <w:r w:rsidRPr="00D55B59">
        <w:rPr>
          <w:sz w:val="22"/>
          <w:szCs w:val="22"/>
          <w:lang w:val="en-GB"/>
          <w:rPrChange w:id="4722" w:author="Author">
            <w:rPr>
              <w:sz w:val="22"/>
              <w:szCs w:val="22"/>
            </w:rPr>
          </w:rPrChange>
        </w:rPr>
        <w:t>Allergic reaction</w:t>
      </w:r>
      <w:ins w:id="4723" w:author="Author">
        <w:r w:rsidR="008479C4">
          <w:rPr>
            <w:sz w:val="22"/>
            <w:szCs w:val="22"/>
            <w:lang w:val="en-GB"/>
          </w:rPr>
          <w:t>s</w:t>
        </w:r>
      </w:ins>
    </w:p>
    <w:p w14:paraId="1CF02295" w14:textId="77777777" w:rsidR="00E03C85" w:rsidRPr="00D55B59" w:rsidRDefault="00E03C85" w:rsidP="006A71EE">
      <w:pPr>
        <w:pStyle w:val="Default"/>
        <w:tabs>
          <w:tab w:val="left" w:pos="567"/>
        </w:tabs>
        <w:rPr>
          <w:sz w:val="22"/>
          <w:szCs w:val="22"/>
          <w:lang w:val="en-GB"/>
          <w:rPrChange w:id="4724" w:author="Author">
            <w:rPr>
              <w:sz w:val="22"/>
              <w:szCs w:val="22"/>
            </w:rPr>
          </w:rPrChange>
        </w:rPr>
      </w:pPr>
    </w:p>
    <w:p w14:paraId="436B801A" w14:textId="77777777" w:rsidR="00E03C85" w:rsidRPr="00D55B59" w:rsidRDefault="00E03C85" w:rsidP="006A71EE">
      <w:pPr>
        <w:pStyle w:val="Default"/>
        <w:numPr>
          <w:ilvl w:val="0"/>
          <w:numId w:val="9"/>
        </w:numPr>
        <w:tabs>
          <w:tab w:val="left" w:pos="567"/>
        </w:tabs>
        <w:ind w:left="567" w:hanging="567"/>
        <w:rPr>
          <w:sz w:val="22"/>
          <w:szCs w:val="22"/>
          <w:lang w:val="en-GB"/>
          <w:rPrChange w:id="4725" w:author="Author">
            <w:rPr>
              <w:sz w:val="22"/>
              <w:szCs w:val="22"/>
            </w:rPr>
          </w:rPrChange>
        </w:rPr>
      </w:pPr>
      <w:r w:rsidRPr="00D55B59">
        <w:rPr>
          <w:sz w:val="22"/>
          <w:szCs w:val="22"/>
          <w:lang w:val="en-GB"/>
          <w:rPrChange w:id="4726" w:author="Author">
            <w:rPr>
              <w:sz w:val="22"/>
              <w:szCs w:val="22"/>
            </w:rPr>
          </w:rPrChange>
        </w:rPr>
        <w:t>If you experience allergic reactions with symptoms such as chest tightness, wheezing, dizziness, swelling or rash do not inject more AMGEVITA and contact your doctor immediately since, in rare cases, these reactions can be life threatening.</w:t>
      </w:r>
    </w:p>
    <w:p w14:paraId="0E1E3459" w14:textId="77777777" w:rsidR="00E03C85" w:rsidRPr="00D55B59" w:rsidRDefault="00E03C85" w:rsidP="006A71EE">
      <w:pPr>
        <w:pStyle w:val="Default"/>
        <w:tabs>
          <w:tab w:val="left" w:pos="567"/>
        </w:tabs>
        <w:ind w:left="567"/>
        <w:rPr>
          <w:sz w:val="22"/>
          <w:szCs w:val="22"/>
          <w:lang w:val="en-GB"/>
          <w:rPrChange w:id="4727" w:author="Author">
            <w:rPr>
              <w:sz w:val="22"/>
              <w:szCs w:val="22"/>
            </w:rPr>
          </w:rPrChange>
        </w:rPr>
      </w:pPr>
    </w:p>
    <w:p w14:paraId="37CAF813" w14:textId="77777777" w:rsidR="00E03C85" w:rsidRPr="00D55B59" w:rsidRDefault="00E03C85" w:rsidP="006A71EE">
      <w:pPr>
        <w:pStyle w:val="Default"/>
        <w:tabs>
          <w:tab w:val="left" w:pos="567"/>
        </w:tabs>
        <w:rPr>
          <w:sz w:val="22"/>
          <w:szCs w:val="22"/>
          <w:lang w:val="en-GB"/>
          <w:rPrChange w:id="4728" w:author="Author">
            <w:rPr>
              <w:sz w:val="22"/>
              <w:szCs w:val="22"/>
            </w:rPr>
          </w:rPrChange>
        </w:rPr>
      </w:pPr>
      <w:r w:rsidRPr="00D55B59">
        <w:rPr>
          <w:sz w:val="22"/>
          <w:szCs w:val="22"/>
          <w:lang w:val="en-GB"/>
          <w:rPrChange w:id="4729" w:author="Author">
            <w:rPr>
              <w:sz w:val="22"/>
              <w:szCs w:val="22"/>
            </w:rPr>
          </w:rPrChange>
        </w:rPr>
        <w:t>Infections</w:t>
      </w:r>
    </w:p>
    <w:p w14:paraId="009BBE28" w14:textId="77777777" w:rsidR="00E03C85" w:rsidRPr="00D55B59" w:rsidRDefault="00E03C85" w:rsidP="006A71EE">
      <w:pPr>
        <w:pStyle w:val="Default"/>
        <w:tabs>
          <w:tab w:val="left" w:pos="567"/>
        </w:tabs>
        <w:ind w:left="567"/>
        <w:rPr>
          <w:sz w:val="22"/>
          <w:szCs w:val="22"/>
          <w:lang w:val="en-GB"/>
          <w:rPrChange w:id="4730" w:author="Author">
            <w:rPr>
              <w:sz w:val="22"/>
              <w:szCs w:val="22"/>
            </w:rPr>
          </w:rPrChange>
        </w:rPr>
      </w:pPr>
    </w:p>
    <w:p w14:paraId="71DAC26B" w14:textId="77777777" w:rsidR="00E03C85" w:rsidRPr="00D55B59" w:rsidRDefault="00E03C85" w:rsidP="006A71EE">
      <w:pPr>
        <w:pStyle w:val="Default"/>
        <w:numPr>
          <w:ilvl w:val="0"/>
          <w:numId w:val="9"/>
        </w:numPr>
        <w:tabs>
          <w:tab w:val="left" w:pos="567"/>
        </w:tabs>
        <w:ind w:left="567" w:hanging="567"/>
        <w:rPr>
          <w:sz w:val="22"/>
          <w:szCs w:val="22"/>
          <w:lang w:val="en-GB"/>
          <w:rPrChange w:id="4731" w:author="Author">
            <w:rPr>
              <w:sz w:val="22"/>
              <w:szCs w:val="22"/>
            </w:rPr>
          </w:rPrChange>
        </w:rPr>
      </w:pPr>
      <w:r w:rsidRPr="00D55B59">
        <w:rPr>
          <w:sz w:val="22"/>
          <w:szCs w:val="22"/>
          <w:lang w:val="en-GB"/>
          <w:rPrChange w:id="4732" w:author="Author">
            <w:rPr>
              <w:sz w:val="22"/>
              <w:szCs w:val="22"/>
            </w:rPr>
          </w:rPrChange>
        </w:rPr>
        <w:t>If you have an infection, including long-term or localised infection (for example, leg ulcer) consult your doctor before starting AMGEVITA. If you are unsure, contact your doctor.</w:t>
      </w:r>
    </w:p>
    <w:p w14:paraId="7061846C" w14:textId="77777777" w:rsidR="00E03C85" w:rsidRPr="00D55B59" w:rsidRDefault="00E03C85" w:rsidP="006A71EE">
      <w:pPr>
        <w:pStyle w:val="Default"/>
        <w:numPr>
          <w:ilvl w:val="0"/>
          <w:numId w:val="9"/>
        </w:numPr>
        <w:tabs>
          <w:tab w:val="left" w:pos="567"/>
        </w:tabs>
        <w:ind w:left="567" w:hanging="567"/>
        <w:rPr>
          <w:sz w:val="22"/>
          <w:szCs w:val="22"/>
          <w:lang w:val="en-GB"/>
          <w:rPrChange w:id="4733" w:author="Author">
            <w:rPr>
              <w:sz w:val="22"/>
              <w:szCs w:val="22"/>
            </w:rPr>
          </w:rPrChange>
        </w:rPr>
      </w:pPr>
      <w:r w:rsidRPr="00D55B59">
        <w:rPr>
          <w:sz w:val="22"/>
          <w:szCs w:val="22"/>
          <w:lang w:val="en-GB"/>
          <w:rPrChange w:id="4734" w:author="Author">
            <w:rPr>
              <w:sz w:val="22"/>
              <w:szCs w:val="22"/>
            </w:rPr>
          </w:rPrChange>
        </w:rPr>
        <w:t xml:space="preserve">You might get infections more easily while you are receiving AMGEVITA treatment. This risk may increase if your lung function is impaired. These infections may be serious and include tuberculosis, infections caused by viruses, fungi, parasites or bacteria, or other opportunistic infections and sepsis that may, in rare cases, be life-threatening. It is important to tell your doctor if you get symptoms such as fever, wounds, feeling tired or dental problems. Your doctor may recommend temporary discontinuation of AMGEVITA. </w:t>
      </w:r>
    </w:p>
    <w:p w14:paraId="68220ADC" w14:textId="77777777" w:rsidR="00E03C85" w:rsidRPr="00D55B59" w:rsidRDefault="00E03C85" w:rsidP="006A71EE">
      <w:pPr>
        <w:pStyle w:val="Default"/>
        <w:tabs>
          <w:tab w:val="left" w:pos="567"/>
        </w:tabs>
        <w:ind w:left="567" w:hanging="567"/>
        <w:rPr>
          <w:sz w:val="22"/>
          <w:szCs w:val="22"/>
          <w:lang w:val="en-GB"/>
          <w:rPrChange w:id="4735" w:author="Author">
            <w:rPr>
              <w:sz w:val="22"/>
              <w:szCs w:val="22"/>
            </w:rPr>
          </w:rPrChange>
        </w:rPr>
      </w:pPr>
    </w:p>
    <w:p w14:paraId="7D077BDA" w14:textId="77777777" w:rsidR="00E03C85" w:rsidRPr="001775D9" w:rsidRDefault="00E03C85" w:rsidP="00B61D9D">
      <w:pPr>
        <w:spacing w:line="240" w:lineRule="auto"/>
      </w:pPr>
      <w:r w:rsidRPr="001775D9">
        <w:t>Tuberculosis</w:t>
      </w:r>
    </w:p>
    <w:p w14:paraId="2327438C" w14:textId="77777777" w:rsidR="00E03C85" w:rsidRPr="001775D9" w:rsidRDefault="00E03C85" w:rsidP="00B61D9D">
      <w:pPr>
        <w:spacing w:line="240" w:lineRule="auto"/>
        <w:ind w:left="567"/>
      </w:pPr>
    </w:p>
    <w:p w14:paraId="34571452" w14:textId="77777777" w:rsidR="00E03C85" w:rsidRPr="001775D9" w:rsidRDefault="00E03C85" w:rsidP="00B61D9D">
      <w:pPr>
        <w:numPr>
          <w:ilvl w:val="0"/>
          <w:numId w:val="9"/>
        </w:numPr>
        <w:spacing w:line="240" w:lineRule="auto"/>
        <w:ind w:left="567" w:hanging="567"/>
      </w:pPr>
      <w:r w:rsidRPr="001775D9">
        <w:t xml:space="preserve">As cases of tuberculosis have been reported in patients treated with adalimumab, your doctor will check you for signs and symptoms of tuberculosis before starting </w:t>
      </w:r>
      <w:r w:rsidRPr="001775D9">
        <w:rPr>
          <w:szCs w:val="22"/>
        </w:rPr>
        <w:t>AMGEVITA</w:t>
      </w:r>
      <w:r w:rsidRPr="001775D9">
        <w:t xml:space="preserve">. This will include a thorough medical evaluation including your medical history and appropriate screening tests (for example chest x-ray and a tuberculin test). The conduct and results of these tests should be recorded on your </w:t>
      </w:r>
      <w:r w:rsidRPr="001775D9">
        <w:rPr>
          <w:b/>
        </w:rPr>
        <w:t>Patient Reminder Card</w:t>
      </w:r>
      <w:r w:rsidRPr="001775D9">
        <w:t xml:space="preserve">. It is very important that you tell your doctor if you have ever had tuberculosis, or if you have been in close contact with someone who has had tuberculosis. </w:t>
      </w:r>
    </w:p>
    <w:p w14:paraId="0BB36C0D" w14:textId="77777777" w:rsidR="00E03C85" w:rsidRPr="001775D9" w:rsidRDefault="00E03C85" w:rsidP="00B61D9D">
      <w:pPr>
        <w:numPr>
          <w:ilvl w:val="0"/>
          <w:numId w:val="9"/>
        </w:numPr>
        <w:spacing w:line="240" w:lineRule="auto"/>
        <w:ind w:left="567" w:hanging="567"/>
      </w:pPr>
      <w:r w:rsidRPr="001775D9">
        <w:t xml:space="preserve">Tuberculosis can develop during therapy even if you have received preventative treatment for tuberculosis. </w:t>
      </w:r>
    </w:p>
    <w:p w14:paraId="7D44F587" w14:textId="77777777" w:rsidR="00E03C85" w:rsidRPr="001775D9" w:rsidRDefault="00E03C85" w:rsidP="00B61D9D">
      <w:pPr>
        <w:numPr>
          <w:ilvl w:val="0"/>
          <w:numId w:val="9"/>
        </w:numPr>
        <w:spacing w:line="240" w:lineRule="auto"/>
        <w:ind w:left="567" w:hanging="567"/>
      </w:pPr>
      <w:r w:rsidRPr="001775D9">
        <w:t xml:space="preserve">If symptoms of tuberculosis (persistent cough, weight loss, listlessness, mild fever), or any other infection appear during or after therapy, tell your doctor immediately. </w:t>
      </w:r>
    </w:p>
    <w:p w14:paraId="598C2ED5" w14:textId="77777777" w:rsidR="00E03C85" w:rsidRPr="00D55B59" w:rsidRDefault="00E03C85" w:rsidP="006A71EE">
      <w:pPr>
        <w:pStyle w:val="Default"/>
        <w:tabs>
          <w:tab w:val="left" w:pos="567"/>
        </w:tabs>
        <w:ind w:left="567" w:hanging="567"/>
        <w:rPr>
          <w:sz w:val="22"/>
          <w:szCs w:val="22"/>
          <w:lang w:val="en-GB"/>
          <w:rPrChange w:id="4736" w:author="Author">
            <w:rPr>
              <w:sz w:val="22"/>
              <w:szCs w:val="22"/>
            </w:rPr>
          </w:rPrChange>
        </w:rPr>
      </w:pPr>
    </w:p>
    <w:p w14:paraId="71ED85B5" w14:textId="77777777" w:rsidR="00E03C85" w:rsidRPr="001775D9" w:rsidRDefault="00E03C85" w:rsidP="00B61D9D">
      <w:pPr>
        <w:spacing w:line="240" w:lineRule="auto"/>
      </w:pPr>
      <w:r w:rsidRPr="001775D9">
        <w:t>Travel / recurrent infection</w:t>
      </w:r>
    </w:p>
    <w:p w14:paraId="402F52E9" w14:textId="77777777" w:rsidR="00E03C85" w:rsidRPr="001775D9" w:rsidRDefault="00E03C85" w:rsidP="00B61D9D">
      <w:pPr>
        <w:spacing w:line="240" w:lineRule="auto"/>
        <w:ind w:left="567"/>
      </w:pPr>
    </w:p>
    <w:p w14:paraId="728C8CAF" w14:textId="77777777" w:rsidR="00E03C85" w:rsidRPr="001775D9" w:rsidRDefault="00E03C85" w:rsidP="00B61D9D">
      <w:pPr>
        <w:numPr>
          <w:ilvl w:val="0"/>
          <w:numId w:val="10"/>
        </w:numPr>
        <w:spacing w:line="240" w:lineRule="auto"/>
        <w:ind w:left="567" w:hanging="567"/>
      </w:pPr>
      <w:r w:rsidRPr="001775D9">
        <w:t xml:space="preserve">Advise your doctor if you reside or travel in regions where fungal infections such as histoplasmosis, coccidioidomycosis or blastomycosis are endemic. </w:t>
      </w:r>
    </w:p>
    <w:p w14:paraId="14FDFFD3" w14:textId="77777777" w:rsidR="00E03C85" w:rsidRPr="001775D9" w:rsidRDefault="00E03C85" w:rsidP="00B61D9D">
      <w:pPr>
        <w:numPr>
          <w:ilvl w:val="0"/>
          <w:numId w:val="10"/>
        </w:numPr>
        <w:spacing w:line="240" w:lineRule="auto"/>
        <w:ind w:left="567" w:hanging="567"/>
      </w:pPr>
      <w:r w:rsidRPr="001775D9">
        <w:t xml:space="preserve">Advise your doctor if you have a history of recurrent infections or other conditions that increase the risk of infections. </w:t>
      </w:r>
    </w:p>
    <w:p w14:paraId="6F4C0B01" w14:textId="77777777" w:rsidR="00E03C85" w:rsidRPr="001775D9" w:rsidRDefault="00E03C85" w:rsidP="00B61D9D">
      <w:pPr>
        <w:spacing w:line="240" w:lineRule="auto"/>
        <w:ind w:left="567" w:hanging="567"/>
      </w:pPr>
    </w:p>
    <w:p w14:paraId="534F1EE5" w14:textId="77777777" w:rsidR="00E03C85" w:rsidRPr="001775D9" w:rsidRDefault="00E03C85" w:rsidP="00B61D9D">
      <w:pPr>
        <w:spacing w:line="240" w:lineRule="auto"/>
      </w:pPr>
      <w:r w:rsidRPr="001775D9">
        <w:t>Hepatitis B virus</w:t>
      </w:r>
    </w:p>
    <w:p w14:paraId="1D612903" w14:textId="77777777" w:rsidR="00E03C85" w:rsidRPr="001775D9" w:rsidRDefault="00E03C85" w:rsidP="00B61D9D">
      <w:pPr>
        <w:spacing w:line="240" w:lineRule="auto"/>
        <w:ind w:left="567"/>
      </w:pPr>
    </w:p>
    <w:p w14:paraId="336F0832" w14:textId="77777777" w:rsidR="00E03C85" w:rsidRPr="001775D9" w:rsidRDefault="00E03C85" w:rsidP="005D5068">
      <w:pPr>
        <w:numPr>
          <w:ilvl w:val="0"/>
          <w:numId w:val="10"/>
        </w:numPr>
        <w:spacing w:line="240" w:lineRule="auto"/>
        <w:ind w:left="567" w:hanging="567"/>
      </w:pPr>
      <w:r w:rsidRPr="001775D9">
        <w:t xml:space="preserve">Advise your doctor if you are a carrier of the hepatitis B virus (HBV), if you have active HBV or if you think you might be at risk of contracting HBV. Your doctor should test you for HBV. </w:t>
      </w:r>
      <w:r w:rsidRPr="001775D9">
        <w:rPr>
          <w:szCs w:val="22"/>
        </w:rPr>
        <w:t>AMGEVITA</w:t>
      </w:r>
      <w:r w:rsidRPr="001775D9">
        <w:t xml:space="preserve"> can cause reactivation of HBV in people who carry this virus. In some rare cases, especially if you are taking other medicines that suppress the immune system, reactivation of HBV can be life-threatening. </w:t>
      </w:r>
    </w:p>
    <w:p w14:paraId="459A312B" w14:textId="77777777" w:rsidR="00E03C85" w:rsidRPr="001775D9" w:rsidRDefault="00E03C85" w:rsidP="006A71EE">
      <w:pPr>
        <w:pStyle w:val="ListParagraph"/>
      </w:pPr>
    </w:p>
    <w:p w14:paraId="475D11A4" w14:textId="77777777" w:rsidR="00E03C85" w:rsidRPr="001775D9" w:rsidRDefault="00E03C85" w:rsidP="006A71EE">
      <w:pPr>
        <w:tabs>
          <w:tab w:val="clear" w:pos="567"/>
        </w:tabs>
        <w:autoSpaceDE w:val="0"/>
        <w:autoSpaceDN w:val="0"/>
        <w:adjustRightInd w:val="0"/>
        <w:spacing w:line="240" w:lineRule="auto"/>
      </w:pPr>
      <w:r w:rsidRPr="001775D9">
        <w:t>Age over 65 years</w:t>
      </w:r>
    </w:p>
    <w:p w14:paraId="587AA44E" w14:textId="77777777" w:rsidR="00E03C85" w:rsidRPr="001775D9" w:rsidRDefault="00E03C85" w:rsidP="006A71EE">
      <w:pPr>
        <w:tabs>
          <w:tab w:val="clear" w:pos="567"/>
        </w:tabs>
        <w:autoSpaceDE w:val="0"/>
        <w:autoSpaceDN w:val="0"/>
        <w:adjustRightInd w:val="0"/>
        <w:spacing w:line="240" w:lineRule="auto"/>
        <w:ind w:left="567"/>
      </w:pPr>
    </w:p>
    <w:p w14:paraId="73FE3B78" w14:textId="77777777" w:rsidR="00E03C85" w:rsidRPr="00F04F82" w:rsidRDefault="00E03C85" w:rsidP="00D55B59">
      <w:pPr>
        <w:numPr>
          <w:ilvl w:val="0"/>
          <w:numId w:val="10"/>
        </w:numPr>
        <w:spacing w:line="240" w:lineRule="auto"/>
        <w:ind w:left="567" w:hanging="567"/>
        <w:pPrChange w:id="4737" w:author="Author">
          <w:pPr>
            <w:numPr>
              <w:numId w:val="10"/>
            </w:numPr>
            <w:tabs>
              <w:tab w:val="clear" w:pos="567"/>
            </w:tabs>
            <w:autoSpaceDE w:val="0"/>
            <w:autoSpaceDN w:val="0"/>
            <w:adjustRightInd w:val="0"/>
            <w:spacing w:line="240" w:lineRule="auto"/>
            <w:ind w:left="567" w:hanging="567"/>
          </w:pPr>
        </w:pPrChange>
      </w:pPr>
      <w:r w:rsidRPr="00D55B59">
        <w:rPr>
          <w:rPrChange w:id="4738" w:author="Author">
            <w:rPr>
              <w:szCs w:val="22"/>
              <w:lang w:eastAsia="en-GB"/>
            </w:rPr>
          </w:rPrChange>
        </w:rPr>
        <w:t>If</w:t>
      </w:r>
      <w:r w:rsidRPr="001775D9">
        <w:rPr>
          <w:szCs w:val="22"/>
          <w:lang w:eastAsia="en-GB"/>
        </w:rPr>
        <w:t xml:space="preserve"> you are over 65 years you may be more susceptible to infections while taking </w:t>
      </w:r>
      <w:r w:rsidRPr="00F04F82">
        <w:rPr>
          <w:szCs w:val="22"/>
        </w:rPr>
        <w:t>AMGEVITA</w:t>
      </w:r>
      <w:r w:rsidRPr="00F04F82">
        <w:rPr>
          <w:szCs w:val="22"/>
          <w:lang w:eastAsia="en-GB"/>
        </w:rPr>
        <w:t xml:space="preserve">. </w:t>
      </w:r>
      <w:r w:rsidRPr="001775D9">
        <w:rPr>
          <w:szCs w:val="22"/>
          <w:lang w:eastAsia="en-GB"/>
        </w:rPr>
        <w:t xml:space="preserve">You and your doctor should pay special attention to signs of infection while you are being treated with </w:t>
      </w:r>
      <w:r w:rsidRPr="00F04F82">
        <w:rPr>
          <w:szCs w:val="22"/>
        </w:rPr>
        <w:t>AMGEVITA</w:t>
      </w:r>
      <w:r w:rsidRPr="00F04F82">
        <w:rPr>
          <w:szCs w:val="22"/>
          <w:lang w:eastAsia="en-GB"/>
        </w:rPr>
        <w:t xml:space="preserve">. It is important to tell your doctor if you get symptoms of infections, </w:t>
      </w:r>
      <w:r w:rsidRPr="001775D9">
        <w:rPr>
          <w:szCs w:val="22"/>
          <w:lang w:eastAsia="en-GB"/>
        </w:rPr>
        <w:t>such as fever, wounds, feeling tired or dental problems.</w:t>
      </w:r>
    </w:p>
    <w:p w14:paraId="7B3C6373" w14:textId="77777777" w:rsidR="00E03C85" w:rsidRPr="001775D9" w:rsidRDefault="00E03C85" w:rsidP="006A71EE">
      <w:pPr>
        <w:tabs>
          <w:tab w:val="clear" w:pos="567"/>
        </w:tabs>
        <w:autoSpaceDE w:val="0"/>
        <w:autoSpaceDN w:val="0"/>
        <w:adjustRightInd w:val="0"/>
        <w:spacing w:line="240" w:lineRule="auto"/>
      </w:pPr>
    </w:p>
    <w:p w14:paraId="56C03287" w14:textId="77777777" w:rsidR="00E03C85" w:rsidRPr="001775D9" w:rsidRDefault="00E03C85" w:rsidP="006A71EE">
      <w:pPr>
        <w:tabs>
          <w:tab w:val="clear" w:pos="567"/>
        </w:tabs>
        <w:autoSpaceDE w:val="0"/>
        <w:autoSpaceDN w:val="0"/>
        <w:adjustRightInd w:val="0"/>
        <w:spacing w:line="240" w:lineRule="auto"/>
        <w:rPr>
          <w:szCs w:val="22"/>
          <w:lang w:eastAsia="en-GB"/>
        </w:rPr>
      </w:pPr>
      <w:r w:rsidRPr="001775D9">
        <w:rPr>
          <w:szCs w:val="22"/>
          <w:lang w:eastAsia="en-GB"/>
        </w:rPr>
        <w:t>Surgery or dental procedures</w:t>
      </w:r>
    </w:p>
    <w:p w14:paraId="265F59B5" w14:textId="77777777" w:rsidR="00E03C85" w:rsidRPr="001775D9" w:rsidRDefault="00E03C85" w:rsidP="006A71EE">
      <w:pPr>
        <w:tabs>
          <w:tab w:val="clear" w:pos="567"/>
        </w:tabs>
        <w:autoSpaceDE w:val="0"/>
        <w:autoSpaceDN w:val="0"/>
        <w:adjustRightInd w:val="0"/>
        <w:spacing w:line="240" w:lineRule="auto"/>
        <w:ind w:left="567"/>
        <w:rPr>
          <w:szCs w:val="22"/>
          <w:lang w:eastAsia="en-GB"/>
        </w:rPr>
      </w:pPr>
    </w:p>
    <w:p w14:paraId="3301477A" w14:textId="77777777" w:rsidR="00E03C85" w:rsidRPr="00F04F82" w:rsidRDefault="00E03C85" w:rsidP="00D55B59">
      <w:pPr>
        <w:numPr>
          <w:ilvl w:val="0"/>
          <w:numId w:val="10"/>
        </w:numPr>
        <w:spacing w:line="240" w:lineRule="auto"/>
        <w:ind w:left="567" w:hanging="567"/>
        <w:rPr>
          <w:szCs w:val="22"/>
          <w:lang w:eastAsia="en-GB"/>
        </w:rPr>
        <w:pPrChange w:id="4739" w:author="Author">
          <w:pPr>
            <w:numPr>
              <w:numId w:val="10"/>
            </w:numPr>
            <w:tabs>
              <w:tab w:val="clear" w:pos="567"/>
            </w:tabs>
            <w:autoSpaceDE w:val="0"/>
            <w:autoSpaceDN w:val="0"/>
            <w:adjustRightInd w:val="0"/>
            <w:spacing w:line="240" w:lineRule="auto"/>
            <w:ind w:left="567" w:hanging="567"/>
          </w:pPr>
        </w:pPrChange>
      </w:pPr>
      <w:r w:rsidRPr="001775D9">
        <w:rPr>
          <w:szCs w:val="22"/>
          <w:lang w:eastAsia="en-GB"/>
        </w:rPr>
        <w:t xml:space="preserve">If you are about to undergo surgery or dental procedures please inform your doctor that you are taking </w:t>
      </w:r>
      <w:r w:rsidRPr="00F04F82">
        <w:rPr>
          <w:szCs w:val="22"/>
        </w:rPr>
        <w:t>AMGEVITA</w:t>
      </w:r>
      <w:r w:rsidRPr="00F04F82">
        <w:rPr>
          <w:szCs w:val="22"/>
          <w:lang w:eastAsia="en-GB"/>
        </w:rPr>
        <w:t xml:space="preserve">. Your doctor may recommend temporary discontinuation of </w:t>
      </w:r>
      <w:r w:rsidRPr="00F04F82">
        <w:rPr>
          <w:szCs w:val="22"/>
        </w:rPr>
        <w:t>AMGEVITA</w:t>
      </w:r>
      <w:r w:rsidRPr="00F04F82">
        <w:rPr>
          <w:szCs w:val="22"/>
          <w:lang w:eastAsia="en-GB"/>
        </w:rPr>
        <w:t>.</w:t>
      </w:r>
    </w:p>
    <w:p w14:paraId="531FDB2D" w14:textId="77777777" w:rsidR="00E03C85" w:rsidRPr="001775D9" w:rsidRDefault="00E03C85" w:rsidP="006A71EE">
      <w:pPr>
        <w:tabs>
          <w:tab w:val="clear" w:pos="567"/>
        </w:tabs>
        <w:autoSpaceDE w:val="0"/>
        <w:autoSpaceDN w:val="0"/>
        <w:adjustRightInd w:val="0"/>
        <w:spacing w:line="240" w:lineRule="auto"/>
        <w:rPr>
          <w:szCs w:val="22"/>
          <w:lang w:eastAsia="en-GB"/>
        </w:rPr>
      </w:pPr>
    </w:p>
    <w:p w14:paraId="08282E9C" w14:textId="77777777" w:rsidR="00E03C85" w:rsidRPr="001775D9" w:rsidRDefault="00E03C85" w:rsidP="006A71EE">
      <w:pPr>
        <w:tabs>
          <w:tab w:val="clear" w:pos="567"/>
        </w:tabs>
        <w:autoSpaceDE w:val="0"/>
        <w:autoSpaceDN w:val="0"/>
        <w:adjustRightInd w:val="0"/>
        <w:spacing w:line="240" w:lineRule="auto"/>
        <w:rPr>
          <w:szCs w:val="22"/>
          <w:lang w:eastAsia="en-GB"/>
        </w:rPr>
      </w:pPr>
      <w:r w:rsidRPr="001775D9">
        <w:rPr>
          <w:szCs w:val="22"/>
          <w:lang w:eastAsia="en-GB"/>
        </w:rPr>
        <w:t>Demyelinating disease</w:t>
      </w:r>
    </w:p>
    <w:p w14:paraId="0890C14F" w14:textId="77777777" w:rsidR="00E03C85" w:rsidRPr="001775D9" w:rsidRDefault="00E03C85" w:rsidP="006A71EE">
      <w:pPr>
        <w:tabs>
          <w:tab w:val="clear" w:pos="567"/>
        </w:tabs>
        <w:autoSpaceDE w:val="0"/>
        <w:autoSpaceDN w:val="0"/>
        <w:adjustRightInd w:val="0"/>
        <w:spacing w:line="240" w:lineRule="auto"/>
        <w:ind w:left="567"/>
        <w:rPr>
          <w:szCs w:val="22"/>
          <w:lang w:eastAsia="en-GB"/>
        </w:rPr>
      </w:pPr>
    </w:p>
    <w:p w14:paraId="3454B4BD" w14:textId="77777777" w:rsidR="00E03C85" w:rsidRPr="00F04F82" w:rsidRDefault="00E03C85" w:rsidP="00D55B59">
      <w:pPr>
        <w:numPr>
          <w:ilvl w:val="0"/>
          <w:numId w:val="10"/>
        </w:numPr>
        <w:spacing w:line="240" w:lineRule="auto"/>
        <w:ind w:left="567" w:hanging="567"/>
        <w:rPr>
          <w:szCs w:val="22"/>
          <w:lang w:eastAsia="en-GB"/>
        </w:rPr>
        <w:pPrChange w:id="4740" w:author="Author">
          <w:pPr>
            <w:numPr>
              <w:numId w:val="10"/>
            </w:numPr>
            <w:tabs>
              <w:tab w:val="clear" w:pos="567"/>
            </w:tabs>
            <w:autoSpaceDE w:val="0"/>
            <w:autoSpaceDN w:val="0"/>
            <w:adjustRightInd w:val="0"/>
            <w:spacing w:line="240" w:lineRule="auto"/>
            <w:ind w:left="567" w:hanging="567"/>
          </w:pPr>
        </w:pPrChange>
      </w:pPr>
      <w:r w:rsidRPr="001775D9">
        <w:rPr>
          <w:szCs w:val="22"/>
          <w:lang w:eastAsia="en-GB"/>
        </w:rPr>
        <w:t>If you have</w:t>
      </w:r>
      <w:r w:rsidRPr="00F04F82">
        <w:rPr>
          <w:szCs w:val="22"/>
          <w:lang w:eastAsia="en-GB"/>
        </w:rPr>
        <w:t xml:space="preserve"> or develop demyelinating disease such as multiple sclerosis, your doctor will decide </w:t>
      </w:r>
      <w:r w:rsidRPr="001775D9">
        <w:rPr>
          <w:szCs w:val="22"/>
          <w:lang w:eastAsia="en-GB"/>
        </w:rPr>
        <w:t xml:space="preserve">if you should receive </w:t>
      </w:r>
      <w:r w:rsidRPr="00F04F82">
        <w:rPr>
          <w:szCs w:val="22"/>
          <w:lang w:eastAsia="en-GB"/>
        </w:rPr>
        <w:t xml:space="preserve">or continue to receive </w:t>
      </w:r>
      <w:r w:rsidRPr="00F04F82">
        <w:rPr>
          <w:szCs w:val="22"/>
        </w:rPr>
        <w:t>AMGEVITA</w:t>
      </w:r>
      <w:r w:rsidRPr="00F04F82">
        <w:t xml:space="preserve">. </w:t>
      </w:r>
      <w:r w:rsidRPr="00F04F82">
        <w:rPr>
          <w:szCs w:val="22"/>
          <w:lang w:eastAsia="en-GB"/>
        </w:rPr>
        <w:t xml:space="preserve">Tell your doctor immediately if you </w:t>
      </w:r>
      <w:r w:rsidRPr="001775D9">
        <w:rPr>
          <w:szCs w:val="22"/>
          <w:lang w:eastAsia="en-GB"/>
        </w:rPr>
        <w:t>experience symptoms like changes in your vision, weakness in your arms or legs or numbness</w:t>
      </w:r>
      <w:r w:rsidRPr="00F04F82">
        <w:rPr>
          <w:szCs w:val="22"/>
          <w:lang w:eastAsia="en-GB"/>
        </w:rPr>
        <w:t xml:space="preserve"> </w:t>
      </w:r>
      <w:r w:rsidRPr="001775D9">
        <w:rPr>
          <w:szCs w:val="22"/>
          <w:lang w:eastAsia="en-GB"/>
        </w:rPr>
        <w:t>or tingling in any part of your body.</w:t>
      </w:r>
    </w:p>
    <w:p w14:paraId="30A6839D" w14:textId="77777777" w:rsidR="00E03C85" w:rsidRPr="001775D9" w:rsidRDefault="00E03C85" w:rsidP="006A71EE">
      <w:pPr>
        <w:tabs>
          <w:tab w:val="clear" w:pos="567"/>
        </w:tabs>
        <w:autoSpaceDE w:val="0"/>
        <w:autoSpaceDN w:val="0"/>
        <w:adjustRightInd w:val="0"/>
        <w:spacing w:line="240" w:lineRule="auto"/>
        <w:ind w:left="567" w:hanging="567"/>
        <w:rPr>
          <w:szCs w:val="22"/>
          <w:lang w:eastAsia="en-GB"/>
        </w:rPr>
      </w:pPr>
    </w:p>
    <w:p w14:paraId="7F13E66A" w14:textId="77777777" w:rsidR="00E03C85" w:rsidRPr="001775D9" w:rsidRDefault="00E03C85" w:rsidP="006A71EE">
      <w:pPr>
        <w:tabs>
          <w:tab w:val="clear" w:pos="567"/>
        </w:tabs>
        <w:autoSpaceDE w:val="0"/>
        <w:autoSpaceDN w:val="0"/>
        <w:adjustRightInd w:val="0"/>
        <w:spacing w:line="240" w:lineRule="auto"/>
        <w:rPr>
          <w:szCs w:val="22"/>
          <w:lang w:eastAsia="en-GB"/>
        </w:rPr>
      </w:pPr>
      <w:r w:rsidRPr="001775D9">
        <w:rPr>
          <w:szCs w:val="22"/>
          <w:lang w:eastAsia="en-GB"/>
        </w:rPr>
        <w:t>Vaccinations</w:t>
      </w:r>
    </w:p>
    <w:p w14:paraId="397B5C2E" w14:textId="77777777" w:rsidR="00E03C85" w:rsidRPr="001775D9" w:rsidRDefault="00E03C85" w:rsidP="006A71EE">
      <w:pPr>
        <w:tabs>
          <w:tab w:val="clear" w:pos="567"/>
        </w:tabs>
        <w:autoSpaceDE w:val="0"/>
        <w:autoSpaceDN w:val="0"/>
        <w:adjustRightInd w:val="0"/>
        <w:spacing w:line="240" w:lineRule="auto"/>
        <w:rPr>
          <w:szCs w:val="22"/>
          <w:lang w:eastAsia="en-GB"/>
        </w:rPr>
      </w:pPr>
    </w:p>
    <w:p w14:paraId="4C8C2B4C" w14:textId="77777777" w:rsidR="00E03C85" w:rsidRPr="00F04F82" w:rsidRDefault="00E03C85" w:rsidP="00D55B59">
      <w:pPr>
        <w:numPr>
          <w:ilvl w:val="0"/>
          <w:numId w:val="10"/>
        </w:numPr>
        <w:spacing w:line="240" w:lineRule="auto"/>
        <w:ind w:left="567" w:hanging="567"/>
        <w:rPr>
          <w:szCs w:val="22"/>
          <w:lang w:eastAsia="en-GB"/>
        </w:rPr>
        <w:pPrChange w:id="4741"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 xml:space="preserve">Certain vaccines </w:t>
      </w:r>
      <w:r w:rsidRPr="00F04F82">
        <w:rPr>
          <w:szCs w:val="22"/>
          <w:lang w:eastAsia="en-GB"/>
        </w:rPr>
        <w:t xml:space="preserve">contain living but weakened forms of disease-causing bacteria or viruses that </w:t>
      </w:r>
      <w:r w:rsidRPr="001775D9">
        <w:rPr>
          <w:szCs w:val="22"/>
          <w:lang w:eastAsia="en-GB"/>
        </w:rPr>
        <w:t xml:space="preserve">may cause infections and should not be given while receiving </w:t>
      </w:r>
      <w:r w:rsidRPr="00F04F82">
        <w:rPr>
          <w:szCs w:val="22"/>
        </w:rPr>
        <w:t>AMGEVITA</w:t>
      </w:r>
      <w:r w:rsidRPr="00F04F82">
        <w:rPr>
          <w:szCs w:val="22"/>
          <w:lang w:eastAsia="en-GB"/>
        </w:rPr>
        <w:t xml:space="preserve">. Please check with </w:t>
      </w:r>
      <w:r w:rsidRPr="001775D9">
        <w:rPr>
          <w:szCs w:val="22"/>
          <w:lang w:eastAsia="en-GB"/>
        </w:rPr>
        <w:t xml:space="preserve">your doctor before you receive any vaccines. It is recommended that children, if possible, be brought up to date with all immunisations in agreement with current immunisation guidelines prior to initiating </w:t>
      </w:r>
      <w:r w:rsidRPr="00F04F82">
        <w:rPr>
          <w:szCs w:val="22"/>
        </w:rPr>
        <w:t>AMGEVITA</w:t>
      </w:r>
      <w:r w:rsidRPr="00F04F82">
        <w:rPr>
          <w:szCs w:val="22"/>
          <w:lang w:eastAsia="en-GB"/>
        </w:rPr>
        <w:t xml:space="preserve"> therapy. </w:t>
      </w:r>
    </w:p>
    <w:p w14:paraId="3865F39A" w14:textId="77777777" w:rsidR="00E03C85" w:rsidRPr="00F04F82" w:rsidRDefault="00E03C85" w:rsidP="00D55B59">
      <w:pPr>
        <w:numPr>
          <w:ilvl w:val="0"/>
          <w:numId w:val="10"/>
        </w:numPr>
        <w:spacing w:line="240" w:lineRule="auto"/>
        <w:ind w:left="567" w:hanging="567"/>
        <w:rPr>
          <w:szCs w:val="22"/>
          <w:lang w:eastAsia="en-GB"/>
        </w:rPr>
        <w:pPrChange w:id="4742"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 xml:space="preserve">If you received </w:t>
      </w:r>
      <w:r w:rsidRPr="00F04F82">
        <w:rPr>
          <w:szCs w:val="22"/>
        </w:rPr>
        <w:t>AMGEVITA</w:t>
      </w:r>
      <w:r w:rsidRPr="00F04F82">
        <w:rPr>
          <w:szCs w:val="22"/>
          <w:lang w:eastAsia="en-GB"/>
        </w:rPr>
        <w:t xml:space="preserve"> while you were pregnant, your baby may be at higher risk for </w:t>
      </w:r>
      <w:r w:rsidRPr="001775D9">
        <w:rPr>
          <w:szCs w:val="22"/>
          <w:lang w:eastAsia="en-GB"/>
        </w:rPr>
        <w:t xml:space="preserve">getting such an infection for up to approximately five months after the last dose you received during pregnancy. It is important that you tell your baby's doctors and other health care professionals about your </w:t>
      </w:r>
      <w:r w:rsidRPr="00F04F82">
        <w:rPr>
          <w:szCs w:val="22"/>
        </w:rPr>
        <w:t>AMGEVITA</w:t>
      </w:r>
      <w:r w:rsidRPr="00F04F82">
        <w:rPr>
          <w:szCs w:val="22"/>
          <w:lang w:eastAsia="en-GB"/>
        </w:rPr>
        <w:t xml:space="preserve"> use during your pregnancy so they can decide when your </w:t>
      </w:r>
      <w:r w:rsidRPr="001775D9">
        <w:rPr>
          <w:szCs w:val="22"/>
          <w:lang w:eastAsia="en-GB"/>
        </w:rPr>
        <w:t>baby should receive any vaccine.</w:t>
      </w:r>
    </w:p>
    <w:p w14:paraId="3A3F317D" w14:textId="77777777" w:rsidR="00E03C85" w:rsidRPr="001775D9" w:rsidRDefault="00E03C85" w:rsidP="006A71EE">
      <w:pPr>
        <w:tabs>
          <w:tab w:val="clear" w:pos="567"/>
        </w:tabs>
        <w:autoSpaceDE w:val="0"/>
        <w:autoSpaceDN w:val="0"/>
        <w:adjustRightInd w:val="0"/>
        <w:spacing w:line="240" w:lineRule="auto"/>
        <w:ind w:left="567" w:hanging="567"/>
        <w:rPr>
          <w:szCs w:val="22"/>
          <w:lang w:eastAsia="en-GB"/>
        </w:rPr>
      </w:pPr>
    </w:p>
    <w:p w14:paraId="255A5A62" w14:textId="77777777" w:rsidR="00E03C85" w:rsidRPr="001775D9" w:rsidRDefault="00E03C85" w:rsidP="006A71EE">
      <w:pPr>
        <w:tabs>
          <w:tab w:val="clear" w:pos="567"/>
        </w:tabs>
        <w:autoSpaceDE w:val="0"/>
        <w:autoSpaceDN w:val="0"/>
        <w:adjustRightInd w:val="0"/>
        <w:spacing w:line="240" w:lineRule="auto"/>
        <w:rPr>
          <w:szCs w:val="22"/>
          <w:lang w:eastAsia="en-GB"/>
        </w:rPr>
      </w:pPr>
      <w:r w:rsidRPr="001775D9">
        <w:rPr>
          <w:szCs w:val="22"/>
          <w:lang w:eastAsia="en-GB"/>
        </w:rPr>
        <w:t>Heart failure</w:t>
      </w:r>
    </w:p>
    <w:p w14:paraId="164A3081" w14:textId="77777777" w:rsidR="00E03C85" w:rsidRPr="001775D9" w:rsidRDefault="00E03C85" w:rsidP="006A71EE">
      <w:pPr>
        <w:tabs>
          <w:tab w:val="clear" w:pos="567"/>
        </w:tabs>
        <w:autoSpaceDE w:val="0"/>
        <w:autoSpaceDN w:val="0"/>
        <w:adjustRightInd w:val="0"/>
        <w:spacing w:line="240" w:lineRule="auto"/>
        <w:ind w:left="567"/>
        <w:rPr>
          <w:szCs w:val="22"/>
          <w:lang w:eastAsia="en-GB"/>
        </w:rPr>
      </w:pPr>
    </w:p>
    <w:p w14:paraId="3733829B" w14:textId="77777777" w:rsidR="00E03C85" w:rsidRPr="00F04F82" w:rsidRDefault="00E03C85" w:rsidP="00D55B59">
      <w:pPr>
        <w:numPr>
          <w:ilvl w:val="0"/>
          <w:numId w:val="10"/>
        </w:numPr>
        <w:spacing w:line="240" w:lineRule="auto"/>
        <w:ind w:left="567" w:hanging="567"/>
        <w:rPr>
          <w:szCs w:val="22"/>
          <w:lang w:eastAsia="en-GB"/>
        </w:rPr>
        <w:pPrChange w:id="4743"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 xml:space="preserve">If you have mild heart failure and you are being treated with </w:t>
      </w:r>
      <w:r w:rsidRPr="00F04F82">
        <w:rPr>
          <w:szCs w:val="22"/>
        </w:rPr>
        <w:t>AMGEVITA</w:t>
      </w:r>
      <w:r w:rsidRPr="00F04F82">
        <w:rPr>
          <w:szCs w:val="22"/>
          <w:lang w:eastAsia="en-GB"/>
        </w:rPr>
        <w:t xml:space="preserve">, your heart failure </w:t>
      </w:r>
      <w:r w:rsidRPr="001775D9">
        <w:rPr>
          <w:szCs w:val="22"/>
          <w:lang w:eastAsia="en-GB"/>
        </w:rPr>
        <w:t>status must be closely monitored by your doctor. It is important to tell your doctor if you have had or have a serious heart condition. If you develop new or worsening symptoms of heart failure (e.g. shortness of breath, or swelling of your feet), you must contact your doctor immediately. Your doctor will decide if you should receive AMGEVITA.</w:t>
      </w:r>
    </w:p>
    <w:p w14:paraId="4E26418F" w14:textId="77777777" w:rsidR="00E03C85" w:rsidRPr="001775D9" w:rsidRDefault="00E03C85" w:rsidP="006A71EE">
      <w:pPr>
        <w:tabs>
          <w:tab w:val="clear" w:pos="567"/>
        </w:tabs>
        <w:autoSpaceDE w:val="0"/>
        <w:autoSpaceDN w:val="0"/>
        <w:adjustRightInd w:val="0"/>
        <w:spacing w:line="240" w:lineRule="auto"/>
        <w:rPr>
          <w:szCs w:val="22"/>
          <w:lang w:eastAsia="en-GB"/>
        </w:rPr>
      </w:pPr>
    </w:p>
    <w:p w14:paraId="2CADEF34" w14:textId="77777777" w:rsidR="00E03C85" w:rsidRPr="001775D9" w:rsidRDefault="00E03C85" w:rsidP="006A71EE">
      <w:pPr>
        <w:tabs>
          <w:tab w:val="clear" w:pos="567"/>
        </w:tabs>
        <w:autoSpaceDE w:val="0"/>
        <w:autoSpaceDN w:val="0"/>
        <w:adjustRightInd w:val="0"/>
        <w:spacing w:line="240" w:lineRule="auto"/>
        <w:rPr>
          <w:szCs w:val="22"/>
          <w:lang w:eastAsia="en-GB"/>
        </w:rPr>
      </w:pPr>
      <w:r w:rsidRPr="001775D9">
        <w:rPr>
          <w:szCs w:val="22"/>
          <w:lang w:eastAsia="en-GB"/>
        </w:rPr>
        <w:t>Fever, bruising, bleeding or looking pale</w:t>
      </w:r>
    </w:p>
    <w:p w14:paraId="27BE7915" w14:textId="77777777" w:rsidR="00E03C85" w:rsidRPr="001775D9" w:rsidRDefault="00E03C85" w:rsidP="006A71EE">
      <w:pPr>
        <w:tabs>
          <w:tab w:val="clear" w:pos="567"/>
        </w:tabs>
        <w:autoSpaceDE w:val="0"/>
        <w:autoSpaceDN w:val="0"/>
        <w:adjustRightInd w:val="0"/>
        <w:spacing w:line="240" w:lineRule="auto"/>
        <w:ind w:left="567"/>
        <w:rPr>
          <w:szCs w:val="22"/>
          <w:lang w:eastAsia="en-GB"/>
        </w:rPr>
      </w:pPr>
    </w:p>
    <w:p w14:paraId="5137D047" w14:textId="77777777" w:rsidR="00E03C85" w:rsidRPr="00F04F82" w:rsidRDefault="00E03C85" w:rsidP="00D55B59">
      <w:pPr>
        <w:numPr>
          <w:ilvl w:val="0"/>
          <w:numId w:val="10"/>
        </w:numPr>
        <w:spacing w:line="240" w:lineRule="auto"/>
        <w:ind w:left="567" w:hanging="567"/>
        <w:rPr>
          <w:szCs w:val="22"/>
          <w:lang w:eastAsia="en-GB"/>
        </w:rPr>
        <w:pPrChange w:id="4744"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In some patients the body may fail to produce enough of the blood cells that help your body fight infections or help you to stop bleeding. If you develop a fever that does not go away, bruise or bleed very easily or look very pale, call your doctor right away. Your doctor may decide to stop treatment.</w:t>
      </w:r>
    </w:p>
    <w:p w14:paraId="653E0FBA" w14:textId="77777777" w:rsidR="00E03C85" w:rsidRPr="001775D9" w:rsidRDefault="00E03C85" w:rsidP="006A71EE">
      <w:pPr>
        <w:tabs>
          <w:tab w:val="clear" w:pos="567"/>
        </w:tabs>
        <w:autoSpaceDE w:val="0"/>
        <w:autoSpaceDN w:val="0"/>
        <w:adjustRightInd w:val="0"/>
        <w:spacing w:line="240" w:lineRule="auto"/>
        <w:ind w:left="567" w:hanging="567"/>
        <w:rPr>
          <w:szCs w:val="22"/>
          <w:lang w:eastAsia="en-GB"/>
        </w:rPr>
      </w:pPr>
    </w:p>
    <w:p w14:paraId="18EE4DE8" w14:textId="77777777" w:rsidR="00E03C85" w:rsidRPr="001775D9" w:rsidRDefault="00E03C85" w:rsidP="006A71EE">
      <w:pPr>
        <w:tabs>
          <w:tab w:val="clear" w:pos="567"/>
        </w:tabs>
        <w:autoSpaceDE w:val="0"/>
        <w:autoSpaceDN w:val="0"/>
        <w:adjustRightInd w:val="0"/>
        <w:spacing w:line="240" w:lineRule="auto"/>
        <w:rPr>
          <w:szCs w:val="22"/>
          <w:lang w:eastAsia="en-GB"/>
        </w:rPr>
      </w:pPr>
      <w:r w:rsidRPr="001775D9">
        <w:rPr>
          <w:szCs w:val="22"/>
          <w:lang w:eastAsia="en-GB"/>
        </w:rPr>
        <w:t>Cancer</w:t>
      </w:r>
    </w:p>
    <w:p w14:paraId="092F7003" w14:textId="77777777" w:rsidR="00E03C85" w:rsidRPr="001775D9" w:rsidRDefault="00E03C85" w:rsidP="006A71EE">
      <w:pPr>
        <w:tabs>
          <w:tab w:val="clear" w:pos="567"/>
        </w:tabs>
        <w:autoSpaceDE w:val="0"/>
        <w:autoSpaceDN w:val="0"/>
        <w:adjustRightInd w:val="0"/>
        <w:spacing w:line="240" w:lineRule="auto"/>
        <w:ind w:left="567"/>
        <w:rPr>
          <w:szCs w:val="22"/>
          <w:lang w:eastAsia="en-GB"/>
        </w:rPr>
      </w:pPr>
    </w:p>
    <w:p w14:paraId="7BE8D570" w14:textId="77777777" w:rsidR="00E03C85" w:rsidRPr="00F04F82" w:rsidRDefault="00E03C85" w:rsidP="00D55B59">
      <w:pPr>
        <w:numPr>
          <w:ilvl w:val="0"/>
          <w:numId w:val="10"/>
        </w:numPr>
        <w:spacing w:line="240" w:lineRule="auto"/>
        <w:ind w:left="567" w:hanging="567"/>
        <w:rPr>
          <w:szCs w:val="22"/>
          <w:lang w:eastAsia="en-GB"/>
        </w:rPr>
        <w:pPrChange w:id="4745"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 xml:space="preserve">There have been very rare cases of certain kinds of cancer in children and adult patients taking adalimumab or other TNF blockers. People with more serious rheumatoid arthritis that have had the disease for a long time may have a higher than average risk of getting lymphoma (a cancer that affects the lymph system), and leukaemia (a cancer that affects the blood and bone marrow). </w:t>
      </w:r>
    </w:p>
    <w:p w14:paraId="2E512C4A" w14:textId="77777777" w:rsidR="00E03C85" w:rsidRPr="00F04F82" w:rsidRDefault="00E03C85" w:rsidP="00D55B59">
      <w:pPr>
        <w:numPr>
          <w:ilvl w:val="0"/>
          <w:numId w:val="10"/>
        </w:numPr>
        <w:spacing w:line="240" w:lineRule="auto"/>
        <w:ind w:left="567" w:hanging="567"/>
        <w:rPr>
          <w:szCs w:val="22"/>
          <w:lang w:eastAsia="en-GB"/>
        </w:rPr>
        <w:pPrChange w:id="4746"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 xml:space="preserve">If you take </w:t>
      </w:r>
      <w:r w:rsidRPr="00F04F82">
        <w:rPr>
          <w:szCs w:val="22"/>
        </w:rPr>
        <w:t>AMGEVITA</w:t>
      </w:r>
      <w:r w:rsidRPr="00F04F82">
        <w:rPr>
          <w:szCs w:val="22"/>
          <w:lang w:eastAsia="en-GB"/>
        </w:rPr>
        <w:t xml:space="preserve"> the risk of getting lymphoma, leukaemia, or other cancers may </w:t>
      </w:r>
      <w:r w:rsidRPr="001775D9">
        <w:rPr>
          <w:szCs w:val="22"/>
          <w:lang w:eastAsia="en-GB"/>
        </w:rPr>
        <w:t>increase. On rare occasions, a specific and severe type of lymphoma has been observed in patients taking adalimumab. Some of those</w:t>
      </w:r>
      <w:r w:rsidRPr="00F04F82">
        <w:rPr>
          <w:szCs w:val="22"/>
          <w:lang w:eastAsia="en-GB"/>
        </w:rPr>
        <w:t xml:space="preserve"> patients were also treated with azathioprine or 6-</w:t>
      </w:r>
      <w:r w:rsidRPr="001775D9">
        <w:rPr>
          <w:szCs w:val="22"/>
          <w:lang w:eastAsia="en-GB"/>
        </w:rPr>
        <w:t xml:space="preserve">mercaptopurine. Tell your doctor if you are taking azathioprine or 6-mercaptopurine with </w:t>
      </w:r>
      <w:r w:rsidRPr="001775D9">
        <w:rPr>
          <w:szCs w:val="22"/>
        </w:rPr>
        <w:t>AMGEVITA</w:t>
      </w:r>
      <w:r w:rsidRPr="00F04F82">
        <w:rPr>
          <w:szCs w:val="22"/>
          <w:lang w:eastAsia="en-GB"/>
        </w:rPr>
        <w:t xml:space="preserve">. </w:t>
      </w:r>
    </w:p>
    <w:p w14:paraId="7B1CDD6F" w14:textId="77777777" w:rsidR="00E03C85" w:rsidRPr="00F04F82" w:rsidRDefault="00E03C85" w:rsidP="00D55B59">
      <w:pPr>
        <w:numPr>
          <w:ilvl w:val="0"/>
          <w:numId w:val="10"/>
        </w:numPr>
        <w:spacing w:line="240" w:lineRule="auto"/>
        <w:ind w:left="567" w:hanging="567"/>
        <w:rPr>
          <w:szCs w:val="22"/>
          <w:lang w:eastAsia="en-GB"/>
        </w:rPr>
        <w:pPrChange w:id="4747" w:author="Author">
          <w:pPr>
            <w:numPr>
              <w:numId w:val="26"/>
            </w:numPr>
            <w:tabs>
              <w:tab w:val="clear" w:pos="567"/>
            </w:tabs>
            <w:autoSpaceDE w:val="0"/>
            <w:autoSpaceDN w:val="0"/>
            <w:adjustRightInd w:val="0"/>
            <w:spacing w:line="240" w:lineRule="auto"/>
            <w:ind w:left="567" w:hanging="567"/>
          </w:pPr>
        </w:pPrChange>
      </w:pPr>
      <w:r w:rsidRPr="001775D9">
        <w:rPr>
          <w:szCs w:val="22"/>
          <w:lang w:eastAsia="en-GB"/>
        </w:rPr>
        <w:t>In addition</w:t>
      </w:r>
      <w:r w:rsidRPr="00F04F82">
        <w:rPr>
          <w:szCs w:val="22"/>
          <w:lang w:eastAsia="en-GB"/>
        </w:rPr>
        <w:t xml:space="preserve">, cases of non-melanoma skin cancer have been observed in patients taking </w:t>
      </w:r>
      <w:r w:rsidRPr="001775D9">
        <w:rPr>
          <w:szCs w:val="22"/>
          <w:lang w:eastAsia="en-GB"/>
        </w:rPr>
        <w:t>adalimumab. If new skin lesions appear during or after therapy or if existing lesions change appearance, tell your doctor.</w:t>
      </w:r>
    </w:p>
    <w:p w14:paraId="1D67E144" w14:textId="77777777" w:rsidR="00E03C85" w:rsidRPr="001775D9" w:rsidRDefault="00E03C85" w:rsidP="00B61D9D">
      <w:pPr>
        <w:numPr>
          <w:ilvl w:val="0"/>
          <w:numId w:val="11"/>
        </w:numPr>
        <w:spacing w:line="240" w:lineRule="auto"/>
        <w:ind w:left="567" w:hanging="567"/>
      </w:pPr>
      <w:r w:rsidRPr="001775D9">
        <w:t xml:space="preserve">There have been cases of cancers, other than lymphoma in patients with a specific type of lung disease called Chronic Obstructive Pulmonary Disease (COPD) treated with another TNF blocker. If you have COPD, or are a heavy smoker, you should discuss with your doctor whether treatment with a TNF blocker is appropriate for you. </w:t>
      </w:r>
    </w:p>
    <w:p w14:paraId="35399D95" w14:textId="77777777" w:rsidR="00E03C85" w:rsidRPr="001775D9" w:rsidRDefault="00E03C85" w:rsidP="00B61D9D">
      <w:pPr>
        <w:spacing w:line="240" w:lineRule="auto"/>
        <w:ind w:left="567"/>
      </w:pPr>
    </w:p>
    <w:p w14:paraId="7E5F3996" w14:textId="77777777" w:rsidR="00E03C85" w:rsidRPr="001775D9" w:rsidRDefault="00E03C85" w:rsidP="006A71EE">
      <w:pPr>
        <w:suppressAutoHyphens/>
        <w:spacing w:line="240" w:lineRule="auto"/>
      </w:pPr>
      <w:r w:rsidRPr="001775D9">
        <w:t>Autoimmune disease</w:t>
      </w:r>
    </w:p>
    <w:p w14:paraId="2631353E" w14:textId="77777777" w:rsidR="00E03C85" w:rsidRPr="001775D9" w:rsidRDefault="00E03C85" w:rsidP="006A71EE">
      <w:pPr>
        <w:suppressAutoHyphens/>
        <w:spacing w:line="240" w:lineRule="auto"/>
        <w:ind w:left="567"/>
      </w:pPr>
    </w:p>
    <w:p w14:paraId="48D447D7" w14:textId="77777777" w:rsidR="00E03C85" w:rsidRPr="001775D9" w:rsidRDefault="00E03C85" w:rsidP="005D5068">
      <w:pPr>
        <w:numPr>
          <w:ilvl w:val="0"/>
          <w:numId w:val="11"/>
        </w:numPr>
        <w:suppressAutoHyphens/>
        <w:spacing w:line="240" w:lineRule="auto"/>
        <w:ind w:left="567" w:hanging="567"/>
      </w:pPr>
      <w:r w:rsidRPr="001775D9">
        <w:t>On rare occasions, treatment with AMGEVITA could result in lupus-like syndrome. Contact your doctor if symptoms such as persistent unexplained rash, fever, joint pain or tiredness occur.</w:t>
      </w:r>
    </w:p>
    <w:p w14:paraId="12D4E56A" w14:textId="77777777" w:rsidR="00E03C85" w:rsidRPr="001775D9" w:rsidRDefault="00E03C85" w:rsidP="00B61D9D">
      <w:pPr>
        <w:spacing w:line="240" w:lineRule="auto"/>
        <w:rPr>
          <w:szCs w:val="22"/>
        </w:rPr>
      </w:pPr>
    </w:p>
    <w:p w14:paraId="0C71D2FA" w14:textId="77777777" w:rsidR="00E03C85" w:rsidRPr="001775D9" w:rsidRDefault="00E03C85" w:rsidP="006A71EE">
      <w:pPr>
        <w:keepNext/>
        <w:spacing w:line="240" w:lineRule="auto"/>
        <w:ind w:right="-2"/>
        <w:rPr>
          <w:b/>
          <w:szCs w:val="22"/>
        </w:rPr>
      </w:pPr>
      <w:r w:rsidRPr="001775D9">
        <w:t>In order to improve the traceability of this medicine, your doctor or pharmacist should record the name and the lot number of the product you have been given in your patient file. You may also wish to make a note of these details in case you are asked for this information in the future.</w:t>
      </w:r>
    </w:p>
    <w:p w14:paraId="05B76E88" w14:textId="77777777" w:rsidR="00E03C85" w:rsidRPr="001775D9" w:rsidRDefault="00E03C85" w:rsidP="006A71EE">
      <w:pPr>
        <w:numPr>
          <w:ilvl w:val="12"/>
          <w:numId w:val="0"/>
        </w:numPr>
        <w:tabs>
          <w:tab w:val="clear" w:pos="567"/>
        </w:tabs>
        <w:spacing w:line="240" w:lineRule="auto"/>
        <w:ind w:right="-2"/>
        <w:rPr>
          <w:szCs w:val="22"/>
        </w:rPr>
      </w:pPr>
    </w:p>
    <w:p w14:paraId="6918033D" w14:textId="77777777" w:rsidR="00E03C85" w:rsidRPr="001775D9" w:rsidRDefault="00E03C85" w:rsidP="006A71EE">
      <w:pPr>
        <w:numPr>
          <w:ilvl w:val="12"/>
          <w:numId w:val="0"/>
        </w:numPr>
        <w:tabs>
          <w:tab w:val="clear" w:pos="567"/>
        </w:tabs>
        <w:spacing w:line="240" w:lineRule="auto"/>
        <w:rPr>
          <w:b/>
          <w:bCs/>
        </w:rPr>
      </w:pPr>
      <w:r w:rsidRPr="001775D9">
        <w:rPr>
          <w:b/>
          <w:bCs/>
        </w:rPr>
        <w:t>Children and adolescents</w:t>
      </w:r>
    </w:p>
    <w:p w14:paraId="59411EF7" w14:textId="77777777" w:rsidR="00E03C85" w:rsidRPr="00D55B59" w:rsidRDefault="00E03C85" w:rsidP="006A71EE">
      <w:pPr>
        <w:pStyle w:val="Default"/>
        <w:rPr>
          <w:lang w:val="en-GB"/>
          <w:rPrChange w:id="4748" w:author="Author">
            <w:rPr/>
          </w:rPrChange>
        </w:rPr>
      </w:pPr>
    </w:p>
    <w:p w14:paraId="324DC179" w14:textId="77777777" w:rsidR="00E03C85" w:rsidRPr="00F04F82" w:rsidRDefault="00E03C85" w:rsidP="00D55B59">
      <w:pPr>
        <w:numPr>
          <w:ilvl w:val="0"/>
          <w:numId w:val="11"/>
        </w:numPr>
        <w:suppressAutoHyphens/>
        <w:spacing w:line="240" w:lineRule="auto"/>
        <w:ind w:left="567" w:hanging="567"/>
        <w:rPr>
          <w:szCs w:val="22"/>
        </w:rPr>
        <w:pPrChange w:id="4749" w:author="Author">
          <w:pPr>
            <w:pStyle w:val="Default"/>
            <w:numPr>
              <w:numId w:val="12"/>
            </w:numPr>
            <w:ind w:left="567" w:hanging="567"/>
          </w:pPr>
        </w:pPrChange>
      </w:pPr>
      <w:r w:rsidRPr="001775D9">
        <w:rPr>
          <w:szCs w:val="22"/>
        </w:rPr>
        <w:t>Vaccinations: if possible children should be up to date with all vaccinations before using AMGEVITA.</w:t>
      </w:r>
    </w:p>
    <w:p w14:paraId="6C040D54" w14:textId="77777777" w:rsidR="00E03C85" w:rsidRPr="001775D9" w:rsidRDefault="00E03C85" w:rsidP="006A71EE">
      <w:pPr>
        <w:tabs>
          <w:tab w:val="clear" w:pos="567"/>
        </w:tabs>
        <w:autoSpaceDE w:val="0"/>
        <w:autoSpaceDN w:val="0"/>
        <w:adjustRightInd w:val="0"/>
        <w:spacing w:line="240" w:lineRule="auto"/>
        <w:ind w:left="567" w:hanging="567"/>
        <w:rPr>
          <w:szCs w:val="22"/>
        </w:rPr>
      </w:pPr>
    </w:p>
    <w:p w14:paraId="72804F91" w14:textId="77777777" w:rsidR="00E03C85" w:rsidRPr="00F04F82" w:rsidRDefault="00E03C85" w:rsidP="00D55B59">
      <w:pPr>
        <w:numPr>
          <w:ilvl w:val="0"/>
          <w:numId w:val="11"/>
        </w:numPr>
        <w:suppressAutoHyphens/>
        <w:spacing w:line="240" w:lineRule="auto"/>
        <w:ind w:left="567" w:hanging="567"/>
        <w:rPr>
          <w:szCs w:val="22"/>
        </w:rPr>
        <w:pPrChange w:id="4750" w:author="Author">
          <w:pPr>
            <w:pStyle w:val="Default"/>
            <w:numPr>
              <w:numId w:val="12"/>
            </w:numPr>
            <w:ind w:left="567" w:hanging="567"/>
          </w:pPr>
        </w:pPrChange>
      </w:pPr>
      <w:r w:rsidRPr="001775D9">
        <w:rPr>
          <w:szCs w:val="22"/>
        </w:rPr>
        <w:t xml:space="preserve">Do not </w:t>
      </w:r>
      <w:r w:rsidRPr="00F04F82">
        <w:rPr>
          <w:szCs w:val="22"/>
        </w:rPr>
        <w:t xml:space="preserve">give AMGEVITA to children with polyarticular juvenile idiopathic arthritis below the </w:t>
      </w:r>
      <w:r w:rsidRPr="001775D9">
        <w:rPr>
          <w:szCs w:val="22"/>
        </w:rPr>
        <w:t xml:space="preserve">age of 2 years. </w:t>
      </w:r>
    </w:p>
    <w:p w14:paraId="3F7957D9" w14:textId="77777777" w:rsidR="00E03C85" w:rsidRPr="00D55B59" w:rsidRDefault="00E03C85" w:rsidP="006A71EE">
      <w:pPr>
        <w:pStyle w:val="Default"/>
        <w:rPr>
          <w:sz w:val="22"/>
          <w:szCs w:val="22"/>
          <w:lang w:val="en-GB"/>
          <w:rPrChange w:id="4751" w:author="Author">
            <w:rPr>
              <w:sz w:val="22"/>
              <w:szCs w:val="22"/>
            </w:rPr>
          </w:rPrChange>
        </w:rPr>
      </w:pPr>
    </w:p>
    <w:p w14:paraId="2D2C0882" w14:textId="77777777" w:rsidR="00E03C85" w:rsidRPr="00F04F82" w:rsidRDefault="00E03C85" w:rsidP="00D55B59">
      <w:pPr>
        <w:numPr>
          <w:ilvl w:val="0"/>
          <w:numId w:val="11"/>
        </w:numPr>
        <w:suppressAutoHyphens/>
        <w:spacing w:line="240" w:lineRule="auto"/>
        <w:ind w:left="567" w:hanging="567"/>
        <w:rPr>
          <w:szCs w:val="22"/>
        </w:rPr>
        <w:pPrChange w:id="4752" w:author="Author">
          <w:pPr>
            <w:pStyle w:val="Default"/>
            <w:numPr>
              <w:numId w:val="12"/>
            </w:numPr>
            <w:ind w:left="567" w:hanging="567"/>
          </w:pPr>
        </w:pPrChange>
      </w:pPr>
      <w:r w:rsidRPr="001775D9">
        <w:rPr>
          <w:szCs w:val="22"/>
        </w:rPr>
        <w:t>Do not give AMGEVITA to children with plaque psoriasis below the age of 4 years.</w:t>
      </w:r>
    </w:p>
    <w:p w14:paraId="0D4F338E" w14:textId="77777777" w:rsidR="00E03C85" w:rsidRPr="001775D9" w:rsidRDefault="00E03C85" w:rsidP="006A71EE">
      <w:pPr>
        <w:pStyle w:val="ListParagraph"/>
        <w:rPr>
          <w:sz w:val="22"/>
          <w:szCs w:val="22"/>
        </w:rPr>
      </w:pPr>
    </w:p>
    <w:p w14:paraId="32797746" w14:textId="77777777" w:rsidR="00E03C85" w:rsidRPr="00F04F82" w:rsidRDefault="00E03C85" w:rsidP="00D55B59">
      <w:pPr>
        <w:numPr>
          <w:ilvl w:val="0"/>
          <w:numId w:val="11"/>
        </w:numPr>
        <w:suppressAutoHyphens/>
        <w:spacing w:line="240" w:lineRule="auto"/>
        <w:ind w:left="567" w:hanging="567"/>
        <w:rPr>
          <w:szCs w:val="22"/>
        </w:rPr>
        <w:pPrChange w:id="4753" w:author="Author">
          <w:pPr>
            <w:pStyle w:val="Default"/>
            <w:numPr>
              <w:numId w:val="12"/>
            </w:numPr>
            <w:ind w:left="567" w:hanging="567"/>
          </w:pPr>
        </w:pPrChange>
      </w:pPr>
      <w:r w:rsidRPr="001775D9">
        <w:rPr>
          <w:szCs w:val="22"/>
        </w:rPr>
        <w:t xml:space="preserve">Do not give AMGEVITA to children with Crohn’s disease or ulcerative colitis below the age of 6 years. </w:t>
      </w:r>
    </w:p>
    <w:p w14:paraId="78E1841B" w14:textId="77777777" w:rsidR="00E03C85" w:rsidRPr="001775D9" w:rsidRDefault="00E03C85" w:rsidP="006A71EE">
      <w:pPr>
        <w:tabs>
          <w:tab w:val="clear" w:pos="567"/>
        </w:tabs>
        <w:autoSpaceDE w:val="0"/>
        <w:autoSpaceDN w:val="0"/>
        <w:adjustRightInd w:val="0"/>
        <w:spacing w:line="240" w:lineRule="auto"/>
        <w:ind w:left="567" w:hanging="567"/>
      </w:pPr>
    </w:p>
    <w:p w14:paraId="7E95EB2D" w14:textId="77777777" w:rsidR="00E03C85" w:rsidRPr="001775D9" w:rsidRDefault="00E03C85" w:rsidP="006A71EE">
      <w:pPr>
        <w:keepNext/>
        <w:numPr>
          <w:ilvl w:val="12"/>
          <w:numId w:val="0"/>
        </w:numPr>
        <w:tabs>
          <w:tab w:val="clear" w:pos="567"/>
        </w:tabs>
        <w:spacing w:line="240" w:lineRule="auto"/>
        <w:ind w:right="-2"/>
      </w:pPr>
      <w:r w:rsidRPr="001775D9">
        <w:rPr>
          <w:b/>
        </w:rPr>
        <w:t xml:space="preserve">Other medicines and </w:t>
      </w:r>
      <w:r w:rsidRPr="001775D9">
        <w:rPr>
          <w:b/>
          <w:szCs w:val="22"/>
        </w:rPr>
        <w:t>AMGEVITA</w:t>
      </w:r>
      <w:r w:rsidRPr="001775D9">
        <w:rPr>
          <w:b/>
        </w:rPr>
        <w:t xml:space="preserve"> </w:t>
      </w:r>
    </w:p>
    <w:p w14:paraId="586C28CA" w14:textId="77777777" w:rsidR="00E03C85" w:rsidRPr="001775D9" w:rsidRDefault="00E03C85" w:rsidP="006A71EE">
      <w:pPr>
        <w:keepNext/>
        <w:numPr>
          <w:ilvl w:val="12"/>
          <w:numId w:val="0"/>
        </w:numPr>
        <w:tabs>
          <w:tab w:val="clear" w:pos="567"/>
        </w:tabs>
        <w:spacing w:line="240" w:lineRule="auto"/>
        <w:ind w:right="-2"/>
      </w:pPr>
    </w:p>
    <w:p w14:paraId="4865A892" w14:textId="77777777" w:rsidR="00E03C85" w:rsidRPr="001775D9" w:rsidRDefault="00E03C85" w:rsidP="006A71EE">
      <w:pPr>
        <w:keepNext/>
        <w:numPr>
          <w:ilvl w:val="12"/>
          <w:numId w:val="0"/>
        </w:numPr>
        <w:tabs>
          <w:tab w:val="clear" w:pos="567"/>
        </w:tabs>
        <w:spacing w:line="240" w:lineRule="auto"/>
        <w:ind w:right="-2"/>
        <w:rPr>
          <w:szCs w:val="22"/>
        </w:rPr>
      </w:pPr>
      <w:r w:rsidRPr="001775D9">
        <w:t>Tell your doctor or pharmacist if you are taking, have recently taken</w:t>
      </w:r>
      <w:r w:rsidRPr="001775D9">
        <w:rPr>
          <w:szCs w:val="22"/>
        </w:rPr>
        <w:t xml:space="preserve"> </w:t>
      </w:r>
      <w:r w:rsidRPr="001775D9">
        <w:t xml:space="preserve">or might take </w:t>
      </w:r>
      <w:r w:rsidRPr="001775D9">
        <w:rPr>
          <w:szCs w:val="22"/>
        </w:rPr>
        <w:t>any other medicines.</w:t>
      </w:r>
    </w:p>
    <w:p w14:paraId="7F00C50C" w14:textId="77777777" w:rsidR="00E03C85" w:rsidRPr="00D55B59" w:rsidRDefault="00E03C85" w:rsidP="006A71EE">
      <w:pPr>
        <w:pStyle w:val="Default"/>
        <w:keepNext/>
        <w:rPr>
          <w:sz w:val="22"/>
          <w:szCs w:val="22"/>
          <w:lang w:val="en-GB"/>
          <w:rPrChange w:id="4754" w:author="Author">
            <w:rPr>
              <w:sz w:val="22"/>
              <w:szCs w:val="22"/>
            </w:rPr>
          </w:rPrChange>
        </w:rPr>
      </w:pPr>
    </w:p>
    <w:p w14:paraId="5B945FA9" w14:textId="77777777" w:rsidR="00E03C85" w:rsidRPr="00D55B59" w:rsidRDefault="00E03C85" w:rsidP="006A71EE">
      <w:pPr>
        <w:pStyle w:val="Default"/>
        <w:keepNext/>
        <w:rPr>
          <w:sz w:val="22"/>
          <w:szCs w:val="22"/>
          <w:lang w:val="en-GB"/>
          <w:rPrChange w:id="4755" w:author="Author">
            <w:rPr>
              <w:sz w:val="22"/>
              <w:szCs w:val="22"/>
            </w:rPr>
          </w:rPrChange>
        </w:rPr>
      </w:pPr>
      <w:r w:rsidRPr="00D55B59">
        <w:rPr>
          <w:sz w:val="22"/>
          <w:szCs w:val="22"/>
          <w:lang w:val="en-GB"/>
          <w:rPrChange w:id="4756" w:author="Author">
            <w:rPr>
              <w:sz w:val="22"/>
              <w:szCs w:val="22"/>
            </w:rPr>
          </w:rPrChange>
        </w:rPr>
        <w:t xml:space="preserve">AMGEVITA can be taken together with methotrexate or certain disease-modifying anti-rheumatic agents (sulfasalazine, hydroxychloroquine, leflunomide and injectable gold preparations), steroids or pain medications including non-steroidal anti-inflammatory drugs (NSAIDs). </w:t>
      </w:r>
    </w:p>
    <w:p w14:paraId="6626AB70" w14:textId="77777777" w:rsidR="00E03C85" w:rsidRPr="001775D9" w:rsidRDefault="00E03C85" w:rsidP="006A71EE">
      <w:pPr>
        <w:numPr>
          <w:ilvl w:val="12"/>
          <w:numId w:val="0"/>
        </w:numPr>
        <w:tabs>
          <w:tab w:val="clear" w:pos="567"/>
        </w:tabs>
        <w:spacing w:line="240" w:lineRule="auto"/>
        <w:ind w:right="-2"/>
        <w:rPr>
          <w:szCs w:val="22"/>
        </w:rPr>
      </w:pPr>
    </w:p>
    <w:p w14:paraId="748BC7BE" w14:textId="77777777" w:rsidR="00E03C85" w:rsidRPr="001775D9" w:rsidRDefault="00E03C85" w:rsidP="006A71EE">
      <w:pPr>
        <w:numPr>
          <w:ilvl w:val="12"/>
          <w:numId w:val="0"/>
        </w:numPr>
        <w:tabs>
          <w:tab w:val="clear" w:pos="567"/>
        </w:tabs>
        <w:spacing w:line="240" w:lineRule="auto"/>
        <w:ind w:right="-2"/>
        <w:rPr>
          <w:szCs w:val="22"/>
        </w:rPr>
      </w:pPr>
      <w:r w:rsidRPr="001775D9">
        <w:rPr>
          <w:szCs w:val="22"/>
        </w:rPr>
        <w:t xml:space="preserve">You should not take AMGEVITA with medicines containing the active substances, anakinra or abatacept </w:t>
      </w:r>
      <w:r w:rsidRPr="001775D9">
        <w:t>due to increased risk of serious infection</w:t>
      </w:r>
      <w:r w:rsidRPr="001775D9">
        <w:rPr>
          <w:szCs w:val="22"/>
        </w:rPr>
        <w:t>. If you have questions, please ask your doctor.</w:t>
      </w:r>
    </w:p>
    <w:p w14:paraId="317ABEFB" w14:textId="77777777" w:rsidR="00E03C85" w:rsidRPr="001775D9" w:rsidRDefault="00E03C85" w:rsidP="006A71EE">
      <w:pPr>
        <w:numPr>
          <w:ilvl w:val="12"/>
          <w:numId w:val="0"/>
        </w:numPr>
        <w:tabs>
          <w:tab w:val="clear" w:pos="567"/>
        </w:tabs>
        <w:spacing w:line="240" w:lineRule="auto"/>
        <w:ind w:right="-2"/>
        <w:rPr>
          <w:szCs w:val="22"/>
        </w:rPr>
      </w:pPr>
    </w:p>
    <w:p w14:paraId="4CFD7FDF" w14:textId="32944AD7" w:rsidR="00E03C85" w:rsidRPr="001775D9" w:rsidRDefault="00E03C85" w:rsidP="006A71EE">
      <w:pPr>
        <w:keepNext/>
        <w:numPr>
          <w:ilvl w:val="12"/>
          <w:numId w:val="0"/>
        </w:numPr>
        <w:tabs>
          <w:tab w:val="clear" w:pos="567"/>
        </w:tabs>
        <w:spacing w:line="240" w:lineRule="auto"/>
        <w:outlineLvl w:val="0"/>
        <w:rPr>
          <w:b/>
        </w:rPr>
      </w:pPr>
      <w:r w:rsidRPr="001775D9">
        <w:rPr>
          <w:b/>
          <w:szCs w:val="22"/>
        </w:rPr>
        <w:t>Pregnancy and breast-feeding</w:t>
      </w:r>
      <w:r w:rsidR="001C55FB" w:rsidRPr="001775D9">
        <w:rPr>
          <w:b/>
          <w:szCs w:val="22"/>
        </w:rPr>
        <w:fldChar w:fldCharType="begin"/>
      </w:r>
      <w:r w:rsidR="001C55FB" w:rsidRPr="001775D9">
        <w:rPr>
          <w:b/>
          <w:szCs w:val="22"/>
        </w:rPr>
        <w:instrText xml:space="preserve"> DOCVARIABLE vault_nd_904dfde4-b4a6-4a85-9029-d7087706cbed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41F5BF0" w14:textId="77777777" w:rsidR="00E03C85" w:rsidRPr="001775D9" w:rsidRDefault="00E03C85" w:rsidP="006A71EE">
      <w:pPr>
        <w:keepNext/>
        <w:numPr>
          <w:ilvl w:val="12"/>
          <w:numId w:val="0"/>
        </w:numPr>
        <w:tabs>
          <w:tab w:val="clear" w:pos="567"/>
        </w:tabs>
        <w:spacing w:line="240" w:lineRule="auto"/>
        <w:outlineLvl w:val="0"/>
        <w:rPr>
          <w:b/>
          <w:szCs w:val="22"/>
        </w:rPr>
      </w:pPr>
    </w:p>
    <w:p w14:paraId="3216DC6E" w14:textId="77777777" w:rsidR="00E03C85" w:rsidRPr="00D55B59" w:rsidRDefault="00E03C85" w:rsidP="006A71EE">
      <w:pPr>
        <w:pStyle w:val="Default"/>
        <w:numPr>
          <w:ilvl w:val="0"/>
          <w:numId w:val="35"/>
        </w:numPr>
        <w:tabs>
          <w:tab w:val="left" w:pos="567"/>
        </w:tabs>
        <w:ind w:left="567" w:hanging="567"/>
        <w:rPr>
          <w:sz w:val="22"/>
          <w:szCs w:val="22"/>
          <w:lang w:val="en-GB"/>
          <w:rPrChange w:id="4757" w:author="Author">
            <w:rPr>
              <w:sz w:val="22"/>
              <w:szCs w:val="22"/>
            </w:rPr>
          </w:rPrChange>
        </w:rPr>
      </w:pPr>
      <w:r w:rsidRPr="00D55B59">
        <w:rPr>
          <w:sz w:val="22"/>
          <w:szCs w:val="22"/>
          <w:lang w:val="en-GB"/>
          <w:rPrChange w:id="4758" w:author="Author">
            <w:rPr>
              <w:sz w:val="22"/>
              <w:szCs w:val="22"/>
            </w:rPr>
          </w:rPrChange>
        </w:rPr>
        <w:t>You should consider the use of adequate contraception to prevent pregnancy and continue its use for at least 5 months after the last AMGEVITA treatment.</w:t>
      </w:r>
    </w:p>
    <w:p w14:paraId="3213446C" w14:textId="77777777" w:rsidR="00E03C85" w:rsidRPr="001775D9" w:rsidRDefault="00E03C85" w:rsidP="006A71EE">
      <w:pPr>
        <w:pStyle w:val="ListParagraph"/>
        <w:numPr>
          <w:ilvl w:val="0"/>
          <w:numId w:val="35"/>
        </w:numPr>
        <w:tabs>
          <w:tab w:val="left" w:pos="567"/>
        </w:tabs>
        <w:suppressAutoHyphens/>
        <w:ind w:left="567" w:hanging="567"/>
        <w:contextualSpacing w:val="0"/>
        <w:rPr>
          <w:sz w:val="22"/>
          <w:szCs w:val="22"/>
        </w:rPr>
      </w:pPr>
      <w:r w:rsidRPr="001775D9">
        <w:rPr>
          <w:sz w:val="22"/>
          <w:szCs w:val="22"/>
        </w:rPr>
        <w:t>If you are pregnant, think you may be pregnant or are planning to have a baby, ask your doctor for advice about taking this medicine.</w:t>
      </w:r>
    </w:p>
    <w:p w14:paraId="2834C29F" w14:textId="77777777" w:rsidR="00E03C85" w:rsidRPr="001775D9" w:rsidRDefault="00E03C85"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AMGEVITA should only be used during a pregnancy if needed.</w:t>
      </w:r>
    </w:p>
    <w:p w14:paraId="0B1B0A02" w14:textId="77777777" w:rsidR="00E03C85" w:rsidRPr="001775D9" w:rsidRDefault="00E03C85"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According to a pregnancy study, there was no higher risk of birth defects when the mother had received AMGEVITA during pregnancy compared with mothers with the same disease who did not receive AMGEVITA.</w:t>
      </w:r>
    </w:p>
    <w:p w14:paraId="275BA3B4" w14:textId="77777777" w:rsidR="00E03C85" w:rsidRPr="001775D9" w:rsidRDefault="00E03C85"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AMGEVITA can be used during breast-feeding.</w:t>
      </w:r>
    </w:p>
    <w:p w14:paraId="01A3F3FB" w14:textId="77777777" w:rsidR="00E03C85" w:rsidRPr="001775D9" w:rsidRDefault="00E03C85"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If you receive AMGEVITA during your pregnancy, your baby may have a higher risk for getting an infection.</w:t>
      </w:r>
    </w:p>
    <w:p w14:paraId="09D39185" w14:textId="77777777" w:rsidR="00E03C85" w:rsidRPr="001775D9" w:rsidRDefault="00E03C85" w:rsidP="006A71EE">
      <w:pPr>
        <w:pStyle w:val="ListParagraph"/>
        <w:numPr>
          <w:ilvl w:val="0"/>
          <w:numId w:val="35"/>
        </w:numPr>
        <w:tabs>
          <w:tab w:val="left" w:pos="567"/>
          <w:tab w:val="left" w:pos="720"/>
        </w:tabs>
        <w:suppressAutoHyphens/>
        <w:ind w:left="567" w:hanging="567"/>
        <w:contextualSpacing w:val="0"/>
        <w:rPr>
          <w:sz w:val="22"/>
          <w:szCs w:val="22"/>
        </w:rPr>
      </w:pPr>
      <w:r w:rsidRPr="001775D9">
        <w:rPr>
          <w:sz w:val="22"/>
          <w:szCs w:val="22"/>
        </w:rPr>
        <w:t>It is important that you tell your baby’s doctors and other health care professionals about your AMGEVITA use during your pregnancy before the baby receives any vaccine. For more information on vaccines see the “Warnings and precautions” section.</w:t>
      </w:r>
    </w:p>
    <w:p w14:paraId="14824AAD" w14:textId="77777777" w:rsidR="00E03C85" w:rsidRPr="001775D9" w:rsidRDefault="00E03C85" w:rsidP="006A71EE">
      <w:pPr>
        <w:numPr>
          <w:ilvl w:val="12"/>
          <w:numId w:val="0"/>
        </w:numPr>
        <w:tabs>
          <w:tab w:val="clear" w:pos="567"/>
        </w:tabs>
        <w:spacing w:line="240" w:lineRule="auto"/>
        <w:rPr>
          <w:szCs w:val="22"/>
        </w:rPr>
      </w:pPr>
    </w:p>
    <w:p w14:paraId="65778608" w14:textId="36265657" w:rsidR="00E03C85" w:rsidRPr="001775D9" w:rsidRDefault="00E03C85" w:rsidP="006A71EE">
      <w:pPr>
        <w:keepNext/>
        <w:numPr>
          <w:ilvl w:val="12"/>
          <w:numId w:val="0"/>
        </w:numPr>
        <w:tabs>
          <w:tab w:val="clear" w:pos="567"/>
        </w:tabs>
        <w:spacing w:line="240" w:lineRule="auto"/>
        <w:outlineLvl w:val="0"/>
        <w:rPr>
          <w:szCs w:val="22"/>
        </w:rPr>
      </w:pPr>
      <w:r w:rsidRPr="001775D9">
        <w:rPr>
          <w:b/>
          <w:szCs w:val="22"/>
        </w:rPr>
        <w:t>Driving and using machines</w:t>
      </w:r>
      <w:r w:rsidR="001C55FB" w:rsidRPr="001775D9">
        <w:rPr>
          <w:b/>
          <w:szCs w:val="22"/>
        </w:rPr>
        <w:fldChar w:fldCharType="begin"/>
      </w:r>
      <w:r w:rsidR="001C55FB" w:rsidRPr="001775D9">
        <w:rPr>
          <w:b/>
          <w:szCs w:val="22"/>
        </w:rPr>
        <w:instrText xml:space="preserve"> DOCVARIABLE vault_nd_6db9f0b8-9c56-4c23-9091-7d34e0e41a4a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355DC56C" w14:textId="77777777" w:rsidR="00E03C85" w:rsidRPr="001775D9" w:rsidRDefault="00E03C85" w:rsidP="006A71EE">
      <w:pPr>
        <w:keepNext/>
        <w:numPr>
          <w:ilvl w:val="12"/>
          <w:numId w:val="0"/>
        </w:numPr>
        <w:tabs>
          <w:tab w:val="clear" w:pos="567"/>
        </w:tabs>
        <w:spacing w:line="240" w:lineRule="auto"/>
        <w:rPr>
          <w:szCs w:val="22"/>
        </w:rPr>
      </w:pPr>
    </w:p>
    <w:p w14:paraId="696BA097" w14:textId="77777777" w:rsidR="00E03C85" w:rsidRPr="001775D9" w:rsidRDefault="00E03C85" w:rsidP="006A71EE">
      <w:pPr>
        <w:numPr>
          <w:ilvl w:val="12"/>
          <w:numId w:val="0"/>
        </w:numPr>
        <w:tabs>
          <w:tab w:val="clear" w:pos="567"/>
        </w:tabs>
        <w:spacing w:line="240" w:lineRule="auto"/>
        <w:ind w:right="-2"/>
        <w:rPr>
          <w:szCs w:val="22"/>
        </w:rPr>
      </w:pPr>
      <w:r w:rsidRPr="001775D9">
        <w:rPr>
          <w:szCs w:val="22"/>
        </w:rPr>
        <w:t>AMGEVITA may have a minor influence on your ability to drive, cycle or use machines. Room spinning sensation (vertigo) and vision disturbances may occur after taking AMGEVITA.</w:t>
      </w:r>
    </w:p>
    <w:p w14:paraId="60FCB152" w14:textId="77777777" w:rsidR="00E03C85" w:rsidRPr="001775D9" w:rsidRDefault="00E03C85" w:rsidP="006A71EE">
      <w:pPr>
        <w:numPr>
          <w:ilvl w:val="12"/>
          <w:numId w:val="0"/>
        </w:numPr>
        <w:tabs>
          <w:tab w:val="clear" w:pos="567"/>
        </w:tabs>
        <w:spacing w:line="240" w:lineRule="auto"/>
        <w:ind w:right="-2"/>
        <w:rPr>
          <w:szCs w:val="22"/>
        </w:rPr>
      </w:pPr>
    </w:p>
    <w:p w14:paraId="592B8947" w14:textId="7E01E071" w:rsidR="00E03C85" w:rsidRPr="001775D9" w:rsidRDefault="00E03C85" w:rsidP="006A71EE">
      <w:pPr>
        <w:numPr>
          <w:ilvl w:val="12"/>
          <w:numId w:val="0"/>
        </w:numPr>
        <w:tabs>
          <w:tab w:val="clear" w:pos="567"/>
        </w:tabs>
        <w:spacing w:line="240" w:lineRule="auto"/>
        <w:ind w:right="-2"/>
        <w:outlineLvl w:val="0"/>
        <w:rPr>
          <w:b/>
          <w:szCs w:val="22"/>
        </w:rPr>
      </w:pPr>
      <w:r w:rsidRPr="001775D9">
        <w:rPr>
          <w:b/>
          <w:szCs w:val="22"/>
        </w:rPr>
        <w:t>AMGEVITA contains sodium</w:t>
      </w:r>
      <w:r w:rsidR="001C55FB" w:rsidRPr="001775D9">
        <w:rPr>
          <w:b/>
          <w:szCs w:val="22"/>
        </w:rPr>
        <w:fldChar w:fldCharType="begin"/>
      </w:r>
      <w:r w:rsidR="001C55FB" w:rsidRPr="001775D9">
        <w:rPr>
          <w:b/>
          <w:szCs w:val="22"/>
        </w:rPr>
        <w:instrText xml:space="preserve"> DOCVARIABLE vault_nd_3b9ce478-ea48-4479-87db-c0dfebcd42ea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63E579C" w14:textId="77777777" w:rsidR="00E03C85" w:rsidRPr="001775D9" w:rsidRDefault="00E03C85" w:rsidP="006A71EE">
      <w:pPr>
        <w:numPr>
          <w:ilvl w:val="12"/>
          <w:numId w:val="0"/>
        </w:numPr>
        <w:tabs>
          <w:tab w:val="clear" w:pos="567"/>
        </w:tabs>
        <w:spacing w:line="240" w:lineRule="auto"/>
        <w:rPr>
          <w:szCs w:val="22"/>
        </w:rPr>
      </w:pPr>
    </w:p>
    <w:p w14:paraId="50B3EE50" w14:textId="77777777" w:rsidR="00E03C85" w:rsidRPr="001775D9" w:rsidRDefault="00E03C85" w:rsidP="006A71EE">
      <w:pPr>
        <w:numPr>
          <w:ilvl w:val="12"/>
          <w:numId w:val="0"/>
        </w:numPr>
        <w:tabs>
          <w:tab w:val="clear" w:pos="567"/>
        </w:tabs>
        <w:spacing w:line="240" w:lineRule="auto"/>
        <w:rPr>
          <w:szCs w:val="22"/>
        </w:rPr>
      </w:pPr>
      <w:r w:rsidRPr="001775D9">
        <w:rPr>
          <w:szCs w:val="22"/>
        </w:rPr>
        <w:t>This medicine contains less than 1 mmol of sodium (23 mg) per 0.8 mL dose, that is to say essentially ‘sodium-free’.</w:t>
      </w:r>
    </w:p>
    <w:p w14:paraId="21CA499B" w14:textId="77777777" w:rsidR="00E03C85" w:rsidRPr="001775D9" w:rsidRDefault="00E03C85" w:rsidP="006A71EE">
      <w:pPr>
        <w:numPr>
          <w:ilvl w:val="12"/>
          <w:numId w:val="0"/>
        </w:numPr>
        <w:tabs>
          <w:tab w:val="clear" w:pos="567"/>
        </w:tabs>
        <w:spacing w:line="240" w:lineRule="auto"/>
        <w:ind w:right="-2"/>
        <w:rPr>
          <w:szCs w:val="22"/>
        </w:rPr>
      </w:pPr>
    </w:p>
    <w:p w14:paraId="68769147" w14:textId="77777777" w:rsidR="00E03C85" w:rsidRPr="001775D9" w:rsidRDefault="00E03C85" w:rsidP="006A71EE">
      <w:pPr>
        <w:numPr>
          <w:ilvl w:val="12"/>
          <w:numId w:val="0"/>
        </w:numPr>
        <w:tabs>
          <w:tab w:val="clear" w:pos="567"/>
        </w:tabs>
        <w:spacing w:line="240" w:lineRule="auto"/>
        <w:ind w:right="-2"/>
        <w:rPr>
          <w:szCs w:val="22"/>
        </w:rPr>
      </w:pPr>
    </w:p>
    <w:p w14:paraId="27B0460F" w14:textId="77777777" w:rsidR="00E03C85" w:rsidRPr="001775D9" w:rsidRDefault="00E03C85" w:rsidP="00B61D9D">
      <w:pPr>
        <w:keepNext/>
        <w:spacing w:line="240" w:lineRule="auto"/>
        <w:ind w:left="567" w:hanging="567"/>
        <w:rPr>
          <w:b/>
          <w:szCs w:val="22"/>
        </w:rPr>
      </w:pPr>
      <w:r w:rsidRPr="001775D9">
        <w:rPr>
          <w:b/>
          <w:szCs w:val="22"/>
        </w:rPr>
        <w:t>3.</w:t>
      </w:r>
      <w:r w:rsidRPr="001775D9">
        <w:rPr>
          <w:b/>
          <w:szCs w:val="22"/>
        </w:rPr>
        <w:tab/>
        <w:t>H</w:t>
      </w:r>
      <w:r w:rsidRPr="001775D9">
        <w:rPr>
          <w:b/>
        </w:rPr>
        <w:t xml:space="preserve">ow to use </w:t>
      </w:r>
      <w:r w:rsidRPr="001775D9">
        <w:rPr>
          <w:b/>
          <w:szCs w:val="22"/>
        </w:rPr>
        <w:t>AMGEVITA</w:t>
      </w:r>
    </w:p>
    <w:p w14:paraId="307C6B31" w14:textId="77777777" w:rsidR="00E03C85" w:rsidRPr="001775D9" w:rsidRDefault="00E03C85" w:rsidP="006A71EE">
      <w:pPr>
        <w:numPr>
          <w:ilvl w:val="12"/>
          <w:numId w:val="0"/>
        </w:numPr>
        <w:tabs>
          <w:tab w:val="clear" w:pos="567"/>
        </w:tabs>
        <w:spacing w:line="240" w:lineRule="auto"/>
        <w:ind w:right="-2"/>
        <w:rPr>
          <w:szCs w:val="22"/>
        </w:rPr>
      </w:pPr>
    </w:p>
    <w:p w14:paraId="3029040E" w14:textId="77777777" w:rsidR="00E03C85" w:rsidRPr="001775D9" w:rsidRDefault="00E03C85" w:rsidP="00B61D9D">
      <w:pPr>
        <w:numPr>
          <w:ilvl w:val="12"/>
          <w:numId w:val="0"/>
        </w:numPr>
        <w:tabs>
          <w:tab w:val="clear" w:pos="567"/>
          <w:tab w:val="left" w:pos="720"/>
        </w:tabs>
        <w:spacing w:line="240" w:lineRule="auto"/>
        <w:ind w:right="-2"/>
      </w:pPr>
      <w:r w:rsidRPr="001775D9">
        <w:rPr>
          <w:szCs w:val="22"/>
        </w:rPr>
        <w:t xml:space="preserve">Always use </w:t>
      </w:r>
      <w:r w:rsidRPr="001775D9">
        <w:t>this medicine</w:t>
      </w:r>
      <w:r w:rsidRPr="001775D9">
        <w:rPr>
          <w:szCs w:val="22"/>
        </w:rPr>
        <w:t xml:space="preserve"> exactly as your doctor </w:t>
      </w:r>
      <w:r w:rsidRPr="001775D9">
        <w:t xml:space="preserve">or pharmacist </w:t>
      </w:r>
      <w:r w:rsidRPr="001775D9">
        <w:rPr>
          <w:szCs w:val="22"/>
        </w:rPr>
        <w:t xml:space="preserve">has told you. Check with your doctor or pharmacist if you are not sure. </w:t>
      </w:r>
    </w:p>
    <w:p w14:paraId="308D4AFA" w14:textId="77777777" w:rsidR="00E03C85" w:rsidRPr="001775D9" w:rsidRDefault="00E03C85" w:rsidP="006A71EE">
      <w:pPr>
        <w:numPr>
          <w:ilvl w:val="12"/>
          <w:numId w:val="0"/>
        </w:numPr>
        <w:tabs>
          <w:tab w:val="clear" w:pos="567"/>
        </w:tabs>
        <w:spacing w:line="240" w:lineRule="auto"/>
        <w:ind w:right="-2"/>
        <w:rPr>
          <w:szCs w:val="22"/>
        </w:rPr>
      </w:pPr>
    </w:p>
    <w:p w14:paraId="37823402" w14:textId="77777777" w:rsidR="00E03C85" w:rsidRPr="00D55B59" w:rsidRDefault="00E03C85" w:rsidP="006A71EE">
      <w:pPr>
        <w:pStyle w:val="Default"/>
        <w:rPr>
          <w:sz w:val="22"/>
          <w:szCs w:val="22"/>
          <w:u w:val="single"/>
          <w:lang w:val="en-GB"/>
          <w:rPrChange w:id="4759" w:author="Author">
            <w:rPr>
              <w:sz w:val="22"/>
              <w:szCs w:val="22"/>
              <w:u w:val="single"/>
            </w:rPr>
          </w:rPrChange>
        </w:rPr>
      </w:pPr>
      <w:r w:rsidRPr="00D55B59">
        <w:rPr>
          <w:sz w:val="22"/>
          <w:szCs w:val="22"/>
          <w:u w:val="single"/>
          <w:lang w:val="en-GB"/>
          <w:rPrChange w:id="4760" w:author="Author">
            <w:rPr>
              <w:sz w:val="22"/>
              <w:szCs w:val="22"/>
              <w:u w:val="single"/>
            </w:rPr>
          </w:rPrChange>
        </w:rPr>
        <w:t xml:space="preserve">Adults with rheumatoid arthritis, psoriatic arthritis, ankylosing spondylitis or axial spondyloarthritis without radiographic evidence of ankylosing spondylitis </w:t>
      </w:r>
    </w:p>
    <w:p w14:paraId="19120CBE" w14:textId="77777777" w:rsidR="00E03C85" w:rsidRPr="001775D9" w:rsidRDefault="00E03C85" w:rsidP="006A71EE">
      <w:pPr>
        <w:numPr>
          <w:ilvl w:val="12"/>
          <w:numId w:val="0"/>
        </w:numPr>
        <w:tabs>
          <w:tab w:val="clear" w:pos="567"/>
        </w:tabs>
        <w:spacing w:line="240" w:lineRule="auto"/>
        <w:ind w:right="-2"/>
        <w:rPr>
          <w:szCs w:val="22"/>
        </w:rPr>
      </w:pPr>
    </w:p>
    <w:p w14:paraId="647F8A98" w14:textId="77777777" w:rsidR="00E03C85" w:rsidRPr="00D55B59" w:rsidRDefault="00E03C85" w:rsidP="006A71EE">
      <w:pPr>
        <w:pStyle w:val="Default"/>
        <w:rPr>
          <w:sz w:val="22"/>
          <w:szCs w:val="22"/>
          <w:lang w:val="en-GB"/>
          <w:rPrChange w:id="4761" w:author="Author">
            <w:rPr>
              <w:sz w:val="22"/>
              <w:szCs w:val="22"/>
            </w:rPr>
          </w:rPrChange>
        </w:rPr>
      </w:pPr>
      <w:r w:rsidRPr="00D55B59">
        <w:rPr>
          <w:sz w:val="22"/>
          <w:szCs w:val="22"/>
          <w:lang w:val="en-GB"/>
          <w:rPrChange w:id="4762" w:author="Author">
            <w:rPr>
              <w:sz w:val="22"/>
              <w:szCs w:val="22"/>
            </w:rPr>
          </w:rPrChange>
        </w:rPr>
        <w:t>AMGEVITA is injected under the skin (subcutaneous use). The usual dose for adults with rheumatoid arthritis, ankylosing spondylitis, axial spondyloarthritis without radiographic evidence of ankylosing</w:t>
      </w:r>
      <w:r w:rsidRPr="00D55B59">
        <w:rPr>
          <w:szCs w:val="22"/>
          <w:lang w:val="en-GB"/>
          <w:rPrChange w:id="4763" w:author="Author">
            <w:rPr>
              <w:szCs w:val="22"/>
            </w:rPr>
          </w:rPrChange>
        </w:rPr>
        <w:t xml:space="preserve"> </w:t>
      </w:r>
      <w:r w:rsidRPr="00D55B59">
        <w:rPr>
          <w:sz w:val="22"/>
          <w:szCs w:val="22"/>
          <w:lang w:val="en-GB"/>
          <w:rPrChange w:id="4764" w:author="Author">
            <w:rPr>
              <w:sz w:val="22"/>
              <w:szCs w:val="22"/>
            </w:rPr>
          </w:rPrChange>
        </w:rPr>
        <w:t xml:space="preserve">spondylitis, and for patients with psoriatic arthritis is 40 mg given every other week as a single dose. </w:t>
      </w:r>
    </w:p>
    <w:p w14:paraId="0BF4E48E" w14:textId="77777777" w:rsidR="00E03C85" w:rsidRPr="00D55B59" w:rsidRDefault="00E03C85" w:rsidP="006A71EE">
      <w:pPr>
        <w:pStyle w:val="Default"/>
        <w:rPr>
          <w:sz w:val="22"/>
          <w:szCs w:val="22"/>
          <w:lang w:val="en-GB"/>
          <w:rPrChange w:id="4765" w:author="Author">
            <w:rPr>
              <w:sz w:val="22"/>
              <w:szCs w:val="22"/>
            </w:rPr>
          </w:rPrChange>
        </w:rPr>
      </w:pPr>
    </w:p>
    <w:p w14:paraId="4CF0CE50" w14:textId="77777777" w:rsidR="00E03C85" w:rsidRPr="00D55B59" w:rsidRDefault="00E03C85" w:rsidP="006A71EE">
      <w:pPr>
        <w:pStyle w:val="Default"/>
        <w:rPr>
          <w:sz w:val="22"/>
          <w:szCs w:val="22"/>
          <w:lang w:val="en-GB"/>
          <w:rPrChange w:id="4766" w:author="Author">
            <w:rPr>
              <w:sz w:val="22"/>
              <w:szCs w:val="22"/>
            </w:rPr>
          </w:rPrChange>
        </w:rPr>
      </w:pPr>
      <w:r w:rsidRPr="00D55B59">
        <w:rPr>
          <w:sz w:val="22"/>
          <w:szCs w:val="22"/>
          <w:lang w:val="en-GB"/>
          <w:rPrChange w:id="4767" w:author="Author">
            <w:rPr>
              <w:sz w:val="22"/>
              <w:szCs w:val="22"/>
            </w:rPr>
          </w:rPrChange>
        </w:rPr>
        <w:t xml:space="preserve">In rheumatoid arthritis, methotrexate is continued while using AMGEVITA. If your doctor determines that methotrexate is inappropriate, AMGEVITA can be given alone. </w:t>
      </w:r>
    </w:p>
    <w:p w14:paraId="4D27ABC7" w14:textId="77777777" w:rsidR="00E03C85" w:rsidRPr="001775D9" w:rsidRDefault="00E03C85" w:rsidP="006A71EE">
      <w:pPr>
        <w:numPr>
          <w:ilvl w:val="12"/>
          <w:numId w:val="0"/>
        </w:numPr>
        <w:tabs>
          <w:tab w:val="clear" w:pos="567"/>
        </w:tabs>
        <w:spacing w:line="240" w:lineRule="auto"/>
        <w:ind w:right="-2"/>
        <w:rPr>
          <w:szCs w:val="22"/>
        </w:rPr>
      </w:pPr>
    </w:p>
    <w:p w14:paraId="05F5CD89" w14:textId="77777777" w:rsidR="00E03C85" w:rsidRPr="001775D9" w:rsidRDefault="00E03C85" w:rsidP="006A71EE">
      <w:pPr>
        <w:numPr>
          <w:ilvl w:val="12"/>
          <w:numId w:val="0"/>
        </w:numPr>
        <w:tabs>
          <w:tab w:val="clear" w:pos="567"/>
        </w:tabs>
        <w:spacing w:line="240" w:lineRule="auto"/>
        <w:ind w:right="-2"/>
        <w:rPr>
          <w:szCs w:val="22"/>
        </w:rPr>
      </w:pPr>
      <w:r w:rsidRPr="001775D9">
        <w:rPr>
          <w:szCs w:val="22"/>
        </w:rPr>
        <w:t>If you have rheumatoid arthritis and you do not receive methotrexate with your AMGEVITA therapy, your doctor may decide to give 40 mg every week or 80</w:t>
      </w:r>
      <w:r w:rsidRPr="001775D9">
        <w:rPr>
          <w:szCs w:val="22"/>
          <w:lang w:eastAsia="en-GB"/>
        </w:rPr>
        <w:t> </w:t>
      </w:r>
      <w:r w:rsidRPr="001775D9">
        <w:rPr>
          <w:szCs w:val="22"/>
        </w:rPr>
        <w:t>mg</w:t>
      </w:r>
      <w:r w:rsidRPr="00D55B59">
        <w:rPr>
          <w:szCs w:val="22"/>
          <w:rPrChange w:id="4768" w:author="Author">
            <w:rPr>
              <w:szCs w:val="22"/>
              <w:lang w:val="en-US"/>
            </w:rPr>
          </w:rPrChange>
        </w:rPr>
        <w:t xml:space="preserve"> </w:t>
      </w:r>
      <w:r w:rsidRPr="001775D9">
        <w:rPr>
          <w:szCs w:val="22"/>
        </w:rPr>
        <w:t>every other week.</w:t>
      </w:r>
    </w:p>
    <w:p w14:paraId="41DAA4E3" w14:textId="77777777" w:rsidR="00E03C85" w:rsidRPr="001775D9" w:rsidRDefault="00E03C85" w:rsidP="006A71EE">
      <w:pPr>
        <w:numPr>
          <w:ilvl w:val="12"/>
          <w:numId w:val="0"/>
        </w:numPr>
        <w:tabs>
          <w:tab w:val="clear" w:pos="567"/>
        </w:tabs>
        <w:spacing w:line="240" w:lineRule="auto"/>
        <w:ind w:right="-2"/>
        <w:rPr>
          <w:szCs w:val="22"/>
        </w:rPr>
      </w:pPr>
    </w:p>
    <w:p w14:paraId="7BF46111" w14:textId="77777777" w:rsidR="00E03C85" w:rsidRPr="00D55B59" w:rsidRDefault="00E03C85" w:rsidP="006A71EE">
      <w:pPr>
        <w:pStyle w:val="Default"/>
        <w:keepNext/>
        <w:rPr>
          <w:sz w:val="22"/>
          <w:szCs w:val="22"/>
          <w:u w:val="single"/>
          <w:lang w:val="en-GB"/>
          <w:rPrChange w:id="4769" w:author="Author">
            <w:rPr>
              <w:sz w:val="22"/>
              <w:szCs w:val="22"/>
              <w:u w:val="single"/>
            </w:rPr>
          </w:rPrChange>
        </w:rPr>
      </w:pPr>
      <w:r w:rsidRPr="00D55B59">
        <w:rPr>
          <w:sz w:val="22"/>
          <w:szCs w:val="22"/>
          <w:u w:val="single"/>
          <w:lang w:val="en-GB"/>
          <w:rPrChange w:id="4770" w:author="Author">
            <w:rPr>
              <w:sz w:val="22"/>
              <w:szCs w:val="22"/>
              <w:u w:val="single"/>
            </w:rPr>
          </w:rPrChange>
        </w:rPr>
        <w:t xml:space="preserve">Children, adolescents and adults with polyarticular juvenile idiopathic arthritis </w:t>
      </w:r>
    </w:p>
    <w:p w14:paraId="693CC9C0" w14:textId="77777777" w:rsidR="00E03C85" w:rsidRPr="00D55B59" w:rsidRDefault="00E03C85" w:rsidP="006A71EE">
      <w:pPr>
        <w:pStyle w:val="Default"/>
        <w:keepNext/>
        <w:rPr>
          <w:sz w:val="22"/>
          <w:szCs w:val="22"/>
          <w:lang w:val="en-GB"/>
          <w:rPrChange w:id="4771" w:author="Author">
            <w:rPr>
              <w:sz w:val="22"/>
              <w:szCs w:val="22"/>
            </w:rPr>
          </w:rPrChange>
        </w:rPr>
      </w:pPr>
    </w:p>
    <w:p w14:paraId="5C14BF43" w14:textId="77777777" w:rsidR="00E03C85" w:rsidRPr="001775D9" w:rsidRDefault="00E03C85" w:rsidP="00B61D9D">
      <w:pPr>
        <w:keepNext/>
        <w:numPr>
          <w:ilvl w:val="12"/>
          <w:numId w:val="0"/>
        </w:numPr>
        <w:tabs>
          <w:tab w:val="clear" w:pos="567"/>
          <w:tab w:val="left" w:pos="720"/>
        </w:tabs>
        <w:spacing w:line="240" w:lineRule="auto"/>
        <w:rPr>
          <w:i/>
        </w:rPr>
      </w:pPr>
      <w:r w:rsidRPr="001775D9">
        <w:rPr>
          <w:i/>
        </w:rPr>
        <w:t>Children, adolescents and adults from 2 years of age weighing 30 kg or more</w:t>
      </w:r>
    </w:p>
    <w:p w14:paraId="22FA587D" w14:textId="77777777" w:rsidR="00E03C85" w:rsidRPr="001775D9" w:rsidRDefault="00E03C85" w:rsidP="00B61D9D">
      <w:pPr>
        <w:keepNext/>
        <w:numPr>
          <w:ilvl w:val="12"/>
          <w:numId w:val="0"/>
        </w:numPr>
        <w:tabs>
          <w:tab w:val="clear" w:pos="567"/>
          <w:tab w:val="left" w:pos="720"/>
        </w:tabs>
        <w:spacing w:line="240" w:lineRule="auto"/>
      </w:pPr>
    </w:p>
    <w:p w14:paraId="79218381" w14:textId="77777777" w:rsidR="00E03C85" w:rsidRPr="001775D9" w:rsidRDefault="00E03C85" w:rsidP="00B61D9D">
      <w:pPr>
        <w:keepNext/>
        <w:numPr>
          <w:ilvl w:val="12"/>
          <w:numId w:val="0"/>
        </w:numPr>
        <w:tabs>
          <w:tab w:val="clear" w:pos="567"/>
          <w:tab w:val="left" w:pos="720"/>
        </w:tabs>
        <w:spacing w:line="240" w:lineRule="auto"/>
      </w:pPr>
      <w:r w:rsidRPr="001775D9">
        <w:t>The recommended dose of AMGEVITA is 40 mg every other week.</w:t>
      </w:r>
    </w:p>
    <w:p w14:paraId="15BEF2BD" w14:textId="77777777" w:rsidR="00E03C85" w:rsidRPr="00D55B59" w:rsidRDefault="00E03C85" w:rsidP="006A71EE">
      <w:pPr>
        <w:pStyle w:val="Default"/>
        <w:rPr>
          <w:sz w:val="22"/>
          <w:szCs w:val="22"/>
          <w:lang w:val="en-GB"/>
          <w:rPrChange w:id="4772" w:author="Author">
            <w:rPr>
              <w:sz w:val="22"/>
              <w:szCs w:val="22"/>
            </w:rPr>
          </w:rPrChange>
        </w:rPr>
      </w:pPr>
    </w:p>
    <w:p w14:paraId="5972EE56" w14:textId="77777777" w:rsidR="00E03C85" w:rsidRPr="00D55B59" w:rsidRDefault="00E03C85" w:rsidP="006A71EE">
      <w:pPr>
        <w:pStyle w:val="Default"/>
        <w:keepNext/>
        <w:rPr>
          <w:sz w:val="22"/>
          <w:szCs w:val="22"/>
          <w:u w:val="single"/>
          <w:lang w:val="en-GB"/>
          <w:rPrChange w:id="4773" w:author="Author">
            <w:rPr>
              <w:sz w:val="22"/>
              <w:szCs w:val="22"/>
              <w:u w:val="single"/>
            </w:rPr>
          </w:rPrChange>
        </w:rPr>
      </w:pPr>
      <w:r w:rsidRPr="00D55B59">
        <w:rPr>
          <w:sz w:val="22"/>
          <w:szCs w:val="22"/>
          <w:u w:val="single"/>
          <w:lang w:val="en-GB"/>
          <w:rPrChange w:id="4774" w:author="Author">
            <w:rPr>
              <w:sz w:val="22"/>
              <w:szCs w:val="22"/>
              <w:u w:val="single"/>
            </w:rPr>
          </w:rPrChange>
        </w:rPr>
        <w:t>Children, adolescents and adults with enthesitis-related arthritis</w:t>
      </w:r>
    </w:p>
    <w:p w14:paraId="292E437E" w14:textId="77777777" w:rsidR="00E03C85" w:rsidRPr="00D55B59" w:rsidRDefault="00E03C85" w:rsidP="006A71EE">
      <w:pPr>
        <w:pStyle w:val="Default"/>
        <w:keepNext/>
        <w:rPr>
          <w:sz w:val="22"/>
          <w:szCs w:val="22"/>
          <w:u w:val="single"/>
          <w:lang w:val="en-GB"/>
          <w:rPrChange w:id="4775" w:author="Author">
            <w:rPr>
              <w:sz w:val="22"/>
              <w:szCs w:val="22"/>
              <w:u w:val="single"/>
            </w:rPr>
          </w:rPrChange>
        </w:rPr>
      </w:pPr>
    </w:p>
    <w:p w14:paraId="6EE001FA" w14:textId="77777777" w:rsidR="00E03C85" w:rsidRPr="001775D9" w:rsidRDefault="00E03C85" w:rsidP="00B61D9D">
      <w:pPr>
        <w:keepNext/>
        <w:numPr>
          <w:ilvl w:val="12"/>
          <w:numId w:val="0"/>
        </w:numPr>
        <w:tabs>
          <w:tab w:val="clear" w:pos="567"/>
          <w:tab w:val="left" w:pos="720"/>
        </w:tabs>
        <w:spacing w:line="240" w:lineRule="auto"/>
        <w:rPr>
          <w:i/>
        </w:rPr>
      </w:pPr>
      <w:r w:rsidRPr="001775D9">
        <w:rPr>
          <w:i/>
        </w:rPr>
        <w:t>Children, adolescents and adults from 6 years of age weighing 30 kg or more</w:t>
      </w:r>
    </w:p>
    <w:p w14:paraId="22B8BF6B" w14:textId="77777777" w:rsidR="00E03C85" w:rsidRPr="001775D9" w:rsidRDefault="00E03C85" w:rsidP="00B61D9D">
      <w:pPr>
        <w:keepNext/>
        <w:numPr>
          <w:ilvl w:val="12"/>
          <w:numId w:val="0"/>
        </w:numPr>
        <w:tabs>
          <w:tab w:val="clear" w:pos="567"/>
          <w:tab w:val="left" w:pos="720"/>
        </w:tabs>
        <w:spacing w:line="240" w:lineRule="auto"/>
      </w:pPr>
    </w:p>
    <w:p w14:paraId="24943F6B" w14:textId="77777777" w:rsidR="00E03C85" w:rsidRPr="001775D9" w:rsidRDefault="00E03C85" w:rsidP="00B61D9D">
      <w:pPr>
        <w:keepNext/>
        <w:numPr>
          <w:ilvl w:val="12"/>
          <w:numId w:val="0"/>
        </w:numPr>
        <w:tabs>
          <w:tab w:val="clear" w:pos="567"/>
          <w:tab w:val="left" w:pos="720"/>
        </w:tabs>
        <w:spacing w:line="240" w:lineRule="auto"/>
      </w:pPr>
      <w:r w:rsidRPr="001775D9">
        <w:t>The recommended dose of AMGEVITA is 40 mg every other week.</w:t>
      </w:r>
    </w:p>
    <w:p w14:paraId="6651B3A6" w14:textId="77777777" w:rsidR="00E03C85" w:rsidRPr="00D55B59" w:rsidRDefault="00E03C85" w:rsidP="006A71EE">
      <w:pPr>
        <w:pStyle w:val="Default"/>
        <w:keepNext/>
        <w:rPr>
          <w:sz w:val="22"/>
          <w:szCs w:val="22"/>
          <w:lang w:val="en-GB"/>
          <w:rPrChange w:id="4776" w:author="Author">
            <w:rPr>
              <w:sz w:val="22"/>
              <w:szCs w:val="22"/>
            </w:rPr>
          </w:rPrChange>
        </w:rPr>
      </w:pPr>
    </w:p>
    <w:p w14:paraId="6765E7F4" w14:textId="77777777" w:rsidR="00E03C85" w:rsidRPr="00D55B59" w:rsidRDefault="00E03C85" w:rsidP="006A71EE">
      <w:pPr>
        <w:pStyle w:val="Default"/>
        <w:keepNext/>
        <w:rPr>
          <w:sz w:val="22"/>
          <w:szCs w:val="22"/>
          <w:u w:val="single"/>
          <w:lang w:val="en-GB"/>
          <w:rPrChange w:id="4777" w:author="Author">
            <w:rPr>
              <w:sz w:val="22"/>
              <w:szCs w:val="22"/>
              <w:u w:val="single"/>
            </w:rPr>
          </w:rPrChange>
        </w:rPr>
      </w:pPr>
      <w:r w:rsidRPr="00D55B59">
        <w:rPr>
          <w:sz w:val="22"/>
          <w:szCs w:val="22"/>
          <w:u w:val="single"/>
          <w:lang w:val="en-GB"/>
          <w:rPrChange w:id="4778" w:author="Author">
            <w:rPr>
              <w:sz w:val="22"/>
              <w:szCs w:val="22"/>
              <w:u w:val="single"/>
            </w:rPr>
          </w:rPrChange>
        </w:rPr>
        <w:t xml:space="preserve">Adults with plaque </w:t>
      </w:r>
      <w:r w:rsidRPr="00D55B59">
        <w:rPr>
          <w:rFonts w:eastAsia="PMingLiU"/>
          <w:sz w:val="22"/>
          <w:szCs w:val="22"/>
          <w:u w:val="single"/>
          <w:lang w:val="en-GB" w:eastAsia="zh-TW"/>
          <w:rPrChange w:id="4779" w:author="Author">
            <w:rPr>
              <w:rFonts w:eastAsia="PMingLiU"/>
              <w:sz w:val="22"/>
              <w:szCs w:val="22"/>
              <w:u w:val="single"/>
              <w:lang w:eastAsia="zh-TW"/>
            </w:rPr>
          </w:rPrChange>
        </w:rPr>
        <w:t>p</w:t>
      </w:r>
      <w:r w:rsidRPr="00D55B59">
        <w:rPr>
          <w:sz w:val="22"/>
          <w:szCs w:val="22"/>
          <w:u w:val="single"/>
          <w:lang w:val="en-GB"/>
          <w:rPrChange w:id="4780" w:author="Author">
            <w:rPr>
              <w:sz w:val="22"/>
              <w:szCs w:val="22"/>
              <w:u w:val="single"/>
            </w:rPr>
          </w:rPrChange>
        </w:rPr>
        <w:t xml:space="preserve">soriasis </w:t>
      </w:r>
    </w:p>
    <w:p w14:paraId="4B80771F" w14:textId="77777777" w:rsidR="00E03C85" w:rsidRPr="00D55B59" w:rsidRDefault="00E03C85" w:rsidP="006A71EE">
      <w:pPr>
        <w:pStyle w:val="Default"/>
        <w:rPr>
          <w:sz w:val="22"/>
          <w:szCs w:val="22"/>
          <w:lang w:val="en-GB"/>
          <w:rPrChange w:id="4781" w:author="Author">
            <w:rPr>
              <w:sz w:val="22"/>
              <w:szCs w:val="22"/>
            </w:rPr>
          </w:rPrChange>
        </w:rPr>
      </w:pPr>
    </w:p>
    <w:p w14:paraId="1A66C74A" w14:textId="77777777" w:rsidR="00E03C85" w:rsidRPr="00D55B59" w:rsidRDefault="00E03C85" w:rsidP="006A71EE">
      <w:pPr>
        <w:pStyle w:val="Default"/>
        <w:keepNext/>
        <w:rPr>
          <w:sz w:val="22"/>
          <w:szCs w:val="22"/>
          <w:lang w:val="en-GB"/>
          <w:rPrChange w:id="4782" w:author="Author">
            <w:rPr>
              <w:sz w:val="22"/>
              <w:szCs w:val="22"/>
            </w:rPr>
          </w:rPrChange>
        </w:rPr>
      </w:pPr>
      <w:r w:rsidRPr="00D55B59">
        <w:rPr>
          <w:sz w:val="22"/>
          <w:szCs w:val="22"/>
          <w:lang w:val="en-GB"/>
          <w:rPrChange w:id="4783" w:author="Author">
            <w:rPr>
              <w:sz w:val="22"/>
              <w:szCs w:val="22"/>
            </w:rPr>
          </w:rPrChange>
        </w:rPr>
        <w:t>The usual dose for adults with plaque psoriasis is an initial dose of 80 mg (as two 40</w:t>
      </w:r>
      <w:r w:rsidRPr="00D55B59">
        <w:rPr>
          <w:szCs w:val="22"/>
          <w:lang w:val="en-GB" w:eastAsia="en-GB"/>
          <w:rPrChange w:id="4784" w:author="Author">
            <w:rPr>
              <w:szCs w:val="22"/>
              <w:lang w:eastAsia="en-GB"/>
            </w:rPr>
          </w:rPrChange>
        </w:rPr>
        <w:t> </w:t>
      </w:r>
      <w:r w:rsidRPr="00D55B59">
        <w:rPr>
          <w:sz w:val="22"/>
          <w:szCs w:val="22"/>
          <w:lang w:val="en-GB"/>
          <w:rPrChange w:id="4785" w:author="Author">
            <w:rPr>
              <w:sz w:val="22"/>
              <w:szCs w:val="22"/>
            </w:rPr>
          </w:rPrChange>
        </w:rPr>
        <w:t xml:space="preserve">mg injections in one day), followed by 40 mg given every other week starting one week after the initial dose. You should continue to inject AMGEVITA for as long as your doctor has told you. </w:t>
      </w:r>
      <w:r w:rsidRPr="00D55B59">
        <w:rPr>
          <w:sz w:val="22"/>
          <w:szCs w:val="22"/>
          <w:lang w:val="en-GB" w:eastAsia="en-GB"/>
          <w:rPrChange w:id="4786" w:author="Author">
            <w:rPr>
              <w:sz w:val="22"/>
              <w:szCs w:val="22"/>
              <w:lang w:eastAsia="en-GB"/>
            </w:rPr>
          </w:rPrChange>
        </w:rPr>
        <w:t>Depending on your response, your doctor may increase the dose to 40 mg every week or 80 mg every other week.</w:t>
      </w:r>
      <w:r w:rsidRPr="00D55B59">
        <w:rPr>
          <w:sz w:val="22"/>
          <w:szCs w:val="22"/>
          <w:lang w:val="en-GB"/>
          <w:rPrChange w:id="4787" w:author="Author">
            <w:rPr>
              <w:sz w:val="22"/>
              <w:szCs w:val="22"/>
            </w:rPr>
          </w:rPrChange>
        </w:rPr>
        <w:t xml:space="preserve"> </w:t>
      </w:r>
    </w:p>
    <w:p w14:paraId="73F8325A" w14:textId="77777777" w:rsidR="00E03C85" w:rsidRPr="00D55B59" w:rsidRDefault="00E03C85" w:rsidP="006A71EE">
      <w:pPr>
        <w:pStyle w:val="Default"/>
        <w:rPr>
          <w:sz w:val="22"/>
          <w:szCs w:val="22"/>
          <w:lang w:val="en-GB"/>
          <w:rPrChange w:id="4788" w:author="Author">
            <w:rPr>
              <w:sz w:val="22"/>
              <w:szCs w:val="22"/>
            </w:rPr>
          </w:rPrChange>
        </w:rPr>
      </w:pPr>
    </w:p>
    <w:p w14:paraId="13B0AA0C" w14:textId="77777777" w:rsidR="00E03C85" w:rsidRPr="00D55B59" w:rsidRDefault="00E03C85" w:rsidP="006A71EE">
      <w:pPr>
        <w:pStyle w:val="Default"/>
        <w:keepNext/>
        <w:rPr>
          <w:sz w:val="22"/>
          <w:szCs w:val="22"/>
          <w:u w:val="single"/>
          <w:lang w:val="en-GB"/>
          <w:rPrChange w:id="4789" w:author="Author">
            <w:rPr>
              <w:sz w:val="22"/>
              <w:szCs w:val="22"/>
              <w:u w:val="single"/>
            </w:rPr>
          </w:rPrChange>
        </w:rPr>
      </w:pPr>
      <w:r w:rsidRPr="00D55B59">
        <w:rPr>
          <w:sz w:val="22"/>
          <w:szCs w:val="22"/>
          <w:u w:val="single"/>
          <w:lang w:val="en-GB"/>
          <w:rPrChange w:id="4790" w:author="Author">
            <w:rPr>
              <w:sz w:val="22"/>
              <w:szCs w:val="22"/>
              <w:u w:val="single"/>
            </w:rPr>
          </w:rPrChange>
        </w:rPr>
        <w:t xml:space="preserve">Children and </w:t>
      </w:r>
      <w:r w:rsidRPr="00D55B59">
        <w:rPr>
          <w:rFonts w:eastAsia="PMingLiU"/>
          <w:sz w:val="22"/>
          <w:szCs w:val="22"/>
          <w:u w:val="single"/>
          <w:lang w:val="en-GB" w:eastAsia="zh-TW"/>
          <w:rPrChange w:id="4791" w:author="Author">
            <w:rPr>
              <w:rFonts w:eastAsia="PMingLiU"/>
              <w:sz w:val="22"/>
              <w:szCs w:val="22"/>
              <w:u w:val="single"/>
              <w:lang w:eastAsia="zh-TW"/>
            </w:rPr>
          </w:rPrChange>
        </w:rPr>
        <w:t>a</w:t>
      </w:r>
      <w:r w:rsidRPr="00D55B59">
        <w:rPr>
          <w:sz w:val="22"/>
          <w:szCs w:val="22"/>
          <w:u w:val="single"/>
          <w:lang w:val="en-GB"/>
          <w:rPrChange w:id="4792" w:author="Author">
            <w:rPr>
              <w:sz w:val="22"/>
              <w:szCs w:val="22"/>
              <w:u w:val="single"/>
            </w:rPr>
          </w:rPrChange>
        </w:rPr>
        <w:t xml:space="preserve">dolescents with </w:t>
      </w:r>
      <w:r w:rsidRPr="00D55B59">
        <w:rPr>
          <w:rFonts w:eastAsia="PMingLiU"/>
          <w:sz w:val="22"/>
          <w:szCs w:val="22"/>
          <w:u w:val="single"/>
          <w:lang w:val="en-GB" w:eastAsia="zh-TW"/>
          <w:rPrChange w:id="4793" w:author="Author">
            <w:rPr>
              <w:rFonts w:eastAsia="PMingLiU"/>
              <w:sz w:val="22"/>
              <w:szCs w:val="22"/>
              <w:u w:val="single"/>
              <w:lang w:eastAsia="zh-TW"/>
            </w:rPr>
          </w:rPrChange>
        </w:rPr>
        <w:t>p</w:t>
      </w:r>
      <w:r w:rsidRPr="00D55B59">
        <w:rPr>
          <w:sz w:val="22"/>
          <w:szCs w:val="22"/>
          <w:u w:val="single"/>
          <w:lang w:val="en-GB"/>
          <w:rPrChange w:id="4794" w:author="Author">
            <w:rPr>
              <w:sz w:val="22"/>
              <w:szCs w:val="22"/>
              <w:u w:val="single"/>
            </w:rPr>
          </w:rPrChange>
        </w:rPr>
        <w:t xml:space="preserve">laque </w:t>
      </w:r>
      <w:r w:rsidRPr="00D55B59">
        <w:rPr>
          <w:rFonts w:eastAsia="PMingLiU"/>
          <w:sz w:val="22"/>
          <w:szCs w:val="22"/>
          <w:u w:val="single"/>
          <w:lang w:val="en-GB" w:eastAsia="zh-TW"/>
          <w:rPrChange w:id="4795" w:author="Author">
            <w:rPr>
              <w:rFonts w:eastAsia="PMingLiU"/>
              <w:sz w:val="22"/>
              <w:szCs w:val="22"/>
              <w:u w:val="single"/>
              <w:lang w:eastAsia="zh-TW"/>
            </w:rPr>
          </w:rPrChange>
        </w:rPr>
        <w:t>p</w:t>
      </w:r>
      <w:r w:rsidRPr="00D55B59">
        <w:rPr>
          <w:sz w:val="22"/>
          <w:szCs w:val="22"/>
          <w:u w:val="single"/>
          <w:lang w:val="en-GB"/>
          <w:rPrChange w:id="4796" w:author="Author">
            <w:rPr>
              <w:sz w:val="22"/>
              <w:szCs w:val="22"/>
              <w:u w:val="single"/>
            </w:rPr>
          </w:rPrChange>
        </w:rPr>
        <w:t xml:space="preserve">soriasis </w:t>
      </w:r>
    </w:p>
    <w:p w14:paraId="7B7851DE" w14:textId="77777777" w:rsidR="00E03C85" w:rsidRPr="00D55B59" w:rsidRDefault="00E03C85" w:rsidP="006A71EE">
      <w:pPr>
        <w:pStyle w:val="Default"/>
        <w:keepNext/>
        <w:rPr>
          <w:sz w:val="22"/>
          <w:szCs w:val="22"/>
          <w:u w:val="single"/>
          <w:lang w:val="en-GB"/>
          <w:rPrChange w:id="4797" w:author="Author">
            <w:rPr>
              <w:sz w:val="22"/>
              <w:szCs w:val="22"/>
              <w:u w:val="single"/>
            </w:rPr>
          </w:rPrChange>
        </w:rPr>
      </w:pPr>
    </w:p>
    <w:p w14:paraId="51E9A4BD" w14:textId="77777777" w:rsidR="00E03C85" w:rsidRPr="001775D9" w:rsidRDefault="00E03C85" w:rsidP="00B61D9D">
      <w:pPr>
        <w:numPr>
          <w:ilvl w:val="12"/>
          <w:numId w:val="0"/>
        </w:numPr>
        <w:tabs>
          <w:tab w:val="clear" w:pos="567"/>
          <w:tab w:val="left" w:pos="720"/>
        </w:tabs>
        <w:spacing w:line="240" w:lineRule="auto"/>
        <w:ind w:right="-2"/>
        <w:rPr>
          <w:i/>
        </w:rPr>
      </w:pPr>
      <w:r w:rsidRPr="001775D9">
        <w:rPr>
          <w:i/>
        </w:rPr>
        <w:t>Children and adolescents from 4 to 17 years of age weighing 30 kg</w:t>
      </w:r>
      <w:r w:rsidRPr="001775D9">
        <w:t xml:space="preserve"> </w:t>
      </w:r>
      <w:r w:rsidRPr="001775D9">
        <w:rPr>
          <w:i/>
        </w:rPr>
        <w:t>or more</w:t>
      </w:r>
    </w:p>
    <w:p w14:paraId="0B61C081" w14:textId="77777777" w:rsidR="00E03C85" w:rsidRPr="001775D9" w:rsidRDefault="00E03C85" w:rsidP="00B61D9D">
      <w:pPr>
        <w:numPr>
          <w:ilvl w:val="12"/>
          <w:numId w:val="0"/>
        </w:numPr>
        <w:tabs>
          <w:tab w:val="clear" w:pos="567"/>
          <w:tab w:val="left" w:pos="720"/>
        </w:tabs>
        <w:spacing w:line="240" w:lineRule="auto"/>
        <w:ind w:right="-2"/>
      </w:pPr>
    </w:p>
    <w:p w14:paraId="4022C02C" w14:textId="77777777" w:rsidR="00E03C85" w:rsidRPr="00D55B59" w:rsidRDefault="00E03C85" w:rsidP="00B61D9D">
      <w:pPr>
        <w:numPr>
          <w:ilvl w:val="12"/>
          <w:numId w:val="0"/>
        </w:numPr>
        <w:tabs>
          <w:tab w:val="clear" w:pos="567"/>
          <w:tab w:val="left" w:pos="720"/>
        </w:tabs>
        <w:spacing w:line="240" w:lineRule="auto"/>
        <w:ind w:right="-2"/>
        <w:rPr>
          <w:rPrChange w:id="4798" w:author="Author">
            <w:rPr>
              <w:lang w:val="en-US"/>
            </w:rPr>
          </w:rPrChange>
        </w:rPr>
      </w:pPr>
      <w:r w:rsidRPr="001775D9">
        <w:t>The recommended dose of AMGEVITA is an initial dose of 40 mg, followed by 40 mg one week later. Thereafter, the usual dose is 40 mg every other week.</w:t>
      </w:r>
    </w:p>
    <w:p w14:paraId="10333161" w14:textId="77777777" w:rsidR="00E03C85" w:rsidRPr="00D55B59" w:rsidRDefault="00E03C85" w:rsidP="006A71EE">
      <w:pPr>
        <w:pStyle w:val="Default"/>
        <w:rPr>
          <w:sz w:val="22"/>
          <w:szCs w:val="22"/>
          <w:lang w:val="en-GB"/>
          <w:rPrChange w:id="4799" w:author="Author">
            <w:rPr>
              <w:sz w:val="22"/>
              <w:szCs w:val="22"/>
            </w:rPr>
          </w:rPrChange>
        </w:rPr>
      </w:pPr>
    </w:p>
    <w:p w14:paraId="16F9FE1A" w14:textId="77777777" w:rsidR="00E03C85" w:rsidRPr="00D55B59" w:rsidRDefault="00E03C85" w:rsidP="006A71EE">
      <w:pPr>
        <w:pStyle w:val="Default"/>
        <w:keepNext/>
        <w:rPr>
          <w:sz w:val="22"/>
          <w:szCs w:val="22"/>
          <w:u w:val="single"/>
          <w:lang w:val="en-GB"/>
          <w:rPrChange w:id="4800" w:author="Author">
            <w:rPr>
              <w:sz w:val="22"/>
              <w:szCs w:val="22"/>
              <w:u w:val="single"/>
            </w:rPr>
          </w:rPrChange>
        </w:rPr>
      </w:pPr>
      <w:r w:rsidRPr="00D55B59">
        <w:rPr>
          <w:sz w:val="22"/>
          <w:szCs w:val="22"/>
          <w:u w:val="single"/>
          <w:lang w:val="en-GB"/>
          <w:rPrChange w:id="4801" w:author="Author">
            <w:rPr>
              <w:sz w:val="22"/>
              <w:szCs w:val="22"/>
              <w:u w:val="single"/>
            </w:rPr>
          </w:rPrChange>
        </w:rPr>
        <w:t>Adults with hidradenitis suppurativa</w:t>
      </w:r>
    </w:p>
    <w:p w14:paraId="0F95F733" w14:textId="77777777" w:rsidR="00E03C85" w:rsidRPr="001775D9" w:rsidRDefault="00E03C85" w:rsidP="006A71EE">
      <w:pPr>
        <w:keepNext/>
        <w:tabs>
          <w:tab w:val="clear" w:pos="567"/>
        </w:tabs>
        <w:autoSpaceDE w:val="0"/>
        <w:autoSpaceDN w:val="0"/>
        <w:adjustRightInd w:val="0"/>
        <w:spacing w:line="240" w:lineRule="auto"/>
        <w:rPr>
          <w:rFonts w:ascii="TimesNewRoman" w:hAnsi="TimesNewRoman" w:cs="TimesNewRoman"/>
          <w:szCs w:val="22"/>
        </w:rPr>
      </w:pPr>
    </w:p>
    <w:p w14:paraId="07392B82" w14:textId="77777777" w:rsidR="00E03C85" w:rsidRPr="00D55B59" w:rsidRDefault="00E03C85" w:rsidP="006A71EE">
      <w:pPr>
        <w:pStyle w:val="Default"/>
        <w:rPr>
          <w:sz w:val="22"/>
          <w:szCs w:val="22"/>
          <w:lang w:val="en-GB"/>
          <w:rPrChange w:id="4802" w:author="Author">
            <w:rPr>
              <w:sz w:val="22"/>
              <w:szCs w:val="22"/>
            </w:rPr>
          </w:rPrChange>
        </w:rPr>
      </w:pPr>
      <w:r w:rsidRPr="00D55B59">
        <w:rPr>
          <w:sz w:val="22"/>
          <w:szCs w:val="22"/>
          <w:lang w:val="en-GB"/>
          <w:rPrChange w:id="4803" w:author="Author">
            <w:rPr>
              <w:sz w:val="22"/>
              <w:szCs w:val="22"/>
            </w:rPr>
          </w:rPrChange>
        </w:rPr>
        <w:t>The usual dose regimen for hidradenitis suppurativa is an initial dose of 160 mg (as four 40 mg injections in one day or two 40 mg injections per day for two consecutive days), followed by an 80 mg dose (as two 40 mg injections in one day) two weeks later. After two further weeks, continue with a dose of 40 mg every week or 80</w:t>
      </w:r>
      <w:r w:rsidRPr="00D55B59">
        <w:rPr>
          <w:szCs w:val="22"/>
          <w:lang w:val="en-GB" w:eastAsia="en-GB"/>
          <w:rPrChange w:id="4804" w:author="Author">
            <w:rPr>
              <w:szCs w:val="22"/>
              <w:lang w:eastAsia="en-GB"/>
            </w:rPr>
          </w:rPrChange>
        </w:rPr>
        <w:t> </w:t>
      </w:r>
      <w:r w:rsidRPr="00D55B59">
        <w:rPr>
          <w:sz w:val="22"/>
          <w:szCs w:val="22"/>
          <w:lang w:val="en-GB"/>
          <w:rPrChange w:id="4805" w:author="Author">
            <w:rPr>
              <w:sz w:val="22"/>
              <w:szCs w:val="22"/>
            </w:rPr>
          </w:rPrChange>
        </w:rPr>
        <w:t>mg every other week, as prescribed by your doctor. It is recommended that you use an antiseptic wash daily on the affected areas.</w:t>
      </w:r>
    </w:p>
    <w:p w14:paraId="3746D4BF" w14:textId="77777777" w:rsidR="00E03C85" w:rsidRPr="00D55B59" w:rsidRDefault="00E03C85" w:rsidP="006A71EE">
      <w:pPr>
        <w:pStyle w:val="Default"/>
        <w:rPr>
          <w:sz w:val="22"/>
          <w:szCs w:val="22"/>
          <w:lang w:val="en-GB"/>
          <w:rPrChange w:id="4806" w:author="Author">
            <w:rPr>
              <w:sz w:val="22"/>
              <w:szCs w:val="22"/>
            </w:rPr>
          </w:rPrChange>
        </w:rPr>
      </w:pPr>
    </w:p>
    <w:p w14:paraId="335C77E8" w14:textId="77777777" w:rsidR="00E03C85" w:rsidRPr="00D55B59" w:rsidRDefault="00E03C85" w:rsidP="006A71EE">
      <w:pPr>
        <w:pStyle w:val="Default"/>
        <w:rPr>
          <w:sz w:val="22"/>
          <w:szCs w:val="22"/>
          <w:u w:val="single"/>
          <w:lang w:val="en-GB"/>
          <w:rPrChange w:id="4807" w:author="Author">
            <w:rPr>
              <w:sz w:val="22"/>
              <w:szCs w:val="22"/>
              <w:u w:val="single"/>
            </w:rPr>
          </w:rPrChange>
        </w:rPr>
      </w:pPr>
      <w:r w:rsidRPr="00D55B59">
        <w:rPr>
          <w:sz w:val="22"/>
          <w:szCs w:val="22"/>
          <w:u w:val="single"/>
          <w:lang w:val="en-GB"/>
          <w:rPrChange w:id="4808" w:author="Author">
            <w:rPr>
              <w:sz w:val="22"/>
              <w:szCs w:val="22"/>
              <w:u w:val="single"/>
            </w:rPr>
          </w:rPrChange>
        </w:rPr>
        <w:t>Adolescents with hidradenitis suppurativa from 12 to 17 years of age weighing 30</w:t>
      </w:r>
      <w:r w:rsidRPr="00D55B59">
        <w:rPr>
          <w:szCs w:val="22"/>
          <w:lang w:val="en-GB" w:eastAsia="en-GB"/>
          <w:rPrChange w:id="4809" w:author="Author">
            <w:rPr>
              <w:szCs w:val="22"/>
              <w:lang w:eastAsia="en-GB"/>
            </w:rPr>
          </w:rPrChange>
        </w:rPr>
        <w:t> </w:t>
      </w:r>
      <w:r w:rsidRPr="00D55B59">
        <w:rPr>
          <w:sz w:val="22"/>
          <w:szCs w:val="22"/>
          <w:u w:val="single"/>
          <w:lang w:val="en-GB"/>
          <w:rPrChange w:id="4810" w:author="Author">
            <w:rPr>
              <w:sz w:val="22"/>
              <w:szCs w:val="22"/>
              <w:u w:val="single"/>
            </w:rPr>
          </w:rPrChange>
        </w:rPr>
        <w:t>kg or more</w:t>
      </w:r>
    </w:p>
    <w:p w14:paraId="7D70D4EC" w14:textId="77777777" w:rsidR="00E03C85" w:rsidRPr="00D55B59" w:rsidRDefault="00E03C85" w:rsidP="006A71EE">
      <w:pPr>
        <w:pStyle w:val="Default"/>
        <w:rPr>
          <w:sz w:val="22"/>
          <w:szCs w:val="22"/>
          <w:lang w:val="en-GB"/>
          <w:rPrChange w:id="4811" w:author="Author">
            <w:rPr>
              <w:sz w:val="22"/>
              <w:szCs w:val="22"/>
            </w:rPr>
          </w:rPrChange>
        </w:rPr>
      </w:pPr>
    </w:p>
    <w:p w14:paraId="6CA5532C" w14:textId="77777777" w:rsidR="00E03C85" w:rsidRPr="00D55B59" w:rsidRDefault="00E03C85" w:rsidP="006A71EE">
      <w:pPr>
        <w:pStyle w:val="Default"/>
        <w:rPr>
          <w:sz w:val="22"/>
          <w:szCs w:val="22"/>
          <w:lang w:val="en-GB"/>
          <w:rPrChange w:id="4812" w:author="Author">
            <w:rPr>
              <w:sz w:val="22"/>
              <w:szCs w:val="22"/>
            </w:rPr>
          </w:rPrChange>
        </w:rPr>
      </w:pPr>
      <w:r w:rsidRPr="00D55B59">
        <w:rPr>
          <w:sz w:val="22"/>
          <w:szCs w:val="22"/>
          <w:lang w:val="en-GB"/>
          <w:rPrChange w:id="4813" w:author="Author">
            <w:rPr>
              <w:sz w:val="22"/>
              <w:szCs w:val="22"/>
            </w:rPr>
          </w:rPrChange>
        </w:rPr>
        <w:t>The recommended dose of AMGEVITA is an initial dose of 80</w:t>
      </w:r>
      <w:r w:rsidRPr="00D55B59">
        <w:rPr>
          <w:szCs w:val="22"/>
          <w:lang w:val="en-GB" w:eastAsia="en-GB"/>
          <w:rPrChange w:id="4814" w:author="Author">
            <w:rPr>
              <w:szCs w:val="22"/>
              <w:lang w:eastAsia="en-GB"/>
            </w:rPr>
          </w:rPrChange>
        </w:rPr>
        <w:t> </w:t>
      </w:r>
      <w:r w:rsidRPr="00D55B59">
        <w:rPr>
          <w:sz w:val="22"/>
          <w:szCs w:val="22"/>
          <w:lang w:val="en-GB"/>
          <w:rPrChange w:id="4815" w:author="Author">
            <w:rPr>
              <w:sz w:val="22"/>
              <w:szCs w:val="22"/>
            </w:rPr>
          </w:rPrChange>
        </w:rPr>
        <w:t>mg (as two 40</w:t>
      </w:r>
      <w:r w:rsidRPr="00D55B59">
        <w:rPr>
          <w:szCs w:val="22"/>
          <w:lang w:val="en-GB" w:eastAsia="en-GB"/>
          <w:rPrChange w:id="4816" w:author="Author">
            <w:rPr>
              <w:szCs w:val="22"/>
              <w:lang w:eastAsia="en-GB"/>
            </w:rPr>
          </w:rPrChange>
        </w:rPr>
        <w:t> </w:t>
      </w:r>
      <w:r w:rsidRPr="00D55B59">
        <w:rPr>
          <w:sz w:val="22"/>
          <w:szCs w:val="22"/>
          <w:lang w:val="en-GB"/>
          <w:rPrChange w:id="4817" w:author="Author">
            <w:rPr>
              <w:sz w:val="22"/>
              <w:szCs w:val="22"/>
            </w:rPr>
          </w:rPrChange>
        </w:rPr>
        <w:t>mg injections in one day), followed by 40</w:t>
      </w:r>
      <w:r w:rsidRPr="00D55B59">
        <w:rPr>
          <w:szCs w:val="22"/>
          <w:lang w:val="en-GB" w:eastAsia="en-GB"/>
          <w:rPrChange w:id="4818" w:author="Author">
            <w:rPr>
              <w:szCs w:val="22"/>
              <w:lang w:eastAsia="en-GB"/>
            </w:rPr>
          </w:rPrChange>
        </w:rPr>
        <w:t> </w:t>
      </w:r>
      <w:r w:rsidRPr="00D55B59">
        <w:rPr>
          <w:sz w:val="22"/>
          <w:szCs w:val="22"/>
          <w:lang w:val="en-GB"/>
          <w:rPrChange w:id="4819" w:author="Author">
            <w:rPr>
              <w:sz w:val="22"/>
              <w:szCs w:val="22"/>
            </w:rPr>
          </w:rPrChange>
        </w:rPr>
        <w:t>mg every other week starting one week later. If you have an inadequate response to AMGEVITA 40</w:t>
      </w:r>
      <w:r w:rsidRPr="00D55B59">
        <w:rPr>
          <w:szCs w:val="22"/>
          <w:lang w:val="en-GB" w:eastAsia="en-GB"/>
          <w:rPrChange w:id="4820" w:author="Author">
            <w:rPr>
              <w:szCs w:val="22"/>
              <w:lang w:eastAsia="en-GB"/>
            </w:rPr>
          </w:rPrChange>
        </w:rPr>
        <w:t> </w:t>
      </w:r>
      <w:r w:rsidRPr="00D55B59">
        <w:rPr>
          <w:sz w:val="22"/>
          <w:szCs w:val="22"/>
          <w:lang w:val="en-GB"/>
          <w:rPrChange w:id="4821" w:author="Author">
            <w:rPr>
              <w:sz w:val="22"/>
              <w:szCs w:val="22"/>
            </w:rPr>
          </w:rPrChange>
        </w:rPr>
        <w:t>mg every other week, your doctor may increase the dose to 40</w:t>
      </w:r>
      <w:r w:rsidRPr="00D55B59">
        <w:rPr>
          <w:szCs w:val="22"/>
          <w:lang w:val="en-GB" w:eastAsia="en-GB"/>
          <w:rPrChange w:id="4822" w:author="Author">
            <w:rPr>
              <w:szCs w:val="22"/>
              <w:lang w:eastAsia="en-GB"/>
            </w:rPr>
          </w:rPrChange>
        </w:rPr>
        <w:t> </w:t>
      </w:r>
      <w:r w:rsidRPr="00D55B59">
        <w:rPr>
          <w:sz w:val="22"/>
          <w:szCs w:val="22"/>
          <w:lang w:val="en-GB"/>
          <w:rPrChange w:id="4823" w:author="Author">
            <w:rPr>
              <w:sz w:val="22"/>
              <w:szCs w:val="22"/>
            </w:rPr>
          </w:rPrChange>
        </w:rPr>
        <w:t>mg every week or 80</w:t>
      </w:r>
      <w:r w:rsidRPr="00D55B59">
        <w:rPr>
          <w:szCs w:val="22"/>
          <w:lang w:val="en-GB" w:eastAsia="en-GB"/>
          <w:rPrChange w:id="4824" w:author="Author">
            <w:rPr>
              <w:szCs w:val="22"/>
              <w:lang w:eastAsia="en-GB"/>
            </w:rPr>
          </w:rPrChange>
        </w:rPr>
        <w:t> </w:t>
      </w:r>
      <w:r w:rsidRPr="00D55B59">
        <w:rPr>
          <w:sz w:val="22"/>
          <w:szCs w:val="22"/>
          <w:lang w:val="en-GB"/>
          <w:rPrChange w:id="4825" w:author="Author">
            <w:rPr>
              <w:sz w:val="22"/>
              <w:szCs w:val="22"/>
            </w:rPr>
          </w:rPrChange>
        </w:rPr>
        <w:t xml:space="preserve">mg every other week. </w:t>
      </w:r>
    </w:p>
    <w:p w14:paraId="1D74BF7D" w14:textId="77777777" w:rsidR="00E03C85" w:rsidRPr="00D55B59" w:rsidRDefault="00E03C85" w:rsidP="006A71EE">
      <w:pPr>
        <w:pStyle w:val="Default"/>
        <w:rPr>
          <w:sz w:val="22"/>
          <w:szCs w:val="22"/>
          <w:lang w:val="en-GB"/>
          <w:rPrChange w:id="4826" w:author="Author">
            <w:rPr>
              <w:sz w:val="22"/>
              <w:szCs w:val="22"/>
            </w:rPr>
          </w:rPrChange>
        </w:rPr>
      </w:pPr>
    </w:p>
    <w:p w14:paraId="22E2E5AB" w14:textId="77777777" w:rsidR="00E03C85" w:rsidRPr="00D55B59" w:rsidRDefault="00E03C85" w:rsidP="006A71EE">
      <w:pPr>
        <w:pStyle w:val="Default"/>
        <w:rPr>
          <w:sz w:val="22"/>
          <w:szCs w:val="22"/>
          <w:lang w:val="en-GB"/>
          <w:rPrChange w:id="4827" w:author="Author">
            <w:rPr>
              <w:sz w:val="22"/>
              <w:szCs w:val="22"/>
            </w:rPr>
          </w:rPrChange>
        </w:rPr>
      </w:pPr>
      <w:r w:rsidRPr="00D55B59">
        <w:rPr>
          <w:sz w:val="22"/>
          <w:szCs w:val="22"/>
          <w:lang w:val="en-GB"/>
          <w:rPrChange w:id="4828" w:author="Author">
            <w:rPr>
              <w:sz w:val="22"/>
              <w:szCs w:val="22"/>
            </w:rPr>
          </w:rPrChange>
        </w:rPr>
        <w:t>It is recommended that you use an antiseptic wash daily on the affected areas.</w:t>
      </w:r>
    </w:p>
    <w:p w14:paraId="7591A0FE" w14:textId="77777777" w:rsidR="00E03C85" w:rsidRPr="00D55B59" w:rsidRDefault="00E03C85" w:rsidP="006A71EE">
      <w:pPr>
        <w:pStyle w:val="Default"/>
        <w:rPr>
          <w:sz w:val="22"/>
          <w:szCs w:val="22"/>
          <w:u w:val="single"/>
          <w:lang w:val="en-GB"/>
          <w:rPrChange w:id="4829" w:author="Author">
            <w:rPr>
              <w:sz w:val="22"/>
              <w:szCs w:val="22"/>
              <w:u w:val="single"/>
            </w:rPr>
          </w:rPrChange>
        </w:rPr>
      </w:pPr>
    </w:p>
    <w:p w14:paraId="6EDA223D" w14:textId="77777777" w:rsidR="00E03C85" w:rsidRPr="00D55B59" w:rsidRDefault="00E03C85" w:rsidP="006A71EE">
      <w:pPr>
        <w:pStyle w:val="Default"/>
        <w:keepNext/>
        <w:rPr>
          <w:sz w:val="22"/>
          <w:szCs w:val="22"/>
          <w:u w:val="single"/>
          <w:lang w:val="en-GB"/>
          <w:rPrChange w:id="4830" w:author="Author">
            <w:rPr>
              <w:sz w:val="22"/>
              <w:szCs w:val="22"/>
              <w:u w:val="single"/>
            </w:rPr>
          </w:rPrChange>
        </w:rPr>
      </w:pPr>
      <w:r w:rsidRPr="00D55B59">
        <w:rPr>
          <w:sz w:val="22"/>
          <w:szCs w:val="22"/>
          <w:u w:val="single"/>
          <w:lang w:val="en-GB"/>
          <w:rPrChange w:id="4831" w:author="Author">
            <w:rPr>
              <w:sz w:val="22"/>
              <w:szCs w:val="22"/>
              <w:u w:val="single"/>
            </w:rPr>
          </w:rPrChange>
        </w:rPr>
        <w:t xml:space="preserve">Adults with Crohn’s disease </w:t>
      </w:r>
    </w:p>
    <w:p w14:paraId="416062A4" w14:textId="77777777" w:rsidR="00E03C85" w:rsidRPr="00D55B59" w:rsidRDefault="00E03C85" w:rsidP="006A71EE">
      <w:pPr>
        <w:pStyle w:val="Default"/>
        <w:keepNext/>
        <w:rPr>
          <w:sz w:val="22"/>
          <w:szCs w:val="22"/>
          <w:lang w:val="en-GB"/>
          <w:rPrChange w:id="4832" w:author="Author">
            <w:rPr>
              <w:sz w:val="22"/>
              <w:szCs w:val="22"/>
            </w:rPr>
          </w:rPrChange>
        </w:rPr>
      </w:pPr>
    </w:p>
    <w:p w14:paraId="29B4F762" w14:textId="77777777" w:rsidR="00E03C85" w:rsidRPr="00D55B59" w:rsidRDefault="00E03C85" w:rsidP="006A71EE">
      <w:pPr>
        <w:pStyle w:val="Default"/>
        <w:rPr>
          <w:sz w:val="22"/>
          <w:szCs w:val="22"/>
          <w:lang w:val="en-GB"/>
          <w:rPrChange w:id="4833" w:author="Author">
            <w:rPr>
              <w:sz w:val="22"/>
              <w:szCs w:val="22"/>
            </w:rPr>
          </w:rPrChange>
        </w:rPr>
      </w:pPr>
      <w:r w:rsidRPr="00D55B59">
        <w:rPr>
          <w:sz w:val="22"/>
          <w:szCs w:val="22"/>
          <w:lang w:val="en-GB"/>
          <w:rPrChange w:id="4834" w:author="Author">
            <w:rPr>
              <w:sz w:val="22"/>
              <w:szCs w:val="22"/>
            </w:rPr>
          </w:rPrChange>
        </w:rPr>
        <w:t>The usual dose regimen for Crohn’s disease is 80 mg (as two 40</w:t>
      </w:r>
      <w:r w:rsidRPr="00D55B59">
        <w:rPr>
          <w:szCs w:val="22"/>
          <w:lang w:val="en-GB" w:eastAsia="en-GB"/>
          <w:rPrChange w:id="4835" w:author="Author">
            <w:rPr>
              <w:szCs w:val="22"/>
              <w:lang w:eastAsia="en-GB"/>
            </w:rPr>
          </w:rPrChange>
        </w:rPr>
        <w:t> </w:t>
      </w:r>
      <w:r w:rsidRPr="00D55B59">
        <w:rPr>
          <w:sz w:val="22"/>
          <w:szCs w:val="22"/>
          <w:lang w:val="en-GB"/>
          <w:rPrChange w:id="4836" w:author="Author">
            <w:rPr>
              <w:sz w:val="22"/>
              <w:szCs w:val="22"/>
            </w:rPr>
          </w:rPrChange>
        </w:rPr>
        <w:t>mg injections in one day) initially followed by 40 mg every other week two weeks later. If a faster response is required, your doctor may prescribe an initial dose of 160 mg (as four 40 mg injections in one day or two 40 mg injections per day for two consecutive days), followed by 80 mg (as two 40</w:t>
      </w:r>
      <w:r w:rsidRPr="00D55B59">
        <w:rPr>
          <w:szCs w:val="22"/>
          <w:lang w:val="en-GB" w:eastAsia="en-GB"/>
          <w:rPrChange w:id="4837" w:author="Author">
            <w:rPr>
              <w:szCs w:val="22"/>
              <w:lang w:eastAsia="en-GB"/>
            </w:rPr>
          </w:rPrChange>
        </w:rPr>
        <w:t> </w:t>
      </w:r>
      <w:r w:rsidRPr="00D55B59">
        <w:rPr>
          <w:sz w:val="22"/>
          <w:szCs w:val="22"/>
          <w:lang w:val="en-GB"/>
          <w:rPrChange w:id="4838" w:author="Author">
            <w:rPr>
              <w:sz w:val="22"/>
              <w:szCs w:val="22"/>
            </w:rPr>
          </w:rPrChange>
        </w:rPr>
        <w:t>mg injections in one day) two weeks later, and thereafter as 40 mg every other week. Depending on your response, your doctor may increase the dose to 40 mg every week or 80</w:t>
      </w:r>
      <w:r w:rsidRPr="00D55B59">
        <w:rPr>
          <w:szCs w:val="22"/>
          <w:lang w:val="en-GB" w:eastAsia="en-GB"/>
          <w:rPrChange w:id="4839" w:author="Author">
            <w:rPr>
              <w:szCs w:val="22"/>
              <w:lang w:eastAsia="en-GB"/>
            </w:rPr>
          </w:rPrChange>
        </w:rPr>
        <w:t> </w:t>
      </w:r>
      <w:r w:rsidRPr="00D55B59">
        <w:rPr>
          <w:sz w:val="22"/>
          <w:szCs w:val="22"/>
          <w:lang w:val="en-GB"/>
          <w:rPrChange w:id="4840" w:author="Author">
            <w:rPr>
              <w:sz w:val="22"/>
              <w:szCs w:val="22"/>
            </w:rPr>
          </w:rPrChange>
        </w:rPr>
        <w:t xml:space="preserve">mg every other week. </w:t>
      </w:r>
    </w:p>
    <w:p w14:paraId="1E834139" w14:textId="77777777" w:rsidR="00E03C85" w:rsidRPr="00D55B59" w:rsidRDefault="00E03C85" w:rsidP="006A71EE">
      <w:pPr>
        <w:pStyle w:val="Default"/>
        <w:rPr>
          <w:sz w:val="22"/>
          <w:szCs w:val="22"/>
          <w:lang w:val="en-GB"/>
          <w:rPrChange w:id="4841" w:author="Author">
            <w:rPr>
              <w:sz w:val="22"/>
              <w:szCs w:val="22"/>
            </w:rPr>
          </w:rPrChange>
        </w:rPr>
      </w:pPr>
    </w:p>
    <w:p w14:paraId="2C69DA49" w14:textId="77777777" w:rsidR="00E03C85" w:rsidRPr="00D55B59" w:rsidRDefault="00E03C85" w:rsidP="006A71EE">
      <w:pPr>
        <w:pStyle w:val="Default"/>
        <w:keepNext/>
        <w:rPr>
          <w:sz w:val="22"/>
          <w:szCs w:val="22"/>
          <w:u w:val="single"/>
          <w:lang w:val="en-GB"/>
          <w:rPrChange w:id="4842" w:author="Author">
            <w:rPr>
              <w:sz w:val="22"/>
              <w:szCs w:val="22"/>
              <w:u w:val="single"/>
            </w:rPr>
          </w:rPrChange>
        </w:rPr>
      </w:pPr>
      <w:r w:rsidRPr="00D55B59">
        <w:rPr>
          <w:sz w:val="22"/>
          <w:szCs w:val="22"/>
          <w:u w:val="single"/>
          <w:lang w:val="en-GB"/>
          <w:rPrChange w:id="4843" w:author="Author">
            <w:rPr>
              <w:sz w:val="22"/>
              <w:szCs w:val="22"/>
              <w:u w:val="single"/>
            </w:rPr>
          </w:rPrChange>
        </w:rPr>
        <w:t xml:space="preserve">Children and adolescents with Crohn's </w:t>
      </w:r>
      <w:r w:rsidRPr="00D55B59">
        <w:rPr>
          <w:rFonts w:eastAsia="PMingLiU"/>
          <w:sz w:val="22"/>
          <w:szCs w:val="22"/>
          <w:u w:val="single"/>
          <w:lang w:val="en-GB" w:eastAsia="zh-TW"/>
          <w:rPrChange w:id="4844" w:author="Author">
            <w:rPr>
              <w:rFonts w:eastAsia="PMingLiU"/>
              <w:sz w:val="22"/>
              <w:szCs w:val="22"/>
              <w:u w:val="single"/>
              <w:lang w:eastAsia="zh-TW"/>
            </w:rPr>
          </w:rPrChange>
        </w:rPr>
        <w:t>d</w:t>
      </w:r>
      <w:r w:rsidRPr="00D55B59">
        <w:rPr>
          <w:sz w:val="22"/>
          <w:szCs w:val="22"/>
          <w:u w:val="single"/>
          <w:lang w:val="en-GB"/>
          <w:rPrChange w:id="4845" w:author="Author">
            <w:rPr>
              <w:sz w:val="22"/>
              <w:szCs w:val="22"/>
              <w:u w:val="single"/>
            </w:rPr>
          </w:rPrChange>
        </w:rPr>
        <w:t xml:space="preserve">isease </w:t>
      </w:r>
    </w:p>
    <w:p w14:paraId="73E7ED4C" w14:textId="77777777" w:rsidR="00E03C85" w:rsidRPr="00D55B59" w:rsidRDefault="00E03C85" w:rsidP="006A71EE">
      <w:pPr>
        <w:pStyle w:val="Default"/>
        <w:keepNext/>
        <w:rPr>
          <w:sz w:val="22"/>
          <w:szCs w:val="22"/>
          <w:u w:val="single"/>
          <w:lang w:val="en-GB"/>
          <w:rPrChange w:id="4846" w:author="Author">
            <w:rPr>
              <w:sz w:val="22"/>
              <w:szCs w:val="22"/>
              <w:u w:val="single"/>
            </w:rPr>
          </w:rPrChange>
        </w:rPr>
      </w:pPr>
    </w:p>
    <w:p w14:paraId="23876117" w14:textId="77777777" w:rsidR="00E03C85" w:rsidRPr="001775D9" w:rsidRDefault="00E03C85" w:rsidP="00B61D9D">
      <w:pPr>
        <w:keepNext/>
        <w:spacing w:line="240" w:lineRule="auto"/>
        <w:ind w:right="34"/>
        <w:rPr>
          <w:bCs/>
          <w:u w:val="single"/>
        </w:rPr>
      </w:pPr>
      <w:r w:rsidRPr="001775D9">
        <w:rPr>
          <w:bCs/>
          <w:i/>
        </w:rPr>
        <w:t>Children and adolescents from 6 to 17 years of age weighing less than 40 kg</w:t>
      </w:r>
    </w:p>
    <w:p w14:paraId="1BA4792A" w14:textId="77777777" w:rsidR="00E03C85" w:rsidRPr="00D55B59" w:rsidRDefault="00E03C85" w:rsidP="006A71EE">
      <w:pPr>
        <w:pStyle w:val="Default"/>
        <w:keepNext/>
        <w:rPr>
          <w:sz w:val="22"/>
          <w:szCs w:val="22"/>
          <w:u w:val="single"/>
          <w:lang w:val="en-GB"/>
          <w:rPrChange w:id="4847" w:author="Author">
            <w:rPr>
              <w:sz w:val="22"/>
              <w:szCs w:val="22"/>
              <w:u w:val="single"/>
            </w:rPr>
          </w:rPrChange>
        </w:rPr>
      </w:pPr>
    </w:p>
    <w:p w14:paraId="0FC8F084" w14:textId="77777777" w:rsidR="00E03C85" w:rsidRPr="00D55B59" w:rsidRDefault="00E03C85" w:rsidP="006A71EE">
      <w:pPr>
        <w:pStyle w:val="Default"/>
        <w:rPr>
          <w:sz w:val="22"/>
          <w:szCs w:val="22"/>
          <w:lang w:val="en-GB"/>
          <w:rPrChange w:id="4848" w:author="Author">
            <w:rPr>
              <w:sz w:val="22"/>
              <w:szCs w:val="22"/>
            </w:rPr>
          </w:rPrChange>
        </w:rPr>
      </w:pPr>
      <w:r w:rsidRPr="00D55B59">
        <w:rPr>
          <w:sz w:val="22"/>
          <w:szCs w:val="22"/>
          <w:lang w:val="en-GB"/>
          <w:rPrChange w:id="4849" w:author="Author">
            <w:rPr>
              <w:sz w:val="22"/>
              <w:szCs w:val="22"/>
            </w:rPr>
          </w:rPrChange>
        </w:rPr>
        <w:t>The usual dose regimen is 40 mg initially followed by 20 mg two weeks later. If a faster response is required, your doctor may prescribe an initial dose of 80 mg (as two 40 mg injections in one day) followed by 40</w:t>
      </w:r>
      <w:r w:rsidRPr="00D55B59">
        <w:rPr>
          <w:rFonts w:eastAsia="PMingLiU"/>
          <w:sz w:val="22"/>
          <w:szCs w:val="22"/>
          <w:lang w:val="en-GB" w:eastAsia="zh-TW"/>
          <w:rPrChange w:id="4850" w:author="Author">
            <w:rPr>
              <w:rFonts w:eastAsia="PMingLiU"/>
              <w:sz w:val="22"/>
              <w:szCs w:val="22"/>
              <w:lang w:eastAsia="zh-TW"/>
            </w:rPr>
          </w:rPrChange>
        </w:rPr>
        <w:t> </w:t>
      </w:r>
      <w:r w:rsidRPr="00D55B59">
        <w:rPr>
          <w:sz w:val="22"/>
          <w:szCs w:val="22"/>
          <w:lang w:val="en-GB"/>
          <w:rPrChange w:id="4851" w:author="Author">
            <w:rPr>
              <w:sz w:val="22"/>
              <w:szCs w:val="22"/>
            </w:rPr>
          </w:rPrChange>
        </w:rPr>
        <w:t xml:space="preserve">mg two weeks later. </w:t>
      </w:r>
    </w:p>
    <w:p w14:paraId="2ABFAA88" w14:textId="77777777" w:rsidR="00E03C85" w:rsidRPr="00D55B59" w:rsidRDefault="00E03C85" w:rsidP="006A71EE">
      <w:pPr>
        <w:pStyle w:val="Default"/>
        <w:rPr>
          <w:sz w:val="22"/>
          <w:szCs w:val="22"/>
          <w:lang w:val="en-GB"/>
          <w:rPrChange w:id="4852" w:author="Author">
            <w:rPr>
              <w:sz w:val="22"/>
              <w:szCs w:val="22"/>
            </w:rPr>
          </w:rPrChange>
        </w:rPr>
      </w:pPr>
    </w:p>
    <w:p w14:paraId="15FDEE30" w14:textId="77777777" w:rsidR="00E03C85" w:rsidRPr="00D55B59" w:rsidRDefault="00E03C85" w:rsidP="006A71EE">
      <w:pPr>
        <w:pStyle w:val="Default"/>
        <w:rPr>
          <w:sz w:val="22"/>
          <w:szCs w:val="22"/>
          <w:lang w:val="en-GB"/>
          <w:rPrChange w:id="4853" w:author="Author">
            <w:rPr>
              <w:sz w:val="22"/>
              <w:szCs w:val="22"/>
            </w:rPr>
          </w:rPrChange>
        </w:rPr>
      </w:pPr>
      <w:r w:rsidRPr="00D55B59">
        <w:rPr>
          <w:sz w:val="22"/>
          <w:szCs w:val="22"/>
          <w:lang w:val="en-GB"/>
          <w:rPrChange w:id="4854" w:author="Author">
            <w:rPr>
              <w:sz w:val="22"/>
              <w:szCs w:val="22"/>
            </w:rPr>
          </w:rPrChange>
        </w:rPr>
        <w:t xml:space="preserve">Thereafter, the usual dose is 20 mg every other week. Depending on your response, your doctor may increase the dose frequency to 20 mg every week. </w:t>
      </w:r>
    </w:p>
    <w:p w14:paraId="49A7658E" w14:textId="77777777" w:rsidR="00E03C85" w:rsidRPr="00D55B59" w:rsidRDefault="00E03C85" w:rsidP="006A71EE">
      <w:pPr>
        <w:pStyle w:val="Default"/>
        <w:rPr>
          <w:sz w:val="22"/>
          <w:szCs w:val="22"/>
          <w:lang w:val="en-GB"/>
          <w:rPrChange w:id="4855" w:author="Author">
            <w:rPr>
              <w:sz w:val="22"/>
              <w:szCs w:val="22"/>
            </w:rPr>
          </w:rPrChange>
        </w:rPr>
      </w:pPr>
    </w:p>
    <w:p w14:paraId="35EFC251" w14:textId="5B8C18E5" w:rsidR="00E03C85" w:rsidRPr="001775D9" w:rsidRDefault="00E03C85" w:rsidP="006A71EE">
      <w:pPr>
        <w:tabs>
          <w:tab w:val="clear" w:pos="567"/>
          <w:tab w:val="left" w:pos="0"/>
        </w:tabs>
        <w:spacing w:line="240" w:lineRule="auto"/>
        <w:outlineLvl w:val="0"/>
      </w:pPr>
      <w:r w:rsidRPr="001775D9">
        <w:t>The 40</w:t>
      </w:r>
      <w:r w:rsidRPr="001775D9">
        <w:rPr>
          <w:bCs/>
        </w:rPr>
        <w:t> </w:t>
      </w:r>
      <w:r w:rsidRPr="001775D9">
        <w:t>mg pre-filled pen cannot be used for the 20</w:t>
      </w:r>
      <w:r w:rsidRPr="001775D9">
        <w:rPr>
          <w:bCs/>
        </w:rPr>
        <w:t> </w:t>
      </w:r>
      <w:r w:rsidRPr="001775D9">
        <w:t>mg dose. An AMGEVITA 20</w:t>
      </w:r>
      <w:r w:rsidRPr="001775D9">
        <w:rPr>
          <w:bCs/>
        </w:rPr>
        <w:t> </w:t>
      </w:r>
      <w:r w:rsidRPr="001775D9">
        <w:t xml:space="preserve">mg pre-filled </w:t>
      </w:r>
      <w:r w:rsidRPr="001775D9">
        <w:rPr>
          <w:i/>
        </w:rPr>
        <w:t>syringe</w:t>
      </w:r>
      <w:r w:rsidRPr="001775D9">
        <w:t xml:space="preserve"> is however available for the 20</w:t>
      </w:r>
      <w:r w:rsidRPr="001775D9">
        <w:rPr>
          <w:bCs/>
        </w:rPr>
        <w:t> </w:t>
      </w:r>
      <w:r w:rsidRPr="001775D9">
        <w:t>mg dose.</w:t>
      </w:r>
      <w:fldSimple w:instr=" DOCVARIABLE vault_nd_a021d67a-deac-42c8-b08f-71c250e0049d \* MERGEFORMAT ">
        <w:r w:rsidR="001C55FB" w:rsidRPr="001775D9">
          <w:t xml:space="preserve"> </w:t>
        </w:r>
      </w:fldSimple>
    </w:p>
    <w:p w14:paraId="49FE6D13" w14:textId="77777777" w:rsidR="00E03C85" w:rsidRPr="001775D9" w:rsidRDefault="00E03C85" w:rsidP="006A71EE">
      <w:pPr>
        <w:tabs>
          <w:tab w:val="clear" w:pos="567"/>
          <w:tab w:val="left" w:pos="0"/>
        </w:tabs>
        <w:spacing w:line="240" w:lineRule="auto"/>
        <w:outlineLvl w:val="0"/>
      </w:pPr>
    </w:p>
    <w:p w14:paraId="40AB4EF7" w14:textId="77777777" w:rsidR="00E03C85" w:rsidRPr="001775D9" w:rsidRDefault="00E03C85" w:rsidP="00B61D9D">
      <w:pPr>
        <w:spacing w:line="240" w:lineRule="auto"/>
        <w:ind w:right="34"/>
        <w:rPr>
          <w:bCs/>
          <w:u w:val="single"/>
        </w:rPr>
      </w:pPr>
      <w:r w:rsidRPr="001775D9">
        <w:rPr>
          <w:bCs/>
          <w:i/>
        </w:rPr>
        <w:t>Children and adolescents from 6 to 17 years of age weighing 40 kg or more</w:t>
      </w:r>
      <w:r w:rsidRPr="001775D9">
        <w:rPr>
          <w:bCs/>
          <w:u w:val="single"/>
        </w:rPr>
        <w:t xml:space="preserve"> </w:t>
      </w:r>
    </w:p>
    <w:p w14:paraId="07012423" w14:textId="77777777" w:rsidR="00E03C85" w:rsidRPr="00D55B59" w:rsidRDefault="00E03C85" w:rsidP="006A71EE">
      <w:pPr>
        <w:pStyle w:val="Default"/>
        <w:keepNext/>
        <w:rPr>
          <w:sz w:val="22"/>
          <w:szCs w:val="22"/>
          <w:u w:val="single"/>
          <w:lang w:val="en-GB"/>
          <w:rPrChange w:id="4856" w:author="Author">
            <w:rPr>
              <w:sz w:val="22"/>
              <w:szCs w:val="22"/>
              <w:u w:val="single"/>
            </w:rPr>
          </w:rPrChange>
        </w:rPr>
      </w:pPr>
    </w:p>
    <w:p w14:paraId="51D4145A" w14:textId="77777777" w:rsidR="00E03C85" w:rsidRPr="001775D9" w:rsidRDefault="00E03C85" w:rsidP="006A71EE">
      <w:pPr>
        <w:keepNext/>
        <w:numPr>
          <w:ilvl w:val="12"/>
          <w:numId w:val="0"/>
        </w:numPr>
        <w:tabs>
          <w:tab w:val="clear" w:pos="567"/>
        </w:tabs>
        <w:spacing w:line="240" w:lineRule="auto"/>
        <w:ind w:right="-2"/>
        <w:rPr>
          <w:szCs w:val="22"/>
        </w:rPr>
      </w:pPr>
      <w:r w:rsidRPr="001775D9">
        <w:rPr>
          <w:szCs w:val="22"/>
        </w:rPr>
        <w:t>The usual dose regimen is 80 mg (as two 40</w:t>
      </w:r>
      <w:r w:rsidRPr="001775D9">
        <w:rPr>
          <w:szCs w:val="22"/>
          <w:lang w:eastAsia="en-GB"/>
        </w:rPr>
        <w:t> </w:t>
      </w:r>
      <w:r w:rsidRPr="001775D9">
        <w:rPr>
          <w:szCs w:val="22"/>
        </w:rPr>
        <w:t>mg injections in one day) initially followed by 40 mg two weeks later. If a faster response is required, your doctor may prescribe an initial dose of 160 mg (as four 40 mg injections in one day or as two 40 mg injections per day for two consecutive days) followed by 80 mg (as two 40</w:t>
      </w:r>
      <w:r w:rsidRPr="001775D9">
        <w:rPr>
          <w:szCs w:val="22"/>
          <w:lang w:eastAsia="en-GB"/>
        </w:rPr>
        <w:t> </w:t>
      </w:r>
      <w:r w:rsidRPr="001775D9">
        <w:rPr>
          <w:szCs w:val="22"/>
        </w:rPr>
        <w:t>mg injections in one day) two weeks later.</w:t>
      </w:r>
    </w:p>
    <w:p w14:paraId="501D9F08" w14:textId="77777777" w:rsidR="00E03C85" w:rsidRPr="001775D9" w:rsidRDefault="00E03C85" w:rsidP="006A71EE">
      <w:pPr>
        <w:numPr>
          <w:ilvl w:val="12"/>
          <w:numId w:val="0"/>
        </w:numPr>
        <w:tabs>
          <w:tab w:val="clear" w:pos="567"/>
        </w:tabs>
        <w:spacing w:line="240" w:lineRule="auto"/>
        <w:ind w:right="-2"/>
        <w:rPr>
          <w:szCs w:val="22"/>
        </w:rPr>
      </w:pPr>
    </w:p>
    <w:p w14:paraId="1B6AC3AF" w14:textId="77777777" w:rsidR="00E03C85" w:rsidRPr="00D55B59" w:rsidRDefault="00E03C85" w:rsidP="006A71EE">
      <w:pPr>
        <w:pStyle w:val="Default"/>
        <w:rPr>
          <w:sz w:val="22"/>
          <w:szCs w:val="22"/>
          <w:lang w:val="en-GB"/>
          <w:rPrChange w:id="4857" w:author="Author">
            <w:rPr>
              <w:sz w:val="22"/>
              <w:szCs w:val="22"/>
            </w:rPr>
          </w:rPrChange>
        </w:rPr>
      </w:pPr>
      <w:r w:rsidRPr="00D55B59">
        <w:rPr>
          <w:sz w:val="22"/>
          <w:szCs w:val="22"/>
          <w:lang w:val="en-GB"/>
          <w:rPrChange w:id="4858" w:author="Author">
            <w:rPr>
              <w:sz w:val="22"/>
              <w:szCs w:val="22"/>
            </w:rPr>
          </w:rPrChange>
        </w:rPr>
        <w:t>Thereafter, the usual dose is 40 mg every other week. Depending on your response, your doctor may increase the dose to 40 mg every week or 80</w:t>
      </w:r>
      <w:r w:rsidRPr="00D55B59">
        <w:rPr>
          <w:szCs w:val="22"/>
          <w:lang w:val="en-GB" w:eastAsia="en-GB"/>
          <w:rPrChange w:id="4859" w:author="Author">
            <w:rPr>
              <w:szCs w:val="22"/>
              <w:lang w:eastAsia="en-GB"/>
            </w:rPr>
          </w:rPrChange>
        </w:rPr>
        <w:t> </w:t>
      </w:r>
      <w:r w:rsidRPr="00D55B59">
        <w:rPr>
          <w:sz w:val="22"/>
          <w:szCs w:val="22"/>
          <w:lang w:val="en-GB"/>
          <w:rPrChange w:id="4860" w:author="Author">
            <w:rPr>
              <w:sz w:val="22"/>
              <w:szCs w:val="22"/>
            </w:rPr>
          </w:rPrChange>
        </w:rPr>
        <w:t xml:space="preserve">mg every other week. </w:t>
      </w:r>
    </w:p>
    <w:p w14:paraId="69E1D8E1" w14:textId="77777777" w:rsidR="00E03C85" w:rsidRPr="00D55B59" w:rsidRDefault="00E03C85" w:rsidP="006A71EE">
      <w:pPr>
        <w:pStyle w:val="Default"/>
        <w:rPr>
          <w:sz w:val="22"/>
          <w:szCs w:val="22"/>
          <w:lang w:val="en-GB"/>
          <w:rPrChange w:id="4861" w:author="Author">
            <w:rPr>
              <w:sz w:val="22"/>
              <w:szCs w:val="22"/>
            </w:rPr>
          </w:rPrChange>
        </w:rPr>
      </w:pPr>
    </w:p>
    <w:p w14:paraId="184A1472" w14:textId="77777777" w:rsidR="00E03C85" w:rsidRPr="00D55B59" w:rsidRDefault="00E03C85" w:rsidP="006A71EE">
      <w:pPr>
        <w:pStyle w:val="Default"/>
        <w:rPr>
          <w:sz w:val="22"/>
          <w:szCs w:val="22"/>
          <w:u w:val="single"/>
          <w:lang w:val="en-GB"/>
          <w:rPrChange w:id="4862" w:author="Author">
            <w:rPr>
              <w:sz w:val="22"/>
              <w:szCs w:val="22"/>
              <w:u w:val="single"/>
            </w:rPr>
          </w:rPrChange>
        </w:rPr>
      </w:pPr>
      <w:r w:rsidRPr="00D55B59">
        <w:rPr>
          <w:sz w:val="22"/>
          <w:szCs w:val="22"/>
          <w:u w:val="single"/>
          <w:lang w:val="en-GB"/>
          <w:rPrChange w:id="4863" w:author="Author">
            <w:rPr>
              <w:sz w:val="22"/>
              <w:szCs w:val="22"/>
              <w:u w:val="single"/>
            </w:rPr>
          </w:rPrChange>
        </w:rPr>
        <w:t xml:space="preserve">Adults with ulcerative colitis </w:t>
      </w:r>
    </w:p>
    <w:p w14:paraId="6CFF11AF" w14:textId="77777777" w:rsidR="00E03C85" w:rsidRPr="001775D9" w:rsidRDefault="00E03C85" w:rsidP="006A71EE">
      <w:pPr>
        <w:numPr>
          <w:ilvl w:val="12"/>
          <w:numId w:val="0"/>
        </w:numPr>
        <w:tabs>
          <w:tab w:val="clear" w:pos="567"/>
        </w:tabs>
        <w:spacing w:line="240" w:lineRule="auto"/>
        <w:ind w:right="-2"/>
        <w:rPr>
          <w:szCs w:val="22"/>
        </w:rPr>
      </w:pPr>
    </w:p>
    <w:p w14:paraId="1056503A" w14:textId="77777777" w:rsidR="00E03C85" w:rsidRPr="001775D9" w:rsidRDefault="00E03C85" w:rsidP="006A71EE">
      <w:pPr>
        <w:numPr>
          <w:ilvl w:val="12"/>
          <w:numId w:val="0"/>
        </w:numPr>
        <w:tabs>
          <w:tab w:val="clear" w:pos="567"/>
        </w:tabs>
        <w:spacing w:line="240" w:lineRule="auto"/>
        <w:ind w:right="-2"/>
        <w:rPr>
          <w:szCs w:val="22"/>
        </w:rPr>
      </w:pPr>
      <w:r w:rsidRPr="001775D9">
        <w:rPr>
          <w:szCs w:val="22"/>
        </w:rPr>
        <w:t>The usual AMGEVITA dose for adults with ulcerative colitis is 160 mg initially (as four 40 mg injections in one day or as two 40 mg injections per day for two consecutive days) followed by 80 mg (as two 40</w:t>
      </w:r>
      <w:r w:rsidRPr="001775D9">
        <w:rPr>
          <w:szCs w:val="22"/>
          <w:lang w:eastAsia="en-GB"/>
        </w:rPr>
        <w:t> </w:t>
      </w:r>
      <w:r w:rsidRPr="001775D9">
        <w:rPr>
          <w:szCs w:val="22"/>
        </w:rPr>
        <w:t>mg injections in one day) two weeks later, then 40 mg every other week. Depending on your response, your doctor may increase the dose to 40 mg every week or 80</w:t>
      </w:r>
      <w:r w:rsidRPr="001775D9">
        <w:rPr>
          <w:szCs w:val="22"/>
          <w:lang w:eastAsia="en-GB"/>
        </w:rPr>
        <w:t> </w:t>
      </w:r>
      <w:r w:rsidRPr="001775D9">
        <w:rPr>
          <w:szCs w:val="22"/>
        </w:rPr>
        <w:t>mg every other week.</w:t>
      </w:r>
    </w:p>
    <w:p w14:paraId="5A50790A" w14:textId="77777777" w:rsidR="00E03C85" w:rsidRPr="001775D9" w:rsidRDefault="00E03C85" w:rsidP="00E03C85">
      <w:pPr>
        <w:numPr>
          <w:ilvl w:val="12"/>
          <w:numId w:val="0"/>
        </w:numPr>
        <w:tabs>
          <w:tab w:val="clear" w:pos="567"/>
        </w:tabs>
        <w:spacing w:line="240" w:lineRule="auto"/>
        <w:ind w:right="-2"/>
        <w:rPr>
          <w:szCs w:val="22"/>
        </w:rPr>
      </w:pPr>
    </w:p>
    <w:p w14:paraId="5C4068C5" w14:textId="77777777" w:rsidR="00E03C85" w:rsidRPr="001775D9" w:rsidRDefault="00E03C85" w:rsidP="00E03C85">
      <w:pPr>
        <w:numPr>
          <w:ilvl w:val="12"/>
          <w:numId w:val="0"/>
        </w:numPr>
        <w:tabs>
          <w:tab w:val="clear" w:pos="567"/>
        </w:tabs>
        <w:spacing w:line="240" w:lineRule="auto"/>
        <w:ind w:right="-2"/>
        <w:rPr>
          <w:szCs w:val="22"/>
          <w:u w:val="single"/>
        </w:rPr>
      </w:pPr>
      <w:r w:rsidRPr="001775D9">
        <w:rPr>
          <w:szCs w:val="22"/>
          <w:u w:val="single"/>
        </w:rPr>
        <w:t>Children and adolescents with ulcerative colitis</w:t>
      </w:r>
    </w:p>
    <w:p w14:paraId="2E003C3D" w14:textId="77777777" w:rsidR="00E03C85" w:rsidRPr="001775D9" w:rsidRDefault="00E03C85" w:rsidP="00E03C85">
      <w:pPr>
        <w:numPr>
          <w:ilvl w:val="12"/>
          <w:numId w:val="0"/>
        </w:numPr>
        <w:tabs>
          <w:tab w:val="clear" w:pos="567"/>
        </w:tabs>
        <w:spacing w:line="240" w:lineRule="auto"/>
        <w:ind w:right="-2"/>
        <w:rPr>
          <w:szCs w:val="22"/>
        </w:rPr>
      </w:pPr>
    </w:p>
    <w:p w14:paraId="5A13AE80" w14:textId="77777777" w:rsidR="00E03C85" w:rsidRPr="001775D9" w:rsidRDefault="00E03C85" w:rsidP="00E03C85">
      <w:pPr>
        <w:numPr>
          <w:ilvl w:val="12"/>
          <w:numId w:val="0"/>
        </w:numPr>
        <w:tabs>
          <w:tab w:val="clear" w:pos="567"/>
        </w:tabs>
        <w:spacing w:line="240" w:lineRule="auto"/>
        <w:ind w:right="-2"/>
        <w:rPr>
          <w:i/>
          <w:iCs/>
          <w:szCs w:val="22"/>
        </w:rPr>
      </w:pPr>
      <w:r w:rsidRPr="001775D9">
        <w:rPr>
          <w:i/>
          <w:iCs/>
          <w:szCs w:val="22"/>
        </w:rPr>
        <w:t>Children and adolescents from 6 years of age weighing less than 40</w:t>
      </w:r>
      <w:r w:rsidRPr="001775D9">
        <w:rPr>
          <w:szCs w:val="22"/>
        </w:rPr>
        <w:t> </w:t>
      </w:r>
      <w:r w:rsidRPr="001775D9">
        <w:rPr>
          <w:i/>
          <w:iCs/>
          <w:szCs w:val="22"/>
        </w:rPr>
        <w:t>kg</w:t>
      </w:r>
    </w:p>
    <w:p w14:paraId="401A4322" w14:textId="77777777" w:rsidR="00E03C85" w:rsidRPr="001775D9" w:rsidRDefault="00E03C85" w:rsidP="00E03C85">
      <w:pPr>
        <w:numPr>
          <w:ilvl w:val="12"/>
          <w:numId w:val="0"/>
        </w:numPr>
        <w:tabs>
          <w:tab w:val="clear" w:pos="567"/>
        </w:tabs>
        <w:spacing w:line="240" w:lineRule="auto"/>
        <w:ind w:right="-2"/>
        <w:rPr>
          <w:szCs w:val="22"/>
        </w:rPr>
      </w:pPr>
    </w:p>
    <w:p w14:paraId="4A8E5900" w14:textId="6FFD598B" w:rsidR="00E03C85" w:rsidRPr="001775D9" w:rsidRDefault="00E03C85" w:rsidP="00E03C85">
      <w:pPr>
        <w:numPr>
          <w:ilvl w:val="12"/>
          <w:numId w:val="0"/>
        </w:numPr>
        <w:tabs>
          <w:tab w:val="clear" w:pos="567"/>
        </w:tabs>
        <w:spacing w:line="240" w:lineRule="auto"/>
        <w:ind w:right="-2"/>
        <w:rPr>
          <w:szCs w:val="22"/>
        </w:rPr>
      </w:pPr>
      <w:r w:rsidRPr="001775D9">
        <w:rPr>
          <w:szCs w:val="22"/>
        </w:rPr>
        <w:t>The usual AMGEVITA dose is 80 mg (as two 40</w:t>
      </w:r>
      <w:r w:rsidR="00CE74EE" w:rsidRPr="001775D9">
        <w:rPr>
          <w:szCs w:val="22"/>
        </w:rPr>
        <w:t> </w:t>
      </w:r>
      <w:r w:rsidRPr="001775D9">
        <w:rPr>
          <w:szCs w:val="22"/>
        </w:rPr>
        <w:t>mg injections in one day) initially followed by 40 mg (as one 40 mg injection) two weeks later. Thereafter, the usual dose is 40 mg every other week.</w:t>
      </w:r>
    </w:p>
    <w:p w14:paraId="51F9332F" w14:textId="77777777" w:rsidR="00E03C85" w:rsidRPr="001775D9" w:rsidRDefault="00E03C85" w:rsidP="00E03C85">
      <w:pPr>
        <w:numPr>
          <w:ilvl w:val="12"/>
          <w:numId w:val="0"/>
        </w:numPr>
        <w:tabs>
          <w:tab w:val="clear" w:pos="567"/>
        </w:tabs>
        <w:spacing w:line="240" w:lineRule="auto"/>
        <w:ind w:right="-2"/>
        <w:rPr>
          <w:szCs w:val="22"/>
        </w:rPr>
      </w:pPr>
    </w:p>
    <w:p w14:paraId="602D7846" w14:textId="77777777" w:rsidR="00E03C85" w:rsidRPr="001775D9" w:rsidRDefault="00E03C85" w:rsidP="00E03C85">
      <w:pPr>
        <w:numPr>
          <w:ilvl w:val="12"/>
          <w:numId w:val="0"/>
        </w:numPr>
        <w:tabs>
          <w:tab w:val="clear" w:pos="567"/>
        </w:tabs>
        <w:spacing w:line="240" w:lineRule="auto"/>
        <w:ind w:right="-2"/>
        <w:rPr>
          <w:szCs w:val="22"/>
        </w:rPr>
      </w:pPr>
      <w:r w:rsidRPr="001775D9">
        <w:rPr>
          <w:szCs w:val="22"/>
        </w:rPr>
        <w:t>Patients who turn 18 years of age while on 40 mg every other week, should continue their prescribed dose.</w:t>
      </w:r>
    </w:p>
    <w:p w14:paraId="4B6C0C57" w14:textId="77777777" w:rsidR="00E03C85" w:rsidRPr="001775D9" w:rsidRDefault="00E03C85" w:rsidP="00E03C85">
      <w:pPr>
        <w:numPr>
          <w:ilvl w:val="12"/>
          <w:numId w:val="0"/>
        </w:numPr>
        <w:tabs>
          <w:tab w:val="clear" w:pos="567"/>
        </w:tabs>
        <w:spacing w:line="240" w:lineRule="auto"/>
        <w:ind w:right="-2"/>
        <w:rPr>
          <w:szCs w:val="22"/>
        </w:rPr>
      </w:pPr>
    </w:p>
    <w:p w14:paraId="0B224990" w14:textId="77777777" w:rsidR="00E03C85" w:rsidRPr="001775D9" w:rsidRDefault="00E03C85" w:rsidP="00E03C85">
      <w:pPr>
        <w:numPr>
          <w:ilvl w:val="12"/>
          <w:numId w:val="0"/>
        </w:numPr>
        <w:tabs>
          <w:tab w:val="clear" w:pos="567"/>
        </w:tabs>
        <w:spacing w:line="240" w:lineRule="auto"/>
        <w:ind w:right="-2"/>
        <w:rPr>
          <w:i/>
          <w:iCs/>
          <w:szCs w:val="22"/>
        </w:rPr>
      </w:pPr>
      <w:r w:rsidRPr="001775D9">
        <w:rPr>
          <w:i/>
          <w:iCs/>
          <w:szCs w:val="22"/>
        </w:rPr>
        <w:t>Children and adolescents from 6 years of age weighing 40</w:t>
      </w:r>
      <w:r w:rsidRPr="001775D9">
        <w:rPr>
          <w:szCs w:val="22"/>
        </w:rPr>
        <w:t> </w:t>
      </w:r>
      <w:r w:rsidRPr="001775D9">
        <w:rPr>
          <w:i/>
          <w:iCs/>
          <w:szCs w:val="22"/>
        </w:rPr>
        <w:t>kg or more</w:t>
      </w:r>
    </w:p>
    <w:p w14:paraId="3D6CD8A1" w14:textId="77777777" w:rsidR="00E03C85" w:rsidRPr="001775D9" w:rsidRDefault="00E03C85" w:rsidP="00E03C85">
      <w:pPr>
        <w:numPr>
          <w:ilvl w:val="12"/>
          <w:numId w:val="0"/>
        </w:numPr>
        <w:tabs>
          <w:tab w:val="clear" w:pos="567"/>
        </w:tabs>
        <w:spacing w:line="240" w:lineRule="auto"/>
        <w:ind w:right="-2"/>
        <w:rPr>
          <w:szCs w:val="22"/>
        </w:rPr>
      </w:pPr>
    </w:p>
    <w:p w14:paraId="13BF5EA0" w14:textId="77777777" w:rsidR="00E03C85" w:rsidRPr="001775D9" w:rsidRDefault="00E03C85" w:rsidP="00E03C85">
      <w:pPr>
        <w:numPr>
          <w:ilvl w:val="12"/>
          <w:numId w:val="0"/>
        </w:numPr>
        <w:tabs>
          <w:tab w:val="clear" w:pos="567"/>
        </w:tabs>
        <w:spacing w:line="240" w:lineRule="auto"/>
        <w:ind w:right="-2"/>
        <w:rPr>
          <w:szCs w:val="22"/>
        </w:rPr>
      </w:pPr>
      <w:r w:rsidRPr="001775D9">
        <w:rPr>
          <w:szCs w:val="22"/>
        </w:rPr>
        <w:t>The usual AMGEVITA dose is 160 mg (as four 40 mg injections in one day or two 40 mg injections per day for two consecutive days) initially, followed by 80 mg (as two 40 mg injections in one day) two weeks later. Thereafter the usual dose is 80 mg every other week.</w:t>
      </w:r>
    </w:p>
    <w:p w14:paraId="2F9DD434" w14:textId="77777777" w:rsidR="00E03C85" w:rsidRPr="001775D9" w:rsidRDefault="00E03C85" w:rsidP="00E03C85">
      <w:pPr>
        <w:numPr>
          <w:ilvl w:val="12"/>
          <w:numId w:val="0"/>
        </w:numPr>
        <w:tabs>
          <w:tab w:val="clear" w:pos="567"/>
        </w:tabs>
        <w:spacing w:line="240" w:lineRule="auto"/>
        <w:ind w:right="-2"/>
        <w:rPr>
          <w:szCs w:val="22"/>
        </w:rPr>
      </w:pPr>
    </w:p>
    <w:p w14:paraId="54E28B95" w14:textId="77777777" w:rsidR="00E03C85" w:rsidRPr="001775D9" w:rsidRDefault="00E03C85" w:rsidP="00E03C85">
      <w:pPr>
        <w:numPr>
          <w:ilvl w:val="12"/>
          <w:numId w:val="0"/>
        </w:numPr>
        <w:tabs>
          <w:tab w:val="clear" w:pos="567"/>
        </w:tabs>
        <w:spacing w:line="240" w:lineRule="auto"/>
        <w:ind w:right="-2"/>
        <w:rPr>
          <w:szCs w:val="22"/>
        </w:rPr>
      </w:pPr>
      <w:r w:rsidRPr="001775D9">
        <w:rPr>
          <w:szCs w:val="22"/>
        </w:rPr>
        <w:t>Patients who turn 18 years of age while on 80 mg every other week, should continue their prescribed dose.</w:t>
      </w:r>
    </w:p>
    <w:p w14:paraId="1211B1EB" w14:textId="77777777" w:rsidR="00E03C85" w:rsidRPr="001775D9" w:rsidRDefault="00E03C85" w:rsidP="00E03C85">
      <w:pPr>
        <w:numPr>
          <w:ilvl w:val="12"/>
          <w:numId w:val="0"/>
        </w:numPr>
        <w:tabs>
          <w:tab w:val="clear" w:pos="567"/>
        </w:tabs>
        <w:spacing w:line="240" w:lineRule="auto"/>
        <w:ind w:right="-2"/>
        <w:rPr>
          <w:szCs w:val="22"/>
        </w:rPr>
      </w:pPr>
    </w:p>
    <w:p w14:paraId="4BE32F3B" w14:textId="77777777" w:rsidR="00E03C85" w:rsidRPr="001775D9" w:rsidRDefault="00E03C85" w:rsidP="00E03C85">
      <w:pPr>
        <w:keepNext/>
        <w:tabs>
          <w:tab w:val="clear" w:pos="567"/>
        </w:tabs>
        <w:autoSpaceDE w:val="0"/>
        <w:autoSpaceDN w:val="0"/>
        <w:adjustRightInd w:val="0"/>
        <w:spacing w:line="240" w:lineRule="auto"/>
        <w:rPr>
          <w:szCs w:val="22"/>
          <w:u w:val="single"/>
          <w:lang w:eastAsia="en-GB"/>
        </w:rPr>
      </w:pPr>
      <w:r w:rsidRPr="001775D9">
        <w:rPr>
          <w:szCs w:val="22"/>
          <w:u w:val="single"/>
          <w:lang w:eastAsia="en-GB"/>
        </w:rPr>
        <w:t>Adults with non-infectious uveitis</w:t>
      </w:r>
    </w:p>
    <w:p w14:paraId="6597C060" w14:textId="77777777" w:rsidR="00E03C85" w:rsidRPr="001775D9" w:rsidRDefault="00E03C85" w:rsidP="00E03C85">
      <w:pPr>
        <w:keepNext/>
        <w:tabs>
          <w:tab w:val="clear" w:pos="567"/>
        </w:tabs>
        <w:autoSpaceDE w:val="0"/>
        <w:autoSpaceDN w:val="0"/>
        <w:adjustRightInd w:val="0"/>
        <w:spacing w:line="240" w:lineRule="auto"/>
        <w:rPr>
          <w:szCs w:val="22"/>
          <w:lang w:eastAsia="en-GB"/>
        </w:rPr>
      </w:pPr>
    </w:p>
    <w:p w14:paraId="09BC09D5" w14:textId="77777777" w:rsidR="00E03C85" w:rsidRPr="001775D9" w:rsidRDefault="00E03C85" w:rsidP="00E03C85">
      <w:pPr>
        <w:tabs>
          <w:tab w:val="clear" w:pos="567"/>
        </w:tabs>
        <w:autoSpaceDE w:val="0"/>
        <w:autoSpaceDN w:val="0"/>
        <w:adjustRightInd w:val="0"/>
        <w:spacing w:line="240" w:lineRule="auto"/>
        <w:rPr>
          <w:szCs w:val="22"/>
          <w:lang w:eastAsia="en-GB"/>
        </w:rPr>
      </w:pPr>
      <w:r w:rsidRPr="001775D9">
        <w:rPr>
          <w:szCs w:val="22"/>
          <w:lang w:eastAsia="en-GB"/>
        </w:rPr>
        <w:t xml:space="preserve">The usual dose for adults with non-infectious uveitis is an initial dose of 80 mg </w:t>
      </w:r>
      <w:r w:rsidRPr="001775D9">
        <w:rPr>
          <w:szCs w:val="22"/>
        </w:rPr>
        <w:t>(as two 40</w:t>
      </w:r>
      <w:r w:rsidRPr="001775D9">
        <w:rPr>
          <w:szCs w:val="22"/>
          <w:lang w:eastAsia="en-GB"/>
        </w:rPr>
        <w:t> </w:t>
      </w:r>
      <w:r w:rsidRPr="001775D9">
        <w:rPr>
          <w:szCs w:val="22"/>
        </w:rPr>
        <w:t>mg injections in one day)</w:t>
      </w:r>
      <w:r w:rsidRPr="001775D9">
        <w:rPr>
          <w:szCs w:val="22"/>
          <w:lang w:eastAsia="en-GB"/>
        </w:rPr>
        <w:t>, followed by 40 mg given every other week starting one week after the initial dose. You should continue to inject AMGEVITA for as long as your doctor has told you.</w:t>
      </w:r>
    </w:p>
    <w:p w14:paraId="0DD1D386" w14:textId="77777777" w:rsidR="00E03C85" w:rsidRPr="001775D9" w:rsidRDefault="00E03C85" w:rsidP="00E03C85">
      <w:pPr>
        <w:tabs>
          <w:tab w:val="clear" w:pos="567"/>
        </w:tabs>
        <w:autoSpaceDE w:val="0"/>
        <w:autoSpaceDN w:val="0"/>
        <w:adjustRightInd w:val="0"/>
        <w:spacing w:line="240" w:lineRule="auto"/>
        <w:rPr>
          <w:szCs w:val="22"/>
          <w:lang w:eastAsia="en-GB"/>
        </w:rPr>
      </w:pPr>
    </w:p>
    <w:p w14:paraId="45AC766C" w14:textId="77777777" w:rsidR="00E03C85" w:rsidRPr="00D55B59" w:rsidRDefault="00E03C85" w:rsidP="00E03C85">
      <w:pPr>
        <w:pStyle w:val="Default"/>
        <w:rPr>
          <w:sz w:val="22"/>
          <w:szCs w:val="22"/>
          <w:lang w:val="en-GB" w:eastAsia="en-GB"/>
          <w:rPrChange w:id="4864" w:author="Author">
            <w:rPr>
              <w:sz w:val="22"/>
              <w:szCs w:val="22"/>
              <w:lang w:eastAsia="en-GB"/>
            </w:rPr>
          </w:rPrChange>
        </w:rPr>
      </w:pPr>
      <w:r w:rsidRPr="00D55B59">
        <w:rPr>
          <w:sz w:val="22"/>
          <w:szCs w:val="22"/>
          <w:lang w:val="en-GB" w:eastAsia="en-GB"/>
          <w:rPrChange w:id="4865" w:author="Author">
            <w:rPr>
              <w:sz w:val="22"/>
              <w:szCs w:val="22"/>
              <w:lang w:eastAsia="en-GB"/>
            </w:rPr>
          </w:rPrChange>
        </w:rPr>
        <w:t>In non-infectious uveitis, corticosteroids or other medicines that influence the immune system may be continued while using AMGEVITA. AMGEVITA can also be given alone.</w:t>
      </w:r>
    </w:p>
    <w:p w14:paraId="0447F6AA" w14:textId="77777777" w:rsidR="00E03C85" w:rsidRPr="00D55B59" w:rsidRDefault="00E03C85" w:rsidP="00E03C85">
      <w:pPr>
        <w:pStyle w:val="Default"/>
        <w:rPr>
          <w:sz w:val="22"/>
          <w:szCs w:val="22"/>
          <w:lang w:val="en-GB" w:eastAsia="en-GB"/>
          <w:rPrChange w:id="4866" w:author="Author">
            <w:rPr>
              <w:sz w:val="22"/>
              <w:szCs w:val="22"/>
              <w:lang w:eastAsia="en-GB"/>
            </w:rPr>
          </w:rPrChange>
        </w:rPr>
      </w:pPr>
    </w:p>
    <w:p w14:paraId="57CE7AAC" w14:textId="77777777" w:rsidR="00E03C85" w:rsidRPr="00D55B59" w:rsidRDefault="00E03C85" w:rsidP="00E03C85">
      <w:pPr>
        <w:pStyle w:val="Default"/>
        <w:rPr>
          <w:sz w:val="22"/>
          <w:szCs w:val="22"/>
          <w:u w:val="single"/>
          <w:lang w:val="en-GB" w:eastAsia="en-GB"/>
          <w:rPrChange w:id="4867" w:author="Author">
            <w:rPr>
              <w:sz w:val="22"/>
              <w:szCs w:val="22"/>
              <w:u w:val="single"/>
              <w:lang w:eastAsia="en-GB"/>
            </w:rPr>
          </w:rPrChange>
        </w:rPr>
      </w:pPr>
      <w:r w:rsidRPr="00D55B59">
        <w:rPr>
          <w:sz w:val="22"/>
          <w:szCs w:val="22"/>
          <w:u w:val="single"/>
          <w:lang w:val="en-GB" w:eastAsia="en-GB"/>
          <w:rPrChange w:id="4868" w:author="Author">
            <w:rPr>
              <w:sz w:val="22"/>
              <w:szCs w:val="22"/>
              <w:u w:val="single"/>
              <w:lang w:eastAsia="en-GB"/>
            </w:rPr>
          </w:rPrChange>
        </w:rPr>
        <w:t>Children and adolescents with chronic non-infectious uveitis from 2 years of age</w:t>
      </w:r>
    </w:p>
    <w:p w14:paraId="27450B0D" w14:textId="77777777" w:rsidR="00E03C85" w:rsidRPr="00D55B59" w:rsidRDefault="00E03C85" w:rsidP="00E03C85">
      <w:pPr>
        <w:pStyle w:val="Default"/>
        <w:rPr>
          <w:sz w:val="22"/>
          <w:szCs w:val="22"/>
          <w:lang w:val="en-GB" w:eastAsia="en-GB"/>
          <w:rPrChange w:id="4869" w:author="Author">
            <w:rPr>
              <w:sz w:val="22"/>
              <w:szCs w:val="22"/>
              <w:lang w:eastAsia="en-GB"/>
            </w:rPr>
          </w:rPrChange>
        </w:rPr>
      </w:pPr>
    </w:p>
    <w:p w14:paraId="1EC5C126" w14:textId="77777777" w:rsidR="00E03C85" w:rsidRPr="00D55B59" w:rsidRDefault="00E03C85" w:rsidP="00E03C85">
      <w:pPr>
        <w:pStyle w:val="Default"/>
        <w:rPr>
          <w:i/>
          <w:sz w:val="22"/>
          <w:szCs w:val="22"/>
          <w:lang w:val="en-GB" w:eastAsia="en-GB"/>
          <w:rPrChange w:id="4870" w:author="Author">
            <w:rPr>
              <w:i/>
              <w:sz w:val="22"/>
              <w:szCs w:val="22"/>
              <w:lang w:eastAsia="en-GB"/>
            </w:rPr>
          </w:rPrChange>
        </w:rPr>
      </w:pPr>
      <w:r w:rsidRPr="00D55B59">
        <w:rPr>
          <w:i/>
          <w:sz w:val="22"/>
          <w:szCs w:val="22"/>
          <w:lang w:val="en-GB" w:eastAsia="en-GB"/>
          <w:rPrChange w:id="4871" w:author="Author">
            <w:rPr>
              <w:i/>
              <w:sz w:val="22"/>
              <w:szCs w:val="22"/>
              <w:lang w:eastAsia="en-GB"/>
            </w:rPr>
          </w:rPrChange>
        </w:rPr>
        <w:t>Children and adolescents from 2 years of age weighing less than 30</w:t>
      </w:r>
      <w:r w:rsidRPr="00D55B59">
        <w:rPr>
          <w:szCs w:val="22"/>
          <w:lang w:val="en-GB" w:eastAsia="en-GB"/>
          <w:rPrChange w:id="4872" w:author="Author">
            <w:rPr>
              <w:szCs w:val="22"/>
              <w:lang w:eastAsia="en-GB"/>
            </w:rPr>
          </w:rPrChange>
        </w:rPr>
        <w:t> </w:t>
      </w:r>
      <w:r w:rsidRPr="00D55B59">
        <w:rPr>
          <w:i/>
          <w:sz w:val="22"/>
          <w:szCs w:val="22"/>
          <w:lang w:val="en-GB" w:eastAsia="en-GB"/>
          <w:rPrChange w:id="4873" w:author="Author">
            <w:rPr>
              <w:i/>
              <w:sz w:val="22"/>
              <w:szCs w:val="22"/>
              <w:lang w:eastAsia="en-GB"/>
            </w:rPr>
          </w:rPrChange>
        </w:rPr>
        <w:t>kg</w:t>
      </w:r>
    </w:p>
    <w:p w14:paraId="238F96F6" w14:textId="77777777" w:rsidR="00E03C85" w:rsidRPr="00D55B59" w:rsidRDefault="00E03C85" w:rsidP="00E03C85">
      <w:pPr>
        <w:pStyle w:val="Default"/>
        <w:rPr>
          <w:sz w:val="22"/>
          <w:szCs w:val="22"/>
          <w:lang w:val="en-GB" w:eastAsia="en-GB"/>
          <w:rPrChange w:id="4874" w:author="Author">
            <w:rPr>
              <w:sz w:val="22"/>
              <w:szCs w:val="22"/>
              <w:lang w:eastAsia="en-GB"/>
            </w:rPr>
          </w:rPrChange>
        </w:rPr>
      </w:pPr>
    </w:p>
    <w:p w14:paraId="569F3222" w14:textId="77777777" w:rsidR="00E03C85" w:rsidRPr="00D55B59" w:rsidRDefault="00E03C85" w:rsidP="00E03C85">
      <w:pPr>
        <w:pStyle w:val="Default"/>
        <w:rPr>
          <w:sz w:val="22"/>
          <w:szCs w:val="22"/>
          <w:lang w:val="en-GB" w:eastAsia="en-GB"/>
          <w:rPrChange w:id="4875" w:author="Author">
            <w:rPr>
              <w:sz w:val="22"/>
              <w:szCs w:val="22"/>
              <w:lang w:eastAsia="en-GB"/>
            </w:rPr>
          </w:rPrChange>
        </w:rPr>
      </w:pPr>
      <w:r w:rsidRPr="00D55B59">
        <w:rPr>
          <w:sz w:val="22"/>
          <w:szCs w:val="22"/>
          <w:lang w:val="en-GB" w:eastAsia="en-GB"/>
          <w:rPrChange w:id="4876" w:author="Author">
            <w:rPr>
              <w:sz w:val="22"/>
              <w:szCs w:val="22"/>
              <w:lang w:eastAsia="en-GB"/>
            </w:rPr>
          </w:rPrChange>
        </w:rPr>
        <w:t>The usual dose of AMGEVITA is 20</w:t>
      </w:r>
      <w:r w:rsidRPr="00D55B59">
        <w:rPr>
          <w:szCs w:val="22"/>
          <w:lang w:val="en-GB" w:eastAsia="en-GB"/>
          <w:rPrChange w:id="4877" w:author="Author">
            <w:rPr>
              <w:szCs w:val="22"/>
              <w:lang w:eastAsia="en-GB"/>
            </w:rPr>
          </w:rPrChange>
        </w:rPr>
        <w:t> </w:t>
      </w:r>
      <w:r w:rsidRPr="00D55B59">
        <w:rPr>
          <w:sz w:val="22"/>
          <w:szCs w:val="22"/>
          <w:lang w:val="en-GB" w:eastAsia="en-GB"/>
          <w:rPrChange w:id="4878" w:author="Author">
            <w:rPr>
              <w:sz w:val="22"/>
              <w:szCs w:val="22"/>
              <w:lang w:eastAsia="en-GB"/>
            </w:rPr>
          </w:rPrChange>
        </w:rPr>
        <w:t>mg every other week with methotrexate.</w:t>
      </w:r>
    </w:p>
    <w:p w14:paraId="3453293B" w14:textId="77777777" w:rsidR="00E03C85" w:rsidRPr="00D55B59" w:rsidRDefault="00E03C85" w:rsidP="00E03C85">
      <w:pPr>
        <w:pStyle w:val="Default"/>
        <w:rPr>
          <w:sz w:val="22"/>
          <w:szCs w:val="22"/>
          <w:lang w:val="en-GB" w:eastAsia="en-GB"/>
          <w:rPrChange w:id="4879" w:author="Author">
            <w:rPr>
              <w:sz w:val="22"/>
              <w:szCs w:val="22"/>
              <w:lang w:eastAsia="en-GB"/>
            </w:rPr>
          </w:rPrChange>
        </w:rPr>
      </w:pPr>
    </w:p>
    <w:p w14:paraId="75617EF8" w14:textId="77777777" w:rsidR="00E03C85" w:rsidRPr="00D55B59" w:rsidRDefault="00E03C85" w:rsidP="00E03C85">
      <w:pPr>
        <w:pStyle w:val="Default"/>
        <w:rPr>
          <w:sz w:val="22"/>
          <w:szCs w:val="22"/>
          <w:lang w:val="en-GB" w:eastAsia="en-GB"/>
          <w:rPrChange w:id="4880" w:author="Author">
            <w:rPr>
              <w:sz w:val="22"/>
              <w:szCs w:val="22"/>
              <w:lang w:eastAsia="en-GB"/>
            </w:rPr>
          </w:rPrChange>
        </w:rPr>
      </w:pPr>
      <w:r w:rsidRPr="00D55B59">
        <w:rPr>
          <w:sz w:val="22"/>
          <w:szCs w:val="22"/>
          <w:lang w:val="en-GB" w:eastAsia="en-GB"/>
          <w:rPrChange w:id="4881" w:author="Author">
            <w:rPr>
              <w:sz w:val="22"/>
              <w:szCs w:val="22"/>
              <w:lang w:eastAsia="en-GB"/>
            </w:rPr>
          </w:rPrChange>
        </w:rPr>
        <w:t>Your doctor may also prescribe an initial dose of 40</w:t>
      </w:r>
      <w:r w:rsidRPr="00D55B59">
        <w:rPr>
          <w:szCs w:val="22"/>
          <w:lang w:val="en-GB" w:eastAsia="en-GB"/>
          <w:rPrChange w:id="4882" w:author="Author">
            <w:rPr>
              <w:szCs w:val="22"/>
              <w:lang w:eastAsia="en-GB"/>
            </w:rPr>
          </w:rPrChange>
        </w:rPr>
        <w:t> </w:t>
      </w:r>
      <w:r w:rsidRPr="00D55B59">
        <w:rPr>
          <w:sz w:val="22"/>
          <w:szCs w:val="22"/>
          <w:lang w:val="en-GB" w:eastAsia="en-GB"/>
          <w:rPrChange w:id="4883" w:author="Author">
            <w:rPr>
              <w:sz w:val="22"/>
              <w:szCs w:val="22"/>
              <w:lang w:eastAsia="en-GB"/>
            </w:rPr>
          </w:rPrChange>
        </w:rPr>
        <w:t>mg which may be administered one week prior to the start of the usual dose.</w:t>
      </w:r>
    </w:p>
    <w:p w14:paraId="3850D553" w14:textId="77777777" w:rsidR="00E03C85" w:rsidRPr="00D55B59" w:rsidRDefault="00E03C85" w:rsidP="00E03C85">
      <w:pPr>
        <w:pStyle w:val="Default"/>
        <w:rPr>
          <w:sz w:val="22"/>
          <w:szCs w:val="22"/>
          <w:lang w:val="en-GB" w:eastAsia="en-GB"/>
          <w:rPrChange w:id="4884" w:author="Author">
            <w:rPr>
              <w:sz w:val="22"/>
              <w:szCs w:val="22"/>
              <w:lang w:eastAsia="en-GB"/>
            </w:rPr>
          </w:rPrChange>
        </w:rPr>
      </w:pPr>
    </w:p>
    <w:p w14:paraId="101493EB" w14:textId="759CD920" w:rsidR="00E03C85" w:rsidRPr="001775D9" w:rsidRDefault="00E03C85" w:rsidP="00E03C85">
      <w:pPr>
        <w:tabs>
          <w:tab w:val="clear" w:pos="567"/>
          <w:tab w:val="left" w:pos="0"/>
        </w:tabs>
        <w:spacing w:line="240" w:lineRule="auto"/>
        <w:outlineLvl w:val="0"/>
      </w:pPr>
      <w:r w:rsidRPr="001775D9">
        <w:t>The 40</w:t>
      </w:r>
      <w:r w:rsidRPr="001775D9">
        <w:rPr>
          <w:bCs/>
        </w:rPr>
        <w:t> </w:t>
      </w:r>
      <w:r w:rsidRPr="001775D9">
        <w:t>mg pre-filled pen cannot be used for the 20</w:t>
      </w:r>
      <w:r w:rsidRPr="001775D9">
        <w:rPr>
          <w:bCs/>
        </w:rPr>
        <w:t> </w:t>
      </w:r>
      <w:r w:rsidRPr="001775D9">
        <w:t>mg dose. An AMGEVITA 20</w:t>
      </w:r>
      <w:r w:rsidRPr="001775D9">
        <w:rPr>
          <w:bCs/>
        </w:rPr>
        <w:t> </w:t>
      </w:r>
      <w:r w:rsidRPr="001775D9">
        <w:t xml:space="preserve">mg pre-filled </w:t>
      </w:r>
      <w:r w:rsidRPr="001775D9">
        <w:rPr>
          <w:i/>
        </w:rPr>
        <w:t>syringe</w:t>
      </w:r>
      <w:r w:rsidRPr="001775D9">
        <w:t xml:space="preserve"> is however available for the 20</w:t>
      </w:r>
      <w:r w:rsidRPr="001775D9">
        <w:rPr>
          <w:bCs/>
        </w:rPr>
        <w:t> </w:t>
      </w:r>
      <w:r w:rsidRPr="001775D9">
        <w:t>mg dose.</w:t>
      </w:r>
      <w:fldSimple w:instr=" DOCVARIABLE vault_nd_80feceb9-87cc-4c73-bae8-b74446e63293 \* MERGEFORMAT ">
        <w:r w:rsidR="001C55FB" w:rsidRPr="001775D9">
          <w:t xml:space="preserve"> </w:t>
        </w:r>
      </w:fldSimple>
    </w:p>
    <w:p w14:paraId="007B4BC8" w14:textId="77777777" w:rsidR="00E03C85" w:rsidRPr="00D55B59" w:rsidRDefault="00E03C85" w:rsidP="00E03C85">
      <w:pPr>
        <w:pStyle w:val="Default"/>
        <w:rPr>
          <w:sz w:val="22"/>
          <w:szCs w:val="22"/>
          <w:lang w:val="en-GB" w:eastAsia="en-GB"/>
          <w:rPrChange w:id="4885" w:author="Author">
            <w:rPr>
              <w:sz w:val="22"/>
              <w:szCs w:val="22"/>
              <w:lang w:eastAsia="en-GB"/>
            </w:rPr>
          </w:rPrChange>
        </w:rPr>
      </w:pPr>
    </w:p>
    <w:p w14:paraId="1516EDFB" w14:textId="77777777" w:rsidR="00E03C85" w:rsidRPr="00D55B59" w:rsidRDefault="00E03C85" w:rsidP="00E03C85">
      <w:pPr>
        <w:pStyle w:val="Default"/>
        <w:rPr>
          <w:i/>
          <w:sz w:val="22"/>
          <w:szCs w:val="22"/>
          <w:lang w:val="en-GB" w:eastAsia="en-GB"/>
          <w:rPrChange w:id="4886" w:author="Author">
            <w:rPr>
              <w:i/>
              <w:sz w:val="22"/>
              <w:szCs w:val="22"/>
              <w:lang w:eastAsia="en-GB"/>
            </w:rPr>
          </w:rPrChange>
        </w:rPr>
      </w:pPr>
      <w:r w:rsidRPr="00D55B59">
        <w:rPr>
          <w:i/>
          <w:sz w:val="22"/>
          <w:szCs w:val="22"/>
          <w:lang w:val="en-GB" w:eastAsia="en-GB"/>
          <w:rPrChange w:id="4887" w:author="Author">
            <w:rPr>
              <w:i/>
              <w:sz w:val="22"/>
              <w:szCs w:val="22"/>
              <w:lang w:eastAsia="en-GB"/>
            </w:rPr>
          </w:rPrChange>
        </w:rPr>
        <w:t>Children and adolescents from 2 years of age weighing 30</w:t>
      </w:r>
      <w:r w:rsidRPr="00D55B59">
        <w:rPr>
          <w:szCs w:val="22"/>
          <w:lang w:val="en-GB" w:eastAsia="en-GB"/>
          <w:rPrChange w:id="4888" w:author="Author">
            <w:rPr>
              <w:szCs w:val="22"/>
              <w:lang w:eastAsia="en-GB"/>
            </w:rPr>
          </w:rPrChange>
        </w:rPr>
        <w:t> </w:t>
      </w:r>
      <w:r w:rsidRPr="00D55B59">
        <w:rPr>
          <w:i/>
          <w:sz w:val="22"/>
          <w:szCs w:val="22"/>
          <w:lang w:val="en-GB" w:eastAsia="en-GB"/>
          <w:rPrChange w:id="4889" w:author="Author">
            <w:rPr>
              <w:i/>
              <w:sz w:val="22"/>
              <w:szCs w:val="22"/>
              <w:lang w:eastAsia="en-GB"/>
            </w:rPr>
          </w:rPrChange>
        </w:rPr>
        <w:t>kg or more</w:t>
      </w:r>
    </w:p>
    <w:p w14:paraId="2BB4841D" w14:textId="77777777" w:rsidR="00E03C85" w:rsidRPr="00D55B59" w:rsidRDefault="00E03C85" w:rsidP="00E03C85">
      <w:pPr>
        <w:pStyle w:val="Default"/>
        <w:rPr>
          <w:sz w:val="22"/>
          <w:szCs w:val="22"/>
          <w:lang w:val="en-GB" w:eastAsia="en-GB"/>
          <w:rPrChange w:id="4890" w:author="Author">
            <w:rPr>
              <w:sz w:val="22"/>
              <w:szCs w:val="22"/>
              <w:lang w:eastAsia="en-GB"/>
            </w:rPr>
          </w:rPrChange>
        </w:rPr>
      </w:pPr>
    </w:p>
    <w:p w14:paraId="473D07EA" w14:textId="77777777" w:rsidR="00E03C85" w:rsidRPr="00D55B59" w:rsidRDefault="00E03C85" w:rsidP="00E03C85">
      <w:pPr>
        <w:pStyle w:val="Default"/>
        <w:rPr>
          <w:sz w:val="22"/>
          <w:szCs w:val="22"/>
          <w:lang w:val="en-GB" w:eastAsia="en-GB"/>
          <w:rPrChange w:id="4891" w:author="Author">
            <w:rPr>
              <w:sz w:val="22"/>
              <w:szCs w:val="22"/>
              <w:lang w:eastAsia="en-GB"/>
            </w:rPr>
          </w:rPrChange>
        </w:rPr>
      </w:pPr>
      <w:r w:rsidRPr="00D55B59">
        <w:rPr>
          <w:sz w:val="22"/>
          <w:szCs w:val="22"/>
          <w:lang w:val="en-GB" w:eastAsia="en-GB"/>
          <w:rPrChange w:id="4892" w:author="Author">
            <w:rPr>
              <w:sz w:val="22"/>
              <w:szCs w:val="22"/>
              <w:lang w:eastAsia="en-GB"/>
            </w:rPr>
          </w:rPrChange>
        </w:rPr>
        <w:t>The usual dose of AMGEVITA is 40</w:t>
      </w:r>
      <w:r w:rsidRPr="00D55B59">
        <w:rPr>
          <w:szCs w:val="22"/>
          <w:lang w:val="en-GB" w:eastAsia="en-GB"/>
          <w:rPrChange w:id="4893" w:author="Author">
            <w:rPr>
              <w:szCs w:val="22"/>
              <w:lang w:eastAsia="en-GB"/>
            </w:rPr>
          </w:rPrChange>
        </w:rPr>
        <w:t> </w:t>
      </w:r>
      <w:r w:rsidRPr="00D55B59">
        <w:rPr>
          <w:sz w:val="22"/>
          <w:szCs w:val="22"/>
          <w:lang w:val="en-GB" w:eastAsia="en-GB"/>
          <w:rPrChange w:id="4894" w:author="Author">
            <w:rPr>
              <w:sz w:val="22"/>
              <w:szCs w:val="22"/>
              <w:lang w:eastAsia="en-GB"/>
            </w:rPr>
          </w:rPrChange>
        </w:rPr>
        <w:t>mg every other week with methotrexate.</w:t>
      </w:r>
    </w:p>
    <w:p w14:paraId="0B65871F" w14:textId="77777777" w:rsidR="00E03C85" w:rsidRPr="00D55B59" w:rsidRDefault="00E03C85" w:rsidP="00E03C85">
      <w:pPr>
        <w:pStyle w:val="Default"/>
        <w:rPr>
          <w:sz w:val="22"/>
          <w:szCs w:val="22"/>
          <w:lang w:val="en-GB" w:eastAsia="en-GB"/>
          <w:rPrChange w:id="4895" w:author="Author">
            <w:rPr>
              <w:sz w:val="22"/>
              <w:szCs w:val="22"/>
              <w:lang w:eastAsia="en-GB"/>
            </w:rPr>
          </w:rPrChange>
        </w:rPr>
      </w:pPr>
    </w:p>
    <w:p w14:paraId="50FD69A8" w14:textId="77777777" w:rsidR="00E03C85" w:rsidRPr="001775D9" w:rsidRDefault="00E03C85" w:rsidP="00E03C85">
      <w:pPr>
        <w:numPr>
          <w:ilvl w:val="12"/>
          <w:numId w:val="0"/>
        </w:numPr>
        <w:tabs>
          <w:tab w:val="clear" w:pos="567"/>
        </w:tabs>
        <w:spacing w:line="240" w:lineRule="auto"/>
        <w:ind w:right="-2"/>
        <w:rPr>
          <w:szCs w:val="22"/>
          <w:lang w:eastAsia="en-GB"/>
        </w:rPr>
      </w:pPr>
      <w:r w:rsidRPr="001775D9">
        <w:rPr>
          <w:szCs w:val="22"/>
          <w:lang w:eastAsia="en-GB"/>
        </w:rPr>
        <w:t>Your doctor may also prescribe an initial dose of 80 mg which may be administered one week prior to the start of the usual dose.</w:t>
      </w:r>
    </w:p>
    <w:p w14:paraId="24CB311E" w14:textId="77777777" w:rsidR="00E03C85" w:rsidRPr="001775D9" w:rsidRDefault="00E03C85" w:rsidP="00E03C85">
      <w:pPr>
        <w:numPr>
          <w:ilvl w:val="12"/>
          <w:numId w:val="0"/>
        </w:numPr>
        <w:tabs>
          <w:tab w:val="clear" w:pos="567"/>
        </w:tabs>
        <w:spacing w:line="240" w:lineRule="auto"/>
        <w:ind w:right="-2"/>
        <w:rPr>
          <w:szCs w:val="22"/>
        </w:rPr>
      </w:pPr>
    </w:p>
    <w:p w14:paraId="222812A2" w14:textId="77777777" w:rsidR="00E03C85" w:rsidRPr="00D55B59" w:rsidRDefault="00E03C85" w:rsidP="00E03C85">
      <w:pPr>
        <w:pStyle w:val="Default"/>
        <w:rPr>
          <w:sz w:val="22"/>
          <w:szCs w:val="22"/>
          <w:lang w:val="en-GB"/>
          <w:rPrChange w:id="4896" w:author="Author">
            <w:rPr>
              <w:sz w:val="22"/>
              <w:szCs w:val="22"/>
            </w:rPr>
          </w:rPrChange>
        </w:rPr>
      </w:pPr>
      <w:r w:rsidRPr="00D55B59">
        <w:rPr>
          <w:b/>
          <w:bCs/>
          <w:sz w:val="22"/>
          <w:szCs w:val="22"/>
          <w:lang w:val="en-GB"/>
          <w:rPrChange w:id="4897" w:author="Author">
            <w:rPr>
              <w:b/>
              <w:bCs/>
              <w:sz w:val="22"/>
              <w:szCs w:val="22"/>
            </w:rPr>
          </w:rPrChange>
        </w:rPr>
        <w:t xml:space="preserve">Method and route of administration </w:t>
      </w:r>
    </w:p>
    <w:p w14:paraId="765F964F" w14:textId="77777777" w:rsidR="00E03C85" w:rsidRPr="001775D9" w:rsidRDefault="00E03C85" w:rsidP="00E03C85">
      <w:pPr>
        <w:numPr>
          <w:ilvl w:val="12"/>
          <w:numId w:val="0"/>
        </w:numPr>
        <w:tabs>
          <w:tab w:val="clear" w:pos="567"/>
        </w:tabs>
        <w:spacing w:line="240" w:lineRule="auto"/>
        <w:ind w:right="-2"/>
        <w:rPr>
          <w:szCs w:val="22"/>
        </w:rPr>
      </w:pPr>
    </w:p>
    <w:p w14:paraId="4C163D26" w14:textId="77777777" w:rsidR="00E03C85" w:rsidRPr="001775D9" w:rsidRDefault="00E03C85" w:rsidP="00E03C85">
      <w:pPr>
        <w:numPr>
          <w:ilvl w:val="12"/>
          <w:numId w:val="0"/>
        </w:numPr>
        <w:tabs>
          <w:tab w:val="clear" w:pos="567"/>
        </w:tabs>
        <w:spacing w:line="240" w:lineRule="auto"/>
        <w:ind w:right="-2"/>
        <w:rPr>
          <w:szCs w:val="22"/>
        </w:rPr>
      </w:pPr>
      <w:r w:rsidRPr="001775D9">
        <w:rPr>
          <w:szCs w:val="22"/>
        </w:rPr>
        <w:t xml:space="preserve">AMGEVITA is administered by injection under the skin (subcutaneous injection). </w:t>
      </w:r>
    </w:p>
    <w:p w14:paraId="0C34BCBD" w14:textId="77777777" w:rsidR="00E03C85" w:rsidRPr="001775D9" w:rsidRDefault="00E03C85" w:rsidP="00E03C85">
      <w:pPr>
        <w:numPr>
          <w:ilvl w:val="12"/>
          <w:numId w:val="0"/>
        </w:numPr>
        <w:tabs>
          <w:tab w:val="clear" w:pos="567"/>
        </w:tabs>
        <w:spacing w:line="240" w:lineRule="auto"/>
        <w:ind w:right="-2"/>
        <w:rPr>
          <w:szCs w:val="22"/>
        </w:rPr>
      </w:pPr>
    </w:p>
    <w:p w14:paraId="5E3961A5" w14:textId="77777777" w:rsidR="00E03C85" w:rsidRPr="001775D9" w:rsidRDefault="00E03C85" w:rsidP="00E03C85">
      <w:pPr>
        <w:numPr>
          <w:ilvl w:val="12"/>
          <w:numId w:val="0"/>
        </w:numPr>
        <w:tabs>
          <w:tab w:val="clear" w:pos="567"/>
        </w:tabs>
        <w:spacing w:line="240" w:lineRule="auto"/>
        <w:ind w:right="-2"/>
        <w:rPr>
          <w:szCs w:val="22"/>
        </w:rPr>
      </w:pPr>
      <w:r w:rsidRPr="001775D9">
        <w:rPr>
          <w:szCs w:val="22"/>
        </w:rPr>
        <w:t>Detailed instructions on how to inject AMGEVITA are provided in “Instructions for use” section.</w:t>
      </w:r>
    </w:p>
    <w:p w14:paraId="5A63DF9D" w14:textId="77777777" w:rsidR="00E03C85" w:rsidRPr="001775D9" w:rsidRDefault="00E03C85" w:rsidP="00E03C85">
      <w:pPr>
        <w:numPr>
          <w:ilvl w:val="12"/>
          <w:numId w:val="0"/>
        </w:numPr>
        <w:tabs>
          <w:tab w:val="clear" w:pos="567"/>
        </w:tabs>
        <w:spacing w:line="240" w:lineRule="auto"/>
        <w:ind w:right="-2"/>
        <w:rPr>
          <w:szCs w:val="22"/>
        </w:rPr>
      </w:pPr>
    </w:p>
    <w:p w14:paraId="448680B9" w14:textId="0B3FFC70" w:rsidR="00E03C85" w:rsidRPr="001775D9" w:rsidRDefault="00E03C85" w:rsidP="00077AFF">
      <w:pPr>
        <w:keepNext/>
        <w:numPr>
          <w:ilvl w:val="12"/>
          <w:numId w:val="0"/>
        </w:numPr>
        <w:tabs>
          <w:tab w:val="clear" w:pos="567"/>
        </w:tabs>
        <w:spacing w:line="240" w:lineRule="auto"/>
        <w:outlineLvl w:val="0"/>
        <w:rPr>
          <w:szCs w:val="22"/>
        </w:rPr>
      </w:pPr>
      <w:r w:rsidRPr="001775D9">
        <w:rPr>
          <w:b/>
          <w:szCs w:val="22"/>
        </w:rPr>
        <w:t>If you use more AMGEVITA than you should</w:t>
      </w:r>
      <w:r w:rsidR="001C55FB" w:rsidRPr="001775D9">
        <w:rPr>
          <w:b/>
          <w:szCs w:val="22"/>
        </w:rPr>
        <w:fldChar w:fldCharType="begin"/>
      </w:r>
      <w:r w:rsidR="001C55FB" w:rsidRPr="001775D9">
        <w:rPr>
          <w:b/>
          <w:szCs w:val="22"/>
        </w:rPr>
        <w:instrText xml:space="preserve"> DOCVARIABLE vault_nd_b387b999-e784-40c1-9fc2-71487915908b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7050841" w14:textId="77777777" w:rsidR="00E03C85" w:rsidRPr="001775D9" w:rsidRDefault="00E03C85" w:rsidP="00077AFF">
      <w:pPr>
        <w:keepNext/>
        <w:numPr>
          <w:ilvl w:val="12"/>
          <w:numId w:val="0"/>
        </w:numPr>
        <w:tabs>
          <w:tab w:val="clear" w:pos="567"/>
        </w:tabs>
        <w:spacing w:line="240" w:lineRule="auto"/>
        <w:outlineLvl w:val="0"/>
        <w:rPr>
          <w:szCs w:val="22"/>
        </w:rPr>
      </w:pPr>
    </w:p>
    <w:p w14:paraId="171A97A8" w14:textId="1BDA19E2" w:rsidR="00E03C85" w:rsidRPr="001775D9" w:rsidRDefault="00E03C85" w:rsidP="00077AFF">
      <w:pPr>
        <w:numPr>
          <w:ilvl w:val="12"/>
          <w:numId w:val="0"/>
        </w:numPr>
        <w:tabs>
          <w:tab w:val="clear" w:pos="567"/>
        </w:tabs>
        <w:spacing w:line="240" w:lineRule="auto"/>
        <w:ind w:right="-2"/>
        <w:outlineLvl w:val="0"/>
        <w:rPr>
          <w:szCs w:val="22"/>
        </w:rPr>
      </w:pPr>
      <w:r w:rsidRPr="001775D9">
        <w:rPr>
          <w:szCs w:val="22"/>
        </w:rPr>
        <w:t>If you accidentally inject AMGEVITA more frequently than told to by your doctor or pharmacist, call your doctor or pharmacist and tell him/her that you have taken more. Always take the outer carton of this medicine with you, even if it is empty.</w:t>
      </w:r>
      <w:r w:rsidR="001C55FB" w:rsidRPr="001775D9">
        <w:rPr>
          <w:szCs w:val="22"/>
        </w:rPr>
        <w:fldChar w:fldCharType="begin"/>
      </w:r>
      <w:r w:rsidR="001C55FB" w:rsidRPr="001775D9">
        <w:rPr>
          <w:szCs w:val="22"/>
        </w:rPr>
        <w:instrText xml:space="preserve"> DOCVARIABLE vault_nd_e6692940-36e1-4a90-8d8c-0bff3a64a687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7238CD30" w14:textId="77777777" w:rsidR="00E03C85" w:rsidRPr="001775D9" w:rsidRDefault="00E03C85" w:rsidP="00077AFF">
      <w:pPr>
        <w:numPr>
          <w:ilvl w:val="12"/>
          <w:numId w:val="0"/>
        </w:numPr>
        <w:tabs>
          <w:tab w:val="clear" w:pos="567"/>
        </w:tabs>
        <w:spacing w:line="240" w:lineRule="auto"/>
        <w:ind w:right="-2"/>
        <w:outlineLvl w:val="0"/>
        <w:rPr>
          <w:i/>
          <w:szCs w:val="22"/>
        </w:rPr>
      </w:pPr>
    </w:p>
    <w:p w14:paraId="08249D62" w14:textId="2D069F4C" w:rsidR="00E03C85" w:rsidRPr="001775D9" w:rsidRDefault="00E03C85" w:rsidP="00077AFF">
      <w:pPr>
        <w:keepNext/>
        <w:numPr>
          <w:ilvl w:val="12"/>
          <w:numId w:val="0"/>
        </w:numPr>
        <w:tabs>
          <w:tab w:val="clear" w:pos="567"/>
        </w:tabs>
        <w:spacing w:line="240" w:lineRule="auto"/>
        <w:outlineLvl w:val="0"/>
        <w:rPr>
          <w:b/>
          <w:szCs w:val="22"/>
        </w:rPr>
      </w:pPr>
      <w:r w:rsidRPr="001775D9">
        <w:rPr>
          <w:b/>
          <w:szCs w:val="22"/>
        </w:rPr>
        <w:t>If you forget to use AMGEVITA</w:t>
      </w:r>
      <w:r w:rsidR="001C55FB" w:rsidRPr="001775D9">
        <w:rPr>
          <w:b/>
          <w:szCs w:val="22"/>
        </w:rPr>
        <w:fldChar w:fldCharType="begin"/>
      </w:r>
      <w:r w:rsidR="001C55FB" w:rsidRPr="001775D9">
        <w:rPr>
          <w:b/>
          <w:szCs w:val="22"/>
        </w:rPr>
        <w:instrText xml:space="preserve"> DOCVARIABLE vault_nd_e95e0f2f-2a66-44bd-a62f-33d36e26610f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7FB65E49" w14:textId="77777777" w:rsidR="00E03C85" w:rsidRPr="001775D9" w:rsidRDefault="00E03C85" w:rsidP="00077AFF">
      <w:pPr>
        <w:keepNext/>
        <w:numPr>
          <w:ilvl w:val="12"/>
          <w:numId w:val="0"/>
        </w:numPr>
        <w:tabs>
          <w:tab w:val="clear" w:pos="567"/>
        </w:tabs>
        <w:spacing w:line="240" w:lineRule="auto"/>
        <w:outlineLvl w:val="0"/>
        <w:rPr>
          <w:b/>
          <w:szCs w:val="22"/>
        </w:rPr>
      </w:pPr>
    </w:p>
    <w:p w14:paraId="124C24BD" w14:textId="236A5870" w:rsidR="00E03C85" w:rsidRPr="001775D9" w:rsidRDefault="00E03C85" w:rsidP="00077AFF">
      <w:pPr>
        <w:keepNext/>
        <w:numPr>
          <w:ilvl w:val="12"/>
          <w:numId w:val="0"/>
        </w:numPr>
        <w:tabs>
          <w:tab w:val="clear" w:pos="567"/>
        </w:tabs>
        <w:spacing w:line="240" w:lineRule="auto"/>
        <w:outlineLvl w:val="0"/>
        <w:rPr>
          <w:szCs w:val="22"/>
        </w:rPr>
      </w:pPr>
      <w:r w:rsidRPr="001775D9">
        <w:rPr>
          <w:szCs w:val="22"/>
        </w:rPr>
        <w:t>If you forget to give yourself an injection, you should inject the next dose of AMGEVITA as soon as you remember. Then take your next dose as you would have on your originally scheduled day, had you not forgotten a dose.</w:t>
      </w:r>
      <w:r w:rsidR="001C55FB" w:rsidRPr="001775D9">
        <w:rPr>
          <w:szCs w:val="22"/>
        </w:rPr>
        <w:fldChar w:fldCharType="begin"/>
      </w:r>
      <w:r w:rsidR="001C55FB" w:rsidRPr="001775D9">
        <w:rPr>
          <w:szCs w:val="22"/>
        </w:rPr>
        <w:instrText xml:space="preserve"> DOCVARIABLE vault_nd_dcbbd33c-14ea-4ff9-9e4f-cbe3161f8802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0E2A10D9" w14:textId="77777777" w:rsidR="00E03C85" w:rsidRPr="001775D9" w:rsidRDefault="00E03C85" w:rsidP="00077AFF">
      <w:pPr>
        <w:numPr>
          <w:ilvl w:val="12"/>
          <w:numId w:val="0"/>
        </w:numPr>
        <w:tabs>
          <w:tab w:val="clear" w:pos="567"/>
        </w:tabs>
        <w:spacing w:line="240" w:lineRule="auto"/>
        <w:ind w:right="-2"/>
        <w:rPr>
          <w:szCs w:val="22"/>
        </w:rPr>
      </w:pPr>
    </w:p>
    <w:p w14:paraId="7ED5126B" w14:textId="00ADA843" w:rsidR="00E03C85" w:rsidRPr="001775D9" w:rsidRDefault="00E03C85" w:rsidP="00077AFF">
      <w:pPr>
        <w:keepNext/>
        <w:numPr>
          <w:ilvl w:val="12"/>
          <w:numId w:val="0"/>
        </w:numPr>
        <w:tabs>
          <w:tab w:val="clear" w:pos="567"/>
        </w:tabs>
        <w:spacing w:line="240" w:lineRule="auto"/>
        <w:outlineLvl w:val="0"/>
        <w:rPr>
          <w:b/>
          <w:szCs w:val="22"/>
        </w:rPr>
      </w:pPr>
      <w:r w:rsidRPr="001775D9">
        <w:rPr>
          <w:b/>
          <w:szCs w:val="22"/>
        </w:rPr>
        <w:t>If you stop using AMGEVITA</w:t>
      </w:r>
      <w:r w:rsidR="001C55FB" w:rsidRPr="001775D9">
        <w:rPr>
          <w:b/>
          <w:szCs w:val="22"/>
        </w:rPr>
        <w:fldChar w:fldCharType="begin"/>
      </w:r>
      <w:r w:rsidR="001C55FB" w:rsidRPr="001775D9">
        <w:rPr>
          <w:b/>
          <w:szCs w:val="22"/>
        </w:rPr>
        <w:instrText xml:space="preserve"> DOCVARIABLE vault_nd_8d5d9001-96b0-41cb-b2a4-6aec6af1fc9f \* MERGEFORMAT </w:instrText>
      </w:r>
      <w:r w:rsidR="001C55FB" w:rsidRPr="001775D9">
        <w:rPr>
          <w:b/>
          <w:szCs w:val="22"/>
        </w:rPr>
        <w:fldChar w:fldCharType="separate"/>
      </w:r>
      <w:r w:rsidR="001C55FB" w:rsidRPr="001775D9">
        <w:rPr>
          <w:b/>
          <w:szCs w:val="22"/>
        </w:rPr>
        <w:t xml:space="preserve"> </w:t>
      </w:r>
      <w:r w:rsidR="001C55FB" w:rsidRPr="001775D9">
        <w:rPr>
          <w:b/>
          <w:szCs w:val="22"/>
        </w:rPr>
        <w:fldChar w:fldCharType="end"/>
      </w:r>
    </w:p>
    <w:p w14:paraId="4F309EE9" w14:textId="77777777" w:rsidR="00E03C85" w:rsidRPr="001775D9" w:rsidRDefault="00E03C85" w:rsidP="00077AFF">
      <w:pPr>
        <w:keepNext/>
        <w:numPr>
          <w:ilvl w:val="12"/>
          <w:numId w:val="0"/>
        </w:numPr>
        <w:tabs>
          <w:tab w:val="clear" w:pos="567"/>
        </w:tabs>
        <w:spacing w:line="240" w:lineRule="auto"/>
        <w:outlineLvl w:val="0"/>
        <w:rPr>
          <w:b/>
          <w:szCs w:val="22"/>
        </w:rPr>
      </w:pPr>
    </w:p>
    <w:p w14:paraId="174D3D38" w14:textId="115F695A" w:rsidR="00E03C85" w:rsidRPr="001775D9" w:rsidRDefault="00E03C85" w:rsidP="00077AFF">
      <w:pPr>
        <w:keepNext/>
        <w:numPr>
          <w:ilvl w:val="12"/>
          <w:numId w:val="0"/>
        </w:numPr>
        <w:tabs>
          <w:tab w:val="clear" w:pos="567"/>
        </w:tabs>
        <w:spacing w:line="240" w:lineRule="auto"/>
        <w:outlineLvl w:val="0"/>
        <w:rPr>
          <w:szCs w:val="22"/>
        </w:rPr>
      </w:pPr>
      <w:r w:rsidRPr="001775D9">
        <w:rPr>
          <w:szCs w:val="22"/>
        </w:rPr>
        <w:t>The decision to stop using AMGEVITA should be discussed with your doctor. Your symptoms may return upon discontinuation.</w:t>
      </w:r>
      <w:r w:rsidR="001C55FB" w:rsidRPr="001775D9">
        <w:rPr>
          <w:szCs w:val="22"/>
        </w:rPr>
        <w:fldChar w:fldCharType="begin"/>
      </w:r>
      <w:r w:rsidR="001C55FB" w:rsidRPr="001775D9">
        <w:rPr>
          <w:szCs w:val="22"/>
        </w:rPr>
        <w:instrText xml:space="preserve"> DOCVARIABLE vault_nd_7c467091-3033-4109-ba26-e39348cd77c2 \* MERGEFORMAT </w:instrText>
      </w:r>
      <w:r w:rsidR="001C55FB" w:rsidRPr="001775D9">
        <w:rPr>
          <w:szCs w:val="22"/>
        </w:rPr>
        <w:fldChar w:fldCharType="separate"/>
      </w:r>
      <w:r w:rsidR="001C55FB" w:rsidRPr="001775D9">
        <w:rPr>
          <w:szCs w:val="22"/>
        </w:rPr>
        <w:t xml:space="preserve"> </w:t>
      </w:r>
      <w:r w:rsidR="001C55FB" w:rsidRPr="001775D9">
        <w:rPr>
          <w:szCs w:val="22"/>
        </w:rPr>
        <w:fldChar w:fldCharType="end"/>
      </w:r>
    </w:p>
    <w:p w14:paraId="09324864" w14:textId="77777777" w:rsidR="00E03C85" w:rsidRPr="001775D9" w:rsidRDefault="00E03C85" w:rsidP="00077AFF">
      <w:pPr>
        <w:numPr>
          <w:ilvl w:val="12"/>
          <w:numId w:val="0"/>
        </w:numPr>
        <w:tabs>
          <w:tab w:val="clear" w:pos="567"/>
        </w:tabs>
        <w:spacing w:line="240" w:lineRule="auto"/>
        <w:ind w:right="-2"/>
        <w:outlineLvl w:val="0"/>
        <w:rPr>
          <w:b/>
          <w:szCs w:val="22"/>
        </w:rPr>
      </w:pPr>
    </w:p>
    <w:p w14:paraId="690FDCE6" w14:textId="77777777" w:rsidR="00E03C85" w:rsidRPr="001775D9" w:rsidRDefault="00E03C85" w:rsidP="00077AFF">
      <w:pPr>
        <w:numPr>
          <w:ilvl w:val="12"/>
          <w:numId w:val="0"/>
        </w:numPr>
        <w:tabs>
          <w:tab w:val="clear" w:pos="567"/>
        </w:tabs>
        <w:spacing w:line="240" w:lineRule="auto"/>
        <w:ind w:right="-29"/>
      </w:pPr>
      <w:r w:rsidRPr="001775D9">
        <w:rPr>
          <w:szCs w:val="22"/>
        </w:rPr>
        <w:t>If you have any further questions on the use of this medicine, ask your doctor or pharmacist</w:t>
      </w:r>
      <w:r w:rsidRPr="001775D9">
        <w:t>.</w:t>
      </w:r>
    </w:p>
    <w:p w14:paraId="209A42B7" w14:textId="77777777" w:rsidR="00E03C85" w:rsidRPr="001775D9" w:rsidRDefault="00E03C85" w:rsidP="00077AFF">
      <w:pPr>
        <w:numPr>
          <w:ilvl w:val="12"/>
          <w:numId w:val="0"/>
        </w:numPr>
        <w:tabs>
          <w:tab w:val="clear" w:pos="567"/>
        </w:tabs>
        <w:spacing w:line="240" w:lineRule="auto"/>
      </w:pPr>
    </w:p>
    <w:p w14:paraId="58FE342E" w14:textId="77777777" w:rsidR="00E03C85" w:rsidRPr="001775D9" w:rsidRDefault="00E03C85" w:rsidP="00077AFF">
      <w:pPr>
        <w:numPr>
          <w:ilvl w:val="12"/>
          <w:numId w:val="0"/>
        </w:numPr>
        <w:tabs>
          <w:tab w:val="clear" w:pos="567"/>
        </w:tabs>
        <w:spacing w:line="240" w:lineRule="auto"/>
      </w:pPr>
    </w:p>
    <w:p w14:paraId="2B24B06A" w14:textId="77777777" w:rsidR="00E03C85" w:rsidRPr="001775D9" w:rsidRDefault="00E03C85" w:rsidP="00077AFF">
      <w:pPr>
        <w:keepNext/>
        <w:numPr>
          <w:ilvl w:val="12"/>
          <w:numId w:val="0"/>
        </w:numPr>
        <w:tabs>
          <w:tab w:val="clear" w:pos="567"/>
        </w:tabs>
        <w:spacing w:line="240" w:lineRule="auto"/>
        <w:ind w:left="567" w:right="-2" w:hanging="567"/>
      </w:pPr>
      <w:r w:rsidRPr="001775D9">
        <w:rPr>
          <w:b/>
        </w:rPr>
        <w:t>4.</w:t>
      </w:r>
      <w:r w:rsidRPr="001775D9">
        <w:rPr>
          <w:b/>
        </w:rPr>
        <w:tab/>
        <w:t>Possible side effects</w:t>
      </w:r>
    </w:p>
    <w:p w14:paraId="399094F8" w14:textId="77777777" w:rsidR="00E03C85" w:rsidRPr="001775D9" w:rsidRDefault="00E03C85" w:rsidP="00077AFF">
      <w:pPr>
        <w:keepNext/>
        <w:numPr>
          <w:ilvl w:val="12"/>
          <w:numId w:val="0"/>
        </w:numPr>
        <w:tabs>
          <w:tab w:val="clear" w:pos="567"/>
        </w:tabs>
        <w:spacing w:line="240" w:lineRule="auto"/>
      </w:pPr>
    </w:p>
    <w:p w14:paraId="7AAFCC5A" w14:textId="77777777" w:rsidR="00E03C85" w:rsidRPr="001775D9" w:rsidRDefault="00E03C85" w:rsidP="00B61D9D">
      <w:pPr>
        <w:keepNext/>
        <w:spacing w:line="240" w:lineRule="auto"/>
      </w:pPr>
      <w:r w:rsidRPr="001775D9">
        <w:t xml:space="preserve">Like all medicines, this medicine can cause side effects, although not everybody gets them. Most side effects are mild to moderate. However, some may be serious and require treatment. Side effects may occur at least up to 4 months after the last </w:t>
      </w:r>
      <w:r w:rsidRPr="001775D9">
        <w:rPr>
          <w:szCs w:val="22"/>
        </w:rPr>
        <w:t>AMGEVITA</w:t>
      </w:r>
      <w:r w:rsidRPr="001775D9">
        <w:t xml:space="preserve"> injection. </w:t>
      </w:r>
    </w:p>
    <w:p w14:paraId="453F85DE" w14:textId="77777777" w:rsidR="00E03C85" w:rsidRPr="00D55B59" w:rsidRDefault="00E03C85" w:rsidP="00077AFF">
      <w:pPr>
        <w:pStyle w:val="Default"/>
        <w:rPr>
          <w:sz w:val="22"/>
          <w:szCs w:val="22"/>
          <w:lang w:val="en-GB"/>
          <w:rPrChange w:id="4898" w:author="Author">
            <w:rPr>
              <w:sz w:val="22"/>
              <w:szCs w:val="22"/>
            </w:rPr>
          </w:rPrChange>
        </w:rPr>
      </w:pPr>
    </w:p>
    <w:p w14:paraId="30FF6227" w14:textId="77777777" w:rsidR="00E03C85" w:rsidRPr="00D55B59" w:rsidRDefault="00E03C85" w:rsidP="00077AFF">
      <w:pPr>
        <w:pStyle w:val="Default"/>
        <w:keepNext/>
        <w:rPr>
          <w:sz w:val="22"/>
          <w:szCs w:val="22"/>
          <w:lang w:val="en-GB"/>
          <w:rPrChange w:id="4899" w:author="Author">
            <w:rPr>
              <w:sz w:val="22"/>
              <w:szCs w:val="22"/>
            </w:rPr>
          </w:rPrChange>
        </w:rPr>
      </w:pPr>
      <w:r w:rsidRPr="00D55B59">
        <w:rPr>
          <w:sz w:val="22"/>
          <w:szCs w:val="22"/>
          <w:lang w:val="en-GB"/>
          <w:rPrChange w:id="4900" w:author="Author">
            <w:rPr>
              <w:sz w:val="22"/>
              <w:szCs w:val="22"/>
            </w:rPr>
          </w:rPrChange>
        </w:rPr>
        <w:t>Tell your doctor immediately if you notice any of the following signs of allergic reaction or heart failure:</w:t>
      </w:r>
    </w:p>
    <w:p w14:paraId="5065371A" w14:textId="77777777" w:rsidR="00E03C85" w:rsidRPr="001775D9" w:rsidRDefault="00E03C85" w:rsidP="00B61D9D">
      <w:pPr>
        <w:keepNext/>
        <w:numPr>
          <w:ilvl w:val="0"/>
          <w:numId w:val="13"/>
        </w:numPr>
        <w:spacing w:line="240" w:lineRule="auto"/>
        <w:ind w:left="567" w:hanging="567"/>
      </w:pPr>
      <w:r w:rsidRPr="001775D9">
        <w:t xml:space="preserve">severe rash, hives or other signs of allergic reaction; </w:t>
      </w:r>
    </w:p>
    <w:p w14:paraId="55FFBE7B" w14:textId="77777777" w:rsidR="00E03C85" w:rsidRPr="001775D9" w:rsidRDefault="00E03C85" w:rsidP="00B61D9D">
      <w:pPr>
        <w:keepNext/>
        <w:numPr>
          <w:ilvl w:val="0"/>
          <w:numId w:val="13"/>
        </w:numPr>
        <w:spacing w:line="240" w:lineRule="auto"/>
        <w:ind w:left="567" w:hanging="567"/>
      </w:pPr>
      <w:r w:rsidRPr="001775D9">
        <w:t xml:space="preserve">swollen face, hands, feet; </w:t>
      </w:r>
    </w:p>
    <w:p w14:paraId="4F3B4CF3" w14:textId="77777777" w:rsidR="00E03C85" w:rsidRPr="001775D9" w:rsidRDefault="00E03C85" w:rsidP="00B61D9D">
      <w:pPr>
        <w:numPr>
          <w:ilvl w:val="0"/>
          <w:numId w:val="13"/>
        </w:numPr>
        <w:spacing w:line="240" w:lineRule="auto"/>
        <w:ind w:left="567" w:hanging="567"/>
      </w:pPr>
      <w:r w:rsidRPr="001775D9">
        <w:t xml:space="preserve">trouble breathing, swallowing; </w:t>
      </w:r>
    </w:p>
    <w:p w14:paraId="3103DF12" w14:textId="77777777" w:rsidR="00E03C85" w:rsidRPr="001775D9" w:rsidRDefault="00E03C85" w:rsidP="00B61D9D">
      <w:pPr>
        <w:numPr>
          <w:ilvl w:val="0"/>
          <w:numId w:val="13"/>
        </w:numPr>
        <w:spacing w:line="240" w:lineRule="auto"/>
        <w:ind w:left="567" w:hanging="567"/>
      </w:pPr>
      <w:r w:rsidRPr="001775D9">
        <w:t>shortness of breath with exertion or upon lying down or swelling of the feet.</w:t>
      </w:r>
    </w:p>
    <w:p w14:paraId="7C917261" w14:textId="77777777" w:rsidR="00E03C85" w:rsidRPr="00D55B59" w:rsidRDefault="00E03C85" w:rsidP="00077AFF">
      <w:pPr>
        <w:pStyle w:val="Default"/>
        <w:rPr>
          <w:sz w:val="22"/>
          <w:szCs w:val="22"/>
          <w:lang w:val="en-GB"/>
          <w:rPrChange w:id="4901" w:author="Author">
            <w:rPr>
              <w:sz w:val="22"/>
              <w:szCs w:val="22"/>
            </w:rPr>
          </w:rPrChange>
        </w:rPr>
      </w:pPr>
    </w:p>
    <w:p w14:paraId="72DDDFF5" w14:textId="77777777" w:rsidR="00E03C85" w:rsidRPr="00D55B59" w:rsidRDefault="00E03C85" w:rsidP="00077AFF">
      <w:pPr>
        <w:pStyle w:val="Default"/>
        <w:keepNext/>
        <w:rPr>
          <w:sz w:val="22"/>
          <w:szCs w:val="22"/>
          <w:lang w:val="en-GB"/>
          <w:rPrChange w:id="4902" w:author="Author">
            <w:rPr>
              <w:sz w:val="22"/>
              <w:szCs w:val="22"/>
            </w:rPr>
          </w:rPrChange>
        </w:rPr>
      </w:pPr>
      <w:r w:rsidRPr="00D55B59">
        <w:rPr>
          <w:sz w:val="22"/>
          <w:szCs w:val="22"/>
          <w:lang w:val="en-GB"/>
          <w:rPrChange w:id="4903" w:author="Author">
            <w:rPr>
              <w:sz w:val="22"/>
              <w:szCs w:val="22"/>
            </w:rPr>
          </w:rPrChange>
        </w:rPr>
        <w:t>Tell your doctor as soon as possible if you notice any of the following:</w:t>
      </w:r>
    </w:p>
    <w:p w14:paraId="44E5A96C" w14:textId="77777777" w:rsidR="00E03C85" w:rsidRPr="001775D9" w:rsidRDefault="00E03C85" w:rsidP="00B61D9D">
      <w:pPr>
        <w:numPr>
          <w:ilvl w:val="0"/>
          <w:numId w:val="14"/>
        </w:numPr>
        <w:spacing w:line="240" w:lineRule="auto"/>
        <w:ind w:left="567" w:hanging="567"/>
      </w:pPr>
      <w:r w:rsidRPr="001775D9">
        <w:t xml:space="preserve">signs of infection such as fever, feeling sick, wounds, dental problems, burning on urination; </w:t>
      </w:r>
    </w:p>
    <w:p w14:paraId="39A171F8" w14:textId="77777777" w:rsidR="00E03C85" w:rsidRPr="001775D9" w:rsidRDefault="00E03C85" w:rsidP="00B61D9D">
      <w:pPr>
        <w:numPr>
          <w:ilvl w:val="0"/>
          <w:numId w:val="14"/>
        </w:numPr>
        <w:spacing w:line="240" w:lineRule="auto"/>
        <w:ind w:left="567" w:hanging="567"/>
      </w:pPr>
      <w:r w:rsidRPr="001775D9">
        <w:t xml:space="preserve">feeling weak or tired; </w:t>
      </w:r>
    </w:p>
    <w:p w14:paraId="019E19DA" w14:textId="77777777" w:rsidR="00E03C85" w:rsidRPr="001775D9" w:rsidRDefault="00E03C85" w:rsidP="00B61D9D">
      <w:pPr>
        <w:numPr>
          <w:ilvl w:val="0"/>
          <w:numId w:val="14"/>
        </w:numPr>
        <w:spacing w:line="240" w:lineRule="auto"/>
        <w:ind w:left="567" w:hanging="567"/>
      </w:pPr>
      <w:r w:rsidRPr="001775D9">
        <w:t xml:space="preserve">coughing; </w:t>
      </w:r>
    </w:p>
    <w:p w14:paraId="2952831C" w14:textId="77777777" w:rsidR="00E03C85" w:rsidRPr="001775D9" w:rsidRDefault="00E03C85" w:rsidP="00B61D9D">
      <w:pPr>
        <w:numPr>
          <w:ilvl w:val="0"/>
          <w:numId w:val="14"/>
        </w:numPr>
        <w:spacing w:line="240" w:lineRule="auto"/>
        <w:ind w:left="567" w:hanging="567"/>
      </w:pPr>
      <w:r w:rsidRPr="001775D9">
        <w:t xml:space="preserve">tingling; </w:t>
      </w:r>
    </w:p>
    <w:p w14:paraId="5D7C8484" w14:textId="77777777" w:rsidR="00E03C85" w:rsidRPr="001775D9" w:rsidRDefault="00E03C85" w:rsidP="00B61D9D">
      <w:pPr>
        <w:numPr>
          <w:ilvl w:val="0"/>
          <w:numId w:val="14"/>
        </w:numPr>
        <w:spacing w:line="240" w:lineRule="auto"/>
        <w:ind w:left="567" w:hanging="567"/>
      </w:pPr>
      <w:r w:rsidRPr="001775D9">
        <w:t xml:space="preserve">numbness; </w:t>
      </w:r>
    </w:p>
    <w:p w14:paraId="0CF49BE7" w14:textId="77777777" w:rsidR="00E03C85" w:rsidRPr="001775D9" w:rsidRDefault="00E03C85" w:rsidP="00B61D9D">
      <w:pPr>
        <w:numPr>
          <w:ilvl w:val="0"/>
          <w:numId w:val="14"/>
        </w:numPr>
        <w:spacing w:line="240" w:lineRule="auto"/>
        <w:ind w:left="567" w:hanging="567"/>
      </w:pPr>
      <w:r w:rsidRPr="001775D9">
        <w:t xml:space="preserve">double vision; </w:t>
      </w:r>
    </w:p>
    <w:p w14:paraId="1F0DA3EB" w14:textId="77777777" w:rsidR="00E03C85" w:rsidRPr="001775D9" w:rsidRDefault="00E03C85" w:rsidP="00B61D9D">
      <w:pPr>
        <w:numPr>
          <w:ilvl w:val="0"/>
          <w:numId w:val="14"/>
        </w:numPr>
        <w:spacing w:line="240" w:lineRule="auto"/>
        <w:ind w:left="567" w:hanging="567"/>
      </w:pPr>
      <w:r w:rsidRPr="001775D9">
        <w:t xml:space="preserve">arm or leg weakness; </w:t>
      </w:r>
    </w:p>
    <w:p w14:paraId="69562E48" w14:textId="77777777" w:rsidR="00E03C85" w:rsidRPr="001775D9" w:rsidRDefault="00E03C85" w:rsidP="00B61D9D">
      <w:pPr>
        <w:numPr>
          <w:ilvl w:val="0"/>
          <w:numId w:val="14"/>
        </w:numPr>
        <w:spacing w:line="240" w:lineRule="auto"/>
        <w:ind w:left="567" w:hanging="567"/>
      </w:pPr>
      <w:r w:rsidRPr="001775D9">
        <w:t>signs of skin cancer such as a bump or open sore that doesn't heal;</w:t>
      </w:r>
    </w:p>
    <w:p w14:paraId="2A3A7E0A" w14:textId="77777777" w:rsidR="00E03C85" w:rsidRPr="001775D9" w:rsidRDefault="00E03C85" w:rsidP="00B61D9D">
      <w:pPr>
        <w:numPr>
          <w:ilvl w:val="0"/>
          <w:numId w:val="14"/>
        </w:numPr>
        <w:spacing w:line="240" w:lineRule="auto"/>
        <w:ind w:left="567" w:hanging="567"/>
      </w:pPr>
      <w:r w:rsidRPr="001775D9">
        <w:t>signs and symptoms suggestive of blood disorders such as persistent fever, bruising, bleeding, paleness.</w:t>
      </w:r>
    </w:p>
    <w:p w14:paraId="2101FF1B" w14:textId="77777777" w:rsidR="00E03C85" w:rsidRPr="001775D9" w:rsidRDefault="00E03C85" w:rsidP="00077AFF">
      <w:pPr>
        <w:numPr>
          <w:ilvl w:val="12"/>
          <w:numId w:val="0"/>
        </w:numPr>
        <w:tabs>
          <w:tab w:val="clear" w:pos="567"/>
        </w:tabs>
        <w:spacing w:line="240" w:lineRule="auto"/>
        <w:ind w:right="-29"/>
        <w:rPr>
          <w:szCs w:val="22"/>
        </w:rPr>
      </w:pPr>
    </w:p>
    <w:p w14:paraId="64A46E7F" w14:textId="77777777" w:rsidR="00E03C85" w:rsidRPr="00D55B59" w:rsidRDefault="00E03C85" w:rsidP="00077AFF">
      <w:pPr>
        <w:pStyle w:val="Default"/>
        <w:keepNext/>
        <w:rPr>
          <w:sz w:val="22"/>
          <w:szCs w:val="22"/>
          <w:lang w:val="en-GB"/>
          <w:rPrChange w:id="4904" w:author="Author">
            <w:rPr>
              <w:sz w:val="22"/>
              <w:szCs w:val="22"/>
            </w:rPr>
          </w:rPrChange>
        </w:rPr>
      </w:pPr>
      <w:r w:rsidRPr="00D55B59">
        <w:rPr>
          <w:sz w:val="22"/>
          <w:szCs w:val="22"/>
          <w:lang w:val="en-GB"/>
          <w:rPrChange w:id="4905" w:author="Author">
            <w:rPr>
              <w:sz w:val="22"/>
              <w:szCs w:val="22"/>
            </w:rPr>
          </w:rPrChange>
        </w:rPr>
        <w:t>The symptoms described above can be signs of the below listed side effects, which have been observed with adalimumab.</w:t>
      </w:r>
    </w:p>
    <w:p w14:paraId="132FE71D" w14:textId="77777777" w:rsidR="00E03C85" w:rsidRPr="00D55B59" w:rsidRDefault="00E03C85" w:rsidP="00077AFF">
      <w:pPr>
        <w:pStyle w:val="Default"/>
        <w:keepNext/>
        <w:rPr>
          <w:sz w:val="22"/>
          <w:szCs w:val="22"/>
          <w:lang w:val="en-GB"/>
          <w:rPrChange w:id="4906" w:author="Author">
            <w:rPr>
              <w:sz w:val="22"/>
              <w:szCs w:val="22"/>
            </w:rPr>
          </w:rPrChange>
        </w:rPr>
      </w:pPr>
    </w:p>
    <w:p w14:paraId="2FC2095F" w14:textId="77777777" w:rsidR="00E03C85" w:rsidRPr="00D55B59" w:rsidRDefault="00E03C85" w:rsidP="00077AFF">
      <w:pPr>
        <w:pStyle w:val="Default"/>
        <w:keepNext/>
        <w:rPr>
          <w:sz w:val="22"/>
          <w:szCs w:val="22"/>
          <w:lang w:val="en-GB"/>
          <w:rPrChange w:id="4907" w:author="Author">
            <w:rPr>
              <w:sz w:val="22"/>
              <w:szCs w:val="22"/>
            </w:rPr>
          </w:rPrChange>
        </w:rPr>
      </w:pPr>
      <w:r w:rsidRPr="00D55B59">
        <w:rPr>
          <w:sz w:val="22"/>
          <w:szCs w:val="22"/>
          <w:lang w:val="en-GB"/>
          <w:rPrChange w:id="4908" w:author="Author">
            <w:rPr>
              <w:sz w:val="22"/>
              <w:szCs w:val="22"/>
            </w:rPr>
          </w:rPrChange>
        </w:rPr>
        <w:t>Very common (may affect more than 1 in 10 people)</w:t>
      </w:r>
    </w:p>
    <w:p w14:paraId="41EE4014" w14:textId="77777777" w:rsidR="00E03C85" w:rsidRPr="001775D9" w:rsidRDefault="00E03C85" w:rsidP="00B61D9D">
      <w:pPr>
        <w:keepNext/>
        <w:numPr>
          <w:ilvl w:val="0"/>
          <w:numId w:val="15"/>
        </w:numPr>
        <w:spacing w:line="240" w:lineRule="auto"/>
        <w:ind w:left="567" w:hanging="567"/>
      </w:pPr>
      <w:r w:rsidRPr="001775D9">
        <w:t xml:space="preserve">injection site reactions (including pain, swelling, redness or itching); </w:t>
      </w:r>
    </w:p>
    <w:p w14:paraId="6C1D0C70" w14:textId="77777777" w:rsidR="00E03C85" w:rsidRPr="001775D9" w:rsidRDefault="00E03C85" w:rsidP="00B61D9D">
      <w:pPr>
        <w:keepNext/>
        <w:numPr>
          <w:ilvl w:val="0"/>
          <w:numId w:val="15"/>
        </w:numPr>
        <w:spacing w:line="240" w:lineRule="auto"/>
        <w:ind w:left="567" w:hanging="567"/>
      </w:pPr>
      <w:r w:rsidRPr="001775D9">
        <w:t xml:space="preserve">respiratory tract infections (including cold, runny nose, sinus infection, pneumonia); </w:t>
      </w:r>
    </w:p>
    <w:p w14:paraId="31732856" w14:textId="77777777" w:rsidR="00E03C85" w:rsidRPr="001775D9" w:rsidRDefault="00E03C85" w:rsidP="00B61D9D">
      <w:pPr>
        <w:keepNext/>
        <w:numPr>
          <w:ilvl w:val="0"/>
          <w:numId w:val="15"/>
        </w:numPr>
        <w:spacing w:line="240" w:lineRule="auto"/>
        <w:ind w:left="567" w:hanging="567"/>
      </w:pPr>
      <w:r w:rsidRPr="001775D9">
        <w:t xml:space="preserve">headache; </w:t>
      </w:r>
    </w:p>
    <w:p w14:paraId="29DF4AA1" w14:textId="77777777" w:rsidR="00E03C85" w:rsidRPr="001775D9" w:rsidRDefault="00E03C85" w:rsidP="00B61D9D">
      <w:pPr>
        <w:numPr>
          <w:ilvl w:val="0"/>
          <w:numId w:val="15"/>
        </w:numPr>
        <w:spacing w:line="240" w:lineRule="auto"/>
        <w:ind w:left="567" w:hanging="567"/>
      </w:pPr>
      <w:r w:rsidRPr="001775D9">
        <w:t xml:space="preserve">abdominal pain; </w:t>
      </w:r>
    </w:p>
    <w:p w14:paraId="763EBEBA" w14:textId="77777777" w:rsidR="00E03C85" w:rsidRPr="001775D9" w:rsidRDefault="00E03C85" w:rsidP="00B61D9D">
      <w:pPr>
        <w:numPr>
          <w:ilvl w:val="0"/>
          <w:numId w:val="15"/>
        </w:numPr>
        <w:spacing w:line="240" w:lineRule="auto"/>
        <w:ind w:left="567" w:hanging="567"/>
      </w:pPr>
      <w:r w:rsidRPr="001775D9">
        <w:t>nausea and vomiting;</w:t>
      </w:r>
    </w:p>
    <w:p w14:paraId="6027E745" w14:textId="77777777" w:rsidR="00E03C85" w:rsidRPr="00F04F82" w:rsidRDefault="00E03C85" w:rsidP="00D55B59">
      <w:pPr>
        <w:numPr>
          <w:ilvl w:val="0"/>
          <w:numId w:val="15"/>
        </w:numPr>
        <w:spacing w:line="240" w:lineRule="auto"/>
        <w:ind w:left="567" w:hanging="567"/>
        <w:rPr>
          <w:szCs w:val="22"/>
        </w:rPr>
        <w:pPrChange w:id="4909" w:author="Author">
          <w:pPr>
            <w:pStyle w:val="Default"/>
            <w:numPr>
              <w:numId w:val="15"/>
            </w:numPr>
            <w:ind w:left="567" w:hanging="567"/>
          </w:pPr>
        </w:pPrChange>
      </w:pPr>
      <w:r w:rsidRPr="001775D9">
        <w:t>rash</w:t>
      </w:r>
      <w:r w:rsidRPr="00F04F82">
        <w:rPr>
          <w:szCs w:val="22"/>
        </w:rPr>
        <w:t xml:space="preserve">; </w:t>
      </w:r>
    </w:p>
    <w:p w14:paraId="75E02C16" w14:textId="77777777" w:rsidR="00E03C85" w:rsidRPr="00F04F82" w:rsidRDefault="00E03C85" w:rsidP="00D55B59">
      <w:pPr>
        <w:numPr>
          <w:ilvl w:val="0"/>
          <w:numId w:val="15"/>
        </w:numPr>
        <w:spacing w:line="240" w:lineRule="auto"/>
        <w:ind w:left="567" w:hanging="567"/>
        <w:rPr>
          <w:szCs w:val="22"/>
        </w:rPr>
        <w:pPrChange w:id="4910" w:author="Author">
          <w:pPr>
            <w:pStyle w:val="Default"/>
            <w:numPr>
              <w:numId w:val="15"/>
            </w:numPr>
            <w:ind w:left="567" w:hanging="567"/>
          </w:pPr>
        </w:pPrChange>
      </w:pPr>
      <w:r w:rsidRPr="001775D9">
        <w:rPr>
          <w:szCs w:val="22"/>
        </w:rPr>
        <w:t xml:space="preserve">musculoskeletal pain. </w:t>
      </w:r>
    </w:p>
    <w:p w14:paraId="34084905" w14:textId="77777777" w:rsidR="00E03C85" w:rsidRPr="001775D9" w:rsidRDefault="00E03C85" w:rsidP="00077AFF">
      <w:pPr>
        <w:numPr>
          <w:ilvl w:val="12"/>
          <w:numId w:val="0"/>
        </w:numPr>
        <w:tabs>
          <w:tab w:val="clear" w:pos="567"/>
        </w:tabs>
        <w:spacing w:line="240" w:lineRule="auto"/>
        <w:outlineLvl w:val="0"/>
        <w:rPr>
          <w:szCs w:val="22"/>
        </w:rPr>
      </w:pPr>
    </w:p>
    <w:p w14:paraId="3CE61690" w14:textId="77777777" w:rsidR="00E03C85" w:rsidRPr="00D55B59" w:rsidRDefault="00E03C85" w:rsidP="00077AFF">
      <w:pPr>
        <w:pStyle w:val="Default"/>
        <w:rPr>
          <w:sz w:val="22"/>
          <w:szCs w:val="22"/>
          <w:lang w:val="en-GB"/>
          <w:rPrChange w:id="4911" w:author="Author">
            <w:rPr>
              <w:sz w:val="22"/>
              <w:szCs w:val="22"/>
            </w:rPr>
          </w:rPrChange>
        </w:rPr>
      </w:pPr>
      <w:r w:rsidRPr="00D55B59">
        <w:rPr>
          <w:sz w:val="22"/>
          <w:szCs w:val="22"/>
          <w:lang w:val="en-GB"/>
          <w:rPrChange w:id="4912" w:author="Author">
            <w:rPr>
              <w:sz w:val="22"/>
              <w:szCs w:val="22"/>
            </w:rPr>
          </w:rPrChange>
        </w:rPr>
        <w:t>Common (may affect up to 1 in 10 people)</w:t>
      </w:r>
    </w:p>
    <w:p w14:paraId="61FC72AB" w14:textId="77777777" w:rsidR="00E03C85" w:rsidRPr="001775D9" w:rsidRDefault="00E03C85" w:rsidP="00B61D9D">
      <w:pPr>
        <w:numPr>
          <w:ilvl w:val="0"/>
          <w:numId w:val="16"/>
        </w:numPr>
        <w:spacing w:line="240" w:lineRule="auto"/>
        <w:ind w:left="567" w:hanging="567"/>
      </w:pPr>
      <w:r w:rsidRPr="001775D9">
        <w:t xml:space="preserve">serious infections (including blood poisoning and influenza); </w:t>
      </w:r>
    </w:p>
    <w:p w14:paraId="2CC7FA97" w14:textId="77777777" w:rsidR="00E03C85" w:rsidRPr="00F04F82" w:rsidRDefault="00E03C85" w:rsidP="00D55B59">
      <w:pPr>
        <w:numPr>
          <w:ilvl w:val="0"/>
          <w:numId w:val="16"/>
        </w:numPr>
        <w:spacing w:line="240" w:lineRule="auto"/>
        <w:ind w:left="567" w:hanging="567"/>
        <w:pPrChange w:id="4913" w:author="Author">
          <w:pPr>
            <w:numPr>
              <w:numId w:val="16"/>
            </w:numPr>
            <w:tabs>
              <w:tab w:val="clear" w:pos="567"/>
            </w:tabs>
            <w:suppressAutoHyphens/>
            <w:spacing w:line="240" w:lineRule="auto"/>
            <w:ind w:left="567" w:hanging="567"/>
          </w:pPr>
        </w:pPrChange>
      </w:pPr>
      <w:r w:rsidRPr="001775D9">
        <w:t>intestinal infections (including gastroenteritis);</w:t>
      </w:r>
    </w:p>
    <w:p w14:paraId="0EE53EFC" w14:textId="77777777" w:rsidR="00E03C85" w:rsidRPr="001775D9" w:rsidRDefault="00E03C85" w:rsidP="00B61D9D">
      <w:pPr>
        <w:numPr>
          <w:ilvl w:val="0"/>
          <w:numId w:val="16"/>
        </w:numPr>
        <w:spacing w:line="240" w:lineRule="auto"/>
        <w:ind w:left="567" w:hanging="567"/>
      </w:pPr>
      <w:r w:rsidRPr="001775D9">
        <w:t xml:space="preserve">skin infections (including cellulitis and shingles); </w:t>
      </w:r>
    </w:p>
    <w:p w14:paraId="0BAE1202" w14:textId="77777777" w:rsidR="00E03C85" w:rsidRPr="001775D9" w:rsidRDefault="00E03C85" w:rsidP="00B61D9D">
      <w:pPr>
        <w:numPr>
          <w:ilvl w:val="0"/>
          <w:numId w:val="16"/>
        </w:numPr>
        <w:spacing w:line="240" w:lineRule="auto"/>
        <w:ind w:left="567" w:hanging="567"/>
      </w:pPr>
      <w:r w:rsidRPr="001775D9">
        <w:t xml:space="preserve">ear infections; </w:t>
      </w:r>
    </w:p>
    <w:p w14:paraId="2FF57CA4" w14:textId="77777777" w:rsidR="00E03C85" w:rsidRPr="001775D9" w:rsidRDefault="00E03C85" w:rsidP="00B61D9D">
      <w:pPr>
        <w:numPr>
          <w:ilvl w:val="0"/>
          <w:numId w:val="16"/>
        </w:numPr>
        <w:spacing w:line="240" w:lineRule="auto"/>
        <w:ind w:left="567" w:hanging="567"/>
      </w:pPr>
      <w:r w:rsidRPr="001775D9">
        <w:t xml:space="preserve">oral infections (including tooth infections and cold sores); </w:t>
      </w:r>
    </w:p>
    <w:p w14:paraId="77BB75F8" w14:textId="77777777" w:rsidR="00E03C85" w:rsidRPr="001775D9" w:rsidRDefault="00E03C85" w:rsidP="00B61D9D">
      <w:pPr>
        <w:numPr>
          <w:ilvl w:val="0"/>
          <w:numId w:val="16"/>
        </w:numPr>
        <w:spacing w:line="240" w:lineRule="auto"/>
        <w:ind w:left="567" w:hanging="567"/>
      </w:pPr>
      <w:r w:rsidRPr="001775D9">
        <w:t xml:space="preserve">reproductive tract infections; </w:t>
      </w:r>
    </w:p>
    <w:p w14:paraId="6DA9957D" w14:textId="77777777" w:rsidR="00E03C85" w:rsidRPr="001775D9" w:rsidRDefault="00E03C85" w:rsidP="00B61D9D">
      <w:pPr>
        <w:numPr>
          <w:ilvl w:val="0"/>
          <w:numId w:val="16"/>
        </w:numPr>
        <w:spacing w:line="240" w:lineRule="auto"/>
        <w:ind w:left="567" w:hanging="567"/>
      </w:pPr>
      <w:r w:rsidRPr="001775D9">
        <w:t xml:space="preserve">urinary tract infection; </w:t>
      </w:r>
    </w:p>
    <w:p w14:paraId="1DD8D9EB" w14:textId="77777777" w:rsidR="00E03C85" w:rsidRPr="001775D9" w:rsidRDefault="00E03C85" w:rsidP="00B61D9D">
      <w:pPr>
        <w:numPr>
          <w:ilvl w:val="0"/>
          <w:numId w:val="16"/>
        </w:numPr>
        <w:spacing w:line="240" w:lineRule="auto"/>
        <w:ind w:left="567" w:hanging="567"/>
      </w:pPr>
      <w:r w:rsidRPr="001775D9">
        <w:t xml:space="preserve">fungal infections; </w:t>
      </w:r>
    </w:p>
    <w:p w14:paraId="232CC971" w14:textId="77777777" w:rsidR="00E03C85" w:rsidRPr="001775D9" w:rsidRDefault="00E03C85" w:rsidP="00B61D9D">
      <w:pPr>
        <w:numPr>
          <w:ilvl w:val="0"/>
          <w:numId w:val="16"/>
        </w:numPr>
        <w:spacing w:line="240" w:lineRule="auto"/>
        <w:ind w:left="567" w:hanging="567"/>
      </w:pPr>
      <w:r w:rsidRPr="001775D9">
        <w:t xml:space="preserve">joint infections; </w:t>
      </w:r>
    </w:p>
    <w:p w14:paraId="0838A8F4" w14:textId="77777777" w:rsidR="00E03C85" w:rsidRPr="001775D9" w:rsidRDefault="00E03C85" w:rsidP="00B61D9D">
      <w:pPr>
        <w:numPr>
          <w:ilvl w:val="0"/>
          <w:numId w:val="16"/>
        </w:numPr>
        <w:spacing w:line="240" w:lineRule="auto"/>
        <w:ind w:left="567" w:hanging="567"/>
      </w:pPr>
      <w:r w:rsidRPr="001775D9">
        <w:t xml:space="preserve">benign tumours; </w:t>
      </w:r>
    </w:p>
    <w:p w14:paraId="00B65543" w14:textId="77777777" w:rsidR="00E03C85" w:rsidRPr="001775D9" w:rsidRDefault="00E03C85" w:rsidP="00B61D9D">
      <w:pPr>
        <w:numPr>
          <w:ilvl w:val="0"/>
          <w:numId w:val="16"/>
        </w:numPr>
        <w:spacing w:line="240" w:lineRule="auto"/>
        <w:ind w:left="567" w:hanging="567"/>
      </w:pPr>
      <w:r w:rsidRPr="001775D9">
        <w:t xml:space="preserve">skin cancer; </w:t>
      </w:r>
    </w:p>
    <w:p w14:paraId="6DF19CCA" w14:textId="77777777" w:rsidR="00E03C85" w:rsidRPr="001775D9" w:rsidRDefault="00E03C85" w:rsidP="00B61D9D">
      <w:pPr>
        <w:numPr>
          <w:ilvl w:val="0"/>
          <w:numId w:val="16"/>
        </w:numPr>
        <w:spacing w:line="240" w:lineRule="auto"/>
        <w:ind w:left="567" w:hanging="567"/>
      </w:pPr>
      <w:r w:rsidRPr="001775D9">
        <w:t xml:space="preserve">allergic reactions (including seasonal allergy); </w:t>
      </w:r>
    </w:p>
    <w:p w14:paraId="6918ED17" w14:textId="77777777" w:rsidR="00E03C85" w:rsidRPr="001775D9" w:rsidRDefault="00E03C85" w:rsidP="00B61D9D">
      <w:pPr>
        <w:numPr>
          <w:ilvl w:val="0"/>
          <w:numId w:val="16"/>
        </w:numPr>
        <w:spacing w:line="240" w:lineRule="auto"/>
        <w:ind w:left="567" w:hanging="567"/>
      </w:pPr>
      <w:r w:rsidRPr="001775D9">
        <w:t xml:space="preserve">dehydration; </w:t>
      </w:r>
    </w:p>
    <w:p w14:paraId="7C4C6C89" w14:textId="77777777" w:rsidR="00E03C85" w:rsidRPr="001775D9" w:rsidRDefault="00E03C85" w:rsidP="00B61D9D">
      <w:pPr>
        <w:numPr>
          <w:ilvl w:val="0"/>
          <w:numId w:val="16"/>
        </w:numPr>
        <w:spacing w:line="240" w:lineRule="auto"/>
        <w:ind w:left="567" w:hanging="567"/>
      </w:pPr>
      <w:r w:rsidRPr="001775D9">
        <w:t xml:space="preserve">mood swings (including depression); </w:t>
      </w:r>
    </w:p>
    <w:p w14:paraId="1AECB42A" w14:textId="77777777" w:rsidR="00E03C85" w:rsidRPr="001775D9" w:rsidRDefault="00E03C85" w:rsidP="00B61D9D">
      <w:pPr>
        <w:numPr>
          <w:ilvl w:val="0"/>
          <w:numId w:val="16"/>
        </w:numPr>
        <w:spacing w:line="240" w:lineRule="auto"/>
        <w:ind w:left="567" w:hanging="567"/>
      </w:pPr>
      <w:r w:rsidRPr="001775D9">
        <w:t xml:space="preserve">anxiety; </w:t>
      </w:r>
    </w:p>
    <w:p w14:paraId="05C8746C" w14:textId="77777777" w:rsidR="00E03C85" w:rsidRPr="001775D9" w:rsidRDefault="00E03C85" w:rsidP="00B61D9D">
      <w:pPr>
        <w:numPr>
          <w:ilvl w:val="0"/>
          <w:numId w:val="16"/>
        </w:numPr>
        <w:spacing w:line="240" w:lineRule="auto"/>
        <w:ind w:left="567" w:hanging="567"/>
      </w:pPr>
      <w:r w:rsidRPr="001775D9">
        <w:t xml:space="preserve">difficulty sleeping; </w:t>
      </w:r>
    </w:p>
    <w:p w14:paraId="7626F972" w14:textId="77777777" w:rsidR="00E03C85" w:rsidRPr="001775D9" w:rsidRDefault="00E03C85" w:rsidP="00B61D9D">
      <w:pPr>
        <w:numPr>
          <w:ilvl w:val="0"/>
          <w:numId w:val="16"/>
        </w:numPr>
        <w:spacing w:line="240" w:lineRule="auto"/>
        <w:ind w:left="567" w:hanging="567"/>
      </w:pPr>
      <w:r w:rsidRPr="001775D9">
        <w:t xml:space="preserve">sensation disorders such as tingling, prickling or numbness; </w:t>
      </w:r>
    </w:p>
    <w:p w14:paraId="503C7CAE" w14:textId="77777777" w:rsidR="00E03C85" w:rsidRPr="001775D9" w:rsidRDefault="00E03C85" w:rsidP="00B61D9D">
      <w:pPr>
        <w:numPr>
          <w:ilvl w:val="0"/>
          <w:numId w:val="16"/>
        </w:numPr>
        <w:spacing w:line="240" w:lineRule="auto"/>
        <w:ind w:left="567" w:hanging="567"/>
      </w:pPr>
      <w:r w:rsidRPr="001775D9">
        <w:t xml:space="preserve">migraine; </w:t>
      </w:r>
    </w:p>
    <w:p w14:paraId="3B87F933" w14:textId="77777777" w:rsidR="00E03C85" w:rsidRPr="001775D9" w:rsidRDefault="00E03C85" w:rsidP="00B61D9D">
      <w:pPr>
        <w:numPr>
          <w:ilvl w:val="0"/>
          <w:numId w:val="16"/>
        </w:numPr>
        <w:spacing w:line="240" w:lineRule="auto"/>
        <w:ind w:left="567" w:hanging="567"/>
      </w:pPr>
      <w:r w:rsidRPr="001775D9">
        <w:t xml:space="preserve">nerve root compression (including low back pain and leg pain); </w:t>
      </w:r>
    </w:p>
    <w:p w14:paraId="6A6FF922" w14:textId="77777777" w:rsidR="00E03C85" w:rsidRPr="001775D9" w:rsidRDefault="00E03C85" w:rsidP="00B61D9D">
      <w:pPr>
        <w:numPr>
          <w:ilvl w:val="0"/>
          <w:numId w:val="16"/>
        </w:numPr>
        <w:spacing w:line="240" w:lineRule="auto"/>
        <w:ind w:left="567" w:hanging="567"/>
      </w:pPr>
      <w:r w:rsidRPr="001775D9">
        <w:t xml:space="preserve">vision disturbances; </w:t>
      </w:r>
    </w:p>
    <w:p w14:paraId="64B584DC" w14:textId="77777777" w:rsidR="00E03C85" w:rsidRPr="001775D9" w:rsidRDefault="00E03C85" w:rsidP="00B61D9D">
      <w:pPr>
        <w:numPr>
          <w:ilvl w:val="0"/>
          <w:numId w:val="16"/>
        </w:numPr>
        <w:spacing w:line="240" w:lineRule="auto"/>
        <w:ind w:left="567" w:hanging="567"/>
      </w:pPr>
      <w:r w:rsidRPr="001775D9">
        <w:t xml:space="preserve">eye inflammation; </w:t>
      </w:r>
    </w:p>
    <w:p w14:paraId="22B6E143" w14:textId="77777777" w:rsidR="00E03C85" w:rsidRPr="001775D9" w:rsidRDefault="00E03C85" w:rsidP="00B61D9D">
      <w:pPr>
        <w:numPr>
          <w:ilvl w:val="0"/>
          <w:numId w:val="16"/>
        </w:numPr>
        <w:spacing w:line="240" w:lineRule="auto"/>
        <w:ind w:left="567" w:hanging="567"/>
      </w:pPr>
      <w:r w:rsidRPr="001775D9">
        <w:t xml:space="preserve">inflammation of the eye lid and eye swelling; </w:t>
      </w:r>
    </w:p>
    <w:p w14:paraId="5CEC8C0C" w14:textId="77777777" w:rsidR="00E03C85" w:rsidRPr="001775D9" w:rsidRDefault="00E03C85" w:rsidP="00B61D9D">
      <w:pPr>
        <w:numPr>
          <w:ilvl w:val="0"/>
          <w:numId w:val="16"/>
        </w:numPr>
        <w:spacing w:line="240" w:lineRule="auto"/>
        <w:ind w:left="567" w:hanging="567"/>
      </w:pPr>
      <w:r w:rsidRPr="001775D9">
        <w:t xml:space="preserve">vertigo (feeling of dizziness or spinning); </w:t>
      </w:r>
    </w:p>
    <w:p w14:paraId="79C597D9" w14:textId="77777777" w:rsidR="00E03C85" w:rsidRPr="001775D9" w:rsidRDefault="00E03C85" w:rsidP="00B61D9D">
      <w:pPr>
        <w:numPr>
          <w:ilvl w:val="0"/>
          <w:numId w:val="16"/>
        </w:numPr>
        <w:spacing w:line="240" w:lineRule="auto"/>
        <w:ind w:left="567" w:hanging="567"/>
      </w:pPr>
      <w:r w:rsidRPr="001775D9">
        <w:t xml:space="preserve">sensation of heart beating rapidly; </w:t>
      </w:r>
    </w:p>
    <w:p w14:paraId="2C5F6AD3" w14:textId="77777777" w:rsidR="00E03C85" w:rsidRPr="001775D9" w:rsidRDefault="00E03C85" w:rsidP="00B61D9D">
      <w:pPr>
        <w:numPr>
          <w:ilvl w:val="0"/>
          <w:numId w:val="16"/>
        </w:numPr>
        <w:spacing w:line="240" w:lineRule="auto"/>
        <w:ind w:left="567" w:hanging="567"/>
      </w:pPr>
      <w:r w:rsidRPr="001775D9">
        <w:t xml:space="preserve">high blood pressure; </w:t>
      </w:r>
    </w:p>
    <w:p w14:paraId="6391F864" w14:textId="77777777" w:rsidR="00E03C85" w:rsidRPr="001775D9" w:rsidRDefault="00E03C85" w:rsidP="00B61D9D">
      <w:pPr>
        <w:numPr>
          <w:ilvl w:val="0"/>
          <w:numId w:val="16"/>
        </w:numPr>
        <w:spacing w:line="240" w:lineRule="auto"/>
        <w:ind w:left="567" w:hanging="567"/>
      </w:pPr>
      <w:r w:rsidRPr="001775D9">
        <w:t xml:space="preserve">flushing; </w:t>
      </w:r>
    </w:p>
    <w:p w14:paraId="71F30910" w14:textId="77777777" w:rsidR="00E03C85" w:rsidRPr="001775D9" w:rsidRDefault="00E03C85" w:rsidP="00B61D9D">
      <w:pPr>
        <w:numPr>
          <w:ilvl w:val="0"/>
          <w:numId w:val="16"/>
        </w:numPr>
        <w:spacing w:line="240" w:lineRule="auto"/>
        <w:ind w:left="567" w:hanging="567"/>
      </w:pPr>
      <w:r w:rsidRPr="001775D9">
        <w:t xml:space="preserve">haematoma; </w:t>
      </w:r>
    </w:p>
    <w:p w14:paraId="13AFAADE" w14:textId="77777777" w:rsidR="00E03C85" w:rsidRPr="001775D9" w:rsidRDefault="00E03C85" w:rsidP="00B61D9D">
      <w:pPr>
        <w:numPr>
          <w:ilvl w:val="0"/>
          <w:numId w:val="16"/>
        </w:numPr>
        <w:spacing w:line="240" w:lineRule="auto"/>
        <w:ind w:left="567" w:hanging="567"/>
      </w:pPr>
      <w:r w:rsidRPr="001775D9">
        <w:t xml:space="preserve">cough; </w:t>
      </w:r>
    </w:p>
    <w:p w14:paraId="553ACA75" w14:textId="77777777" w:rsidR="00E03C85" w:rsidRPr="001775D9" w:rsidRDefault="00E03C85" w:rsidP="00B61D9D">
      <w:pPr>
        <w:numPr>
          <w:ilvl w:val="0"/>
          <w:numId w:val="16"/>
        </w:numPr>
        <w:spacing w:line="240" w:lineRule="auto"/>
        <w:ind w:left="567" w:hanging="567"/>
      </w:pPr>
      <w:r w:rsidRPr="001775D9">
        <w:t xml:space="preserve">asthma; </w:t>
      </w:r>
    </w:p>
    <w:p w14:paraId="4B75D31A" w14:textId="77777777" w:rsidR="00E03C85" w:rsidRPr="001775D9" w:rsidRDefault="00E03C85" w:rsidP="00B61D9D">
      <w:pPr>
        <w:numPr>
          <w:ilvl w:val="0"/>
          <w:numId w:val="16"/>
        </w:numPr>
        <w:spacing w:line="240" w:lineRule="auto"/>
        <w:ind w:left="567" w:hanging="567"/>
      </w:pPr>
      <w:r w:rsidRPr="001775D9">
        <w:t xml:space="preserve">shortness of breath; </w:t>
      </w:r>
    </w:p>
    <w:p w14:paraId="02307C2B" w14:textId="77777777" w:rsidR="00E03C85" w:rsidRPr="001775D9" w:rsidRDefault="00E03C85" w:rsidP="00B61D9D">
      <w:pPr>
        <w:numPr>
          <w:ilvl w:val="0"/>
          <w:numId w:val="16"/>
        </w:numPr>
        <w:spacing w:line="240" w:lineRule="auto"/>
        <w:ind w:left="567" w:hanging="567"/>
      </w:pPr>
      <w:r w:rsidRPr="001775D9">
        <w:t xml:space="preserve">gastrointestinal bleeding; </w:t>
      </w:r>
    </w:p>
    <w:p w14:paraId="19182A6E" w14:textId="77777777" w:rsidR="00E03C85" w:rsidRPr="001775D9" w:rsidRDefault="00E03C85" w:rsidP="00B61D9D">
      <w:pPr>
        <w:numPr>
          <w:ilvl w:val="0"/>
          <w:numId w:val="16"/>
        </w:numPr>
        <w:spacing w:line="240" w:lineRule="auto"/>
        <w:ind w:left="567" w:hanging="567"/>
      </w:pPr>
      <w:r w:rsidRPr="001775D9">
        <w:t xml:space="preserve">dyspepsia (indigestion, bloating, heart burn); </w:t>
      </w:r>
    </w:p>
    <w:p w14:paraId="4F208944" w14:textId="77777777" w:rsidR="00E03C85" w:rsidRPr="001775D9" w:rsidRDefault="00E03C85" w:rsidP="00B61D9D">
      <w:pPr>
        <w:numPr>
          <w:ilvl w:val="0"/>
          <w:numId w:val="16"/>
        </w:numPr>
        <w:spacing w:line="240" w:lineRule="auto"/>
        <w:ind w:left="567" w:hanging="567"/>
      </w:pPr>
      <w:r w:rsidRPr="001775D9">
        <w:t xml:space="preserve">acid reflux disease; </w:t>
      </w:r>
    </w:p>
    <w:p w14:paraId="2E3ED53D" w14:textId="77777777" w:rsidR="00E03C85" w:rsidRPr="001775D9" w:rsidRDefault="00E03C85" w:rsidP="00B61D9D">
      <w:pPr>
        <w:numPr>
          <w:ilvl w:val="0"/>
          <w:numId w:val="16"/>
        </w:numPr>
        <w:spacing w:line="240" w:lineRule="auto"/>
        <w:ind w:left="567" w:hanging="567"/>
      </w:pPr>
      <w:r w:rsidRPr="001775D9">
        <w:t xml:space="preserve">sicca syndrome (including dry eyes and dry mouth); </w:t>
      </w:r>
    </w:p>
    <w:p w14:paraId="3B874F57" w14:textId="77777777" w:rsidR="00E03C85" w:rsidRPr="001775D9" w:rsidRDefault="00E03C85" w:rsidP="00B61D9D">
      <w:pPr>
        <w:numPr>
          <w:ilvl w:val="0"/>
          <w:numId w:val="16"/>
        </w:numPr>
        <w:spacing w:line="240" w:lineRule="auto"/>
        <w:ind w:left="567" w:hanging="567"/>
      </w:pPr>
      <w:r w:rsidRPr="001775D9">
        <w:t xml:space="preserve">itching; </w:t>
      </w:r>
    </w:p>
    <w:p w14:paraId="50FB8FB3" w14:textId="77777777" w:rsidR="00E03C85" w:rsidRPr="001775D9" w:rsidRDefault="00E03C85" w:rsidP="00B61D9D">
      <w:pPr>
        <w:numPr>
          <w:ilvl w:val="0"/>
          <w:numId w:val="16"/>
        </w:numPr>
        <w:spacing w:line="240" w:lineRule="auto"/>
        <w:ind w:left="567" w:hanging="567"/>
      </w:pPr>
      <w:r w:rsidRPr="001775D9">
        <w:t xml:space="preserve">itchy rash; </w:t>
      </w:r>
    </w:p>
    <w:p w14:paraId="5DC4B0B9" w14:textId="77777777" w:rsidR="00E03C85" w:rsidRPr="001775D9" w:rsidRDefault="00E03C85" w:rsidP="00B61D9D">
      <w:pPr>
        <w:numPr>
          <w:ilvl w:val="0"/>
          <w:numId w:val="16"/>
        </w:numPr>
        <w:spacing w:line="240" w:lineRule="auto"/>
        <w:ind w:left="567" w:hanging="567"/>
      </w:pPr>
      <w:r w:rsidRPr="001775D9">
        <w:t xml:space="preserve">bruising; </w:t>
      </w:r>
    </w:p>
    <w:p w14:paraId="5DBC9C38" w14:textId="77777777" w:rsidR="00E03C85" w:rsidRPr="001775D9" w:rsidRDefault="00E03C85" w:rsidP="00B61D9D">
      <w:pPr>
        <w:numPr>
          <w:ilvl w:val="0"/>
          <w:numId w:val="16"/>
        </w:numPr>
        <w:spacing w:line="240" w:lineRule="auto"/>
        <w:ind w:left="567" w:hanging="567"/>
      </w:pPr>
      <w:r w:rsidRPr="001775D9">
        <w:t xml:space="preserve">inflammation of the skin (such as eczema); </w:t>
      </w:r>
    </w:p>
    <w:p w14:paraId="27C20994" w14:textId="77777777" w:rsidR="00E03C85" w:rsidRPr="001775D9" w:rsidRDefault="00E03C85" w:rsidP="00B61D9D">
      <w:pPr>
        <w:numPr>
          <w:ilvl w:val="0"/>
          <w:numId w:val="16"/>
        </w:numPr>
        <w:spacing w:line="240" w:lineRule="auto"/>
        <w:ind w:left="567" w:hanging="567"/>
      </w:pPr>
      <w:r w:rsidRPr="001775D9">
        <w:t xml:space="preserve">breaking of finger nails and toe nails; </w:t>
      </w:r>
    </w:p>
    <w:p w14:paraId="59F6488F" w14:textId="77777777" w:rsidR="00E03C85" w:rsidRPr="001775D9" w:rsidRDefault="00E03C85" w:rsidP="00B61D9D">
      <w:pPr>
        <w:numPr>
          <w:ilvl w:val="0"/>
          <w:numId w:val="16"/>
        </w:numPr>
        <w:spacing w:line="240" w:lineRule="auto"/>
        <w:ind w:left="567" w:hanging="567"/>
      </w:pPr>
      <w:r w:rsidRPr="001775D9">
        <w:t xml:space="preserve">increased sweating; </w:t>
      </w:r>
    </w:p>
    <w:p w14:paraId="584A6EF6" w14:textId="77777777" w:rsidR="00E03C85" w:rsidRPr="001775D9" w:rsidRDefault="00E03C85" w:rsidP="00B61D9D">
      <w:pPr>
        <w:numPr>
          <w:ilvl w:val="0"/>
          <w:numId w:val="16"/>
        </w:numPr>
        <w:spacing w:line="240" w:lineRule="auto"/>
        <w:ind w:left="567" w:hanging="567"/>
      </w:pPr>
      <w:r w:rsidRPr="001775D9">
        <w:t xml:space="preserve">hair loss; </w:t>
      </w:r>
    </w:p>
    <w:p w14:paraId="3A8FCB7A" w14:textId="77777777" w:rsidR="00E03C85" w:rsidRPr="001775D9" w:rsidRDefault="00E03C85" w:rsidP="00B61D9D">
      <w:pPr>
        <w:numPr>
          <w:ilvl w:val="0"/>
          <w:numId w:val="16"/>
        </w:numPr>
        <w:spacing w:line="240" w:lineRule="auto"/>
        <w:ind w:left="567" w:hanging="567"/>
      </w:pPr>
      <w:r w:rsidRPr="001775D9">
        <w:t xml:space="preserve">new onset or worsening of psoriasis; </w:t>
      </w:r>
    </w:p>
    <w:p w14:paraId="397DE7AE" w14:textId="77777777" w:rsidR="00E03C85" w:rsidRPr="001775D9" w:rsidRDefault="00E03C85" w:rsidP="00B61D9D">
      <w:pPr>
        <w:numPr>
          <w:ilvl w:val="0"/>
          <w:numId w:val="16"/>
        </w:numPr>
        <w:spacing w:line="240" w:lineRule="auto"/>
        <w:ind w:left="567" w:hanging="567"/>
      </w:pPr>
      <w:r w:rsidRPr="001775D9">
        <w:t xml:space="preserve">muscle spasms; </w:t>
      </w:r>
    </w:p>
    <w:p w14:paraId="2E2DC851" w14:textId="77777777" w:rsidR="00E03C85" w:rsidRPr="001775D9" w:rsidRDefault="00E03C85" w:rsidP="00B61D9D">
      <w:pPr>
        <w:numPr>
          <w:ilvl w:val="0"/>
          <w:numId w:val="16"/>
        </w:numPr>
        <w:spacing w:line="240" w:lineRule="auto"/>
        <w:ind w:left="567" w:hanging="567"/>
      </w:pPr>
      <w:r w:rsidRPr="001775D9">
        <w:t xml:space="preserve">blood in urine; </w:t>
      </w:r>
    </w:p>
    <w:p w14:paraId="2D6A978E" w14:textId="77777777" w:rsidR="00E03C85" w:rsidRPr="001775D9" w:rsidRDefault="00E03C85" w:rsidP="00B61D9D">
      <w:pPr>
        <w:numPr>
          <w:ilvl w:val="0"/>
          <w:numId w:val="16"/>
        </w:numPr>
        <w:spacing w:line="240" w:lineRule="auto"/>
        <w:ind w:left="567" w:hanging="567"/>
      </w:pPr>
      <w:r w:rsidRPr="001775D9">
        <w:t xml:space="preserve">kidney problems; </w:t>
      </w:r>
    </w:p>
    <w:p w14:paraId="6D44EB0A" w14:textId="77777777" w:rsidR="00E03C85" w:rsidRPr="001775D9" w:rsidRDefault="00E03C85" w:rsidP="00B61D9D">
      <w:pPr>
        <w:numPr>
          <w:ilvl w:val="0"/>
          <w:numId w:val="16"/>
        </w:numPr>
        <w:spacing w:line="240" w:lineRule="auto"/>
        <w:ind w:left="567" w:hanging="567"/>
      </w:pPr>
      <w:r w:rsidRPr="001775D9">
        <w:t xml:space="preserve">chest pain; </w:t>
      </w:r>
    </w:p>
    <w:p w14:paraId="07F9D147" w14:textId="77777777" w:rsidR="00E03C85" w:rsidRPr="001775D9" w:rsidRDefault="00E03C85" w:rsidP="00B61D9D">
      <w:pPr>
        <w:numPr>
          <w:ilvl w:val="0"/>
          <w:numId w:val="16"/>
        </w:numPr>
        <w:spacing w:line="240" w:lineRule="auto"/>
        <w:ind w:left="567" w:hanging="567"/>
      </w:pPr>
      <w:r w:rsidRPr="001775D9">
        <w:t xml:space="preserve">oedema; </w:t>
      </w:r>
    </w:p>
    <w:p w14:paraId="15DE40FA" w14:textId="77777777" w:rsidR="00E03C85" w:rsidRPr="001775D9" w:rsidRDefault="00E03C85" w:rsidP="00B61D9D">
      <w:pPr>
        <w:numPr>
          <w:ilvl w:val="0"/>
          <w:numId w:val="16"/>
        </w:numPr>
        <w:spacing w:line="240" w:lineRule="auto"/>
        <w:ind w:left="567" w:hanging="567"/>
      </w:pPr>
      <w:r w:rsidRPr="001775D9">
        <w:t xml:space="preserve">fever; </w:t>
      </w:r>
    </w:p>
    <w:p w14:paraId="0A6F626F" w14:textId="77777777" w:rsidR="00E03C85" w:rsidRPr="001775D9" w:rsidRDefault="00E03C85" w:rsidP="00B61D9D">
      <w:pPr>
        <w:numPr>
          <w:ilvl w:val="0"/>
          <w:numId w:val="16"/>
        </w:numPr>
        <w:spacing w:line="240" w:lineRule="auto"/>
        <w:ind w:left="567" w:hanging="567"/>
      </w:pPr>
      <w:r w:rsidRPr="001775D9">
        <w:t>reduction in blood platelets which increases risk of bleeding or bruising;</w:t>
      </w:r>
    </w:p>
    <w:p w14:paraId="6E1FE4DC" w14:textId="77777777" w:rsidR="00E03C85" w:rsidRPr="00F04F82" w:rsidRDefault="00E03C85" w:rsidP="00D55B59">
      <w:pPr>
        <w:numPr>
          <w:ilvl w:val="0"/>
          <w:numId w:val="16"/>
        </w:numPr>
        <w:spacing w:line="240" w:lineRule="auto"/>
        <w:ind w:left="567" w:hanging="567"/>
        <w:rPr>
          <w:szCs w:val="22"/>
        </w:rPr>
        <w:pPrChange w:id="4914" w:author="Author">
          <w:pPr>
            <w:pStyle w:val="Default"/>
            <w:numPr>
              <w:numId w:val="16"/>
            </w:numPr>
            <w:ind w:left="567" w:hanging="567"/>
          </w:pPr>
        </w:pPrChange>
      </w:pPr>
      <w:r w:rsidRPr="001775D9">
        <w:rPr>
          <w:szCs w:val="22"/>
        </w:rPr>
        <w:t xml:space="preserve">impaired healing. </w:t>
      </w:r>
    </w:p>
    <w:p w14:paraId="589BB006" w14:textId="77777777" w:rsidR="00E03C85" w:rsidRPr="00D55B59" w:rsidRDefault="00E03C85" w:rsidP="00077AFF">
      <w:pPr>
        <w:pStyle w:val="Default"/>
        <w:rPr>
          <w:sz w:val="22"/>
          <w:szCs w:val="22"/>
          <w:lang w:val="en-GB"/>
          <w:rPrChange w:id="4915" w:author="Author">
            <w:rPr>
              <w:sz w:val="22"/>
              <w:szCs w:val="22"/>
            </w:rPr>
          </w:rPrChange>
        </w:rPr>
      </w:pPr>
    </w:p>
    <w:p w14:paraId="67BCC9CB" w14:textId="77777777" w:rsidR="00E03C85" w:rsidRPr="00D55B59" w:rsidRDefault="00E03C85" w:rsidP="00077AFF">
      <w:pPr>
        <w:pStyle w:val="Default"/>
        <w:keepNext/>
        <w:rPr>
          <w:sz w:val="22"/>
          <w:szCs w:val="22"/>
          <w:lang w:val="en-GB"/>
          <w:rPrChange w:id="4916" w:author="Author">
            <w:rPr>
              <w:sz w:val="22"/>
              <w:szCs w:val="22"/>
            </w:rPr>
          </w:rPrChange>
        </w:rPr>
      </w:pPr>
      <w:r w:rsidRPr="00D55B59">
        <w:rPr>
          <w:sz w:val="22"/>
          <w:szCs w:val="22"/>
          <w:lang w:val="en-GB"/>
          <w:rPrChange w:id="4917" w:author="Author">
            <w:rPr>
              <w:sz w:val="22"/>
              <w:szCs w:val="22"/>
            </w:rPr>
          </w:rPrChange>
        </w:rPr>
        <w:t>Uncommon (may affect up to 1 in 100 people)</w:t>
      </w:r>
    </w:p>
    <w:p w14:paraId="50965500" w14:textId="77777777" w:rsidR="00E03C85" w:rsidRPr="001775D9" w:rsidRDefault="00E03C85" w:rsidP="00B61D9D">
      <w:pPr>
        <w:keepNext/>
        <w:numPr>
          <w:ilvl w:val="1"/>
          <w:numId w:val="17"/>
        </w:numPr>
        <w:spacing w:line="240" w:lineRule="auto"/>
        <w:ind w:left="567" w:hanging="567"/>
      </w:pPr>
      <w:r w:rsidRPr="001775D9">
        <w:t xml:space="preserve">opportunistic infections (which include tuberculosis and other infections that occur when resistance to disease is lowered); </w:t>
      </w:r>
    </w:p>
    <w:p w14:paraId="3247BC30" w14:textId="77777777" w:rsidR="00E03C85" w:rsidRPr="001775D9" w:rsidRDefault="00E03C85" w:rsidP="00B61D9D">
      <w:pPr>
        <w:numPr>
          <w:ilvl w:val="1"/>
          <w:numId w:val="17"/>
        </w:numPr>
        <w:spacing w:line="240" w:lineRule="auto"/>
        <w:ind w:left="567" w:hanging="567"/>
      </w:pPr>
      <w:r w:rsidRPr="001775D9">
        <w:t xml:space="preserve">neurological infections (including viral meningitis); </w:t>
      </w:r>
    </w:p>
    <w:p w14:paraId="050B5974" w14:textId="77777777" w:rsidR="00E03C85" w:rsidRPr="001775D9" w:rsidRDefault="00E03C85" w:rsidP="00B61D9D">
      <w:pPr>
        <w:numPr>
          <w:ilvl w:val="1"/>
          <w:numId w:val="17"/>
        </w:numPr>
        <w:spacing w:line="240" w:lineRule="auto"/>
        <w:ind w:left="567" w:hanging="567"/>
      </w:pPr>
      <w:r w:rsidRPr="001775D9">
        <w:t xml:space="preserve">eye infections; </w:t>
      </w:r>
    </w:p>
    <w:p w14:paraId="1F736CB7" w14:textId="77777777" w:rsidR="00E03C85" w:rsidRPr="001775D9" w:rsidRDefault="00E03C85" w:rsidP="00B61D9D">
      <w:pPr>
        <w:numPr>
          <w:ilvl w:val="1"/>
          <w:numId w:val="17"/>
        </w:numPr>
        <w:spacing w:line="240" w:lineRule="auto"/>
        <w:ind w:left="567" w:hanging="567"/>
      </w:pPr>
      <w:r w:rsidRPr="001775D9">
        <w:t xml:space="preserve">bacterial infections; </w:t>
      </w:r>
    </w:p>
    <w:p w14:paraId="2A1E7D73" w14:textId="77777777" w:rsidR="00E03C85" w:rsidRPr="001775D9" w:rsidRDefault="00E03C85" w:rsidP="00B61D9D">
      <w:pPr>
        <w:numPr>
          <w:ilvl w:val="1"/>
          <w:numId w:val="17"/>
        </w:numPr>
        <w:spacing w:line="240" w:lineRule="auto"/>
        <w:ind w:left="567" w:hanging="567"/>
      </w:pPr>
      <w:r w:rsidRPr="001775D9">
        <w:t xml:space="preserve">diverticulitis (inflammation and infection of the large intestine); </w:t>
      </w:r>
    </w:p>
    <w:p w14:paraId="6EBF7DDD" w14:textId="77777777" w:rsidR="00E03C85" w:rsidRPr="001775D9" w:rsidRDefault="00E03C85" w:rsidP="00B61D9D">
      <w:pPr>
        <w:numPr>
          <w:ilvl w:val="1"/>
          <w:numId w:val="17"/>
        </w:numPr>
        <w:spacing w:line="240" w:lineRule="auto"/>
        <w:ind w:left="567" w:hanging="567"/>
      </w:pPr>
      <w:r w:rsidRPr="001775D9">
        <w:t xml:space="preserve">cancer, including cancer that affects the lymph system (lymphoma) and melanoma (skin cancer); </w:t>
      </w:r>
    </w:p>
    <w:p w14:paraId="434C865D" w14:textId="77777777" w:rsidR="00E03C85" w:rsidRPr="001775D9" w:rsidRDefault="00E03C85" w:rsidP="00B61D9D">
      <w:pPr>
        <w:numPr>
          <w:ilvl w:val="1"/>
          <w:numId w:val="17"/>
        </w:numPr>
        <w:spacing w:line="240" w:lineRule="auto"/>
        <w:ind w:left="567" w:hanging="567"/>
      </w:pPr>
      <w:r w:rsidRPr="001775D9">
        <w:t xml:space="preserve">immune disorders that could affect the lungs, skin and lymph nodes (most commonly presenting as sarcoidosis); </w:t>
      </w:r>
    </w:p>
    <w:p w14:paraId="69CB7A05" w14:textId="77777777" w:rsidR="00E03C85" w:rsidRPr="001775D9" w:rsidRDefault="00E03C85" w:rsidP="00B61D9D">
      <w:pPr>
        <w:numPr>
          <w:ilvl w:val="1"/>
          <w:numId w:val="17"/>
        </w:numPr>
        <w:spacing w:line="240" w:lineRule="auto"/>
        <w:ind w:left="567" w:hanging="567"/>
      </w:pPr>
      <w:r w:rsidRPr="001775D9">
        <w:t>vasculitis (inflammation of blood vessels);</w:t>
      </w:r>
    </w:p>
    <w:p w14:paraId="3E1502A9" w14:textId="77777777" w:rsidR="00E03C85" w:rsidRPr="001775D9" w:rsidRDefault="00E03C85" w:rsidP="00B61D9D">
      <w:pPr>
        <w:numPr>
          <w:ilvl w:val="1"/>
          <w:numId w:val="17"/>
        </w:numPr>
        <w:spacing w:line="240" w:lineRule="auto"/>
        <w:ind w:left="567" w:hanging="567"/>
      </w:pPr>
      <w:r w:rsidRPr="001775D9">
        <w:t xml:space="preserve">tremor; </w:t>
      </w:r>
    </w:p>
    <w:p w14:paraId="4713D600" w14:textId="77777777" w:rsidR="00E03C85" w:rsidRPr="001775D9" w:rsidRDefault="00E03C85" w:rsidP="00B61D9D">
      <w:pPr>
        <w:numPr>
          <w:ilvl w:val="1"/>
          <w:numId w:val="17"/>
        </w:numPr>
        <w:spacing w:line="240" w:lineRule="auto"/>
        <w:ind w:left="567" w:hanging="567"/>
      </w:pPr>
      <w:r w:rsidRPr="001775D9">
        <w:t xml:space="preserve">neuropathy; </w:t>
      </w:r>
    </w:p>
    <w:p w14:paraId="5F059836" w14:textId="77777777" w:rsidR="00E03C85" w:rsidRPr="001775D9" w:rsidRDefault="00E03C85" w:rsidP="00B61D9D">
      <w:pPr>
        <w:numPr>
          <w:ilvl w:val="1"/>
          <w:numId w:val="17"/>
        </w:numPr>
        <w:spacing w:line="240" w:lineRule="auto"/>
        <w:ind w:left="567" w:hanging="567"/>
      </w:pPr>
      <w:r w:rsidRPr="001775D9">
        <w:t xml:space="preserve">stroke; </w:t>
      </w:r>
    </w:p>
    <w:p w14:paraId="74AD4421" w14:textId="77777777" w:rsidR="00E03C85" w:rsidRPr="001775D9" w:rsidRDefault="00E03C85" w:rsidP="00B61D9D">
      <w:pPr>
        <w:numPr>
          <w:ilvl w:val="1"/>
          <w:numId w:val="17"/>
        </w:numPr>
        <w:spacing w:line="240" w:lineRule="auto"/>
        <w:ind w:left="567" w:hanging="567"/>
      </w:pPr>
      <w:r w:rsidRPr="001775D9">
        <w:t xml:space="preserve">hearing loss, buzzing; </w:t>
      </w:r>
    </w:p>
    <w:p w14:paraId="361B9123" w14:textId="77777777" w:rsidR="00E03C85" w:rsidRPr="001775D9" w:rsidRDefault="00E03C85" w:rsidP="00B61D9D">
      <w:pPr>
        <w:numPr>
          <w:ilvl w:val="1"/>
          <w:numId w:val="17"/>
        </w:numPr>
        <w:spacing w:line="240" w:lineRule="auto"/>
        <w:ind w:left="567" w:hanging="567"/>
      </w:pPr>
      <w:r w:rsidRPr="001775D9">
        <w:t xml:space="preserve">sensation of heart beating irregularly such as skipped beats; </w:t>
      </w:r>
    </w:p>
    <w:p w14:paraId="5A9BBBF6" w14:textId="77777777" w:rsidR="00E03C85" w:rsidRPr="001775D9" w:rsidRDefault="00E03C85" w:rsidP="00B61D9D">
      <w:pPr>
        <w:numPr>
          <w:ilvl w:val="1"/>
          <w:numId w:val="17"/>
        </w:numPr>
        <w:spacing w:line="240" w:lineRule="auto"/>
        <w:ind w:left="567" w:hanging="567"/>
      </w:pPr>
      <w:r w:rsidRPr="001775D9">
        <w:t xml:space="preserve">heart problems that can cause shortness of breath or ankle swelling; </w:t>
      </w:r>
    </w:p>
    <w:p w14:paraId="2386BAD0" w14:textId="77777777" w:rsidR="00E03C85" w:rsidRPr="001775D9" w:rsidRDefault="00E03C85" w:rsidP="00B61D9D">
      <w:pPr>
        <w:numPr>
          <w:ilvl w:val="1"/>
          <w:numId w:val="17"/>
        </w:numPr>
        <w:spacing w:line="240" w:lineRule="auto"/>
        <w:ind w:left="567" w:hanging="567"/>
      </w:pPr>
      <w:r w:rsidRPr="001775D9">
        <w:t xml:space="preserve">heart attack; </w:t>
      </w:r>
    </w:p>
    <w:p w14:paraId="02B98D5D" w14:textId="77777777" w:rsidR="00E03C85" w:rsidRPr="001775D9" w:rsidRDefault="00E03C85" w:rsidP="00B61D9D">
      <w:pPr>
        <w:numPr>
          <w:ilvl w:val="1"/>
          <w:numId w:val="17"/>
        </w:numPr>
        <w:spacing w:line="240" w:lineRule="auto"/>
        <w:ind w:left="567" w:hanging="567"/>
      </w:pPr>
      <w:r w:rsidRPr="001775D9">
        <w:t xml:space="preserve">a sac in the wall of a major artery, inflammation and clot of a vein, blockage of a blood vessel; </w:t>
      </w:r>
    </w:p>
    <w:p w14:paraId="2370ED6C" w14:textId="77777777" w:rsidR="00E03C85" w:rsidRPr="001775D9" w:rsidRDefault="00E03C85" w:rsidP="00B61D9D">
      <w:pPr>
        <w:numPr>
          <w:ilvl w:val="1"/>
          <w:numId w:val="17"/>
        </w:numPr>
        <w:spacing w:line="240" w:lineRule="auto"/>
        <w:ind w:left="567" w:hanging="567"/>
      </w:pPr>
      <w:r w:rsidRPr="001775D9">
        <w:t xml:space="preserve">lung diseases causing shortness of breath (including inflammation); </w:t>
      </w:r>
    </w:p>
    <w:p w14:paraId="3E510A66" w14:textId="77777777" w:rsidR="00E03C85" w:rsidRPr="001775D9" w:rsidRDefault="00E03C85" w:rsidP="00B61D9D">
      <w:pPr>
        <w:numPr>
          <w:ilvl w:val="1"/>
          <w:numId w:val="17"/>
        </w:numPr>
        <w:spacing w:line="240" w:lineRule="auto"/>
        <w:ind w:left="567" w:hanging="567"/>
      </w:pPr>
      <w:r w:rsidRPr="001775D9">
        <w:t xml:space="preserve">pulmonary embolism (blockage in an artery of the lung); </w:t>
      </w:r>
    </w:p>
    <w:p w14:paraId="4608C472" w14:textId="77777777" w:rsidR="00E03C85" w:rsidRPr="001775D9" w:rsidRDefault="00E03C85" w:rsidP="00B61D9D">
      <w:pPr>
        <w:numPr>
          <w:ilvl w:val="1"/>
          <w:numId w:val="17"/>
        </w:numPr>
        <w:spacing w:line="240" w:lineRule="auto"/>
        <w:ind w:left="567" w:hanging="567"/>
      </w:pPr>
      <w:r w:rsidRPr="001775D9">
        <w:t xml:space="preserve">pleural effusion (abnormal collection of fluid in the pleural space); </w:t>
      </w:r>
    </w:p>
    <w:p w14:paraId="596517A3" w14:textId="77777777" w:rsidR="00E03C85" w:rsidRPr="001775D9" w:rsidRDefault="00E03C85" w:rsidP="00B61D9D">
      <w:pPr>
        <w:numPr>
          <w:ilvl w:val="1"/>
          <w:numId w:val="17"/>
        </w:numPr>
        <w:spacing w:line="240" w:lineRule="auto"/>
        <w:ind w:left="567" w:hanging="567"/>
      </w:pPr>
      <w:r w:rsidRPr="001775D9">
        <w:t xml:space="preserve">inflammation of the pancreas which causes severe pain in the abdomen and back; </w:t>
      </w:r>
    </w:p>
    <w:p w14:paraId="1648BA55" w14:textId="77777777" w:rsidR="00E03C85" w:rsidRPr="001775D9" w:rsidRDefault="00E03C85" w:rsidP="00B61D9D">
      <w:pPr>
        <w:numPr>
          <w:ilvl w:val="1"/>
          <w:numId w:val="17"/>
        </w:numPr>
        <w:spacing w:line="240" w:lineRule="auto"/>
        <w:ind w:left="567" w:hanging="567"/>
      </w:pPr>
      <w:r w:rsidRPr="001775D9">
        <w:t xml:space="preserve">difficulty in swallowing; </w:t>
      </w:r>
    </w:p>
    <w:p w14:paraId="7F211ADA" w14:textId="77777777" w:rsidR="00E03C85" w:rsidRPr="001775D9" w:rsidRDefault="00E03C85" w:rsidP="00B61D9D">
      <w:pPr>
        <w:numPr>
          <w:ilvl w:val="1"/>
          <w:numId w:val="17"/>
        </w:numPr>
        <w:spacing w:line="240" w:lineRule="auto"/>
        <w:ind w:left="567" w:hanging="567"/>
      </w:pPr>
      <w:r w:rsidRPr="001775D9">
        <w:t xml:space="preserve">facial oedema; </w:t>
      </w:r>
    </w:p>
    <w:p w14:paraId="34102471" w14:textId="77777777" w:rsidR="00E03C85" w:rsidRPr="001775D9" w:rsidRDefault="00E03C85" w:rsidP="00B61D9D">
      <w:pPr>
        <w:numPr>
          <w:ilvl w:val="1"/>
          <w:numId w:val="17"/>
        </w:numPr>
        <w:spacing w:line="240" w:lineRule="auto"/>
        <w:ind w:left="567" w:hanging="567"/>
      </w:pPr>
      <w:r w:rsidRPr="001775D9">
        <w:t xml:space="preserve">gallbladder inflammation, gallbladder stones; </w:t>
      </w:r>
    </w:p>
    <w:p w14:paraId="6A52D7A4" w14:textId="77777777" w:rsidR="00E03C85" w:rsidRPr="001775D9" w:rsidRDefault="00E03C85" w:rsidP="00B61D9D">
      <w:pPr>
        <w:numPr>
          <w:ilvl w:val="1"/>
          <w:numId w:val="17"/>
        </w:numPr>
        <w:spacing w:line="240" w:lineRule="auto"/>
        <w:ind w:left="567" w:hanging="567"/>
      </w:pPr>
      <w:r w:rsidRPr="001775D9">
        <w:t xml:space="preserve">fatty liver; </w:t>
      </w:r>
    </w:p>
    <w:p w14:paraId="0727B18E" w14:textId="77777777" w:rsidR="00E03C85" w:rsidRPr="001775D9" w:rsidRDefault="00E03C85" w:rsidP="00B61D9D">
      <w:pPr>
        <w:numPr>
          <w:ilvl w:val="1"/>
          <w:numId w:val="17"/>
        </w:numPr>
        <w:spacing w:line="240" w:lineRule="auto"/>
        <w:ind w:left="567" w:hanging="567"/>
      </w:pPr>
      <w:r w:rsidRPr="001775D9">
        <w:t xml:space="preserve">night sweats; </w:t>
      </w:r>
    </w:p>
    <w:p w14:paraId="18D35B8C" w14:textId="77777777" w:rsidR="00E03C85" w:rsidRPr="001775D9" w:rsidRDefault="00E03C85" w:rsidP="00B61D9D">
      <w:pPr>
        <w:numPr>
          <w:ilvl w:val="1"/>
          <w:numId w:val="17"/>
        </w:numPr>
        <w:spacing w:line="240" w:lineRule="auto"/>
        <w:ind w:left="567" w:hanging="567"/>
      </w:pPr>
      <w:r w:rsidRPr="001775D9">
        <w:t xml:space="preserve">scar; </w:t>
      </w:r>
    </w:p>
    <w:p w14:paraId="7F6BBDDB" w14:textId="77777777" w:rsidR="00E03C85" w:rsidRPr="001775D9" w:rsidRDefault="00E03C85" w:rsidP="00B61D9D">
      <w:pPr>
        <w:numPr>
          <w:ilvl w:val="1"/>
          <w:numId w:val="17"/>
        </w:numPr>
        <w:spacing w:line="240" w:lineRule="auto"/>
        <w:ind w:left="567" w:hanging="567"/>
      </w:pPr>
      <w:r w:rsidRPr="001775D9">
        <w:t xml:space="preserve">abnormal muscle breakdown; </w:t>
      </w:r>
    </w:p>
    <w:p w14:paraId="635F7D02" w14:textId="77777777" w:rsidR="00E03C85" w:rsidRPr="001775D9" w:rsidRDefault="00E03C85" w:rsidP="00B61D9D">
      <w:pPr>
        <w:numPr>
          <w:ilvl w:val="1"/>
          <w:numId w:val="17"/>
        </w:numPr>
        <w:spacing w:line="240" w:lineRule="auto"/>
        <w:ind w:left="567" w:hanging="567"/>
      </w:pPr>
      <w:r w:rsidRPr="001775D9">
        <w:t xml:space="preserve">systemic lupus erythematosus (including inflammation of skin, heart, lung, joints and other organ systems); </w:t>
      </w:r>
    </w:p>
    <w:p w14:paraId="614B98B5" w14:textId="77777777" w:rsidR="00E03C85" w:rsidRPr="001775D9" w:rsidRDefault="00E03C85" w:rsidP="00B61D9D">
      <w:pPr>
        <w:numPr>
          <w:ilvl w:val="1"/>
          <w:numId w:val="17"/>
        </w:numPr>
        <w:spacing w:line="240" w:lineRule="auto"/>
        <w:ind w:left="567" w:hanging="567"/>
      </w:pPr>
      <w:r w:rsidRPr="001775D9">
        <w:t xml:space="preserve">sleep interruptions; </w:t>
      </w:r>
    </w:p>
    <w:p w14:paraId="2C2E2F92" w14:textId="77777777" w:rsidR="00E03C85" w:rsidRPr="001775D9" w:rsidRDefault="00E03C85" w:rsidP="00B61D9D">
      <w:pPr>
        <w:numPr>
          <w:ilvl w:val="1"/>
          <w:numId w:val="17"/>
        </w:numPr>
        <w:spacing w:line="240" w:lineRule="auto"/>
        <w:ind w:left="567" w:hanging="567"/>
      </w:pPr>
      <w:r w:rsidRPr="001775D9">
        <w:t xml:space="preserve">impotence; </w:t>
      </w:r>
    </w:p>
    <w:p w14:paraId="02E3C963" w14:textId="77777777" w:rsidR="00E03C85" w:rsidRPr="001775D9" w:rsidRDefault="00E03C85" w:rsidP="00B61D9D">
      <w:pPr>
        <w:numPr>
          <w:ilvl w:val="1"/>
          <w:numId w:val="17"/>
        </w:numPr>
        <w:spacing w:line="240" w:lineRule="auto"/>
        <w:ind w:left="567" w:hanging="567"/>
      </w:pPr>
      <w:r w:rsidRPr="001775D9">
        <w:t xml:space="preserve">inflammations. </w:t>
      </w:r>
    </w:p>
    <w:p w14:paraId="77B18A2B" w14:textId="77777777" w:rsidR="00E03C85" w:rsidRPr="001775D9" w:rsidRDefault="00E03C85" w:rsidP="00077AFF">
      <w:pPr>
        <w:numPr>
          <w:ilvl w:val="12"/>
          <w:numId w:val="0"/>
        </w:numPr>
        <w:tabs>
          <w:tab w:val="clear" w:pos="567"/>
        </w:tabs>
        <w:spacing w:line="240" w:lineRule="auto"/>
        <w:outlineLvl w:val="0"/>
        <w:rPr>
          <w:b/>
          <w:szCs w:val="22"/>
        </w:rPr>
      </w:pPr>
    </w:p>
    <w:p w14:paraId="710E7E18" w14:textId="65612BB8" w:rsidR="00E03C85" w:rsidRPr="00D55B59" w:rsidRDefault="00E03C85" w:rsidP="00077AFF">
      <w:pPr>
        <w:pStyle w:val="Default"/>
        <w:rPr>
          <w:sz w:val="22"/>
          <w:szCs w:val="22"/>
          <w:lang w:val="en-GB"/>
          <w:rPrChange w:id="4918" w:author="Author">
            <w:rPr>
              <w:sz w:val="22"/>
              <w:szCs w:val="22"/>
            </w:rPr>
          </w:rPrChange>
        </w:rPr>
      </w:pPr>
      <w:r w:rsidRPr="00D55B59">
        <w:rPr>
          <w:sz w:val="22"/>
          <w:szCs w:val="22"/>
          <w:lang w:val="en-GB"/>
          <w:rPrChange w:id="4919" w:author="Author">
            <w:rPr>
              <w:sz w:val="22"/>
              <w:szCs w:val="22"/>
            </w:rPr>
          </w:rPrChange>
        </w:rPr>
        <w:t>Rare (may affect up to 1 in 1</w:t>
      </w:r>
      <w:r w:rsidR="00E5298B" w:rsidRPr="00D55B59">
        <w:rPr>
          <w:sz w:val="22"/>
          <w:szCs w:val="22"/>
          <w:lang w:val="en-GB"/>
          <w:rPrChange w:id="4920" w:author="Author">
            <w:rPr>
              <w:sz w:val="22"/>
              <w:szCs w:val="22"/>
            </w:rPr>
          </w:rPrChange>
        </w:rPr>
        <w:t> </w:t>
      </w:r>
      <w:r w:rsidRPr="00D55B59">
        <w:rPr>
          <w:sz w:val="22"/>
          <w:szCs w:val="22"/>
          <w:lang w:val="en-GB"/>
          <w:rPrChange w:id="4921" w:author="Author">
            <w:rPr>
              <w:sz w:val="22"/>
              <w:szCs w:val="22"/>
            </w:rPr>
          </w:rPrChange>
        </w:rPr>
        <w:t>000 people)</w:t>
      </w:r>
    </w:p>
    <w:p w14:paraId="540853D5" w14:textId="77777777" w:rsidR="00E03C85" w:rsidRPr="001775D9" w:rsidRDefault="00E03C85" w:rsidP="00B61D9D">
      <w:pPr>
        <w:numPr>
          <w:ilvl w:val="0"/>
          <w:numId w:val="18"/>
        </w:numPr>
        <w:spacing w:line="240" w:lineRule="auto"/>
        <w:ind w:left="567" w:hanging="567"/>
      </w:pPr>
      <w:r w:rsidRPr="001775D9">
        <w:t xml:space="preserve">leukaemia (cancer affecting the blood and bone marrow); </w:t>
      </w:r>
    </w:p>
    <w:p w14:paraId="5E84E89F" w14:textId="77777777" w:rsidR="00E03C85" w:rsidRPr="001775D9" w:rsidRDefault="00E03C85" w:rsidP="00B61D9D">
      <w:pPr>
        <w:numPr>
          <w:ilvl w:val="0"/>
          <w:numId w:val="18"/>
        </w:numPr>
        <w:spacing w:line="240" w:lineRule="auto"/>
        <w:ind w:left="567" w:hanging="567"/>
      </w:pPr>
      <w:r w:rsidRPr="001775D9">
        <w:t xml:space="preserve">severe allergic reaction with shock; </w:t>
      </w:r>
    </w:p>
    <w:p w14:paraId="2BDCF83A" w14:textId="77777777" w:rsidR="00E03C85" w:rsidRPr="001775D9" w:rsidRDefault="00E03C85" w:rsidP="00B61D9D">
      <w:pPr>
        <w:numPr>
          <w:ilvl w:val="0"/>
          <w:numId w:val="18"/>
        </w:numPr>
        <w:spacing w:line="240" w:lineRule="auto"/>
        <w:ind w:left="567" w:hanging="567"/>
      </w:pPr>
      <w:r w:rsidRPr="001775D9">
        <w:t xml:space="preserve">multiple sclerosis; </w:t>
      </w:r>
    </w:p>
    <w:p w14:paraId="572B8217" w14:textId="77777777" w:rsidR="00E03C85" w:rsidRPr="001775D9" w:rsidRDefault="00E03C85" w:rsidP="00B61D9D">
      <w:pPr>
        <w:numPr>
          <w:ilvl w:val="0"/>
          <w:numId w:val="18"/>
        </w:numPr>
        <w:spacing w:line="240" w:lineRule="auto"/>
        <w:ind w:left="567" w:hanging="567"/>
      </w:pPr>
      <w:r w:rsidRPr="001775D9">
        <w:t xml:space="preserve">nerve disorders (such as eye nerve inflammation and Guillain-Barré syndrome that may cause muscle weakness, abnormal sensations, tingling in the arms and upper body); </w:t>
      </w:r>
    </w:p>
    <w:p w14:paraId="3B2A8EF6" w14:textId="77777777" w:rsidR="00E03C85" w:rsidRPr="001775D9" w:rsidRDefault="00E03C85" w:rsidP="00B61D9D">
      <w:pPr>
        <w:numPr>
          <w:ilvl w:val="0"/>
          <w:numId w:val="18"/>
        </w:numPr>
        <w:spacing w:line="240" w:lineRule="auto"/>
        <w:ind w:left="567" w:hanging="567"/>
      </w:pPr>
      <w:r w:rsidRPr="001775D9">
        <w:t xml:space="preserve">heart stops pumping; </w:t>
      </w:r>
    </w:p>
    <w:p w14:paraId="6ABB4EB4" w14:textId="77777777" w:rsidR="00E03C85" w:rsidRPr="001775D9" w:rsidRDefault="00E03C85" w:rsidP="00B61D9D">
      <w:pPr>
        <w:numPr>
          <w:ilvl w:val="0"/>
          <w:numId w:val="18"/>
        </w:numPr>
        <w:spacing w:line="240" w:lineRule="auto"/>
        <w:ind w:left="567" w:hanging="567"/>
      </w:pPr>
      <w:r w:rsidRPr="001775D9">
        <w:t xml:space="preserve">pulmonary fibrosis (scarring of the lung); </w:t>
      </w:r>
    </w:p>
    <w:p w14:paraId="2EC73957" w14:textId="77777777" w:rsidR="00E03C85" w:rsidRPr="001775D9" w:rsidRDefault="00E03C85" w:rsidP="00B61D9D">
      <w:pPr>
        <w:numPr>
          <w:ilvl w:val="0"/>
          <w:numId w:val="18"/>
        </w:numPr>
        <w:spacing w:line="240" w:lineRule="auto"/>
        <w:ind w:left="567" w:hanging="567"/>
      </w:pPr>
      <w:r w:rsidRPr="001775D9">
        <w:t>intestinal perforation (hole in the wall of the gut);</w:t>
      </w:r>
    </w:p>
    <w:p w14:paraId="2BEF924D" w14:textId="77777777" w:rsidR="00E03C85" w:rsidRPr="00F04F82" w:rsidRDefault="00E03C85" w:rsidP="00D55B59">
      <w:pPr>
        <w:numPr>
          <w:ilvl w:val="0"/>
          <w:numId w:val="18"/>
        </w:numPr>
        <w:spacing w:line="240" w:lineRule="auto"/>
        <w:ind w:left="567" w:hanging="567"/>
        <w:rPr>
          <w:szCs w:val="22"/>
        </w:rPr>
        <w:pPrChange w:id="4922" w:author="Author">
          <w:pPr>
            <w:pStyle w:val="Default"/>
            <w:numPr>
              <w:numId w:val="18"/>
            </w:numPr>
            <w:ind w:left="567" w:hanging="567"/>
          </w:pPr>
        </w:pPrChange>
      </w:pPr>
      <w:r w:rsidRPr="001775D9">
        <w:rPr>
          <w:szCs w:val="22"/>
        </w:rPr>
        <w:t>hepatitis</w:t>
      </w:r>
      <w:r w:rsidRPr="00F04F82">
        <w:rPr>
          <w:szCs w:val="22"/>
        </w:rPr>
        <w:t xml:space="preserve"> (liver inflammation); </w:t>
      </w:r>
    </w:p>
    <w:p w14:paraId="20CC69B1" w14:textId="77777777" w:rsidR="00E03C85" w:rsidRPr="001775D9" w:rsidRDefault="00E03C85" w:rsidP="00B61D9D">
      <w:pPr>
        <w:numPr>
          <w:ilvl w:val="0"/>
          <w:numId w:val="19"/>
        </w:numPr>
        <w:spacing w:line="240" w:lineRule="auto"/>
        <w:ind w:left="567" w:hanging="567"/>
      </w:pPr>
      <w:r w:rsidRPr="001775D9">
        <w:t xml:space="preserve">reactivation of hepatitis B; </w:t>
      </w:r>
    </w:p>
    <w:p w14:paraId="5CFF7D59" w14:textId="77777777" w:rsidR="00E03C85" w:rsidRPr="001775D9" w:rsidRDefault="00E03C85" w:rsidP="00B61D9D">
      <w:pPr>
        <w:numPr>
          <w:ilvl w:val="0"/>
          <w:numId w:val="19"/>
        </w:numPr>
        <w:spacing w:line="240" w:lineRule="auto"/>
        <w:ind w:left="567" w:hanging="567"/>
      </w:pPr>
      <w:r w:rsidRPr="001775D9">
        <w:t>autoimmune hepatitis (inflammation of the liver caused by the body's own immune system);</w:t>
      </w:r>
    </w:p>
    <w:p w14:paraId="50789533" w14:textId="77777777" w:rsidR="00E03C85" w:rsidRPr="001775D9" w:rsidRDefault="00E03C85" w:rsidP="00B61D9D">
      <w:pPr>
        <w:numPr>
          <w:ilvl w:val="0"/>
          <w:numId w:val="19"/>
        </w:numPr>
        <w:spacing w:line="240" w:lineRule="auto"/>
        <w:ind w:left="567" w:hanging="567"/>
      </w:pPr>
      <w:r w:rsidRPr="001775D9">
        <w:t xml:space="preserve">cutaneous vasculitis (inflammation of blood vessels in the skin); </w:t>
      </w:r>
    </w:p>
    <w:p w14:paraId="3D00A583" w14:textId="4A14AAFB" w:rsidR="00E03C85" w:rsidRPr="001775D9" w:rsidRDefault="00E03C85" w:rsidP="00B61D9D">
      <w:pPr>
        <w:numPr>
          <w:ilvl w:val="0"/>
          <w:numId w:val="19"/>
        </w:numPr>
        <w:spacing w:line="240" w:lineRule="auto"/>
        <w:ind w:left="567" w:hanging="567"/>
      </w:pPr>
      <w:r w:rsidRPr="001775D9">
        <w:t>Stevens-Johnson syndrome (life-threatening reaction with flu-like symptoms and blistering rash);</w:t>
      </w:r>
    </w:p>
    <w:p w14:paraId="5CDA6037" w14:textId="77777777" w:rsidR="00E03C85" w:rsidRPr="001775D9" w:rsidRDefault="00E03C85" w:rsidP="00B61D9D">
      <w:pPr>
        <w:numPr>
          <w:ilvl w:val="0"/>
          <w:numId w:val="19"/>
        </w:numPr>
        <w:spacing w:line="240" w:lineRule="auto"/>
        <w:ind w:left="567" w:hanging="567"/>
      </w:pPr>
      <w:r w:rsidRPr="001775D9">
        <w:t xml:space="preserve">facial oedema associated with allergic reactions; </w:t>
      </w:r>
    </w:p>
    <w:p w14:paraId="40A9FEB7" w14:textId="77777777" w:rsidR="00E03C85" w:rsidRPr="00D55B59" w:rsidRDefault="00E03C85" w:rsidP="00B61D9D">
      <w:pPr>
        <w:numPr>
          <w:ilvl w:val="0"/>
          <w:numId w:val="19"/>
        </w:numPr>
        <w:spacing w:line="240" w:lineRule="auto"/>
        <w:ind w:left="567" w:hanging="567"/>
        <w:rPr>
          <w:lang w:val="it-IT"/>
          <w:rPrChange w:id="4923" w:author="Author">
            <w:rPr/>
          </w:rPrChange>
        </w:rPr>
      </w:pPr>
      <w:r w:rsidRPr="00D55B59">
        <w:rPr>
          <w:lang w:val="it-IT"/>
          <w:rPrChange w:id="4924" w:author="Author">
            <w:rPr/>
          </w:rPrChange>
        </w:rPr>
        <w:t xml:space="preserve">erythema multiforme (inflammatory skin rash); </w:t>
      </w:r>
    </w:p>
    <w:p w14:paraId="549D7910" w14:textId="77777777" w:rsidR="00E03C85" w:rsidRPr="001775D9" w:rsidRDefault="00E03C85" w:rsidP="00B61D9D">
      <w:pPr>
        <w:numPr>
          <w:ilvl w:val="0"/>
          <w:numId w:val="19"/>
        </w:numPr>
        <w:spacing w:line="240" w:lineRule="auto"/>
        <w:ind w:left="567" w:hanging="567"/>
      </w:pPr>
      <w:r w:rsidRPr="001775D9">
        <w:t>lupus-like syndrome;</w:t>
      </w:r>
    </w:p>
    <w:p w14:paraId="383A38B3" w14:textId="77777777" w:rsidR="00E03C85" w:rsidRPr="001775D9" w:rsidRDefault="00E03C85" w:rsidP="00B61D9D">
      <w:pPr>
        <w:keepNext/>
        <w:keepLines/>
        <w:numPr>
          <w:ilvl w:val="0"/>
          <w:numId w:val="19"/>
        </w:numPr>
        <w:spacing w:line="240" w:lineRule="auto"/>
        <w:ind w:left="567" w:hanging="567"/>
      </w:pPr>
      <w:r w:rsidRPr="001775D9">
        <w:t>angioedema (localised swelling of the skin);</w:t>
      </w:r>
    </w:p>
    <w:p w14:paraId="2C9DF55C" w14:textId="77777777" w:rsidR="00E03C85" w:rsidRPr="001775D9" w:rsidRDefault="00E03C85" w:rsidP="00B61D9D">
      <w:pPr>
        <w:numPr>
          <w:ilvl w:val="0"/>
          <w:numId w:val="19"/>
        </w:numPr>
        <w:spacing w:line="240" w:lineRule="auto"/>
        <w:ind w:left="567" w:hanging="567"/>
      </w:pPr>
      <w:r w:rsidRPr="001775D9">
        <w:t>lichenoid skin reaction (itchy reddish-purple skin rash).</w:t>
      </w:r>
    </w:p>
    <w:p w14:paraId="42DA8517" w14:textId="77777777" w:rsidR="00E03C85" w:rsidRPr="00D55B59" w:rsidRDefault="00E03C85" w:rsidP="00077AFF">
      <w:pPr>
        <w:pStyle w:val="Default"/>
        <w:rPr>
          <w:sz w:val="22"/>
          <w:szCs w:val="22"/>
          <w:lang w:val="en-GB"/>
          <w:rPrChange w:id="4925" w:author="Author">
            <w:rPr>
              <w:sz w:val="22"/>
              <w:szCs w:val="22"/>
            </w:rPr>
          </w:rPrChange>
        </w:rPr>
      </w:pPr>
    </w:p>
    <w:p w14:paraId="5430A5CF" w14:textId="77777777" w:rsidR="00E03C85" w:rsidRPr="00D55B59" w:rsidRDefault="00E03C85" w:rsidP="00077AFF">
      <w:pPr>
        <w:pStyle w:val="Default"/>
        <w:rPr>
          <w:sz w:val="22"/>
          <w:szCs w:val="22"/>
          <w:lang w:val="en-GB"/>
          <w:rPrChange w:id="4926" w:author="Author">
            <w:rPr>
              <w:sz w:val="22"/>
              <w:szCs w:val="22"/>
            </w:rPr>
          </w:rPrChange>
        </w:rPr>
      </w:pPr>
      <w:r w:rsidRPr="00D55B59">
        <w:rPr>
          <w:sz w:val="22"/>
          <w:szCs w:val="22"/>
          <w:lang w:val="en-GB"/>
          <w:rPrChange w:id="4927" w:author="Author">
            <w:rPr>
              <w:sz w:val="22"/>
              <w:szCs w:val="22"/>
            </w:rPr>
          </w:rPrChange>
        </w:rPr>
        <w:t>Not known (frequency cannot be estimated from available data)</w:t>
      </w:r>
    </w:p>
    <w:p w14:paraId="6955E9F6" w14:textId="77777777" w:rsidR="00E03C85" w:rsidRPr="00F04F82" w:rsidRDefault="00E03C85" w:rsidP="00B61D9D">
      <w:pPr>
        <w:numPr>
          <w:ilvl w:val="0"/>
          <w:numId w:val="20"/>
        </w:numPr>
        <w:spacing w:line="240" w:lineRule="auto"/>
        <w:ind w:left="567" w:hanging="567"/>
      </w:pPr>
      <w:r w:rsidRPr="00F04F82">
        <w:t xml:space="preserve">hepatosplenic T-cell lymphoma (a rare blood cancer that is often fatal); </w:t>
      </w:r>
    </w:p>
    <w:p w14:paraId="1FFD748F" w14:textId="77777777" w:rsidR="00E03C85" w:rsidRPr="00F04F82" w:rsidRDefault="00E03C85" w:rsidP="00B61D9D">
      <w:pPr>
        <w:numPr>
          <w:ilvl w:val="0"/>
          <w:numId w:val="20"/>
        </w:numPr>
        <w:spacing w:line="240" w:lineRule="auto"/>
        <w:ind w:left="567" w:hanging="567"/>
      </w:pPr>
      <w:r w:rsidRPr="00F04F82">
        <w:t>Merkel cell carcinoma (a type of skin cancer);</w:t>
      </w:r>
    </w:p>
    <w:p w14:paraId="596D64E5" w14:textId="77777777" w:rsidR="00E03C85" w:rsidRPr="00F04F82" w:rsidRDefault="00E03C85" w:rsidP="00B61D9D">
      <w:pPr>
        <w:numPr>
          <w:ilvl w:val="0"/>
          <w:numId w:val="20"/>
        </w:numPr>
        <w:spacing w:line="240" w:lineRule="auto"/>
        <w:ind w:left="567" w:hanging="567"/>
      </w:pPr>
      <w:r w:rsidRPr="00F04F82">
        <w:t xml:space="preserve">Kaposi’s sarcoma, a rare cancer related to infection with human herpes virus 8. Kaposi’s sarcoma most commonly appears as purple lesions on the skin; </w:t>
      </w:r>
    </w:p>
    <w:p w14:paraId="54C481F4" w14:textId="77777777" w:rsidR="00E03C85" w:rsidRPr="00F04F82" w:rsidRDefault="00E03C85" w:rsidP="00B61D9D">
      <w:pPr>
        <w:numPr>
          <w:ilvl w:val="0"/>
          <w:numId w:val="20"/>
        </w:numPr>
        <w:spacing w:line="240" w:lineRule="auto"/>
        <w:ind w:left="567" w:hanging="567"/>
      </w:pPr>
      <w:r w:rsidRPr="00F04F82">
        <w:t xml:space="preserve">liver failure; </w:t>
      </w:r>
    </w:p>
    <w:p w14:paraId="11BA428A" w14:textId="77777777" w:rsidR="00E03C85" w:rsidRPr="00F04F82" w:rsidRDefault="00E03C85" w:rsidP="00B61D9D">
      <w:pPr>
        <w:numPr>
          <w:ilvl w:val="0"/>
          <w:numId w:val="20"/>
        </w:numPr>
        <w:spacing w:line="240" w:lineRule="auto"/>
        <w:ind w:left="567" w:hanging="567"/>
      </w:pPr>
      <w:r w:rsidRPr="00F04F82">
        <w:t>worsening of a condition called dermatomyositis (seen as a skin rash accompanying muscle weakness);</w:t>
      </w:r>
    </w:p>
    <w:p w14:paraId="319753E4" w14:textId="77777777" w:rsidR="00E03C85" w:rsidRPr="00F04F82" w:rsidRDefault="00E03C85" w:rsidP="00B61D9D">
      <w:pPr>
        <w:numPr>
          <w:ilvl w:val="0"/>
          <w:numId w:val="20"/>
        </w:numPr>
        <w:spacing w:line="240" w:lineRule="auto"/>
        <w:ind w:left="567" w:hanging="567"/>
      </w:pPr>
      <w:r w:rsidRPr="00F04F82">
        <w:t xml:space="preserve">weight gain (for most patients, the weight gain was small). </w:t>
      </w:r>
    </w:p>
    <w:p w14:paraId="157A2EAB" w14:textId="77777777" w:rsidR="00E03C85" w:rsidRPr="00F04F82" w:rsidRDefault="00E03C85" w:rsidP="00077AFF">
      <w:pPr>
        <w:numPr>
          <w:ilvl w:val="12"/>
          <w:numId w:val="0"/>
        </w:numPr>
        <w:tabs>
          <w:tab w:val="clear" w:pos="567"/>
        </w:tabs>
        <w:spacing w:line="240" w:lineRule="auto"/>
        <w:outlineLvl w:val="0"/>
        <w:rPr>
          <w:b/>
          <w:szCs w:val="22"/>
        </w:rPr>
      </w:pPr>
    </w:p>
    <w:p w14:paraId="0B5D0BA0" w14:textId="77777777" w:rsidR="00E03C85" w:rsidRPr="00D55B59" w:rsidRDefault="00E03C85" w:rsidP="00077AFF">
      <w:pPr>
        <w:pStyle w:val="Default"/>
        <w:keepNext/>
        <w:rPr>
          <w:sz w:val="22"/>
          <w:szCs w:val="22"/>
          <w:lang w:val="en-GB"/>
          <w:rPrChange w:id="4928" w:author="Author">
            <w:rPr>
              <w:sz w:val="22"/>
              <w:szCs w:val="22"/>
            </w:rPr>
          </w:rPrChange>
        </w:rPr>
      </w:pPr>
      <w:r w:rsidRPr="00D55B59">
        <w:rPr>
          <w:sz w:val="22"/>
          <w:szCs w:val="22"/>
          <w:lang w:val="en-GB"/>
          <w:rPrChange w:id="4929" w:author="Author">
            <w:rPr>
              <w:sz w:val="22"/>
              <w:szCs w:val="22"/>
            </w:rPr>
          </w:rPrChange>
        </w:rPr>
        <w:t xml:space="preserve">Some side effects observed with adalimumab may not have symptoms and may only be discovered through blood tests. These include: </w:t>
      </w:r>
    </w:p>
    <w:p w14:paraId="0B93A0C4" w14:textId="77777777" w:rsidR="00E03C85" w:rsidRPr="00D55B59" w:rsidRDefault="00E03C85" w:rsidP="00077AFF">
      <w:pPr>
        <w:pStyle w:val="Default"/>
        <w:rPr>
          <w:sz w:val="22"/>
          <w:szCs w:val="22"/>
          <w:lang w:val="en-GB"/>
          <w:rPrChange w:id="4930" w:author="Author">
            <w:rPr>
              <w:sz w:val="22"/>
              <w:szCs w:val="22"/>
            </w:rPr>
          </w:rPrChange>
        </w:rPr>
      </w:pPr>
    </w:p>
    <w:p w14:paraId="398B360D" w14:textId="77777777" w:rsidR="00E03C85" w:rsidRPr="00D55B59" w:rsidRDefault="00E03C85" w:rsidP="00077AFF">
      <w:pPr>
        <w:pStyle w:val="Default"/>
        <w:rPr>
          <w:sz w:val="22"/>
          <w:szCs w:val="22"/>
          <w:lang w:val="en-GB"/>
          <w:rPrChange w:id="4931" w:author="Author">
            <w:rPr>
              <w:sz w:val="22"/>
              <w:szCs w:val="22"/>
            </w:rPr>
          </w:rPrChange>
        </w:rPr>
      </w:pPr>
      <w:r w:rsidRPr="00D55B59">
        <w:rPr>
          <w:sz w:val="22"/>
          <w:szCs w:val="22"/>
          <w:lang w:val="en-GB"/>
          <w:rPrChange w:id="4932" w:author="Author">
            <w:rPr>
              <w:sz w:val="22"/>
              <w:szCs w:val="22"/>
            </w:rPr>
          </w:rPrChange>
        </w:rPr>
        <w:t>Very common (may affect more than 1 in 10 people)</w:t>
      </w:r>
    </w:p>
    <w:p w14:paraId="2CA56911" w14:textId="77777777" w:rsidR="00E03C85" w:rsidRPr="00F04F82" w:rsidRDefault="00E03C85" w:rsidP="00B61D9D">
      <w:pPr>
        <w:numPr>
          <w:ilvl w:val="0"/>
          <w:numId w:val="21"/>
        </w:numPr>
        <w:spacing w:line="240" w:lineRule="auto"/>
        <w:ind w:left="567" w:hanging="567"/>
      </w:pPr>
      <w:r w:rsidRPr="00F04F82">
        <w:t xml:space="preserve">low blood measurements for white blood cells; </w:t>
      </w:r>
    </w:p>
    <w:p w14:paraId="60BC6A92" w14:textId="77777777" w:rsidR="00E03C85" w:rsidRPr="00F04F82" w:rsidRDefault="00E03C85" w:rsidP="00B61D9D">
      <w:pPr>
        <w:numPr>
          <w:ilvl w:val="0"/>
          <w:numId w:val="21"/>
        </w:numPr>
        <w:spacing w:line="240" w:lineRule="auto"/>
        <w:ind w:left="567" w:hanging="567"/>
      </w:pPr>
      <w:r w:rsidRPr="00F04F82">
        <w:t xml:space="preserve">low blood measurements for red blood cells; </w:t>
      </w:r>
    </w:p>
    <w:p w14:paraId="37514220" w14:textId="77777777" w:rsidR="00E03C85" w:rsidRPr="00F04F82" w:rsidRDefault="00E03C85" w:rsidP="00B61D9D">
      <w:pPr>
        <w:numPr>
          <w:ilvl w:val="0"/>
          <w:numId w:val="21"/>
        </w:numPr>
        <w:spacing w:line="240" w:lineRule="auto"/>
        <w:ind w:left="567" w:hanging="567"/>
      </w:pPr>
      <w:r w:rsidRPr="00F04F82">
        <w:t xml:space="preserve">increased lipids in the blood; </w:t>
      </w:r>
    </w:p>
    <w:p w14:paraId="43628C5C" w14:textId="77777777" w:rsidR="00E03C85" w:rsidRPr="00F04F82" w:rsidRDefault="00E03C85" w:rsidP="00B61D9D">
      <w:pPr>
        <w:numPr>
          <w:ilvl w:val="0"/>
          <w:numId w:val="21"/>
        </w:numPr>
        <w:spacing w:line="240" w:lineRule="auto"/>
        <w:ind w:left="567" w:hanging="567"/>
      </w:pPr>
      <w:r w:rsidRPr="00F04F82">
        <w:t xml:space="preserve">elevated liver enzymes. </w:t>
      </w:r>
    </w:p>
    <w:p w14:paraId="36AF6AE2" w14:textId="77777777" w:rsidR="00E03C85" w:rsidRPr="00D55B59" w:rsidRDefault="00E03C85" w:rsidP="00077AFF">
      <w:pPr>
        <w:pStyle w:val="Default"/>
        <w:rPr>
          <w:sz w:val="22"/>
          <w:szCs w:val="22"/>
          <w:lang w:val="en-GB"/>
          <w:rPrChange w:id="4933" w:author="Author">
            <w:rPr>
              <w:sz w:val="22"/>
              <w:szCs w:val="22"/>
            </w:rPr>
          </w:rPrChange>
        </w:rPr>
      </w:pPr>
    </w:p>
    <w:p w14:paraId="02A42231" w14:textId="77777777" w:rsidR="00E03C85" w:rsidRPr="00D55B59" w:rsidRDefault="00E03C85" w:rsidP="00077AFF">
      <w:pPr>
        <w:pStyle w:val="Default"/>
        <w:rPr>
          <w:sz w:val="22"/>
          <w:szCs w:val="22"/>
          <w:lang w:val="en-GB"/>
          <w:rPrChange w:id="4934" w:author="Author">
            <w:rPr>
              <w:sz w:val="22"/>
              <w:szCs w:val="22"/>
            </w:rPr>
          </w:rPrChange>
        </w:rPr>
      </w:pPr>
      <w:r w:rsidRPr="00D55B59">
        <w:rPr>
          <w:sz w:val="22"/>
          <w:szCs w:val="22"/>
          <w:lang w:val="en-GB"/>
          <w:rPrChange w:id="4935" w:author="Author">
            <w:rPr>
              <w:sz w:val="22"/>
              <w:szCs w:val="22"/>
            </w:rPr>
          </w:rPrChange>
        </w:rPr>
        <w:t>Common (may affect up to 1 in 10 people)</w:t>
      </w:r>
    </w:p>
    <w:p w14:paraId="6DC06D37" w14:textId="77777777" w:rsidR="00E03C85" w:rsidRPr="00F04F82" w:rsidRDefault="00E03C85" w:rsidP="00B61D9D">
      <w:pPr>
        <w:numPr>
          <w:ilvl w:val="0"/>
          <w:numId w:val="22"/>
        </w:numPr>
        <w:spacing w:line="240" w:lineRule="auto"/>
        <w:ind w:left="567" w:hanging="567"/>
      </w:pPr>
      <w:r w:rsidRPr="00F04F82">
        <w:t xml:space="preserve">high blood measurements for white blood cells; </w:t>
      </w:r>
    </w:p>
    <w:p w14:paraId="0A2AD8C3" w14:textId="77777777" w:rsidR="00E03C85" w:rsidRPr="00F04F82" w:rsidRDefault="00E03C85" w:rsidP="00B61D9D">
      <w:pPr>
        <w:numPr>
          <w:ilvl w:val="0"/>
          <w:numId w:val="22"/>
        </w:numPr>
        <w:spacing w:line="240" w:lineRule="auto"/>
        <w:ind w:left="567" w:hanging="567"/>
      </w:pPr>
      <w:r w:rsidRPr="00F04F82">
        <w:t xml:space="preserve">low blood measurements for platelets; </w:t>
      </w:r>
    </w:p>
    <w:p w14:paraId="28CA6C1C" w14:textId="77777777" w:rsidR="00E03C85" w:rsidRPr="00F04F82" w:rsidRDefault="00E03C85" w:rsidP="00B61D9D">
      <w:pPr>
        <w:numPr>
          <w:ilvl w:val="0"/>
          <w:numId w:val="22"/>
        </w:numPr>
        <w:spacing w:line="240" w:lineRule="auto"/>
        <w:ind w:left="567" w:hanging="567"/>
      </w:pPr>
      <w:r w:rsidRPr="00F04F82">
        <w:t xml:space="preserve">increased uric acid in the blood; </w:t>
      </w:r>
    </w:p>
    <w:p w14:paraId="78A23BA5" w14:textId="77777777" w:rsidR="00E03C85" w:rsidRPr="00F04F82" w:rsidRDefault="00E03C85" w:rsidP="00B61D9D">
      <w:pPr>
        <w:numPr>
          <w:ilvl w:val="0"/>
          <w:numId w:val="22"/>
        </w:numPr>
        <w:spacing w:line="240" w:lineRule="auto"/>
        <w:ind w:left="567" w:hanging="567"/>
      </w:pPr>
      <w:r w:rsidRPr="00F04F82">
        <w:t xml:space="preserve">abnormal blood measurements for sodium; </w:t>
      </w:r>
    </w:p>
    <w:p w14:paraId="02D7221B" w14:textId="77777777" w:rsidR="00E03C85" w:rsidRPr="00F04F82" w:rsidRDefault="00E03C85" w:rsidP="00B61D9D">
      <w:pPr>
        <w:numPr>
          <w:ilvl w:val="0"/>
          <w:numId w:val="22"/>
        </w:numPr>
        <w:spacing w:line="240" w:lineRule="auto"/>
        <w:ind w:left="567" w:hanging="567"/>
      </w:pPr>
      <w:r w:rsidRPr="00F04F82">
        <w:t xml:space="preserve">low blood measurements for calcium; </w:t>
      </w:r>
    </w:p>
    <w:p w14:paraId="12440E59" w14:textId="77777777" w:rsidR="00E03C85" w:rsidRPr="00F04F82" w:rsidRDefault="00E03C85" w:rsidP="00B61D9D">
      <w:pPr>
        <w:numPr>
          <w:ilvl w:val="0"/>
          <w:numId w:val="22"/>
        </w:numPr>
        <w:spacing w:line="240" w:lineRule="auto"/>
        <w:ind w:left="567" w:hanging="567"/>
      </w:pPr>
      <w:r w:rsidRPr="00F04F82">
        <w:t xml:space="preserve">low blood measurements for phosphate; </w:t>
      </w:r>
    </w:p>
    <w:p w14:paraId="57E72A13" w14:textId="77777777" w:rsidR="00E03C85" w:rsidRPr="00F04F82" w:rsidRDefault="00E03C85" w:rsidP="00B61D9D">
      <w:pPr>
        <w:numPr>
          <w:ilvl w:val="0"/>
          <w:numId w:val="22"/>
        </w:numPr>
        <w:spacing w:line="240" w:lineRule="auto"/>
        <w:ind w:left="567" w:hanging="567"/>
      </w:pPr>
      <w:r w:rsidRPr="00F04F82">
        <w:t xml:space="preserve">high blood sugar; </w:t>
      </w:r>
    </w:p>
    <w:p w14:paraId="5A45FF28" w14:textId="77777777" w:rsidR="00E03C85" w:rsidRPr="00F04F82" w:rsidRDefault="00E03C85" w:rsidP="00B61D9D">
      <w:pPr>
        <w:numPr>
          <w:ilvl w:val="0"/>
          <w:numId w:val="22"/>
        </w:numPr>
        <w:spacing w:line="240" w:lineRule="auto"/>
        <w:ind w:left="567" w:hanging="567"/>
      </w:pPr>
      <w:r w:rsidRPr="00F04F82">
        <w:t xml:space="preserve">high blood measurements for lactate dehydrogenase; </w:t>
      </w:r>
    </w:p>
    <w:p w14:paraId="4A5A7CB8" w14:textId="77777777" w:rsidR="00E03C85" w:rsidRPr="00F04F82" w:rsidRDefault="00E03C85" w:rsidP="00B61D9D">
      <w:pPr>
        <w:numPr>
          <w:ilvl w:val="0"/>
          <w:numId w:val="22"/>
        </w:numPr>
        <w:spacing w:line="240" w:lineRule="auto"/>
        <w:ind w:left="567" w:hanging="567"/>
      </w:pPr>
      <w:r w:rsidRPr="00F04F82">
        <w:t xml:space="preserve">autoantibodies present in the blood; </w:t>
      </w:r>
    </w:p>
    <w:p w14:paraId="0C6F7ADC" w14:textId="77777777" w:rsidR="00E03C85" w:rsidRPr="00F04F82" w:rsidRDefault="00E03C85" w:rsidP="00D55B59">
      <w:pPr>
        <w:numPr>
          <w:ilvl w:val="0"/>
          <w:numId w:val="22"/>
        </w:numPr>
        <w:spacing w:line="240" w:lineRule="auto"/>
        <w:ind w:left="567" w:hanging="567"/>
        <w:pPrChange w:id="4936" w:author="Author">
          <w:pPr>
            <w:numPr>
              <w:numId w:val="22"/>
            </w:numPr>
            <w:tabs>
              <w:tab w:val="clear" w:pos="567"/>
            </w:tabs>
            <w:suppressAutoHyphens/>
            <w:spacing w:line="240" w:lineRule="auto"/>
            <w:ind w:left="567" w:hanging="567"/>
          </w:pPr>
        </w:pPrChange>
      </w:pPr>
      <w:r w:rsidRPr="00F04F82">
        <w:t>low blood potassium.</w:t>
      </w:r>
    </w:p>
    <w:p w14:paraId="2BC8FF7F" w14:textId="77777777" w:rsidR="00E03C85" w:rsidRPr="00D55B59" w:rsidRDefault="00E03C85" w:rsidP="00077AFF">
      <w:pPr>
        <w:pStyle w:val="Default"/>
        <w:rPr>
          <w:sz w:val="22"/>
          <w:szCs w:val="22"/>
          <w:lang w:val="en-GB"/>
          <w:rPrChange w:id="4937" w:author="Author">
            <w:rPr>
              <w:sz w:val="22"/>
              <w:szCs w:val="22"/>
            </w:rPr>
          </w:rPrChange>
        </w:rPr>
      </w:pPr>
    </w:p>
    <w:p w14:paraId="58FE801B" w14:textId="77777777" w:rsidR="00E03C85" w:rsidRPr="00F04F82" w:rsidRDefault="00E03C85" w:rsidP="00B61D9D">
      <w:pPr>
        <w:spacing w:line="240" w:lineRule="auto"/>
        <w:rPr>
          <w:szCs w:val="22"/>
        </w:rPr>
      </w:pPr>
      <w:r w:rsidRPr="00F04F82">
        <w:rPr>
          <w:szCs w:val="22"/>
        </w:rPr>
        <w:t>Uncommon (may affect up to 1 in 100 people)</w:t>
      </w:r>
    </w:p>
    <w:p w14:paraId="368564E6" w14:textId="77777777" w:rsidR="00E03C85" w:rsidRPr="00F04F82" w:rsidRDefault="00E03C85" w:rsidP="00077AFF">
      <w:pPr>
        <w:pStyle w:val="ListParagraph"/>
        <w:numPr>
          <w:ilvl w:val="0"/>
          <w:numId w:val="27"/>
        </w:numPr>
        <w:tabs>
          <w:tab w:val="left" w:pos="540"/>
        </w:tabs>
        <w:suppressAutoHyphens/>
        <w:ind w:hanging="720"/>
        <w:contextualSpacing w:val="0"/>
        <w:rPr>
          <w:sz w:val="22"/>
          <w:szCs w:val="22"/>
        </w:rPr>
      </w:pPr>
      <w:r w:rsidRPr="00F04F82">
        <w:rPr>
          <w:sz w:val="22"/>
          <w:szCs w:val="22"/>
        </w:rPr>
        <w:t>elevated bilirubin measurement (liver blood test).</w:t>
      </w:r>
    </w:p>
    <w:p w14:paraId="367CA445" w14:textId="77777777" w:rsidR="00E03C85" w:rsidRPr="00D55B59" w:rsidRDefault="00E03C85" w:rsidP="00077AFF">
      <w:pPr>
        <w:pStyle w:val="Default"/>
        <w:rPr>
          <w:sz w:val="22"/>
          <w:szCs w:val="22"/>
          <w:lang w:val="en-GB"/>
          <w:rPrChange w:id="4938" w:author="Author">
            <w:rPr>
              <w:sz w:val="22"/>
              <w:szCs w:val="22"/>
            </w:rPr>
          </w:rPrChange>
        </w:rPr>
      </w:pPr>
    </w:p>
    <w:p w14:paraId="66B6C74D" w14:textId="5BD7265B" w:rsidR="00E03C85" w:rsidRPr="00D55B59" w:rsidRDefault="00E03C85" w:rsidP="00077AFF">
      <w:pPr>
        <w:pStyle w:val="Default"/>
        <w:rPr>
          <w:sz w:val="22"/>
          <w:szCs w:val="22"/>
          <w:lang w:val="en-GB"/>
          <w:rPrChange w:id="4939" w:author="Author">
            <w:rPr>
              <w:sz w:val="22"/>
              <w:szCs w:val="22"/>
            </w:rPr>
          </w:rPrChange>
        </w:rPr>
      </w:pPr>
      <w:r w:rsidRPr="00D55B59">
        <w:rPr>
          <w:sz w:val="22"/>
          <w:szCs w:val="22"/>
          <w:lang w:val="en-GB"/>
          <w:rPrChange w:id="4940" w:author="Author">
            <w:rPr>
              <w:sz w:val="22"/>
              <w:szCs w:val="22"/>
            </w:rPr>
          </w:rPrChange>
        </w:rPr>
        <w:t>Rare (may affect up to 1 in 1</w:t>
      </w:r>
      <w:r w:rsidR="00E5298B" w:rsidRPr="00D55B59">
        <w:rPr>
          <w:sz w:val="22"/>
          <w:szCs w:val="22"/>
          <w:lang w:val="en-GB"/>
          <w:rPrChange w:id="4941" w:author="Author">
            <w:rPr>
              <w:sz w:val="22"/>
              <w:szCs w:val="22"/>
            </w:rPr>
          </w:rPrChange>
        </w:rPr>
        <w:t> </w:t>
      </w:r>
      <w:r w:rsidRPr="00D55B59">
        <w:rPr>
          <w:sz w:val="22"/>
          <w:szCs w:val="22"/>
          <w:lang w:val="en-GB"/>
          <w:rPrChange w:id="4942" w:author="Author">
            <w:rPr>
              <w:sz w:val="22"/>
              <w:szCs w:val="22"/>
            </w:rPr>
          </w:rPrChange>
        </w:rPr>
        <w:t>000 people)</w:t>
      </w:r>
    </w:p>
    <w:p w14:paraId="0D08C5D1" w14:textId="77777777" w:rsidR="00E03C85" w:rsidRPr="00F04F82" w:rsidRDefault="00E03C85" w:rsidP="00B61D9D">
      <w:pPr>
        <w:numPr>
          <w:ilvl w:val="0"/>
          <w:numId w:val="23"/>
        </w:numPr>
        <w:spacing w:line="240" w:lineRule="auto"/>
        <w:ind w:left="567" w:hanging="567"/>
      </w:pPr>
      <w:r w:rsidRPr="00F04F82">
        <w:t xml:space="preserve">low blood measurements for white blood cells, red blood cells and platelet count. </w:t>
      </w:r>
    </w:p>
    <w:p w14:paraId="2499AB89" w14:textId="77777777" w:rsidR="00E03C85" w:rsidRPr="00D55B59" w:rsidRDefault="00E03C85" w:rsidP="00077AFF">
      <w:pPr>
        <w:pStyle w:val="Default"/>
        <w:rPr>
          <w:sz w:val="22"/>
          <w:szCs w:val="22"/>
          <w:lang w:val="en-GB"/>
          <w:rPrChange w:id="4943" w:author="Author">
            <w:rPr>
              <w:sz w:val="22"/>
              <w:szCs w:val="22"/>
            </w:rPr>
          </w:rPrChange>
        </w:rPr>
      </w:pPr>
    </w:p>
    <w:p w14:paraId="36565A9F" w14:textId="11BD93ED" w:rsidR="00E03C85" w:rsidRPr="00F04F82" w:rsidRDefault="00E03C85" w:rsidP="00B61D9D">
      <w:pPr>
        <w:keepNext/>
        <w:numPr>
          <w:ilvl w:val="12"/>
          <w:numId w:val="0"/>
        </w:numPr>
        <w:spacing w:line="240" w:lineRule="auto"/>
        <w:outlineLvl w:val="0"/>
        <w:rPr>
          <w:b/>
          <w:szCs w:val="22"/>
          <w:lang w:eastAsia="zh-TW"/>
        </w:rPr>
      </w:pPr>
      <w:r w:rsidRPr="00F04F82">
        <w:rPr>
          <w:b/>
          <w:szCs w:val="22"/>
        </w:rPr>
        <w:t>Reporting of side effects</w:t>
      </w:r>
      <w:r w:rsidR="001C55FB" w:rsidRPr="00F04F82">
        <w:rPr>
          <w:b/>
          <w:szCs w:val="22"/>
        </w:rPr>
        <w:fldChar w:fldCharType="begin"/>
      </w:r>
      <w:r w:rsidR="001C55FB" w:rsidRPr="00F04F82">
        <w:rPr>
          <w:b/>
          <w:szCs w:val="22"/>
        </w:rPr>
        <w:instrText xml:space="preserve"> DOCVARIABLE vault_nd_8f2bdbb9-04c3-410c-ac67-e52c53b2f82b \* MERGEFORMAT </w:instrText>
      </w:r>
      <w:r w:rsidR="001C55FB" w:rsidRPr="00F04F82">
        <w:rPr>
          <w:b/>
          <w:szCs w:val="22"/>
        </w:rPr>
        <w:fldChar w:fldCharType="separate"/>
      </w:r>
      <w:r w:rsidR="001C55FB" w:rsidRPr="00F04F82">
        <w:rPr>
          <w:b/>
          <w:szCs w:val="22"/>
        </w:rPr>
        <w:t xml:space="preserve"> </w:t>
      </w:r>
      <w:r w:rsidR="001C55FB" w:rsidRPr="00F04F82">
        <w:rPr>
          <w:b/>
          <w:szCs w:val="22"/>
        </w:rPr>
        <w:fldChar w:fldCharType="end"/>
      </w:r>
    </w:p>
    <w:p w14:paraId="29DF53EA" w14:textId="77777777" w:rsidR="00E03C85" w:rsidRPr="00F04F82" w:rsidRDefault="00E03C85" w:rsidP="00B61D9D">
      <w:pPr>
        <w:keepNext/>
        <w:numPr>
          <w:ilvl w:val="12"/>
          <w:numId w:val="0"/>
        </w:numPr>
        <w:spacing w:line="240" w:lineRule="auto"/>
        <w:outlineLvl w:val="0"/>
        <w:rPr>
          <w:b/>
          <w:szCs w:val="22"/>
          <w:lang w:eastAsia="zh-TW"/>
        </w:rPr>
      </w:pPr>
    </w:p>
    <w:p w14:paraId="77A2FCCA" w14:textId="3B75B755" w:rsidR="00E03C85" w:rsidRPr="00F04F82" w:rsidRDefault="00E03C85" w:rsidP="00077AFF">
      <w:pPr>
        <w:pStyle w:val="BodytextAgency"/>
        <w:rPr>
          <w:sz w:val="22"/>
          <w:lang w:val="en-GB"/>
        </w:rPr>
      </w:pPr>
      <w:r w:rsidRPr="00F04F82">
        <w:rPr>
          <w:sz w:val="22"/>
          <w:szCs w:val="22"/>
          <w:lang w:val="en-GB"/>
        </w:rPr>
        <w:t>If you get any side effects, talk to your doctor or pharmacist. This includes any possible side effects not listed in this leaflet.</w:t>
      </w:r>
      <w:r w:rsidRPr="00F04F82">
        <w:rPr>
          <w:szCs w:val="22"/>
          <w:lang w:val="en-GB"/>
        </w:rPr>
        <w:t xml:space="preserve"> </w:t>
      </w:r>
      <w:r w:rsidRPr="00F04F82">
        <w:rPr>
          <w:sz w:val="22"/>
          <w:szCs w:val="22"/>
          <w:lang w:val="en-GB"/>
        </w:rPr>
        <w:t xml:space="preserve">You can also report side effects directly via </w:t>
      </w:r>
      <w:r>
        <w:rPr>
          <w:sz w:val="22"/>
          <w:szCs w:val="22"/>
          <w:highlight w:val="lightGray"/>
          <w:lang w:val="en-GB"/>
        </w:rPr>
        <w:t xml:space="preserve">the national reporting system listed in </w:t>
      </w:r>
      <w:r w:rsidRPr="00D55B59">
        <w:rPr>
          <w:lang w:val="en-GB"/>
          <w:rPrChange w:id="4944" w:author="Author">
            <w:rPr/>
          </w:rPrChange>
        </w:rPr>
        <w:fldChar w:fldCharType="begin"/>
      </w:r>
      <w:r w:rsidRPr="00D55B59">
        <w:rPr>
          <w:lang w:val="en-GB"/>
          <w:rPrChange w:id="4945" w:author="Author">
            <w:rPr/>
          </w:rPrChange>
        </w:rPr>
        <w:instrText>HYPERLINK "https://www.ema.europa.eu/documents/template-form/qrd-appendix-v-adverse-drug-reaction-reporting-details_en.docx"</w:instrText>
      </w:r>
      <w:r w:rsidRPr="0054063C">
        <w:rPr>
          <w:lang w:val="en-GB"/>
        </w:rPr>
      </w:r>
      <w:r w:rsidRPr="00D55B59">
        <w:rPr>
          <w:lang w:val="en-GB"/>
          <w:rPrChange w:id="4946" w:author="Author">
            <w:rPr/>
          </w:rPrChange>
        </w:rPr>
        <w:fldChar w:fldCharType="separate"/>
      </w:r>
      <w:r>
        <w:rPr>
          <w:rStyle w:val="Hyperlink"/>
          <w:sz w:val="22"/>
          <w:szCs w:val="22"/>
          <w:highlight w:val="lightGray"/>
          <w:lang w:val="en-GB"/>
        </w:rPr>
        <w:t>Appendix V</w:t>
      </w:r>
      <w:r w:rsidRPr="00D55B59">
        <w:rPr>
          <w:lang w:val="en-GB"/>
          <w:rPrChange w:id="4947" w:author="Author">
            <w:rPr/>
          </w:rPrChange>
        </w:rPr>
        <w:fldChar w:fldCharType="end"/>
      </w:r>
      <w:r w:rsidRPr="00F04F82">
        <w:rPr>
          <w:sz w:val="22"/>
          <w:lang w:val="en-GB"/>
        </w:rPr>
        <w:t>. By reporting side effects you can help provide more information on the safety of this medicine.</w:t>
      </w:r>
    </w:p>
    <w:p w14:paraId="42C8C7D8" w14:textId="77777777" w:rsidR="00E03C85" w:rsidRPr="00F04F82" w:rsidRDefault="00E03C85" w:rsidP="00B61D9D">
      <w:pPr>
        <w:autoSpaceDE w:val="0"/>
        <w:autoSpaceDN w:val="0"/>
        <w:adjustRightInd w:val="0"/>
        <w:spacing w:line="240" w:lineRule="auto"/>
        <w:rPr>
          <w:szCs w:val="22"/>
        </w:rPr>
      </w:pPr>
    </w:p>
    <w:p w14:paraId="2BA78A0E" w14:textId="77777777" w:rsidR="00E03C85" w:rsidRPr="00F04F82" w:rsidRDefault="00E03C85" w:rsidP="00B61D9D">
      <w:pPr>
        <w:autoSpaceDE w:val="0"/>
        <w:autoSpaceDN w:val="0"/>
        <w:adjustRightInd w:val="0"/>
        <w:spacing w:line="240" w:lineRule="auto"/>
        <w:rPr>
          <w:szCs w:val="22"/>
        </w:rPr>
      </w:pPr>
    </w:p>
    <w:p w14:paraId="5567F3BB" w14:textId="77777777" w:rsidR="00E03C85" w:rsidRPr="00F04F82" w:rsidRDefault="00E03C85" w:rsidP="00077AFF">
      <w:pPr>
        <w:keepNext/>
        <w:numPr>
          <w:ilvl w:val="12"/>
          <w:numId w:val="0"/>
        </w:numPr>
        <w:tabs>
          <w:tab w:val="clear" w:pos="567"/>
        </w:tabs>
        <w:spacing w:line="240" w:lineRule="auto"/>
        <w:ind w:left="567" w:right="-2" w:hanging="567"/>
        <w:rPr>
          <w:b/>
          <w:szCs w:val="22"/>
        </w:rPr>
      </w:pPr>
      <w:r w:rsidRPr="00F04F82">
        <w:rPr>
          <w:b/>
          <w:szCs w:val="22"/>
        </w:rPr>
        <w:t>5.</w:t>
      </w:r>
      <w:r w:rsidRPr="00F04F82">
        <w:rPr>
          <w:b/>
          <w:szCs w:val="22"/>
        </w:rPr>
        <w:tab/>
        <w:t>How to store AMGEVITA</w:t>
      </w:r>
    </w:p>
    <w:p w14:paraId="0FFE3310" w14:textId="77777777" w:rsidR="00E03C85" w:rsidRPr="00F04F82" w:rsidRDefault="00E03C85" w:rsidP="00077AFF">
      <w:pPr>
        <w:keepNext/>
        <w:numPr>
          <w:ilvl w:val="12"/>
          <w:numId w:val="0"/>
        </w:numPr>
        <w:tabs>
          <w:tab w:val="clear" w:pos="567"/>
        </w:tabs>
        <w:spacing w:line="240" w:lineRule="auto"/>
        <w:ind w:right="-2"/>
        <w:rPr>
          <w:szCs w:val="22"/>
        </w:rPr>
      </w:pPr>
    </w:p>
    <w:p w14:paraId="25F9B665" w14:textId="77777777" w:rsidR="00E03C85" w:rsidRPr="00F04F82" w:rsidRDefault="00E03C85" w:rsidP="00077AFF">
      <w:pPr>
        <w:keepNext/>
        <w:numPr>
          <w:ilvl w:val="12"/>
          <w:numId w:val="0"/>
        </w:numPr>
        <w:tabs>
          <w:tab w:val="clear" w:pos="567"/>
        </w:tabs>
        <w:spacing w:line="240" w:lineRule="auto"/>
        <w:ind w:right="-2"/>
        <w:rPr>
          <w:szCs w:val="22"/>
        </w:rPr>
      </w:pPr>
      <w:r w:rsidRPr="00F04F82">
        <w:rPr>
          <w:szCs w:val="22"/>
        </w:rPr>
        <w:t xml:space="preserve">Keep </w:t>
      </w:r>
      <w:r w:rsidRPr="00F04F82">
        <w:t xml:space="preserve">this medicine </w:t>
      </w:r>
      <w:r w:rsidRPr="00F04F82">
        <w:rPr>
          <w:szCs w:val="22"/>
        </w:rPr>
        <w:t>out of the sight and reach of children.</w:t>
      </w:r>
    </w:p>
    <w:p w14:paraId="77D70267" w14:textId="77777777" w:rsidR="00E03C85" w:rsidRPr="00F04F82" w:rsidRDefault="00E03C85" w:rsidP="00077AFF">
      <w:pPr>
        <w:keepNext/>
        <w:suppressLineNumbers/>
        <w:spacing w:line="240" w:lineRule="auto"/>
        <w:rPr>
          <w:color w:val="000000"/>
          <w:szCs w:val="22"/>
        </w:rPr>
      </w:pPr>
    </w:p>
    <w:p w14:paraId="0E840EB9" w14:textId="77777777" w:rsidR="00E03C85" w:rsidRPr="00F04F82" w:rsidRDefault="00E03C85" w:rsidP="00077AFF">
      <w:pPr>
        <w:numPr>
          <w:ilvl w:val="12"/>
          <w:numId w:val="0"/>
        </w:numPr>
        <w:tabs>
          <w:tab w:val="clear" w:pos="567"/>
        </w:tabs>
        <w:spacing w:line="240" w:lineRule="auto"/>
        <w:ind w:right="-2"/>
        <w:rPr>
          <w:szCs w:val="22"/>
        </w:rPr>
      </w:pPr>
      <w:r w:rsidRPr="00F04F82">
        <w:rPr>
          <w:szCs w:val="22"/>
        </w:rPr>
        <w:t>Do not use this medicine after the expiry date which is stated on the label and carton after EXP. The expiry date refers to the last day of that month.</w:t>
      </w:r>
    </w:p>
    <w:p w14:paraId="7B3598DC" w14:textId="77777777" w:rsidR="00E03C85" w:rsidRPr="00F04F82" w:rsidRDefault="00E03C85" w:rsidP="00077AFF">
      <w:pPr>
        <w:numPr>
          <w:ilvl w:val="12"/>
          <w:numId w:val="0"/>
        </w:numPr>
        <w:tabs>
          <w:tab w:val="clear" w:pos="567"/>
        </w:tabs>
        <w:spacing w:line="240" w:lineRule="auto"/>
        <w:ind w:right="-2"/>
        <w:rPr>
          <w:szCs w:val="22"/>
        </w:rPr>
      </w:pPr>
    </w:p>
    <w:p w14:paraId="52361EF7" w14:textId="77777777" w:rsidR="00E03C85" w:rsidRPr="00F04F82" w:rsidRDefault="00E03C85" w:rsidP="00077AFF">
      <w:pPr>
        <w:keepNext/>
        <w:suppressLineNumbers/>
        <w:spacing w:line="240" w:lineRule="auto"/>
        <w:rPr>
          <w:szCs w:val="22"/>
        </w:rPr>
      </w:pPr>
      <w:r w:rsidRPr="00F04F82">
        <w:rPr>
          <w:color w:val="000000"/>
          <w:szCs w:val="22"/>
        </w:rPr>
        <w:t>Store in a refrigerator (2</w:t>
      </w:r>
      <w:r w:rsidRPr="00F04F82">
        <w:rPr>
          <w:color w:val="000000"/>
          <w:szCs w:val="22"/>
        </w:rPr>
        <w:sym w:font="Symbol" w:char="F0B0"/>
      </w:r>
      <w:r w:rsidRPr="00F04F82">
        <w:rPr>
          <w:color w:val="000000"/>
          <w:szCs w:val="22"/>
        </w:rPr>
        <w:t>C – 8</w:t>
      </w:r>
      <w:r w:rsidRPr="00F04F82">
        <w:rPr>
          <w:color w:val="000000"/>
          <w:szCs w:val="22"/>
        </w:rPr>
        <w:sym w:font="Symbol" w:char="F0B0"/>
      </w:r>
      <w:r w:rsidRPr="00F04F82">
        <w:rPr>
          <w:color w:val="000000"/>
          <w:szCs w:val="22"/>
        </w:rPr>
        <w:t xml:space="preserve">C). Do not freeze. </w:t>
      </w:r>
    </w:p>
    <w:p w14:paraId="014ECB11" w14:textId="77777777" w:rsidR="00E03C85" w:rsidRPr="00F04F82" w:rsidRDefault="00E03C85" w:rsidP="00077AFF">
      <w:pPr>
        <w:numPr>
          <w:ilvl w:val="12"/>
          <w:numId w:val="0"/>
        </w:numPr>
        <w:tabs>
          <w:tab w:val="clear" w:pos="567"/>
        </w:tabs>
        <w:spacing w:line="240" w:lineRule="auto"/>
        <w:ind w:right="-2"/>
        <w:rPr>
          <w:color w:val="000000"/>
          <w:szCs w:val="22"/>
        </w:rPr>
      </w:pPr>
    </w:p>
    <w:p w14:paraId="46D0FCC7" w14:textId="77777777" w:rsidR="00E03C85" w:rsidRPr="00F04F82" w:rsidRDefault="00E03C85" w:rsidP="00077AFF">
      <w:pPr>
        <w:numPr>
          <w:ilvl w:val="12"/>
          <w:numId w:val="0"/>
        </w:numPr>
        <w:tabs>
          <w:tab w:val="clear" w:pos="567"/>
        </w:tabs>
        <w:spacing w:line="240" w:lineRule="auto"/>
        <w:ind w:right="-2"/>
        <w:rPr>
          <w:szCs w:val="22"/>
        </w:rPr>
      </w:pPr>
      <w:r w:rsidRPr="00F04F82">
        <w:rPr>
          <w:szCs w:val="22"/>
        </w:rPr>
        <w:t xml:space="preserve">Store in the original carton in order to protect from light. </w:t>
      </w:r>
    </w:p>
    <w:p w14:paraId="5A7E4193" w14:textId="77777777" w:rsidR="00E03C85" w:rsidRPr="00F04F82" w:rsidRDefault="00E03C85" w:rsidP="00077AFF">
      <w:pPr>
        <w:keepNext/>
        <w:suppressLineNumbers/>
        <w:spacing w:line="240" w:lineRule="auto"/>
        <w:rPr>
          <w:szCs w:val="22"/>
        </w:rPr>
      </w:pPr>
    </w:p>
    <w:p w14:paraId="38A67D31" w14:textId="77777777" w:rsidR="00E03C85" w:rsidRPr="00F04F82" w:rsidRDefault="00E03C85" w:rsidP="00077AFF">
      <w:pPr>
        <w:keepNext/>
        <w:suppressLineNumbers/>
        <w:spacing w:line="240" w:lineRule="auto"/>
        <w:rPr>
          <w:szCs w:val="22"/>
        </w:rPr>
      </w:pPr>
      <w:r w:rsidRPr="00F04F82">
        <w:rPr>
          <w:szCs w:val="22"/>
        </w:rPr>
        <w:t>A single AMGEVITA pre-filled pen may be stored at temperatures up to a maximum of 25°C for a period of up to 14 days. The pre-filled pen must be protected from light, and discarded if not used within the 14-day period.</w:t>
      </w:r>
    </w:p>
    <w:p w14:paraId="661DA401" w14:textId="77777777" w:rsidR="00E03C85" w:rsidRPr="00F04F82" w:rsidRDefault="00E03C85" w:rsidP="00077AFF">
      <w:pPr>
        <w:numPr>
          <w:ilvl w:val="12"/>
          <w:numId w:val="0"/>
        </w:numPr>
        <w:tabs>
          <w:tab w:val="clear" w:pos="567"/>
        </w:tabs>
        <w:spacing w:line="240" w:lineRule="auto"/>
        <w:ind w:right="-2"/>
        <w:rPr>
          <w:szCs w:val="22"/>
        </w:rPr>
      </w:pPr>
    </w:p>
    <w:p w14:paraId="1A29A716" w14:textId="77777777" w:rsidR="00E03C85" w:rsidRPr="00F04F82" w:rsidRDefault="00E03C85" w:rsidP="00077AFF">
      <w:pPr>
        <w:spacing w:line="240" w:lineRule="auto"/>
        <w:rPr>
          <w:i/>
          <w:iCs/>
          <w:szCs w:val="22"/>
        </w:rPr>
      </w:pPr>
      <w:r w:rsidRPr="00F04F82">
        <w:rPr>
          <w:szCs w:val="22"/>
        </w:rPr>
        <w:t xml:space="preserve">Do not </w:t>
      </w:r>
      <w:r w:rsidRPr="00F04F82">
        <w:t xml:space="preserve">throw away any medicines </w:t>
      </w:r>
      <w:r w:rsidRPr="00F04F82">
        <w:rPr>
          <w:szCs w:val="22"/>
        </w:rPr>
        <w:t xml:space="preserve">via wastewater or household waste. Ask your pharmacist how to </w:t>
      </w:r>
      <w:r w:rsidRPr="00F04F82">
        <w:t xml:space="preserve">throw away </w:t>
      </w:r>
      <w:r w:rsidRPr="00F04F82">
        <w:rPr>
          <w:szCs w:val="22"/>
        </w:rPr>
        <w:t xml:space="preserve">medicines you no longer use. These measures will help protect the environment. </w:t>
      </w:r>
    </w:p>
    <w:p w14:paraId="4AFBBFF9" w14:textId="77777777" w:rsidR="00E03C85" w:rsidRPr="00F04F82" w:rsidRDefault="00E03C85" w:rsidP="00077AFF">
      <w:pPr>
        <w:numPr>
          <w:ilvl w:val="12"/>
          <w:numId w:val="0"/>
        </w:numPr>
        <w:tabs>
          <w:tab w:val="clear" w:pos="567"/>
        </w:tabs>
        <w:spacing w:line="240" w:lineRule="auto"/>
        <w:ind w:right="-2"/>
        <w:rPr>
          <w:szCs w:val="22"/>
        </w:rPr>
      </w:pPr>
    </w:p>
    <w:p w14:paraId="37008A26" w14:textId="77777777" w:rsidR="00E03C85" w:rsidRPr="00F04F82" w:rsidRDefault="00E03C85" w:rsidP="00077AFF">
      <w:pPr>
        <w:numPr>
          <w:ilvl w:val="12"/>
          <w:numId w:val="0"/>
        </w:numPr>
        <w:tabs>
          <w:tab w:val="clear" w:pos="567"/>
        </w:tabs>
        <w:spacing w:line="240" w:lineRule="auto"/>
        <w:ind w:right="-2"/>
        <w:rPr>
          <w:szCs w:val="22"/>
        </w:rPr>
      </w:pPr>
    </w:p>
    <w:p w14:paraId="2AC0B3B7" w14:textId="77777777" w:rsidR="00E03C85" w:rsidRPr="00F04F82" w:rsidRDefault="00E03C85" w:rsidP="00077AFF">
      <w:pPr>
        <w:keepNext/>
        <w:numPr>
          <w:ilvl w:val="12"/>
          <w:numId w:val="0"/>
        </w:numPr>
        <w:spacing w:line="240" w:lineRule="auto"/>
        <w:ind w:right="-2"/>
        <w:rPr>
          <w:b/>
        </w:rPr>
      </w:pPr>
      <w:r w:rsidRPr="00F04F82">
        <w:rPr>
          <w:b/>
        </w:rPr>
        <w:t>6.</w:t>
      </w:r>
      <w:r w:rsidRPr="00F04F82">
        <w:rPr>
          <w:b/>
        </w:rPr>
        <w:tab/>
        <w:t>Contents of the pack and other information</w:t>
      </w:r>
    </w:p>
    <w:p w14:paraId="3DBB3A23" w14:textId="77777777" w:rsidR="00E03C85" w:rsidRPr="00F04F82" w:rsidRDefault="00E03C85" w:rsidP="00077AFF">
      <w:pPr>
        <w:keepNext/>
        <w:numPr>
          <w:ilvl w:val="12"/>
          <w:numId w:val="0"/>
        </w:numPr>
        <w:tabs>
          <w:tab w:val="clear" w:pos="567"/>
        </w:tabs>
        <w:spacing w:line="240" w:lineRule="auto"/>
      </w:pPr>
    </w:p>
    <w:p w14:paraId="52B23591" w14:textId="77777777" w:rsidR="00E03C85" w:rsidRPr="00F04F82" w:rsidRDefault="00E03C85" w:rsidP="00077AFF">
      <w:pPr>
        <w:keepNext/>
        <w:numPr>
          <w:ilvl w:val="12"/>
          <w:numId w:val="0"/>
        </w:numPr>
        <w:tabs>
          <w:tab w:val="clear" w:pos="567"/>
        </w:tabs>
        <w:spacing w:line="240" w:lineRule="auto"/>
        <w:ind w:right="-2"/>
        <w:rPr>
          <w:b/>
        </w:rPr>
      </w:pPr>
      <w:r w:rsidRPr="00F04F82">
        <w:rPr>
          <w:b/>
        </w:rPr>
        <w:t xml:space="preserve">What </w:t>
      </w:r>
      <w:r w:rsidRPr="00F04F82">
        <w:rPr>
          <w:b/>
          <w:szCs w:val="22"/>
        </w:rPr>
        <w:t>AMGEVITA</w:t>
      </w:r>
      <w:r w:rsidRPr="00F04F82">
        <w:rPr>
          <w:b/>
        </w:rPr>
        <w:t xml:space="preserve"> contains </w:t>
      </w:r>
    </w:p>
    <w:p w14:paraId="19BDE840" w14:textId="1CF8AF46" w:rsidR="00E03C85" w:rsidRPr="00F04F82" w:rsidRDefault="00E03C85" w:rsidP="00077AFF">
      <w:pPr>
        <w:keepNext/>
        <w:numPr>
          <w:ilvl w:val="0"/>
          <w:numId w:val="4"/>
        </w:numPr>
        <w:tabs>
          <w:tab w:val="clear" w:pos="567"/>
        </w:tabs>
        <w:spacing w:line="240" w:lineRule="auto"/>
        <w:ind w:left="567" w:right="-2" w:hanging="567"/>
        <w:rPr>
          <w:i/>
          <w:iCs/>
          <w:szCs w:val="22"/>
        </w:rPr>
      </w:pPr>
      <w:r w:rsidRPr="00F04F82">
        <w:t xml:space="preserve">The active substance is </w:t>
      </w:r>
      <w:r w:rsidRPr="00F04F82">
        <w:rPr>
          <w:szCs w:val="22"/>
        </w:rPr>
        <w:t>adalimumab. Each pre-filled pen contains 40 mg of adalimumab in 0.4 mL of solution</w:t>
      </w:r>
      <w:r w:rsidR="0064003F" w:rsidRPr="00F04F82">
        <w:rPr>
          <w:szCs w:val="22"/>
        </w:rPr>
        <w:t>.</w:t>
      </w:r>
    </w:p>
    <w:p w14:paraId="25839A4C" w14:textId="77777777" w:rsidR="00E03C85" w:rsidRPr="00F04F82" w:rsidRDefault="00E03C85" w:rsidP="00077AFF">
      <w:pPr>
        <w:numPr>
          <w:ilvl w:val="0"/>
          <w:numId w:val="4"/>
        </w:numPr>
        <w:tabs>
          <w:tab w:val="clear" w:pos="567"/>
        </w:tabs>
        <w:spacing w:line="240" w:lineRule="auto"/>
        <w:ind w:left="567" w:hanging="567"/>
        <w:rPr>
          <w:szCs w:val="22"/>
        </w:rPr>
      </w:pPr>
      <w:r w:rsidRPr="00F04F82">
        <w:rPr>
          <w:szCs w:val="22"/>
        </w:rPr>
        <w:t xml:space="preserve">The other ingredients are L-lactic acid, sucrose, polysorbate 80, </w:t>
      </w:r>
      <w:r w:rsidRPr="00F04F82">
        <w:rPr>
          <w:szCs w:val="22"/>
          <w:lang w:eastAsia="en-GB"/>
        </w:rPr>
        <w:t xml:space="preserve">sodium hydroxide </w:t>
      </w:r>
      <w:r w:rsidRPr="00F04F82">
        <w:rPr>
          <w:szCs w:val="22"/>
        </w:rPr>
        <w:t>and water for injections.</w:t>
      </w:r>
    </w:p>
    <w:p w14:paraId="44C30E2E" w14:textId="77777777" w:rsidR="00E03C85" w:rsidRPr="00F04F82" w:rsidRDefault="00E03C85" w:rsidP="00077AFF">
      <w:pPr>
        <w:tabs>
          <w:tab w:val="clear" w:pos="567"/>
        </w:tabs>
        <w:spacing w:line="240" w:lineRule="auto"/>
        <w:rPr>
          <w:szCs w:val="22"/>
        </w:rPr>
      </w:pPr>
    </w:p>
    <w:p w14:paraId="0A03D9E0" w14:textId="77777777" w:rsidR="00E03C85" w:rsidRPr="00F04F82" w:rsidRDefault="00E03C85" w:rsidP="00077AFF">
      <w:pPr>
        <w:keepNext/>
        <w:numPr>
          <w:ilvl w:val="12"/>
          <w:numId w:val="0"/>
        </w:numPr>
        <w:tabs>
          <w:tab w:val="clear" w:pos="567"/>
        </w:tabs>
        <w:spacing w:line="240" w:lineRule="auto"/>
        <w:ind w:right="-2"/>
        <w:rPr>
          <w:b/>
        </w:rPr>
      </w:pPr>
      <w:r w:rsidRPr="00F04F82">
        <w:rPr>
          <w:b/>
        </w:rPr>
        <w:t xml:space="preserve">What </w:t>
      </w:r>
      <w:r w:rsidRPr="00F04F82">
        <w:rPr>
          <w:b/>
          <w:szCs w:val="22"/>
        </w:rPr>
        <w:t>AMGEVITA</w:t>
      </w:r>
      <w:r w:rsidRPr="00F04F82">
        <w:rPr>
          <w:b/>
        </w:rPr>
        <w:t xml:space="preserve"> looks like and contents of the pack</w:t>
      </w:r>
    </w:p>
    <w:p w14:paraId="50CA0DB6" w14:textId="77777777" w:rsidR="00E03C85" w:rsidRPr="00F04F82" w:rsidRDefault="00E03C85" w:rsidP="00077AFF">
      <w:pPr>
        <w:keepNext/>
        <w:numPr>
          <w:ilvl w:val="12"/>
          <w:numId w:val="0"/>
        </w:numPr>
        <w:tabs>
          <w:tab w:val="clear" w:pos="567"/>
        </w:tabs>
        <w:spacing w:line="240" w:lineRule="auto"/>
        <w:rPr>
          <w:szCs w:val="22"/>
        </w:rPr>
      </w:pPr>
    </w:p>
    <w:p w14:paraId="727CE6D1" w14:textId="77777777" w:rsidR="00E03C85" w:rsidRPr="00F04F82" w:rsidRDefault="00E03C85" w:rsidP="00077AFF">
      <w:pPr>
        <w:keepNext/>
        <w:tabs>
          <w:tab w:val="clear" w:pos="567"/>
        </w:tabs>
        <w:autoSpaceDE w:val="0"/>
        <w:autoSpaceDN w:val="0"/>
        <w:adjustRightInd w:val="0"/>
        <w:spacing w:line="240" w:lineRule="auto"/>
        <w:rPr>
          <w:szCs w:val="22"/>
        </w:rPr>
      </w:pPr>
      <w:r w:rsidRPr="00F04F82">
        <w:rPr>
          <w:szCs w:val="22"/>
        </w:rPr>
        <w:t xml:space="preserve">AMGEVITA is a clear </w:t>
      </w:r>
      <w:r w:rsidRPr="00F04F82">
        <w:rPr>
          <w:rFonts w:eastAsia="Calibri"/>
          <w:bCs/>
          <w:szCs w:val="22"/>
        </w:rPr>
        <w:t>and colourless to slightly yellow</w:t>
      </w:r>
      <w:r w:rsidRPr="00F04F82">
        <w:rPr>
          <w:szCs w:val="22"/>
        </w:rPr>
        <w:t xml:space="preserve"> solution.</w:t>
      </w:r>
    </w:p>
    <w:p w14:paraId="3CAFC8C0" w14:textId="77777777" w:rsidR="00E03C85" w:rsidRPr="00F04F82" w:rsidRDefault="00E03C85" w:rsidP="00077AFF">
      <w:pPr>
        <w:keepNext/>
        <w:tabs>
          <w:tab w:val="clear" w:pos="567"/>
        </w:tabs>
        <w:autoSpaceDE w:val="0"/>
        <w:autoSpaceDN w:val="0"/>
        <w:adjustRightInd w:val="0"/>
        <w:spacing w:line="240" w:lineRule="auto"/>
        <w:rPr>
          <w:szCs w:val="22"/>
        </w:rPr>
      </w:pPr>
    </w:p>
    <w:p w14:paraId="3EB54C16" w14:textId="77777777" w:rsidR="00E03C85" w:rsidRPr="00F04F82" w:rsidRDefault="00E03C85" w:rsidP="00077AFF">
      <w:pPr>
        <w:tabs>
          <w:tab w:val="clear" w:pos="567"/>
        </w:tabs>
        <w:autoSpaceDE w:val="0"/>
        <w:autoSpaceDN w:val="0"/>
        <w:adjustRightInd w:val="0"/>
        <w:spacing w:line="240" w:lineRule="auto"/>
        <w:rPr>
          <w:szCs w:val="22"/>
          <w:highlight w:val="yellow"/>
        </w:rPr>
      </w:pPr>
      <w:r w:rsidRPr="00F04F82">
        <w:rPr>
          <w:szCs w:val="22"/>
        </w:rPr>
        <w:t xml:space="preserve">Each pack contains 1, 2, or 6 single use 40 mg SureClick pre-filled pens. </w:t>
      </w:r>
    </w:p>
    <w:p w14:paraId="1D2E0EE0" w14:textId="77777777" w:rsidR="00E03C85" w:rsidRPr="00F04F82" w:rsidRDefault="00E03C85" w:rsidP="00077AFF">
      <w:pPr>
        <w:numPr>
          <w:ilvl w:val="12"/>
          <w:numId w:val="0"/>
        </w:numPr>
        <w:tabs>
          <w:tab w:val="clear" w:pos="567"/>
        </w:tabs>
        <w:spacing w:line="240" w:lineRule="auto"/>
        <w:rPr>
          <w:szCs w:val="22"/>
          <w:highlight w:val="yellow"/>
        </w:rPr>
      </w:pPr>
    </w:p>
    <w:p w14:paraId="0AFD65B8" w14:textId="77777777" w:rsidR="00E03C85" w:rsidRPr="00D55B59" w:rsidRDefault="00E03C85" w:rsidP="00077AFF">
      <w:pPr>
        <w:pStyle w:val="lbltxt"/>
        <w:keepNext/>
        <w:keepLines/>
        <w:rPr>
          <w:noProof w:val="0"/>
          <w:lang w:val="en-GB"/>
          <w:rPrChange w:id="4948" w:author="Author">
            <w:rPr>
              <w:noProof w:val="0"/>
            </w:rPr>
          </w:rPrChange>
        </w:rPr>
      </w:pPr>
      <w:r w:rsidRPr="00D55B59">
        <w:rPr>
          <w:b/>
          <w:bCs/>
          <w:noProof w:val="0"/>
          <w:lang w:val="en-GB"/>
          <w:rPrChange w:id="4949" w:author="Author">
            <w:rPr>
              <w:b/>
              <w:bCs/>
              <w:noProof w:val="0"/>
            </w:rPr>
          </w:rPrChange>
        </w:rPr>
        <w:t>Marketing Authorisation Holder and Manufacturer</w:t>
      </w:r>
    </w:p>
    <w:p w14:paraId="3633FC1E" w14:textId="77777777" w:rsidR="00E03C85" w:rsidRPr="00D55B59" w:rsidRDefault="00E03C85" w:rsidP="00077AFF">
      <w:pPr>
        <w:pStyle w:val="lbltxt"/>
        <w:keepNext/>
        <w:keepLines/>
        <w:rPr>
          <w:noProof w:val="0"/>
          <w:lang w:val="en-GB"/>
          <w:rPrChange w:id="4950" w:author="Author">
            <w:rPr>
              <w:noProof w:val="0"/>
            </w:rPr>
          </w:rPrChange>
        </w:rPr>
      </w:pPr>
      <w:r w:rsidRPr="00D55B59">
        <w:rPr>
          <w:noProof w:val="0"/>
          <w:lang w:val="en-GB"/>
          <w:rPrChange w:id="4951" w:author="Author">
            <w:rPr>
              <w:noProof w:val="0"/>
            </w:rPr>
          </w:rPrChange>
        </w:rPr>
        <w:t xml:space="preserve">Amgen Europe B.V. </w:t>
      </w:r>
      <w:r w:rsidRPr="00D55B59">
        <w:rPr>
          <w:noProof w:val="0"/>
          <w:lang w:val="en-GB"/>
          <w:rPrChange w:id="4952" w:author="Author">
            <w:rPr>
              <w:noProof w:val="0"/>
            </w:rPr>
          </w:rPrChange>
        </w:rPr>
        <w:br/>
        <w:t xml:space="preserve">Minervum 7061 </w:t>
      </w:r>
      <w:r w:rsidRPr="00D55B59">
        <w:rPr>
          <w:noProof w:val="0"/>
          <w:lang w:val="en-GB"/>
          <w:rPrChange w:id="4953" w:author="Author">
            <w:rPr>
              <w:noProof w:val="0"/>
            </w:rPr>
          </w:rPrChange>
        </w:rPr>
        <w:br/>
        <w:t xml:space="preserve">4817 ZK Breda </w:t>
      </w:r>
      <w:r w:rsidRPr="00D55B59">
        <w:rPr>
          <w:noProof w:val="0"/>
          <w:lang w:val="en-GB"/>
          <w:rPrChange w:id="4954" w:author="Author">
            <w:rPr>
              <w:noProof w:val="0"/>
            </w:rPr>
          </w:rPrChange>
        </w:rPr>
        <w:br/>
        <w:t>The Netherlands</w:t>
      </w:r>
    </w:p>
    <w:p w14:paraId="035BCE30" w14:textId="77777777" w:rsidR="00E03C85" w:rsidRPr="00D55B59" w:rsidRDefault="00E03C85" w:rsidP="00077AFF">
      <w:pPr>
        <w:pStyle w:val="lbltxt"/>
        <w:keepNext/>
        <w:rPr>
          <w:noProof w:val="0"/>
          <w:lang w:val="en-GB"/>
          <w:rPrChange w:id="4955" w:author="Author">
            <w:rPr>
              <w:noProof w:val="0"/>
            </w:rPr>
          </w:rPrChange>
        </w:rPr>
      </w:pPr>
    </w:p>
    <w:p w14:paraId="7401BF42" w14:textId="77777777" w:rsidR="00E03C85" w:rsidRPr="00D55B59" w:rsidRDefault="00E03C85" w:rsidP="00077AFF">
      <w:pPr>
        <w:pStyle w:val="lbltxt"/>
        <w:keepNext/>
        <w:keepLines/>
        <w:rPr>
          <w:b/>
          <w:bCs/>
          <w:noProof w:val="0"/>
          <w:highlight w:val="lightGray"/>
          <w:lang w:val="en-GB"/>
          <w:rPrChange w:id="4956" w:author="Author">
            <w:rPr>
              <w:b/>
              <w:bCs/>
              <w:noProof w:val="0"/>
              <w:highlight w:val="lightGray"/>
            </w:rPr>
          </w:rPrChange>
        </w:rPr>
      </w:pPr>
      <w:r w:rsidRPr="00D55B59">
        <w:rPr>
          <w:b/>
          <w:bCs/>
          <w:noProof w:val="0"/>
          <w:highlight w:val="lightGray"/>
          <w:lang w:val="en-GB"/>
          <w:rPrChange w:id="4957" w:author="Author">
            <w:rPr>
              <w:b/>
              <w:bCs/>
              <w:noProof w:val="0"/>
              <w:highlight w:val="lightGray"/>
            </w:rPr>
          </w:rPrChange>
        </w:rPr>
        <w:t>Marketing Authorisation Holder</w:t>
      </w:r>
    </w:p>
    <w:p w14:paraId="02132D2F" w14:textId="77777777" w:rsidR="00E03C85" w:rsidRPr="00D55B59" w:rsidRDefault="00E03C85" w:rsidP="00077AFF">
      <w:pPr>
        <w:pStyle w:val="lbltxt"/>
        <w:keepNext/>
        <w:keepLines/>
        <w:rPr>
          <w:noProof w:val="0"/>
          <w:highlight w:val="lightGray"/>
          <w:lang w:val="en-GB"/>
          <w:rPrChange w:id="4958" w:author="Author">
            <w:rPr>
              <w:noProof w:val="0"/>
              <w:highlight w:val="lightGray"/>
            </w:rPr>
          </w:rPrChange>
        </w:rPr>
      </w:pPr>
      <w:r w:rsidRPr="00D55B59">
        <w:rPr>
          <w:noProof w:val="0"/>
          <w:highlight w:val="lightGray"/>
          <w:lang w:val="en-GB"/>
          <w:rPrChange w:id="4959" w:author="Author">
            <w:rPr>
              <w:noProof w:val="0"/>
              <w:highlight w:val="lightGray"/>
            </w:rPr>
          </w:rPrChange>
        </w:rPr>
        <w:t xml:space="preserve">Amgen Europe B.V. </w:t>
      </w:r>
      <w:r w:rsidRPr="00D55B59">
        <w:rPr>
          <w:noProof w:val="0"/>
          <w:highlight w:val="lightGray"/>
          <w:lang w:val="en-GB"/>
          <w:rPrChange w:id="4960" w:author="Author">
            <w:rPr>
              <w:noProof w:val="0"/>
              <w:highlight w:val="lightGray"/>
            </w:rPr>
          </w:rPrChange>
        </w:rPr>
        <w:br/>
        <w:t xml:space="preserve">Minervum 7061 </w:t>
      </w:r>
      <w:r w:rsidRPr="00D55B59">
        <w:rPr>
          <w:noProof w:val="0"/>
          <w:highlight w:val="lightGray"/>
          <w:lang w:val="en-GB"/>
          <w:rPrChange w:id="4961" w:author="Author">
            <w:rPr>
              <w:noProof w:val="0"/>
              <w:highlight w:val="lightGray"/>
            </w:rPr>
          </w:rPrChange>
        </w:rPr>
        <w:br/>
        <w:t xml:space="preserve">4817 ZK Breda </w:t>
      </w:r>
      <w:r w:rsidRPr="00D55B59">
        <w:rPr>
          <w:noProof w:val="0"/>
          <w:highlight w:val="lightGray"/>
          <w:lang w:val="en-GB"/>
          <w:rPrChange w:id="4962" w:author="Author">
            <w:rPr>
              <w:noProof w:val="0"/>
              <w:highlight w:val="lightGray"/>
            </w:rPr>
          </w:rPrChange>
        </w:rPr>
        <w:br/>
        <w:t>The Netherlands</w:t>
      </w:r>
    </w:p>
    <w:p w14:paraId="34B90E43" w14:textId="77777777" w:rsidR="00E03C85" w:rsidRPr="00D55B59" w:rsidRDefault="00E03C85" w:rsidP="00077AFF">
      <w:pPr>
        <w:pStyle w:val="lbltxt"/>
        <w:rPr>
          <w:noProof w:val="0"/>
          <w:highlight w:val="lightGray"/>
          <w:lang w:val="en-GB"/>
          <w:rPrChange w:id="4963" w:author="Author">
            <w:rPr>
              <w:noProof w:val="0"/>
              <w:highlight w:val="lightGray"/>
            </w:rPr>
          </w:rPrChange>
        </w:rPr>
      </w:pPr>
    </w:p>
    <w:p w14:paraId="3A64DDEF" w14:textId="77777777" w:rsidR="00E03C85" w:rsidRPr="00D55B59" w:rsidRDefault="00E03C85" w:rsidP="00077AFF">
      <w:pPr>
        <w:pStyle w:val="lbltxt"/>
        <w:keepNext/>
        <w:rPr>
          <w:b/>
          <w:noProof w:val="0"/>
          <w:highlight w:val="lightGray"/>
          <w:lang w:val="en-GB"/>
          <w:rPrChange w:id="4964" w:author="Author">
            <w:rPr>
              <w:b/>
              <w:noProof w:val="0"/>
              <w:highlight w:val="lightGray"/>
            </w:rPr>
          </w:rPrChange>
        </w:rPr>
      </w:pPr>
      <w:r w:rsidRPr="00D55B59">
        <w:rPr>
          <w:b/>
          <w:noProof w:val="0"/>
          <w:highlight w:val="lightGray"/>
          <w:lang w:val="en-GB"/>
          <w:rPrChange w:id="4965" w:author="Author">
            <w:rPr>
              <w:b/>
              <w:noProof w:val="0"/>
              <w:highlight w:val="lightGray"/>
            </w:rPr>
          </w:rPrChange>
        </w:rPr>
        <w:t>Manufacturer</w:t>
      </w:r>
    </w:p>
    <w:p w14:paraId="4AA2F024" w14:textId="77777777" w:rsidR="00E03C85" w:rsidRPr="00D55B59" w:rsidRDefault="00E03C85" w:rsidP="00077AFF">
      <w:pPr>
        <w:pStyle w:val="lbltxt"/>
        <w:keepNext/>
        <w:rPr>
          <w:noProof w:val="0"/>
          <w:highlight w:val="lightGray"/>
          <w:lang w:val="en-GB"/>
          <w:rPrChange w:id="4966" w:author="Author">
            <w:rPr>
              <w:noProof w:val="0"/>
              <w:highlight w:val="lightGray"/>
            </w:rPr>
          </w:rPrChange>
        </w:rPr>
      </w:pPr>
      <w:r w:rsidRPr="00D55B59">
        <w:rPr>
          <w:noProof w:val="0"/>
          <w:highlight w:val="lightGray"/>
          <w:lang w:val="en-GB"/>
          <w:rPrChange w:id="4967" w:author="Author">
            <w:rPr>
              <w:noProof w:val="0"/>
              <w:highlight w:val="lightGray"/>
            </w:rPr>
          </w:rPrChange>
        </w:rPr>
        <w:t xml:space="preserve">Amgen Technology Ireland UC </w:t>
      </w:r>
    </w:p>
    <w:p w14:paraId="67E37881" w14:textId="77777777" w:rsidR="00E03C85" w:rsidRPr="00D55B59" w:rsidRDefault="00E03C85" w:rsidP="00077AFF">
      <w:pPr>
        <w:pStyle w:val="lbltxt"/>
        <w:keepNext/>
        <w:rPr>
          <w:noProof w:val="0"/>
          <w:highlight w:val="lightGray"/>
          <w:lang w:val="en-GB"/>
          <w:rPrChange w:id="4968" w:author="Author">
            <w:rPr>
              <w:noProof w:val="0"/>
              <w:highlight w:val="lightGray"/>
            </w:rPr>
          </w:rPrChange>
        </w:rPr>
      </w:pPr>
      <w:r w:rsidRPr="00D55B59">
        <w:rPr>
          <w:noProof w:val="0"/>
          <w:highlight w:val="lightGray"/>
          <w:lang w:val="en-GB"/>
          <w:rPrChange w:id="4969" w:author="Author">
            <w:rPr>
              <w:noProof w:val="0"/>
              <w:highlight w:val="lightGray"/>
            </w:rPr>
          </w:rPrChange>
        </w:rPr>
        <w:t>Pottery Road</w:t>
      </w:r>
    </w:p>
    <w:p w14:paraId="1C92EE7E" w14:textId="77777777" w:rsidR="00E03C85" w:rsidRPr="00D55B59" w:rsidRDefault="00E03C85" w:rsidP="00077AFF">
      <w:pPr>
        <w:pStyle w:val="lbltxt"/>
        <w:rPr>
          <w:noProof w:val="0"/>
          <w:highlight w:val="lightGray"/>
          <w:lang w:val="en-GB"/>
          <w:rPrChange w:id="4970" w:author="Author">
            <w:rPr>
              <w:noProof w:val="0"/>
              <w:highlight w:val="lightGray"/>
            </w:rPr>
          </w:rPrChange>
        </w:rPr>
      </w:pPr>
      <w:r w:rsidRPr="00D55B59">
        <w:rPr>
          <w:noProof w:val="0"/>
          <w:highlight w:val="lightGray"/>
          <w:lang w:val="en-GB"/>
          <w:rPrChange w:id="4971" w:author="Author">
            <w:rPr>
              <w:noProof w:val="0"/>
              <w:highlight w:val="lightGray"/>
            </w:rPr>
          </w:rPrChange>
        </w:rPr>
        <w:t>Dun Laoghaire</w:t>
      </w:r>
    </w:p>
    <w:p w14:paraId="4BD41464" w14:textId="77777777" w:rsidR="00E03C85" w:rsidRPr="00D55B59" w:rsidRDefault="00E03C85" w:rsidP="00077AFF">
      <w:pPr>
        <w:pStyle w:val="lbltxt"/>
        <w:rPr>
          <w:noProof w:val="0"/>
          <w:highlight w:val="lightGray"/>
          <w:lang w:val="en-GB"/>
          <w:rPrChange w:id="4972" w:author="Author">
            <w:rPr>
              <w:noProof w:val="0"/>
              <w:highlight w:val="lightGray"/>
            </w:rPr>
          </w:rPrChange>
        </w:rPr>
      </w:pPr>
      <w:r w:rsidRPr="00D55B59">
        <w:rPr>
          <w:noProof w:val="0"/>
          <w:highlight w:val="lightGray"/>
          <w:lang w:val="en-GB"/>
          <w:rPrChange w:id="4973" w:author="Author">
            <w:rPr>
              <w:noProof w:val="0"/>
              <w:highlight w:val="lightGray"/>
            </w:rPr>
          </w:rPrChange>
        </w:rPr>
        <w:t>Co Dublin</w:t>
      </w:r>
    </w:p>
    <w:p w14:paraId="221F1825" w14:textId="77777777" w:rsidR="00E03C85" w:rsidRPr="00D55B59" w:rsidRDefault="00E03C85" w:rsidP="00077AFF">
      <w:pPr>
        <w:pStyle w:val="lbltxt"/>
        <w:rPr>
          <w:noProof w:val="0"/>
          <w:lang w:val="en-GB"/>
          <w:rPrChange w:id="4974" w:author="Author">
            <w:rPr>
              <w:noProof w:val="0"/>
            </w:rPr>
          </w:rPrChange>
        </w:rPr>
      </w:pPr>
      <w:r w:rsidRPr="00D55B59">
        <w:rPr>
          <w:noProof w:val="0"/>
          <w:highlight w:val="lightGray"/>
          <w:lang w:val="en-GB"/>
          <w:rPrChange w:id="4975" w:author="Author">
            <w:rPr>
              <w:noProof w:val="0"/>
              <w:highlight w:val="lightGray"/>
            </w:rPr>
          </w:rPrChange>
        </w:rPr>
        <w:t>Ireland</w:t>
      </w:r>
    </w:p>
    <w:p w14:paraId="1DEE18CA" w14:textId="77777777" w:rsidR="00E03C85" w:rsidRDefault="00E03C85" w:rsidP="00077AFF">
      <w:pPr>
        <w:keepNext/>
        <w:numPr>
          <w:ilvl w:val="12"/>
          <w:numId w:val="0"/>
        </w:numPr>
        <w:tabs>
          <w:tab w:val="clear" w:pos="567"/>
        </w:tabs>
        <w:spacing w:line="240" w:lineRule="auto"/>
        <w:ind w:right="-2"/>
        <w:rPr>
          <w:b/>
          <w:highlight w:val="lightGray"/>
        </w:rPr>
      </w:pPr>
    </w:p>
    <w:p w14:paraId="5239AC96" w14:textId="77777777" w:rsidR="00E03C85" w:rsidRDefault="00E03C85" w:rsidP="00077AFF">
      <w:pPr>
        <w:keepNext/>
        <w:numPr>
          <w:ilvl w:val="12"/>
          <w:numId w:val="0"/>
        </w:numPr>
        <w:tabs>
          <w:tab w:val="clear" w:pos="567"/>
        </w:tabs>
        <w:spacing w:line="240" w:lineRule="auto"/>
        <w:ind w:right="-2"/>
        <w:rPr>
          <w:b/>
          <w:highlight w:val="lightGray"/>
        </w:rPr>
      </w:pPr>
      <w:r>
        <w:rPr>
          <w:b/>
          <w:highlight w:val="lightGray"/>
        </w:rPr>
        <w:t>Manufacturer</w:t>
      </w:r>
    </w:p>
    <w:p w14:paraId="099EE0F8" w14:textId="77777777" w:rsidR="00E03C85" w:rsidRDefault="00E03C85" w:rsidP="00077AFF">
      <w:pPr>
        <w:keepNext/>
        <w:spacing w:line="240" w:lineRule="auto"/>
        <w:rPr>
          <w:highlight w:val="lightGray"/>
        </w:rPr>
      </w:pPr>
      <w:r>
        <w:rPr>
          <w:highlight w:val="lightGray"/>
        </w:rPr>
        <w:t>Amgen NV</w:t>
      </w:r>
    </w:p>
    <w:p w14:paraId="2F2941D7" w14:textId="77777777" w:rsidR="00E03C85" w:rsidRDefault="00E03C85" w:rsidP="00B61D9D">
      <w:pPr>
        <w:autoSpaceDE w:val="0"/>
        <w:autoSpaceDN w:val="0"/>
        <w:spacing w:line="240" w:lineRule="auto"/>
        <w:rPr>
          <w:highlight w:val="lightGray"/>
        </w:rPr>
      </w:pPr>
      <w:r>
        <w:rPr>
          <w:highlight w:val="lightGray"/>
        </w:rPr>
        <w:t>Telecomlaan 5-7</w:t>
      </w:r>
    </w:p>
    <w:p w14:paraId="5CCFB457" w14:textId="77777777" w:rsidR="00E03C85" w:rsidRDefault="00E03C85" w:rsidP="00077AFF">
      <w:pPr>
        <w:spacing w:line="240" w:lineRule="auto"/>
        <w:rPr>
          <w:highlight w:val="lightGray"/>
        </w:rPr>
      </w:pPr>
      <w:r>
        <w:rPr>
          <w:highlight w:val="lightGray"/>
        </w:rPr>
        <w:t>1831 Diegem</w:t>
      </w:r>
    </w:p>
    <w:p w14:paraId="27464247" w14:textId="77777777" w:rsidR="00E03C85" w:rsidRDefault="00E03C85" w:rsidP="00077AFF">
      <w:pPr>
        <w:numPr>
          <w:ilvl w:val="12"/>
          <w:numId w:val="0"/>
        </w:numPr>
        <w:tabs>
          <w:tab w:val="clear" w:pos="567"/>
        </w:tabs>
        <w:spacing w:line="240" w:lineRule="auto"/>
        <w:ind w:right="-2"/>
        <w:rPr>
          <w:highlight w:val="lightGray"/>
        </w:rPr>
      </w:pPr>
      <w:r>
        <w:rPr>
          <w:highlight w:val="lightGray"/>
        </w:rPr>
        <w:t>Belgium</w:t>
      </w:r>
    </w:p>
    <w:p w14:paraId="4D695B02" w14:textId="77777777" w:rsidR="00E03C85" w:rsidRPr="00F04F82" w:rsidRDefault="00E03C85" w:rsidP="00077AFF">
      <w:pPr>
        <w:numPr>
          <w:ilvl w:val="12"/>
          <w:numId w:val="0"/>
        </w:numPr>
        <w:tabs>
          <w:tab w:val="clear" w:pos="567"/>
        </w:tabs>
        <w:spacing w:line="240" w:lineRule="auto"/>
        <w:ind w:right="-2"/>
        <w:rPr>
          <w:b/>
        </w:rPr>
      </w:pPr>
    </w:p>
    <w:p w14:paraId="5DD544ED" w14:textId="77777777" w:rsidR="00E03C85" w:rsidRPr="00F04F82" w:rsidRDefault="00E03C85" w:rsidP="00D55B59">
      <w:pPr>
        <w:keepNext/>
        <w:keepLines/>
        <w:numPr>
          <w:ilvl w:val="12"/>
          <w:numId w:val="0"/>
        </w:numPr>
        <w:tabs>
          <w:tab w:val="clear" w:pos="567"/>
        </w:tabs>
        <w:spacing w:line="240" w:lineRule="auto"/>
        <w:rPr>
          <w:szCs w:val="22"/>
        </w:rPr>
        <w:pPrChange w:id="4976" w:author="Author">
          <w:pPr>
            <w:keepNext/>
            <w:numPr>
              <w:ilvl w:val="12"/>
            </w:numPr>
            <w:tabs>
              <w:tab w:val="clear" w:pos="567"/>
            </w:tabs>
            <w:spacing w:line="240" w:lineRule="auto"/>
          </w:pPr>
        </w:pPrChange>
      </w:pPr>
      <w:r w:rsidRPr="00F04F82">
        <w:rPr>
          <w:szCs w:val="22"/>
        </w:rPr>
        <w:t>For any information about this medicine, please contact the local representative of the Marketing Authorisation Holder:</w:t>
      </w:r>
    </w:p>
    <w:p w14:paraId="59C212D6" w14:textId="77777777" w:rsidR="00E03C85" w:rsidRPr="00F04F82" w:rsidRDefault="00E03C85" w:rsidP="00D55B59">
      <w:pPr>
        <w:keepNext/>
        <w:keepLines/>
        <w:numPr>
          <w:ilvl w:val="12"/>
          <w:numId w:val="0"/>
        </w:numPr>
        <w:tabs>
          <w:tab w:val="clear" w:pos="567"/>
        </w:tabs>
        <w:spacing w:line="240" w:lineRule="auto"/>
        <w:rPr>
          <w:szCs w:val="22"/>
        </w:rPr>
        <w:pPrChange w:id="4977" w:author="Author">
          <w:pPr>
            <w:keepNext/>
            <w:numPr>
              <w:ilvl w:val="12"/>
            </w:numPr>
            <w:tabs>
              <w:tab w:val="clear" w:pos="567"/>
            </w:tabs>
            <w:spacing w:line="240" w:lineRule="auto"/>
          </w:pPr>
        </w:pPrChange>
      </w:pPr>
    </w:p>
    <w:tbl>
      <w:tblPr>
        <w:tblW w:w="9356" w:type="dxa"/>
        <w:tblLook w:val="04A0" w:firstRow="1" w:lastRow="0" w:firstColumn="1" w:lastColumn="0" w:noHBand="0" w:noVBand="1"/>
      </w:tblPr>
      <w:tblGrid>
        <w:gridCol w:w="4677"/>
        <w:gridCol w:w="4679"/>
      </w:tblGrid>
      <w:tr w:rsidR="00E03C85" w:rsidRPr="00F04F82" w14:paraId="49F96C32" w14:textId="77777777" w:rsidTr="00D47253">
        <w:trPr>
          <w:cantSplit/>
        </w:trPr>
        <w:tc>
          <w:tcPr>
            <w:tcW w:w="4677" w:type="dxa"/>
          </w:tcPr>
          <w:p w14:paraId="05597450" w14:textId="77777777" w:rsidR="00E03C85" w:rsidRPr="002D13B8" w:rsidRDefault="00E03C85" w:rsidP="00D55B59">
            <w:pPr>
              <w:pStyle w:val="lbltxt"/>
              <w:keepNext/>
              <w:keepLines/>
              <w:rPr>
                <w:noProof w:val="0"/>
                <w:szCs w:val="22"/>
                <w:lang w:val="fr-FR"/>
              </w:rPr>
              <w:pPrChange w:id="4978" w:author="Author">
                <w:pPr>
                  <w:pStyle w:val="lbltxt"/>
                </w:pPr>
              </w:pPrChange>
            </w:pPr>
            <w:r w:rsidRPr="002D13B8">
              <w:rPr>
                <w:b/>
                <w:noProof w:val="0"/>
                <w:szCs w:val="22"/>
                <w:lang w:val="fr-FR"/>
              </w:rPr>
              <w:t>België/Belgique/Belgien</w:t>
            </w:r>
          </w:p>
          <w:p w14:paraId="53CFC900" w14:textId="77777777" w:rsidR="00E03C85" w:rsidRPr="002D13B8" w:rsidRDefault="00E03C85" w:rsidP="00D55B59">
            <w:pPr>
              <w:pStyle w:val="lbltxt"/>
              <w:keepNext/>
              <w:keepLines/>
              <w:rPr>
                <w:noProof w:val="0"/>
                <w:szCs w:val="22"/>
                <w:lang w:val="fr-FR"/>
              </w:rPr>
              <w:pPrChange w:id="4979" w:author="Author">
                <w:pPr>
                  <w:pStyle w:val="lbltxt"/>
                </w:pPr>
              </w:pPrChange>
            </w:pPr>
            <w:r w:rsidRPr="002D13B8">
              <w:rPr>
                <w:noProof w:val="0"/>
                <w:szCs w:val="22"/>
                <w:lang w:val="fr-FR"/>
              </w:rPr>
              <w:t>s.a. Amgen n.v.</w:t>
            </w:r>
          </w:p>
          <w:p w14:paraId="655ED7B8" w14:textId="77777777" w:rsidR="00E03C85" w:rsidRPr="00F04F82" w:rsidRDefault="00E03C85" w:rsidP="00D55B59">
            <w:pPr>
              <w:keepNext/>
              <w:keepLines/>
              <w:rPr>
                <w:szCs w:val="22"/>
              </w:rPr>
              <w:pPrChange w:id="4980" w:author="Author">
                <w:pPr/>
              </w:pPrChange>
            </w:pPr>
            <w:r w:rsidRPr="00F04F82">
              <w:rPr>
                <w:szCs w:val="22"/>
              </w:rPr>
              <w:t>Tél/Tel: +32 (0)2 7752711</w:t>
            </w:r>
          </w:p>
          <w:p w14:paraId="02869C11" w14:textId="77777777" w:rsidR="00E03C85" w:rsidRPr="00F04F82" w:rsidRDefault="00E03C85" w:rsidP="00D55B59">
            <w:pPr>
              <w:keepNext/>
              <w:keepLines/>
              <w:rPr>
                <w:szCs w:val="22"/>
              </w:rPr>
              <w:pPrChange w:id="4981" w:author="Author">
                <w:pPr/>
              </w:pPrChange>
            </w:pPr>
          </w:p>
        </w:tc>
        <w:tc>
          <w:tcPr>
            <w:tcW w:w="4679" w:type="dxa"/>
          </w:tcPr>
          <w:p w14:paraId="011DF313" w14:textId="77777777" w:rsidR="00E03C85" w:rsidRPr="00D55B59" w:rsidRDefault="00E03C85" w:rsidP="00D55B59">
            <w:pPr>
              <w:pStyle w:val="lbltxt"/>
              <w:keepNext/>
              <w:keepLines/>
              <w:rPr>
                <w:b/>
                <w:noProof w:val="0"/>
                <w:szCs w:val="22"/>
                <w:lang w:val="de-DE"/>
                <w:rPrChange w:id="4982" w:author="Author">
                  <w:rPr>
                    <w:b/>
                    <w:noProof w:val="0"/>
                    <w:szCs w:val="22"/>
                    <w:lang w:val="sv-SE"/>
                  </w:rPr>
                </w:rPrChange>
              </w:rPr>
              <w:pPrChange w:id="4983" w:author="Author">
                <w:pPr>
                  <w:pStyle w:val="lbltxt"/>
                </w:pPr>
              </w:pPrChange>
            </w:pPr>
            <w:r w:rsidRPr="00D55B59">
              <w:rPr>
                <w:b/>
                <w:noProof w:val="0"/>
                <w:szCs w:val="22"/>
                <w:lang w:val="de-DE"/>
                <w:rPrChange w:id="4984" w:author="Author">
                  <w:rPr>
                    <w:b/>
                    <w:noProof w:val="0"/>
                    <w:szCs w:val="22"/>
                    <w:lang w:val="sv-SE"/>
                  </w:rPr>
                </w:rPrChange>
              </w:rPr>
              <w:t>Lietuva</w:t>
            </w:r>
          </w:p>
          <w:p w14:paraId="7502CA89" w14:textId="77777777" w:rsidR="00E03C85" w:rsidRPr="00D55B59" w:rsidRDefault="00E03C85" w:rsidP="00D55B59">
            <w:pPr>
              <w:pStyle w:val="lbltxt"/>
              <w:keepNext/>
              <w:keepLines/>
              <w:rPr>
                <w:bCs/>
                <w:noProof w:val="0"/>
                <w:szCs w:val="22"/>
                <w:lang w:val="de-DE"/>
                <w:rPrChange w:id="4985" w:author="Author">
                  <w:rPr>
                    <w:bCs/>
                    <w:noProof w:val="0"/>
                    <w:szCs w:val="22"/>
                    <w:lang w:val="sv-SE"/>
                  </w:rPr>
                </w:rPrChange>
              </w:rPr>
              <w:pPrChange w:id="4986" w:author="Author">
                <w:pPr>
                  <w:pStyle w:val="lbltxt"/>
                </w:pPr>
              </w:pPrChange>
            </w:pPr>
            <w:r w:rsidRPr="00D55B59">
              <w:rPr>
                <w:noProof w:val="0"/>
                <w:szCs w:val="22"/>
                <w:lang w:val="de-DE"/>
                <w:rPrChange w:id="4987" w:author="Author">
                  <w:rPr>
                    <w:noProof w:val="0"/>
                    <w:szCs w:val="22"/>
                    <w:lang w:val="sv-SE"/>
                  </w:rPr>
                </w:rPrChange>
              </w:rPr>
              <w:t>Amgen Switzerland AG Vilniaus filialas</w:t>
            </w:r>
          </w:p>
          <w:p w14:paraId="0720E82C" w14:textId="7E41788C" w:rsidR="00E03C85" w:rsidRPr="00D55B59" w:rsidRDefault="00E03C85" w:rsidP="00D55B59">
            <w:pPr>
              <w:pStyle w:val="lbltxt"/>
              <w:keepNext/>
              <w:keepLines/>
              <w:rPr>
                <w:bCs/>
                <w:noProof w:val="0"/>
                <w:szCs w:val="22"/>
                <w:lang w:val="en-GB"/>
                <w:rPrChange w:id="4988" w:author="Author">
                  <w:rPr>
                    <w:bCs/>
                    <w:noProof w:val="0"/>
                    <w:szCs w:val="22"/>
                  </w:rPr>
                </w:rPrChange>
              </w:rPr>
              <w:pPrChange w:id="4989" w:author="Author">
                <w:pPr>
                  <w:pStyle w:val="lbltxt"/>
                </w:pPr>
              </w:pPrChange>
            </w:pPr>
            <w:r w:rsidRPr="00D55B59">
              <w:rPr>
                <w:bCs/>
                <w:noProof w:val="0"/>
                <w:szCs w:val="22"/>
                <w:lang w:val="en-GB"/>
                <w:rPrChange w:id="4990" w:author="Author">
                  <w:rPr>
                    <w:bCs/>
                    <w:noProof w:val="0"/>
                    <w:szCs w:val="22"/>
                  </w:rPr>
                </w:rPrChange>
              </w:rPr>
              <w:t>Tel</w:t>
            </w:r>
            <w:del w:id="4991" w:author="Author">
              <w:r w:rsidRPr="00D55B59" w:rsidDel="00256A32">
                <w:rPr>
                  <w:bCs/>
                  <w:noProof w:val="0"/>
                  <w:szCs w:val="22"/>
                  <w:lang w:val="en-GB"/>
                  <w:rPrChange w:id="4992" w:author="Author">
                    <w:rPr>
                      <w:bCs/>
                      <w:noProof w:val="0"/>
                      <w:szCs w:val="22"/>
                    </w:rPr>
                  </w:rPrChange>
                </w:rPr>
                <w:delText xml:space="preserve">: </w:delText>
              </w:r>
            </w:del>
            <w:ins w:id="4993" w:author="Author">
              <w:r w:rsidR="00256A32" w:rsidRPr="00D55B59">
                <w:rPr>
                  <w:bCs/>
                  <w:noProof w:val="0"/>
                  <w:szCs w:val="22"/>
                  <w:lang w:val="en-GB"/>
                  <w:rPrChange w:id="4994" w:author="Author">
                    <w:rPr>
                      <w:bCs/>
                      <w:noProof w:val="0"/>
                      <w:szCs w:val="22"/>
                    </w:rPr>
                  </w:rPrChange>
                </w:rPr>
                <w:t xml:space="preserve">. </w:t>
              </w:r>
            </w:ins>
            <w:r w:rsidRPr="00D55B59">
              <w:rPr>
                <w:bCs/>
                <w:noProof w:val="0"/>
                <w:szCs w:val="22"/>
                <w:lang w:val="en-GB"/>
                <w:rPrChange w:id="4995" w:author="Author">
                  <w:rPr>
                    <w:bCs/>
                    <w:noProof w:val="0"/>
                    <w:szCs w:val="22"/>
                  </w:rPr>
                </w:rPrChange>
              </w:rPr>
              <w:t>+370 5 219 7474</w:t>
            </w:r>
          </w:p>
          <w:p w14:paraId="147790C4" w14:textId="77777777" w:rsidR="00E03C85" w:rsidRPr="00F04F82" w:rsidRDefault="00E03C85" w:rsidP="00D55B59">
            <w:pPr>
              <w:keepNext/>
              <w:keepLines/>
              <w:rPr>
                <w:szCs w:val="22"/>
              </w:rPr>
              <w:pPrChange w:id="4996" w:author="Author">
                <w:pPr/>
              </w:pPrChange>
            </w:pPr>
          </w:p>
        </w:tc>
      </w:tr>
      <w:tr w:rsidR="00E03C85" w:rsidRPr="00F04F82" w14:paraId="67C7ED9D" w14:textId="77777777" w:rsidTr="00D47253">
        <w:trPr>
          <w:cantSplit/>
        </w:trPr>
        <w:tc>
          <w:tcPr>
            <w:tcW w:w="4677" w:type="dxa"/>
          </w:tcPr>
          <w:p w14:paraId="00B88E76" w14:textId="77777777" w:rsidR="00E03C85" w:rsidRPr="00247EF0" w:rsidRDefault="00E03C85" w:rsidP="00D47253">
            <w:pPr>
              <w:autoSpaceDE w:val="0"/>
              <w:autoSpaceDN w:val="0"/>
              <w:adjustRightInd w:val="0"/>
              <w:rPr>
                <w:rFonts w:eastAsia="Arial Unicode MS"/>
                <w:b/>
                <w:bCs/>
                <w:szCs w:val="22"/>
                <w:lang w:val="ru-RU"/>
              </w:rPr>
            </w:pPr>
            <w:r w:rsidRPr="00247EF0">
              <w:rPr>
                <w:rFonts w:eastAsia="Arial Unicode MS"/>
                <w:b/>
                <w:bCs/>
                <w:szCs w:val="22"/>
                <w:lang w:val="ru-RU"/>
              </w:rPr>
              <w:t>България</w:t>
            </w:r>
          </w:p>
          <w:p w14:paraId="433E059B" w14:textId="77777777" w:rsidR="00E03C85" w:rsidRPr="00D55B59" w:rsidRDefault="00E03C85" w:rsidP="00D47253">
            <w:pPr>
              <w:pStyle w:val="lbltxt"/>
              <w:rPr>
                <w:rFonts w:eastAsia="Arial Unicode MS"/>
                <w:noProof w:val="0"/>
                <w:szCs w:val="22"/>
                <w:lang w:val="ru-RU" w:eastAsia="en-GB"/>
                <w:rPrChange w:id="4997" w:author="Author">
                  <w:rPr>
                    <w:rFonts w:eastAsia="Arial Unicode MS"/>
                    <w:noProof w:val="0"/>
                    <w:szCs w:val="22"/>
                    <w:lang w:eastAsia="en-GB"/>
                  </w:rPr>
                </w:rPrChange>
              </w:rPr>
            </w:pPr>
            <w:r w:rsidRPr="00D55B59">
              <w:rPr>
                <w:rFonts w:eastAsia="Arial Unicode MS"/>
                <w:noProof w:val="0"/>
                <w:szCs w:val="22"/>
                <w:lang w:val="ru-RU" w:eastAsia="en-GB"/>
                <w:rPrChange w:id="4998" w:author="Author">
                  <w:rPr>
                    <w:rFonts w:eastAsia="Arial Unicode MS"/>
                    <w:noProof w:val="0"/>
                    <w:szCs w:val="22"/>
                    <w:lang w:eastAsia="en-GB"/>
                  </w:rPr>
                </w:rPrChange>
              </w:rPr>
              <w:t>Амджен България ЕООД</w:t>
            </w:r>
          </w:p>
          <w:p w14:paraId="3D69E2C0" w14:textId="77777777" w:rsidR="00E03C85" w:rsidRPr="00D55B59" w:rsidRDefault="00E03C85" w:rsidP="00D47253">
            <w:pPr>
              <w:pStyle w:val="lbltxt"/>
              <w:rPr>
                <w:rFonts w:eastAsia="Arial Unicode MS"/>
                <w:bCs/>
                <w:noProof w:val="0"/>
                <w:szCs w:val="22"/>
                <w:lang w:val="ru-RU"/>
                <w:rPrChange w:id="4999" w:author="Author">
                  <w:rPr>
                    <w:rFonts w:eastAsia="Arial Unicode MS"/>
                    <w:bCs/>
                    <w:noProof w:val="0"/>
                    <w:szCs w:val="22"/>
                  </w:rPr>
                </w:rPrChange>
              </w:rPr>
            </w:pPr>
            <w:r w:rsidRPr="00D55B59">
              <w:rPr>
                <w:rFonts w:eastAsia="Arial Unicode MS"/>
                <w:noProof w:val="0"/>
                <w:szCs w:val="22"/>
                <w:lang w:val="ru-RU" w:eastAsia="en-GB"/>
                <w:rPrChange w:id="5000" w:author="Author">
                  <w:rPr>
                    <w:rFonts w:eastAsia="Arial Unicode MS"/>
                    <w:noProof w:val="0"/>
                    <w:szCs w:val="22"/>
                    <w:lang w:eastAsia="en-GB"/>
                  </w:rPr>
                </w:rPrChange>
              </w:rPr>
              <w:t xml:space="preserve">Тел.: +359 </w:t>
            </w:r>
            <w:r w:rsidRPr="00D55B59">
              <w:rPr>
                <w:rFonts w:eastAsia="Arial Unicode MS"/>
                <w:bCs/>
                <w:noProof w:val="0"/>
                <w:szCs w:val="22"/>
                <w:lang w:val="ru-RU"/>
                <w:rPrChange w:id="5001" w:author="Author">
                  <w:rPr>
                    <w:rFonts w:eastAsia="Arial Unicode MS"/>
                    <w:bCs/>
                    <w:noProof w:val="0"/>
                    <w:szCs w:val="22"/>
                  </w:rPr>
                </w:rPrChange>
              </w:rPr>
              <w:t>(0)2</w:t>
            </w:r>
            <w:r w:rsidRPr="00D55B59">
              <w:rPr>
                <w:rFonts w:eastAsia="Arial Unicode MS"/>
                <w:bCs/>
                <w:noProof w:val="0"/>
                <w:szCs w:val="22"/>
                <w:lang w:val="en-GB"/>
                <w:rPrChange w:id="5002" w:author="Author">
                  <w:rPr>
                    <w:rFonts w:eastAsia="Arial Unicode MS"/>
                    <w:bCs/>
                    <w:noProof w:val="0"/>
                    <w:szCs w:val="22"/>
                  </w:rPr>
                </w:rPrChange>
              </w:rPr>
              <w:t> </w:t>
            </w:r>
            <w:r w:rsidRPr="00D55B59">
              <w:rPr>
                <w:rFonts w:eastAsia="Arial Unicode MS"/>
                <w:bCs/>
                <w:noProof w:val="0"/>
                <w:szCs w:val="22"/>
                <w:lang w:val="ru-RU"/>
                <w:rPrChange w:id="5003" w:author="Author">
                  <w:rPr>
                    <w:rFonts w:eastAsia="Arial Unicode MS"/>
                    <w:bCs/>
                    <w:noProof w:val="0"/>
                    <w:szCs w:val="22"/>
                  </w:rPr>
                </w:rPrChange>
              </w:rPr>
              <w:t>424 7440</w:t>
            </w:r>
          </w:p>
          <w:p w14:paraId="222CC415" w14:textId="77777777" w:rsidR="00E03C85" w:rsidRPr="00247EF0" w:rsidRDefault="00E03C85" w:rsidP="00D47253">
            <w:pPr>
              <w:rPr>
                <w:szCs w:val="22"/>
                <w:lang w:val="ru-RU"/>
              </w:rPr>
            </w:pPr>
          </w:p>
        </w:tc>
        <w:tc>
          <w:tcPr>
            <w:tcW w:w="4679" w:type="dxa"/>
          </w:tcPr>
          <w:p w14:paraId="2A6B156C" w14:textId="77777777" w:rsidR="00E03C85" w:rsidRPr="00D55B59" w:rsidRDefault="00E03C85" w:rsidP="00D47253">
            <w:pPr>
              <w:pStyle w:val="lbltxt"/>
              <w:rPr>
                <w:noProof w:val="0"/>
                <w:szCs w:val="22"/>
                <w:lang w:val="de-DE"/>
                <w:rPrChange w:id="5004" w:author="Author">
                  <w:rPr>
                    <w:noProof w:val="0"/>
                    <w:szCs w:val="22"/>
                    <w:lang w:val="fr-FR"/>
                  </w:rPr>
                </w:rPrChange>
              </w:rPr>
            </w:pPr>
            <w:r w:rsidRPr="00D55B59">
              <w:rPr>
                <w:b/>
                <w:noProof w:val="0"/>
                <w:szCs w:val="22"/>
                <w:lang w:val="de-DE"/>
                <w:rPrChange w:id="5005" w:author="Author">
                  <w:rPr>
                    <w:b/>
                    <w:noProof w:val="0"/>
                    <w:szCs w:val="22"/>
                    <w:lang w:val="fr-FR"/>
                  </w:rPr>
                </w:rPrChange>
              </w:rPr>
              <w:t>Luxembourg/Luxemburg</w:t>
            </w:r>
          </w:p>
          <w:p w14:paraId="6921A820" w14:textId="77777777" w:rsidR="00E03C85" w:rsidRPr="00D55B59" w:rsidRDefault="00E03C85" w:rsidP="00D47253">
            <w:pPr>
              <w:pStyle w:val="lbltxt"/>
              <w:rPr>
                <w:noProof w:val="0"/>
                <w:szCs w:val="22"/>
                <w:lang w:val="de-DE"/>
                <w:rPrChange w:id="5006" w:author="Author">
                  <w:rPr>
                    <w:noProof w:val="0"/>
                    <w:szCs w:val="22"/>
                    <w:lang w:val="fr-FR"/>
                  </w:rPr>
                </w:rPrChange>
              </w:rPr>
            </w:pPr>
            <w:r w:rsidRPr="00D55B59">
              <w:rPr>
                <w:noProof w:val="0"/>
                <w:szCs w:val="22"/>
                <w:lang w:val="de-DE"/>
                <w:rPrChange w:id="5007" w:author="Author">
                  <w:rPr>
                    <w:noProof w:val="0"/>
                    <w:szCs w:val="22"/>
                    <w:lang w:val="fr-FR"/>
                  </w:rPr>
                </w:rPrChange>
              </w:rPr>
              <w:t xml:space="preserve">s.a. Amgen </w:t>
            </w:r>
          </w:p>
          <w:p w14:paraId="4B3BAFF0" w14:textId="77777777" w:rsidR="00E03C85" w:rsidRPr="00D55B59" w:rsidRDefault="00E03C85" w:rsidP="00D47253">
            <w:pPr>
              <w:pStyle w:val="lbltxt"/>
              <w:rPr>
                <w:noProof w:val="0"/>
                <w:szCs w:val="22"/>
                <w:lang w:val="de-DE"/>
                <w:rPrChange w:id="5008" w:author="Author">
                  <w:rPr>
                    <w:noProof w:val="0"/>
                    <w:szCs w:val="22"/>
                    <w:lang w:val="fr-FR"/>
                  </w:rPr>
                </w:rPrChange>
              </w:rPr>
            </w:pPr>
            <w:r w:rsidRPr="00D55B59">
              <w:rPr>
                <w:noProof w:val="0"/>
                <w:szCs w:val="22"/>
                <w:lang w:val="de-DE"/>
                <w:rPrChange w:id="5009" w:author="Author">
                  <w:rPr>
                    <w:noProof w:val="0"/>
                    <w:szCs w:val="22"/>
                    <w:lang w:val="fr-FR"/>
                  </w:rPr>
                </w:rPrChange>
              </w:rPr>
              <w:t>Belgique/Belgien</w:t>
            </w:r>
          </w:p>
          <w:p w14:paraId="4BD95BA2" w14:textId="77777777" w:rsidR="00E03C85" w:rsidRPr="00D55B59" w:rsidRDefault="00E03C85" w:rsidP="00D47253">
            <w:pPr>
              <w:pStyle w:val="lbltxt"/>
              <w:rPr>
                <w:noProof w:val="0"/>
                <w:szCs w:val="22"/>
                <w:lang w:val="en-GB"/>
                <w:rPrChange w:id="5010" w:author="Author">
                  <w:rPr>
                    <w:noProof w:val="0"/>
                    <w:szCs w:val="22"/>
                  </w:rPr>
                </w:rPrChange>
              </w:rPr>
            </w:pPr>
            <w:r w:rsidRPr="00D55B59">
              <w:rPr>
                <w:noProof w:val="0"/>
                <w:szCs w:val="22"/>
                <w:lang w:val="en-GB"/>
                <w:rPrChange w:id="5011" w:author="Author">
                  <w:rPr>
                    <w:szCs w:val="22"/>
                  </w:rPr>
                </w:rPrChange>
              </w:rPr>
              <w:t>Tél/</w:t>
            </w:r>
            <w:r w:rsidRPr="00D55B59">
              <w:rPr>
                <w:noProof w:val="0"/>
                <w:szCs w:val="22"/>
                <w:lang w:val="en-GB"/>
                <w:rPrChange w:id="5012" w:author="Author">
                  <w:rPr>
                    <w:noProof w:val="0"/>
                    <w:szCs w:val="22"/>
                  </w:rPr>
                </w:rPrChange>
              </w:rPr>
              <w:t>Tel: +32 (0)2 7752711</w:t>
            </w:r>
          </w:p>
          <w:p w14:paraId="6C9D40B2" w14:textId="77777777" w:rsidR="00E03C85" w:rsidRPr="00F04F82" w:rsidRDefault="00E03C85" w:rsidP="00D47253">
            <w:pPr>
              <w:rPr>
                <w:szCs w:val="22"/>
              </w:rPr>
            </w:pPr>
          </w:p>
        </w:tc>
      </w:tr>
      <w:tr w:rsidR="00E03C85" w:rsidRPr="00F04F82" w14:paraId="41F069B8" w14:textId="77777777" w:rsidTr="00D47253">
        <w:trPr>
          <w:cantSplit/>
        </w:trPr>
        <w:tc>
          <w:tcPr>
            <w:tcW w:w="4677" w:type="dxa"/>
          </w:tcPr>
          <w:p w14:paraId="7BF39119" w14:textId="77777777" w:rsidR="00E03C85" w:rsidRPr="00D55B59" w:rsidRDefault="00E03C85" w:rsidP="00D47253">
            <w:pPr>
              <w:pStyle w:val="lbltxt"/>
              <w:keepNext/>
              <w:rPr>
                <w:b/>
                <w:noProof w:val="0"/>
                <w:szCs w:val="22"/>
                <w:lang w:val="de-DE"/>
                <w:rPrChange w:id="5013" w:author="Author">
                  <w:rPr>
                    <w:b/>
                    <w:noProof w:val="0"/>
                    <w:szCs w:val="22"/>
                    <w:lang w:val="sv-SE"/>
                  </w:rPr>
                </w:rPrChange>
              </w:rPr>
            </w:pPr>
            <w:r w:rsidRPr="00D55B59">
              <w:rPr>
                <w:b/>
                <w:noProof w:val="0"/>
                <w:szCs w:val="22"/>
                <w:lang w:val="de-DE"/>
                <w:rPrChange w:id="5014" w:author="Author">
                  <w:rPr>
                    <w:b/>
                    <w:noProof w:val="0"/>
                    <w:szCs w:val="22"/>
                    <w:lang w:val="sv-SE"/>
                  </w:rPr>
                </w:rPrChange>
              </w:rPr>
              <w:t>Česká republika</w:t>
            </w:r>
          </w:p>
          <w:p w14:paraId="4A126FF5" w14:textId="77777777" w:rsidR="00E03C85" w:rsidRPr="00D55B59" w:rsidRDefault="00E03C85" w:rsidP="00D47253">
            <w:pPr>
              <w:pStyle w:val="lbltxt"/>
              <w:keepNext/>
              <w:rPr>
                <w:bCs/>
                <w:noProof w:val="0"/>
                <w:szCs w:val="22"/>
                <w:lang w:val="de-DE"/>
                <w:rPrChange w:id="5015" w:author="Author">
                  <w:rPr>
                    <w:bCs/>
                    <w:noProof w:val="0"/>
                    <w:szCs w:val="22"/>
                    <w:lang w:val="sv-SE"/>
                  </w:rPr>
                </w:rPrChange>
              </w:rPr>
            </w:pPr>
            <w:r w:rsidRPr="00D55B59">
              <w:rPr>
                <w:bCs/>
                <w:noProof w:val="0"/>
                <w:szCs w:val="22"/>
                <w:lang w:val="de-DE"/>
                <w:rPrChange w:id="5016" w:author="Author">
                  <w:rPr>
                    <w:bCs/>
                    <w:noProof w:val="0"/>
                    <w:szCs w:val="22"/>
                    <w:lang w:val="sv-SE"/>
                  </w:rPr>
                </w:rPrChange>
              </w:rPr>
              <w:t>Amgen s.r.o.</w:t>
            </w:r>
          </w:p>
          <w:p w14:paraId="405DD7DB" w14:textId="77777777" w:rsidR="00E03C85" w:rsidRPr="00D55B59" w:rsidRDefault="00E03C85" w:rsidP="00D47253">
            <w:pPr>
              <w:pStyle w:val="lbltxt"/>
              <w:keepNext/>
              <w:rPr>
                <w:bCs/>
                <w:noProof w:val="0"/>
                <w:szCs w:val="22"/>
                <w:lang w:val="en-GB"/>
                <w:rPrChange w:id="5017" w:author="Author">
                  <w:rPr>
                    <w:bCs/>
                    <w:noProof w:val="0"/>
                    <w:szCs w:val="22"/>
                    <w:lang w:val="es-ES"/>
                  </w:rPr>
                </w:rPrChange>
              </w:rPr>
            </w:pPr>
            <w:r w:rsidRPr="00D55B59">
              <w:rPr>
                <w:bCs/>
                <w:noProof w:val="0"/>
                <w:szCs w:val="22"/>
                <w:lang w:val="en-GB"/>
                <w:rPrChange w:id="5018" w:author="Author">
                  <w:rPr>
                    <w:bCs/>
                    <w:noProof w:val="0"/>
                    <w:szCs w:val="22"/>
                    <w:lang w:val="es-ES"/>
                  </w:rPr>
                </w:rPrChange>
              </w:rPr>
              <w:t>Tel: +420 221 773 500</w:t>
            </w:r>
          </w:p>
          <w:p w14:paraId="6B2EBBD5" w14:textId="77777777" w:rsidR="00E03C85" w:rsidRPr="00D55B59" w:rsidRDefault="00E03C85" w:rsidP="00D47253">
            <w:pPr>
              <w:rPr>
                <w:szCs w:val="22"/>
                <w:rPrChange w:id="5019" w:author="Author">
                  <w:rPr>
                    <w:szCs w:val="22"/>
                    <w:lang w:val="es-ES"/>
                  </w:rPr>
                </w:rPrChange>
              </w:rPr>
            </w:pPr>
          </w:p>
        </w:tc>
        <w:tc>
          <w:tcPr>
            <w:tcW w:w="4679" w:type="dxa"/>
          </w:tcPr>
          <w:p w14:paraId="7AE8BAF5" w14:textId="77777777" w:rsidR="00E03C85" w:rsidRPr="00D55B59" w:rsidRDefault="00E03C85" w:rsidP="00D47253">
            <w:pPr>
              <w:pStyle w:val="lbltxt"/>
              <w:rPr>
                <w:b/>
                <w:noProof w:val="0"/>
                <w:szCs w:val="22"/>
                <w:lang w:val="en-GB"/>
                <w:rPrChange w:id="5020" w:author="Author">
                  <w:rPr>
                    <w:b/>
                    <w:noProof w:val="0"/>
                    <w:szCs w:val="22"/>
                  </w:rPr>
                </w:rPrChange>
              </w:rPr>
            </w:pPr>
            <w:r w:rsidRPr="00D55B59">
              <w:rPr>
                <w:b/>
                <w:noProof w:val="0"/>
                <w:szCs w:val="22"/>
                <w:lang w:val="en-GB"/>
                <w:rPrChange w:id="5021" w:author="Author">
                  <w:rPr>
                    <w:b/>
                    <w:noProof w:val="0"/>
                    <w:szCs w:val="22"/>
                  </w:rPr>
                </w:rPrChange>
              </w:rPr>
              <w:t>Magyarország</w:t>
            </w:r>
          </w:p>
          <w:p w14:paraId="4D594E73" w14:textId="77777777" w:rsidR="00E03C85" w:rsidRPr="00D55B59" w:rsidRDefault="00E03C85" w:rsidP="00D47253">
            <w:pPr>
              <w:pStyle w:val="lbltxt"/>
              <w:rPr>
                <w:bCs/>
                <w:noProof w:val="0"/>
                <w:szCs w:val="22"/>
                <w:lang w:val="en-GB"/>
                <w:rPrChange w:id="5022" w:author="Author">
                  <w:rPr>
                    <w:bCs/>
                    <w:noProof w:val="0"/>
                    <w:szCs w:val="22"/>
                  </w:rPr>
                </w:rPrChange>
              </w:rPr>
            </w:pPr>
            <w:r w:rsidRPr="00D55B59">
              <w:rPr>
                <w:bCs/>
                <w:noProof w:val="0"/>
                <w:szCs w:val="22"/>
                <w:lang w:val="en-GB"/>
                <w:rPrChange w:id="5023" w:author="Author">
                  <w:rPr>
                    <w:bCs/>
                    <w:noProof w:val="0"/>
                    <w:szCs w:val="22"/>
                  </w:rPr>
                </w:rPrChange>
              </w:rPr>
              <w:t>Amgen Kft.</w:t>
            </w:r>
          </w:p>
          <w:p w14:paraId="76237EF2" w14:textId="77777777" w:rsidR="00E03C85" w:rsidRPr="00D55B59" w:rsidRDefault="00E03C85" w:rsidP="00D47253">
            <w:pPr>
              <w:pStyle w:val="lbltxt"/>
              <w:rPr>
                <w:bCs/>
                <w:noProof w:val="0"/>
                <w:szCs w:val="22"/>
                <w:lang w:val="en-GB"/>
                <w:rPrChange w:id="5024" w:author="Author">
                  <w:rPr>
                    <w:bCs/>
                    <w:noProof w:val="0"/>
                    <w:szCs w:val="22"/>
                  </w:rPr>
                </w:rPrChange>
              </w:rPr>
            </w:pPr>
            <w:r w:rsidRPr="00D55B59">
              <w:rPr>
                <w:bCs/>
                <w:noProof w:val="0"/>
                <w:szCs w:val="22"/>
                <w:lang w:val="en-GB"/>
                <w:rPrChange w:id="5025" w:author="Author">
                  <w:rPr>
                    <w:bCs/>
                    <w:noProof w:val="0"/>
                    <w:szCs w:val="22"/>
                  </w:rPr>
                </w:rPrChange>
              </w:rPr>
              <w:t>Tel.: +36 1 35 44 700</w:t>
            </w:r>
          </w:p>
          <w:p w14:paraId="4AC9FCB4" w14:textId="77777777" w:rsidR="00E03C85" w:rsidRPr="00F04F82" w:rsidRDefault="00E03C85" w:rsidP="00D47253">
            <w:pPr>
              <w:rPr>
                <w:szCs w:val="22"/>
              </w:rPr>
            </w:pPr>
          </w:p>
        </w:tc>
      </w:tr>
      <w:tr w:rsidR="00E03C85" w:rsidRPr="00F04F82" w14:paraId="03224ACE" w14:textId="77777777" w:rsidTr="00D47253">
        <w:trPr>
          <w:cantSplit/>
        </w:trPr>
        <w:tc>
          <w:tcPr>
            <w:tcW w:w="4677" w:type="dxa"/>
          </w:tcPr>
          <w:p w14:paraId="3F149A00" w14:textId="77777777" w:rsidR="00E03C85" w:rsidRPr="00D55B59" w:rsidRDefault="00E03C85" w:rsidP="00D47253">
            <w:pPr>
              <w:pStyle w:val="lbltxt"/>
              <w:rPr>
                <w:noProof w:val="0"/>
                <w:szCs w:val="22"/>
                <w:lang w:val="da-DK"/>
                <w:rPrChange w:id="5026" w:author="Author">
                  <w:rPr>
                    <w:noProof w:val="0"/>
                    <w:szCs w:val="22"/>
                    <w:lang w:val="sv-SE"/>
                  </w:rPr>
                </w:rPrChange>
              </w:rPr>
            </w:pPr>
            <w:r w:rsidRPr="00D55B59">
              <w:rPr>
                <w:b/>
                <w:noProof w:val="0"/>
                <w:szCs w:val="22"/>
                <w:lang w:val="da-DK"/>
                <w:rPrChange w:id="5027" w:author="Author">
                  <w:rPr>
                    <w:b/>
                    <w:noProof w:val="0"/>
                    <w:szCs w:val="22"/>
                    <w:lang w:val="sv-SE"/>
                  </w:rPr>
                </w:rPrChange>
              </w:rPr>
              <w:t>Danmark</w:t>
            </w:r>
          </w:p>
          <w:p w14:paraId="1464C9E5" w14:textId="77777777" w:rsidR="00E03C85" w:rsidRPr="00D55B59" w:rsidRDefault="00E03C85" w:rsidP="00D47253">
            <w:pPr>
              <w:pStyle w:val="lbltxt"/>
              <w:rPr>
                <w:noProof w:val="0"/>
                <w:szCs w:val="22"/>
                <w:lang w:val="da-DK"/>
                <w:rPrChange w:id="5028" w:author="Author">
                  <w:rPr>
                    <w:noProof w:val="0"/>
                    <w:szCs w:val="22"/>
                    <w:lang w:val="sv-SE"/>
                  </w:rPr>
                </w:rPrChange>
              </w:rPr>
            </w:pPr>
            <w:r w:rsidRPr="00D55B59">
              <w:rPr>
                <w:noProof w:val="0"/>
                <w:szCs w:val="22"/>
                <w:lang w:val="da-DK"/>
                <w:rPrChange w:id="5029" w:author="Author">
                  <w:rPr>
                    <w:noProof w:val="0"/>
                    <w:szCs w:val="22"/>
                    <w:lang w:val="sv-SE"/>
                  </w:rPr>
                </w:rPrChange>
              </w:rPr>
              <w:t>Amgen, filial af Amgen AB, Sverige</w:t>
            </w:r>
          </w:p>
          <w:p w14:paraId="79A20C23" w14:textId="24B86A42" w:rsidR="00E03C85" w:rsidRPr="00D55B59" w:rsidRDefault="00E03C85" w:rsidP="00D47253">
            <w:pPr>
              <w:pStyle w:val="lbltxt"/>
              <w:rPr>
                <w:noProof w:val="0"/>
                <w:szCs w:val="22"/>
                <w:lang w:val="en-GB"/>
                <w:rPrChange w:id="5030" w:author="Author">
                  <w:rPr>
                    <w:noProof w:val="0"/>
                    <w:szCs w:val="22"/>
                  </w:rPr>
                </w:rPrChange>
              </w:rPr>
            </w:pPr>
            <w:r w:rsidRPr="00D55B59">
              <w:rPr>
                <w:noProof w:val="0"/>
                <w:szCs w:val="22"/>
                <w:lang w:val="en-GB"/>
                <w:rPrChange w:id="5031" w:author="Author">
                  <w:rPr>
                    <w:noProof w:val="0"/>
                    <w:szCs w:val="22"/>
                  </w:rPr>
                </w:rPrChange>
              </w:rPr>
              <w:t>Tlf</w:t>
            </w:r>
            <w:ins w:id="5032" w:author="Author">
              <w:r w:rsidR="00256A32" w:rsidRPr="00D55B59">
                <w:rPr>
                  <w:noProof w:val="0"/>
                  <w:szCs w:val="22"/>
                  <w:lang w:val="en-GB"/>
                  <w:rPrChange w:id="5033" w:author="Author">
                    <w:rPr>
                      <w:noProof w:val="0"/>
                      <w:szCs w:val="22"/>
                    </w:rPr>
                  </w:rPrChange>
                </w:rPr>
                <w:t>.</w:t>
              </w:r>
            </w:ins>
            <w:r w:rsidRPr="00D55B59">
              <w:rPr>
                <w:noProof w:val="0"/>
                <w:szCs w:val="22"/>
                <w:lang w:val="en-GB"/>
                <w:rPrChange w:id="5034" w:author="Author">
                  <w:rPr>
                    <w:noProof w:val="0"/>
                    <w:szCs w:val="22"/>
                  </w:rPr>
                </w:rPrChange>
              </w:rPr>
              <w:t>: +45 39617500</w:t>
            </w:r>
          </w:p>
          <w:p w14:paraId="58B89286" w14:textId="77777777" w:rsidR="00E03C85" w:rsidRPr="00F04F82" w:rsidRDefault="00E03C85" w:rsidP="00D47253">
            <w:pPr>
              <w:rPr>
                <w:szCs w:val="22"/>
              </w:rPr>
            </w:pPr>
          </w:p>
        </w:tc>
        <w:tc>
          <w:tcPr>
            <w:tcW w:w="4679" w:type="dxa"/>
          </w:tcPr>
          <w:p w14:paraId="3BDA099A" w14:textId="77777777" w:rsidR="00E03C85" w:rsidRPr="00D55B59" w:rsidRDefault="00E03C85" w:rsidP="00D47253">
            <w:pPr>
              <w:pStyle w:val="lbltxt"/>
              <w:rPr>
                <w:b/>
                <w:noProof w:val="0"/>
                <w:szCs w:val="22"/>
                <w:lang w:val="fi-FI"/>
                <w:rPrChange w:id="5035" w:author="Author">
                  <w:rPr>
                    <w:b/>
                    <w:noProof w:val="0"/>
                    <w:szCs w:val="22"/>
                    <w:lang w:val="sv-SE"/>
                  </w:rPr>
                </w:rPrChange>
              </w:rPr>
            </w:pPr>
            <w:r w:rsidRPr="00D55B59">
              <w:rPr>
                <w:b/>
                <w:noProof w:val="0"/>
                <w:szCs w:val="22"/>
                <w:lang w:val="fi-FI"/>
                <w:rPrChange w:id="5036" w:author="Author">
                  <w:rPr>
                    <w:b/>
                    <w:noProof w:val="0"/>
                    <w:szCs w:val="22"/>
                    <w:lang w:val="sv-SE"/>
                  </w:rPr>
                </w:rPrChange>
              </w:rPr>
              <w:t>Malta</w:t>
            </w:r>
          </w:p>
          <w:p w14:paraId="36AF3A81" w14:textId="77777777" w:rsidR="00E03C85" w:rsidRPr="00D55B59" w:rsidRDefault="00E03C85" w:rsidP="00D47253">
            <w:pPr>
              <w:pStyle w:val="lbltxt"/>
              <w:rPr>
                <w:noProof w:val="0"/>
                <w:szCs w:val="22"/>
                <w:lang w:val="fi-FI"/>
                <w:rPrChange w:id="5037" w:author="Author">
                  <w:rPr>
                    <w:noProof w:val="0"/>
                    <w:szCs w:val="22"/>
                    <w:lang w:val="sv-SE"/>
                  </w:rPr>
                </w:rPrChange>
              </w:rPr>
            </w:pPr>
            <w:r w:rsidRPr="00D55B59">
              <w:rPr>
                <w:noProof w:val="0"/>
                <w:szCs w:val="22"/>
                <w:lang w:val="fi-FI"/>
                <w:rPrChange w:id="5038" w:author="Author">
                  <w:rPr>
                    <w:noProof w:val="0"/>
                    <w:szCs w:val="22"/>
                    <w:lang w:val="sv-SE"/>
                  </w:rPr>
                </w:rPrChange>
              </w:rPr>
              <w:t>Amgen S.r.l.</w:t>
            </w:r>
          </w:p>
          <w:p w14:paraId="7B642D5E" w14:textId="77777777" w:rsidR="00E03C85" w:rsidRPr="00D55B59" w:rsidRDefault="00E03C85" w:rsidP="00D47253">
            <w:pPr>
              <w:pStyle w:val="lbltxt"/>
              <w:rPr>
                <w:noProof w:val="0"/>
                <w:szCs w:val="22"/>
                <w:lang w:val="en-GB"/>
                <w:rPrChange w:id="5039" w:author="Author">
                  <w:rPr>
                    <w:noProof w:val="0"/>
                    <w:szCs w:val="22"/>
                    <w:lang w:val="sv-SE"/>
                  </w:rPr>
                </w:rPrChange>
              </w:rPr>
            </w:pPr>
            <w:r w:rsidRPr="00D55B59">
              <w:rPr>
                <w:noProof w:val="0"/>
                <w:szCs w:val="22"/>
                <w:lang w:val="en-GB"/>
                <w:rPrChange w:id="5040" w:author="Author">
                  <w:rPr>
                    <w:noProof w:val="0"/>
                    <w:szCs w:val="22"/>
                    <w:lang w:val="sv-SE"/>
                  </w:rPr>
                </w:rPrChange>
              </w:rPr>
              <w:t>Italy</w:t>
            </w:r>
          </w:p>
          <w:p w14:paraId="4D2D6C6E" w14:textId="77777777" w:rsidR="00E03C85" w:rsidRPr="00D55B59" w:rsidRDefault="00E03C85" w:rsidP="00D47253">
            <w:pPr>
              <w:pStyle w:val="lbltxt"/>
              <w:rPr>
                <w:noProof w:val="0"/>
                <w:szCs w:val="22"/>
                <w:lang w:val="en-GB"/>
                <w:rPrChange w:id="5041" w:author="Author">
                  <w:rPr>
                    <w:noProof w:val="0"/>
                    <w:szCs w:val="22"/>
                  </w:rPr>
                </w:rPrChange>
              </w:rPr>
            </w:pPr>
            <w:r w:rsidRPr="00D55B59">
              <w:rPr>
                <w:noProof w:val="0"/>
                <w:szCs w:val="22"/>
                <w:lang w:val="en-GB"/>
                <w:rPrChange w:id="5042" w:author="Author">
                  <w:rPr>
                    <w:noProof w:val="0"/>
                    <w:szCs w:val="22"/>
                  </w:rPr>
                </w:rPrChange>
              </w:rPr>
              <w:t>Tel: +39 02 6241121</w:t>
            </w:r>
          </w:p>
          <w:p w14:paraId="62A58669" w14:textId="77777777" w:rsidR="00E03C85" w:rsidRPr="00F04F82" w:rsidRDefault="00E03C85" w:rsidP="00D47253">
            <w:pPr>
              <w:rPr>
                <w:szCs w:val="22"/>
              </w:rPr>
            </w:pPr>
          </w:p>
        </w:tc>
      </w:tr>
      <w:tr w:rsidR="00E03C85" w:rsidRPr="00F04F82" w14:paraId="03746BA0" w14:textId="77777777" w:rsidTr="00D47253">
        <w:trPr>
          <w:cantSplit/>
        </w:trPr>
        <w:tc>
          <w:tcPr>
            <w:tcW w:w="4677" w:type="dxa"/>
          </w:tcPr>
          <w:p w14:paraId="559C8073" w14:textId="77777777" w:rsidR="00E03C85" w:rsidRPr="00D55B59" w:rsidRDefault="00E03C85" w:rsidP="00D47253">
            <w:pPr>
              <w:pStyle w:val="lbltxt"/>
              <w:rPr>
                <w:noProof w:val="0"/>
                <w:szCs w:val="22"/>
                <w:lang w:val="en-GB"/>
                <w:rPrChange w:id="5043" w:author="Author">
                  <w:rPr>
                    <w:noProof w:val="0"/>
                    <w:szCs w:val="22"/>
                  </w:rPr>
                </w:rPrChange>
              </w:rPr>
            </w:pPr>
            <w:r w:rsidRPr="00D55B59">
              <w:rPr>
                <w:b/>
                <w:noProof w:val="0"/>
                <w:szCs w:val="22"/>
                <w:lang w:val="en-GB"/>
                <w:rPrChange w:id="5044" w:author="Author">
                  <w:rPr>
                    <w:b/>
                    <w:noProof w:val="0"/>
                    <w:szCs w:val="22"/>
                  </w:rPr>
                </w:rPrChange>
              </w:rPr>
              <w:t>Deutschland</w:t>
            </w:r>
          </w:p>
          <w:p w14:paraId="6FF89DC9" w14:textId="77777777" w:rsidR="00E03C85" w:rsidRPr="00D55B59" w:rsidRDefault="00E03C85" w:rsidP="00D47253">
            <w:pPr>
              <w:pStyle w:val="lbltxt"/>
              <w:rPr>
                <w:noProof w:val="0"/>
                <w:szCs w:val="22"/>
                <w:lang w:val="en-GB"/>
                <w:rPrChange w:id="5045" w:author="Author">
                  <w:rPr>
                    <w:noProof w:val="0"/>
                    <w:szCs w:val="22"/>
                  </w:rPr>
                </w:rPrChange>
              </w:rPr>
            </w:pPr>
            <w:r w:rsidRPr="00D55B59">
              <w:rPr>
                <w:noProof w:val="0"/>
                <w:szCs w:val="22"/>
                <w:lang w:val="en-GB"/>
                <w:rPrChange w:id="5046" w:author="Author">
                  <w:rPr>
                    <w:noProof w:val="0"/>
                    <w:szCs w:val="22"/>
                  </w:rPr>
                </w:rPrChange>
              </w:rPr>
              <w:t>Amgen GmbH</w:t>
            </w:r>
          </w:p>
          <w:p w14:paraId="2FCA08FA" w14:textId="77777777" w:rsidR="00E03C85" w:rsidRPr="00D55B59" w:rsidRDefault="00E03C85" w:rsidP="00D47253">
            <w:pPr>
              <w:pStyle w:val="lbltxt"/>
              <w:rPr>
                <w:noProof w:val="0"/>
                <w:szCs w:val="22"/>
                <w:lang w:val="en-GB"/>
                <w:rPrChange w:id="5047" w:author="Author">
                  <w:rPr>
                    <w:noProof w:val="0"/>
                    <w:szCs w:val="22"/>
                  </w:rPr>
                </w:rPrChange>
              </w:rPr>
            </w:pPr>
            <w:r w:rsidRPr="00D55B59">
              <w:rPr>
                <w:noProof w:val="0"/>
                <w:szCs w:val="22"/>
                <w:lang w:val="en-GB"/>
                <w:rPrChange w:id="5048" w:author="Author">
                  <w:rPr>
                    <w:noProof w:val="0"/>
                    <w:szCs w:val="22"/>
                  </w:rPr>
                </w:rPrChange>
              </w:rPr>
              <w:t>Tel: +49 89 1490960</w:t>
            </w:r>
          </w:p>
          <w:p w14:paraId="74C73A74" w14:textId="77777777" w:rsidR="00E03C85" w:rsidRPr="00F04F82" w:rsidRDefault="00E03C85" w:rsidP="00D47253">
            <w:pPr>
              <w:rPr>
                <w:szCs w:val="22"/>
              </w:rPr>
            </w:pPr>
          </w:p>
        </w:tc>
        <w:tc>
          <w:tcPr>
            <w:tcW w:w="4679" w:type="dxa"/>
          </w:tcPr>
          <w:p w14:paraId="1A1A79F7" w14:textId="77777777" w:rsidR="00E03C85" w:rsidRPr="00D55B59" w:rsidRDefault="00E03C85" w:rsidP="00D47253">
            <w:pPr>
              <w:pStyle w:val="lbltxt"/>
              <w:rPr>
                <w:noProof w:val="0"/>
                <w:szCs w:val="22"/>
                <w:lang w:val="en-GB"/>
                <w:rPrChange w:id="5049" w:author="Author">
                  <w:rPr>
                    <w:noProof w:val="0"/>
                    <w:szCs w:val="22"/>
                    <w:lang w:val="sv-SE"/>
                  </w:rPr>
                </w:rPrChange>
              </w:rPr>
            </w:pPr>
            <w:r w:rsidRPr="00D55B59">
              <w:rPr>
                <w:b/>
                <w:noProof w:val="0"/>
                <w:szCs w:val="22"/>
                <w:lang w:val="en-GB"/>
                <w:rPrChange w:id="5050" w:author="Author">
                  <w:rPr>
                    <w:b/>
                    <w:noProof w:val="0"/>
                    <w:szCs w:val="22"/>
                    <w:lang w:val="sv-SE"/>
                  </w:rPr>
                </w:rPrChange>
              </w:rPr>
              <w:t>Nederland</w:t>
            </w:r>
          </w:p>
          <w:p w14:paraId="04C5BC18" w14:textId="77777777" w:rsidR="00E03C85" w:rsidRPr="00D55B59" w:rsidRDefault="00E03C85" w:rsidP="00D47253">
            <w:pPr>
              <w:pStyle w:val="lbltxt"/>
              <w:rPr>
                <w:noProof w:val="0"/>
                <w:szCs w:val="22"/>
                <w:lang w:val="en-GB"/>
                <w:rPrChange w:id="5051" w:author="Author">
                  <w:rPr>
                    <w:noProof w:val="0"/>
                    <w:szCs w:val="22"/>
                    <w:lang w:val="sv-SE"/>
                  </w:rPr>
                </w:rPrChange>
              </w:rPr>
            </w:pPr>
            <w:r w:rsidRPr="00D55B59">
              <w:rPr>
                <w:noProof w:val="0"/>
                <w:szCs w:val="22"/>
                <w:lang w:val="en-GB"/>
                <w:rPrChange w:id="5052" w:author="Author">
                  <w:rPr>
                    <w:noProof w:val="0"/>
                    <w:szCs w:val="22"/>
                    <w:lang w:val="sv-SE"/>
                  </w:rPr>
                </w:rPrChange>
              </w:rPr>
              <w:t>Amgen B.V.</w:t>
            </w:r>
          </w:p>
          <w:p w14:paraId="30CDA383" w14:textId="77777777" w:rsidR="00E03C85" w:rsidRPr="00D55B59" w:rsidRDefault="00E03C85" w:rsidP="00D47253">
            <w:pPr>
              <w:pStyle w:val="lbltxt"/>
              <w:rPr>
                <w:bCs/>
                <w:noProof w:val="0"/>
                <w:szCs w:val="22"/>
                <w:lang w:val="en-GB"/>
                <w:rPrChange w:id="5053" w:author="Author">
                  <w:rPr>
                    <w:bCs/>
                    <w:noProof w:val="0"/>
                    <w:szCs w:val="22"/>
                    <w:lang w:val="sv-SE"/>
                  </w:rPr>
                </w:rPrChange>
              </w:rPr>
            </w:pPr>
            <w:r w:rsidRPr="00D55B59">
              <w:rPr>
                <w:noProof w:val="0"/>
                <w:szCs w:val="22"/>
                <w:lang w:val="en-GB"/>
                <w:rPrChange w:id="5054" w:author="Author">
                  <w:rPr>
                    <w:noProof w:val="0"/>
                    <w:szCs w:val="22"/>
                    <w:lang w:val="sv-SE"/>
                  </w:rPr>
                </w:rPrChange>
              </w:rPr>
              <w:t>Tel: +31 (0)76 5732500</w:t>
            </w:r>
          </w:p>
          <w:p w14:paraId="5C06944E" w14:textId="77777777" w:rsidR="00E03C85" w:rsidRPr="00D55B59" w:rsidRDefault="00E03C85" w:rsidP="00D47253">
            <w:pPr>
              <w:rPr>
                <w:szCs w:val="22"/>
                <w:rPrChange w:id="5055" w:author="Author">
                  <w:rPr>
                    <w:szCs w:val="22"/>
                    <w:lang w:val="sv-SE"/>
                  </w:rPr>
                </w:rPrChange>
              </w:rPr>
            </w:pPr>
          </w:p>
        </w:tc>
      </w:tr>
      <w:tr w:rsidR="00E03C85" w:rsidRPr="00F04F82" w14:paraId="7EC12F6D" w14:textId="77777777" w:rsidTr="00D47253">
        <w:trPr>
          <w:cantSplit/>
        </w:trPr>
        <w:tc>
          <w:tcPr>
            <w:tcW w:w="4677" w:type="dxa"/>
          </w:tcPr>
          <w:p w14:paraId="24519332" w14:textId="77777777" w:rsidR="00E03C85" w:rsidRPr="00D55B59" w:rsidRDefault="00E03C85" w:rsidP="00D47253">
            <w:pPr>
              <w:pStyle w:val="lbltxt"/>
              <w:rPr>
                <w:b/>
                <w:noProof w:val="0"/>
                <w:szCs w:val="22"/>
                <w:lang w:val="en-GB"/>
                <w:rPrChange w:id="5056" w:author="Author">
                  <w:rPr>
                    <w:b/>
                    <w:noProof w:val="0"/>
                    <w:szCs w:val="22"/>
                    <w:lang w:val="sv-SE"/>
                  </w:rPr>
                </w:rPrChange>
              </w:rPr>
            </w:pPr>
            <w:r w:rsidRPr="00D55B59">
              <w:rPr>
                <w:b/>
                <w:noProof w:val="0"/>
                <w:szCs w:val="22"/>
                <w:lang w:val="en-GB"/>
                <w:rPrChange w:id="5057" w:author="Author">
                  <w:rPr>
                    <w:b/>
                    <w:noProof w:val="0"/>
                    <w:szCs w:val="22"/>
                    <w:lang w:val="sv-SE"/>
                  </w:rPr>
                </w:rPrChange>
              </w:rPr>
              <w:t>Eesti</w:t>
            </w:r>
          </w:p>
          <w:p w14:paraId="6888B63C" w14:textId="77777777" w:rsidR="00E03C85" w:rsidRPr="00D55B59" w:rsidRDefault="00E03C85" w:rsidP="00D47253">
            <w:pPr>
              <w:pStyle w:val="lbltxt"/>
              <w:rPr>
                <w:bCs/>
                <w:noProof w:val="0"/>
                <w:szCs w:val="22"/>
                <w:lang w:val="en-GB"/>
                <w:rPrChange w:id="5058" w:author="Author">
                  <w:rPr>
                    <w:bCs/>
                    <w:noProof w:val="0"/>
                    <w:szCs w:val="22"/>
                    <w:lang w:val="sv-SE"/>
                  </w:rPr>
                </w:rPrChange>
              </w:rPr>
            </w:pPr>
            <w:r w:rsidRPr="00D55B59">
              <w:rPr>
                <w:bCs/>
                <w:noProof w:val="0"/>
                <w:szCs w:val="22"/>
                <w:lang w:val="en-GB"/>
                <w:rPrChange w:id="5059" w:author="Author">
                  <w:rPr>
                    <w:bCs/>
                    <w:noProof w:val="0"/>
                    <w:szCs w:val="22"/>
                    <w:lang w:val="sv-SE"/>
                  </w:rPr>
                </w:rPrChange>
              </w:rPr>
              <w:t xml:space="preserve">Amgen Switzerland AG </w:t>
            </w:r>
            <w:r w:rsidRPr="00D55B59">
              <w:rPr>
                <w:noProof w:val="0"/>
                <w:szCs w:val="22"/>
                <w:lang w:val="en-GB"/>
                <w:rPrChange w:id="5060" w:author="Author">
                  <w:rPr>
                    <w:noProof w:val="0"/>
                    <w:szCs w:val="22"/>
                    <w:lang w:val="sv-SE"/>
                  </w:rPr>
                </w:rPrChange>
              </w:rPr>
              <w:t>Vilniaus filialas</w:t>
            </w:r>
          </w:p>
          <w:p w14:paraId="5FC40A2A" w14:textId="77777777" w:rsidR="00E03C85" w:rsidRPr="00D55B59" w:rsidRDefault="00E03C85" w:rsidP="00D47253">
            <w:pPr>
              <w:pStyle w:val="lbltxt"/>
              <w:rPr>
                <w:noProof w:val="0"/>
                <w:szCs w:val="22"/>
                <w:lang w:val="en-GB"/>
                <w:rPrChange w:id="5061" w:author="Author">
                  <w:rPr>
                    <w:noProof w:val="0"/>
                    <w:szCs w:val="22"/>
                  </w:rPr>
                </w:rPrChange>
              </w:rPr>
            </w:pPr>
            <w:r w:rsidRPr="00D55B59">
              <w:rPr>
                <w:bCs/>
                <w:noProof w:val="0"/>
                <w:szCs w:val="22"/>
                <w:lang w:val="en-GB"/>
                <w:rPrChange w:id="5062" w:author="Author">
                  <w:rPr>
                    <w:bCs/>
                    <w:noProof w:val="0"/>
                    <w:szCs w:val="22"/>
                  </w:rPr>
                </w:rPrChange>
              </w:rPr>
              <w:t>Tel: +</w:t>
            </w:r>
            <w:r w:rsidRPr="00D55B59">
              <w:rPr>
                <w:noProof w:val="0"/>
                <w:szCs w:val="22"/>
                <w:lang w:val="en-GB"/>
                <w:rPrChange w:id="5063" w:author="Author">
                  <w:rPr>
                    <w:noProof w:val="0"/>
                    <w:szCs w:val="22"/>
                  </w:rPr>
                </w:rPrChange>
              </w:rPr>
              <w:t>372 586 09553</w:t>
            </w:r>
          </w:p>
          <w:p w14:paraId="7EC6DC73" w14:textId="77777777" w:rsidR="00E03C85" w:rsidRPr="00F04F82" w:rsidRDefault="00E03C85" w:rsidP="00D47253">
            <w:pPr>
              <w:rPr>
                <w:szCs w:val="22"/>
              </w:rPr>
            </w:pPr>
          </w:p>
        </w:tc>
        <w:tc>
          <w:tcPr>
            <w:tcW w:w="4679" w:type="dxa"/>
          </w:tcPr>
          <w:p w14:paraId="2E0416E6" w14:textId="77777777" w:rsidR="00E03C85" w:rsidRPr="00D55B59" w:rsidRDefault="00E03C85" w:rsidP="00D47253">
            <w:pPr>
              <w:pStyle w:val="lbltxt"/>
              <w:rPr>
                <w:b/>
                <w:bCs/>
                <w:noProof w:val="0"/>
                <w:szCs w:val="22"/>
                <w:lang w:val="en-GB"/>
                <w:rPrChange w:id="5064" w:author="Author">
                  <w:rPr>
                    <w:b/>
                    <w:bCs/>
                    <w:noProof w:val="0"/>
                    <w:szCs w:val="22"/>
                  </w:rPr>
                </w:rPrChange>
              </w:rPr>
            </w:pPr>
            <w:r w:rsidRPr="00D55B59">
              <w:rPr>
                <w:b/>
                <w:bCs/>
                <w:noProof w:val="0"/>
                <w:szCs w:val="22"/>
                <w:lang w:val="en-GB"/>
                <w:rPrChange w:id="5065" w:author="Author">
                  <w:rPr>
                    <w:b/>
                    <w:bCs/>
                    <w:noProof w:val="0"/>
                    <w:szCs w:val="22"/>
                  </w:rPr>
                </w:rPrChange>
              </w:rPr>
              <w:t>Norge</w:t>
            </w:r>
          </w:p>
          <w:p w14:paraId="6DEF376A" w14:textId="77777777" w:rsidR="00E03C85" w:rsidRPr="00D55B59" w:rsidRDefault="00E03C85" w:rsidP="00D47253">
            <w:pPr>
              <w:pStyle w:val="lbltxt"/>
              <w:rPr>
                <w:rStyle w:val="CommentReference"/>
                <w:noProof w:val="0"/>
                <w:sz w:val="22"/>
                <w:szCs w:val="22"/>
                <w:lang w:val="en-GB"/>
                <w:rPrChange w:id="5066" w:author="Author">
                  <w:rPr>
                    <w:rStyle w:val="CommentReference"/>
                    <w:noProof w:val="0"/>
                    <w:sz w:val="22"/>
                    <w:szCs w:val="22"/>
                  </w:rPr>
                </w:rPrChange>
              </w:rPr>
            </w:pPr>
            <w:r w:rsidRPr="00D55B59">
              <w:rPr>
                <w:rStyle w:val="CommentReference"/>
                <w:noProof w:val="0"/>
                <w:sz w:val="22"/>
                <w:szCs w:val="22"/>
                <w:lang w:val="en-GB"/>
                <w:rPrChange w:id="5067" w:author="Author">
                  <w:rPr>
                    <w:rStyle w:val="CommentReference"/>
                    <w:noProof w:val="0"/>
                    <w:sz w:val="22"/>
                    <w:szCs w:val="22"/>
                  </w:rPr>
                </w:rPrChange>
              </w:rPr>
              <w:t>Amgen AB</w:t>
            </w:r>
          </w:p>
          <w:p w14:paraId="0D2DD0C0" w14:textId="77777777" w:rsidR="00E03C85" w:rsidRPr="00D55B59" w:rsidRDefault="00E03C85" w:rsidP="00D47253">
            <w:pPr>
              <w:pStyle w:val="lbltxt"/>
              <w:rPr>
                <w:noProof w:val="0"/>
                <w:szCs w:val="22"/>
                <w:lang w:val="en-GB"/>
                <w:rPrChange w:id="5068" w:author="Author">
                  <w:rPr>
                    <w:noProof w:val="0"/>
                    <w:szCs w:val="22"/>
                  </w:rPr>
                </w:rPrChange>
              </w:rPr>
            </w:pPr>
            <w:r w:rsidRPr="00D55B59">
              <w:rPr>
                <w:rStyle w:val="CommentReference"/>
                <w:noProof w:val="0"/>
                <w:sz w:val="22"/>
                <w:szCs w:val="22"/>
                <w:lang w:val="en-GB"/>
                <w:rPrChange w:id="5069" w:author="Author">
                  <w:rPr>
                    <w:rStyle w:val="CommentReference"/>
                    <w:noProof w:val="0"/>
                    <w:sz w:val="22"/>
                    <w:szCs w:val="22"/>
                  </w:rPr>
                </w:rPrChange>
              </w:rPr>
              <w:t>Tl</w:t>
            </w:r>
            <w:r w:rsidRPr="00D55B59">
              <w:rPr>
                <w:rStyle w:val="CommentReference"/>
                <w:noProof w:val="0"/>
                <w:sz w:val="22"/>
                <w:lang w:val="en-GB"/>
                <w:rPrChange w:id="5070" w:author="Author">
                  <w:rPr>
                    <w:rStyle w:val="CommentReference"/>
                    <w:sz w:val="22"/>
                  </w:rPr>
                </w:rPrChange>
              </w:rPr>
              <w:t>f</w:t>
            </w:r>
            <w:r w:rsidRPr="00D55B59">
              <w:rPr>
                <w:rStyle w:val="CommentReference"/>
                <w:noProof w:val="0"/>
                <w:sz w:val="22"/>
                <w:szCs w:val="22"/>
                <w:lang w:val="en-GB"/>
                <w:rPrChange w:id="5071" w:author="Author">
                  <w:rPr>
                    <w:rStyle w:val="CommentReference"/>
                    <w:noProof w:val="0"/>
                    <w:sz w:val="22"/>
                    <w:szCs w:val="22"/>
                  </w:rPr>
                </w:rPrChange>
              </w:rPr>
              <w:t>: +47 23308000</w:t>
            </w:r>
          </w:p>
          <w:p w14:paraId="31AE1750" w14:textId="77777777" w:rsidR="00E03C85" w:rsidRPr="00F04F82" w:rsidRDefault="00E03C85" w:rsidP="00D47253">
            <w:pPr>
              <w:rPr>
                <w:szCs w:val="22"/>
              </w:rPr>
            </w:pPr>
          </w:p>
        </w:tc>
      </w:tr>
      <w:tr w:rsidR="00E03C85" w:rsidRPr="00F04F82" w14:paraId="74FC2BC6" w14:textId="77777777" w:rsidTr="00D47253">
        <w:trPr>
          <w:cantSplit/>
        </w:trPr>
        <w:tc>
          <w:tcPr>
            <w:tcW w:w="4677" w:type="dxa"/>
          </w:tcPr>
          <w:p w14:paraId="544560DB" w14:textId="77777777" w:rsidR="00E03C85" w:rsidRPr="00247EF0" w:rsidRDefault="00E03C85" w:rsidP="00D47253">
            <w:pPr>
              <w:pStyle w:val="lbltxt"/>
              <w:rPr>
                <w:b/>
                <w:bCs/>
                <w:noProof w:val="0"/>
                <w:szCs w:val="22"/>
                <w:lang w:val="el-GR"/>
              </w:rPr>
            </w:pPr>
            <w:r w:rsidRPr="00247EF0">
              <w:rPr>
                <w:b/>
                <w:bCs/>
                <w:noProof w:val="0"/>
                <w:szCs w:val="22"/>
                <w:lang w:val="el-GR"/>
              </w:rPr>
              <w:t>Ελλάδα</w:t>
            </w:r>
          </w:p>
          <w:p w14:paraId="04A19FEF" w14:textId="77777777" w:rsidR="00E03C85" w:rsidRPr="00247EF0" w:rsidRDefault="00E03C85" w:rsidP="00D47253">
            <w:pPr>
              <w:pStyle w:val="lbltxt"/>
              <w:rPr>
                <w:noProof w:val="0"/>
                <w:szCs w:val="22"/>
                <w:lang w:val="el-GR"/>
              </w:rPr>
            </w:pPr>
            <w:r w:rsidRPr="00D55B59">
              <w:rPr>
                <w:noProof w:val="0"/>
                <w:szCs w:val="22"/>
                <w:lang w:val="en-GB"/>
                <w:rPrChange w:id="5072" w:author="Author">
                  <w:rPr>
                    <w:noProof w:val="0"/>
                    <w:szCs w:val="22"/>
                  </w:rPr>
                </w:rPrChange>
              </w:rPr>
              <w:t>Amgen</w:t>
            </w:r>
            <w:r w:rsidRPr="00247EF0">
              <w:rPr>
                <w:noProof w:val="0"/>
                <w:szCs w:val="22"/>
                <w:lang w:val="el-GR"/>
              </w:rPr>
              <w:t xml:space="preserve"> Ελλάς Φαρμακευτικά Ε.Π.Ε. </w:t>
            </w:r>
          </w:p>
          <w:p w14:paraId="4781364B" w14:textId="77777777" w:rsidR="00E03C85" w:rsidRPr="00D55B59" w:rsidRDefault="00E03C85" w:rsidP="00D47253">
            <w:pPr>
              <w:pStyle w:val="lbltxt"/>
              <w:rPr>
                <w:noProof w:val="0"/>
                <w:szCs w:val="22"/>
                <w:lang w:val="en-GB"/>
                <w:rPrChange w:id="5073" w:author="Author">
                  <w:rPr>
                    <w:noProof w:val="0"/>
                    <w:szCs w:val="22"/>
                  </w:rPr>
                </w:rPrChange>
              </w:rPr>
            </w:pPr>
            <w:r w:rsidRPr="00D55B59">
              <w:rPr>
                <w:noProof w:val="0"/>
                <w:szCs w:val="22"/>
                <w:lang w:val="en-GB"/>
                <w:rPrChange w:id="5074" w:author="Author">
                  <w:rPr>
                    <w:noProof w:val="0"/>
                    <w:szCs w:val="22"/>
                  </w:rPr>
                </w:rPrChange>
              </w:rPr>
              <w:t>Τηλ: +30 210 3447000</w:t>
            </w:r>
          </w:p>
          <w:p w14:paraId="430CA400" w14:textId="77777777" w:rsidR="00E03C85" w:rsidRPr="00F04F82" w:rsidRDefault="00E03C85" w:rsidP="00D47253">
            <w:pPr>
              <w:rPr>
                <w:szCs w:val="22"/>
              </w:rPr>
            </w:pPr>
          </w:p>
        </w:tc>
        <w:tc>
          <w:tcPr>
            <w:tcW w:w="4679" w:type="dxa"/>
          </w:tcPr>
          <w:p w14:paraId="56FC7C26" w14:textId="77777777" w:rsidR="00E03C85" w:rsidRPr="00D55B59" w:rsidRDefault="00E03C85" w:rsidP="00D47253">
            <w:pPr>
              <w:pStyle w:val="lbltxt"/>
              <w:rPr>
                <w:noProof w:val="0"/>
                <w:szCs w:val="22"/>
                <w:lang w:val="en-GB"/>
                <w:rPrChange w:id="5075" w:author="Author">
                  <w:rPr>
                    <w:noProof w:val="0"/>
                    <w:szCs w:val="22"/>
                  </w:rPr>
                </w:rPrChange>
              </w:rPr>
            </w:pPr>
            <w:r w:rsidRPr="00D55B59">
              <w:rPr>
                <w:b/>
                <w:noProof w:val="0"/>
                <w:szCs w:val="22"/>
                <w:lang w:val="en-GB"/>
                <w:rPrChange w:id="5076" w:author="Author">
                  <w:rPr>
                    <w:b/>
                    <w:noProof w:val="0"/>
                    <w:szCs w:val="22"/>
                  </w:rPr>
                </w:rPrChange>
              </w:rPr>
              <w:t>Österreich</w:t>
            </w:r>
          </w:p>
          <w:p w14:paraId="2F33AA14" w14:textId="77777777" w:rsidR="00E03C85" w:rsidRPr="00D55B59" w:rsidRDefault="00E03C85" w:rsidP="00D47253">
            <w:pPr>
              <w:pStyle w:val="lbltxt"/>
              <w:rPr>
                <w:noProof w:val="0"/>
                <w:szCs w:val="22"/>
                <w:lang w:val="en-GB"/>
                <w:rPrChange w:id="5077" w:author="Author">
                  <w:rPr>
                    <w:noProof w:val="0"/>
                    <w:szCs w:val="22"/>
                  </w:rPr>
                </w:rPrChange>
              </w:rPr>
            </w:pPr>
            <w:r w:rsidRPr="00D55B59">
              <w:rPr>
                <w:noProof w:val="0"/>
                <w:szCs w:val="22"/>
                <w:lang w:val="en-GB"/>
                <w:rPrChange w:id="5078" w:author="Author">
                  <w:rPr>
                    <w:noProof w:val="0"/>
                    <w:szCs w:val="22"/>
                  </w:rPr>
                </w:rPrChange>
              </w:rPr>
              <w:t xml:space="preserve">Amgen GmbH </w:t>
            </w:r>
          </w:p>
          <w:p w14:paraId="6C1086CC" w14:textId="77777777" w:rsidR="00E03C85" w:rsidRPr="00D55B59" w:rsidRDefault="00E03C85" w:rsidP="00D47253">
            <w:pPr>
              <w:pStyle w:val="lbltxt"/>
              <w:rPr>
                <w:noProof w:val="0"/>
                <w:szCs w:val="22"/>
                <w:lang w:val="en-GB"/>
                <w:rPrChange w:id="5079" w:author="Author">
                  <w:rPr>
                    <w:noProof w:val="0"/>
                    <w:szCs w:val="22"/>
                  </w:rPr>
                </w:rPrChange>
              </w:rPr>
            </w:pPr>
            <w:r w:rsidRPr="00D55B59">
              <w:rPr>
                <w:noProof w:val="0"/>
                <w:szCs w:val="22"/>
                <w:lang w:val="en-GB"/>
                <w:rPrChange w:id="5080" w:author="Author">
                  <w:rPr>
                    <w:noProof w:val="0"/>
                    <w:szCs w:val="22"/>
                  </w:rPr>
                </w:rPrChange>
              </w:rPr>
              <w:t>Tel: +43 (0)1 50 217</w:t>
            </w:r>
          </w:p>
          <w:p w14:paraId="51102F87" w14:textId="77777777" w:rsidR="00E03C85" w:rsidRPr="00F04F82" w:rsidRDefault="00E03C85" w:rsidP="00D47253">
            <w:pPr>
              <w:rPr>
                <w:szCs w:val="22"/>
              </w:rPr>
            </w:pPr>
          </w:p>
        </w:tc>
      </w:tr>
      <w:tr w:rsidR="00E03C85" w:rsidRPr="00F04F82" w14:paraId="66B36668" w14:textId="77777777" w:rsidTr="00D47253">
        <w:trPr>
          <w:cantSplit/>
        </w:trPr>
        <w:tc>
          <w:tcPr>
            <w:tcW w:w="4677" w:type="dxa"/>
          </w:tcPr>
          <w:p w14:paraId="0928540D" w14:textId="77777777" w:rsidR="00E03C85" w:rsidRPr="00D55B59" w:rsidRDefault="00E03C85" w:rsidP="00D47253">
            <w:pPr>
              <w:pStyle w:val="lbltxt"/>
              <w:keepNext/>
              <w:rPr>
                <w:noProof w:val="0"/>
                <w:szCs w:val="22"/>
                <w:lang w:val="es-ES"/>
                <w:rPrChange w:id="5081" w:author="Author">
                  <w:rPr>
                    <w:noProof w:val="0"/>
                    <w:szCs w:val="22"/>
                    <w:lang w:val="sv-SE"/>
                  </w:rPr>
                </w:rPrChange>
              </w:rPr>
            </w:pPr>
            <w:r w:rsidRPr="00D55B59">
              <w:rPr>
                <w:b/>
                <w:noProof w:val="0"/>
                <w:szCs w:val="22"/>
                <w:lang w:val="es-ES"/>
                <w:rPrChange w:id="5082" w:author="Author">
                  <w:rPr>
                    <w:b/>
                    <w:noProof w:val="0"/>
                    <w:szCs w:val="22"/>
                    <w:lang w:val="sv-SE"/>
                  </w:rPr>
                </w:rPrChange>
              </w:rPr>
              <w:t>España</w:t>
            </w:r>
          </w:p>
          <w:p w14:paraId="6B2D39C8" w14:textId="77777777" w:rsidR="00E03C85" w:rsidRPr="00D55B59" w:rsidRDefault="00E03C85" w:rsidP="00D47253">
            <w:pPr>
              <w:pStyle w:val="lbltxt"/>
              <w:keepNext/>
              <w:rPr>
                <w:noProof w:val="0"/>
                <w:spacing w:val="-2"/>
                <w:szCs w:val="22"/>
                <w:lang w:val="es-ES"/>
                <w:rPrChange w:id="5083" w:author="Author">
                  <w:rPr>
                    <w:noProof w:val="0"/>
                    <w:spacing w:val="-2"/>
                    <w:szCs w:val="22"/>
                    <w:lang w:val="sv-SE"/>
                  </w:rPr>
                </w:rPrChange>
              </w:rPr>
            </w:pPr>
            <w:r w:rsidRPr="00D55B59">
              <w:rPr>
                <w:noProof w:val="0"/>
                <w:spacing w:val="-2"/>
                <w:szCs w:val="22"/>
                <w:lang w:val="es-ES"/>
                <w:rPrChange w:id="5084" w:author="Author">
                  <w:rPr>
                    <w:noProof w:val="0"/>
                    <w:spacing w:val="-2"/>
                    <w:szCs w:val="22"/>
                    <w:lang w:val="sv-SE"/>
                  </w:rPr>
                </w:rPrChange>
              </w:rPr>
              <w:t>Amgen S.A.</w:t>
            </w:r>
          </w:p>
          <w:p w14:paraId="410E9D4D" w14:textId="77777777" w:rsidR="00E03C85" w:rsidRPr="00D55B59" w:rsidRDefault="00E03C85" w:rsidP="00D47253">
            <w:pPr>
              <w:pStyle w:val="lbltxt"/>
              <w:keepNext/>
              <w:rPr>
                <w:rStyle w:val="Initial"/>
                <w:szCs w:val="22"/>
                <w:lang w:val="es-ES"/>
                <w:rPrChange w:id="5085" w:author="Author">
                  <w:rPr>
                    <w:rStyle w:val="Initial"/>
                    <w:szCs w:val="22"/>
                    <w:lang w:val="sv-SE"/>
                  </w:rPr>
                </w:rPrChange>
              </w:rPr>
            </w:pPr>
            <w:r w:rsidRPr="00D55B59">
              <w:rPr>
                <w:noProof w:val="0"/>
                <w:szCs w:val="22"/>
                <w:lang w:val="es-ES"/>
                <w:rPrChange w:id="5086" w:author="Author">
                  <w:rPr>
                    <w:rFonts w:ascii="CG Times" w:hAnsi="CG Times"/>
                    <w:noProof w:val="0"/>
                    <w:sz w:val="24"/>
                    <w:szCs w:val="22"/>
                    <w:lang w:val="sv-SE"/>
                  </w:rPr>
                </w:rPrChange>
              </w:rPr>
              <w:t xml:space="preserve">Tel: +34 93 600 18 60 </w:t>
            </w:r>
          </w:p>
          <w:p w14:paraId="68B55F53" w14:textId="77777777" w:rsidR="00E03C85" w:rsidRPr="00D55B59" w:rsidRDefault="00E03C85" w:rsidP="00D47253">
            <w:pPr>
              <w:keepNext/>
              <w:rPr>
                <w:szCs w:val="22"/>
                <w:lang w:val="es-ES"/>
                <w:rPrChange w:id="5087" w:author="Author">
                  <w:rPr>
                    <w:szCs w:val="22"/>
                    <w:lang w:val="sv-SE"/>
                  </w:rPr>
                </w:rPrChange>
              </w:rPr>
            </w:pPr>
          </w:p>
        </w:tc>
        <w:tc>
          <w:tcPr>
            <w:tcW w:w="4679" w:type="dxa"/>
          </w:tcPr>
          <w:p w14:paraId="1116D084" w14:textId="77777777" w:rsidR="00E03C85" w:rsidRPr="00247EF0" w:rsidRDefault="00E03C85" w:rsidP="00D47253">
            <w:pPr>
              <w:pStyle w:val="lbltxt"/>
              <w:keepNext/>
              <w:rPr>
                <w:b/>
                <w:noProof w:val="0"/>
                <w:szCs w:val="22"/>
                <w:lang w:val="pl-PL"/>
              </w:rPr>
            </w:pPr>
            <w:r w:rsidRPr="00247EF0">
              <w:rPr>
                <w:b/>
                <w:noProof w:val="0"/>
                <w:szCs w:val="22"/>
                <w:lang w:val="pl-PL"/>
              </w:rPr>
              <w:t>Polska</w:t>
            </w:r>
          </w:p>
          <w:p w14:paraId="334A17DE" w14:textId="77777777" w:rsidR="00E03C85" w:rsidRPr="00247EF0" w:rsidRDefault="00E03C85" w:rsidP="00D47253">
            <w:pPr>
              <w:pStyle w:val="lbltxt"/>
              <w:keepNext/>
              <w:rPr>
                <w:noProof w:val="0"/>
                <w:szCs w:val="22"/>
                <w:lang w:val="pl-PL"/>
              </w:rPr>
            </w:pPr>
            <w:r w:rsidRPr="00247EF0">
              <w:rPr>
                <w:noProof w:val="0"/>
                <w:szCs w:val="22"/>
                <w:lang w:val="pl-PL"/>
              </w:rPr>
              <w:t xml:space="preserve">Amgen </w:t>
            </w:r>
            <w:r w:rsidRPr="00247EF0">
              <w:rPr>
                <w:noProof w:val="0"/>
                <w:color w:val="000000"/>
                <w:szCs w:val="22"/>
                <w:lang w:val="pl-PL" w:eastAsia="en-GB"/>
              </w:rPr>
              <w:t>Biotechnologia</w:t>
            </w:r>
            <w:r w:rsidRPr="00247EF0">
              <w:rPr>
                <w:noProof w:val="0"/>
                <w:szCs w:val="22"/>
                <w:lang w:val="pl-PL"/>
              </w:rPr>
              <w:t xml:space="preserve"> Sp. z o.o.</w:t>
            </w:r>
          </w:p>
          <w:p w14:paraId="3C82772A" w14:textId="77777777" w:rsidR="00E03C85" w:rsidRPr="00D55B59" w:rsidRDefault="00E03C85" w:rsidP="00D47253">
            <w:pPr>
              <w:pStyle w:val="lbltxt"/>
              <w:keepNext/>
              <w:rPr>
                <w:bCs/>
                <w:noProof w:val="0"/>
                <w:szCs w:val="22"/>
                <w:lang w:val="en-GB"/>
                <w:rPrChange w:id="5088" w:author="Author">
                  <w:rPr>
                    <w:bCs/>
                    <w:noProof w:val="0"/>
                    <w:szCs w:val="22"/>
                  </w:rPr>
                </w:rPrChange>
              </w:rPr>
            </w:pPr>
            <w:r w:rsidRPr="00D55B59">
              <w:rPr>
                <w:bCs/>
                <w:noProof w:val="0"/>
                <w:szCs w:val="22"/>
                <w:lang w:val="en-GB"/>
                <w:rPrChange w:id="5089" w:author="Author">
                  <w:rPr>
                    <w:bCs/>
                    <w:noProof w:val="0"/>
                    <w:szCs w:val="22"/>
                  </w:rPr>
                </w:rPrChange>
              </w:rPr>
              <w:t>Tel.: +48 22 581 3000</w:t>
            </w:r>
          </w:p>
          <w:p w14:paraId="74226617" w14:textId="77777777" w:rsidR="00E03C85" w:rsidRPr="00F04F82" w:rsidRDefault="00E03C85" w:rsidP="00D47253">
            <w:pPr>
              <w:keepNext/>
              <w:rPr>
                <w:szCs w:val="22"/>
              </w:rPr>
            </w:pPr>
          </w:p>
        </w:tc>
      </w:tr>
      <w:tr w:rsidR="00E03C85" w:rsidRPr="00867B3B" w14:paraId="01DE5C76" w14:textId="77777777" w:rsidTr="00D47253">
        <w:trPr>
          <w:cantSplit/>
        </w:trPr>
        <w:tc>
          <w:tcPr>
            <w:tcW w:w="4677" w:type="dxa"/>
          </w:tcPr>
          <w:p w14:paraId="0B6C8CE9" w14:textId="77777777" w:rsidR="00E03C85" w:rsidRPr="00247EF0" w:rsidRDefault="00E03C85" w:rsidP="00D47253">
            <w:pPr>
              <w:pStyle w:val="lbltxt"/>
              <w:rPr>
                <w:noProof w:val="0"/>
                <w:szCs w:val="22"/>
                <w:lang w:val="fr-FR"/>
              </w:rPr>
            </w:pPr>
            <w:r w:rsidRPr="00247EF0">
              <w:rPr>
                <w:b/>
                <w:noProof w:val="0"/>
                <w:szCs w:val="22"/>
                <w:lang w:val="fr-FR"/>
              </w:rPr>
              <w:t>France</w:t>
            </w:r>
          </w:p>
          <w:p w14:paraId="5E66740D" w14:textId="77777777" w:rsidR="00E03C85" w:rsidRPr="00247EF0" w:rsidRDefault="00E03C85" w:rsidP="00D47253">
            <w:pPr>
              <w:pStyle w:val="lbltxt"/>
              <w:rPr>
                <w:noProof w:val="0"/>
                <w:szCs w:val="22"/>
                <w:lang w:val="fr-FR"/>
              </w:rPr>
            </w:pPr>
            <w:r w:rsidRPr="00247EF0">
              <w:rPr>
                <w:noProof w:val="0"/>
                <w:szCs w:val="22"/>
                <w:lang w:val="fr-FR"/>
              </w:rPr>
              <w:t>Amgen S.A.S.</w:t>
            </w:r>
          </w:p>
          <w:p w14:paraId="1B7EF369" w14:textId="77777777" w:rsidR="00E03C85" w:rsidRPr="00247EF0" w:rsidRDefault="00E03C85" w:rsidP="00D47253">
            <w:pPr>
              <w:rPr>
                <w:szCs w:val="22"/>
                <w:lang w:val="fr-FR"/>
              </w:rPr>
            </w:pPr>
            <w:r w:rsidRPr="00247EF0">
              <w:rPr>
                <w:szCs w:val="22"/>
                <w:lang w:val="fr-FR"/>
              </w:rPr>
              <w:t>Tél: +33 (0)9 69 363 363</w:t>
            </w:r>
          </w:p>
          <w:p w14:paraId="704CD111" w14:textId="77777777" w:rsidR="00E03C85" w:rsidRPr="00247EF0" w:rsidRDefault="00E03C85" w:rsidP="00D47253">
            <w:pPr>
              <w:rPr>
                <w:szCs w:val="22"/>
                <w:lang w:val="fr-FR"/>
              </w:rPr>
            </w:pPr>
          </w:p>
        </w:tc>
        <w:tc>
          <w:tcPr>
            <w:tcW w:w="4679" w:type="dxa"/>
          </w:tcPr>
          <w:p w14:paraId="4DFD75C8" w14:textId="77777777" w:rsidR="00E03C85" w:rsidRPr="00247EF0" w:rsidRDefault="00E03C85" w:rsidP="00D47253">
            <w:pPr>
              <w:pStyle w:val="lbltxt"/>
              <w:rPr>
                <w:noProof w:val="0"/>
                <w:szCs w:val="22"/>
                <w:lang w:val="es-ES"/>
              </w:rPr>
            </w:pPr>
            <w:r w:rsidRPr="00247EF0">
              <w:rPr>
                <w:b/>
                <w:noProof w:val="0"/>
                <w:szCs w:val="22"/>
                <w:lang w:val="es-ES"/>
              </w:rPr>
              <w:t>Portugal</w:t>
            </w:r>
          </w:p>
          <w:p w14:paraId="0F9C5632" w14:textId="77777777" w:rsidR="00E03C85" w:rsidRPr="00247EF0" w:rsidRDefault="00E03C85" w:rsidP="00D47253">
            <w:pPr>
              <w:pStyle w:val="lbltxt"/>
              <w:rPr>
                <w:noProof w:val="0"/>
                <w:szCs w:val="22"/>
                <w:lang w:val="es-ES"/>
              </w:rPr>
            </w:pPr>
            <w:r w:rsidRPr="00247EF0">
              <w:rPr>
                <w:noProof w:val="0"/>
                <w:szCs w:val="22"/>
                <w:lang w:val="es-ES"/>
              </w:rPr>
              <w:t>Amgen Biofarmacêutica, Lda.</w:t>
            </w:r>
          </w:p>
          <w:p w14:paraId="7BA37C26" w14:textId="77777777" w:rsidR="00E03C85" w:rsidRPr="00247EF0" w:rsidRDefault="00E03C85" w:rsidP="00D47253">
            <w:pPr>
              <w:pStyle w:val="lbltxt"/>
              <w:rPr>
                <w:noProof w:val="0"/>
                <w:szCs w:val="22"/>
                <w:lang w:val="es-ES"/>
              </w:rPr>
            </w:pPr>
            <w:r w:rsidRPr="00247EF0">
              <w:rPr>
                <w:noProof w:val="0"/>
                <w:szCs w:val="22"/>
                <w:lang w:val="es-ES"/>
              </w:rPr>
              <w:t>Tel: +351 21 4220</w:t>
            </w:r>
            <w:r w:rsidRPr="00D55B59">
              <w:rPr>
                <w:noProof w:val="0"/>
                <w:szCs w:val="22"/>
                <w:lang w:val="es-ES"/>
                <w:rPrChange w:id="5090" w:author="Author">
                  <w:rPr>
                    <w:szCs w:val="22"/>
                    <w:lang w:val="es-ES"/>
                  </w:rPr>
                </w:rPrChange>
              </w:rPr>
              <w:t>606</w:t>
            </w:r>
          </w:p>
          <w:p w14:paraId="49DEC2A7" w14:textId="77777777" w:rsidR="00E03C85" w:rsidRPr="00247EF0" w:rsidRDefault="00E03C85" w:rsidP="00D47253">
            <w:pPr>
              <w:rPr>
                <w:szCs w:val="22"/>
                <w:lang w:val="es-ES"/>
              </w:rPr>
            </w:pPr>
          </w:p>
        </w:tc>
      </w:tr>
      <w:tr w:rsidR="00E03C85" w:rsidRPr="00F04F82" w14:paraId="162B623B" w14:textId="77777777" w:rsidTr="00D47253">
        <w:trPr>
          <w:cantSplit/>
        </w:trPr>
        <w:tc>
          <w:tcPr>
            <w:tcW w:w="4677" w:type="dxa"/>
          </w:tcPr>
          <w:p w14:paraId="4A8DBB89" w14:textId="77777777" w:rsidR="00E03C85" w:rsidRPr="00D55B59" w:rsidRDefault="00E03C85" w:rsidP="00D47253">
            <w:pPr>
              <w:keepNext/>
              <w:keepLines/>
              <w:rPr>
                <w:szCs w:val="22"/>
                <w:lang w:val="es-ES"/>
                <w:rPrChange w:id="5091" w:author="Author">
                  <w:rPr>
                    <w:szCs w:val="22"/>
                    <w:lang w:val="sv-SE"/>
                  </w:rPr>
                </w:rPrChange>
              </w:rPr>
            </w:pPr>
            <w:r w:rsidRPr="00D55B59">
              <w:rPr>
                <w:b/>
                <w:szCs w:val="22"/>
                <w:lang w:val="es-ES"/>
                <w:rPrChange w:id="5092" w:author="Author">
                  <w:rPr>
                    <w:b/>
                    <w:szCs w:val="22"/>
                    <w:lang w:val="sv-SE"/>
                  </w:rPr>
                </w:rPrChange>
              </w:rPr>
              <w:t>Hrvatska</w:t>
            </w:r>
          </w:p>
          <w:p w14:paraId="3A60581B" w14:textId="77777777" w:rsidR="00E03C85" w:rsidRPr="00D55B59" w:rsidRDefault="00E03C85" w:rsidP="00D47253">
            <w:pPr>
              <w:keepNext/>
              <w:keepLines/>
              <w:rPr>
                <w:szCs w:val="22"/>
                <w:lang w:val="es-ES"/>
                <w:rPrChange w:id="5093" w:author="Author">
                  <w:rPr>
                    <w:szCs w:val="22"/>
                    <w:lang w:val="sv-SE"/>
                  </w:rPr>
                </w:rPrChange>
              </w:rPr>
            </w:pPr>
            <w:r w:rsidRPr="00D55B59">
              <w:rPr>
                <w:szCs w:val="22"/>
                <w:lang w:val="es-ES"/>
                <w:rPrChange w:id="5094" w:author="Author">
                  <w:rPr>
                    <w:szCs w:val="22"/>
                    <w:lang w:val="sv-SE"/>
                  </w:rPr>
                </w:rPrChange>
              </w:rPr>
              <w:t>Amgen d.o.o.</w:t>
            </w:r>
          </w:p>
          <w:p w14:paraId="1D20CC6B" w14:textId="77777777" w:rsidR="00E03C85" w:rsidRPr="00247EF0" w:rsidRDefault="00E03C85" w:rsidP="00D47253">
            <w:pPr>
              <w:keepNext/>
              <w:keepLines/>
              <w:rPr>
                <w:szCs w:val="22"/>
                <w:lang w:val="es-ES"/>
              </w:rPr>
            </w:pPr>
            <w:r w:rsidRPr="00247EF0">
              <w:rPr>
                <w:szCs w:val="22"/>
                <w:lang w:val="es-ES"/>
              </w:rPr>
              <w:t>Tel: +385 (0)1 562 57 20</w:t>
            </w:r>
          </w:p>
          <w:p w14:paraId="0E4ED8BA" w14:textId="77777777" w:rsidR="00E03C85" w:rsidRPr="00247EF0" w:rsidRDefault="00E03C85" w:rsidP="00D47253">
            <w:pPr>
              <w:keepNext/>
              <w:keepLines/>
              <w:rPr>
                <w:szCs w:val="22"/>
                <w:lang w:val="es-ES"/>
              </w:rPr>
            </w:pPr>
          </w:p>
        </w:tc>
        <w:tc>
          <w:tcPr>
            <w:tcW w:w="4679" w:type="dxa"/>
          </w:tcPr>
          <w:p w14:paraId="01DCFF5D" w14:textId="77777777" w:rsidR="00E03C85" w:rsidRPr="00D55B59" w:rsidRDefault="00E03C85" w:rsidP="00D47253">
            <w:pPr>
              <w:keepNext/>
              <w:keepLines/>
              <w:suppressAutoHyphens/>
              <w:rPr>
                <w:b/>
                <w:szCs w:val="22"/>
                <w:rPrChange w:id="5095" w:author="Author">
                  <w:rPr>
                    <w:b/>
                    <w:szCs w:val="22"/>
                    <w:lang w:val="es-ES"/>
                  </w:rPr>
                </w:rPrChange>
              </w:rPr>
            </w:pPr>
            <w:r w:rsidRPr="00D55B59">
              <w:rPr>
                <w:b/>
                <w:szCs w:val="22"/>
                <w:rPrChange w:id="5096" w:author="Author">
                  <w:rPr>
                    <w:b/>
                    <w:szCs w:val="22"/>
                    <w:lang w:val="es-ES"/>
                  </w:rPr>
                </w:rPrChange>
              </w:rPr>
              <w:t>România</w:t>
            </w:r>
          </w:p>
          <w:p w14:paraId="163D3135" w14:textId="77777777" w:rsidR="00E03C85" w:rsidRPr="00D55B59" w:rsidRDefault="00E03C85" w:rsidP="00D47253">
            <w:pPr>
              <w:keepNext/>
              <w:keepLines/>
              <w:rPr>
                <w:color w:val="000000"/>
                <w:szCs w:val="22"/>
                <w:rPrChange w:id="5097" w:author="Author">
                  <w:rPr>
                    <w:color w:val="000000"/>
                    <w:szCs w:val="22"/>
                    <w:lang w:val="es-ES"/>
                  </w:rPr>
                </w:rPrChange>
              </w:rPr>
            </w:pPr>
            <w:r w:rsidRPr="00D55B59">
              <w:rPr>
                <w:color w:val="000000"/>
                <w:szCs w:val="22"/>
                <w:rPrChange w:id="5098" w:author="Author">
                  <w:rPr>
                    <w:color w:val="000000"/>
                    <w:szCs w:val="22"/>
                    <w:lang w:val="es-ES"/>
                  </w:rPr>
                </w:rPrChange>
              </w:rPr>
              <w:t>Amgen România SRL</w:t>
            </w:r>
          </w:p>
          <w:p w14:paraId="44958E5B" w14:textId="77777777" w:rsidR="00E03C85" w:rsidRPr="00D55B59" w:rsidRDefault="00E03C85" w:rsidP="00D47253">
            <w:pPr>
              <w:pStyle w:val="lbltxt"/>
              <w:keepNext/>
              <w:keepLines/>
              <w:rPr>
                <w:noProof w:val="0"/>
                <w:szCs w:val="22"/>
                <w:lang w:val="en-GB"/>
                <w:rPrChange w:id="5099" w:author="Author">
                  <w:rPr>
                    <w:noProof w:val="0"/>
                    <w:szCs w:val="22"/>
                    <w:lang w:val="es-ES"/>
                  </w:rPr>
                </w:rPrChange>
              </w:rPr>
            </w:pPr>
            <w:r w:rsidRPr="00D55B59">
              <w:rPr>
                <w:noProof w:val="0"/>
                <w:szCs w:val="22"/>
                <w:lang w:val="en-GB"/>
                <w:rPrChange w:id="5100" w:author="Author">
                  <w:rPr>
                    <w:noProof w:val="0"/>
                    <w:szCs w:val="22"/>
                    <w:lang w:val="es-ES"/>
                  </w:rPr>
                </w:rPrChange>
              </w:rPr>
              <w:t>Tel: +4021 527 3000</w:t>
            </w:r>
          </w:p>
          <w:p w14:paraId="38830A35" w14:textId="77777777" w:rsidR="00E03C85" w:rsidRPr="00D55B59" w:rsidRDefault="00E03C85" w:rsidP="00D47253">
            <w:pPr>
              <w:keepNext/>
              <w:keepLines/>
              <w:rPr>
                <w:szCs w:val="22"/>
                <w:rPrChange w:id="5101" w:author="Author">
                  <w:rPr>
                    <w:szCs w:val="22"/>
                    <w:lang w:val="es-ES"/>
                  </w:rPr>
                </w:rPrChange>
              </w:rPr>
            </w:pPr>
          </w:p>
        </w:tc>
      </w:tr>
      <w:tr w:rsidR="00E03C85" w:rsidRPr="00F04F82" w14:paraId="67312787" w14:textId="77777777" w:rsidTr="00D47253">
        <w:trPr>
          <w:cantSplit/>
        </w:trPr>
        <w:tc>
          <w:tcPr>
            <w:tcW w:w="4677" w:type="dxa"/>
          </w:tcPr>
          <w:p w14:paraId="19643625" w14:textId="77777777" w:rsidR="00E03C85" w:rsidRPr="00D55B59" w:rsidRDefault="00E03C85" w:rsidP="00D47253">
            <w:pPr>
              <w:pStyle w:val="lbltxt"/>
              <w:rPr>
                <w:rFonts w:eastAsia="Arial Unicode MS"/>
                <w:b/>
                <w:noProof w:val="0"/>
                <w:szCs w:val="22"/>
                <w:lang w:val="en-GB"/>
                <w:rPrChange w:id="5102" w:author="Author">
                  <w:rPr>
                    <w:rFonts w:eastAsia="Arial Unicode MS"/>
                    <w:b/>
                    <w:noProof w:val="0"/>
                    <w:szCs w:val="22"/>
                  </w:rPr>
                </w:rPrChange>
              </w:rPr>
            </w:pPr>
            <w:r w:rsidRPr="00D55B59">
              <w:rPr>
                <w:rFonts w:eastAsia="Arial Unicode MS"/>
                <w:b/>
                <w:noProof w:val="0"/>
                <w:szCs w:val="22"/>
                <w:lang w:val="en-GB"/>
                <w:rPrChange w:id="5103" w:author="Author">
                  <w:rPr>
                    <w:rFonts w:eastAsia="Arial Unicode MS"/>
                    <w:b/>
                    <w:noProof w:val="0"/>
                    <w:szCs w:val="22"/>
                  </w:rPr>
                </w:rPrChange>
              </w:rPr>
              <w:t>Ireland</w:t>
            </w:r>
          </w:p>
          <w:p w14:paraId="347DF293" w14:textId="77777777" w:rsidR="00E03C85" w:rsidRPr="00D55B59" w:rsidRDefault="00E03C85" w:rsidP="00D47253">
            <w:pPr>
              <w:pStyle w:val="lbltxt"/>
              <w:rPr>
                <w:rFonts w:eastAsia="Arial Unicode MS"/>
                <w:bCs/>
                <w:noProof w:val="0"/>
                <w:szCs w:val="22"/>
                <w:lang w:val="en-GB"/>
                <w:rPrChange w:id="5104" w:author="Author">
                  <w:rPr>
                    <w:rFonts w:eastAsia="Arial Unicode MS"/>
                    <w:bCs/>
                    <w:noProof w:val="0"/>
                    <w:szCs w:val="22"/>
                  </w:rPr>
                </w:rPrChange>
              </w:rPr>
            </w:pPr>
            <w:r w:rsidRPr="00D55B59">
              <w:rPr>
                <w:rFonts w:eastAsia="Arial Unicode MS"/>
                <w:bCs/>
                <w:noProof w:val="0"/>
                <w:szCs w:val="22"/>
                <w:lang w:val="en-GB"/>
                <w:rPrChange w:id="5105" w:author="Author">
                  <w:rPr>
                    <w:rFonts w:eastAsia="Arial Unicode MS"/>
                    <w:bCs/>
                    <w:noProof w:val="0"/>
                    <w:szCs w:val="22"/>
                  </w:rPr>
                </w:rPrChange>
              </w:rPr>
              <w:t>Amgen Ireland Limited</w:t>
            </w:r>
          </w:p>
          <w:p w14:paraId="5ECFAFAB" w14:textId="77777777" w:rsidR="00E03C85" w:rsidRPr="00F04F82" w:rsidRDefault="00E03C85" w:rsidP="00D47253">
            <w:pPr>
              <w:pStyle w:val="lbltxt"/>
              <w:rPr>
                <w:rStyle w:val="Initial"/>
                <w:rFonts w:eastAsia="Arial Unicode MS"/>
                <w:bCs/>
                <w:szCs w:val="22"/>
                <w:lang w:val="en-GB"/>
              </w:rPr>
            </w:pPr>
            <w:r w:rsidRPr="00D55B59">
              <w:rPr>
                <w:rFonts w:eastAsia="Arial Unicode MS"/>
                <w:bCs/>
                <w:noProof w:val="0"/>
                <w:szCs w:val="22"/>
                <w:lang w:val="en-GB"/>
                <w:rPrChange w:id="5106" w:author="Author">
                  <w:rPr>
                    <w:rFonts w:eastAsia="Arial Unicode MS"/>
                    <w:bCs/>
                    <w:noProof w:val="0"/>
                    <w:szCs w:val="22"/>
                  </w:rPr>
                </w:rPrChange>
              </w:rPr>
              <w:t xml:space="preserve">Tel: </w:t>
            </w:r>
            <w:r w:rsidRPr="00D55B59">
              <w:rPr>
                <w:rFonts w:eastAsia="Arial Unicode MS"/>
                <w:bCs/>
                <w:noProof w:val="0"/>
                <w:szCs w:val="22"/>
                <w:lang w:val="en-GB"/>
                <w:rPrChange w:id="5107" w:author="Author">
                  <w:rPr>
                    <w:rFonts w:eastAsia="Arial Unicode MS"/>
                    <w:bCs/>
                    <w:szCs w:val="22"/>
                  </w:rPr>
                </w:rPrChange>
              </w:rPr>
              <w:t>+353 1 8527400</w:t>
            </w:r>
          </w:p>
          <w:p w14:paraId="60930AC9" w14:textId="77777777" w:rsidR="00E03C85" w:rsidRPr="00D55B59" w:rsidRDefault="00E03C85" w:rsidP="00D47253">
            <w:pPr>
              <w:pStyle w:val="lbltxt"/>
              <w:rPr>
                <w:noProof w:val="0"/>
                <w:szCs w:val="22"/>
                <w:lang w:val="en-GB"/>
                <w:rPrChange w:id="5108" w:author="Author">
                  <w:rPr>
                    <w:noProof w:val="0"/>
                    <w:szCs w:val="22"/>
                  </w:rPr>
                </w:rPrChange>
              </w:rPr>
            </w:pPr>
          </w:p>
        </w:tc>
        <w:tc>
          <w:tcPr>
            <w:tcW w:w="4679" w:type="dxa"/>
          </w:tcPr>
          <w:p w14:paraId="0411AECB" w14:textId="77777777" w:rsidR="00E03C85" w:rsidRPr="00D55B59" w:rsidRDefault="00E03C85" w:rsidP="00D47253">
            <w:pPr>
              <w:pStyle w:val="lbltxt"/>
              <w:rPr>
                <w:b/>
                <w:noProof w:val="0"/>
                <w:szCs w:val="22"/>
                <w:lang w:val="en-GB"/>
                <w:rPrChange w:id="5109" w:author="Author">
                  <w:rPr>
                    <w:b/>
                    <w:noProof w:val="0"/>
                    <w:szCs w:val="22"/>
                    <w:lang w:val="nl-NL"/>
                  </w:rPr>
                </w:rPrChange>
              </w:rPr>
            </w:pPr>
            <w:r w:rsidRPr="00D55B59">
              <w:rPr>
                <w:b/>
                <w:noProof w:val="0"/>
                <w:szCs w:val="22"/>
                <w:lang w:val="en-GB"/>
                <w:rPrChange w:id="5110" w:author="Author">
                  <w:rPr>
                    <w:b/>
                    <w:noProof w:val="0"/>
                    <w:szCs w:val="22"/>
                    <w:lang w:val="nl-NL"/>
                  </w:rPr>
                </w:rPrChange>
              </w:rPr>
              <w:t>Slovenija</w:t>
            </w:r>
          </w:p>
          <w:p w14:paraId="356B5932" w14:textId="77777777" w:rsidR="00E03C85" w:rsidRPr="00D55B59" w:rsidRDefault="00E03C85" w:rsidP="00D47253">
            <w:pPr>
              <w:pStyle w:val="lbltxt"/>
              <w:rPr>
                <w:bCs/>
                <w:noProof w:val="0"/>
                <w:szCs w:val="22"/>
                <w:lang w:val="en-GB"/>
                <w:rPrChange w:id="5111" w:author="Author">
                  <w:rPr>
                    <w:bCs/>
                    <w:noProof w:val="0"/>
                    <w:szCs w:val="22"/>
                    <w:lang w:val="nl-NL"/>
                  </w:rPr>
                </w:rPrChange>
              </w:rPr>
            </w:pPr>
            <w:r w:rsidRPr="00D55B59">
              <w:rPr>
                <w:noProof w:val="0"/>
                <w:szCs w:val="22"/>
                <w:lang w:val="en-GB"/>
                <w:rPrChange w:id="5112" w:author="Author">
                  <w:rPr>
                    <w:noProof w:val="0"/>
                    <w:szCs w:val="22"/>
                    <w:lang w:val="nl-NL"/>
                  </w:rPr>
                </w:rPrChange>
              </w:rPr>
              <w:t>AMGEN zdravila d.o.o.</w:t>
            </w:r>
          </w:p>
          <w:p w14:paraId="72499686" w14:textId="77777777" w:rsidR="00E03C85" w:rsidRPr="00D55B59" w:rsidRDefault="00E03C85" w:rsidP="00D47253">
            <w:pPr>
              <w:pStyle w:val="lbltxt"/>
              <w:rPr>
                <w:bCs/>
                <w:noProof w:val="0"/>
                <w:szCs w:val="22"/>
                <w:lang w:val="en-GB"/>
                <w:rPrChange w:id="5113" w:author="Author">
                  <w:rPr>
                    <w:bCs/>
                    <w:noProof w:val="0"/>
                    <w:szCs w:val="22"/>
                  </w:rPr>
                </w:rPrChange>
              </w:rPr>
            </w:pPr>
            <w:r w:rsidRPr="00D55B59">
              <w:rPr>
                <w:bCs/>
                <w:noProof w:val="0"/>
                <w:szCs w:val="22"/>
                <w:lang w:val="en-GB"/>
                <w:rPrChange w:id="5114" w:author="Author">
                  <w:rPr>
                    <w:bCs/>
                    <w:noProof w:val="0"/>
                    <w:szCs w:val="22"/>
                  </w:rPr>
                </w:rPrChange>
              </w:rPr>
              <w:t>Tel: +386 (0)1 585 1767</w:t>
            </w:r>
          </w:p>
          <w:p w14:paraId="54A2089C" w14:textId="77777777" w:rsidR="00E03C85" w:rsidRPr="00F04F82" w:rsidRDefault="00E03C85" w:rsidP="00D47253">
            <w:pPr>
              <w:rPr>
                <w:szCs w:val="22"/>
              </w:rPr>
            </w:pPr>
          </w:p>
        </w:tc>
      </w:tr>
      <w:tr w:rsidR="00E03C85" w:rsidRPr="00F04F82" w14:paraId="29017A7F" w14:textId="77777777" w:rsidTr="00D47253">
        <w:trPr>
          <w:cantSplit/>
        </w:trPr>
        <w:tc>
          <w:tcPr>
            <w:tcW w:w="4677" w:type="dxa"/>
          </w:tcPr>
          <w:p w14:paraId="63C66498" w14:textId="77777777" w:rsidR="00E03C85" w:rsidRPr="00D55B59" w:rsidRDefault="00E03C85" w:rsidP="00D47253">
            <w:pPr>
              <w:pStyle w:val="lbltxt"/>
              <w:rPr>
                <w:b/>
                <w:noProof w:val="0"/>
                <w:szCs w:val="22"/>
                <w:lang w:val="en-GB"/>
                <w:rPrChange w:id="5115" w:author="Author">
                  <w:rPr>
                    <w:b/>
                    <w:noProof w:val="0"/>
                    <w:szCs w:val="22"/>
                  </w:rPr>
                </w:rPrChange>
              </w:rPr>
            </w:pPr>
            <w:r w:rsidRPr="00D55B59">
              <w:rPr>
                <w:b/>
                <w:noProof w:val="0"/>
                <w:szCs w:val="22"/>
                <w:lang w:val="en-GB"/>
                <w:rPrChange w:id="5116" w:author="Author">
                  <w:rPr>
                    <w:b/>
                    <w:noProof w:val="0"/>
                    <w:szCs w:val="22"/>
                  </w:rPr>
                </w:rPrChange>
              </w:rPr>
              <w:t>Ísland</w:t>
            </w:r>
          </w:p>
          <w:p w14:paraId="4D0E1367" w14:textId="283F33AF" w:rsidR="00E03C85" w:rsidRPr="00D55B59" w:rsidRDefault="00E03C85" w:rsidP="00D47253">
            <w:pPr>
              <w:pStyle w:val="lbltxt"/>
              <w:rPr>
                <w:noProof w:val="0"/>
                <w:szCs w:val="22"/>
                <w:lang w:val="en-GB"/>
                <w:rPrChange w:id="5117" w:author="Author">
                  <w:rPr>
                    <w:noProof w:val="0"/>
                    <w:szCs w:val="22"/>
                  </w:rPr>
                </w:rPrChange>
              </w:rPr>
            </w:pPr>
            <w:r w:rsidRPr="00D55B59">
              <w:rPr>
                <w:noProof w:val="0"/>
                <w:szCs w:val="22"/>
                <w:lang w:val="en-GB"/>
                <w:rPrChange w:id="5118" w:author="Author">
                  <w:rPr>
                    <w:noProof w:val="0"/>
                    <w:szCs w:val="22"/>
                  </w:rPr>
                </w:rPrChange>
              </w:rPr>
              <w:t>Vistor</w:t>
            </w:r>
            <w:del w:id="5119" w:author="Author">
              <w:r w:rsidRPr="00D55B59" w:rsidDel="00256A32">
                <w:rPr>
                  <w:noProof w:val="0"/>
                  <w:szCs w:val="22"/>
                  <w:lang w:val="en-GB"/>
                  <w:rPrChange w:id="5120" w:author="Author">
                    <w:rPr>
                      <w:noProof w:val="0"/>
                      <w:szCs w:val="22"/>
                    </w:rPr>
                  </w:rPrChange>
                </w:rPr>
                <w:delText xml:space="preserve"> hf.</w:delText>
              </w:r>
            </w:del>
          </w:p>
          <w:p w14:paraId="300B3DBF" w14:textId="77777777" w:rsidR="00E03C85" w:rsidRPr="00D55B59" w:rsidRDefault="00E03C85" w:rsidP="00D47253">
            <w:pPr>
              <w:pStyle w:val="lbltxt"/>
              <w:rPr>
                <w:noProof w:val="0"/>
                <w:szCs w:val="22"/>
                <w:lang w:val="en-GB"/>
                <w:rPrChange w:id="5121" w:author="Author">
                  <w:rPr>
                    <w:noProof w:val="0"/>
                    <w:szCs w:val="22"/>
                  </w:rPr>
                </w:rPrChange>
              </w:rPr>
            </w:pPr>
            <w:r w:rsidRPr="00D55B59">
              <w:rPr>
                <w:noProof w:val="0"/>
                <w:szCs w:val="22"/>
                <w:lang w:val="en-GB"/>
                <w:rPrChange w:id="5122" w:author="Author">
                  <w:rPr>
                    <w:noProof w:val="0"/>
                    <w:szCs w:val="22"/>
                  </w:rPr>
                </w:rPrChange>
              </w:rPr>
              <w:t>Sími: +354 535 7000</w:t>
            </w:r>
          </w:p>
          <w:p w14:paraId="3A4C8E5F" w14:textId="77777777" w:rsidR="00E03C85" w:rsidRPr="00F04F82" w:rsidRDefault="00E03C85" w:rsidP="00D47253">
            <w:pPr>
              <w:rPr>
                <w:szCs w:val="22"/>
              </w:rPr>
            </w:pPr>
          </w:p>
        </w:tc>
        <w:tc>
          <w:tcPr>
            <w:tcW w:w="4679" w:type="dxa"/>
          </w:tcPr>
          <w:p w14:paraId="25FE9F04" w14:textId="77777777" w:rsidR="00E03C85" w:rsidRPr="00D55B59" w:rsidRDefault="00E03C85" w:rsidP="00D47253">
            <w:pPr>
              <w:pStyle w:val="lbltxt"/>
              <w:rPr>
                <w:b/>
                <w:noProof w:val="0"/>
                <w:szCs w:val="22"/>
                <w:lang w:val="en-GB"/>
                <w:rPrChange w:id="5123" w:author="Author">
                  <w:rPr>
                    <w:b/>
                    <w:noProof w:val="0"/>
                    <w:szCs w:val="22"/>
                    <w:lang w:val="sv-SE"/>
                  </w:rPr>
                </w:rPrChange>
              </w:rPr>
            </w:pPr>
            <w:r w:rsidRPr="00D55B59">
              <w:rPr>
                <w:b/>
                <w:noProof w:val="0"/>
                <w:szCs w:val="22"/>
                <w:lang w:val="en-GB"/>
                <w:rPrChange w:id="5124" w:author="Author">
                  <w:rPr>
                    <w:b/>
                    <w:noProof w:val="0"/>
                    <w:szCs w:val="22"/>
                    <w:lang w:val="sv-SE"/>
                  </w:rPr>
                </w:rPrChange>
              </w:rPr>
              <w:t>Slovenská republika</w:t>
            </w:r>
          </w:p>
          <w:p w14:paraId="34272163" w14:textId="77777777" w:rsidR="00E03C85" w:rsidRPr="00D55B59" w:rsidRDefault="00E03C85" w:rsidP="00D47253">
            <w:pPr>
              <w:pStyle w:val="lbltxt"/>
              <w:rPr>
                <w:bCs/>
                <w:noProof w:val="0"/>
                <w:szCs w:val="22"/>
                <w:lang w:val="en-GB"/>
                <w:rPrChange w:id="5125" w:author="Author">
                  <w:rPr>
                    <w:bCs/>
                    <w:noProof w:val="0"/>
                    <w:szCs w:val="22"/>
                    <w:lang w:val="sv-SE"/>
                  </w:rPr>
                </w:rPrChange>
              </w:rPr>
            </w:pPr>
            <w:r w:rsidRPr="00D55B59">
              <w:rPr>
                <w:bCs/>
                <w:noProof w:val="0"/>
                <w:szCs w:val="22"/>
                <w:lang w:val="en-GB"/>
                <w:rPrChange w:id="5126" w:author="Author">
                  <w:rPr>
                    <w:bCs/>
                    <w:noProof w:val="0"/>
                    <w:szCs w:val="22"/>
                    <w:lang w:val="sv-SE"/>
                  </w:rPr>
                </w:rPrChange>
              </w:rPr>
              <w:t>Amgen Slovakia s.r.o.</w:t>
            </w:r>
          </w:p>
          <w:p w14:paraId="5C38B100" w14:textId="77777777" w:rsidR="00E03C85" w:rsidRPr="00D55B59" w:rsidRDefault="00E03C85" w:rsidP="00D47253">
            <w:pPr>
              <w:pStyle w:val="lbltxt"/>
              <w:rPr>
                <w:noProof w:val="0"/>
                <w:lang w:val="en-GB" w:eastAsia="ja-JP"/>
                <w:rPrChange w:id="5127" w:author="Author">
                  <w:rPr>
                    <w:lang w:val="en-US" w:eastAsia="ja-JP"/>
                  </w:rPr>
                </w:rPrChange>
              </w:rPr>
            </w:pPr>
            <w:r w:rsidRPr="00D55B59">
              <w:rPr>
                <w:bCs/>
                <w:noProof w:val="0"/>
                <w:szCs w:val="22"/>
                <w:lang w:val="en-GB"/>
                <w:rPrChange w:id="5128" w:author="Author">
                  <w:rPr>
                    <w:bCs/>
                    <w:noProof w:val="0"/>
                    <w:szCs w:val="22"/>
                  </w:rPr>
                </w:rPrChange>
              </w:rPr>
              <w:t xml:space="preserve">Tel: </w:t>
            </w:r>
            <w:r w:rsidRPr="00D55B59">
              <w:rPr>
                <w:noProof w:val="0"/>
                <w:lang w:val="en-GB" w:eastAsia="ja-JP"/>
                <w:rPrChange w:id="5129" w:author="Author">
                  <w:rPr>
                    <w:lang w:val="en-US" w:eastAsia="ja-JP"/>
                  </w:rPr>
                </w:rPrChange>
              </w:rPr>
              <w:t>+421 2 321 114 49</w:t>
            </w:r>
          </w:p>
          <w:p w14:paraId="05EB2545" w14:textId="77777777" w:rsidR="00E03C85" w:rsidRPr="00D55B59" w:rsidRDefault="00E03C85" w:rsidP="00D47253">
            <w:pPr>
              <w:pStyle w:val="lbltxt"/>
              <w:rPr>
                <w:noProof w:val="0"/>
                <w:szCs w:val="22"/>
                <w:lang w:val="en-GB"/>
                <w:rPrChange w:id="5130" w:author="Author">
                  <w:rPr>
                    <w:szCs w:val="22"/>
                  </w:rPr>
                </w:rPrChange>
              </w:rPr>
            </w:pPr>
          </w:p>
        </w:tc>
      </w:tr>
      <w:tr w:rsidR="00E03C85" w:rsidRPr="00F04F82" w14:paraId="20D63DF2" w14:textId="77777777" w:rsidTr="00D47253">
        <w:trPr>
          <w:cantSplit/>
        </w:trPr>
        <w:tc>
          <w:tcPr>
            <w:tcW w:w="4677" w:type="dxa"/>
          </w:tcPr>
          <w:p w14:paraId="38C516FB" w14:textId="77777777" w:rsidR="00E03C85" w:rsidRPr="00D55B59" w:rsidRDefault="00E03C85" w:rsidP="00D47253">
            <w:pPr>
              <w:pStyle w:val="lbltxt"/>
              <w:rPr>
                <w:noProof w:val="0"/>
                <w:szCs w:val="22"/>
                <w:lang w:val="es-ES"/>
                <w:rPrChange w:id="5131" w:author="Author">
                  <w:rPr>
                    <w:noProof w:val="0"/>
                    <w:szCs w:val="22"/>
                    <w:lang w:val="pt-PT"/>
                  </w:rPr>
                </w:rPrChange>
              </w:rPr>
            </w:pPr>
            <w:r w:rsidRPr="00D55B59">
              <w:rPr>
                <w:b/>
                <w:noProof w:val="0"/>
                <w:szCs w:val="22"/>
                <w:lang w:val="es-ES"/>
                <w:rPrChange w:id="5132" w:author="Author">
                  <w:rPr>
                    <w:b/>
                    <w:noProof w:val="0"/>
                    <w:szCs w:val="22"/>
                    <w:lang w:val="pt-PT"/>
                  </w:rPr>
                </w:rPrChange>
              </w:rPr>
              <w:t>Italia</w:t>
            </w:r>
          </w:p>
          <w:p w14:paraId="7C0F618A" w14:textId="77777777" w:rsidR="00E03C85" w:rsidRPr="00D55B59" w:rsidRDefault="00E03C85" w:rsidP="00D47253">
            <w:pPr>
              <w:pStyle w:val="lbltxt"/>
              <w:rPr>
                <w:noProof w:val="0"/>
                <w:szCs w:val="22"/>
                <w:lang w:val="es-ES"/>
                <w:rPrChange w:id="5133" w:author="Author">
                  <w:rPr>
                    <w:noProof w:val="0"/>
                    <w:szCs w:val="22"/>
                    <w:lang w:val="pt-PT"/>
                  </w:rPr>
                </w:rPrChange>
              </w:rPr>
            </w:pPr>
            <w:r w:rsidRPr="00D55B59">
              <w:rPr>
                <w:noProof w:val="0"/>
                <w:szCs w:val="22"/>
                <w:lang w:val="es-ES"/>
                <w:rPrChange w:id="5134" w:author="Author">
                  <w:rPr>
                    <w:noProof w:val="0"/>
                    <w:szCs w:val="22"/>
                    <w:lang w:val="pt-PT"/>
                  </w:rPr>
                </w:rPrChange>
              </w:rPr>
              <w:t>Amgen S.r.l.</w:t>
            </w:r>
          </w:p>
          <w:p w14:paraId="751DDA79" w14:textId="77777777" w:rsidR="00E03C85" w:rsidRPr="00D55B59" w:rsidRDefault="00E03C85" w:rsidP="00D47253">
            <w:pPr>
              <w:pStyle w:val="lbltxt"/>
              <w:rPr>
                <w:noProof w:val="0"/>
                <w:szCs w:val="22"/>
                <w:lang w:val="en-GB"/>
                <w:rPrChange w:id="5135" w:author="Author">
                  <w:rPr>
                    <w:noProof w:val="0"/>
                    <w:szCs w:val="22"/>
                    <w:lang w:val="pt-PT"/>
                  </w:rPr>
                </w:rPrChange>
              </w:rPr>
            </w:pPr>
            <w:r w:rsidRPr="00D55B59">
              <w:rPr>
                <w:noProof w:val="0"/>
                <w:szCs w:val="22"/>
                <w:lang w:val="en-GB"/>
                <w:rPrChange w:id="5136" w:author="Author">
                  <w:rPr>
                    <w:noProof w:val="0"/>
                    <w:szCs w:val="22"/>
                    <w:lang w:val="pt-PT"/>
                  </w:rPr>
                </w:rPrChange>
              </w:rPr>
              <w:t>Tel: +39 02 6241121</w:t>
            </w:r>
          </w:p>
          <w:p w14:paraId="1553512A" w14:textId="77777777" w:rsidR="00E03C85" w:rsidRPr="00D55B59" w:rsidRDefault="00E03C85" w:rsidP="00D47253">
            <w:pPr>
              <w:rPr>
                <w:szCs w:val="22"/>
                <w:rPrChange w:id="5137" w:author="Author">
                  <w:rPr>
                    <w:szCs w:val="22"/>
                    <w:lang w:val="pt-PT"/>
                  </w:rPr>
                </w:rPrChange>
              </w:rPr>
            </w:pPr>
          </w:p>
        </w:tc>
        <w:tc>
          <w:tcPr>
            <w:tcW w:w="4679" w:type="dxa"/>
          </w:tcPr>
          <w:p w14:paraId="385D7FD1" w14:textId="77777777" w:rsidR="00E03C85" w:rsidRPr="00D55B59" w:rsidRDefault="00E03C85" w:rsidP="00D47253">
            <w:pPr>
              <w:pStyle w:val="lbltxt"/>
              <w:rPr>
                <w:noProof w:val="0"/>
                <w:szCs w:val="22"/>
                <w:lang w:val="en-GB"/>
                <w:rPrChange w:id="5138" w:author="Author">
                  <w:rPr>
                    <w:noProof w:val="0"/>
                    <w:szCs w:val="22"/>
                    <w:lang w:val="sv-SE"/>
                  </w:rPr>
                </w:rPrChange>
              </w:rPr>
            </w:pPr>
            <w:r w:rsidRPr="00D55B59">
              <w:rPr>
                <w:b/>
                <w:noProof w:val="0"/>
                <w:szCs w:val="22"/>
                <w:lang w:val="en-GB"/>
                <w:rPrChange w:id="5139" w:author="Author">
                  <w:rPr>
                    <w:b/>
                    <w:noProof w:val="0"/>
                    <w:szCs w:val="22"/>
                    <w:lang w:val="sv-SE"/>
                  </w:rPr>
                </w:rPrChange>
              </w:rPr>
              <w:t>Suomi/Finland</w:t>
            </w:r>
          </w:p>
          <w:p w14:paraId="3E2EA6E0" w14:textId="77777777" w:rsidR="009C222E" w:rsidRPr="00D55B59" w:rsidRDefault="009C222E" w:rsidP="009C222E">
            <w:pPr>
              <w:pStyle w:val="lbltxt"/>
              <w:rPr>
                <w:noProof w:val="0"/>
                <w:szCs w:val="22"/>
                <w:lang w:val="en-GB"/>
                <w:rPrChange w:id="5140" w:author="Author">
                  <w:rPr>
                    <w:szCs w:val="22"/>
                    <w:lang w:val="nl-NL"/>
                  </w:rPr>
                </w:rPrChange>
              </w:rPr>
            </w:pPr>
            <w:r w:rsidRPr="00D55B59">
              <w:rPr>
                <w:noProof w:val="0"/>
                <w:szCs w:val="22"/>
                <w:lang w:val="en-GB"/>
                <w:rPrChange w:id="5141" w:author="Author">
                  <w:rPr>
                    <w:szCs w:val="22"/>
                    <w:lang w:val="nl-NL"/>
                  </w:rPr>
                </w:rPrChange>
              </w:rPr>
              <w:t>Amgen AB, sivuliike Suomessa/Amgen AB, filial i Finland</w:t>
            </w:r>
          </w:p>
          <w:p w14:paraId="72D18961" w14:textId="77777777" w:rsidR="00E03C85" w:rsidRPr="00D55B59" w:rsidRDefault="009C222E" w:rsidP="009C222E">
            <w:pPr>
              <w:pStyle w:val="lbltxt"/>
              <w:rPr>
                <w:noProof w:val="0"/>
                <w:szCs w:val="22"/>
                <w:lang w:val="en-GB"/>
                <w:rPrChange w:id="5142" w:author="Author">
                  <w:rPr>
                    <w:szCs w:val="22"/>
                    <w:lang w:val="nl-NL"/>
                  </w:rPr>
                </w:rPrChange>
              </w:rPr>
            </w:pPr>
            <w:r w:rsidRPr="00D55B59">
              <w:rPr>
                <w:noProof w:val="0"/>
                <w:szCs w:val="22"/>
                <w:lang w:val="en-GB"/>
                <w:rPrChange w:id="5143" w:author="Author">
                  <w:rPr>
                    <w:szCs w:val="22"/>
                    <w:lang w:val="nl-NL"/>
                  </w:rPr>
                </w:rPrChange>
              </w:rPr>
              <w:t>Puh/Tel: +358 (0)9 54900500</w:t>
            </w:r>
          </w:p>
          <w:p w14:paraId="7C032CAF" w14:textId="1EC4AF07" w:rsidR="009C222E" w:rsidRPr="00D55B59" w:rsidRDefault="009C222E" w:rsidP="00452AE6">
            <w:pPr>
              <w:pStyle w:val="lbltxt"/>
              <w:rPr>
                <w:noProof w:val="0"/>
                <w:szCs w:val="22"/>
                <w:lang w:val="en-GB"/>
                <w:rPrChange w:id="5144" w:author="Author">
                  <w:rPr>
                    <w:szCs w:val="22"/>
                    <w:lang w:val="fr-CH"/>
                  </w:rPr>
                </w:rPrChange>
              </w:rPr>
            </w:pPr>
          </w:p>
        </w:tc>
      </w:tr>
      <w:tr w:rsidR="00E03C85" w:rsidRPr="00F04F82" w14:paraId="7B94A271" w14:textId="77777777" w:rsidTr="00D47253">
        <w:trPr>
          <w:cantSplit/>
        </w:trPr>
        <w:tc>
          <w:tcPr>
            <w:tcW w:w="4677" w:type="dxa"/>
          </w:tcPr>
          <w:p w14:paraId="561336DE" w14:textId="77777777" w:rsidR="00E03C85" w:rsidRPr="00D55B59" w:rsidRDefault="00E03C85" w:rsidP="00D47253">
            <w:pPr>
              <w:pStyle w:val="lbltxt"/>
              <w:rPr>
                <w:b/>
                <w:noProof w:val="0"/>
                <w:szCs w:val="22"/>
                <w:lang w:val="en-GB"/>
                <w:rPrChange w:id="5145" w:author="Author">
                  <w:rPr>
                    <w:b/>
                    <w:noProof w:val="0"/>
                    <w:szCs w:val="22"/>
                  </w:rPr>
                </w:rPrChange>
              </w:rPr>
            </w:pPr>
            <w:r w:rsidRPr="00D55B59">
              <w:rPr>
                <w:b/>
                <w:noProof w:val="0"/>
                <w:szCs w:val="22"/>
                <w:lang w:val="en-GB"/>
                <w:rPrChange w:id="5146" w:author="Author">
                  <w:rPr>
                    <w:b/>
                    <w:noProof w:val="0"/>
                    <w:szCs w:val="22"/>
                  </w:rPr>
                </w:rPrChange>
              </w:rPr>
              <w:t>Kύπρος</w:t>
            </w:r>
          </w:p>
          <w:p w14:paraId="3A2CC734" w14:textId="77777777" w:rsidR="00E03C85" w:rsidRPr="00F04F82" w:rsidRDefault="00E03C85" w:rsidP="00D47253">
            <w:pPr>
              <w:rPr>
                <w:szCs w:val="22"/>
              </w:rPr>
            </w:pPr>
            <w:r w:rsidRPr="00F04F82">
              <w:rPr>
                <w:szCs w:val="22"/>
              </w:rPr>
              <w:t>C.A. Papaellinas Ltd</w:t>
            </w:r>
          </w:p>
          <w:p w14:paraId="62E2E696" w14:textId="77777777" w:rsidR="00E03C85" w:rsidRPr="00D55B59" w:rsidRDefault="00E03C85" w:rsidP="00D47253">
            <w:pPr>
              <w:pStyle w:val="lbltxt"/>
              <w:rPr>
                <w:noProof w:val="0"/>
                <w:szCs w:val="22"/>
                <w:lang w:val="en-GB"/>
                <w:rPrChange w:id="5147" w:author="Author">
                  <w:rPr>
                    <w:noProof w:val="0"/>
                    <w:szCs w:val="22"/>
                  </w:rPr>
                </w:rPrChange>
              </w:rPr>
            </w:pPr>
            <w:r w:rsidRPr="00D55B59">
              <w:rPr>
                <w:noProof w:val="0"/>
                <w:szCs w:val="22"/>
                <w:lang w:val="en-GB"/>
                <w:rPrChange w:id="5148" w:author="Author">
                  <w:rPr>
                    <w:noProof w:val="0"/>
                    <w:szCs w:val="22"/>
                  </w:rPr>
                </w:rPrChange>
              </w:rPr>
              <w:t>Τηλ: +357 22741 741</w:t>
            </w:r>
          </w:p>
          <w:p w14:paraId="35B4FA62" w14:textId="77777777" w:rsidR="00E03C85" w:rsidRPr="00F04F82" w:rsidRDefault="00E03C85" w:rsidP="00D47253">
            <w:pPr>
              <w:rPr>
                <w:szCs w:val="22"/>
              </w:rPr>
            </w:pPr>
          </w:p>
        </w:tc>
        <w:tc>
          <w:tcPr>
            <w:tcW w:w="4679" w:type="dxa"/>
          </w:tcPr>
          <w:p w14:paraId="7AF65F09" w14:textId="77777777" w:rsidR="00E03C85" w:rsidRPr="00D55B59" w:rsidRDefault="00E03C85" w:rsidP="00D47253">
            <w:pPr>
              <w:pStyle w:val="lbltxt"/>
              <w:rPr>
                <w:noProof w:val="0"/>
                <w:szCs w:val="22"/>
                <w:lang w:val="en-GB"/>
                <w:rPrChange w:id="5149" w:author="Author">
                  <w:rPr>
                    <w:noProof w:val="0"/>
                    <w:szCs w:val="22"/>
                  </w:rPr>
                </w:rPrChange>
              </w:rPr>
            </w:pPr>
            <w:r w:rsidRPr="00D55B59">
              <w:rPr>
                <w:b/>
                <w:noProof w:val="0"/>
                <w:szCs w:val="22"/>
                <w:lang w:val="en-GB"/>
                <w:rPrChange w:id="5150" w:author="Author">
                  <w:rPr>
                    <w:b/>
                    <w:noProof w:val="0"/>
                    <w:szCs w:val="22"/>
                  </w:rPr>
                </w:rPrChange>
              </w:rPr>
              <w:t>Sverige</w:t>
            </w:r>
          </w:p>
          <w:p w14:paraId="58A8C984" w14:textId="77777777" w:rsidR="00E03C85" w:rsidRPr="00D55B59" w:rsidRDefault="00E03C85" w:rsidP="00D47253">
            <w:pPr>
              <w:pStyle w:val="lbltxt"/>
              <w:rPr>
                <w:noProof w:val="0"/>
                <w:szCs w:val="22"/>
                <w:lang w:val="en-GB"/>
                <w:rPrChange w:id="5151" w:author="Author">
                  <w:rPr>
                    <w:noProof w:val="0"/>
                    <w:szCs w:val="22"/>
                  </w:rPr>
                </w:rPrChange>
              </w:rPr>
            </w:pPr>
            <w:r w:rsidRPr="00D55B59">
              <w:rPr>
                <w:noProof w:val="0"/>
                <w:szCs w:val="22"/>
                <w:lang w:val="en-GB"/>
                <w:rPrChange w:id="5152" w:author="Author">
                  <w:rPr>
                    <w:noProof w:val="0"/>
                    <w:szCs w:val="22"/>
                  </w:rPr>
                </w:rPrChange>
              </w:rPr>
              <w:t xml:space="preserve">Amgen AB </w:t>
            </w:r>
          </w:p>
          <w:p w14:paraId="5E47A07F" w14:textId="77777777" w:rsidR="00E03C85" w:rsidRPr="00D55B59" w:rsidRDefault="00E03C85" w:rsidP="00D47253">
            <w:pPr>
              <w:pStyle w:val="lbltxt"/>
              <w:rPr>
                <w:noProof w:val="0"/>
                <w:szCs w:val="22"/>
                <w:lang w:val="en-GB"/>
                <w:rPrChange w:id="5153" w:author="Author">
                  <w:rPr>
                    <w:noProof w:val="0"/>
                    <w:szCs w:val="22"/>
                  </w:rPr>
                </w:rPrChange>
              </w:rPr>
            </w:pPr>
            <w:r w:rsidRPr="00D55B59">
              <w:rPr>
                <w:noProof w:val="0"/>
                <w:szCs w:val="22"/>
                <w:lang w:val="en-GB"/>
                <w:rPrChange w:id="5154" w:author="Author">
                  <w:rPr>
                    <w:noProof w:val="0"/>
                    <w:szCs w:val="22"/>
                  </w:rPr>
                </w:rPrChange>
              </w:rPr>
              <w:t>Tel: +46 (0)8 6951100</w:t>
            </w:r>
          </w:p>
          <w:p w14:paraId="7CE51647" w14:textId="77777777" w:rsidR="00E03C85" w:rsidRPr="00F04F82" w:rsidRDefault="00E03C85" w:rsidP="00D47253">
            <w:pPr>
              <w:rPr>
                <w:szCs w:val="22"/>
              </w:rPr>
            </w:pPr>
          </w:p>
        </w:tc>
      </w:tr>
      <w:tr w:rsidR="00E03C85" w:rsidRPr="00F04F82" w14:paraId="3CA933C3" w14:textId="77777777" w:rsidTr="00D47253">
        <w:trPr>
          <w:cantSplit/>
        </w:trPr>
        <w:tc>
          <w:tcPr>
            <w:tcW w:w="4677" w:type="dxa"/>
          </w:tcPr>
          <w:p w14:paraId="1028C49C" w14:textId="77777777" w:rsidR="00E03C85" w:rsidRPr="00D55B59" w:rsidRDefault="00E03C85" w:rsidP="00D47253">
            <w:pPr>
              <w:pStyle w:val="lbltxt"/>
              <w:rPr>
                <w:b/>
                <w:bCs/>
                <w:noProof w:val="0"/>
                <w:szCs w:val="22"/>
                <w:lang w:val="de-DE"/>
                <w:rPrChange w:id="5155" w:author="Author">
                  <w:rPr>
                    <w:b/>
                    <w:bCs/>
                    <w:noProof w:val="0"/>
                    <w:szCs w:val="22"/>
                    <w:lang w:val="nl-NL"/>
                  </w:rPr>
                </w:rPrChange>
              </w:rPr>
            </w:pPr>
            <w:r w:rsidRPr="00D55B59">
              <w:rPr>
                <w:b/>
                <w:bCs/>
                <w:noProof w:val="0"/>
                <w:szCs w:val="22"/>
                <w:lang w:val="de-DE"/>
                <w:rPrChange w:id="5156" w:author="Author">
                  <w:rPr>
                    <w:b/>
                    <w:bCs/>
                    <w:noProof w:val="0"/>
                    <w:szCs w:val="22"/>
                    <w:lang w:val="nl-NL"/>
                  </w:rPr>
                </w:rPrChange>
              </w:rPr>
              <w:t>Latvija</w:t>
            </w:r>
          </w:p>
          <w:p w14:paraId="070B5C62" w14:textId="77777777" w:rsidR="00E03C85" w:rsidRPr="00D55B59" w:rsidRDefault="00E03C85" w:rsidP="00D47253">
            <w:pPr>
              <w:pStyle w:val="lbltxt"/>
              <w:rPr>
                <w:noProof w:val="0"/>
                <w:szCs w:val="22"/>
                <w:lang w:val="de-DE"/>
                <w:rPrChange w:id="5157" w:author="Author">
                  <w:rPr>
                    <w:noProof w:val="0"/>
                    <w:szCs w:val="22"/>
                    <w:lang w:val="nl-NL"/>
                  </w:rPr>
                </w:rPrChange>
              </w:rPr>
            </w:pPr>
            <w:r w:rsidRPr="00D55B59">
              <w:rPr>
                <w:noProof w:val="0"/>
                <w:szCs w:val="22"/>
                <w:lang w:val="de-DE"/>
                <w:rPrChange w:id="5158" w:author="Author">
                  <w:rPr>
                    <w:noProof w:val="0"/>
                    <w:szCs w:val="22"/>
                    <w:lang w:val="nl-NL"/>
                  </w:rPr>
                </w:rPrChange>
              </w:rPr>
              <w:t>Amgen Switzerland AG Rīgas filiāle</w:t>
            </w:r>
          </w:p>
          <w:p w14:paraId="59E3C88F" w14:textId="77777777" w:rsidR="00E03C85" w:rsidRPr="00D55B59" w:rsidRDefault="00E03C85" w:rsidP="00D47253">
            <w:pPr>
              <w:pStyle w:val="lbltxt"/>
              <w:rPr>
                <w:noProof w:val="0"/>
                <w:szCs w:val="22"/>
                <w:lang w:val="en-GB"/>
                <w:rPrChange w:id="5159" w:author="Author">
                  <w:rPr>
                    <w:noProof w:val="0"/>
                    <w:szCs w:val="22"/>
                  </w:rPr>
                </w:rPrChange>
              </w:rPr>
            </w:pPr>
            <w:r w:rsidRPr="00D55B59">
              <w:rPr>
                <w:bCs/>
                <w:noProof w:val="0"/>
                <w:szCs w:val="22"/>
                <w:lang w:val="en-GB"/>
                <w:rPrChange w:id="5160" w:author="Author">
                  <w:rPr>
                    <w:bCs/>
                    <w:noProof w:val="0"/>
                    <w:szCs w:val="22"/>
                  </w:rPr>
                </w:rPrChange>
              </w:rPr>
              <w:t>Tel: +</w:t>
            </w:r>
            <w:r w:rsidRPr="00D55B59">
              <w:rPr>
                <w:noProof w:val="0"/>
                <w:szCs w:val="22"/>
                <w:lang w:val="en-GB"/>
                <w:rPrChange w:id="5161" w:author="Author">
                  <w:rPr>
                    <w:noProof w:val="0"/>
                    <w:szCs w:val="22"/>
                  </w:rPr>
                </w:rPrChange>
              </w:rPr>
              <w:t>371 257 25888</w:t>
            </w:r>
          </w:p>
          <w:p w14:paraId="1291EF31" w14:textId="77777777" w:rsidR="00E03C85" w:rsidRPr="00F04F82" w:rsidRDefault="00E03C85" w:rsidP="00D47253">
            <w:pPr>
              <w:rPr>
                <w:szCs w:val="22"/>
              </w:rPr>
            </w:pPr>
          </w:p>
        </w:tc>
        <w:tc>
          <w:tcPr>
            <w:tcW w:w="4679" w:type="dxa"/>
          </w:tcPr>
          <w:p w14:paraId="1A2C9DAA" w14:textId="77777777" w:rsidR="00E03C85" w:rsidRPr="00F04F82" w:rsidRDefault="00E03C85" w:rsidP="00D47253">
            <w:pPr>
              <w:rPr>
                <w:szCs w:val="22"/>
              </w:rPr>
            </w:pPr>
          </w:p>
        </w:tc>
      </w:tr>
    </w:tbl>
    <w:p w14:paraId="423391BD" w14:textId="77777777" w:rsidR="00E03C85" w:rsidRPr="00F04F82" w:rsidRDefault="00E03C85" w:rsidP="00B61D9D">
      <w:pPr>
        <w:spacing w:line="240" w:lineRule="auto"/>
        <w:rPr>
          <w:szCs w:val="22"/>
        </w:rPr>
      </w:pPr>
    </w:p>
    <w:p w14:paraId="4F6AC797" w14:textId="7208BA90" w:rsidR="00E03C85" w:rsidRPr="00F04F82" w:rsidRDefault="00E03C85" w:rsidP="00077AFF">
      <w:pPr>
        <w:numPr>
          <w:ilvl w:val="12"/>
          <w:numId w:val="0"/>
        </w:numPr>
        <w:tabs>
          <w:tab w:val="clear" w:pos="567"/>
        </w:tabs>
        <w:spacing w:line="240" w:lineRule="auto"/>
        <w:ind w:right="-2"/>
        <w:outlineLvl w:val="0"/>
        <w:rPr>
          <w:szCs w:val="22"/>
        </w:rPr>
      </w:pPr>
      <w:r w:rsidRPr="00F04F82">
        <w:rPr>
          <w:b/>
          <w:szCs w:val="22"/>
        </w:rPr>
        <w:t xml:space="preserve">This leaflet was last </w:t>
      </w:r>
      <w:r w:rsidRPr="00F04F82">
        <w:rPr>
          <w:b/>
        </w:rPr>
        <w:t>revised in</w:t>
      </w:r>
      <w:r w:rsidR="001C55FB" w:rsidRPr="00F04F82">
        <w:rPr>
          <w:b/>
        </w:rPr>
        <w:fldChar w:fldCharType="begin"/>
      </w:r>
      <w:r w:rsidR="001C55FB" w:rsidRPr="00F04F82">
        <w:rPr>
          <w:b/>
        </w:rPr>
        <w:instrText xml:space="preserve"> DOCVARIABLE vault_nd_926b02a7-f7cb-4802-ae2b-01e4958a0ad2 \* MERGEFORMAT </w:instrText>
      </w:r>
      <w:r w:rsidR="001C55FB" w:rsidRPr="00F04F82">
        <w:rPr>
          <w:b/>
        </w:rPr>
        <w:fldChar w:fldCharType="separate"/>
      </w:r>
      <w:r w:rsidR="001C55FB" w:rsidRPr="00F04F82">
        <w:rPr>
          <w:b/>
        </w:rPr>
        <w:t xml:space="preserve"> </w:t>
      </w:r>
      <w:r w:rsidR="001C55FB" w:rsidRPr="00F04F82">
        <w:rPr>
          <w:b/>
        </w:rPr>
        <w:fldChar w:fldCharType="end"/>
      </w:r>
    </w:p>
    <w:p w14:paraId="4E77D415" w14:textId="77777777" w:rsidR="00E03C85" w:rsidRPr="00F04F82" w:rsidRDefault="00E03C85" w:rsidP="00077AFF">
      <w:pPr>
        <w:numPr>
          <w:ilvl w:val="12"/>
          <w:numId w:val="0"/>
        </w:numPr>
        <w:spacing w:line="240" w:lineRule="auto"/>
        <w:ind w:right="-2"/>
        <w:rPr>
          <w:szCs w:val="22"/>
        </w:rPr>
      </w:pPr>
    </w:p>
    <w:p w14:paraId="660FF681" w14:textId="77777777" w:rsidR="00E03C85" w:rsidRPr="00F04F82" w:rsidRDefault="00E03C85" w:rsidP="00077AFF">
      <w:pPr>
        <w:numPr>
          <w:ilvl w:val="12"/>
          <w:numId w:val="0"/>
        </w:numPr>
        <w:tabs>
          <w:tab w:val="clear" w:pos="567"/>
        </w:tabs>
        <w:spacing w:line="240" w:lineRule="auto"/>
        <w:ind w:right="-2"/>
        <w:rPr>
          <w:b/>
        </w:rPr>
      </w:pPr>
      <w:r w:rsidRPr="00F04F82">
        <w:rPr>
          <w:b/>
        </w:rPr>
        <w:t>Other sources of information</w:t>
      </w:r>
    </w:p>
    <w:p w14:paraId="0D709AA4" w14:textId="77777777" w:rsidR="00E03C85" w:rsidRPr="00F04F82" w:rsidRDefault="00E03C85" w:rsidP="00077AFF">
      <w:pPr>
        <w:numPr>
          <w:ilvl w:val="12"/>
          <w:numId w:val="0"/>
        </w:numPr>
        <w:spacing w:line="240" w:lineRule="auto"/>
        <w:ind w:right="-2"/>
      </w:pPr>
    </w:p>
    <w:p w14:paraId="33E94F02" w14:textId="77777777" w:rsidR="00E03C85" w:rsidRPr="00F04F82" w:rsidRDefault="00E03C85" w:rsidP="00077AFF">
      <w:pPr>
        <w:numPr>
          <w:ilvl w:val="12"/>
          <w:numId w:val="0"/>
        </w:numPr>
        <w:spacing w:line="240" w:lineRule="auto"/>
        <w:ind w:right="-2"/>
        <w:rPr>
          <w:szCs w:val="22"/>
        </w:rPr>
      </w:pPr>
      <w:r w:rsidRPr="00F04F82">
        <w:t xml:space="preserve">Detailed information on this medicine is available on the European Medicines Agency web site: </w:t>
      </w:r>
      <w:hyperlink r:id="rId83" w:history="1">
        <w:r w:rsidRPr="00F04F82">
          <w:rPr>
            <w:rStyle w:val="Hyperlink"/>
            <w:szCs w:val="22"/>
          </w:rPr>
          <w:t>http://www.ema.europa.eu</w:t>
        </w:r>
      </w:hyperlink>
      <w:r w:rsidRPr="00F04F82">
        <w:rPr>
          <w:szCs w:val="22"/>
        </w:rPr>
        <w:t>.</w:t>
      </w:r>
    </w:p>
    <w:p w14:paraId="40447D84" w14:textId="77777777" w:rsidR="00F67EFB" w:rsidRPr="00F04F82" w:rsidRDefault="00F67EFB" w:rsidP="00077AFF">
      <w:pPr>
        <w:numPr>
          <w:ilvl w:val="12"/>
          <w:numId w:val="0"/>
        </w:numPr>
        <w:spacing w:line="240" w:lineRule="auto"/>
        <w:ind w:right="-2"/>
        <w:rPr>
          <w:szCs w:val="22"/>
        </w:rPr>
      </w:pPr>
    </w:p>
    <w:p w14:paraId="1E8FF584" w14:textId="325A74BE" w:rsidR="00F67EFB" w:rsidRPr="00F04F82" w:rsidRDefault="00F67EFB" w:rsidP="00077AFF">
      <w:pPr>
        <w:numPr>
          <w:ilvl w:val="12"/>
          <w:numId w:val="0"/>
        </w:numPr>
        <w:tabs>
          <w:tab w:val="clear" w:pos="567"/>
        </w:tabs>
        <w:spacing w:line="240" w:lineRule="auto"/>
        <w:ind w:right="-2"/>
        <w:rPr>
          <w:szCs w:val="22"/>
        </w:rPr>
      </w:pPr>
    </w:p>
    <w:p w14:paraId="533D7D28" w14:textId="1DC92819" w:rsidR="00F67EFB" w:rsidRPr="00F04F82" w:rsidRDefault="00F67EFB" w:rsidP="005D540F">
      <w:pPr>
        <w:pageBreakBefore/>
        <w:numPr>
          <w:ilvl w:val="12"/>
          <w:numId w:val="0"/>
        </w:numPr>
        <w:tabs>
          <w:tab w:val="clear" w:pos="567"/>
        </w:tabs>
        <w:spacing w:line="240" w:lineRule="auto"/>
        <w:rPr>
          <w:szCs w:val="22"/>
        </w:rPr>
      </w:pP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2616"/>
        <w:gridCol w:w="3051"/>
      </w:tblGrid>
      <w:tr w:rsidR="00F67EFB" w:rsidRPr="00F04F82" w14:paraId="6C02656B" w14:textId="77777777" w:rsidTr="004811B8">
        <w:trPr>
          <w:cantSplit/>
          <w:trHeight w:val="57"/>
        </w:trPr>
        <w:tc>
          <w:tcPr>
            <w:tcW w:w="5000" w:type="pct"/>
            <w:gridSpan w:val="3"/>
            <w:tcBorders>
              <w:top w:val="single" w:sz="4" w:space="0" w:color="000000"/>
              <w:bottom w:val="single" w:sz="4" w:space="0" w:color="auto"/>
            </w:tcBorders>
          </w:tcPr>
          <w:p w14:paraId="663DCD85" w14:textId="31C92D5A" w:rsidR="00F67EFB" w:rsidRPr="00F04F82" w:rsidRDefault="00F67EFB" w:rsidP="00D47253">
            <w:pPr>
              <w:keepNext/>
              <w:keepLines/>
              <w:spacing w:line="240" w:lineRule="auto"/>
              <w:jc w:val="center"/>
              <w:rPr>
                <w:b/>
                <w:bCs/>
              </w:rPr>
            </w:pPr>
            <w:r w:rsidRPr="00F04F82">
              <w:rPr>
                <w:b/>
                <w:bCs/>
              </w:rPr>
              <w:t>INSTRUCTIONS FOR USE</w:t>
            </w:r>
            <w:r w:rsidR="00400D30" w:rsidRPr="00F04F82">
              <w:rPr>
                <w:b/>
                <w:bCs/>
              </w:rPr>
              <w:t xml:space="preserve"> 40</w:t>
            </w:r>
            <w:r w:rsidR="005334E2" w:rsidRPr="00F04F82">
              <w:rPr>
                <w:b/>
                <w:bCs/>
              </w:rPr>
              <w:t> </w:t>
            </w:r>
            <w:r w:rsidR="00400D30" w:rsidRPr="00F04F82">
              <w:rPr>
                <w:b/>
                <w:bCs/>
              </w:rPr>
              <w:t>mg / 0.4</w:t>
            </w:r>
            <w:r w:rsidR="005334E2" w:rsidRPr="00F04F82">
              <w:rPr>
                <w:b/>
                <w:bCs/>
              </w:rPr>
              <w:t> </w:t>
            </w:r>
            <w:r w:rsidR="00400D30" w:rsidRPr="00F04F82">
              <w:rPr>
                <w:b/>
                <w:bCs/>
              </w:rPr>
              <w:t>mL</w:t>
            </w:r>
          </w:p>
        </w:tc>
      </w:tr>
      <w:tr w:rsidR="00F67EFB" w:rsidRPr="00F04F82" w14:paraId="2FAC7083" w14:textId="77777777" w:rsidTr="00D47253">
        <w:trPr>
          <w:cantSplit/>
          <w:trHeight w:val="57"/>
        </w:trPr>
        <w:tc>
          <w:tcPr>
            <w:tcW w:w="5000" w:type="pct"/>
            <w:gridSpan w:val="3"/>
            <w:tcBorders>
              <w:top w:val="single" w:sz="4" w:space="0" w:color="auto"/>
              <w:left w:val="nil"/>
              <w:bottom w:val="single" w:sz="4" w:space="0" w:color="auto"/>
              <w:right w:val="nil"/>
            </w:tcBorders>
          </w:tcPr>
          <w:p w14:paraId="32F9AE9C" w14:textId="77777777" w:rsidR="00F67EFB" w:rsidRPr="00F04F82" w:rsidRDefault="00F67EFB" w:rsidP="00D47253">
            <w:pPr>
              <w:keepNext/>
              <w:keepLines/>
              <w:jc w:val="center"/>
              <w:rPr>
                <w:bCs/>
              </w:rPr>
            </w:pPr>
          </w:p>
        </w:tc>
      </w:tr>
      <w:tr w:rsidR="00F67EFB" w:rsidRPr="00F04F82" w14:paraId="14069ABB" w14:textId="77777777" w:rsidTr="00D47253">
        <w:trPr>
          <w:cantSplit/>
          <w:trHeight w:val="57"/>
        </w:trPr>
        <w:tc>
          <w:tcPr>
            <w:tcW w:w="5000" w:type="pct"/>
            <w:gridSpan w:val="3"/>
            <w:tcBorders>
              <w:top w:val="single" w:sz="4" w:space="0" w:color="auto"/>
            </w:tcBorders>
          </w:tcPr>
          <w:p w14:paraId="05652344" w14:textId="77777777" w:rsidR="00F67EFB" w:rsidRPr="00F04F82" w:rsidRDefault="00F67EFB" w:rsidP="00D47253">
            <w:pPr>
              <w:keepNext/>
              <w:keepLines/>
            </w:pPr>
            <w:r w:rsidRPr="00F04F82">
              <w:rPr>
                <w:bCs/>
              </w:rPr>
              <w:t xml:space="preserve">Getting to know your </w:t>
            </w:r>
            <w:r w:rsidRPr="00F04F82">
              <w:rPr>
                <w:rFonts w:eastAsia="Calibri"/>
                <w:szCs w:val="22"/>
              </w:rPr>
              <w:t>SureClick pre-filled pen</w:t>
            </w:r>
          </w:p>
        </w:tc>
      </w:tr>
      <w:tr w:rsidR="00F67EFB" w:rsidRPr="00F04F82" w14:paraId="354EE880" w14:textId="77777777" w:rsidTr="00D47253">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F67EFB" w:rsidRPr="00F04F82" w14:paraId="0740DEA7" w14:textId="77777777" w:rsidTr="00D47253">
              <w:trPr>
                <w:trHeight w:val="459"/>
              </w:trPr>
              <w:tc>
                <w:tcPr>
                  <w:tcW w:w="1763" w:type="dxa"/>
                </w:tcPr>
                <w:p w14:paraId="5C6AC628" w14:textId="77777777" w:rsidR="00F67EFB" w:rsidRPr="00F04F82" w:rsidRDefault="00F67EFB" w:rsidP="00D47253">
                  <w:pPr>
                    <w:framePr w:hSpace="141" w:wrap="around" w:vAnchor="text" w:hAnchor="text" w:x="108" w:y="1"/>
                    <w:suppressOverlap/>
                    <w:jc w:val="center"/>
                    <w:rPr>
                      <w:sz w:val="2"/>
                      <w:szCs w:val="2"/>
                    </w:rPr>
                  </w:pPr>
                </w:p>
              </w:tc>
            </w:tr>
            <w:tr w:rsidR="00F67EFB" w:rsidRPr="00F04F82" w14:paraId="4723750A" w14:textId="77777777" w:rsidTr="00D47253">
              <w:trPr>
                <w:trHeight w:val="990"/>
              </w:trPr>
              <w:tc>
                <w:tcPr>
                  <w:tcW w:w="1763" w:type="dxa"/>
                </w:tcPr>
                <w:p w14:paraId="5EAA5248" w14:textId="3BD9078A" w:rsidR="00F67EFB" w:rsidRPr="00F04F82" w:rsidRDefault="00AD2E57" w:rsidP="00D47253">
                  <w:pPr>
                    <w:framePr w:hSpace="141" w:wrap="around" w:vAnchor="text" w:hAnchor="text" w:x="108" w:y="1"/>
                    <w:suppressOverlap/>
                    <w:jc w:val="right"/>
                  </w:pPr>
                  <w:r w:rsidRPr="00F04F82">
                    <w:t>Expiry</w:t>
                  </w:r>
                  <w:r w:rsidRPr="00F04F82" w:rsidDel="00AD2E57">
                    <w:t xml:space="preserve"> </w:t>
                  </w:r>
                  <w:r w:rsidR="00F67EFB" w:rsidRPr="00F04F82">
                    <w:t>date</w:t>
                  </w:r>
                </w:p>
              </w:tc>
            </w:tr>
            <w:tr w:rsidR="00F67EFB" w:rsidRPr="00F04F82" w14:paraId="62F70ECF" w14:textId="77777777" w:rsidTr="00D47253">
              <w:trPr>
                <w:trHeight w:val="852"/>
              </w:trPr>
              <w:tc>
                <w:tcPr>
                  <w:tcW w:w="1763" w:type="dxa"/>
                </w:tcPr>
                <w:p w14:paraId="364DD527" w14:textId="77777777" w:rsidR="00F67EFB" w:rsidRPr="00F04F82" w:rsidRDefault="00F67EFB" w:rsidP="00D47253">
                  <w:pPr>
                    <w:framePr w:hSpace="141" w:wrap="around" w:vAnchor="text" w:hAnchor="text" w:x="108" w:y="1"/>
                    <w:suppressOverlap/>
                    <w:jc w:val="right"/>
                  </w:pPr>
                </w:p>
              </w:tc>
            </w:tr>
            <w:tr w:rsidR="00F67EFB" w:rsidRPr="00F04F82" w14:paraId="0BF1C992" w14:textId="77777777" w:rsidTr="00D47253">
              <w:trPr>
                <w:trHeight w:val="860"/>
              </w:trPr>
              <w:tc>
                <w:tcPr>
                  <w:tcW w:w="1763" w:type="dxa"/>
                </w:tcPr>
                <w:p w14:paraId="3B000CA4" w14:textId="77777777" w:rsidR="00F67EFB" w:rsidRPr="00F04F82" w:rsidRDefault="00F67EFB" w:rsidP="00D47253">
                  <w:pPr>
                    <w:framePr w:hSpace="141" w:wrap="around" w:vAnchor="text" w:hAnchor="text" w:x="108" w:y="1"/>
                    <w:suppressOverlap/>
                    <w:jc w:val="right"/>
                  </w:pPr>
                </w:p>
              </w:tc>
            </w:tr>
            <w:tr w:rsidR="00F67EFB" w:rsidRPr="00F04F82" w14:paraId="72C184AA" w14:textId="77777777" w:rsidTr="00D47253">
              <w:trPr>
                <w:trHeight w:val="972"/>
              </w:trPr>
              <w:tc>
                <w:tcPr>
                  <w:tcW w:w="1763" w:type="dxa"/>
                </w:tcPr>
                <w:p w14:paraId="55CE9F49" w14:textId="77777777" w:rsidR="00F67EFB" w:rsidRPr="00F04F82" w:rsidRDefault="00F67EFB" w:rsidP="00D47253">
                  <w:pPr>
                    <w:framePr w:hSpace="141" w:wrap="around" w:vAnchor="text" w:hAnchor="text" w:x="108" w:y="1"/>
                    <w:suppressOverlap/>
                    <w:jc w:val="right"/>
                  </w:pPr>
                  <w:r w:rsidRPr="00F04F82">
                    <w:t>Window</w:t>
                  </w:r>
                </w:p>
              </w:tc>
            </w:tr>
            <w:tr w:rsidR="00F67EFB" w:rsidRPr="00F04F82" w14:paraId="1EAA469F" w14:textId="77777777" w:rsidTr="00D47253">
              <w:trPr>
                <w:trHeight w:val="1128"/>
              </w:trPr>
              <w:tc>
                <w:tcPr>
                  <w:tcW w:w="1763" w:type="dxa"/>
                </w:tcPr>
                <w:p w14:paraId="050B6319" w14:textId="3F7C0FF2" w:rsidR="00F67EFB" w:rsidRPr="00F04F82" w:rsidRDefault="00397B8C" w:rsidP="00D47253">
                  <w:pPr>
                    <w:framePr w:hSpace="141" w:wrap="around" w:vAnchor="text" w:hAnchor="text" w:x="108" w:y="1"/>
                    <w:suppressOverlap/>
                    <w:jc w:val="right"/>
                  </w:pPr>
                  <w:r w:rsidRPr="00F04F82">
                    <w:rPr>
                      <w:color w:val="000000"/>
                      <w:szCs w:val="22"/>
                    </w:rPr>
                    <w:t>Cream-</w:t>
                  </w:r>
                  <w:r w:rsidR="001562C8" w:rsidRPr="00F04F82">
                    <w:rPr>
                      <w:color w:val="000000"/>
                      <w:szCs w:val="22"/>
                    </w:rPr>
                    <w:t xml:space="preserve">coloured </w:t>
                  </w:r>
                  <w:r w:rsidR="001562C8" w:rsidRPr="00F04F82">
                    <w:t>safety</w:t>
                  </w:r>
                  <w:r w:rsidR="00F67EFB" w:rsidRPr="00F04F82">
                    <w:t xml:space="preserve"> guard</w:t>
                  </w:r>
                </w:p>
                <w:p w14:paraId="20E57AF1" w14:textId="77777777" w:rsidR="00F67EFB" w:rsidRPr="00F04F82" w:rsidRDefault="00F67EFB" w:rsidP="00D47253">
                  <w:pPr>
                    <w:framePr w:hSpace="141" w:wrap="around" w:vAnchor="text" w:hAnchor="text" w:x="108" w:y="1"/>
                    <w:suppressOverlap/>
                    <w:jc w:val="right"/>
                  </w:pPr>
                  <w:r w:rsidRPr="00F04F82">
                    <w:t xml:space="preserve"> (needle inside)</w:t>
                  </w:r>
                </w:p>
              </w:tc>
            </w:tr>
          </w:tbl>
          <w:p w14:paraId="0563F7CA" w14:textId="77777777" w:rsidR="00F67EFB" w:rsidRPr="00F04F82" w:rsidRDefault="00F67EFB" w:rsidP="00D47253">
            <w:pPr>
              <w:keepNext/>
              <w:jc w:val="right"/>
            </w:pPr>
          </w:p>
        </w:tc>
        <w:tc>
          <w:tcPr>
            <w:tcW w:w="1447" w:type="pct"/>
            <w:tcBorders>
              <w:top w:val="nil"/>
              <w:left w:val="nil"/>
              <w:bottom w:val="single" w:sz="4" w:space="0" w:color="auto"/>
              <w:right w:val="nil"/>
            </w:tcBorders>
          </w:tcPr>
          <w:p w14:paraId="6725B26F" w14:textId="0DA3C0EF" w:rsidR="00F67EFB" w:rsidRPr="00F04F82" w:rsidRDefault="00D96030" w:rsidP="00D47253">
            <w:pPr>
              <w:jc w:val="center"/>
            </w:pPr>
            <w:r>
              <w:pict w14:anchorId="31A53AC4">
                <v:shape id="Picture 61" o:spid="_x0000_s2065" type="#_x0000_t75" style="position:absolute;left:0;text-align:left;margin-left:16.3pt;margin-top:6.5pt;width:86.25pt;height:252pt;z-index: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84" o:title=""/>
                  <w10:wrap type="square"/>
                </v:shape>
              </w:pict>
            </w:r>
            <w:r w:rsidR="00F67EFB" w:rsidRPr="00F04F82">
              <w:t>40</w:t>
            </w:r>
            <w:r w:rsidR="00E03C85" w:rsidRPr="00F04F82">
              <w:t> </w:t>
            </w:r>
            <w:r w:rsidR="00F67EFB" w:rsidRPr="00F04F82">
              <w:t>mg/0.4</w:t>
            </w:r>
            <w:r w:rsidR="00E03C85" w:rsidRPr="00F04F82">
              <w:t> </w:t>
            </w:r>
            <w:r w:rsidR="00F67EFB" w:rsidRPr="00F04F82">
              <w:t>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F67EFB" w:rsidRPr="00F04F82" w14:paraId="762254AF" w14:textId="77777777" w:rsidTr="00D47253">
              <w:trPr>
                <w:trHeight w:val="461"/>
              </w:trPr>
              <w:tc>
                <w:tcPr>
                  <w:tcW w:w="1852" w:type="dxa"/>
                </w:tcPr>
                <w:p w14:paraId="2C3B330D" w14:textId="77777777" w:rsidR="00F67EFB" w:rsidRPr="00F04F82" w:rsidRDefault="00F67EFB" w:rsidP="00D47253">
                  <w:pPr>
                    <w:framePr w:hSpace="141" w:wrap="around" w:vAnchor="text" w:hAnchor="text" w:x="108" w:y="1"/>
                    <w:suppressOverlap/>
                    <w:rPr>
                      <w:szCs w:val="22"/>
                    </w:rPr>
                  </w:pPr>
                  <w:r w:rsidRPr="00F04F82">
                    <w:rPr>
                      <w:szCs w:val="22"/>
                    </w:rPr>
                    <w:t>Light blue start button</w:t>
                  </w:r>
                </w:p>
              </w:tc>
            </w:tr>
            <w:tr w:rsidR="00F67EFB" w:rsidRPr="00F04F82" w14:paraId="0D09AD60" w14:textId="77777777" w:rsidTr="00D47253">
              <w:trPr>
                <w:trHeight w:val="1077"/>
              </w:trPr>
              <w:tc>
                <w:tcPr>
                  <w:tcW w:w="1852" w:type="dxa"/>
                </w:tcPr>
                <w:p w14:paraId="1E17AB0C" w14:textId="77777777" w:rsidR="00F67EFB" w:rsidRPr="00F04F82" w:rsidRDefault="00F67EFB" w:rsidP="00D47253">
                  <w:pPr>
                    <w:framePr w:hSpace="141" w:wrap="around" w:vAnchor="text" w:hAnchor="text" w:x="108" w:y="1"/>
                    <w:suppressOverlap/>
                  </w:pPr>
                </w:p>
              </w:tc>
            </w:tr>
            <w:tr w:rsidR="00F67EFB" w:rsidRPr="00F04F82" w14:paraId="6DAC7FAF" w14:textId="77777777" w:rsidTr="00D47253">
              <w:trPr>
                <w:trHeight w:val="725"/>
              </w:trPr>
              <w:tc>
                <w:tcPr>
                  <w:tcW w:w="1852" w:type="dxa"/>
                </w:tcPr>
                <w:p w14:paraId="474CF053" w14:textId="77777777" w:rsidR="00F67EFB" w:rsidRPr="00F04F82" w:rsidRDefault="00F67EFB" w:rsidP="00D47253">
                  <w:pPr>
                    <w:framePr w:hSpace="141" w:wrap="around" w:vAnchor="text" w:hAnchor="text" w:x="108" w:y="1"/>
                    <w:suppressOverlap/>
                  </w:pPr>
                  <w:r w:rsidRPr="00F04F82">
                    <w:t>Plunger (may be visible in the window; location may vary)</w:t>
                  </w:r>
                </w:p>
              </w:tc>
            </w:tr>
            <w:tr w:rsidR="00F67EFB" w:rsidRPr="00F04F82" w14:paraId="7FBA4B24" w14:textId="77777777" w:rsidTr="00D47253">
              <w:trPr>
                <w:trHeight w:val="989"/>
              </w:trPr>
              <w:tc>
                <w:tcPr>
                  <w:tcW w:w="1852" w:type="dxa"/>
                </w:tcPr>
                <w:p w14:paraId="0DAB4D1F" w14:textId="77777777" w:rsidR="00F67EFB" w:rsidRPr="00F04F82" w:rsidRDefault="00F67EFB" w:rsidP="00D47253">
                  <w:pPr>
                    <w:framePr w:hSpace="141" w:wrap="around" w:vAnchor="text" w:hAnchor="text" w:x="108" w:y="1"/>
                    <w:suppressOverlap/>
                  </w:pPr>
                </w:p>
              </w:tc>
            </w:tr>
            <w:tr w:rsidR="00F67EFB" w:rsidRPr="00F04F82" w14:paraId="7245DD0A" w14:textId="77777777" w:rsidTr="00D47253">
              <w:trPr>
                <w:trHeight w:val="1077"/>
              </w:trPr>
              <w:tc>
                <w:tcPr>
                  <w:tcW w:w="1852" w:type="dxa"/>
                </w:tcPr>
                <w:p w14:paraId="28E19CB7" w14:textId="77777777" w:rsidR="00F67EFB" w:rsidRPr="00F04F82" w:rsidRDefault="00F67EFB" w:rsidP="00D47253">
                  <w:pPr>
                    <w:framePr w:hSpace="141" w:wrap="around" w:vAnchor="text" w:hAnchor="text" w:x="108" w:y="1"/>
                    <w:suppressOverlap/>
                  </w:pPr>
                  <w:r w:rsidRPr="00F04F82">
                    <w:t>Medicine</w:t>
                  </w:r>
                </w:p>
              </w:tc>
            </w:tr>
            <w:tr w:rsidR="00F67EFB" w:rsidRPr="00F04F82" w14:paraId="41B6E075" w14:textId="77777777" w:rsidTr="00D47253">
              <w:trPr>
                <w:trHeight w:val="568"/>
              </w:trPr>
              <w:tc>
                <w:tcPr>
                  <w:tcW w:w="1852" w:type="dxa"/>
                </w:tcPr>
                <w:p w14:paraId="7D3DAA30" w14:textId="77777777" w:rsidR="00F67EFB" w:rsidRPr="00F04F82" w:rsidRDefault="00F67EFB" w:rsidP="00D47253">
                  <w:pPr>
                    <w:framePr w:hSpace="141" w:wrap="around" w:vAnchor="text" w:hAnchor="text" w:x="108" w:y="1"/>
                    <w:suppressOverlap/>
                  </w:pPr>
                  <w:r w:rsidRPr="00F04F82">
                    <w:t>Yellow cap</w:t>
                  </w:r>
                </w:p>
              </w:tc>
            </w:tr>
          </w:tbl>
          <w:p w14:paraId="1FCDCD6F" w14:textId="77777777" w:rsidR="00F67EFB" w:rsidRPr="00F04F82" w:rsidRDefault="00F67EFB" w:rsidP="00D47253"/>
        </w:tc>
      </w:tr>
    </w:tbl>
    <w:p w14:paraId="2F3A53C9" w14:textId="77777777" w:rsidR="00F67EFB" w:rsidRPr="00F04F82" w:rsidRDefault="00F67EFB" w:rsidP="00F67EFB">
      <w:pPr>
        <w:spacing w:line="240" w:lineRule="auto"/>
        <w:rPr>
          <w:b/>
          <w:bCs/>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Change w:id="5162" w:author="Author">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PrChange>
      </w:tblPr>
      <w:tblGrid>
        <w:gridCol w:w="473"/>
        <w:gridCol w:w="94"/>
        <w:gridCol w:w="8515"/>
        <w:tblGridChange w:id="5163">
          <w:tblGrid>
            <w:gridCol w:w="473"/>
            <w:gridCol w:w="94"/>
            <w:gridCol w:w="8515"/>
          </w:tblGrid>
        </w:tblGridChange>
      </w:tblGrid>
      <w:tr w:rsidR="0049272D" w:rsidRPr="00F04F82" w14:paraId="6C7DE327" w14:textId="61297B5B" w:rsidTr="00D55B59">
        <w:trPr>
          <w:cantSplit/>
          <w:trHeight w:val="57"/>
          <w:trPrChange w:id="5164" w:author="Author">
            <w:trPr>
              <w:cantSplit/>
              <w:trHeight w:val="57"/>
            </w:trPr>
          </w:trPrChange>
        </w:trPr>
        <w:tc>
          <w:tcPr>
            <w:tcW w:w="312" w:type="pct"/>
            <w:gridSpan w:val="2"/>
            <w:tcBorders>
              <w:bottom w:val="nil"/>
              <w:right w:val="single" w:sz="4" w:space="0" w:color="auto"/>
            </w:tcBorders>
            <w:tcMar>
              <w:top w:w="57" w:type="dxa"/>
              <w:left w:w="57" w:type="dxa"/>
              <w:bottom w:w="57" w:type="dxa"/>
              <w:right w:w="57" w:type="dxa"/>
            </w:tcMar>
            <w:tcPrChange w:id="5165" w:author="Author">
              <w:tcPr>
                <w:tcW w:w="312" w:type="pct"/>
                <w:gridSpan w:val="2"/>
                <w:tcBorders>
                  <w:bottom w:val="single" w:sz="4" w:space="0" w:color="auto"/>
                  <w:right w:val="single" w:sz="4" w:space="0" w:color="auto"/>
                </w:tcBorders>
                <w:tcMar>
                  <w:top w:w="57" w:type="dxa"/>
                  <w:left w:w="57" w:type="dxa"/>
                  <w:bottom w:w="57" w:type="dxa"/>
                  <w:right w:w="57" w:type="dxa"/>
                </w:tcMar>
              </w:tcPr>
            </w:tcPrChange>
          </w:tcPr>
          <w:p w14:paraId="6BAD2553" w14:textId="3ECFE751" w:rsidR="0049272D" w:rsidRPr="00F04F82" w:rsidRDefault="0049272D" w:rsidP="00D47253">
            <w:pPr>
              <w:spacing w:line="240" w:lineRule="auto"/>
              <w:rPr>
                <w:b/>
                <w:bCs/>
              </w:rPr>
            </w:pPr>
            <w:r w:rsidRPr="00F04F82">
              <w:rPr>
                <w:b/>
                <w:bCs/>
              </w:rPr>
              <w:t>1</w:t>
            </w:r>
          </w:p>
        </w:tc>
        <w:tc>
          <w:tcPr>
            <w:tcW w:w="4688" w:type="pct"/>
            <w:tcBorders>
              <w:left w:val="single" w:sz="4" w:space="0" w:color="auto"/>
              <w:bottom w:val="single" w:sz="4" w:space="0" w:color="auto"/>
            </w:tcBorders>
            <w:tcPrChange w:id="5166" w:author="Author">
              <w:tcPr>
                <w:tcW w:w="4688" w:type="pct"/>
                <w:tcBorders>
                  <w:left w:val="single" w:sz="4" w:space="0" w:color="auto"/>
                  <w:bottom w:val="single" w:sz="4" w:space="0" w:color="auto"/>
                </w:tcBorders>
              </w:tcPr>
            </w:tcPrChange>
          </w:tcPr>
          <w:p w14:paraId="0F6E46BA" w14:textId="77777777" w:rsidR="0049272D" w:rsidRPr="00F04F82" w:rsidRDefault="0049272D" w:rsidP="00B61D9D">
            <w:pPr>
              <w:spacing w:line="240" w:lineRule="auto"/>
              <w:rPr>
                <w:b/>
                <w:bCs/>
              </w:rPr>
            </w:pPr>
            <w:r w:rsidRPr="00F04F82">
              <w:rPr>
                <w:b/>
                <w:bCs/>
              </w:rPr>
              <w:t>Important information you need to know before injecting AMGEVITA</w:t>
            </w:r>
          </w:p>
        </w:tc>
      </w:tr>
      <w:tr w:rsidR="00F67EFB" w:rsidRPr="00F04F82" w:rsidDel="00AD4D1C" w14:paraId="0C238902" w14:textId="587BA1AF" w:rsidTr="0049272D">
        <w:trPr>
          <w:gridBefore w:val="1"/>
          <w:cantSplit/>
          <w:trHeight w:val="57"/>
          <w:del w:id="5167" w:author="Author"/>
        </w:trPr>
        <w:tc>
          <w:tcPr>
            <w:tcW w:w="5000" w:type="pct"/>
            <w:gridSpan w:val="2"/>
            <w:tcBorders>
              <w:bottom w:val="nil"/>
            </w:tcBorders>
            <w:tcMar>
              <w:top w:w="57" w:type="dxa"/>
              <w:left w:w="57" w:type="dxa"/>
              <w:bottom w:w="57" w:type="dxa"/>
              <w:right w:w="57" w:type="dxa"/>
            </w:tcMar>
          </w:tcPr>
          <w:p w14:paraId="34802EB4" w14:textId="5D9E3933" w:rsidR="00F67EFB" w:rsidRPr="00F04F82" w:rsidDel="00AD4D1C" w:rsidRDefault="00F67EFB" w:rsidP="00D47253">
            <w:pPr>
              <w:spacing w:line="240" w:lineRule="auto"/>
              <w:rPr>
                <w:del w:id="5168" w:author="Author"/>
                <w:b/>
                <w:bCs/>
              </w:rPr>
            </w:pPr>
            <w:del w:id="5169" w:author="Author">
              <w:r w:rsidRPr="00F04F82" w:rsidDel="00AD4D1C">
                <w:rPr>
                  <w:b/>
                  <w:bCs/>
                </w:rPr>
                <w:delText>Using your AMGEVITA SureClick pre-filled pen:</w:delText>
              </w:r>
            </w:del>
          </w:p>
          <w:p w14:paraId="348C79A5" w14:textId="1A054D85" w:rsidR="00F67EFB" w:rsidRPr="00F04F82" w:rsidDel="00AD4D1C" w:rsidRDefault="00F67EFB" w:rsidP="00D47253">
            <w:pPr>
              <w:spacing w:line="240" w:lineRule="auto"/>
              <w:rPr>
                <w:del w:id="5170" w:author="Author"/>
                <w:b/>
                <w:bCs/>
              </w:rPr>
            </w:pPr>
          </w:p>
        </w:tc>
      </w:tr>
      <w:tr w:rsidR="00F67EFB" w:rsidRPr="00F04F82" w14:paraId="7C78181C" w14:textId="77777777" w:rsidTr="00D55B59">
        <w:trPr>
          <w:cantSplit/>
          <w:trHeight w:val="57"/>
          <w:trPrChange w:id="5171" w:author="Author">
            <w:trPr>
              <w:cantSplit/>
              <w:trHeight w:val="57"/>
            </w:trPr>
          </w:trPrChange>
        </w:trPr>
        <w:tc>
          <w:tcPr>
            <w:tcW w:w="312" w:type="pct"/>
            <w:gridSpan w:val="2"/>
            <w:tcBorders>
              <w:top w:val="single" w:sz="4" w:space="0" w:color="auto"/>
              <w:bottom w:val="nil"/>
              <w:right w:val="nil"/>
            </w:tcBorders>
            <w:tcPrChange w:id="5172" w:author="Author">
              <w:tcPr>
                <w:tcW w:w="312" w:type="pct"/>
                <w:gridSpan w:val="2"/>
                <w:tcBorders>
                  <w:top w:val="nil"/>
                  <w:bottom w:val="nil"/>
                  <w:right w:val="nil"/>
                </w:tcBorders>
              </w:tcPr>
            </w:tcPrChange>
          </w:tcPr>
          <w:p w14:paraId="4A4BD1F1" w14:textId="3FB855E3" w:rsidR="00F67EFB" w:rsidRPr="00F04F82" w:rsidRDefault="00451F1A">
            <w:pPr>
              <w:keepNext/>
              <w:numPr>
                <w:ilvl w:val="0"/>
                <w:numId w:val="46"/>
              </w:numPr>
              <w:tabs>
                <w:tab w:val="clear" w:pos="567"/>
              </w:tabs>
              <w:spacing w:line="240" w:lineRule="auto"/>
              <w:ind w:left="567" w:hanging="567"/>
            </w:pPr>
            <w:ins w:id="5173" w:author="Author">
              <w:r w:rsidRPr="00F04F82">
                <w:tab/>
              </w:r>
            </w:ins>
          </w:p>
        </w:tc>
        <w:tc>
          <w:tcPr>
            <w:tcW w:w="4688" w:type="pct"/>
            <w:tcBorders>
              <w:top w:val="single" w:sz="4" w:space="0" w:color="auto"/>
              <w:left w:val="nil"/>
              <w:bottom w:val="nil"/>
            </w:tcBorders>
            <w:tcMar>
              <w:top w:w="57" w:type="dxa"/>
              <w:left w:w="0" w:type="dxa"/>
              <w:bottom w:w="57" w:type="dxa"/>
              <w:right w:w="57" w:type="dxa"/>
            </w:tcMar>
            <w:tcPrChange w:id="5174" w:author="Author">
              <w:tcPr>
                <w:tcW w:w="4688" w:type="pct"/>
                <w:tcBorders>
                  <w:top w:val="nil"/>
                  <w:left w:val="nil"/>
                  <w:bottom w:val="nil"/>
                </w:tcBorders>
                <w:tcMar>
                  <w:top w:w="57" w:type="dxa"/>
                  <w:left w:w="0" w:type="dxa"/>
                  <w:bottom w:w="57" w:type="dxa"/>
                  <w:right w:w="57" w:type="dxa"/>
                </w:tcMar>
              </w:tcPr>
            </w:tcPrChange>
          </w:tcPr>
          <w:p w14:paraId="59C1D793" w14:textId="75DFF8DB" w:rsidR="00F67EFB" w:rsidRPr="00F04F82" w:rsidRDefault="00F67EFB" w:rsidP="00D47253">
            <w:pPr>
              <w:spacing w:line="240" w:lineRule="auto"/>
              <w:rPr>
                <w:b/>
                <w:bCs/>
              </w:rPr>
            </w:pPr>
            <w:r w:rsidRPr="00F04F82">
              <w:t>It is important that you do not try to give yourself the injection until you have fully read and understood th</w:t>
            </w:r>
            <w:ins w:id="5175" w:author="Author">
              <w:r w:rsidR="00870CEB" w:rsidRPr="00F04F82">
                <w:t>is</w:t>
              </w:r>
            </w:ins>
            <w:del w:id="5176" w:author="Author">
              <w:r w:rsidRPr="00F04F82" w:rsidDel="00870CEB">
                <w:delText>ese</w:delText>
              </w:r>
            </w:del>
            <w:r w:rsidRPr="00F04F82">
              <w:t xml:space="preserve"> </w:t>
            </w:r>
            <w:ins w:id="5177" w:author="Author">
              <w:r w:rsidR="00870CEB" w:rsidRPr="00F04F82">
                <w:t>I</w:t>
              </w:r>
            </w:ins>
            <w:del w:id="5178" w:author="Author">
              <w:r w:rsidRPr="00F04F82" w:rsidDel="00870CEB">
                <w:delText>i</w:delText>
              </w:r>
            </w:del>
            <w:r w:rsidRPr="00F04F82">
              <w:t xml:space="preserve">nstructions for </w:t>
            </w:r>
            <w:ins w:id="5179" w:author="Author">
              <w:r w:rsidR="00870CEB" w:rsidRPr="00F04F82">
                <w:t>U</w:t>
              </w:r>
            </w:ins>
            <w:del w:id="5180" w:author="Author">
              <w:r w:rsidRPr="00F04F82" w:rsidDel="00870CEB">
                <w:delText>u</w:delText>
              </w:r>
            </w:del>
            <w:r w:rsidRPr="00F04F82">
              <w:t>se</w:t>
            </w:r>
            <w:bookmarkStart w:id="5181" w:name="_Hlk117681572"/>
            <w:r w:rsidRPr="00F04F82">
              <w:t xml:space="preserve"> and unless you have received training from your doctor or healthcare provider.</w:t>
            </w:r>
            <w:bookmarkEnd w:id="5181"/>
          </w:p>
        </w:tc>
      </w:tr>
      <w:tr w:rsidR="00F67EFB" w:rsidRPr="00F04F82" w14:paraId="1B99E3FC" w14:textId="77777777" w:rsidTr="0049272D">
        <w:trPr>
          <w:cantSplit/>
          <w:trHeight w:val="57"/>
        </w:trPr>
        <w:tc>
          <w:tcPr>
            <w:tcW w:w="312" w:type="pct"/>
            <w:gridSpan w:val="2"/>
            <w:tcBorders>
              <w:top w:val="nil"/>
              <w:bottom w:val="nil"/>
              <w:right w:val="nil"/>
            </w:tcBorders>
          </w:tcPr>
          <w:p w14:paraId="2641F817" w14:textId="20F66A6E" w:rsidR="00F67EFB" w:rsidRPr="00F04F82" w:rsidRDefault="00451F1A">
            <w:pPr>
              <w:keepNext/>
              <w:numPr>
                <w:ilvl w:val="0"/>
                <w:numId w:val="46"/>
              </w:numPr>
              <w:tabs>
                <w:tab w:val="clear" w:pos="567"/>
              </w:tabs>
              <w:spacing w:line="240" w:lineRule="auto"/>
              <w:ind w:left="567" w:hanging="567"/>
            </w:pPr>
            <w:ins w:id="5182" w:author="Author">
              <w:r w:rsidRPr="00F04F82">
                <w:tab/>
              </w:r>
            </w:ins>
          </w:p>
        </w:tc>
        <w:tc>
          <w:tcPr>
            <w:tcW w:w="4688" w:type="pct"/>
            <w:tcBorders>
              <w:top w:val="nil"/>
              <w:left w:val="nil"/>
              <w:bottom w:val="nil"/>
            </w:tcBorders>
            <w:tcMar>
              <w:top w:w="57" w:type="dxa"/>
              <w:left w:w="0" w:type="dxa"/>
              <w:bottom w:w="57" w:type="dxa"/>
              <w:right w:w="57" w:type="dxa"/>
            </w:tcMar>
          </w:tcPr>
          <w:p w14:paraId="4BD73F08" w14:textId="77777777" w:rsidR="00F67EFB" w:rsidRPr="00F04F82" w:rsidRDefault="00F67EFB" w:rsidP="00D47253">
            <w:pPr>
              <w:spacing w:line="240" w:lineRule="auto"/>
              <w:rPr>
                <w:b/>
                <w:bCs/>
              </w:rPr>
            </w:pPr>
            <w:r w:rsidRPr="00F04F82">
              <w:rPr>
                <w:b/>
                <w:bCs/>
              </w:rPr>
              <w:t>Do not</w:t>
            </w:r>
            <w:r w:rsidRPr="00F04F82">
              <w:t xml:space="preserve"> use the pre-filled pen if the carton is damaged or seal is broken.</w:t>
            </w:r>
          </w:p>
        </w:tc>
      </w:tr>
      <w:tr w:rsidR="00F67EFB" w:rsidRPr="00F04F82" w14:paraId="2C1BF27F" w14:textId="77777777" w:rsidTr="0049272D">
        <w:trPr>
          <w:cantSplit/>
          <w:trHeight w:val="57"/>
        </w:trPr>
        <w:tc>
          <w:tcPr>
            <w:tcW w:w="312" w:type="pct"/>
            <w:gridSpan w:val="2"/>
            <w:tcBorders>
              <w:top w:val="nil"/>
              <w:bottom w:val="nil"/>
              <w:right w:val="nil"/>
            </w:tcBorders>
          </w:tcPr>
          <w:p w14:paraId="79CBF85C" w14:textId="77777777" w:rsidR="00F67EFB" w:rsidRPr="00F04F82" w:rsidRDefault="00F67EFB">
            <w:pPr>
              <w:pStyle w:val="ListParagraph"/>
              <w:keepNext/>
              <w:numPr>
                <w:ilvl w:val="0"/>
                <w:numId w:val="45"/>
              </w:numPr>
              <w:tabs>
                <w:tab w:val="left" w:pos="474"/>
                <w:tab w:val="left" w:pos="529"/>
              </w:tabs>
              <w:ind w:left="567" w:hanging="567"/>
              <w:contextualSpacing w:val="0"/>
            </w:pPr>
          </w:p>
        </w:tc>
        <w:tc>
          <w:tcPr>
            <w:tcW w:w="4688" w:type="pct"/>
            <w:tcBorders>
              <w:top w:val="nil"/>
              <w:left w:val="nil"/>
              <w:bottom w:val="nil"/>
            </w:tcBorders>
            <w:tcMar>
              <w:top w:w="57" w:type="dxa"/>
              <w:left w:w="0" w:type="dxa"/>
              <w:bottom w:w="57" w:type="dxa"/>
              <w:right w:w="57" w:type="dxa"/>
            </w:tcMar>
          </w:tcPr>
          <w:p w14:paraId="2103DC02" w14:textId="54C8BD2C" w:rsidR="00F67EFB" w:rsidRPr="00F04F82" w:rsidRDefault="00F67EFB" w:rsidP="00D47253">
            <w:pPr>
              <w:spacing w:line="240" w:lineRule="auto"/>
              <w:rPr>
                <w:b/>
                <w:bCs/>
              </w:rPr>
            </w:pPr>
            <w:r w:rsidRPr="00F04F82">
              <w:rPr>
                <w:b/>
                <w:bCs/>
              </w:rPr>
              <w:t>Do not</w:t>
            </w:r>
            <w:r w:rsidRPr="00F04F82">
              <w:t xml:space="preserve"> use the pre-filled pen after the </w:t>
            </w:r>
            <w:r w:rsidR="00AD2E57" w:rsidRPr="00F04F82">
              <w:t>expiry</w:t>
            </w:r>
            <w:r w:rsidRPr="00F04F82">
              <w:t xml:space="preserve"> date on the label.</w:t>
            </w:r>
          </w:p>
        </w:tc>
      </w:tr>
      <w:tr w:rsidR="00F67EFB" w:rsidRPr="00F04F82" w14:paraId="3727C9A6" w14:textId="77777777" w:rsidTr="0049272D">
        <w:trPr>
          <w:cantSplit/>
          <w:trHeight w:val="57"/>
        </w:trPr>
        <w:tc>
          <w:tcPr>
            <w:tcW w:w="312" w:type="pct"/>
            <w:gridSpan w:val="2"/>
            <w:tcBorders>
              <w:top w:val="nil"/>
              <w:bottom w:val="nil"/>
              <w:right w:val="nil"/>
            </w:tcBorders>
          </w:tcPr>
          <w:p w14:paraId="4732CDB3" w14:textId="77777777" w:rsidR="00F67EFB" w:rsidRPr="00F04F82" w:rsidRDefault="00F67EFB">
            <w:pPr>
              <w:pStyle w:val="ListParagraph"/>
              <w:keepNext/>
              <w:numPr>
                <w:ilvl w:val="0"/>
                <w:numId w:val="45"/>
              </w:numPr>
              <w:tabs>
                <w:tab w:val="left" w:pos="567"/>
              </w:tabs>
              <w:ind w:left="567" w:hanging="567"/>
              <w:contextualSpacing w:val="0"/>
            </w:pPr>
          </w:p>
        </w:tc>
        <w:tc>
          <w:tcPr>
            <w:tcW w:w="4688" w:type="pct"/>
            <w:tcBorders>
              <w:top w:val="nil"/>
              <w:left w:val="nil"/>
              <w:bottom w:val="nil"/>
            </w:tcBorders>
            <w:tcMar>
              <w:top w:w="57" w:type="dxa"/>
              <w:left w:w="0" w:type="dxa"/>
              <w:bottom w:w="57" w:type="dxa"/>
              <w:right w:w="57" w:type="dxa"/>
            </w:tcMar>
          </w:tcPr>
          <w:p w14:paraId="030A2486" w14:textId="77777777" w:rsidR="00F67EFB" w:rsidRPr="00F04F82" w:rsidRDefault="00F67EFB" w:rsidP="00D47253">
            <w:pPr>
              <w:spacing w:line="240" w:lineRule="auto"/>
              <w:rPr>
                <w:b/>
                <w:bCs/>
              </w:rPr>
            </w:pPr>
            <w:r w:rsidRPr="00F04F82">
              <w:rPr>
                <w:b/>
                <w:bCs/>
              </w:rPr>
              <w:t>Do not</w:t>
            </w:r>
            <w:r w:rsidRPr="00F04F82">
              <w:t xml:space="preserve"> shake the pre-filled pen.</w:t>
            </w:r>
          </w:p>
        </w:tc>
      </w:tr>
      <w:tr w:rsidR="00F67EFB" w:rsidRPr="00F04F82" w14:paraId="37BCDE99" w14:textId="77777777" w:rsidTr="0049272D">
        <w:trPr>
          <w:cantSplit/>
          <w:trHeight w:val="57"/>
        </w:trPr>
        <w:tc>
          <w:tcPr>
            <w:tcW w:w="312" w:type="pct"/>
            <w:gridSpan w:val="2"/>
            <w:tcBorders>
              <w:top w:val="nil"/>
              <w:bottom w:val="nil"/>
              <w:right w:val="nil"/>
            </w:tcBorders>
          </w:tcPr>
          <w:p w14:paraId="0C6FBC27" w14:textId="77777777" w:rsidR="00F67EFB" w:rsidRPr="00F04F82" w:rsidRDefault="00F67EFB">
            <w:pPr>
              <w:pStyle w:val="ListParagraph"/>
              <w:keepNext/>
              <w:numPr>
                <w:ilvl w:val="0"/>
                <w:numId w:val="47"/>
              </w:numPr>
              <w:tabs>
                <w:tab w:val="left" w:pos="567"/>
              </w:tabs>
              <w:ind w:left="567" w:hanging="567"/>
              <w:contextualSpacing w:val="0"/>
            </w:pPr>
          </w:p>
        </w:tc>
        <w:tc>
          <w:tcPr>
            <w:tcW w:w="4688" w:type="pct"/>
            <w:tcBorders>
              <w:top w:val="nil"/>
              <w:left w:val="nil"/>
              <w:bottom w:val="nil"/>
            </w:tcBorders>
            <w:tcMar>
              <w:top w:w="57" w:type="dxa"/>
              <w:left w:w="0" w:type="dxa"/>
              <w:bottom w:w="57" w:type="dxa"/>
              <w:right w:w="57" w:type="dxa"/>
            </w:tcMar>
          </w:tcPr>
          <w:p w14:paraId="3591DC4A" w14:textId="77777777" w:rsidR="00F67EFB" w:rsidRPr="00F04F82" w:rsidRDefault="00F67EFB" w:rsidP="00D47253">
            <w:pPr>
              <w:spacing w:line="240" w:lineRule="auto"/>
            </w:pPr>
            <w:r w:rsidRPr="00F04F82">
              <w:rPr>
                <w:b/>
                <w:bCs/>
              </w:rPr>
              <w:t>Do not</w:t>
            </w:r>
            <w:r w:rsidRPr="00F04F82">
              <w:t xml:space="preserve"> remove the yellow cap from the pre-filled pen until you are ready to inject.</w:t>
            </w:r>
          </w:p>
        </w:tc>
      </w:tr>
      <w:tr w:rsidR="00F67EFB" w:rsidRPr="00F04F82" w14:paraId="643CE848" w14:textId="77777777" w:rsidTr="0049272D">
        <w:trPr>
          <w:cantSplit/>
          <w:trHeight w:val="57"/>
        </w:trPr>
        <w:tc>
          <w:tcPr>
            <w:tcW w:w="312" w:type="pct"/>
            <w:gridSpan w:val="2"/>
            <w:tcBorders>
              <w:top w:val="nil"/>
              <w:bottom w:val="nil"/>
              <w:right w:val="nil"/>
            </w:tcBorders>
          </w:tcPr>
          <w:p w14:paraId="63B453A5" w14:textId="77777777" w:rsidR="00F67EFB" w:rsidRPr="00F04F82" w:rsidRDefault="00F67EFB">
            <w:pPr>
              <w:pStyle w:val="ListParagraph"/>
              <w:keepNext/>
              <w:numPr>
                <w:ilvl w:val="0"/>
                <w:numId w:val="47"/>
              </w:numPr>
              <w:tabs>
                <w:tab w:val="left" w:pos="567"/>
              </w:tabs>
              <w:ind w:left="567" w:hanging="567"/>
              <w:contextualSpacing w:val="0"/>
            </w:pPr>
          </w:p>
        </w:tc>
        <w:tc>
          <w:tcPr>
            <w:tcW w:w="4688" w:type="pct"/>
            <w:tcBorders>
              <w:top w:val="nil"/>
              <w:left w:val="nil"/>
              <w:bottom w:val="nil"/>
            </w:tcBorders>
            <w:tcMar>
              <w:top w:w="57" w:type="dxa"/>
              <w:left w:w="0" w:type="dxa"/>
              <w:bottom w:w="57" w:type="dxa"/>
              <w:right w:w="57" w:type="dxa"/>
            </w:tcMar>
          </w:tcPr>
          <w:p w14:paraId="17F9C666" w14:textId="77777777" w:rsidR="00F67EFB" w:rsidRPr="00F04F82" w:rsidRDefault="00F67EFB" w:rsidP="00D47253">
            <w:pPr>
              <w:spacing w:line="240" w:lineRule="auto"/>
            </w:pPr>
            <w:r w:rsidRPr="00F04F82">
              <w:rPr>
                <w:b/>
                <w:bCs/>
              </w:rPr>
              <w:t>Do not</w:t>
            </w:r>
            <w:r w:rsidRPr="00F04F82">
              <w:t xml:space="preserve"> use the </w:t>
            </w:r>
            <w:r w:rsidRPr="00F04F82">
              <w:rPr>
                <w:color w:val="000000"/>
                <w:szCs w:val="22"/>
              </w:rPr>
              <w:t xml:space="preserve">pre-filled </w:t>
            </w:r>
            <w:r w:rsidRPr="00F04F82">
              <w:t>pen if it has been frozen.</w:t>
            </w:r>
          </w:p>
        </w:tc>
      </w:tr>
      <w:tr w:rsidR="00F67EFB" w:rsidRPr="00F04F82" w14:paraId="2DBEAA2D" w14:textId="77777777" w:rsidTr="0049272D">
        <w:trPr>
          <w:cantSplit/>
          <w:trHeight w:val="57"/>
        </w:trPr>
        <w:tc>
          <w:tcPr>
            <w:tcW w:w="312" w:type="pct"/>
            <w:gridSpan w:val="2"/>
            <w:tcBorders>
              <w:top w:val="nil"/>
              <w:bottom w:val="nil"/>
              <w:right w:val="nil"/>
            </w:tcBorders>
          </w:tcPr>
          <w:p w14:paraId="0FA7F8F6" w14:textId="77777777" w:rsidR="00F67EFB" w:rsidRPr="00F04F82" w:rsidRDefault="00F67EFB">
            <w:pPr>
              <w:pStyle w:val="ListParagraph"/>
              <w:keepNext/>
              <w:numPr>
                <w:ilvl w:val="0"/>
                <w:numId w:val="47"/>
              </w:numPr>
              <w:tabs>
                <w:tab w:val="left" w:pos="567"/>
              </w:tabs>
              <w:ind w:left="567" w:hanging="567"/>
              <w:contextualSpacing w:val="0"/>
            </w:pPr>
          </w:p>
        </w:tc>
        <w:tc>
          <w:tcPr>
            <w:tcW w:w="4688" w:type="pct"/>
            <w:tcBorders>
              <w:top w:val="nil"/>
              <w:left w:val="nil"/>
              <w:bottom w:val="nil"/>
            </w:tcBorders>
            <w:tcMar>
              <w:top w:w="57" w:type="dxa"/>
              <w:left w:w="0" w:type="dxa"/>
              <w:bottom w:w="57" w:type="dxa"/>
              <w:right w:w="57" w:type="dxa"/>
            </w:tcMar>
          </w:tcPr>
          <w:p w14:paraId="3A06B0F0" w14:textId="77777777" w:rsidR="00F67EFB" w:rsidRPr="00F04F82" w:rsidRDefault="00F67EFB" w:rsidP="00D47253">
            <w:pPr>
              <w:spacing w:line="240" w:lineRule="auto"/>
            </w:pPr>
            <w:r w:rsidRPr="00F04F82">
              <w:rPr>
                <w:b/>
                <w:color w:val="000000"/>
                <w:szCs w:val="22"/>
              </w:rPr>
              <w:t xml:space="preserve">Do not </w:t>
            </w:r>
            <w:r w:rsidRPr="00F04F82">
              <w:rPr>
                <w:color w:val="000000"/>
                <w:szCs w:val="22"/>
              </w:rPr>
              <w:t>use the pre-filled pen if it has been dropped on a hard surface. Part of the pre-filled pen may be broken even if you cannot see the break. Use a new pre-filled pen and call your doctor or healthcare provider.</w:t>
            </w:r>
          </w:p>
        </w:tc>
      </w:tr>
      <w:tr w:rsidR="00F67EFB" w:rsidRPr="00F04F82" w14:paraId="5A711DB7" w14:textId="77777777" w:rsidTr="0049272D">
        <w:trPr>
          <w:cantSplit/>
          <w:trHeight w:val="57"/>
        </w:trPr>
        <w:tc>
          <w:tcPr>
            <w:tcW w:w="5000" w:type="pct"/>
            <w:gridSpan w:val="3"/>
            <w:tcBorders>
              <w:top w:val="nil"/>
              <w:bottom w:val="single" w:sz="4" w:space="0" w:color="auto"/>
            </w:tcBorders>
          </w:tcPr>
          <w:p w14:paraId="069342AA" w14:textId="039CEEE3" w:rsidR="00F67EFB" w:rsidRPr="00F04F82" w:rsidRDefault="00D96030" w:rsidP="00D47253">
            <w:pPr>
              <w:spacing w:line="240" w:lineRule="auto"/>
              <w:rPr>
                <w:b/>
                <w:bCs/>
              </w:rPr>
            </w:pPr>
            <w:r>
              <w:pict w14:anchorId="37DFC280">
                <v:shape id="_x0000_s2064" type="#_x0000_t202" style="position:absolute;margin-left:4.2pt;margin-top:15.8pt;width:439.1pt;height:34pt;z-index:10;visibility:visible;mso-wrap-style:square;mso-width-percent:0;mso-height-percent:200;mso-wrap-distance-left:9pt;mso-wrap-distance-top:3.6pt;mso-wrap-distance-right:9pt;mso-wrap-distance-bottom:3.6pt;mso-position-horizontal-relative:margin;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" strokecolor="red" strokeweight="1.5pt">
                  <v:textbox style="mso-next-textbox:#_x0000_s2064;mso-fit-shape-to-text:t">
                    <w:txbxContent>
                      <w:p w14:paraId="44BD6C66" w14:textId="191D6FA0" w:rsidR="00D47253" w:rsidRPr="00F04F82" w:rsidRDefault="00D47253" w:rsidP="00F67EFB">
                        <w:pPr>
                          <w:spacing w:line="240" w:lineRule="auto"/>
                        </w:pPr>
                        <w:r w:rsidRPr="00F04F82">
                          <w:rPr>
                            <w:b/>
                            <w:bCs/>
                          </w:rPr>
                          <w:t>Important:</w:t>
                        </w:r>
                        <w:r w:rsidRPr="00F04F82">
                          <w:t xml:space="preserve"> </w:t>
                        </w:r>
                        <w:r w:rsidRPr="00F04F82">
                          <w:rPr>
                            <w:szCs w:val="22"/>
                          </w:rPr>
                          <w:t xml:space="preserve">Keep the </w:t>
                        </w:r>
                        <w:r w:rsidRPr="00F04F82">
                          <w:rPr>
                            <w:color w:val="000000"/>
                            <w:szCs w:val="22"/>
                          </w:rPr>
                          <w:t>pre-filled pen</w:t>
                        </w:r>
                        <w:r w:rsidRPr="00F04F82">
                          <w:rPr>
                            <w:szCs w:val="22"/>
                          </w:rPr>
                          <w:t xml:space="preserve"> and sharps disposal container out of the sight and reach of children.</w:t>
                        </w:r>
                      </w:p>
                    </w:txbxContent>
                  </v:textbox>
                  <w10:wrap type="square" anchorx="margin"/>
                </v:shape>
              </w:pict>
            </w:r>
          </w:p>
        </w:tc>
      </w:tr>
    </w:tbl>
    <w:p w14:paraId="1F791EDF" w14:textId="77777777" w:rsidR="00F67EFB" w:rsidRPr="00F04F82" w:rsidRDefault="00F67EFB" w:rsidP="00F67EFB">
      <w:pPr>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3"/>
        <w:gridCol w:w="8517"/>
      </w:tblGrid>
      <w:tr w:rsidR="0049272D" w:rsidRPr="00F04F82" w14:paraId="5933A2D2" w14:textId="3988DAF2" w:rsidTr="00B61D9D">
        <w:trPr>
          <w:cantSplit/>
          <w:trHeight w:val="57"/>
        </w:trPr>
        <w:tc>
          <w:tcPr>
            <w:tcW w:w="305" w:type="pct"/>
            <w:tcBorders>
              <w:top w:val="single" w:sz="4" w:space="0" w:color="auto"/>
            </w:tcBorders>
            <w:tcMar>
              <w:top w:w="28" w:type="dxa"/>
              <w:left w:w="57" w:type="dxa"/>
              <w:bottom w:w="28" w:type="dxa"/>
              <w:right w:w="57" w:type="dxa"/>
            </w:tcMar>
          </w:tcPr>
          <w:p w14:paraId="04A21606" w14:textId="2D8F1B50" w:rsidR="0049272D" w:rsidRPr="00F04F82" w:rsidRDefault="0049272D" w:rsidP="000E495D">
            <w:pPr>
              <w:keepNext/>
              <w:spacing w:line="240" w:lineRule="auto"/>
              <w:rPr>
                <w:szCs w:val="22"/>
              </w:rPr>
            </w:pPr>
            <w:r w:rsidRPr="00F04F82">
              <w:rPr>
                <w:b/>
                <w:bCs/>
                <w:szCs w:val="22"/>
              </w:rPr>
              <w:t>2</w:t>
            </w:r>
          </w:p>
        </w:tc>
        <w:tc>
          <w:tcPr>
            <w:tcW w:w="4695" w:type="pct"/>
            <w:tcBorders>
              <w:top w:val="single" w:sz="4" w:space="0" w:color="auto"/>
            </w:tcBorders>
          </w:tcPr>
          <w:p w14:paraId="524458F8" w14:textId="77777777" w:rsidR="0049272D" w:rsidRPr="00F04F82" w:rsidRDefault="0049272D" w:rsidP="00B61D9D">
            <w:pPr>
              <w:keepNext/>
              <w:spacing w:line="240" w:lineRule="auto"/>
              <w:ind w:left="567" w:hanging="567"/>
              <w:rPr>
                <w:szCs w:val="22"/>
              </w:rPr>
            </w:pPr>
            <w:r w:rsidRPr="00F04F82">
              <w:rPr>
                <w:b/>
                <w:bCs/>
                <w:szCs w:val="22"/>
              </w:rPr>
              <w:t>Preparing to inject AMGEVITA</w:t>
            </w:r>
          </w:p>
        </w:tc>
      </w:tr>
    </w:tbl>
    <w:p w14:paraId="2CFA266F" w14:textId="77777777" w:rsidR="00F67EFB" w:rsidRPr="00F04F82" w:rsidRDefault="00F67EFB" w:rsidP="00B61D9D">
      <w:pPr>
        <w:keepNext/>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62"/>
        <w:gridCol w:w="80"/>
        <w:gridCol w:w="8428"/>
      </w:tblGrid>
      <w:tr w:rsidR="0049272D" w:rsidRPr="00F04F82" w14:paraId="2D8D2018" w14:textId="6DC446D6" w:rsidTr="0049272D">
        <w:trPr>
          <w:cantSplit/>
          <w:trHeight w:val="57"/>
        </w:trPr>
        <w:tc>
          <w:tcPr>
            <w:tcW w:w="310" w:type="pct"/>
            <w:tcBorders>
              <w:bottom w:val="single" w:sz="4" w:space="0" w:color="auto"/>
            </w:tcBorders>
            <w:tcMar>
              <w:top w:w="28" w:type="dxa"/>
              <w:left w:w="57" w:type="dxa"/>
              <w:bottom w:w="28" w:type="dxa"/>
              <w:right w:w="57" w:type="dxa"/>
            </w:tcMar>
          </w:tcPr>
          <w:p w14:paraId="13A1497E" w14:textId="2C4D8A34" w:rsidR="0049272D" w:rsidRPr="00F04F82" w:rsidRDefault="0049272D" w:rsidP="00B61D9D">
            <w:pPr>
              <w:keepNext/>
              <w:spacing w:line="240" w:lineRule="auto"/>
              <w:rPr>
                <w:szCs w:val="22"/>
              </w:rPr>
            </w:pPr>
            <w:r w:rsidRPr="00F04F82">
              <w:rPr>
                <w:b/>
                <w:bCs/>
                <w:szCs w:val="22"/>
              </w:rPr>
              <w:t>2a</w:t>
            </w:r>
          </w:p>
        </w:tc>
        <w:tc>
          <w:tcPr>
            <w:tcW w:w="4690" w:type="pct"/>
            <w:gridSpan w:val="2"/>
            <w:tcBorders>
              <w:bottom w:val="single" w:sz="4" w:space="0" w:color="auto"/>
            </w:tcBorders>
          </w:tcPr>
          <w:p w14:paraId="1DDE6C8A" w14:textId="41E4409D" w:rsidR="0049272D" w:rsidRPr="00F04F82" w:rsidRDefault="0049272D" w:rsidP="00B61D9D">
            <w:pPr>
              <w:keepNext/>
              <w:spacing w:line="240" w:lineRule="auto"/>
              <w:ind w:left="567" w:hanging="567"/>
              <w:rPr>
                <w:szCs w:val="22"/>
              </w:rPr>
            </w:pPr>
            <w:r w:rsidRPr="00F04F82">
              <w:rPr>
                <w:b/>
                <w:bCs/>
                <w:szCs w:val="22"/>
              </w:rPr>
              <w:t>Wait</w:t>
            </w:r>
            <w:ins w:id="5183" w:author="Author">
              <w:r w:rsidR="003F1315" w:rsidRPr="00F04F82">
                <w:rPr>
                  <w:b/>
                  <w:bCs/>
                  <w:szCs w:val="22"/>
                </w:rPr>
                <w:t xml:space="preserve"> 15 to</w:t>
              </w:r>
            </w:ins>
            <w:r w:rsidRPr="00F04F82">
              <w:rPr>
                <w:b/>
                <w:bCs/>
                <w:szCs w:val="22"/>
              </w:rPr>
              <w:t xml:space="preserve"> 30 minutes for the pre-filled pen to reach room temperature.</w:t>
            </w:r>
          </w:p>
        </w:tc>
      </w:tr>
      <w:tr w:rsidR="00F67EFB" w:rsidRPr="00F04F82" w14:paraId="6781248B" w14:textId="77777777" w:rsidTr="0049272D">
        <w:trPr>
          <w:cantSplit/>
          <w:trHeight w:val="57"/>
        </w:trPr>
        <w:tc>
          <w:tcPr>
            <w:tcW w:w="5000" w:type="pct"/>
            <w:gridSpan w:val="3"/>
            <w:tcBorders>
              <w:bottom w:val="single" w:sz="4" w:space="0" w:color="auto"/>
            </w:tcBorders>
            <w:tcMar>
              <w:top w:w="28" w:type="dxa"/>
              <w:left w:w="57" w:type="dxa"/>
              <w:bottom w:w="28" w:type="dxa"/>
              <w:right w:w="57" w:type="dxa"/>
            </w:tcMar>
          </w:tcPr>
          <w:p w14:paraId="1A1510D6" w14:textId="77777777" w:rsidR="00F67EFB" w:rsidRPr="00F04F82" w:rsidRDefault="00F67EFB" w:rsidP="00D47253">
            <w:pPr>
              <w:spacing w:line="240" w:lineRule="auto"/>
              <w:jc w:val="center"/>
              <w:rPr>
                <w:b/>
                <w:bCs/>
                <w:sz w:val="36"/>
                <w:szCs w:val="36"/>
              </w:rPr>
            </w:pPr>
          </w:p>
          <w:p w14:paraId="3533AC99" w14:textId="77777777" w:rsidR="00F67EFB" w:rsidRPr="00F04F82" w:rsidRDefault="00F67EFB" w:rsidP="00D47253">
            <w:pPr>
              <w:spacing w:line="240" w:lineRule="auto"/>
              <w:jc w:val="center"/>
              <w:rPr>
                <w:b/>
                <w:bCs/>
                <w:sz w:val="36"/>
                <w:szCs w:val="36"/>
              </w:rPr>
            </w:pPr>
            <w:r w:rsidRPr="00F04F82">
              <w:rPr>
                <w:b/>
                <w:bCs/>
                <w:sz w:val="36"/>
                <w:szCs w:val="36"/>
              </w:rPr>
              <w:t>WAIT</w:t>
            </w:r>
          </w:p>
          <w:p w14:paraId="1A712EAB" w14:textId="313E4C28" w:rsidR="00F67EFB" w:rsidRPr="00F04F82" w:rsidRDefault="003B509C" w:rsidP="00D47253">
            <w:pPr>
              <w:spacing w:line="240" w:lineRule="auto"/>
              <w:jc w:val="center"/>
              <w:rPr>
                <w:b/>
                <w:bCs/>
                <w:sz w:val="36"/>
                <w:szCs w:val="36"/>
              </w:rPr>
            </w:pPr>
            <w:ins w:id="5184" w:author="Author">
              <w:r w:rsidRPr="00F04F82">
                <w:rPr>
                  <w:b/>
                  <w:bCs/>
                  <w:sz w:val="36"/>
                  <w:szCs w:val="36"/>
                </w:rPr>
                <w:t xml:space="preserve">15 to </w:t>
              </w:r>
            </w:ins>
            <w:r w:rsidR="00F67EFB" w:rsidRPr="00F04F82">
              <w:rPr>
                <w:b/>
                <w:bCs/>
                <w:sz w:val="36"/>
                <w:szCs w:val="36"/>
              </w:rPr>
              <w:t>30</w:t>
            </w:r>
          </w:p>
          <w:p w14:paraId="03181BBC" w14:textId="77777777" w:rsidR="00F67EFB" w:rsidRPr="00F04F82" w:rsidRDefault="00F67EFB" w:rsidP="00D47253">
            <w:pPr>
              <w:spacing w:line="240" w:lineRule="auto"/>
              <w:jc w:val="center"/>
              <w:rPr>
                <w:b/>
                <w:bCs/>
                <w:sz w:val="36"/>
                <w:szCs w:val="36"/>
              </w:rPr>
            </w:pPr>
            <w:r w:rsidRPr="00F04F82">
              <w:rPr>
                <w:b/>
                <w:bCs/>
                <w:sz w:val="36"/>
                <w:szCs w:val="36"/>
              </w:rPr>
              <w:t>minutes</w:t>
            </w:r>
          </w:p>
          <w:p w14:paraId="4EECA4F5" w14:textId="77777777" w:rsidR="00F67EFB" w:rsidRPr="00F04F82" w:rsidDel="008F7FF1" w:rsidRDefault="00F67EFB" w:rsidP="00D47253">
            <w:pPr>
              <w:pStyle w:val="ListParagraph"/>
              <w:ind w:left="567" w:hanging="567"/>
              <w:rPr>
                <w:b/>
                <w:bCs/>
              </w:rPr>
            </w:pPr>
          </w:p>
        </w:tc>
      </w:tr>
      <w:tr w:rsidR="00F67EFB" w:rsidRPr="00F04F82" w14:paraId="6FC36F70" w14:textId="77777777" w:rsidTr="0049272D">
        <w:trPr>
          <w:cantSplit/>
          <w:trHeight w:val="471"/>
        </w:trPr>
        <w:tc>
          <w:tcPr>
            <w:tcW w:w="354" w:type="pct"/>
            <w:gridSpan w:val="2"/>
            <w:tcBorders>
              <w:top w:val="nil"/>
              <w:bottom w:val="nil"/>
              <w:right w:val="nil"/>
            </w:tcBorders>
            <w:tcMar>
              <w:top w:w="28" w:type="dxa"/>
              <w:left w:w="57" w:type="dxa"/>
              <w:bottom w:w="28" w:type="dxa"/>
              <w:right w:w="57" w:type="dxa"/>
            </w:tcMar>
          </w:tcPr>
          <w:p w14:paraId="6063DBA9" w14:textId="77777777" w:rsidR="00F67EFB" w:rsidRPr="00F04F82" w:rsidRDefault="00F67EFB">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71EEC333" w14:textId="77777777" w:rsidR="00F67EFB" w:rsidRPr="00D55B59" w:rsidRDefault="00F67EFB" w:rsidP="00D47253">
            <w:pPr>
              <w:pStyle w:val="ListBullets"/>
              <w:numPr>
                <w:ilvl w:val="0"/>
                <w:numId w:val="0"/>
              </w:numPr>
              <w:spacing w:after="0"/>
              <w:contextualSpacing w:val="0"/>
              <w:rPr>
                <w:szCs w:val="22"/>
                <w:lang w:val="en-GB"/>
                <w:rPrChange w:id="5185" w:author="Author">
                  <w:rPr>
                    <w:szCs w:val="22"/>
                  </w:rPr>
                </w:rPrChange>
              </w:rPr>
            </w:pPr>
            <w:r w:rsidRPr="00D55B59">
              <w:rPr>
                <w:rFonts w:ascii="Times New Roman" w:hAnsi="Times New Roman" w:cs="Times New Roman"/>
                <w:sz w:val="22"/>
                <w:szCs w:val="22"/>
                <w:lang w:val="en-GB"/>
                <w:rPrChange w:id="5186" w:author="Author">
                  <w:rPr>
                    <w:rFonts w:ascii="Times New Roman" w:hAnsi="Times New Roman" w:cs="Times New Roman"/>
                    <w:sz w:val="22"/>
                    <w:szCs w:val="22"/>
                  </w:rPr>
                </w:rPrChange>
              </w:rPr>
              <w:t>Remove the number of pre-filled pens you need for your injection and put any unused pre-filled pens back into the refrigerator.</w:t>
            </w:r>
          </w:p>
        </w:tc>
      </w:tr>
      <w:tr w:rsidR="00F67EFB" w:rsidRPr="00F04F82" w14:paraId="4E2FA6C2" w14:textId="77777777" w:rsidTr="0049272D">
        <w:trPr>
          <w:cantSplit/>
          <w:trHeight w:val="57"/>
        </w:trPr>
        <w:tc>
          <w:tcPr>
            <w:tcW w:w="354" w:type="pct"/>
            <w:gridSpan w:val="2"/>
            <w:tcBorders>
              <w:top w:val="nil"/>
              <w:bottom w:val="nil"/>
              <w:right w:val="nil"/>
            </w:tcBorders>
            <w:tcMar>
              <w:top w:w="28" w:type="dxa"/>
              <w:left w:w="57" w:type="dxa"/>
              <w:bottom w:w="28" w:type="dxa"/>
              <w:right w:w="57" w:type="dxa"/>
            </w:tcMar>
          </w:tcPr>
          <w:p w14:paraId="37971BE4" w14:textId="77777777" w:rsidR="00F67EFB" w:rsidRPr="00F04F82" w:rsidRDefault="00F67EFB">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3B15CB93" w14:textId="77777777" w:rsidR="00F67EFB" w:rsidRPr="00F04F82" w:rsidRDefault="00F67EFB" w:rsidP="00D47253">
            <w:pPr>
              <w:spacing w:line="240" w:lineRule="auto"/>
              <w:rPr>
                <w:b/>
                <w:bCs/>
              </w:rPr>
            </w:pPr>
            <w:r w:rsidRPr="00F04F82">
              <w:rPr>
                <w:szCs w:val="22"/>
              </w:rPr>
              <w:t xml:space="preserve">Let the </w:t>
            </w:r>
            <w:r w:rsidRPr="00F04F82">
              <w:rPr>
                <w:color w:val="000000"/>
                <w:szCs w:val="22"/>
              </w:rPr>
              <w:t xml:space="preserve">pre-filled </w:t>
            </w:r>
            <w:r w:rsidRPr="00F04F82">
              <w:rPr>
                <w:szCs w:val="22"/>
              </w:rPr>
              <w:t>pen warm up naturally.</w:t>
            </w:r>
          </w:p>
        </w:tc>
      </w:tr>
      <w:tr w:rsidR="00F67EFB" w:rsidRPr="00F04F82" w14:paraId="2C550E74" w14:textId="77777777" w:rsidTr="0049272D">
        <w:trPr>
          <w:cantSplit/>
          <w:trHeight w:val="57"/>
        </w:trPr>
        <w:tc>
          <w:tcPr>
            <w:tcW w:w="354" w:type="pct"/>
            <w:gridSpan w:val="2"/>
            <w:tcBorders>
              <w:top w:val="nil"/>
              <w:bottom w:val="nil"/>
              <w:right w:val="nil"/>
            </w:tcBorders>
            <w:tcMar>
              <w:top w:w="28" w:type="dxa"/>
              <w:left w:w="57" w:type="dxa"/>
              <w:bottom w:w="28" w:type="dxa"/>
              <w:right w:w="57" w:type="dxa"/>
            </w:tcMar>
          </w:tcPr>
          <w:p w14:paraId="151D50F2" w14:textId="77777777" w:rsidR="00F67EFB" w:rsidRPr="00F04F82" w:rsidRDefault="00F67EFB">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20B7200B" w14:textId="1F7C550E" w:rsidR="00F67EFB" w:rsidRPr="00F04F82" w:rsidRDefault="00F67EFB" w:rsidP="00D47253">
            <w:pPr>
              <w:spacing w:line="240" w:lineRule="auto"/>
            </w:pPr>
            <w:r w:rsidRPr="00F04F82">
              <w:rPr>
                <w:b/>
                <w:bCs/>
                <w:szCs w:val="22"/>
              </w:rPr>
              <w:t>Do not</w:t>
            </w:r>
            <w:r w:rsidRPr="00F04F82">
              <w:rPr>
                <w:szCs w:val="22"/>
              </w:rPr>
              <w:t xml:space="preserve"> heat </w:t>
            </w:r>
            <w:ins w:id="5187" w:author="Author">
              <w:r w:rsidR="00264F6D" w:rsidRPr="00F04F82">
                <w:rPr>
                  <w:szCs w:val="22"/>
                </w:rPr>
                <w:t xml:space="preserve">the pre-filled pen </w:t>
              </w:r>
            </w:ins>
            <w:r w:rsidRPr="00F04F82">
              <w:rPr>
                <w:szCs w:val="22"/>
              </w:rPr>
              <w:t>with hot water, a microwave, or direct sunlight.</w:t>
            </w:r>
          </w:p>
        </w:tc>
      </w:tr>
      <w:tr w:rsidR="00F67EFB" w:rsidRPr="00F04F82" w14:paraId="7CEF5BBC" w14:textId="77777777" w:rsidTr="0049272D">
        <w:trPr>
          <w:cantSplit/>
          <w:trHeight w:val="57"/>
        </w:trPr>
        <w:tc>
          <w:tcPr>
            <w:tcW w:w="354" w:type="pct"/>
            <w:gridSpan w:val="2"/>
            <w:tcBorders>
              <w:top w:val="nil"/>
              <w:bottom w:val="nil"/>
              <w:right w:val="nil"/>
            </w:tcBorders>
            <w:tcMar>
              <w:top w:w="28" w:type="dxa"/>
              <w:left w:w="57" w:type="dxa"/>
              <w:bottom w:w="28" w:type="dxa"/>
              <w:right w:w="57" w:type="dxa"/>
            </w:tcMar>
          </w:tcPr>
          <w:p w14:paraId="5618446B" w14:textId="77777777" w:rsidR="00F67EFB" w:rsidRPr="00F04F82" w:rsidRDefault="00F67EFB">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7C059343" w14:textId="77777777" w:rsidR="00F67EFB" w:rsidRPr="00F04F82" w:rsidRDefault="00F67EFB" w:rsidP="00D47253">
            <w:pPr>
              <w:spacing w:line="240" w:lineRule="auto"/>
            </w:pPr>
            <w:r w:rsidRPr="00F04F82">
              <w:rPr>
                <w:b/>
                <w:bCs/>
                <w:szCs w:val="22"/>
              </w:rPr>
              <w:t>Do not</w:t>
            </w:r>
            <w:r w:rsidRPr="00F04F82">
              <w:rPr>
                <w:szCs w:val="22"/>
              </w:rPr>
              <w:t xml:space="preserve"> shake the </w:t>
            </w:r>
            <w:r w:rsidRPr="00F04F82">
              <w:rPr>
                <w:color w:val="000000"/>
                <w:szCs w:val="22"/>
              </w:rPr>
              <w:t>pre-filled pen</w:t>
            </w:r>
            <w:r w:rsidRPr="00F04F82">
              <w:rPr>
                <w:szCs w:val="22"/>
              </w:rPr>
              <w:t xml:space="preserve"> at any time.</w:t>
            </w:r>
          </w:p>
        </w:tc>
      </w:tr>
      <w:tr w:rsidR="00241577" w:rsidRPr="00F04F82" w14:paraId="023B75D0" w14:textId="77777777" w:rsidTr="0049272D">
        <w:trPr>
          <w:cantSplit/>
          <w:trHeight w:val="57"/>
        </w:trPr>
        <w:tc>
          <w:tcPr>
            <w:tcW w:w="354" w:type="pct"/>
            <w:gridSpan w:val="2"/>
            <w:tcBorders>
              <w:top w:val="nil"/>
              <w:bottom w:val="nil"/>
              <w:right w:val="nil"/>
            </w:tcBorders>
            <w:tcMar>
              <w:top w:w="28" w:type="dxa"/>
              <w:left w:w="57" w:type="dxa"/>
              <w:bottom w:w="28" w:type="dxa"/>
              <w:right w:w="57" w:type="dxa"/>
            </w:tcMar>
          </w:tcPr>
          <w:p w14:paraId="0A5F06C5" w14:textId="77777777" w:rsidR="00241577" w:rsidRPr="00F04F82" w:rsidRDefault="00241577" w:rsidP="00241577">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7A935BF3" w14:textId="607EEBAA" w:rsidR="00241577" w:rsidRPr="00F04F82" w:rsidRDefault="00241577" w:rsidP="00241577">
            <w:pPr>
              <w:spacing w:line="240" w:lineRule="auto"/>
              <w:rPr>
                <w:b/>
                <w:bCs/>
                <w:szCs w:val="22"/>
              </w:rPr>
            </w:pPr>
            <w:r w:rsidRPr="00F04F82">
              <w:rPr>
                <w:b/>
                <w:bCs/>
                <w:szCs w:val="22"/>
              </w:rPr>
              <w:t xml:space="preserve">Do not </w:t>
            </w:r>
            <w:r w:rsidRPr="00F04F82">
              <w:rPr>
                <w:szCs w:val="22"/>
              </w:rPr>
              <w:t xml:space="preserve">place </w:t>
            </w:r>
            <w:ins w:id="5188" w:author="Author">
              <w:r w:rsidR="00A62947">
                <w:rPr>
                  <w:szCs w:val="22"/>
                </w:rPr>
                <w:t xml:space="preserve">the </w:t>
              </w:r>
            </w:ins>
            <w:r w:rsidRPr="00F04F82">
              <w:rPr>
                <w:szCs w:val="22"/>
              </w:rPr>
              <w:t>pre-filled pen back in refrigerator after it has reached room temperature</w:t>
            </w:r>
            <w:ins w:id="5189" w:author="Author">
              <w:r w:rsidR="00907873" w:rsidRPr="00F04F82">
                <w:rPr>
                  <w:szCs w:val="22"/>
                </w:rPr>
                <w:t>.</w:t>
              </w:r>
            </w:ins>
          </w:p>
        </w:tc>
      </w:tr>
      <w:tr w:rsidR="00241577" w:rsidRPr="00F04F82" w14:paraId="5AD087B1" w14:textId="77777777" w:rsidTr="0049272D">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059F38CE" w14:textId="77777777" w:rsidR="00241577" w:rsidRPr="00F04F82" w:rsidRDefault="00241577" w:rsidP="00241577">
            <w:pPr>
              <w:numPr>
                <w:ilvl w:val="0"/>
                <w:numId w:val="46"/>
              </w:numPr>
              <w:tabs>
                <w:tab w:val="clear" w:pos="567"/>
              </w:tabs>
              <w:spacing w:line="240" w:lineRule="auto"/>
              <w:ind w:left="567" w:hanging="567"/>
            </w:pPr>
          </w:p>
        </w:tc>
        <w:tc>
          <w:tcPr>
            <w:tcW w:w="4646" w:type="pct"/>
            <w:tcBorders>
              <w:top w:val="nil"/>
              <w:left w:val="nil"/>
              <w:bottom w:val="single" w:sz="4" w:space="0" w:color="auto"/>
            </w:tcBorders>
            <w:tcMar>
              <w:left w:w="0" w:type="dxa"/>
            </w:tcMar>
          </w:tcPr>
          <w:p w14:paraId="4852F3E7" w14:textId="7625E102" w:rsidR="00241577" w:rsidRPr="00F04F82" w:rsidRDefault="00241577" w:rsidP="00241577">
            <w:pPr>
              <w:pStyle w:val="ListParagraph"/>
              <w:ind w:left="0"/>
              <w:rPr>
                <w:b/>
                <w:bCs/>
                <w:sz w:val="22"/>
                <w:szCs w:val="22"/>
              </w:rPr>
            </w:pPr>
            <w:r w:rsidRPr="00F04F82">
              <w:rPr>
                <w:sz w:val="22"/>
                <w:szCs w:val="22"/>
              </w:rPr>
              <w:t xml:space="preserve">Using the </w:t>
            </w:r>
            <w:r w:rsidRPr="00F04F82">
              <w:rPr>
                <w:color w:val="000000"/>
                <w:sz w:val="22"/>
                <w:szCs w:val="22"/>
              </w:rPr>
              <w:t>pre-filled pen</w:t>
            </w:r>
            <w:r w:rsidRPr="00F04F82">
              <w:rPr>
                <w:sz w:val="22"/>
                <w:szCs w:val="22"/>
              </w:rPr>
              <w:t xml:space="preserve"> at room temperature </w:t>
            </w:r>
            <w:ins w:id="5190" w:author="Author">
              <w:r w:rsidR="00F0149A" w:rsidRPr="00F04F82">
                <w:rPr>
                  <w:sz w:val="22"/>
                  <w:szCs w:val="22"/>
                </w:rPr>
                <w:t xml:space="preserve">makes sure the full dose is delivered and </w:t>
              </w:r>
            </w:ins>
            <w:r w:rsidRPr="00F04F82">
              <w:rPr>
                <w:sz w:val="22"/>
                <w:szCs w:val="22"/>
              </w:rPr>
              <w:t>allows for a more comfortable injection</w:t>
            </w:r>
            <w:r w:rsidRPr="00D55B59">
              <w:rPr>
                <w:sz w:val="22"/>
                <w:szCs w:val="22"/>
                <w:rPrChange w:id="5191" w:author="Author">
                  <w:rPr>
                    <w:b/>
                    <w:bCs/>
                    <w:sz w:val="22"/>
                    <w:szCs w:val="22"/>
                  </w:rPr>
                </w:rPrChange>
              </w:rPr>
              <w:t>.</w:t>
            </w:r>
            <w:r w:rsidRPr="00F04F82">
              <w:rPr>
                <w:b/>
                <w:bCs/>
                <w:sz w:val="22"/>
                <w:szCs w:val="22"/>
              </w:rPr>
              <w:t xml:space="preserve"> </w:t>
            </w:r>
          </w:p>
          <w:p w14:paraId="3163C02F" w14:textId="77777777" w:rsidR="00241577" w:rsidRPr="00F04F82" w:rsidRDefault="00241577" w:rsidP="00241577">
            <w:pPr>
              <w:spacing w:line="240" w:lineRule="auto"/>
            </w:pPr>
          </w:p>
        </w:tc>
      </w:tr>
    </w:tbl>
    <w:p w14:paraId="0CF2691F" w14:textId="77777777" w:rsidR="00F67EFB" w:rsidRPr="00F04F82" w:rsidRDefault="00F67EFB" w:rsidP="00F67EFB">
      <w:pPr>
        <w:spacing w:line="240" w:lineRule="auto"/>
        <w:rPr>
          <w:b/>
          <w:bCs/>
        </w:rPr>
      </w:pPr>
    </w:p>
    <w:tbl>
      <w:tblPr>
        <w:tblW w:w="4918"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5192" w:author="Author">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658"/>
        <w:gridCol w:w="4021"/>
        <w:gridCol w:w="4406"/>
        <w:tblGridChange w:id="5193">
          <w:tblGrid>
            <w:gridCol w:w="560"/>
            <w:gridCol w:w="98"/>
            <w:gridCol w:w="18"/>
            <w:gridCol w:w="421"/>
            <w:gridCol w:w="107"/>
            <w:gridCol w:w="116"/>
            <w:gridCol w:w="3904"/>
            <w:gridCol w:w="3861"/>
            <w:gridCol w:w="545"/>
            <w:gridCol w:w="116"/>
          </w:tblGrid>
        </w:tblGridChange>
      </w:tblGrid>
      <w:tr w:rsidR="0049272D" w:rsidRPr="00F04F82" w14:paraId="203CFDD5" w14:textId="6646C5E1" w:rsidTr="00D55B59">
        <w:trPr>
          <w:cantSplit/>
          <w:trHeight w:val="382"/>
          <w:trPrChange w:id="5194" w:author="Author">
            <w:trPr>
              <w:gridBefore w:val="1"/>
              <w:gridAfter w:val="0"/>
              <w:cantSplit/>
              <w:trHeight w:val="382"/>
            </w:trPr>
          </w:trPrChange>
        </w:trPr>
        <w:tc>
          <w:tcPr>
            <w:tcW w:w="362" w:type="pct"/>
            <w:tcBorders>
              <w:bottom w:val="nil"/>
            </w:tcBorders>
            <w:tcMar>
              <w:top w:w="28" w:type="dxa"/>
              <w:left w:w="57" w:type="dxa"/>
              <w:bottom w:w="28" w:type="dxa"/>
              <w:right w:w="57" w:type="dxa"/>
            </w:tcMar>
            <w:tcPrChange w:id="5195" w:author="Author">
              <w:tcPr>
                <w:tcW w:w="355" w:type="pct"/>
                <w:gridSpan w:val="4"/>
                <w:tcBorders>
                  <w:bottom w:val="nil"/>
                </w:tcBorders>
                <w:tcMar>
                  <w:top w:w="28" w:type="dxa"/>
                  <w:left w:w="57" w:type="dxa"/>
                  <w:bottom w:w="28" w:type="dxa"/>
                  <w:right w:w="57" w:type="dxa"/>
                </w:tcMar>
              </w:tcPr>
            </w:tcPrChange>
          </w:tcPr>
          <w:p w14:paraId="7BB31517" w14:textId="360C9532" w:rsidR="0049272D" w:rsidRPr="00F04F82" w:rsidRDefault="0049272D" w:rsidP="00B61D9D">
            <w:pPr>
              <w:keepNext/>
              <w:spacing w:line="240" w:lineRule="auto"/>
            </w:pPr>
            <w:r w:rsidRPr="00F04F82">
              <w:rPr>
                <w:b/>
                <w:bCs/>
              </w:rPr>
              <w:t>2b</w:t>
            </w:r>
          </w:p>
        </w:tc>
        <w:tc>
          <w:tcPr>
            <w:tcW w:w="4638" w:type="pct"/>
            <w:gridSpan w:val="2"/>
            <w:tcBorders>
              <w:bottom w:val="nil"/>
            </w:tcBorders>
            <w:tcPrChange w:id="5196" w:author="Author">
              <w:tcPr>
                <w:tcW w:w="4645" w:type="pct"/>
                <w:gridSpan w:val="4"/>
                <w:tcBorders>
                  <w:bottom w:val="nil"/>
                </w:tcBorders>
              </w:tcPr>
            </w:tcPrChange>
          </w:tcPr>
          <w:p w14:paraId="442234A3" w14:textId="3440D8AC" w:rsidR="0049272D" w:rsidRPr="00F04F82" w:rsidRDefault="0049272D" w:rsidP="00B61D9D">
            <w:pPr>
              <w:keepNext/>
              <w:spacing w:line="240" w:lineRule="auto"/>
            </w:pPr>
            <w:r w:rsidRPr="00F04F82">
              <w:rPr>
                <w:b/>
                <w:bCs/>
                <w:szCs w:val="22"/>
              </w:rPr>
              <w:t>Inspect the medicine. It should be clear and colourless to slightly yellow.</w:t>
            </w:r>
          </w:p>
        </w:tc>
      </w:tr>
      <w:tr w:rsidR="00F67EFB" w:rsidRPr="00F04F82" w14:paraId="20DFC5ED" w14:textId="77777777" w:rsidTr="00D55B59">
        <w:trPr>
          <w:cantSplit/>
          <w:trHeight w:val="2460"/>
          <w:trPrChange w:id="5197" w:author="Author">
            <w:trPr>
              <w:gridBefore w:val="1"/>
              <w:gridAfter w:val="0"/>
              <w:cantSplit/>
              <w:trHeight w:val="2460"/>
            </w:trPr>
          </w:trPrChange>
        </w:trPr>
        <w:tc>
          <w:tcPr>
            <w:tcW w:w="362" w:type="pct"/>
            <w:tcBorders>
              <w:bottom w:val="nil"/>
              <w:right w:val="nil"/>
            </w:tcBorders>
            <w:tcMar>
              <w:top w:w="28" w:type="dxa"/>
              <w:left w:w="57" w:type="dxa"/>
              <w:bottom w:w="28" w:type="dxa"/>
              <w:right w:w="57" w:type="dxa"/>
            </w:tcMar>
            <w:tcPrChange w:id="5198" w:author="Author">
              <w:tcPr>
                <w:tcW w:w="355" w:type="pct"/>
                <w:gridSpan w:val="4"/>
                <w:tcBorders>
                  <w:bottom w:val="nil"/>
                  <w:right w:val="nil"/>
                </w:tcBorders>
                <w:tcMar>
                  <w:top w:w="28" w:type="dxa"/>
                  <w:left w:w="57" w:type="dxa"/>
                  <w:bottom w:w="28" w:type="dxa"/>
                  <w:right w:w="57" w:type="dxa"/>
                </w:tcMar>
              </w:tcPr>
            </w:tcPrChange>
          </w:tcPr>
          <w:p w14:paraId="5EE28C33" w14:textId="77777777" w:rsidR="00F67EFB" w:rsidRPr="00F04F82" w:rsidRDefault="00F67EFB" w:rsidP="00D47253">
            <w:pPr>
              <w:keepNext/>
              <w:rPr>
                <w:b/>
                <w:bCs/>
              </w:rPr>
            </w:pPr>
          </w:p>
        </w:tc>
        <w:tc>
          <w:tcPr>
            <w:tcW w:w="2213" w:type="pct"/>
            <w:tcBorders>
              <w:top w:val="single" w:sz="4" w:space="0" w:color="auto"/>
              <w:left w:val="nil"/>
              <w:bottom w:val="nil"/>
              <w:right w:val="nil"/>
            </w:tcBorders>
            <w:tcMar>
              <w:top w:w="28" w:type="dxa"/>
              <w:left w:w="57" w:type="dxa"/>
              <w:bottom w:w="28" w:type="dxa"/>
              <w:right w:w="57" w:type="dxa"/>
            </w:tcMar>
            <w:tcPrChange w:id="5199" w:author="Author">
              <w:tcPr>
                <w:tcW w:w="2216" w:type="pct"/>
                <w:gridSpan w:val="2"/>
                <w:tcBorders>
                  <w:top w:val="single" w:sz="4" w:space="0" w:color="auto"/>
                  <w:left w:val="nil"/>
                  <w:bottom w:val="nil"/>
                  <w:right w:val="nil"/>
                </w:tcBorders>
                <w:tcMar>
                  <w:top w:w="28" w:type="dxa"/>
                  <w:left w:w="57" w:type="dxa"/>
                  <w:bottom w:w="28" w:type="dxa"/>
                  <w:right w:w="57" w:type="dxa"/>
                </w:tcMar>
              </w:tcPr>
            </w:tcPrChange>
          </w:tcPr>
          <w:p w14:paraId="342966BB" w14:textId="36C50F7C" w:rsidR="00F67EFB" w:rsidRPr="00F04F82" w:rsidRDefault="00D96030" w:rsidP="00D47253">
            <w:pPr>
              <w:pStyle w:val="ListParagraph"/>
              <w:ind w:left="567" w:hanging="567"/>
              <w:rPr>
                <w:b/>
                <w:bCs/>
                <w:sz w:val="22"/>
                <w:szCs w:val="22"/>
              </w:rPr>
            </w:pPr>
            <w:r>
              <w:rPr>
                <w:b/>
                <w:sz w:val="22"/>
                <w:szCs w:val="22"/>
              </w:rPr>
              <w:pict w14:anchorId="76250128">
                <v:shape id="_x0000_i1089" type="#_x0000_t75" style="width:205.5pt;height:118.5pt;visibility:visible;mso-wrap-style:square">
                  <v:imagedata r:id="rId85" o:title=""/>
                </v:shape>
              </w:pict>
            </w:r>
          </w:p>
        </w:tc>
        <w:tc>
          <w:tcPr>
            <w:tcW w:w="2425" w:type="pct"/>
            <w:tcBorders>
              <w:top w:val="single" w:sz="4" w:space="0" w:color="auto"/>
              <w:left w:val="nil"/>
              <w:bottom w:val="nil"/>
              <w:right w:val="single" w:sz="4" w:space="0" w:color="auto"/>
            </w:tcBorders>
            <w:tcPrChange w:id="5200" w:author="Author">
              <w:tcPr>
                <w:tcW w:w="2429" w:type="pct"/>
                <w:gridSpan w:val="2"/>
                <w:tcBorders>
                  <w:top w:val="single" w:sz="4" w:space="0" w:color="auto"/>
                  <w:left w:val="nil"/>
                  <w:bottom w:val="nil"/>
                  <w:right w:val="single" w:sz="4" w:space="0" w:color="auto"/>
                </w:tcBorders>
              </w:tcPr>
            </w:tcPrChange>
          </w:tcPr>
          <w:p w14:paraId="3356E47C" w14:textId="77777777" w:rsidR="00F67EFB" w:rsidRPr="00F04F82" w:rsidRDefault="00F67EFB" w:rsidP="00D47253">
            <w:pPr>
              <w:pStyle w:val="ListParagraph"/>
              <w:ind w:left="567" w:hanging="567"/>
              <w:rPr>
                <w:b/>
                <w:bCs/>
                <w:sz w:val="22"/>
                <w:szCs w:val="22"/>
              </w:rPr>
            </w:pPr>
          </w:p>
          <w:p w14:paraId="278826A4" w14:textId="77777777" w:rsidR="00F67EFB" w:rsidRPr="00F04F82" w:rsidRDefault="00F67EFB" w:rsidP="00D47253">
            <w:pPr>
              <w:pStyle w:val="ListParagraph"/>
              <w:ind w:left="567" w:hanging="567"/>
              <w:rPr>
                <w:b/>
                <w:bCs/>
                <w:sz w:val="22"/>
                <w:szCs w:val="22"/>
              </w:rPr>
            </w:pPr>
          </w:p>
          <w:p w14:paraId="2D3F20E5" w14:textId="77777777" w:rsidR="00F67EFB" w:rsidRPr="00F04F82" w:rsidRDefault="00F67EFB" w:rsidP="00D47253">
            <w:pPr>
              <w:pStyle w:val="ListParagraph"/>
              <w:ind w:left="567" w:hanging="567"/>
              <w:rPr>
                <w:b/>
                <w:bCs/>
                <w:sz w:val="22"/>
                <w:szCs w:val="22"/>
              </w:rPr>
            </w:pPr>
          </w:p>
          <w:p w14:paraId="79CEC596" w14:textId="77777777" w:rsidR="00F67EFB" w:rsidRPr="00F04F82" w:rsidRDefault="00F67EFB" w:rsidP="00D47253">
            <w:pPr>
              <w:pStyle w:val="ListParagraph"/>
              <w:ind w:left="567" w:hanging="567"/>
              <w:rPr>
                <w:b/>
                <w:bCs/>
                <w:sz w:val="22"/>
                <w:szCs w:val="22"/>
              </w:rPr>
            </w:pPr>
          </w:p>
          <w:p w14:paraId="0C7F14EA" w14:textId="77777777" w:rsidR="00F67EFB" w:rsidRPr="00F04F82" w:rsidRDefault="00F67EFB" w:rsidP="00D47253">
            <w:pPr>
              <w:pStyle w:val="ListParagraph"/>
              <w:ind w:left="567" w:hanging="567"/>
              <w:rPr>
                <w:sz w:val="22"/>
                <w:szCs w:val="22"/>
              </w:rPr>
            </w:pPr>
          </w:p>
          <w:p w14:paraId="02520D95" w14:textId="77777777" w:rsidR="00F67EFB" w:rsidRPr="00F04F82" w:rsidRDefault="00F67EFB" w:rsidP="00D47253">
            <w:pPr>
              <w:pStyle w:val="ListParagraph"/>
              <w:ind w:left="567" w:hanging="567"/>
              <w:rPr>
                <w:sz w:val="22"/>
                <w:szCs w:val="22"/>
              </w:rPr>
            </w:pPr>
            <w:r w:rsidRPr="00F04F82">
              <w:rPr>
                <w:sz w:val="22"/>
                <w:szCs w:val="22"/>
              </w:rPr>
              <w:t>Medicine</w:t>
            </w:r>
          </w:p>
        </w:tc>
      </w:tr>
      <w:tr w:rsidR="00F67EFB" w:rsidRPr="00F04F82" w14:paraId="3A62CD52" w14:textId="77777777" w:rsidTr="00D55B59">
        <w:trPr>
          <w:cantSplit/>
          <w:trHeight w:val="57"/>
          <w:trPrChange w:id="5201" w:author="Author">
            <w:trPr>
              <w:gridBefore w:val="1"/>
              <w:gridAfter w:val="0"/>
              <w:cantSplit/>
              <w:trHeight w:val="57"/>
            </w:trPr>
          </w:trPrChange>
        </w:trPr>
        <w:tc>
          <w:tcPr>
            <w:tcW w:w="362" w:type="pct"/>
            <w:tcBorders>
              <w:top w:val="nil"/>
              <w:bottom w:val="nil"/>
              <w:right w:val="nil"/>
            </w:tcBorders>
            <w:tcMar>
              <w:top w:w="28" w:type="dxa"/>
              <w:left w:w="57" w:type="dxa"/>
              <w:bottom w:w="28" w:type="dxa"/>
              <w:right w:w="57" w:type="dxa"/>
            </w:tcMar>
            <w:tcPrChange w:id="5202" w:author="Author">
              <w:tcPr>
                <w:tcW w:w="355" w:type="pct"/>
                <w:gridSpan w:val="4"/>
                <w:tcBorders>
                  <w:top w:val="nil"/>
                  <w:bottom w:val="nil"/>
                  <w:right w:val="nil"/>
                </w:tcBorders>
                <w:tcMar>
                  <w:top w:w="28" w:type="dxa"/>
                  <w:left w:w="57" w:type="dxa"/>
                  <w:bottom w:w="28" w:type="dxa"/>
                  <w:right w:w="57" w:type="dxa"/>
                </w:tcMar>
              </w:tcPr>
            </w:tcPrChange>
          </w:tcPr>
          <w:p w14:paraId="43B8E2CD" w14:textId="77777777" w:rsidR="00F67EFB" w:rsidRPr="00F04F82" w:rsidRDefault="00F67EFB">
            <w:pPr>
              <w:numPr>
                <w:ilvl w:val="0"/>
                <w:numId w:val="46"/>
              </w:numPr>
              <w:tabs>
                <w:tab w:val="clear" w:pos="567"/>
              </w:tabs>
              <w:spacing w:line="240" w:lineRule="auto"/>
              <w:ind w:left="567" w:hanging="567"/>
            </w:pPr>
          </w:p>
        </w:tc>
        <w:tc>
          <w:tcPr>
            <w:tcW w:w="4638" w:type="pct"/>
            <w:gridSpan w:val="2"/>
            <w:tcBorders>
              <w:top w:val="nil"/>
              <w:left w:val="nil"/>
              <w:bottom w:val="nil"/>
            </w:tcBorders>
            <w:tcMar>
              <w:left w:w="0" w:type="dxa"/>
            </w:tcMar>
            <w:tcPrChange w:id="5203" w:author="Author">
              <w:tcPr>
                <w:tcW w:w="4645" w:type="pct"/>
                <w:gridSpan w:val="4"/>
                <w:tcBorders>
                  <w:top w:val="nil"/>
                  <w:left w:val="nil"/>
                  <w:bottom w:val="nil"/>
                </w:tcBorders>
                <w:tcMar>
                  <w:left w:w="0" w:type="dxa"/>
                </w:tcMar>
              </w:tcPr>
            </w:tcPrChange>
          </w:tcPr>
          <w:p w14:paraId="26E1AAD1" w14:textId="67027D5D" w:rsidR="00F67EFB" w:rsidRPr="00D55B59" w:rsidRDefault="00F67EFB" w:rsidP="00D47253">
            <w:pPr>
              <w:pStyle w:val="ListBullets"/>
              <w:numPr>
                <w:ilvl w:val="0"/>
                <w:numId w:val="0"/>
              </w:numPr>
              <w:spacing w:after="0"/>
              <w:rPr>
                <w:b/>
                <w:bCs/>
                <w:lang w:val="en-GB"/>
                <w:rPrChange w:id="5204" w:author="Author">
                  <w:rPr>
                    <w:b/>
                    <w:bCs/>
                  </w:rPr>
                </w:rPrChange>
              </w:rPr>
            </w:pPr>
            <w:r w:rsidRPr="00D55B59">
              <w:rPr>
                <w:rFonts w:ascii="Times New Roman" w:hAnsi="Times New Roman" w:cs="Times New Roman"/>
                <w:sz w:val="22"/>
                <w:szCs w:val="22"/>
                <w:lang w:val="en-GB"/>
                <w:rPrChange w:id="5205" w:author="Author">
                  <w:rPr>
                    <w:rFonts w:ascii="Times New Roman" w:hAnsi="Times New Roman" w:cs="Times New Roman"/>
                    <w:sz w:val="22"/>
                    <w:szCs w:val="22"/>
                  </w:rPr>
                </w:rPrChange>
              </w:rPr>
              <w:t>It is okay to see air bubbles</w:t>
            </w:r>
            <w:ins w:id="5206" w:author="Author">
              <w:r w:rsidR="00AF70FD" w:rsidRPr="00D55B59">
                <w:rPr>
                  <w:rFonts w:ascii="Times New Roman" w:hAnsi="Times New Roman" w:cs="Times New Roman"/>
                  <w:sz w:val="22"/>
                  <w:szCs w:val="22"/>
                  <w:lang w:val="en-GB"/>
                  <w:rPrChange w:id="5207" w:author="Author">
                    <w:rPr>
                      <w:rFonts w:ascii="Times New Roman" w:hAnsi="Times New Roman" w:cs="Times New Roman"/>
                      <w:sz w:val="22"/>
                      <w:szCs w:val="22"/>
                    </w:rPr>
                  </w:rPrChange>
                </w:rPr>
                <w:t xml:space="preserve"> in the pre-filled pen</w:t>
              </w:r>
            </w:ins>
            <w:r w:rsidRPr="00D55B59">
              <w:rPr>
                <w:rFonts w:ascii="Times New Roman" w:hAnsi="Times New Roman" w:cs="Times New Roman"/>
                <w:sz w:val="22"/>
                <w:szCs w:val="22"/>
                <w:lang w:val="en-GB"/>
                <w:rPrChange w:id="5208" w:author="Author">
                  <w:rPr>
                    <w:rFonts w:ascii="Times New Roman" w:hAnsi="Times New Roman" w:cs="Times New Roman"/>
                    <w:sz w:val="22"/>
                    <w:szCs w:val="22"/>
                  </w:rPr>
                </w:rPrChange>
              </w:rPr>
              <w:t>.</w:t>
            </w:r>
          </w:p>
        </w:tc>
      </w:tr>
      <w:tr w:rsidR="00F67EFB" w:rsidRPr="00F04F82" w14:paraId="585558A1" w14:textId="77777777" w:rsidTr="00D55B59">
        <w:trPr>
          <w:cantSplit/>
          <w:trHeight w:val="57"/>
          <w:trPrChange w:id="5209" w:author="Author">
            <w:trPr>
              <w:gridBefore w:val="3"/>
              <w:cantSplit/>
              <w:trHeight w:val="57"/>
            </w:trPr>
          </w:trPrChange>
        </w:trPr>
        <w:tc>
          <w:tcPr>
            <w:tcW w:w="362" w:type="pct"/>
            <w:tcBorders>
              <w:top w:val="nil"/>
              <w:bottom w:val="nil"/>
              <w:right w:val="nil"/>
            </w:tcBorders>
            <w:tcMar>
              <w:top w:w="28" w:type="dxa"/>
              <w:left w:w="57" w:type="dxa"/>
              <w:bottom w:w="28" w:type="dxa"/>
              <w:right w:w="57" w:type="dxa"/>
            </w:tcMar>
            <w:tcPrChange w:id="5210" w:author="Author">
              <w:tcPr>
                <w:tcW w:w="355" w:type="pct"/>
                <w:gridSpan w:val="3"/>
                <w:tcBorders>
                  <w:top w:val="nil"/>
                  <w:bottom w:val="single" w:sz="4" w:space="0" w:color="auto"/>
                  <w:right w:val="nil"/>
                </w:tcBorders>
                <w:tcMar>
                  <w:top w:w="28" w:type="dxa"/>
                  <w:left w:w="57" w:type="dxa"/>
                  <w:bottom w:w="28" w:type="dxa"/>
                  <w:right w:w="57" w:type="dxa"/>
                </w:tcMar>
              </w:tcPr>
            </w:tcPrChange>
          </w:tcPr>
          <w:p w14:paraId="7B6BA1DF" w14:textId="77777777" w:rsidR="00F67EFB" w:rsidRPr="00F04F82" w:rsidRDefault="00F67EFB">
            <w:pPr>
              <w:numPr>
                <w:ilvl w:val="0"/>
                <w:numId w:val="46"/>
              </w:numPr>
              <w:tabs>
                <w:tab w:val="clear" w:pos="567"/>
              </w:tabs>
              <w:spacing w:line="240" w:lineRule="auto"/>
              <w:ind w:left="567" w:hanging="567"/>
            </w:pPr>
          </w:p>
        </w:tc>
        <w:tc>
          <w:tcPr>
            <w:tcW w:w="4638" w:type="pct"/>
            <w:gridSpan w:val="2"/>
            <w:tcBorders>
              <w:top w:val="nil"/>
              <w:left w:val="nil"/>
              <w:bottom w:val="nil"/>
            </w:tcBorders>
            <w:tcMar>
              <w:left w:w="0" w:type="dxa"/>
            </w:tcMar>
            <w:tcPrChange w:id="5211" w:author="Author">
              <w:tcPr>
                <w:tcW w:w="4645" w:type="pct"/>
                <w:gridSpan w:val="4"/>
                <w:tcBorders>
                  <w:top w:val="nil"/>
                  <w:left w:val="nil"/>
                  <w:bottom w:val="single" w:sz="4" w:space="0" w:color="auto"/>
                </w:tcBorders>
                <w:tcMar>
                  <w:left w:w="0" w:type="dxa"/>
                </w:tcMar>
              </w:tcPr>
            </w:tcPrChange>
          </w:tcPr>
          <w:p w14:paraId="6B2DD51B" w14:textId="0C9786BC" w:rsidR="00F67EFB" w:rsidRPr="00F04F82" w:rsidRDefault="00F67EFB" w:rsidP="00D47253">
            <w:pPr>
              <w:spacing w:line="240" w:lineRule="auto"/>
            </w:pPr>
            <w:r w:rsidRPr="00F04F82">
              <w:rPr>
                <w:b/>
                <w:bCs/>
              </w:rPr>
              <w:t>Do not</w:t>
            </w:r>
            <w:r w:rsidRPr="00F04F82">
              <w:t xml:space="preserve"> use if the medicine is cloudy, discoloured or has flakes</w:t>
            </w:r>
            <w:ins w:id="5212" w:author="Author">
              <w:r w:rsidR="00D72DE1" w:rsidRPr="00F04F82">
                <w:t xml:space="preserve"> or particles</w:t>
              </w:r>
            </w:ins>
            <w:r w:rsidRPr="00F04F82">
              <w:t xml:space="preserve">.   </w:t>
            </w:r>
          </w:p>
        </w:tc>
      </w:tr>
      <w:tr w:rsidR="00EF2B06" w:rsidRPr="00F04F82" w14:paraId="3B772D93" w14:textId="77777777" w:rsidTr="00D55B59">
        <w:trPr>
          <w:cantSplit/>
          <w:trHeight w:val="57"/>
          <w:ins w:id="5213" w:author="Author"/>
          <w:trPrChange w:id="5214" w:author="Author">
            <w:trPr>
              <w:gridBefore w:val="4"/>
              <w:gridAfter w:val="0"/>
              <w:cantSplit/>
              <w:trHeight w:val="57"/>
            </w:trPr>
          </w:trPrChange>
        </w:trPr>
        <w:tc>
          <w:tcPr>
            <w:tcW w:w="5000" w:type="pct"/>
            <w:gridSpan w:val="3"/>
            <w:tcBorders>
              <w:top w:val="nil"/>
              <w:bottom w:val="single" w:sz="4" w:space="0" w:color="auto"/>
            </w:tcBorders>
            <w:tcMar>
              <w:top w:w="28" w:type="dxa"/>
              <w:left w:w="57" w:type="dxa"/>
              <w:bottom w:w="28" w:type="dxa"/>
              <w:right w:w="57" w:type="dxa"/>
            </w:tcMar>
            <w:tcPrChange w:id="5215" w:author="Author">
              <w:tcPr>
                <w:tcW w:w="5000" w:type="pct"/>
                <w:gridSpan w:val="5"/>
                <w:tcBorders>
                  <w:top w:val="nil"/>
                  <w:bottom w:val="single" w:sz="4" w:space="0" w:color="auto"/>
                </w:tcBorders>
                <w:tcMar>
                  <w:top w:w="28" w:type="dxa"/>
                  <w:left w:w="57" w:type="dxa"/>
                  <w:bottom w:w="28" w:type="dxa"/>
                  <w:right w:w="57" w:type="dxa"/>
                </w:tcMar>
              </w:tcPr>
            </w:tcPrChange>
          </w:tcPr>
          <w:p w14:paraId="12F77CB0" w14:textId="214EF9C6" w:rsidR="00EF2B06" w:rsidRPr="00F04F82" w:rsidRDefault="00D96030" w:rsidP="00D47253">
            <w:pPr>
              <w:spacing w:line="240" w:lineRule="auto"/>
              <w:rPr>
                <w:ins w:id="5216" w:author="Author"/>
                <w:b/>
                <w:bCs/>
              </w:rPr>
            </w:pPr>
            <w:ins w:id="5217" w:author="Author">
              <w:r>
                <w:rPr>
                  <w:b/>
                  <w:bCs/>
                </w:rPr>
                <w:pict w14:anchorId="1D445BCF">
                  <v:shape id="_x0000_s2165" type="#_x0000_t202" style="position:absolute;margin-left:2.8pt;margin-top:3.6pt;width:439.05pt;height:34pt;z-index:33;visibility:visible;mso-wrap-style:square;mso-width-percent:0;mso-height-percent:200;mso-wrap-distance-left:9pt;mso-wrap-distance-top:3.6pt;mso-wrap-distance-right:9pt;mso-wrap-distance-bottom:3.6pt;mso-position-horizontal-relative:margin;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" strokecolor="red" strokeweight="1.5pt">
                    <v:textbox style="mso-next-textbox:#_x0000_s2165;mso-fit-shape-to-text:t">
                      <w:txbxContent>
                        <w:p w14:paraId="009C5E02" w14:textId="447A50A1" w:rsidR="00EF2B06" w:rsidRPr="00F04F82" w:rsidRDefault="00EF2B06" w:rsidP="00EF2B06">
                          <w:pPr>
                            <w:spacing w:line="240" w:lineRule="auto"/>
                          </w:pPr>
                          <w:r w:rsidRPr="00F04F82">
                            <w:rPr>
                              <w:b/>
                              <w:bCs/>
                            </w:rPr>
                            <w:t xml:space="preserve">Important: </w:t>
                          </w:r>
                          <w:r w:rsidRPr="00F04F82">
                            <w:t>If the medicine is cloudy, discoloured, or contains flakes</w:t>
                          </w:r>
                          <w:ins w:id="5218" w:author="Author">
                            <w:r w:rsidRPr="00F04F82">
                              <w:t xml:space="preserve"> or particles</w:t>
                            </w:r>
                          </w:ins>
                          <w:r w:rsidRPr="00F04F82">
                            <w:t>,</w:t>
                          </w:r>
                          <w:r w:rsidRPr="00D55B59">
                            <w:rPr>
                              <w:rPrChange w:id="5219" w:author="Author">
                                <w:rPr>
                                  <w:b/>
                                  <w:bCs/>
                                </w:rPr>
                              </w:rPrChange>
                            </w:rPr>
                            <w:t xml:space="preserve"> </w:t>
                          </w:r>
                          <w:ins w:id="5220" w:author="Author">
                            <w:r w:rsidR="00B349E1" w:rsidRPr="00F04F82">
                              <w:t xml:space="preserve">or if the pre-filled pen is damaged or expired, </w:t>
                            </w:r>
                          </w:ins>
                          <w:r w:rsidRPr="00F04F82">
                            <w:t>call your doctor or healthcare provider.</w:t>
                          </w:r>
                        </w:p>
                      </w:txbxContent>
                    </v:textbox>
                    <w10:wrap type="square" anchorx="margin"/>
                  </v:shape>
                </w:pict>
              </w:r>
            </w:ins>
          </w:p>
        </w:tc>
      </w:tr>
    </w:tbl>
    <w:p w14:paraId="7BD1B8D6" w14:textId="77777777" w:rsidR="00F67EFB" w:rsidRPr="00F04F82" w:rsidRDefault="00F67EFB" w:rsidP="0002405A">
      <w:pPr>
        <w:pageBreakBefore/>
        <w:spacing w:line="240" w:lineRule="auto"/>
        <w:rPr>
          <w:b/>
          <w:bCs/>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109"/>
        <w:gridCol w:w="3455"/>
        <w:gridCol w:w="4952"/>
        <w:tblGridChange w:id="5221">
          <w:tblGrid>
            <w:gridCol w:w="652"/>
            <w:gridCol w:w="566"/>
            <w:gridCol w:w="652"/>
            <w:gridCol w:w="2237"/>
            <w:gridCol w:w="4952"/>
            <w:gridCol w:w="1218"/>
          </w:tblGrid>
        </w:tblGridChange>
      </w:tblGrid>
      <w:tr w:rsidR="0049272D" w:rsidRPr="00F04F82" w14:paraId="5586B578" w14:textId="1B3A689F" w:rsidTr="00727683">
        <w:trPr>
          <w:cantSplit/>
          <w:trHeight w:val="335"/>
        </w:trPr>
        <w:tc>
          <w:tcPr>
            <w:tcW w:w="360" w:type="pct"/>
            <w:gridSpan w:val="2"/>
            <w:tcBorders>
              <w:bottom w:val="nil"/>
            </w:tcBorders>
            <w:tcMar>
              <w:top w:w="28" w:type="dxa"/>
              <w:left w:w="57" w:type="dxa"/>
              <w:bottom w:w="28" w:type="dxa"/>
              <w:right w:w="57" w:type="dxa"/>
            </w:tcMar>
          </w:tcPr>
          <w:p w14:paraId="7F35FF0E" w14:textId="40EFC916" w:rsidR="0049272D" w:rsidRPr="00F04F82" w:rsidRDefault="0049272D" w:rsidP="00B61D9D">
            <w:pPr>
              <w:keepNext/>
              <w:tabs>
                <w:tab w:val="clear" w:pos="567"/>
              </w:tabs>
            </w:pPr>
            <w:r w:rsidRPr="00F04F82">
              <w:rPr>
                <w:b/>
                <w:bCs/>
              </w:rPr>
              <w:t>2c</w:t>
            </w:r>
          </w:p>
        </w:tc>
        <w:tc>
          <w:tcPr>
            <w:tcW w:w="4640" w:type="pct"/>
            <w:gridSpan w:val="2"/>
            <w:tcBorders>
              <w:bottom w:val="nil"/>
            </w:tcBorders>
          </w:tcPr>
          <w:p w14:paraId="2ACC4E31" w14:textId="4A021DF1" w:rsidR="0049272D" w:rsidRPr="00F04F82" w:rsidRDefault="0049272D" w:rsidP="00B61D9D">
            <w:pPr>
              <w:keepNext/>
              <w:tabs>
                <w:tab w:val="clear" w:pos="567"/>
              </w:tabs>
              <w:spacing w:line="240" w:lineRule="auto"/>
            </w:pPr>
            <w:r w:rsidRPr="00F04F82">
              <w:rPr>
                <w:b/>
                <w:bCs/>
                <w:szCs w:val="22"/>
              </w:rPr>
              <w:t xml:space="preserve">Check the </w:t>
            </w:r>
            <w:r w:rsidR="00AD2E57" w:rsidRPr="00F04F82">
              <w:rPr>
                <w:b/>
                <w:bCs/>
              </w:rPr>
              <w:t>expiry</w:t>
            </w:r>
            <w:r w:rsidRPr="00F04F82">
              <w:rPr>
                <w:b/>
                <w:bCs/>
                <w:szCs w:val="22"/>
              </w:rPr>
              <w:t xml:space="preserve"> date (EXP.) and inspect the pre-filled pen for damage. </w:t>
            </w:r>
          </w:p>
        </w:tc>
      </w:tr>
      <w:tr w:rsidR="00F67EFB" w:rsidRPr="00F04F82" w14:paraId="7D8CD5BF" w14:textId="77777777" w:rsidTr="00727683">
        <w:trPr>
          <w:cantSplit/>
          <w:trHeight w:val="1612"/>
        </w:trPr>
        <w:tc>
          <w:tcPr>
            <w:tcW w:w="360" w:type="pct"/>
            <w:gridSpan w:val="2"/>
            <w:tcBorders>
              <w:bottom w:val="nil"/>
              <w:right w:val="nil"/>
            </w:tcBorders>
            <w:tcMar>
              <w:top w:w="28" w:type="dxa"/>
              <w:left w:w="57" w:type="dxa"/>
              <w:bottom w:w="28" w:type="dxa"/>
              <w:right w:w="57" w:type="dxa"/>
            </w:tcMar>
          </w:tcPr>
          <w:p w14:paraId="2BECA053" w14:textId="77777777" w:rsidR="00F67EFB" w:rsidRPr="00F04F82" w:rsidRDefault="00F67EFB" w:rsidP="00D47253">
            <w:pPr>
              <w:keepNext/>
              <w:rPr>
                <w:b/>
                <w:bCs/>
              </w:rPr>
            </w:pPr>
          </w:p>
        </w:tc>
        <w:tc>
          <w:tcPr>
            <w:tcW w:w="1907" w:type="pct"/>
            <w:tcBorders>
              <w:top w:val="single" w:sz="4" w:space="0" w:color="auto"/>
              <w:left w:val="nil"/>
              <w:bottom w:val="nil"/>
              <w:right w:val="nil"/>
            </w:tcBorders>
            <w:tcMar>
              <w:top w:w="28" w:type="dxa"/>
              <w:left w:w="57" w:type="dxa"/>
              <w:bottom w:w="28" w:type="dxa"/>
              <w:right w:w="57" w:type="dxa"/>
            </w:tcMar>
          </w:tcPr>
          <w:p w14:paraId="2FCF60ED" w14:textId="1EBAEEA8" w:rsidR="00F67EFB" w:rsidRPr="00F04F82" w:rsidRDefault="00D96030" w:rsidP="00D47253">
            <w:pPr>
              <w:suppressAutoHyphens/>
              <w:autoSpaceDE w:val="0"/>
              <w:autoSpaceDN w:val="0"/>
              <w:adjustRightInd w:val="0"/>
              <w:spacing w:line="250" w:lineRule="atLeast"/>
              <w:textAlignment w:val="center"/>
              <w:rPr>
                <w:b/>
                <w:bCs/>
                <w:szCs w:val="22"/>
              </w:rPr>
            </w:pPr>
            <w:r>
              <w:rPr>
                <w:b/>
                <w:szCs w:val="22"/>
              </w:rPr>
              <w:pict w14:anchorId="34CB4A5B">
                <v:shape id="_x0000_i1090" type="#_x0000_t75" style="width:205.5pt;height:118.5pt;visibility:visible;mso-wrap-style:square">
                  <v:imagedata r:id="rId86" o:title=""/>
                </v:shape>
              </w:pict>
            </w:r>
          </w:p>
        </w:tc>
        <w:tc>
          <w:tcPr>
            <w:tcW w:w="2733" w:type="pct"/>
            <w:tcBorders>
              <w:top w:val="single" w:sz="4" w:space="0" w:color="auto"/>
              <w:left w:val="nil"/>
              <w:bottom w:val="nil"/>
              <w:right w:val="single" w:sz="4" w:space="0" w:color="auto"/>
            </w:tcBorders>
          </w:tcPr>
          <w:p w14:paraId="41C63698" w14:textId="77777777" w:rsidR="00F67EFB" w:rsidRPr="00F04F82" w:rsidRDefault="00F67EFB" w:rsidP="00D47253">
            <w:pPr>
              <w:suppressAutoHyphens/>
              <w:autoSpaceDE w:val="0"/>
              <w:autoSpaceDN w:val="0"/>
              <w:adjustRightInd w:val="0"/>
              <w:spacing w:line="250" w:lineRule="atLeast"/>
              <w:textAlignment w:val="center"/>
              <w:rPr>
                <w:b/>
                <w:bCs/>
                <w:szCs w:val="22"/>
              </w:rPr>
            </w:pPr>
          </w:p>
          <w:p w14:paraId="6C293E88" w14:textId="77777777" w:rsidR="00F67EFB" w:rsidRPr="00F04F82" w:rsidRDefault="00F67EFB" w:rsidP="00D47253">
            <w:pPr>
              <w:suppressAutoHyphens/>
              <w:autoSpaceDE w:val="0"/>
              <w:autoSpaceDN w:val="0"/>
              <w:adjustRightInd w:val="0"/>
              <w:spacing w:line="250" w:lineRule="atLeast"/>
              <w:textAlignment w:val="center"/>
              <w:rPr>
                <w:b/>
                <w:bCs/>
                <w:szCs w:val="22"/>
              </w:rPr>
            </w:pPr>
          </w:p>
          <w:p w14:paraId="0550D508" w14:textId="77777777" w:rsidR="00F67EFB" w:rsidRPr="00F04F82" w:rsidRDefault="00F67EFB" w:rsidP="00D47253">
            <w:pPr>
              <w:suppressAutoHyphens/>
              <w:autoSpaceDE w:val="0"/>
              <w:autoSpaceDN w:val="0"/>
              <w:adjustRightInd w:val="0"/>
              <w:spacing w:line="250" w:lineRule="atLeast"/>
              <w:textAlignment w:val="center"/>
              <w:rPr>
                <w:b/>
                <w:bCs/>
                <w:szCs w:val="22"/>
              </w:rPr>
            </w:pPr>
          </w:p>
          <w:p w14:paraId="09093D7F" w14:textId="77777777" w:rsidR="00F67EFB" w:rsidRPr="00F04F82" w:rsidRDefault="00F67EFB" w:rsidP="00D47253">
            <w:pPr>
              <w:suppressAutoHyphens/>
              <w:autoSpaceDE w:val="0"/>
              <w:autoSpaceDN w:val="0"/>
              <w:adjustRightInd w:val="0"/>
              <w:spacing w:line="250" w:lineRule="atLeast"/>
              <w:textAlignment w:val="center"/>
              <w:rPr>
                <w:b/>
                <w:bCs/>
                <w:szCs w:val="22"/>
              </w:rPr>
            </w:pPr>
          </w:p>
          <w:p w14:paraId="4288DD58" w14:textId="77777777" w:rsidR="00F67EFB" w:rsidRPr="00F04F82" w:rsidRDefault="00F67EFB" w:rsidP="00D47253">
            <w:pPr>
              <w:suppressAutoHyphens/>
              <w:autoSpaceDE w:val="0"/>
              <w:autoSpaceDN w:val="0"/>
              <w:adjustRightInd w:val="0"/>
              <w:spacing w:line="250" w:lineRule="atLeast"/>
              <w:textAlignment w:val="center"/>
              <w:rPr>
                <w:b/>
                <w:bCs/>
                <w:szCs w:val="22"/>
              </w:rPr>
            </w:pPr>
          </w:p>
          <w:p w14:paraId="17A05941" w14:textId="289EB7D9" w:rsidR="00F67EFB" w:rsidRPr="00F04F82" w:rsidRDefault="00AD2E57" w:rsidP="00D47253">
            <w:pPr>
              <w:suppressAutoHyphens/>
              <w:autoSpaceDE w:val="0"/>
              <w:autoSpaceDN w:val="0"/>
              <w:adjustRightInd w:val="0"/>
              <w:spacing w:line="250" w:lineRule="atLeast"/>
              <w:textAlignment w:val="center"/>
              <w:rPr>
                <w:szCs w:val="22"/>
              </w:rPr>
            </w:pPr>
            <w:r w:rsidRPr="00F04F82">
              <w:t>Expiry</w:t>
            </w:r>
            <w:r w:rsidR="00F67EFB" w:rsidRPr="00F04F82">
              <w:rPr>
                <w:szCs w:val="22"/>
              </w:rPr>
              <w:t xml:space="preserve"> date</w:t>
            </w:r>
          </w:p>
        </w:tc>
      </w:tr>
      <w:tr w:rsidR="00F67EFB" w:rsidRPr="00F04F82" w14:paraId="4EF46C4C" w14:textId="77777777" w:rsidTr="00727683">
        <w:trPr>
          <w:cantSplit/>
          <w:trHeight w:val="57"/>
        </w:trPr>
        <w:tc>
          <w:tcPr>
            <w:tcW w:w="360" w:type="pct"/>
            <w:gridSpan w:val="2"/>
            <w:tcBorders>
              <w:top w:val="nil"/>
              <w:bottom w:val="nil"/>
              <w:right w:val="nil"/>
            </w:tcBorders>
            <w:tcMar>
              <w:top w:w="28" w:type="dxa"/>
              <w:left w:w="57" w:type="dxa"/>
              <w:bottom w:w="28" w:type="dxa"/>
              <w:right w:w="57" w:type="dxa"/>
            </w:tcMar>
          </w:tcPr>
          <w:p w14:paraId="1EF0F700" w14:textId="77777777" w:rsidR="00F67EFB" w:rsidRPr="00F04F82" w:rsidRDefault="00F67EFB">
            <w:pPr>
              <w:numPr>
                <w:ilvl w:val="0"/>
                <w:numId w:val="46"/>
              </w:numPr>
              <w:tabs>
                <w:tab w:val="clear" w:pos="567"/>
              </w:tabs>
              <w:spacing w:line="240" w:lineRule="auto"/>
              <w:ind w:left="567" w:hanging="567"/>
            </w:pPr>
          </w:p>
        </w:tc>
        <w:tc>
          <w:tcPr>
            <w:tcW w:w="4640" w:type="pct"/>
            <w:gridSpan w:val="2"/>
            <w:tcBorders>
              <w:top w:val="nil"/>
              <w:left w:val="nil"/>
              <w:bottom w:val="nil"/>
            </w:tcBorders>
            <w:tcMar>
              <w:left w:w="0" w:type="dxa"/>
            </w:tcMar>
          </w:tcPr>
          <w:p w14:paraId="1D408329" w14:textId="7E7C47CA" w:rsidR="00F67EFB" w:rsidRPr="00F04F82" w:rsidRDefault="00F67EFB" w:rsidP="00B61D9D">
            <w:pPr>
              <w:pStyle w:val="ListParagraph"/>
              <w:suppressAutoHyphens/>
              <w:autoSpaceDE w:val="0"/>
              <w:autoSpaceDN w:val="0"/>
              <w:adjustRightInd w:val="0"/>
              <w:ind w:left="0"/>
              <w:textAlignment w:val="center"/>
              <w:rPr>
                <w:b/>
                <w:bCs/>
              </w:rPr>
            </w:pPr>
            <w:r w:rsidRPr="00F04F82">
              <w:rPr>
                <w:b/>
                <w:bCs/>
                <w:sz w:val="22"/>
                <w:szCs w:val="22"/>
              </w:rPr>
              <w:t>Do not</w:t>
            </w:r>
            <w:r w:rsidRPr="00F04F82">
              <w:rPr>
                <w:sz w:val="22"/>
                <w:szCs w:val="22"/>
              </w:rPr>
              <w:t xml:space="preserve"> use </w:t>
            </w:r>
            <w:ins w:id="5222" w:author="Author">
              <w:r w:rsidR="00B15F5B" w:rsidRPr="00F04F82">
                <w:rPr>
                  <w:sz w:val="22"/>
                  <w:szCs w:val="22"/>
                </w:rPr>
                <w:t xml:space="preserve">the pre-filled pen </w:t>
              </w:r>
            </w:ins>
            <w:r w:rsidRPr="00F04F82">
              <w:rPr>
                <w:sz w:val="22"/>
                <w:szCs w:val="22"/>
              </w:rPr>
              <w:t xml:space="preserve">if the </w:t>
            </w:r>
            <w:r w:rsidR="00AD2E57" w:rsidRPr="00F04F82">
              <w:t>expiry</w:t>
            </w:r>
            <w:r w:rsidRPr="00F04F82">
              <w:rPr>
                <w:sz w:val="22"/>
                <w:szCs w:val="22"/>
              </w:rPr>
              <w:t xml:space="preserve"> date has passed.  </w:t>
            </w:r>
          </w:p>
        </w:tc>
      </w:tr>
      <w:tr w:rsidR="00F67EFB" w:rsidRPr="00F04F82" w14:paraId="56375230" w14:textId="77777777" w:rsidTr="00D55B59">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223"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5224" w:author="Author">
            <w:trPr>
              <w:gridBefore w:val="2"/>
              <w:cantSplit/>
              <w:trHeight w:val="57"/>
            </w:trPr>
          </w:trPrChange>
        </w:trPr>
        <w:tc>
          <w:tcPr>
            <w:tcW w:w="360" w:type="pct"/>
            <w:gridSpan w:val="2"/>
            <w:tcBorders>
              <w:top w:val="nil"/>
              <w:bottom w:val="nil"/>
              <w:right w:val="nil"/>
            </w:tcBorders>
            <w:tcMar>
              <w:top w:w="28" w:type="dxa"/>
              <w:left w:w="57" w:type="dxa"/>
              <w:bottom w:w="28" w:type="dxa"/>
              <w:right w:w="57" w:type="dxa"/>
            </w:tcMar>
            <w:tcPrChange w:id="5225" w:author="Author">
              <w:tcPr>
                <w:tcW w:w="360" w:type="pct"/>
                <w:tcBorders>
                  <w:top w:val="nil"/>
                  <w:bottom w:val="nil"/>
                  <w:right w:val="nil"/>
                </w:tcBorders>
                <w:tcMar>
                  <w:top w:w="28" w:type="dxa"/>
                  <w:left w:w="57" w:type="dxa"/>
                  <w:bottom w:w="28" w:type="dxa"/>
                  <w:right w:w="57" w:type="dxa"/>
                </w:tcMar>
              </w:tcPr>
            </w:tcPrChange>
          </w:tcPr>
          <w:p w14:paraId="11EB867D" w14:textId="77777777" w:rsidR="00F67EFB" w:rsidRPr="00F04F82" w:rsidRDefault="00F67EFB">
            <w:pPr>
              <w:numPr>
                <w:ilvl w:val="0"/>
                <w:numId w:val="46"/>
              </w:numPr>
              <w:tabs>
                <w:tab w:val="clear" w:pos="567"/>
              </w:tabs>
              <w:spacing w:line="240" w:lineRule="auto"/>
              <w:ind w:left="567" w:hanging="567"/>
            </w:pPr>
          </w:p>
        </w:tc>
        <w:tc>
          <w:tcPr>
            <w:tcW w:w="4640" w:type="pct"/>
            <w:gridSpan w:val="2"/>
            <w:tcBorders>
              <w:top w:val="nil"/>
              <w:left w:val="nil"/>
              <w:bottom w:val="nil"/>
            </w:tcBorders>
            <w:tcMar>
              <w:left w:w="0" w:type="dxa"/>
            </w:tcMar>
            <w:tcPrChange w:id="5226" w:author="Author">
              <w:tcPr>
                <w:tcW w:w="4640" w:type="pct"/>
                <w:gridSpan w:val="3"/>
                <w:tcBorders>
                  <w:top w:val="nil"/>
                  <w:left w:val="nil"/>
                  <w:bottom w:val="nil"/>
                </w:tcBorders>
                <w:tcMar>
                  <w:left w:w="0" w:type="dxa"/>
                </w:tcMar>
              </w:tcPr>
            </w:tcPrChange>
          </w:tcPr>
          <w:p w14:paraId="13932BF3" w14:textId="77777777" w:rsidR="00F67EFB" w:rsidRPr="00F04F82" w:rsidRDefault="00F67EFB" w:rsidP="00B61D9D">
            <w:pPr>
              <w:pStyle w:val="ListParagraph"/>
              <w:suppressAutoHyphens/>
              <w:autoSpaceDE w:val="0"/>
              <w:autoSpaceDN w:val="0"/>
              <w:adjustRightInd w:val="0"/>
              <w:ind w:left="0"/>
              <w:textAlignment w:val="center"/>
              <w:rPr>
                <w:sz w:val="22"/>
                <w:szCs w:val="22"/>
              </w:rPr>
            </w:pPr>
            <w:r w:rsidRPr="00F04F82">
              <w:rPr>
                <w:b/>
                <w:bCs/>
                <w:sz w:val="22"/>
                <w:szCs w:val="22"/>
              </w:rPr>
              <w:t>Do not</w:t>
            </w:r>
            <w:r w:rsidRPr="00F04F82">
              <w:rPr>
                <w:sz w:val="22"/>
                <w:szCs w:val="22"/>
              </w:rPr>
              <w:t xml:space="preserve"> use the pre-filled pen if:</w:t>
            </w:r>
          </w:p>
          <w:p w14:paraId="1009C825" w14:textId="7F934E2A" w:rsidR="00F67EFB" w:rsidRPr="00F04F82" w:rsidRDefault="00F67EFB" w:rsidP="005A0251">
            <w:pPr>
              <w:pStyle w:val="ListParagraph"/>
              <w:numPr>
                <w:ilvl w:val="0"/>
                <w:numId w:val="49"/>
              </w:numPr>
              <w:tabs>
                <w:tab w:val="left" w:pos="1180"/>
              </w:tabs>
              <w:suppressAutoHyphens/>
              <w:autoSpaceDE w:val="0"/>
              <w:autoSpaceDN w:val="0"/>
              <w:adjustRightInd w:val="0"/>
              <w:ind w:left="1134" w:hanging="567"/>
              <w:textAlignment w:val="center"/>
              <w:rPr>
                <w:sz w:val="22"/>
                <w:szCs w:val="22"/>
              </w:rPr>
            </w:pPr>
            <w:del w:id="5227" w:author="Author">
              <w:r w:rsidRPr="00F04F82" w:rsidDel="00B15F5B">
                <w:rPr>
                  <w:sz w:val="22"/>
                  <w:szCs w:val="22"/>
                </w:rPr>
                <w:delText>T</w:delText>
              </w:r>
            </w:del>
            <w:ins w:id="5228" w:author="Author">
              <w:r w:rsidR="00B15F5B" w:rsidRPr="00F04F82">
                <w:rPr>
                  <w:sz w:val="22"/>
                  <w:szCs w:val="22"/>
                </w:rPr>
                <w:t>t</w:t>
              </w:r>
            </w:ins>
            <w:r w:rsidRPr="00F04F82">
              <w:rPr>
                <w:sz w:val="22"/>
                <w:szCs w:val="22"/>
              </w:rPr>
              <w:t>he yellow cap is missing or loose.</w:t>
            </w:r>
          </w:p>
          <w:p w14:paraId="624FF620" w14:textId="2CA3500B" w:rsidR="00F67EFB" w:rsidRPr="00F04F82" w:rsidRDefault="00F67EFB" w:rsidP="005A0251">
            <w:pPr>
              <w:pStyle w:val="ListParagraph"/>
              <w:numPr>
                <w:ilvl w:val="0"/>
                <w:numId w:val="49"/>
              </w:numPr>
              <w:tabs>
                <w:tab w:val="left" w:pos="1180"/>
              </w:tabs>
              <w:suppressAutoHyphens/>
              <w:autoSpaceDE w:val="0"/>
              <w:autoSpaceDN w:val="0"/>
              <w:adjustRightInd w:val="0"/>
              <w:ind w:left="1134" w:hanging="567"/>
              <w:textAlignment w:val="center"/>
              <w:rPr>
                <w:sz w:val="22"/>
                <w:szCs w:val="22"/>
              </w:rPr>
            </w:pPr>
            <w:del w:id="5229" w:author="Author">
              <w:r w:rsidRPr="00F04F82" w:rsidDel="00B15F5B">
                <w:rPr>
                  <w:sz w:val="22"/>
                  <w:szCs w:val="22"/>
                </w:rPr>
                <w:delText>I</w:delText>
              </w:r>
            </w:del>
            <w:ins w:id="5230" w:author="Author">
              <w:r w:rsidR="00B15F5B" w:rsidRPr="00F04F82">
                <w:rPr>
                  <w:sz w:val="22"/>
                  <w:szCs w:val="22"/>
                </w:rPr>
                <w:t>i</w:t>
              </w:r>
            </w:ins>
            <w:r w:rsidRPr="00F04F82">
              <w:rPr>
                <w:sz w:val="22"/>
                <w:szCs w:val="22"/>
              </w:rPr>
              <w:t>t has cracks or broken parts.</w:t>
            </w:r>
          </w:p>
          <w:p w14:paraId="30A21CCB" w14:textId="32D29E73" w:rsidR="00F67EFB" w:rsidRPr="00F04F82" w:rsidRDefault="00F67EFB" w:rsidP="005A0251">
            <w:pPr>
              <w:pStyle w:val="ListParagraph"/>
              <w:numPr>
                <w:ilvl w:val="0"/>
                <w:numId w:val="49"/>
              </w:numPr>
              <w:tabs>
                <w:tab w:val="left" w:pos="1180"/>
              </w:tabs>
              <w:suppressAutoHyphens/>
              <w:autoSpaceDE w:val="0"/>
              <w:autoSpaceDN w:val="0"/>
              <w:adjustRightInd w:val="0"/>
              <w:ind w:left="1134" w:hanging="567"/>
              <w:textAlignment w:val="center"/>
            </w:pPr>
            <w:del w:id="5231" w:author="Author">
              <w:r w:rsidRPr="00F04F82" w:rsidDel="00B15F5B">
                <w:rPr>
                  <w:sz w:val="22"/>
                  <w:szCs w:val="22"/>
                </w:rPr>
                <w:delText>I</w:delText>
              </w:r>
            </w:del>
            <w:ins w:id="5232" w:author="Author">
              <w:r w:rsidR="00B15F5B" w:rsidRPr="00F04F82">
                <w:rPr>
                  <w:sz w:val="22"/>
                  <w:szCs w:val="22"/>
                </w:rPr>
                <w:t>i</w:t>
              </w:r>
            </w:ins>
            <w:r w:rsidRPr="00F04F82">
              <w:rPr>
                <w:sz w:val="22"/>
                <w:szCs w:val="22"/>
              </w:rPr>
              <w:t>t has been dropped on a hard surface.</w:t>
            </w:r>
          </w:p>
        </w:tc>
      </w:tr>
      <w:tr w:rsidR="00F67EFB" w:rsidRPr="00F04F82" w14:paraId="16BA5E93" w14:textId="77777777" w:rsidTr="00D55B59">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233"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5234" w:author="Author">
            <w:trPr>
              <w:gridBefore w:val="2"/>
              <w:cantSplit/>
              <w:trHeight w:val="57"/>
            </w:trPr>
          </w:trPrChange>
        </w:trPr>
        <w:tc>
          <w:tcPr>
            <w:tcW w:w="360" w:type="pct"/>
            <w:gridSpan w:val="2"/>
            <w:tcBorders>
              <w:top w:val="nil"/>
              <w:bottom w:val="single" w:sz="4" w:space="0" w:color="auto"/>
              <w:right w:val="nil"/>
            </w:tcBorders>
            <w:tcMar>
              <w:top w:w="28" w:type="dxa"/>
              <w:left w:w="57" w:type="dxa"/>
              <w:bottom w:w="28" w:type="dxa"/>
              <w:right w:w="57" w:type="dxa"/>
            </w:tcMar>
            <w:tcPrChange w:id="5235" w:author="Author">
              <w:tcPr>
                <w:tcW w:w="360" w:type="pct"/>
                <w:tcBorders>
                  <w:top w:val="nil"/>
                  <w:bottom w:val="nil"/>
                  <w:right w:val="nil"/>
                </w:tcBorders>
                <w:tcMar>
                  <w:top w:w="28" w:type="dxa"/>
                  <w:left w:w="57" w:type="dxa"/>
                  <w:bottom w:w="28" w:type="dxa"/>
                  <w:right w:w="57" w:type="dxa"/>
                </w:tcMar>
              </w:tcPr>
            </w:tcPrChange>
          </w:tcPr>
          <w:p w14:paraId="2358EF5B" w14:textId="77777777" w:rsidR="00F67EFB" w:rsidRPr="00F04F82" w:rsidRDefault="00F67EFB">
            <w:pPr>
              <w:numPr>
                <w:ilvl w:val="0"/>
                <w:numId w:val="46"/>
              </w:numPr>
              <w:tabs>
                <w:tab w:val="clear" w:pos="567"/>
              </w:tabs>
              <w:spacing w:line="240" w:lineRule="auto"/>
              <w:ind w:left="567" w:hanging="567"/>
            </w:pPr>
          </w:p>
        </w:tc>
        <w:tc>
          <w:tcPr>
            <w:tcW w:w="4640" w:type="pct"/>
            <w:gridSpan w:val="2"/>
            <w:tcBorders>
              <w:top w:val="nil"/>
              <w:left w:val="nil"/>
              <w:bottom w:val="single" w:sz="4" w:space="0" w:color="auto"/>
            </w:tcBorders>
            <w:tcMar>
              <w:left w:w="0" w:type="dxa"/>
            </w:tcMar>
            <w:tcPrChange w:id="5236" w:author="Author">
              <w:tcPr>
                <w:tcW w:w="4640" w:type="pct"/>
                <w:gridSpan w:val="3"/>
                <w:tcBorders>
                  <w:top w:val="nil"/>
                  <w:left w:val="nil"/>
                  <w:bottom w:val="nil"/>
                </w:tcBorders>
                <w:tcMar>
                  <w:left w:w="0" w:type="dxa"/>
                </w:tcMar>
              </w:tcPr>
            </w:tcPrChange>
          </w:tcPr>
          <w:p w14:paraId="25E32976" w14:textId="4E43954B" w:rsidR="00F67EFB" w:rsidRPr="00F04F82" w:rsidRDefault="00F67EFB" w:rsidP="00DC2FD1">
            <w:pPr>
              <w:spacing w:line="240" w:lineRule="auto"/>
            </w:pPr>
            <w:r w:rsidRPr="00F04F82">
              <w:rPr>
                <w:szCs w:val="22"/>
              </w:rPr>
              <w:t xml:space="preserve">Make sure you have the right medicine and dose. </w:t>
            </w:r>
          </w:p>
        </w:tc>
      </w:tr>
      <w:tr w:rsidR="00F67EFB" w:rsidRPr="00F04F82" w:rsidDel="00343BE6" w14:paraId="30AEC313" w14:textId="10AD09C8" w:rsidTr="00D55B59">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237"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gridBefore w:val="1"/>
          <w:cantSplit/>
          <w:trHeight w:val="57"/>
          <w:del w:id="5238" w:author="Author"/>
          <w:trPrChange w:id="5239" w:author="Author">
            <w:trPr>
              <w:gridBefore w:val="2"/>
              <w:cantSplit/>
              <w:trHeight w:val="57"/>
            </w:trPr>
          </w:trPrChange>
        </w:trPr>
        <w:tc>
          <w:tcPr>
            <w:tcW w:w="5000" w:type="pct"/>
            <w:gridSpan w:val="3"/>
            <w:tcBorders>
              <w:top w:val="single" w:sz="4" w:space="0" w:color="auto"/>
              <w:bottom w:val="single" w:sz="4" w:space="0" w:color="auto"/>
            </w:tcBorders>
            <w:tcMar>
              <w:top w:w="28" w:type="dxa"/>
              <w:left w:w="57" w:type="dxa"/>
              <w:bottom w:w="28" w:type="dxa"/>
              <w:right w:w="57" w:type="dxa"/>
            </w:tcMar>
            <w:tcPrChange w:id="5240" w:author="Author">
              <w:tcPr>
                <w:tcW w:w="5000" w:type="pct"/>
                <w:gridSpan w:val="4"/>
                <w:tcBorders>
                  <w:top w:val="nil"/>
                  <w:bottom w:val="single" w:sz="4" w:space="0" w:color="auto"/>
                </w:tcBorders>
                <w:tcMar>
                  <w:top w:w="28" w:type="dxa"/>
                  <w:left w:w="57" w:type="dxa"/>
                  <w:bottom w:w="28" w:type="dxa"/>
                  <w:right w:w="57" w:type="dxa"/>
                </w:tcMar>
              </w:tcPr>
            </w:tcPrChange>
          </w:tcPr>
          <w:p w14:paraId="06CAE48E" w14:textId="760749F4" w:rsidR="00F67EFB" w:rsidRPr="00F04F82" w:rsidDel="00343BE6" w:rsidRDefault="00D96030" w:rsidP="00D47253">
            <w:pPr>
              <w:spacing w:line="240" w:lineRule="auto"/>
              <w:rPr>
                <w:del w:id="5241" w:author="Author"/>
                <w:szCs w:val="22"/>
              </w:rPr>
            </w:pPr>
            <w:del w:id="5242" w:author="Author">
              <w:r>
                <w:pict w14:anchorId="1D445BCF">
                  <v:shape id="_x0000_s2062" type="#_x0000_t202" style="position:absolute;margin-left:.55pt;margin-top:6.4pt;width:439.05pt;height:34.7pt;z-index:1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" strokecolor="red" strokeweight="1.5pt">
                    <v:textbox style="mso-next-textbox:#_x0000_s2062;mso-fit-shape-to-text:t">
                      <w:txbxContent>
                        <w:p w14:paraId="3B13D03A" w14:textId="287D067E" w:rsidR="00D47253" w:rsidRPr="00F04F82" w:rsidRDefault="00D47253" w:rsidP="00B61D9D">
                          <w:pPr>
                            <w:spacing w:line="240" w:lineRule="auto"/>
                          </w:pPr>
                          <w:del w:id="5243" w:author="Author">
                            <w:r w:rsidRPr="00F04F82" w:rsidDel="00343BE6">
                              <w:rPr>
                                <w:b/>
                                <w:bCs/>
                              </w:rPr>
                              <w:delText xml:space="preserve">Important: </w:delText>
                            </w:r>
                            <w:r w:rsidRPr="00F04F82" w:rsidDel="00343BE6">
                              <w:delText>If the medicine is cloudy, discoloured, or contains flakes</w:delText>
                            </w:r>
                          </w:del>
                          <w:ins w:id="5244" w:author="Author">
                            <w:del w:id="5245" w:author="Author">
                              <w:r w:rsidR="00D72DE1" w:rsidRPr="00F04F82" w:rsidDel="00343BE6">
                                <w:delText xml:space="preserve"> or particles</w:delText>
                              </w:r>
                            </w:del>
                          </w:ins>
                          <w:del w:id="5246" w:author="Author">
                            <w:r w:rsidRPr="00F04F82" w:rsidDel="00343BE6">
                              <w:delText>,</w:delText>
                            </w:r>
                            <w:r w:rsidRPr="00F04F82" w:rsidDel="00343BE6">
                              <w:rPr>
                                <w:b/>
                                <w:bCs/>
                              </w:rPr>
                              <w:delText xml:space="preserve"> </w:delText>
                            </w:r>
                            <w:r w:rsidRPr="00F04F82" w:rsidDel="00343BE6">
                              <w:delText>call your doctor or healthcare provider.</w:delText>
                            </w:r>
                          </w:del>
                        </w:p>
                      </w:txbxContent>
                    </v:textbox>
                    <w10:wrap type="square" anchorx="margin"/>
                  </v:shape>
                </w:pict>
              </w:r>
            </w:del>
          </w:p>
        </w:tc>
      </w:tr>
    </w:tbl>
    <w:p w14:paraId="3B7E7F2D" w14:textId="77777777" w:rsidR="00F67EFB" w:rsidRPr="00F04F82" w:rsidRDefault="00F67EFB" w:rsidP="00F67EFB">
      <w:pPr>
        <w:spacing w:line="240" w:lineRule="auto"/>
        <w:rPr>
          <w:b/>
          <w:bC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95"/>
        <w:gridCol w:w="285"/>
        <w:gridCol w:w="3825"/>
        <w:gridCol w:w="4264"/>
      </w:tblGrid>
      <w:tr w:rsidR="00F67EFB" w:rsidRPr="00F04F82" w14:paraId="79D42FB8" w14:textId="77777777" w:rsidTr="0002405A">
        <w:trPr>
          <w:cantSplit/>
          <w:trHeight w:val="57"/>
        </w:trPr>
        <w:tc>
          <w:tcPr>
            <w:tcW w:w="383" w:type="pct"/>
            <w:tcBorders>
              <w:bottom w:val="single" w:sz="4" w:space="0" w:color="auto"/>
            </w:tcBorders>
            <w:tcMar>
              <w:top w:w="28" w:type="dxa"/>
              <w:left w:w="57" w:type="dxa"/>
              <w:bottom w:w="28" w:type="dxa"/>
              <w:right w:w="57" w:type="dxa"/>
            </w:tcMar>
          </w:tcPr>
          <w:p w14:paraId="7EE1C1ED" w14:textId="77777777" w:rsidR="00F67EFB" w:rsidRPr="00F04F82" w:rsidRDefault="00F67EFB" w:rsidP="00D47253">
            <w:pPr>
              <w:keepNext/>
              <w:rPr>
                <w:b/>
                <w:bCs/>
              </w:rPr>
            </w:pPr>
            <w:r w:rsidRPr="00F04F82">
              <w:rPr>
                <w:b/>
                <w:bCs/>
              </w:rPr>
              <w:t>3</w:t>
            </w:r>
          </w:p>
        </w:tc>
        <w:tc>
          <w:tcPr>
            <w:tcW w:w="4617" w:type="pct"/>
            <w:gridSpan w:val="3"/>
            <w:tcBorders>
              <w:bottom w:val="single" w:sz="4" w:space="0" w:color="auto"/>
            </w:tcBorders>
            <w:tcMar>
              <w:top w:w="28" w:type="dxa"/>
              <w:left w:w="57" w:type="dxa"/>
              <w:bottom w:w="28" w:type="dxa"/>
              <w:right w:w="57" w:type="dxa"/>
            </w:tcMar>
          </w:tcPr>
          <w:p w14:paraId="35D9A679" w14:textId="77777777" w:rsidR="00F67EFB" w:rsidRPr="00F04F82" w:rsidRDefault="00F67EFB" w:rsidP="00D47253">
            <w:pPr>
              <w:pStyle w:val="ListParagraph"/>
              <w:ind w:left="567" w:hanging="567"/>
              <w:rPr>
                <w:b/>
                <w:bCs/>
                <w:sz w:val="22"/>
                <w:szCs w:val="22"/>
              </w:rPr>
            </w:pPr>
            <w:r w:rsidRPr="00F04F82">
              <w:rPr>
                <w:b/>
                <w:bCs/>
                <w:sz w:val="22"/>
                <w:szCs w:val="22"/>
              </w:rPr>
              <w:t>Getting ready for your injection</w:t>
            </w:r>
          </w:p>
        </w:tc>
      </w:tr>
      <w:tr w:rsidR="00F67EFB" w:rsidRPr="00F04F82" w14:paraId="7866C5C3" w14:textId="77777777" w:rsidTr="0002405A">
        <w:trPr>
          <w:cantSplit/>
          <w:trHeight w:val="57"/>
        </w:trPr>
        <w:tc>
          <w:tcPr>
            <w:tcW w:w="383" w:type="pct"/>
            <w:tcBorders>
              <w:bottom w:val="single" w:sz="4" w:space="0" w:color="auto"/>
            </w:tcBorders>
            <w:tcMar>
              <w:top w:w="28" w:type="dxa"/>
              <w:left w:w="57" w:type="dxa"/>
              <w:bottom w:w="28" w:type="dxa"/>
              <w:right w:w="57" w:type="dxa"/>
            </w:tcMar>
          </w:tcPr>
          <w:p w14:paraId="5C3795C9" w14:textId="77777777" w:rsidR="00F67EFB" w:rsidRPr="00F04F82" w:rsidRDefault="00F67EFB" w:rsidP="00D47253">
            <w:pPr>
              <w:keepNext/>
              <w:rPr>
                <w:b/>
                <w:bCs/>
              </w:rPr>
            </w:pPr>
            <w:r w:rsidRPr="00F04F82">
              <w:rPr>
                <w:b/>
                <w:bCs/>
              </w:rPr>
              <w:t>3a</w:t>
            </w:r>
          </w:p>
        </w:tc>
        <w:tc>
          <w:tcPr>
            <w:tcW w:w="4617" w:type="pct"/>
            <w:gridSpan w:val="3"/>
            <w:tcBorders>
              <w:bottom w:val="single" w:sz="4" w:space="0" w:color="auto"/>
            </w:tcBorders>
            <w:tcMar>
              <w:top w:w="28" w:type="dxa"/>
              <w:left w:w="57" w:type="dxa"/>
              <w:bottom w:w="28" w:type="dxa"/>
              <w:right w:w="57" w:type="dxa"/>
            </w:tcMar>
          </w:tcPr>
          <w:p w14:paraId="5B7A283E" w14:textId="7CCE16F7" w:rsidR="00F67EFB" w:rsidRPr="00F04F82" w:rsidRDefault="00F67EFB" w:rsidP="00D55B59">
            <w:pPr>
              <w:pStyle w:val="ListParagraph"/>
              <w:ind w:left="0"/>
              <w:rPr>
                <w:sz w:val="22"/>
                <w:szCs w:val="22"/>
              </w:rPr>
              <w:pPrChange w:id="5247" w:author="Author">
                <w:pPr>
                  <w:pStyle w:val="ListParagraph"/>
                  <w:ind w:left="567" w:hanging="567"/>
                </w:pPr>
              </w:pPrChange>
            </w:pPr>
            <w:r w:rsidRPr="00F04F82">
              <w:rPr>
                <w:b/>
                <w:bCs/>
                <w:sz w:val="22"/>
                <w:szCs w:val="22"/>
              </w:rPr>
              <w:t>Gather and place</w:t>
            </w:r>
            <w:ins w:id="5248" w:author="Author">
              <w:r w:rsidR="00B15F5B" w:rsidRPr="00F04F82">
                <w:rPr>
                  <w:b/>
                  <w:bCs/>
                  <w:sz w:val="22"/>
                  <w:szCs w:val="22"/>
                </w:rPr>
                <w:t xml:space="preserve"> the following</w:t>
              </w:r>
            </w:ins>
            <w:r w:rsidRPr="00F04F82">
              <w:rPr>
                <w:b/>
                <w:bCs/>
                <w:sz w:val="22"/>
                <w:szCs w:val="22"/>
              </w:rPr>
              <w:t xml:space="preserve"> items for your injection on a clean,</w:t>
            </w:r>
            <w:ins w:id="5249" w:author="Author">
              <w:r w:rsidR="00B15F5B" w:rsidRPr="00F04F82">
                <w:rPr>
                  <w:b/>
                  <w:bCs/>
                  <w:sz w:val="22"/>
                  <w:szCs w:val="22"/>
                </w:rPr>
                <w:t xml:space="preserve"> flat and</w:t>
              </w:r>
            </w:ins>
            <w:r w:rsidRPr="00F04F82">
              <w:rPr>
                <w:b/>
                <w:bCs/>
                <w:sz w:val="22"/>
                <w:szCs w:val="22"/>
              </w:rPr>
              <w:t xml:space="preserve"> well</w:t>
            </w:r>
            <w:r w:rsidRPr="00F04F82">
              <w:rPr>
                <w:b/>
                <w:bCs/>
                <w:sz w:val="22"/>
                <w:szCs w:val="22"/>
              </w:rPr>
              <w:noBreakHyphen/>
              <w:t>lit surface.</w:t>
            </w:r>
          </w:p>
        </w:tc>
      </w:tr>
      <w:tr w:rsidR="00F67EFB" w:rsidRPr="00F04F82" w14:paraId="5D401AF2" w14:textId="77777777" w:rsidTr="0002405A">
        <w:trPr>
          <w:cantSplit/>
          <w:trHeight w:val="2070"/>
        </w:trPr>
        <w:tc>
          <w:tcPr>
            <w:tcW w:w="54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19BDB19E" w14:textId="77777777" w:rsidR="00F67EFB" w:rsidRPr="00F04F82" w:rsidRDefault="00F67EFB" w:rsidP="00D47253">
            <w:pPr>
              <w:pStyle w:val="ListParagraph"/>
              <w:keepNext/>
              <w:ind w:left="567" w:hanging="567"/>
            </w:pPr>
          </w:p>
          <w:p w14:paraId="1D53C3E8" w14:textId="77777777" w:rsidR="00F67EFB" w:rsidRPr="00F04F82" w:rsidRDefault="00F67EFB" w:rsidP="00D47253">
            <w:pPr>
              <w:pStyle w:val="ListParagraph"/>
              <w:keepNext/>
              <w:ind w:left="567" w:hanging="567"/>
            </w:pPr>
          </w:p>
          <w:p w14:paraId="318F5607" w14:textId="77777777" w:rsidR="00F67EFB" w:rsidRPr="00F04F82" w:rsidRDefault="00F67EFB" w:rsidP="00D47253">
            <w:pPr>
              <w:pStyle w:val="ListParagraph"/>
              <w:keepNext/>
              <w:ind w:left="567" w:hanging="567"/>
            </w:pPr>
          </w:p>
          <w:p w14:paraId="62E40D9A" w14:textId="77777777" w:rsidR="00F67EFB" w:rsidRPr="00F04F82" w:rsidRDefault="00F67EFB" w:rsidP="00D47253">
            <w:pPr>
              <w:pStyle w:val="ListParagraph"/>
              <w:keepNext/>
              <w:ind w:left="567" w:hanging="567"/>
            </w:pPr>
          </w:p>
          <w:p w14:paraId="61EABC96" w14:textId="77777777" w:rsidR="00F67EFB" w:rsidRPr="00F04F82" w:rsidRDefault="00F67EFB" w:rsidP="00D47253">
            <w:pPr>
              <w:pStyle w:val="ListParagraph"/>
              <w:keepNext/>
              <w:ind w:left="567" w:hanging="567"/>
            </w:pPr>
          </w:p>
          <w:p w14:paraId="0551B910" w14:textId="77777777" w:rsidR="00F67EFB" w:rsidRPr="00F04F82" w:rsidRDefault="00F67EFB" w:rsidP="00B61D9D">
            <w:pPr>
              <w:pStyle w:val="ListParagraph"/>
              <w:keepNext/>
              <w:ind w:left="0"/>
            </w:pPr>
            <w:r w:rsidRPr="00F04F82">
              <w:rPr>
                <w:sz w:val="22"/>
                <w:szCs w:val="22"/>
              </w:rPr>
              <w:t>Sharps disposal container</w:t>
            </w:r>
          </w:p>
        </w:tc>
        <w:tc>
          <w:tcPr>
            <w:tcW w:w="2109" w:type="pct"/>
            <w:tcBorders>
              <w:top w:val="single" w:sz="4" w:space="0" w:color="auto"/>
              <w:left w:val="nil"/>
              <w:bottom w:val="single" w:sz="4" w:space="0" w:color="auto"/>
              <w:right w:val="nil"/>
            </w:tcBorders>
          </w:tcPr>
          <w:p w14:paraId="2B3543E0" w14:textId="5BA64A3D" w:rsidR="00F67EFB" w:rsidRPr="00F04F82" w:rsidRDefault="00D96030" w:rsidP="00D47253">
            <w:pPr>
              <w:pStyle w:val="ListParagraph"/>
              <w:keepNext/>
              <w:ind w:left="567" w:hanging="567"/>
            </w:pPr>
            <w:r>
              <w:pict w14:anchorId="7687FC01">
                <v:shape id="_x0000_i1091" type="#_x0000_t75" style="width:2in;height:128pt;visibility:visible;mso-wrap-style:square">
                  <v:imagedata r:id="rId87" o:title=""/>
                </v:shape>
              </w:pict>
            </w:r>
          </w:p>
          <w:p w14:paraId="3579B088" w14:textId="77777777" w:rsidR="00F67EFB" w:rsidRPr="00F04F82" w:rsidRDefault="00F67EFB" w:rsidP="00D47253">
            <w:pPr>
              <w:pStyle w:val="ListParagraph"/>
              <w:keepNext/>
              <w:ind w:left="567" w:hanging="567"/>
            </w:pPr>
          </w:p>
          <w:p w14:paraId="1876282D" w14:textId="77777777" w:rsidR="00F67EFB" w:rsidRPr="00F04F82" w:rsidRDefault="00F67EFB" w:rsidP="00D47253">
            <w:pPr>
              <w:pStyle w:val="ListParagraph"/>
              <w:keepNext/>
              <w:ind w:left="567" w:hanging="567"/>
            </w:pPr>
          </w:p>
        </w:tc>
        <w:tc>
          <w:tcPr>
            <w:tcW w:w="2351" w:type="pct"/>
            <w:tcBorders>
              <w:top w:val="single" w:sz="4" w:space="0" w:color="auto"/>
              <w:left w:val="nil"/>
              <w:bottom w:val="single" w:sz="4" w:space="0" w:color="auto"/>
              <w:right w:val="single" w:sz="4" w:space="0" w:color="auto"/>
            </w:tcBorders>
          </w:tcPr>
          <w:p w14:paraId="07F006DD" w14:textId="77777777" w:rsidR="00F67EFB" w:rsidRPr="00F04F82" w:rsidRDefault="00F67EFB" w:rsidP="00D47253">
            <w:pPr>
              <w:pStyle w:val="ListParagraph"/>
              <w:ind w:left="567" w:hanging="567"/>
              <w:rPr>
                <w:b/>
                <w:bCs/>
              </w:rPr>
            </w:pPr>
          </w:p>
          <w:p w14:paraId="1E440ED3" w14:textId="77777777" w:rsidR="00F67EFB" w:rsidRPr="00F04F82" w:rsidRDefault="00F67EFB" w:rsidP="00D47253">
            <w:pPr>
              <w:pStyle w:val="ListParagraph"/>
              <w:ind w:left="567" w:hanging="567"/>
              <w:rPr>
                <w:sz w:val="22"/>
                <w:szCs w:val="22"/>
              </w:rPr>
            </w:pPr>
            <w:r w:rsidRPr="00F04F82">
              <w:rPr>
                <w:sz w:val="22"/>
                <w:szCs w:val="22"/>
              </w:rPr>
              <w:t>Alcohol wipe</w:t>
            </w:r>
          </w:p>
          <w:p w14:paraId="33F97385" w14:textId="77777777" w:rsidR="00F67EFB" w:rsidRPr="00F04F82" w:rsidRDefault="00F67EFB" w:rsidP="00D47253">
            <w:pPr>
              <w:pStyle w:val="ListParagraph"/>
              <w:ind w:left="567" w:hanging="567"/>
              <w:rPr>
                <w:b/>
                <w:bCs/>
                <w:sz w:val="22"/>
                <w:szCs w:val="22"/>
              </w:rPr>
            </w:pPr>
          </w:p>
          <w:p w14:paraId="03D17802" w14:textId="77777777" w:rsidR="00F67EFB" w:rsidRPr="00F04F82" w:rsidRDefault="00F67EFB" w:rsidP="00D47253">
            <w:pPr>
              <w:pStyle w:val="ListParagraph"/>
              <w:ind w:left="567" w:hanging="567"/>
              <w:rPr>
                <w:b/>
                <w:bCs/>
                <w:sz w:val="22"/>
                <w:szCs w:val="22"/>
              </w:rPr>
            </w:pPr>
          </w:p>
          <w:p w14:paraId="15F58B2B" w14:textId="77777777" w:rsidR="00F67EFB" w:rsidRPr="00F04F82" w:rsidRDefault="00F67EFB" w:rsidP="00D47253">
            <w:pPr>
              <w:pStyle w:val="ListParagraph"/>
              <w:ind w:left="567" w:hanging="567"/>
              <w:rPr>
                <w:sz w:val="22"/>
                <w:szCs w:val="22"/>
              </w:rPr>
            </w:pPr>
            <w:r w:rsidRPr="00F04F82">
              <w:rPr>
                <w:sz w:val="22"/>
                <w:szCs w:val="22"/>
              </w:rPr>
              <w:t>Plaster</w:t>
            </w:r>
          </w:p>
          <w:p w14:paraId="07E8AB12" w14:textId="77777777" w:rsidR="00F67EFB" w:rsidRPr="00F04F82" w:rsidRDefault="00F67EFB" w:rsidP="00D47253">
            <w:pPr>
              <w:pStyle w:val="ListParagraph"/>
              <w:ind w:left="567" w:hanging="567"/>
              <w:rPr>
                <w:sz w:val="22"/>
                <w:szCs w:val="22"/>
              </w:rPr>
            </w:pPr>
          </w:p>
          <w:p w14:paraId="03F778BB" w14:textId="77777777" w:rsidR="00F67EFB" w:rsidRPr="00F04F82" w:rsidRDefault="00F67EFB" w:rsidP="00D47253">
            <w:pPr>
              <w:pStyle w:val="ListParagraph"/>
              <w:ind w:left="567" w:hanging="567"/>
              <w:rPr>
                <w:sz w:val="22"/>
                <w:szCs w:val="22"/>
              </w:rPr>
            </w:pPr>
          </w:p>
          <w:p w14:paraId="47DF5156" w14:textId="77777777" w:rsidR="00F67EFB" w:rsidRPr="00F04F82" w:rsidRDefault="00F67EFB" w:rsidP="00D47253">
            <w:pPr>
              <w:pStyle w:val="ListParagraph"/>
              <w:ind w:left="567" w:hanging="567"/>
              <w:rPr>
                <w:sz w:val="22"/>
                <w:szCs w:val="22"/>
              </w:rPr>
            </w:pPr>
            <w:r w:rsidRPr="00F04F82">
              <w:rPr>
                <w:sz w:val="22"/>
                <w:szCs w:val="22"/>
              </w:rPr>
              <w:t>Cotton ball or gauze pad</w:t>
            </w:r>
          </w:p>
        </w:tc>
      </w:tr>
      <w:tr w:rsidR="002206FB" w:rsidRPr="00F04F82" w14:paraId="3C654477" w14:textId="77777777" w:rsidTr="0002405A">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8AA8C3" w14:textId="77777777" w:rsidR="002206FB" w:rsidRPr="00F04F82" w:rsidRDefault="002206FB">
            <w:pPr>
              <w:numPr>
                <w:ilvl w:val="0"/>
                <w:numId w:val="46"/>
              </w:numPr>
              <w:tabs>
                <w:tab w:val="clear" w:pos="567"/>
              </w:tabs>
              <w:spacing w:line="240" w:lineRule="auto"/>
              <w:ind w:left="567" w:hanging="567"/>
            </w:pPr>
          </w:p>
        </w:tc>
        <w:tc>
          <w:tcPr>
            <w:tcW w:w="4617" w:type="pct"/>
            <w:gridSpan w:val="3"/>
            <w:tcBorders>
              <w:top w:val="nil"/>
              <w:left w:val="nil"/>
              <w:bottom w:val="nil"/>
            </w:tcBorders>
            <w:tcMar>
              <w:left w:w="0" w:type="dxa"/>
            </w:tcMar>
          </w:tcPr>
          <w:p w14:paraId="637937F9" w14:textId="6722F155" w:rsidR="002206FB" w:rsidRPr="00F04F82" w:rsidRDefault="002206FB" w:rsidP="00B61D9D">
            <w:pPr>
              <w:pStyle w:val="ListParagraph"/>
              <w:keepNext/>
              <w:keepLines/>
              <w:suppressAutoHyphens/>
              <w:autoSpaceDE w:val="0"/>
              <w:autoSpaceDN w:val="0"/>
              <w:adjustRightInd w:val="0"/>
              <w:ind w:left="0"/>
              <w:textAlignment w:val="center"/>
              <w:rPr>
                <w:sz w:val="22"/>
                <w:szCs w:val="20"/>
                <w:lang w:eastAsia="en-US"/>
              </w:rPr>
            </w:pPr>
            <w:r w:rsidRPr="00F04F82">
              <w:rPr>
                <w:sz w:val="22"/>
                <w:szCs w:val="20"/>
                <w:lang w:eastAsia="en-US"/>
              </w:rPr>
              <w:t>A</w:t>
            </w:r>
            <w:r w:rsidR="005D1ADC" w:rsidRPr="00F04F82">
              <w:rPr>
                <w:sz w:val="22"/>
                <w:szCs w:val="20"/>
                <w:lang w:eastAsia="en-US"/>
              </w:rPr>
              <w:t>MGEVITA</w:t>
            </w:r>
            <w:r w:rsidRPr="00F04F82">
              <w:rPr>
                <w:sz w:val="22"/>
                <w:szCs w:val="20"/>
                <w:lang w:eastAsia="en-US"/>
              </w:rPr>
              <w:t xml:space="preserve"> pre-filled pen</w:t>
            </w:r>
            <w:r w:rsidR="005D1ADC" w:rsidRPr="00F04F82">
              <w:rPr>
                <w:sz w:val="22"/>
                <w:szCs w:val="20"/>
                <w:lang w:eastAsia="en-US"/>
              </w:rPr>
              <w:t xml:space="preserve"> (room temperature)</w:t>
            </w:r>
          </w:p>
        </w:tc>
      </w:tr>
      <w:tr w:rsidR="00F67EFB" w:rsidRPr="00F04F82" w14:paraId="5A662D20" w14:textId="77777777" w:rsidTr="0002405A">
        <w:trPr>
          <w:cantSplit/>
          <w:trHeight w:val="57"/>
        </w:trPr>
        <w:tc>
          <w:tcPr>
            <w:tcW w:w="383" w:type="pct"/>
            <w:tcBorders>
              <w:top w:val="nil"/>
              <w:bottom w:val="nil"/>
              <w:right w:val="nil"/>
            </w:tcBorders>
            <w:tcMar>
              <w:top w:w="28" w:type="dxa"/>
              <w:left w:w="57" w:type="dxa"/>
              <w:bottom w:w="28" w:type="dxa"/>
              <w:right w:w="57" w:type="dxa"/>
            </w:tcMar>
          </w:tcPr>
          <w:p w14:paraId="7F56936C" w14:textId="77777777" w:rsidR="00F67EFB" w:rsidRPr="00F04F82" w:rsidRDefault="00F67EFB">
            <w:pPr>
              <w:numPr>
                <w:ilvl w:val="0"/>
                <w:numId w:val="46"/>
              </w:numPr>
              <w:tabs>
                <w:tab w:val="clear" w:pos="567"/>
              </w:tabs>
              <w:spacing w:line="240" w:lineRule="auto"/>
              <w:ind w:left="567" w:hanging="567"/>
            </w:pPr>
          </w:p>
        </w:tc>
        <w:tc>
          <w:tcPr>
            <w:tcW w:w="4617" w:type="pct"/>
            <w:gridSpan w:val="3"/>
            <w:tcBorders>
              <w:top w:val="nil"/>
              <w:left w:val="nil"/>
              <w:bottom w:val="nil"/>
            </w:tcBorders>
            <w:tcMar>
              <w:left w:w="0" w:type="dxa"/>
            </w:tcMar>
          </w:tcPr>
          <w:p w14:paraId="37628A73" w14:textId="77777777" w:rsidR="00F67EFB" w:rsidRPr="00F04F82" w:rsidRDefault="00F67EFB" w:rsidP="00B61D9D">
            <w:pPr>
              <w:pStyle w:val="ListParagraph"/>
              <w:keepNext/>
              <w:keepLines/>
              <w:suppressAutoHyphens/>
              <w:autoSpaceDE w:val="0"/>
              <w:autoSpaceDN w:val="0"/>
              <w:adjustRightInd w:val="0"/>
              <w:ind w:left="0"/>
              <w:textAlignment w:val="center"/>
              <w:rPr>
                <w:sz w:val="22"/>
                <w:szCs w:val="20"/>
                <w:lang w:eastAsia="en-US"/>
              </w:rPr>
            </w:pPr>
            <w:r w:rsidRPr="00F04F82">
              <w:rPr>
                <w:sz w:val="22"/>
                <w:szCs w:val="20"/>
                <w:lang w:eastAsia="en-US"/>
              </w:rPr>
              <w:t xml:space="preserve">Sharps disposal container </w:t>
            </w:r>
          </w:p>
        </w:tc>
      </w:tr>
      <w:tr w:rsidR="00F67EFB" w:rsidRPr="00F04F82" w14:paraId="671DE54C" w14:textId="77777777" w:rsidTr="0002405A">
        <w:trPr>
          <w:cantSplit/>
          <w:trHeight w:val="57"/>
        </w:trPr>
        <w:tc>
          <w:tcPr>
            <w:tcW w:w="383" w:type="pct"/>
            <w:tcBorders>
              <w:top w:val="nil"/>
              <w:bottom w:val="nil"/>
              <w:right w:val="nil"/>
            </w:tcBorders>
            <w:tcMar>
              <w:top w:w="28" w:type="dxa"/>
              <w:left w:w="57" w:type="dxa"/>
              <w:bottom w:w="28" w:type="dxa"/>
              <w:right w:w="57" w:type="dxa"/>
            </w:tcMar>
          </w:tcPr>
          <w:p w14:paraId="1CDE0C2E" w14:textId="77777777" w:rsidR="00F67EFB" w:rsidRPr="00F04F82" w:rsidRDefault="00F67EFB">
            <w:pPr>
              <w:numPr>
                <w:ilvl w:val="0"/>
                <w:numId w:val="46"/>
              </w:numPr>
              <w:tabs>
                <w:tab w:val="clear" w:pos="567"/>
              </w:tabs>
              <w:spacing w:line="240" w:lineRule="auto"/>
              <w:ind w:left="567" w:hanging="567"/>
            </w:pPr>
          </w:p>
        </w:tc>
        <w:tc>
          <w:tcPr>
            <w:tcW w:w="4617" w:type="pct"/>
            <w:gridSpan w:val="3"/>
            <w:tcBorders>
              <w:top w:val="nil"/>
              <w:left w:val="nil"/>
              <w:bottom w:val="nil"/>
            </w:tcBorders>
            <w:tcMar>
              <w:left w:w="0" w:type="dxa"/>
            </w:tcMar>
          </w:tcPr>
          <w:p w14:paraId="0D85F53D" w14:textId="77777777" w:rsidR="00F67EFB" w:rsidRPr="00F04F82" w:rsidRDefault="00F67EFB" w:rsidP="009E44CB">
            <w:pPr>
              <w:spacing w:line="240" w:lineRule="auto"/>
            </w:pPr>
            <w:r w:rsidRPr="00F04F82">
              <w:t>Alcohol wipe</w:t>
            </w:r>
          </w:p>
        </w:tc>
      </w:tr>
      <w:tr w:rsidR="00F67EFB" w:rsidRPr="00F04F82" w14:paraId="0ABBC10E" w14:textId="77777777" w:rsidTr="0002405A">
        <w:trPr>
          <w:cantSplit/>
          <w:trHeight w:val="57"/>
        </w:trPr>
        <w:tc>
          <w:tcPr>
            <w:tcW w:w="383" w:type="pct"/>
            <w:tcBorders>
              <w:top w:val="nil"/>
              <w:bottom w:val="nil"/>
              <w:right w:val="nil"/>
            </w:tcBorders>
            <w:tcMar>
              <w:top w:w="28" w:type="dxa"/>
              <w:left w:w="57" w:type="dxa"/>
              <w:bottom w:w="28" w:type="dxa"/>
              <w:right w:w="57" w:type="dxa"/>
            </w:tcMar>
          </w:tcPr>
          <w:p w14:paraId="00F28109" w14:textId="77777777" w:rsidR="00F67EFB" w:rsidRPr="00F04F82" w:rsidRDefault="00F67EFB">
            <w:pPr>
              <w:numPr>
                <w:ilvl w:val="0"/>
                <w:numId w:val="46"/>
              </w:numPr>
              <w:tabs>
                <w:tab w:val="clear" w:pos="567"/>
              </w:tabs>
              <w:spacing w:line="240" w:lineRule="auto"/>
              <w:ind w:left="567" w:hanging="567"/>
            </w:pPr>
          </w:p>
        </w:tc>
        <w:tc>
          <w:tcPr>
            <w:tcW w:w="4617" w:type="pct"/>
            <w:gridSpan w:val="3"/>
            <w:tcBorders>
              <w:top w:val="nil"/>
              <w:left w:val="nil"/>
              <w:bottom w:val="nil"/>
            </w:tcBorders>
            <w:tcMar>
              <w:left w:w="0" w:type="dxa"/>
            </w:tcMar>
          </w:tcPr>
          <w:p w14:paraId="724CE360" w14:textId="77777777" w:rsidR="00F67EFB" w:rsidRPr="00F04F82" w:rsidRDefault="00F67EFB" w:rsidP="009E44CB">
            <w:pPr>
              <w:spacing w:line="240" w:lineRule="auto"/>
            </w:pPr>
            <w:r w:rsidRPr="00F04F82">
              <w:t>Plaster</w:t>
            </w:r>
          </w:p>
        </w:tc>
      </w:tr>
      <w:tr w:rsidR="00F67EFB" w:rsidRPr="00F04F82" w14:paraId="73C59751" w14:textId="77777777" w:rsidTr="0002405A">
        <w:trPr>
          <w:cantSplit/>
          <w:trHeight w:val="57"/>
        </w:trPr>
        <w:tc>
          <w:tcPr>
            <w:tcW w:w="383" w:type="pct"/>
            <w:tcBorders>
              <w:top w:val="nil"/>
              <w:bottom w:val="single" w:sz="4" w:space="0" w:color="auto"/>
              <w:right w:val="nil"/>
            </w:tcBorders>
            <w:tcMar>
              <w:top w:w="28" w:type="dxa"/>
              <w:left w:w="57" w:type="dxa"/>
              <w:bottom w:w="28" w:type="dxa"/>
              <w:right w:w="57" w:type="dxa"/>
            </w:tcMar>
          </w:tcPr>
          <w:p w14:paraId="5FE9F9BF" w14:textId="77777777" w:rsidR="00F67EFB" w:rsidRPr="00F04F82" w:rsidRDefault="00F67EFB">
            <w:pPr>
              <w:numPr>
                <w:ilvl w:val="0"/>
                <w:numId w:val="46"/>
              </w:numPr>
              <w:tabs>
                <w:tab w:val="clear" w:pos="567"/>
              </w:tabs>
              <w:spacing w:line="240" w:lineRule="auto"/>
              <w:ind w:left="567" w:hanging="567"/>
            </w:pPr>
          </w:p>
        </w:tc>
        <w:tc>
          <w:tcPr>
            <w:tcW w:w="4617" w:type="pct"/>
            <w:gridSpan w:val="3"/>
            <w:tcBorders>
              <w:top w:val="nil"/>
              <w:left w:val="nil"/>
              <w:bottom w:val="single" w:sz="4" w:space="0" w:color="auto"/>
            </w:tcBorders>
            <w:tcMar>
              <w:left w:w="0" w:type="dxa"/>
            </w:tcMar>
          </w:tcPr>
          <w:p w14:paraId="2E1EEF0D" w14:textId="77777777" w:rsidR="00F67EFB" w:rsidRPr="00F04F82" w:rsidRDefault="00F67EFB" w:rsidP="009E44CB">
            <w:pPr>
              <w:spacing w:line="240" w:lineRule="auto"/>
              <w:rPr>
                <w:b/>
                <w:bCs/>
              </w:rPr>
            </w:pPr>
            <w:r w:rsidRPr="00F04F82">
              <w:t>Cotton ball or gauze pad</w:t>
            </w:r>
          </w:p>
        </w:tc>
      </w:tr>
    </w:tbl>
    <w:p w14:paraId="5697632F" w14:textId="77777777" w:rsidR="00F67EFB" w:rsidRPr="00F04F82" w:rsidRDefault="00F67EFB" w:rsidP="00F67EFB">
      <w:pPr>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42"/>
        <w:gridCol w:w="8427"/>
      </w:tblGrid>
      <w:tr w:rsidR="00F67EFB" w:rsidRPr="00F04F82" w14:paraId="51F65C85" w14:textId="77777777" w:rsidTr="00D47253">
        <w:trPr>
          <w:cantSplit/>
          <w:trHeight w:val="57"/>
        </w:trPr>
        <w:tc>
          <w:tcPr>
            <w:tcW w:w="354" w:type="pct"/>
            <w:tcBorders>
              <w:bottom w:val="single" w:sz="4" w:space="0" w:color="auto"/>
            </w:tcBorders>
            <w:tcMar>
              <w:top w:w="28" w:type="dxa"/>
              <w:left w:w="57" w:type="dxa"/>
              <w:bottom w:w="28" w:type="dxa"/>
              <w:right w:w="57" w:type="dxa"/>
            </w:tcMar>
          </w:tcPr>
          <w:p w14:paraId="08C4D88C" w14:textId="77777777" w:rsidR="00F67EFB" w:rsidRPr="00F04F82" w:rsidRDefault="00F67EFB" w:rsidP="00D47253">
            <w:pPr>
              <w:keepNext/>
              <w:rPr>
                <w:b/>
                <w:bCs/>
                <w:szCs w:val="22"/>
              </w:rPr>
            </w:pPr>
            <w:r w:rsidRPr="00F04F82">
              <w:rPr>
                <w:b/>
                <w:bCs/>
                <w:szCs w:val="22"/>
              </w:rPr>
              <w:t>3b</w:t>
            </w:r>
          </w:p>
        </w:tc>
        <w:tc>
          <w:tcPr>
            <w:tcW w:w="4646" w:type="pct"/>
            <w:tcBorders>
              <w:bottom w:val="single" w:sz="4" w:space="0" w:color="auto"/>
            </w:tcBorders>
            <w:tcMar>
              <w:top w:w="28" w:type="dxa"/>
              <w:left w:w="57" w:type="dxa"/>
              <w:bottom w:w="28" w:type="dxa"/>
              <w:right w:w="57" w:type="dxa"/>
            </w:tcMar>
          </w:tcPr>
          <w:p w14:paraId="02B41781" w14:textId="549C80D5" w:rsidR="00F67EFB" w:rsidRPr="00F04F82" w:rsidRDefault="00F67EFB" w:rsidP="00D47253">
            <w:pPr>
              <w:pStyle w:val="ListParagraph"/>
              <w:keepNext/>
              <w:ind w:left="567" w:hanging="567"/>
              <w:rPr>
                <w:sz w:val="22"/>
                <w:szCs w:val="22"/>
              </w:rPr>
            </w:pPr>
            <w:r w:rsidRPr="00F04F82">
              <w:rPr>
                <w:b/>
                <w:bCs/>
                <w:sz w:val="22"/>
                <w:szCs w:val="22"/>
              </w:rPr>
              <w:t>Inject in</w:t>
            </w:r>
            <w:ins w:id="5250" w:author="Author">
              <w:r w:rsidR="00360EFA" w:rsidRPr="00F04F82">
                <w:rPr>
                  <w:b/>
                  <w:bCs/>
                  <w:sz w:val="22"/>
                  <w:szCs w:val="22"/>
                </w:rPr>
                <w:t>to 1</w:t>
              </w:r>
            </w:ins>
            <w:del w:id="5251" w:author="Author">
              <w:r w:rsidRPr="00F04F82" w:rsidDel="00360EFA">
                <w:rPr>
                  <w:b/>
                  <w:bCs/>
                  <w:sz w:val="22"/>
                  <w:szCs w:val="22"/>
                </w:rPr>
                <w:delText xml:space="preserve"> one</w:delText>
              </w:r>
            </w:del>
            <w:r w:rsidRPr="00F04F82">
              <w:rPr>
                <w:b/>
                <w:bCs/>
                <w:sz w:val="22"/>
                <w:szCs w:val="22"/>
              </w:rPr>
              <w:t xml:space="preserve"> of these </w:t>
            </w:r>
            <w:ins w:id="5252" w:author="Author">
              <w:r w:rsidR="00D9618C" w:rsidRPr="00F04F82">
                <w:rPr>
                  <w:b/>
                  <w:bCs/>
                  <w:sz w:val="22"/>
                  <w:szCs w:val="22"/>
                </w:rPr>
                <w:t>sites</w:t>
              </w:r>
            </w:ins>
            <w:del w:id="5253" w:author="Author">
              <w:r w:rsidRPr="00F04F82" w:rsidDel="00D9618C">
                <w:rPr>
                  <w:b/>
                  <w:bCs/>
                  <w:sz w:val="22"/>
                  <w:szCs w:val="22"/>
                </w:rPr>
                <w:delText>locations</w:delText>
              </w:r>
            </w:del>
            <w:r w:rsidRPr="00F04F82">
              <w:rPr>
                <w:b/>
                <w:bCs/>
                <w:sz w:val="22"/>
                <w:szCs w:val="22"/>
              </w:rPr>
              <w:t>.</w:t>
            </w:r>
          </w:p>
        </w:tc>
      </w:tr>
      <w:tr w:rsidR="00F67EFB" w:rsidRPr="00F04F82" w14:paraId="35813A23" w14:textId="77777777" w:rsidTr="00D47253">
        <w:trPr>
          <w:cantSplit/>
          <w:trHeight w:val="57"/>
        </w:trPr>
        <w:tc>
          <w:tcPr>
            <w:tcW w:w="5000" w:type="pct"/>
            <w:gridSpan w:val="2"/>
            <w:tcBorders>
              <w:bottom w:val="single" w:sz="4" w:space="0" w:color="auto"/>
            </w:tcBorders>
            <w:tcMar>
              <w:top w:w="28" w:type="dxa"/>
              <w:left w:w="57" w:type="dxa"/>
              <w:bottom w:w="28" w:type="dxa"/>
              <w:right w:w="57" w:type="dxa"/>
            </w:tcMar>
          </w:tcPr>
          <w:p w14:paraId="73483E0C" w14:textId="5440A4A3" w:rsidR="00F67EFB" w:rsidRPr="00F04F82" w:rsidDel="008F7FF1" w:rsidRDefault="00D96030" w:rsidP="00D47253">
            <w:pPr>
              <w:pStyle w:val="ListParagraph"/>
              <w:keepNext/>
              <w:ind w:left="567" w:hanging="567"/>
              <w:jc w:val="center"/>
            </w:pPr>
            <w:del w:id="5254" w:author="Author">
              <w:r>
                <w:pict w14:anchorId="1FF96C5A">
                  <v:shape id="Picture 63" o:spid="_x0000_i1092" type="#_x0000_t75" style="width:149.5pt;height:149.5pt;visibility:visible;mso-wrap-style:square">
                    <v:imagedata r:id="rId74" o:title="" cropleft="13422f" cropright="13604f"/>
                  </v:shape>
                </w:pict>
              </w:r>
            </w:del>
            <w:ins w:id="5255" w:author="Author">
              <w:r>
                <w:pict w14:anchorId="4EF8E864">
                  <v:shape id="_x0000_i1093" type="#_x0000_t75" style="width:107.5pt;height:2in">
                    <v:imagedata r:id="rId75" o:title="ILL2439 (1)"/>
                  </v:shape>
                </w:pict>
              </w:r>
            </w:ins>
          </w:p>
        </w:tc>
      </w:tr>
      <w:tr w:rsidR="00F67EFB" w:rsidRPr="00F04F82" w14:paraId="71FCA033" w14:textId="77777777" w:rsidTr="00D47253">
        <w:trPr>
          <w:cantSplit/>
          <w:trHeight w:val="57"/>
        </w:trPr>
        <w:tc>
          <w:tcPr>
            <w:tcW w:w="354" w:type="pct"/>
            <w:tcBorders>
              <w:top w:val="nil"/>
              <w:bottom w:val="nil"/>
              <w:right w:val="nil"/>
            </w:tcBorders>
            <w:tcMar>
              <w:top w:w="28" w:type="dxa"/>
              <w:left w:w="57" w:type="dxa"/>
              <w:bottom w:w="28" w:type="dxa"/>
              <w:right w:w="57" w:type="dxa"/>
            </w:tcMar>
          </w:tcPr>
          <w:p w14:paraId="39A01A38" w14:textId="77777777" w:rsidR="00F67EFB" w:rsidRPr="00F04F82" w:rsidRDefault="00F67EFB">
            <w:pPr>
              <w:keepNext/>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4E1AB773" w14:textId="5020357F" w:rsidR="00F67EFB" w:rsidRPr="00F04F82" w:rsidRDefault="00F67EFB" w:rsidP="00D47253">
            <w:pPr>
              <w:keepNext/>
              <w:tabs>
                <w:tab w:val="left" w:pos="1134"/>
              </w:tabs>
              <w:spacing w:line="240" w:lineRule="auto"/>
              <w:rPr>
                <w:b/>
                <w:bCs/>
              </w:rPr>
            </w:pPr>
            <w:r w:rsidRPr="00F04F82">
              <w:t>Inject in</w:t>
            </w:r>
            <w:ins w:id="5256" w:author="Author">
              <w:r w:rsidR="006B1E81" w:rsidRPr="00F04F82">
                <w:t>to the front of</w:t>
              </w:r>
            </w:ins>
            <w:r w:rsidRPr="00F04F82">
              <w:t xml:space="preserve"> your thigh or belly (except 5 c</w:t>
            </w:r>
            <w:ins w:id="5257" w:author="Author">
              <w:r w:rsidR="0027481A" w:rsidRPr="00F04F82">
                <w:t>entimet</w:t>
              </w:r>
              <w:r w:rsidR="006C7DF7" w:rsidRPr="00F04F82">
                <w:t>r</w:t>
              </w:r>
              <w:r w:rsidR="00A91EB5" w:rsidRPr="00F04F82">
                <w:t>e</w:t>
              </w:r>
              <w:r w:rsidR="006C7DF7" w:rsidRPr="00F04F82">
                <w:t>s</w:t>
              </w:r>
            </w:ins>
            <w:del w:id="5258" w:author="Author">
              <w:r w:rsidRPr="00F04F82" w:rsidDel="006C7DF7">
                <w:delText>m</w:delText>
              </w:r>
            </w:del>
            <w:r w:rsidRPr="00F04F82">
              <w:t xml:space="preserve"> around your belly button).</w:t>
            </w:r>
          </w:p>
        </w:tc>
      </w:tr>
      <w:tr w:rsidR="00F67EFB" w:rsidRPr="00F04F82" w14:paraId="2958689B" w14:textId="77777777" w:rsidTr="00D47253">
        <w:trPr>
          <w:cantSplit/>
          <w:trHeight w:val="57"/>
        </w:trPr>
        <w:tc>
          <w:tcPr>
            <w:tcW w:w="354" w:type="pct"/>
            <w:tcBorders>
              <w:top w:val="nil"/>
              <w:bottom w:val="nil"/>
              <w:right w:val="nil"/>
            </w:tcBorders>
            <w:tcMar>
              <w:top w:w="28" w:type="dxa"/>
              <w:left w:w="57" w:type="dxa"/>
              <w:bottom w:w="28" w:type="dxa"/>
              <w:right w:w="57" w:type="dxa"/>
            </w:tcMar>
          </w:tcPr>
          <w:p w14:paraId="039AB42D" w14:textId="77777777" w:rsidR="00F67EFB" w:rsidRPr="00F04F82" w:rsidRDefault="00F67EFB">
            <w:pPr>
              <w:keepNext/>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60FEC856" w14:textId="7784E8B9" w:rsidR="00F67EFB" w:rsidRPr="00F04F82" w:rsidRDefault="00F67EFB" w:rsidP="00D47253">
            <w:pPr>
              <w:keepNext/>
              <w:tabs>
                <w:tab w:val="left" w:pos="1134"/>
              </w:tabs>
              <w:spacing w:line="240" w:lineRule="auto"/>
            </w:pPr>
            <w:r w:rsidRPr="00F04F82">
              <w:t>Choose a different site for each injection</w:t>
            </w:r>
            <w:ins w:id="5259" w:author="Author">
              <w:r w:rsidR="00553FE8" w:rsidRPr="00F04F82">
                <w:t>.</w:t>
              </w:r>
            </w:ins>
          </w:p>
        </w:tc>
      </w:tr>
      <w:tr w:rsidR="00F67EFB" w:rsidRPr="00F04F82" w14:paraId="1B31568B" w14:textId="77777777" w:rsidTr="00D47253">
        <w:trPr>
          <w:cantSplit/>
          <w:trHeight w:val="57"/>
        </w:trPr>
        <w:tc>
          <w:tcPr>
            <w:tcW w:w="354" w:type="pct"/>
            <w:tcBorders>
              <w:top w:val="nil"/>
              <w:bottom w:val="nil"/>
              <w:right w:val="nil"/>
            </w:tcBorders>
            <w:tcMar>
              <w:top w:w="28" w:type="dxa"/>
              <w:left w:w="57" w:type="dxa"/>
              <w:bottom w:w="28" w:type="dxa"/>
              <w:right w:w="57" w:type="dxa"/>
            </w:tcMar>
          </w:tcPr>
          <w:p w14:paraId="3FB1C239" w14:textId="77777777" w:rsidR="00F67EFB" w:rsidRPr="00F04F82" w:rsidRDefault="00F67EFB">
            <w:pPr>
              <w:keepNext/>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2174DC3A" w14:textId="77777777" w:rsidR="00F67EFB" w:rsidRPr="00F04F82" w:rsidRDefault="00F67EFB" w:rsidP="00D47253">
            <w:pPr>
              <w:keepNext/>
              <w:tabs>
                <w:tab w:val="left" w:pos="1134"/>
              </w:tabs>
              <w:spacing w:line="240" w:lineRule="auto"/>
            </w:pPr>
            <w:r w:rsidRPr="00F04F82">
              <w:t>Wash your hands thoroughly with soap and water.</w:t>
            </w:r>
          </w:p>
        </w:tc>
      </w:tr>
      <w:tr w:rsidR="00F67EFB" w:rsidRPr="00F04F82" w14:paraId="604E3E8E" w14:textId="77777777" w:rsidTr="00D47253">
        <w:trPr>
          <w:cantSplit/>
          <w:trHeight w:val="57"/>
        </w:trPr>
        <w:tc>
          <w:tcPr>
            <w:tcW w:w="354" w:type="pct"/>
            <w:tcBorders>
              <w:top w:val="nil"/>
              <w:bottom w:val="nil"/>
              <w:right w:val="nil"/>
            </w:tcBorders>
            <w:tcMar>
              <w:top w:w="28" w:type="dxa"/>
              <w:left w:w="57" w:type="dxa"/>
              <w:bottom w:w="28" w:type="dxa"/>
              <w:right w:w="57" w:type="dxa"/>
            </w:tcMar>
          </w:tcPr>
          <w:p w14:paraId="4ED1D22F" w14:textId="77777777" w:rsidR="00F67EFB" w:rsidRPr="00F04F82" w:rsidRDefault="00F67EFB">
            <w:pPr>
              <w:keepNext/>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62793E0C" w14:textId="06AACF05" w:rsidR="00F67EFB" w:rsidRPr="00F04F82" w:rsidRDefault="00F67EFB" w:rsidP="00D47253">
            <w:pPr>
              <w:keepNext/>
              <w:spacing w:line="240" w:lineRule="auto"/>
            </w:pPr>
            <w:r w:rsidRPr="00F04F82">
              <w:t xml:space="preserve">Clean </w:t>
            </w:r>
            <w:ins w:id="5260" w:author="Author">
              <w:r w:rsidR="00381BFE" w:rsidRPr="00F04F82">
                <w:t xml:space="preserve">the </w:t>
              </w:r>
            </w:ins>
            <w:r w:rsidRPr="00F04F82">
              <w:t>injection site with an alcohol wipe.</w:t>
            </w:r>
          </w:p>
        </w:tc>
      </w:tr>
      <w:tr w:rsidR="00F67EFB" w:rsidRPr="00F04F82" w14:paraId="444DB246" w14:textId="77777777" w:rsidTr="00D47253">
        <w:trPr>
          <w:cantSplit/>
          <w:trHeight w:val="55"/>
        </w:trPr>
        <w:tc>
          <w:tcPr>
            <w:tcW w:w="354" w:type="pct"/>
            <w:tcBorders>
              <w:top w:val="nil"/>
              <w:bottom w:val="nil"/>
              <w:right w:val="nil"/>
            </w:tcBorders>
            <w:tcMar>
              <w:top w:w="28" w:type="dxa"/>
              <w:left w:w="57" w:type="dxa"/>
              <w:bottom w:w="28" w:type="dxa"/>
              <w:right w:w="57" w:type="dxa"/>
            </w:tcMar>
          </w:tcPr>
          <w:p w14:paraId="34C2B284" w14:textId="77777777" w:rsidR="00F67EFB" w:rsidRPr="00F04F82" w:rsidRDefault="00F67EFB">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2C473F21" w14:textId="071578FB" w:rsidR="00F67EFB" w:rsidRPr="00F04F82" w:rsidRDefault="00F67EFB" w:rsidP="00D47253">
            <w:pPr>
              <w:tabs>
                <w:tab w:val="left" w:pos="1134"/>
              </w:tabs>
              <w:spacing w:line="240" w:lineRule="auto"/>
            </w:pPr>
            <w:r w:rsidRPr="00F04F82">
              <w:t xml:space="preserve">Let </w:t>
            </w:r>
            <w:ins w:id="5261" w:author="Author">
              <w:r w:rsidR="00381BFE" w:rsidRPr="00F04F82">
                <w:t>the</w:t>
              </w:r>
            </w:ins>
            <w:del w:id="5262" w:author="Author">
              <w:r w:rsidRPr="00F04F82" w:rsidDel="00381BFE">
                <w:delText>your</w:delText>
              </w:r>
            </w:del>
            <w:r w:rsidRPr="00F04F82">
              <w:t xml:space="preserve"> skin dry on its own.</w:t>
            </w:r>
          </w:p>
        </w:tc>
      </w:tr>
      <w:tr w:rsidR="00F67EFB" w:rsidRPr="00F04F82" w14:paraId="7CB9AF24" w14:textId="77777777" w:rsidTr="00D47253">
        <w:trPr>
          <w:cantSplit/>
          <w:trHeight w:val="55"/>
        </w:trPr>
        <w:tc>
          <w:tcPr>
            <w:tcW w:w="354" w:type="pct"/>
            <w:tcBorders>
              <w:top w:val="nil"/>
              <w:bottom w:val="nil"/>
              <w:right w:val="nil"/>
            </w:tcBorders>
            <w:tcMar>
              <w:top w:w="28" w:type="dxa"/>
              <w:left w:w="57" w:type="dxa"/>
              <w:bottom w:w="28" w:type="dxa"/>
              <w:right w:w="57" w:type="dxa"/>
            </w:tcMar>
          </w:tcPr>
          <w:p w14:paraId="73BD06BC" w14:textId="77777777" w:rsidR="00F67EFB" w:rsidRPr="00F04F82" w:rsidRDefault="00F67EFB">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35B85C4C" w14:textId="77777777" w:rsidR="00F67EFB" w:rsidRPr="00F04F82" w:rsidRDefault="00F67EFB" w:rsidP="00D47253">
            <w:pPr>
              <w:tabs>
                <w:tab w:val="left" w:pos="1134"/>
              </w:tabs>
              <w:spacing w:line="240" w:lineRule="auto"/>
            </w:pPr>
            <w:r w:rsidRPr="00F04F82">
              <w:rPr>
                <w:b/>
                <w:bCs/>
              </w:rPr>
              <w:t>Do not</w:t>
            </w:r>
            <w:r w:rsidRPr="00F04F82">
              <w:t xml:space="preserve"> touch this area again before injecting.</w:t>
            </w:r>
          </w:p>
        </w:tc>
      </w:tr>
      <w:tr w:rsidR="00F67EFB" w:rsidRPr="00F04F82" w14:paraId="3E68EF02" w14:textId="77777777" w:rsidTr="00D47253">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7A80E89E" w14:textId="69D66773" w:rsidR="00F67EFB" w:rsidRPr="00F04F82" w:rsidRDefault="00D96030" w:rsidP="00D47253">
            <w:pPr>
              <w:tabs>
                <w:tab w:val="left" w:pos="1134"/>
              </w:tabs>
              <w:spacing w:line="240" w:lineRule="auto"/>
              <w:rPr>
                <w:b/>
                <w:bCs/>
              </w:rPr>
            </w:pPr>
            <w:r>
              <w:pict w14:anchorId="755BDEF3">
                <v:shape id="_x0000_s2061" type="#_x0000_t202" style="position:absolute;margin-left:-.2pt;margin-top:.5pt;width:441.4pt;height:21.35pt;z-index:1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" strokecolor="red" strokeweight="1.5pt">
                  <v:textbox style="mso-fit-shape-to-text:t">
                    <w:txbxContent>
                      <w:p w14:paraId="6F9CB347" w14:textId="445BA23B" w:rsidR="00D47253" w:rsidRPr="00F04F82" w:rsidRDefault="00D47253" w:rsidP="00F67EFB">
                        <w:pPr>
                          <w:tabs>
                            <w:tab w:val="left" w:pos="1134"/>
                          </w:tabs>
                          <w:spacing w:line="240" w:lineRule="auto"/>
                        </w:pPr>
                        <w:r w:rsidRPr="00F04F82">
                          <w:rPr>
                            <w:b/>
                            <w:bCs/>
                          </w:rPr>
                          <w:t>Important:</w:t>
                        </w:r>
                        <w:r w:rsidRPr="00F04F82">
                          <w:t xml:space="preserve"> Avoid areas with scars, stretch marks, or where</w:t>
                        </w:r>
                        <w:ins w:id="5263" w:author="Author">
                          <w:r w:rsidR="00A06AA7" w:rsidRPr="00F04F82">
                            <w:t xml:space="preserve"> the</w:t>
                          </w:r>
                        </w:ins>
                        <w:r w:rsidRPr="00F04F82">
                          <w:t xml:space="preserve"> skin is tender, bruised, red or hard.</w:t>
                        </w:r>
                      </w:p>
                    </w:txbxContent>
                  </v:textbox>
                  <w10:wrap type="square" anchorx="margin"/>
                </v:shape>
              </w:pict>
            </w:r>
          </w:p>
        </w:tc>
      </w:tr>
    </w:tbl>
    <w:p w14:paraId="5AA5F212" w14:textId="77777777" w:rsidR="00F67EFB" w:rsidRPr="00F04F82" w:rsidRDefault="00F67EFB" w:rsidP="00F67EFB">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44"/>
        <w:gridCol w:w="1611"/>
        <w:gridCol w:w="6814"/>
      </w:tblGrid>
      <w:tr w:rsidR="00F67EFB" w:rsidRPr="00F04F82" w14:paraId="7B180F27" w14:textId="77777777" w:rsidTr="00D47253">
        <w:trPr>
          <w:cantSplit/>
          <w:trHeight w:val="57"/>
        </w:trPr>
        <w:tc>
          <w:tcPr>
            <w:tcW w:w="355" w:type="pct"/>
            <w:tcMar>
              <w:top w:w="28" w:type="dxa"/>
              <w:left w:w="57" w:type="dxa"/>
              <w:bottom w:w="28" w:type="dxa"/>
              <w:right w:w="57" w:type="dxa"/>
            </w:tcMar>
          </w:tcPr>
          <w:p w14:paraId="2B448E48" w14:textId="77777777" w:rsidR="00F67EFB" w:rsidRPr="00F04F82" w:rsidRDefault="00F67EFB" w:rsidP="00D47253">
            <w:pPr>
              <w:keepNext/>
              <w:rPr>
                <w:b/>
                <w:bCs/>
                <w:szCs w:val="22"/>
              </w:rPr>
            </w:pPr>
            <w:r w:rsidRPr="00F04F82">
              <w:rPr>
                <w:b/>
                <w:bCs/>
                <w:szCs w:val="22"/>
              </w:rPr>
              <w:t>4</w:t>
            </w:r>
          </w:p>
        </w:tc>
        <w:tc>
          <w:tcPr>
            <w:tcW w:w="4645" w:type="pct"/>
            <w:gridSpan w:val="2"/>
            <w:tcMar>
              <w:top w:w="28" w:type="dxa"/>
              <w:left w:w="57" w:type="dxa"/>
              <w:bottom w:w="28" w:type="dxa"/>
              <w:right w:w="57" w:type="dxa"/>
            </w:tcMar>
          </w:tcPr>
          <w:p w14:paraId="00132FA9" w14:textId="77777777" w:rsidR="00F67EFB" w:rsidRPr="00F04F82" w:rsidRDefault="00F67EFB" w:rsidP="00D47253">
            <w:pPr>
              <w:pStyle w:val="ListParagraph"/>
              <w:ind w:left="567" w:hanging="567"/>
              <w:rPr>
                <w:sz w:val="22"/>
                <w:szCs w:val="22"/>
              </w:rPr>
            </w:pPr>
            <w:r w:rsidRPr="00F04F82">
              <w:rPr>
                <w:b/>
                <w:bCs/>
                <w:sz w:val="22"/>
                <w:szCs w:val="22"/>
              </w:rPr>
              <w:t>Injecting AMGEVITA</w:t>
            </w:r>
          </w:p>
        </w:tc>
      </w:tr>
      <w:tr w:rsidR="00F67EFB" w:rsidRPr="00F04F82" w14:paraId="55E6674F" w14:textId="77777777" w:rsidTr="00D47253">
        <w:trPr>
          <w:cantSplit/>
          <w:trHeight w:val="57"/>
        </w:trPr>
        <w:tc>
          <w:tcPr>
            <w:tcW w:w="5000" w:type="pct"/>
            <w:gridSpan w:val="3"/>
            <w:tcBorders>
              <w:bottom w:val="single" w:sz="4" w:space="0" w:color="auto"/>
            </w:tcBorders>
            <w:tcMar>
              <w:top w:w="28" w:type="dxa"/>
              <w:left w:w="57" w:type="dxa"/>
              <w:bottom w:w="28" w:type="dxa"/>
              <w:right w:w="57" w:type="dxa"/>
            </w:tcMar>
          </w:tcPr>
          <w:p w14:paraId="650A442D" w14:textId="2E8D48A7" w:rsidR="00F67EFB" w:rsidRPr="00D55B59" w:rsidRDefault="00D96030" w:rsidP="00D47253">
            <w:pPr>
              <w:pStyle w:val="ListParagraph"/>
              <w:ind w:left="567" w:hanging="567"/>
              <w:rPr>
                <w:rPrChange w:id="5264" w:author="Author">
                  <w:rPr>
                    <w:noProof/>
                  </w:rPr>
                </w:rPrChange>
              </w:rPr>
            </w:pPr>
            <w:r>
              <w:pict w14:anchorId="2F3F1517">
                <v:shape id="_x0000_s2060" type="#_x0000_t202" style="position:absolute;left:0;text-align:left;margin-left:.55pt;margin-top:.1pt;width:441.45pt;height:34pt;z-index: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" strokecolor="red" strokeweight="1.5pt">
                  <v:textbox style="mso-fit-shape-to-text:t">
                    <w:txbxContent>
                      <w:p w14:paraId="48F556D0" w14:textId="24181543" w:rsidR="00D47253" w:rsidRPr="00F04F82" w:rsidRDefault="00D47253" w:rsidP="00F67EFB">
                        <w:pPr>
                          <w:tabs>
                            <w:tab w:val="left" w:pos="1134"/>
                          </w:tabs>
                          <w:spacing w:line="240" w:lineRule="auto"/>
                        </w:pPr>
                        <w:r w:rsidRPr="00F04F82">
                          <w:rPr>
                            <w:b/>
                            <w:bCs/>
                          </w:rPr>
                          <w:t>Important:</w:t>
                        </w:r>
                        <w:r w:rsidRPr="00F04F82">
                          <w:t xml:space="preserve"> Only remove the yellow cap when you can inject right away (within 5 minutes) because the medicine can dry out.</w:t>
                        </w:r>
                        <w:ins w:id="5265" w:author="Author">
                          <w:r w:rsidR="00A06AA7" w:rsidRPr="00F04F82">
                            <w:t xml:space="preserve"> Do not recap.</w:t>
                          </w:r>
                        </w:ins>
                      </w:p>
                    </w:txbxContent>
                  </v:textbox>
                  <w10:wrap type="square" anchorx="margin"/>
                </v:shape>
              </w:pict>
            </w:r>
          </w:p>
        </w:tc>
      </w:tr>
      <w:tr w:rsidR="00F67EFB" w:rsidRPr="00F04F82" w14:paraId="67707474" w14:textId="77777777" w:rsidTr="00D47253">
        <w:trPr>
          <w:cantSplit/>
          <w:trHeight w:val="57"/>
        </w:trPr>
        <w:tc>
          <w:tcPr>
            <w:tcW w:w="355" w:type="pct"/>
            <w:tcBorders>
              <w:bottom w:val="single" w:sz="4" w:space="0" w:color="auto"/>
            </w:tcBorders>
            <w:tcMar>
              <w:top w:w="28" w:type="dxa"/>
              <w:left w:w="57" w:type="dxa"/>
              <w:bottom w:w="28" w:type="dxa"/>
              <w:right w:w="57" w:type="dxa"/>
            </w:tcMar>
          </w:tcPr>
          <w:p w14:paraId="0316304C" w14:textId="77777777" w:rsidR="00F67EFB" w:rsidRPr="00F04F82" w:rsidRDefault="00F67EFB" w:rsidP="00D47253">
            <w:pPr>
              <w:keepNext/>
              <w:rPr>
                <w:b/>
                <w:bCs/>
                <w:szCs w:val="22"/>
              </w:rPr>
            </w:pPr>
            <w:r w:rsidRPr="00F04F82">
              <w:rPr>
                <w:b/>
                <w:bCs/>
                <w:szCs w:val="22"/>
              </w:rPr>
              <w:t>4a</w:t>
            </w:r>
          </w:p>
        </w:tc>
        <w:tc>
          <w:tcPr>
            <w:tcW w:w="4645" w:type="pct"/>
            <w:gridSpan w:val="2"/>
            <w:tcBorders>
              <w:bottom w:val="single" w:sz="4" w:space="0" w:color="auto"/>
            </w:tcBorders>
            <w:tcMar>
              <w:top w:w="28" w:type="dxa"/>
              <w:left w:w="57" w:type="dxa"/>
              <w:bottom w:w="28" w:type="dxa"/>
              <w:right w:w="57" w:type="dxa"/>
            </w:tcMar>
          </w:tcPr>
          <w:p w14:paraId="05478AFC" w14:textId="77777777" w:rsidR="00F67EFB" w:rsidRPr="00F04F82" w:rsidRDefault="00F67EFB" w:rsidP="00D47253">
            <w:pPr>
              <w:pStyle w:val="ListParagraph"/>
              <w:ind w:left="567" w:hanging="567"/>
              <w:rPr>
                <w:b/>
                <w:bCs/>
                <w:sz w:val="22"/>
                <w:szCs w:val="22"/>
              </w:rPr>
            </w:pPr>
            <w:r w:rsidRPr="00F04F82">
              <w:rPr>
                <w:b/>
                <w:bCs/>
                <w:sz w:val="22"/>
                <w:szCs w:val="22"/>
              </w:rPr>
              <w:t xml:space="preserve">Hold the pre-filled pen so you can see the window. Pull the yellow cap straight off. </w:t>
            </w:r>
          </w:p>
          <w:p w14:paraId="24ABA1F2" w14:textId="77777777" w:rsidR="00F67EFB" w:rsidRPr="00F04F82" w:rsidRDefault="00F67EFB" w:rsidP="00D47253">
            <w:pPr>
              <w:pStyle w:val="ListParagraph"/>
              <w:ind w:left="567" w:hanging="567"/>
              <w:rPr>
                <w:sz w:val="22"/>
                <w:szCs w:val="22"/>
              </w:rPr>
            </w:pPr>
            <w:r w:rsidRPr="00F04F82">
              <w:rPr>
                <w:b/>
                <w:bCs/>
                <w:sz w:val="22"/>
                <w:szCs w:val="22"/>
              </w:rPr>
              <w:t>You may need to pull hard.</w:t>
            </w:r>
          </w:p>
        </w:tc>
      </w:tr>
      <w:tr w:rsidR="00F67EFB" w:rsidRPr="00F04F82" w14:paraId="3CF1C37C" w14:textId="77777777" w:rsidTr="00D47253">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603075E5" w14:textId="77777777" w:rsidR="00F67EFB" w:rsidRPr="00F04F82" w:rsidRDefault="00F67EFB" w:rsidP="009B77A7">
            <w:pPr>
              <w:pStyle w:val="ListParagraph"/>
              <w:ind w:left="567" w:hanging="567"/>
              <w:jc w:val="right"/>
              <w:rPr>
                <w:b/>
                <w:bCs/>
              </w:rPr>
            </w:pPr>
          </w:p>
          <w:p w14:paraId="3E27BBFE" w14:textId="77777777" w:rsidR="00F67EFB" w:rsidRPr="00F04F82" w:rsidRDefault="00F67EFB" w:rsidP="009B77A7">
            <w:pPr>
              <w:pStyle w:val="ListParagraph"/>
              <w:ind w:left="567" w:hanging="567"/>
              <w:jc w:val="right"/>
              <w:rPr>
                <w:b/>
                <w:bCs/>
              </w:rPr>
            </w:pPr>
          </w:p>
          <w:p w14:paraId="1563C509" w14:textId="77777777" w:rsidR="00F67EFB" w:rsidRPr="00F04F82" w:rsidRDefault="00F67EFB" w:rsidP="009B77A7">
            <w:pPr>
              <w:pStyle w:val="ListParagraph"/>
              <w:ind w:left="567" w:hanging="567"/>
              <w:jc w:val="right"/>
              <w:rPr>
                <w:b/>
                <w:bCs/>
              </w:rPr>
            </w:pPr>
          </w:p>
          <w:p w14:paraId="747092F1" w14:textId="77777777" w:rsidR="00F67EFB" w:rsidRPr="00F04F82" w:rsidRDefault="00F67EFB" w:rsidP="009B77A7">
            <w:pPr>
              <w:pStyle w:val="ListParagraph"/>
              <w:ind w:left="567" w:hanging="567"/>
              <w:jc w:val="right"/>
            </w:pPr>
            <w:r w:rsidRPr="00F04F82">
              <w:rPr>
                <w:sz w:val="22"/>
                <w:szCs w:val="22"/>
              </w:rPr>
              <w:t>Window should be visible</w:t>
            </w:r>
          </w:p>
        </w:tc>
        <w:tc>
          <w:tcPr>
            <w:tcW w:w="3757" w:type="pct"/>
            <w:tcBorders>
              <w:left w:val="nil"/>
              <w:bottom w:val="single" w:sz="4" w:space="0" w:color="auto"/>
            </w:tcBorders>
          </w:tcPr>
          <w:p w14:paraId="1DC22AD4" w14:textId="52E0A367" w:rsidR="00F67EFB" w:rsidRPr="00F04F82" w:rsidRDefault="00D96030" w:rsidP="00D47253">
            <w:pPr>
              <w:pStyle w:val="ListParagraph"/>
              <w:ind w:left="567" w:hanging="567"/>
              <w:jc w:val="center"/>
              <w:rPr>
                <w:b/>
                <w:bCs/>
              </w:rPr>
            </w:pPr>
            <w:ins w:id="5266" w:author="Author">
              <w:r>
                <w:rPr>
                  <w:b/>
                  <w:bCs/>
                </w:rPr>
                <w:pict w14:anchorId="5EEE4B6D">
                  <v:shape id="_x0000_i1094" type="#_x0000_t75" style="width:231.5pt;height:138.5pt">
                    <v:imagedata r:id="rId88" o:title="ILL2428"/>
                  </v:shape>
                </w:pict>
              </w:r>
            </w:ins>
            <w:del w:id="5267" w:author="Author">
              <w:r>
                <w:pict w14:anchorId="37F441AF">
                  <v:shape id="Picture 63" o:spid="_x0000_s2059" type="#_x0000_t75" style="position:absolute;left:0;text-align:left;margin-left:0;margin-top:0;width:236.7pt;height:137.4pt;z-index:14;visibility:visible;mso-wrap-style:square;mso-width-percent:0;mso-height-percent:0;mso-wrap-distance-left:9pt;mso-wrap-distance-top:0;mso-wrap-distance-right:9pt;mso-wrap-distance-bottom:0;mso-position-horizontal:left;mso-position-horizontal-relative:margin;mso-position-vertical:center;mso-position-vertical-relative:margin;mso-width-percent:0;mso-height-percent:0;mso-width-relative:page;mso-height-relative:page">
                    <v:imagedata r:id="rId89" o:title=""/>
                    <w10:wrap type="square" anchorx="margin" anchory="margin"/>
                  </v:shape>
                </w:pict>
              </w:r>
            </w:del>
          </w:p>
        </w:tc>
      </w:tr>
      <w:tr w:rsidR="00F67EFB" w:rsidRPr="00F04F82" w14:paraId="0A37E866" w14:textId="77777777" w:rsidTr="00D47253">
        <w:trPr>
          <w:cantSplit/>
          <w:trHeight w:val="57"/>
        </w:trPr>
        <w:tc>
          <w:tcPr>
            <w:tcW w:w="355" w:type="pct"/>
            <w:tcBorders>
              <w:top w:val="nil"/>
              <w:bottom w:val="nil"/>
              <w:right w:val="nil"/>
            </w:tcBorders>
            <w:tcMar>
              <w:top w:w="28" w:type="dxa"/>
              <w:left w:w="57" w:type="dxa"/>
              <w:bottom w:w="28" w:type="dxa"/>
              <w:right w:w="57" w:type="dxa"/>
            </w:tcMar>
          </w:tcPr>
          <w:p w14:paraId="21E535EE" w14:textId="77777777" w:rsidR="00F67EFB" w:rsidRPr="00F04F82" w:rsidRDefault="00F67EFB" w:rsidP="009E44CB">
            <w:pPr>
              <w:numPr>
                <w:ilvl w:val="0"/>
                <w:numId w:val="46"/>
              </w:numPr>
              <w:tabs>
                <w:tab w:val="clear" w:pos="567"/>
              </w:tabs>
              <w:spacing w:line="240" w:lineRule="auto"/>
              <w:ind w:left="567" w:hanging="567"/>
            </w:pPr>
          </w:p>
        </w:tc>
        <w:tc>
          <w:tcPr>
            <w:tcW w:w="4645" w:type="pct"/>
            <w:gridSpan w:val="2"/>
            <w:tcBorders>
              <w:top w:val="nil"/>
              <w:left w:val="nil"/>
              <w:bottom w:val="nil"/>
            </w:tcBorders>
            <w:tcMar>
              <w:left w:w="0" w:type="dxa"/>
            </w:tcMar>
          </w:tcPr>
          <w:p w14:paraId="7152A2AE" w14:textId="23FA8C00" w:rsidR="00F67EFB" w:rsidRPr="00F04F82" w:rsidRDefault="00F67EFB" w:rsidP="009E44CB">
            <w:pPr>
              <w:tabs>
                <w:tab w:val="left" w:pos="1134"/>
              </w:tabs>
              <w:spacing w:line="240" w:lineRule="auto"/>
              <w:rPr>
                <w:b/>
                <w:bCs/>
              </w:rPr>
            </w:pPr>
            <w:r w:rsidRPr="00F04F82">
              <w:rPr>
                <w:b/>
                <w:bCs/>
              </w:rPr>
              <w:t>Do not</w:t>
            </w:r>
            <w:r w:rsidRPr="00F04F82">
              <w:t xml:space="preserve"> twist, bend or wiggle the yellow cap to pull </w:t>
            </w:r>
            <w:ins w:id="5268" w:author="Author">
              <w:r w:rsidR="00B56672" w:rsidRPr="00F04F82">
                <w:t xml:space="preserve">it </w:t>
              </w:r>
            </w:ins>
            <w:r w:rsidRPr="00F04F82">
              <w:t>off.</w:t>
            </w:r>
          </w:p>
        </w:tc>
      </w:tr>
      <w:tr w:rsidR="00F67EFB" w:rsidRPr="00F04F82" w14:paraId="0424B117" w14:textId="77777777" w:rsidTr="00D47253">
        <w:trPr>
          <w:cantSplit/>
          <w:trHeight w:val="57"/>
        </w:trPr>
        <w:tc>
          <w:tcPr>
            <w:tcW w:w="355" w:type="pct"/>
            <w:tcBorders>
              <w:top w:val="nil"/>
              <w:bottom w:val="nil"/>
              <w:right w:val="nil"/>
            </w:tcBorders>
            <w:tcMar>
              <w:top w:w="28" w:type="dxa"/>
              <w:left w:w="57" w:type="dxa"/>
              <w:bottom w:w="28" w:type="dxa"/>
              <w:right w:w="57" w:type="dxa"/>
            </w:tcMar>
          </w:tcPr>
          <w:p w14:paraId="1DDB35D9" w14:textId="77777777" w:rsidR="00F67EFB" w:rsidRPr="00F04F82" w:rsidRDefault="00F67EFB" w:rsidP="009E44CB">
            <w:pPr>
              <w:numPr>
                <w:ilvl w:val="0"/>
                <w:numId w:val="46"/>
              </w:numPr>
              <w:tabs>
                <w:tab w:val="clear" w:pos="567"/>
              </w:tabs>
              <w:spacing w:line="240" w:lineRule="auto"/>
              <w:ind w:left="567" w:hanging="567"/>
            </w:pPr>
          </w:p>
        </w:tc>
        <w:tc>
          <w:tcPr>
            <w:tcW w:w="4645" w:type="pct"/>
            <w:gridSpan w:val="2"/>
            <w:tcBorders>
              <w:top w:val="nil"/>
              <w:left w:val="nil"/>
              <w:bottom w:val="nil"/>
            </w:tcBorders>
            <w:tcMar>
              <w:left w:w="0" w:type="dxa"/>
            </w:tcMar>
          </w:tcPr>
          <w:p w14:paraId="7DAD806C" w14:textId="77777777" w:rsidR="00F67EFB" w:rsidRPr="00F04F82" w:rsidRDefault="00F67EFB" w:rsidP="009E44CB">
            <w:pPr>
              <w:tabs>
                <w:tab w:val="left" w:pos="1134"/>
              </w:tabs>
              <w:spacing w:line="240" w:lineRule="auto"/>
            </w:pPr>
            <w:r w:rsidRPr="00F04F82">
              <w:rPr>
                <w:b/>
                <w:bCs/>
              </w:rPr>
              <w:t>Never</w:t>
            </w:r>
            <w:r w:rsidRPr="00F04F82">
              <w:t xml:space="preserve"> put the needle cap back on. It may damage the needle.</w:t>
            </w:r>
          </w:p>
        </w:tc>
      </w:tr>
      <w:tr w:rsidR="00F67EFB" w:rsidRPr="00F04F82" w14:paraId="24197724" w14:textId="77777777" w:rsidTr="00D47253">
        <w:trPr>
          <w:cantSplit/>
          <w:trHeight w:val="57"/>
        </w:trPr>
        <w:tc>
          <w:tcPr>
            <w:tcW w:w="355" w:type="pct"/>
            <w:tcBorders>
              <w:top w:val="nil"/>
              <w:bottom w:val="nil"/>
              <w:right w:val="nil"/>
            </w:tcBorders>
            <w:tcMar>
              <w:top w:w="28" w:type="dxa"/>
              <w:left w:w="57" w:type="dxa"/>
              <w:bottom w:w="28" w:type="dxa"/>
              <w:right w:w="57" w:type="dxa"/>
            </w:tcMar>
          </w:tcPr>
          <w:p w14:paraId="0EAA6A98" w14:textId="77777777" w:rsidR="00F67EFB" w:rsidRPr="00F04F82" w:rsidRDefault="00F67EFB" w:rsidP="009E44CB">
            <w:pPr>
              <w:numPr>
                <w:ilvl w:val="0"/>
                <w:numId w:val="46"/>
              </w:numPr>
              <w:tabs>
                <w:tab w:val="clear" w:pos="567"/>
              </w:tabs>
              <w:spacing w:line="240" w:lineRule="auto"/>
              <w:ind w:left="567" w:hanging="567"/>
            </w:pPr>
          </w:p>
        </w:tc>
        <w:tc>
          <w:tcPr>
            <w:tcW w:w="4645" w:type="pct"/>
            <w:gridSpan w:val="2"/>
            <w:tcBorders>
              <w:top w:val="nil"/>
              <w:left w:val="nil"/>
              <w:bottom w:val="nil"/>
            </w:tcBorders>
            <w:tcMar>
              <w:left w:w="0" w:type="dxa"/>
            </w:tcMar>
          </w:tcPr>
          <w:p w14:paraId="3AC7F547" w14:textId="2B1B5F08" w:rsidR="00F67EFB" w:rsidRPr="00F04F82" w:rsidRDefault="00F67EFB" w:rsidP="009E44CB">
            <w:pPr>
              <w:keepNext/>
              <w:keepLines/>
              <w:tabs>
                <w:tab w:val="clear" w:pos="567"/>
              </w:tabs>
              <w:spacing w:line="240" w:lineRule="auto"/>
              <w:contextualSpacing/>
              <w:rPr>
                <w:b/>
                <w:bCs/>
              </w:rPr>
            </w:pPr>
            <w:r w:rsidRPr="00F04F82">
              <w:rPr>
                <w:b/>
                <w:bCs/>
                <w:color w:val="000000"/>
                <w:szCs w:val="22"/>
              </w:rPr>
              <w:t>Do not</w:t>
            </w:r>
            <w:r w:rsidRPr="00F04F82">
              <w:rPr>
                <w:color w:val="000000"/>
                <w:szCs w:val="22"/>
              </w:rPr>
              <w:t xml:space="preserve"> put your finger inside the </w:t>
            </w:r>
            <w:r w:rsidR="00397B8C" w:rsidRPr="00F04F82">
              <w:rPr>
                <w:color w:val="000000"/>
                <w:szCs w:val="22"/>
              </w:rPr>
              <w:t xml:space="preserve">cream-coloured </w:t>
            </w:r>
            <w:r w:rsidRPr="00F04F82">
              <w:rPr>
                <w:color w:val="000000"/>
                <w:szCs w:val="22"/>
              </w:rPr>
              <w:t>safety guard.</w:t>
            </w:r>
          </w:p>
        </w:tc>
      </w:tr>
      <w:tr w:rsidR="00F67EFB" w:rsidRPr="00F04F82" w14:paraId="2351F091" w14:textId="77777777" w:rsidTr="00D47253">
        <w:trPr>
          <w:cantSplit/>
          <w:trHeight w:val="57"/>
        </w:trPr>
        <w:tc>
          <w:tcPr>
            <w:tcW w:w="355" w:type="pct"/>
            <w:tcBorders>
              <w:top w:val="nil"/>
              <w:bottom w:val="single" w:sz="4" w:space="0" w:color="auto"/>
              <w:right w:val="nil"/>
            </w:tcBorders>
            <w:tcMar>
              <w:top w:w="28" w:type="dxa"/>
              <w:left w:w="57" w:type="dxa"/>
              <w:bottom w:w="28" w:type="dxa"/>
              <w:right w:w="57" w:type="dxa"/>
            </w:tcMar>
          </w:tcPr>
          <w:p w14:paraId="7FFC6B74" w14:textId="77777777" w:rsidR="00F67EFB" w:rsidRPr="00F04F82" w:rsidRDefault="00F67EFB" w:rsidP="009E44CB">
            <w:pPr>
              <w:numPr>
                <w:ilvl w:val="0"/>
                <w:numId w:val="46"/>
              </w:numPr>
              <w:tabs>
                <w:tab w:val="clear" w:pos="567"/>
              </w:tabs>
              <w:spacing w:line="240" w:lineRule="auto"/>
              <w:ind w:left="567" w:hanging="567"/>
            </w:pPr>
          </w:p>
        </w:tc>
        <w:tc>
          <w:tcPr>
            <w:tcW w:w="4645" w:type="pct"/>
            <w:gridSpan w:val="2"/>
            <w:tcBorders>
              <w:top w:val="nil"/>
              <w:left w:val="nil"/>
              <w:bottom w:val="single" w:sz="4" w:space="0" w:color="auto"/>
            </w:tcBorders>
            <w:tcMar>
              <w:left w:w="0" w:type="dxa"/>
            </w:tcMar>
          </w:tcPr>
          <w:p w14:paraId="11B33702" w14:textId="3D68B2C8" w:rsidR="00F67EFB" w:rsidRPr="00F04F82" w:rsidRDefault="00F67EFB" w:rsidP="009E44CB">
            <w:pPr>
              <w:keepNext/>
              <w:keepLines/>
              <w:tabs>
                <w:tab w:val="clear" w:pos="567"/>
              </w:tabs>
              <w:spacing w:line="240" w:lineRule="auto"/>
              <w:contextualSpacing/>
              <w:rPr>
                <w:b/>
                <w:bCs/>
                <w:color w:val="000000"/>
                <w:szCs w:val="22"/>
              </w:rPr>
            </w:pPr>
            <w:r w:rsidRPr="00F04F82">
              <w:rPr>
                <w:color w:val="000000"/>
                <w:szCs w:val="22"/>
              </w:rPr>
              <w:t xml:space="preserve">It is normal to see a drop of medicine at the end of the needle or </w:t>
            </w:r>
            <w:r w:rsidR="00397B8C" w:rsidRPr="00F04F82">
              <w:rPr>
                <w:color w:val="000000"/>
                <w:szCs w:val="22"/>
              </w:rPr>
              <w:t>cream-coloured</w:t>
            </w:r>
            <w:r w:rsidRPr="00F04F82">
              <w:rPr>
                <w:color w:val="000000"/>
                <w:szCs w:val="22"/>
              </w:rPr>
              <w:t xml:space="preserve"> safety guard.</w:t>
            </w:r>
          </w:p>
        </w:tc>
      </w:tr>
    </w:tbl>
    <w:p w14:paraId="19869DEE" w14:textId="77777777" w:rsidR="00F67EFB" w:rsidRPr="00F04F82" w:rsidRDefault="00F67EFB" w:rsidP="009E44CB">
      <w:pPr>
        <w:tabs>
          <w:tab w:val="left" w:pos="1134"/>
        </w:tabs>
        <w:spacing w:line="240" w:lineRule="auto"/>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5269" w:author="Author">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614"/>
        <w:gridCol w:w="82"/>
        <w:gridCol w:w="2692"/>
        <w:gridCol w:w="5670"/>
        <w:tblGridChange w:id="5270">
          <w:tblGrid>
            <w:gridCol w:w="232"/>
            <w:gridCol w:w="382"/>
            <w:gridCol w:w="82"/>
            <w:gridCol w:w="149"/>
            <w:gridCol w:w="2543"/>
            <w:gridCol w:w="5670"/>
            <w:gridCol w:w="232"/>
          </w:tblGrid>
        </w:tblGridChange>
      </w:tblGrid>
      <w:tr w:rsidR="004374A9" w:rsidRPr="00F04F82" w14:paraId="259CD9C1" w14:textId="77777777" w:rsidTr="00D55B59">
        <w:trPr>
          <w:cantSplit/>
          <w:trHeight w:val="510"/>
          <w:trPrChange w:id="5271" w:author="Author">
            <w:trPr>
              <w:gridAfter w:val="0"/>
              <w:cantSplit/>
              <w:trHeight w:val="825"/>
            </w:trPr>
          </w:trPrChange>
        </w:trPr>
        <w:tc>
          <w:tcPr>
            <w:tcW w:w="339" w:type="pct"/>
            <w:tcMar>
              <w:top w:w="28" w:type="dxa"/>
              <w:left w:w="57" w:type="dxa"/>
              <w:bottom w:w="28" w:type="dxa"/>
              <w:right w:w="57" w:type="dxa"/>
            </w:tcMar>
            <w:tcPrChange w:id="5272" w:author="Author">
              <w:tcPr>
                <w:tcW w:w="339" w:type="pct"/>
                <w:gridSpan w:val="2"/>
                <w:tcMar>
                  <w:top w:w="28" w:type="dxa"/>
                  <w:left w:w="57" w:type="dxa"/>
                  <w:bottom w:w="28" w:type="dxa"/>
                  <w:right w:w="57" w:type="dxa"/>
                </w:tcMar>
              </w:tcPr>
            </w:tcPrChange>
          </w:tcPr>
          <w:p w14:paraId="5C65703A" w14:textId="77777777" w:rsidR="004374A9" w:rsidRPr="00F04F82" w:rsidRDefault="004374A9" w:rsidP="00B61D9D">
            <w:pPr>
              <w:keepNext/>
              <w:spacing w:line="240" w:lineRule="auto"/>
              <w:rPr>
                <w:b/>
                <w:bCs/>
                <w:szCs w:val="22"/>
              </w:rPr>
            </w:pPr>
            <w:r w:rsidRPr="00F04F82">
              <w:rPr>
                <w:b/>
                <w:bCs/>
                <w:szCs w:val="22"/>
              </w:rPr>
              <w:t>4b</w:t>
            </w:r>
          </w:p>
        </w:tc>
        <w:tc>
          <w:tcPr>
            <w:tcW w:w="4661" w:type="pct"/>
            <w:gridSpan w:val="3"/>
            <w:tcMar>
              <w:top w:w="28" w:type="dxa"/>
              <w:left w:w="57" w:type="dxa"/>
              <w:bottom w:w="28" w:type="dxa"/>
              <w:right w:w="57" w:type="dxa"/>
            </w:tcMar>
            <w:tcPrChange w:id="5273" w:author="Author">
              <w:tcPr>
                <w:tcW w:w="4661" w:type="pct"/>
                <w:gridSpan w:val="4"/>
                <w:tcMar>
                  <w:top w:w="28" w:type="dxa"/>
                  <w:left w:w="57" w:type="dxa"/>
                  <w:bottom w:w="28" w:type="dxa"/>
                  <w:right w:w="57" w:type="dxa"/>
                </w:tcMar>
              </w:tcPr>
            </w:tcPrChange>
          </w:tcPr>
          <w:p w14:paraId="0E944A2D" w14:textId="6712E859" w:rsidR="004374A9" w:rsidRPr="00F04F82" w:rsidDel="004374A9" w:rsidRDefault="004374A9" w:rsidP="00590677">
            <w:pPr>
              <w:pStyle w:val="ListParagraph"/>
              <w:keepNext/>
              <w:ind w:left="0"/>
              <w:rPr>
                <w:del w:id="5274" w:author="Author"/>
                <w:sz w:val="22"/>
                <w:szCs w:val="22"/>
              </w:rPr>
            </w:pPr>
            <w:r w:rsidRPr="00F04F82">
              <w:rPr>
                <w:b/>
                <w:bCs/>
                <w:sz w:val="22"/>
                <w:szCs w:val="22"/>
              </w:rPr>
              <w:t>Pinch the skin to create a firm surface at the injection site. Place the cream-coloured safety guard straight against the</w:t>
            </w:r>
            <w:ins w:id="5275" w:author="Author">
              <w:r w:rsidRPr="00F04F82">
                <w:rPr>
                  <w:b/>
                  <w:bCs/>
                  <w:sz w:val="22"/>
                  <w:szCs w:val="22"/>
                </w:rPr>
                <w:t xml:space="preserve"> pinched</w:t>
              </w:r>
            </w:ins>
            <w:r w:rsidRPr="00F04F82">
              <w:rPr>
                <w:b/>
                <w:bCs/>
                <w:sz w:val="22"/>
                <w:szCs w:val="22"/>
              </w:rPr>
              <w:t xml:space="preserve"> skin.  </w:t>
            </w:r>
          </w:p>
          <w:p w14:paraId="3A8F46D3" w14:textId="763852D6" w:rsidR="004374A9" w:rsidRPr="00F04F82" w:rsidRDefault="004374A9" w:rsidP="00D55B59">
            <w:pPr>
              <w:keepNext/>
              <w:tabs>
                <w:tab w:val="left" w:pos="1134"/>
              </w:tabs>
              <w:spacing w:line="240" w:lineRule="auto"/>
              <w:rPr>
                <w:szCs w:val="22"/>
              </w:rPr>
              <w:pPrChange w:id="5276" w:author="Author">
                <w:pPr>
                  <w:keepNext/>
                  <w:tabs>
                    <w:tab w:val="left" w:pos="1134"/>
                  </w:tabs>
                  <w:spacing w:line="240" w:lineRule="auto"/>
                  <w:jc w:val="center"/>
                </w:pPr>
              </w:pPrChange>
            </w:pPr>
            <w:del w:id="5277" w:author="Author">
              <w:r w:rsidRPr="00F04F82" w:rsidDel="004374A9">
                <w:rPr>
                  <w:b/>
                  <w:bCs/>
                </w:rPr>
                <w:delText>PINCH</w:delText>
              </w:r>
            </w:del>
          </w:p>
        </w:tc>
      </w:tr>
      <w:tr w:rsidR="00744810" w:rsidRPr="00F04F82" w14:paraId="6E1A28D5" w14:textId="77777777" w:rsidTr="00AF44FB">
        <w:trPr>
          <w:cantSplit/>
          <w:trHeight w:val="57"/>
        </w:trPr>
        <w:tc>
          <w:tcPr>
            <w:tcW w:w="1870" w:type="pct"/>
            <w:gridSpan w:val="3"/>
            <w:tcBorders>
              <w:bottom w:val="single" w:sz="4" w:space="0" w:color="auto"/>
              <w:right w:val="nil"/>
            </w:tcBorders>
            <w:tcMar>
              <w:top w:w="28" w:type="dxa"/>
              <w:left w:w="57" w:type="dxa"/>
              <w:bottom w:w="28" w:type="dxa"/>
              <w:right w:w="57" w:type="dxa"/>
            </w:tcMar>
          </w:tcPr>
          <w:p w14:paraId="416C837A" w14:textId="77777777" w:rsidR="00744810" w:rsidRPr="00F04F82" w:rsidRDefault="00744810" w:rsidP="00744810">
            <w:pPr>
              <w:keepNext/>
              <w:tabs>
                <w:tab w:val="left" w:pos="1134"/>
              </w:tabs>
              <w:spacing w:line="240" w:lineRule="auto"/>
              <w:jc w:val="right"/>
            </w:pPr>
          </w:p>
          <w:p w14:paraId="082246A7" w14:textId="77777777" w:rsidR="00744810" w:rsidRPr="00F04F82" w:rsidRDefault="00744810" w:rsidP="00744810">
            <w:pPr>
              <w:keepNext/>
              <w:tabs>
                <w:tab w:val="left" w:pos="1134"/>
              </w:tabs>
              <w:spacing w:line="240" w:lineRule="auto"/>
              <w:jc w:val="right"/>
            </w:pPr>
          </w:p>
          <w:p w14:paraId="3DA3959D" w14:textId="77777777" w:rsidR="00744810" w:rsidRPr="00F04F82" w:rsidRDefault="00744810" w:rsidP="00744810">
            <w:pPr>
              <w:keepNext/>
              <w:tabs>
                <w:tab w:val="left" w:pos="1134"/>
              </w:tabs>
              <w:spacing w:line="240" w:lineRule="auto"/>
              <w:jc w:val="right"/>
            </w:pPr>
          </w:p>
          <w:p w14:paraId="7B5903A7" w14:textId="77777777" w:rsidR="00F930B2" w:rsidRPr="00F04F82" w:rsidRDefault="00F930B2" w:rsidP="00F930B2">
            <w:pPr>
              <w:keepNext/>
              <w:tabs>
                <w:tab w:val="left" w:pos="1134"/>
              </w:tabs>
              <w:spacing w:line="240" w:lineRule="auto"/>
              <w:jc w:val="right"/>
              <w:rPr>
                <w:ins w:id="5278" w:author="Author"/>
              </w:rPr>
            </w:pPr>
            <w:ins w:id="5279" w:author="Author">
              <w:r w:rsidRPr="00F04F82">
                <w:t xml:space="preserve">PINCH skin at </w:t>
              </w:r>
            </w:ins>
          </w:p>
          <w:p w14:paraId="077F88F8" w14:textId="20EE1CC0" w:rsidR="00744810" w:rsidRPr="00F04F82" w:rsidRDefault="00F930B2" w:rsidP="00F930B2">
            <w:pPr>
              <w:keepNext/>
              <w:tabs>
                <w:tab w:val="left" w:pos="1134"/>
              </w:tabs>
              <w:spacing w:line="240" w:lineRule="auto"/>
              <w:jc w:val="right"/>
            </w:pPr>
            <w:ins w:id="5280" w:author="Author">
              <w:r w:rsidRPr="00F04F82">
                <w:t>injection site</w:t>
              </w:r>
            </w:ins>
          </w:p>
        </w:tc>
        <w:tc>
          <w:tcPr>
            <w:tcW w:w="3130" w:type="pct"/>
            <w:tcBorders>
              <w:left w:val="nil"/>
              <w:bottom w:val="single" w:sz="4" w:space="0" w:color="auto"/>
            </w:tcBorders>
          </w:tcPr>
          <w:p w14:paraId="577CE997" w14:textId="79EE570D" w:rsidR="00744810" w:rsidRPr="00F04F82" w:rsidRDefault="00D96030" w:rsidP="00744810">
            <w:pPr>
              <w:keepNext/>
              <w:tabs>
                <w:tab w:val="left" w:pos="1134"/>
              </w:tabs>
              <w:spacing w:line="240" w:lineRule="auto"/>
              <w:rPr>
                <w:b/>
                <w:bCs/>
              </w:rPr>
            </w:pPr>
            <w:del w:id="5281" w:author="Author">
              <w:r>
                <w:rPr>
                  <w:b/>
                </w:rPr>
                <w:pict w14:anchorId="4FE13385">
                  <v:shape id="_x0000_i1095" type="#_x0000_t75" style="width:252.5pt;height:149.5pt;visibility:visible;mso-wrap-style:square">
                    <v:imagedata r:id="rId90" o:title=""/>
                  </v:shape>
                </w:pict>
              </w:r>
            </w:del>
            <w:ins w:id="5282" w:author="Author">
              <w:r>
                <w:rPr>
                  <w:b/>
                </w:rPr>
                <w:pict w14:anchorId="0D8266C3">
                  <v:shape id="_x0000_i1096" type="#_x0000_t75" style="width:236.5pt;height:2in">
                    <v:imagedata r:id="rId91" o:title="ILL2427"/>
                  </v:shape>
                </w:pict>
              </w:r>
            </w:ins>
          </w:p>
        </w:tc>
      </w:tr>
      <w:tr w:rsidR="00744810" w:rsidRPr="00F04F82" w14:paraId="6F8722E3" w14:textId="77777777" w:rsidTr="00D55B59">
        <w:trPr>
          <w:cantSplit/>
          <w:trHeight w:val="57"/>
          <w:trPrChange w:id="5283" w:author="Author">
            <w:trPr>
              <w:gridBefore w:val="1"/>
              <w:cantSplit/>
              <w:trHeight w:val="57"/>
            </w:trPr>
          </w:trPrChange>
        </w:trPr>
        <w:tc>
          <w:tcPr>
            <w:tcW w:w="339" w:type="pct"/>
            <w:tcBorders>
              <w:top w:val="nil"/>
              <w:bottom w:val="nil"/>
              <w:right w:val="nil"/>
            </w:tcBorders>
            <w:tcMar>
              <w:top w:w="28" w:type="dxa"/>
              <w:left w:w="57" w:type="dxa"/>
              <w:bottom w:w="28" w:type="dxa"/>
              <w:right w:w="57" w:type="dxa"/>
            </w:tcMar>
            <w:tcPrChange w:id="5284" w:author="Author">
              <w:tcPr>
                <w:tcW w:w="338" w:type="pct"/>
                <w:gridSpan w:val="3"/>
                <w:tcBorders>
                  <w:top w:val="nil"/>
                  <w:bottom w:val="nil"/>
                  <w:right w:val="nil"/>
                </w:tcBorders>
                <w:tcMar>
                  <w:top w:w="28" w:type="dxa"/>
                  <w:left w:w="57" w:type="dxa"/>
                  <w:bottom w:w="28" w:type="dxa"/>
                  <w:right w:w="57" w:type="dxa"/>
                </w:tcMar>
              </w:tcPr>
            </w:tcPrChange>
          </w:tcPr>
          <w:p w14:paraId="7C9D718E" w14:textId="77777777" w:rsidR="00744810" w:rsidRPr="00F04F82" w:rsidRDefault="00744810" w:rsidP="00744810">
            <w:pPr>
              <w:numPr>
                <w:ilvl w:val="0"/>
                <w:numId w:val="46"/>
              </w:numPr>
              <w:tabs>
                <w:tab w:val="clear" w:pos="567"/>
              </w:tabs>
              <w:spacing w:line="240" w:lineRule="auto"/>
              <w:ind w:left="567" w:hanging="567"/>
            </w:pPr>
          </w:p>
        </w:tc>
        <w:tc>
          <w:tcPr>
            <w:tcW w:w="4661" w:type="pct"/>
            <w:gridSpan w:val="3"/>
            <w:tcBorders>
              <w:top w:val="nil"/>
              <w:left w:val="nil"/>
              <w:bottom w:val="nil"/>
            </w:tcBorders>
            <w:tcMar>
              <w:left w:w="0" w:type="dxa"/>
            </w:tcMar>
            <w:tcPrChange w:id="5285" w:author="Author">
              <w:tcPr>
                <w:tcW w:w="4662" w:type="pct"/>
                <w:gridSpan w:val="3"/>
                <w:tcBorders>
                  <w:top w:val="nil"/>
                  <w:left w:val="nil"/>
                  <w:bottom w:val="nil"/>
                </w:tcBorders>
                <w:tcMar>
                  <w:left w:w="0" w:type="dxa"/>
                </w:tcMar>
              </w:tcPr>
            </w:tcPrChange>
          </w:tcPr>
          <w:p w14:paraId="3F1A504B" w14:textId="2E26BE7B" w:rsidR="00744810" w:rsidRPr="00F04F82" w:rsidRDefault="00744810" w:rsidP="00744810">
            <w:pPr>
              <w:tabs>
                <w:tab w:val="left" w:pos="1134"/>
              </w:tabs>
              <w:spacing w:line="240" w:lineRule="auto"/>
            </w:pPr>
            <w:r w:rsidRPr="00F04F82">
              <w:t xml:space="preserve">Keep the skin </w:t>
            </w:r>
            <w:r w:rsidRPr="00F04F82">
              <w:rPr>
                <w:b/>
                <w:bCs/>
              </w:rPr>
              <w:t>pinched</w:t>
            </w:r>
            <w:r w:rsidRPr="00F04F82">
              <w:t xml:space="preserve"> until the injection is finished.</w:t>
            </w:r>
          </w:p>
        </w:tc>
      </w:tr>
      <w:tr w:rsidR="00744810" w:rsidRPr="00F04F82" w14:paraId="20D0636B" w14:textId="77777777" w:rsidTr="00D55B59">
        <w:trPr>
          <w:cantSplit/>
          <w:trHeight w:val="57"/>
          <w:trPrChange w:id="5286" w:author="Author">
            <w:trPr>
              <w:gridBefore w:val="1"/>
              <w:cantSplit/>
              <w:trHeight w:val="57"/>
            </w:trPr>
          </w:trPrChange>
        </w:trPr>
        <w:tc>
          <w:tcPr>
            <w:tcW w:w="339" w:type="pct"/>
            <w:tcBorders>
              <w:top w:val="nil"/>
              <w:bottom w:val="nil"/>
              <w:right w:val="nil"/>
            </w:tcBorders>
            <w:tcMar>
              <w:top w:w="28" w:type="dxa"/>
              <w:left w:w="57" w:type="dxa"/>
              <w:bottom w:w="28" w:type="dxa"/>
              <w:right w:w="57" w:type="dxa"/>
            </w:tcMar>
            <w:tcPrChange w:id="5287" w:author="Author">
              <w:tcPr>
                <w:tcW w:w="338" w:type="pct"/>
                <w:gridSpan w:val="3"/>
                <w:tcBorders>
                  <w:top w:val="nil"/>
                  <w:bottom w:val="single" w:sz="4" w:space="0" w:color="auto"/>
                  <w:right w:val="nil"/>
                </w:tcBorders>
                <w:tcMar>
                  <w:top w:w="28" w:type="dxa"/>
                  <w:left w:w="57" w:type="dxa"/>
                  <w:bottom w:w="28" w:type="dxa"/>
                  <w:right w:w="57" w:type="dxa"/>
                </w:tcMar>
              </w:tcPr>
            </w:tcPrChange>
          </w:tcPr>
          <w:p w14:paraId="2E524FE8" w14:textId="77777777" w:rsidR="00744810" w:rsidRPr="00F04F82" w:rsidRDefault="00744810" w:rsidP="00744810">
            <w:pPr>
              <w:numPr>
                <w:ilvl w:val="0"/>
                <w:numId w:val="46"/>
              </w:numPr>
              <w:tabs>
                <w:tab w:val="clear" w:pos="567"/>
              </w:tabs>
              <w:spacing w:line="240" w:lineRule="auto"/>
              <w:ind w:left="567" w:hanging="567"/>
            </w:pPr>
          </w:p>
        </w:tc>
        <w:tc>
          <w:tcPr>
            <w:tcW w:w="4661" w:type="pct"/>
            <w:gridSpan w:val="3"/>
            <w:tcBorders>
              <w:top w:val="nil"/>
              <w:left w:val="nil"/>
              <w:bottom w:val="nil"/>
            </w:tcBorders>
            <w:tcMar>
              <w:left w:w="0" w:type="dxa"/>
            </w:tcMar>
            <w:tcPrChange w:id="5288" w:author="Author">
              <w:tcPr>
                <w:tcW w:w="4662" w:type="pct"/>
                <w:gridSpan w:val="3"/>
                <w:tcBorders>
                  <w:top w:val="nil"/>
                  <w:left w:val="nil"/>
                  <w:bottom w:val="single" w:sz="4" w:space="0" w:color="auto"/>
                </w:tcBorders>
                <w:tcMar>
                  <w:left w:w="0" w:type="dxa"/>
                </w:tcMar>
              </w:tcPr>
            </w:tcPrChange>
          </w:tcPr>
          <w:p w14:paraId="26D0516C" w14:textId="7240106C" w:rsidR="00744810" w:rsidRPr="00F04F82" w:rsidRDefault="00744810" w:rsidP="00744810">
            <w:pPr>
              <w:tabs>
                <w:tab w:val="left" w:pos="1134"/>
              </w:tabs>
              <w:spacing w:line="240" w:lineRule="auto"/>
            </w:pPr>
            <w:r w:rsidRPr="00F04F82">
              <w:t>Make sure you can see the window.</w:t>
            </w:r>
          </w:p>
        </w:tc>
      </w:tr>
      <w:tr w:rsidR="00744810" w:rsidRPr="00F04F82" w14:paraId="4E502D32" w14:textId="77777777" w:rsidTr="00D55B59">
        <w:trPr>
          <w:cantSplit/>
          <w:trHeight w:val="57"/>
          <w:trPrChange w:id="5289" w:author="Author">
            <w:trPr>
              <w:gridBefore w:val="1"/>
              <w:cantSplit/>
              <w:trHeight w:val="57"/>
            </w:trPr>
          </w:trPrChange>
        </w:trPr>
        <w:tc>
          <w:tcPr>
            <w:tcW w:w="339" w:type="pct"/>
            <w:tcBorders>
              <w:top w:val="nil"/>
              <w:bottom w:val="single" w:sz="4" w:space="0" w:color="auto"/>
              <w:right w:val="nil"/>
            </w:tcBorders>
            <w:tcMar>
              <w:top w:w="28" w:type="dxa"/>
              <w:left w:w="57" w:type="dxa"/>
              <w:bottom w:w="28" w:type="dxa"/>
              <w:right w:w="57" w:type="dxa"/>
            </w:tcMar>
            <w:tcPrChange w:id="5290" w:author="Author">
              <w:tcPr>
                <w:tcW w:w="338" w:type="pct"/>
                <w:gridSpan w:val="3"/>
                <w:tcBorders>
                  <w:top w:val="nil"/>
                  <w:bottom w:val="single" w:sz="4" w:space="0" w:color="auto"/>
                  <w:right w:val="nil"/>
                </w:tcBorders>
                <w:tcMar>
                  <w:top w:w="28" w:type="dxa"/>
                  <w:left w:w="57" w:type="dxa"/>
                  <w:bottom w:w="28" w:type="dxa"/>
                  <w:right w:w="57" w:type="dxa"/>
                </w:tcMar>
              </w:tcPr>
            </w:tcPrChange>
          </w:tcPr>
          <w:p w14:paraId="4D632D81" w14:textId="77777777" w:rsidR="00744810" w:rsidRPr="00F04F82" w:rsidRDefault="00744810" w:rsidP="00744810">
            <w:pPr>
              <w:numPr>
                <w:ilvl w:val="0"/>
                <w:numId w:val="46"/>
              </w:numPr>
              <w:tabs>
                <w:tab w:val="clear" w:pos="567"/>
              </w:tabs>
              <w:spacing w:line="240" w:lineRule="auto"/>
              <w:ind w:left="567" w:hanging="567"/>
            </w:pPr>
          </w:p>
        </w:tc>
        <w:tc>
          <w:tcPr>
            <w:tcW w:w="4661" w:type="pct"/>
            <w:gridSpan w:val="3"/>
            <w:tcBorders>
              <w:top w:val="nil"/>
              <w:left w:val="nil"/>
              <w:bottom w:val="single" w:sz="4" w:space="0" w:color="auto"/>
            </w:tcBorders>
            <w:tcMar>
              <w:left w:w="0" w:type="dxa"/>
            </w:tcMar>
            <w:tcPrChange w:id="5291" w:author="Author">
              <w:tcPr>
                <w:tcW w:w="4662" w:type="pct"/>
                <w:gridSpan w:val="3"/>
                <w:tcBorders>
                  <w:top w:val="nil"/>
                  <w:left w:val="nil"/>
                  <w:bottom w:val="single" w:sz="4" w:space="0" w:color="auto"/>
                </w:tcBorders>
                <w:tcMar>
                  <w:left w:w="0" w:type="dxa"/>
                </w:tcMar>
              </w:tcPr>
            </w:tcPrChange>
          </w:tcPr>
          <w:p w14:paraId="70D59F61" w14:textId="7D89D0A0" w:rsidR="00744810" w:rsidRPr="00F04F82" w:rsidRDefault="00744810" w:rsidP="00744810">
            <w:pPr>
              <w:tabs>
                <w:tab w:val="left" w:pos="1134"/>
              </w:tabs>
              <w:spacing w:line="240" w:lineRule="auto"/>
            </w:pPr>
            <w:r w:rsidRPr="00F04F82">
              <w:t xml:space="preserve">Make sure the </w:t>
            </w:r>
            <w:del w:id="5292" w:author="Author">
              <w:r w:rsidRPr="00F04F82" w:rsidDel="00BA7F1B">
                <w:delText xml:space="preserve">autoinjector </w:delText>
              </w:r>
            </w:del>
            <w:ins w:id="5293" w:author="Author">
              <w:r w:rsidRPr="00F04F82">
                <w:t xml:space="preserve">pre-filled pen </w:t>
              </w:r>
            </w:ins>
            <w:r w:rsidRPr="00F04F82">
              <w:t>is positioned straight on the injection site (at a 90 degree angle).</w:t>
            </w:r>
          </w:p>
        </w:tc>
      </w:tr>
      <w:tr w:rsidR="00744810" w:rsidRPr="00F04F82" w14:paraId="6B74DE54" w14:textId="77777777" w:rsidTr="00B61D9D">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7582C8C6" w14:textId="77777777" w:rsidR="00744810" w:rsidRPr="00F04F82" w:rsidRDefault="00744810" w:rsidP="00744810">
            <w:pPr>
              <w:keepNext/>
              <w:tabs>
                <w:tab w:val="left" w:pos="1134"/>
              </w:tabs>
              <w:spacing w:line="240" w:lineRule="auto"/>
              <w:jc w:val="center"/>
              <w:rPr>
                <w:b/>
                <w:bCs/>
              </w:rPr>
            </w:pPr>
          </w:p>
          <w:p w14:paraId="355D4A05" w14:textId="77777777" w:rsidR="00744810" w:rsidRPr="00F04F82" w:rsidRDefault="00744810" w:rsidP="00744810">
            <w:pPr>
              <w:keepNext/>
              <w:tabs>
                <w:tab w:val="left" w:pos="1134"/>
              </w:tabs>
              <w:spacing w:line="240" w:lineRule="auto"/>
              <w:jc w:val="center"/>
              <w:rPr>
                <w:b/>
                <w:bCs/>
              </w:rPr>
            </w:pPr>
            <w:r w:rsidRPr="00F04F82">
              <w:rPr>
                <w:b/>
                <w:bCs/>
              </w:rPr>
              <w:t>PUSH</w:t>
            </w:r>
          </w:p>
          <w:p w14:paraId="56ED5F7B" w14:textId="77777777" w:rsidR="00744810" w:rsidRPr="00F04F82" w:rsidRDefault="00744810" w:rsidP="00744810">
            <w:pPr>
              <w:keepNext/>
              <w:tabs>
                <w:tab w:val="left" w:pos="1134"/>
              </w:tabs>
              <w:spacing w:line="240" w:lineRule="auto"/>
              <w:jc w:val="center"/>
            </w:pPr>
            <w:r w:rsidRPr="00F04F82">
              <w:rPr>
                <w:b/>
                <w:bCs/>
              </w:rPr>
              <w:t>and hold against skin</w:t>
            </w:r>
          </w:p>
        </w:tc>
      </w:tr>
      <w:tr w:rsidR="00744810" w:rsidRPr="00F04F82" w14:paraId="04CE19B8" w14:textId="77777777" w:rsidTr="00B61D9D">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7D8224E3" w14:textId="2019C691" w:rsidR="00744810" w:rsidRPr="00F04F82" w:rsidRDefault="00D96030" w:rsidP="00744810">
            <w:pPr>
              <w:keepNext/>
              <w:tabs>
                <w:tab w:val="left" w:pos="1134"/>
              </w:tabs>
              <w:spacing w:line="240" w:lineRule="auto"/>
              <w:jc w:val="center"/>
            </w:pPr>
            <w:r>
              <w:pict w14:anchorId="62C5D243">
                <v:shape id="_x0000_i1097" type="#_x0000_t75" style="width:252.5pt;height:149.5pt;visibility:visible;mso-wrap-style:square">
                  <v:imagedata r:id="rId92" o:title=""/>
                </v:shape>
              </w:pict>
            </w:r>
          </w:p>
        </w:tc>
      </w:tr>
      <w:tr w:rsidR="00744810" w:rsidRPr="00F04F82" w14:paraId="66DD1BAB" w14:textId="77777777" w:rsidTr="00B61D9D">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71BD680E" w14:textId="77777777" w:rsidR="00744810" w:rsidRPr="00F04F82" w:rsidRDefault="00744810" w:rsidP="00744810">
            <w:pPr>
              <w:tabs>
                <w:tab w:val="left" w:pos="1134"/>
              </w:tabs>
              <w:spacing w:line="240" w:lineRule="auto"/>
              <w:rPr>
                <w:b/>
                <w:bCs/>
              </w:rPr>
            </w:pPr>
            <w:r w:rsidRPr="00F04F82">
              <w:rPr>
                <w:b/>
                <w:bCs/>
              </w:rPr>
              <w:t>4c</w:t>
            </w:r>
          </w:p>
        </w:tc>
        <w:tc>
          <w:tcPr>
            <w:tcW w:w="4616" w:type="pct"/>
            <w:gridSpan w:val="2"/>
            <w:tcBorders>
              <w:top w:val="single" w:sz="4" w:space="0" w:color="auto"/>
              <w:bottom w:val="single" w:sz="4" w:space="0" w:color="auto"/>
            </w:tcBorders>
            <w:vAlign w:val="center"/>
          </w:tcPr>
          <w:p w14:paraId="0A4DD47B" w14:textId="6CE0B8B9" w:rsidR="00744810" w:rsidRPr="00F04F82" w:rsidRDefault="00744810" w:rsidP="00744810">
            <w:pPr>
              <w:tabs>
                <w:tab w:val="left" w:pos="1134"/>
              </w:tabs>
              <w:spacing w:line="240" w:lineRule="auto"/>
            </w:pPr>
            <w:r w:rsidRPr="00F04F82">
              <w:rPr>
                <w:b/>
                <w:bCs/>
                <w:szCs w:val="22"/>
              </w:rPr>
              <w:t>Firmly push</w:t>
            </w:r>
            <w:ins w:id="5294" w:author="Author">
              <w:r w:rsidRPr="00F04F82">
                <w:rPr>
                  <w:b/>
                  <w:bCs/>
                  <w:szCs w:val="22"/>
                </w:rPr>
                <w:t xml:space="preserve"> the pre-filled pen</w:t>
              </w:r>
            </w:ins>
            <w:r w:rsidRPr="00F04F82">
              <w:rPr>
                <w:b/>
                <w:bCs/>
                <w:szCs w:val="22"/>
              </w:rPr>
              <w:t xml:space="preserve"> down until the cream-coloured safety guard stops moving. Hold </w:t>
            </w:r>
            <w:ins w:id="5295" w:author="Author">
              <w:r w:rsidRPr="00F04F82">
                <w:rPr>
                  <w:b/>
                  <w:bCs/>
                  <w:szCs w:val="22"/>
                </w:rPr>
                <w:t xml:space="preserve">the pre-filled pen </w:t>
              </w:r>
            </w:ins>
            <w:r w:rsidRPr="00F04F82">
              <w:rPr>
                <w:b/>
                <w:bCs/>
                <w:szCs w:val="22"/>
              </w:rPr>
              <w:t>down; do not lift.</w:t>
            </w:r>
          </w:p>
        </w:tc>
      </w:tr>
      <w:tr w:rsidR="00744810" w:rsidRPr="00F04F82" w14:paraId="305E2604" w14:textId="77777777" w:rsidTr="00B61D9D">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4B7B56AC" w14:textId="77777777" w:rsidR="00744810" w:rsidRPr="00F04F82" w:rsidRDefault="00744810" w:rsidP="00744810">
            <w:pPr>
              <w:numPr>
                <w:ilvl w:val="0"/>
                <w:numId w:val="46"/>
              </w:numPr>
              <w:tabs>
                <w:tab w:val="clear" w:pos="567"/>
                <w:tab w:val="left" w:pos="578"/>
              </w:tabs>
              <w:spacing w:line="240" w:lineRule="auto"/>
              <w:ind w:left="642" w:hanging="642"/>
            </w:pPr>
          </w:p>
        </w:tc>
        <w:tc>
          <w:tcPr>
            <w:tcW w:w="4616" w:type="pct"/>
            <w:gridSpan w:val="2"/>
            <w:tcBorders>
              <w:top w:val="single" w:sz="4" w:space="0" w:color="auto"/>
              <w:bottom w:val="single" w:sz="4" w:space="0" w:color="auto"/>
            </w:tcBorders>
            <w:vAlign w:val="center"/>
          </w:tcPr>
          <w:p w14:paraId="55B8DF5F" w14:textId="13657C1F" w:rsidR="00744810" w:rsidRPr="00F04F82" w:rsidRDefault="00744810" w:rsidP="00744810">
            <w:pPr>
              <w:tabs>
                <w:tab w:val="left" w:pos="1134"/>
              </w:tabs>
              <w:spacing w:line="240" w:lineRule="auto"/>
            </w:pPr>
            <w:r w:rsidRPr="00F04F82">
              <w:rPr>
                <w:szCs w:val="22"/>
              </w:rPr>
              <w:t>The cream-coloured safety guard pushes in and unlocks the light blue start button</w:t>
            </w:r>
            <w:ins w:id="5296" w:author="Author">
              <w:r w:rsidRPr="00F04F82">
                <w:rPr>
                  <w:szCs w:val="22"/>
                </w:rPr>
                <w:t>.</w:t>
              </w:r>
            </w:ins>
          </w:p>
        </w:tc>
      </w:tr>
    </w:tbl>
    <w:p w14:paraId="26E52D83" w14:textId="77777777" w:rsidR="00F67EFB" w:rsidRPr="00F04F82" w:rsidRDefault="00F67EFB" w:rsidP="00F67EFB">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95"/>
        <w:gridCol w:w="8374"/>
      </w:tblGrid>
      <w:tr w:rsidR="00F67EFB" w:rsidRPr="00F04F82" w14:paraId="21C86489" w14:textId="77777777" w:rsidTr="00D47253">
        <w:trPr>
          <w:cantSplit/>
          <w:trHeight w:val="57"/>
        </w:trPr>
        <w:tc>
          <w:tcPr>
            <w:tcW w:w="5000" w:type="pct"/>
            <w:gridSpan w:val="2"/>
            <w:tcBorders>
              <w:bottom w:val="nil"/>
            </w:tcBorders>
            <w:tcMar>
              <w:top w:w="28" w:type="dxa"/>
              <w:left w:w="57" w:type="dxa"/>
              <w:bottom w:w="28" w:type="dxa"/>
              <w:right w:w="57" w:type="dxa"/>
            </w:tcMar>
          </w:tcPr>
          <w:p w14:paraId="410FCE0F" w14:textId="77777777" w:rsidR="00F67EFB" w:rsidRPr="00D55B59" w:rsidRDefault="00F67EFB" w:rsidP="0002405A">
            <w:pPr>
              <w:keepNext/>
              <w:keepLines/>
              <w:tabs>
                <w:tab w:val="left" w:pos="1134"/>
              </w:tabs>
              <w:spacing w:line="240" w:lineRule="auto"/>
              <w:jc w:val="center"/>
              <w:rPr>
                <w:b/>
                <w:bCs/>
                <w:rPrChange w:id="5297" w:author="Author">
                  <w:rPr>
                    <w:b/>
                    <w:bCs/>
                    <w:noProof/>
                  </w:rPr>
                </w:rPrChange>
              </w:rPr>
            </w:pPr>
            <w:r w:rsidRPr="00D55B59">
              <w:rPr>
                <w:b/>
                <w:bCs/>
                <w:rPrChange w:id="5298" w:author="Author">
                  <w:rPr>
                    <w:b/>
                    <w:bCs/>
                    <w:noProof/>
                  </w:rPr>
                </w:rPrChange>
              </w:rPr>
              <w:t>PRESS</w:t>
            </w:r>
          </w:p>
          <w:p w14:paraId="1660FCA1" w14:textId="77777777" w:rsidR="00F67EFB" w:rsidRPr="00D55B59" w:rsidRDefault="00F67EFB" w:rsidP="0002405A">
            <w:pPr>
              <w:keepNext/>
              <w:keepLines/>
              <w:tabs>
                <w:tab w:val="left" w:pos="1134"/>
              </w:tabs>
              <w:spacing w:line="240" w:lineRule="auto"/>
              <w:jc w:val="center"/>
              <w:rPr>
                <w:rPrChange w:id="5299" w:author="Author">
                  <w:rPr>
                    <w:noProof/>
                  </w:rPr>
                </w:rPrChange>
              </w:rPr>
            </w:pPr>
            <w:r w:rsidRPr="00D55B59">
              <w:rPr>
                <w:b/>
                <w:bCs/>
                <w:rPrChange w:id="5300" w:author="Author">
                  <w:rPr>
                    <w:b/>
                    <w:bCs/>
                    <w:noProof/>
                  </w:rPr>
                </w:rPrChange>
              </w:rPr>
              <w:t>light blue start button</w:t>
            </w:r>
          </w:p>
        </w:tc>
      </w:tr>
      <w:tr w:rsidR="00F67EFB" w:rsidRPr="00F04F82" w14:paraId="7E117C22" w14:textId="77777777" w:rsidTr="00B61D9D">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1FC5B084" w14:textId="1F737C37" w:rsidR="00F67EFB" w:rsidRPr="00F04F82" w:rsidRDefault="00D96030" w:rsidP="0002405A">
            <w:pPr>
              <w:keepNext/>
              <w:keepLines/>
              <w:tabs>
                <w:tab w:val="left" w:pos="1134"/>
              </w:tabs>
              <w:spacing w:line="240" w:lineRule="auto"/>
              <w:jc w:val="center"/>
              <w:rPr>
                <w:b/>
                <w:bCs/>
              </w:rPr>
            </w:pPr>
            <w:r>
              <w:pict w14:anchorId="08EEF704">
                <v:shape id="Picture 66" o:spid="_x0000_i1098" type="#_x0000_t75" style="width:5in;height:221.5pt;visibility:visible;mso-wrap-style:square">
                  <v:imagedata r:id="rId93" o:title=""/>
                </v:shape>
              </w:pict>
            </w:r>
          </w:p>
        </w:tc>
      </w:tr>
      <w:tr w:rsidR="00F67EFB" w:rsidRPr="00F04F82" w14:paraId="7B9901E8" w14:textId="77777777" w:rsidTr="00B61D9D">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7FD42FCA" w14:textId="77777777" w:rsidR="00F67EFB" w:rsidRPr="00F04F82" w:rsidRDefault="00F67EFB" w:rsidP="00D47253">
            <w:pPr>
              <w:tabs>
                <w:tab w:val="clear" w:pos="567"/>
              </w:tabs>
              <w:spacing w:line="240" w:lineRule="auto"/>
              <w:ind w:left="217" w:hanging="217"/>
              <w:rPr>
                <w:b/>
                <w:bCs/>
              </w:rPr>
            </w:pPr>
            <w:r w:rsidRPr="00F04F82">
              <w:rPr>
                <w:b/>
                <w:bCs/>
              </w:rPr>
              <w:t>4d</w:t>
            </w:r>
          </w:p>
        </w:tc>
        <w:tc>
          <w:tcPr>
            <w:tcW w:w="4617" w:type="pct"/>
            <w:tcBorders>
              <w:top w:val="single" w:sz="4" w:space="0" w:color="auto"/>
              <w:left w:val="single" w:sz="4" w:space="0" w:color="auto"/>
              <w:bottom w:val="single" w:sz="4" w:space="0" w:color="auto"/>
            </w:tcBorders>
            <w:tcMar>
              <w:left w:w="0" w:type="dxa"/>
            </w:tcMar>
          </w:tcPr>
          <w:p w14:paraId="0A3A59F0" w14:textId="53FA5A31" w:rsidR="00F67EFB" w:rsidRPr="00F04F82" w:rsidRDefault="00F67EFB" w:rsidP="00D47253">
            <w:pPr>
              <w:tabs>
                <w:tab w:val="left" w:pos="1134"/>
              </w:tabs>
              <w:spacing w:line="240" w:lineRule="auto"/>
              <w:rPr>
                <w:b/>
                <w:bCs/>
              </w:rPr>
            </w:pPr>
            <w:r w:rsidRPr="00F04F82">
              <w:rPr>
                <w:b/>
                <w:bCs/>
                <w:szCs w:val="22"/>
              </w:rPr>
              <w:t>Keep pushing</w:t>
            </w:r>
            <w:ins w:id="5301" w:author="Author">
              <w:r w:rsidR="00AD7B6A" w:rsidRPr="00F04F82">
                <w:rPr>
                  <w:b/>
                  <w:bCs/>
                  <w:szCs w:val="22"/>
                </w:rPr>
                <w:t xml:space="preserve"> the pre-filled pen</w:t>
              </w:r>
            </w:ins>
            <w:r w:rsidRPr="00F04F82">
              <w:rPr>
                <w:b/>
                <w:bCs/>
                <w:szCs w:val="22"/>
              </w:rPr>
              <w:t xml:space="preserve"> down </w:t>
            </w:r>
            <w:del w:id="5302" w:author="Author">
              <w:r w:rsidRPr="00F04F82" w:rsidDel="00FF65C4">
                <w:rPr>
                  <w:b/>
                  <w:bCs/>
                  <w:szCs w:val="22"/>
                </w:rPr>
                <w:delText>firmly</w:delText>
              </w:r>
              <w:r w:rsidRPr="00F04F82" w:rsidDel="0069687D">
                <w:rPr>
                  <w:b/>
                  <w:bCs/>
                  <w:szCs w:val="22"/>
                </w:rPr>
                <w:delText xml:space="preserve"> </w:delText>
              </w:r>
            </w:del>
            <w:r w:rsidRPr="00F04F82">
              <w:rPr>
                <w:b/>
                <w:bCs/>
                <w:szCs w:val="22"/>
              </w:rPr>
              <w:t>and press the light blue start button to start the injection.</w:t>
            </w:r>
          </w:p>
        </w:tc>
      </w:tr>
      <w:tr w:rsidR="00F67EFB" w:rsidRPr="00F04F82" w14:paraId="5BF67001" w14:textId="77777777" w:rsidTr="00B61D9D">
        <w:trPr>
          <w:cantSplit/>
          <w:trHeight w:val="57"/>
        </w:trPr>
        <w:tc>
          <w:tcPr>
            <w:tcW w:w="383" w:type="pct"/>
            <w:tcBorders>
              <w:top w:val="single" w:sz="4" w:space="0" w:color="auto"/>
              <w:bottom w:val="nil"/>
              <w:right w:val="nil"/>
            </w:tcBorders>
            <w:tcMar>
              <w:top w:w="28" w:type="dxa"/>
              <w:left w:w="57" w:type="dxa"/>
              <w:bottom w:w="28" w:type="dxa"/>
              <w:right w:w="57" w:type="dxa"/>
            </w:tcMar>
          </w:tcPr>
          <w:p w14:paraId="37EB2A8D" w14:textId="77777777" w:rsidR="00F67EFB" w:rsidRPr="00F04F82" w:rsidRDefault="00F67EFB">
            <w:pPr>
              <w:numPr>
                <w:ilvl w:val="0"/>
                <w:numId w:val="46"/>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53CC3412" w14:textId="77777777" w:rsidR="00F67EFB" w:rsidRPr="00F04F82" w:rsidRDefault="00F67EFB" w:rsidP="00D47253">
            <w:pPr>
              <w:tabs>
                <w:tab w:val="left" w:pos="1134"/>
              </w:tabs>
              <w:spacing w:line="240" w:lineRule="auto"/>
            </w:pPr>
            <w:r w:rsidRPr="00F04F82">
              <w:t>You may hear or feel a click.</w:t>
            </w:r>
          </w:p>
        </w:tc>
      </w:tr>
      <w:tr w:rsidR="00F67EFB" w:rsidRPr="00F04F82" w14:paraId="453EA47B" w14:textId="77777777" w:rsidTr="00D47253">
        <w:trPr>
          <w:cantSplit/>
          <w:trHeight w:val="57"/>
        </w:trPr>
        <w:tc>
          <w:tcPr>
            <w:tcW w:w="383" w:type="pct"/>
            <w:tcBorders>
              <w:top w:val="nil"/>
              <w:bottom w:val="nil"/>
              <w:right w:val="nil"/>
            </w:tcBorders>
            <w:tcMar>
              <w:top w:w="28" w:type="dxa"/>
              <w:left w:w="57" w:type="dxa"/>
              <w:bottom w:w="28" w:type="dxa"/>
              <w:right w:w="57" w:type="dxa"/>
            </w:tcMar>
          </w:tcPr>
          <w:p w14:paraId="1833AB8F" w14:textId="77777777" w:rsidR="00F67EFB" w:rsidRPr="00F04F82" w:rsidRDefault="00F67EFB">
            <w:pPr>
              <w:numPr>
                <w:ilvl w:val="0"/>
                <w:numId w:val="46"/>
              </w:numPr>
              <w:tabs>
                <w:tab w:val="clear" w:pos="567"/>
              </w:tabs>
              <w:spacing w:line="240" w:lineRule="auto"/>
              <w:ind w:left="567" w:hanging="567"/>
            </w:pPr>
          </w:p>
        </w:tc>
        <w:tc>
          <w:tcPr>
            <w:tcW w:w="4617" w:type="pct"/>
            <w:tcBorders>
              <w:top w:val="nil"/>
              <w:left w:val="nil"/>
              <w:bottom w:val="nil"/>
            </w:tcBorders>
            <w:tcMar>
              <w:left w:w="0" w:type="dxa"/>
            </w:tcMar>
          </w:tcPr>
          <w:p w14:paraId="11495495" w14:textId="77777777" w:rsidR="00F67EFB" w:rsidRPr="00F04F82" w:rsidRDefault="00F67EFB" w:rsidP="00D47253">
            <w:pPr>
              <w:tabs>
                <w:tab w:val="left" w:pos="1134"/>
              </w:tabs>
              <w:spacing w:line="240" w:lineRule="auto"/>
              <w:rPr>
                <w:b/>
                <w:bCs/>
              </w:rPr>
            </w:pPr>
            <w:r w:rsidRPr="00F04F82">
              <w:t>The window starts to turn yellow.</w:t>
            </w:r>
          </w:p>
        </w:tc>
      </w:tr>
      <w:tr w:rsidR="00F67EFB" w:rsidRPr="00F04F82" w14:paraId="293010F3" w14:textId="77777777" w:rsidTr="00D47253">
        <w:trPr>
          <w:cantSplit/>
          <w:trHeight w:val="57"/>
        </w:trPr>
        <w:tc>
          <w:tcPr>
            <w:tcW w:w="383" w:type="pct"/>
            <w:tcBorders>
              <w:top w:val="nil"/>
              <w:bottom w:val="single" w:sz="4" w:space="0" w:color="auto"/>
              <w:right w:val="nil"/>
            </w:tcBorders>
            <w:tcMar>
              <w:top w:w="28" w:type="dxa"/>
              <w:left w:w="57" w:type="dxa"/>
              <w:bottom w:w="28" w:type="dxa"/>
              <w:right w:w="57" w:type="dxa"/>
            </w:tcMar>
          </w:tcPr>
          <w:p w14:paraId="0F38E00C" w14:textId="77777777" w:rsidR="00F67EFB" w:rsidRPr="00F04F82" w:rsidRDefault="00F67EFB">
            <w:pPr>
              <w:numPr>
                <w:ilvl w:val="0"/>
                <w:numId w:val="46"/>
              </w:numPr>
              <w:tabs>
                <w:tab w:val="clear" w:pos="567"/>
              </w:tabs>
              <w:spacing w:line="240" w:lineRule="auto"/>
              <w:ind w:left="567" w:hanging="567"/>
            </w:pPr>
          </w:p>
        </w:tc>
        <w:tc>
          <w:tcPr>
            <w:tcW w:w="4617" w:type="pct"/>
            <w:tcBorders>
              <w:top w:val="nil"/>
              <w:left w:val="nil"/>
              <w:bottom w:val="single" w:sz="4" w:space="0" w:color="auto"/>
            </w:tcBorders>
            <w:tcMar>
              <w:left w:w="0" w:type="dxa"/>
            </w:tcMar>
          </w:tcPr>
          <w:p w14:paraId="13F7EC47" w14:textId="7C3E281D" w:rsidR="00F67EFB" w:rsidRPr="00F04F82" w:rsidRDefault="00F67EFB" w:rsidP="00D47253">
            <w:pPr>
              <w:tabs>
                <w:tab w:val="left" w:pos="1134"/>
              </w:tabs>
              <w:spacing w:line="240" w:lineRule="auto"/>
              <w:rPr>
                <w:b/>
                <w:bCs/>
              </w:rPr>
            </w:pPr>
            <w:r w:rsidRPr="00F04F82">
              <w:t xml:space="preserve">It is okay to let go of the light blue </w:t>
            </w:r>
            <w:ins w:id="5303" w:author="Author">
              <w:r w:rsidR="0069553E" w:rsidRPr="00F04F82">
                <w:t xml:space="preserve">start </w:t>
              </w:r>
            </w:ins>
            <w:r w:rsidRPr="00F04F82">
              <w:t>button.</w:t>
            </w:r>
          </w:p>
        </w:tc>
      </w:tr>
    </w:tbl>
    <w:p w14:paraId="3406F3C0" w14:textId="77777777" w:rsidR="00F67EFB" w:rsidRPr="00F04F82" w:rsidRDefault="00F67EFB" w:rsidP="00F67EFB">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95"/>
        <w:gridCol w:w="8374"/>
      </w:tblGrid>
      <w:tr w:rsidR="00F67EFB" w:rsidRPr="00F04F82" w14:paraId="4DFAB897" w14:textId="77777777" w:rsidTr="00D47253">
        <w:trPr>
          <w:cantSplit/>
          <w:trHeight w:val="57"/>
        </w:trPr>
        <w:tc>
          <w:tcPr>
            <w:tcW w:w="5000" w:type="pct"/>
            <w:gridSpan w:val="2"/>
            <w:tcBorders>
              <w:bottom w:val="single" w:sz="4" w:space="0" w:color="auto"/>
            </w:tcBorders>
            <w:tcMar>
              <w:top w:w="28" w:type="dxa"/>
              <w:left w:w="57" w:type="dxa"/>
              <w:bottom w:w="28" w:type="dxa"/>
              <w:right w:w="57" w:type="dxa"/>
            </w:tcMar>
          </w:tcPr>
          <w:p w14:paraId="09C1CC71" w14:textId="53B70ED4" w:rsidR="00F67EFB" w:rsidRPr="00F04F82" w:rsidRDefault="00F67EFB" w:rsidP="00B61D9D">
            <w:pPr>
              <w:keepNext/>
              <w:tabs>
                <w:tab w:val="left" w:pos="1134"/>
              </w:tabs>
              <w:spacing w:line="240" w:lineRule="auto"/>
              <w:jc w:val="center"/>
              <w:rPr>
                <w:b/>
                <w:bCs/>
              </w:rPr>
            </w:pPr>
            <w:r w:rsidRPr="00F04F82">
              <w:rPr>
                <w:b/>
                <w:bCs/>
              </w:rPr>
              <w:t xml:space="preserve">WATCH </w:t>
            </w:r>
            <w:ins w:id="5304" w:author="Author">
              <w:r w:rsidR="0069553E" w:rsidRPr="00F04F82">
                <w:rPr>
                  <w:b/>
                  <w:bCs/>
                </w:rPr>
                <w:t xml:space="preserve">and </w:t>
              </w:r>
            </w:ins>
            <w:r w:rsidRPr="00F04F82">
              <w:rPr>
                <w:b/>
                <w:bCs/>
              </w:rPr>
              <w:t>CONFIRM</w:t>
            </w:r>
          </w:p>
          <w:p w14:paraId="6ACCCDA9" w14:textId="0AEC3AD0" w:rsidR="00F67EFB" w:rsidRPr="00F04F82" w:rsidRDefault="0069553E" w:rsidP="00B61D9D">
            <w:pPr>
              <w:keepNext/>
              <w:tabs>
                <w:tab w:val="left" w:pos="1134"/>
              </w:tabs>
              <w:spacing w:line="240" w:lineRule="auto"/>
              <w:jc w:val="center"/>
              <w:rPr>
                <w:b/>
                <w:bCs/>
              </w:rPr>
            </w:pPr>
            <w:ins w:id="5305" w:author="Author">
              <w:r w:rsidRPr="00F04F82">
                <w:rPr>
                  <w:b/>
                  <w:bCs/>
                </w:rPr>
                <w:t xml:space="preserve">that the </w:t>
              </w:r>
            </w:ins>
            <w:r w:rsidR="00F67EFB" w:rsidRPr="00F04F82">
              <w:rPr>
                <w:b/>
                <w:bCs/>
              </w:rPr>
              <w:t>window</w:t>
            </w:r>
            <w:del w:id="5306" w:author="Author">
              <w:r w:rsidR="00F67EFB" w:rsidRPr="00F04F82" w:rsidDel="0069553E">
                <w:rPr>
                  <w:b/>
                  <w:bCs/>
                </w:rPr>
                <w:delText xml:space="preserve"> will</w:delText>
              </w:r>
            </w:del>
            <w:r w:rsidR="00F67EFB" w:rsidRPr="00F04F82">
              <w:rPr>
                <w:b/>
                <w:bCs/>
              </w:rPr>
              <w:t xml:space="preserve"> turn</w:t>
            </w:r>
            <w:ins w:id="5307" w:author="Author">
              <w:r w:rsidRPr="00F04F82">
                <w:rPr>
                  <w:b/>
                  <w:bCs/>
                </w:rPr>
                <w:t>s</w:t>
              </w:r>
            </w:ins>
            <w:r w:rsidR="00F67EFB" w:rsidRPr="00F04F82">
              <w:rPr>
                <w:b/>
                <w:bCs/>
              </w:rPr>
              <w:t xml:space="preserve"> fully yellow</w:t>
            </w:r>
          </w:p>
        </w:tc>
      </w:tr>
      <w:tr w:rsidR="00F67EFB" w:rsidRPr="00F04F82" w14:paraId="296E1C74" w14:textId="77777777" w:rsidTr="00B61D9D">
        <w:trPr>
          <w:cantSplit/>
          <w:trHeight w:val="57"/>
        </w:trPr>
        <w:tc>
          <w:tcPr>
            <w:tcW w:w="5000" w:type="pct"/>
            <w:gridSpan w:val="2"/>
            <w:tcBorders>
              <w:bottom w:val="single" w:sz="4" w:space="0" w:color="auto"/>
            </w:tcBorders>
            <w:tcMar>
              <w:top w:w="28" w:type="dxa"/>
              <w:left w:w="57" w:type="dxa"/>
              <w:bottom w:w="28" w:type="dxa"/>
              <w:right w:w="57" w:type="dxa"/>
            </w:tcMar>
          </w:tcPr>
          <w:p w14:paraId="26885DC9" w14:textId="71C7EB08" w:rsidR="00F67EFB" w:rsidRPr="00F04F82" w:rsidRDefault="00D96030" w:rsidP="00B61D9D">
            <w:pPr>
              <w:keepNext/>
              <w:tabs>
                <w:tab w:val="left" w:pos="1134"/>
              </w:tabs>
              <w:spacing w:line="240" w:lineRule="auto"/>
              <w:jc w:val="center"/>
              <w:rPr>
                <w:b/>
                <w:bCs/>
              </w:rPr>
            </w:pPr>
            <w:r>
              <w:rPr>
                <w:b/>
              </w:rPr>
              <w:pict w14:anchorId="387EAFFC">
                <v:shape id="Picture 67" o:spid="_x0000_i1099" type="#_x0000_t75" style="width:329pt;height:200pt;visibility:visible;mso-wrap-style:square">
                  <v:imagedata r:id="rId94" o:title=""/>
                </v:shape>
              </w:pict>
            </w:r>
          </w:p>
          <w:p w14:paraId="5882B532" w14:textId="77777777" w:rsidR="00F67EFB" w:rsidRPr="00F04F82" w:rsidRDefault="00F67EFB" w:rsidP="00B61D9D">
            <w:pPr>
              <w:keepNext/>
              <w:tabs>
                <w:tab w:val="left" w:pos="1134"/>
              </w:tabs>
              <w:spacing w:line="240" w:lineRule="auto"/>
              <w:jc w:val="center"/>
              <w:rPr>
                <w:b/>
                <w:bCs/>
              </w:rPr>
            </w:pPr>
          </w:p>
        </w:tc>
      </w:tr>
      <w:tr w:rsidR="00F67EFB" w:rsidRPr="00F04F82" w14:paraId="6865E9F2" w14:textId="77777777" w:rsidTr="00B61D9D">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00464717" w14:textId="77777777" w:rsidR="00F67EFB" w:rsidRPr="00F04F82" w:rsidRDefault="00F67EFB" w:rsidP="004D3912">
            <w:pPr>
              <w:keepNext/>
              <w:keepLines/>
              <w:tabs>
                <w:tab w:val="clear" w:pos="567"/>
              </w:tabs>
              <w:spacing w:line="240" w:lineRule="auto"/>
              <w:rPr>
                <w:b/>
                <w:bCs/>
              </w:rPr>
            </w:pPr>
            <w:r w:rsidRPr="00F04F82">
              <w:rPr>
                <w:b/>
                <w:bCs/>
              </w:rPr>
              <w:t>4e</w:t>
            </w:r>
          </w:p>
        </w:tc>
        <w:tc>
          <w:tcPr>
            <w:tcW w:w="4617" w:type="pct"/>
            <w:tcBorders>
              <w:top w:val="single" w:sz="4" w:space="0" w:color="auto"/>
              <w:left w:val="single" w:sz="4" w:space="0" w:color="auto"/>
              <w:bottom w:val="single" w:sz="4" w:space="0" w:color="auto"/>
            </w:tcBorders>
            <w:tcMar>
              <w:left w:w="0" w:type="dxa"/>
            </w:tcMar>
          </w:tcPr>
          <w:p w14:paraId="2321F2A2" w14:textId="15DE4804" w:rsidR="00F67EFB" w:rsidRPr="00F04F82" w:rsidRDefault="00F67EFB" w:rsidP="004D3912">
            <w:pPr>
              <w:keepNext/>
              <w:keepLines/>
              <w:spacing w:line="240" w:lineRule="auto"/>
            </w:pPr>
            <w:r w:rsidRPr="00F04F82">
              <w:rPr>
                <w:b/>
                <w:bCs/>
                <w:szCs w:val="22"/>
              </w:rPr>
              <w:t xml:space="preserve">Keep pushing </w:t>
            </w:r>
            <w:ins w:id="5308" w:author="Author">
              <w:r w:rsidR="0069553E" w:rsidRPr="00F04F82">
                <w:rPr>
                  <w:b/>
                  <w:bCs/>
                  <w:szCs w:val="22"/>
                </w:rPr>
                <w:t xml:space="preserve">the pre-filled pen </w:t>
              </w:r>
            </w:ins>
            <w:r w:rsidRPr="00F04F82">
              <w:rPr>
                <w:b/>
                <w:bCs/>
                <w:szCs w:val="22"/>
              </w:rPr>
              <w:t>down. When the window is fully yellow, the injection is complete</w:t>
            </w:r>
            <w:ins w:id="5309" w:author="Author">
              <w:r w:rsidR="0069553E" w:rsidRPr="00F04F82">
                <w:rPr>
                  <w:b/>
                  <w:bCs/>
                  <w:szCs w:val="22"/>
                </w:rPr>
                <w:t>.</w:t>
              </w:r>
            </w:ins>
          </w:p>
        </w:tc>
      </w:tr>
      <w:tr w:rsidR="00F67EFB" w:rsidRPr="00F04F82" w14:paraId="47F33B75" w14:textId="77777777" w:rsidTr="00B61D9D">
        <w:trPr>
          <w:cantSplit/>
          <w:trHeight w:val="57"/>
        </w:trPr>
        <w:tc>
          <w:tcPr>
            <w:tcW w:w="383" w:type="pct"/>
            <w:tcBorders>
              <w:top w:val="single" w:sz="4" w:space="0" w:color="auto"/>
              <w:bottom w:val="nil"/>
              <w:right w:val="nil"/>
            </w:tcBorders>
            <w:tcMar>
              <w:top w:w="28" w:type="dxa"/>
              <w:left w:w="57" w:type="dxa"/>
              <w:bottom w:w="28" w:type="dxa"/>
              <w:right w:w="57" w:type="dxa"/>
            </w:tcMar>
          </w:tcPr>
          <w:p w14:paraId="28CCE0E0" w14:textId="77777777" w:rsidR="00F67EFB" w:rsidRPr="00F04F82" w:rsidRDefault="00F67EFB" w:rsidP="004D3912">
            <w:pPr>
              <w:keepNext/>
              <w:keepLines/>
              <w:numPr>
                <w:ilvl w:val="0"/>
                <w:numId w:val="46"/>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56DBC3CC" w14:textId="0B70BAF8" w:rsidR="00F67EFB" w:rsidRPr="00F04F82" w:rsidRDefault="00F67EFB" w:rsidP="004D3912">
            <w:pPr>
              <w:keepNext/>
              <w:keepLines/>
              <w:spacing w:line="240" w:lineRule="auto"/>
              <w:rPr>
                <w:b/>
                <w:bCs/>
              </w:rPr>
            </w:pPr>
            <w:r w:rsidRPr="00F04F82">
              <w:t xml:space="preserve">The injection may take up to </w:t>
            </w:r>
            <w:r w:rsidRPr="00F04F82">
              <w:rPr>
                <w:b/>
                <w:bCs/>
              </w:rPr>
              <w:t>1</w:t>
            </w:r>
            <w:r w:rsidR="00536A6F" w:rsidRPr="00F04F82">
              <w:rPr>
                <w:b/>
                <w:bCs/>
              </w:rPr>
              <w:t>0</w:t>
            </w:r>
            <w:r w:rsidRPr="00F04F82">
              <w:t xml:space="preserve"> seconds to complete. </w:t>
            </w:r>
          </w:p>
        </w:tc>
      </w:tr>
      <w:tr w:rsidR="00F67EFB" w:rsidRPr="00F04F82" w14:paraId="12B50E13" w14:textId="77777777" w:rsidTr="00D47253">
        <w:trPr>
          <w:cantSplit/>
          <w:trHeight w:val="57"/>
        </w:trPr>
        <w:tc>
          <w:tcPr>
            <w:tcW w:w="383" w:type="pct"/>
            <w:tcBorders>
              <w:top w:val="nil"/>
              <w:bottom w:val="nil"/>
              <w:right w:val="nil"/>
            </w:tcBorders>
            <w:tcMar>
              <w:top w:w="28" w:type="dxa"/>
              <w:left w:w="57" w:type="dxa"/>
              <w:bottom w:w="28" w:type="dxa"/>
              <w:right w:w="57" w:type="dxa"/>
            </w:tcMar>
          </w:tcPr>
          <w:p w14:paraId="593CC2E1" w14:textId="77777777" w:rsidR="00F67EFB" w:rsidRPr="00F04F82" w:rsidRDefault="00F67EFB" w:rsidP="004D3912">
            <w:pPr>
              <w:keepNext/>
              <w:keepLines/>
              <w:numPr>
                <w:ilvl w:val="0"/>
                <w:numId w:val="46"/>
              </w:numPr>
              <w:tabs>
                <w:tab w:val="clear" w:pos="567"/>
              </w:tabs>
              <w:spacing w:line="240" w:lineRule="auto"/>
              <w:ind w:left="567" w:hanging="567"/>
            </w:pPr>
          </w:p>
        </w:tc>
        <w:tc>
          <w:tcPr>
            <w:tcW w:w="4617" w:type="pct"/>
            <w:tcBorders>
              <w:top w:val="nil"/>
              <w:left w:val="nil"/>
              <w:bottom w:val="nil"/>
            </w:tcBorders>
            <w:tcMar>
              <w:left w:w="0" w:type="dxa"/>
            </w:tcMar>
          </w:tcPr>
          <w:p w14:paraId="0B0D279B" w14:textId="77777777" w:rsidR="00F67EFB" w:rsidRPr="00F04F82" w:rsidRDefault="00F67EFB" w:rsidP="004D3912">
            <w:pPr>
              <w:keepNext/>
              <w:keepLines/>
              <w:spacing w:line="240" w:lineRule="auto"/>
              <w:rPr>
                <w:b/>
                <w:bCs/>
              </w:rPr>
            </w:pPr>
            <w:r w:rsidRPr="00F04F82">
              <w:t xml:space="preserve">You may hear or feel a click.  </w:t>
            </w:r>
          </w:p>
        </w:tc>
      </w:tr>
      <w:tr w:rsidR="00F67EFB" w:rsidRPr="00F04F82" w14:paraId="311DF288" w14:textId="77777777" w:rsidTr="00D47253">
        <w:trPr>
          <w:cantSplit/>
          <w:trHeight w:val="57"/>
        </w:trPr>
        <w:tc>
          <w:tcPr>
            <w:tcW w:w="383" w:type="pct"/>
            <w:tcBorders>
              <w:top w:val="nil"/>
              <w:bottom w:val="nil"/>
              <w:right w:val="nil"/>
            </w:tcBorders>
            <w:tcMar>
              <w:top w:w="28" w:type="dxa"/>
              <w:left w:w="57" w:type="dxa"/>
              <w:bottom w:w="28" w:type="dxa"/>
              <w:right w:w="57" w:type="dxa"/>
            </w:tcMar>
          </w:tcPr>
          <w:p w14:paraId="46E99B2F" w14:textId="77777777" w:rsidR="00F67EFB" w:rsidRPr="00F04F82" w:rsidRDefault="00F67EFB" w:rsidP="004D3912">
            <w:pPr>
              <w:keepNext/>
              <w:keepLines/>
              <w:numPr>
                <w:ilvl w:val="0"/>
                <w:numId w:val="46"/>
              </w:numPr>
              <w:tabs>
                <w:tab w:val="clear" w:pos="567"/>
              </w:tabs>
              <w:spacing w:line="240" w:lineRule="auto"/>
              <w:ind w:left="567" w:hanging="567"/>
            </w:pPr>
          </w:p>
        </w:tc>
        <w:tc>
          <w:tcPr>
            <w:tcW w:w="4617" w:type="pct"/>
            <w:tcBorders>
              <w:top w:val="nil"/>
              <w:left w:val="nil"/>
              <w:bottom w:val="nil"/>
            </w:tcBorders>
            <w:tcMar>
              <w:left w:w="0" w:type="dxa"/>
            </w:tcMar>
          </w:tcPr>
          <w:p w14:paraId="0AF34154" w14:textId="77777777" w:rsidR="00F67EFB" w:rsidRPr="00F04F82" w:rsidRDefault="00F67EFB" w:rsidP="004D3912">
            <w:pPr>
              <w:keepNext/>
              <w:keepLines/>
              <w:spacing w:line="240" w:lineRule="auto"/>
              <w:rPr>
                <w:b/>
                <w:bCs/>
              </w:rPr>
            </w:pPr>
            <w:r w:rsidRPr="00F04F82">
              <w:t>Lift the pre-filled pen away from your skin.</w:t>
            </w:r>
          </w:p>
        </w:tc>
      </w:tr>
      <w:tr w:rsidR="00F67EFB" w:rsidRPr="00F04F82" w14:paraId="6F7B6DC9" w14:textId="77777777" w:rsidTr="00D47253">
        <w:trPr>
          <w:cantSplit/>
          <w:trHeight w:val="57"/>
        </w:trPr>
        <w:tc>
          <w:tcPr>
            <w:tcW w:w="383" w:type="pct"/>
            <w:tcBorders>
              <w:top w:val="nil"/>
              <w:bottom w:val="nil"/>
              <w:right w:val="nil"/>
            </w:tcBorders>
            <w:tcMar>
              <w:top w:w="28" w:type="dxa"/>
              <w:left w:w="57" w:type="dxa"/>
              <w:bottom w:w="28" w:type="dxa"/>
              <w:right w:w="57" w:type="dxa"/>
            </w:tcMar>
          </w:tcPr>
          <w:p w14:paraId="64EE1C07" w14:textId="77777777" w:rsidR="00F67EFB" w:rsidRPr="00F04F82" w:rsidRDefault="00F67EFB" w:rsidP="004D3912">
            <w:pPr>
              <w:keepNext/>
              <w:keepLines/>
              <w:numPr>
                <w:ilvl w:val="0"/>
                <w:numId w:val="46"/>
              </w:numPr>
              <w:tabs>
                <w:tab w:val="clear" w:pos="567"/>
              </w:tabs>
              <w:spacing w:line="240" w:lineRule="auto"/>
              <w:ind w:left="567" w:hanging="567"/>
            </w:pPr>
          </w:p>
        </w:tc>
        <w:tc>
          <w:tcPr>
            <w:tcW w:w="4617" w:type="pct"/>
            <w:tcBorders>
              <w:top w:val="nil"/>
              <w:left w:val="nil"/>
              <w:bottom w:val="nil"/>
            </w:tcBorders>
            <w:tcMar>
              <w:left w:w="0" w:type="dxa"/>
            </w:tcMar>
          </w:tcPr>
          <w:p w14:paraId="1DB62378" w14:textId="575E002E" w:rsidR="00F67EFB" w:rsidRPr="00F04F82" w:rsidRDefault="00F67EFB" w:rsidP="004D3912">
            <w:pPr>
              <w:keepNext/>
              <w:keepLines/>
              <w:tabs>
                <w:tab w:val="left" w:pos="1134"/>
              </w:tabs>
              <w:spacing w:line="240" w:lineRule="auto"/>
            </w:pPr>
            <w:r w:rsidRPr="00F04F82">
              <w:t>The cream</w:t>
            </w:r>
            <w:r w:rsidR="00FA2540" w:rsidRPr="00F04F82">
              <w:t>-coloured</w:t>
            </w:r>
            <w:r w:rsidRPr="00F04F82">
              <w:t xml:space="preserve"> safety guard locks around the needle.</w:t>
            </w:r>
          </w:p>
        </w:tc>
      </w:tr>
      <w:tr w:rsidR="00F67EFB" w:rsidRPr="00F04F82" w14:paraId="57D595D2" w14:textId="77777777" w:rsidTr="00D47253">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6D2FA4E3" w14:textId="1EC26D08" w:rsidR="00F67EFB" w:rsidRPr="00F04F82" w:rsidRDefault="00D96030" w:rsidP="004D3912">
            <w:pPr>
              <w:keepNext/>
              <w:keepLines/>
              <w:tabs>
                <w:tab w:val="left" w:pos="1134"/>
              </w:tabs>
              <w:spacing w:line="240" w:lineRule="auto"/>
            </w:pPr>
            <w:r>
              <w:pict w14:anchorId="6BB30CCB">
                <v:shape id="Text Box 82" o:spid="_x0000_s2058" type="#_x0000_t202" style="position:absolute;margin-left:1.1pt;margin-top:3pt;width:432.4pt;height:57.3pt;z-index:15;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" strokecolor="red" strokeweight="1.5pt">
                  <v:textbox>
                    <w:txbxContent>
                      <w:p w14:paraId="44198A77" w14:textId="76A2E471" w:rsidR="00D47253" w:rsidRPr="00F04F82" w:rsidRDefault="00D47253" w:rsidP="00B61D9D">
                        <w:pPr>
                          <w:spacing w:line="240" w:lineRule="auto"/>
                          <w:rPr>
                            <w:szCs w:val="22"/>
                          </w:rPr>
                        </w:pPr>
                        <w:r w:rsidRPr="00F04F82">
                          <w:rPr>
                            <w:b/>
                            <w:bCs/>
                            <w:szCs w:val="22"/>
                          </w:rPr>
                          <w:t>Important:</w:t>
                        </w:r>
                        <w:r w:rsidRPr="00F04F82">
                          <w:rPr>
                            <w:szCs w:val="22"/>
                          </w:rPr>
                          <w:t xml:space="preserve"> If the window has not turned</w:t>
                        </w:r>
                        <w:ins w:id="5310" w:author="Author">
                          <w:r w:rsidR="009D68C3" w:rsidRPr="00F04F82">
                            <w:rPr>
                              <w:szCs w:val="22"/>
                            </w:rPr>
                            <w:t xml:space="preserve"> fully</w:t>
                          </w:r>
                        </w:ins>
                        <w:r w:rsidRPr="00F04F82">
                          <w:rPr>
                            <w:szCs w:val="22"/>
                          </w:rPr>
                          <w:t xml:space="preserve"> yellow, or it looks like the medicine is still coming out, you have not received a full dose. </w:t>
                        </w:r>
                        <w:del w:id="5311" w:author="Author">
                          <w:r w:rsidRPr="00F04F82" w:rsidDel="00E17AB3">
                            <w:rPr>
                              <w:szCs w:val="22"/>
                            </w:rPr>
                            <w:delText xml:space="preserve"> </w:delText>
                          </w:r>
                        </w:del>
                        <w:r w:rsidRPr="00F04F82">
                          <w:rPr>
                            <w:szCs w:val="22"/>
                          </w:rPr>
                          <w:t xml:space="preserve">Call your doctor or healthcare provider </w:t>
                        </w:r>
                        <w:del w:id="5312" w:author="Author">
                          <w:r w:rsidRPr="00F04F82" w:rsidDel="008447AB">
                            <w:rPr>
                              <w:szCs w:val="22"/>
                            </w:rPr>
                            <w:delText>immediately</w:delText>
                          </w:r>
                        </w:del>
                        <w:ins w:id="5313" w:author="Author">
                          <w:r w:rsidR="008447AB" w:rsidRPr="00F04F82">
                            <w:rPr>
                              <w:szCs w:val="22"/>
                            </w:rPr>
                            <w:t>right away</w:t>
                          </w:r>
                        </w:ins>
                        <w:r w:rsidRPr="00F04F82">
                          <w:rPr>
                            <w:szCs w:val="22"/>
                          </w:rPr>
                          <w:t>.</w:t>
                        </w:r>
                      </w:p>
                    </w:txbxContent>
                  </v:textbox>
                  <w10:wrap type="square"/>
                </v:shape>
              </w:pict>
            </w:r>
          </w:p>
        </w:tc>
      </w:tr>
    </w:tbl>
    <w:p w14:paraId="5E63D229" w14:textId="77777777" w:rsidR="00F67EFB" w:rsidRPr="00F04F82" w:rsidRDefault="00F67EFB" w:rsidP="00F67EFB">
      <w:pPr>
        <w:tabs>
          <w:tab w:val="left" w:pos="1134"/>
        </w:tabs>
        <w:spacing w:line="240" w:lineRule="auto"/>
      </w:pPr>
    </w:p>
    <w:tbl>
      <w:tblPr>
        <w:tblW w:w="4918"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5314" w:author="Author">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580"/>
        <w:gridCol w:w="116"/>
        <w:gridCol w:w="8389"/>
        <w:tblGridChange w:id="5315">
          <w:tblGrid>
            <w:gridCol w:w="56"/>
            <w:gridCol w:w="58"/>
            <w:gridCol w:w="582"/>
            <w:gridCol w:w="55"/>
            <w:gridCol w:w="58"/>
            <w:gridCol w:w="8276"/>
            <w:gridCol w:w="41"/>
            <w:gridCol w:w="58"/>
          </w:tblGrid>
        </w:tblGridChange>
      </w:tblGrid>
      <w:tr w:rsidR="0049272D" w:rsidRPr="00F04F82" w14:paraId="406F177C" w14:textId="083EFF59" w:rsidTr="00D55B59">
        <w:trPr>
          <w:cantSplit/>
          <w:trHeight w:val="57"/>
          <w:trPrChange w:id="5316" w:author="Author">
            <w:trPr>
              <w:gridBefore w:val="1"/>
              <w:gridAfter w:val="0"/>
              <w:cantSplit/>
              <w:trHeight w:val="57"/>
            </w:trPr>
          </w:trPrChange>
        </w:trPr>
        <w:tc>
          <w:tcPr>
            <w:tcW w:w="383" w:type="pct"/>
            <w:gridSpan w:val="2"/>
            <w:tcBorders>
              <w:bottom w:val="single" w:sz="4" w:space="0" w:color="auto"/>
            </w:tcBorders>
            <w:tcMar>
              <w:top w:w="28" w:type="dxa"/>
              <w:left w:w="57" w:type="dxa"/>
              <w:bottom w:w="28" w:type="dxa"/>
              <w:right w:w="57" w:type="dxa"/>
            </w:tcMar>
            <w:tcPrChange w:id="5317" w:author="Author">
              <w:tcPr>
                <w:tcW w:w="383" w:type="pct"/>
                <w:gridSpan w:val="3"/>
                <w:tcBorders>
                  <w:bottom w:val="single" w:sz="4" w:space="0" w:color="auto"/>
                </w:tcBorders>
                <w:tcMar>
                  <w:top w:w="28" w:type="dxa"/>
                  <w:left w:w="57" w:type="dxa"/>
                  <w:bottom w:w="28" w:type="dxa"/>
                  <w:right w:w="57" w:type="dxa"/>
                </w:tcMar>
              </w:tcPr>
            </w:tcPrChange>
          </w:tcPr>
          <w:p w14:paraId="36825120" w14:textId="43654853" w:rsidR="0049272D" w:rsidRPr="00F04F82" w:rsidRDefault="0049272D" w:rsidP="00D47253">
            <w:pPr>
              <w:tabs>
                <w:tab w:val="left" w:pos="1134"/>
              </w:tabs>
              <w:spacing w:line="240" w:lineRule="auto"/>
            </w:pPr>
            <w:r w:rsidRPr="00F04F82">
              <w:rPr>
                <w:b/>
                <w:bCs/>
              </w:rPr>
              <w:t>5</w:t>
            </w:r>
          </w:p>
        </w:tc>
        <w:tc>
          <w:tcPr>
            <w:tcW w:w="4610" w:type="pct"/>
            <w:tcBorders>
              <w:bottom w:val="single" w:sz="4" w:space="0" w:color="auto"/>
            </w:tcBorders>
            <w:tcPrChange w:id="5318" w:author="Author">
              <w:tcPr>
                <w:tcW w:w="4617" w:type="pct"/>
                <w:gridSpan w:val="3"/>
                <w:tcBorders>
                  <w:bottom w:val="single" w:sz="4" w:space="0" w:color="auto"/>
                </w:tcBorders>
              </w:tcPr>
            </w:tcPrChange>
          </w:tcPr>
          <w:p w14:paraId="73D6B473" w14:textId="3E06850C" w:rsidR="0049272D" w:rsidRPr="00F04F82" w:rsidRDefault="0049272D" w:rsidP="00B61D9D">
            <w:pPr>
              <w:tabs>
                <w:tab w:val="left" w:pos="1134"/>
              </w:tabs>
              <w:spacing w:line="240" w:lineRule="auto"/>
              <w:ind w:left="567" w:hanging="567"/>
            </w:pPr>
            <w:r w:rsidRPr="00F04F82">
              <w:rPr>
                <w:b/>
                <w:bCs/>
              </w:rPr>
              <w:t xml:space="preserve">Disposing </w:t>
            </w:r>
            <w:ins w:id="5319" w:author="Author">
              <w:r w:rsidR="008447AB" w:rsidRPr="00F04F82">
                <w:rPr>
                  <w:b/>
                  <w:bCs/>
                </w:rPr>
                <w:t xml:space="preserve">of </w:t>
              </w:r>
            </w:ins>
            <w:del w:id="5320" w:author="Author">
              <w:r w:rsidRPr="00F04F82" w:rsidDel="008447AB">
                <w:rPr>
                  <w:b/>
                  <w:bCs/>
                </w:rPr>
                <w:delText xml:space="preserve">and finishing </w:delText>
              </w:r>
            </w:del>
            <w:r w:rsidRPr="00F04F82">
              <w:rPr>
                <w:b/>
                <w:bCs/>
              </w:rPr>
              <w:t>AMGEVITA</w:t>
            </w:r>
            <w:ins w:id="5321" w:author="Author">
              <w:r w:rsidR="008447AB" w:rsidRPr="00F04F82">
                <w:rPr>
                  <w:b/>
                  <w:bCs/>
                </w:rPr>
                <w:t xml:space="preserve"> and </w:t>
              </w:r>
              <w:r w:rsidR="00F41C03" w:rsidRPr="00F04F82">
                <w:rPr>
                  <w:b/>
                  <w:bCs/>
                </w:rPr>
                <w:t>c</w:t>
              </w:r>
              <w:r w:rsidR="008447AB" w:rsidRPr="00F04F82">
                <w:rPr>
                  <w:b/>
                  <w:bCs/>
                </w:rPr>
                <w:t xml:space="preserve">hecking the </w:t>
              </w:r>
              <w:r w:rsidR="00F41C03" w:rsidRPr="00F04F82">
                <w:rPr>
                  <w:b/>
                  <w:bCs/>
                </w:rPr>
                <w:t>i</w:t>
              </w:r>
              <w:r w:rsidR="008447AB" w:rsidRPr="00F04F82">
                <w:rPr>
                  <w:b/>
                  <w:bCs/>
                </w:rPr>
                <w:t xml:space="preserve">njection </w:t>
              </w:r>
              <w:r w:rsidR="00F41C03" w:rsidRPr="00F04F82">
                <w:rPr>
                  <w:b/>
                  <w:bCs/>
                </w:rPr>
                <w:t>s</w:t>
              </w:r>
              <w:r w:rsidR="008447AB" w:rsidRPr="00F04F82">
                <w:rPr>
                  <w:b/>
                  <w:bCs/>
                </w:rPr>
                <w:t>ite</w:t>
              </w:r>
            </w:ins>
          </w:p>
        </w:tc>
      </w:tr>
      <w:tr w:rsidR="00F67EFB" w:rsidRPr="00F04F82" w14:paraId="63E29DFB" w14:textId="77777777" w:rsidTr="00D55B59">
        <w:trPr>
          <w:cantSplit/>
          <w:trHeight w:val="57"/>
          <w:trPrChange w:id="5322" w:author="Author">
            <w:trPr>
              <w:gridBefore w:val="1"/>
              <w:gridAfter w:val="0"/>
              <w:cantSplit/>
              <w:trHeight w:val="57"/>
            </w:trPr>
          </w:trPrChange>
        </w:trPr>
        <w:tc>
          <w:tcPr>
            <w:tcW w:w="4992" w:type="pct"/>
            <w:gridSpan w:val="3"/>
            <w:tcBorders>
              <w:bottom w:val="single" w:sz="4" w:space="0" w:color="auto"/>
            </w:tcBorders>
            <w:tcMar>
              <w:top w:w="28" w:type="dxa"/>
              <w:left w:w="57" w:type="dxa"/>
              <w:bottom w:w="28" w:type="dxa"/>
              <w:right w:w="57" w:type="dxa"/>
            </w:tcMar>
            <w:tcPrChange w:id="5323" w:author="Author">
              <w:tcPr>
                <w:tcW w:w="5000" w:type="pct"/>
                <w:gridSpan w:val="6"/>
                <w:tcBorders>
                  <w:bottom w:val="single" w:sz="4" w:space="0" w:color="auto"/>
                </w:tcBorders>
                <w:tcMar>
                  <w:top w:w="28" w:type="dxa"/>
                  <w:left w:w="57" w:type="dxa"/>
                  <w:bottom w:w="28" w:type="dxa"/>
                  <w:right w:w="57" w:type="dxa"/>
                </w:tcMar>
              </w:tcPr>
            </w:tcPrChange>
          </w:tcPr>
          <w:p w14:paraId="00E4C83E" w14:textId="1C1E9154" w:rsidR="00F67EFB" w:rsidRPr="00F04F82" w:rsidRDefault="00D96030" w:rsidP="00D47253">
            <w:pPr>
              <w:pStyle w:val="ListParagraph"/>
              <w:tabs>
                <w:tab w:val="left" w:pos="0"/>
              </w:tabs>
              <w:ind w:left="0"/>
              <w:jc w:val="center"/>
              <w:rPr>
                <w:b/>
                <w:bCs/>
              </w:rPr>
            </w:pPr>
            <w:r>
              <w:pict w14:anchorId="718BBF82">
                <v:shape id="_x0000_i1100" type="#_x0000_t75" style="width:3in;height:139pt;visibility:visible;mso-wrap-style:square">
                  <v:imagedata r:id="rId95" o:title=""/>
                </v:shape>
              </w:pict>
            </w:r>
          </w:p>
        </w:tc>
      </w:tr>
      <w:tr w:rsidR="00F67EFB" w:rsidRPr="00F04F82" w14:paraId="59E8AC09" w14:textId="77777777" w:rsidTr="00D55B59">
        <w:trPr>
          <w:cantSplit/>
          <w:trHeight w:val="904"/>
          <w:trPrChange w:id="5324" w:author="Author">
            <w:trPr>
              <w:gridBefore w:val="1"/>
              <w:gridAfter w:val="0"/>
              <w:cantSplit/>
              <w:trHeight w:val="904"/>
            </w:trPr>
          </w:trPrChange>
        </w:trPr>
        <w:tc>
          <w:tcPr>
            <w:tcW w:w="4992" w:type="pct"/>
            <w:gridSpan w:val="3"/>
            <w:tcBorders>
              <w:top w:val="nil"/>
              <w:bottom w:val="single" w:sz="4" w:space="0" w:color="auto"/>
            </w:tcBorders>
            <w:tcMar>
              <w:top w:w="28" w:type="dxa"/>
              <w:left w:w="57" w:type="dxa"/>
              <w:bottom w:w="28" w:type="dxa"/>
              <w:right w:w="57" w:type="dxa"/>
            </w:tcMar>
            <w:tcPrChange w:id="5325" w:author="Author">
              <w:tcPr>
                <w:tcW w:w="5000" w:type="pct"/>
                <w:gridSpan w:val="6"/>
                <w:tcBorders>
                  <w:top w:val="nil"/>
                  <w:bottom w:val="single" w:sz="4" w:space="0" w:color="auto"/>
                </w:tcBorders>
                <w:tcMar>
                  <w:top w:w="28" w:type="dxa"/>
                  <w:left w:w="57" w:type="dxa"/>
                  <w:bottom w:w="28" w:type="dxa"/>
                  <w:right w:w="57" w:type="dxa"/>
                </w:tcMar>
              </w:tcPr>
            </w:tcPrChange>
          </w:tcPr>
          <w:p w14:paraId="07D38D84" w14:textId="5F2DC4A7" w:rsidR="00F67EFB" w:rsidRPr="00F04F82" w:rsidRDefault="00D96030" w:rsidP="00D47253">
            <w:r>
              <w:pict w14:anchorId="102EC3ED">
                <v:shape id="Text Box 17" o:spid="_x0000_s2057" type="#_x0000_t202" style="position:absolute;margin-left:-.2pt;margin-top:1.45pt;width:438.3pt;height:21.35pt;z-index: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" strokecolor="red" strokeweight="1.5pt">
                  <v:textbox style="mso-next-textbox:#Text Box 17;mso-fit-shape-to-text:t">
                    <w:txbxContent>
                      <w:p w14:paraId="0E26E1D2" w14:textId="0B51C399" w:rsidR="00D47253" w:rsidRPr="00F04F82" w:rsidRDefault="00D47253" w:rsidP="00F67EFB">
                        <w:pPr>
                          <w:tabs>
                            <w:tab w:val="left" w:pos="1134"/>
                          </w:tabs>
                          <w:spacing w:line="240" w:lineRule="auto"/>
                        </w:pPr>
                        <w:r w:rsidRPr="00F04F82">
                          <w:rPr>
                            <w:b/>
                            <w:bCs/>
                          </w:rPr>
                          <w:t xml:space="preserve">Important: </w:t>
                        </w:r>
                        <w:r w:rsidRPr="00F04F82">
                          <w:t xml:space="preserve">Do not throw away the pre-filled pen into your household </w:t>
                        </w:r>
                        <w:del w:id="5326" w:author="Author">
                          <w:r w:rsidRPr="00F04F82" w:rsidDel="002A3A53">
                            <w:delText>trash</w:delText>
                          </w:r>
                        </w:del>
                        <w:ins w:id="5327" w:author="Author">
                          <w:r w:rsidR="002A3A53" w:rsidRPr="00F04F82">
                            <w:t>waste</w:t>
                          </w:r>
                        </w:ins>
                        <w:r w:rsidRPr="00F04F82">
                          <w:t>.</w:t>
                        </w:r>
                      </w:p>
                    </w:txbxContent>
                  </v:textbox>
                  <w10:wrap type="square" anchorx="margin"/>
                </v:shape>
              </w:pict>
            </w:r>
          </w:p>
        </w:tc>
      </w:tr>
      <w:tr w:rsidR="00F67EFB" w:rsidRPr="00F04F82" w14:paraId="51F59B0A" w14:textId="77777777" w:rsidTr="00D55B59">
        <w:trPr>
          <w:cantSplit/>
          <w:trHeight w:val="57"/>
          <w:trPrChange w:id="5328" w:author="Author">
            <w:trPr>
              <w:gridBefore w:val="1"/>
              <w:gridAfter w:val="0"/>
              <w:cantSplit/>
              <w:trHeight w:val="57"/>
            </w:trPr>
          </w:trPrChange>
        </w:trPr>
        <w:tc>
          <w:tcPr>
            <w:tcW w:w="383" w:type="pct"/>
            <w:gridSpan w:val="2"/>
            <w:tcBorders>
              <w:top w:val="single" w:sz="4" w:space="0" w:color="auto"/>
              <w:bottom w:val="single" w:sz="4" w:space="0" w:color="auto"/>
              <w:right w:val="single" w:sz="4" w:space="0" w:color="auto"/>
            </w:tcBorders>
            <w:tcMar>
              <w:top w:w="28" w:type="dxa"/>
              <w:left w:w="57" w:type="dxa"/>
              <w:bottom w:w="28" w:type="dxa"/>
              <w:right w:w="57" w:type="dxa"/>
            </w:tcMar>
            <w:tcPrChange w:id="5329" w:author="Author">
              <w:tcPr>
                <w:tcW w:w="383" w:type="pct"/>
                <w:gridSpan w:val="3"/>
                <w:tcBorders>
                  <w:top w:val="single" w:sz="4" w:space="0" w:color="auto"/>
                  <w:bottom w:val="single" w:sz="4" w:space="0" w:color="auto"/>
                  <w:right w:val="single" w:sz="4" w:space="0" w:color="auto"/>
                </w:tcBorders>
                <w:tcMar>
                  <w:top w:w="28" w:type="dxa"/>
                  <w:left w:w="57" w:type="dxa"/>
                  <w:bottom w:w="28" w:type="dxa"/>
                  <w:right w:w="57" w:type="dxa"/>
                </w:tcMar>
              </w:tcPr>
            </w:tcPrChange>
          </w:tcPr>
          <w:p w14:paraId="4E1CC01E" w14:textId="77777777" w:rsidR="00F67EFB" w:rsidRPr="00F04F82" w:rsidRDefault="00F67EFB" w:rsidP="00D47253">
            <w:pPr>
              <w:tabs>
                <w:tab w:val="clear" w:pos="567"/>
              </w:tabs>
              <w:spacing w:line="240" w:lineRule="auto"/>
              <w:rPr>
                <w:b/>
                <w:bCs/>
              </w:rPr>
            </w:pPr>
            <w:r w:rsidRPr="00F04F82">
              <w:rPr>
                <w:b/>
                <w:bCs/>
              </w:rPr>
              <w:t>5a</w:t>
            </w:r>
          </w:p>
        </w:tc>
        <w:tc>
          <w:tcPr>
            <w:tcW w:w="4610" w:type="pct"/>
            <w:tcBorders>
              <w:top w:val="single" w:sz="4" w:space="0" w:color="auto"/>
              <w:left w:val="single" w:sz="4" w:space="0" w:color="auto"/>
              <w:bottom w:val="single" w:sz="4" w:space="0" w:color="auto"/>
            </w:tcBorders>
            <w:tcMar>
              <w:left w:w="0" w:type="dxa"/>
            </w:tcMar>
            <w:tcPrChange w:id="5330" w:author="Author">
              <w:tcPr>
                <w:tcW w:w="4617" w:type="pct"/>
                <w:gridSpan w:val="3"/>
                <w:tcBorders>
                  <w:top w:val="single" w:sz="4" w:space="0" w:color="auto"/>
                  <w:left w:val="single" w:sz="4" w:space="0" w:color="auto"/>
                  <w:bottom w:val="single" w:sz="4" w:space="0" w:color="auto"/>
                </w:tcBorders>
                <w:tcMar>
                  <w:left w:w="0" w:type="dxa"/>
                </w:tcMar>
              </w:tcPr>
            </w:tcPrChange>
          </w:tcPr>
          <w:p w14:paraId="4003197D" w14:textId="63A90B3B" w:rsidR="00F67EFB" w:rsidRPr="00F04F82" w:rsidRDefault="00F67EFB" w:rsidP="00B61D9D">
            <w:pPr>
              <w:spacing w:line="240" w:lineRule="auto"/>
              <w:rPr>
                <w:b/>
                <w:bCs/>
              </w:rPr>
            </w:pPr>
            <w:r w:rsidRPr="00F04F82">
              <w:rPr>
                <w:b/>
                <w:bCs/>
              </w:rPr>
              <w:t xml:space="preserve">Place the used pre-filled pen and yellow cap in </w:t>
            </w:r>
            <w:del w:id="5331" w:author="Author">
              <w:r w:rsidRPr="00F04F82" w:rsidDel="00542331">
                <w:rPr>
                  <w:b/>
                  <w:bCs/>
                </w:rPr>
                <w:delText>the</w:delText>
              </w:r>
            </w:del>
            <w:ins w:id="5332" w:author="Author">
              <w:r w:rsidR="00542331" w:rsidRPr="00F04F82">
                <w:rPr>
                  <w:b/>
                  <w:bCs/>
                </w:rPr>
                <w:t>a</w:t>
              </w:r>
            </w:ins>
            <w:r w:rsidRPr="00F04F82">
              <w:rPr>
                <w:b/>
                <w:bCs/>
              </w:rPr>
              <w:t xml:space="preserve"> sharps</w:t>
            </w:r>
            <w:ins w:id="5333" w:author="Author">
              <w:r w:rsidR="0035513C" w:rsidRPr="00F04F82">
                <w:rPr>
                  <w:b/>
                  <w:bCs/>
                </w:rPr>
                <w:t xml:space="preserve"> disposal</w:t>
              </w:r>
            </w:ins>
            <w:r w:rsidRPr="00F04F82">
              <w:rPr>
                <w:b/>
                <w:bCs/>
              </w:rPr>
              <w:t xml:space="preserve"> container</w:t>
            </w:r>
            <w:ins w:id="5334" w:author="Author">
              <w:r w:rsidR="00D65EE1" w:rsidRPr="00F04F82">
                <w:rPr>
                  <w:b/>
                  <w:bCs/>
                </w:rPr>
                <w:t xml:space="preserve"> right away after use</w:t>
              </w:r>
              <w:r w:rsidR="00486313" w:rsidRPr="00F04F82">
                <w:rPr>
                  <w:b/>
                  <w:bCs/>
                </w:rPr>
                <w:t>.</w:t>
              </w:r>
            </w:ins>
          </w:p>
        </w:tc>
      </w:tr>
      <w:tr w:rsidR="00F67EFB" w:rsidRPr="00F04F82" w14:paraId="1237F5B1" w14:textId="77777777" w:rsidTr="00D55B59">
        <w:trPr>
          <w:cantSplit/>
          <w:trHeight w:val="57"/>
          <w:trPrChange w:id="5335" w:author="Author">
            <w:trPr>
              <w:gridBefore w:val="1"/>
              <w:gridAfter w:val="0"/>
              <w:cantSplit/>
              <w:trHeight w:val="57"/>
            </w:trPr>
          </w:trPrChange>
        </w:trPr>
        <w:tc>
          <w:tcPr>
            <w:tcW w:w="383" w:type="pct"/>
            <w:gridSpan w:val="2"/>
            <w:tcBorders>
              <w:top w:val="single" w:sz="4" w:space="0" w:color="auto"/>
              <w:bottom w:val="nil"/>
              <w:right w:val="nil"/>
            </w:tcBorders>
            <w:tcMar>
              <w:top w:w="28" w:type="dxa"/>
              <w:left w:w="57" w:type="dxa"/>
              <w:bottom w:w="28" w:type="dxa"/>
              <w:right w:w="57" w:type="dxa"/>
            </w:tcMar>
            <w:tcPrChange w:id="5336" w:author="Author">
              <w:tcPr>
                <w:tcW w:w="383" w:type="pct"/>
                <w:gridSpan w:val="3"/>
                <w:tcBorders>
                  <w:top w:val="single" w:sz="4" w:space="0" w:color="auto"/>
                  <w:bottom w:val="nil"/>
                  <w:right w:val="nil"/>
                </w:tcBorders>
                <w:tcMar>
                  <w:top w:w="28" w:type="dxa"/>
                  <w:left w:w="57" w:type="dxa"/>
                  <w:bottom w:w="28" w:type="dxa"/>
                  <w:right w:w="57" w:type="dxa"/>
                </w:tcMar>
              </w:tcPr>
            </w:tcPrChange>
          </w:tcPr>
          <w:p w14:paraId="5649A52D" w14:textId="77777777" w:rsidR="00F67EFB" w:rsidRPr="00F04F82" w:rsidRDefault="00F67EFB">
            <w:pPr>
              <w:numPr>
                <w:ilvl w:val="0"/>
                <w:numId w:val="46"/>
              </w:numPr>
              <w:tabs>
                <w:tab w:val="clear" w:pos="567"/>
              </w:tabs>
              <w:spacing w:line="240" w:lineRule="auto"/>
              <w:ind w:left="567" w:hanging="567"/>
            </w:pPr>
          </w:p>
        </w:tc>
        <w:tc>
          <w:tcPr>
            <w:tcW w:w="4610" w:type="pct"/>
            <w:tcBorders>
              <w:top w:val="single" w:sz="4" w:space="0" w:color="auto"/>
              <w:left w:val="nil"/>
              <w:bottom w:val="nil"/>
            </w:tcBorders>
            <w:tcMar>
              <w:left w:w="0" w:type="dxa"/>
            </w:tcMar>
            <w:tcPrChange w:id="5337" w:author="Author">
              <w:tcPr>
                <w:tcW w:w="4617" w:type="pct"/>
                <w:gridSpan w:val="3"/>
                <w:tcBorders>
                  <w:top w:val="single" w:sz="4" w:space="0" w:color="auto"/>
                  <w:left w:val="nil"/>
                  <w:bottom w:val="nil"/>
                </w:tcBorders>
                <w:tcMar>
                  <w:left w:w="0" w:type="dxa"/>
                </w:tcMar>
              </w:tcPr>
            </w:tcPrChange>
          </w:tcPr>
          <w:p w14:paraId="62528151" w14:textId="40CDC5F7" w:rsidR="00F67EFB" w:rsidRPr="00F04F82" w:rsidRDefault="00F67EFB" w:rsidP="00B61D9D">
            <w:pPr>
              <w:spacing w:line="240" w:lineRule="auto"/>
              <w:rPr>
                <w:b/>
                <w:bCs/>
              </w:rPr>
            </w:pPr>
            <w:r w:rsidRPr="00F04F82">
              <w:rPr>
                <w:b/>
                <w:bCs/>
              </w:rPr>
              <w:t xml:space="preserve">Do not </w:t>
            </w:r>
            <w:r w:rsidRPr="00F04F82">
              <w:t>re-use the pre-filled pen</w:t>
            </w:r>
            <w:ins w:id="5338" w:author="Author">
              <w:r w:rsidR="008447AB" w:rsidRPr="00F04F82">
                <w:t>.</w:t>
              </w:r>
            </w:ins>
          </w:p>
        </w:tc>
      </w:tr>
      <w:tr w:rsidR="00F67EFB" w:rsidRPr="00F04F82" w14:paraId="20F04925" w14:textId="77777777" w:rsidTr="00D55B59">
        <w:trPr>
          <w:cantSplit/>
          <w:trHeight w:val="57"/>
          <w:trPrChange w:id="5339" w:author="Author">
            <w:trPr>
              <w:gridBefore w:val="2"/>
              <w:cantSplit/>
              <w:trHeight w:val="57"/>
            </w:trPr>
          </w:trPrChange>
        </w:trPr>
        <w:tc>
          <w:tcPr>
            <w:tcW w:w="383" w:type="pct"/>
            <w:gridSpan w:val="2"/>
            <w:tcBorders>
              <w:top w:val="nil"/>
              <w:bottom w:val="single" w:sz="4" w:space="0" w:color="auto"/>
              <w:right w:val="nil"/>
            </w:tcBorders>
            <w:tcMar>
              <w:top w:w="28" w:type="dxa"/>
              <w:left w:w="57" w:type="dxa"/>
              <w:bottom w:w="28" w:type="dxa"/>
              <w:right w:w="57" w:type="dxa"/>
            </w:tcMar>
            <w:tcPrChange w:id="5340" w:author="Author">
              <w:tcPr>
                <w:tcW w:w="383" w:type="pct"/>
                <w:gridSpan w:val="3"/>
                <w:tcBorders>
                  <w:top w:val="nil"/>
                  <w:bottom w:val="nil"/>
                  <w:right w:val="nil"/>
                </w:tcBorders>
                <w:tcMar>
                  <w:top w:w="28" w:type="dxa"/>
                  <w:left w:w="57" w:type="dxa"/>
                  <w:bottom w:w="28" w:type="dxa"/>
                  <w:right w:w="57" w:type="dxa"/>
                </w:tcMar>
              </w:tcPr>
            </w:tcPrChange>
          </w:tcPr>
          <w:p w14:paraId="07D9450C" w14:textId="77777777" w:rsidR="00F67EFB" w:rsidRPr="00F04F82" w:rsidRDefault="00F67EFB">
            <w:pPr>
              <w:numPr>
                <w:ilvl w:val="0"/>
                <w:numId w:val="46"/>
              </w:numPr>
              <w:tabs>
                <w:tab w:val="clear" w:pos="567"/>
              </w:tabs>
              <w:spacing w:line="240" w:lineRule="auto"/>
              <w:ind w:left="567" w:hanging="567"/>
            </w:pPr>
          </w:p>
        </w:tc>
        <w:tc>
          <w:tcPr>
            <w:tcW w:w="4610" w:type="pct"/>
            <w:tcBorders>
              <w:top w:val="nil"/>
              <w:left w:val="nil"/>
              <w:bottom w:val="single" w:sz="4" w:space="0" w:color="auto"/>
            </w:tcBorders>
            <w:tcMar>
              <w:left w:w="0" w:type="dxa"/>
            </w:tcMar>
            <w:tcPrChange w:id="5341" w:author="Author">
              <w:tcPr>
                <w:tcW w:w="4617" w:type="pct"/>
                <w:gridSpan w:val="3"/>
                <w:tcBorders>
                  <w:top w:val="nil"/>
                  <w:left w:val="nil"/>
                  <w:bottom w:val="nil"/>
                </w:tcBorders>
                <w:tcMar>
                  <w:left w:w="0" w:type="dxa"/>
                </w:tcMar>
              </w:tcPr>
            </w:tcPrChange>
          </w:tcPr>
          <w:p w14:paraId="353A8440" w14:textId="705B8A87" w:rsidR="00F67EFB" w:rsidRPr="00F04F82" w:rsidRDefault="00F67EFB" w:rsidP="00B61D9D">
            <w:pPr>
              <w:spacing w:line="240" w:lineRule="auto"/>
              <w:rPr>
                <w:b/>
                <w:bCs/>
              </w:rPr>
            </w:pPr>
            <w:r w:rsidRPr="00F04F82">
              <w:rPr>
                <w:b/>
                <w:bCs/>
              </w:rPr>
              <w:t xml:space="preserve">Do not </w:t>
            </w:r>
            <w:r w:rsidRPr="00F04F82">
              <w:t>touch the cream</w:t>
            </w:r>
            <w:r w:rsidR="00FA2540" w:rsidRPr="00F04F82">
              <w:t>-coloured</w:t>
            </w:r>
            <w:r w:rsidRPr="00F04F82">
              <w:t xml:space="preserve"> safety guard</w:t>
            </w:r>
            <w:ins w:id="5342" w:author="Author">
              <w:r w:rsidR="008447AB" w:rsidRPr="00F04F82">
                <w:t>.</w:t>
              </w:r>
            </w:ins>
          </w:p>
        </w:tc>
      </w:tr>
      <w:tr w:rsidR="00135818" w:rsidRPr="00F04F82" w14:paraId="76D70402" w14:textId="77777777" w:rsidTr="00D55B59">
        <w:trPr>
          <w:gridBefore w:val="1"/>
          <w:cantSplit/>
          <w:trHeight w:val="57"/>
          <w:ins w:id="5343" w:author="Author"/>
          <w:trPrChange w:id="5344" w:author="Author">
            <w:trPr>
              <w:gridBefore w:val="2"/>
              <w:cantSplit/>
              <w:trHeight w:val="57"/>
            </w:trPr>
          </w:trPrChange>
        </w:trPr>
        <w:tc>
          <w:tcPr>
            <w:tcW w:w="5000" w:type="pct"/>
            <w:gridSpan w:val="2"/>
            <w:tcBorders>
              <w:top w:val="single" w:sz="4" w:space="0" w:color="auto"/>
              <w:left w:val="nil"/>
              <w:bottom w:val="nil"/>
              <w:right w:val="nil"/>
            </w:tcBorders>
            <w:tcMar>
              <w:top w:w="28" w:type="dxa"/>
              <w:left w:w="57" w:type="dxa"/>
              <w:bottom w:w="28" w:type="dxa"/>
              <w:right w:w="57" w:type="dxa"/>
            </w:tcMar>
            <w:tcPrChange w:id="5345" w:author="Author">
              <w:tcPr>
                <w:tcW w:w="5000" w:type="pct"/>
                <w:gridSpan w:val="6"/>
                <w:tcBorders>
                  <w:top w:val="nil"/>
                  <w:bottom w:val="nil"/>
                </w:tcBorders>
                <w:tcMar>
                  <w:top w:w="28" w:type="dxa"/>
                  <w:left w:w="57" w:type="dxa"/>
                  <w:bottom w:w="28" w:type="dxa"/>
                  <w:right w:w="57" w:type="dxa"/>
                </w:tcMar>
              </w:tcPr>
            </w:tcPrChange>
          </w:tcPr>
          <w:p w14:paraId="75E89632" w14:textId="77777777" w:rsidR="00135818" w:rsidRPr="00F04F82" w:rsidRDefault="00135818" w:rsidP="00B61D9D">
            <w:pPr>
              <w:spacing w:line="240" w:lineRule="auto"/>
              <w:rPr>
                <w:ins w:id="5346" w:author="Author"/>
                <w:b/>
                <w:bCs/>
              </w:rPr>
            </w:pPr>
          </w:p>
        </w:tc>
      </w:tr>
      <w:tr w:rsidR="00F67EFB" w:rsidRPr="00F04F82" w14:paraId="39269DF4" w14:textId="77777777" w:rsidTr="00D55B59">
        <w:trPr>
          <w:cantSplit/>
          <w:trHeight w:val="57"/>
          <w:trPrChange w:id="5347" w:author="Author">
            <w:trPr>
              <w:gridBefore w:val="1"/>
              <w:gridAfter w:val="0"/>
              <w:cantSplit/>
              <w:trHeight w:val="57"/>
            </w:trPr>
          </w:trPrChange>
        </w:trPr>
        <w:tc>
          <w:tcPr>
            <w:tcW w:w="383" w:type="pct"/>
            <w:gridSpan w:val="2"/>
            <w:tcBorders>
              <w:top w:val="single" w:sz="4" w:space="0" w:color="auto"/>
              <w:bottom w:val="single" w:sz="4" w:space="0" w:color="auto"/>
              <w:right w:val="single" w:sz="4" w:space="0" w:color="auto"/>
            </w:tcBorders>
            <w:tcMar>
              <w:top w:w="28" w:type="dxa"/>
              <w:left w:w="57" w:type="dxa"/>
              <w:bottom w:w="28" w:type="dxa"/>
              <w:right w:w="57" w:type="dxa"/>
            </w:tcMar>
            <w:tcPrChange w:id="5348" w:author="Author">
              <w:tcPr>
                <w:tcW w:w="383" w:type="pct"/>
                <w:gridSpan w:val="3"/>
                <w:tcBorders>
                  <w:top w:val="single" w:sz="4" w:space="0" w:color="auto"/>
                  <w:bottom w:val="single" w:sz="4" w:space="0" w:color="auto"/>
                  <w:right w:val="single" w:sz="4" w:space="0" w:color="auto"/>
                </w:tcBorders>
                <w:tcMar>
                  <w:top w:w="28" w:type="dxa"/>
                  <w:left w:w="57" w:type="dxa"/>
                  <w:bottom w:w="28" w:type="dxa"/>
                  <w:right w:w="57" w:type="dxa"/>
                </w:tcMar>
              </w:tcPr>
            </w:tcPrChange>
          </w:tcPr>
          <w:p w14:paraId="6B494AD6" w14:textId="77777777" w:rsidR="00F67EFB" w:rsidRPr="00F04F82" w:rsidRDefault="00F67EFB" w:rsidP="00D47253">
            <w:pPr>
              <w:tabs>
                <w:tab w:val="clear" w:pos="567"/>
              </w:tabs>
              <w:spacing w:line="240" w:lineRule="auto"/>
            </w:pPr>
            <w:r w:rsidRPr="00F04F82">
              <w:rPr>
                <w:b/>
                <w:bCs/>
              </w:rPr>
              <w:t>5b</w:t>
            </w:r>
          </w:p>
        </w:tc>
        <w:tc>
          <w:tcPr>
            <w:tcW w:w="4610" w:type="pct"/>
            <w:tcBorders>
              <w:top w:val="single" w:sz="4" w:space="0" w:color="auto"/>
              <w:left w:val="single" w:sz="4" w:space="0" w:color="auto"/>
              <w:bottom w:val="single" w:sz="4" w:space="0" w:color="auto"/>
            </w:tcBorders>
            <w:tcMar>
              <w:left w:w="0" w:type="dxa"/>
            </w:tcMar>
            <w:tcPrChange w:id="5349" w:author="Author">
              <w:tcPr>
                <w:tcW w:w="4617" w:type="pct"/>
                <w:gridSpan w:val="3"/>
                <w:tcBorders>
                  <w:top w:val="single" w:sz="4" w:space="0" w:color="auto"/>
                  <w:left w:val="single" w:sz="4" w:space="0" w:color="auto"/>
                  <w:bottom w:val="single" w:sz="4" w:space="0" w:color="auto"/>
                </w:tcBorders>
                <w:tcMar>
                  <w:left w:w="0" w:type="dxa"/>
                </w:tcMar>
              </w:tcPr>
            </w:tcPrChange>
          </w:tcPr>
          <w:p w14:paraId="75C8F331" w14:textId="2FD47416" w:rsidR="00F67EFB" w:rsidRPr="00F04F82" w:rsidRDefault="00F67EFB" w:rsidP="00B61D9D">
            <w:pPr>
              <w:spacing w:line="240" w:lineRule="auto"/>
              <w:rPr>
                <w:b/>
                <w:bCs/>
              </w:rPr>
            </w:pPr>
            <w:r w:rsidRPr="00F04F82">
              <w:rPr>
                <w:b/>
                <w:bCs/>
              </w:rPr>
              <w:t>Check</w:t>
            </w:r>
            <w:ins w:id="5350" w:author="Author">
              <w:r w:rsidR="008447AB" w:rsidRPr="00F04F82">
                <w:rPr>
                  <w:b/>
                  <w:bCs/>
                </w:rPr>
                <w:t xml:space="preserve"> the</w:t>
              </w:r>
            </w:ins>
            <w:r w:rsidRPr="00F04F82">
              <w:rPr>
                <w:b/>
                <w:bCs/>
              </w:rPr>
              <w:t xml:space="preserve"> injection site.</w:t>
            </w:r>
          </w:p>
        </w:tc>
      </w:tr>
      <w:tr w:rsidR="00F67EFB" w:rsidRPr="00F04F82" w14:paraId="7A1425AB" w14:textId="77777777" w:rsidTr="00D55B59">
        <w:trPr>
          <w:cantSplit/>
          <w:trHeight w:val="57"/>
          <w:trPrChange w:id="5351" w:author="Author">
            <w:trPr>
              <w:gridBefore w:val="1"/>
              <w:gridAfter w:val="0"/>
              <w:cantSplit/>
              <w:trHeight w:val="57"/>
            </w:trPr>
          </w:trPrChange>
        </w:trPr>
        <w:tc>
          <w:tcPr>
            <w:tcW w:w="383" w:type="pct"/>
            <w:gridSpan w:val="2"/>
            <w:tcBorders>
              <w:top w:val="single" w:sz="4" w:space="0" w:color="auto"/>
              <w:bottom w:val="nil"/>
              <w:right w:val="nil"/>
            </w:tcBorders>
            <w:tcMar>
              <w:top w:w="28" w:type="dxa"/>
              <w:left w:w="57" w:type="dxa"/>
              <w:bottom w:w="28" w:type="dxa"/>
              <w:right w:w="57" w:type="dxa"/>
            </w:tcMar>
            <w:tcPrChange w:id="5352" w:author="Author">
              <w:tcPr>
                <w:tcW w:w="383" w:type="pct"/>
                <w:gridSpan w:val="3"/>
                <w:tcBorders>
                  <w:top w:val="single" w:sz="4" w:space="0" w:color="auto"/>
                  <w:bottom w:val="nil"/>
                  <w:right w:val="nil"/>
                </w:tcBorders>
                <w:tcMar>
                  <w:top w:w="28" w:type="dxa"/>
                  <w:left w:w="57" w:type="dxa"/>
                  <w:bottom w:w="28" w:type="dxa"/>
                  <w:right w:w="57" w:type="dxa"/>
                </w:tcMar>
              </w:tcPr>
            </w:tcPrChange>
          </w:tcPr>
          <w:p w14:paraId="19867CEC" w14:textId="77777777" w:rsidR="00F67EFB" w:rsidRPr="00F04F82" w:rsidRDefault="00F67EFB">
            <w:pPr>
              <w:numPr>
                <w:ilvl w:val="0"/>
                <w:numId w:val="46"/>
              </w:numPr>
              <w:tabs>
                <w:tab w:val="clear" w:pos="567"/>
              </w:tabs>
              <w:spacing w:line="240" w:lineRule="auto"/>
              <w:ind w:left="567" w:hanging="567"/>
            </w:pPr>
          </w:p>
        </w:tc>
        <w:tc>
          <w:tcPr>
            <w:tcW w:w="4610" w:type="pct"/>
            <w:tcBorders>
              <w:top w:val="single" w:sz="4" w:space="0" w:color="auto"/>
              <w:left w:val="nil"/>
              <w:bottom w:val="nil"/>
            </w:tcBorders>
            <w:tcMar>
              <w:left w:w="0" w:type="dxa"/>
            </w:tcMar>
            <w:tcPrChange w:id="5353" w:author="Author">
              <w:tcPr>
                <w:tcW w:w="4617" w:type="pct"/>
                <w:gridSpan w:val="3"/>
                <w:tcBorders>
                  <w:top w:val="single" w:sz="4" w:space="0" w:color="auto"/>
                  <w:left w:val="nil"/>
                  <w:bottom w:val="nil"/>
                </w:tcBorders>
                <w:tcMar>
                  <w:left w:w="0" w:type="dxa"/>
                </w:tcMar>
              </w:tcPr>
            </w:tcPrChange>
          </w:tcPr>
          <w:p w14:paraId="5773370F" w14:textId="77777777" w:rsidR="00F67EFB" w:rsidRPr="00F04F82" w:rsidRDefault="00F67EFB" w:rsidP="00B61D9D">
            <w:pPr>
              <w:spacing w:line="240" w:lineRule="auto"/>
              <w:rPr>
                <w:b/>
                <w:bCs/>
              </w:rPr>
            </w:pPr>
            <w:r w:rsidRPr="00F04F82">
              <w:rPr>
                <w:b/>
                <w:bCs/>
              </w:rPr>
              <w:t>Do not</w:t>
            </w:r>
            <w:r w:rsidRPr="00F04F82">
              <w:t xml:space="preserve"> rub the injection site. </w:t>
            </w:r>
          </w:p>
        </w:tc>
      </w:tr>
      <w:tr w:rsidR="00F67EFB" w:rsidRPr="00F04F82" w14:paraId="1697DFE8" w14:textId="77777777" w:rsidTr="00D55B59">
        <w:trPr>
          <w:cantSplit/>
          <w:trHeight w:val="57"/>
          <w:trPrChange w:id="5354" w:author="Author">
            <w:trPr>
              <w:gridBefore w:val="1"/>
              <w:gridAfter w:val="0"/>
              <w:cantSplit/>
              <w:trHeight w:val="57"/>
            </w:trPr>
          </w:trPrChange>
        </w:trPr>
        <w:tc>
          <w:tcPr>
            <w:tcW w:w="383" w:type="pct"/>
            <w:gridSpan w:val="2"/>
            <w:tcBorders>
              <w:top w:val="nil"/>
              <w:bottom w:val="single" w:sz="4" w:space="0" w:color="auto"/>
              <w:right w:val="nil"/>
            </w:tcBorders>
            <w:tcMar>
              <w:top w:w="28" w:type="dxa"/>
              <w:left w:w="57" w:type="dxa"/>
              <w:bottom w:w="28" w:type="dxa"/>
              <w:right w:w="57" w:type="dxa"/>
            </w:tcMar>
            <w:tcPrChange w:id="5355" w:author="Author">
              <w:tcPr>
                <w:tcW w:w="383" w:type="pct"/>
                <w:gridSpan w:val="3"/>
                <w:tcBorders>
                  <w:top w:val="nil"/>
                  <w:bottom w:val="single" w:sz="4" w:space="0" w:color="auto"/>
                  <w:right w:val="nil"/>
                </w:tcBorders>
                <w:tcMar>
                  <w:top w:w="28" w:type="dxa"/>
                  <w:left w:w="57" w:type="dxa"/>
                  <w:bottom w:w="28" w:type="dxa"/>
                  <w:right w:w="57" w:type="dxa"/>
                </w:tcMar>
              </w:tcPr>
            </w:tcPrChange>
          </w:tcPr>
          <w:p w14:paraId="71F60E8C" w14:textId="77777777" w:rsidR="00F67EFB" w:rsidRPr="00F04F82" w:rsidRDefault="00F67EFB">
            <w:pPr>
              <w:numPr>
                <w:ilvl w:val="0"/>
                <w:numId w:val="46"/>
              </w:numPr>
              <w:tabs>
                <w:tab w:val="clear" w:pos="567"/>
              </w:tabs>
              <w:spacing w:line="240" w:lineRule="auto"/>
              <w:ind w:left="567" w:hanging="567"/>
            </w:pPr>
          </w:p>
        </w:tc>
        <w:tc>
          <w:tcPr>
            <w:tcW w:w="4610" w:type="pct"/>
            <w:tcBorders>
              <w:top w:val="nil"/>
              <w:left w:val="nil"/>
              <w:bottom w:val="single" w:sz="4" w:space="0" w:color="auto"/>
            </w:tcBorders>
            <w:tcMar>
              <w:left w:w="0" w:type="dxa"/>
            </w:tcMar>
            <w:tcPrChange w:id="5356" w:author="Author">
              <w:tcPr>
                <w:tcW w:w="4617" w:type="pct"/>
                <w:gridSpan w:val="3"/>
                <w:tcBorders>
                  <w:top w:val="nil"/>
                  <w:left w:val="nil"/>
                  <w:bottom w:val="single" w:sz="4" w:space="0" w:color="auto"/>
                </w:tcBorders>
                <w:tcMar>
                  <w:left w:w="0" w:type="dxa"/>
                </w:tcMar>
              </w:tcPr>
            </w:tcPrChange>
          </w:tcPr>
          <w:p w14:paraId="079913C3" w14:textId="77777777" w:rsidR="00F67EFB" w:rsidRPr="00F04F82" w:rsidRDefault="00F67EFB" w:rsidP="00B61D9D">
            <w:pPr>
              <w:spacing w:line="240" w:lineRule="auto"/>
              <w:rPr>
                <w:b/>
                <w:bCs/>
              </w:rPr>
            </w:pPr>
            <w:r w:rsidRPr="00F04F82">
              <w:t>If there is blood, press a cotton ball or gauze pad on your injection site. Apply a</w:t>
            </w:r>
            <w:del w:id="5357" w:author="Author">
              <w:r w:rsidRPr="00F04F82" w:rsidDel="002734BF">
                <w:delText>n</w:delText>
              </w:r>
            </w:del>
            <w:r w:rsidRPr="00F04F82">
              <w:t xml:space="preserve"> plaster if necessary.</w:t>
            </w:r>
          </w:p>
        </w:tc>
      </w:tr>
    </w:tbl>
    <w:p w14:paraId="13CA8426" w14:textId="3BD10337" w:rsidR="00F67EFB" w:rsidRDefault="00F67EFB" w:rsidP="00B61D9D">
      <w:pPr>
        <w:tabs>
          <w:tab w:val="clear" w:pos="567"/>
        </w:tabs>
        <w:suppressAutoHyphens/>
        <w:autoSpaceDE w:val="0"/>
        <w:autoSpaceDN w:val="0"/>
        <w:adjustRightInd w:val="0"/>
        <w:spacing w:line="240" w:lineRule="auto"/>
        <w:contextualSpacing/>
        <w:textAlignment w:val="center"/>
        <w:rPr>
          <w:szCs w:val="22"/>
          <w:highlight w:val="lightGray"/>
        </w:rPr>
      </w:pPr>
    </w:p>
    <w:p w14:paraId="1B9329A0" w14:textId="36C7407C" w:rsidR="007E0028" w:rsidRPr="00F04F82" w:rsidRDefault="007E0028" w:rsidP="00077AFF">
      <w:pPr>
        <w:pageBreakBefore/>
        <w:tabs>
          <w:tab w:val="clear" w:pos="567"/>
        </w:tabs>
        <w:spacing w:line="240" w:lineRule="auto"/>
        <w:jc w:val="center"/>
        <w:outlineLvl w:val="0"/>
      </w:pPr>
      <w:r w:rsidRPr="00F04F82">
        <w:rPr>
          <w:b/>
        </w:rPr>
        <w:t>Package leaflet: Information for the user</w:t>
      </w:r>
      <w:r w:rsidR="001C55FB" w:rsidRPr="00F04F82">
        <w:rPr>
          <w:b/>
        </w:rPr>
        <w:fldChar w:fldCharType="begin"/>
      </w:r>
      <w:r w:rsidR="001C55FB" w:rsidRPr="00F04F82">
        <w:rPr>
          <w:b/>
        </w:rPr>
        <w:instrText xml:space="preserve"> DOCVARIABLE vault_nd_2b652464-5212-4dde-9240-01726b1f4106 \* MERGEFORMAT </w:instrText>
      </w:r>
      <w:r w:rsidR="001C55FB" w:rsidRPr="00F04F82">
        <w:rPr>
          <w:b/>
        </w:rPr>
        <w:fldChar w:fldCharType="separate"/>
      </w:r>
      <w:r w:rsidR="001C55FB" w:rsidRPr="00F04F82">
        <w:rPr>
          <w:b/>
        </w:rPr>
        <w:t xml:space="preserve"> </w:t>
      </w:r>
      <w:r w:rsidR="001C55FB" w:rsidRPr="00F04F82">
        <w:rPr>
          <w:b/>
        </w:rPr>
        <w:fldChar w:fldCharType="end"/>
      </w:r>
    </w:p>
    <w:p w14:paraId="77B0B25E" w14:textId="77777777" w:rsidR="007E0028" w:rsidRPr="00F04F82" w:rsidRDefault="007E0028" w:rsidP="00077AFF">
      <w:pPr>
        <w:numPr>
          <w:ilvl w:val="12"/>
          <w:numId w:val="0"/>
        </w:numPr>
        <w:shd w:val="clear" w:color="auto" w:fill="FFFFFF"/>
        <w:tabs>
          <w:tab w:val="clear" w:pos="567"/>
        </w:tabs>
        <w:spacing w:line="240" w:lineRule="auto"/>
        <w:jc w:val="center"/>
      </w:pPr>
    </w:p>
    <w:p w14:paraId="3338BB94" w14:textId="1BA1C511" w:rsidR="007E0028" w:rsidRPr="00F04F82" w:rsidRDefault="007E0028" w:rsidP="00077AFF">
      <w:pPr>
        <w:tabs>
          <w:tab w:val="left" w:pos="993"/>
        </w:tabs>
        <w:spacing w:line="240" w:lineRule="auto"/>
        <w:jc w:val="center"/>
        <w:outlineLvl w:val="0"/>
        <w:rPr>
          <w:b/>
        </w:rPr>
      </w:pPr>
      <w:r w:rsidRPr="00F04F82">
        <w:rPr>
          <w:b/>
        </w:rPr>
        <w:t>AMGEVITA</w:t>
      </w:r>
      <w:r w:rsidRPr="00F04F82" w:rsidDel="006B71D6">
        <w:rPr>
          <w:b/>
        </w:rPr>
        <w:t xml:space="preserve"> </w:t>
      </w:r>
      <w:r w:rsidRPr="00F04F82">
        <w:rPr>
          <w:b/>
        </w:rPr>
        <w:t>80 mg solution for injection in pre-filled pen</w:t>
      </w:r>
      <w:r w:rsidR="001C55FB" w:rsidRPr="00F04F82">
        <w:rPr>
          <w:b/>
        </w:rPr>
        <w:fldChar w:fldCharType="begin"/>
      </w:r>
      <w:r w:rsidR="001C55FB" w:rsidRPr="00F04F82">
        <w:rPr>
          <w:b/>
        </w:rPr>
        <w:instrText xml:space="preserve"> DOCVARIABLE vault_nd_98898dcd-5a2f-4fc5-8c99-2f445da0639b \* MERGEFORMAT </w:instrText>
      </w:r>
      <w:r w:rsidR="001C55FB" w:rsidRPr="00F04F82">
        <w:rPr>
          <w:b/>
        </w:rPr>
        <w:fldChar w:fldCharType="separate"/>
      </w:r>
      <w:r w:rsidR="001C55FB" w:rsidRPr="00F04F82">
        <w:rPr>
          <w:b/>
        </w:rPr>
        <w:t xml:space="preserve"> </w:t>
      </w:r>
      <w:r w:rsidR="001C55FB" w:rsidRPr="00F04F82">
        <w:rPr>
          <w:b/>
        </w:rPr>
        <w:fldChar w:fldCharType="end"/>
      </w:r>
    </w:p>
    <w:p w14:paraId="2280FE53" w14:textId="77777777" w:rsidR="007E0028" w:rsidRPr="00F04F82" w:rsidRDefault="007E0028" w:rsidP="00077AFF">
      <w:pPr>
        <w:numPr>
          <w:ilvl w:val="12"/>
          <w:numId w:val="0"/>
        </w:numPr>
        <w:tabs>
          <w:tab w:val="clear" w:pos="567"/>
        </w:tabs>
        <w:spacing w:line="240" w:lineRule="auto"/>
        <w:jc w:val="center"/>
      </w:pPr>
      <w:r w:rsidRPr="00F04F82">
        <w:t>adalimumab</w:t>
      </w:r>
    </w:p>
    <w:p w14:paraId="49A97CA9" w14:textId="77777777" w:rsidR="007E0028" w:rsidRPr="00F04F82" w:rsidRDefault="007E0028" w:rsidP="00077AFF">
      <w:pPr>
        <w:tabs>
          <w:tab w:val="clear" w:pos="567"/>
        </w:tabs>
        <w:spacing w:line="240" w:lineRule="auto"/>
      </w:pPr>
    </w:p>
    <w:p w14:paraId="06203651" w14:textId="77777777" w:rsidR="007E0028" w:rsidRPr="00F04F82" w:rsidRDefault="007E0028" w:rsidP="00077AFF">
      <w:pPr>
        <w:tabs>
          <w:tab w:val="clear" w:pos="567"/>
        </w:tabs>
        <w:suppressAutoHyphens/>
        <w:spacing w:line="240" w:lineRule="auto"/>
        <w:rPr>
          <w:b/>
        </w:rPr>
      </w:pPr>
    </w:p>
    <w:p w14:paraId="1CD06984" w14:textId="77777777" w:rsidR="007E0028" w:rsidRPr="00F04F82" w:rsidRDefault="007E0028" w:rsidP="00077AFF">
      <w:pPr>
        <w:tabs>
          <w:tab w:val="clear" w:pos="567"/>
        </w:tabs>
        <w:suppressAutoHyphens/>
        <w:spacing w:line="240" w:lineRule="auto"/>
      </w:pPr>
      <w:r w:rsidRPr="00F04F82">
        <w:rPr>
          <w:b/>
        </w:rPr>
        <w:t>Read all of this leaflet carefully before you start using this medicine because it contains important information for you.</w:t>
      </w:r>
    </w:p>
    <w:p w14:paraId="026CA740" w14:textId="77777777" w:rsidR="007E0028" w:rsidRPr="00F04F82" w:rsidRDefault="007E0028" w:rsidP="00882492">
      <w:pPr>
        <w:numPr>
          <w:ilvl w:val="0"/>
          <w:numId w:val="3"/>
        </w:numPr>
        <w:spacing w:line="240" w:lineRule="auto"/>
        <w:ind w:left="567" w:hanging="567"/>
      </w:pPr>
      <w:r w:rsidRPr="00F04F82">
        <w:t xml:space="preserve">Keep this leaflet. You may need to read it again. </w:t>
      </w:r>
    </w:p>
    <w:p w14:paraId="1D5901DE" w14:textId="77777777" w:rsidR="007E0028" w:rsidRPr="00D55B59" w:rsidRDefault="007E0028" w:rsidP="00882492">
      <w:pPr>
        <w:pStyle w:val="Default"/>
        <w:numPr>
          <w:ilvl w:val="0"/>
          <w:numId w:val="3"/>
        </w:numPr>
        <w:tabs>
          <w:tab w:val="left" w:pos="567"/>
        </w:tabs>
        <w:ind w:left="567" w:hanging="567"/>
        <w:rPr>
          <w:sz w:val="22"/>
          <w:szCs w:val="22"/>
          <w:lang w:val="en-GB"/>
          <w:rPrChange w:id="5358" w:author="Author">
            <w:rPr>
              <w:sz w:val="22"/>
              <w:szCs w:val="22"/>
            </w:rPr>
          </w:rPrChange>
        </w:rPr>
      </w:pPr>
      <w:r w:rsidRPr="00D55B59">
        <w:rPr>
          <w:sz w:val="22"/>
          <w:szCs w:val="22"/>
          <w:lang w:val="en-GB"/>
          <w:rPrChange w:id="5359" w:author="Author">
            <w:rPr>
              <w:sz w:val="22"/>
              <w:szCs w:val="22"/>
            </w:rPr>
          </w:rPrChange>
        </w:rPr>
        <w:t xml:space="preserve">Your doctor will also give you a </w:t>
      </w:r>
      <w:r w:rsidRPr="00D55B59">
        <w:rPr>
          <w:b/>
          <w:sz w:val="22"/>
          <w:szCs w:val="22"/>
          <w:lang w:val="en-GB"/>
          <w:rPrChange w:id="5360" w:author="Author">
            <w:rPr>
              <w:b/>
              <w:sz w:val="22"/>
              <w:szCs w:val="22"/>
            </w:rPr>
          </w:rPrChange>
        </w:rPr>
        <w:t>Patient Reminder Card</w:t>
      </w:r>
      <w:r w:rsidRPr="00D55B59">
        <w:rPr>
          <w:sz w:val="22"/>
          <w:szCs w:val="22"/>
          <w:lang w:val="en-GB"/>
          <w:rPrChange w:id="5361" w:author="Author">
            <w:rPr>
              <w:sz w:val="22"/>
              <w:szCs w:val="22"/>
            </w:rPr>
          </w:rPrChange>
        </w:rPr>
        <w:t xml:space="preserve">, which contains important safety information that you need to be aware of before you are given AMGEVITA and during treatment with AMGEVITA. Keep this </w:t>
      </w:r>
      <w:r w:rsidRPr="00D55B59">
        <w:rPr>
          <w:b/>
          <w:sz w:val="22"/>
          <w:szCs w:val="22"/>
          <w:lang w:val="en-GB"/>
          <w:rPrChange w:id="5362" w:author="Author">
            <w:rPr>
              <w:b/>
              <w:sz w:val="22"/>
              <w:szCs w:val="22"/>
            </w:rPr>
          </w:rPrChange>
        </w:rPr>
        <w:t>Patient Reminder Card</w:t>
      </w:r>
      <w:r w:rsidRPr="00D55B59">
        <w:rPr>
          <w:sz w:val="22"/>
          <w:szCs w:val="22"/>
          <w:lang w:val="en-GB"/>
          <w:rPrChange w:id="5363" w:author="Author">
            <w:rPr>
              <w:sz w:val="22"/>
              <w:szCs w:val="22"/>
            </w:rPr>
          </w:rPrChange>
        </w:rPr>
        <w:t xml:space="preserve"> with you. </w:t>
      </w:r>
    </w:p>
    <w:p w14:paraId="7AA95D4A" w14:textId="77777777" w:rsidR="007E0028" w:rsidRPr="00F04F82" w:rsidRDefault="007E0028" w:rsidP="00882492">
      <w:pPr>
        <w:numPr>
          <w:ilvl w:val="0"/>
          <w:numId w:val="3"/>
        </w:numPr>
        <w:spacing w:line="240" w:lineRule="auto"/>
        <w:ind w:left="567" w:hanging="567"/>
      </w:pPr>
      <w:r w:rsidRPr="00F04F82">
        <w:t>If you have any further questions, ask your doctor or pharmacist.</w:t>
      </w:r>
    </w:p>
    <w:p w14:paraId="4E6CE734" w14:textId="77777777" w:rsidR="007E0028" w:rsidRPr="00F04F82" w:rsidRDefault="007E0028" w:rsidP="00882492">
      <w:pPr>
        <w:spacing w:line="240" w:lineRule="auto"/>
        <w:ind w:left="567" w:hanging="567"/>
      </w:pPr>
      <w:r w:rsidRPr="00F04F82">
        <w:t>-</w:t>
      </w:r>
      <w:r w:rsidRPr="00F04F82">
        <w:tab/>
        <w:t xml:space="preserve">This medicine has been prescribed for you only. Do not pass it on to others. It may harm them, even if their signs of illness are the same as yours. </w:t>
      </w:r>
    </w:p>
    <w:p w14:paraId="42EE9187" w14:textId="77777777" w:rsidR="007E0028" w:rsidRPr="00F04F82" w:rsidRDefault="007E0028" w:rsidP="00882492">
      <w:pPr>
        <w:numPr>
          <w:ilvl w:val="0"/>
          <w:numId w:val="3"/>
        </w:numPr>
        <w:spacing w:line="240" w:lineRule="auto"/>
        <w:ind w:left="567" w:hanging="567"/>
      </w:pPr>
      <w:r w:rsidRPr="00F04F82">
        <w:t>If you get any side effects, talk to your doctor or pharmacist. This includes any possible side effects not listed in this leaflet (see section 4).</w:t>
      </w:r>
    </w:p>
    <w:p w14:paraId="5551C780" w14:textId="77777777" w:rsidR="007E0028" w:rsidRPr="00F04F82" w:rsidRDefault="007E0028" w:rsidP="00077AFF">
      <w:pPr>
        <w:tabs>
          <w:tab w:val="clear" w:pos="567"/>
        </w:tabs>
        <w:spacing w:line="240" w:lineRule="auto"/>
        <w:ind w:right="-2"/>
      </w:pPr>
    </w:p>
    <w:p w14:paraId="3D5F6313" w14:textId="7D09C45D" w:rsidR="007E0028" w:rsidRPr="00F04F82" w:rsidRDefault="007E0028" w:rsidP="00077AFF">
      <w:pPr>
        <w:keepNext/>
        <w:numPr>
          <w:ilvl w:val="12"/>
          <w:numId w:val="0"/>
        </w:numPr>
        <w:tabs>
          <w:tab w:val="clear" w:pos="567"/>
        </w:tabs>
        <w:spacing w:line="240" w:lineRule="auto"/>
        <w:ind w:right="-2"/>
        <w:outlineLvl w:val="0"/>
        <w:rPr>
          <w:b/>
        </w:rPr>
      </w:pPr>
      <w:r w:rsidRPr="00F04F82">
        <w:rPr>
          <w:b/>
        </w:rPr>
        <w:t>What is in this leaflet</w:t>
      </w:r>
      <w:r w:rsidR="001C55FB" w:rsidRPr="00F04F82">
        <w:rPr>
          <w:b/>
        </w:rPr>
        <w:fldChar w:fldCharType="begin"/>
      </w:r>
      <w:r w:rsidR="001C55FB" w:rsidRPr="00F04F82">
        <w:rPr>
          <w:b/>
        </w:rPr>
        <w:instrText xml:space="preserve"> DOCVARIABLE vault_nd_4ce4bc6a-ac27-4765-9111-a0ef098f7a1e \* MERGEFORMAT </w:instrText>
      </w:r>
      <w:r w:rsidR="001C55FB" w:rsidRPr="00F04F82">
        <w:rPr>
          <w:b/>
        </w:rPr>
        <w:fldChar w:fldCharType="separate"/>
      </w:r>
      <w:r w:rsidR="001C55FB" w:rsidRPr="00F04F82">
        <w:rPr>
          <w:b/>
        </w:rPr>
        <w:t xml:space="preserve"> </w:t>
      </w:r>
      <w:r w:rsidR="001C55FB" w:rsidRPr="00F04F82">
        <w:rPr>
          <w:b/>
        </w:rPr>
        <w:fldChar w:fldCharType="end"/>
      </w:r>
    </w:p>
    <w:p w14:paraId="0F68A71F" w14:textId="77777777" w:rsidR="007E0028" w:rsidRPr="00F04F82" w:rsidRDefault="007E0028" w:rsidP="00077AFF">
      <w:pPr>
        <w:keepNext/>
        <w:numPr>
          <w:ilvl w:val="12"/>
          <w:numId w:val="0"/>
        </w:numPr>
        <w:tabs>
          <w:tab w:val="clear" w:pos="567"/>
        </w:tabs>
        <w:spacing w:line="240" w:lineRule="auto"/>
        <w:ind w:right="-2"/>
        <w:outlineLvl w:val="0"/>
      </w:pPr>
    </w:p>
    <w:p w14:paraId="3CE01439" w14:textId="77777777" w:rsidR="007E0028" w:rsidRPr="00F04F82" w:rsidRDefault="007E0028" w:rsidP="00B61D9D">
      <w:pPr>
        <w:numPr>
          <w:ilvl w:val="12"/>
          <w:numId w:val="0"/>
        </w:numPr>
        <w:spacing w:line="240" w:lineRule="auto"/>
        <w:ind w:left="567" w:hanging="567"/>
      </w:pPr>
      <w:r w:rsidRPr="00F04F82">
        <w:t>1.</w:t>
      </w:r>
      <w:r w:rsidRPr="00F04F82">
        <w:tab/>
        <w:t xml:space="preserve">What </w:t>
      </w:r>
      <w:r w:rsidRPr="00F04F82">
        <w:rPr>
          <w:szCs w:val="22"/>
        </w:rPr>
        <w:t>AMGEVITA</w:t>
      </w:r>
      <w:r w:rsidRPr="00F04F82">
        <w:t xml:space="preserve"> is and what it is used for </w:t>
      </w:r>
    </w:p>
    <w:p w14:paraId="7B749EE1" w14:textId="77777777" w:rsidR="007E0028" w:rsidRPr="00F04F82" w:rsidRDefault="007E0028" w:rsidP="00B61D9D">
      <w:pPr>
        <w:numPr>
          <w:ilvl w:val="12"/>
          <w:numId w:val="0"/>
        </w:numPr>
        <w:spacing w:line="240" w:lineRule="auto"/>
        <w:ind w:left="567" w:hanging="567"/>
      </w:pPr>
      <w:r w:rsidRPr="00F04F82">
        <w:t>2.</w:t>
      </w:r>
      <w:r w:rsidRPr="00F04F82">
        <w:tab/>
        <w:t xml:space="preserve">What you need to know before you use </w:t>
      </w:r>
      <w:r w:rsidRPr="00F04F82">
        <w:rPr>
          <w:szCs w:val="22"/>
        </w:rPr>
        <w:t>AMGEVITA</w:t>
      </w:r>
      <w:r w:rsidRPr="00F04F82">
        <w:t xml:space="preserve"> </w:t>
      </w:r>
    </w:p>
    <w:p w14:paraId="44000537" w14:textId="77777777" w:rsidR="007E0028" w:rsidRPr="00F04F82" w:rsidRDefault="007E0028" w:rsidP="00B61D9D">
      <w:pPr>
        <w:numPr>
          <w:ilvl w:val="12"/>
          <w:numId w:val="0"/>
        </w:numPr>
        <w:spacing w:line="240" w:lineRule="auto"/>
        <w:ind w:left="567" w:hanging="567"/>
      </w:pPr>
      <w:r w:rsidRPr="00F04F82">
        <w:t>3.</w:t>
      </w:r>
      <w:r w:rsidRPr="00F04F82">
        <w:tab/>
        <w:t xml:space="preserve">How to use </w:t>
      </w:r>
      <w:r w:rsidRPr="00F04F82">
        <w:rPr>
          <w:szCs w:val="22"/>
        </w:rPr>
        <w:t>AMGEVITA</w:t>
      </w:r>
    </w:p>
    <w:p w14:paraId="4FD4E2F9" w14:textId="77777777" w:rsidR="007E0028" w:rsidRPr="00F04F82" w:rsidRDefault="007E0028" w:rsidP="00B61D9D">
      <w:pPr>
        <w:numPr>
          <w:ilvl w:val="12"/>
          <w:numId w:val="0"/>
        </w:numPr>
        <w:spacing w:line="240" w:lineRule="auto"/>
        <w:ind w:left="567" w:hanging="567"/>
      </w:pPr>
      <w:r w:rsidRPr="00F04F82">
        <w:t>4.</w:t>
      </w:r>
      <w:r w:rsidRPr="00F04F82">
        <w:tab/>
        <w:t xml:space="preserve">Possible side effects </w:t>
      </w:r>
    </w:p>
    <w:p w14:paraId="35145C0D" w14:textId="77777777" w:rsidR="007E0028" w:rsidRPr="00F04F82" w:rsidRDefault="007E0028" w:rsidP="00B61D9D">
      <w:pPr>
        <w:numPr>
          <w:ilvl w:val="12"/>
          <w:numId w:val="0"/>
        </w:numPr>
        <w:spacing w:line="240" w:lineRule="auto"/>
        <w:ind w:left="567" w:hanging="567"/>
      </w:pPr>
      <w:r w:rsidRPr="00F04F82">
        <w:t>5.</w:t>
      </w:r>
      <w:r w:rsidRPr="00F04F82">
        <w:tab/>
        <w:t xml:space="preserve">How to store </w:t>
      </w:r>
      <w:r w:rsidRPr="00F04F82">
        <w:rPr>
          <w:szCs w:val="22"/>
        </w:rPr>
        <w:t>AMGEVITA</w:t>
      </w:r>
      <w:r w:rsidRPr="00F04F82">
        <w:t xml:space="preserve"> </w:t>
      </w:r>
    </w:p>
    <w:p w14:paraId="691C2048" w14:textId="77777777" w:rsidR="007E0028" w:rsidRPr="00F04F82" w:rsidRDefault="007E0028" w:rsidP="00B61D9D">
      <w:pPr>
        <w:numPr>
          <w:ilvl w:val="12"/>
          <w:numId w:val="0"/>
        </w:numPr>
        <w:spacing w:line="240" w:lineRule="auto"/>
        <w:ind w:left="567" w:hanging="567"/>
      </w:pPr>
      <w:r w:rsidRPr="00F04F82">
        <w:t>6.</w:t>
      </w:r>
      <w:r w:rsidRPr="00F04F82">
        <w:tab/>
        <w:t>Contents of the pack and other information</w:t>
      </w:r>
    </w:p>
    <w:p w14:paraId="770F67E2" w14:textId="77777777" w:rsidR="007E0028" w:rsidRPr="00F04F82" w:rsidRDefault="007E0028" w:rsidP="00077AFF">
      <w:pPr>
        <w:numPr>
          <w:ilvl w:val="12"/>
          <w:numId w:val="0"/>
        </w:numPr>
        <w:tabs>
          <w:tab w:val="clear" w:pos="567"/>
        </w:tabs>
        <w:spacing w:line="240" w:lineRule="auto"/>
        <w:ind w:right="-2"/>
      </w:pPr>
    </w:p>
    <w:p w14:paraId="2511415D" w14:textId="77777777" w:rsidR="007E0028" w:rsidRPr="00F04F82" w:rsidRDefault="007E0028" w:rsidP="00077AFF">
      <w:pPr>
        <w:numPr>
          <w:ilvl w:val="12"/>
          <w:numId w:val="0"/>
        </w:numPr>
        <w:tabs>
          <w:tab w:val="clear" w:pos="567"/>
        </w:tabs>
        <w:spacing w:line="240" w:lineRule="auto"/>
        <w:rPr>
          <w:szCs w:val="22"/>
        </w:rPr>
      </w:pPr>
    </w:p>
    <w:p w14:paraId="220554CB" w14:textId="77777777" w:rsidR="007E0028" w:rsidRPr="00F04F82" w:rsidRDefault="007E0028" w:rsidP="00B61D9D">
      <w:pPr>
        <w:spacing w:line="240" w:lineRule="auto"/>
        <w:ind w:left="567" w:hanging="567"/>
        <w:rPr>
          <w:b/>
          <w:szCs w:val="22"/>
        </w:rPr>
      </w:pPr>
      <w:r w:rsidRPr="00F04F82">
        <w:rPr>
          <w:b/>
          <w:szCs w:val="22"/>
        </w:rPr>
        <w:t>1.</w:t>
      </w:r>
      <w:r w:rsidRPr="00F04F82">
        <w:rPr>
          <w:b/>
          <w:szCs w:val="22"/>
        </w:rPr>
        <w:tab/>
        <w:t>What AMGEVITA is and what it is used for</w:t>
      </w:r>
    </w:p>
    <w:p w14:paraId="4192B894" w14:textId="77777777" w:rsidR="007E0028" w:rsidRPr="00F04F82" w:rsidRDefault="007E0028" w:rsidP="00077AFF">
      <w:pPr>
        <w:numPr>
          <w:ilvl w:val="12"/>
          <w:numId w:val="0"/>
        </w:numPr>
        <w:tabs>
          <w:tab w:val="clear" w:pos="567"/>
        </w:tabs>
        <w:spacing w:line="240" w:lineRule="auto"/>
        <w:rPr>
          <w:szCs w:val="22"/>
        </w:rPr>
      </w:pPr>
    </w:p>
    <w:p w14:paraId="34BFCE86" w14:textId="77777777" w:rsidR="007E0028" w:rsidRPr="00F04F82" w:rsidRDefault="007E0028" w:rsidP="00077AFF">
      <w:pPr>
        <w:numPr>
          <w:ilvl w:val="12"/>
          <w:numId w:val="0"/>
        </w:numPr>
        <w:tabs>
          <w:tab w:val="clear" w:pos="567"/>
        </w:tabs>
        <w:spacing w:line="240" w:lineRule="auto"/>
      </w:pPr>
      <w:r w:rsidRPr="00F04F82">
        <w:rPr>
          <w:szCs w:val="22"/>
        </w:rPr>
        <w:t>AMGEVITA</w:t>
      </w:r>
      <w:r w:rsidRPr="00F04F82">
        <w:t xml:space="preserve"> contains the active substance adalimumab, a medicine that acts on your body’s immune (defence) system. </w:t>
      </w:r>
    </w:p>
    <w:p w14:paraId="3D62AC78" w14:textId="77777777" w:rsidR="007E0028" w:rsidRPr="00F04F82" w:rsidRDefault="007E0028" w:rsidP="00077AFF">
      <w:pPr>
        <w:tabs>
          <w:tab w:val="clear" w:pos="567"/>
        </w:tabs>
        <w:spacing w:line="240" w:lineRule="auto"/>
        <w:ind w:right="-2"/>
      </w:pPr>
    </w:p>
    <w:p w14:paraId="0D7F3D81" w14:textId="77777777" w:rsidR="007E0028" w:rsidRPr="00F04F82" w:rsidRDefault="007E0028" w:rsidP="00077AFF">
      <w:pPr>
        <w:tabs>
          <w:tab w:val="clear" w:pos="567"/>
        </w:tabs>
        <w:spacing w:line="240" w:lineRule="auto"/>
        <w:ind w:right="-2"/>
        <w:rPr>
          <w:szCs w:val="22"/>
        </w:rPr>
      </w:pPr>
      <w:r w:rsidRPr="00F04F82">
        <w:rPr>
          <w:szCs w:val="22"/>
        </w:rPr>
        <w:t>AMGEVITA is intended for the treatment of the inflammatory diseases described below:</w:t>
      </w:r>
    </w:p>
    <w:p w14:paraId="65674365" w14:textId="77777777" w:rsidR="007E0028" w:rsidRPr="00F04F82" w:rsidRDefault="007E0028" w:rsidP="00AB6350">
      <w:pPr>
        <w:numPr>
          <w:ilvl w:val="1"/>
          <w:numId w:val="33"/>
        </w:numPr>
        <w:spacing w:line="240" w:lineRule="auto"/>
        <w:ind w:left="567" w:hanging="567"/>
        <w:rPr>
          <w:szCs w:val="22"/>
        </w:rPr>
      </w:pPr>
      <w:r w:rsidRPr="00F04F82">
        <w:rPr>
          <w:szCs w:val="22"/>
        </w:rPr>
        <w:t>Rheumatoid arthritis</w:t>
      </w:r>
    </w:p>
    <w:p w14:paraId="4591691C" w14:textId="77777777" w:rsidR="007E0028" w:rsidRPr="00F04F82" w:rsidRDefault="007E0028" w:rsidP="00AB6350">
      <w:pPr>
        <w:numPr>
          <w:ilvl w:val="1"/>
          <w:numId w:val="33"/>
        </w:numPr>
        <w:spacing w:line="240" w:lineRule="auto"/>
        <w:ind w:left="567" w:hanging="567"/>
        <w:rPr>
          <w:szCs w:val="22"/>
        </w:rPr>
      </w:pPr>
      <w:r w:rsidRPr="00F04F82">
        <w:rPr>
          <w:szCs w:val="22"/>
        </w:rPr>
        <w:t>Polyarticular juvenile idiopathic arthritis</w:t>
      </w:r>
    </w:p>
    <w:p w14:paraId="767A34D4" w14:textId="77777777" w:rsidR="007E0028" w:rsidRPr="00F04F82" w:rsidRDefault="007E0028" w:rsidP="00AB6350">
      <w:pPr>
        <w:numPr>
          <w:ilvl w:val="1"/>
          <w:numId w:val="33"/>
        </w:numPr>
        <w:spacing w:line="240" w:lineRule="auto"/>
        <w:ind w:left="567" w:hanging="567"/>
        <w:rPr>
          <w:szCs w:val="22"/>
        </w:rPr>
      </w:pPr>
      <w:r w:rsidRPr="00F04F82">
        <w:rPr>
          <w:szCs w:val="22"/>
        </w:rPr>
        <w:t>Enthesitis-related arthritis</w:t>
      </w:r>
    </w:p>
    <w:p w14:paraId="4949AB2A" w14:textId="77777777" w:rsidR="007E0028" w:rsidRPr="00F04F82" w:rsidRDefault="007E0028" w:rsidP="00AB6350">
      <w:pPr>
        <w:numPr>
          <w:ilvl w:val="1"/>
          <w:numId w:val="33"/>
        </w:numPr>
        <w:spacing w:line="240" w:lineRule="auto"/>
        <w:ind w:left="567" w:hanging="567"/>
        <w:rPr>
          <w:szCs w:val="22"/>
        </w:rPr>
      </w:pPr>
      <w:r w:rsidRPr="00F04F82">
        <w:rPr>
          <w:szCs w:val="22"/>
        </w:rPr>
        <w:t>Ankylosing spondylitis</w:t>
      </w:r>
    </w:p>
    <w:p w14:paraId="2A3857BB" w14:textId="77777777" w:rsidR="007E0028" w:rsidRPr="00F04F82" w:rsidRDefault="007E0028" w:rsidP="00AB6350">
      <w:pPr>
        <w:numPr>
          <w:ilvl w:val="1"/>
          <w:numId w:val="33"/>
        </w:numPr>
        <w:spacing w:line="240" w:lineRule="auto"/>
        <w:ind w:left="567" w:hanging="567"/>
        <w:rPr>
          <w:szCs w:val="22"/>
        </w:rPr>
      </w:pPr>
      <w:r w:rsidRPr="00F04F82">
        <w:rPr>
          <w:szCs w:val="22"/>
        </w:rPr>
        <w:t>Axial spondyloarthritis without radiographic evidence of ankylosing spondylitis</w:t>
      </w:r>
    </w:p>
    <w:p w14:paraId="4E8A62DF" w14:textId="77777777" w:rsidR="007E0028" w:rsidRPr="00F04F82" w:rsidRDefault="007E0028" w:rsidP="00AB6350">
      <w:pPr>
        <w:numPr>
          <w:ilvl w:val="1"/>
          <w:numId w:val="33"/>
        </w:numPr>
        <w:spacing w:line="240" w:lineRule="auto"/>
        <w:ind w:left="567" w:hanging="567"/>
        <w:rPr>
          <w:szCs w:val="22"/>
        </w:rPr>
      </w:pPr>
      <w:r w:rsidRPr="00F04F82">
        <w:rPr>
          <w:szCs w:val="22"/>
        </w:rPr>
        <w:t>Psoriatic arthritis</w:t>
      </w:r>
    </w:p>
    <w:p w14:paraId="2DFFD8DC" w14:textId="77777777" w:rsidR="007E0028" w:rsidRPr="00F04F82" w:rsidRDefault="007E0028" w:rsidP="00AB6350">
      <w:pPr>
        <w:numPr>
          <w:ilvl w:val="1"/>
          <w:numId w:val="33"/>
        </w:numPr>
        <w:spacing w:line="240" w:lineRule="auto"/>
        <w:ind w:left="567" w:hanging="567"/>
        <w:rPr>
          <w:szCs w:val="22"/>
        </w:rPr>
      </w:pPr>
      <w:r w:rsidRPr="00F04F82">
        <w:rPr>
          <w:szCs w:val="22"/>
        </w:rPr>
        <w:t xml:space="preserve">Plaque psoriasis </w:t>
      </w:r>
    </w:p>
    <w:p w14:paraId="4B2F2D36" w14:textId="77777777" w:rsidR="007E0028" w:rsidRPr="00F04F82" w:rsidRDefault="007E0028" w:rsidP="00AB6350">
      <w:pPr>
        <w:numPr>
          <w:ilvl w:val="1"/>
          <w:numId w:val="33"/>
        </w:numPr>
        <w:spacing w:line="240" w:lineRule="auto"/>
        <w:ind w:left="567" w:hanging="567"/>
        <w:rPr>
          <w:szCs w:val="22"/>
        </w:rPr>
      </w:pPr>
      <w:r w:rsidRPr="00F04F82">
        <w:rPr>
          <w:szCs w:val="22"/>
        </w:rPr>
        <w:t xml:space="preserve">Hidradenitis suppurativa </w:t>
      </w:r>
    </w:p>
    <w:p w14:paraId="6BE660C8" w14:textId="77777777" w:rsidR="007E0028" w:rsidRPr="00F04F82" w:rsidRDefault="007E0028" w:rsidP="00AB6350">
      <w:pPr>
        <w:numPr>
          <w:ilvl w:val="1"/>
          <w:numId w:val="33"/>
        </w:numPr>
        <w:spacing w:line="240" w:lineRule="auto"/>
        <w:ind w:left="567" w:hanging="567"/>
        <w:rPr>
          <w:szCs w:val="22"/>
        </w:rPr>
      </w:pPr>
      <w:r w:rsidRPr="00F04F82">
        <w:rPr>
          <w:szCs w:val="22"/>
        </w:rPr>
        <w:t xml:space="preserve">Crohn’s disease </w:t>
      </w:r>
    </w:p>
    <w:p w14:paraId="001BD5A4" w14:textId="77777777" w:rsidR="007E0028" w:rsidRPr="00F04F82" w:rsidRDefault="007E0028" w:rsidP="00AB6350">
      <w:pPr>
        <w:numPr>
          <w:ilvl w:val="1"/>
          <w:numId w:val="33"/>
        </w:numPr>
        <w:spacing w:line="240" w:lineRule="auto"/>
        <w:ind w:left="567" w:hanging="567"/>
        <w:rPr>
          <w:szCs w:val="22"/>
        </w:rPr>
      </w:pPr>
      <w:r w:rsidRPr="00F04F82">
        <w:rPr>
          <w:szCs w:val="22"/>
        </w:rPr>
        <w:t>Ulcerative colitis</w:t>
      </w:r>
    </w:p>
    <w:p w14:paraId="46DFA728" w14:textId="77777777" w:rsidR="007E0028" w:rsidRPr="00F04F82" w:rsidRDefault="007E0028" w:rsidP="00AB6350">
      <w:pPr>
        <w:numPr>
          <w:ilvl w:val="1"/>
          <w:numId w:val="33"/>
        </w:numPr>
        <w:spacing w:line="240" w:lineRule="auto"/>
        <w:ind w:left="567" w:hanging="567"/>
      </w:pPr>
      <w:r w:rsidRPr="00F04F82">
        <w:rPr>
          <w:szCs w:val="22"/>
        </w:rPr>
        <w:t xml:space="preserve">Non-infectious uveitis </w:t>
      </w:r>
    </w:p>
    <w:p w14:paraId="0D1C7451" w14:textId="77777777" w:rsidR="007E0028" w:rsidRPr="00F04F82" w:rsidRDefault="007E0028" w:rsidP="00077AFF">
      <w:pPr>
        <w:tabs>
          <w:tab w:val="clear" w:pos="567"/>
        </w:tabs>
        <w:spacing w:line="240" w:lineRule="auto"/>
        <w:ind w:right="-2"/>
      </w:pPr>
    </w:p>
    <w:p w14:paraId="17A6ED91" w14:textId="77777777" w:rsidR="007E0028" w:rsidRPr="00F04F82" w:rsidRDefault="007E0028" w:rsidP="00077AFF">
      <w:pPr>
        <w:tabs>
          <w:tab w:val="clear" w:pos="567"/>
        </w:tabs>
        <w:spacing w:line="240" w:lineRule="auto"/>
        <w:ind w:right="-2"/>
      </w:pPr>
      <w:r w:rsidRPr="00F04F82">
        <w:t xml:space="preserve">The active ingredient in AMGEVITA, adalimumab, is a human monoclonal antibody. Monoclonal antibodies are proteins that attach to a specific target. </w:t>
      </w:r>
    </w:p>
    <w:p w14:paraId="79F4989B" w14:textId="77777777" w:rsidR="007E0028" w:rsidRPr="00F04F82" w:rsidRDefault="007E0028" w:rsidP="00077AFF">
      <w:pPr>
        <w:tabs>
          <w:tab w:val="clear" w:pos="567"/>
        </w:tabs>
        <w:spacing w:line="240" w:lineRule="auto"/>
        <w:ind w:right="-2"/>
      </w:pPr>
    </w:p>
    <w:p w14:paraId="378F76B5" w14:textId="77777777" w:rsidR="007E0028" w:rsidRPr="00F04F82" w:rsidRDefault="007E0028" w:rsidP="00077AFF">
      <w:pPr>
        <w:tabs>
          <w:tab w:val="clear" w:pos="567"/>
        </w:tabs>
        <w:spacing w:line="240" w:lineRule="auto"/>
        <w:ind w:right="-2"/>
      </w:pPr>
      <w:r w:rsidRPr="00F04F82">
        <w:t>The target of adalimumab is a protein called tumour necrosis factor (TNFα), which is involved in the immune (defence) system and is present at increased levels in the inflammatory diseases listed above. By attaching to TNFα, AMGEVITA decreases the process of inflammation in these diseases.</w:t>
      </w:r>
    </w:p>
    <w:p w14:paraId="15C9D619" w14:textId="77777777" w:rsidR="007E0028" w:rsidRPr="00F04F82" w:rsidRDefault="007E0028" w:rsidP="00077AFF">
      <w:pPr>
        <w:tabs>
          <w:tab w:val="clear" w:pos="567"/>
        </w:tabs>
        <w:spacing w:line="240" w:lineRule="auto"/>
        <w:ind w:right="-2"/>
        <w:rPr>
          <w:szCs w:val="22"/>
        </w:rPr>
      </w:pPr>
    </w:p>
    <w:p w14:paraId="7B273679" w14:textId="77777777" w:rsidR="007E0028" w:rsidRPr="00D55B59" w:rsidRDefault="007E0028" w:rsidP="00077AFF">
      <w:pPr>
        <w:pStyle w:val="Default"/>
        <w:keepNext/>
        <w:rPr>
          <w:sz w:val="22"/>
          <w:szCs w:val="22"/>
          <w:u w:val="single"/>
          <w:lang w:val="en-GB"/>
          <w:rPrChange w:id="5364" w:author="Author">
            <w:rPr>
              <w:sz w:val="22"/>
              <w:szCs w:val="22"/>
              <w:u w:val="single"/>
            </w:rPr>
          </w:rPrChange>
        </w:rPr>
      </w:pPr>
      <w:r w:rsidRPr="00D55B59">
        <w:rPr>
          <w:sz w:val="22"/>
          <w:szCs w:val="22"/>
          <w:u w:val="single"/>
          <w:lang w:val="en-GB"/>
          <w:rPrChange w:id="5365" w:author="Author">
            <w:rPr>
              <w:sz w:val="22"/>
              <w:szCs w:val="22"/>
              <w:u w:val="single"/>
            </w:rPr>
          </w:rPrChange>
        </w:rPr>
        <w:t xml:space="preserve">Rheumatoid arthritis </w:t>
      </w:r>
    </w:p>
    <w:p w14:paraId="2A61C568" w14:textId="77777777" w:rsidR="007E0028" w:rsidRPr="00D55B59" w:rsidRDefault="007E0028" w:rsidP="00077AFF">
      <w:pPr>
        <w:pStyle w:val="Default"/>
        <w:keepNext/>
        <w:rPr>
          <w:sz w:val="22"/>
          <w:szCs w:val="22"/>
          <w:lang w:val="en-GB"/>
          <w:rPrChange w:id="5366" w:author="Author">
            <w:rPr>
              <w:sz w:val="22"/>
              <w:szCs w:val="22"/>
            </w:rPr>
          </w:rPrChange>
        </w:rPr>
      </w:pPr>
    </w:p>
    <w:p w14:paraId="03DEED98" w14:textId="77777777" w:rsidR="007E0028" w:rsidRPr="00D55B59" w:rsidRDefault="007E0028" w:rsidP="00077AFF">
      <w:pPr>
        <w:pStyle w:val="Default"/>
        <w:rPr>
          <w:sz w:val="22"/>
          <w:szCs w:val="22"/>
          <w:lang w:val="en-GB"/>
          <w:rPrChange w:id="5367" w:author="Author">
            <w:rPr>
              <w:sz w:val="22"/>
              <w:szCs w:val="22"/>
            </w:rPr>
          </w:rPrChange>
        </w:rPr>
      </w:pPr>
      <w:r w:rsidRPr="00D55B59">
        <w:rPr>
          <w:sz w:val="22"/>
          <w:szCs w:val="22"/>
          <w:lang w:val="en-GB"/>
          <w:rPrChange w:id="5368" w:author="Author">
            <w:rPr>
              <w:sz w:val="22"/>
              <w:szCs w:val="22"/>
            </w:rPr>
          </w:rPrChange>
        </w:rPr>
        <w:t xml:space="preserve">Rheumatoid arthritis is an inflammatory disease of the joints. </w:t>
      </w:r>
    </w:p>
    <w:p w14:paraId="1A4D8649" w14:textId="77777777" w:rsidR="007E0028" w:rsidRPr="00D55B59" w:rsidRDefault="007E0028" w:rsidP="007E0028">
      <w:pPr>
        <w:pStyle w:val="Default"/>
        <w:rPr>
          <w:sz w:val="22"/>
          <w:szCs w:val="22"/>
          <w:lang w:val="en-GB"/>
          <w:rPrChange w:id="5369" w:author="Author">
            <w:rPr>
              <w:sz w:val="22"/>
              <w:szCs w:val="22"/>
            </w:rPr>
          </w:rPrChange>
        </w:rPr>
      </w:pPr>
    </w:p>
    <w:p w14:paraId="2B255C7D" w14:textId="77777777" w:rsidR="007E0028" w:rsidRPr="00F04F82" w:rsidRDefault="007E0028" w:rsidP="007E0028">
      <w:pPr>
        <w:tabs>
          <w:tab w:val="clear" w:pos="567"/>
        </w:tabs>
        <w:spacing w:line="240" w:lineRule="auto"/>
        <w:ind w:right="-2"/>
        <w:rPr>
          <w:szCs w:val="22"/>
        </w:rPr>
      </w:pPr>
      <w:r w:rsidRPr="00F04F82">
        <w:rPr>
          <w:szCs w:val="22"/>
        </w:rPr>
        <w:t xml:space="preserve">AMGEVITA is used to treat rheumatoid arthritis in adults. If you have moderate to severe active rheumatoid arthritis, you may first be given other disease-modifying medicines, such as methotrexate. If you do not respond well enough to these medicines, you will be given AMGEVITA to treat your rheumatoid arthritis. </w:t>
      </w:r>
    </w:p>
    <w:p w14:paraId="5359E334" w14:textId="77777777" w:rsidR="007E0028" w:rsidRPr="00F04F82" w:rsidRDefault="007E0028" w:rsidP="007E0028">
      <w:pPr>
        <w:tabs>
          <w:tab w:val="clear" w:pos="567"/>
        </w:tabs>
        <w:spacing w:line="240" w:lineRule="auto"/>
        <w:ind w:right="-2"/>
        <w:rPr>
          <w:szCs w:val="22"/>
        </w:rPr>
      </w:pPr>
    </w:p>
    <w:p w14:paraId="3A6E19C8" w14:textId="77777777" w:rsidR="007E0028" w:rsidRPr="00F04F82" w:rsidRDefault="007E0028" w:rsidP="007E0028">
      <w:pPr>
        <w:tabs>
          <w:tab w:val="clear" w:pos="567"/>
        </w:tabs>
        <w:spacing w:line="240" w:lineRule="auto"/>
        <w:ind w:right="-2"/>
        <w:rPr>
          <w:szCs w:val="22"/>
        </w:rPr>
      </w:pPr>
      <w:r w:rsidRPr="00F04F82">
        <w:rPr>
          <w:szCs w:val="22"/>
        </w:rPr>
        <w:t>AMGEVITA can also be used to treat severe, active and progressive rheumatoid arthritis without previous methotrexate treatment.</w:t>
      </w:r>
    </w:p>
    <w:p w14:paraId="2CDFE9F8" w14:textId="77777777" w:rsidR="007E0028" w:rsidRPr="00D55B59" w:rsidRDefault="007E0028" w:rsidP="007E0028">
      <w:pPr>
        <w:pStyle w:val="Default"/>
        <w:rPr>
          <w:sz w:val="22"/>
          <w:szCs w:val="22"/>
          <w:lang w:val="en-GB"/>
          <w:rPrChange w:id="5370" w:author="Author">
            <w:rPr>
              <w:sz w:val="22"/>
              <w:szCs w:val="22"/>
            </w:rPr>
          </w:rPrChange>
        </w:rPr>
      </w:pPr>
    </w:p>
    <w:p w14:paraId="251FA08B" w14:textId="77777777" w:rsidR="007E0028" w:rsidRPr="00D55B59" w:rsidRDefault="007E0028" w:rsidP="007E0028">
      <w:pPr>
        <w:pStyle w:val="Default"/>
        <w:rPr>
          <w:sz w:val="22"/>
          <w:szCs w:val="22"/>
          <w:lang w:val="en-GB"/>
          <w:rPrChange w:id="5371" w:author="Author">
            <w:rPr>
              <w:sz w:val="22"/>
              <w:szCs w:val="22"/>
            </w:rPr>
          </w:rPrChange>
        </w:rPr>
      </w:pPr>
      <w:r w:rsidRPr="00D55B59">
        <w:rPr>
          <w:sz w:val="22"/>
          <w:szCs w:val="22"/>
          <w:lang w:val="en-GB"/>
          <w:rPrChange w:id="5372" w:author="Author">
            <w:rPr>
              <w:sz w:val="22"/>
              <w:szCs w:val="22"/>
            </w:rPr>
          </w:rPrChange>
        </w:rPr>
        <w:t xml:space="preserve">AMGEVITA slows down the damage to the cartilage and bone of the joints caused by the disease and to improve physical function. </w:t>
      </w:r>
    </w:p>
    <w:p w14:paraId="495EB8FB" w14:textId="77777777" w:rsidR="007E0028" w:rsidRPr="00F04F82" w:rsidRDefault="007E0028" w:rsidP="007E0028">
      <w:pPr>
        <w:tabs>
          <w:tab w:val="clear" w:pos="567"/>
        </w:tabs>
        <w:spacing w:line="240" w:lineRule="auto"/>
        <w:ind w:right="-2"/>
        <w:rPr>
          <w:szCs w:val="22"/>
        </w:rPr>
      </w:pPr>
    </w:p>
    <w:p w14:paraId="51EB4FC5" w14:textId="77777777" w:rsidR="007E0028" w:rsidRPr="00F04F82" w:rsidRDefault="007E0028" w:rsidP="007E0028">
      <w:pPr>
        <w:tabs>
          <w:tab w:val="clear" w:pos="567"/>
        </w:tabs>
        <w:spacing w:line="240" w:lineRule="auto"/>
        <w:ind w:right="-2"/>
        <w:rPr>
          <w:szCs w:val="22"/>
        </w:rPr>
      </w:pPr>
      <w:r w:rsidRPr="00F04F82">
        <w:rPr>
          <w:szCs w:val="22"/>
        </w:rPr>
        <w:t>Usually, AMGEVITA is used with methotrexate. If your doctor determines that methotrexate is inappropriate, AMGEVITA can be given alone.</w:t>
      </w:r>
    </w:p>
    <w:p w14:paraId="4B60298F" w14:textId="77777777" w:rsidR="007E0028" w:rsidRPr="00F04F82" w:rsidRDefault="007E0028" w:rsidP="007E0028">
      <w:pPr>
        <w:tabs>
          <w:tab w:val="clear" w:pos="567"/>
        </w:tabs>
        <w:spacing w:line="240" w:lineRule="auto"/>
        <w:ind w:right="-2"/>
        <w:rPr>
          <w:szCs w:val="22"/>
        </w:rPr>
      </w:pPr>
    </w:p>
    <w:p w14:paraId="4327297E" w14:textId="77777777" w:rsidR="007E0028" w:rsidRPr="00D55B59" w:rsidRDefault="007E0028" w:rsidP="007E0028">
      <w:pPr>
        <w:pStyle w:val="Default"/>
        <w:rPr>
          <w:sz w:val="22"/>
          <w:szCs w:val="22"/>
          <w:u w:val="single"/>
          <w:lang w:val="en-GB"/>
          <w:rPrChange w:id="5373" w:author="Author">
            <w:rPr>
              <w:sz w:val="22"/>
              <w:szCs w:val="22"/>
              <w:u w:val="single"/>
            </w:rPr>
          </w:rPrChange>
        </w:rPr>
      </w:pPr>
      <w:r w:rsidRPr="00D55B59">
        <w:rPr>
          <w:sz w:val="22"/>
          <w:szCs w:val="22"/>
          <w:u w:val="single"/>
          <w:lang w:val="en-GB"/>
          <w:rPrChange w:id="5374" w:author="Author">
            <w:rPr>
              <w:sz w:val="22"/>
              <w:szCs w:val="22"/>
              <w:u w:val="single"/>
            </w:rPr>
          </w:rPrChange>
        </w:rPr>
        <w:t>Polyarticular juvenile idiopathic arthritis and enthesitis-related arthritis</w:t>
      </w:r>
    </w:p>
    <w:p w14:paraId="506F98BF" w14:textId="77777777" w:rsidR="007E0028" w:rsidRPr="00D55B59" w:rsidRDefault="007E0028" w:rsidP="007E0028">
      <w:pPr>
        <w:pStyle w:val="Default"/>
        <w:rPr>
          <w:sz w:val="22"/>
          <w:szCs w:val="22"/>
          <w:lang w:val="en-GB"/>
          <w:rPrChange w:id="5375" w:author="Author">
            <w:rPr>
              <w:sz w:val="22"/>
              <w:szCs w:val="22"/>
            </w:rPr>
          </w:rPrChange>
        </w:rPr>
      </w:pPr>
    </w:p>
    <w:p w14:paraId="6443A649" w14:textId="77777777" w:rsidR="007E0028" w:rsidRPr="00D55B59" w:rsidRDefault="007E0028" w:rsidP="007E0028">
      <w:pPr>
        <w:pStyle w:val="Default"/>
        <w:rPr>
          <w:sz w:val="22"/>
          <w:szCs w:val="22"/>
          <w:lang w:val="en-GB"/>
          <w:rPrChange w:id="5376" w:author="Author">
            <w:rPr>
              <w:sz w:val="22"/>
              <w:szCs w:val="22"/>
            </w:rPr>
          </w:rPrChange>
        </w:rPr>
      </w:pPr>
      <w:r w:rsidRPr="00D55B59">
        <w:rPr>
          <w:sz w:val="22"/>
          <w:szCs w:val="22"/>
          <w:lang w:val="en-GB"/>
          <w:rPrChange w:id="5377" w:author="Author">
            <w:rPr>
              <w:sz w:val="22"/>
              <w:szCs w:val="22"/>
            </w:rPr>
          </w:rPrChange>
        </w:rPr>
        <w:t xml:space="preserve">Polyarticular juvenile idiopathic arthritis and enthesitis-related arthritis are inflammatory diseases of the joints that usually first appear in childhood. </w:t>
      </w:r>
    </w:p>
    <w:p w14:paraId="124F22A0" w14:textId="77777777" w:rsidR="007E0028" w:rsidRPr="00D55B59" w:rsidRDefault="007E0028" w:rsidP="007E0028">
      <w:pPr>
        <w:pStyle w:val="Default"/>
        <w:rPr>
          <w:sz w:val="22"/>
          <w:szCs w:val="22"/>
          <w:lang w:val="en-GB"/>
          <w:rPrChange w:id="5378" w:author="Author">
            <w:rPr>
              <w:sz w:val="22"/>
              <w:szCs w:val="22"/>
            </w:rPr>
          </w:rPrChange>
        </w:rPr>
      </w:pPr>
    </w:p>
    <w:p w14:paraId="00F02161" w14:textId="77777777" w:rsidR="007E0028" w:rsidRPr="00D55B59" w:rsidRDefault="007E0028" w:rsidP="007E0028">
      <w:pPr>
        <w:pStyle w:val="Default"/>
        <w:rPr>
          <w:rFonts w:eastAsia="PMingLiU"/>
          <w:color w:val="auto"/>
          <w:sz w:val="22"/>
          <w:szCs w:val="22"/>
          <w:lang w:val="en-GB" w:eastAsia="en-US"/>
          <w:rPrChange w:id="5379" w:author="Author">
            <w:rPr>
              <w:rFonts w:eastAsia="PMingLiU"/>
              <w:color w:val="auto"/>
              <w:sz w:val="22"/>
              <w:szCs w:val="22"/>
              <w:lang w:eastAsia="en-US"/>
            </w:rPr>
          </w:rPrChange>
        </w:rPr>
      </w:pPr>
      <w:r w:rsidRPr="00D55B59">
        <w:rPr>
          <w:sz w:val="22"/>
          <w:szCs w:val="22"/>
          <w:lang w:val="en-GB"/>
          <w:rPrChange w:id="5380" w:author="Author">
            <w:rPr>
              <w:sz w:val="22"/>
              <w:szCs w:val="22"/>
            </w:rPr>
          </w:rPrChange>
        </w:rPr>
        <w:t xml:space="preserve">AMGEVITA is used to treat polyarticular juvenile idiopathic arthritis in patients from 2 years and enthesitis-related arthritis in patients from 6 years. You may first be given other disease-modifying medicines, such as methotrexate. If you do not respond well enough to these medicines, you will be given AMGEVITA to treat your polyarticular juvenile idiopathic arthritis or enthesitis-related arthritis. </w:t>
      </w:r>
    </w:p>
    <w:p w14:paraId="173D4422" w14:textId="77777777" w:rsidR="007E0028" w:rsidRPr="00D55B59" w:rsidRDefault="007E0028" w:rsidP="007E0028">
      <w:pPr>
        <w:pStyle w:val="Default"/>
        <w:rPr>
          <w:sz w:val="22"/>
          <w:szCs w:val="22"/>
          <w:lang w:val="en-GB"/>
          <w:rPrChange w:id="5381" w:author="Author">
            <w:rPr>
              <w:sz w:val="22"/>
              <w:szCs w:val="22"/>
            </w:rPr>
          </w:rPrChange>
        </w:rPr>
      </w:pPr>
    </w:p>
    <w:p w14:paraId="246B812E" w14:textId="77777777" w:rsidR="007E0028" w:rsidRPr="00D55B59" w:rsidRDefault="007E0028" w:rsidP="007E0028">
      <w:pPr>
        <w:pStyle w:val="Default"/>
        <w:rPr>
          <w:sz w:val="22"/>
          <w:szCs w:val="22"/>
          <w:u w:val="single"/>
          <w:lang w:val="en-GB"/>
          <w:rPrChange w:id="5382" w:author="Author">
            <w:rPr>
              <w:sz w:val="22"/>
              <w:szCs w:val="22"/>
              <w:u w:val="single"/>
            </w:rPr>
          </w:rPrChange>
        </w:rPr>
      </w:pPr>
      <w:r w:rsidRPr="00D55B59">
        <w:rPr>
          <w:sz w:val="22"/>
          <w:szCs w:val="22"/>
          <w:u w:val="single"/>
          <w:lang w:val="en-GB"/>
          <w:rPrChange w:id="5383" w:author="Author">
            <w:rPr>
              <w:sz w:val="22"/>
              <w:szCs w:val="22"/>
              <w:u w:val="single"/>
            </w:rPr>
          </w:rPrChange>
        </w:rPr>
        <w:t xml:space="preserve">Ankylosing spondylitis and axial spondyloarthritis without radiographic evidence of ankylosing spondylitis </w:t>
      </w:r>
    </w:p>
    <w:p w14:paraId="4B4782DC" w14:textId="77777777" w:rsidR="007E0028" w:rsidRPr="00D55B59" w:rsidRDefault="007E0028" w:rsidP="007E0028">
      <w:pPr>
        <w:pStyle w:val="Default"/>
        <w:rPr>
          <w:sz w:val="22"/>
          <w:szCs w:val="22"/>
          <w:lang w:val="en-GB"/>
          <w:rPrChange w:id="5384" w:author="Author">
            <w:rPr>
              <w:sz w:val="22"/>
              <w:szCs w:val="22"/>
            </w:rPr>
          </w:rPrChange>
        </w:rPr>
      </w:pPr>
    </w:p>
    <w:p w14:paraId="11741C83" w14:textId="77777777" w:rsidR="007E0028" w:rsidRPr="00F04F82" w:rsidRDefault="007E0028" w:rsidP="007E0028">
      <w:pPr>
        <w:tabs>
          <w:tab w:val="clear" w:pos="567"/>
        </w:tabs>
        <w:autoSpaceDE w:val="0"/>
        <w:autoSpaceDN w:val="0"/>
        <w:adjustRightInd w:val="0"/>
        <w:spacing w:line="240" w:lineRule="auto"/>
        <w:rPr>
          <w:szCs w:val="22"/>
        </w:rPr>
      </w:pPr>
      <w:r w:rsidRPr="00F04F82">
        <w:rPr>
          <w:szCs w:val="22"/>
        </w:rPr>
        <w:t xml:space="preserve">Ankylosing spondylitis and axial spondyloarthritis without radiographic evidence of ankylosing spondylitis, are inflammatory diseases of the spine. </w:t>
      </w:r>
    </w:p>
    <w:p w14:paraId="2E767CA5" w14:textId="77777777" w:rsidR="007E0028" w:rsidRPr="00D55B59" w:rsidRDefault="007E0028" w:rsidP="007E0028">
      <w:pPr>
        <w:pStyle w:val="Default"/>
        <w:rPr>
          <w:sz w:val="22"/>
          <w:szCs w:val="22"/>
          <w:lang w:val="en-GB"/>
          <w:rPrChange w:id="5385" w:author="Author">
            <w:rPr>
              <w:sz w:val="22"/>
              <w:szCs w:val="22"/>
            </w:rPr>
          </w:rPrChange>
        </w:rPr>
      </w:pPr>
    </w:p>
    <w:p w14:paraId="1298A27B" w14:textId="77777777" w:rsidR="007E0028" w:rsidRPr="00D55B59" w:rsidRDefault="007E0028" w:rsidP="007E0028">
      <w:pPr>
        <w:pStyle w:val="Default"/>
        <w:rPr>
          <w:sz w:val="22"/>
          <w:szCs w:val="22"/>
          <w:lang w:val="en-GB"/>
          <w:rPrChange w:id="5386" w:author="Author">
            <w:rPr>
              <w:sz w:val="22"/>
              <w:szCs w:val="22"/>
            </w:rPr>
          </w:rPrChange>
        </w:rPr>
      </w:pPr>
      <w:r w:rsidRPr="00D55B59">
        <w:rPr>
          <w:sz w:val="22"/>
          <w:szCs w:val="22"/>
          <w:lang w:val="en-GB"/>
          <w:rPrChange w:id="5387" w:author="Author">
            <w:rPr>
              <w:sz w:val="22"/>
              <w:szCs w:val="22"/>
            </w:rPr>
          </w:rPrChange>
        </w:rPr>
        <w:t xml:space="preserve">AMGEVITA is used to treat ankylosing spondylitis and axial spondyloarthritis without radiographic evidence of ankylosing spondylitis in adults. If you have ankylosing spondylitis or axial spondyloarthritis without radiographic evidence of ankylosing spondylitis, you will first be given other medicines. If you do not respond well enough to these medicines, you will be given AMGEVITA to reduce the signs and symptoms of your disease. </w:t>
      </w:r>
    </w:p>
    <w:p w14:paraId="049E08AD" w14:textId="77777777" w:rsidR="007E0028" w:rsidRPr="00D55B59" w:rsidRDefault="007E0028" w:rsidP="007E0028">
      <w:pPr>
        <w:pStyle w:val="Default"/>
        <w:rPr>
          <w:sz w:val="22"/>
          <w:szCs w:val="22"/>
          <w:lang w:val="en-GB"/>
          <w:rPrChange w:id="5388" w:author="Author">
            <w:rPr>
              <w:sz w:val="22"/>
              <w:szCs w:val="22"/>
            </w:rPr>
          </w:rPrChange>
        </w:rPr>
      </w:pPr>
    </w:p>
    <w:p w14:paraId="3DBF8CF8" w14:textId="77777777" w:rsidR="007E0028" w:rsidRPr="00D55B59" w:rsidRDefault="007E0028" w:rsidP="007E0028">
      <w:pPr>
        <w:pStyle w:val="Default"/>
        <w:rPr>
          <w:sz w:val="22"/>
          <w:szCs w:val="22"/>
          <w:u w:val="single"/>
          <w:lang w:val="en-GB"/>
          <w:rPrChange w:id="5389" w:author="Author">
            <w:rPr>
              <w:sz w:val="22"/>
              <w:szCs w:val="22"/>
              <w:u w:val="single"/>
            </w:rPr>
          </w:rPrChange>
        </w:rPr>
      </w:pPr>
      <w:r w:rsidRPr="00D55B59">
        <w:rPr>
          <w:sz w:val="22"/>
          <w:szCs w:val="22"/>
          <w:u w:val="single"/>
          <w:lang w:val="en-GB"/>
          <w:rPrChange w:id="5390" w:author="Author">
            <w:rPr>
              <w:sz w:val="22"/>
              <w:szCs w:val="22"/>
              <w:u w:val="single"/>
            </w:rPr>
          </w:rPrChange>
        </w:rPr>
        <w:t xml:space="preserve">Psoriatic arthritis </w:t>
      </w:r>
    </w:p>
    <w:p w14:paraId="788FE1CE" w14:textId="77777777" w:rsidR="007E0028" w:rsidRPr="00D55B59" w:rsidRDefault="007E0028" w:rsidP="007E0028">
      <w:pPr>
        <w:pStyle w:val="Default"/>
        <w:rPr>
          <w:sz w:val="22"/>
          <w:szCs w:val="22"/>
          <w:lang w:val="en-GB"/>
          <w:rPrChange w:id="5391" w:author="Author">
            <w:rPr>
              <w:sz w:val="22"/>
              <w:szCs w:val="22"/>
            </w:rPr>
          </w:rPrChange>
        </w:rPr>
      </w:pPr>
    </w:p>
    <w:p w14:paraId="42D68243" w14:textId="77777777" w:rsidR="007E0028" w:rsidRPr="00D55B59" w:rsidRDefault="007E0028" w:rsidP="007E0028">
      <w:pPr>
        <w:pStyle w:val="Default"/>
        <w:rPr>
          <w:sz w:val="22"/>
          <w:szCs w:val="22"/>
          <w:lang w:val="en-GB"/>
          <w:rPrChange w:id="5392" w:author="Author">
            <w:rPr>
              <w:sz w:val="22"/>
              <w:szCs w:val="22"/>
            </w:rPr>
          </w:rPrChange>
        </w:rPr>
      </w:pPr>
      <w:r w:rsidRPr="00D55B59">
        <w:rPr>
          <w:sz w:val="22"/>
          <w:szCs w:val="22"/>
          <w:lang w:val="en-GB"/>
          <w:rPrChange w:id="5393" w:author="Author">
            <w:rPr>
              <w:sz w:val="22"/>
              <w:szCs w:val="22"/>
            </w:rPr>
          </w:rPrChange>
        </w:rPr>
        <w:t xml:space="preserve">Psoriatic arthritis is an inflammation of the joints associated with psoriasis. </w:t>
      </w:r>
    </w:p>
    <w:p w14:paraId="3A5029DE" w14:textId="77777777" w:rsidR="007E0028" w:rsidRPr="00D55B59" w:rsidRDefault="007E0028" w:rsidP="007E0028">
      <w:pPr>
        <w:pStyle w:val="Default"/>
        <w:rPr>
          <w:sz w:val="22"/>
          <w:szCs w:val="22"/>
          <w:lang w:val="en-GB"/>
          <w:rPrChange w:id="5394" w:author="Author">
            <w:rPr>
              <w:sz w:val="22"/>
              <w:szCs w:val="22"/>
            </w:rPr>
          </w:rPrChange>
        </w:rPr>
      </w:pPr>
    </w:p>
    <w:p w14:paraId="30630836" w14:textId="77777777" w:rsidR="007E0028" w:rsidRPr="00D55B59" w:rsidRDefault="007E0028" w:rsidP="007E0028">
      <w:pPr>
        <w:pStyle w:val="Default"/>
        <w:rPr>
          <w:sz w:val="22"/>
          <w:szCs w:val="22"/>
          <w:lang w:val="en-GB"/>
          <w:rPrChange w:id="5395" w:author="Author">
            <w:rPr>
              <w:sz w:val="22"/>
              <w:szCs w:val="22"/>
            </w:rPr>
          </w:rPrChange>
        </w:rPr>
      </w:pPr>
      <w:r w:rsidRPr="00D55B59">
        <w:rPr>
          <w:sz w:val="22"/>
          <w:szCs w:val="22"/>
          <w:lang w:val="en-GB"/>
          <w:rPrChange w:id="5396" w:author="Author">
            <w:rPr>
              <w:sz w:val="22"/>
              <w:szCs w:val="22"/>
            </w:rPr>
          </w:rPrChange>
        </w:rPr>
        <w:t xml:space="preserve">AMGEVITA is used to treat psoriatic arthritis in adults. AMGEVITA slows down the damage to the cartilage and bone of the joints caused by the disease and to improve physical function. </w:t>
      </w:r>
    </w:p>
    <w:p w14:paraId="623EBBEF" w14:textId="77777777" w:rsidR="007E0028" w:rsidRPr="00D55B59" w:rsidRDefault="007E0028" w:rsidP="007E0028">
      <w:pPr>
        <w:pStyle w:val="Default"/>
        <w:rPr>
          <w:sz w:val="22"/>
          <w:szCs w:val="22"/>
          <w:lang w:val="en-GB"/>
          <w:rPrChange w:id="5397" w:author="Author">
            <w:rPr>
              <w:sz w:val="22"/>
              <w:szCs w:val="22"/>
            </w:rPr>
          </w:rPrChange>
        </w:rPr>
      </w:pPr>
    </w:p>
    <w:p w14:paraId="1BBCA222" w14:textId="77777777" w:rsidR="007E0028" w:rsidRPr="00D55B59" w:rsidRDefault="007E0028" w:rsidP="007E0028">
      <w:pPr>
        <w:pStyle w:val="Default"/>
        <w:rPr>
          <w:sz w:val="22"/>
          <w:szCs w:val="22"/>
          <w:u w:val="single"/>
          <w:lang w:val="en-GB"/>
          <w:rPrChange w:id="5398" w:author="Author">
            <w:rPr>
              <w:sz w:val="22"/>
              <w:szCs w:val="22"/>
              <w:u w:val="single"/>
            </w:rPr>
          </w:rPrChange>
        </w:rPr>
      </w:pPr>
      <w:r w:rsidRPr="00D55B59">
        <w:rPr>
          <w:sz w:val="22"/>
          <w:szCs w:val="22"/>
          <w:u w:val="single"/>
          <w:lang w:val="en-GB"/>
          <w:rPrChange w:id="5399" w:author="Author">
            <w:rPr>
              <w:sz w:val="22"/>
              <w:szCs w:val="22"/>
              <w:u w:val="single"/>
            </w:rPr>
          </w:rPrChange>
        </w:rPr>
        <w:t>Plaque psoriasis in adults and children</w:t>
      </w:r>
    </w:p>
    <w:p w14:paraId="2EA4B1D1" w14:textId="77777777" w:rsidR="007E0028" w:rsidRPr="00F04F82" w:rsidRDefault="007E0028" w:rsidP="007E0028">
      <w:pPr>
        <w:tabs>
          <w:tab w:val="clear" w:pos="567"/>
        </w:tabs>
        <w:spacing w:line="240" w:lineRule="auto"/>
        <w:ind w:right="-2"/>
        <w:rPr>
          <w:szCs w:val="22"/>
        </w:rPr>
      </w:pPr>
    </w:p>
    <w:p w14:paraId="7F4672FE" w14:textId="77777777" w:rsidR="007E0028" w:rsidRPr="00F04F82" w:rsidRDefault="007E0028" w:rsidP="007E0028">
      <w:pPr>
        <w:tabs>
          <w:tab w:val="clear" w:pos="567"/>
        </w:tabs>
        <w:spacing w:line="240" w:lineRule="auto"/>
        <w:ind w:right="-2"/>
        <w:rPr>
          <w:rFonts w:eastAsia="MS Mincho"/>
          <w:color w:val="000000"/>
          <w:szCs w:val="22"/>
          <w:lang w:eastAsia="ja-JP"/>
        </w:rPr>
      </w:pPr>
      <w:r w:rsidRPr="00F04F82">
        <w:rPr>
          <w:rFonts w:eastAsia="MS Mincho"/>
          <w:color w:val="000000"/>
          <w:szCs w:val="22"/>
          <w:lang w:eastAsia="ja-JP"/>
        </w:rPr>
        <w:t xml:space="preserve">Plaque psoriasis is a skin condition that causes red, flaky, crusty patches of skin covered with silvery scales. </w:t>
      </w:r>
      <w:r w:rsidRPr="00F04F82">
        <w:t>Plaque psoriasis can also affect the nails, causing them to crumble, become thickened and lift away from the nail bed which can be painful</w:t>
      </w:r>
      <w:r w:rsidRPr="00F04F82">
        <w:rPr>
          <w:rFonts w:eastAsia="MS Mincho"/>
          <w:color w:val="000000"/>
          <w:szCs w:val="22"/>
          <w:lang w:eastAsia="ja-JP"/>
        </w:rPr>
        <w:t>. Psoriasis is believed to be caused by a problem with the body’s immune system that leads to an increased production of skin cells.</w:t>
      </w:r>
    </w:p>
    <w:p w14:paraId="4CB672D5" w14:textId="77777777" w:rsidR="007E0028" w:rsidRPr="00F04F82" w:rsidRDefault="007E0028" w:rsidP="007E0028">
      <w:pPr>
        <w:tabs>
          <w:tab w:val="clear" w:pos="567"/>
        </w:tabs>
        <w:autoSpaceDE w:val="0"/>
        <w:autoSpaceDN w:val="0"/>
        <w:adjustRightInd w:val="0"/>
        <w:spacing w:line="240" w:lineRule="auto"/>
        <w:rPr>
          <w:szCs w:val="22"/>
        </w:rPr>
      </w:pPr>
    </w:p>
    <w:p w14:paraId="0E603943" w14:textId="77777777" w:rsidR="007E0028" w:rsidRPr="00F04F82" w:rsidRDefault="007E0028" w:rsidP="007E0028">
      <w:pPr>
        <w:tabs>
          <w:tab w:val="clear" w:pos="567"/>
        </w:tabs>
        <w:autoSpaceDE w:val="0"/>
        <w:autoSpaceDN w:val="0"/>
        <w:adjustRightInd w:val="0"/>
        <w:spacing w:line="240" w:lineRule="auto"/>
        <w:rPr>
          <w:szCs w:val="22"/>
        </w:rPr>
      </w:pPr>
      <w:r w:rsidRPr="00F04F82">
        <w:rPr>
          <w:szCs w:val="22"/>
        </w:rPr>
        <w:t xml:space="preserve">AMGEVITA </w:t>
      </w:r>
      <w:r w:rsidRPr="00F04F82">
        <w:t>i</w:t>
      </w:r>
      <w:r w:rsidRPr="00F04F82">
        <w:rPr>
          <w:szCs w:val="22"/>
        </w:rPr>
        <w:t xml:space="preserve">s used </w:t>
      </w:r>
      <w:r w:rsidRPr="00F04F82">
        <w:t>t</w:t>
      </w:r>
      <w:r w:rsidRPr="00F04F82">
        <w:rPr>
          <w:szCs w:val="22"/>
        </w:rPr>
        <w:t xml:space="preserve">o </w:t>
      </w:r>
      <w:r w:rsidRPr="00F04F82">
        <w:t>t</w:t>
      </w:r>
      <w:r w:rsidRPr="00F04F82">
        <w:rPr>
          <w:szCs w:val="22"/>
        </w:rPr>
        <w:t>reat moderate to severe plaque psoriasis in adults.</w:t>
      </w:r>
      <w:r w:rsidRPr="00F04F82">
        <w:t xml:space="preserve"> </w:t>
      </w:r>
      <w:r w:rsidRPr="00F04F82">
        <w:rPr>
          <w:szCs w:val="22"/>
        </w:rPr>
        <w:t>AMGEVITA is also used to treat severe plaque psoriasis in children and adolescents aged 4 to 17 years for whom topical therapy and phototherapies have either not worked very well or are not suitable.</w:t>
      </w:r>
    </w:p>
    <w:p w14:paraId="1C8177B0" w14:textId="77777777" w:rsidR="007E0028" w:rsidRPr="00F04F82" w:rsidRDefault="007E0028" w:rsidP="007E0028">
      <w:pPr>
        <w:tabs>
          <w:tab w:val="clear" w:pos="567"/>
        </w:tabs>
        <w:autoSpaceDE w:val="0"/>
        <w:autoSpaceDN w:val="0"/>
        <w:adjustRightInd w:val="0"/>
        <w:spacing w:line="240" w:lineRule="auto"/>
        <w:rPr>
          <w:szCs w:val="22"/>
        </w:rPr>
      </w:pPr>
    </w:p>
    <w:p w14:paraId="2DD96531" w14:textId="77777777" w:rsidR="007E0028" w:rsidRPr="00F04F82" w:rsidRDefault="007E0028" w:rsidP="007E0028">
      <w:pPr>
        <w:keepNext/>
        <w:tabs>
          <w:tab w:val="clear" w:pos="567"/>
        </w:tabs>
        <w:autoSpaceDE w:val="0"/>
        <w:autoSpaceDN w:val="0"/>
        <w:adjustRightInd w:val="0"/>
        <w:spacing w:line="240" w:lineRule="auto"/>
        <w:rPr>
          <w:szCs w:val="22"/>
          <w:u w:val="single"/>
        </w:rPr>
      </w:pPr>
      <w:r w:rsidRPr="00F04F82">
        <w:rPr>
          <w:szCs w:val="22"/>
          <w:u w:val="single"/>
        </w:rPr>
        <w:t>Hidradenitis suppurativa in adults and adolescents</w:t>
      </w:r>
    </w:p>
    <w:p w14:paraId="080BE2DE" w14:textId="77777777" w:rsidR="007E0028" w:rsidRPr="00F04F82" w:rsidRDefault="007E0028" w:rsidP="007E0028">
      <w:pPr>
        <w:keepNext/>
        <w:tabs>
          <w:tab w:val="clear" w:pos="567"/>
        </w:tabs>
        <w:autoSpaceDE w:val="0"/>
        <w:autoSpaceDN w:val="0"/>
        <w:adjustRightInd w:val="0"/>
        <w:spacing w:line="240" w:lineRule="auto"/>
        <w:rPr>
          <w:szCs w:val="22"/>
        </w:rPr>
      </w:pPr>
    </w:p>
    <w:p w14:paraId="4B0B1EDD" w14:textId="77777777" w:rsidR="007E0028" w:rsidRPr="00F04F82" w:rsidRDefault="007E0028" w:rsidP="007E0028">
      <w:pPr>
        <w:keepNext/>
        <w:tabs>
          <w:tab w:val="clear" w:pos="567"/>
        </w:tabs>
        <w:autoSpaceDE w:val="0"/>
        <w:autoSpaceDN w:val="0"/>
        <w:adjustRightInd w:val="0"/>
        <w:spacing w:line="240" w:lineRule="auto"/>
        <w:rPr>
          <w:szCs w:val="22"/>
        </w:rPr>
      </w:pPr>
      <w:r w:rsidRPr="00F04F82">
        <w:rPr>
          <w:szCs w:val="22"/>
        </w:rPr>
        <w:t>Hidradenitis suppurativa (sometimes called acne inversa) is a chronic and often painful inflammatory skin disease. Symptoms may include tender nodules (lumps) and abscesses (boils) that may leak pus. It most commonly affects specific areas of the skin, such as under the breasts, the armpits, inner thighs, groin and buttocks. Scarring may also occur in affected areas.</w:t>
      </w:r>
    </w:p>
    <w:p w14:paraId="04ABD151" w14:textId="77777777" w:rsidR="007E0028" w:rsidRPr="00F04F82" w:rsidRDefault="007E0028" w:rsidP="007E0028">
      <w:pPr>
        <w:tabs>
          <w:tab w:val="clear" w:pos="567"/>
        </w:tabs>
        <w:autoSpaceDE w:val="0"/>
        <w:autoSpaceDN w:val="0"/>
        <w:adjustRightInd w:val="0"/>
        <w:spacing w:line="240" w:lineRule="auto"/>
        <w:rPr>
          <w:szCs w:val="22"/>
        </w:rPr>
      </w:pPr>
    </w:p>
    <w:p w14:paraId="4E89B969" w14:textId="77777777" w:rsidR="007E0028" w:rsidRPr="00F04F82" w:rsidRDefault="007E0028" w:rsidP="007E0028">
      <w:pPr>
        <w:tabs>
          <w:tab w:val="clear" w:pos="567"/>
        </w:tabs>
        <w:autoSpaceDE w:val="0"/>
        <w:autoSpaceDN w:val="0"/>
        <w:adjustRightInd w:val="0"/>
        <w:spacing w:line="240" w:lineRule="auto"/>
        <w:rPr>
          <w:szCs w:val="22"/>
        </w:rPr>
      </w:pPr>
      <w:r w:rsidRPr="00F04F82">
        <w:rPr>
          <w:szCs w:val="22"/>
        </w:rPr>
        <w:t>AMGEVITA is used to treat hidradenitis suppurativa in adults and adolescents from 12 years of age. AMGEVITA can reduce the number of nodules and abscesses you have, and the pain that is often associated with the disease. You may first be given other medicines. If you do not respond well enough to these medicines, you will be given AMGEVITA.</w:t>
      </w:r>
    </w:p>
    <w:p w14:paraId="149AD8B3" w14:textId="77777777" w:rsidR="007E0028" w:rsidRPr="00D55B59" w:rsidRDefault="007E0028" w:rsidP="007E0028">
      <w:pPr>
        <w:pStyle w:val="Default"/>
        <w:rPr>
          <w:sz w:val="22"/>
          <w:szCs w:val="22"/>
          <w:u w:val="single"/>
          <w:lang w:val="en-GB"/>
          <w:rPrChange w:id="5400" w:author="Author">
            <w:rPr>
              <w:sz w:val="22"/>
              <w:szCs w:val="22"/>
              <w:u w:val="single"/>
            </w:rPr>
          </w:rPrChange>
        </w:rPr>
      </w:pPr>
    </w:p>
    <w:p w14:paraId="1377FF8E" w14:textId="77777777" w:rsidR="007E0028" w:rsidRPr="00D55B59" w:rsidRDefault="007E0028" w:rsidP="007E0028">
      <w:pPr>
        <w:pStyle w:val="Default"/>
        <w:rPr>
          <w:sz w:val="22"/>
          <w:szCs w:val="22"/>
          <w:u w:val="single"/>
          <w:lang w:val="en-GB"/>
          <w:rPrChange w:id="5401" w:author="Author">
            <w:rPr>
              <w:sz w:val="22"/>
              <w:szCs w:val="22"/>
              <w:u w:val="single"/>
            </w:rPr>
          </w:rPrChange>
        </w:rPr>
      </w:pPr>
      <w:r w:rsidRPr="00D55B59">
        <w:rPr>
          <w:sz w:val="22"/>
          <w:szCs w:val="22"/>
          <w:u w:val="single"/>
          <w:lang w:val="en-GB"/>
          <w:rPrChange w:id="5402" w:author="Author">
            <w:rPr>
              <w:sz w:val="22"/>
              <w:szCs w:val="22"/>
              <w:u w:val="single"/>
            </w:rPr>
          </w:rPrChange>
        </w:rPr>
        <w:t xml:space="preserve">Crohn’s disease in </w:t>
      </w:r>
      <w:r w:rsidRPr="00D55B59">
        <w:rPr>
          <w:rFonts w:eastAsia="PMingLiU"/>
          <w:sz w:val="22"/>
          <w:szCs w:val="22"/>
          <w:u w:val="single"/>
          <w:lang w:val="en-GB" w:eastAsia="zh-TW"/>
          <w:rPrChange w:id="5403" w:author="Author">
            <w:rPr>
              <w:rFonts w:eastAsia="PMingLiU"/>
              <w:sz w:val="22"/>
              <w:szCs w:val="22"/>
              <w:u w:val="single"/>
              <w:lang w:eastAsia="zh-TW"/>
            </w:rPr>
          </w:rPrChange>
        </w:rPr>
        <w:t>a</w:t>
      </w:r>
      <w:r w:rsidRPr="00D55B59">
        <w:rPr>
          <w:sz w:val="22"/>
          <w:szCs w:val="22"/>
          <w:u w:val="single"/>
          <w:lang w:val="en-GB"/>
          <w:rPrChange w:id="5404" w:author="Author">
            <w:rPr>
              <w:sz w:val="22"/>
              <w:szCs w:val="22"/>
              <w:u w:val="single"/>
            </w:rPr>
          </w:rPrChange>
        </w:rPr>
        <w:t xml:space="preserve">dults and </w:t>
      </w:r>
      <w:r w:rsidRPr="00D55B59">
        <w:rPr>
          <w:rFonts w:eastAsia="PMingLiU"/>
          <w:sz w:val="22"/>
          <w:szCs w:val="22"/>
          <w:u w:val="single"/>
          <w:lang w:val="en-GB" w:eastAsia="zh-TW"/>
          <w:rPrChange w:id="5405" w:author="Author">
            <w:rPr>
              <w:rFonts w:eastAsia="PMingLiU"/>
              <w:sz w:val="22"/>
              <w:szCs w:val="22"/>
              <w:u w:val="single"/>
              <w:lang w:eastAsia="zh-TW"/>
            </w:rPr>
          </w:rPrChange>
        </w:rPr>
        <w:t>c</w:t>
      </w:r>
      <w:r w:rsidRPr="00D55B59">
        <w:rPr>
          <w:sz w:val="22"/>
          <w:szCs w:val="22"/>
          <w:u w:val="single"/>
          <w:lang w:val="en-GB"/>
          <w:rPrChange w:id="5406" w:author="Author">
            <w:rPr>
              <w:sz w:val="22"/>
              <w:szCs w:val="22"/>
              <w:u w:val="single"/>
            </w:rPr>
          </w:rPrChange>
        </w:rPr>
        <w:t xml:space="preserve">hildren </w:t>
      </w:r>
    </w:p>
    <w:p w14:paraId="7D93AAB9" w14:textId="77777777" w:rsidR="007E0028" w:rsidRPr="00D55B59" w:rsidRDefault="007E0028" w:rsidP="007E0028">
      <w:pPr>
        <w:pStyle w:val="Default"/>
        <w:rPr>
          <w:sz w:val="22"/>
          <w:szCs w:val="22"/>
          <w:lang w:val="en-GB"/>
          <w:rPrChange w:id="5407" w:author="Author">
            <w:rPr>
              <w:sz w:val="22"/>
              <w:szCs w:val="22"/>
            </w:rPr>
          </w:rPrChange>
        </w:rPr>
      </w:pPr>
    </w:p>
    <w:p w14:paraId="250967A1" w14:textId="77777777" w:rsidR="007E0028" w:rsidRPr="00D55B59" w:rsidRDefault="007E0028" w:rsidP="007E0028">
      <w:pPr>
        <w:pStyle w:val="Default"/>
        <w:contextualSpacing/>
        <w:rPr>
          <w:rFonts w:eastAsia="PMingLiU"/>
          <w:color w:val="auto"/>
          <w:sz w:val="22"/>
          <w:szCs w:val="22"/>
          <w:lang w:val="en-GB" w:eastAsia="en-US"/>
          <w:rPrChange w:id="5408" w:author="Author">
            <w:rPr>
              <w:rFonts w:eastAsia="PMingLiU"/>
              <w:color w:val="auto"/>
              <w:sz w:val="22"/>
              <w:szCs w:val="22"/>
              <w:lang w:eastAsia="en-US"/>
            </w:rPr>
          </w:rPrChange>
        </w:rPr>
      </w:pPr>
      <w:r w:rsidRPr="00D55B59">
        <w:rPr>
          <w:rFonts w:eastAsia="PMingLiU"/>
          <w:color w:val="auto"/>
          <w:sz w:val="22"/>
          <w:szCs w:val="22"/>
          <w:lang w:val="en-GB" w:eastAsia="en-US"/>
          <w:rPrChange w:id="5409" w:author="Author">
            <w:rPr>
              <w:rFonts w:eastAsia="PMingLiU"/>
              <w:color w:val="auto"/>
              <w:sz w:val="22"/>
              <w:szCs w:val="22"/>
              <w:lang w:eastAsia="en-US"/>
            </w:rPr>
          </w:rPrChange>
        </w:rPr>
        <w:t>Crohn’s disease is an inflammatory disease of the digestive tract.</w:t>
      </w:r>
    </w:p>
    <w:p w14:paraId="74D95F08" w14:textId="77777777" w:rsidR="007E0028" w:rsidRPr="00D55B59" w:rsidRDefault="007E0028" w:rsidP="007E0028">
      <w:pPr>
        <w:pStyle w:val="Default"/>
        <w:contextualSpacing/>
        <w:rPr>
          <w:sz w:val="22"/>
          <w:szCs w:val="20"/>
          <w:lang w:val="en-GB"/>
          <w:rPrChange w:id="5410" w:author="Author">
            <w:rPr>
              <w:sz w:val="22"/>
              <w:szCs w:val="20"/>
            </w:rPr>
          </w:rPrChange>
        </w:rPr>
      </w:pPr>
    </w:p>
    <w:p w14:paraId="521FA40D" w14:textId="77777777" w:rsidR="007E0028" w:rsidRPr="00D55B59" w:rsidRDefault="007E0028" w:rsidP="007E0028">
      <w:pPr>
        <w:pStyle w:val="Default"/>
        <w:contextualSpacing/>
        <w:rPr>
          <w:sz w:val="22"/>
          <w:szCs w:val="22"/>
          <w:lang w:val="en-GB"/>
          <w:rPrChange w:id="5411" w:author="Author">
            <w:rPr>
              <w:sz w:val="22"/>
              <w:szCs w:val="22"/>
            </w:rPr>
          </w:rPrChange>
        </w:rPr>
      </w:pPr>
      <w:r w:rsidRPr="00D55B59">
        <w:rPr>
          <w:sz w:val="22"/>
          <w:szCs w:val="22"/>
          <w:lang w:val="en-GB"/>
          <w:rPrChange w:id="5412" w:author="Author">
            <w:rPr>
              <w:sz w:val="22"/>
              <w:szCs w:val="22"/>
            </w:rPr>
          </w:rPrChange>
        </w:rPr>
        <w:t xml:space="preserve">AMGEVITA is used to treat Crohn’s disease in adults and children aged 6 to 17 years. If you have Crohn’s disease you will first be given other medicines. If you do not respond well enough to these medicines, you will be given AMGEVITA to reduce the signs and symptoms of your Crohn’s disease. </w:t>
      </w:r>
    </w:p>
    <w:p w14:paraId="22E5612A" w14:textId="77777777" w:rsidR="007E0028" w:rsidRPr="00D55B59" w:rsidRDefault="007E0028" w:rsidP="007E0028">
      <w:pPr>
        <w:pStyle w:val="Default"/>
        <w:rPr>
          <w:sz w:val="22"/>
          <w:szCs w:val="22"/>
          <w:lang w:val="en-GB"/>
          <w:rPrChange w:id="5413" w:author="Author">
            <w:rPr>
              <w:sz w:val="22"/>
              <w:szCs w:val="22"/>
            </w:rPr>
          </w:rPrChange>
        </w:rPr>
      </w:pPr>
    </w:p>
    <w:p w14:paraId="54CD44F3" w14:textId="77777777" w:rsidR="007E0028" w:rsidRPr="00D55B59" w:rsidRDefault="007E0028" w:rsidP="007E0028">
      <w:pPr>
        <w:pStyle w:val="Default"/>
        <w:rPr>
          <w:sz w:val="22"/>
          <w:szCs w:val="22"/>
          <w:u w:val="single"/>
          <w:lang w:val="en-GB"/>
          <w:rPrChange w:id="5414" w:author="Author">
            <w:rPr>
              <w:sz w:val="22"/>
              <w:szCs w:val="22"/>
              <w:u w:val="single"/>
            </w:rPr>
          </w:rPrChange>
        </w:rPr>
      </w:pPr>
      <w:r w:rsidRPr="00D55B59">
        <w:rPr>
          <w:sz w:val="22"/>
          <w:szCs w:val="22"/>
          <w:u w:val="single"/>
          <w:lang w:val="en-GB"/>
          <w:rPrChange w:id="5415" w:author="Author">
            <w:rPr>
              <w:sz w:val="22"/>
              <w:szCs w:val="22"/>
              <w:u w:val="single"/>
            </w:rPr>
          </w:rPrChange>
        </w:rPr>
        <w:t xml:space="preserve">Ulcerative </w:t>
      </w:r>
      <w:r w:rsidRPr="00D55B59">
        <w:rPr>
          <w:rFonts w:eastAsia="PMingLiU"/>
          <w:sz w:val="22"/>
          <w:szCs w:val="22"/>
          <w:u w:val="single"/>
          <w:lang w:val="en-GB" w:eastAsia="zh-TW"/>
          <w:rPrChange w:id="5416" w:author="Author">
            <w:rPr>
              <w:rFonts w:eastAsia="PMingLiU"/>
              <w:sz w:val="22"/>
              <w:szCs w:val="22"/>
              <w:u w:val="single"/>
              <w:lang w:eastAsia="zh-TW"/>
            </w:rPr>
          </w:rPrChange>
        </w:rPr>
        <w:t>c</w:t>
      </w:r>
      <w:r w:rsidRPr="00D55B59">
        <w:rPr>
          <w:sz w:val="22"/>
          <w:szCs w:val="22"/>
          <w:u w:val="single"/>
          <w:lang w:val="en-GB"/>
          <w:rPrChange w:id="5417" w:author="Author">
            <w:rPr>
              <w:sz w:val="22"/>
              <w:szCs w:val="22"/>
              <w:u w:val="single"/>
            </w:rPr>
          </w:rPrChange>
        </w:rPr>
        <w:t xml:space="preserve">olitis in adults and children </w:t>
      </w:r>
    </w:p>
    <w:p w14:paraId="61DAFD0F" w14:textId="77777777" w:rsidR="007E0028" w:rsidRPr="00F04F82" w:rsidRDefault="007E0028" w:rsidP="007E0028">
      <w:pPr>
        <w:tabs>
          <w:tab w:val="clear" w:pos="567"/>
        </w:tabs>
        <w:spacing w:line="240" w:lineRule="auto"/>
        <w:ind w:right="-2"/>
        <w:rPr>
          <w:szCs w:val="22"/>
        </w:rPr>
      </w:pPr>
    </w:p>
    <w:p w14:paraId="292B2009" w14:textId="77777777" w:rsidR="007E0028" w:rsidRPr="00F04F82" w:rsidRDefault="007E0028" w:rsidP="007E0028">
      <w:pPr>
        <w:tabs>
          <w:tab w:val="clear" w:pos="567"/>
        </w:tabs>
        <w:spacing w:line="240" w:lineRule="auto"/>
        <w:ind w:right="-2"/>
        <w:rPr>
          <w:szCs w:val="22"/>
        </w:rPr>
      </w:pPr>
      <w:r w:rsidRPr="00F04F82">
        <w:rPr>
          <w:szCs w:val="22"/>
        </w:rPr>
        <w:t>Ulcerative colitis is an inflammatory disease of the large intestine.</w:t>
      </w:r>
    </w:p>
    <w:p w14:paraId="7678CF36" w14:textId="77777777" w:rsidR="007E0028" w:rsidRPr="00F04F82" w:rsidRDefault="007E0028" w:rsidP="007E0028">
      <w:pPr>
        <w:tabs>
          <w:tab w:val="clear" w:pos="567"/>
        </w:tabs>
        <w:spacing w:line="240" w:lineRule="auto"/>
        <w:ind w:right="-2"/>
        <w:rPr>
          <w:szCs w:val="22"/>
        </w:rPr>
      </w:pPr>
    </w:p>
    <w:p w14:paraId="13B23192" w14:textId="11C349EC" w:rsidR="007E0028" w:rsidRPr="00F04F82" w:rsidRDefault="007E0028" w:rsidP="007E0028">
      <w:pPr>
        <w:tabs>
          <w:tab w:val="clear" w:pos="567"/>
        </w:tabs>
        <w:spacing w:line="240" w:lineRule="auto"/>
        <w:ind w:right="-2"/>
        <w:rPr>
          <w:szCs w:val="22"/>
        </w:rPr>
      </w:pPr>
      <w:r w:rsidRPr="00F04F82">
        <w:rPr>
          <w:szCs w:val="22"/>
        </w:rPr>
        <w:t>AMGEVITA is used to treat moderate to severe ulcerative colitis in adults and children aged 6 to 17</w:t>
      </w:r>
      <w:r w:rsidR="000E495D" w:rsidRPr="00F04F82">
        <w:rPr>
          <w:szCs w:val="22"/>
        </w:rPr>
        <w:t> </w:t>
      </w:r>
      <w:r w:rsidRPr="00F04F82">
        <w:rPr>
          <w:szCs w:val="22"/>
        </w:rPr>
        <w:t>years. If you have ulcerative colitis you may first be given other medicines. If you do not respond well enough to these medicines, you will be given AMGEVITA to reduce the signs and symptoms of your disease.</w:t>
      </w:r>
    </w:p>
    <w:p w14:paraId="362477B2" w14:textId="77777777" w:rsidR="007E0028" w:rsidRPr="00F04F82" w:rsidRDefault="007E0028" w:rsidP="007E0028">
      <w:pPr>
        <w:tabs>
          <w:tab w:val="clear" w:pos="567"/>
        </w:tabs>
        <w:spacing w:line="240" w:lineRule="auto"/>
        <w:ind w:right="-2"/>
        <w:rPr>
          <w:szCs w:val="22"/>
        </w:rPr>
      </w:pPr>
    </w:p>
    <w:p w14:paraId="3010B059" w14:textId="77777777" w:rsidR="007E0028" w:rsidRPr="00F04F82" w:rsidRDefault="007E0028" w:rsidP="007E0028">
      <w:pPr>
        <w:tabs>
          <w:tab w:val="clear" w:pos="567"/>
        </w:tabs>
        <w:autoSpaceDE w:val="0"/>
        <w:autoSpaceDN w:val="0"/>
        <w:adjustRightInd w:val="0"/>
        <w:spacing w:line="240" w:lineRule="auto"/>
        <w:rPr>
          <w:szCs w:val="22"/>
          <w:u w:val="single"/>
          <w:lang w:eastAsia="en-GB"/>
        </w:rPr>
      </w:pPr>
      <w:r w:rsidRPr="00F04F82">
        <w:rPr>
          <w:szCs w:val="22"/>
          <w:u w:val="single"/>
          <w:lang w:eastAsia="en-GB"/>
        </w:rPr>
        <w:t>Non-infectious uveitis in adults and children</w:t>
      </w:r>
    </w:p>
    <w:p w14:paraId="0B4A0127" w14:textId="77777777" w:rsidR="007E0028" w:rsidRPr="00F04F82" w:rsidRDefault="007E0028" w:rsidP="007E0028">
      <w:pPr>
        <w:tabs>
          <w:tab w:val="clear" w:pos="567"/>
        </w:tabs>
        <w:autoSpaceDE w:val="0"/>
        <w:autoSpaceDN w:val="0"/>
        <w:adjustRightInd w:val="0"/>
        <w:spacing w:line="240" w:lineRule="auto"/>
        <w:rPr>
          <w:szCs w:val="22"/>
          <w:lang w:eastAsia="en-GB"/>
        </w:rPr>
      </w:pPr>
    </w:p>
    <w:p w14:paraId="311AFF33" w14:textId="77777777" w:rsidR="007E0028" w:rsidRPr="00F04F82" w:rsidRDefault="007E0028" w:rsidP="007E0028">
      <w:pPr>
        <w:tabs>
          <w:tab w:val="clear" w:pos="567"/>
        </w:tabs>
        <w:spacing w:line="240" w:lineRule="auto"/>
        <w:ind w:right="-2"/>
        <w:rPr>
          <w:szCs w:val="22"/>
          <w:lang w:eastAsia="en-GB"/>
        </w:rPr>
      </w:pPr>
      <w:r w:rsidRPr="00F04F82">
        <w:rPr>
          <w:szCs w:val="22"/>
          <w:lang w:eastAsia="en-GB"/>
        </w:rPr>
        <w:t xml:space="preserve">Non-infectious uveitis is an inflammatory disease affecting certain parts of the eye. </w:t>
      </w:r>
    </w:p>
    <w:p w14:paraId="73BD0CAF" w14:textId="77777777" w:rsidR="007E0028" w:rsidRPr="00F04F82" w:rsidRDefault="007E0028" w:rsidP="007E0028">
      <w:pPr>
        <w:tabs>
          <w:tab w:val="clear" w:pos="567"/>
        </w:tabs>
        <w:spacing w:line="240" w:lineRule="auto"/>
        <w:ind w:right="-2"/>
        <w:rPr>
          <w:szCs w:val="22"/>
          <w:lang w:eastAsia="en-GB"/>
        </w:rPr>
      </w:pPr>
    </w:p>
    <w:p w14:paraId="369C8884" w14:textId="77777777" w:rsidR="007E0028" w:rsidRPr="00F04F82" w:rsidRDefault="007E0028" w:rsidP="007E0028">
      <w:pPr>
        <w:tabs>
          <w:tab w:val="clear" w:pos="567"/>
        </w:tabs>
        <w:spacing w:line="240" w:lineRule="auto"/>
        <w:ind w:right="-2"/>
        <w:rPr>
          <w:szCs w:val="22"/>
          <w:lang w:eastAsia="en-GB"/>
        </w:rPr>
      </w:pPr>
      <w:r w:rsidRPr="00F04F82">
        <w:rPr>
          <w:szCs w:val="22"/>
          <w:lang w:eastAsia="en-GB"/>
        </w:rPr>
        <w:t xml:space="preserve">AMGEVITA is used to treat </w:t>
      </w:r>
    </w:p>
    <w:p w14:paraId="2E2DFC02" w14:textId="77777777" w:rsidR="007E0028" w:rsidRPr="00F04F82" w:rsidRDefault="007E0028" w:rsidP="00D03E66">
      <w:pPr>
        <w:numPr>
          <w:ilvl w:val="0"/>
          <w:numId w:val="36"/>
        </w:numPr>
        <w:spacing w:line="240" w:lineRule="auto"/>
        <w:ind w:left="567" w:hanging="567"/>
        <w:rPr>
          <w:szCs w:val="22"/>
          <w:lang w:eastAsia="en-GB"/>
        </w:rPr>
      </w:pPr>
      <w:r w:rsidRPr="00F04F82">
        <w:rPr>
          <w:szCs w:val="22"/>
          <w:lang w:eastAsia="en-GB"/>
        </w:rPr>
        <w:t>Adults with non-infectious uveitis with inflammation affecting the back of the eye.</w:t>
      </w:r>
    </w:p>
    <w:p w14:paraId="35299A37" w14:textId="77777777" w:rsidR="007E0028" w:rsidRPr="00F04F82" w:rsidRDefault="007E0028" w:rsidP="00D03E66">
      <w:pPr>
        <w:numPr>
          <w:ilvl w:val="0"/>
          <w:numId w:val="36"/>
        </w:numPr>
        <w:spacing w:line="240" w:lineRule="auto"/>
        <w:ind w:left="567" w:hanging="567"/>
        <w:rPr>
          <w:szCs w:val="22"/>
          <w:lang w:eastAsia="en-GB"/>
        </w:rPr>
      </w:pPr>
      <w:r w:rsidRPr="00F04F82">
        <w:rPr>
          <w:szCs w:val="22"/>
          <w:lang w:eastAsia="en-GB"/>
        </w:rPr>
        <w:t>Children from 2 years of age with chronic non-infectious uveitis with inflammation affecting the front of the eye.</w:t>
      </w:r>
    </w:p>
    <w:p w14:paraId="180E0062" w14:textId="77777777" w:rsidR="007E0028" w:rsidRPr="00F04F82" w:rsidRDefault="007E0028" w:rsidP="007E0028">
      <w:pPr>
        <w:tabs>
          <w:tab w:val="clear" w:pos="567"/>
        </w:tabs>
        <w:spacing w:line="240" w:lineRule="auto"/>
        <w:ind w:right="-2"/>
        <w:rPr>
          <w:szCs w:val="22"/>
          <w:lang w:eastAsia="en-GB"/>
        </w:rPr>
      </w:pPr>
    </w:p>
    <w:p w14:paraId="6C315F41" w14:textId="77777777" w:rsidR="007E0028" w:rsidRPr="00F04F82" w:rsidRDefault="007E0028" w:rsidP="007E0028">
      <w:pPr>
        <w:tabs>
          <w:tab w:val="clear" w:pos="567"/>
        </w:tabs>
        <w:spacing w:line="240" w:lineRule="auto"/>
        <w:ind w:right="-2"/>
        <w:rPr>
          <w:szCs w:val="22"/>
          <w:lang w:eastAsia="en-GB"/>
        </w:rPr>
      </w:pPr>
      <w:r w:rsidRPr="00F04F82">
        <w:rPr>
          <w:szCs w:val="22"/>
          <w:lang w:eastAsia="en-GB"/>
        </w:rPr>
        <w:t>This inflammation may lead to a decrease of vision and/or the presence of floaters in the eye (black dots or wispy lines that move across the field of vision). AMGEVITA works by reducing this inflammation.</w:t>
      </w:r>
    </w:p>
    <w:p w14:paraId="3D202E89" w14:textId="77777777" w:rsidR="007E0028" w:rsidRPr="00F04F82" w:rsidRDefault="007E0028" w:rsidP="007E0028">
      <w:pPr>
        <w:tabs>
          <w:tab w:val="clear" w:pos="567"/>
        </w:tabs>
        <w:spacing w:line="240" w:lineRule="auto"/>
        <w:ind w:right="-2"/>
        <w:rPr>
          <w:szCs w:val="22"/>
          <w:lang w:eastAsia="en-GB"/>
        </w:rPr>
      </w:pPr>
    </w:p>
    <w:p w14:paraId="16A6033B" w14:textId="77777777" w:rsidR="007E0028" w:rsidRPr="00F04F82" w:rsidRDefault="007E0028" w:rsidP="007E0028">
      <w:pPr>
        <w:tabs>
          <w:tab w:val="clear" w:pos="567"/>
        </w:tabs>
        <w:spacing w:line="240" w:lineRule="auto"/>
        <w:ind w:right="-2"/>
        <w:rPr>
          <w:szCs w:val="22"/>
        </w:rPr>
      </w:pPr>
    </w:p>
    <w:p w14:paraId="79D6B084" w14:textId="77777777" w:rsidR="007E0028" w:rsidRPr="00F04F82" w:rsidRDefault="007E0028" w:rsidP="00B61D9D">
      <w:pPr>
        <w:keepNext/>
        <w:spacing w:line="240" w:lineRule="auto"/>
        <w:ind w:left="567" w:hanging="567"/>
        <w:rPr>
          <w:b/>
          <w:szCs w:val="22"/>
        </w:rPr>
      </w:pPr>
      <w:r w:rsidRPr="00F04F82">
        <w:rPr>
          <w:b/>
        </w:rPr>
        <w:t>2.</w:t>
      </w:r>
      <w:r w:rsidRPr="00F04F82">
        <w:rPr>
          <w:b/>
        </w:rPr>
        <w:tab/>
        <w:t xml:space="preserve">What you need to know before you use </w:t>
      </w:r>
      <w:r w:rsidRPr="00F04F82">
        <w:rPr>
          <w:b/>
          <w:szCs w:val="22"/>
        </w:rPr>
        <w:t>AMGEVITA</w:t>
      </w:r>
    </w:p>
    <w:p w14:paraId="3C3EC019" w14:textId="77777777" w:rsidR="007E0028" w:rsidRPr="00F04F82" w:rsidRDefault="007E0028" w:rsidP="007E0028">
      <w:pPr>
        <w:keepNext/>
        <w:spacing w:line="240" w:lineRule="auto"/>
        <w:ind w:right="-2"/>
        <w:rPr>
          <w:b/>
          <w:szCs w:val="22"/>
        </w:rPr>
      </w:pPr>
    </w:p>
    <w:p w14:paraId="4E5C5A92" w14:textId="78734CCE" w:rsidR="007E0028" w:rsidRPr="00F04F82" w:rsidRDefault="007E0028" w:rsidP="007E0028">
      <w:pPr>
        <w:keepNext/>
        <w:numPr>
          <w:ilvl w:val="12"/>
          <w:numId w:val="0"/>
        </w:numPr>
        <w:tabs>
          <w:tab w:val="clear" w:pos="567"/>
        </w:tabs>
        <w:spacing w:line="240" w:lineRule="auto"/>
        <w:outlineLvl w:val="0"/>
        <w:rPr>
          <w:b/>
          <w:szCs w:val="22"/>
        </w:rPr>
      </w:pPr>
      <w:r w:rsidRPr="00F04F82">
        <w:rPr>
          <w:b/>
          <w:szCs w:val="22"/>
        </w:rPr>
        <w:t>Do not use AMGEVITA:</w:t>
      </w:r>
      <w:r w:rsidR="001C55FB" w:rsidRPr="00F04F82">
        <w:rPr>
          <w:b/>
          <w:szCs w:val="22"/>
        </w:rPr>
        <w:fldChar w:fldCharType="begin"/>
      </w:r>
      <w:r w:rsidR="001C55FB" w:rsidRPr="00F04F82">
        <w:rPr>
          <w:b/>
          <w:szCs w:val="22"/>
        </w:rPr>
        <w:instrText xml:space="preserve"> DOCVARIABLE vault_nd_2b86d3e2-afce-4700-a038-f20e2869a0c9 \* MERGEFORMAT </w:instrText>
      </w:r>
      <w:r w:rsidR="001C55FB" w:rsidRPr="00F04F82">
        <w:rPr>
          <w:b/>
          <w:szCs w:val="22"/>
        </w:rPr>
        <w:fldChar w:fldCharType="separate"/>
      </w:r>
      <w:r w:rsidR="001C55FB" w:rsidRPr="00F04F82">
        <w:rPr>
          <w:b/>
          <w:szCs w:val="22"/>
        </w:rPr>
        <w:t xml:space="preserve"> </w:t>
      </w:r>
      <w:r w:rsidR="001C55FB" w:rsidRPr="00F04F82">
        <w:rPr>
          <w:b/>
          <w:szCs w:val="22"/>
        </w:rPr>
        <w:fldChar w:fldCharType="end"/>
      </w:r>
    </w:p>
    <w:p w14:paraId="480B6490" w14:textId="77777777" w:rsidR="007E0028" w:rsidRPr="00F04F82" w:rsidRDefault="007E0028" w:rsidP="007E0028">
      <w:pPr>
        <w:keepNext/>
        <w:numPr>
          <w:ilvl w:val="12"/>
          <w:numId w:val="0"/>
        </w:numPr>
        <w:tabs>
          <w:tab w:val="clear" w:pos="567"/>
        </w:tabs>
        <w:spacing w:line="240" w:lineRule="auto"/>
        <w:outlineLvl w:val="0"/>
        <w:rPr>
          <w:szCs w:val="22"/>
        </w:rPr>
      </w:pPr>
    </w:p>
    <w:p w14:paraId="781DB3C3" w14:textId="77777777" w:rsidR="007E0028" w:rsidRPr="00F04F82" w:rsidRDefault="007E0028" w:rsidP="00A73E0F">
      <w:pPr>
        <w:numPr>
          <w:ilvl w:val="12"/>
          <w:numId w:val="0"/>
        </w:numPr>
        <w:spacing w:line="240" w:lineRule="auto"/>
        <w:ind w:left="567" w:hanging="567"/>
        <w:rPr>
          <w:szCs w:val="22"/>
        </w:rPr>
      </w:pPr>
      <w:r w:rsidRPr="00F04F82">
        <w:rPr>
          <w:szCs w:val="22"/>
        </w:rPr>
        <w:t>-</w:t>
      </w:r>
      <w:r w:rsidRPr="00F04F82">
        <w:rPr>
          <w:szCs w:val="22"/>
        </w:rPr>
        <w:tab/>
        <w:t xml:space="preserve">if you are allergic to adalimumab or any of the other ingredients of </w:t>
      </w:r>
      <w:r w:rsidRPr="00F04F82">
        <w:t>this medicine (listed in section</w:t>
      </w:r>
      <w:r w:rsidRPr="00F04F82">
        <w:rPr>
          <w:lang w:eastAsia="zh-TW"/>
        </w:rPr>
        <w:t> </w:t>
      </w:r>
      <w:r w:rsidRPr="00F04F82">
        <w:t>6)</w:t>
      </w:r>
      <w:r w:rsidRPr="00F04F82">
        <w:rPr>
          <w:szCs w:val="22"/>
        </w:rPr>
        <w:t>.</w:t>
      </w:r>
    </w:p>
    <w:p w14:paraId="26863CAC" w14:textId="77777777" w:rsidR="007E0028" w:rsidRPr="00F04F82" w:rsidRDefault="007E0028" w:rsidP="00A73E0F">
      <w:pPr>
        <w:numPr>
          <w:ilvl w:val="0"/>
          <w:numId w:val="8"/>
        </w:numPr>
        <w:spacing w:line="240" w:lineRule="auto"/>
        <w:ind w:left="567" w:hanging="567"/>
        <w:rPr>
          <w:szCs w:val="22"/>
        </w:rPr>
      </w:pPr>
      <w:r w:rsidRPr="00F04F82">
        <w:rPr>
          <w:szCs w:val="22"/>
        </w:rPr>
        <w:t xml:space="preserve">if you have a severe infection, including active tuberculosis, sepsis (blood infection) or other opportunistic infections (unusual infections associated with a weakened immune system) (see “Warnings and precautions”). It is important that you tell your doctor if you have symptoms of infections, e.g. fever, wounds, feeling tired, dental problems. </w:t>
      </w:r>
    </w:p>
    <w:p w14:paraId="06D25DA4" w14:textId="77777777" w:rsidR="007E0028" w:rsidRPr="00D55B59" w:rsidRDefault="007E0028" w:rsidP="00A73E0F">
      <w:pPr>
        <w:pStyle w:val="Default"/>
        <w:numPr>
          <w:ilvl w:val="0"/>
          <w:numId w:val="8"/>
        </w:numPr>
        <w:tabs>
          <w:tab w:val="left" w:pos="567"/>
        </w:tabs>
        <w:ind w:left="567" w:hanging="567"/>
        <w:rPr>
          <w:sz w:val="22"/>
          <w:szCs w:val="22"/>
          <w:lang w:val="en-GB"/>
          <w:rPrChange w:id="5418" w:author="Author">
            <w:rPr>
              <w:sz w:val="22"/>
              <w:szCs w:val="22"/>
            </w:rPr>
          </w:rPrChange>
        </w:rPr>
      </w:pPr>
      <w:r w:rsidRPr="00D55B59">
        <w:rPr>
          <w:sz w:val="22"/>
          <w:szCs w:val="22"/>
          <w:lang w:val="en-GB"/>
          <w:rPrChange w:id="5419" w:author="Author">
            <w:rPr>
              <w:sz w:val="22"/>
              <w:szCs w:val="22"/>
            </w:rPr>
          </w:rPrChange>
        </w:rPr>
        <w:t xml:space="preserve">if you have moderate or severe heart failure. It is important to tell your doctor if you have had or have a serious heart condition (see “Warnings and precautions”). </w:t>
      </w:r>
    </w:p>
    <w:p w14:paraId="4F5F172C" w14:textId="77777777" w:rsidR="007E0028" w:rsidRPr="00F04F82" w:rsidRDefault="007E0028" w:rsidP="007E0028">
      <w:pPr>
        <w:numPr>
          <w:ilvl w:val="12"/>
          <w:numId w:val="0"/>
        </w:numPr>
        <w:tabs>
          <w:tab w:val="clear" w:pos="567"/>
        </w:tabs>
        <w:spacing w:line="240" w:lineRule="auto"/>
        <w:ind w:left="567" w:hanging="567"/>
        <w:rPr>
          <w:szCs w:val="22"/>
        </w:rPr>
      </w:pPr>
    </w:p>
    <w:p w14:paraId="0E08CE7A" w14:textId="63206B15" w:rsidR="007E0028" w:rsidRPr="00F04F82" w:rsidRDefault="007E0028" w:rsidP="00077AFF">
      <w:pPr>
        <w:keepNext/>
        <w:keepLines/>
        <w:numPr>
          <w:ilvl w:val="12"/>
          <w:numId w:val="0"/>
        </w:numPr>
        <w:tabs>
          <w:tab w:val="clear" w:pos="567"/>
        </w:tabs>
        <w:spacing w:line="240" w:lineRule="auto"/>
        <w:outlineLvl w:val="0"/>
        <w:rPr>
          <w:b/>
          <w:szCs w:val="22"/>
        </w:rPr>
      </w:pPr>
      <w:r w:rsidRPr="00F04F82">
        <w:rPr>
          <w:b/>
        </w:rPr>
        <w:t>Warnings and precautions</w:t>
      </w:r>
      <w:r w:rsidR="001C55FB" w:rsidRPr="00F04F82">
        <w:rPr>
          <w:b/>
        </w:rPr>
        <w:fldChar w:fldCharType="begin"/>
      </w:r>
      <w:r w:rsidR="001C55FB" w:rsidRPr="00F04F82">
        <w:rPr>
          <w:b/>
        </w:rPr>
        <w:instrText xml:space="preserve"> DOCVARIABLE vault_nd_d1ca6125-5427-4ac1-b801-01d0b81b8c7e \* MERGEFORMAT </w:instrText>
      </w:r>
      <w:r w:rsidR="001C55FB" w:rsidRPr="00F04F82">
        <w:rPr>
          <w:b/>
        </w:rPr>
        <w:fldChar w:fldCharType="separate"/>
      </w:r>
      <w:r w:rsidR="001C55FB" w:rsidRPr="00F04F82">
        <w:rPr>
          <w:b/>
        </w:rPr>
        <w:t xml:space="preserve"> </w:t>
      </w:r>
      <w:r w:rsidR="001C55FB" w:rsidRPr="00F04F82">
        <w:rPr>
          <w:b/>
        </w:rPr>
        <w:fldChar w:fldCharType="end"/>
      </w:r>
    </w:p>
    <w:p w14:paraId="02E5C97C" w14:textId="77777777" w:rsidR="007E0028" w:rsidRPr="00F04F82" w:rsidRDefault="007E0028" w:rsidP="00077AFF">
      <w:pPr>
        <w:keepNext/>
        <w:keepLines/>
        <w:numPr>
          <w:ilvl w:val="12"/>
          <w:numId w:val="0"/>
        </w:numPr>
        <w:tabs>
          <w:tab w:val="clear" w:pos="567"/>
        </w:tabs>
        <w:spacing w:line="240" w:lineRule="auto"/>
      </w:pPr>
    </w:p>
    <w:p w14:paraId="446F3F23" w14:textId="77777777" w:rsidR="007E0028" w:rsidRPr="00F04F82" w:rsidRDefault="007E0028" w:rsidP="00077AFF">
      <w:pPr>
        <w:keepNext/>
        <w:keepLines/>
        <w:numPr>
          <w:ilvl w:val="12"/>
          <w:numId w:val="0"/>
        </w:numPr>
        <w:tabs>
          <w:tab w:val="clear" w:pos="567"/>
        </w:tabs>
        <w:spacing w:line="240" w:lineRule="auto"/>
      </w:pPr>
      <w:r w:rsidRPr="00F04F82">
        <w:t xml:space="preserve">Talk to your doctor or pharmacist before using </w:t>
      </w:r>
      <w:r w:rsidRPr="00F04F82">
        <w:rPr>
          <w:szCs w:val="22"/>
        </w:rPr>
        <w:t>AMGEVITA</w:t>
      </w:r>
      <w:r w:rsidRPr="00F04F82">
        <w:t>:</w:t>
      </w:r>
    </w:p>
    <w:p w14:paraId="7AD5F82E" w14:textId="77777777" w:rsidR="007E0028" w:rsidRPr="00F04F82" w:rsidRDefault="007E0028" w:rsidP="00077AFF">
      <w:pPr>
        <w:numPr>
          <w:ilvl w:val="12"/>
          <w:numId w:val="0"/>
        </w:numPr>
        <w:spacing w:line="240" w:lineRule="auto"/>
        <w:ind w:right="-2"/>
        <w:rPr>
          <w:szCs w:val="22"/>
        </w:rPr>
      </w:pPr>
    </w:p>
    <w:p w14:paraId="7D9F0514" w14:textId="7C33C927" w:rsidR="007E0028" w:rsidRPr="00D55B59" w:rsidRDefault="007E0028" w:rsidP="00077AFF">
      <w:pPr>
        <w:pStyle w:val="Default"/>
        <w:tabs>
          <w:tab w:val="left" w:pos="567"/>
        </w:tabs>
        <w:rPr>
          <w:sz w:val="22"/>
          <w:szCs w:val="22"/>
          <w:lang w:val="en-GB"/>
          <w:rPrChange w:id="5420" w:author="Author">
            <w:rPr>
              <w:sz w:val="22"/>
              <w:szCs w:val="22"/>
            </w:rPr>
          </w:rPrChange>
        </w:rPr>
      </w:pPr>
      <w:r w:rsidRPr="00D55B59">
        <w:rPr>
          <w:sz w:val="22"/>
          <w:szCs w:val="22"/>
          <w:lang w:val="en-GB"/>
          <w:rPrChange w:id="5421" w:author="Author">
            <w:rPr>
              <w:sz w:val="22"/>
              <w:szCs w:val="22"/>
            </w:rPr>
          </w:rPrChange>
        </w:rPr>
        <w:t>Allergic reaction</w:t>
      </w:r>
      <w:ins w:id="5422" w:author="Author">
        <w:r w:rsidR="0000238E">
          <w:rPr>
            <w:sz w:val="22"/>
            <w:szCs w:val="22"/>
            <w:lang w:val="en-GB"/>
          </w:rPr>
          <w:t>s</w:t>
        </w:r>
      </w:ins>
    </w:p>
    <w:p w14:paraId="5892C095" w14:textId="77777777" w:rsidR="007E0028" w:rsidRPr="00D55B59" w:rsidRDefault="007E0028" w:rsidP="00077AFF">
      <w:pPr>
        <w:pStyle w:val="Default"/>
        <w:tabs>
          <w:tab w:val="left" w:pos="567"/>
        </w:tabs>
        <w:rPr>
          <w:sz w:val="22"/>
          <w:szCs w:val="22"/>
          <w:lang w:val="en-GB"/>
          <w:rPrChange w:id="5423" w:author="Author">
            <w:rPr>
              <w:sz w:val="22"/>
              <w:szCs w:val="22"/>
            </w:rPr>
          </w:rPrChange>
        </w:rPr>
      </w:pPr>
    </w:p>
    <w:p w14:paraId="10F2F8C3" w14:textId="77777777" w:rsidR="007E0028" w:rsidRPr="00D55B59" w:rsidRDefault="007E0028" w:rsidP="00077AFF">
      <w:pPr>
        <w:pStyle w:val="Default"/>
        <w:numPr>
          <w:ilvl w:val="0"/>
          <w:numId w:val="9"/>
        </w:numPr>
        <w:tabs>
          <w:tab w:val="left" w:pos="567"/>
        </w:tabs>
        <w:ind w:left="567" w:hanging="567"/>
        <w:rPr>
          <w:sz w:val="22"/>
          <w:szCs w:val="22"/>
          <w:lang w:val="en-GB"/>
          <w:rPrChange w:id="5424" w:author="Author">
            <w:rPr>
              <w:sz w:val="22"/>
              <w:szCs w:val="22"/>
            </w:rPr>
          </w:rPrChange>
        </w:rPr>
      </w:pPr>
      <w:r w:rsidRPr="00D55B59">
        <w:rPr>
          <w:sz w:val="22"/>
          <w:szCs w:val="22"/>
          <w:lang w:val="en-GB"/>
          <w:rPrChange w:id="5425" w:author="Author">
            <w:rPr>
              <w:sz w:val="22"/>
              <w:szCs w:val="22"/>
            </w:rPr>
          </w:rPrChange>
        </w:rPr>
        <w:t>If you experience allergic reactions with symptoms such as chest tightness, wheezing, dizziness, swelling or rash do not inject more AMGEVITA and contact your doctor immediately since, in rare cases, these reactions can be life threatening.</w:t>
      </w:r>
    </w:p>
    <w:p w14:paraId="543E0224" w14:textId="77777777" w:rsidR="007E0028" w:rsidRPr="00D55B59" w:rsidRDefault="007E0028" w:rsidP="00077AFF">
      <w:pPr>
        <w:pStyle w:val="Default"/>
        <w:tabs>
          <w:tab w:val="left" w:pos="567"/>
        </w:tabs>
        <w:ind w:left="567"/>
        <w:rPr>
          <w:sz w:val="22"/>
          <w:szCs w:val="22"/>
          <w:lang w:val="en-GB"/>
          <w:rPrChange w:id="5426" w:author="Author">
            <w:rPr>
              <w:sz w:val="22"/>
              <w:szCs w:val="22"/>
            </w:rPr>
          </w:rPrChange>
        </w:rPr>
      </w:pPr>
    </w:p>
    <w:p w14:paraId="69E50CD9" w14:textId="77777777" w:rsidR="007E0028" w:rsidRPr="00D55B59" w:rsidRDefault="007E0028" w:rsidP="00077AFF">
      <w:pPr>
        <w:pStyle w:val="Default"/>
        <w:tabs>
          <w:tab w:val="left" w:pos="567"/>
        </w:tabs>
        <w:rPr>
          <w:sz w:val="22"/>
          <w:szCs w:val="22"/>
          <w:lang w:val="en-GB"/>
          <w:rPrChange w:id="5427" w:author="Author">
            <w:rPr>
              <w:sz w:val="22"/>
              <w:szCs w:val="22"/>
            </w:rPr>
          </w:rPrChange>
        </w:rPr>
      </w:pPr>
      <w:r w:rsidRPr="00D55B59">
        <w:rPr>
          <w:sz w:val="22"/>
          <w:szCs w:val="22"/>
          <w:lang w:val="en-GB"/>
          <w:rPrChange w:id="5428" w:author="Author">
            <w:rPr>
              <w:sz w:val="22"/>
              <w:szCs w:val="22"/>
            </w:rPr>
          </w:rPrChange>
        </w:rPr>
        <w:t>Infections</w:t>
      </w:r>
    </w:p>
    <w:p w14:paraId="132ABEA5" w14:textId="77777777" w:rsidR="007E0028" w:rsidRPr="00D55B59" w:rsidRDefault="007E0028" w:rsidP="00077AFF">
      <w:pPr>
        <w:pStyle w:val="Default"/>
        <w:tabs>
          <w:tab w:val="left" w:pos="567"/>
        </w:tabs>
        <w:ind w:left="567"/>
        <w:rPr>
          <w:sz w:val="22"/>
          <w:szCs w:val="22"/>
          <w:lang w:val="en-GB"/>
          <w:rPrChange w:id="5429" w:author="Author">
            <w:rPr>
              <w:sz w:val="22"/>
              <w:szCs w:val="22"/>
            </w:rPr>
          </w:rPrChange>
        </w:rPr>
      </w:pPr>
    </w:p>
    <w:p w14:paraId="69E0834D" w14:textId="77777777" w:rsidR="007E0028" w:rsidRPr="00D55B59" w:rsidRDefault="007E0028" w:rsidP="00077AFF">
      <w:pPr>
        <w:pStyle w:val="Default"/>
        <w:numPr>
          <w:ilvl w:val="0"/>
          <w:numId w:val="9"/>
        </w:numPr>
        <w:tabs>
          <w:tab w:val="left" w:pos="567"/>
        </w:tabs>
        <w:ind w:left="567" w:hanging="567"/>
        <w:rPr>
          <w:sz w:val="22"/>
          <w:szCs w:val="22"/>
          <w:lang w:val="en-GB"/>
          <w:rPrChange w:id="5430" w:author="Author">
            <w:rPr>
              <w:sz w:val="22"/>
              <w:szCs w:val="22"/>
            </w:rPr>
          </w:rPrChange>
        </w:rPr>
      </w:pPr>
      <w:r w:rsidRPr="00D55B59">
        <w:rPr>
          <w:sz w:val="22"/>
          <w:szCs w:val="22"/>
          <w:lang w:val="en-GB"/>
          <w:rPrChange w:id="5431" w:author="Author">
            <w:rPr>
              <w:sz w:val="22"/>
              <w:szCs w:val="22"/>
            </w:rPr>
          </w:rPrChange>
        </w:rPr>
        <w:t>If you have an infection, including long-term or localised infection (for example, leg ulcer) consult your doctor before starting AMGEVITA. If you are unsure, contact your doctor.</w:t>
      </w:r>
    </w:p>
    <w:p w14:paraId="651A0620" w14:textId="77777777" w:rsidR="007E0028" w:rsidRPr="00D55B59" w:rsidRDefault="007E0028" w:rsidP="00077AFF">
      <w:pPr>
        <w:pStyle w:val="Default"/>
        <w:numPr>
          <w:ilvl w:val="0"/>
          <w:numId w:val="9"/>
        </w:numPr>
        <w:tabs>
          <w:tab w:val="left" w:pos="567"/>
        </w:tabs>
        <w:ind w:left="567" w:hanging="567"/>
        <w:rPr>
          <w:sz w:val="22"/>
          <w:szCs w:val="22"/>
          <w:lang w:val="en-GB"/>
          <w:rPrChange w:id="5432" w:author="Author">
            <w:rPr>
              <w:sz w:val="22"/>
              <w:szCs w:val="22"/>
            </w:rPr>
          </w:rPrChange>
        </w:rPr>
      </w:pPr>
      <w:r w:rsidRPr="00D55B59">
        <w:rPr>
          <w:sz w:val="22"/>
          <w:szCs w:val="22"/>
          <w:lang w:val="en-GB"/>
          <w:rPrChange w:id="5433" w:author="Author">
            <w:rPr>
              <w:sz w:val="22"/>
              <w:szCs w:val="22"/>
            </w:rPr>
          </w:rPrChange>
        </w:rPr>
        <w:t xml:space="preserve">You might get infections more easily while you are receiving AMGEVITA treatment. This risk may increase if your lung function is impaired. These infections may be serious and include tuberculosis, infections caused by viruses, fungi, parasites or bacteria, or other opportunistic infections and sepsis that may, in rare cases, be life-threatening. It is important to tell your doctor if you get symptoms such as fever, wounds, feeling tired or dental problems. Your doctor may recommend temporary discontinuation of AMGEVITA. </w:t>
      </w:r>
    </w:p>
    <w:p w14:paraId="3269DBB5" w14:textId="77777777" w:rsidR="007E0028" w:rsidRPr="00D55B59" w:rsidRDefault="007E0028" w:rsidP="00077AFF">
      <w:pPr>
        <w:pStyle w:val="Default"/>
        <w:tabs>
          <w:tab w:val="left" w:pos="567"/>
        </w:tabs>
        <w:ind w:left="567" w:hanging="567"/>
        <w:rPr>
          <w:sz w:val="22"/>
          <w:szCs w:val="22"/>
          <w:lang w:val="en-GB"/>
          <w:rPrChange w:id="5434" w:author="Author">
            <w:rPr>
              <w:sz w:val="22"/>
              <w:szCs w:val="22"/>
            </w:rPr>
          </w:rPrChange>
        </w:rPr>
      </w:pPr>
    </w:p>
    <w:p w14:paraId="221E7FAE" w14:textId="77777777" w:rsidR="007E0028" w:rsidRPr="00F04F82" w:rsidRDefault="007E0028" w:rsidP="00B61D9D">
      <w:pPr>
        <w:spacing w:line="240" w:lineRule="auto"/>
      </w:pPr>
      <w:r w:rsidRPr="00F04F82">
        <w:t>Tuberculosis</w:t>
      </w:r>
    </w:p>
    <w:p w14:paraId="0714F049" w14:textId="77777777" w:rsidR="007E0028" w:rsidRPr="00F04F82" w:rsidRDefault="007E0028" w:rsidP="00B61D9D">
      <w:pPr>
        <w:spacing w:line="240" w:lineRule="auto"/>
        <w:ind w:left="567"/>
      </w:pPr>
    </w:p>
    <w:p w14:paraId="4952CB3A" w14:textId="77777777" w:rsidR="007E0028" w:rsidRPr="00F04F82" w:rsidRDefault="007E0028" w:rsidP="00B61D9D">
      <w:pPr>
        <w:numPr>
          <w:ilvl w:val="0"/>
          <w:numId w:val="9"/>
        </w:numPr>
        <w:spacing w:line="240" w:lineRule="auto"/>
        <w:ind w:left="567" w:hanging="567"/>
      </w:pPr>
      <w:r w:rsidRPr="00F04F82">
        <w:t xml:space="preserve">As cases of tuberculosis have been reported in patients treated with adalimumab, your doctor will check you for signs and symptoms of tuberculosis before starting </w:t>
      </w:r>
      <w:r w:rsidRPr="00F04F82">
        <w:rPr>
          <w:szCs w:val="22"/>
        </w:rPr>
        <w:t>AMGEVITA</w:t>
      </w:r>
      <w:r w:rsidRPr="00F04F82">
        <w:t xml:space="preserve">. This will include a thorough medical evaluation including your medical history and appropriate screening tests (for example chest x-ray and a tuberculin test). The conduct and results of these tests should be recorded on your </w:t>
      </w:r>
      <w:r w:rsidRPr="00F04F82">
        <w:rPr>
          <w:b/>
        </w:rPr>
        <w:t>Patient Reminder Card</w:t>
      </w:r>
      <w:r w:rsidRPr="00F04F82">
        <w:t xml:space="preserve">. It is very important that you tell your doctor if you have ever had tuberculosis, or if you have been in close contact with someone who has had tuberculosis. </w:t>
      </w:r>
    </w:p>
    <w:p w14:paraId="084B5E72" w14:textId="77777777" w:rsidR="007E0028" w:rsidRPr="00F04F82" w:rsidRDefault="007E0028" w:rsidP="00B61D9D">
      <w:pPr>
        <w:numPr>
          <w:ilvl w:val="0"/>
          <w:numId w:val="9"/>
        </w:numPr>
        <w:spacing w:line="240" w:lineRule="auto"/>
        <w:ind w:left="567" w:hanging="567"/>
      </w:pPr>
      <w:r w:rsidRPr="00F04F82">
        <w:t xml:space="preserve">Tuberculosis can develop during therapy even if you have received preventative treatment for tuberculosis. </w:t>
      </w:r>
    </w:p>
    <w:p w14:paraId="4E72DDE1" w14:textId="77777777" w:rsidR="007E0028" w:rsidRPr="00F04F82" w:rsidRDefault="007E0028" w:rsidP="00B61D9D">
      <w:pPr>
        <w:numPr>
          <w:ilvl w:val="0"/>
          <w:numId w:val="9"/>
        </w:numPr>
        <w:spacing w:line="240" w:lineRule="auto"/>
        <w:ind w:left="567" w:hanging="567"/>
      </w:pPr>
      <w:r w:rsidRPr="00F04F82">
        <w:t xml:space="preserve">If symptoms of tuberculosis (persistent cough, weight loss, listlessness, mild fever), or any other infection appear during or after therapy, tell your doctor immediately. </w:t>
      </w:r>
    </w:p>
    <w:p w14:paraId="27B6EFDC" w14:textId="77777777" w:rsidR="007E0028" w:rsidRPr="00D55B59" w:rsidRDefault="007E0028" w:rsidP="00077AFF">
      <w:pPr>
        <w:pStyle w:val="Default"/>
        <w:tabs>
          <w:tab w:val="left" w:pos="567"/>
        </w:tabs>
        <w:ind w:left="567" w:hanging="567"/>
        <w:rPr>
          <w:sz w:val="22"/>
          <w:szCs w:val="22"/>
          <w:lang w:val="en-GB"/>
          <w:rPrChange w:id="5435" w:author="Author">
            <w:rPr>
              <w:sz w:val="22"/>
              <w:szCs w:val="22"/>
            </w:rPr>
          </w:rPrChange>
        </w:rPr>
      </w:pPr>
    </w:p>
    <w:p w14:paraId="301C8CB6" w14:textId="77777777" w:rsidR="007E0028" w:rsidRPr="00F04F82" w:rsidRDefault="007E0028" w:rsidP="00B61D9D">
      <w:pPr>
        <w:spacing w:line="240" w:lineRule="auto"/>
      </w:pPr>
      <w:r w:rsidRPr="00F04F82">
        <w:t>Travel / recurrent infection</w:t>
      </w:r>
    </w:p>
    <w:p w14:paraId="524EE806" w14:textId="77777777" w:rsidR="007E0028" w:rsidRPr="00F04F82" w:rsidRDefault="007E0028" w:rsidP="00B61D9D">
      <w:pPr>
        <w:spacing w:line="240" w:lineRule="auto"/>
        <w:ind w:left="567"/>
      </w:pPr>
    </w:p>
    <w:p w14:paraId="38281A14" w14:textId="77777777" w:rsidR="007E0028" w:rsidRPr="00F04F82" w:rsidRDefault="007E0028" w:rsidP="00B61D9D">
      <w:pPr>
        <w:numPr>
          <w:ilvl w:val="0"/>
          <w:numId w:val="10"/>
        </w:numPr>
        <w:spacing w:line="240" w:lineRule="auto"/>
        <w:ind w:left="567" w:hanging="567"/>
      </w:pPr>
      <w:r w:rsidRPr="00F04F82">
        <w:t xml:space="preserve">Advise your doctor if you reside or travel in regions where fungal infections such as histoplasmosis, coccidioidomycosis or blastomycosis are endemic. </w:t>
      </w:r>
    </w:p>
    <w:p w14:paraId="757D3A51" w14:textId="77777777" w:rsidR="007E0028" w:rsidRPr="00F04F82" w:rsidRDefault="007E0028" w:rsidP="00B61D9D">
      <w:pPr>
        <w:numPr>
          <w:ilvl w:val="0"/>
          <w:numId w:val="10"/>
        </w:numPr>
        <w:spacing w:line="240" w:lineRule="auto"/>
        <w:ind w:left="567" w:hanging="567"/>
      </w:pPr>
      <w:r w:rsidRPr="00F04F82">
        <w:t xml:space="preserve">Advise your doctor if you have a history of recurrent infections or other conditions that increase the risk of infections. </w:t>
      </w:r>
    </w:p>
    <w:p w14:paraId="60333973" w14:textId="77777777" w:rsidR="007E0028" w:rsidRPr="00F04F82" w:rsidRDefault="007E0028" w:rsidP="00B61D9D">
      <w:pPr>
        <w:spacing w:line="240" w:lineRule="auto"/>
        <w:ind w:left="567" w:hanging="567"/>
      </w:pPr>
    </w:p>
    <w:p w14:paraId="282FCCB7" w14:textId="77777777" w:rsidR="007E0028" w:rsidRPr="00F04F82" w:rsidRDefault="007E0028" w:rsidP="00B61D9D">
      <w:pPr>
        <w:spacing w:line="240" w:lineRule="auto"/>
      </w:pPr>
      <w:r w:rsidRPr="00F04F82">
        <w:t>Hepatitis B virus</w:t>
      </w:r>
    </w:p>
    <w:p w14:paraId="4CCD5D73" w14:textId="77777777" w:rsidR="007E0028" w:rsidRPr="00F04F82" w:rsidRDefault="007E0028" w:rsidP="00B61D9D">
      <w:pPr>
        <w:spacing w:line="240" w:lineRule="auto"/>
        <w:ind w:left="567"/>
      </w:pPr>
    </w:p>
    <w:p w14:paraId="7D86DDDD" w14:textId="77777777" w:rsidR="007E0028" w:rsidRPr="00F04F82" w:rsidRDefault="007E0028" w:rsidP="00B61D9D">
      <w:pPr>
        <w:numPr>
          <w:ilvl w:val="0"/>
          <w:numId w:val="10"/>
        </w:numPr>
        <w:spacing w:line="240" w:lineRule="auto"/>
        <w:ind w:left="567" w:hanging="567"/>
      </w:pPr>
      <w:r w:rsidRPr="00F04F82">
        <w:t xml:space="preserve">Advise your doctor if you are a carrier of the hepatitis B virus (HBV), if you have active HBV or if you think you might be at risk of contracting HBV. Your doctor should test you for HBV. </w:t>
      </w:r>
      <w:r w:rsidRPr="00F04F82">
        <w:rPr>
          <w:szCs w:val="22"/>
        </w:rPr>
        <w:t>AMGEVITA</w:t>
      </w:r>
      <w:r w:rsidRPr="00F04F82">
        <w:t xml:space="preserve"> can cause reactivation of HBV in people who carry this virus. In some rare cases, especially if you are taking other medicines that suppress the immune system, reactivation of HBV can be life-threatening. </w:t>
      </w:r>
    </w:p>
    <w:p w14:paraId="39FA665D" w14:textId="77777777" w:rsidR="007E0028" w:rsidRPr="00F04F82" w:rsidRDefault="007E0028" w:rsidP="00077AFF">
      <w:pPr>
        <w:pStyle w:val="ListParagraph"/>
      </w:pPr>
    </w:p>
    <w:p w14:paraId="5635DA05" w14:textId="77777777" w:rsidR="007E0028" w:rsidRPr="00F04F82" w:rsidRDefault="007E0028" w:rsidP="00077AFF">
      <w:pPr>
        <w:tabs>
          <w:tab w:val="clear" w:pos="567"/>
        </w:tabs>
        <w:autoSpaceDE w:val="0"/>
        <w:autoSpaceDN w:val="0"/>
        <w:adjustRightInd w:val="0"/>
        <w:spacing w:line="240" w:lineRule="auto"/>
      </w:pPr>
      <w:r w:rsidRPr="00F04F82">
        <w:t>Age over 65 years</w:t>
      </w:r>
    </w:p>
    <w:p w14:paraId="6AF9E2A8" w14:textId="77777777" w:rsidR="007E0028" w:rsidRPr="00F04F82" w:rsidRDefault="007E0028" w:rsidP="00077AFF">
      <w:pPr>
        <w:tabs>
          <w:tab w:val="clear" w:pos="567"/>
        </w:tabs>
        <w:autoSpaceDE w:val="0"/>
        <w:autoSpaceDN w:val="0"/>
        <w:adjustRightInd w:val="0"/>
        <w:spacing w:line="240" w:lineRule="auto"/>
        <w:ind w:left="567"/>
      </w:pPr>
    </w:p>
    <w:p w14:paraId="0F793601" w14:textId="77777777" w:rsidR="007E0028" w:rsidRPr="00F04F82" w:rsidRDefault="007E0028" w:rsidP="00FD4D1D">
      <w:pPr>
        <w:numPr>
          <w:ilvl w:val="0"/>
          <w:numId w:val="10"/>
        </w:numPr>
        <w:autoSpaceDE w:val="0"/>
        <w:autoSpaceDN w:val="0"/>
        <w:adjustRightInd w:val="0"/>
        <w:spacing w:line="240" w:lineRule="auto"/>
        <w:ind w:left="567" w:hanging="567"/>
      </w:pPr>
      <w:r w:rsidRPr="00F04F82">
        <w:rPr>
          <w:szCs w:val="22"/>
          <w:lang w:eastAsia="en-GB"/>
        </w:rPr>
        <w:t xml:space="preserve">If you are over 65 years you may be more susceptible to infections while taking </w:t>
      </w:r>
      <w:r w:rsidRPr="00F04F82">
        <w:rPr>
          <w:szCs w:val="22"/>
        </w:rPr>
        <w:t>AMGEVITA</w:t>
      </w:r>
      <w:r w:rsidRPr="00F04F82">
        <w:rPr>
          <w:szCs w:val="22"/>
          <w:lang w:eastAsia="en-GB"/>
        </w:rPr>
        <w:t xml:space="preserve">. You and your doctor should pay special attention to signs of infection while you are being treated with </w:t>
      </w:r>
      <w:r w:rsidRPr="00F04F82">
        <w:rPr>
          <w:szCs w:val="22"/>
        </w:rPr>
        <w:t>AMGEVITA</w:t>
      </w:r>
      <w:r w:rsidRPr="00F04F82">
        <w:rPr>
          <w:szCs w:val="22"/>
          <w:lang w:eastAsia="en-GB"/>
        </w:rPr>
        <w:t>. It is important to tell your doctor if you get symptoms of infections, such as fever, wounds, feeling tired or dental problems.</w:t>
      </w:r>
    </w:p>
    <w:p w14:paraId="3819784A" w14:textId="77777777" w:rsidR="007E0028" w:rsidRPr="00F04F82" w:rsidRDefault="007E0028" w:rsidP="007E0028">
      <w:pPr>
        <w:tabs>
          <w:tab w:val="clear" w:pos="567"/>
        </w:tabs>
        <w:autoSpaceDE w:val="0"/>
        <w:autoSpaceDN w:val="0"/>
        <w:adjustRightInd w:val="0"/>
        <w:spacing w:line="240" w:lineRule="auto"/>
      </w:pPr>
    </w:p>
    <w:p w14:paraId="44288400" w14:textId="77777777" w:rsidR="007E0028" w:rsidRPr="00F04F82" w:rsidRDefault="007E0028" w:rsidP="00077AFF">
      <w:pPr>
        <w:tabs>
          <w:tab w:val="clear" w:pos="567"/>
        </w:tabs>
        <w:autoSpaceDE w:val="0"/>
        <w:autoSpaceDN w:val="0"/>
        <w:adjustRightInd w:val="0"/>
        <w:spacing w:line="240" w:lineRule="auto"/>
        <w:rPr>
          <w:szCs w:val="22"/>
          <w:lang w:eastAsia="en-GB"/>
        </w:rPr>
      </w:pPr>
      <w:r w:rsidRPr="00F04F82">
        <w:rPr>
          <w:szCs w:val="22"/>
          <w:lang w:eastAsia="en-GB"/>
        </w:rPr>
        <w:t>Surgery or dental procedures</w:t>
      </w:r>
    </w:p>
    <w:p w14:paraId="615CDB06" w14:textId="77777777" w:rsidR="007E0028" w:rsidRPr="00F04F82" w:rsidRDefault="007E0028" w:rsidP="00077AFF">
      <w:pPr>
        <w:tabs>
          <w:tab w:val="clear" w:pos="567"/>
        </w:tabs>
        <w:autoSpaceDE w:val="0"/>
        <w:autoSpaceDN w:val="0"/>
        <w:adjustRightInd w:val="0"/>
        <w:spacing w:line="240" w:lineRule="auto"/>
        <w:ind w:left="567"/>
        <w:rPr>
          <w:szCs w:val="22"/>
          <w:lang w:eastAsia="en-GB"/>
        </w:rPr>
      </w:pPr>
    </w:p>
    <w:p w14:paraId="424B6C04" w14:textId="77777777" w:rsidR="007E0028" w:rsidRPr="00F04F82" w:rsidRDefault="007E0028" w:rsidP="00B82093">
      <w:pPr>
        <w:numPr>
          <w:ilvl w:val="0"/>
          <w:numId w:val="10"/>
        </w:numPr>
        <w:autoSpaceDE w:val="0"/>
        <w:autoSpaceDN w:val="0"/>
        <w:adjustRightInd w:val="0"/>
        <w:spacing w:line="240" w:lineRule="auto"/>
        <w:ind w:left="567" w:hanging="567"/>
        <w:rPr>
          <w:szCs w:val="22"/>
          <w:lang w:eastAsia="en-GB"/>
        </w:rPr>
      </w:pPr>
      <w:r w:rsidRPr="00F04F82">
        <w:rPr>
          <w:szCs w:val="22"/>
          <w:lang w:eastAsia="en-GB"/>
        </w:rPr>
        <w:t xml:space="preserve">If you are about to undergo surgery or dental procedures please inform your doctor that you are taking </w:t>
      </w:r>
      <w:r w:rsidRPr="00F04F82">
        <w:rPr>
          <w:szCs w:val="22"/>
        </w:rPr>
        <w:t>AMGEVITA</w:t>
      </w:r>
      <w:r w:rsidRPr="00F04F82">
        <w:rPr>
          <w:szCs w:val="22"/>
          <w:lang w:eastAsia="en-GB"/>
        </w:rPr>
        <w:t xml:space="preserve">. Your doctor may recommend temporary discontinuation of </w:t>
      </w:r>
      <w:r w:rsidRPr="00F04F82">
        <w:rPr>
          <w:szCs w:val="22"/>
        </w:rPr>
        <w:t>AMGEVITA</w:t>
      </w:r>
      <w:r w:rsidRPr="00F04F82">
        <w:rPr>
          <w:szCs w:val="22"/>
          <w:lang w:eastAsia="en-GB"/>
        </w:rPr>
        <w:t>.</w:t>
      </w:r>
    </w:p>
    <w:p w14:paraId="627BB270" w14:textId="77777777" w:rsidR="007E0028" w:rsidRPr="00F04F82" w:rsidRDefault="007E0028" w:rsidP="00077AFF">
      <w:pPr>
        <w:tabs>
          <w:tab w:val="clear" w:pos="567"/>
        </w:tabs>
        <w:autoSpaceDE w:val="0"/>
        <w:autoSpaceDN w:val="0"/>
        <w:adjustRightInd w:val="0"/>
        <w:spacing w:line="240" w:lineRule="auto"/>
        <w:rPr>
          <w:szCs w:val="22"/>
          <w:lang w:eastAsia="en-GB"/>
        </w:rPr>
      </w:pPr>
    </w:p>
    <w:p w14:paraId="3E795C7D" w14:textId="77777777" w:rsidR="007E0028" w:rsidRPr="00F04F82" w:rsidRDefault="007E0028" w:rsidP="00077AFF">
      <w:pPr>
        <w:tabs>
          <w:tab w:val="clear" w:pos="567"/>
        </w:tabs>
        <w:autoSpaceDE w:val="0"/>
        <w:autoSpaceDN w:val="0"/>
        <w:adjustRightInd w:val="0"/>
        <w:spacing w:line="240" w:lineRule="auto"/>
        <w:rPr>
          <w:szCs w:val="22"/>
          <w:lang w:eastAsia="en-GB"/>
        </w:rPr>
      </w:pPr>
      <w:r w:rsidRPr="00F04F82">
        <w:rPr>
          <w:szCs w:val="22"/>
          <w:lang w:eastAsia="en-GB"/>
        </w:rPr>
        <w:t>Demyelinating disease</w:t>
      </w:r>
    </w:p>
    <w:p w14:paraId="50DDED2B" w14:textId="77777777" w:rsidR="007E0028" w:rsidRPr="00F04F82" w:rsidRDefault="007E0028" w:rsidP="00077AFF">
      <w:pPr>
        <w:tabs>
          <w:tab w:val="clear" w:pos="567"/>
        </w:tabs>
        <w:autoSpaceDE w:val="0"/>
        <w:autoSpaceDN w:val="0"/>
        <w:adjustRightInd w:val="0"/>
        <w:spacing w:line="240" w:lineRule="auto"/>
        <w:ind w:left="567"/>
        <w:rPr>
          <w:szCs w:val="22"/>
          <w:lang w:eastAsia="en-GB"/>
        </w:rPr>
      </w:pPr>
    </w:p>
    <w:p w14:paraId="6CE06894" w14:textId="77777777" w:rsidR="007E0028" w:rsidRPr="00F04F82" w:rsidRDefault="007E0028" w:rsidP="00DB04A2">
      <w:pPr>
        <w:numPr>
          <w:ilvl w:val="0"/>
          <w:numId w:val="10"/>
        </w:numPr>
        <w:autoSpaceDE w:val="0"/>
        <w:autoSpaceDN w:val="0"/>
        <w:adjustRightInd w:val="0"/>
        <w:spacing w:line="240" w:lineRule="auto"/>
        <w:ind w:left="567" w:hanging="567"/>
        <w:rPr>
          <w:szCs w:val="22"/>
          <w:lang w:eastAsia="en-GB"/>
        </w:rPr>
      </w:pPr>
      <w:r w:rsidRPr="00F04F82">
        <w:rPr>
          <w:szCs w:val="22"/>
          <w:lang w:eastAsia="en-GB"/>
        </w:rPr>
        <w:t xml:space="preserve">If you have or develop demyelinating disease such as multiple sclerosis, your doctor will decide if you should receive or continue to receive </w:t>
      </w:r>
      <w:r w:rsidRPr="00F04F82">
        <w:rPr>
          <w:szCs w:val="22"/>
        </w:rPr>
        <w:t>AMGEVITA</w:t>
      </w:r>
      <w:r w:rsidRPr="00F04F82">
        <w:t xml:space="preserve">. </w:t>
      </w:r>
      <w:r w:rsidRPr="00F04F82">
        <w:rPr>
          <w:szCs w:val="22"/>
          <w:lang w:eastAsia="en-GB"/>
        </w:rPr>
        <w:t>Tell your doctor immediately if you experience symptoms like changes in your vision, weakness in your arms or legs or numbness or tingling in any part of your body.</w:t>
      </w:r>
    </w:p>
    <w:p w14:paraId="7818ED6C" w14:textId="77777777" w:rsidR="007E0028" w:rsidRPr="00F04F82" w:rsidRDefault="007E0028" w:rsidP="00077AFF">
      <w:pPr>
        <w:tabs>
          <w:tab w:val="clear" w:pos="567"/>
        </w:tabs>
        <w:autoSpaceDE w:val="0"/>
        <w:autoSpaceDN w:val="0"/>
        <w:adjustRightInd w:val="0"/>
        <w:spacing w:line="240" w:lineRule="auto"/>
        <w:ind w:left="567" w:hanging="567"/>
        <w:rPr>
          <w:szCs w:val="22"/>
          <w:lang w:eastAsia="en-GB"/>
        </w:rPr>
      </w:pPr>
    </w:p>
    <w:p w14:paraId="6F594B95" w14:textId="77777777" w:rsidR="007E0028" w:rsidRPr="00F04F82" w:rsidRDefault="007E0028" w:rsidP="00077AFF">
      <w:pPr>
        <w:tabs>
          <w:tab w:val="clear" w:pos="567"/>
        </w:tabs>
        <w:autoSpaceDE w:val="0"/>
        <w:autoSpaceDN w:val="0"/>
        <w:adjustRightInd w:val="0"/>
        <w:spacing w:line="240" w:lineRule="auto"/>
        <w:rPr>
          <w:szCs w:val="22"/>
          <w:lang w:eastAsia="en-GB"/>
        </w:rPr>
      </w:pPr>
      <w:r w:rsidRPr="00F04F82">
        <w:rPr>
          <w:szCs w:val="22"/>
          <w:lang w:eastAsia="en-GB"/>
        </w:rPr>
        <w:t>Vaccinations</w:t>
      </w:r>
    </w:p>
    <w:p w14:paraId="4FB57D01" w14:textId="77777777" w:rsidR="007E0028" w:rsidRPr="00F04F82" w:rsidRDefault="007E0028" w:rsidP="00077AFF">
      <w:pPr>
        <w:tabs>
          <w:tab w:val="clear" w:pos="567"/>
        </w:tabs>
        <w:autoSpaceDE w:val="0"/>
        <w:autoSpaceDN w:val="0"/>
        <w:adjustRightInd w:val="0"/>
        <w:spacing w:line="240" w:lineRule="auto"/>
        <w:rPr>
          <w:szCs w:val="22"/>
          <w:lang w:eastAsia="en-GB"/>
        </w:rPr>
      </w:pPr>
    </w:p>
    <w:p w14:paraId="00895C2B" w14:textId="77777777" w:rsidR="007E0028" w:rsidRPr="00F04F82" w:rsidRDefault="007E0028" w:rsidP="00E7492F">
      <w:pPr>
        <w:numPr>
          <w:ilvl w:val="0"/>
          <w:numId w:val="10"/>
        </w:numPr>
        <w:autoSpaceDE w:val="0"/>
        <w:autoSpaceDN w:val="0"/>
        <w:adjustRightInd w:val="0"/>
        <w:spacing w:line="240" w:lineRule="auto"/>
        <w:ind w:left="567" w:hanging="567"/>
        <w:rPr>
          <w:szCs w:val="22"/>
          <w:lang w:eastAsia="en-GB"/>
        </w:rPr>
      </w:pPr>
      <w:r w:rsidRPr="00F04F82">
        <w:rPr>
          <w:szCs w:val="22"/>
          <w:lang w:eastAsia="en-GB"/>
        </w:rPr>
        <w:t xml:space="preserve">Certain vaccines contain living but weakened forms of disease-causing bacteria or viruses that may cause infections and should not be given while receiving </w:t>
      </w:r>
      <w:r w:rsidRPr="00F04F82">
        <w:rPr>
          <w:szCs w:val="22"/>
        </w:rPr>
        <w:t>AMGEVITA</w:t>
      </w:r>
      <w:r w:rsidRPr="00F04F82">
        <w:rPr>
          <w:szCs w:val="22"/>
          <w:lang w:eastAsia="en-GB"/>
        </w:rPr>
        <w:t xml:space="preserve">. Please check with your doctor before you receive any vaccines. It is recommended that children, if possible, be brought up to date with all immunisations in agreement with current immunisation guidelines prior to initiating </w:t>
      </w:r>
      <w:r w:rsidRPr="00F04F82">
        <w:rPr>
          <w:szCs w:val="22"/>
        </w:rPr>
        <w:t>AMGEVITA</w:t>
      </w:r>
      <w:r w:rsidRPr="00F04F82">
        <w:rPr>
          <w:szCs w:val="22"/>
          <w:lang w:eastAsia="en-GB"/>
        </w:rPr>
        <w:t xml:space="preserve"> therapy. </w:t>
      </w:r>
    </w:p>
    <w:p w14:paraId="30A19811" w14:textId="77777777" w:rsidR="007E0028" w:rsidRPr="00F04F82" w:rsidRDefault="007E0028" w:rsidP="00E7492F">
      <w:pPr>
        <w:numPr>
          <w:ilvl w:val="0"/>
          <w:numId w:val="10"/>
        </w:numPr>
        <w:autoSpaceDE w:val="0"/>
        <w:autoSpaceDN w:val="0"/>
        <w:adjustRightInd w:val="0"/>
        <w:spacing w:line="240" w:lineRule="auto"/>
        <w:ind w:left="567" w:hanging="567"/>
        <w:rPr>
          <w:szCs w:val="22"/>
          <w:lang w:eastAsia="en-GB"/>
        </w:rPr>
      </w:pPr>
      <w:r w:rsidRPr="00F04F82">
        <w:rPr>
          <w:szCs w:val="22"/>
          <w:lang w:eastAsia="en-GB"/>
        </w:rPr>
        <w:t xml:space="preserve">If you received </w:t>
      </w:r>
      <w:r w:rsidRPr="00F04F82">
        <w:rPr>
          <w:szCs w:val="22"/>
        </w:rPr>
        <w:t>AMGEVITA</w:t>
      </w:r>
      <w:r w:rsidRPr="00F04F82">
        <w:rPr>
          <w:szCs w:val="22"/>
          <w:lang w:eastAsia="en-GB"/>
        </w:rPr>
        <w:t xml:space="preserve"> while you were pregnant, your baby may be at higher risk for getting such an infection for up to approximately five months after the last dose you received during pregnancy. It is important that you tell your baby's doctors and other health care professionals about your </w:t>
      </w:r>
      <w:r w:rsidRPr="00F04F82">
        <w:rPr>
          <w:szCs w:val="22"/>
        </w:rPr>
        <w:t>AMGEVITA</w:t>
      </w:r>
      <w:r w:rsidRPr="00F04F82">
        <w:rPr>
          <w:szCs w:val="22"/>
          <w:lang w:eastAsia="en-GB"/>
        </w:rPr>
        <w:t xml:space="preserve"> use during your pregnancy so they can decide when your baby should receive any vaccine.</w:t>
      </w:r>
    </w:p>
    <w:p w14:paraId="425391BA" w14:textId="77777777" w:rsidR="007E0028" w:rsidRPr="00F04F82" w:rsidRDefault="007E0028" w:rsidP="00077AFF">
      <w:pPr>
        <w:tabs>
          <w:tab w:val="clear" w:pos="567"/>
        </w:tabs>
        <w:autoSpaceDE w:val="0"/>
        <w:autoSpaceDN w:val="0"/>
        <w:adjustRightInd w:val="0"/>
        <w:spacing w:line="240" w:lineRule="auto"/>
        <w:ind w:left="567" w:hanging="567"/>
        <w:rPr>
          <w:szCs w:val="22"/>
          <w:lang w:eastAsia="en-GB"/>
        </w:rPr>
      </w:pPr>
    </w:p>
    <w:p w14:paraId="1B0A71D7" w14:textId="77777777" w:rsidR="007E0028" w:rsidRPr="00F04F82" w:rsidRDefault="007E0028" w:rsidP="00077AFF">
      <w:pPr>
        <w:tabs>
          <w:tab w:val="clear" w:pos="567"/>
        </w:tabs>
        <w:autoSpaceDE w:val="0"/>
        <w:autoSpaceDN w:val="0"/>
        <w:adjustRightInd w:val="0"/>
        <w:spacing w:line="240" w:lineRule="auto"/>
        <w:rPr>
          <w:szCs w:val="22"/>
          <w:lang w:eastAsia="en-GB"/>
        </w:rPr>
      </w:pPr>
      <w:r w:rsidRPr="00F04F82">
        <w:rPr>
          <w:szCs w:val="22"/>
          <w:lang w:eastAsia="en-GB"/>
        </w:rPr>
        <w:t>Heart failure</w:t>
      </w:r>
    </w:p>
    <w:p w14:paraId="7ABDF80E" w14:textId="77777777" w:rsidR="007E0028" w:rsidRPr="00F04F82" w:rsidRDefault="007E0028" w:rsidP="00077AFF">
      <w:pPr>
        <w:tabs>
          <w:tab w:val="clear" w:pos="567"/>
        </w:tabs>
        <w:autoSpaceDE w:val="0"/>
        <w:autoSpaceDN w:val="0"/>
        <w:adjustRightInd w:val="0"/>
        <w:spacing w:line="240" w:lineRule="auto"/>
        <w:ind w:left="567"/>
        <w:rPr>
          <w:szCs w:val="22"/>
          <w:lang w:eastAsia="en-GB"/>
        </w:rPr>
      </w:pPr>
    </w:p>
    <w:p w14:paraId="64E21EB4" w14:textId="77777777" w:rsidR="007E0028" w:rsidRPr="00F04F82" w:rsidRDefault="007E0028" w:rsidP="00E7492F">
      <w:pPr>
        <w:numPr>
          <w:ilvl w:val="0"/>
          <w:numId w:val="10"/>
        </w:numPr>
        <w:autoSpaceDE w:val="0"/>
        <w:autoSpaceDN w:val="0"/>
        <w:adjustRightInd w:val="0"/>
        <w:spacing w:line="240" w:lineRule="auto"/>
        <w:ind w:left="567" w:hanging="567"/>
        <w:rPr>
          <w:szCs w:val="22"/>
          <w:lang w:eastAsia="en-GB"/>
        </w:rPr>
      </w:pPr>
      <w:r w:rsidRPr="00F04F82">
        <w:rPr>
          <w:szCs w:val="22"/>
          <w:lang w:eastAsia="en-GB"/>
        </w:rPr>
        <w:t xml:space="preserve">If you have mild heart failure and you are being treated with </w:t>
      </w:r>
      <w:r w:rsidRPr="00F04F82">
        <w:rPr>
          <w:szCs w:val="22"/>
        </w:rPr>
        <w:t>AMGEVITA</w:t>
      </w:r>
      <w:r w:rsidRPr="00F04F82">
        <w:rPr>
          <w:szCs w:val="22"/>
          <w:lang w:eastAsia="en-GB"/>
        </w:rPr>
        <w:t>, your heart failure status must be closely monitored by your doctor. It is important to tell your doctor if you have had or have a serious heart condition. If you develop new or worsening symptoms of heart failure (e.g. shortness of breath, or swelling of your feet), you must contact your doctor immediately. Your doctor will decide if you should receive AMGEVITA.</w:t>
      </w:r>
    </w:p>
    <w:p w14:paraId="51C0D5B4" w14:textId="77777777" w:rsidR="007E0028" w:rsidRPr="00F04F82" w:rsidRDefault="007E0028" w:rsidP="00077AFF">
      <w:pPr>
        <w:tabs>
          <w:tab w:val="clear" w:pos="567"/>
        </w:tabs>
        <w:autoSpaceDE w:val="0"/>
        <w:autoSpaceDN w:val="0"/>
        <w:adjustRightInd w:val="0"/>
        <w:spacing w:line="240" w:lineRule="auto"/>
        <w:rPr>
          <w:szCs w:val="22"/>
          <w:lang w:eastAsia="en-GB"/>
        </w:rPr>
      </w:pPr>
    </w:p>
    <w:p w14:paraId="6DD32CF6" w14:textId="77777777" w:rsidR="007E0028" w:rsidRPr="00F04F82" w:rsidRDefault="007E0028" w:rsidP="00077AFF">
      <w:pPr>
        <w:tabs>
          <w:tab w:val="clear" w:pos="567"/>
        </w:tabs>
        <w:autoSpaceDE w:val="0"/>
        <w:autoSpaceDN w:val="0"/>
        <w:adjustRightInd w:val="0"/>
        <w:spacing w:line="240" w:lineRule="auto"/>
        <w:rPr>
          <w:szCs w:val="22"/>
          <w:lang w:eastAsia="en-GB"/>
        </w:rPr>
      </w:pPr>
      <w:r w:rsidRPr="00F04F82">
        <w:rPr>
          <w:szCs w:val="22"/>
          <w:lang w:eastAsia="en-GB"/>
        </w:rPr>
        <w:t>Fever, bruising, bleeding or looking pale</w:t>
      </w:r>
    </w:p>
    <w:p w14:paraId="5970B9A6" w14:textId="77777777" w:rsidR="007E0028" w:rsidRPr="00F04F82" w:rsidRDefault="007E0028" w:rsidP="00077AFF">
      <w:pPr>
        <w:tabs>
          <w:tab w:val="clear" w:pos="567"/>
        </w:tabs>
        <w:autoSpaceDE w:val="0"/>
        <w:autoSpaceDN w:val="0"/>
        <w:adjustRightInd w:val="0"/>
        <w:spacing w:line="240" w:lineRule="auto"/>
        <w:ind w:left="567"/>
        <w:rPr>
          <w:szCs w:val="22"/>
          <w:lang w:eastAsia="en-GB"/>
        </w:rPr>
      </w:pPr>
    </w:p>
    <w:p w14:paraId="548EFEE1" w14:textId="77777777" w:rsidR="007E0028" w:rsidRPr="00F04F82" w:rsidRDefault="007E0028" w:rsidP="00E7492F">
      <w:pPr>
        <w:numPr>
          <w:ilvl w:val="0"/>
          <w:numId w:val="10"/>
        </w:numPr>
        <w:autoSpaceDE w:val="0"/>
        <w:autoSpaceDN w:val="0"/>
        <w:adjustRightInd w:val="0"/>
        <w:spacing w:line="240" w:lineRule="auto"/>
        <w:ind w:left="567" w:hanging="567"/>
        <w:rPr>
          <w:szCs w:val="22"/>
          <w:lang w:eastAsia="en-GB"/>
        </w:rPr>
      </w:pPr>
      <w:r w:rsidRPr="00F04F82">
        <w:rPr>
          <w:szCs w:val="22"/>
          <w:lang w:eastAsia="en-GB"/>
        </w:rPr>
        <w:t>In some patients the body may fail to produce enough of the blood cells that help your body fight infections or help you to stop bleeding. If you develop a fever that does not go away, bruise or bleed very easily or look very pale, call your doctor right away. Your doctor may decide to stop treatment.</w:t>
      </w:r>
    </w:p>
    <w:p w14:paraId="0CD4D4F5" w14:textId="77777777" w:rsidR="007E0028" w:rsidRPr="00F04F82" w:rsidRDefault="007E0028" w:rsidP="00077AFF">
      <w:pPr>
        <w:tabs>
          <w:tab w:val="clear" w:pos="567"/>
        </w:tabs>
        <w:autoSpaceDE w:val="0"/>
        <w:autoSpaceDN w:val="0"/>
        <w:adjustRightInd w:val="0"/>
        <w:spacing w:line="240" w:lineRule="auto"/>
        <w:ind w:left="567" w:hanging="567"/>
        <w:rPr>
          <w:szCs w:val="22"/>
          <w:lang w:eastAsia="en-GB"/>
        </w:rPr>
      </w:pPr>
    </w:p>
    <w:p w14:paraId="5BFA7EF6" w14:textId="77777777" w:rsidR="007E0028" w:rsidRPr="00F04F82" w:rsidRDefault="007E0028" w:rsidP="00077AFF">
      <w:pPr>
        <w:tabs>
          <w:tab w:val="clear" w:pos="567"/>
        </w:tabs>
        <w:autoSpaceDE w:val="0"/>
        <w:autoSpaceDN w:val="0"/>
        <w:adjustRightInd w:val="0"/>
        <w:spacing w:line="240" w:lineRule="auto"/>
        <w:rPr>
          <w:szCs w:val="22"/>
          <w:lang w:eastAsia="en-GB"/>
        </w:rPr>
      </w:pPr>
      <w:r w:rsidRPr="00F04F82">
        <w:rPr>
          <w:szCs w:val="22"/>
          <w:lang w:eastAsia="en-GB"/>
        </w:rPr>
        <w:t>Cancer</w:t>
      </w:r>
    </w:p>
    <w:p w14:paraId="33E599E8" w14:textId="77777777" w:rsidR="007E0028" w:rsidRPr="00F04F82" w:rsidRDefault="007E0028" w:rsidP="00077AFF">
      <w:pPr>
        <w:tabs>
          <w:tab w:val="clear" w:pos="567"/>
        </w:tabs>
        <w:autoSpaceDE w:val="0"/>
        <w:autoSpaceDN w:val="0"/>
        <w:adjustRightInd w:val="0"/>
        <w:spacing w:line="240" w:lineRule="auto"/>
        <w:ind w:left="567"/>
        <w:rPr>
          <w:szCs w:val="22"/>
          <w:lang w:eastAsia="en-GB"/>
        </w:rPr>
      </w:pPr>
    </w:p>
    <w:p w14:paraId="0A4E1A66" w14:textId="77777777" w:rsidR="007E0028" w:rsidRPr="00F04F82" w:rsidRDefault="007E0028" w:rsidP="00E7492F">
      <w:pPr>
        <w:numPr>
          <w:ilvl w:val="0"/>
          <w:numId w:val="10"/>
        </w:numPr>
        <w:autoSpaceDE w:val="0"/>
        <w:autoSpaceDN w:val="0"/>
        <w:adjustRightInd w:val="0"/>
        <w:spacing w:line="240" w:lineRule="auto"/>
        <w:ind w:left="567" w:hanging="567"/>
        <w:rPr>
          <w:szCs w:val="22"/>
          <w:lang w:eastAsia="en-GB"/>
        </w:rPr>
      </w:pPr>
      <w:r w:rsidRPr="00F04F82">
        <w:rPr>
          <w:szCs w:val="22"/>
          <w:lang w:eastAsia="en-GB"/>
        </w:rPr>
        <w:t xml:space="preserve">There have been very rare cases of certain kinds of cancer in children and adult patients taking adalimumab or other TNF blockers. People with more serious rheumatoid arthritis that have had the disease for a long time may have a higher than average risk of getting lymphoma (a cancer that affects the lymph system), and leukaemia (a cancer that affects the blood and bone marrow). </w:t>
      </w:r>
    </w:p>
    <w:p w14:paraId="7157689C" w14:textId="77777777" w:rsidR="007E0028" w:rsidRPr="00F04F82" w:rsidRDefault="007E0028" w:rsidP="00E7492F">
      <w:pPr>
        <w:numPr>
          <w:ilvl w:val="0"/>
          <w:numId w:val="10"/>
        </w:numPr>
        <w:autoSpaceDE w:val="0"/>
        <w:autoSpaceDN w:val="0"/>
        <w:adjustRightInd w:val="0"/>
        <w:spacing w:line="240" w:lineRule="auto"/>
        <w:ind w:left="567" w:hanging="567"/>
        <w:rPr>
          <w:szCs w:val="22"/>
          <w:lang w:eastAsia="en-GB"/>
        </w:rPr>
      </w:pPr>
      <w:r w:rsidRPr="00F04F82">
        <w:rPr>
          <w:szCs w:val="22"/>
          <w:lang w:eastAsia="en-GB"/>
        </w:rPr>
        <w:t xml:space="preserve">If you take </w:t>
      </w:r>
      <w:r w:rsidRPr="00F04F82">
        <w:rPr>
          <w:szCs w:val="22"/>
        </w:rPr>
        <w:t>AMGEVITA</w:t>
      </w:r>
      <w:r w:rsidRPr="00F04F82">
        <w:rPr>
          <w:szCs w:val="22"/>
          <w:lang w:eastAsia="en-GB"/>
        </w:rPr>
        <w:t xml:space="preserve"> the risk of getting lymphoma, leukaemia, or other cancers may increase. On rare occasions, a specific and severe type of lymphoma has been observed in patients taking adalimumab. Some of those patients were also treated with azathioprine or 6-mercaptopurine. Tell your doctor if you are taking azathioprine or 6-mercaptopurine with </w:t>
      </w:r>
      <w:r w:rsidRPr="00F04F82">
        <w:rPr>
          <w:szCs w:val="22"/>
        </w:rPr>
        <w:t>AMGEVITA</w:t>
      </w:r>
      <w:r w:rsidRPr="00F04F82">
        <w:rPr>
          <w:szCs w:val="22"/>
          <w:lang w:eastAsia="en-GB"/>
        </w:rPr>
        <w:t xml:space="preserve">. </w:t>
      </w:r>
    </w:p>
    <w:p w14:paraId="4155134C" w14:textId="77777777" w:rsidR="007E0028" w:rsidRPr="00F04F82" w:rsidRDefault="007E0028" w:rsidP="00E7492F">
      <w:pPr>
        <w:numPr>
          <w:ilvl w:val="0"/>
          <w:numId w:val="10"/>
        </w:numPr>
        <w:autoSpaceDE w:val="0"/>
        <w:autoSpaceDN w:val="0"/>
        <w:adjustRightInd w:val="0"/>
        <w:spacing w:line="240" w:lineRule="auto"/>
        <w:ind w:left="567" w:hanging="567"/>
        <w:rPr>
          <w:szCs w:val="22"/>
          <w:lang w:eastAsia="en-GB"/>
        </w:rPr>
      </w:pPr>
      <w:r w:rsidRPr="00F04F82">
        <w:rPr>
          <w:szCs w:val="22"/>
          <w:lang w:eastAsia="en-GB"/>
        </w:rPr>
        <w:t>In addition, cases of non-melanoma skin cancer have been observed in patients taking adalimumab. If new skin lesions appear during or after therapy or if existing lesions change appearance, tell your doctor.</w:t>
      </w:r>
    </w:p>
    <w:p w14:paraId="77D2105D" w14:textId="77777777" w:rsidR="007E0028" w:rsidRPr="00F04F82" w:rsidRDefault="007E0028" w:rsidP="00B61D9D">
      <w:pPr>
        <w:numPr>
          <w:ilvl w:val="0"/>
          <w:numId w:val="11"/>
        </w:numPr>
        <w:spacing w:line="240" w:lineRule="auto"/>
        <w:ind w:left="567" w:hanging="567"/>
      </w:pPr>
      <w:r w:rsidRPr="00F04F82">
        <w:t xml:space="preserve">There have been cases of cancers, other than lymphoma in patients with a specific type of lung disease called Chronic Obstructive Pulmonary Disease (COPD) treated with another TNF blocker. If you have COPD, or are a heavy smoker, you should discuss with your doctor whether treatment with a TNF blocker is appropriate for you. </w:t>
      </w:r>
    </w:p>
    <w:p w14:paraId="50CAC41C" w14:textId="77777777" w:rsidR="007E0028" w:rsidRPr="00F04F82" w:rsidRDefault="007E0028" w:rsidP="00B61D9D">
      <w:pPr>
        <w:spacing w:line="240" w:lineRule="auto"/>
        <w:ind w:left="567"/>
      </w:pPr>
    </w:p>
    <w:p w14:paraId="0DD2379F" w14:textId="77777777" w:rsidR="007E0028" w:rsidRPr="00F04F82" w:rsidRDefault="007E0028" w:rsidP="00077AFF">
      <w:pPr>
        <w:suppressAutoHyphens/>
        <w:spacing w:line="240" w:lineRule="auto"/>
      </w:pPr>
      <w:r w:rsidRPr="00F04F82">
        <w:t>Autoimmune disease</w:t>
      </w:r>
    </w:p>
    <w:p w14:paraId="54AC933F" w14:textId="77777777" w:rsidR="007E0028" w:rsidRPr="00F04F82" w:rsidRDefault="007E0028" w:rsidP="00077AFF">
      <w:pPr>
        <w:suppressAutoHyphens/>
        <w:spacing w:line="240" w:lineRule="auto"/>
        <w:ind w:left="567"/>
      </w:pPr>
    </w:p>
    <w:p w14:paraId="7B99B279" w14:textId="77777777" w:rsidR="007E0028" w:rsidRPr="00F04F82" w:rsidRDefault="007E0028" w:rsidP="00077AFF">
      <w:pPr>
        <w:numPr>
          <w:ilvl w:val="0"/>
          <w:numId w:val="11"/>
        </w:numPr>
        <w:suppressAutoHyphens/>
        <w:spacing w:line="240" w:lineRule="auto"/>
        <w:ind w:left="567" w:hanging="567"/>
      </w:pPr>
      <w:r w:rsidRPr="00F04F82">
        <w:t>On rare occasions, treatment with AMGEVITA could result in lupus-like syndrome. Contact your doctor if symptoms such as persistent unexplained rash, fever, joint pain or tiredness occur.</w:t>
      </w:r>
    </w:p>
    <w:p w14:paraId="5260BCF3" w14:textId="77777777" w:rsidR="007E0028" w:rsidRPr="00F04F82" w:rsidRDefault="007E0028" w:rsidP="00B61D9D">
      <w:pPr>
        <w:spacing w:line="240" w:lineRule="auto"/>
        <w:rPr>
          <w:szCs w:val="22"/>
        </w:rPr>
      </w:pPr>
    </w:p>
    <w:p w14:paraId="643D8CD1" w14:textId="77777777" w:rsidR="007E0028" w:rsidRPr="00F04F82" w:rsidRDefault="007E0028" w:rsidP="00077AFF">
      <w:pPr>
        <w:keepNext/>
        <w:spacing w:line="240" w:lineRule="auto"/>
        <w:ind w:right="-2"/>
        <w:rPr>
          <w:b/>
          <w:szCs w:val="22"/>
        </w:rPr>
      </w:pPr>
      <w:r w:rsidRPr="00F04F82">
        <w:t>In order to improve the traceability of this medicine, your doctor or pharmacist should record the name and the lot number of the product you have been given in your patient file. You may also wish to make a note of these details in case you are asked for this information in the future.</w:t>
      </w:r>
    </w:p>
    <w:p w14:paraId="28502643" w14:textId="77777777" w:rsidR="007E0028" w:rsidRPr="00F04F82" w:rsidRDefault="007E0028" w:rsidP="00077AFF">
      <w:pPr>
        <w:numPr>
          <w:ilvl w:val="12"/>
          <w:numId w:val="0"/>
        </w:numPr>
        <w:tabs>
          <w:tab w:val="clear" w:pos="567"/>
        </w:tabs>
        <w:spacing w:line="240" w:lineRule="auto"/>
        <w:ind w:right="-2"/>
        <w:rPr>
          <w:szCs w:val="22"/>
        </w:rPr>
      </w:pPr>
    </w:p>
    <w:p w14:paraId="25D8A73E" w14:textId="77777777" w:rsidR="007E0028" w:rsidRPr="00F04F82" w:rsidRDefault="007E0028" w:rsidP="00077AFF">
      <w:pPr>
        <w:numPr>
          <w:ilvl w:val="12"/>
          <w:numId w:val="0"/>
        </w:numPr>
        <w:tabs>
          <w:tab w:val="clear" w:pos="567"/>
        </w:tabs>
        <w:spacing w:line="240" w:lineRule="auto"/>
        <w:rPr>
          <w:b/>
          <w:bCs/>
        </w:rPr>
      </w:pPr>
      <w:r w:rsidRPr="00F04F82">
        <w:rPr>
          <w:b/>
          <w:bCs/>
        </w:rPr>
        <w:t>Children and adolescents</w:t>
      </w:r>
    </w:p>
    <w:p w14:paraId="0394B345" w14:textId="77777777" w:rsidR="007E0028" w:rsidRPr="00D55B59" w:rsidRDefault="007E0028" w:rsidP="00077AFF">
      <w:pPr>
        <w:pStyle w:val="Default"/>
        <w:rPr>
          <w:lang w:val="en-GB"/>
          <w:rPrChange w:id="5436" w:author="Author">
            <w:rPr/>
          </w:rPrChange>
        </w:rPr>
      </w:pPr>
    </w:p>
    <w:p w14:paraId="7AAE04F3" w14:textId="77777777" w:rsidR="007E0028" w:rsidRPr="00F04F82" w:rsidRDefault="007E0028" w:rsidP="00D53F54">
      <w:pPr>
        <w:numPr>
          <w:ilvl w:val="0"/>
          <w:numId w:val="11"/>
        </w:numPr>
        <w:suppressAutoHyphens/>
        <w:spacing w:line="240" w:lineRule="auto"/>
        <w:ind w:left="567" w:hanging="567"/>
        <w:rPr>
          <w:szCs w:val="22"/>
        </w:rPr>
      </w:pPr>
      <w:r w:rsidRPr="00F04F82">
        <w:rPr>
          <w:szCs w:val="22"/>
        </w:rPr>
        <w:t>Vaccinations: if possible children should be up to date with all vaccinations before using AMGEVITA.</w:t>
      </w:r>
    </w:p>
    <w:p w14:paraId="0100E8E6" w14:textId="77777777" w:rsidR="007E0028" w:rsidRPr="00F04F82" w:rsidRDefault="007E0028" w:rsidP="00077AFF">
      <w:pPr>
        <w:tabs>
          <w:tab w:val="clear" w:pos="567"/>
        </w:tabs>
        <w:autoSpaceDE w:val="0"/>
        <w:autoSpaceDN w:val="0"/>
        <w:adjustRightInd w:val="0"/>
        <w:spacing w:line="240" w:lineRule="auto"/>
        <w:ind w:left="567" w:hanging="567"/>
        <w:rPr>
          <w:szCs w:val="22"/>
        </w:rPr>
      </w:pPr>
    </w:p>
    <w:p w14:paraId="1AF37488" w14:textId="77777777" w:rsidR="007E0028" w:rsidRPr="00F04F82" w:rsidRDefault="007E0028" w:rsidP="00D53F54">
      <w:pPr>
        <w:numPr>
          <w:ilvl w:val="0"/>
          <w:numId w:val="11"/>
        </w:numPr>
        <w:suppressAutoHyphens/>
        <w:spacing w:line="240" w:lineRule="auto"/>
        <w:ind w:left="567" w:hanging="567"/>
        <w:rPr>
          <w:szCs w:val="22"/>
        </w:rPr>
      </w:pPr>
      <w:r w:rsidRPr="00F04F82">
        <w:rPr>
          <w:szCs w:val="22"/>
        </w:rPr>
        <w:t xml:space="preserve">Do not give AMGEVITA to children with polyarticular juvenile idiopathic arthritis below the age of 2 years. </w:t>
      </w:r>
    </w:p>
    <w:p w14:paraId="08CA48FF" w14:textId="77777777" w:rsidR="007E0028" w:rsidRPr="00D55B59" w:rsidRDefault="007E0028" w:rsidP="00077AFF">
      <w:pPr>
        <w:pStyle w:val="Default"/>
        <w:rPr>
          <w:sz w:val="22"/>
          <w:szCs w:val="22"/>
          <w:lang w:val="en-GB"/>
          <w:rPrChange w:id="5437" w:author="Author">
            <w:rPr>
              <w:sz w:val="22"/>
              <w:szCs w:val="22"/>
            </w:rPr>
          </w:rPrChange>
        </w:rPr>
      </w:pPr>
    </w:p>
    <w:p w14:paraId="535F1778" w14:textId="77777777" w:rsidR="007E0028" w:rsidRPr="00F04F82" w:rsidRDefault="007E0028" w:rsidP="00D53F54">
      <w:pPr>
        <w:numPr>
          <w:ilvl w:val="0"/>
          <w:numId w:val="11"/>
        </w:numPr>
        <w:suppressAutoHyphens/>
        <w:spacing w:line="240" w:lineRule="auto"/>
        <w:ind w:left="567" w:hanging="567"/>
        <w:rPr>
          <w:szCs w:val="22"/>
        </w:rPr>
      </w:pPr>
      <w:r w:rsidRPr="00F04F82">
        <w:rPr>
          <w:szCs w:val="22"/>
        </w:rPr>
        <w:t>Do not give AMGEVITA to children with plaque psoriasis below the age of 4 years.</w:t>
      </w:r>
    </w:p>
    <w:p w14:paraId="02143AF7" w14:textId="77777777" w:rsidR="007E0028" w:rsidRPr="00F04F82" w:rsidRDefault="007E0028" w:rsidP="00077AFF">
      <w:pPr>
        <w:pStyle w:val="ListParagraph"/>
        <w:rPr>
          <w:sz w:val="22"/>
          <w:szCs w:val="22"/>
        </w:rPr>
      </w:pPr>
    </w:p>
    <w:p w14:paraId="5D26C1C9" w14:textId="77777777" w:rsidR="007E0028" w:rsidRPr="00F04F82" w:rsidRDefault="007E0028" w:rsidP="00D53F54">
      <w:pPr>
        <w:numPr>
          <w:ilvl w:val="0"/>
          <w:numId w:val="11"/>
        </w:numPr>
        <w:suppressAutoHyphens/>
        <w:spacing w:line="240" w:lineRule="auto"/>
        <w:ind w:left="567" w:hanging="567"/>
        <w:rPr>
          <w:szCs w:val="22"/>
        </w:rPr>
      </w:pPr>
      <w:r w:rsidRPr="00F04F82">
        <w:rPr>
          <w:szCs w:val="22"/>
        </w:rPr>
        <w:t xml:space="preserve">Do not give AMGEVITA to children with Crohn’s disease or ulcerative colitis below the age of 6 years. </w:t>
      </w:r>
    </w:p>
    <w:p w14:paraId="32E534BC" w14:textId="77777777" w:rsidR="007E0028" w:rsidRPr="00F04F82" w:rsidRDefault="007E0028" w:rsidP="00077AFF">
      <w:pPr>
        <w:tabs>
          <w:tab w:val="clear" w:pos="567"/>
        </w:tabs>
        <w:autoSpaceDE w:val="0"/>
        <w:autoSpaceDN w:val="0"/>
        <w:adjustRightInd w:val="0"/>
        <w:spacing w:line="240" w:lineRule="auto"/>
        <w:ind w:left="567" w:hanging="567"/>
      </w:pPr>
    </w:p>
    <w:p w14:paraId="1E24CC51" w14:textId="77777777" w:rsidR="007E0028" w:rsidRPr="00F04F82" w:rsidRDefault="007E0028" w:rsidP="00077AFF">
      <w:pPr>
        <w:keepNext/>
        <w:numPr>
          <w:ilvl w:val="12"/>
          <w:numId w:val="0"/>
        </w:numPr>
        <w:tabs>
          <w:tab w:val="clear" w:pos="567"/>
        </w:tabs>
        <w:spacing w:line="240" w:lineRule="auto"/>
        <w:ind w:right="-2"/>
      </w:pPr>
      <w:r w:rsidRPr="00F04F82">
        <w:rPr>
          <w:b/>
        </w:rPr>
        <w:t xml:space="preserve">Other medicines and </w:t>
      </w:r>
      <w:r w:rsidRPr="00F04F82">
        <w:rPr>
          <w:b/>
          <w:szCs w:val="22"/>
        </w:rPr>
        <w:t>AMGEVITA</w:t>
      </w:r>
      <w:r w:rsidRPr="00F04F82">
        <w:rPr>
          <w:b/>
        </w:rPr>
        <w:t xml:space="preserve"> </w:t>
      </w:r>
    </w:p>
    <w:p w14:paraId="04BF05DD" w14:textId="77777777" w:rsidR="007E0028" w:rsidRPr="00F04F82" w:rsidRDefault="007E0028" w:rsidP="00077AFF">
      <w:pPr>
        <w:keepNext/>
        <w:numPr>
          <w:ilvl w:val="12"/>
          <w:numId w:val="0"/>
        </w:numPr>
        <w:tabs>
          <w:tab w:val="clear" w:pos="567"/>
        </w:tabs>
        <w:spacing w:line="240" w:lineRule="auto"/>
        <w:ind w:right="-2"/>
      </w:pPr>
    </w:p>
    <w:p w14:paraId="2F5098DF" w14:textId="77777777" w:rsidR="007E0028" w:rsidRPr="00F04F82" w:rsidRDefault="007E0028" w:rsidP="00077AFF">
      <w:pPr>
        <w:keepNext/>
        <w:numPr>
          <w:ilvl w:val="12"/>
          <w:numId w:val="0"/>
        </w:numPr>
        <w:tabs>
          <w:tab w:val="clear" w:pos="567"/>
        </w:tabs>
        <w:spacing w:line="240" w:lineRule="auto"/>
        <w:ind w:right="-2"/>
        <w:rPr>
          <w:szCs w:val="22"/>
        </w:rPr>
      </w:pPr>
      <w:r w:rsidRPr="00F04F82">
        <w:t>Tell your doctor or pharmacist if you are taking, have recently taken</w:t>
      </w:r>
      <w:r w:rsidRPr="00F04F82">
        <w:rPr>
          <w:szCs w:val="22"/>
        </w:rPr>
        <w:t xml:space="preserve"> </w:t>
      </w:r>
      <w:r w:rsidRPr="00F04F82">
        <w:t xml:space="preserve">or might take </w:t>
      </w:r>
      <w:r w:rsidRPr="00F04F82">
        <w:rPr>
          <w:szCs w:val="22"/>
        </w:rPr>
        <w:t>any other medicines.</w:t>
      </w:r>
    </w:p>
    <w:p w14:paraId="42057595" w14:textId="77777777" w:rsidR="007E0028" w:rsidRPr="00D55B59" w:rsidRDefault="007E0028" w:rsidP="00077AFF">
      <w:pPr>
        <w:pStyle w:val="Default"/>
        <w:keepNext/>
        <w:rPr>
          <w:sz w:val="22"/>
          <w:szCs w:val="22"/>
          <w:lang w:val="en-GB"/>
          <w:rPrChange w:id="5438" w:author="Author">
            <w:rPr>
              <w:sz w:val="22"/>
              <w:szCs w:val="22"/>
            </w:rPr>
          </w:rPrChange>
        </w:rPr>
      </w:pPr>
    </w:p>
    <w:p w14:paraId="667CB569" w14:textId="77777777" w:rsidR="007E0028" w:rsidRPr="00D55B59" w:rsidRDefault="007E0028" w:rsidP="00077AFF">
      <w:pPr>
        <w:pStyle w:val="Default"/>
        <w:keepNext/>
        <w:rPr>
          <w:sz w:val="22"/>
          <w:szCs w:val="22"/>
          <w:lang w:val="en-GB"/>
          <w:rPrChange w:id="5439" w:author="Author">
            <w:rPr>
              <w:sz w:val="22"/>
              <w:szCs w:val="22"/>
            </w:rPr>
          </w:rPrChange>
        </w:rPr>
      </w:pPr>
      <w:r w:rsidRPr="00D55B59">
        <w:rPr>
          <w:sz w:val="22"/>
          <w:szCs w:val="22"/>
          <w:lang w:val="en-GB"/>
          <w:rPrChange w:id="5440" w:author="Author">
            <w:rPr>
              <w:sz w:val="22"/>
              <w:szCs w:val="22"/>
            </w:rPr>
          </w:rPrChange>
        </w:rPr>
        <w:t xml:space="preserve">AMGEVITA can be taken together with methotrexate or certain disease-modifying anti-rheumatic agents (sulfasalazine, hydroxychloroquine, leflunomide and injectable gold preparations), steroids or pain medications including non-steroidal anti-inflammatory drugs (NSAIDs). </w:t>
      </w:r>
    </w:p>
    <w:p w14:paraId="594866A4" w14:textId="77777777" w:rsidR="007E0028" w:rsidRPr="00F04F82" w:rsidRDefault="007E0028" w:rsidP="00077AFF">
      <w:pPr>
        <w:numPr>
          <w:ilvl w:val="12"/>
          <w:numId w:val="0"/>
        </w:numPr>
        <w:tabs>
          <w:tab w:val="clear" w:pos="567"/>
        </w:tabs>
        <w:spacing w:line="240" w:lineRule="auto"/>
        <w:ind w:right="-2"/>
        <w:rPr>
          <w:szCs w:val="22"/>
        </w:rPr>
      </w:pPr>
    </w:p>
    <w:p w14:paraId="49969830" w14:textId="77777777" w:rsidR="007E0028" w:rsidRPr="00F04F82" w:rsidRDefault="007E0028" w:rsidP="00077AFF">
      <w:pPr>
        <w:numPr>
          <w:ilvl w:val="12"/>
          <w:numId w:val="0"/>
        </w:numPr>
        <w:tabs>
          <w:tab w:val="clear" w:pos="567"/>
        </w:tabs>
        <w:spacing w:line="240" w:lineRule="auto"/>
        <w:ind w:right="-2"/>
        <w:rPr>
          <w:szCs w:val="22"/>
        </w:rPr>
      </w:pPr>
      <w:r w:rsidRPr="00F04F82">
        <w:rPr>
          <w:szCs w:val="22"/>
        </w:rPr>
        <w:t xml:space="preserve">You should not take AMGEVITA with medicines containing the active substances, anakinra or abatacept </w:t>
      </w:r>
      <w:r w:rsidRPr="00F04F82">
        <w:t>due to increased risk of serious infection</w:t>
      </w:r>
      <w:r w:rsidRPr="00F04F82">
        <w:rPr>
          <w:szCs w:val="22"/>
        </w:rPr>
        <w:t>. If you have questions, please ask your doctor.</w:t>
      </w:r>
    </w:p>
    <w:p w14:paraId="315957E2" w14:textId="77777777" w:rsidR="007E0028" w:rsidRPr="00F04F82" w:rsidRDefault="007E0028" w:rsidP="00077AFF">
      <w:pPr>
        <w:numPr>
          <w:ilvl w:val="12"/>
          <w:numId w:val="0"/>
        </w:numPr>
        <w:tabs>
          <w:tab w:val="clear" w:pos="567"/>
        </w:tabs>
        <w:spacing w:line="240" w:lineRule="auto"/>
        <w:ind w:right="-2"/>
        <w:rPr>
          <w:szCs w:val="22"/>
        </w:rPr>
      </w:pPr>
    </w:p>
    <w:p w14:paraId="4B8D48E6" w14:textId="040540DA" w:rsidR="007E0028" w:rsidRPr="00F04F82" w:rsidRDefault="007E0028" w:rsidP="00077AFF">
      <w:pPr>
        <w:keepNext/>
        <w:numPr>
          <w:ilvl w:val="12"/>
          <w:numId w:val="0"/>
        </w:numPr>
        <w:tabs>
          <w:tab w:val="clear" w:pos="567"/>
        </w:tabs>
        <w:spacing w:line="240" w:lineRule="auto"/>
        <w:outlineLvl w:val="0"/>
        <w:rPr>
          <w:b/>
        </w:rPr>
      </w:pPr>
      <w:r w:rsidRPr="00F04F82">
        <w:rPr>
          <w:b/>
          <w:szCs w:val="22"/>
        </w:rPr>
        <w:t>Pregnancy and breast-feeding</w:t>
      </w:r>
      <w:r w:rsidR="001C55FB" w:rsidRPr="00F04F82">
        <w:rPr>
          <w:b/>
          <w:szCs w:val="22"/>
        </w:rPr>
        <w:fldChar w:fldCharType="begin"/>
      </w:r>
      <w:r w:rsidR="001C55FB" w:rsidRPr="00F04F82">
        <w:rPr>
          <w:b/>
          <w:szCs w:val="22"/>
        </w:rPr>
        <w:instrText xml:space="preserve"> DOCVARIABLE vault_nd_a9621803-774c-44ad-8295-714718151819 \* MERGEFORMAT </w:instrText>
      </w:r>
      <w:r w:rsidR="001C55FB" w:rsidRPr="00F04F82">
        <w:rPr>
          <w:b/>
          <w:szCs w:val="22"/>
        </w:rPr>
        <w:fldChar w:fldCharType="separate"/>
      </w:r>
      <w:r w:rsidR="001C55FB" w:rsidRPr="00F04F82">
        <w:rPr>
          <w:b/>
          <w:szCs w:val="22"/>
        </w:rPr>
        <w:t xml:space="preserve"> </w:t>
      </w:r>
      <w:r w:rsidR="001C55FB" w:rsidRPr="00F04F82">
        <w:rPr>
          <w:b/>
          <w:szCs w:val="22"/>
        </w:rPr>
        <w:fldChar w:fldCharType="end"/>
      </w:r>
    </w:p>
    <w:p w14:paraId="06328A8E" w14:textId="77777777" w:rsidR="007E0028" w:rsidRPr="00F04F82" w:rsidRDefault="007E0028" w:rsidP="00077AFF">
      <w:pPr>
        <w:keepNext/>
        <w:numPr>
          <w:ilvl w:val="12"/>
          <w:numId w:val="0"/>
        </w:numPr>
        <w:tabs>
          <w:tab w:val="clear" w:pos="567"/>
        </w:tabs>
        <w:spacing w:line="240" w:lineRule="auto"/>
        <w:outlineLvl w:val="0"/>
        <w:rPr>
          <w:b/>
          <w:szCs w:val="22"/>
        </w:rPr>
      </w:pPr>
    </w:p>
    <w:p w14:paraId="5BFA2BBF" w14:textId="77777777" w:rsidR="007E0028" w:rsidRPr="00D55B59" w:rsidRDefault="007E0028" w:rsidP="00077AFF">
      <w:pPr>
        <w:pStyle w:val="Default"/>
        <w:numPr>
          <w:ilvl w:val="0"/>
          <w:numId w:val="35"/>
        </w:numPr>
        <w:tabs>
          <w:tab w:val="left" w:pos="567"/>
        </w:tabs>
        <w:ind w:left="567" w:hanging="567"/>
        <w:rPr>
          <w:sz w:val="22"/>
          <w:szCs w:val="22"/>
          <w:lang w:val="en-GB"/>
          <w:rPrChange w:id="5441" w:author="Author">
            <w:rPr>
              <w:sz w:val="22"/>
              <w:szCs w:val="22"/>
            </w:rPr>
          </w:rPrChange>
        </w:rPr>
      </w:pPr>
      <w:r w:rsidRPr="00D55B59">
        <w:rPr>
          <w:sz w:val="22"/>
          <w:szCs w:val="22"/>
          <w:lang w:val="en-GB"/>
          <w:rPrChange w:id="5442" w:author="Author">
            <w:rPr>
              <w:sz w:val="22"/>
              <w:szCs w:val="22"/>
            </w:rPr>
          </w:rPrChange>
        </w:rPr>
        <w:t>You should consider the use of adequate contraception to prevent pregnancy and continue its use for at least 5 months after the last AMGEVITA treatment.</w:t>
      </w:r>
    </w:p>
    <w:p w14:paraId="276D2723" w14:textId="77777777" w:rsidR="007E0028" w:rsidRPr="00F04F82" w:rsidRDefault="007E0028" w:rsidP="00077AFF">
      <w:pPr>
        <w:pStyle w:val="ListParagraph"/>
        <w:numPr>
          <w:ilvl w:val="0"/>
          <w:numId w:val="35"/>
        </w:numPr>
        <w:tabs>
          <w:tab w:val="left" w:pos="567"/>
        </w:tabs>
        <w:suppressAutoHyphens/>
        <w:ind w:left="567" w:hanging="567"/>
        <w:contextualSpacing w:val="0"/>
        <w:rPr>
          <w:sz w:val="22"/>
          <w:szCs w:val="22"/>
        </w:rPr>
      </w:pPr>
      <w:r w:rsidRPr="00F04F82">
        <w:rPr>
          <w:sz w:val="22"/>
          <w:szCs w:val="22"/>
        </w:rPr>
        <w:t>If you are pregnant, think you may be pregnant or are planning to have a baby, ask your doctor for advice about taking this medicine.</w:t>
      </w:r>
    </w:p>
    <w:p w14:paraId="21834102" w14:textId="77777777" w:rsidR="007E0028" w:rsidRPr="00F04F82" w:rsidRDefault="007E0028" w:rsidP="00077AFF">
      <w:pPr>
        <w:pStyle w:val="ListParagraph"/>
        <w:numPr>
          <w:ilvl w:val="0"/>
          <w:numId w:val="35"/>
        </w:numPr>
        <w:tabs>
          <w:tab w:val="left" w:pos="567"/>
          <w:tab w:val="left" w:pos="720"/>
        </w:tabs>
        <w:suppressAutoHyphens/>
        <w:ind w:left="567" w:hanging="567"/>
        <w:contextualSpacing w:val="0"/>
        <w:rPr>
          <w:sz w:val="22"/>
          <w:szCs w:val="22"/>
        </w:rPr>
      </w:pPr>
      <w:r w:rsidRPr="00F04F82">
        <w:rPr>
          <w:sz w:val="22"/>
          <w:szCs w:val="22"/>
        </w:rPr>
        <w:t>AMGEVITA should only be used during a pregnancy if needed.</w:t>
      </w:r>
    </w:p>
    <w:p w14:paraId="4361B4A8" w14:textId="77777777" w:rsidR="007E0028" w:rsidRPr="00F04F82" w:rsidRDefault="007E0028" w:rsidP="00077AFF">
      <w:pPr>
        <w:pStyle w:val="ListParagraph"/>
        <w:numPr>
          <w:ilvl w:val="0"/>
          <w:numId w:val="35"/>
        </w:numPr>
        <w:tabs>
          <w:tab w:val="left" w:pos="567"/>
          <w:tab w:val="left" w:pos="720"/>
        </w:tabs>
        <w:suppressAutoHyphens/>
        <w:ind w:left="567" w:hanging="567"/>
        <w:contextualSpacing w:val="0"/>
        <w:rPr>
          <w:sz w:val="22"/>
          <w:szCs w:val="22"/>
        </w:rPr>
      </w:pPr>
      <w:r w:rsidRPr="00F04F82">
        <w:rPr>
          <w:sz w:val="22"/>
          <w:szCs w:val="22"/>
        </w:rPr>
        <w:t>According to a pregnancy study, there was no higher risk of birth defects when the mother had received AMGEVITA during pregnancy compared with mothers with the same disease who did not receive AMGEVITA.</w:t>
      </w:r>
    </w:p>
    <w:p w14:paraId="165C5D16" w14:textId="77777777" w:rsidR="007E0028" w:rsidRPr="00F04F82" w:rsidRDefault="007E0028" w:rsidP="00077AFF">
      <w:pPr>
        <w:pStyle w:val="ListParagraph"/>
        <w:numPr>
          <w:ilvl w:val="0"/>
          <w:numId w:val="35"/>
        </w:numPr>
        <w:tabs>
          <w:tab w:val="left" w:pos="567"/>
          <w:tab w:val="left" w:pos="720"/>
        </w:tabs>
        <w:suppressAutoHyphens/>
        <w:ind w:left="567" w:hanging="567"/>
        <w:contextualSpacing w:val="0"/>
        <w:rPr>
          <w:sz w:val="22"/>
          <w:szCs w:val="22"/>
        </w:rPr>
      </w:pPr>
      <w:r w:rsidRPr="00F04F82">
        <w:rPr>
          <w:sz w:val="22"/>
          <w:szCs w:val="22"/>
        </w:rPr>
        <w:t>AMGEVITA can be used during breast-feeding.</w:t>
      </w:r>
    </w:p>
    <w:p w14:paraId="706BD67A" w14:textId="77777777" w:rsidR="007E0028" w:rsidRPr="00F04F82" w:rsidRDefault="007E0028" w:rsidP="00077AFF">
      <w:pPr>
        <w:pStyle w:val="ListParagraph"/>
        <w:numPr>
          <w:ilvl w:val="0"/>
          <w:numId w:val="35"/>
        </w:numPr>
        <w:tabs>
          <w:tab w:val="left" w:pos="567"/>
          <w:tab w:val="left" w:pos="720"/>
        </w:tabs>
        <w:suppressAutoHyphens/>
        <w:ind w:left="567" w:hanging="567"/>
        <w:contextualSpacing w:val="0"/>
        <w:rPr>
          <w:sz w:val="22"/>
          <w:szCs w:val="22"/>
        </w:rPr>
      </w:pPr>
      <w:r w:rsidRPr="00F04F82">
        <w:rPr>
          <w:sz w:val="22"/>
          <w:szCs w:val="22"/>
        </w:rPr>
        <w:t>If you receive AMGEVITA during your pregnancy, your baby may have a higher risk for getting an infection.</w:t>
      </w:r>
    </w:p>
    <w:p w14:paraId="740FFD14" w14:textId="77777777" w:rsidR="007E0028" w:rsidRPr="00F04F82" w:rsidRDefault="007E0028" w:rsidP="00077AFF">
      <w:pPr>
        <w:pStyle w:val="ListParagraph"/>
        <w:numPr>
          <w:ilvl w:val="0"/>
          <w:numId w:val="35"/>
        </w:numPr>
        <w:tabs>
          <w:tab w:val="left" w:pos="567"/>
          <w:tab w:val="left" w:pos="720"/>
        </w:tabs>
        <w:suppressAutoHyphens/>
        <w:ind w:left="567" w:hanging="567"/>
        <w:contextualSpacing w:val="0"/>
        <w:rPr>
          <w:sz w:val="22"/>
          <w:szCs w:val="22"/>
        </w:rPr>
      </w:pPr>
      <w:r w:rsidRPr="00F04F82">
        <w:rPr>
          <w:sz w:val="22"/>
          <w:szCs w:val="22"/>
        </w:rPr>
        <w:t>It is important that you tell your baby’s doctors and other health care professionals about your AMGEVITA use during your pregnancy before the baby receives any vaccine. For more information on vaccines see the “Warnings and precautions” section.</w:t>
      </w:r>
    </w:p>
    <w:p w14:paraId="246CE4B9" w14:textId="77777777" w:rsidR="007E0028" w:rsidRPr="00F04F82" w:rsidRDefault="007E0028" w:rsidP="00077AFF">
      <w:pPr>
        <w:numPr>
          <w:ilvl w:val="12"/>
          <w:numId w:val="0"/>
        </w:numPr>
        <w:tabs>
          <w:tab w:val="clear" w:pos="567"/>
        </w:tabs>
        <w:spacing w:line="240" w:lineRule="auto"/>
        <w:rPr>
          <w:szCs w:val="22"/>
        </w:rPr>
      </w:pPr>
    </w:p>
    <w:p w14:paraId="008F5BD0" w14:textId="70D5ED38" w:rsidR="007E0028" w:rsidRPr="00F04F82" w:rsidRDefault="007E0028" w:rsidP="00077AFF">
      <w:pPr>
        <w:keepNext/>
        <w:numPr>
          <w:ilvl w:val="12"/>
          <w:numId w:val="0"/>
        </w:numPr>
        <w:tabs>
          <w:tab w:val="clear" w:pos="567"/>
        </w:tabs>
        <w:spacing w:line="240" w:lineRule="auto"/>
        <w:outlineLvl w:val="0"/>
        <w:rPr>
          <w:szCs w:val="22"/>
        </w:rPr>
      </w:pPr>
      <w:r w:rsidRPr="00F04F82">
        <w:rPr>
          <w:b/>
          <w:szCs w:val="22"/>
        </w:rPr>
        <w:t>Driving and using machines</w:t>
      </w:r>
      <w:r w:rsidR="001C55FB" w:rsidRPr="00F04F82">
        <w:rPr>
          <w:b/>
          <w:szCs w:val="22"/>
        </w:rPr>
        <w:fldChar w:fldCharType="begin"/>
      </w:r>
      <w:r w:rsidR="001C55FB" w:rsidRPr="00F04F82">
        <w:rPr>
          <w:b/>
          <w:szCs w:val="22"/>
        </w:rPr>
        <w:instrText xml:space="preserve"> DOCVARIABLE vault_nd_9d0cb9b7-ace1-4c04-a632-e5673cfcecbb \* MERGEFORMAT </w:instrText>
      </w:r>
      <w:r w:rsidR="001C55FB" w:rsidRPr="00F04F82">
        <w:rPr>
          <w:b/>
          <w:szCs w:val="22"/>
        </w:rPr>
        <w:fldChar w:fldCharType="separate"/>
      </w:r>
      <w:r w:rsidR="001C55FB" w:rsidRPr="00F04F82">
        <w:rPr>
          <w:b/>
          <w:szCs w:val="22"/>
        </w:rPr>
        <w:t xml:space="preserve"> </w:t>
      </w:r>
      <w:r w:rsidR="001C55FB" w:rsidRPr="00F04F82">
        <w:rPr>
          <w:b/>
          <w:szCs w:val="22"/>
        </w:rPr>
        <w:fldChar w:fldCharType="end"/>
      </w:r>
    </w:p>
    <w:p w14:paraId="16C1DC6F" w14:textId="77777777" w:rsidR="007E0028" w:rsidRPr="00F04F82" w:rsidRDefault="007E0028" w:rsidP="00077AFF">
      <w:pPr>
        <w:keepNext/>
        <w:numPr>
          <w:ilvl w:val="12"/>
          <w:numId w:val="0"/>
        </w:numPr>
        <w:tabs>
          <w:tab w:val="clear" w:pos="567"/>
        </w:tabs>
        <w:spacing w:line="240" w:lineRule="auto"/>
        <w:rPr>
          <w:szCs w:val="22"/>
        </w:rPr>
      </w:pPr>
    </w:p>
    <w:p w14:paraId="263245B3" w14:textId="77777777" w:rsidR="007E0028" w:rsidRPr="00F04F82" w:rsidRDefault="007E0028" w:rsidP="00077AFF">
      <w:pPr>
        <w:numPr>
          <w:ilvl w:val="12"/>
          <w:numId w:val="0"/>
        </w:numPr>
        <w:tabs>
          <w:tab w:val="clear" w:pos="567"/>
        </w:tabs>
        <w:spacing w:line="240" w:lineRule="auto"/>
        <w:ind w:right="-2"/>
        <w:rPr>
          <w:szCs w:val="22"/>
        </w:rPr>
      </w:pPr>
      <w:r w:rsidRPr="00F04F82">
        <w:rPr>
          <w:szCs w:val="22"/>
        </w:rPr>
        <w:t>AMGEVITA may have a minor influence on your ability to drive, cycle or use machines. Room spinning sensation (vertigo) and vision disturbances may occur after taking AMGEVITA.</w:t>
      </w:r>
    </w:p>
    <w:p w14:paraId="71A8ABEB" w14:textId="77777777" w:rsidR="007E0028" w:rsidRPr="00F04F82" w:rsidRDefault="007E0028" w:rsidP="00077AFF">
      <w:pPr>
        <w:numPr>
          <w:ilvl w:val="12"/>
          <w:numId w:val="0"/>
        </w:numPr>
        <w:tabs>
          <w:tab w:val="clear" w:pos="567"/>
        </w:tabs>
        <w:spacing w:line="240" w:lineRule="auto"/>
        <w:ind w:right="-2"/>
        <w:rPr>
          <w:szCs w:val="22"/>
        </w:rPr>
      </w:pPr>
    </w:p>
    <w:p w14:paraId="6ED84E4B" w14:textId="45DA6FA1" w:rsidR="007E0028" w:rsidRPr="00F04F82" w:rsidRDefault="007E0028" w:rsidP="00077AFF">
      <w:pPr>
        <w:numPr>
          <w:ilvl w:val="12"/>
          <w:numId w:val="0"/>
        </w:numPr>
        <w:tabs>
          <w:tab w:val="clear" w:pos="567"/>
        </w:tabs>
        <w:spacing w:line="240" w:lineRule="auto"/>
        <w:ind w:right="-2"/>
        <w:outlineLvl w:val="0"/>
        <w:rPr>
          <w:b/>
          <w:szCs w:val="22"/>
        </w:rPr>
      </w:pPr>
      <w:r w:rsidRPr="00F04F82">
        <w:rPr>
          <w:b/>
          <w:szCs w:val="22"/>
        </w:rPr>
        <w:t>AMGEVITA contains sodium</w:t>
      </w:r>
      <w:r w:rsidR="001C55FB" w:rsidRPr="00F04F82">
        <w:rPr>
          <w:b/>
          <w:szCs w:val="22"/>
        </w:rPr>
        <w:fldChar w:fldCharType="begin"/>
      </w:r>
      <w:r w:rsidR="001C55FB" w:rsidRPr="00F04F82">
        <w:rPr>
          <w:b/>
          <w:szCs w:val="22"/>
        </w:rPr>
        <w:instrText xml:space="preserve"> DOCVARIABLE vault_nd_4b2eaf98-5d4e-4c09-bde6-6489bceafc93 \* MERGEFORMAT </w:instrText>
      </w:r>
      <w:r w:rsidR="001C55FB" w:rsidRPr="00F04F82">
        <w:rPr>
          <w:b/>
          <w:szCs w:val="22"/>
        </w:rPr>
        <w:fldChar w:fldCharType="separate"/>
      </w:r>
      <w:r w:rsidR="001C55FB" w:rsidRPr="00F04F82">
        <w:rPr>
          <w:b/>
          <w:szCs w:val="22"/>
        </w:rPr>
        <w:t xml:space="preserve"> </w:t>
      </w:r>
      <w:r w:rsidR="001C55FB" w:rsidRPr="00F04F82">
        <w:rPr>
          <w:b/>
          <w:szCs w:val="22"/>
        </w:rPr>
        <w:fldChar w:fldCharType="end"/>
      </w:r>
    </w:p>
    <w:p w14:paraId="7B407579" w14:textId="77777777" w:rsidR="007E0028" w:rsidRPr="00F04F82" w:rsidRDefault="007E0028" w:rsidP="00077AFF">
      <w:pPr>
        <w:numPr>
          <w:ilvl w:val="12"/>
          <w:numId w:val="0"/>
        </w:numPr>
        <w:tabs>
          <w:tab w:val="clear" w:pos="567"/>
        </w:tabs>
        <w:spacing w:line="240" w:lineRule="auto"/>
        <w:rPr>
          <w:szCs w:val="22"/>
        </w:rPr>
      </w:pPr>
    </w:p>
    <w:p w14:paraId="72E7A840" w14:textId="77777777" w:rsidR="007E0028" w:rsidRPr="00F04F82" w:rsidRDefault="007E0028" w:rsidP="00077AFF">
      <w:pPr>
        <w:numPr>
          <w:ilvl w:val="12"/>
          <w:numId w:val="0"/>
        </w:numPr>
        <w:tabs>
          <w:tab w:val="clear" w:pos="567"/>
        </w:tabs>
        <w:spacing w:line="240" w:lineRule="auto"/>
        <w:rPr>
          <w:szCs w:val="22"/>
        </w:rPr>
      </w:pPr>
      <w:r w:rsidRPr="00F04F82">
        <w:rPr>
          <w:szCs w:val="22"/>
        </w:rPr>
        <w:t>This medicine contains less than 1 mmol of sodium (23 mg) per 0.8 mL dose, that is to say essentially ‘sodium-free’.</w:t>
      </w:r>
    </w:p>
    <w:p w14:paraId="3C2EA4D9" w14:textId="77777777" w:rsidR="007E0028" w:rsidRPr="00F04F82" w:rsidRDefault="007E0028" w:rsidP="00077AFF">
      <w:pPr>
        <w:numPr>
          <w:ilvl w:val="12"/>
          <w:numId w:val="0"/>
        </w:numPr>
        <w:tabs>
          <w:tab w:val="clear" w:pos="567"/>
        </w:tabs>
        <w:spacing w:line="240" w:lineRule="auto"/>
        <w:ind w:right="-2"/>
        <w:rPr>
          <w:szCs w:val="22"/>
        </w:rPr>
      </w:pPr>
    </w:p>
    <w:p w14:paraId="6476ED93" w14:textId="77777777" w:rsidR="007E0028" w:rsidRPr="00F04F82" w:rsidRDefault="007E0028" w:rsidP="00077AFF">
      <w:pPr>
        <w:numPr>
          <w:ilvl w:val="12"/>
          <w:numId w:val="0"/>
        </w:numPr>
        <w:tabs>
          <w:tab w:val="clear" w:pos="567"/>
        </w:tabs>
        <w:spacing w:line="240" w:lineRule="auto"/>
        <w:ind w:right="-2"/>
        <w:rPr>
          <w:szCs w:val="22"/>
        </w:rPr>
      </w:pPr>
    </w:p>
    <w:p w14:paraId="41850AF3" w14:textId="77777777" w:rsidR="007E0028" w:rsidRPr="00F04F82" w:rsidRDefault="007E0028" w:rsidP="00B61D9D">
      <w:pPr>
        <w:keepNext/>
        <w:spacing w:line="240" w:lineRule="auto"/>
        <w:ind w:left="567" w:hanging="567"/>
        <w:rPr>
          <w:b/>
          <w:szCs w:val="22"/>
        </w:rPr>
      </w:pPr>
      <w:r w:rsidRPr="00F04F82">
        <w:rPr>
          <w:b/>
          <w:szCs w:val="22"/>
        </w:rPr>
        <w:t>3.</w:t>
      </w:r>
      <w:r w:rsidRPr="00F04F82">
        <w:rPr>
          <w:b/>
          <w:szCs w:val="22"/>
        </w:rPr>
        <w:tab/>
        <w:t>H</w:t>
      </w:r>
      <w:r w:rsidRPr="00F04F82">
        <w:rPr>
          <w:b/>
        </w:rPr>
        <w:t xml:space="preserve">ow to use </w:t>
      </w:r>
      <w:r w:rsidRPr="00F04F82">
        <w:rPr>
          <w:b/>
          <w:szCs w:val="22"/>
        </w:rPr>
        <w:t>AMGEVITA</w:t>
      </w:r>
    </w:p>
    <w:p w14:paraId="2801F15B" w14:textId="77777777" w:rsidR="007E0028" w:rsidRPr="00F04F82" w:rsidRDefault="007E0028" w:rsidP="00077AFF">
      <w:pPr>
        <w:numPr>
          <w:ilvl w:val="12"/>
          <w:numId w:val="0"/>
        </w:numPr>
        <w:tabs>
          <w:tab w:val="clear" w:pos="567"/>
        </w:tabs>
        <w:spacing w:line="240" w:lineRule="auto"/>
        <w:ind w:right="-2"/>
        <w:rPr>
          <w:szCs w:val="22"/>
        </w:rPr>
      </w:pPr>
    </w:p>
    <w:p w14:paraId="6D950B2B" w14:textId="77777777" w:rsidR="007E0028" w:rsidRPr="00F04F82" w:rsidRDefault="007E0028" w:rsidP="00B61D9D">
      <w:pPr>
        <w:numPr>
          <w:ilvl w:val="12"/>
          <w:numId w:val="0"/>
        </w:numPr>
        <w:tabs>
          <w:tab w:val="clear" w:pos="567"/>
          <w:tab w:val="left" w:pos="720"/>
        </w:tabs>
        <w:spacing w:line="240" w:lineRule="auto"/>
        <w:ind w:right="-2"/>
      </w:pPr>
      <w:r w:rsidRPr="00F04F82">
        <w:rPr>
          <w:szCs w:val="22"/>
        </w:rPr>
        <w:t xml:space="preserve">Always use </w:t>
      </w:r>
      <w:r w:rsidRPr="00F04F82">
        <w:t>this medicine</w:t>
      </w:r>
      <w:r w:rsidRPr="00F04F82">
        <w:rPr>
          <w:szCs w:val="22"/>
        </w:rPr>
        <w:t xml:space="preserve"> exactly as your doctor </w:t>
      </w:r>
      <w:r w:rsidRPr="00F04F82">
        <w:t xml:space="preserve">or pharmacist </w:t>
      </w:r>
      <w:r w:rsidRPr="00F04F82">
        <w:rPr>
          <w:szCs w:val="22"/>
        </w:rPr>
        <w:t xml:space="preserve">has told you. Check with your doctor or pharmacist if you are not sure. </w:t>
      </w:r>
    </w:p>
    <w:p w14:paraId="09DA6C08" w14:textId="77777777" w:rsidR="007E0028" w:rsidRPr="00F04F82" w:rsidRDefault="007E0028" w:rsidP="00077AFF">
      <w:pPr>
        <w:numPr>
          <w:ilvl w:val="12"/>
          <w:numId w:val="0"/>
        </w:numPr>
        <w:tabs>
          <w:tab w:val="clear" w:pos="567"/>
        </w:tabs>
        <w:spacing w:line="240" w:lineRule="auto"/>
        <w:ind w:right="-2"/>
        <w:rPr>
          <w:szCs w:val="22"/>
        </w:rPr>
      </w:pPr>
    </w:p>
    <w:p w14:paraId="1B6F28AE" w14:textId="77777777" w:rsidR="007E0028" w:rsidRPr="00D55B59" w:rsidRDefault="007E0028" w:rsidP="00077AFF">
      <w:pPr>
        <w:pStyle w:val="Default"/>
        <w:rPr>
          <w:sz w:val="22"/>
          <w:szCs w:val="22"/>
          <w:u w:val="single"/>
          <w:lang w:val="en-GB"/>
          <w:rPrChange w:id="5443" w:author="Author">
            <w:rPr>
              <w:sz w:val="22"/>
              <w:szCs w:val="22"/>
              <w:u w:val="single"/>
            </w:rPr>
          </w:rPrChange>
        </w:rPr>
      </w:pPr>
      <w:r w:rsidRPr="00D55B59">
        <w:rPr>
          <w:sz w:val="22"/>
          <w:szCs w:val="22"/>
          <w:u w:val="single"/>
          <w:lang w:val="en-GB"/>
          <w:rPrChange w:id="5444" w:author="Author">
            <w:rPr>
              <w:sz w:val="22"/>
              <w:szCs w:val="22"/>
              <w:u w:val="single"/>
            </w:rPr>
          </w:rPrChange>
        </w:rPr>
        <w:t xml:space="preserve">Adults with rheumatoid arthritis, psoriatic arthritis, ankylosing spondylitis or axial spondyloarthritis without radiographic evidence of ankylosing spondylitis </w:t>
      </w:r>
    </w:p>
    <w:p w14:paraId="1278506A" w14:textId="77777777" w:rsidR="007E0028" w:rsidRPr="00F04F82" w:rsidRDefault="007E0028" w:rsidP="00077AFF">
      <w:pPr>
        <w:numPr>
          <w:ilvl w:val="12"/>
          <w:numId w:val="0"/>
        </w:numPr>
        <w:tabs>
          <w:tab w:val="clear" w:pos="567"/>
        </w:tabs>
        <w:spacing w:line="240" w:lineRule="auto"/>
        <w:ind w:right="-2"/>
        <w:rPr>
          <w:szCs w:val="22"/>
        </w:rPr>
      </w:pPr>
    </w:p>
    <w:p w14:paraId="2CB1A4A3" w14:textId="77777777" w:rsidR="007E0028" w:rsidRPr="00D55B59" w:rsidRDefault="007E0028" w:rsidP="00077AFF">
      <w:pPr>
        <w:pStyle w:val="Default"/>
        <w:rPr>
          <w:sz w:val="22"/>
          <w:szCs w:val="22"/>
          <w:lang w:val="en-GB"/>
          <w:rPrChange w:id="5445" w:author="Author">
            <w:rPr>
              <w:sz w:val="22"/>
              <w:szCs w:val="22"/>
            </w:rPr>
          </w:rPrChange>
        </w:rPr>
      </w:pPr>
      <w:r w:rsidRPr="00D55B59">
        <w:rPr>
          <w:sz w:val="22"/>
          <w:szCs w:val="22"/>
          <w:lang w:val="en-GB"/>
          <w:rPrChange w:id="5446" w:author="Author">
            <w:rPr>
              <w:sz w:val="22"/>
              <w:szCs w:val="22"/>
            </w:rPr>
          </w:rPrChange>
        </w:rPr>
        <w:t>AMGEVITA is injected under the skin (subcutaneous use). The usual dose for adults with rheumatoid arthritis, ankylosing spondylitis, axial spondyloarthritis without radiographic evidence of ankylosing</w:t>
      </w:r>
      <w:r w:rsidRPr="00D55B59">
        <w:rPr>
          <w:szCs w:val="22"/>
          <w:lang w:val="en-GB"/>
          <w:rPrChange w:id="5447" w:author="Author">
            <w:rPr>
              <w:szCs w:val="22"/>
            </w:rPr>
          </w:rPrChange>
        </w:rPr>
        <w:t xml:space="preserve"> </w:t>
      </w:r>
      <w:r w:rsidRPr="00D55B59">
        <w:rPr>
          <w:sz w:val="22"/>
          <w:szCs w:val="22"/>
          <w:lang w:val="en-GB"/>
          <w:rPrChange w:id="5448" w:author="Author">
            <w:rPr>
              <w:sz w:val="22"/>
              <w:szCs w:val="22"/>
            </w:rPr>
          </w:rPrChange>
        </w:rPr>
        <w:t xml:space="preserve">spondylitis, and for patients with psoriatic arthritis is 40 mg given every other week as a single dose. </w:t>
      </w:r>
    </w:p>
    <w:p w14:paraId="3605C88C" w14:textId="77777777" w:rsidR="007E0028" w:rsidRPr="00D55B59" w:rsidRDefault="007E0028" w:rsidP="00077AFF">
      <w:pPr>
        <w:pStyle w:val="Default"/>
        <w:rPr>
          <w:sz w:val="22"/>
          <w:szCs w:val="22"/>
          <w:lang w:val="en-GB"/>
          <w:rPrChange w:id="5449" w:author="Author">
            <w:rPr>
              <w:sz w:val="22"/>
              <w:szCs w:val="22"/>
            </w:rPr>
          </w:rPrChange>
        </w:rPr>
      </w:pPr>
    </w:p>
    <w:p w14:paraId="16EB79B4" w14:textId="77777777" w:rsidR="007E0028" w:rsidRPr="00D55B59" w:rsidRDefault="007E0028" w:rsidP="00077AFF">
      <w:pPr>
        <w:pStyle w:val="Default"/>
        <w:rPr>
          <w:sz w:val="22"/>
          <w:szCs w:val="22"/>
          <w:lang w:val="en-GB"/>
          <w:rPrChange w:id="5450" w:author="Author">
            <w:rPr>
              <w:sz w:val="22"/>
              <w:szCs w:val="22"/>
            </w:rPr>
          </w:rPrChange>
        </w:rPr>
      </w:pPr>
      <w:r w:rsidRPr="00D55B59">
        <w:rPr>
          <w:sz w:val="22"/>
          <w:szCs w:val="22"/>
          <w:lang w:val="en-GB"/>
          <w:rPrChange w:id="5451" w:author="Author">
            <w:rPr>
              <w:sz w:val="22"/>
              <w:szCs w:val="22"/>
            </w:rPr>
          </w:rPrChange>
        </w:rPr>
        <w:t xml:space="preserve">In rheumatoid arthritis, methotrexate is continued while using AMGEVITA. If your doctor determines that methotrexate is inappropriate, AMGEVITA can be given alone. </w:t>
      </w:r>
    </w:p>
    <w:p w14:paraId="62A8B5DF" w14:textId="77777777" w:rsidR="007E0028" w:rsidRPr="00F04F82" w:rsidRDefault="007E0028" w:rsidP="00077AFF">
      <w:pPr>
        <w:numPr>
          <w:ilvl w:val="12"/>
          <w:numId w:val="0"/>
        </w:numPr>
        <w:tabs>
          <w:tab w:val="clear" w:pos="567"/>
        </w:tabs>
        <w:spacing w:line="240" w:lineRule="auto"/>
        <w:ind w:right="-2"/>
        <w:rPr>
          <w:szCs w:val="22"/>
        </w:rPr>
      </w:pPr>
    </w:p>
    <w:p w14:paraId="7D5610C9" w14:textId="77777777" w:rsidR="007E0028" w:rsidRPr="00F04F82" w:rsidRDefault="007E0028" w:rsidP="00077AFF">
      <w:pPr>
        <w:numPr>
          <w:ilvl w:val="12"/>
          <w:numId w:val="0"/>
        </w:numPr>
        <w:tabs>
          <w:tab w:val="clear" w:pos="567"/>
        </w:tabs>
        <w:spacing w:line="240" w:lineRule="auto"/>
        <w:ind w:right="-2"/>
        <w:rPr>
          <w:szCs w:val="22"/>
        </w:rPr>
      </w:pPr>
      <w:r w:rsidRPr="00F04F82">
        <w:rPr>
          <w:szCs w:val="22"/>
        </w:rPr>
        <w:t>If you have rheumatoid arthritis and you do not receive methotrexate with your AMGEVITA therapy, your doctor may decide to give 40 mg every week or 80</w:t>
      </w:r>
      <w:r w:rsidRPr="00F04F82">
        <w:rPr>
          <w:szCs w:val="22"/>
          <w:lang w:eastAsia="en-GB"/>
        </w:rPr>
        <w:t> </w:t>
      </w:r>
      <w:r w:rsidRPr="00F04F82">
        <w:rPr>
          <w:szCs w:val="22"/>
        </w:rPr>
        <w:t>mg</w:t>
      </w:r>
      <w:r w:rsidRPr="00D55B59">
        <w:rPr>
          <w:szCs w:val="22"/>
          <w:rPrChange w:id="5452" w:author="Author">
            <w:rPr>
              <w:szCs w:val="22"/>
              <w:lang w:val="en-US"/>
            </w:rPr>
          </w:rPrChange>
        </w:rPr>
        <w:t xml:space="preserve"> </w:t>
      </w:r>
      <w:r w:rsidRPr="00F04F82">
        <w:rPr>
          <w:szCs w:val="22"/>
        </w:rPr>
        <w:t>every other week.</w:t>
      </w:r>
    </w:p>
    <w:p w14:paraId="600EA327" w14:textId="77777777" w:rsidR="007E0028" w:rsidRPr="00D55B59" w:rsidRDefault="007E0028" w:rsidP="00077AFF">
      <w:pPr>
        <w:pStyle w:val="Default"/>
        <w:keepNext/>
        <w:rPr>
          <w:sz w:val="22"/>
          <w:szCs w:val="22"/>
          <w:lang w:val="en-GB"/>
          <w:rPrChange w:id="5453" w:author="Author">
            <w:rPr>
              <w:sz w:val="22"/>
              <w:szCs w:val="22"/>
            </w:rPr>
          </w:rPrChange>
        </w:rPr>
      </w:pPr>
    </w:p>
    <w:p w14:paraId="2C9607CE" w14:textId="77777777" w:rsidR="007E0028" w:rsidRPr="00D55B59" w:rsidRDefault="007E0028" w:rsidP="00077AFF">
      <w:pPr>
        <w:pStyle w:val="Default"/>
        <w:keepNext/>
        <w:rPr>
          <w:sz w:val="22"/>
          <w:szCs w:val="22"/>
          <w:u w:val="single"/>
          <w:lang w:val="en-GB"/>
          <w:rPrChange w:id="5454" w:author="Author">
            <w:rPr>
              <w:sz w:val="22"/>
              <w:szCs w:val="22"/>
              <w:u w:val="single"/>
            </w:rPr>
          </w:rPrChange>
        </w:rPr>
      </w:pPr>
      <w:r w:rsidRPr="00D55B59">
        <w:rPr>
          <w:sz w:val="22"/>
          <w:szCs w:val="22"/>
          <w:u w:val="single"/>
          <w:lang w:val="en-GB"/>
          <w:rPrChange w:id="5455" w:author="Author">
            <w:rPr>
              <w:sz w:val="22"/>
              <w:szCs w:val="22"/>
              <w:u w:val="single"/>
            </w:rPr>
          </w:rPrChange>
        </w:rPr>
        <w:t xml:space="preserve">Adults with plaque </w:t>
      </w:r>
      <w:r w:rsidRPr="00D55B59">
        <w:rPr>
          <w:rFonts w:eastAsia="PMingLiU"/>
          <w:sz w:val="22"/>
          <w:szCs w:val="22"/>
          <w:u w:val="single"/>
          <w:lang w:val="en-GB" w:eastAsia="zh-TW"/>
          <w:rPrChange w:id="5456" w:author="Author">
            <w:rPr>
              <w:rFonts w:eastAsia="PMingLiU"/>
              <w:sz w:val="22"/>
              <w:szCs w:val="22"/>
              <w:u w:val="single"/>
              <w:lang w:eastAsia="zh-TW"/>
            </w:rPr>
          </w:rPrChange>
        </w:rPr>
        <w:t>p</w:t>
      </w:r>
      <w:r w:rsidRPr="00D55B59">
        <w:rPr>
          <w:sz w:val="22"/>
          <w:szCs w:val="22"/>
          <w:u w:val="single"/>
          <w:lang w:val="en-GB"/>
          <w:rPrChange w:id="5457" w:author="Author">
            <w:rPr>
              <w:sz w:val="22"/>
              <w:szCs w:val="22"/>
              <w:u w:val="single"/>
            </w:rPr>
          </w:rPrChange>
        </w:rPr>
        <w:t xml:space="preserve">soriasis </w:t>
      </w:r>
    </w:p>
    <w:p w14:paraId="12B62E40" w14:textId="77777777" w:rsidR="007E0028" w:rsidRPr="00D55B59" w:rsidRDefault="007E0028" w:rsidP="00077AFF">
      <w:pPr>
        <w:pStyle w:val="Default"/>
        <w:rPr>
          <w:sz w:val="22"/>
          <w:szCs w:val="22"/>
          <w:lang w:val="en-GB"/>
          <w:rPrChange w:id="5458" w:author="Author">
            <w:rPr>
              <w:sz w:val="22"/>
              <w:szCs w:val="22"/>
            </w:rPr>
          </w:rPrChange>
        </w:rPr>
      </w:pPr>
    </w:p>
    <w:p w14:paraId="7218FA81" w14:textId="2C41AB19" w:rsidR="007E0028" w:rsidRPr="00D55B59" w:rsidRDefault="007E0028" w:rsidP="00DC331C">
      <w:pPr>
        <w:pStyle w:val="Default"/>
        <w:keepNext/>
        <w:rPr>
          <w:sz w:val="22"/>
          <w:szCs w:val="22"/>
          <w:lang w:val="en-GB"/>
          <w:rPrChange w:id="5459" w:author="Author">
            <w:rPr>
              <w:sz w:val="22"/>
              <w:szCs w:val="22"/>
            </w:rPr>
          </w:rPrChange>
        </w:rPr>
      </w:pPr>
      <w:r w:rsidRPr="00D55B59">
        <w:rPr>
          <w:sz w:val="22"/>
          <w:szCs w:val="22"/>
          <w:lang w:val="en-GB"/>
          <w:rPrChange w:id="5460" w:author="Author">
            <w:rPr>
              <w:sz w:val="22"/>
              <w:szCs w:val="22"/>
            </w:rPr>
          </w:rPrChange>
        </w:rPr>
        <w:t xml:space="preserve">The usual dose for adults with plaque psoriasis is an initial dose of 80 mg, followed by 40 mg given every other week starting one week after the initial dose. You should continue to inject AMGEVITA for as long as your doctor has told you. </w:t>
      </w:r>
      <w:r w:rsidRPr="00D55B59">
        <w:rPr>
          <w:sz w:val="22"/>
          <w:szCs w:val="22"/>
          <w:lang w:val="en-GB" w:eastAsia="en-GB"/>
          <w:rPrChange w:id="5461" w:author="Author">
            <w:rPr>
              <w:sz w:val="22"/>
              <w:szCs w:val="22"/>
              <w:lang w:eastAsia="en-GB"/>
            </w:rPr>
          </w:rPrChange>
        </w:rPr>
        <w:t>Depending on your response, your doctor may increase the dose to 40 mg every week or 80 mg every other week.</w:t>
      </w:r>
      <w:r w:rsidRPr="00D55B59">
        <w:rPr>
          <w:sz w:val="22"/>
          <w:szCs w:val="22"/>
          <w:lang w:val="en-GB"/>
          <w:rPrChange w:id="5462" w:author="Author">
            <w:rPr>
              <w:sz w:val="22"/>
              <w:szCs w:val="22"/>
            </w:rPr>
          </w:rPrChange>
        </w:rPr>
        <w:t xml:space="preserve"> </w:t>
      </w:r>
    </w:p>
    <w:p w14:paraId="434F1BFA" w14:textId="77777777" w:rsidR="007E0028" w:rsidRPr="00D55B59" w:rsidRDefault="007E0028" w:rsidP="00077AFF">
      <w:pPr>
        <w:pStyle w:val="Default"/>
        <w:rPr>
          <w:sz w:val="22"/>
          <w:szCs w:val="22"/>
          <w:lang w:val="en-GB"/>
          <w:rPrChange w:id="5463" w:author="Author">
            <w:rPr>
              <w:sz w:val="22"/>
              <w:szCs w:val="22"/>
            </w:rPr>
          </w:rPrChange>
        </w:rPr>
      </w:pPr>
    </w:p>
    <w:p w14:paraId="2773E0A2" w14:textId="77777777" w:rsidR="007E0028" w:rsidRPr="00D55B59" w:rsidRDefault="007E0028" w:rsidP="00077AFF">
      <w:pPr>
        <w:pStyle w:val="Default"/>
        <w:keepNext/>
        <w:rPr>
          <w:sz w:val="22"/>
          <w:szCs w:val="22"/>
          <w:u w:val="single"/>
          <w:lang w:val="en-GB"/>
          <w:rPrChange w:id="5464" w:author="Author">
            <w:rPr>
              <w:sz w:val="22"/>
              <w:szCs w:val="22"/>
              <w:u w:val="single"/>
            </w:rPr>
          </w:rPrChange>
        </w:rPr>
      </w:pPr>
      <w:r w:rsidRPr="00D55B59">
        <w:rPr>
          <w:sz w:val="22"/>
          <w:szCs w:val="22"/>
          <w:u w:val="single"/>
          <w:lang w:val="en-GB"/>
          <w:rPrChange w:id="5465" w:author="Author">
            <w:rPr>
              <w:sz w:val="22"/>
              <w:szCs w:val="22"/>
              <w:u w:val="single"/>
            </w:rPr>
          </w:rPrChange>
        </w:rPr>
        <w:t>Adults with hidradenitis suppurativa</w:t>
      </w:r>
    </w:p>
    <w:p w14:paraId="237D7D65" w14:textId="77777777" w:rsidR="007E0028" w:rsidRPr="00F04F82" w:rsidRDefault="007E0028" w:rsidP="00077AFF">
      <w:pPr>
        <w:keepNext/>
        <w:tabs>
          <w:tab w:val="clear" w:pos="567"/>
        </w:tabs>
        <w:autoSpaceDE w:val="0"/>
        <w:autoSpaceDN w:val="0"/>
        <w:adjustRightInd w:val="0"/>
        <w:spacing w:line="240" w:lineRule="auto"/>
        <w:rPr>
          <w:rFonts w:ascii="TimesNewRoman" w:hAnsi="TimesNewRoman" w:cs="TimesNewRoman"/>
          <w:szCs w:val="22"/>
        </w:rPr>
      </w:pPr>
    </w:p>
    <w:p w14:paraId="20405DAA" w14:textId="6F2EEC32" w:rsidR="007E0028" w:rsidRPr="00D55B59" w:rsidRDefault="007E0028" w:rsidP="00DC331C">
      <w:pPr>
        <w:pStyle w:val="Default"/>
        <w:rPr>
          <w:sz w:val="22"/>
          <w:szCs w:val="22"/>
          <w:lang w:val="en-GB"/>
          <w:rPrChange w:id="5466" w:author="Author">
            <w:rPr>
              <w:sz w:val="22"/>
              <w:szCs w:val="22"/>
            </w:rPr>
          </w:rPrChange>
        </w:rPr>
      </w:pPr>
      <w:r w:rsidRPr="00D55B59">
        <w:rPr>
          <w:sz w:val="22"/>
          <w:szCs w:val="22"/>
          <w:lang w:val="en-GB"/>
          <w:rPrChange w:id="5467" w:author="Author">
            <w:rPr>
              <w:sz w:val="22"/>
              <w:szCs w:val="22"/>
            </w:rPr>
          </w:rPrChange>
        </w:rPr>
        <w:t>The usual dose regimen for hidradenitis suppurativa is an initial dose of 160 mg (</w:t>
      </w:r>
      <w:r w:rsidR="00DC331C" w:rsidRPr="00D55B59">
        <w:rPr>
          <w:sz w:val="22"/>
          <w:szCs w:val="22"/>
          <w:lang w:val="en-GB"/>
          <w:rPrChange w:id="5468" w:author="Author">
            <w:rPr>
              <w:sz w:val="22"/>
              <w:szCs w:val="22"/>
            </w:rPr>
          </w:rPrChange>
        </w:rPr>
        <w:t>two 80 mg injections in one day or one 80 mg injection per day for two consecutive days</w:t>
      </w:r>
      <w:r w:rsidRPr="00D55B59">
        <w:rPr>
          <w:sz w:val="22"/>
          <w:szCs w:val="22"/>
          <w:lang w:val="en-GB"/>
          <w:rPrChange w:id="5469" w:author="Author">
            <w:rPr>
              <w:sz w:val="22"/>
              <w:szCs w:val="22"/>
            </w:rPr>
          </w:rPrChange>
        </w:rPr>
        <w:t>), followed by an 80 mg dose (</w:t>
      </w:r>
      <w:r w:rsidR="00DC331C" w:rsidRPr="00D55B59">
        <w:rPr>
          <w:sz w:val="22"/>
          <w:szCs w:val="22"/>
          <w:lang w:val="en-GB"/>
          <w:rPrChange w:id="5470" w:author="Author">
            <w:rPr>
              <w:sz w:val="22"/>
              <w:szCs w:val="22"/>
            </w:rPr>
          </w:rPrChange>
        </w:rPr>
        <w:t>one 80 mg injection</w:t>
      </w:r>
      <w:r w:rsidRPr="00D55B59">
        <w:rPr>
          <w:sz w:val="22"/>
          <w:szCs w:val="22"/>
          <w:lang w:val="en-GB"/>
          <w:rPrChange w:id="5471" w:author="Author">
            <w:rPr>
              <w:sz w:val="22"/>
              <w:szCs w:val="22"/>
            </w:rPr>
          </w:rPrChange>
        </w:rPr>
        <w:t>) two weeks later. After two further weeks, continue with a dose of 40 mg every week or 80</w:t>
      </w:r>
      <w:r w:rsidRPr="00D55B59">
        <w:rPr>
          <w:szCs w:val="22"/>
          <w:lang w:val="en-GB" w:eastAsia="en-GB"/>
          <w:rPrChange w:id="5472" w:author="Author">
            <w:rPr>
              <w:szCs w:val="22"/>
              <w:lang w:eastAsia="en-GB"/>
            </w:rPr>
          </w:rPrChange>
        </w:rPr>
        <w:t> </w:t>
      </w:r>
      <w:r w:rsidRPr="00D55B59">
        <w:rPr>
          <w:sz w:val="22"/>
          <w:szCs w:val="22"/>
          <w:lang w:val="en-GB"/>
          <w:rPrChange w:id="5473" w:author="Author">
            <w:rPr>
              <w:sz w:val="22"/>
              <w:szCs w:val="22"/>
            </w:rPr>
          </w:rPrChange>
        </w:rPr>
        <w:t>mg every other week, as prescribed by your doctor. It is recommended that you use an antiseptic wash daily on the affected areas.</w:t>
      </w:r>
    </w:p>
    <w:p w14:paraId="605611A8" w14:textId="77777777" w:rsidR="007E0028" w:rsidRPr="00D55B59" w:rsidRDefault="007E0028" w:rsidP="00077AFF">
      <w:pPr>
        <w:pStyle w:val="Default"/>
        <w:rPr>
          <w:sz w:val="22"/>
          <w:szCs w:val="22"/>
          <w:lang w:val="en-GB"/>
          <w:rPrChange w:id="5474" w:author="Author">
            <w:rPr>
              <w:sz w:val="22"/>
              <w:szCs w:val="22"/>
            </w:rPr>
          </w:rPrChange>
        </w:rPr>
      </w:pPr>
    </w:p>
    <w:p w14:paraId="60F03E22" w14:textId="77777777" w:rsidR="007E0028" w:rsidRPr="00D55B59" w:rsidRDefault="007E0028" w:rsidP="00077AFF">
      <w:pPr>
        <w:pStyle w:val="Default"/>
        <w:rPr>
          <w:sz w:val="22"/>
          <w:szCs w:val="22"/>
          <w:u w:val="single"/>
          <w:lang w:val="en-GB"/>
          <w:rPrChange w:id="5475" w:author="Author">
            <w:rPr>
              <w:sz w:val="22"/>
              <w:szCs w:val="22"/>
              <w:u w:val="single"/>
            </w:rPr>
          </w:rPrChange>
        </w:rPr>
      </w:pPr>
      <w:r w:rsidRPr="00D55B59">
        <w:rPr>
          <w:sz w:val="22"/>
          <w:szCs w:val="22"/>
          <w:u w:val="single"/>
          <w:lang w:val="en-GB"/>
          <w:rPrChange w:id="5476" w:author="Author">
            <w:rPr>
              <w:sz w:val="22"/>
              <w:szCs w:val="22"/>
              <w:u w:val="single"/>
            </w:rPr>
          </w:rPrChange>
        </w:rPr>
        <w:t>Adolescents with hidradenitis suppurativa from 12 to 17 years of age weighing 30</w:t>
      </w:r>
      <w:r w:rsidRPr="00D55B59">
        <w:rPr>
          <w:szCs w:val="22"/>
          <w:lang w:val="en-GB" w:eastAsia="en-GB"/>
          <w:rPrChange w:id="5477" w:author="Author">
            <w:rPr>
              <w:szCs w:val="22"/>
              <w:lang w:eastAsia="en-GB"/>
            </w:rPr>
          </w:rPrChange>
        </w:rPr>
        <w:t> </w:t>
      </w:r>
      <w:r w:rsidRPr="00D55B59">
        <w:rPr>
          <w:sz w:val="22"/>
          <w:szCs w:val="22"/>
          <w:u w:val="single"/>
          <w:lang w:val="en-GB"/>
          <w:rPrChange w:id="5478" w:author="Author">
            <w:rPr>
              <w:sz w:val="22"/>
              <w:szCs w:val="22"/>
              <w:u w:val="single"/>
            </w:rPr>
          </w:rPrChange>
        </w:rPr>
        <w:t>kg or more</w:t>
      </w:r>
    </w:p>
    <w:p w14:paraId="7B8C91F6" w14:textId="77777777" w:rsidR="007E0028" w:rsidRPr="00D55B59" w:rsidRDefault="007E0028" w:rsidP="00077AFF">
      <w:pPr>
        <w:pStyle w:val="Default"/>
        <w:rPr>
          <w:sz w:val="22"/>
          <w:szCs w:val="22"/>
          <w:lang w:val="en-GB"/>
          <w:rPrChange w:id="5479" w:author="Author">
            <w:rPr>
              <w:sz w:val="22"/>
              <w:szCs w:val="22"/>
            </w:rPr>
          </w:rPrChange>
        </w:rPr>
      </w:pPr>
    </w:p>
    <w:p w14:paraId="5AC894FC" w14:textId="671F9A99" w:rsidR="007E0028" w:rsidRPr="00D55B59" w:rsidRDefault="007E0028" w:rsidP="00077AFF">
      <w:pPr>
        <w:pStyle w:val="Default"/>
        <w:rPr>
          <w:sz w:val="22"/>
          <w:szCs w:val="22"/>
          <w:lang w:val="en-GB"/>
          <w:rPrChange w:id="5480" w:author="Author">
            <w:rPr>
              <w:sz w:val="22"/>
              <w:szCs w:val="22"/>
            </w:rPr>
          </w:rPrChange>
        </w:rPr>
      </w:pPr>
      <w:r w:rsidRPr="00D55B59">
        <w:rPr>
          <w:sz w:val="22"/>
          <w:szCs w:val="22"/>
          <w:lang w:val="en-GB"/>
          <w:rPrChange w:id="5481" w:author="Author">
            <w:rPr>
              <w:sz w:val="22"/>
              <w:szCs w:val="22"/>
            </w:rPr>
          </w:rPrChange>
        </w:rPr>
        <w:t>The recommended dose of AMGEVITA is an initial dose of 80</w:t>
      </w:r>
      <w:r w:rsidRPr="00D55B59">
        <w:rPr>
          <w:szCs w:val="22"/>
          <w:lang w:val="en-GB" w:eastAsia="en-GB"/>
          <w:rPrChange w:id="5482" w:author="Author">
            <w:rPr>
              <w:szCs w:val="22"/>
              <w:lang w:eastAsia="en-GB"/>
            </w:rPr>
          </w:rPrChange>
        </w:rPr>
        <w:t> </w:t>
      </w:r>
      <w:r w:rsidRPr="00D55B59">
        <w:rPr>
          <w:sz w:val="22"/>
          <w:szCs w:val="22"/>
          <w:lang w:val="en-GB"/>
          <w:rPrChange w:id="5483" w:author="Author">
            <w:rPr>
              <w:sz w:val="22"/>
              <w:szCs w:val="22"/>
            </w:rPr>
          </w:rPrChange>
        </w:rPr>
        <w:t>mg, followed by 40</w:t>
      </w:r>
      <w:r w:rsidRPr="00D55B59">
        <w:rPr>
          <w:szCs w:val="22"/>
          <w:lang w:val="en-GB" w:eastAsia="en-GB"/>
          <w:rPrChange w:id="5484" w:author="Author">
            <w:rPr>
              <w:szCs w:val="22"/>
              <w:lang w:eastAsia="en-GB"/>
            </w:rPr>
          </w:rPrChange>
        </w:rPr>
        <w:t> </w:t>
      </w:r>
      <w:r w:rsidRPr="00D55B59">
        <w:rPr>
          <w:sz w:val="22"/>
          <w:szCs w:val="22"/>
          <w:lang w:val="en-GB"/>
          <w:rPrChange w:id="5485" w:author="Author">
            <w:rPr>
              <w:sz w:val="22"/>
              <w:szCs w:val="22"/>
            </w:rPr>
          </w:rPrChange>
        </w:rPr>
        <w:t>mg every other week starting one week later. If you have an inadequate response to AMGEVITA 40</w:t>
      </w:r>
      <w:r w:rsidRPr="00D55B59">
        <w:rPr>
          <w:szCs w:val="22"/>
          <w:lang w:val="en-GB" w:eastAsia="en-GB"/>
          <w:rPrChange w:id="5486" w:author="Author">
            <w:rPr>
              <w:szCs w:val="22"/>
              <w:lang w:eastAsia="en-GB"/>
            </w:rPr>
          </w:rPrChange>
        </w:rPr>
        <w:t> </w:t>
      </w:r>
      <w:r w:rsidRPr="00D55B59">
        <w:rPr>
          <w:sz w:val="22"/>
          <w:szCs w:val="22"/>
          <w:lang w:val="en-GB"/>
          <w:rPrChange w:id="5487" w:author="Author">
            <w:rPr>
              <w:sz w:val="22"/>
              <w:szCs w:val="22"/>
            </w:rPr>
          </w:rPrChange>
        </w:rPr>
        <w:t>mg every other week, your doctor may increase the dose to 40</w:t>
      </w:r>
      <w:r w:rsidRPr="00D55B59">
        <w:rPr>
          <w:szCs w:val="22"/>
          <w:lang w:val="en-GB" w:eastAsia="en-GB"/>
          <w:rPrChange w:id="5488" w:author="Author">
            <w:rPr>
              <w:szCs w:val="22"/>
              <w:lang w:eastAsia="en-GB"/>
            </w:rPr>
          </w:rPrChange>
        </w:rPr>
        <w:t> </w:t>
      </w:r>
      <w:r w:rsidRPr="00D55B59">
        <w:rPr>
          <w:sz w:val="22"/>
          <w:szCs w:val="22"/>
          <w:lang w:val="en-GB"/>
          <w:rPrChange w:id="5489" w:author="Author">
            <w:rPr>
              <w:sz w:val="22"/>
              <w:szCs w:val="22"/>
            </w:rPr>
          </w:rPrChange>
        </w:rPr>
        <w:t>mg every week or 80</w:t>
      </w:r>
      <w:r w:rsidRPr="00D55B59">
        <w:rPr>
          <w:szCs w:val="22"/>
          <w:lang w:val="en-GB" w:eastAsia="en-GB"/>
          <w:rPrChange w:id="5490" w:author="Author">
            <w:rPr>
              <w:szCs w:val="22"/>
              <w:lang w:eastAsia="en-GB"/>
            </w:rPr>
          </w:rPrChange>
        </w:rPr>
        <w:t> </w:t>
      </w:r>
      <w:r w:rsidRPr="00D55B59">
        <w:rPr>
          <w:sz w:val="22"/>
          <w:szCs w:val="22"/>
          <w:lang w:val="en-GB"/>
          <w:rPrChange w:id="5491" w:author="Author">
            <w:rPr>
              <w:sz w:val="22"/>
              <w:szCs w:val="22"/>
            </w:rPr>
          </w:rPrChange>
        </w:rPr>
        <w:t xml:space="preserve">mg every other week. </w:t>
      </w:r>
    </w:p>
    <w:p w14:paraId="5C0862E2" w14:textId="77777777" w:rsidR="007E0028" w:rsidRPr="00D55B59" w:rsidRDefault="007E0028" w:rsidP="00077AFF">
      <w:pPr>
        <w:pStyle w:val="Default"/>
        <w:rPr>
          <w:sz w:val="22"/>
          <w:szCs w:val="22"/>
          <w:lang w:val="en-GB"/>
          <w:rPrChange w:id="5492" w:author="Author">
            <w:rPr>
              <w:sz w:val="22"/>
              <w:szCs w:val="22"/>
            </w:rPr>
          </w:rPrChange>
        </w:rPr>
      </w:pPr>
    </w:p>
    <w:p w14:paraId="48C6620D" w14:textId="77777777" w:rsidR="007E0028" w:rsidRPr="00D55B59" w:rsidRDefault="007E0028" w:rsidP="00077AFF">
      <w:pPr>
        <w:pStyle w:val="Default"/>
        <w:rPr>
          <w:sz w:val="22"/>
          <w:szCs w:val="22"/>
          <w:lang w:val="en-GB"/>
          <w:rPrChange w:id="5493" w:author="Author">
            <w:rPr>
              <w:sz w:val="22"/>
              <w:szCs w:val="22"/>
            </w:rPr>
          </w:rPrChange>
        </w:rPr>
      </w:pPr>
      <w:r w:rsidRPr="00D55B59">
        <w:rPr>
          <w:sz w:val="22"/>
          <w:szCs w:val="22"/>
          <w:lang w:val="en-GB"/>
          <w:rPrChange w:id="5494" w:author="Author">
            <w:rPr>
              <w:sz w:val="22"/>
              <w:szCs w:val="22"/>
            </w:rPr>
          </w:rPrChange>
        </w:rPr>
        <w:t>It is recommended that you use an antiseptic wash daily on the affected areas.</w:t>
      </w:r>
    </w:p>
    <w:p w14:paraId="7DAC606A" w14:textId="77777777" w:rsidR="007E0028" w:rsidRPr="00D55B59" w:rsidRDefault="007E0028" w:rsidP="00077AFF">
      <w:pPr>
        <w:pStyle w:val="Default"/>
        <w:rPr>
          <w:sz w:val="22"/>
          <w:szCs w:val="22"/>
          <w:u w:val="single"/>
          <w:lang w:val="en-GB"/>
          <w:rPrChange w:id="5495" w:author="Author">
            <w:rPr>
              <w:sz w:val="22"/>
              <w:szCs w:val="22"/>
              <w:u w:val="single"/>
            </w:rPr>
          </w:rPrChange>
        </w:rPr>
      </w:pPr>
    </w:p>
    <w:p w14:paraId="58FBBE96" w14:textId="77777777" w:rsidR="007E0028" w:rsidRPr="00D55B59" w:rsidRDefault="007E0028" w:rsidP="00077AFF">
      <w:pPr>
        <w:pStyle w:val="Default"/>
        <w:keepNext/>
        <w:rPr>
          <w:sz w:val="22"/>
          <w:szCs w:val="22"/>
          <w:u w:val="single"/>
          <w:lang w:val="en-GB"/>
          <w:rPrChange w:id="5496" w:author="Author">
            <w:rPr>
              <w:sz w:val="22"/>
              <w:szCs w:val="22"/>
              <w:u w:val="single"/>
            </w:rPr>
          </w:rPrChange>
        </w:rPr>
      </w:pPr>
      <w:r w:rsidRPr="00D55B59">
        <w:rPr>
          <w:sz w:val="22"/>
          <w:szCs w:val="22"/>
          <w:u w:val="single"/>
          <w:lang w:val="en-GB"/>
          <w:rPrChange w:id="5497" w:author="Author">
            <w:rPr>
              <w:sz w:val="22"/>
              <w:szCs w:val="22"/>
              <w:u w:val="single"/>
            </w:rPr>
          </w:rPrChange>
        </w:rPr>
        <w:t xml:space="preserve">Adults with Crohn’s disease </w:t>
      </w:r>
    </w:p>
    <w:p w14:paraId="4CCB78E7" w14:textId="77777777" w:rsidR="007E0028" w:rsidRPr="00D55B59" w:rsidRDefault="007E0028" w:rsidP="00077AFF">
      <w:pPr>
        <w:pStyle w:val="Default"/>
        <w:keepNext/>
        <w:rPr>
          <w:sz w:val="22"/>
          <w:szCs w:val="22"/>
          <w:lang w:val="en-GB"/>
          <w:rPrChange w:id="5498" w:author="Author">
            <w:rPr>
              <w:sz w:val="22"/>
              <w:szCs w:val="22"/>
            </w:rPr>
          </w:rPrChange>
        </w:rPr>
      </w:pPr>
    </w:p>
    <w:p w14:paraId="34EA0BC9" w14:textId="44901259" w:rsidR="007E0028" w:rsidRPr="00D55B59" w:rsidRDefault="007E0028" w:rsidP="00DC331C">
      <w:pPr>
        <w:pStyle w:val="Default"/>
        <w:rPr>
          <w:sz w:val="22"/>
          <w:szCs w:val="22"/>
          <w:lang w:val="en-GB"/>
          <w:rPrChange w:id="5499" w:author="Author">
            <w:rPr>
              <w:sz w:val="22"/>
              <w:szCs w:val="22"/>
            </w:rPr>
          </w:rPrChange>
        </w:rPr>
      </w:pPr>
      <w:r w:rsidRPr="00D55B59">
        <w:rPr>
          <w:sz w:val="22"/>
          <w:szCs w:val="22"/>
          <w:lang w:val="en-GB"/>
          <w:rPrChange w:id="5500" w:author="Author">
            <w:rPr>
              <w:sz w:val="22"/>
              <w:szCs w:val="22"/>
            </w:rPr>
          </w:rPrChange>
        </w:rPr>
        <w:t>The usual dose regimen for Crohn’s disease is 80 mg initially followed by 40 mg every other week two weeks later. If a faster response is required, your doctor may prescribe an initial dose of 160 mg (</w:t>
      </w:r>
      <w:r w:rsidR="00DC331C" w:rsidRPr="00D55B59">
        <w:rPr>
          <w:sz w:val="22"/>
          <w:szCs w:val="22"/>
          <w:lang w:val="en-GB"/>
          <w:rPrChange w:id="5501" w:author="Author">
            <w:rPr>
              <w:sz w:val="22"/>
              <w:szCs w:val="22"/>
            </w:rPr>
          </w:rPrChange>
        </w:rPr>
        <w:t>two 80 mg injections in one day or one 80 mg injection per day for two consecutive days</w:t>
      </w:r>
      <w:r w:rsidRPr="00D55B59">
        <w:rPr>
          <w:sz w:val="22"/>
          <w:szCs w:val="22"/>
          <w:lang w:val="en-GB"/>
          <w:rPrChange w:id="5502" w:author="Author">
            <w:rPr>
              <w:sz w:val="22"/>
              <w:szCs w:val="22"/>
            </w:rPr>
          </w:rPrChange>
        </w:rPr>
        <w:t>), followed by 80 mg two weeks later, and thereafter as 40 mg every other week. Depending on your response, your doctor may increase the dose to 40 mg every week or 80</w:t>
      </w:r>
      <w:r w:rsidRPr="00D55B59">
        <w:rPr>
          <w:szCs w:val="22"/>
          <w:lang w:val="en-GB" w:eastAsia="en-GB"/>
          <w:rPrChange w:id="5503" w:author="Author">
            <w:rPr>
              <w:szCs w:val="22"/>
              <w:lang w:eastAsia="en-GB"/>
            </w:rPr>
          </w:rPrChange>
        </w:rPr>
        <w:t> </w:t>
      </w:r>
      <w:r w:rsidRPr="00D55B59">
        <w:rPr>
          <w:sz w:val="22"/>
          <w:szCs w:val="22"/>
          <w:lang w:val="en-GB"/>
          <w:rPrChange w:id="5504" w:author="Author">
            <w:rPr>
              <w:sz w:val="22"/>
              <w:szCs w:val="22"/>
            </w:rPr>
          </w:rPrChange>
        </w:rPr>
        <w:t xml:space="preserve">mg every other week. </w:t>
      </w:r>
    </w:p>
    <w:p w14:paraId="11D2FE01" w14:textId="77777777" w:rsidR="007E0028" w:rsidRPr="00D55B59" w:rsidRDefault="007E0028" w:rsidP="00077AFF">
      <w:pPr>
        <w:pStyle w:val="Default"/>
        <w:rPr>
          <w:sz w:val="22"/>
          <w:szCs w:val="22"/>
          <w:lang w:val="en-GB"/>
          <w:rPrChange w:id="5505" w:author="Author">
            <w:rPr>
              <w:sz w:val="22"/>
              <w:szCs w:val="22"/>
            </w:rPr>
          </w:rPrChange>
        </w:rPr>
      </w:pPr>
    </w:p>
    <w:p w14:paraId="666739FD" w14:textId="77777777" w:rsidR="007E0028" w:rsidRPr="00D55B59" w:rsidRDefault="007E0028" w:rsidP="00077AFF">
      <w:pPr>
        <w:pStyle w:val="Default"/>
        <w:keepNext/>
        <w:rPr>
          <w:sz w:val="22"/>
          <w:szCs w:val="22"/>
          <w:u w:val="single"/>
          <w:lang w:val="en-GB"/>
          <w:rPrChange w:id="5506" w:author="Author">
            <w:rPr>
              <w:sz w:val="22"/>
              <w:szCs w:val="22"/>
              <w:u w:val="single"/>
            </w:rPr>
          </w:rPrChange>
        </w:rPr>
      </w:pPr>
      <w:r w:rsidRPr="00D55B59">
        <w:rPr>
          <w:sz w:val="22"/>
          <w:szCs w:val="22"/>
          <w:u w:val="single"/>
          <w:lang w:val="en-GB"/>
          <w:rPrChange w:id="5507" w:author="Author">
            <w:rPr>
              <w:sz w:val="22"/>
              <w:szCs w:val="22"/>
              <w:u w:val="single"/>
            </w:rPr>
          </w:rPrChange>
        </w:rPr>
        <w:t xml:space="preserve">Children and adolescents with Crohn's </w:t>
      </w:r>
      <w:r w:rsidRPr="00D55B59">
        <w:rPr>
          <w:rFonts w:eastAsia="PMingLiU"/>
          <w:sz w:val="22"/>
          <w:szCs w:val="22"/>
          <w:u w:val="single"/>
          <w:lang w:val="en-GB" w:eastAsia="zh-TW"/>
          <w:rPrChange w:id="5508" w:author="Author">
            <w:rPr>
              <w:rFonts w:eastAsia="PMingLiU"/>
              <w:sz w:val="22"/>
              <w:szCs w:val="22"/>
              <w:u w:val="single"/>
              <w:lang w:eastAsia="zh-TW"/>
            </w:rPr>
          </w:rPrChange>
        </w:rPr>
        <w:t>d</w:t>
      </w:r>
      <w:r w:rsidRPr="00D55B59">
        <w:rPr>
          <w:sz w:val="22"/>
          <w:szCs w:val="22"/>
          <w:u w:val="single"/>
          <w:lang w:val="en-GB"/>
          <w:rPrChange w:id="5509" w:author="Author">
            <w:rPr>
              <w:sz w:val="22"/>
              <w:szCs w:val="22"/>
              <w:u w:val="single"/>
            </w:rPr>
          </w:rPrChange>
        </w:rPr>
        <w:t xml:space="preserve">isease </w:t>
      </w:r>
    </w:p>
    <w:p w14:paraId="21287FA5" w14:textId="77777777" w:rsidR="007E0028" w:rsidRPr="00D55B59" w:rsidRDefault="007E0028" w:rsidP="00077AFF">
      <w:pPr>
        <w:pStyle w:val="Default"/>
        <w:keepNext/>
        <w:rPr>
          <w:sz w:val="22"/>
          <w:szCs w:val="22"/>
          <w:u w:val="single"/>
          <w:lang w:val="en-GB"/>
          <w:rPrChange w:id="5510" w:author="Author">
            <w:rPr>
              <w:sz w:val="22"/>
              <w:szCs w:val="22"/>
              <w:u w:val="single"/>
            </w:rPr>
          </w:rPrChange>
        </w:rPr>
      </w:pPr>
    </w:p>
    <w:p w14:paraId="29B5A387" w14:textId="77777777" w:rsidR="007E0028" w:rsidRPr="00F04F82" w:rsidRDefault="007E0028" w:rsidP="00B61D9D">
      <w:pPr>
        <w:keepNext/>
        <w:spacing w:line="240" w:lineRule="auto"/>
        <w:ind w:right="34"/>
        <w:rPr>
          <w:bCs/>
          <w:u w:val="single"/>
        </w:rPr>
      </w:pPr>
      <w:r w:rsidRPr="00F04F82">
        <w:rPr>
          <w:bCs/>
          <w:i/>
        </w:rPr>
        <w:t>Children and adolescents from 6 to 17 years of age weighing less than 40 kg</w:t>
      </w:r>
    </w:p>
    <w:p w14:paraId="384F2991" w14:textId="77777777" w:rsidR="007E0028" w:rsidRPr="00D55B59" w:rsidRDefault="007E0028" w:rsidP="00077AFF">
      <w:pPr>
        <w:pStyle w:val="Default"/>
        <w:keepNext/>
        <w:rPr>
          <w:sz w:val="22"/>
          <w:szCs w:val="22"/>
          <w:u w:val="single"/>
          <w:lang w:val="en-GB"/>
          <w:rPrChange w:id="5511" w:author="Author">
            <w:rPr>
              <w:sz w:val="22"/>
              <w:szCs w:val="22"/>
              <w:u w:val="single"/>
            </w:rPr>
          </w:rPrChange>
        </w:rPr>
      </w:pPr>
    </w:p>
    <w:p w14:paraId="4FFA6A01" w14:textId="2751B671" w:rsidR="007E0028" w:rsidRPr="00D55B59" w:rsidRDefault="007E0028" w:rsidP="00077AFF">
      <w:pPr>
        <w:pStyle w:val="Default"/>
        <w:rPr>
          <w:sz w:val="22"/>
          <w:szCs w:val="22"/>
          <w:lang w:val="en-GB"/>
          <w:rPrChange w:id="5512" w:author="Author">
            <w:rPr>
              <w:sz w:val="22"/>
              <w:szCs w:val="22"/>
            </w:rPr>
          </w:rPrChange>
        </w:rPr>
      </w:pPr>
      <w:r w:rsidRPr="00D55B59">
        <w:rPr>
          <w:sz w:val="22"/>
          <w:szCs w:val="22"/>
          <w:lang w:val="en-GB"/>
          <w:rPrChange w:id="5513" w:author="Author">
            <w:rPr>
              <w:sz w:val="22"/>
              <w:szCs w:val="22"/>
            </w:rPr>
          </w:rPrChange>
        </w:rPr>
        <w:t>The usual dose regimen is 40 mg initially followed by 20 mg two weeks later. If a faster response is required, your doctor may prescribe an initial dose of 80 mg followed by 40</w:t>
      </w:r>
      <w:r w:rsidRPr="00D55B59">
        <w:rPr>
          <w:rFonts w:eastAsia="PMingLiU"/>
          <w:sz w:val="22"/>
          <w:szCs w:val="22"/>
          <w:lang w:val="en-GB" w:eastAsia="zh-TW"/>
          <w:rPrChange w:id="5514" w:author="Author">
            <w:rPr>
              <w:rFonts w:eastAsia="PMingLiU"/>
              <w:sz w:val="22"/>
              <w:szCs w:val="22"/>
              <w:lang w:eastAsia="zh-TW"/>
            </w:rPr>
          </w:rPrChange>
        </w:rPr>
        <w:t> </w:t>
      </w:r>
      <w:r w:rsidRPr="00D55B59">
        <w:rPr>
          <w:sz w:val="22"/>
          <w:szCs w:val="22"/>
          <w:lang w:val="en-GB"/>
          <w:rPrChange w:id="5515" w:author="Author">
            <w:rPr>
              <w:sz w:val="22"/>
              <w:szCs w:val="22"/>
            </w:rPr>
          </w:rPrChange>
        </w:rPr>
        <w:t xml:space="preserve">mg two weeks later. </w:t>
      </w:r>
    </w:p>
    <w:p w14:paraId="54C18965" w14:textId="77777777" w:rsidR="007E0028" w:rsidRPr="00D55B59" w:rsidRDefault="007E0028" w:rsidP="00077AFF">
      <w:pPr>
        <w:pStyle w:val="Default"/>
        <w:rPr>
          <w:sz w:val="22"/>
          <w:szCs w:val="22"/>
          <w:lang w:val="en-GB"/>
          <w:rPrChange w:id="5516" w:author="Author">
            <w:rPr>
              <w:sz w:val="22"/>
              <w:szCs w:val="22"/>
            </w:rPr>
          </w:rPrChange>
        </w:rPr>
      </w:pPr>
    </w:p>
    <w:p w14:paraId="1FC0CA26" w14:textId="77777777" w:rsidR="007E0028" w:rsidRPr="00D55B59" w:rsidRDefault="007E0028" w:rsidP="00077AFF">
      <w:pPr>
        <w:pStyle w:val="Default"/>
        <w:rPr>
          <w:sz w:val="22"/>
          <w:szCs w:val="22"/>
          <w:lang w:val="en-GB"/>
          <w:rPrChange w:id="5517" w:author="Author">
            <w:rPr>
              <w:sz w:val="22"/>
              <w:szCs w:val="22"/>
            </w:rPr>
          </w:rPrChange>
        </w:rPr>
      </w:pPr>
      <w:r w:rsidRPr="00D55B59">
        <w:rPr>
          <w:sz w:val="22"/>
          <w:szCs w:val="22"/>
          <w:lang w:val="en-GB"/>
          <w:rPrChange w:id="5518" w:author="Author">
            <w:rPr>
              <w:sz w:val="22"/>
              <w:szCs w:val="22"/>
            </w:rPr>
          </w:rPrChange>
        </w:rPr>
        <w:t xml:space="preserve">Thereafter, the usual dose is 20 mg every other week. Depending on your response, your doctor may increase the dose frequency to 20 mg every week. </w:t>
      </w:r>
    </w:p>
    <w:p w14:paraId="4217E135" w14:textId="77777777" w:rsidR="007E0028" w:rsidRPr="00D55B59" w:rsidRDefault="007E0028" w:rsidP="00077AFF">
      <w:pPr>
        <w:pStyle w:val="Default"/>
        <w:rPr>
          <w:sz w:val="22"/>
          <w:szCs w:val="22"/>
          <w:lang w:val="en-GB"/>
          <w:rPrChange w:id="5519" w:author="Author">
            <w:rPr>
              <w:sz w:val="22"/>
              <w:szCs w:val="22"/>
            </w:rPr>
          </w:rPrChange>
        </w:rPr>
      </w:pPr>
    </w:p>
    <w:p w14:paraId="29277A15" w14:textId="24F598A2" w:rsidR="007E0028" w:rsidRPr="00F04F82" w:rsidRDefault="007E0028" w:rsidP="00077AFF">
      <w:pPr>
        <w:tabs>
          <w:tab w:val="clear" w:pos="567"/>
          <w:tab w:val="left" w:pos="0"/>
        </w:tabs>
        <w:spacing w:line="240" w:lineRule="auto"/>
        <w:outlineLvl w:val="0"/>
      </w:pPr>
      <w:r w:rsidRPr="00F04F82">
        <w:t>The 40</w:t>
      </w:r>
      <w:r w:rsidRPr="00F04F82">
        <w:rPr>
          <w:bCs/>
        </w:rPr>
        <w:t> </w:t>
      </w:r>
      <w:r w:rsidRPr="00F04F82">
        <w:t>mg pre-filled pen cannot be used for the 20</w:t>
      </w:r>
      <w:r w:rsidRPr="00F04F82">
        <w:rPr>
          <w:bCs/>
        </w:rPr>
        <w:t> </w:t>
      </w:r>
      <w:r w:rsidRPr="00F04F82">
        <w:t>mg dose. An AMGEVITA 20</w:t>
      </w:r>
      <w:r w:rsidRPr="00F04F82">
        <w:rPr>
          <w:bCs/>
        </w:rPr>
        <w:t> </w:t>
      </w:r>
      <w:r w:rsidRPr="00F04F82">
        <w:t xml:space="preserve">mg pre-filled </w:t>
      </w:r>
      <w:r w:rsidRPr="00F04F82">
        <w:rPr>
          <w:iCs/>
        </w:rPr>
        <w:t xml:space="preserve">syringe </w:t>
      </w:r>
      <w:r w:rsidRPr="00F04F82">
        <w:t>is however available for the 20</w:t>
      </w:r>
      <w:r w:rsidRPr="00F04F82">
        <w:rPr>
          <w:bCs/>
        </w:rPr>
        <w:t> </w:t>
      </w:r>
      <w:r w:rsidRPr="00F04F82">
        <w:t>mg dose.</w:t>
      </w:r>
      <w:fldSimple w:instr=" DOCVARIABLE vault_nd_a3dfdc29-5095-4d34-ba20-d882f3d8a08e \* MERGEFORMAT ">
        <w:r w:rsidR="001C55FB" w:rsidRPr="00F04F82">
          <w:t xml:space="preserve"> </w:t>
        </w:r>
      </w:fldSimple>
    </w:p>
    <w:p w14:paraId="6A834A92" w14:textId="77777777" w:rsidR="007E0028" w:rsidRPr="00F04F82" w:rsidRDefault="007E0028" w:rsidP="00077AFF">
      <w:pPr>
        <w:tabs>
          <w:tab w:val="clear" w:pos="567"/>
          <w:tab w:val="left" w:pos="0"/>
        </w:tabs>
        <w:spacing w:line="240" w:lineRule="auto"/>
        <w:outlineLvl w:val="0"/>
      </w:pPr>
    </w:p>
    <w:p w14:paraId="49D0C62A" w14:textId="77777777" w:rsidR="007E0028" w:rsidRPr="00F04F82" w:rsidRDefault="007E0028" w:rsidP="00B61D9D">
      <w:pPr>
        <w:spacing w:line="240" w:lineRule="auto"/>
        <w:ind w:right="34"/>
        <w:rPr>
          <w:bCs/>
          <w:u w:val="single"/>
        </w:rPr>
      </w:pPr>
      <w:r w:rsidRPr="00F04F82">
        <w:rPr>
          <w:bCs/>
          <w:i/>
        </w:rPr>
        <w:t>Children and adolescents from 6 to 17 years of age weighing 40 kg or more</w:t>
      </w:r>
      <w:r w:rsidRPr="00F04F82">
        <w:rPr>
          <w:bCs/>
          <w:u w:val="single"/>
        </w:rPr>
        <w:t xml:space="preserve"> </w:t>
      </w:r>
    </w:p>
    <w:p w14:paraId="694F0E26" w14:textId="77777777" w:rsidR="007E0028" w:rsidRPr="00D55B59" w:rsidRDefault="007E0028" w:rsidP="00077AFF">
      <w:pPr>
        <w:pStyle w:val="Default"/>
        <w:keepNext/>
        <w:rPr>
          <w:sz w:val="22"/>
          <w:szCs w:val="22"/>
          <w:u w:val="single"/>
          <w:lang w:val="en-GB"/>
          <w:rPrChange w:id="5520" w:author="Author">
            <w:rPr>
              <w:sz w:val="22"/>
              <w:szCs w:val="22"/>
              <w:u w:val="single"/>
            </w:rPr>
          </w:rPrChange>
        </w:rPr>
      </w:pPr>
    </w:p>
    <w:p w14:paraId="18DEC04B" w14:textId="6B5A0DF2" w:rsidR="007E0028" w:rsidRPr="00F04F82" w:rsidRDefault="007E0028" w:rsidP="00DC331C">
      <w:pPr>
        <w:keepNext/>
        <w:numPr>
          <w:ilvl w:val="12"/>
          <w:numId w:val="0"/>
        </w:numPr>
        <w:tabs>
          <w:tab w:val="clear" w:pos="567"/>
        </w:tabs>
        <w:spacing w:line="240" w:lineRule="auto"/>
        <w:ind w:right="-2"/>
        <w:rPr>
          <w:szCs w:val="22"/>
        </w:rPr>
      </w:pPr>
      <w:r w:rsidRPr="00F04F82">
        <w:rPr>
          <w:szCs w:val="22"/>
        </w:rPr>
        <w:t>The usual dose regimen is 80 mg initially followed by 40 mg two weeks later. If a faster response is required, your doctor may prescribe an initial dose of 160 mg (</w:t>
      </w:r>
      <w:r w:rsidR="00DC331C" w:rsidRPr="00F04F82">
        <w:rPr>
          <w:szCs w:val="22"/>
        </w:rPr>
        <w:t>two 80 mg injections in one day or one 80 mg injection per day for two consecutive days</w:t>
      </w:r>
      <w:r w:rsidRPr="00F04F82">
        <w:rPr>
          <w:szCs w:val="22"/>
        </w:rPr>
        <w:t>) followed by 80 mg two weeks later.</w:t>
      </w:r>
    </w:p>
    <w:p w14:paraId="3483B3B8" w14:textId="77777777" w:rsidR="007E0028" w:rsidRPr="00F04F82" w:rsidRDefault="007E0028" w:rsidP="00077AFF">
      <w:pPr>
        <w:numPr>
          <w:ilvl w:val="12"/>
          <w:numId w:val="0"/>
        </w:numPr>
        <w:tabs>
          <w:tab w:val="clear" w:pos="567"/>
        </w:tabs>
        <w:spacing w:line="240" w:lineRule="auto"/>
        <w:ind w:right="-2"/>
        <w:rPr>
          <w:szCs w:val="22"/>
        </w:rPr>
      </w:pPr>
    </w:p>
    <w:p w14:paraId="3B9275B5" w14:textId="77777777" w:rsidR="007E0028" w:rsidRPr="00D55B59" w:rsidRDefault="007E0028" w:rsidP="00077AFF">
      <w:pPr>
        <w:pStyle w:val="Default"/>
        <w:rPr>
          <w:sz w:val="22"/>
          <w:szCs w:val="22"/>
          <w:lang w:val="en-GB"/>
          <w:rPrChange w:id="5521" w:author="Author">
            <w:rPr>
              <w:sz w:val="22"/>
              <w:szCs w:val="22"/>
            </w:rPr>
          </w:rPrChange>
        </w:rPr>
      </w:pPr>
      <w:r w:rsidRPr="00D55B59">
        <w:rPr>
          <w:sz w:val="22"/>
          <w:szCs w:val="22"/>
          <w:lang w:val="en-GB"/>
          <w:rPrChange w:id="5522" w:author="Author">
            <w:rPr>
              <w:sz w:val="22"/>
              <w:szCs w:val="22"/>
            </w:rPr>
          </w:rPrChange>
        </w:rPr>
        <w:t>Thereafter, the usual dose is 40 mg every other week. Depending on your response, your doctor may increase the dose to 40 mg every week or 80</w:t>
      </w:r>
      <w:r w:rsidRPr="00D55B59">
        <w:rPr>
          <w:szCs w:val="22"/>
          <w:lang w:val="en-GB" w:eastAsia="en-GB"/>
          <w:rPrChange w:id="5523" w:author="Author">
            <w:rPr>
              <w:szCs w:val="22"/>
              <w:lang w:eastAsia="en-GB"/>
            </w:rPr>
          </w:rPrChange>
        </w:rPr>
        <w:t> </w:t>
      </w:r>
      <w:r w:rsidRPr="00D55B59">
        <w:rPr>
          <w:sz w:val="22"/>
          <w:szCs w:val="22"/>
          <w:lang w:val="en-GB"/>
          <w:rPrChange w:id="5524" w:author="Author">
            <w:rPr>
              <w:sz w:val="22"/>
              <w:szCs w:val="22"/>
            </w:rPr>
          </w:rPrChange>
        </w:rPr>
        <w:t xml:space="preserve">mg every other week. </w:t>
      </w:r>
    </w:p>
    <w:p w14:paraId="7CBA6EC0" w14:textId="77777777" w:rsidR="007E0028" w:rsidRPr="00D55B59" w:rsidRDefault="007E0028" w:rsidP="00077AFF">
      <w:pPr>
        <w:pStyle w:val="Default"/>
        <w:rPr>
          <w:sz w:val="22"/>
          <w:szCs w:val="22"/>
          <w:lang w:val="en-GB"/>
          <w:rPrChange w:id="5525" w:author="Author">
            <w:rPr>
              <w:sz w:val="22"/>
              <w:szCs w:val="22"/>
            </w:rPr>
          </w:rPrChange>
        </w:rPr>
      </w:pPr>
    </w:p>
    <w:p w14:paraId="1737BF54" w14:textId="77777777" w:rsidR="007E0028" w:rsidRPr="00D55B59" w:rsidRDefault="007E0028" w:rsidP="00077AFF">
      <w:pPr>
        <w:pStyle w:val="Default"/>
        <w:rPr>
          <w:sz w:val="22"/>
          <w:szCs w:val="22"/>
          <w:u w:val="single"/>
          <w:lang w:val="en-GB"/>
          <w:rPrChange w:id="5526" w:author="Author">
            <w:rPr>
              <w:sz w:val="22"/>
              <w:szCs w:val="22"/>
              <w:u w:val="single"/>
            </w:rPr>
          </w:rPrChange>
        </w:rPr>
      </w:pPr>
      <w:r w:rsidRPr="00D55B59">
        <w:rPr>
          <w:sz w:val="22"/>
          <w:szCs w:val="22"/>
          <w:u w:val="single"/>
          <w:lang w:val="en-GB"/>
          <w:rPrChange w:id="5527" w:author="Author">
            <w:rPr>
              <w:sz w:val="22"/>
              <w:szCs w:val="22"/>
              <w:u w:val="single"/>
            </w:rPr>
          </w:rPrChange>
        </w:rPr>
        <w:t xml:space="preserve">Adults with ulcerative colitis </w:t>
      </w:r>
    </w:p>
    <w:p w14:paraId="50B3AB7E" w14:textId="77777777" w:rsidR="007E0028" w:rsidRPr="00F04F82" w:rsidRDefault="007E0028" w:rsidP="00077AFF">
      <w:pPr>
        <w:numPr>
          <w:ilvl w:val="12"/>
          <w:numId w:val="0"/>
        </w:numPr>
        <w:tabs>
          <w:tab w:val="clear" w:pos="567"/>
        </w:tabs>
        <w:spacing w:line="240" w:lineRule="auto"/>
        <w:ind w:right="-2"/>
        <w:rPr>
          <w:szCs w:val="22"/>
        </w:rPr>
      </w:pPr>
    </w:p>
    <w:p w14:paraId="17C6E089" w14:textId="311EEC26" w:rsidR="007E0028" w:rsidRPr="00F04F82" w:rsidRDefault="007E0028" w:rsidP="00077AFF">
      <w:pPr>
        <w:numPr>
          <w:ilvl w:val="12"/>
          <w:numId w:val="0"/>
        </w:numPr>
        <w:tabs>
          <w:tab w:val="clear" w:pos="567"/>
        </w:tabs>
        <w:spacing w:line="240" w:lineRule="auto"/>
        <w:ind w:right="-2"/>
        <w:rPr>
          <w:szCs w:val="22"/>
        </w:rPr>
      </w:pPr>
      <w:r w:rsidRPr="00F04F82">
        <w:rPr>
          <w:szCs w:val="22"/>
        </w:rPr>
        <w:t>The usual AMGEVITA dose for adults with ulcerative colitis is 160 mg initially (</w:t>
      </w:r>
      <w:r w:rsidR="00DC331C" w:rsidRPr="00F04F82">
        <w:t>two 80 mg injections in one day or one 80 mg injection per day for two consecutive days</w:t>
      </w:r>
      <w:r w:rsidRPr="00F04F82">
        <w:rPr>
          <w:szCs w:val="22"/>
        </w:rPr>
        <w:t xml:space="preserve">) followed by 80 mg </w:t>
      </w:r>
      <w:del w:id="5528" w:author="Author">
        <w:r w:rsidRPr="00F04F82" w:rsidDel="00E17AB3">
          <w:rPr>
            <w:szCs w:val="22"/>
          </w:rPr>
          <w:delText xml:space="preserve"> </w:delText>
        </w:r>
      </w:del>
      <w:r w:rsidRPr="00F04F82">
        <w:rPr>
          <w:szCs w:val="22"/>
        </w:rPr>
        <w:t>two weeks later, then 40 mg every other week. Depending on your response, your doctor may increase the dose to 40 mg every week or 80</w:t>
      </w:r>
      <w:r w:rsidRPr="00F04F82">
        <w:rPr>
          <w:szCs w:val="22"/>
          <w:lang w:eastAsia="en-GB"/>
        </w:rPr>
        <w:t> </w:t>
      </w:r>
      <w:r w:rsidRPr="00F04F82">
        <w:rPr>
          <w:szCs w:val="22"/>
        </w:rPr>
        <w:t>mg every other week.</w:t>
      </w:r>
    </w:p>
    <w:p w14:paraId="43A0A07E" w14:textId="77777777" w:rsidR="007E0028" w:rsidRPr="00F04F82" w:rsidRDefault="007E0028" w:rsidP="007E0028">
      <w:pPr>
        <w:numPr>
          <w:ilvl w:val="12"/>
          <w:numId w:val="0"/>
        </w:numPr>
        <w:tabs>
          <w:tab w:val="clear" w:pos="567"/>
        </w:tabs>
        <w:spacing w:line="240" w:lineRule="auto"/>
        <w:ind w:right="-2"/>
        <w:rPr>
          <w:szCs w:val="22"/>
        </w:rPr>
      </w:pPr>
    </w:p>
    <w:p w14:paraId="0439C882" w14:textId="77777777" w:rsidR="007E0028" w:rsidRPr="00F04F82" w:rsidRDefault="007E0028" w:rsidP="007E0028">
      <w:pPr>
        <w:numPr>
          <w:ilvl w:val="12"/>
          <w:numId w:val="0"/>
        </w:numPr>
        <w:tabs>
          <w:tab w:val="clear" w:pos="567"/>
        </w:tabs>
        <w:spacing w:line="240" w:lineRule="auto"/>
        <w:ind w:right="-2"/>
        <w:rPr>
          <w:szCs w:val="22"/>
          <w:u w:val="single"/>
        </w:rPr>
      </w:pPr>
      <w:r w:rsidRPr="00F04F82">
        <w:rPr>
          <w:szCs w:val="22"/>
          <w:u w:val="single"/>
        </w:rPr>
        <w:t>Children and adolescents with ulcerative colitis</w:t>
      </w:r>
    </w:p>
    <w:p w14:paraId="37CDE8B0" w14:textId="77777777" w:rsidR="007E0028" w:rsidRPr="00F04F82" w:rsidRDefault="007E0028" w:rsidP="007E0028">
      <w:pPr>
        <w:numPr>
          <w:ilvl w:val="12"/>
          <w:numId w:val="0"/>
        </w:numPr>
        <w:tabs>
          <w:tab w:val="clear" w:pos="567"/>
        </w:tabs>
        <w:spacing w:line="240" w:lineRule="auto"/>
        <w:ind w:right="-2"/>
        <w:rPr>
          <w:szCs w:val="22"/>
        </w:rPr>
      </w:pPr>
    </w:p>
    <w:p w14:paraId="71646A06" w14:textId="77777777" w:rsidR="007E0028" w:rsidRPr="00F04F82" w:rsidRDefault="007E0028" w:rsidP="007E0028">
      <w:pPr>
        <w:numPr>
          <w:ilvl w:val="12"/>
          <w:numId w:val="0"/>
        </w:numPr>
        <w:tabs>
          <w:tab w:val="clear" w:pos="567"/>
        </w:tabs>
        <w:spacing w:line="240" w:lineRule="auto"/>
        <w:ind w:right="-2"/>
        <w:rPr>
          <w:i/>
          <w:iCs/>
          <w:szCs w:val="22"/>
        </w:rPr>
      </w:pPr>
      <w:r w:rsidRPr="00F04F82">
        <w:rPr>
          <w:i/>
          <w:iCs/>
          <w:szCs w:val="22"/>
        </w:rPr>
        <w:t>Children and adolescents from 6 years of age weighing less than 40</w:t>
      </w:r>
      <w:r w:rsidRPr="00F04F82">
        <w:rPr>
          <w:szCs w:val="22"/>
        </w:rPr>
        <w:t> </w:t>
      </w:r>
      <w:r w:rsidRPr="00F04F82">
        <w:rPr>
          <w:i/>
          <w:iCs/>
          <w:szCs w:val="22"/>
        </w:rPr>
        <w:t>kg</w:t>
      </w:r>
    </w:p>
    <w:p w14:paraId="344449F6" w14:textId="77777777" w:rsidR="007E0028" w:rsidRPr="00F04F82" w:rsidRDefault="007E0028" w:rsidP="007E0028">
      <w:pPr>
        <w:numPr>
          <w:ilvl w:val="12"/>
          <w:numId w:val="0"/>
        </w:numPr>
        <w:tabs>
          <w:tab w:val="clear" w:pos="567"/>
        </w:tabs>
        <w:spacing w:line="240" w:lineRule="auto"/>
        <w:ind w:right="-2"/>
        <w:rPr>
          <w:szCs w:val="22"/>
        </w:rPr>
      </w:pPr>
    </w:p>
    <w:p w14:paraId="3AD63DDB" w14:textId="553CCEF4" w:rsidR="007E0028" w:rsidRPr="00F04F82" w:rsidRDefault="007E0028" w:rsidP="007E0028">
      <w:pPr>
        <w:numPr>
          <w:ilvl w:val="12"/>
          <w:numId w:val="0"/>
        </w:numPr>
        <w:tabs>
          <w:tab w:val="clear" w:pos="567"/>
        </w:tabs>
        <w:spacing w:line="240" w:lineRule="auto"/>
        <w:ind w:right="-2"/>
        <w:rPr>
          <w:szCs w:val="22"/>
        </w:rPr>
      </w:pPr>
      <w:r w:rsidRPr="00F04F82">
        <w:rPr>
          <w:szCs w:val="22"/>
        </w:rPr>
        <w:t>The usual AMGEVITA dose is 80 mg initially followed by 40 mg (as one 40 mg injection) two weeks later. Thereafter, the usual dose is 40 mg every other week.</w:t>
      </w:r>
    </w:p>
    <w:p w14:paraId="480FCC15" w14:textId="77777777" w:rsidR="007E0028" w:rsidRPr="00F04F82" w:rsidRDefault="007E0028" w:rsidP="007E0028">
      <w:pPr>
        <w:numPr>
          <w:ilvl w:val="12"/>
          <w:numId w:val="0"/>
        </w:numPr>
        <w:tabs>
          <w:tab w:val="clear" w:pos="567"/>
        </w:tabs>
        <w:spacing w:line="240" w:lineRule="auto"/>
        <w:ind w:right="-2"/>
        <w:rPr>
          <w:szCs w:val="22"/>
        </w:rPr>
      </w:pPr>
    </w:p>
    <w:p w14:paraId="21150D15" w14:textId="77777777" w:rsidR="007E0028" w:rsidRPr="00F04F82" w:rsidRDefault="007E0028" w:rsidP="007E0028">
      <w:pPr>
        <w:numPr>
          <w:ilvl w:val="12"/>
          <w:numId w:val="0"/>
        </w:numPr>
        <w:tabs>
          <w:tab w:val="clear" w:pos="567"/>
        </w:tabs>
        <w:spacing w:line="240" w:lineRule="auto"/>
        <w:ind w:right="-2"/>
        <w:rPr>
          <w:szCs w:val="22"/>
        </w:rPr>
      </w:pPr>
      <w:r w:rsidRPr="00F04F82">
        <w:rPr>
          <w:szCs w:val="22"/>
        </w:rPr>
        <w:t>Patients who turn 18 years of age while on 40 mg every other week, should continue their prescribed dose.</w:t>
      </w:r>
    </w:p>
    <w:p w14:paraId="3FA3B519" w14:textId="77777777" w:rsidR="007E0028" w:rsidRPr="00F04F82" w:rsidRDefault="007E0028" w:rsidP="007E0028">
      <w:pPr>
        <w:numPr>
          <w:ilvl w:val="12"/>
          <w:numId w:val="0"/>
        </w:numPr>
        <w:tabs>
          <w:tab w:val="clear" w:pos="567"/>
        </w:tabs>
        <w:spacing w:line="240" w:lineRule="auto"/>
        <w:ind w:right="-2"/>
        <w:rPr>
          <w:szCs w:val="22"/>
        </w:rPr>
      </w:pPr>
    </w:p>
    <w:p w14:paraId="06674B17" w14:textId="77777777" w:rsidR="007E0028" w:rsidRPr="00F04F82" w:rsidRDefault="007E0028" w:rsidP="007E0028">
      <w:pPr>
        <w:numPr>
          <w:ilvl w:val="12"/>
          <w:numId w:val="0"/>
        </w:numPr>
        <w:tabs>
          <w:tab w:val="clear" w:pos="567"/>
        </w:tabs>
        <w:spacing w:line="240" w:lineRule="auto"/>
        <w:ind w:right="-2"/>
        <w:rPr>
          <w:i/>
          <w:iCs/>
          <w:szCs w:val="22"/>
        </w:rPr>
      </w:pPr>
      <w:r w:rsidRPr="00F04F82">
        <w:rPr>
          <w:i/>
          <w:iCs/>
          <w:szCs w:val="22"/>
        </w:rPr>
        <w:t>Children and adolescents from 6 years of age weighing 40</w:t>
      </w:r>
      <w:r w:rsidRPr="00F04F82">
        <w:rPr>
          <w:szCs w:val="22"/>
        </w:rPr>
        <w:t> </w:t>
      </w:r>
      <w:r w:rsidRPr="00F04F82">
        <w:rPr>
          <w:i/>
          <w:iCs/>
          <w:szCs w:val="22"/>
        </w:rPr>
        <w:t>kg or more</w:t>
      </w:r>
    </w:p>
    <w:p w14:paraId="43B85E03" w14:textId="77777777" w:rsidR="007E0028" w:rsidRPr="00F04F82" w:rsidRDefault="007E0028" w:rsidP="007E0028">
      <w:pPr>
        <w:numPr>
          <w:ilvl w:val="12"/>
          <w:numId w:val="0"/>
        </w:numPr>
        <w:tabs>
          <w:tab w:val="clear" w:pos="567"/>
        </w:tabs>
        <w:spacing w:line="240" w:lineRule="auto"/>
        <w:ind w:right="-2"/>
        <w:rPr>
          <w:szCs w:val="22"/>
        </w:rPr>
      </w:pPr>
    </w:p>
    <w:p w14:paraId="12FB7CD3" w14:textId="7832E669" w:rsidR="007E0028" w:rsidRPr="00F04F82" w:rsidRDefault="007E0028" w:rsidP="007E0028">
      <w:pPr>
        <w:numPr>
          <w:ilvl w:val="12"/>
          <w:numId w:val="0"/>
        </w:numPr>
        <w:tabs>
          <w:tab w:val="clear" w:pos="567"/>
        </w:tabs>
        <w:spacing w:line="240" w:lineRule="auto"/>
        <w:ind w:right="-2"/>
        <w:rPr>
          <w:szCs w:val="22"/>
        </w:rPr>
      </w:pPr>
      <w:r w:rsidRPr="00F04F82">
        <w:rPr>
          <w:szCs w:val="22"/>
        </w:rPr>
        <w:t xml:space="preserve">The usual AMGEVITA dose is 160 mg </w:t>
      </w:r>
      <w:r w:rsidR="000148BE" w:rsidRPr="00F04F82">
        <w:rPr>
          <w:szCs w:val="22"/>
        </w:rPr>
        <w:t>(</w:t>
      </w:r>
      <w:r w:rsidR="00DC331C" w:rsidRPr="00F04F82">
        <w:t>two 80 mg injections in one day or one 80 mg injection per day for two consecutive days</w:t>
      </w:r>
      <w:r w:rsidR="00117145" w:rsidRPr="00F04F82">
        <w:t>)</w:t>
      </w:r>
      <w:r w:rsidRPr="00F04F82">
        <w:rPr>
          <w:szCs w:val="22"/>
        </w:rPr>
        <w:t xml:space="preserve"> initially, followed by 80 mg two weeks later. Thereafter the usual dose is 80 mg every other week.</w:t>
      </w:r>
    </w:p>
    <w:p w14:paraId="54F05510" w14:textId="77777777" w:rsidR="007E0028" w:rsidRPr="00F04F82" w:rsidRDefault="007E0028" w:rsidP="007E0028">
      <w:pPr>
        <w:numPr>
          <w:ilvl w:val="12"/>
          <w:numId w:val="0"/>
        </w:numPr>
        <w:tabs>
          <w:tab w:val="clear" w:pos="567"/>
        </w:tabs>
        <w:spacing w:line="240" w:lineRule="auto"/>
        <w:ind w:right="-2"/>
        <w:rPr>
          <w:szCs w:val="22"/>
        </w:rPr>
      </w:pPr>
    </w:p>
    <w:p w14:paraId="22FC1950" w14:textId="77777777" w:rsidR="007E0028" w:rsidRPr="00F04F82" w:rsidRDefault="007E0028" w:rsidP="007E0028">
      <w:pPr>
        <w:numPr>
          <w:ilvl w:val="12"/>
          <w:numId w:val="0"/>
        </w:numPr>
        <w:tabs>
          <w:tab w:val="clear" w:pos="567"/>
        </w:tabs>
        <w:spacing w:line="240" w:lineRule="auto"/>
        <w:ind w:right="-2"/>
        <w:rPr>
          <w:szCs w:val="22"/>
        </w:rPr>
      </w:pPr>
      <w:r w:rsidRPr="00F04F82">
        <w:rPr>
          <w:szCs w:val="22"/>
        </w:rPr>
        <w:t>Patients who turn 18 years of age while on 80 mg every other week, should continue their prescribed dose.</w:t>
      </w:r>
    </w:p>
    <w:p w14:paraId="3C63C504" w14:textId="77777777" w:rsidR="007E0028" w:rsidRPr="00F04F82" w:rsidRDefault="007E0028" w:rsidP="007E0028">
      <w:pPr>
        <w:numPr>
          <w:ilvl w:val="12"/>
          <w:numId w:val="0"/>
        </w:numPr>
        <w:tabs>
          <w:tab w:val="clear" w:pos="567"/>
        </w:tabs>
        <w:spacing w:line="240" w:lineRule="auto"/>
        <w:ind w:right="-2"/>
        <w:rPr>
          <w:szCs w:val="22"/>
        </w:rPr>
      </w:pPr>
    </w:p>
    <w:p w14:paraId="5A89F1B5" w14:textId="77777777" w:rsidR="007E0028" w:rsidRPr="00F04F82" w:rsidRDefault="007E0028" w:rsidP="007E0028">
      <w:pPr>
        <w:keepNext/>
        <w:tabs>
          <w:tab w:val="clear" w:pos="567"/>
        </w:tabs>
        <w:autoSpaceDE w:val="0"/>
        <w:autoSpaceDN w:val="0"/>
        <w:adjustRightInd w:val="0"/>
        <w:spacing w:line="240" w:lineRule="auto"/>
        <w:rPr>
          <w:szCs w:val="22"/>
          <w:u w:val="single"/>
          <w:lang w:eastAsia="en-GB"/>
        </w:rPr>
      </w:pPr>
      <w:r w:rsidRPr="00F04F82">
        <w:rPr>
          <w:szCs w:val="22"/>
          <w:u w:val="single"/>
          <w:lang w:eastAsia="en-GB"/>
        </w:rPr>
        <w:t>Adults with non-infectious uveitis</w:t>
      </w:r>
    </w:p>
    <w:p w14:paraId="790AA2FD" w14:textId="77777777" w:rsidR="007E0028" w:rsidRPr="00F04F82" w:rsidRDefault="007E0028" w:rsidP="007E0028">
      <w:pPr>
        <w:keepNext/>
        <w:tabs>
          <w:tab w:val="clear" w:pos="567"/>
        </w:tabs>
        <w:autoSpaceDE w:val="0"/>
        <w:autoSpaceDN w:val="0"/>
        <w:adjustRightInd w:val="0"/>
        <w:spacing w:line="240" w:lineRule="auto"/>
        <w:rPr>
          <w:szCs w:val="22"/>
          <w:lang w:eastAsia="en-GB"/>
        </w:rPr>
      </w:pPr>
    </w:p>
    <w:p w14:paraId="281BB5E1" w14:textId="423FE279" w:rsidR="007E0028" w:rsidRPr="00F04F82" w:rsidRDefault="007E0028" w:rsidP="007E0028">
      <w:pPr>
        <w:tabs>
          <w:tab w:val="clear" w:pos="567"/>
        </w:tabs>
        <w:autoSpaceDE w:val="0"/>
        <w:autoSpaceDN w:val="0"/>
        <w:adjustRightInd w:val="0"/>
        <w:spacing w:line="240" w:lineRule="auto"/>
        <w:rPr>
          <w:szCs w:val="22"/>
          <w:lang w:eastAsia="en-GB"/>
        </w:rPr>
      </w:pPr>
      <w:r w:rsidRPr="00F04F82">
        <w:rPr>
          <w:szCs w:val="22"/>
          <w:lang w:eastAsia="en-GB"/>
        </w:rPr>
        <w:t>The usual dose for adults with non-infectious uveitis is an initial dose of 80 mg, followed by 40 mg given every other week starting one week after the initial dose. You should continue to inject AMGEVITA for as long as your doctor has told you.</w:t>
      </w:r>
    </w:p>
    <w:p w14:paraId="4A1D36DB" w14:textId="77777777" w:rsidR="007E0028" w:rsidRPr="00F04F82" w:rsidRDefault="007E0028" w:rsidP="00C75BDD">
      <w:pPr>
        <w:keepNext/>
        <w:tabs>
          <w:tab w:val="clear" w:pos="567"/>
        </w:tabs>
        <w:autoSpaceDE w:val="0"/>
        <w:autoSpaceDN w:val="0"/>
        <w:adjustRightInd w:val="0"/>
        <w:spacing w:line="240" w:lineRule="auto"/>
        <w:rPr>
          <w:szCs w:val="22"/>
          <w:lang w:eastAsia="en-GB"/>
        </w:rPr>
      </w:pPr>
    </w:p>
    <w:p w14:paraId="5DCE3949" w14:textId="77777777" w:rsidR="007E0028" w:rsidRPr="00D55B59" w:rsidRDefault="007E0028" w:rsidP="007E0028">
      <w:pPr>
        <w:pStyle w:val="Default"/>
        <w:rPr>
          <w:sz w:val="22"/>
          <w:szCs w:val="22"/>
          <w:lang w:val="en-GB" w:eastAsia="en-GB"/>
          <w:rPrChange w:id="5529" w:author="Author">
            <w:rPr>
              <w:sz w:val="22"/>
              <w:szCs w:val="22"/>
              <w:lang w:eastAsia="en-GB"/>
            </w:rPr>
          </w:rPrChange>
        </w:rPr>
      </w:pPr>
      <w:r w:rsidRPr="00D55B59">
        <w:rPr>
          <w:sz w:val="22"/>
          <w:szCs w:val="22"/>
          <w:lang w:val="en-GB" w:eastAsia="en-GB"/>
          <w:rPrChange w:id="5530" w:author="Author">
            <w:rPr>
              <w:sz w:val="22"/>
              <w:szCs w:val="22"/>
              <w:lang w:eastAsia="en-GB"/>
            </w:rPr>
          </w:rPrChange>
        </w:rPr>
        <w:t>In non-infectious uveitis, corticosteroids or other medicines that influence the immune system may be continued while using AMGEVITA. AMGEVITA can also be given alone.</w:t>
      </w:r>
    </w:p>
    <w:p w14:paraId="4B789B88" w14:textId="77777777" w:rsidR="007E0028" w:rsidRPr="00D55B59" w:rsidRDefault="007E0028" w:rsidP="007E0028">
      <w:pPr>
        <w:pStyle w:val="Default"/>
        <w:rPr>
          <w:sz w:val="22"/>
          <w:szCs w:val="22"/>
          <w:lang w:val="en-GB" w:eastAsia="en-GB"/>
          <w:rPrChange w:id="5531" w:author="Author">
            <w:rPr>
              <w:sz w:val="22"/>
              <w:szCs w:val="22"/>
              <w:lang w:eastAsia="en-GB"/>
            </w:rPr>
          </w:rPrChange>
        </w:rPr>
      </w:pPr>
    </w:p>
    <w:p w14:paraId="6CF38D77" w14:textId="77777777" w:rsidR="007E0028" w:rsidRPr="00D55B59" w:rsidRDefault="007E0028" w:rsidP="007E0028">
      <w:pPr>
        <w:pStyle w:val="Default"/>
        <w:rPr>
          <w:sz w:val="22"/>
          <w:szCs w:val="22"/>
          <w:u w:val="single"/>
          <w:lang w:val="en-GB" w:eastAsia="en-GB"/>
          <w:rPrChange w:id="5532" w:author="Author">
            <w:rPr>
              <w:sz w:val="22"/>
              <w:szCs w:val="22"/>
              <w:u w:val="single"/>
              <w:lang w:eastAsia="en-GB"/>
            </w:rPr>
          </w:rPrChange>
        </w:rPr>
      </w:pPr>
      <w:r w:rsidRPr="00D55B59">
        <w:rPr>
          <w:sz w:val="22"/>
          <w:szCs w:val="22"/>
          <w:u w:val="single"/>
          <w:lang w:val="en-GB" w:eastAsia="en-GB"/>
          <w:rPrChange w:id="5533" w:author="Author">
            <w:rPr>
              <w:sz w:val="22"/>
              <w:szCs w:val="22"/>
              <w:u w:val="single"/>
              <w:lang w:eastAsia="en-GB"/>
            </w:rPr>
          </w:rPrChange>
        </w:rPr>
        <w:t>Children and adolescents with chronic non-infectious uveitis from 2 years of age</w:t>
      </w:r>
    </w:p>
    <w:p w14:paraId="5686FEFF" w14:textId="77777777" w:rsidR="007E0028" w:rsidRPr="00D55B59" w:rsidRDefault="007E0028" w:rsidP="007E0028">
      <w:pPr>
        <w:pStyle w:val="Default"/>
        <w:rPr>
          <w:sz w:val="22"/>
          <w:szCs w:val="22"/>
          <w:lang w:val="en-GB" w:eastAsia="en-GB"/>
          <w:rPrChange w:id="5534" w:author="Author">
            <w:rPr>
              <w:sz w:val="22"/>
              <w:szCs w:val="22"/>
              <w:lang w:eastAsia="en-GB"/>
            </w:rPr>
          </w:rPrChange>
        </w:rPr>
      </w:pPr>
    </w:p>
    <w:p w14:paraId="13F164B7" w14:textId="77777777" w:rsidR="007E0028" w:rsidRPr="00D55B59" w:rsidRDefault="007E0028" w:rsidP="007E0028">
      <w:pPr>
        <w:pStyle w:val="Default"/>
        <w:rPr>
          <w:i/>
          <w:sz w:val="22"/>
          <w:szCs w:val="22"/>
          <w:lang w:val="en-GB" w:eastAsia="en-GB"/>
          <w:rPrChange w:id="5535" w:author="Author">
            <w:rPr>
              <w:i/>
              <w:sz w:val="22"/>
              <w:szCs w:val="22"/>
              <w:lang w:eastAsia="en-GB"/>
            </w:rPr>
          </w:rPrChange>
        </w:rPr>
      </w:pPr>
      <w:r w:rsidRPr="00D55B59">
        <w:rPr>
          <w:i/>
          <w:sz w:val="22"/>
          <w:szCs w:val="22"/>
          <w:lang w:val="en-GB" w:eastAsia="en-GB"/>
          <w:rPrChange w:id="5536" w:author="Author">
            <w:rPr>
              <w:i/>
              <w:sz w:val="22"/>
              <w:szCs w:val="22"/>
              <w:lang w:eastAsia="en-GB"/>
            </w:rPr>
          </w:rPrChange>
        </w:rPr>
        <w:t>Children and adolescents from 2 years of age weighing less than 30</w:t>
      </w:r>
      <w:r w:rsidRPr="00D55B59">
        <w:rPr>
          <w:szCs w:val="22"/>
          <w:lang w:val="en-GB" w:eastAsia="en-GB"/>
          <w:rPrChange w:id="5537" w:author="Author">
            <w:rPr>
              <w:szCs w:val="22"/>
              <w:lang w:eastAsia="en-GB"/>
            </w:rPr>
          </w:rPrChange>
        </w:rPr>
        <w:t> </w:t>
      </w:r>
      <w:r w:rsidRPr="00D55B59">
        <w:rPr>
          <w:i/>
          <w:sz w:val="22"/>
          <w:szCs w:val="22"/>
          <w:lang w:val="en-GB" w:eastAsia="en-GB"/>
          <w:rPrChange w:id="5538" w:author="Author">
            <w:rPr>
              <w:i/>
              <w:sz w:val="22"/>
              <w:szCs w:val="22"/>
              <w:lang w:eastAsia="en-GB"/>
            </w:rPr>
          </w:rPrChange>
        </w:rPr>
        <w:t>kg</w:t>
      </w:r>
    </w:p>
    <w:p w14:paraId="2EB17F6C" w14:textId="77777777" w:rsidR="007E0028" w:rsidRPr="00D55B59" w:rsidRDefault="007E0028" w:rsidP="007E0028">
      <w:pPr>
        <w:pStyle w:val="Default"/>
        <w:rPr>
          <w:sz w:val="22"/>
          <w:szCs w:val="22"/>
          <w:lang w:val="en-GB" w:eastAsia="en-GB"/>
          <w:rPrChange w:id="5539" w:author="Author">
            <w:rPr>
              <w:sz w:val="22"/>
              <w:szCs w:val="22"/>
              <w:lang w:eastAsia="en-GB"/>
            </w:rPr>
          </w:rPrChange>
        </w:rPr>
      </w:pPr>
    </w:p>
    <w:p w14:paraId="6A721BE3" w14:textId="77777777" w:rsidR="007E0028" w:rsidRPr="00D55B59" w:rsidRDefault="007E0028" w:rsidP="007E0028">
      <w:pPr>
        <w:pStyle w:val="Default"/>
        <w:rPr>
          <w:sz w:val="22"/>
          <w:szCs w:val="22"/>
          <w:lang w:val="en-GB" w:eastAsia="en-GB"/>
          <w:rPrChange w:id="5540" w:author="Author">
            <w:rPr>
              <w:sz w:val="22"/>
              <w:szCs w:val="22"/>
              <w:lang w:eastAsia="en-GB"/>
            </w:rPr>
          </w:rPrChange>
        </w:rPr>
      </w:pPr>
      <w:r w:rsidRPr="00D55B59">
        <w:rPr>
          <w:sz w:val="22"/>
          <w:szCs w:val="22"/>
          <w:lang w:val="en-GB" w:eastAsia="en-GB"/>
          <w:rPrChange w:id="5541" w:author="Author">
            <w:rPr>
              <w:sz w:val="22"/>
              <w:szCs w:val="22"/>
              <w:lang w:eastAsia="en-GB"/>
            </w:rPr>
          </w:rPrChange>
        </w:rPr>
        <w:t>The usual dose of AMGEVITA is 20</w:t>
      </w:r>
      <w:r w:rsidRPr="00D55B59">
        <w:rPr>
          <w:szCs w:val="22"/>
          <w:lang w:val="en-GB" w:eastAsia="en-GB"/>
          <w:rPrChange w:id="5542" w:author="Author">
            <w:rPr>
              <w:szCs w:val="22"/>
              <w:lang w:eastAsia="en-GB"/>
            </w:rPr>
          </w:rPrChange>
        </w:rPr>
        <w:t> </w:t>
      </w:r>
      <w:r w:rsidRPr="00D55B59">
        <w:rPr>
          <w:sz w:val="22"/>
          <w:szCs w:val="22"/>
          <w:lang w:val="en-GB" w:eastAsia="en-GB"/>
          <w:rPrChange w:id="5543" w:author="Author">
            <w:rPr>
              <w:sz w:val="22"/>
              <w:szCs w:val="22"/>
              <w:lang w:eastAsia="en-GB"/>
            </w:rPr>
          </w:rPrChange>
        </w:rPr>
        <w:t>mg every other week with methotrexate.</w:t>
      </w:r>
    </w:p>
    <w:p w14:paraId="36A4C282" w14:textId="77777777" w:rsidR="007E0028" w:rsidRPr="00D55B59" w:rsidRDefault="007E0028" w:rsidP="007E0028">
      <w:pPr>
        <w:pStyle w:val="Default"/>
        <w:rPr>
          <w:sz w:val="22"/>
          <w:szCs w:val="22"/>
          <w:lang w:val="en-GB" w:eastAsia="en-GB"/>
          <w:rPrChange w:id="5544" w:author="Author">
            <w:rPr>
              <w:sz w:val="22"/>
              <w:szCs w:val="22"/>
              <w:lang w:eastAsia="en-GB"/>
            </w:rPr>
          </w:rPrChange>
        </w:rPr>
      </w:pPr>
    </w:p>
    <w:p w14:paraId="69C6D668" w14:textId="77777777" w:rsidR="007E0028" w:rsidRPr="00D55B59" w:rsidRDefault="007E0028" w:rsidP="007E0028">
      <w:pPr>
        <w:pStyle w:val="Default"/>
        <w:rPr>
          <w:sz w:val="22"/>
          <w:szCs w:val="22"/>
          <w:lang w:val="en-GB" w:eastAsia="en-GB"/>
          <w:rPrChange w:id="5545" w:author="Author">
            <w:rPr>
              <w:sz w:val="22"/>
              <w:szCs w:val="22"/>
              <w:lang w:eastAsia="en-GB"/>
            </w:rPr>
          </w:rPrChange>
        </w:rPr>
      </w:pPr>
      <w:r w:rsidRPr="00D55B59">
        <w:rPr>
          <w:sz w:val="22"/>
          <w:szCs w:val="22"/>
          <w:lang w:val="en-GB" w:eastAsia="en-GB"/>
          <w:rPrChange w:id="5546" w:author="Author">
            <w:rPr>
              <w:sz w:val="22"/>
              <w:szCs w:val="22"/>
              <w:lang w:eastAsia="en-GB"/>
            </w:rPr>
          </w:rPrChange>
        </w:rPr>
        <w:t>Your doctor may also prescribe an initial dose of 40</w:t>
      </w:r>
      <w:r w:rsidRPr="00D55B59">
        <w:rPr>
          <w:szCs w:val="22"/>
          <w:lang w:val="en-GB" w:eastAsia="en-GB"/>
          <w:rPrChange w:id="5547" w:author="Author">
            <w:rPr>
              <w:szCs w:val="22"/>
              <w:lang w:eastAsia="en-GB"/>
            </w:rPr>
          </w:rPrChange>
        </w:rPr>
        <w:t> </w:t>
      </w:r>
      <w:r w:rsidRPr="00D55B59">
        <w:rPr>
          <w:sz w:val="22"/>
          <w:szCs w:val="22"/>
          <w:lang w:val="en-GB" w:eastAsia="en-GB"/>
          <w:rPrChange w:id="5548" w:author="Author">
            <w:rPr>
              <w:sz w:val="22"/>
              <w:szCs w:val="22"/>
              <w:lang w:eastAsia="en-GB"/>
            </w:rPr>
          </w:rPrChange>
        </w:rPr>
        <w:t>mg which may be administered one week prior to the start of the usual dose.</w:t>
      </w:r>
    </w:p>
    <w:p w14:paraId="0C1C442D" w14:textId="77777777" w:rsidR="007E0028" w:rsidRPr="00D55B59" w:rsidRDefault="007E0028" w:rsidP="007E0028">
      <w:pPr>
        <w:pStyle w:val="Default"/>
        <w:rPr>
          <w:sz w:val="22"/>
          <w:szCs w:val="22"/>
          <w:lang w:val="en-GB" w:eastAsia="en-GB"/>
          <w:rPrChange w:id="5549" w:author="Author">
            <w:rPr>
              <w:sz w:val="22"/>
              <w:szCs w:val="22"/>
              <w:lang w:eastAsia="en-GB"/>
            </w:rPr>
          </w:rPrChange>
        </w:rPr>
      </w:pPr>
    </w:p>
    <w:p w14:paraId="33703782" w14:textId="6E93836D" w:rsidR="007E0028" w:rsidRPr="00F04F82" w:rsidRDefault="007E0028" w:rsidP="007E0028">
      <w:pPr>
        <w:tabs>
          <w:tab w:val="clear" w:pos="567"/>
          <w:tab w:val="left" w:pos="0"/>
        </w:tabs>
        <w:spacing w:line="240" w:lineRule="auto"/>
        <w:outlineLvl w:val="0"/>
      </w:pPr>
      <w:r w:rsidRPr="00F04F82">
        <w:t>The 40</w:t>
      </w:r>
      <w:r w:rsidRPr="00F04F82">
        <w:rPr>
          <w:bCs/>
        </w:rPr>
        <w:t> </w:t>
      </w:r>
      <w:r w:rsidRPr="00F04F82">
        <w:t>mg pre-filled pen cannot be used for the 20</w:t>
      </w:r>
      <w:r w:rsidRPr="00F04F82">
        <w:rPr>
          <w:bCs/>
        </w:rPr>
        <w:t> </w:t>
      </w:r>
      <w:r w:rsidRPr="00F04F82">
        <w:t>mg dose. An AMGEVITA 20</w:t>
      </w:r>
      <w:r w:rsidRPr="00F04F82">
        <w:rPr>
          <w:bCs/>
        </w:rPr>
        <w:t> </w:t>
      </w:r>
      <w:r w:rsidRPr="00F04F82">
        <w:t xml:space="preserve">mg pre-filled </w:t>
      </w:r>
      <w:r w:rsidRPr="00F04F82">
        <w:rPr>
          <w:i/>
        </w:rPr>
        <w:t>syringe</w:t>
      </w:r>
      <w:r w:rsidRPr="00F04F82">
        <w:t xml:space="preserve"> is however available for the 20</w:t>
      </w:r>
      <w:r w:rsidRPr="00F04F82">
        <w:rPr>
          <w:bCs/>
        </w:rPr>
        <w:t> </w:t>
      </w:r>
      <w:r w:rsidRPr="00F04F82">
        <w:t>mg dose.</w:t>
      </w:r>
      <w:fldSimple w:instr=" DOCVARIABLE vault_nd_7775971a-bd35-4664-a91d-b7fc8bb7748f \* MERGEFORMAT ">
        <w:r w:rsidR="001C55FB" w:rsidRPr="00F04F82">
          <w:t xml:space="preserve"> </w:t>
        </w:r>
      </w:fldSimple>
    </w:p>
    <w:p w14:paraId="730E42CD" w14:textId="77777777" w:rsidR="007E0028" w:rsidRPr="00D55B59" w:rsidRDefault="007E0028" w:rsidP="007E0028">
      <w:pPr>
        <w:pStyle w:val="Default"/>
        <w:rPr>
          <w:sz w:val="22"/>
          <w:szCs w:val="22"/>
          <w:lang w:val="en-GB" w:eastAsia="en-GB"/>
          <w:rPrChange w:id="5550" w:author="Author">
            <w:rPr>
              <w:sz w:val="22"/>
              <w:szCs w:val="22"/>
              <w:lang w:eastAsia="en-GB"/>
            </w:rPr>
          </w:rPrChange>
        </w:rPr>
      </w:pPr>
    </w:p>
    <w:p w14:paraId="0525A4BE" w14:textId="77777777" w:rsidR="007E0028" w:rsidRPr="00D55B59" w:rsidRDefault="007E0028" w:rsidP="007E0028">
      <w:pPr>
        <w:pStyle w:val="Default"/>
        <w:rPr>
          <w:i/>
          <w:sz w:val="22"/>
          <w:szCs w:val="22"/>
          <w:lang w:val="en-GB" w:eastAsia="en-GB"/>
          <w:rPrChange w:id="5551" w:author="Author">
            <w:rPr>
              <w:i/>
              <w:sz w:val="22"/>
              <w:szCs w:val="22"/>
              <w:lang w:eastAsia="en-GB"/>
            </w:rPr>
          </w:rPrChange>
        </w:rPr>
      </w:pPr>
      <w:r w:rsidRPr="00D55B59">
        <w:rPr>
          <w:i/>
          <w:sz w:val="22"/>
          <w:szCs w:val="22"/>
          <w:lang w:val="en-GB" w:eastAsia="en-GB"/>
          <w:rPrChange w:id="5552" w:author="Author">
            <w:rPr>
              <w:i/>
              <w:sz w:val="22"/>
              <w:szCs w:val="22"/>
              <w:lang w:eastAsia="en-GB"/>
            </w:rPr>
          </w:rPrChange>
        </w:rPr>
        <w:t>Children and adolescents from 2 years of age weighing 30</w:t>
      </w:r>
      <w:r w:rsidRPr="00D55B59">
        <w:rPr>
          <w:szCs w:val="22"/>
          <w:lang w:val="en-GB" w:eastAsia="en-GB"/>
          <w:rPrChange w:id="5553" w:author="Author">
            <w:rPr>
              <w:szCs w:val="22"/>
              <w:lang w:eastAsia="en-GB"/>
            </w:rPr>
          </w:rPrChange>
        </w:rPr>
        <w:t> </w:t>
      </w:r>
      <w:r w:rsidRPr="00D55B59">
        <w:rPr>
          <w:i/>
          <w:sz w:val="22"/>
          <w:szCs w:val="22"/>
          <w:lang w:val="en-GB" w:eastAsia="en-GB"/>
          <w:rPrChange w:id="5554" w:author="Author">
            <w:rPr>
              <w:i/>
              <w:sz w:val="22"/>
              <w:szCs w:val="22"/>
              <w:lang w:eastAsia="en-GB"/>
            </w:rPr>
          </w:rPrChange>
        </w:rPr>
        <w:t>kg or more</w:t>
      </w:r>
    </w:p>
    <w:p w14:paraId="102DC0A7" w14:textId="77777777" w:rsidR="007E0028" w:rsidRPr="00D55B59" w:rsidRDefault="007E0028" w:rsidP="007E0028">
      <w:pPr>
        <w:pStyle w:val="Default"/>
        <w:rPr>
          <w:sz w:val="22"/>
          <w:szCs w:val="22"/>
          <w:lang w:val="en-GB" w:eastAsia="en-GB"/>
          <w:rPrChange w:id="5555" w:author="Author">
            <w:rPr>
              <w:sz w:val="22"/>
              <w:szCs w:val="22"/>
              <w:lang w:eastAsia="en-GB"/>
            </w:rPr>
          </w:rPrChange>
        </w:rPr>
      </w:pPr>
    </w:p>
    <w:p w14:paraId="46447FEA" w14:textId="77777777" w:rsidR="007E0028" w:rsidRPr="00D55B59" w:rsidRDefault="007E0028" w:rsidP="007E0028">
      <w:pPr>
        <w:pStyle w:val="Default"/>
        <w:rPr>
          <w:sz w:val="22"/>
          <w:szCs w:val="22"/>
          <w:lang w:val="en-GB" w:eastAsia="en-GB"/>
          <w:rPrChange w:id="5556" w:author="Author">
            <w:rPr>
              <w:sz w:val="22"/>
              <w:szCs w:val="22"/>
              <w:lang w:eastAsia="en-GB"/>
            </w:rPr>
          </w:rPrChange>
        </w:rPr>
      </w:pPr>
      <w:r w:rsidRPr="00D55B59">
        <w:rPr>
          <w:sz w:val="22"/>
          <w:szCs w:val="22"/>
          <w:lang w:val="en-GB" w:eastAsia="en-GB"/>
          <w:rPrChange w:id="5557" w:author="Author">
            <w:rPr>
              <w:sz w:val="22"/>
              <w:szCs w:val="22"/>
              <w:lang w:eastAsia="en-GB"/>
            </w:rPr>
          </w:rPrChange>
        </w:rPr>
        <w:t>The usual dose of AMGEVITA is 40</w:t>
      </w:r>
      <w:r w:rsidRPr="00D55B59">
        <w:rPr>
          <w:szCs w:val="22"/>
          <w:lang w:val="en-GB" w:eastAsia="en-GB"/>
          <w:rPrChange w:id="5558" w:author="Author">
            <w:rPr>
              <w:szCs w:val="22"/>
              <w:lang w:eastAsia="en-GB"/>
            </w:rPr>
          </w:rPrChange>
        </w:rPr>
        <w:t> </w:t>
      </w:r>
      <w:r w:rsidRPr="00D55B59">
        <w:rPr>
          <w:sz w:val="22"/>
          <w:szCs w:val="22"/>
          <w:lang w:val="en-GB" w:eastAsia="en-GB"/>
          <w:rPrChange w:id="5559" w:author="Author">
            <w:rPr>
              <w:sz w:val="22"/>
              <w:szCs w:val="22"/>
              <w:lang w:eastAsia="en-GB"/>
            </w:rPr>
          </w:rPrChange>
        </w:rPr>
        <w:t>mg every other week with methotrexate.</w:t>
      </w:r>
    </w:p>
    <w:p w14:paraId="4CEC0528" w14:textId="77777777" w:rsidR="007E0028" w:rsidRPr="00D55B59" w:rsidRDefault="007E0028" w:rsidP="007E0028">
      <w:pPr>
        <w:pStyle w:val="Default"/>
        <w:rPr>
          <w:sz w:val="22"/>
          <w:szCs w:val="22"/>
          <w:lang w:val="en-GB" w:eastAsia="en-GB"/>
          <w:rPrChange w:id="5560" w:author="Author">
            <w:rPr>
              <w:sz w:val="22"/>
              <w:szCs w:val="22"/>
              <w:lang w:eastAsia="en-GB"/>
            </w:rPr>
          </w:rPrChange>
        </w:rPr>
      </w:pPr>
    </w:p>
    <w:p w14:paraId="158E9E82" w14:textId="77777777" w:rsidR="007E0028" w:rsidRPr="00F04F82" w:rsidRDefault="007E0028" w:rsidP="007E0028">
      <w:pPr>
        <w:numPr>
          <w:ilvl w:val="12"/>
          <w:numId w:val="0"/>
        </w:numPr>
        <w:tabs>
          <w:tab w:val="clear" w:pos="567"/>
        </w:tabs>
        <w:spacing w:line="240" w:lineRule="auto"/>
        <w:ind w:right="-2"/>
        <w:rPr>
          <w:szCs w:val="22"/>
          <w:lang w:eastAsia="en-GB"/>
        </w:rPr>
      </w:pPr>
      <w:r w:rsidRPr="00F04F82">
        <w:rPr>
          <w:szCs w:val="22"/>
          <w:lang w:eastAsia="en-GB"/>
        </w:rPr>
        <w:t>Your doctor may also prescribe an initial dose of 80 mg which may be administered one week prior to the start of the usual dose.</w:t>
      </w:r>
    </w:p>
    <w:p w14:paraId="1B63A5F0" w14:textId="77777777" w:rsidR="007E0028" w:rsidRPr="00F04F82" w:rsidRDefault="007E0028" w:rsidP="007E0028">
      <w:pPr>
        <w:numPr>
          <w:ilvl w:val="12"/>
          <w:numId w:val="0"/>
        </w:numPr>
        <w:tabs>
          <w:tab w:val="clear" w:pos="567"/>
        </w:tabs>
        <w:spacing w:line="240" w:lineRule="auto"/>
        <w:ind w:right="-2"/>
        <w:rPr>
          <w:szCs w:val="22"/>
        </w:rPr>
      </w:pPr>
    </w:p>
    <w:p w14:paraId="58E1B151" w14:textId="77777777" w:rsidR="007E0028" w:rsidRPr="00D55B59" w:rsidRDefault="007E0028" w:rsidP="007E0028">
      <w:pPr>
        <w:pStyle w:val="Default"/>
        <w:rPr>
          <w:sz w:val="22"/>
          <w:szCs w:val="22"/>
          <w:lang w:val="en-GB"/>
          <w:rPrChange w:id="5561" w:author="Author">
            <w:rPr>
              <w:sz w:val="22"/>
              <w:szCs w:val="22"/>
            </w:rPr>
          </w:rPrChange>
        </w:rPr>
      </w:pPr>
      <w:r w:rsidRPr="00D55B59">
        <w:rPr>
          <w:b/>
          <w:bCs/>
          <w:sz w:val="22"/>
          <w:szCs w:val="22"/>
          <w:lang w:val="en-GB"/>
          <w:rPrChange w:id="5562" w:author="Author">
            <w:rPr>
              <w:b/>
              <w:bCs/>
              <w:sz w:val="22"/>
              <w:szCs w:val="22"/>
            </w:rPr>
          </w:rPrChange>
        </w:rPr>
        <w:t xml:space="preserve">Method and route of administration </w:t>
      </w:r>
    </w:p>
    <w:p w14:paraId="655C550D" w14:textId="77777777" w:rsidR="007E0028" w:rsidRPr="00F04F82" w:rsidRDefault="007E0028" w:rsidP="007E0028">
      <w:pPr>
        <w:numPr>
          <w:ilvl w:val="12"/>
          <w:numId w:val="0"/>
        </w:numPr>
        <w:tabs>
          <w:tab w:val="clear" w:pos="567"/>
        </w:tabs>
        <w:spacing w:line="240" w:lineRule="auto"/>
        <w:ind w:right="-2"/>
        <w:rPr>
          <w:szCs w:val="22"/>
        </w:rPr>
      </w:pPr>
    </w:p>
    <w:p w14:paraId="2237D1C1" w14:textId="77777777" w:rsidR="007E0028" w:rsidRPr="00F04F82" w:rsidRDefault="007E0028" w:rsidP="007E0028">
      <w:pPr>
        <w:numPr>
          <w:ilvl w:val="12"/>
          <w:numId w:val="0"/>
        </w:numPr>
        <w:tabs>
          <w:tab w:val="clear" w:pos="567"/>
        </w:tabs>
        <w:spacing w:line="240" w:lineRule="auto"/>
        <w:ind w:right="-2"/>
        <w:rPr>
          <w:szCs w:val="22"/>
        </w:rPr>
      </w:pPr>
      <w:r w:rsidRPr="00F04F82">
        <w:rPr>
          <w:szCs w:val="22"/>
        </w:rPr>
        <w:t xml:space="preserve">AMGEVITA is administered by injection under the skin (subcutaneous injection). </w:t>
      </w:r>
    </w:p>
    <w:p w14:paraId="5276A085" w14:textId="77777777" w:rsidR="007E0028" w:rsidRPr="00F04F82" w:rsidRDefault="007E0028" w:rsidP="007E0028">
      <w:pPr>
        <w:numPr>
          <w:ilvl w:val="12"/>
          <w:numId w:val="0"/>
        </w:numPr>
        <w:tabs>
          <w:tab w:val="clear" w:pos="567"/>
        </w:tabs>
        <w:spacing w:line="240" w:lineRule="auto"/>
        <w:ind w:right="-2"/>
        <w:rPr>
          <w:szCs w:val="22"/>
        </w:rPr>
      </w:pPr>
    </w:p>
    <w:p w14:paraId="2BF8EC21" w14:textId="77777777" w:rsidR="007E0028" w:rsidRPr="00F04F82" w:rsidRDefault="007E0028" w:rsidP="007E0028">
      <w:pPr>
        <w:numPr>
          <w:ilvl w:val="12"/>
          <w:numId w:val="0"/>
        </w:numPr>
        <w:tabs>
          <w:tab w:val="clear" w:pos="567"/>
        </w:tabs>
        <w:spacing w:line="240" w:lineRule="auto"/>
        <w:ind w:right="-2"/>
        <w:rPr>
          <w:szCs w:val="22"/>
        </w:rPr>
      </w:pPr>
      <w:r w:rsidRPr="00F04F82">
        <w:rPr>
          <w:szCs w:val="22"/>
        </w:rPr>
        <w:t>Detailed instructions on how to inject AMGEVITA are provided in “Instructions for use” section.</w:t>
      </w:r>
    </w:p>
    <w:p w14:paraId="0787715A" w14:textId="77777777" w:rsidR="007E0028" w:rsidRPr="00F04F82" w:rsidRDefault="007E0028" w:rsidP="007E0028">
      <w:pPr>
        <w:numPr>
          <w:ilvl w:val="12"/>
          <w:numId w:val="0"/>
        </w:numPr>
        <w:tabs>
          <w:tab w:val="clear" w:pos="567"/>
        </w:tabs>
        <w:spacing w:line="240" w:lineRule="auto"/>
        <w:ind w:right="-2"/>
        <w:rPr>
          <w:szCs w:val="22"/>
        </w:rPr>
      </w:pPr>
    </w:p>
    <w:p w14:paraId="7214487C" w14:textId="122B04A1" w:rsidR="007E0028" w:rsidRPr="00F04F82" w:rsidRDefault="007E0028" w:rsidP="00077AFF">
      <w:pPr>
        <w:keepNext/>
        <w:numPr>
          <w:ilvl w:val="12"/>
          <w:numId w:val="0"/>
        </w:numPr>
        <w:tabs>
          <w:tab w:val="clear" w:pos="567"/>
        </w:tabs>
        <w:spacing w:line="240" w:lineRule="auto"/>
        <w:outlineLvl w:val="0"/>
        <w:rPr>
          <w:szCs w:val="22"/>
        </w:rPr>
      </w:pPr>
      <w:r w:rsidRPr="00F04F82">
        <w:rPr>
          <w:b/>
          <w:szCs w:val="22"/>
        </w:rPr>
        <w:t>If you use more AMGEVITA than you should</w:t>
      </w:r>
      <w:r w:rsidR="001C55FB" w:rsidRPr="00F04F82">
        <w:rPr>
          <w:b/>
          <w:szCs w:val="22"/>
        </w:rPr>
        <w:fldChar w:fldCharType="begin"/>
      </w:r>
      <w:r w:rsidR="001C55FB" w:rsidRPr="00F04F82">
        <w:rPr>
          <w:b/>
          <w:szCs w:val="22"/>
        </w:rPr>
        <w:instrText xml:space="preserve"> DOCVARIABLE vault_nd_8ea2bf08-9e83-4c3e-ad01-8d30e74476d6 \* MERGEFORMAT </w:instrText>
      </w:r>
      <w:r w:rsidR="001C55FB" w:rsidRPr="00F04F82">
        <w:rPr>
          <w:b/>
          <w:szCs w:val="22"/>
        </w:rPr>
        <w:fldChar w:fldCharType="separate"/>
      </w:r>
      <w:r w:rsidR="001C55FB" w:rsidRPr="00F04F82">
        <w:rPr>
          <w:b/>
          <w:szCs w:val="22"/>
        </w:rPr>
        <w:t xml:space="preserve"> </w:t>
      </w:r>
      <w:r w:rsidR="001C55FB" w:rsidRPr="00F04F82">
        <w:rPr>
          <w:b/>
          <w:szCs w:val="22"/>
        </w:rPr>
        <w:fldChar w:fldCharType="end"/>
      </w:r>
    </w:p>
    <w:p w14:paraId="0F2D9F22" w14:textId="77777777" w:rsidR="007E0028" w:rsidRPr="00F04F82" w:rsidRDefault="007E0028" w:rsidP="00077AFF">
      <w:pPr>
        <w:keepNext/>
        <w:numPr>
          <w:ilvl w:val="12"/>
          <w:numId w:val="0"/>
        </w:numPr>
        <w:tabs>
          <w:tab w:val="clear" w:pos="567"/>
        </w:tabs>
        <w:spacing w:line="240" w:lineRule="auto"/>
        <w:outlineLvl w:val="0"/>
        <w:rPr>
          <w:szCs w:val="22"/>
        </w:rPr>
      </w:pPr>
    </w:p>
    <w:p w14:paraId="643E85FC" w14:textId="3DB406F6" w:rsidR="007E0028" w:rsidRPr="00F04F82" w:rsidRDefault="007E0028" w:rsidP="00077AFF">
      <w:pPr>
        <w:numPr>
          <w:ilvl w:val="12"/>
          <w:numId w:val="0"/>
        </w:numPr>
        <w:tabs>
          <w:tab w:val="clear" w:pos="567"/>
        </w:tabs>
        <w:spacing w:line="240" w:lineRule="auto"/>
        <w:ind w:right="-2"/>
        <w:outlineLvl w:val="0"/>
        <w:rPr>
          <w:szCs w:val="22"/>
        </w:rPr>
      </w:pPr>
      <w:r w:rsidRPr="00F04F82">
        <w:rPr>
          <w:szCs w:val="22"/>
        </w:rPr>
        <w:t>If you accidentally inject AMGEVITA more frequently than told to by your doctor or pharmacist, call your doctor or pharmacist and tell him/her that you have taken more. Always take the outer carton of this medicine with you, even if it is empty.</w:t>
      </w:r>
      <w:r w:rsidR="001C55FB" w:rsidRPr="00F04F82">
        <w:rPr>
          <w:szCs w:val="22"/>
        </w:rPr>
        <w:fldChar w:fldCharType="begin"/>
      </w:r>
      <w:r w:rsidR="001C55FB" w:rsidRPr="00F04F82">
        <w:rPr>
          <w:szCs w:val="22"/>
        </w:rPr>
        <w:instrText xml:space="preserve"> DOCVARIABLE vault_nd_539383bc-d20e-483b-a6e9-6fe2342d9535 \* MERGEFORMAT </w:instrText>
      </w:r>
      <w:r w:rsidR="001C55FB" w:rsidRPr="00F04F82">
        <w:rPr>
          <w:szCs w:val="22"/>
        </w:rPr>
        <w:fldChar w:fldCharType="separate"/>
      </w:r>
      <w:r w:rsidR="001C55FB" w:rsidRPr="00F04F82">
        <w:rPr>
          <w:szCs w:val="22"/>
        </w:rPr>
        <w:t xml:space="preserve"> </w:t>
      </w:r>
      <w:r w:rsidR="001C55FB" w:rsidRPr="00F04F82">
        <w:rPr>
          <w:szCs w:val="22"/>
        </w:rPr>
        <w:fldChar w:fldCharType="end"/>
      </w:r>
    </w:p>
    <w:p w14:paraId="4DA6FBF3" w14:textId="77777777" w:rsidR="007E0028" w:rsidRPr="00F04F82" w:rsidRDefault="007E0028" w:rsidP="00077AFF">
      <w:pPr>
        <w:numPr>
          <w:ilvl w:val="12"/>
          <w:numId w:val="0"/>
        </w:numPr>
        <w:tabs>
          <w:tab w:val="clear" w:pos="567"/>
        </w:tabs>
        <w:spacing w:line="240" w:lineRule="auto"/>
        <w:ind w:right="-2"/>
        <w:outlineLvl w:val="0"/>
        <w:rPr>
          <w:i/>
          <w:szCs w:val="22"/>
        </w:rPr>
      </w:pPr>
    </w:p>
    <w:p w14:paraId="1A1C663B" w14:textId="0AAEEA81" w:rsidR="007E0028" w:rsidRPr="00F04F82" w:rsidRDefault="007E0028" w:rsidP="00077AFF">
      <w:pPr>
        <w:keepNext/>
        <w:numPr>
          <w:ilvl w:val="12"/>
          <w:numId w:val="0"/>
        </w:numPr>
        <w:tabs>
          <w:tab w:val="clear" w:pos="567"/>
        </w:tabs>
        <w:spacing w:line="240" w:lineRule="auto"/>
        <w:outlineLvl w:val="0"/>
        <w:rPr>
          <w:b/>
          <w:szCs w:val="22"/>
        </w:rPr>
      </w:pPr>
      <w:r w:rsidRPr="00F04F82">
        <w:rPr>
          <w:b/>
          <w:szCs w:val="22"/>
        </w:rPr>
        <w:t>If you forget to use AMGEVITA</w:t>
      </w:r>
      <w:r w:rsidR="001C55FB" w:rsidRPr="00F04F82">
        <w:rPr>
          <w:b/>
          <w:szCs w:val="22"/>
        </w:rPr>
        <w:fldChar w:fldCharType="begin"/>
      </w:r>
      <w:r w:rsidR="001C55FB" w:rsidRPr="00F04F82">
        <w:rPr>
          <w:b/>
          <w:szCs w:val="22"/>
        </w:rPr>
        <w:instrText xml:space="preserve"> DOCVARIABLE vault_nd_e01ebdb7-3de6-4753-bf8a-0014382b8329 \* MERGEFORMAT </w:instrText>
      </w:r>
      <w:r w:rsidR="001C55FB" w:rsidRPr="00F04F82">
        <w:rPr>
          <w:b/>
          <w:szCs w:val="22"/>
        </w:rPr>
        <w:fldChar w:fldCharType="separate"/>
      </w:r>
      <w:r w:rsidR="001C55FB" w:rsidRPr="00F04F82">
        <w:rPr>
          <w:b/>
          <w:szCs w:val="22"/>
        </w:rPr>
        <w:t xml:space="preserve"> </w:t>
      </w:r>
      <w:r w:rsidR="001C55FB" w:rsidRPr="00F04F82">
        <w:rPr>
          <w:b/>
          <w:szCs w:val="22"/>
        </w:rPr>
        <w:fldChar w:fldCharType="end"/>
      </w:r>
    </w:p>
    <w:p w14:paraId="4E8AADD0" w14:textId="77777777" w:rsidR="007E0028" w:rsidRPr="00F04F82" w:rsidRDefault="007E0028" w:rsidP="00077AFF">
      <w:pPr>
        <w:keepNext/>
        <w:numPr>
          <w:ilvl w:val="12"/>
          <w:numId w:val="0"/>
        </w:numPr>
        <w:tabs>
          <w:tab w:val="clear" w:pos="567"/>
        </w:tabs>
        <w:spacing w:line="240" w:lineRule="auto"/>
        <w:outlineLvl w:val="0"/>
        <w:rPr>
          <w:b/>
          <w:szCs w:val="22"/>
        </w:rPr>
      </w:pPr>
    </w:p>
    <w:p w14:paraId="393AF03C" w14:textId="5A28135C" w:rsidR="007E0028" w:rsidRPr="00F04F82" w:rsidRDefault="007E0028" w:rsidP="00077AFF">
      <w:pPr>
        <w:keepNext/>
        <w:numPr>
          <w:ilvl w:val="12"/>
          <w:numId w:val="0"/>
        </w:numPr>
        <w:tabs>
          <w:tab w:val="clear" w:pos="567"/>
        </w:tabs>
        <w:spacing w:line="240" w:lineRule="auto"/>
        <w:outlineLvl w:val="0"/>
        <w:rPr>
          <w:szCs w:val="22"/>
        </w:rPr>
      </w:pPr>
      <w:r w:rsidRPr="00F04F82">
        <w:rPr>
          <w:szCs w:val="22"/>
        </w:rPr>
        <w:t>If you forget to give yourself an injection, you should inject the next dose of AMGEVITA as soon as you remember. Then take your next dose as you would have on your originally scheduled day, had you not forgotten a dose.</w:t>
      </w:r>
      <w:r w:rsidR="001C55FB" w:rsidRPr="00F04F82">
        <w:rPr>
          <w:szCs w:val="22"/>
        </w:rPr>
        <w:fldChar w:fldCharType="begin"/>
      </w:r>
      <w:r w:rsidR="001C55FB" w:rsidRPr="00F04F82">
        <w:rPr>
          <w:szCs w:val="22"/>
        </w:rPr>
        <w:instrText xml:space="preserve"> DOCVARIABLE vault_nd_bddba88b-c51c-4271-b005-9e9692e4dec0 \* MERGEFORMAT </w:instrText>
      </w:r>
      <w:r w:rsidR="001C55FB" w:rsidRPr="00F04F82">
        <w:rPr>
          <w:szCs w:val="22"/>
        </w:rPr>
        <w:fldChar w:fldCharType="separate"/>
      </w:r>
      <w:r w:rsidR="001C55FB" w:rsidRPr="00F04F82">
        <w:rPr>
          <w:szCs w:val="22"/>
        </w:rPr>
        <w:t xml:space="preserve"> </w:t>
      </w:r>
      <w:r w:rsidR="001C55FB" w:rsidRPr="00F04F82">
        <w:rPr>
          <w:szCs w:val="22"/>
        </w:rPr>
        <w:fldChar w:fldCharType="end"/>
      </w:r>
    </w:p>
    <w:p w14:paraId="251F0850" w14:textId="77777777" w:rsidR="007E0028" w:rsidRPr="00F04F82" w:rsidRDefault="007E0028" w:rsidP="00077AFF">
      <w:pPr>
        <w:numPr>
          <w:ilvl w:val="12"/>
          <w:numId w:val="0"/>
        </w:numPr>
        <w:tabs>
          <w:tab w:val="clear" w:pos="567"/>
        </w:tabs>
        <w:spacing w:line="240" w:lineRule="auto"/>
        <w:ind w:right="-2"/>
        <w:rPr>
          <w:szCs w:val="22"/>
        </w:rPr>
      </w:pPr>
    </w:p>
    <w:p w14:paraId="328EA8B9" w14:textId="5C56C9BA" w:rsidR="007E0028" w:rsidRPr="00F04F82" w:rsidRDefault="007E0028" w:rsidP="00077AFF">
      <w:pPr>
        <w:keepNext/>
        <w:numPr>
          <w:ilvl w:val="12"/>
          <w:numId w:val="0"/>
        </w:numPr>
        <w:tabs>
          <w:tab w:val="clear" w:pos="567"/>
        </w:tabs>
        <w:spacing w:line="240" w:lineRule="auto"/>
        <w:outlineLvl w:val="0"/>
        <w:rPr>
          <w:b/>
          <w:szCs w:val="22"/>
        </w:rPr>
      </w:pPr>
      <w:r w:rsidRPr="00F04F82">
        <w:rPr>
          <w:b/>
          <w:szCs w:val="22"/>
        </w:rPr>
        <w:t>If you stop using AMGEVITA</w:t>
      </w:r>
      <w:r w:rsidR="001C55FB" w:rsidRPr="00F04F82">
        <w:rPr>
          <w:b/>
          <w:szCs w:val="22"/>
        </w:rPr>
        <w:fldChar w:fldCharType="begin"/>
      </w:r>
      <w:r w:rsidR="001C55FB" w:rsidRPr="00F04F82">
        <w:rPr>
          <w:b/>
          <w:szCs w:val="22"/>
        </w:rPr>
        <w:instrText xml:space="preserve"> DOCVARIABLE vault_nd_37706419-3fe1-4e17-8630-ac7dbbe17107 \* MERGEFORMAT </w:instrText>
      </w:r>
      <w:r w:rsidR="001C55FB" w:rsidRPr="00F04F82">
        <w:rPr>
          <w:b/>
          <w:szCs w:val="22"/>
        </w:rPr>
        <w:fldChar w:fldCharType="separate"/>
      </w:r>
      <w:r w:rsidR="001C55FB" w:rsidRPr="00F04F82">
        <w:rPr>
          <w:b/>
          <w:szCs w:val="22"/>
        </w:rPr>
        <w:t xml:space="preserve"> </w:t>
      </w:r>
      <w:r w:rsidR="001C55FB" w:rsidRPr="00F04F82">
        <w:rPr>
          <w:b/>
          <w:szCs w:val="22"/>
        </w:rPr>
        <w:fldChar w:fldCharType="end"/>
      </w:r>
    </w:p>
    <w:p w14:paraId="25EB9BDF" w14:textId="77777777" w:rsidR="007E0028" w:rsidRPr="00F04F82" w:rsidRDefault="007E0028" w:rsidP="00077AFF">
      <w:pPr>
        <w:keepNext/>
        <w:numPr>
          <w:ilvl w:val="12"/>
          <w:numId w:val="0"/>
        </w:numPr>
        <w:tabs>
          <w:tab w:val="clear" w:pos="567"/>
        </w:tabs>
        <w:spacing w:line="240" w:lineRule="auto"/>
        <w:outlineLvl w:val="0"/>
        <w:rPr>
          <w:b/>
          <w:szCs w:val="22"/>
        </w:rPr>
      </w:pPr>
    </w:p>
    <w:p w14:paraId="5AC78B9B" w14:textId="04987D17" w:rsidR="007E0028" w:rsidRPr="00F04F82" w:rsidRDefault="007E0028" w:rsidP="00077AFF">
      <w:pPr>
        <w:keepNext/>
        <w:numPr>
          <w:ilvl w:val="12"/>
          <w:numId w:val="0"/>
        </w:numPr>
        <w:tabs>
          <w:tab w:val="clear" w:pos="567"/>
        </w:tabs>
        <w:spacing w:line="240" w:lineRule="auto"/>
        <w:outlineLvl w:val="0"/>
        <w:rPr>
          <w:szCs w:val="22"/>
        </w:rPr>
      </w:pPr>
      <w:r w:rsidRPr="00F04F82">
        <w:rPr>
          <w:szCs w:val="22"/>
        </w:rPr>
        <w:t>The decision to stop using AMGEVITA should be discussed with your doctor. Your symptoms may return upon discontinuation.</w:t>
      </w:r>
      <w:r w:rsidR="001C55FB" w:rsidRPr="00F04F82">
        <w:rPr>
          <w:szCs w:val="22"/>
        </w:rPr>
        <w:fldChar w:fldCharType="begin"/>
      </w:r>
      <w:r w:rsidR="001C55FB" w:rsidRPr="00F04F82">
        <w:rPr>
          <w:szCs w:val="22"/>
        </w:rPr>
        <w:instrText xml:space="preserve"> DOCVARIABLE vault_nd_c9b9dc3d-1436-439c-baff-2fde08470d74 \* MERGEFORMAT </w:instrText>
      </w:r>
      <w:r w:rsidR="001C55FB" w:rsidRPr="00F04F82">
        <w:rPr>
          <w:szCs w:val="22"/>
        </w:rPr>
        <w:fldChar w:fldCharType="separate"/>
      </w:r>
      <w:r w:rsidR="001C55FB" w:rsidRPr="00F04F82">
        <w:rPr>
          <w:szCs w:val="22"/>
        </w:rPr>
        <w:t xml:space="preserve"> </w:t>
      </w:r>
      <w:r w:rsidR="001C55FB" w:rsidRPr="00F04F82">
        <w:rPr>
          <w:szCs w:val="22"/>
        </w:rPr>
        <w:fldChar w:fldCharType="end"/>
      </w:r>
    </w:p>
    <w:p w14:paraId="3443B218" w14:textId="77777777" w:rsidR="007E0028" w:rsidRPr="00F04F82" w:rsidRDefault="007E0028" w:rsidP="00077AFF">
      <w:pPr>
        <w:numPr>
          <w:ilvl w:val="12"/>
          <w:numId w:val="0"/>
        </w:numPr>
        <w:tabs>
          <w:tab w:val="clear" w:pos="567"/>
        </w:tabs>
        <w:spacing w:line="240" w:lineRule="auto"/>
        <w:ind w:right="-2"/>
        <w:outlineLvl w:val="0"/>
        <w:rPr>
          <w:b/>
          <w:szCs w:val="22"/>
        </w:rPr>
      </w:pPr>
    </w:p>
    <w:p w14:paraId="24141511" w14:textId="77777777" w:rsidR="007E0028" w:rsidRPr="00F04F82" w:rsidRDefault="007E0028" w:rsidP="00077AFF">
      <w:pPr>
        <w:numPr>
          <w:ilvl w:val="12"/>
          <w:numId w:val="0"/>
        </w:numPr>
        <w:tabs>
          <w:tab w:val="clear" w:pos="567"/>
        </w:tabs>
        <w:spacing w:line="240" w:lineRule="auto"/>
        <w:ind w:right="-29"/>
      </w:pPr>
      <w:r w:rsidRPr="00F04F82">
        <w:rPr>
          <w:szCs w:val="22"/>
        </w:rPr>
        <w:t>If you have any further questions on the use of this medicine, ask your doctor or pharmacist</w:t>
      </w:r>
      <w:r w:rsidRPr="00F04F82">
        <w:t>.</w:t>
      </w:r>
    </w:p>
    <w:p w14:paraId="3178F88E" w14:textId="77777777" w:rsidR="007E0028" w:rsidRPr="00F04F82" w:rsidRDefault="007E0028" w:rsidP="00077AFF">
      <w:pPr>
        <w:numPr>
          <w:ilvl w:val="12"/>
          <w:numId w:val="0"/>
        </w:numPr>
        <w:tabs>
          <w:tab w:val="clear" w:pos="567"/>
        </w:tabs>
        <w:spacing w:line="240" w:lineRule="auto"/>
      </w:pPr>
    </w:p>
    <w:p w14:paraId="08E42F17" w14:textId="77777777" w:rsidR="007E0028" w:rsidRPr="00F04F82" w:rsidRDefault="007E0028" w:rsidP="00077AFF">
      <w:pPr>
        <w:numPr>
          <w:ilvl w:val="12"/>
          <w:numId w:val="0"/>
        </w:numPr>
        <w:tabs>
          <w:tab w:val="clear" w:pos="567"/>
        </w:tabs>
        <w:spacing w:line="240" w:lineRule="auto"/>
      </w:pPr>
    </w:p>
    <w:p w14:paraId="34EF2E1E" w14:textId="77777777" w:rsidR="007E0028" w:rsidRPr="00F04F82" w:rsidRDefault="007E0028" w:rsidP="00077AFF">
      <w:pPr>
        <w:keepNext/>
        <w:numPr>
          <w:ilvl w:val="12"/>
          <w:numId w:val="0"/>
        </w:numPr>
        <w:tabs>
          <w:tab w:val="clear" w:pos="567"/>
        </w:tabs>
        <w:spacing w:line="240" w:lineRule="auto"/>
        <w:ind w:left="567" w:right="-2" w:hanging="567"/>
      </w:pPr>
      <w:r w:rsidRPr="00F04F82">
        <w:rPr>
          <w:b/>
        </w:rPr>
        <w:t>4.</w:t>
      </w:r>
      <w:r w:rsidRPr="00F04F82">
        <w:rPr>
          <w:b/>
        </w:rPr>
        <w:tab/>
        <w:t>Possible side effects</w:t>
      </w:r>
    </w:p>
    <w:p w14:paraId="56C9078B" w14:textId="77777777" w:rsidR="007E0028" w:rsidRPr="00F04F82" w:rsidRDefault="007E0028" w:rsidP="00077AFF">
      <w:pPr>
        <w:keepNext/>
        <w:numPr>
          <w:ilvl w:val="12"/>
          <w:numId w:val="0"/>
        </w:numPr>
        <w:tabs>
          <w:tab w:val="clear" w:pos="567"/>
        </w:tabs>
        <w:spacing w:line="240" w:lineRule="auto"/>
      </w:pPr>
    </w:p>
    <w:p w14:paraId="793346BE" w14:textId="77777777" w:rsidR="007E0028" w:rsidRPr="00F04F82" w:rsidRDefault="007E0028" w:rsidP="00B61D9D">
      <w:pPr>
        <w:keepNext/>
        <w:spacing w:line="240" w:lineRule="auto"/>
      </w:pPr>
      <w:r w:rsidRPr="00F04F82">
        <w:t xml:space="preserve">Like all medicines, this medicine can cause side effects, although not everybody gets them. Most side effects are mild to moderate. However, some may be serious and require treatment. Side effects may occur at least up to 4 months after the last </w:t>
      </w:r>
      <w:r w:rsidRPr="00F04F82">
        <w:rPr>
          <w:szCs w:val="22"/>
        </w:rPr>
        <w:t>AMGEVITA</w:t>
      </w:r>
      <w:r w:rsidRPr="00F04F82">
        <w:t xml:space="preserve"> injection. </w:t>
      </w:r>
    </w:p>
    <w:p w14:paraId="3F2DF2C4" w14:textId="77777777" w:rsidR="007E0028" w:rsidRPr="00D55B59" w:rsidRDefault="007E0028" w:rsidP="00077AFF">
      <w:pPr>
        <w:pStyle w:val="Default"/>
        <w:rPr>
          <w:sz w:val="22"/>
          <w:szCs w:val="22"/>
          <w:lang w:val="en-GB"/>
          <w:rPrChange w:id="5563" w:author="Author">
            <w:rPr>
              <w:sz w:val="22"/>
              <w:szCs w:val="22"/>
            </w:rPr>
          </w:rPrChange>
        </w:rPr>
      </w:pPr>
    </w:p>
    <w:p w14:paraId="60C719E6" w14:textId="77777777" w:rsidR="007E0028" w:rsidRPr="00D55B59" w:rsidRDefault="007E0028" w:rsidP="00077AFF">
      <w:pPr>
        <w:pStyle w:val="Default"/>
        <w:keepNext/>
        <w:rPr>
          <w:sz w:val="22"/>
          <w:szCs w:val="22"/>
          <w:lang w:val="en-GB"/>
          <w:rPrChange w:id="5564" w:author="Author">
            <w:rPr>
              <w:sz w:val="22"/>
              <w:szCs w:val="22"/>
            </w:rPr>
          </w:rPrChange>
        </w:rPr>
      </w:pPr>
      <w:r w:rsidRPr="00D55B59">
        <w:rPr>
          <w:sz w:val="22"/>
          <w:szCs w:val="22"/>
          <w:lang w:val="en-GB"/>
          <w:rPrChange w:id="5565" w:author="Author">
            <w:rPr>
              <w:sz w:val="22"/>
              <w:szCs w:val="22"/>
            </w:rPr>
          </w:rPrChange>
        </w:rPr>
        <w:t>Tell your doctor immediately if you notice any of the following signs of allergic reaction or heart failure:</w:t>
      </w:r>
    </w:p>
    <w:p w14:paraId="51397E72" w14:textId="77777777" w:rsidR="007E0028" w:rsidRPr="00F04F82" w:rsidRDefault="007E0028" w:rsidP="00B61D9D">
      <w:pPr>
        <w:keepNext/>
        <w:numPr>
          <w:ilvl w:val="0"/>
          <w:numId w:val="13"/>
        </w:numPr>
        <w:spacing w:line="240" w:lineRule="auto"/>
        <w:ind w:left="567" w:hanging="567"/>
      </w:pPr>
      <w:r w:rsidRPr="00F04F82">
        <w:t xml:space="preserve">severe rash, hives or other signs of allergic reaction; </w:t>
      </w:r>
    </w:p>
    <w:p w14:paraId="25B4B8DA" w14:textId="77777777" w:rsidR="007E0028" w:rsidRPr="00F04F82" w:rsidRDefault="007E0028" w:rsidP="00B61D9D">
      <w:pPr>
        <w:keepNext/>
        <w:numPr>
          <w:ilvl w:val="0"/>
          <w:numId w:val="13"/>
        </w:numPr>
        <w:spacing w:line="240" w:lineRule="auto"/>
        <w:ind w:left="567" w:hanging="567"/>
      </w:pPr>
      <w:r w:rsidRPr="00F04F82">
        <w:t xml:space="preserve">swollen face, hands, feet; </w:t>
      </w:r>
    </w:p>
    <w:p w14:paraId="21244A14" w14:textId="77777777" w:rsidR="007E0028" w:rsidRPr="00F04F82" w:rsidRDefault="007E0028" w:rsidP="00B61D9D">
      <w:pPr>
        <w:numPr>
          <w:ilvl w:val="0"/>
          <w:numId w:val="13"/>
        </w:numPr>
        <w:spacing w:line="240" w:lineRule="auto"/>
        <w:ind w:left="567" w:hanging="567"/>
      </w:pPr>
      <w:r w:rsidRPr="00F04F82">
        <w:t xml:space="preserve">trouble breathing, swallowing; </w:t>
      </w:r>
    </w:p>
    <w:p w14:paraId="083AB4AA" w14:textId="77777777" w:rsidR="007E0028" w:rsidRPr="00F04F82" w:rsidRDefault="007E0028" w:rsidP="00B61D9D">
      <w:pPr>
        <w:numPr>
          <w:ilvl w:val="0"/>
          <w:numId w:val="13"/>
        </w:numPr>
        <w:spacing w:line="240" w:lineRule="auto"/>
        <w:ind w:left="567" w:hanging="567"/>
      </w:pPr>
      <w:r w:rsidRPr="00F04F82">
        <w:t>shortness of breath with exertion or upon lying down or swelling of the feet.</w:t>
      </w:r>
    </w:p>
    <w:p w14:paraId="4F31979A" w14:textId="77777777" w:rsidR="007E0028" w:rsidRPr="00D55B59" w:rsidRDefault="007E0028" w:rsidP="00077AFF">
      <w:pPr>
        <w:pStyle w:val="Default"/>
        <w:rPr>
          <w:sz w:val="22"/>
          <w:szCs w:val="22"/>
          <w:lang w:val="en-GB"/>
          <w:rPrChange w:id="5566" w:author="Author">
            <w:rPr>
              <w:sz w:val="22"/>
              <w:szCs w:val="22"/>
            </w:rPr>
          </w:rPrChange>
        </w:rPr>
      </w:pPr>
    </w:p>
    <w:p w14:paraId="3C91D17A" w14:textId="77777777" w:rsidR="007E0028" w:rsidRPr="00D55B59" w:rsidRDefault="007E0028" w:rsidP="00077AFF">
      <w:pPr>
        <w:pStyle w:val="Default"/>
        <w:keepNext/>
        <w:rPr>
          <w:sz w:val="22"/>
          <w:szCs w:val="22"/>
          <w:lang w:val="en-GB"/>
          <w:rPrChange w:id="5567" w:author="Author">
            <w:rPr>
              <w:sz w:val="22"/>
              <w:szCs w:val="22"/>
            </w:rPr>
          </w:rPrChange>
        </w:rPr>
      </w:pPr>
      <w:r w:rsidRPr="00D55B59">
        <w:rPr>
          <w:sz w:val="22"/>
          <w:szCs w:val="22"/>
          <w:lang w:val="en-GB"/>
          <w:rPrChange w:id="5568" w:author="Author">
            <w:rPr>
              <w:sz w:val="22"/>
              <w:szCs w:val="22"/>
            </w:rPr>
          </w:rPrChange>
        </w:rPr>
        <w:t>Tell your doctor as soon as possible if you notice any of the following:</w:t>
      </w:r>
    </w:p>
    <w:p w14:paraId="411E09B1" w14:textId="77777777" w:rsidR="007E0028" w:rsidRPr="00F04F82" w:rsidRDefault="007E0028" w:rsidP="00B61D9D">
      <w:pPr>
        <w:numPr>
          <w:ilvl w:val="0"/>
          <w:numId w:val="14"/>
        </w:numPr>
        <w:spacing w:line="240" w:lineRule="auto"/>
        <w:ind w:left="567" w:hanging="567"/>
      </w:pPr>
      <w:r w:rsidRPr="00F04F82">
        <w:t xml:space="preserve">signs of infection such as fever, feeling sick, wounds, dental problems, burning on urination; </w:t>
      </w:r>
    </w:p>
    <w:p w14:paraId="38669302" w14:textId="77777777" w:rsidR="007E0028" w:rsidRPr="00F04F82" w:rsidRDefault="007E0028" w:rsidP="00B61D9D">
      <w:pPr>
        <w:numPr>
          <w:ilvl w:val="0"/>
          <w:numId w:val="14"/>
        </w:numPr>
        <w:spacing w:line="240" w:lineRule="auto"/>
        <w:ind w:left="567" w:hanging="567"/>
      </w:pPr>
      <w:r w:rsidRPr="00F04F82">
        <w:t xml:space="preserve">feeling weak or tired; </w:t>
      </w:r>
    </w:p>
    <w:p w14:paraId="5222870C" w14:textId="77777777" w:rsidR="007E0028" w:rsidRPr="00F04F82" w:rsidRDefault="007E0028" w:rsidP="00B61D9D">
      <w:pPr>
        <w:numPr>
          <w:ilvl w:val="0"/>
          <w:numId w:val="14"/>
        </w:numPr>
        <w:spacing w:line="240" w:lineRule="auto"/>
        <w:ind w:left="567" w:hanging="567"/>
      </w:pPr>
      <w:r w:rsidRPr="00F04F82">
        <w:t xml:space="preserve">coughing; </w:t>
      </w:r>
    </w:p>
    <w:p w14:paraId="11A3B09A" w14:textId="77777777" w:rsidR="007E0028" w:rsidRPr="00F04F82" w:rsidRDefault="007E0028" w:rsidP="00B61D9D">
      <w:pPr>
        <w:numPr>
          <w:ilvl w:val="0"/>
          <w:numId w:val="14"/>
        </w:numPr>
        <w:spacing w:line="240" w:lineRule="auto"/>
        <w:ind w:left="567" w:hanging="567"/>
      </w:pPr>
      <w:r w:rsidRPr="00F04F82">
        <w:t xml:space="preserve">tingling; </w:t>
      </w:r>
    </w:p>
    <w:p w14:paraId="4FBAC43C" w14:textId="77777777" w:rsidR="007E0028" w:rsidRPr="00F04F82" w:rsidRDefault="007E0028" w:rsidP="00B61D9D">
      <w:pPr>
        <w:numPr>
          <w:ilvl w:val="0"/>
          <w:numId w:val="14"/>
        </w:numPr>
        <w:spacing w:line="240" w:lineRule="auto"/>
        <w:ind w:left="567" w:hanging="567"/>
      </w:pPr>
      <w:r w:rsidRPr="00F04F82">
        <w:t xml:space="preserve">numbness; </w:t>
      </w:r>
    </w:p>
    <w:p w14:paraId="4B0705CB" w14:textId="77777777" w:rsidR="007E0028" w:rsidRPr="00F04F82" w:rsidRDefault="007E0028" w:rsidP="00B61D9D">
      <w:pPr>
        <w:numPr>
          <w:ilvl w:val="0"/>
          <w:numId w:val="14"/>
        </w:numPr>
        <w:spacing w:line="240" w:lineRule="auto"/>
        <w:ind w:left="567" w:hanging="567"/>
      </w:pPr>
      <w:r w:rsidRPr="00F04F82">
        <w:t xml:space="preserve">double vision; </w:t>
      </w:r>
    </w:p>
    <w:p w14:paraId="677607F9" w14:textId="77777777" w:rsidR="007E0028" w:rsidRPr="00F04F82" w:rsidRDefault="007E0028" w:rsidP="00B61D9D">
      <w:pPr>
        <w:numPr>
          <w:ilvl w:val="0"/>
          <w:numId w:val="14"/>
        </w:numPr>
        <w:spacing w:line="240" w:lineRule="auto"/>
        <w:ind w:left="567" w:hanging="567"/>
      </w:pPr>
      <w:r w:rsidRPr="00F04F82">
        <w:t xml:space="preserve">arm or leg weakness; </w:t>
      </w:r>
    </w:p>
    <w:p w14:paraId="361CC362" w14:textId="77777777" w:rsidR="007E0028" w:rsidRPr="00F04F82" w:rsidRDefault="007E0028" w:rsidP="00B61D9D">
      <w:pPr>
        <w:numPr>
          <w:ilvl w:val="0"/>
          <w:numId w:val="14"/>
        </w:numPr>
        <w:spacing w:line="240" w:lineRule="auto"/>
        <w:ind w:left="567" w:hanging="567"/>
      </w:pPr>
      <w:r w:rsidRPr="00F04F82">
        <w:t>signs of skin cancer such as a bump or open sore that doesn't heal;</w:t>
      </w:r>
    </w:p>
    <w:p w14:paraId="08805DF9" w14:textId="77777777" w:rsidR="007E0028" w:rsidRPr="00F04F82" w:rsidRDefault="007E0028" w:rsidP="00B61D9D">
      <w:pPr>
        <w:numPr>
          <w:ilvl w:val="0"/>
          <w:numId w:val="14"/>
        </w:numPr>
        <w:spacing w:line="240" w:lineRule="auto"/>
        <w:ind w:left="567" w:hanging="567"/>
      </w:pPr>
      <w:r w:rsidRPr="00F04F82">
        <w:t>signs and symptoms suggestive of blood disorders such as persistent fever, bruising, bleeding, paleness.</w:t>
      </w:r>
    </w:p>
    <w:p w14:paraId="3FA1C4FE" w14:textId="77777777" w:rsidR="007E0028" w:rsidRPr="00F04F82" w:rsidRDefault="007E0028" w:rsidP="00077AFF">
      <w:pPr>
        <w:numPr>
          <w:ilvl w:val="12"/>
          <w:numId w:val="0"/>
        </w:numPr>
        <w:tabs>
          <w:tab w:val="clear" w:pos="567"/>
        </w:tabs>
        <w:spacing w:line="240" w:lineRule="auto"/>
        <w:ind w:right="-29"/>
        <w:rPr>
          <w:szCs w:val="22"/>
        </w:rPr>
      </w:pPr>
    </w:p>
    <w:p w14:paraId="3C0F0C35" w14:textId="77777777" w:rsidR="007E0028" w:rsidRPr="00D55B59" w:rsidRDefault="007E0028" w:rsidP="00077AFF">
      <w:pPr>
        <w:pStyle w:val="Default"/>
        <w:keepNext/>
        <w:rPr>
          <w:sz w:val="22"/>
          <w:szCs w:val="22"/>
          <w:lang w:val="en-GB"/>
          <w:rPrChange w:id="5569" w:author="Author">
            <w:rPr>
              <w:sz w:val="22"/>
              <w:szCs w:val="22"/>
            </w:rPr>
          </w:rPrChange>
        </w:rPr>
      </w:pPr>
      <w:r w:rsidRPr="00D55B59">
        <w:rPr>
          <w:sz w:val="22"/>
          <w:szCs w:val="22"/>
          <w:lang w:val="en-GB"/>
          <w:rPrChange w:id="5570" w:author="Author">
            <w:rPr>
              <w:sz w:val="22"/>
              <w:szCs w:val="22"/>
            </w:rPr>
          </w:rPrChange>
        </w:rPr>
        <w:t>The symptoms described above can be signs of the below listed side effects, which have been observed with adalimumab.</w:t>
      </w:r>
    </w:p>
    <w:p w14:paraId="28540F1E" w14:textId="77777777" w:rsidR="007E0028" w:rsidRPr="00D55B59" w:rsidRDefault="007E0028" w:rsidP="00077AFF">
      <w:pPr>
        <w:pStyle w:val="Default"/>
        <w:keepNext/>
        <w:rPr>
          <w:sz w:val="22"/>
          <w:szCs w:val="22"/>
          <w:lang w:val="en-GB"/>
          <w:rPrChange w:id="5571" w:author="Author">
            <w:rPr>
              <w:sz w:val="22"/>
              <w:szCs w:val="22"/>
            </w:rPr>
          </w:rPrChange>
        </w:rPr>
      </w:pPr>
    </w:p>
    <w:p w14:paraId="3BD4BEC7" w14:textId="77777777" w:rsidR="007E0028" w:rsidRPr="00D55B59" w:rsidRDefault="007E0028" w:rsidP="00077AFF">
      <w:pPr>
        <w:pStyle w:val="Default"/>
        <w:keepNext/>
        <w:rPr>
          <w:sz w:val="22"/>
          <w:szCs w:val="22"/>
          <w:lang w:val="en-GB"/>
          <w:rPrChange w:id="5572" w:author="Author">
            <w:rPr>
              <w:sz w:val="22"/>
              <w:szCs w:val="22"/>
            </w:rPr>
          </w:rPrChange>
        </w:rPr>
      </w:pPr>
      <w:r w:rsidRPr="00D55B59">
        <w:rPr>
          <w:sz w:val="22"/>
          <w:szCs w:val="22"/>
          <w:lang w:val="en-GB"/>
          <w:rPrChange w:id="5573" w:author="Author">
            <w:rPr>
              <w:sz w:val="22"/>
              <w:szCs w:val="22"/>
            </w:rPr>
          </w:rPrChange>
        </w:rPr>
        <w:t>Very common (may affect more than 1 in 10 people)</w:t>
      </w:r>
    </w:p>
    <w:p w14:paraId="6BA799B4" w14:textId="77777777" w:rsidR="007E0028" w:rsidRPr="00F04F82" w:rsidRDefault="007E0028" w:rsidP="00B61D9D">
      <w:pPr>
        <w:keepNext/>
        <w:numPr>
          <w:ilvl w:val="0"/>
          <w:numId w:val="15"/>
        </w:numPr>
        <w:spacing w:line="240" w:lineRule="auto"/>
        <w:ind w:left="567" w:hanging="567"/>
      </w:pPr>
      <w:r w:rsidRPr="00F04F82">
        <w:t xml:space="preserve">injection site reactions (including pain, swelling, redness or itching); </w:t>
      </w:r>
    </w:p>
    <w:p w14:paraId="17C07E30" w14:textId="77777777" w:rsidR="007E0028" w:rsidRPr="00F04F82" w:rsidRDefault="007E0028" w:rsidP="00B61D9D">
      <w:pPr>
        <w:keepNext/>
        <w:numPr>
          <w:ilvl w:val="0"/>
          <w:numId w:val="15"/>
        </w:numPr>
        <w:spacing w:line="240" w:lineRule="auto"/>
        <w:ind w:left="567" w:hanging="567"/>
      </w:pPr>
      <w:r w:rsidRPr="00F04F82">
        <w:t xml:space="preserve">respiratory tract infections (including cold, runny nose, sinus infection, pneumonia); </w:t>
      </w:r>
    </w:p>
    <w:p w14:paraId="4EB5AB36" w14:textId="77777777" w:rsidR="007E0028" w:rsidRPr="00F04F82" w:rsidRDefault="007E0028" w:rsidP="00B61D9D">
      <w:pPr>
        <w:keepNext/>
        <w:numPr>
          <w:ilvl w:val="0"/>
          <w:numId w:val="15"/>
        </w:numPr>
        <w:spacing w:line="240" w:lineRule="auto"/>
        <w:ind w:left="567" w:hanging="567"/>
      </w:pPr>
      <w:r w:rsidRPr="00F04F82">
        <w:t xml:space="preserve">headache; </w:t>
      </w:r>
    </w:p>
    <w:p w14:paraId="2A76242A" w14:textId="77777777" w:rsidR="007E0028" w:rsidRPr="00F04F82" w:rsidRDefault="007E0028" w:rsidP="00B61D9D">
      <w:pPr>
        <w:numPr>
          <w:ilvl w:val="0"/>
          <w:numId w:val="15"/>
        </w:numPr>
        <w:spacing w:line="240" w:lineRule="auto"/>
        <w:ind w:left="567" w:hanging="567"/>
      </w:pPr>
      <w:r w:rsidRPr="00F04F82">
        <w:t xml:space="preserve">abdominal pain; </w:t>
      </w:r>
    </w:p>
    <w:p w14:paraId="1156282B" w14:textId="77777777" w:rsidR="007E0028" w:rsidRPr="00F04F82" w:rsidRDefault="007E0028" w:rsidP="00B61D9D">
      <w:pPr>
        <w:numPr>
          <w:ilvl w:val="0"/>
          <w:numId w:val="15"/>
        </w:numPr>
        <w:spacing w:line="240" w:lineRule="auto"/>
        <w:ind w:left="567" w:hanging="567"/>
      </w:pPr>
      <w:r w:rsidRPr="00F04F82">
        <w:t>nausea and vomiting;</w:t>
      </w:r>
    </w:p>
    <w:p w14:paraId="314FA2FC" w14:textId="77777777" w:rsidR="007E0028" w:rsidRPr="00F04F82" w:rsidRDefault="007E0028" w:rsidP="00052F01">
      <w:pPr>
        <w:numPr>
          <w:ilvl w:val="0"/>
          <w:numId w:val="15"/>
        </w:numPr>
        <w:spacing w:line="240" w:lineRule="auto"/>
        <w:ind w:left="567" w:hanging="567"/>
        <w:rPr>
          <w:szCs w:val="22"/>
        </w:rPr>
      </w:pPr>
      <w:r w:rsidRPr="00F04F82">
        <w:rPr>
          <w:szCs w:val="22"/>
        </w:rPr>
        <w:t xml:space="preserve">rash; </w:t>
      </w:r>
    </w:p>
    <w:p w14:paraId="572C5B36" w14:textId="77777777" w:rsidR="007E0028" w:rsidRPr="00F04F82" w:rsidRDefault="007E0028" w:rsidP="00052F01">
      <w:pPr>
        <w:numPr>
          <w:ilvl w:val="0"/>
          <w:numId w:val="15"/>
        </w:numPr>
        <w:spacing w:line="240" w:lineRule="auto"/>
        <w:ind w:left="567" w:hanging="567"/>
        <w:rPr>
          <w:szCs w:val="22"/>
        </w:rPr>
      </w:pPr>
      <w:r w:rsidRPr="00F04F82">
        <w:rPr>
          <w:szCs w:val="22"/>
        </w:rPr>
        <w:t xml:space="preserve">musculoskeletal pain. </w:t>
      </w:r>
    </w:p>
    <w:p w14:paraId="5BB41343" w14:textId="77777777" w:rsidR="007E0028" w:rsidRPr="00F04F82" w:rsidRDefault="007E0028" w:rsidP="00077AFF">
      <w:pPr>
        <w:numPr>
          <w:ilvl w:val="12"/>
          <w:numId w:val="0"/>
        </w:numPr>
        <w:tabs>
          <w:tab w:val="clear" w:pos="567"/>
        </w:tabs>
        <w:spacing w:line="240" w:lineRule="auto"/>
        <w:outlineLvl w:val="0"/>
        <w:rPr>
          <w:szCs w:val="22"/>
        </w:rPr>
      </w:pPr>
    </w:p>
    <w:p w14:paraId="2653D9B8" w14:textId="77777777" w:rsidR="007E0028" w:rsidRPr="00D55B59" w:rsidRDefault="007E0028" w:rsidP="00077AFF">
      <w:pPr>
        <w:pStyle w:val="Default"/>
        <w:rPr>
          <w:sz w:val="22"/>
          <w:szCs w:val="22"/>
          <w:lang w:val="en-GB"/>
          <w:rPrChange w:id="5574" w:author="Author">
            <w:rPr>
              <w:sz w:val="22"/>
              <w:szCs w:val="22"/>
            </w:rPr>
          </w:rPrChange>
        </w:rPr>
      </w:pPr>
      <w:r w:rsidRPr="00D55B59">
        <w:rPr>
          <w:sz w:val="22"/>
          <w:szCs w:val="22"/>
          <w:lang w:val="en-GB"/>
          <w:rPrChange w:id="5575" w:author="Author">
            <w:rPr>
              <w:sz w:val="22"/>
              <w:szCs w:val="22"/>
            </w:rPr>
          </w:rPrChange>
        </w:rPr>
        <w:t>Common (may affect up to 1 in 10 people)</w:t>
      </w:r>
    </w:p>
    <w:p w14:paraId="79D41C4A" w14:textId="77777777" w:rsidR="007E0028" w:rsidRPr="00F04F82" w:rsidRDefault="007E0028" w:rsidP="00B61D9D">
      <w:pPr>
        <w:numPr>
          <w:ilvl w:val="0"/>
          <w:numId w:val="16"/>
        </w:numPr>
        <w:spacing w:line="240" w:lineRule="auto"/>
        <w:ind w:left="567" w:hanging="567"/>
      </w:pPr>
      <w:r w:rsidRPr="00F04F82">
        <w:t xml:space="preserve">serious infections (including blood poisoning and influenza); </w:t>
      </w:r>
    </w:p>
    <w:p w14:paraId="594E48C7" w14:textId="77777777" w:rsidR="007E0028" w:rsidRPr="00F04F82" w:rsidRDefault="007E0028" w:rsidP="00C20612">
      <w:pPr>
        <w:numPr>
          <w:ilvl w:val="0"/>
          <w:numId w:val="15"/>
        </w:numPr>
        <w:spacing w:line="240" w:lineRule="auto"/>
        <w:ind w:left="567" w:hanging="567"/>
      </w:pPr>
      <w:r w:rsidRPr="00F04F82">
        <w:rPr>
          <w:szCs w:val="22"/>
        </w:rPr>
        <w:t>intestinal</w:t>
      </w:r>
      <w:r w:rsidRPr="00F04F82">
        <w:t xml:space="preserve"> infections (including gastroenteritis);</w:t>
      </w:r>
    </w:p>
    <w:p w14:paraId="2B4AEAE9" w14:textId="77777777" w:rsidR="007E0028" w:rsidRPr="00F04F82" w:rsidRDefault="007E0028" w:rsidP="00B61D9D">
      <w:pPr>
        <w:numPr>
          <w:ilvl w:val="0"/>
          <w:numId w:val="16"/>
        </w:numPr>
        <w:spacing w:line="240" w:lineRule="auto"/>
        <w:ind w:left="567" w:hanging="567"/>
      </w:pPr>
      <w:r w:rsidRPr="00F04F82">
        <w:t xml:space="preserve">skin infections (including cellulitis and shingles); </w:t>
      </w:r>
    </w:p>
    <w:p w14:paraId="7422C6B5" w14:textId="77777777" w:rsidR="007E0028" w:rsidRPr="00F04F82" w:rsidRDefault="007E0028" w:rsidP="00B61D9D">
      <w:pPr>
        <w:numPr>
          <w:ilvl w:val="0"/>
          <w:numId w:val="16"/>
        </w:numPr>
        <w:spacing w:line="240" w:lineRule="auto"/>
        <w:ind w:left="567" w:hanging="567"/>
      </w:pPr>
      <w:r w:rsidRPr="00F04F82">
        <w:t xml:space="preserve">ear infections; </w:t>
      </w:r>
    </w:p>
    <w:p w14:paraId="752DF454" w14:textId="77777777" w:rsidR="007E0028" w:rsidRPr="00F04F82" w:rsidRDefault="007E0028" w:rsidP="00B61D9D">
      <w:pPr>
        <w:numPr>
          <w:ilvl w:val="0"/>
          <w:numId w:val="16"/>
        </w:numPr>
        <w:spacing w:line="240" w:lineRule="auto"/>
        <w:ind w:left="567" w:hanging="567"/>
      </w:pPr>
      <w:r w:rsidRPr="00F04F82">
        <w:t xml:space="preserve">oral infections (including tooth infections and cold sores); </w:t>
      </w:r>
    </w:p>
    <w:p w14:paraId="7F032DFA" w14:textId="77777777" w:rsidR="007E0028" w:rsidRPr="00F04F82" w:rsidRDefault="007E0028" w:rsidP="00B61D9D">
      <w:pPr>
        <w:numPr>
          <w:ilvl w:val="0"/>
          <w:numId w:val="16"/>
        </w:numPr>
        <w:spacing w:line="240" w:lineRule="auto"/>
        <w:ind w:left="567" w:hanging="567"/>
      </w:pPr>
      <w:r w:rsidRPr="00F04F82">
        <w:t xml:space="preserve">reproductive tract infections; </w:t>
      </w:r>
    </w:p>
    <w:p w14:paraId="3807CC94" w14:textId="77777777" w:rsidR="007E0028" w:rsidRPr="00F04F82" w:rsidRDefault="007E0028" w:rsidP="00B61D9D">
      <w:pPr>
        <w:numPr>
          <w:ilvl w:val="0"/>
          <w:numId w:val="16"/>
        </w:numPr>
        <w:spacing w:line="240" w:lineRule="auto"/>
        <w:ind w:left="567" w:hanging="567"/>
      </w:pPr>
      <w:r w:rsidRPr="00F04F82">
        <w:t xml:space="preserve">urinary tract infection; </w:t>
      </w:r>
    </w:p>
    <w:p w14:paraId="1E400DE1" w14:textId="77777777" w:rsidR="007E0028" w:rsidRPr="00F04F82" w:rsidRDefault="007E0028" w:rsidP="00B61D9D">
      <w:pPr>
        <w:numPr>
          <w:ilvl w:val="0"/>
          <w:numId w:val="16"/>
        </w:numPr>
        <w:spacing w:line="240" w:lineRule="auto"/>
        <w:ind w:left="567" w:hanging="567"/>
      </w:pPr>
      <w:r w:rsidRPr="00F04F82">
        <w:t xml:space="preserve">fungal infections; </w:t>
      </w:r>
    </w:p>
    <w:p w14:paraId="1A61287D" w14:textId="77777777" w:rsidR="007E0028" w:rsidRPr="00F04F82" w:rsidRDefault="007E0028" w:rsidP="00B61D9D">
      <w:pPr>
        <w:numPr>
          <w:ilvl w:val="0"/>
          <w:numId w:val="16"/>
        </w:numPr>
        <w:spacing w:line="240" w:lineRule="auto"/>
        <w:ind w:left="567" w:hanging="567"/>
      </w:pPr>
      <w:r w:rsidRPr="00F04F82">
        <w:t xml:space="preserve">joint infections; </w:t>
      </w:r>
    </w:p>
    <w:p w14:paraId="1C5AFC49" w14:textId="77777777" w:rsidR="007E0028" w:rsidRPr="00F04F82" w:rsidRDefault="007E0028" w:rsidP="00B61D9D">
      <w:pPr>
        <w:numPr>
          <w:ilvl w:val="0"/>
          <w:numId w:val="16"/>
        </w:numPr>
        <w:spacing w:line="240" w:lineRule="auto"/>
        <w:ind w:left="567" w:hanging="567"/>
      </w:pPr>
      <w:r w:rsidRPr="00F04F82">
        <w:t xml:space="preserve">benign tumours; </w:t>
      </w:r>
    </w:p>
    <w:p w14:paraId="698D2AD3" w14:textId="77777777" w:rsidR="007E0028" w:rsidRPr="00F04F82" w:rsidRDefault="007E0028" w:rsidP="00B61D9D">
      <w:pPr>
        <w:numPr>
          <w:ilvl w:val="0"/>
          <w:numId w:val="16"/>
        </w:numPr>
        <w:spacing w:line="240" w:lineRule="auto"/>
        <w:ind w:left="567" w:hanging="567"/>
      </w:pPr>
      <w:r w:rsidRPr="00F04F82">
        <w:t xml:space="preserve">skin cancer; </w:t>
      </w:r>
    </w:p>
    <w:p w14:paraId="67B0C43B" w14:textId="77777777" w:rsidR="007E0028" w:rsidRPr="00F04F82" w:rsidRDefault="007E0028" w:rsidP="00B61D9D">
      <w:pPr>
        <w:numPr>
          <w:ilvl w:val="0"/>
          <w:numId w:val="16"/>
        </w:numPr>
        <w:spacing w:line="240" w:lineRule="auto"/>
        <w:ind w:left="567" w:hanging="567"/>
      </w:pPr>
      <w:r w:rsidRPr="00F04F82">
        <w:t xml:space="preserve">allergic reactions (including seasonal allergy); </w:t>
      </w:r>
    </w:p>
    <w:p w14:paraId="0364F4A3" w14:textId="77777777" w:rsidR="007E0028" w:rsidRPr="00F04F82" w:rsidRDefault="007E0028" w:rsidP="00B61D9D">
      <w:pPr>
        <w:numPr>
          <w:ilvl w:val="0"/>
          <w:numId w:val="16"/>
        </w:numPr>
        <w:spacing w:line="240" w:lineRule="auto"/>
        <w:ind w:left="567" w:hanging="567"/>
      </w:pPr>
      <w:r w:rsidRPr="00F04F82">
        <w:t xml:space="preserve">dehydration; </w:t>
      </w:r>
    </w:p>
    <w:p w14:paraId="5309C597" w14:textId="77777777" w:rsidR="007E0028" w:rsidRPr="00F04F82" w:rsidRDefault="007E0028" w:rsidP="00B61D9D">
      <w:pPr>
        <w:numPr>
          <w:ilvl w:val="0"/>
          <w:numId w:val="16"/>
        </w:numPr>
        <w:spacing w:line="240" w:lineRule="auto"/>
        <w:ind w:left="567" w:hanging="567"/>
      </w:pPr>
      <w:r w:rsidRPr="00F04F82">
        <w:t xml:space="preserve">mood swings (including depression); </w:t>
      </w:r>
    </w:p>
    <w:p w14:paraId="38EE0A6C" w14:textId="77777777" w:rsidR="007E0028" w:rsidRPr="00F04F82" w:rsidRDefault="007E0028" w:rsidP="00B61D9D">
      <w:pPr>
        <w:numPr>
          <w:ilvl w:val="0"/>
          <w:numId w:val="16"/>
        </w:numPr>
        <w:spacing w:line="240" w:lineRule="auto"/>
        <w:ind w:left="567" w:hanging="567"/>
      </w:pPr>
      <w:r w:rsidRPr="00F04F82">
        <w:t xml:space="preserve">anxiety; </w:t>
      </w:r>
    </w:p>
    <w:p w14:paraId="1F129F89" w14:textId="77777777" w:rsidR="007E0028" w:rsidRPr="00F04F82" w:rsidRDefault="007E0028" w:rsidP="00B61D9D">
      <w:pPr>
        <w:numPr>
          <w:ilvl w:val="0"/>
          <w:numId w:val="16"/>
        </w:numPr>
        <w:spacing w:line="240" w:lineRule="auto"/>
        <w:ind w:left="567" w:hanging="567"/>
      </w:pPr>
      <w:r w:rsidRPr="00F04F82">
        <w:t xml:space="preserve">difficulty sleeping; </w:t>
      </w:r>
    </w:p>
    <w:p w14:paraId="287F1D7E" w14:textId="77777777" w:rsidR="007E0028" w:rsidRPr="00F04F82" w:rsidRDefault="007E0028" w:rsidP="00B61D9D">
      <w:pPr>
        <w:numPr>
          <w:ilvl w:val="0"/>
          <w:numId w:val="16"/>
        </w:numPr>
        <w:spacing w:line="240" w:lineRule="auto"/>
        <w:ind w:left="567" w:hanging="567"/>
      </w:pPr>
      <w:r w:rsidRPr="00F04F82">
        <w:t xml:space="preserve">sensation disorders such as tingling, prickling or numbness; </w:t>
      </w:r>
    </w:p>
    <w:p w14:paraId="2F9B32A2" w14:textId="77777777" w:rsidR="007E0028" w:rsidRPr="00F04F82" w:rsidRDefault="007E0028" w:rsidP="00B61D9D">
      <w:pPr>
        <w:numPr>
          <w:ilvl w:val="0"/>
          <w:numId w:val="16"/>
        </w:numPr>
        <w:spacing w:line="240" w:lineRule="auto"/>
        <w:ind w:left="567" w:hanging="567"/>
      </w:pPr>
      <w:r w:rsidRPr="00F04F82">
        <w:t xml:space="preserve">migraine; </w:t>
      </w:r>
    </w:p>
    <w:p w14:paraId="6FF22BBE" w14:textId="77777777" w:rsidR="007E0028" w:rsidRPr="00F04F82" w:rsidRDefault="007E0028" w:rsidP="00B61D9D">
      <w:pPr>
        <w:numPr>
          <w:ilvl w:val="0"/>
          <w:numId w:val="16"/>
        </w:numPr>
        <w:spacing w:line="240" w:lineRule="auto"/>
        <w:ind w:left="567" w:hanging="567"/>
      </w:pPr>
      <w:r w:rsidRPr="00F04F82">
        <w:t xml:space="preserve">nerve root compression (including low back pain and leg pain); </w:t>
      </w:r>
    </w:p>
    <w:p w14:paraId="38850F63" w14:textId="77777777" w:rsidR="007E0028" w:rsidRPr="00F04F82" w:rsidRDefault="007E0028" w:rsidP="00B61D9D">
      <w:pPr>
        <w:numPr>
          <w:ilvl w:val="0"/>
          <w:numId w:val="16"/>
        </w:numPr>
        <w:spacing w:line="240" w:lineRule="auto"/>
        <w:ind w:left="567" w:hanging="567"/>
      </w:pPr>
      <w:r w:rsidRPr="00F04F82">
        <w:t xml:space="preserve">vision disturbances; </w:t>
      </w:r>
    </w:p>
    <w:p w14:paraId="63AC0A13" w14:textId="77777777" w:rsidR="007E0028" w:rsidRPr="00F04F82" w:rsidRDefault="007E0028" w:rsidP="00B61D9D">
      <w:pPr>
        <w:numPr>
          <w:ilvl w:val="0"/>
          <w:numId w:val="16"/>
        </w:numPr>
        <w:spacing w:line="240" w:lineRule="auto"/>
        <w:ind w:left="567" w:hanging="567"/>
      </w:pPr>
      <w:r w:rsidRPr="00F04F82">
        <w:t xml:space="preserve">eye inflammation; </w:t>
      </w:r>
    </w:p>
    <w:p w14:paraId="5A0B752F" w14:textId="77777777" w:rsidR="007E0028" w:rsidRPr="00F04F82" w:rsidRDefault="007E0028" w:rsidP="00B61D9D">
      <w:pPr>
        <w:numPr>
          <w:ilvl w:val="0"/>
          <w:numId w:val="16"/>
        </w:numPr>
        <w:spacing w:line="240" w:lineRule="auto"/>
        <w:ind w:left="567" w:hanging="567"/>
      </w:pPr>
      <w:r w:rsidRPr="00F04F82">
        <w:t xml:space="preserve">inflammation of the eye lid and eye swelling; </w:t>
      </w:r>
    </w:p>
    <w:p w14:paraId="049B76B3" w14:textId="77777777" w:rsidR="007E0028" w:rsidRPr="00F04F82" w:rsidRDefault="007E0028" w:rsidP="00B61D9D">
      <w:pPr>
        <w:numPr>
          <w:ilvl w:val="0"/>
          <w:numId w:val="16"/>
        </w:numPr>
        <w:spacing w:line="240" w:lineRule="auto"/>
        <w:ind w:left="567" w:hanging="567"/>
      </w:pPr>
      <w:r w:rsidRPr="00F04F82">
        <w:t xml:space="preserve">vertigo (feeling of dizziness or spinning); </w:t>
      </w:r>
    </w:p>
    <w:p w14:paraId="5B2576B6" w14:textId="77777777" w:rsidR="007E0028" w:rsidRPr="00F04F82" w:rsidRDefault="007E0028" w:rsidP="00B61D9D">
      <w:pPr>
        <w:numPr>
          <w:ilvl w:val="0"/>
          <w:numId w:val="16"/>
        </w:numPr>
        <w:spacing w:line="240" w:lineRule="auto"/>
        <w:ind w:left="567" w:hanging="567"/>
      </w:pPr>
      <w:r w:rsidRPr="00F04F82">
        <w:t xml:space="preserve">sensation of heart beating rapidly; </w:t>
      </w:r>
    </w:p>
    <w:p w14:paraId="4747FB1C" w14:textId="77777777" w:rsidR="007E0028" w:rsidRPr="00F04F82" w:rsidRDefault="007E0028" w:rsidP="00B61D9D">
      <w:pPr>
        <w:numPr>
          <w:ilvl w:val="0"/>
          <w:numId w:val="16"/>
        </w:numPr>
        <w:spacing w:line="240" w:lineRule="auto"/>
        <w:ind w:left="567" w:hanging="567"/>
      </w:pPr>
      <w:r w:rsidRPr="00F04F82">
        <w:t xml:space="preserve">high blood pressure; </w:t>
      </w:r>
    </w:p>
    <w:p w14:paraId="2F793697" w14:textId="77777777" w:rsidR="007E0028" w:rsidRPr="00F04F82" w:rsidRDefault="007E0028" w:rsidP="00B61D9D">
      <w:pPr>
        <w:numPr>
          <w:ilvl w:val="0"/>
          <w:numId w:val="16"/>
        </w:numPr>
        <w:spacing w:line="240" w:lineRule="auto"/>
        <w:ind w:left="567" w:hanging="567"/>
      </w:pPr>
      <w:r w:rsidRPr="00F04F82">
        <w:t xml:space="preserve">flushing; </w:t>
      </w:r>
    </w:p>
    <w:p w14:paraId="58301B64" w14:textId="77777777" w:rsidR="007E0028" w:rsidRPr="00F04F82" w:rsidRDefault="007E0028" w:rsidP="00B61D9D">
      <w:pPr>
        <w:numPr>
          <w:ilvl w:val="0"/>
          <w:numId w:val="16"/>
        </w:numPr>
        <w:spacing w:line="240" w:lineRule="auto"/>
        <w:ind w:left="567" w:hanging="567"/>
      </w:pPr>
      <w:r w:rsidRPr="00F04F82">
        <w:t xml:space="preserve">haematoma; </w:t>
      </w:r>
    </w:p>
    <w:p w14:paraId="4897B1AE" w14:textId="77777777" w:rsidR="007E0028" w:rsidRPr="00F04F82" w:rsidRDefault="007E0028" w:rsidP="00B61D9D">
      <w:pPr>
        <w:numPr>
          <w:ilvl w:val="0"/>
          <w:numId w:val="16"/>
        </w:numPr>
        <w:spacing w:line="240" w:lineRule="auto"/>
        <w:ind w:left="567" w:hanging="567"/>
      </w:pPr>
      <w:r w:rsidRPr="00F04F82">
        <w:t xml:space="preserve">cough; </w:t>
      </w:r>
    </w:p>
    <w:p w14:paraId="7E883EB1" w14:textId="77777777" w:rsidR="007E0028" w:rsidRPr="00F04F82" w:rsidRDefault="007E0028" w:rsidP="00B61D9D">
      <w:pPr>
        <w:numPr>
          <w:ilvl w:val="0"/>
          <w:numId w:val="16"/>
        </w:numPr>
        <w:spacing w:line="240" w:lineRule="auto"/>
        <w:ind w:left="567" w:hanging="567"/>
      </w:pPr>
      <w:r w:rsidRPr="00F04F82">
        <w:t xml:space="preserve">asthma; </w:t>
      </w:r>
    </w:p>
    <w:p w14:paraId="4BDA0E60" w14:textId="77777777" w:rsidR="007E0028" w:rsidRPr="00F04F82" w:rsidRDefault="007E0028" w:rsidP="00B61D9D">
      <w:pPr>
        <w:numPr>
          <w:ilvl w:val="0"/>
          <w:numId w:val="16"/>
        </w:numPr>
        <w:spacing w:line="240" w:lineRule="auto"/>
        <w:ind w:left="567" w:hanging="567"/>
      </w:pPr>
      <w:r w:rsidRPr="00F04F82">
        <w:t xml:space="preserve">shortness of breath; </w:t>
      </w:r>
    </w:p>
    <w:p w14:paraId="07665F4E" w14:textId="77777777" w:rsidR="007E0028" w:rsidRPr="00F04F82" w:rsidRDefault="007E0028" w:rsidP="00B61D9D">
      <w:pPr>
        <w:numPr>
          <w:ilvl w:val="0"/>
          <w:numId w:val="16"/>
        </w:numPr>
        <w:spacing w:line="240" w:lineRule="auto"/>
        <w:ind w:left="567" w:hanging="567"/>
      </w:pPr>
      <w:r w:rsidRPr="00F04F82">
        <w:t xml:space="preserve">gastrointestinal bleeding; </w:t>
      </w:r>
    </w:p>
    <w:p w14:paraId="7D62F26C" w14:textId="77777777" w:rsidR="007E0028" w:rsidRPr="00F04F82" w:rsidRDefault="007E0028" w:rsidP="00B61D9D">
      <w:pPr>
        <w:numPr>
          <w:ilvl w:val="0"/>
          <w:numId w:val="16"/>
        </w:numPr>
        <w:spacing w:line="240" w:lineRule="auto"/>
        <w:ind w:left="567" w:hanging="567"/>
      </w:pPr>
      <w:r w:rsidRPr="00F04F82">
        <w:t xml:space="preserve">dyspepsia (indigestion, bloating, heart burn); </w:t>
      </w:r>
    </w:p>
    <w:p w14:paraId="57FB1730" w14:textId="77777777" w:rsidR="007E0028" w:rsidRPr="00F04F82" w:rsidRDefault="007E0028" w:rsidP="00B61D9D">
      <w:pPr>
        <w:numPr>
          <w:ilvl w:val="0"/>
          <w:numId w:val="16"/>
        </w:numPr>
        <w:spacing w:line="240" w:lineRule="auto"/>
        <w:ind w:left="567" w:hanging="567"/>
      </w:pPr>
      <w:r w:rsidRPr="00F04F82">
        <w:t xml:space="preserve">acid reflux disease; </w:t>
      </w:r>
    </w:p>
    <w:p w14:paraId="56B57350" w14:textId="77777777" w:rsidR="007E0028" w:rsidRPr="00F04F82" w:rsidRDefault="007E0028" w:rsidP="00B61D9D">
      <w:pPr>
        <w:numPr>
          <w:ilvl w:val="0"/>
          <w:numId w:val="16"/>
        </w:numPr>
        <w:spacing w:line="240" w:lineRule="auto"/>
        <w:ind w:left="567" w:hanging="567"/>
      </w:pPr>
      <w:r w:rsidRPr="00F04F82">
        <w:t xml:space="preserve">sicca syndrome (including dry eyes and dry mouth); </w:t>
      </w:r>
    </w:p>
    <w:p w14:paraId="0A15ACF7" w14:textId="77777777" w:rsidR="007E0028" w:rsidRPr="00F04F82" w:rsidRDefault="007E0028" w:rsidP="00B61D9D">
      <w:pPr>
        <w:numPr>
          <w:ilvl w:val="0"/>
          <w:numId w:val="16"/>
        </w:numPr>
        <w:spacing w:line="240" w:lineRule="auto"/>
        <w:ind w:left="567" w:hanging="567"/>
      </w:pPr>
      <w:r w:rsidRPr="00F04F82">
        <w:t xml:space="preserve">itching; </w:t>
      </w:r>
    </w:p>
    <w:p w14:paraId="7C993E98" w14:textId="77777777" w:rsidR="007E0028" w:rsidRPr="00F04F82" w:rsidRDefault="007E0028" w:rsidP="00B61D9D">
      <w:pPr>
        <w:numPr>
          <w:ilvl w:val="0"/>
          <w:numId w:val="16"/>
        </w:numPr>
        <w:spacing w:line="240" w:lineRule="auto"/>
        <w:ind w:left="567" w:hanging="567"/>
      </w:pPr>
      <w:r w:rsidRPr="00F04F82">
        <w:t xml:space="preserve">itchy rash; </w:t>
      </w:r>
    </w:p>
    <w:p w14:paraId="1E033645" w14:textId="77777777" w:rsidR="007E0028" w:rsidRPr="00F04F82" w:rsidRDefault="007E0028" w:rsidP="00B61D9D">
      <w:pPr>
        <w:numPr>
          <w:ilvl w:val="0"/>
          <w:numId w:val="16"/>
        </w:numPr>
        <w:spacing w:line="240" w:lineRule="auto"/>
        <w:ind w:left="567" w:hanging="567"/>
      </w:pPr>
      <w:r w:rsidRPr="00F04F82">
        <w:t xml:space="preserve">bruising; </w:t>
      </w:r>
    </w:p>
    <w:p w14:paraId="7C45C204" w14:textId="77777777" w:rsidR="007E0028" w:rsidRPr="00F04F82" w:rsidRDefault="007E0028" w:rsidP="00B61D9D">
      <w:pPr>
        <w:numPr>
          <w:ilvl w:val="0"/>
          <w:numId w:val="16"/>
        </w:numPr>
        <w:spacing w:line="240" w:lineRule="auto"/>
        <w:ind w:left="567" w:hanging="567"/>
      </w:pPr>
      <w:r w:rsidRPr="00F04F82">
        <w:t xml:space="preserve">inflammation of the skin (such as eczema); </w:t>
      </w:r>
    </w:p>
    <w:p w14:paraId="1B310233" w14:textId="77777777" w:rsidR="007E0028" w:rsidRPr="00F04F82" w:rsidRDefault="007E0028" w:rsidP="00B61D9D">
      <w:pPr>
        <w:numPr>
          <w:ilvl w:val="0"/>
          <w:numId w:val="16"/>
        </w:numPr>
        <w:spacing w:line="240" w:lineRule="auto"/>
        <w:ind w:left="567" w:hanging="567"/>
      </w:pPr>
      <w:r w:rsidRPr="00F04F82">
        <w:t xml:space="preserve">breaking of finger nails and toe nails; </w:t>
      </w:r>
    </w:p>
    <w:p w14:paraId="422E23FC" w14:textId="77777777" w:rsidR="007E0028" w:rsidRPr="00F04F82" w:rsidRDefault="007E0028" w:rsidP="00B61D9D">
      <w:pPr>
        <w:numPr>
          <w:ilvl w:val="0"/>
          <w:numId w:val="16"/>
        </w:numPr>
        <w:spacing w:line="240" w:lineRule="auto"/>
        <w:ind w:left="567" w:hanging="567"/>
      </w:pPr>
      <w:r w:rsidRPr="00F04F82">
        <w:t xml:space="preserve">increased sweating; </w:t>
      </w:r>
    </w:p>
    <w:p w14:paraId="7F2762FE" w14:textId="77777777" w:rsidR="007E0028" w:rsidRPr="00F04F82" w:rsidRDefault="007E0028" w:rsidP="00B61D9D">
      <w:pPr>
        <w:numPr>
          <w:ilvl w:val="0"/>
          <w:numId w:val="16"/>
        </w:numPr>
        <w:spacing w:line="240" w:lineRule="auto"/>
        <w:ind w:left="567" w:hanging="567"/>
      </w:pPr>
      <w:r w:rsidRPr="00F04F82">
        <w:t xml:space="preserve">hair loss; </w:t>
      </w:r>
    </w:p>
    <w:p w14:paraId="250DB26C" w14:textId="77777777" w:rsidR="007E0028" w:rsidRPr="00F04F82" w:rsidRDefault="007E0028" w:rsidP="00B61D9D">
      <w:pPr>
        <w:numPr>
          <w:ilvl w:val="0"/>
          <w:numId w:val="16"/>
        </w:numPr>
        <w:spacing w:line="240" w:lineRule="auto"/>
        <w:ind w:left="567" w:hanging="567"/>
      </w:pPr>
      <w:r w:rsidRPr="00F04F82">
        <w:t xml:space="preserve">new onset or worsening of psoriasis; </w:t>
      </w:r>
    </w:p>
    <w:p w14:paraId="19828E5C" w14:textId="77777777" w:rsidR="007E0028" w:rsidRPr="00F04F82" w:rsidRDefault="007E0028" w:rsidP="00B61D9D">
      <w:pPr>
        <w:numPr>
          <w:ilvl w:val="0"/>
          <w:numId w:val="16"/>
        </w:numPr>
        <w:spacing w:line="240" w:lineRule="auto"/>
        <w:ind w:left="567" w:hanging="567"/>
      </w:pPr>
      <w:r w:rsidRPr="00F04F82">
        <w:t xml:space="preserve">muscle spasms; </w:t>
      </w:r>
    </w:p>
    <w:p w14:paraId="409C30F2" w14:textId="77777777" w:rsidR="007E0028" w:rsidRPr="00F04F82" w:rsidRDefault="007E0028" w:rsidP="00B61D9D">
      <w:pPr>
        <w:numPr>
          <w:ilvl w:val="0"/>
          <w:numId w:val="16"/>
        </w:numPr>
        <w:spacing w:line="240" w:lineRule="auto"/>
        <w:ind w:left="567" w:hanging="567"/>
      </w:pPr>
      <w:r w:rsidRPr="00F04F82">
        <w:t xml:space="preserve">blood in urine; </w:t>
      </w:r>
    </w:p>
    <w:p w14:paraId="430E7F5E" w14:textId="77777777" w:rsidR="007E0028" w:rsidRPr="00F04F82" w:rsidRDefault="007E0028" w:rsidP="00B61D9D">
      <w:pPr>
        <w:numPr>
          <w:ilvl w:val="0"/>
          <w:numId w:val="16"/>
        </w:numPr>
        <w:spacing w:line="240" w:lineRule="auto"/>
        <w:ind w:left="567" w:hanging="567"/>
      </w:pPr>
      <w:r w:rsidRPr="00F04F82">
        <w:t xml:space="preserve">kidney problems; </w:t>
      </w:r>
    </w:p>
    <w:p w14:paraId="1E390F9E" w14:textId="77777777" w:rsidR="007E0028" w:rsidRPr="00F04F82" w:rsidRDefault="007E0028" w:rsidP="00B61D9D">
      <w:pPr>
        <w:numPr>
          <w:ilvl w:val="0"/>
          <w:numId w:val="16"/>
        </w:numPr>
        <w:spacing w:line="240" w:lineRule="auto"/>
        <w:ind w:left="567" w:hanging="567"/>
      </w:pPr>
      <w:r w:rsidRPr="00F04F82">
        <w:t xml:space="preserve">chest pain; </w:t>
      </w:r>
    </w:p>
    <w:p w14:paraId="0E18EB68" w14:textId="77777777" w:rsidR="007E0028" w:rsidRPr="00F04F82" w:rsidRDefault="007E0028" w:rsidP="00B61D9D">
      <w:pPr>
        <w:numPr>
          <w:ilvl w:val="0"/>
          <w:numId w:val="16"/>
        </w:numPr>
        <w:spacing w:line="240" w:lineRule="auto"/>
        <w:ind w:left="567" w:hanging="567"/>
      </w:pPr>
      <w:r w:rsidRPr="00F04F82">
        <w:t xml:space="preserve">oedema; </w:t>
      </w:r>
    </w:p>
    <w:p w14:paraId="6D0BA170" w14:textId="77777777" w:rsidR="007E0028" w:rsidRPr="00F04F82" w:rsidRDefault="007E0028" w:rsidP="00B61D9D">
      <w:pPr>
        <w:numPr>
          <w:ilvl w:val="0"/>
          <w:numId w:val="16"/>
        </w:numPr>
        <w:spacing w:line="240" w:lineRule="auto"/>
        <w:ind w:left="567" w:hanging="567"/>
      </w:pPr>
      <w:r w:rsidRPr="00F04F82">
        <w:t xml:space="preserve">fever; </w:t>
      </w:r>
    </w:p>
    <w:p w14:paraId="723D296A" w14:textId="77777777" w:rsidR="007E0028" w:rsidRPr="00F04F82" w:rsidRDefault="007E0028" w:rsidP="00B61D9D">
      <w:pPr>
        <w:numPr>
          <w:ilvl w:val="0"/>
          <w:numId w:val="16"/>
        </w:numPr>
        <w:spacing w:line="240" w:lineRule="auto"/>
        <w:ind w:left="567" w:hanging="567"/>
      </w:pPr>
      <w:r w:rsidRPr="00F04F82">
        <w:t>reduction in blood platelets which increases risk of bleeding or bruising;</w:t>
      </w:r>
    </w:p>
    <w:p w14:paraId="2F6ABEB8" w14:textId="77777777" w:rsidR="007E0028" w:rsidRPr="00F04F82" w:rsidRDefault="007E0028" w:rsidP="00840A25">
      <w:pPr>
        <w:numPr>
          <w:ilvl w:val="0"/>
          <w:numId w:val="16"/>
        </w:numPr>
        <w:spacing w:line="240" w:lineRule="auto"/>
        <w:ind w:left="567" w:hanging="567"/>
        <w:rPr>
          <w:szCs w:val="22"/>
        </w:rPr>
      </w:pPr>
      <w:r w:rsidRPr="00F04F82">
        <w:t>impaired</w:t>
      </w:r>
      <w:r w:rsidRPr="00F04F82">
        <w:rPr>
          <w:szCs w:val="22"/>
        </w:rPr>
        <w:t xml:space="preserve"> healing. </w:t>
      </w:r>
    </w:p>
    <w:p w14:paraId="2D237262" w14:textId="77777777" w:rsidR="007E0028" w:rsidRPr="00D55B59" w:rsidRDefault="007E0028" w:rsidP="00077AFF">
      <w:pPr>
        <w:pStyle w:val="Default"/>
        <w:rPr>
          <w:sz w:val="22"/>
          <w:szCs w:val="22"/>
          <w:lang w:val="en-GB"/>
          <w:rPrChange w:id="5576" w:author="Author">
            <w:rPr>
              <w:sz w:val="22"/>
              <w:szCs w:val="22"/>
            </w:rPr>
          </w:rPrChange>
        </w:rPr>
      </w:pPr>
    </w:p>
    <w:p w14:paraId="43E7F5C3" w14:textId="77777777" w:rsidR="007E0028" w:rsidRPr="00D55B59" w:rsidRDefault="007E0028" w:rsidP="00077AFF">
      <w:pPr>
        <w:pStyle w:val="Default"/>
        <w:keepNext/>
        <w:rPr>
          <w:sz w:val="22"/>
          <w:szCs w:val="22"/>
          <w:lang w:val="en-GB"/>
          <w:rPrChange w:id="5577" w:author="Author">
            <w:rPr>
              <w:sz w:val="22"/>
              <w:szCs w:val="22"/>
            </w:rPr>
          </w:rPrChange>
        </w:rPr>
      </w:pPr>
      <w:r w:rsidRPr="00D55B59">
        <w:rPr>
          <w:sz w:val="22"/>
          <w:szCs w:val="22"/>
          <w:lang w:val="en-GB"/>
          <w:rPrChange w:id="5578" w:author="Author">
            <w:rPr>
              <w:sz w:val="22"/>
              <w:szCs w:val="22"/>
            </w:rPr>
          </w:rPrChange>
        </w:rPr>
        <w:t>Uncommon (may affect up to 1 in 100 people)</w:t>
      </w:r>
    </w:p>
    <w:p w14:paraId="34CC23B7" w14:textId="77777777" w:rsidR="007E0028" w:rsidRPr="00F04F82" w:rsidRDefault="007E0028" w:rsidP="00B61D9D">
      <w:pPr>
        <w:keepNext/>
        <w:numPr>
          <w:ilvl w:val="1"/>
          <w:numId w:val="17"/>
        </w:numPr>
        <w:spacing w:line="240" w:lineRule="auto"/>
        <w:ind w:left="567" w:hanging="567"/>
      </w:pPr>
      <w:r w:rsidRPr="00F04F82">
        <w:t xml:space="preserve">opportunistic infections (which include tuberculosis and other infections that occur when resistance to disease is lowered); </w:t>
      </w:r>
    </w:p>
    <w:p w14:paraId="1682F036" w14:textId="77777777" w:rsidR="007E0028" w:rsidRPr="00F04F82" w:rsidRDefault="007E0028" w:rsidP="00B61D9D">
      <w:pPr>
        <w:numPr>
          <w:ilvl w:val="1"/>
          <w:numId w:val="17"/>
        </w:numPr>
        <w:spacing w:line="240" w:lineRule="auto"/>
        <w:ind w:left="567" w:hanging="567"/>
      </w:pPr>
      <w:r w:rsidRPr="00F04F82">
        <w:t xml:space="preserve">neurological infections (including viral meningitis); </w:t>
      </w:r>
    </w:p>
    <w:p w14:paraId="3845FB18" w14:textId="77777777" w:rsidR="007E0028" w:rsidRPr="00F04F82" w:rsidRDefault="007E0028" w:rsidP="00B61D9D">
      <w:pPr>
        <w:numPr>
          <w:ilvl w:val="1"/>
          <w:numId w:val="17"/>
        </w:numPr>
        <w:spacing w:line="240" w:lineRule="auto"/>
        <w:ind w:left="567" w:hanging="567"/>
      </w:pPr>
      <w:r w:rsidRPr="00F04F82">
        <w:t xml:space="preserve">eye infections; </w:t>
      </w:r>
    </w:p>
    <w:p w14:paraId="6FBE9963" w14:textId="77777777" w:rsidR="007E0028" w:rsidRPr="00F04F82" w:rsidRDefault="007E0028" w:rsidP="00B61D9D">
      <w:pPr>
        <w:numPr>
          <w:ilvl w:val="1"/>
          <w:numId w:val="17"/>
        </w:numPr>
        <w:spacing w:line="240" w:lineRule="auto"/>
        <w:ind w:left="567" w:hanging="567"/>
      </w:pPr>
      <w:r w:rsidRPr="00F04F82">
        <w:t xml:space="preserve">bacterial infections; </w:t>
      </w:r>
    </w:p>
    <w:p w14:paraId="7E0F6AB7" w14:textId="77777777" w:rsidR="007E0028" w:rsidRPr="00F04F82" w:rsidRDefault="007E0028" w:rsidP="00B61D9D">
      <w:pPr>
        <w:numPr>
          <w:ilvl w:val="1"/>
          <w:numId w:val="17"/>
        </w:numPr>
        <w:spacing w:line="240" w:lineRule="auto"/>
        <w:ind w:left="567" w:hanging="567"/>
      </w:pPr>
      <w:r w:rsidRPr="00F04F82">
        <w:t xml:space="preserve">diverticulitis (inflammation and infection of the large intestine); </w:t>
      </w:r>
    </w:p>
    <w:p w14:paraId="307DE325" w14:textId="77777777" w:rsidR="007E0028" w:rsidRPr="00F04F82" w:rsidRDefault="007E0028" w:rsidP="00B61D9D">
      <w:pPr>
        <w:numPr>
          <w:ilvl w:val="1"/>
          <w:numId w:val="17"/>
        </w:numPr>
        <w:spacing w:line="240" w:lineRule="auto"/>
        <w:ind w:left="567" w:hanging="567"/>
      </w:pPr>
      <w:r w:rsidRPr="00F04F82">
        <w:t xml:space="preserve">cancer, including cancer that affects the lymph system (lymphoma) and melanoma (skin cancer); </w:t>
      </w:r>
    </w:p>
    <w:p w14:paraId="687FD53C" w14:textId="77777777" w:rsidR="007E0028" w:rsidRPr="00F04F82" w:rsidRDefault="007E0028" w:rsidP="00B61D9D">
      <w:pPr>
        <w:numPr>
          <w:ilvl w:val="1"/>
          <w:numId w:val="17"/>
        </w:numPr>
        <w:spacing w:line="240" w:lineRule="auto"/>
        <w:ind w:left="567" w:hanging="567"/>
      </w:pPr>
      <w:r w:rsidRPr="00F04F82">
        <w:t xml:space="preserve">immune disorders that could affect the lungs, skin and lymph nodes (most commonly presenting as sarcoidosis); </w:t>
      </w:r>
    </w:p>
    <w:p w14:paraId="0B2453FD" w14:textId="77777777" w:rsidR="007E0028" w:rsidRPr="00F04F82" w:rsidRDefault="007E0028" w:rsidP="00B61D9D">
      <w:pPr>
        <w:numPr>
          <w:ilvl w:val="1"/>
          <w:numId w:val="17"/>
        </w:numPr>
        <w:spacing w:line="240" w:lineRule="auto"/>
        <w:ind w:left="567" w:hanging="567"/>
      </w:pPr>
      <w:r w:rsidRPr="00F04F82">
        <w:t>vasculitis (inflammation of blood vessels);</w:t>
      </w:r>
    </w:p>
    <w:p w14:paraId="0BB6C7B0" w14:textId="77777777" w:rsidR="007E0028" w:rsidRPr="00F04F82" w:rsidRDefault="007E0028" w:rsidP="00B61D9D">
      <w:pPr>
        <w:numPr>
          <w:ilvl w:val="1"/>
          <w:numId w:val="17"/>
        </w:numPr>
        <w:spacing w:line="240" w:lineRule="auto"/>
        <w:ind w:left="567" w:hanging="567"/>
      </w:pPr>
      <w:r w:rsidRPr="00F04F82">
        <w:t xml:space="preserve">tremor; </w:t>
      </w:r>
    </w:p>
    <w:p w14:paraId="7E1755F1" w14:textId="77777777" w:rsidR="007E0028" w:rsidRPr="00F04F82" w:rsidRDefault="007E0028" w:rsidP="00B61D9D">
      <w:pPr>
        <w:numPr>
          <w:ilvl w:val="1"/>
          <w:numId w:val="17"/>
        </w:numPr>
        <w:spacing w:line="240" w:lineRule="auto"/>
        <w:ind w:left="567" w:hanging="567"/>
      </w:pPr>
      <w:r w:rsidRPr="00F04F82">
        <w:t xml:space="preserve">neuropathy; </w:t>
      </w:r>
    </w:p>
    <w:p w14:paraId="604908CB" w14:textId="77777777" w:rsidR="007E0028" w:rsidRPr="00F04F82" w:rsidRDefault="007E0028" w:rsidP="00B61D9D">
      <w:pPr>
        <w:numPr>
          <w:ilvl w:val="1"/>
          <w:numId w:val="17"/>
        </w:numPr>
        <w:spacing w:line="240" w:lineRule="auto"/>
        <w:ind w:left="567" w:hanging="567"/>
      </w:pPr>
      <w:r w:rsidRPr="00F04F82">
        <w:t xml:space="preserve">stroke; </w:t>
      </w:r>
    </w:p>
    <w:p w14:paraId="6CE33287" w14:textId="77777777" w:rsidR="007E0028" w:rsidRPr="00F04F82" w:rsidRDefault="007E0028" w:rsidP="00B61D9D">
      <w:pPr>
        <w:numPr>
          <w:ilvl w:val="1"/>
          <w:numId w:val="17"/>
        </w:numPr>
        <w:spacing w:line="240" w:lineRule="auto"/>
        <w:ind w:left="567" w:hanging="567"/>
      </w:pPr>
      <w:r w:rsidRPr="00F04F82">
        <w:t xml:space="preserve">hearing loss, buzzing; </w:t>
      </w:r>
    </w:p>
    <w:p w14:paraId="63165CA0" w14:textId="77777777" w:rsidR="007E0028" w:rsidRPr="00F04F82" w:rsidRDefault="007E0028" w:rsidP="00B61D9D">
      <w:pPr>
        <w:numPr>
          <w:ilvl w:val="1"/>
          <w:numId w:val="17"/>
        </w:numPr>
        <w:spacing w:line="240" w:lineRule="auto"/>
        <w:ind w:left="567" w:hanging="567"/>
      </w:pPr>
      <w:r w:rsidRPr="00F04F82">
        <w:t xml:space="preserve">sensation of heart beating irregularly such as skipped beats; </w:t>
      </w:r>
    </w:p>
    <w:p w14:paraId="6BEC626E" w14:textId="77777777" w:rsidR="007E0028" w:rsidRPr="00F04F82" w:rsidRDefault="007E0028" w:rsidP="00B61D9D">
      <w:pPr>
        <w:numPr>
          <w:ilvl w:val="1"/>
          <w:numId w:val="17"/>
        </w:numPr>
        <w:spacing w:line="240" w:lineRule="auto"/>
        <w:ind w:left="567" w:hanging="567"/>
      </w:pPr>
      <w:r w:rsidRPr="00F04F82">
        <w:t xml:space="preserve">heart problems that can cause shortness of breath or ankle swelling; </w:t>
      </w:r>
    </w:p>
    <w:p w14:paraId="6688FCE9" w14:textId="77777777" w:rsidR="007E0028" w:rsidRPr="00F04F82" w:rsidRDefault="007E0028" w:rsidP="00B61D9D">
      <w:pPr>
        <w:numPr>
          <w:ilvl w:val="1"/>
          <w:numId w:val="17"/>
        </w:numPr>
        <w:spacing w:line="240" w:lineRule="auto"/>
        <w:ind w:left="567" w:hanging="567"/>
      </w:pPr>
      <w:r w:rsidRPr="00F04F82">
        <w:t xml:space="preserve">heart attack; </w:t>
      </w:r>
    </w:p>
    <w:p w14:paraId="305B66AA" w14:textId="77777777" w:rsidR="007E0028" w:rsidRPr="00F04F82" w:rsidRDefault="007E0028" w:rsidP="00B61D9D">
      <w:pPr>
        <w:numPr>
          <w:ilvl w:val="1"/>
          <w:numId w:val="17"/>
        </w:numPr>
        <w:spacing w:line="240" w:lineRule="auto"/>
        <w:ind w:left="567" w:hanging="567"/>
      </w:pPr>
      <w:r w:rsidRPr="00F04F82">
        <w:t xml:space="preserve">a sac in the wall of a major artery, inflammation and clot of a vein, blockage of a blood vessel; </w:t>
      </w:r>
    </w:p>
    <w:p w14:paraId="3D7E5070" w14:textId="77777777" w:rsidR="007E0028" w:rsidRPr="00F04F82" w:rsidRDefault="007E0028" w:rsidP="00B61D9D">
      <w:pPr>
        <w:numPr>
          <w:ilvl w:val="1"/>
          <w:numId w:val="17"/>
        </w:numPr>
        <w:spacing w:line="240" w:lineRule="auto"/>
        <w:ind w:left="567" w:hanging="567"/>
      </w:pPr>
      <w:r w:rsidRPr="00F04F82">
        <w:t xml:space="preserve">lung diseases causing shortness of breath (including inflammation); </w:t>
      </w:r>
    </w:p>
    <w:p w14:paraId="31E0B9DF" w14:textId="77777777" w:rsidR="007E0028" w:rsidRPr="00F04F82" w:rsidRDefault="007E0028" w:rsidP="00B61D9D">
      <w:pPr>
        <w:numPr>
          <w:ilvl w:val="1"/>
          <w:numId w:val="17"/>
        </w:numPr>
        <w:spacing w:line="240" w:lineRule="auto"/>
        <w:ind w:left="567" w:hanging="567"/>
      </w:pPr>
      <w:r w:rsidRPr="00F04F82">
        <w:t xml:space="preserve">pulmonary embolism (blockage in an artery of the lung); </w:t>
      </w:r>
    </w:p>
    <w:p w14:paraId="15476A0B" w14:textId="77777777" w:rsidR="007E0028" w:rsidRPr="00F04F82" w:rsidRDefault="007E0028" w:rsidP="00B61D9D">
      <w:pPr>
        <w:numPr>
          <w:ilvl w:val="1"/>
          <w:numId w:val="17"/>
        </w:numPr>
        <w:spacing w:line="240" w:lineRule="auto"/>
        <w:ind w:left="567" w:hanging="567"/>
      </w:pPr>
      <w:r w:rsidRPr="00F04F82">
        <w:t xml:space="preserve">pleural effusion (abnormal collection of fluid in the pleural space); </w:t>
      </w:r>
    </w:p>
    <w:p w14:paraId="6FBBED27" w14:textId="77777777" w:rsidR="007E0028" w:rsidRPr="00F04F82" w:rsidRDefault="007E0028" w:rsidP="00B61D9D">
      <w:pPr>
        <w:numPr>
          <w:ilvl w:val="1"/>
          <w:numId w:val="17"/>
        </w:numPr>
        <w:spacing w:line="240" w:lineRule="auto"/>
        <w:ind w:left="567" w:hanging="567"/>
      </w:pPr>
      <w:r w:rsidRPr="00F04F82">
        <w:t xml:space="preserve">inflammation of the pancreas which causes severe pain in the abdomen and back; </w:t>
      </w:r>
    </w:p>
    <w:p w14:paraId="1785E41C" w14:textId="77777777" w:rsidR="007E0028" w:rsidRPr="00F04F82" w:rsidRDefault="007E0028" w:rsidP="00B61D9D">
      <w:pPr>
        <w:numPr>
          <w:ilvl w:val="1"/>
          <w:numId w:val="17"/>
        </w:numPr>
        <w:spacing w:line="240" w:lineRule="auto"/>
        <w:ind w:left="567" w:hanging="567"/>
      </w:pPr>
      <w:r w:rsidRPr="00F04F82">
        <w:t xml:space="preserve">difficulty in swallowing; </w:t>
      </w:r>
    </w:p>
    <w:p w14:paraId="068CD23A" w14:textId="77777777" w:rsidR="007E0028" w:rsidRPr="00F04F82" w:rsidRDefault="007E0028" w:rsidP="00B61D9D">
      <w:pPr>
        <w:numPr>
          <w:ilvl w:val="1"/>
          <w:numId w:val="17"/>
        </w:numPr>
        <w:spacing w:line="240" w:lineRule="auto"/>
        <w:ind w:left="567" w:hanging="567"/>
      </w:pPr>
      <w:r w:rsidRPr="00F04F82">
        <w:t xml:space="preserve">facial oedema; </w:t>
      </w:r>
    </w:p>
    <w:p w14:paraId="6369BC8E" w14:textId="77777777" w:rsidR="007E0028" w:rsidRPr="00F04F82" w:rsidRDefault="007E0028" w:rsidP="00B61D9D">
      <w:pPr>
        <w:numPr>
          <w:ilvl w:val="1"/>
          <w:numId w:val="17"/>
        </w:numPr>
        <w:spacing w:line="240" w:lineRule="auto"/>
        <w:ind w:left="567" w:hanging="567"/>
      </w:pPr>
      <w:r w:rsidRPr="00F04F82">
        <w:t xml:space="preserve">gallbladder inflammation, gallbladder stones; </w:t>
      </w:r>
    </w:p>
    <w:p w14:paraId="6A738A58" w14:textId="77777777" w:rsidR="007E0028" w:rsidRPr="00F04F82" w:rsidRDefault="007E0028" w:rsidP="00B61D9D">
      <w:pPr>
        <w:numPr>
          <w:ilvl w:val="1"/>
          <w:numId w:val="17"/>
        </w:numPr>
        <w:spacing w:line="240" w:lineRule="auto"/>
        <w:ind w:left="567" w:hanging="567"/>
      </w:pPr>
      <w:r w:rsidRPr="00F04F82">
        <w:t xml:space="preserve">fatty liver; </w:t>
      </w:r>
    </w:p>
    <w:p w14:paraId="6D8F4E59" w14:textId="77777777" w:rsidR="007E0028" w:rsidRPr="00F04F82" w:rsidRDefault="007E0028" w:rsidP="00B61D9D">
      <w:pPr>
        <w:numPr>
          <w:ilvl w:val="1"/>
          <w:numId w:val="17"/>
        </w:numPr>
        <w:spacing w:line="240" w:lineRule="auto"/>
        <w:ind w:left="567" w:hanging="567"/>
      </w:pPr>
      <w:r w:rsidRPr="00F04F82">
        <w:t xml:space="preserve">night sweats; </w:t>
      </w:r>
    </w:p>
    <w:p w14:paraId="2DBD9A41" w14:textId="77777777" w:rsidR="007E0028" w:rsidRPr="00F04F82" w:rsidRDefault="007E0028" w:rsidP="00B61D9D">
      <w:pPr>
        <w:numPr>
          <w:ilvl w:val="1"/>
          <w:numId w:val="17"/>
        </w:numPr>
        <w:spacing w:line="240" w:lineRule="auto"/>
        <w:ind w:left="567" w:hanging="567"/>
      </w:pPr>
      <w:r w:rsidRPr="00F04F82">
        <w:t xml:space="preserve">scar; </w:t>
      </w:r>
    </w:p>
    <w:p w14:paraId="5DD37512" w14:textId="77777777" w:rsidR="007E0028" w:rsidRPr="00F04F82" w:rsidRDefault="007E0028" w:rsidP="00B61D9D">
      <w:pPr>
        <w:numPr>
          <w:ilvl w:val="1"/>
          <w:numId w:val="17"/>
        </w:numPr>
        <w:spacing w:line="240" w:lineRule="auto"/>
        <w:ind w:left="567" w:hanging="567"/>
      </w:pPr>
      <w:r w:rsidRPr="00F04F82">
        <w:t xml:space="preserve">abnormal muscle breakdown; </w:t>
      </w:r>
    </w:p>
    <w:p w14:paraId="143F1BFE" w14:textId="77777777" w:rsidR="007E0028" w:rsidRPr="00F04F82" w:rsidRDefault="007E0028" w:rsidP="00B61D9D">
      <w:pPr>
        <w:numPr>
          <w:ilvl w:val="1"/>
          <w:numId w:val="17"/>
        </w:numPr>
        <w:spacing w:line="240" w:lineRule="auto"/>
        <w:ind w:left="567" w:hanging="567"/>
      </w:pPr>
      <w:r w:rsidRPr="00F04F82">
        <w:t xml:space="preserve">systemic lupus erythematosus (including inflammation of skin, heart, lung, joints and other organ systems); </w:t>
      </w:r>
    </w:p>
    <w:p w14:paraId="54219AB1" w14:textId="77777777" w:rsidR="007E0028" w:rsidRPr="00F04F82" w:rsidRDefault="007E0028" w:rsidP="00B61D9D">
      <w:pPr>
        <w:numPr>
          <w:ilvl w:val="1"/>
          <w:numId w:val="17"/>
        </w:numPr>
        <w:spacing w:line="240" w:lineRule="auto"/>
        <w:ind w:left="567" w:hanging="567"/>
      </w:pPr>
      <w:r w:rsidRPr="00F04F82">
        <w:t xml:space="preserve">sleep interruptions; </w:t>
      </w:r>
    </w:p>
    <w:p w14:paraId="283853B7" w14:textId="77777777" w:rsidR="007E0028" w:rsidRPr="00F04F82" w:rsidRDefault="007E0028" w:rsidP="00B61D9D">
      <w:pPr>
        <w:numPr>
          <w:ilvl w:val="1"/>
          <w:numId w:val="17"/>
        </w:numPr>
        <w:spacing w:line="240" w:lineRule="auto"/>
        <w:ind w:left="567" w:hanging="567"/>
      </w:pPr>
      <w:r w:rsidRPr="00F04F82">
        <w:t xml:space="preserve">impotence; </w:t>
      </w:r>
    </w:p>
    <w:p w14:paraId="13F05E0A" w14:textId="77777777" w:rsidR="007E0028" w:rsidRPr="00F04F82" w:rsidRDefault="007E0028" w:rsidP="00B61D9D">
      <w:pPr>
        <w:numPr>
          <w:ilvl w:val="1"/>
          <w:numId w:val="17"/>
        </w:numPr>
        <w:spacing w:line="240" w:lineRule="auto"/>
        <w:ind w:left="567" w:hanging="567"/>
      </w:pPr>
      <w:r w:rsidRPr="00F04F82">
        <w:t xml:space="preserve">inflammations. </w:t>
      </w:r>
    </w:p>
    <w:p w14:paraId="07544ED9" w14:textId="77777777" w:rsidR="007E0028" w:rsidRPr="00F04F82" w:rsidRDefault="007E0028" w:rsidP="001D57B4">
      <w:pPr>
        <w:numPr>
          <w:ilvl w:val="12"/>
          <w:numId w:val="0"/>
        </w:numPr>
        <w:tabs>
          <w:tab w:val="clear" w:pos="567"/>
        </w:tabs>
        <w:spacing w:line="240" w:lineRule="auto"/>
        <w:outlineLvl w:val="0"/>
        <w:rPr>
          <w:b/>
          <w:szCs w:val="22"/>
        </w:rPr>
      </w:pPr>
    </w:p>
    <w:p w14:paraId="48618A90" w14:textId="0BF796E3" w:rsidR="007E0028" w:rsidRPr="00D55B59" w:rsidRDefault="007E0028" w:rsidP="001D57B4">
      <w:pPr>
        <w:pStyle w:val="Default"/>
        <w:rPr>
          <w:sz w:val="22"/>
          <w:szCs w:val="22"/>
          <w:lang w:val="en-GB"/>
          <w:rPrChange w:id="5579" w:author="Author">
            <w:rPr>
              <w:sz w:val="22"/>
              <w:szCs w:val="22"/>
            </w:rPr>
          </w:rPrChange>
        </w:rPr>
      </w:pPr>
      <w:r w:rsidRPr="00D55B59">
        <w:rPr>
          <w:sz w:val="22"/>
          <w:szCs w:val="22"/>
          <w:lang w:val="en-GB"/>
          <w:rPrChange w:id="5580" w:author="Author">
            <w:rPr>
              <w:sz w:val="22"/>
              <w:szCs w:val="22"/>
            </w:rPr>
          </w:rPrChange>
        </w:rPr>
        <w:t>Rare (may affect up to 1 in 1</w:t>
      </w:r>
      <w:r w:rsidR="00E5298B" w:rsidRPr="00D55B59">
        <w:rPr>
          <w:sz w:val="22"/>
          <w:szCs w:val="22"/>
          <w:lang w:val="en-GB"/>
          <w:rPrChange w:id="5581" w:author="Author">
            <w:rPr>
              <w:sz w:val="22"/>
              <w:szCs w:val="22"/>
            </w:rPr>
          </w:rPrChange>
        </w:rPr>
        <w:t> </w:t>
      </w:r>
      <w:r w:rsidRPr="00D55B59">
        <w:rPr>
          <w:sz w:val="22"/>
          <w:szCs w:val="22"/>
          <w:lang w:val="en-GB"/>
          <w:rPrChange w:id="5582" w:author="Author">
            <w:rPr>
              <w:sz w:val="22"/>
              <w:szCs w:val="22"/>
            </w:rPr>
          </w:rPrChange>
        </w:rPr>
        <w:t>000 people)</w:t>
      </w:r>
    </w:p>
    <w:p w14:paraId="610D84D6" w14:textId="77777777" w:rsidR="007E0028" w:rsidRPr="00F04F82" w:rsidRDefault="007E0028" w:rsidP="00B61D9D">
      <w:pPr>
        <w:numPr>
          <w:ilvl w:val="0"/>
          <w:numId w:val="18"/>
        </w:numPr>
        <w:spacing w:line="240" w:lineRule="auto"/>
        <w:ind w:left="567" w:hanging="567"/>
      </w:pPr>
      <w:r w:rsidRPr="00F04F82">
        <w:t xml:space="preserve">leukaemia (cancer affecting the blood and bone marrow); </w:t>
      </w:r>
    </w:p>
    <w:p w14:paraId="5EADED5E" w14:textId="77777777" w:rsidR="007E0028" w:rsidRPr="00F04F82" w:rsidRDefault="007E0028" w:rsidP="00B61D9D">
      <w:pPr>
        <w:numPr>
          <w:ilvl w:val="0"/>
          <w:numId w:val="18"/>
        </w:numPr>
        <w:spacing w:line="240" w:lineRule="auto"/>
        <w:ind w:left="567" w:hanging="567"/>
      </w:pPr>
      <w:r w:rsidRPr="00F04F82">
        <w:t xml:space="preserve">severe allergic reaction with shock; </w:t>
      </w:r>
    </w:p>
    <w:p w14:paraId="51781101" w14:textId="77777777" w:rsidR="007E0028" w:rsidRPr="00F04F82" w:rsidRDefault="007E0028" w:rsidP="00B61D9D">
      <w:pPr>
        <w:numPr>
          <w:ilvl w:val="0"/>
          <w:numId w:val="18"/>
        </w:numPr>
        <w:spacing w:line="240" w:lineRule="auto"/>
        <w:ind w:left="567" w:hanging="567"/>
      </w:pPr>
      <w:r w:rsidRPr="00F04F82">
        <w:t xml:space="preserve">multiple sclerosis; </w:t>
      </w:r>
    </w:p>
    <w:p w14:paraId="063135BF" w14:textId="77777777" w:rsidR="007E0028" w:rsidRPr="00F04F82" w:rsidRDefault="007E0028" w:rsidP="00B61D9D">
      <w:pPr>
        <w:numPr>
          <w:ilvl w:val="0"/>
          <w:numId w:val="18"/>
        </w:numPr>
        <w:spacing w:line="240" w:lineRule="auto"/>
        <w:ind w:left="567" w:hanging="567"/>
      </w:pPr>
      <w:r w:rsidRPr="00F04F82">
        <w:t xml:space="preserve">nerve disorders (such as eye nerve inflammation and Guillain-Barré syndrome that may cause muscle weakness, abnormal sensations, tingling in the arms and upper body); </w:t>
      </w:r>
    </w:p>
    <w:p w14:paraId="28E7A6D2" w14:textId="77777777" w:rsidR="007E0028" w:rsidRPr="00F04F82" w:rsidRDefault="007E0028" w:rsidP="00B61D9D">
      <w:pPr>
        <w:numPr>
          <w:ilvl w:val="0"/>
          <w:numId w:val="18"/>
        </w:numPr>
        <w:spacing w:line="240" w:lineRule="auto"/>
        <w:ind w:left="567" w:hanging="567"/>
      </w:pPr>
      <w:r w:rsidRPr="00F04F82">
        <w:t xml:space="preserve">heart stops pumping; </w:t>
      </w:r>
    </w:p>
    <w:p w14:paraId="59F7963C" w14:textId="77777777" w:rsidR="007E0028" w:rsidRPr="00F04F82" w:rsidRDefault="007E0028" w:rsidP="00B61D9D">
      <w:pPr>
        <w:numPr>
          <w:ilvl w:val="0"/>
          <w:numId w:val="18"/>
        </w:numPr>
        <w:spacing w:line="240" w:lineRule="auto"/>
        <w:ind w:left="567" w:hanging="567"/>
      </w:pPr>
      <w:r w:rsidRPr="00F04F82">
        <w:t xml:space="preserve">pulmonary fibrosis (scarring of the lung); </w:t>
      </w:r>
    </w:p>
    <w:p w14:paraId="0A4B74BC" w14:textId="77777777" w:rsidR="007E0028" w:rsidRPr="00F04F82" w:rsidRDefault="007E0028" w:rsidP="00B61D9D">
      <w:pPr>
        <w:numPr>
          <w:ilvl w:val="0"/>
          <w:numId w:val="18"/>
        </w:numPr>
        <w:spacing w:line="240" w:lineRule="auto"/>
        <w:ind w:left="567" w:hanging="567"/>
      </w:pPr>
      <w:r w:rsidRPr="00F04F82">
        <w:t>intestinal perforation (hole in the wall of the gut);</w:t>
      </w:r>
    </w:p>
    <w:p w14:paraId="0BCA0A38" w14:textId="77777777" w:rsidR="007E0028" w:rsidRPr="00F04F82" w:rsidRDefault="007E0028" w:rsidP="00840A25">
      <w:pPr>
        <w:numPr>
          <w:ilvl w:val="0"/>
          <w:numId w:val="16"/>
        </w:numPr>
        <w:spacing w:line="240" w:lineRule="auto"/>
        <w:ind w:left="567" w:hanging="567"/>
        <w:rPr>
          <w:szCs w:val="22"/>
        </w:rPr>
      </w:pPr>
      <w:r w:rsidRPr="00F04F82">
        <w:t>hepatitis</w:t>
      </w:r>
      <w:r w:rsidRPr="00F04F82">
        <w:rPr>
          <w:szCs w:val="22"/>
        </w:rPr>
        <w:t xml:space="preserve"> (liver inflammation); </w:t>
      </w:r>
    </w:p>
    <w:p w14:paraId="60F6C97A" w14:textId="77777777" w:rsidR="007E0028" w:rsidRPr="00F04F82" w:rsidRDefault="007E0028" w:rsidP="00B61D9D">
      <w:pPr>
        <w:numPr>
          <w:ilvl w:val="0"/>
          <w:numId w:val="19"/>
        </w:numPr>
        <w:spacing w:line="240" w:lineRule="auto"/>
        <w:ind w:left="567" w:hanging="567"/>
      </w:pPr>
      <w:r w:rsidRPr="00F04F82">
        <w:t xml:space="preserve">reactivation of hepatitis B; </w:t>
      </w:r>
    </w:p>
    <w:p w14:paraId="769C43EE" w14:textId="77777777" w:rsidR="007E0028" w:rsidRPr="00F04F82" w:rsidRDefault="007E0028" w:rsidP="00B61D9D">
      <w:pPr>
        <w:numPr>
          <w:ilvl w:val="0"/>
          <w:numId w:val="19"/>
        </w:numPr>
        <w:spacing w:line="240" w:lineRule="auto"/>
        <w:ind w:left="567" w:hanging="567"/>
      </w:pPr>
      <w:r w:rsidRPr="00F04F82">
        <w:t>autoimmune hepatitis (inflammation of the liver caused by the body's own immune system);</w:t>
      </w:r>
    </w:p>
    <w:p w14:paraId="63E6EFE7" w14:textId="77777777" w:rsidR="007E0028" w:rsidRPr="00F04F82" w:rsidRDefault="007E0028" w:rsidP="00B61D9D">
      <w:pPr>
        <w:numPr>
          <w:ilvl w:val="0"/>
          <w:numId w:val="19"/>
        </w:numPr>
        <w:spacing w:line="240" w:lineRule="auto"/>
        <w:ind w:left="567" w:hanging="567"/>
      </w:pPr>
      <w:r w:rsidRPr="00F04F82">
        <w:t xml:space="preserve">cutaneous vasculitis (inflammation of blood vessels in the skin); </w:t>
      </w:r>
    </w:p>
    <w:p w14:paraId="2D8E673B" w14:textId="3153968B" w:rsidR="007E0028" w:rsidRPr="00F04F82" w:rsidRDefault="007E0028" w:rsidP="00B61D9D">
      <w:pPr>
        <w:numPr>
          <w:ilvl w:val="0"/>
          <w:numId w:val="19"/>
        </w:numPr>
        <w:spacing w:line="240" w:lineRule="auto"/>
        <w:ind w:left="567" w:hanging="567"/>
      </w:pPr>
      <w:r w:rsidRPr="00F04F82">
        <w:t xml:space="preserve">Stevens-Johnson syndrome (life-threatening reaction with flu-like symptoms and blistering rash); </w:t>
      </w:r>
    </w:p>
    <w:p w14:paraId="4B1B1501" w14:textId="77777777" w:rsidR="007E0028" w:rsidRPr="00F04F82" w:rsidRDefault="007E0028" w:rsidP="00B61D9D">
      <w:pPr>
        <w:numPr>
          <w:ilvl w:val="0"/>
          <w:numId w:val="19"/>
        </w:numPr>
        <w:spacing w:line="240" w:lineRule="auto"/>
        <w:ind w:left="567" w:hanging="567"/>
      </w:pPr>
      <w:r w:rsidRPr="00F04F82">
        <w:t xml:space="preserve">facial oedema associated with allergic reactions; </w:t>
      </w:r>
    </w:p>
    <w:p w14:paraId="6901A7A5" w14:textId="77777777" w:rsidR="007E0028" w:rsidRPr="00247EF0" w:rsidRDefault="007E0028" w:rsidP="00B61D9D">
      <w:pPr>
        <w:numPr>
          <w:ilvl w:val="0"/>
          <w:numId w:val="19"/>
        </w:numPr>
        <w:spacing w:line="240" w:lineRule="auto"/>
        <w:ind w:left="567" w:hanging="567"/>
        <w:rPr>
          <w:lang w:val="it-IT"/>
        </w:rPr>
      </w:pPr>
      <w:r w:rsidRPr="00247EF0">
        <w:rPr>
          <w:lang w:val="it-IT"/>
        </w:rPr>
        <w:t xml:space="preserve">erythema multiforme (inflammatory skin rash); </w:t>
      </w:r>
    </w:p>
    <w:p w14:paraId="7F894E70" w14:textId="77777777" w:rsidR="007E0028" w:rsidRPr="00F04F82" w:rsidRDefault="007E0028" w:rsidP="00B61D9D">
      <w:pPr>
        <w:numPr>
          <w:ilvl w:val="0"/>
          <w:numId w:val="19"/>
        </w:numPr>
        <w:spacing w:line="240" w:lineRule="auto"/>
        <w:ind w:left="567" w:hanging="567"/>
      </w:pPr>
      <w:r w:rsidRPr="00F04F82">
        <w:t>lupus-like syndrome;</w:t>
      </w:r>
    </w:p>
    <w:p w14:paraId="5193154C" w14:textId="77777777" w:rsidR="007E0028" w:rsidRPr="00F04F82" w:rsidRDefault="007E0028" w:rsidP="00B61D9D">
      <w:pPr>
        <w:keepNext/>
        <w:keepLines/>
        <w:numPr>
          <w:ilvl w:val="0"/>
          <w:numId w:val="19"/>
        </w:numPr>
        <w:spacing w:line="240" w:lineRule="auto"/>
        <w:ind w:left="567" w:hanging="567"/>
      </w:pPr>
      <w:r w:rsidRPr="00F04F82">
        <w:t>angioedema (localised swelling of the skin);</w:t>
      </w:r>
    </w:p>
    <w:p w14:paraId="12A4F322" w14:textId="77777777" w:rsidR="007E0028" w:rsidRPr="00F04F82" w:rsidRDefault="007E0028" w:rsidP="00B61D9D">
      <w:pPr>
        <w:numPr>
          <w:ilvl w:val="0"/>
          <w:numId w:val="19"/>
        </w:numPr>
        <w:spacing w:line="240" w:lineRule="auto"/>
        <w:ind w:left="567" w:hanging="567"/>
      </w:pPr>
      <w:r w:rsidRPr="00F04F82">
        <w:t>lichenoid skin reaction (itchy reddish-purple skin rash).</w:t>
      </w:r>
    </w:p>
    <w:p w14:paraId="5D100FC1" w14:textId="77777777" w:rsidR="007E0028" w:rsidRPr="00D55B59" w:rsidRDefault="007E0028" w:rsidP="007E0028">
      <w:pPr>
        <w:pStyle w:val="Default"/>
        <w:rPr>
          <w:sz w:val="22"/>
          <w:szCs w:val="22"/>
          <w:lang w:val="en-GB"/>
          <w:rPrChange w:id="5583" w:author="Author">
            <w:rPr>
              <w:sz w:val="22"/>
              <w:szCs w:val="22"/>
            </w:rPr>
          </w:rPrChange>
        </w:rPr>
      </w:pPr>
    </w:p>
    <w:p w14:paraId="4C3945FD" w14:textId="77777777" w:rsidR="007E0028" w:rsidRPr="00D55B59" w:rsidRDefault="007E0028" w:rsidP="001D57B4">
      <w:pPr>
        <w:pStyle w:val="Default"/>
        <w:rPr>
          <w:sz w:val="22"/>
          <w:szCs w:val="22"/>
          <w:lang w:val="en-GB"/>
          <w:rPrChange w:id="5584" w:author="Author">
            <w:rPr>
              <w:sz w:val="22"/>
              <w:szCs w:val="22"/>
            </w:rPr>
          </w:rPrChange>
        </w:rPr>
      </w:pPr>
      <w:r w:rsidRPr="00D55B59">
        <w:rPr>
          <w:sz w:val="22"/>
          <w:szCs w:val="22"/>
          <w:lang w:val="en-GB"/>
          <w:rPrChange w:id="5585" w:author="Author">
            <w:rPr>
              <w:sz w:val="22"/>
              <w:szCs w:val="22"/>
            </w:rPr>
          </w:rPrChange>
        </w:rPr>
        <w:t>Not known (frequency cannot be estimated from available data)</w:t>
      </w:r>
    </w:p>
    <w:p w14:paraId="4C3EE3CF" w14:textId="77777777" w:rsidR="007E0028" w:rsidRPr="00F04F82" w:rsidRDefault="007E0028" w:rsidP="00B61D9D">
      <w:pPr>
        <w:numPr>
          <w:ilvl w:val="0"/>
          <w:numId w:val="20"/>
        </w:numPr>
        <w:spacing w:line="240" w:lineRule="auto"/>
        <w:ind w:left="567" w:hanging="567"/>
      </w:pPr>
      <w:r w:rsidRPr="00F04F82">
        <w:t xml:space="preserve">hepatosplenic T-cell lymphoma (a rare blood cancer that is often fatal); </w:t>
      </w:r>
    </w:p>
    <w:p w14:paraId="23B6616E" w14:textId="77777777" w:rsidR="007E0028" w:rsidRPr="00F04F82" w:rsidRDefault="007E0028" w:rsidP="00B61D9D">
      <w:pPr>
        <w:numPr>
          <w:ilvl w:val="0"/>
          <w:numId w:val="20"/>
        </w:numPr>
        <w:spacing w:line="240" w:lineRule="auto"/>
        <w:ind w:left="567" w:hanging="567"/>
      </w:pPr>
      <w:r w:rsidRPr="00F04F82">
        <w:t>Merkel cell carcinoma (a type of skin cancer);</w:t>
      </w:r>
    </w:p>
    <w:p w14:paraId="26C47BA6" w14:textId="77777777" w:rsidR="007E0028" w:rsidRPr="00F04F82" w:rsidRDefault="007E0028" w:rsidP="00B61D9D">
      <w:pPr>
        <w:numPr>
          <w:ilvl w:val="0"/>
          <w:numId w:val="20"/>
        </w:numPr>
        <w:spacing w:line="240" w:lineRule="auto"/>
        <w:ind w:left="567" w:hanging="567"/>
      </w:pPr>
      <w:r w:rsidRPr="00F04F82">
        <w:t xml:space="preserve">Kaposi’s sarcoma, a rare cancer related to infection with human herpes virus 8. Kaposi’s sarcoma most commonly appears as purple lesions on the skin; </w:t>
      </w:r>
    </w:p>
    <w:p w14:paraId="5AC85C1B" w14:textId="77777777" w:rsidR="007E0028" w:rsidRPr="00F04F82" w:rsidRDefault="007E0028" w:rsidP="00B61D9D">
      <w:pPr>
        <w:numPr>
          <w:ilvl w:val="0"/>
          <w:numId w:val="20"/>
        </w:numPr>
        <w:spacing w:line="240" w:lineRule="auto"/>
        <w:ind w:left="567" w:hanging="567"/>
      </w:pPr>
      <w:r w:rsidRPr="00F04F82">
        <w:t xml:space="preserve">liver failure; </w:t>
      </w:r>
    </w:p>
    <w:p w14:paraId="5382589D" w14:textId="77777777" w:rsidR="007E0028" w:rsidRPr="00F04F82" w:rsidRDefault="007E0028" w:rsidP="00B61D9D">
      <w:pPr>
        <w:numPr>
          <w:ilvl w:val="0"/>
          <w:numId w:val="20"/>
        </w:numPr>
        <w:spacing w:line="240" w:lineRule="auto"/>
        <w:ind w:left="567" w:hanging="567"/>
      </w:pPr>
      <w:r w:rsidRPr="00F04F82">
        <w:t>worsening of a condition called dermatomyositis (seen as a skin rash accompanying muscle weakness);</w:t>
      </w:r>
    </w:p>
    <w:p w14:paraId="4A8E72F3" w14:textId="77777777" w:rsidR="007E0028" w:rsidRPr="00F04F82" w:rsidRDefault="007E0028" w:rsidP="00B61D9D">
      <w:pPr>
        <w:numPr>
          <w:ilvl w:val="0"/>
          <w:numId w:val="20"/>
        </w:numPr>
        <w:spacing w:line="240" w:lineRule="auto"/>
        <w:ind w:left="567" w:hanging="567"/>
      </w:pPr>
      <w:r w:rsidRPr="00F04F82">
        <w:t xml:space="preserve">weight gain (for most patients, the weight gain was small). </w:t>
      </w:r>
    </w:p>
    <w:p w14:paraId="55DCAE0A" w14:textId="77777777" w:rsidR="007E0028" w:rsidRPr="00F04F82" w:rsidRDefault="007E0028" w:rsidP="001D57B4">
      <w:pPr>
        <w:numPr>
          <w:ilvl w:val="12"/>
          <w:numId w:val="0"/>
        </w:numPr>
        <w:tabs>
          <w:tab w:val="clear" w:pos="567"/>
        </w:tabs>
        <w:spacing w:line="240" w:lineRule="auto"/>
        <w:outlineLvl w:val="0"/>
        <w:rPr>
          <w:b/>
          <w:szCs w:val="22"/>
        </w:rPr>
      </w:pPr>
    </w:p>
    <w:p w14:paraId="0E0DA6B4" w14:textId="77777777" w:rsidR="007E0028" w:rsidRPr="00D55B59" w:rsidRDefault="007E0028" w:rsidP="001D57B4">
      <w:pPr>
        <w:pStyle w:val="Default"/>
        <w:keepNext/>
        <w:rPr>
          <w:sz w:val="22"/>
          <w:szCs w:val="22"/>
          <w:lang w:val="en-GB"/>
          <w:rPrChange w:id="5586" w:author="Author">
            <w:rPr>
              <w:sz w:val="22"/>
              <w:szCs w:val="22"/>
            </w:rPr>
          </w:rPrChange>
        </w:rPr>
      </w:pPr>
      <w:r w:rsidRPr="00D55B59">
        <w:rPr>
          <w:sz w:val="22"/>
          <w:szCs w:val="22"/>
          <w:lang w:val="en-GB"/>
          <w:rPrChange w:id="5587" w:author="Author">
            <w:rPr>
              <w:sz w:val="22"/>
              <w:szCs w:val="22"/>
            </w:rPr>
          </w:rPrChange>
        </w:rPr>
        <w:t xml:space="preserve">Some side effects observed with adalimumab may not have symptoms and may only be discovered through blood tests. These include: </w:t>
      </w:r>
    </w:p>
    <w:p w14:paraId="3CC0FE8A" w14:textId="77777777" w:rsidR="007E0028" w:rsidRPr="00D55B59" w:rsidRDefault="007E0028" w:rsidP="001D57B4">
      <w:pPr>
        <w:pStyle w:val="Default"/>
        <w:rPr>
          <w:sz w:val="22"/>
          <w:szCs w:val="22"/>
          <w:lang w:val="en-GB"/>
          <w:rPrChange w:id="5588" w:author="Author">
            <w:rPr>
              <w:sz w:val="22"/>
              <w:szCs w:val="22"/>
            </w:rPr>
          </w:rPrChange>
        </w:rPr>
      </w:pPr>
    </w:p>
    <w:p w14:paraId="52F1C1FC" w14:textId="77777777" w:rsidR="007E0028" w:rsidRPr="00D55B59" w:rsidRDefault="007E0028" w:rsidP="001D57B4">
      <w:pPr>
        <w:pStyle w:val="Default"/>
        <w:rPr>
          <w:sz w:val="22"/>
          <w:szCs w:val="22"/>
          <w:lang w:val="en-GB"/>
          <w:rPrChange w:id="5589" w:author="Author">
            <w:rPr>
              <w:sz w:val="22"/>
              <w:szCs w:val="22"/>
            </w:rPr>
          </w:rPrChange>
        </w:rPr>
      </w:pPr>
      <w:r w:rsidRPr="00D55B59">
        <w:rPr>
          <w:sz w:val="22"/>
          <w:szCs w:val="22"/>
          <w:lang w:val="en-GB"/>
          <w:rPrChange w:id="5590" w:author="Author">
            <w:rPr>
              <w:sz w:val="22"/>
              <w:szCs w:val="22"/>
            </w:rPr>
          </w:rPrChange>
        </w:rPr>
        <w:t>Very common (may affect more than 1 in 10 people)</w:t>
      </w:r>
    </w:p>
    <w:p w14:paraId="1FABAFD3" w14:textId="77777777" w:rsidR="007E0028" w:rsidRPr="00F04F82" w:rsidRDefault="007E0028" w:rsidP="00B61D9D">
      <w:pPr>
        <w:numPr>
          <w:ilvl w:val="0"/>
          <w:numId w:val="21"/>
        </w:numPr>
        <w:spacing w:line="240" w:lineRule="auto"/>
        <w:ind w:left="567" w:hanging="567"/>
      </w:pPr>
      <w:r w:rsidRPr="00F04F82">
        <w:t xml:space="preserve">low blood measurements for white blood cells; </w:t>
      </w:r>
    </w:p>
    <w:p w14:paraId="1884EBE0" w14:textId="77777777" w:rsidR="007E0028" w:rsidRPr="00F04F82" w:rsidRDefault="007E0028" w:rsidP="00B61D9D">
      <w:pPr>
        <w:numPr>
          <w:ilvl w:val="0"/>
          <w:numId w:val="21"/>
        </w:numPr>
        <w:spacing w:line="240" w:lineRule="auto"/>
        <w:ind w:left="567" w:hanging="567"/>
      </w:pPr>
      <w:r w:rsidRPr="00F04F82">
        <w:t xml:space="preserve">low blood measurements for red blood cells; </w:t>
      </w:r>
    </w:p>
    <w:p w14:paraId="3E59A905" w14:textId="77777777" w:rsidR="007E0028" w:rsidRPr="00F04F82" w:rsidRDefault="007E0028" w:rsidP="00B61D9D">
      <w:pPr>
        <w:numPr>
          <w:ilvl w:val="0"/>
          <w:numId w:val="21"/>
        </w:numPr>
        <w:spacing w:line="240" w:lineRule="auto"/>
        <w:ind w:left="567" w:hanging="567"/>
      </w:pPr>
      <w:r w:rsidRPr="00F04F82">
        <w:t xml:space="preserve">increased lipids in the blood; </w:t>
      </w:r>
    </w:p>
    <w:p w14:paraId="10B60AF2" w14:textId="77777777" w:rsidR="007E0028" w:rsidRPr="00F04F82" w:rsidRDefault="007E0028" w:rsidP="00B61D9D">
      <w:pPr>
        <w:numPr>
          <w:ilvl w:val="0"/>
          <w:numId w:val="21"/>
        </w:numPr>
        <w:spacing w:line="240" w:lineRule="auto"/>
        <w:ind w:left="567" w:hanging="567"/>
      </w:pPr>
      <w:r w:rsidRPr="00F04F82">
        <w:t xml:space="preserve">elevated liver enzymes. </w:t>
      </w:r>
    </w:p>
    <w:p w14:paraId="32CEAF7F" w14:textId="77777777" w:rsidR="007E0028" w:rsidRPr="00D55B59" w:rsidRDefault="007E0028" w:rsidP="001D57B4">
      <w:pPr>
        <w:pStyle w:val="Default"/>
        <w:rPr>
          <w:sz w:val="22"/>
          <w:szCs w:val="22"/>
          <w:lang w:val="en-GB"/>
          <w:rPrChange w:id="5591" w:author="Author">
            <w:rPr>
              <w:sz w:val="22"/>
              <w:szCs w:val="22"/>
            </w:rPr>
          </w:rPrChange>
        </w:rPr>
      </w:pPr>
    </w:p>
    <w:p w14:paraId="3E2F5CD9" w14:textId="77777777" w:rsidR="007E0028" w:rsidRPr="00D55B59" w:rsidRDefault="007E0028" w:rsidP="001D57B4">
      <w:pPr>
        <w:pStyle w:val="Default"/>
        <w:rPr>
          <w:sz w:val="22"/>
          <w:szCs w:val="22"/>
          <w:lang w:val="en-GB"/>
          <w:rPrChange w:id="5592" w:author="Author">
            <w:rPr>
              <w:sz w:val="22"/>
              <w:szCs w:val="22"/>
            </w:rPr>
          </w:rPrChange>
        </w:rPr>
      </w:pPr>
      <w:r w:rsidRPr="00D55B59">
        <w:rPr>
          <w:sz w:val="22"/>
          <w:szCs w:val="22"/>
          <w:lang w:val="en-GB"/>
          <w:rPrChange w:id="5593" w:author="Author">
            <w:rPr>
              <w:sz w:val="22"/>
              <w:szCs w:val="22"/>
            </w:rPr>
          </w:rPrChange>
        </w:rPr>
        <w:t>Common (may affect up to 1 in 10 people)</w:t>
      </w:r>
    </w:p>
    <w:p w14:paraId="3A09D623" w14:textId="77777777" w:rsidR="007E0028" w:rsidRPr="00F04F82" w:rsidRDefault="007E0028" w:rsidP="00B61D9D">
      <w:pPr>
        <w:numPr>
          <w:ilvl w:val="0"/>
          <w:numId w:val="22"/>
        </w:numPr>
        <w:spacing w:line="240" w:lineRule="auto"/>
        <w:ind w:left="567" w:hanging="567"/>
      </w:pPr>
      <w:r w:rsidRPr="00F04F82">
        <w:t xml:space="preserve">high blood measurements for white blood cells; </w:t>
      </w:r>
    </w:p>
    <w:p w14:paraId="2668C65F" w14:textId="77777777" w:rsidR="007E0028" w:rsidRPr="00F04F82" w:rsidRDefault="007E0028" w:rsidP="00B61D9D">
      <w:pPr>
        <w:numPr>
          <w:ilvl w:val="0"/>
          <w:numId w:val="22"/>
        </w:numPr>
        <w:spacing w:line="240" w:lineRule="auto"/>
        <w:ind w:left="567" w:hanging="567"/>
      </w:pPr>
      <w:r w:rsidRPr="00F04F82">
        <w:t xml:space="preserve">low blood measurements for platelets; </w:t>
      </w:r>
    </w:p>
    <w:p w14:paraId="1C8EF332" w14:textId="77777777" w:rsidR="007E0028" w:rsidRPr="00F04F82" w:rsidRDefault="007E0028" w:rsidP="00B61D9D">
      <w:pPr>
        <w:numPr>
          <w:ilvl w:val="0"/>
          <w:numId w:val="22"/>
        </w:numPr>
        <w:spacing w:line="240" w:lineRule="auto"/>
        <w:ind w:left="567" w:hanging="567"/>
      </w:pPr>
      <w:r w:rsidRPr="00F04F82">
        <w:t xml:space="preserve">increased uric acid in the blood; </w:t>
      </w:r>
    </w:p>
    <w:p w14:paraId="33147FFC" w14:textId="77777777" w:rsidR="007E0028" w:rsidRPr="00F04F82" w:rsidRDefault="007E0028" w:rsidP="00B61D9D">
      <w:pPr>
        <w:numPr>
          <w:ilvl w:val="0"/>
          <w:numId w:val="22"/>
        </w:numPr>
        <w:spacing w:line="240" w:lineRule="auto"/>
        <w:ind w:left="567" w:hanging="567"/>
      </w:pPr>
      <w:r w:rsidRPr="00F04F82">
        <w:t xml:space="preserve">abnormal blood measurements for sodium; </w:t>
      </w:r>
    </w:p>
    <w:p w14:paraId="347EB094" w14:textId="77777777" w:rsidR="007E0028" w:rsidRPr="00F04F82" w:rsidRDefault="007E0028" w:rsidP="00B61D9D">
      <w:pPr>
        <w:numPr>
          <w:ilvl w:val="0"/>
          <w:numId w:val="22"/>
        </w:numPr>
        <w:spacing w:line="240" w:lineRule="auto"/>
        <w:ind w:left="567" w:hanging="567"/>
      </w:pPr>
      <w:r w:rsidRPr="00F04F82">
        <w:t xml:space="preserve">low blood measurements for calcium; </w:t>
      </w:r>
    </w:p>
    <w:p w14:paraId="7B48E2EC" w14:textId="77777777" w:rsidR="007E0028" w:rsidRPr="00F04F82" w:rsidRDefault="007E0028" w:rsidP="00B61D9D">
      <w:pPr>
        <w:numPr>
          <w:ilvl w:val="0"/>
          <w:numId w:val="22"/>
        </w:numPr>
        <w:spacing w:line="240" w:lineRule="auto"/>
        <w:ind w:left="567" w:hanging="567"/>
      </w:pPr>
      <w:r w:rsidRPr="00F04F82">
        <w:t xml:space="preserve">low blood measurements for phosphate; </w:t>
      </w:r>
    </w:p>
    <w:p w14:paraId="36366AAD" w14:textId="77777777" w:rsidR="007E0028" w:rsidRPr="00F04F82" w:rsidRDefault="007E0028" w:rsidP="00B61D9D">
      <w:pPr>
        <w:numPr>
          <w:ilvl w:val="0"/>
          <w:numId w:val="22"/>
        </w:numPr>
        <w:spacing w:line="240" w:lineRule="auto"/>
        <w:ind w:left="567" w:hanging="567"/>
      </w:pPr>
      <w:r w:rsidRPr="00F04F82">
        <w:t xml:space="preserve">high blood sugar; </w:t>
      </w:r>
    </w:p>
    <w:p w14:paraId="60A73AE6" w14:textId="77777777" w:rsidR="007E0028" w:rsidRPr="00F04F82" w:rsidRDefault="007E0028" w:rsidP="00B61D9D">
      <w:pPr>
        <w:numPr>
          <w:ilvl w:val="0"/>
          <w:numId w:val="22"/>
        </w:numPr>
        <w:spacing w:line="240" w:lineRule="auto"/>
        <w:ind w:left="567" w:hanging="567"/>
      </w:pPr>
      <w:r w:rsidRPr="00F04F82">
        <w:t xml:space="preserve">high blood measurements for lactate dehydrogenase; </w:t>
      </w:r>
    </w:p>
    <w:p w14:paraId="0A8B7169" w14:textId="77777777" w:rsidR="007E0028" w:rsidRPr="00F04F82" w:rsidRDefault="007E0028" w:rsidP="00B61D9D">
      <w:pPr>
        <w:numPr>
          <w:ilvl w:val="0"/>
          <w:numId w:val="22"/>
        </w:numPr>
        <w:spacing w:line="240" w:lineRule="auto"/>
        <w:ind w:left="567" w:hanging="567"/>
      </w:pPr>
      <w:r w:rsidRPr="00F04F82">
        <w:t xml:space="preserve">autoantibodies present in the blood; </w:t>
      </w:r>
    </w:p>
    <w:p w14:paraId="228A732E" w14:textId="77777777" w:rsidR="007E0028" w:rsidRPr="00F04F82" w:rsidRDefault="007E0028" w:rsidP="00840A25">
      <w:pPr>
        <w:numPr>
          <w:ilvl w:val="0"/>
          <w:numId w:val="16"/>
        </w:numPr>
        <w:spacing w:line="240" w:lineRule="auto"/>
        <w:ind w:left="567" w:hanging="567"/>
      </w:pPr>
      <w:r w:rsidRPr="00F04F82">
        <w:t>low blood potassium.</w:t>
      </w:r>
    </w:p>
    <w:p w14:paraId="347181BB" w14:textId="77777777" w:rsidR="007E0028" w:rsidRPr="00D55B59" w:rsidRDefault="007E0028" w:rsidP="001D57B4">
      <w:pPr>
        <w:pStyle w:val="Default"/>
        <w:rPr>
          <w:sz w:val="22"/>
          <w:szCs w:val="22"/>
          <w:lang w:val="en-GB"/>
          <w:rPrChange w:id="5594" w:author="Author">
            <w:rPr>
              <w:sz w:val="22"/>
              <w:szCs w:val="22"/>
            </w:rPr>
          </w:rPrChange>
        </w:rPr>
      </w:pPr>
    </w:p>
    <w:p w14:paraId="018AAA7F" w14:textId="77777777" w:rsidR="007E0028" w:rsidRPr="00F04F82" w:rsidRDefault="007E0028" w:rsidP="00B61D9D">
      <w:pPr>
        <w:spacing w:line="240" w:lineRule="auto"/>
        <w:rPr>
          <w:szCs w:val="22"/>
        </w:rPr>
      </w:pPr>
      <w:r w:rsidRPr="00F04F82">
        <w:rPr>
          <w:szCs w:val="22"/>
        </w:rPr>
        <w:t>Uncommon (may affect up to 1 in 100 people)</w:t>
      </w:r>
    </w:p>
    <w:p w14:paraId="3FBB6928" w14:textId="77777777" w:rsidR="007E0028" w:rsidRPr="00F04F82" w:rsidRDefault="007E0028" w:rsidP="001D57B4">
      <w:pPr>
        <w:pStyle w:val="ListParagraph"/>
        <w:numPr>
          <w:ilvl w:val="0"/>
          <w:numId w:val="27"/>
        </w:numPr>
        <w:tabs>
          <w:tab w:val="left" w:pos="540"/>
        </w:tabs>
        <w:suppressAutoHyphens/>
        <w:ind w:hanging="720"/>
        <w:contextualSpacing w:val="0"/>
        <w:rPr>
          <w:sz w:val="22"/>
          <w:szCs w:val="22"/>
        </w:rPr>
      </w:pPr>
      <w:r w:rsidRPr="00F04F82">
        <w:rPr>
          <w:sz w:val="22"/>
          <w:szCs w:val="22"/>
        </w:rPr>
        <w:t>elevated bilirubin measurement (liver blood test).</w:t>
      </w:r>
    </w:p>
    <w:p w14:paraId="13BE0504" w14:textId="77777777" w:rsidR="007E0028" w:rsidRPr="00D55B59" w:rsidRDefault="007E0028" w:rsidP="001D57B4">
      <w:pPr>
        <w:pStyle w:val="Default"/>
        <w:rPr>
          <w:sz w:val="22"/>
          <w:szCs w:val="22"/>
          <w:lang w:val="en-GB"/>
          <w:rPrChange w:id="5595" w:author="Author">
            <w:rPr>
              <w:sz w:val="22"/>
              <w:szCs w:val="22"/>
            </w:rPr>
          </w:rPrChange>
        </w:rPr>
      </w:pPr>
    </w:p>
    <w:p w14:paraId="7BD33574" w14:textId="34644620" w:rsidR="007E0028" w:rsidRPr="00D55B59" w:rsidRDefault="007E0028" w:rsidP="001D57B4">
      <w:pPr>
        <w:pStyle w:val="Default"/>
        <w:rPr>
          <w:sz w:val="22"/>
          <w:szCs w:val="22"/>
          <w:lang w:val="en-GB"/>
          <w:rPrChange w:id="5596" w:author="Author">
            <w:rPr>
              <w:sz w:val="22"/>
              <w:szCs w:val="22"/>
            </w:rPr>
          </w:rPrChange>
        </w:rPr>
      </w:pPr>
      <w:r w:rsidRPr="00D55B59">
        <w:rPr>
          <w:sz w:val="22"/>
          <w:szCs w:val="22"/>
          <w:lang w:val="en-GB"/>
          <w:rPrChange w:id="5597" w:author="Author">
            <w:rPr>
              <w:sz w:val="22"/>
              <w:szCs w:val="22"/>
            </w:rPr>
          </w:rPrChange>
        </w:rPr>
        <w:t>Rare (may affect up to 1 in 1</w:t>
      </w:r>
      <w:r w:rsidR="00E5298B" w:rsidRPr="00D55B59">
        <w:rPr>
          <w:sz w:val="22"/>
          <w:szCs w:val="22"/>
          <w:lang w:val="en-GB"/>
          <w:rPrChange w:id="5598" w:author="Author">
            <w:rPr>
              <w:sz w:val="22"/>
              <w:szCs w:val="22"/>
            </w:rPr>
          </w:rPrChange>
        </w:rPr>
        <w:t> </w:t>
      </w:r>
      <w:r w:rsidRPr="00D55B59">
        <w:rPr>
          <w:sz w:val="22"/>
          <w:szCs w:val="22"/>
          <w:lang w:val="en-GB"/>
          <w:rPrChange w:id="5599" w:author="Author">
            <w:rPr>
              <w:sz w:val="22"/>
              <w:szCs w:val="22"/>
            </w:rPr>
          </w:rPrChange>
        </w:rPr>
        <w:t>000 people)</w:t>
      </w:r>
    </w:p>
    <w:p w14:paraId="70B69C86" w14:textId="77777777" w:rsidR="007E0028" w:rsidRPr="00F04F82" w:rsidRDefault="007E0028" w:rsidP="00B61D9D">
      <w:pPr>
        <w:numPr>
          <w:ilvl w:val="0"/>
          <w:numId w:val="23"/>
        </w:numPr>
        <w:spacing w:line="240" w:lineRule="auto"/>
        <w:ind w:left="567" w:hanging="567"/>
      </w:pPr>
      <w:r w:rsidRPr="00F04F82">
        <w:t xml:space="preserve">low blood measurements for white blood cells, red blood cells and platelet count. </w:t>
      </w:r>
    </w:p>
    <w:p w14:paraId="289FA469" w14:textId="77777777" w:rsidR="007E0028" w:rsidRPr="00D55B59" w:rsidRDefault="007E0028" w:rsidP="001D57B4">
      <w:pPr>
        <w:pStyle w:val="Default"/>
        <w:rPr>
          <w:sz w:val="22"/>
          <w:szCs w:val="22"/>
          <w:lang w:val="en-GB"/>
          <w:rPrChange w:id="5600" w:author="Author">
            <w:rPr>
              <w:sz w:val="22"/>
              <w:szCs w:val="22"/>
            </w:rPr>
          </w:rPrChange>
        </w:rPr>
      </w:pPr>
    </w:p>
    <w:p w14:paraId="0F7320FF" w14:textId="6E3BE17E" w:rsidR="007E0028" w:rsidRPr="00F04F82" w:rsidRDefault="007E0028" w:rsidP="00B61D9D">
      <w:pPr>
        <w:keepNext/>
        <w:numPr>
          <w:ilvl w:val="12"/>
          <w:numId w:val="0"/>
        </w:numPr>
        <w:spacing w:line="240" w:lineRule="auto"/>
        <w:outlineLvl w:val="0"/>
        <w:rPr>
          <w:b/>
          <w:szCs w:val="22"/>
          <w:lang w:eastAsia="zh-TW"/>
        </w:rPr>
      </w:pPr>
      <w:r w:rsidRPr="00F04F82">
        <w:rPr>
          <w:b/>
          <w:szCs w:val="22"/>
        </w:rPr>
        <w:t>Reporting of side effects</w:t>
      </w:r>
      <w:r w:rsidR="001C55FB" w:rsidRPr="00F04F82">
        <w:rPr>
          <w:b/>
          <w:szCs w:val="22"/>
        </w:rPr>
        <w:fldChar w:fldCharType="begin"/>
      </w:r>
      <w:r w:rsidR="001C55FB" w:rsidRPr="00F04F82">
        <w:rPr>
          <w:b/>
          <w:szCs w:val="22"/>
        </w:rPr>
        <w:instrText xml:space="preserve"> DOCVARIABLE vault_nd_9c77fcdc-41d2-4ab2-80cc-bba7efaf3429 \* MERGEFORMAT </w:instrText>
      </w:r>
      <w:r w:rsidR="001C55FB" w:rsidRPr="00F04F82">
        <w:rPr>
          <w:b/>
          <w:szCs w:val="22"/>
        </w:rPr>
        <w:fldChar w:fldCharType="separate"/>
      </w:r>
      <w:r w:rsidR="001C55FB" w:rsidRPr="00F04F82">
        <w:rPr>
          <w:b/>
          <w:szCs w:val="22"/>
        </w:rPr>
        <w:t xml:space="preserve"> </w:t>
      </w:r>
      <w:r w:rsidR="001C55FB" w:rsidRPr="00F04F82">
        <w:rPr>
          <w:b/>
          <w:szCs w:val="22"/>
        </w:rPr>
        <w:fldChar w:fldCharType="end"/>
      </w:r>
    </w:p>
    <w:p w14:paraId="4EC589BD" w14:textId="77777777" w:rsidR="007E0028" w:rsidRPr="00F04F82" w:rsidRDefault="007E0028" w:rsidP="00B61D9D">
      <w:pPr>
        <w:keepNext/>
        <w:numPr>
          <w:ilvl w:val="12"/>
          <w:numId w:val="0"/>
        </w:numPr>
        <w:spacing w:line="240" w:lineRule="auto"/>
        <w:outlineLvl w:val="0"/>
        <w:rPr>
          <w:b/>
          <w:szCs w:val="22"/>
          <w:lang w:eastAsia="zh-TW"/>
        </w:rPr>
      </w:pPr>
    </w:p>
    <w:p w14:paraId="0B41ECDB" w14:textId="240CE3DD" w:rsidR="007E0028" w:rsidRPr="00F04F82" w:rsidRDefault="007E0028" w:rsidP="001D57B4">
      <w:pPr>
        <w:pStyle w:val="BodytextAgency"/>
        <w:rPr>
          <w:sz w:val="22"/>
          <w:lang w:val="en-GB"/>
        </w:rPr>
      </w:pPr>
      <w:r w:rsidRPr="00F04F82">
        <w:rPr>
          <w:sz w:val="22"/>
          <w:szCs w:val="22"/>
          <w:lang w:val="en-GB"/>
        </w:rPr>
        <w:t>If you get any side effects, talk to your doctor or pharmacist. This includes any possible side effects not listed in this leaflet.</w:t>
      </w:r>
      <w:r w:rsidRPr="00F04F82">
        <w:rPr>
          <w:szCs w:val="22"/>
          <w:lang w:val="en-GB"/>
        </w:rPr>
        <w:t xml:space="preserve"> </w:t>
      </w:r>
      <w:r w:rsidRPr="00F04F82">
        <w:rPr>
          <w:sz w:val="22"/>
          <w:szCs w:val="22"/>
          <w:lang w:val="en-GB"/>
        </w:rPr>
        <w:t xml:space="preserve">You can also report side effects directly via </w:t>
      </w:r>
      <w:r>
        <w:rPr>
          <w:sz w:val="22"/>
          <w:szCs w:val="22"/>
          <w:highlight w:val="lightGray"/>
          <w:lang w:val="en-GB"/>
        </w:rPr>
        <w:t xml:space="preserve">the national reporting system listed in </w:t>
      </w:r>
      <w:r w:rsidRPr="00D55B59">
        <w:rPr>
          <w:lang w:val="en-GB"/>
          <w:rPrChange w:id="5601" w:author="Author">
            <w:rPr/>
          </w:rPrChange>
        </w:rPr>
        <w:fldChar w:fldCharType="begin"/>
      </w:r>
      <w:r w:rsidRPr="00D55B59">
        <w:rPr>
          <w:lang w:val="en-GB"/>
          <w:rPrChange w:id="5602" w:author="Author">
            <w:rPr/>
          </w:rPrChange>
        </w:rPr>
        <w:instrText>HYPERLINK "https://www.ema.europa.eu/documents/template-form/qrd-appendix-v-adverse-drug-reaction-reporting-details_en.docx"</w:instrText>
      </w:r>
      <w:r w:rsidRPr="0054063C">
        <w:rPr>
          <w:lang w:val="en-GB"/>
        </w:rPr>
      </w:r>
      <w:r w:rsidRPr="00D55B59">
        <w:rPr>
          <w:lang w:val="en-GB"/>
          <w:rPrChange w:id="5603" w:author="Author">
            <w:rPr/>
          </w:rPrChange>
        </w:rPr>
        <w:fldChar w:fldCharType="separate"/>
      </w:r>
      <w:r>
        <w:rPr>
          <w:rStyle w:val="Hyperlink"/>
          <w:sz w:val="22"/>
          <w:szCs w:val="22"/>
          <w:highlight w:val="lightGray"/>
          <w:lang w:val="en-GB"/>
        </w:rPr>
        <w:t>Appendix V</w:t>
      </w:r>
      <w:r w:rsidRPr="00D55B59">
        <w:rPr>
          <w:lang w:val="en-GB"/>
          <w:rPrChange w:id="5604" w:author="Author">
            <w:rPr/>
          </w:rPrChange>
        </w:rPr>
        <w:fldChar w:fldCharType="end"/>
      </w:r>
      <w:r w:rsidRPr="00F04F82">
        <w:rPr>
          <w:sz w:val="22"/>
          <w:lang w:val="en-GB"/>
        </w:rPr>
        <w:t>. By reporting side effects you can help provide more information on the safety of this medicine.</w:t>
      </w:r>
    </w:p>
    <w:p w14:paraId="7B285530" w14:textId="77777777" w:rsidR="007E0028" w:rsidRPr="00F04F82" w:rsidRDefault="007E0028" w:rsidP="00B61D9D">
      <w:pPr>
        <w:autoSpaceDE w:val="0"/>
        <w:autoSpaceDN w:val="0"/>
        <w:adjustRightInd w:val="0"/>
        <w:spacing w:line="240" w:lineRule="auto"/>
        <w:rPr>
          <w:szCs w:val="22"/>
        </w:rPr>
      </w:pPr>
    </w:p>
    <w:p w14:paraId="55590527" w14:textId="77777777" w:rsidR="007E0028" w:rsidRPr="00F04F82" w:rsidRDefault="007E0028" w:rsidP="00B61D9D">
      <w:pPr>
        <w:autoSpaceDE w:val="0"/>
        <w:autoSpaceDN w:val="0"/>
        <w:adjustRightInd w:val="0"/>
        <w:spacing w:line="240" w:lineRule="auto"/>
        <w:rPr>
          <w:szCs w:val="22"/>
        </w:rPr>
      </w:pPr>
    </w:p>
    <w:p w14:paraId="5327869A" w14:textId="77777777" w:rsidR="007E0028" w:rsidRPr="00F04F82" w:rsidRDefault="007E0028" w:rsidP="001D57B4">
      <w:pPr>
        <w:keepNext/>
        <w:numPr>
          <w:ilvl w:val="12"/>
          <w:numId w:val="0"/>
        </w:numPr>
        <w:tabs>
          <w:tab w:val="clear" w:pos="567"/>
        </w:tabs>
        <w:spacing w:line="240" w:lineRule="auto"/>
        <w:ind w:left="567" w:right="-2" w:hanging="567"/>
        <w:rPr>
          <w:b/>
          <w:szCs w:val="22"/>
        </w:rPr>
      </w:pPr>
      <w:r w:rsidRPr="00F04F82">
        <w:rPr>
          <w:b/>
          <w:szCs w:val="22"/>
        </w:rPr>
        <w:t>5.</w:t>
      </w:r>
      <w:r w:rsidRPr="00F04F82">
        <w:rPr>
          <w:b/>
          <w:szCs w:val="22"/>
        </w:rPr>
        <w:tab/>
        <w:t>How to store AMGEVITA</w:t>
      </w:r>
    </w:p>
    <w:p w14:paraId="2E63AF31" w14:textId="77777777" w:rsidR="007E0028" w:rsidRPr="00F04F82" w:rsidRDefault="007E0028" w:rsidP="001D57B4">
      <w:pPr>
        <w:keepNext/>
        <w:numPr>
          <w:ilvl w:val="12"/>
          <w:numId w:val="0"/>
        </w:numPr>
        <w:tabs>
          <w:tab w:val="clear" w:pos="567"/>
        </w:tabs>
        <w:spacing w:line="240" w:lineRule="auto"/>
        <w:ind w:right="-2"/>
        <w:rPr>
          <w:szCs w:val="22"/>
        </w:rPr>
      </w:pPr>
    </w:p>
    <w:p w14:paraId="4144BE32" w14:textId="77777777" w:rsidR="007E0028" w:rsidRPr="00F04F82" w:rsidRDefault="007E0028" w:rsidP="001D57B4">
      <w:pPr>
        <w:keepNext/>
        <w:numPr>
          <w:ilvl w:val="12"/>
          <w:numId w:val="0"/>
        </w:numPr>
        <w:tabs>
          <w:tab w:val="clear" w:pos="567"/>
        </w:tabs>
        <w:spacing w:line="240" w:lineRule="auto"/>
        <w:ind w:right="-2"/>
        <w:rPr>
          <w:szCs w:val="22"/>
        </w:rPr>
      </w:pPr>
      <w:r w:rsidRPr="00F04F82">
        <w:rPr>
          <w:szCs w:val="22"/>
        </w:rPr>
        <w:t xml:space="preserve">Keep </w:t>
      </w:r>
      <w:r w:rsidRPr="00F04F82">
        <w:t xml:space="preserve">this medicine </w:t>
      </w:r>
      <w:r w:rsidRPr="00F04F82">
        <w:rPr>
          <w:szCs w:val="22"/>
        </w:rPr>
        <w:t>out of the sight and reach of children.</w:t>
      </w:r>
    </w:p>
    <w:p w14:paraId="05416460" w14:textId="77777777" w:rsidR="007E0028" w:rsidRPr="00F04F82" w:rsidRDefault="007E0028" w:rsidP="001D57B4">
      <w:pPr>
        <w:keepNext/>
        <w:suppressLineNumbers/>
        <w:spacing w:line="240" w:lineRule="auto"/>
        <w:rPr>
          <w:color w:val="000000"/>
          <w:szCs w:val="22"/>
        </w:rPr>
      </w:pPr>
    </w:p>
    <w:p w14:paraId="38B4730B" w14:textId="77777777" w:rsidR="007E0028" w:rsidRPr="00F04F82" w:rsidRDefault="007E0028" w:rsidP="001D57B4">
      <w:pPr>
        <w:numPr>
          <w:ilvl w:val="12"/>
          <w:numId w:val="0"/>
        </w:numPr>
        <w:tabs>
          <w:tab w:val="clear" w:pos="567"/>
        </w:tabs>
        <w:spacing w:line="240" w:lineRule="auto"/>
        <w:ind w:right="-2"/>
        <w:rPr>
          <w:szCs w:val="22"/>
        </w:rPr>
      </w:pPr>
      <w:r w:rsidRPr="00F04F82">
        <w:rPr>
          <w:szCs w:val="22"/>
        </w:rPr>
        <w:t>Do not use this medicine after the expiry date which is stated on the label and carton after EXP. The expiry date refers to the last day of that month.</w:t>
      </w:r>
    </w:p>
    <w:p w14:paraId="7DAE415D" w14:textId="77777777" w:rsidR="007E0028" w:rsidRPr="00F04F82" w:rsidRDefault="007E0028" w:rsidP="001D57B4">
      <w:pPr>
        <w:numPr>
          <w:ilvl w:val="12"/>
          <w:numId w:val="0"/>
        </w:numPr>
        <w:tabs>
          <w:tab w:val="clear" w:pos="567"/>
        </w:tabs>
        <w:spacing w:line="240" w:lineRule="auto"/>
        <w:ind w:right="-2"/>
        <w:rPr>
          <w:szCs w:val="22"/>
        </w:rPr>
      </w:pPr>
    </w:p>
    <w:p w14:paraId="210E7ADB" w14:textId="77777777" w:rsidR="007E0028" w:rsidRPr="00F04F82" w:rsidRDefault="007E0028" w:rsidP="001D57B4">
      <w:pPr>
        <w:keepNext/>
        <w:suppressLineNumbers/>
        <w:spacing w:line="240" w:lineRule="auto"/>
        <w:rPr>
          <w:szCs w:val="22"/>
        </w:rPr>
      </w:pPr>
      <w:r w:rsidRPr="00F04F82">
        <w:rPr>
          <w:color w:val="000000"/>
          <w:szCs w:val="22"/>
        </w:rPr>
        <w:t>Store in a refrigerator (2</w:t>
      </w:r>
      <w:r w:rsidRPr="00F04F82">
        <w:rPr>
          <w:color w:val="000000"/>
          <w:szCs w:val="22"/>
        </w:rPr>
        <w:sym w:font="Symbol" w:char="F0B0"/>
      </w:r>
      <w:r w:rsidRPr="00F04F82">
        <w:rPr>
          <w:color w:val="000000"/>
          <w:szCs w:val="22"/>
        </w:rPr>
        <w:t>C – 8</w:t>
      </w:r>
      <w:r w:rsidRPr="00F04F82">
        <w:rPr>
          <w:color w:val="000000"/>
          <w:szCs w:val="22"/>
        </w:rPr>
        <w:sym w:font="Symbol" w:char="F0B0"/>
      </w:r>
      <w:r w:rsidRPr="00F04F82">
        <w:rPr>
          <w:color w:val="000000"/>
          <w:szCs w:val="22"/>
        </w:rPr>
        <w:t xml:space="preserve">C). Do not freeze. </w:t>
      </w:r>
    </w:p>
    <w:p w14:paraId="438BF6F4" w14:textId="77777777" w:rsidR="007E0028" w:rsidRPr="00F04F82" w:rsidRDefault="007E0028" w:rsidP="001D57B4">
      <w:pPr>
        <w:numPr>
          <w:ilvl w:val="12"/>
          <w:numId w:val="0"/>
        </w:numPr>
        <w:tabs>
          <w:tab w:val="clear" w:pos="567"/>
        </w:tabs>
        <w:spacing w:line="240" w:lineRule="auto"/>
        <w:ind w:right="-2"/>
        <w:rPr>
          <w:color w:val="000000"/>
          <w:szCs w:val="22"/>
        </w:rPr>
      </w:pPr>
    </w:p>
    <w:p w14:paraId="6B8DCED9" w14:textId="77777777" w:rsidR="007E0028" w:rsidRPr="00F04F82" w:rsidRDefault="007E0028" w:rsidP="001D57B4">
      <w:pPr>
        <w:numPr>
          <w:ilvl w:val="12"/>
          <w:numId w:val="0"/>
        </w:numPr>
        <w:tabs>
          <w:tab w:val="clear" w:pos="567"/>
        </w:tabs>
        <w:spacing w:line="240" w:lineRule="auto"/>
        <w:ind w:right="-2"/>
        <w:rPr>
          <w:szCs w:val="22"/>
        </w:rPr>
      </w:pPr>
      <w:r w:rsidRPr="00F04F82">
        <w:rPr>
          <w:szCs w:val="22"/>
        </w:rPr>
        <w:t xml:space="preserve">Store in the original carton in order to protect from light. </w:t>
      </w:r>
    </w:p>
    <w:p w14:paraId="3A453D5D" w14:textId="77777777" w:rsidR="007E0028" w:rsidRPr="00F04F82" w:rsidRDefault="007E0028" w:rsidP="001D57B4">
      <w:pPr>
        <w:keepNext/>
        <w:suppressLineNumbers/>
        <w:spacing w:line="240" w:lineRule="auto"/>
        <w:rPr>
          <w:szCs w:val="22"/>
        </w:rPr>
      </w:pPr>
    </w:p>
    <w:p w14:paraId="0D4FED3C" w14:textId="77777777" w:rsidR="007E0028" w:rsidRPr="00F04F82" w:rsidRDefault="007E0028" w:rsidP="001D57B4">
      <w:pPr>
        <w:keepNext/>
        <w:suppressLineNumbers/>
        <w:spacing w:line="240" w:lineRule="auto"/>
        <w:rPr>
          <w:szCs w:val="22"/>
        </w:rPr>
      </w:pPr>
      <w:r w:rsidRPr="00F04F82">
        <w:rPr>
          <w:szCs w:val="22"/>
        </w:rPr>
        <w:t>A single AMGEVITA pre-filled pen may be stored at temperatures up to a maximum of 25°C for a period of up to 14 days. The pre-filled pen must be protected from light, and discarded if not used within the 14-day period.</w:t>
      </w:r>
    </w:p>
    <w:p w14:paraId="4E4CBF1C" w14:textId="77777777" w:rsidR="007E0028" w:rsidRPr="00F04F82" w:rsidRDefault="007E0028" w:rsidP="001D57B4">
      <w:pPr>
        <w:numPr>
          <w:ilvl w:val="12"/>
          <w:numId w:val="0"/>
        </w:numPr>
        <w:tabs>
          <w:tab w:val="clear" w:pos="567"/>
        </w:tabs>
        <w:spacing w:line="240" w:lineRule="auto"/>
        <w:ind w:right="-2"/>
        <w:rPr>
          <w:szCs w:val="22"/>
        </w:rPr>
      </w:pPr>
    </w:p>
    <w:p w14:paraId="714C645E" w14:textId="77777777" w:rsidR="007E0028" w:rsidRPr="00F04F82" w:rsidRDefault="007E0028" w:rsidP="001D57B4">
      <w:pPr>
        <w:spacing w:line="240" w:lineRule="auto"/>
        <w:rPr>
          <w:i/>
          <w:iCs/>
          <w:szCs w:val="22"/>
        </w:rPr>
      </w:pPr>
      <w:r w:rsidRPr="00F04F82">
        <w:rPr>
          <w:szCs w:val="22"/>
        </w:rPr>
        <w:t xml:space="preserve">Do not </w:t>
      </w:r>
      <w:r w:rsidRPr="00F04F82">
        <w:t xml:space="preserve">throw away any medicines </w:t>
      </w:r>
      <w:r w:rsidRPr="00F04F82">
        <w:rPr>
          <w:szCs w:val="22"/>
        </w:rPr>
        <w:t xml:space="preserve">via wastewater or household waste. Ask your pharmacist how to </w:t>
      </w:r>
      <w:r w:rsidRPr="00F04F82">
        <w:t xml:space="preserve">throw away </w:t>
      </w:r>
      <w:r w:rsidRPr="00F04F82">
        <w:rPr>
          <w:szCs w:val="22"/>
        </w:rPr>
        <w:t xml:space="preserve">medicines you no longer use. These measures will help protect the environment. </w:t>
      </w:r>
    </w:p>
    <w:p w14:paraId="1AB36A21" w14:textId="77777777" w:rsidR="007E0028" w:rsidRPr="00F04F82" w:rsidRDefault="007E0028" w:rsidP="001D57B4">
      <w:pPr>
        <w:numPr>
          <w:ilvl w:val="12"/>
          <w:numId w:val="0"/>
        </w:numPr>
        <w:tabs>
          <w:tab w:val="clear" w:pos="567"/>
        </w:tabs>
        <w:spacing w:line="240" w:lineRule="auto"/>
        <w:ind w:right="-2"/>
        <w:rPr>
          <w:szCs w:val="22"/>
        </w:rPr>
      </w:pPr>
    </w:p>
    <w:p w14:paraId="6FFB30C1" w14:textId="77777777" w:rsidR="007E0028" w:rsidRPr="00F04F82" w:rsidRDefault="007E0028" w:rsidP="001D57B4">
      <w:pPr>
        <w:numPr>
          <w:ilvl w:val="12"/>
          <w:numId w:val="0"/>
        </w:numPr>
        <w:tabs>
          <w:tab w:val="clear" w:pos="567"/>
        </w:tabs>
        <w:spacing w:line="240" w:lineRule="auto"/>
        <w:ind w:right="-2"/>
        <w:rPr>
          <w:szCs w:val="22"/>
        </w:rPr>
      </w:pPr>
    </w:p>
    <w:p w14:paraId="128A41DE" w14:textId="77777777" w:rsidR="007E0028" w:rsidRPr="00F04F82" w:rsidRDefault="007E0028" w:rsidP="00B61D9D">
      <w:pPr>
        <w:keepNext/>
        <w:numPr>
          <w:ilvl w:val="12"/>
          <w:numId w:val="0"/>
        </w:numPr>
        <w:spacing w:line="240" w:lineRule="auto"/>
        <w:ind w:left="567" w:hanging="567"/>
        <w:rPr>
          <w:b/>
        </w:rPr>
      </w:pPr>
      <w:r w:rsidRPr="00F04F82">
        <w:rPr>
          <w:b/>
        </w:rPr>
        <w:t>6.</w:t>
      </w:r>
      <w:r w:rsidRPr="00F04F82">
        <w:rPr>
          <w:b/>
        </w:rPr>
        <w:tab/>
        <w:t>Contents of the pack and other information</w:t>
      </w:r>
    </w:p>
    <w:p w14:paraId="5D0DAEE6" w14:textId="77777777" w:rsidR="007E0028" w:rsidRPr="00F04F82" w:rsidRDefault="007E0028" w:rsidP="001D57B4">
      <w:pPr>
        <w:keepNext/>
        <w:numPr>
          <w:ilvl w:val="12"/>
          <w:numId w:val="0"/>
        </w:numPr>
        <w:tabs>
          <w:tab w:val="clear" w:pos="567"/>
        </w:tabs>
        <w:spacing w:line="240" w:lineRule="auto"/>
      </w:pPr>
    </w:p>
    <w:p w14:paraId="70FB91CE" w14:textId="77777777" w:rsidR="007E0028" w:rsidRPr="00F04F82" w:rsidRDefault="007E0028" w:rsidP="001D57B4">
      <w:pPr>
        <w:keepNext/>
        <w:numPr>
          <w:ilvl w:val="12"/>
          <w:numId w:val="0"/>
        </w:numPr>
        <w:tabs>
          <w:tab w:val="clear" w:pos="567"/>
        </w:tabs>
        <w:spacing w:line="240" w:lineRule="auto"/>
        <w:ind w:right="-2"/>
        <w:rPr>
          <w:b/>
        </w:rPr>
      </w:pPr>
      <w:r w:rsidRPr="00F04F82">
        <w:rPr>
          <w:b/>
        </w:rPr>
        <w:t xml:space="preserve">What </w:t>
      </w:r>
      <w:r w:rsidRPr="00F04F82">
        <w:rPr>
          <w:b/>
          <w:szCs w:val="22"/>
        </w:rPr>
        <w:t>AMGEVITA</w:t>
      </w:r>
      <w:r w:rsidRPr="00F04F82">
        <w:rPr>
          <w:b/>
        </w:rPr>
        <w:t xml:space="preserve"> contains </w:t>
      </w:r>
    </w:p>
    <w:p w14:paraId="7E158D62" w14:textId="18DA891C" w:rsidR="007E0028" w:rsidRPr="00F04F82" w:rsidRDefault="007E0028" w:rsidP="001D57B4">
      <w:pPr>
        <w:keepNext/>
        <w:numPr>
          <w:ilvl w:val="0"/>
          <w:numId w:val="4"/>
        </w:numPr>
        <w:tabs>
          <w:tab w:val="clear" w:pos="567"/>
        </w:tabs>
        <w:spacing w:line="240" w:lineRule="auto"/>
        <w:ind w:left="567" w:right="-2" w:hanging="567"/>
        <w:rPr>
          <w:i/>
          <w:iCs/>
          <w:szCs w:val="22"/>
        </w:rPr>
      </w:pPr>
      <w:r w:rsidRPr="00F04F82">
        <w:t xml:space="preserve">The active substance is </w:t>
      </w:r>
      <w:r w:rsidRPr="00F04F82">
        <w:rPr>
          <w:szCs w:val="22"/>
        </w:rPr>
        <w:t xml:space="preserve">adalimumab. Each pre-filled pen contains </w:t>
      </w:r>
      <w:r w:rsidR="0064003F" w:rsidRPr="00F04F82">
        <w:rPr>
          <w:szCs w:val="22"/>
        </w:rPr>
        <w:t>80</w:t>
      </w:r>
      <w:r w:rsidRPr="00F04F82">
        <w:rPr>
          <w:szCs w:val="22"/>
        </w:rPr>
        <w:t> mg of adalimumab in 0.</w:t>
      </w:r>
      <w:r w:rsidR="0064003F" w:rsidRPr="00F04F82">
        <w:rPr>
          <w:szCs w:val="22"/>
        </w:rPr>
        <w:t>8</w:t>
      </w:r>
      <w:r w:rsidRPr="00F04F82">
        <w:rPr>
          <w:szCs w:val="22"/>
        </w:rPr>
        <w:t> mL of solution.</w:t>
      </w:r>
    </w:p>
    <w:p w14:paraId="1BDDEB0E" w14:textId="77777777" w:rsidR="007E0028" w:rsidRPr="00F04F82" w:rsidRDefault="007E0028" w:rsidP="001D57B4">
      <w:pPr>
        <w:numPr>
          <w:ilvl w:val="0"/>
          <w:numId w:val="4"/>
        </w:numPr>
        <w:tabs>
          <w:tab w:val="clear" w:pos="567"/>
        </w:tabs>
        <w:spacing w:line="240" w:lineRule="auto"/>
        <w:ind w:left="567" w:hanging="567"/>
        <w:rPr>
          <w:szCs w:val="22"/>
        </w:rPr>
      </w:pPr>
      <w:r w:rsidRPr="00F04F82">
        <w:rPr>
          <w:szCs w:val="22"/>
        </w:rPr>
        <w:t xml:space="preserve">The other ingredients are L-lactic acid, sucrose, polysorbate 80, </w:t>
      </w:r>
      <w:r w:rsidRPr="00F04F82">
        <w:rPr>
          <w:szCs w:val="22"/>
          <w:lang w:eastAsia="en-GB"/>
        </w:rPr>
        <w:t xml:space="preserve">sodium hydroxide </w:t>
      </w:r>
      <w:r w:rsidRPr="00F04F82">
        <w:rPr>
          <w:szCs w:val="22"/>
        </w:rPr>
        <w:t>and water for injections.</w:t>
      </w:r>
    </w:p>
    <w:p w14:paraId="2B8F34B4" w14:textId="77777777" w:rsidR="007E0028" w:rsidRPr="00F04F82" w:rsidRDefault="007E0028" w:rsidP="001D57B4">
      <w:pPr>
        <w:tabs>
          <w:tab w:val="clear" w:pos="567"/>
        </w:tabs>
        <w:spacing w:line="240" w:lineRule="auto"/>
        <w:rPr>
          <w:szCs w:val="22"/>
        </w:rPr>
      </w:pPr>
    </w:p>
    <w:p w14:paraId="2FE5B535" w14:textId="77777777" w:rsidR="007E0028" w:rsidRPr="00F04F82" w:rsidRDefault="007E0028" w:rsidP="001D57B4">
      <w:pPr>
        <w:keepNext/>
        <w:numPr>
          <w:ilvl w:val="12"/>
          <w:numId w:val="0"/>
        </w:numPr>
        <w:tabs>
          <w:tab w:val="clear" w:pos="567"/>
        </w:tabs>
        <w:spacing w:line="240" w:lineRule="auto"/>
        <w:ind w:right="-2"/>
        <w:rPr>
          <w:b/>
        </w:rPr>
      </w:pPr>
      <w:r w:rsidRPr="00F04F82">
        <w:rPr>
          <w:b/>
        </w:rPr>
        <w:t xml:space="preserve">What </w:t>
      </w:r>
      <w:r w:rsidRPr="00F04F82">
        <w:rPr>
          <w:b/>
          <w:szCs w:val="22"/>
        </w:rPr>
        <w:t>AMGEVITA</w:t>
      </w:r>
      <w:r w:rsidRPr="00F04F82">
        <w:rPr>
          <w:b/>
        </w:rPr>
        <w:t xml:space="preserve"> looks like and contents of the pack</w:t>
      </w:r>
    </w:p>
    <w:p w14:paraId="1A65879A" w14:textId="77777777" w:rsidR="007E0028" w:rsidRPr="00F04F82" w:rsidRDefault="007E0028" w:rsidP="001D57B4">
      <w:pPr>
        <w:keepNext/>
        <w:numPr>
          <w:ilvl w:val="12"/>
          <w:numId w:val="0"/>
        </w:numPr>
        <w:tabs>
          <w:tab w:val="clear" w:pos="567"/>
        </w:tabs>
        <w:spacing w:line="240" w:lineRule="auto"/>
        <w:rPr>
          <w:szCs w:val="22"/>
        </w:rPr>
      </w:pPr>
    </w:p>
    <w:p w14:paraId="440FCE26" w14:textId="77777777" w:rsidR="007E0028" w:rsidRPr="00F04F82" w:rsidRDefault="007E0028" w:rsidP="001D57B4">
      <w:pPr>
        <w:keepNext/>
        <w:tabs>
          <w:tab w:val="clear" w:pos="567"/>
        </w:tabs>
        <w:autoSpaceDE w:val="0"/>
        <w:autoSpaceDN w:val="0"/>
        <w:adjustRightInd w:val="0"/>
        <w:spacing w:line="240" w:lineRule="auto"/>
        <w:rPr>
          <w:szCs w:val="22"/>
        </w:rPr>
      </w:pPr>
      <w:r w:rsidRPr="00F04F82">
        <w:rPr>
          <w:szCs w:val="22"/>
        </w:rPr>
        <w:t xml:space="preserve">AMGEVITA is a clear </w:t>
      </w:r>
      <w:r w:rsidRPr="00F04F82">
        <w:rPr>
          <w:rFonts w:eastAsia="Calibri"/>
          <w:bCs/>
          <w:szCs w:val="22"/>
        </w:rPr>
        <w:t>and colourless to slightly yellow</w:t>
      </w:r>
      <w:r w:rsidRPr="00F04F82">
        <w:rPr>
          <w:szCs w:val="22"/>
        </w:rPr>
        <w:t xml:space="preserve"> solution.</w:t>
      </w:r>
    </w:p>
    <w:p w14:paraId="2D647247" w14:textId="77777777" w:rsidR="007E0028" w:rsidRPr="00F04F82" w:rsidRDefault="007E0028" w:rsidP="001D57B4">
      <w:pPr>
        <w:keepNext/>
        <w:tabs>
          <w:tab w:val="clear" w:pos="567"/>
        </w:tabs>
        <w:autoSpaceDE w:val="0"/>
        <w:autoSpaceDN w:val="0"/>
        <w:adjustRightInd w:val="0"/>
        <w:spacing w:line="240" w:lineRule="auto"/>
        <w:rPr>
          <w:szCs w:val="22"/>
        </w:rPr>
      </w:pPr>
    </w:p>
    <w:p w14:paraId="49E6DC27" w14:textId="77777777" w:rsidR="007E0028" w:rsidRPr="00F04F82" w:rsidRDefault="007E0028" w:rsidP="001D57B4">
      <w:pPr>
        <w:tabs>
          <w:tab w:val="clear" w:pos="567"/>
        </w:tabs>
        <w:autoSpaceDE w:val="0"/>
        <w:autoSpaceDN w:val="0"/>
        <w:adjustRightInd w:val="0"/>
        <w:spacing w:line="240" w:lineRule="auto"/>
        <w:rPr>
          <w:szCs w:val="22"/>
          <w:highlight w:val="yellow"/>
        </w:rPr>
      </w:pPr>
      <w:r w:rsidRPr="00F04F82">
        <w:rPr>
          <w:szCs w:val="22"/>
        </w:rPr>
        <w:t xml:space="preserve">Each pack contains 1, 2, or 3 single use 80 mg SureClick pre-filled pens. </w:t>
      </w:r>
    </w:p>
    <w:p w14:paraId="389898D7" w14:textId="77777777" w:rsidR="007E0028" w:rsidRPr="00F04F82" w:rsidRDefault="007E0028" w:rsidP="001D57B4">
      <w:pPr>
        <w:numPr>
          <w:ilvl w:val="12"/>
          <w:numId w:val="0"/>
        </w:numPr>
        <w:tabs>
          <w:tab w:val="clear" w:pos="567"/>
        </w:tabs>
        <w:spacing w:line="240" w:lineRule="auto"/>
        <w:rPr>
          <w:szCs w:val="22"/>
          <w:highlight w:val="yellow"/>
        </w:rPr>
      </w:pPr>
    </w:p>
    <w:p w14:paraId="512C38C9" w14:textId="77777777" w:rsidR="007E0028" w:rsidRPr="00D55B59" w:rsidRDefault="007E0028" w:rsidP="00C75BDD">
      <w:pPr>
        <w:pStyle w:val="lbltxt"/>
        <w:rPr>
          <w:noProof w:val="0"/>
          <w:lang w:val="en-GB"/>
          <w:rPrChange w:id="5605" w:author="Author">
            <w:rPr>
              <w:noProof w:val="0"/>
            </w:rPr>
          </w:rPrChange>
        </w:rPr>
      </w:pPr>
      <w:r w:rsidRPr="00D55B59">
        <w:rPr>
          <w:b/>
          <w:bCs/>
          <w:noProof w:val="0"/>
          <w:lang w:val="en-GB"/>
          <w:rPrChange w:id="5606" w:author="Author">
            <w:rPr>
              <w:b/>
              <w:bCs/>
              <w:noProof w:val="0"/>
            </w:rPr>
          </w:rPrChange>
        </w:rPr>
        <w:t>Marketing Authorisation Holder and Manufacturer</w:t>
      </w:r>
    </w:p>
    <w:p w14:paraId="288B5834" w14:textId="77777777" w:rsidR="007E0028" w:rsidRPr="00D55B59" w:rsidRDefault="007E0028" w:rsidP="00C75BDD">
      <w:pPr>
        <w:pStyle w:val="lbltxt"/>
        <w:rPr>
          <w:noProof w:val="0"/>
          <w:lang w:val="en-GB"/>
          <w:rPrChange w:id="5607" w:author="Author">
            <w:rPr>
              <w:noProof w:val="0"/>
            </w:rPr>
          </w:rPrChange>
        </w:rPr>
      </w:pPr>
      <w:r w:rsidRPr="00D55B59">
        <w:rPr>
          <w:noProof w:val="0"/>
          <w:lang w:val="en-GB"/>
          <w:rPrChange w:id="5608" w:author="Author">
            <w:rPr>
              <w:noProof w:val="0"/>
            </w:rPr>
          </w:rPrChange>
        </w:rPr>
        <w:t xml:space="preserve">Amgen Europe B.V. </w:t>
      </w:r>
      <w:r w:rsidRPr="00D55B59">
        <w:rPr>
          <w:noProof w:val="0"/>
          <w:lang w:val="en-GB"/>
          <w:rPrChange w:id="5609" w:author="Author">
            <w:rPr>
              <w:noProof w:val="0"/>
            </w:rPr>
          </w:rPrChange>
        </w:rPr>
        <w:br/>
        <w:t xml:space="preserve">Minervum 7061 </w:t>
      </w:r>
      <w:r w:rsidRPr="00D55B59">
        <w:rPr>
          <w:noProof w:val="0"/>
          <w:lang w:val="en-GB"/>
          <w:rPrChange w:id="5610" w:author="Author">
            <w:rPr>
              <w:noProof w:val="0"/>
            </w:rPr>
          </w:rPrChange>
        </w:rPr>
        <w:br/>
        <w:t xml:space="preserve">4817 ZK Breda </w:t>
      </w:r>
      <w:r w:rsidRPr="00D55B59">
        <w:rPr>
          <w:noProof w:val="0"/>
          <w:lang w:val="en-GB"/>
          <w:rPrChange w:id="5611" w:author="Author">
            <w:rPr>
              <w:noProof w:val="0"/>
            </w:rPr>
          </w:rPrChange>
        </w:rPr>
        <w:br/>
        <w:t>The Netherlands</w:t>
      </w:r>
    </w:p>
    <w:p w14:paraId="04C38CEC" w14:textId="77777777" w:rsidR="007E0028" w:rsidRPr="00D55B59" w:rsidRDefault="007E0028" w:rsidP="001D57B4">
      <w:pPr>
        <w:pStyle w:val="lbltxt"/>
        <w:keepNext/>
        <w:rPr>
          <w:noProof w:val="0"/>
          <w:lang w:val="en-GB"/>
          <w:rPrChange w:id="5612" w:author="Author">
            <w:rPr>
              <w:noProof w:val="0"/>
            </w:rPr>
          </w:rPrChange>
        </w:rPr>
      </w:pPr>
    </w:p>
    <w:p w14:paraId="5D01FEE4" w14:textId="77777777" w:rsidR="007E0028" w:rsidRPr="00D55B59" w:rsidRDefault="007E0028" w:rsidP="001D57B4">
      <w:pPr>
        <w:pStyle w:val="lbltxt"/>
        <w:keepNext/>
        <w:keepLines/>
        <w:rPr>
          <w:b/>
          <w:bCs/>
          <w:noProof w:val="0"/>
          <w:highlight w:val="lightGray"/>
          <w:lang w:val="en-GB"/>
          <w:rPrChange w:id="5613" w:author="Author">
            <w:rPr>
              <w:b/>
              <w:bCs/>
              <w:noProof w:val="0"/>
              <w:highlight w:val="lightGray"/>
            </w:rPr>
          </w:rPrChange>
        </w:rPr>
      </w:pPr>
      <w:r w:rsidRPr="00D55B59">
        <w:rPr>
          <w:b/>
          <w:bCs/>
          <w:noProof w:val="0"/>
          <w:highlight w:val="lightGray"/>
          <w:lang w:val="en-GB"/>
          <w:rPrChange w:id="5614" w:author="Author">
            <w:rPr>
              <w:b/>
              <w:bCs/>
              <w:noProof w:val="0"/>
              <w:highlight w:val="lightGray"/>
            </w:rPr>
          </w:rPrChange>
        </w:rPr>
        <w:t>Marketing Authorisation Holder</w:t>
      </w:r>
    </w:p>
    <w:p w14:paraId="309C63C5" w14:textId="77777777" w:rsidR="007E0028" w:rsidRPr="00D55B59" w:rsidRDefault="007E0028" w:rsidP="001D57B4">
      <w:pPr>
        <w:pStyle w:val="lbltxt"/>
        <w:keepNext/>
        <w:keepLines/>
        <w:rPr>
          <w:noProof w:val="0"/>
          <w:highlight w:val="lightGray"/>
          <w:lang w:val="en-GB"/>
          <w:rPrChange w:id="5615" w:author="Author">
            <w:rPr>
              <w:noProof w:val="0"/>
              <w:highlight w:val="lightGray"/>
            </w:rPr>
          </w:rPrChange>
        </w:rPr>
      </w:pPr>
      <w:r w:rsidRPr="00D55B59">
        <w:rPr>
          <w:noProof w:val="0"/>
          <w:highlight w:val="lightGray"/>
          <w:lang w:val="en-GB"/>
          <w:rPrChange w:id="5616" w:author="Author">
            <w:rPr>
              <w:noProof w:val="0"/>
              <w:highlight w:val="lightGray"/>
            </w:rPr>
          </w:rPrChange>
        </w:rPr>
        <w:t xml:space="preserve">Amgen Europe B.V. </w:t>
      </w:r>
      <w:r w:rsidRPr="00D55B59">
        <w:rPr>
          <w:noProof w:val="0"/>
          <w:highlight w:val="lightGray"/>
          <w:lang w:val="en-GB"/>
          <w:rPrChange w:id="5617" w:author="Author">
            <w:rPr>
              <w:noProof w:val="0"/>
              <w:highlight w:val="lightGray"/>
            </w:rPr>
          </w:rPrChange>
        </w:rPr>
        <w:br/>
        <w:t xml:space="preserve">Minervum 7061 </w:t>
      </w:r>
      <w:r w:rsidRPr="00D55B59">
        <w:rPr>
          <w:noProof w:val="0"/>
          <w:highlight w:val="lightGray"/>
          <w:lang w:val="en-GB"/>
          <w:rPrChange w:id="5618" w:author="Author">
            <w:rPr>
              <w:noProof w:val="0"/>
              <w:highlight w:val="lightGray"/>
            </w:rPr>
          </w:rPrChange>
        </w:rPr>
        <w:br/>
        <w:t xml:space="preserve">4817 ZK Breda </w:t>
      </w:r>
      <w:r w:rsidRPr="00D55B59">
        <w:rPr>
          <w:noProof w:val="0"/>
          <w:highlight w:val="lightGray"/>
          <w:lang w:val="en-GB"/>
          <w:rPrChange w:id="5619" w:author="Author">
            <w:rPr>
              <w:noProof w:val="0"/>
              <w:highlight w:val="lightGray"/>
            </w:rPr>
          </w:rPrChange>
        </w:rPr>
        <w:br/>
        <w:t>The Netherlands</w:t>
      </w:r>
    </w:p>
    <w:p w14:paraId="7AAC4877" w14:textId="77777777" w:rsidR="007E0028" w:rsidRPr="00D55B59" w:rsidRDefault="007E0028" w:rsidP="001D57B4">
      <w:pPr>
        <w:pStyle w:val="lbltxt"/>
        <w:rPr>
          <w:noProof w:val="0"/>
          <w:highlight w:val="lightGray"/>
          <w:lang w:val="en-GB"/>
          <w:rPrChange w:id="5620" w:author="Author">
            <w:rPr>
              <w:noProof w:val="0"/>
              <w:highlight w:val="lightGray"/>
            </w:rPr>
          </w:rPrChange>
        </w:rPr>
      </w:pPr>
    </w:p>
    <w:p w14:paraId="3E64FD82" w14:textId="77777777" w:rsidR="007E0028" w:rsidRPr="00D55B59" w:rsidRDefault="007E0028" w:rsidP="001D57B4">
      <w:pPr>
        <w:pStyle w:val="lbltxt"/>
        <w:keepNext/>
        <w:rPr>
          <w:b/>
          <w:noProof w:val="0"/>
          <w:highlight w:val="lightGray"/>
          <w:lang w:val="en-GB"/>
          <w:rPrChange w:id="5621" w:author="Author">
            <w:rPr>
              <w:b/>
              <w:noProof w:val="0"/>
              <w:highlight w:val="lightGray"/>
            </w:rPr>
          </w:rPrChange>
        </w:rPr>
      </w:pPr>
      <w:r w:rsidRPr="00D55B59">
        <w:rPr>
          <w:b/>
          <w:noProof w:val="0"/>
          <w:highlight w:val="lightGray"/>
          <w:lang w:val="en-GB"/>
          <w:rPrChange w:id="5622" w:author="Author">
            <w:rPr>
              <w:b/>
              <w:noProof w:val="0"/>
              <w:highlight w:val="lightGray"/>
            </w:rPr>
          </w:rPrChange>
        </w:rPr>
        <w:t>Manufacturer</w:t>
      </w:r>
    </w:p>
    <w:p w14:paraId="435E3CDE" w14:textId="77777777" w:rsidR="007E0028" w:rsidRPr="00D55B59" w:rsidRDefault="007E0028" w:rsidP="001D57B4">
      <w:pPr>
        <w:pStyle w:val="lbltxt"/>
        <w:keepNext/>
        <w:rPr>
          <w:noProof w:val="0"/>
          <w:highlight w:val="lightGray"/>
          <w:lang w:val="en-GB"/>
          <w:rPrChange w:id="5623" w:author="Author">
            <w:rPr>
              <w:noProof w:val="0"/>
              <w:highlight w:val="lightGray"/>
            </w:rPr>
          </w:rPrChange>
        </w:rPr>
      </w:pPr>
      <w:r w:rsidRPr="00D55B59">
        <w:rPr>
          <w:noProof w:val="0"/>
          <w:highlight w:val="lightGray"/>
          <w:lang w:val="en-GB"/>
          <w:rPrChange w:id="5624" w:author="Author">
            <w:rPr>
              <w:noProof w:val="0"/>
              <w:highlight w:val="lightGray"/>
            </w:rPr>
          </w:rPrChange>
        </w:rPr>
        <w:t xml:space="preserve">Amgen Technology Ireland UC </w:t>
      </w:r>
    </w:p>
    <w:p w14:paraId="1151E5EC" w14:textId="77777777" w:rsidR="007E0028" w:rsidRPr="00D55B59" w:rsidRDefault="007E0028" w:rsidP="001D57B4">
      <w:pPr>
        <w:pStyle w:val="lbltxt"/>
        <w:keepNext/>
        <w:rPr>
          <w:noProof w:val="0"/>
          <w:highlight w:val="lightGray"/>
          <w:lang w:val="en-GB"/>
          <w:rPrChange w:id="5625" w:author="Author">
            <w:rPr>
              <w:noProof w:val="0"/>
              <w:highlight w:val="lightGray"/>
            </w:rPr>
          </w:rPrChange>
        </w:rPr>
      </w:pPr>
      <w:r w:rsidRPr="00D55B59">
        <w:rPr>
          <w:noProof w:val="0"/>
          <w:highlight w:val="lightGray"/>
          <w:lang w:val="en-GB"/>
          <w:rPrChange w:id="5626" w:author="Author">
            <w:rPr>
              <w:noProof w:val="0"/>
              <w:highlight w:val="lightGray"/>
            </w:rPr>
          </w:rPrChange>
        </w:rPr>
        <w:t>Pottery Road</w:t>
      </w:r>
    </w:p>
    <w:p w14:paraId="0DEE36F9" w14:textId="77777777" w:rsidR="007E0028" w:rsidRPr="00D55B59" w:rsidRDefault="007E0028" w:rsidP="001D57B4">
      <w:pPr>
        <w:pStyle w:val="lbltxt"/>
        <w:rPr>
          <w:noProof w:val="0"/>
          <w:highlight w:val="lightGray"/>
          <w:lang w:val="en-GB"/>
          <w:rPrChange w:id="5627" w:author="Author">
            <w:rPr>
              <w:noProof w:val="0"/>
              <w:highlight w:val="lightGray"/>
            </w:rPr>
          </w:rPrChange>
        </w:rPr>
      </w:pPr>
      <w:r w:rsidRPr="00D55B59">
        <w:rPr>
          <w:noProof w:val="0"/>
          <w:highlight w:val="lightGray"/>
          <w:lang w:val="en-GB"/>
          <w:rPrChange w:id="5628" w:author="Author">
            <w:rPr>
              <w:noProof w:val="0"/>
              <w:highlight w:val="lightGray"/>
            </w:rPr>
          </w:rPrChange>
        </w:rPr>
        <w:t>Dun Laoghaire</w:t>
      </w:r>
    </w:p>
    <w:p w14:paraId="06BFB6B1" w14:textId="77777777" w:rsidR="007E0028" w:rsidRPr="00D55B59" w:rsidRDefault="007E0028" w:rsidP="001D57B4">
      <w:pPr>
        <w:pStyle w:val="lbltxt"/>
        <w:rPr>
          <w:noProof w:val="0"/>
          <w:highlight w:val="lightGray"/>
          <w:lang w:val="en-GB"/>
          <w:rPrChange w:id="5629" w:author="Author">
            <w:rPr>
              <w:noProof w:val="0"/>
              <w:highlight w:val="lightGray"/>
            </w:rPr>
          </w:rPrChange>
        </w:rPr>
      </w:pPr>
      <w:r w:rsidRPr="00D55B59">
        <w:rPr>
          <w:noProof w:val="0"/>
          <w:highlight w:val="lightGray"/>
          <w:lang w:val="en-GB"/>
          <w:rPrChange w:id="5630" w:author="Author">
            <w:rPr>
              <w:noProof w:val="0"/>
              <w:highlight w:val="lightGray"/>
            </w:rPr>
          </w:rPrChange>
        </w:rPr>
        <w:t>Co Dublin</w:t>
      </w:r>
    </w:p>
    <w:p w14:paraId="03D05BAD" w14:textId="77777777" w:rsidR="007E0028" w:rsidRPr="00D55B59" w:rsidRDefault="007E0028" w:rsidP="001D57B4">
      <w:pPr>
        <w:pStyle w:val="lbltxt"/>
        <w:rPr>
          <w:noProof w:val="0"/>
          <w:lang w:val="en-GB"/>
          <w:rPrChange w:id="5631" w:author="Author">
            <w:rPr>
              <w:noProof w:val="0"/>
            </w:rPr>
          </w:rPrChange>
        </w:rPr>
      </w:pPr>
      <w:r w:rsidRPr="00D55B59">
        <w:rPr>
          <w:noProof w:val="0"/>
          <w:highlight w:val="lightGray"/>
          <w:lang w:val="en-GB"/>
          <w:rPrChange w:id="5632" w:author="Author">
            <w:rPr>
              <w:noProof w:val="0"/>
              <w:highlight w:val="lightGray"/>
            </w:rPr>
          </w:rPrChange>
        </w:rPr>
        <w:t>Ireland</w:t>
      </w:r>
    </w:p>
    <w:p w14:paraId="6B59B83D" w14:textId="77777777" w:rsidR="007E0028" w:rsidRDefault="007E0028" w:rsidP="001D57B4">
      <w:pPr>
        <w:keepNext/>
        <w:numPr>
          <w:ilvl w:val="12"/>
          <w:numId w:val="0"/>
        </w:numPr>
        <w:tabs>
          <w:tab w:val="clear" w:pos="567"/>
        </w:tabs>
        <w:spacing w:line="240" w:lineRule="auto"/>
        <w:ind w:right="-2"/>
        <w:rPr>
          <w:b/>
          <w:highlight w:val="lightGray"/>
        </w:rPr>
      </w:pPr>
    </w:p>
    <w:p w14:paraId="6BFDE56F" w14:textId="77777777" w:rsidR="007E0028" w:rsidRDefault="007E0028" w:rsidP="001D57B4">
      <w:pPr>
        <w:keepNext/>
        <w:numPr>
          <w:ilvl w:val="12"/>
          <w:numId w:val="0"/>
        </w:numPr>
        <w:tabs>
          <w:tab w:val="clear" w:pos="567"/>
        </w:tabs>
        <w:spacing w:line="240" w:lineRule="auto"/>
        <w:ind w:right="-2"/>
        <w:rPr>
          <w:b/>
          <w:highlight w:val="lightGray"/>
        </w:rPr>
      </w:pPr>
      <w:r>
        <w:rPr>
          <w:b/>
          <w:highlight w:val="lightGray"/>
        </w:rPr>
        <w:t>Manufacturer</w:t>
      </w:r>
    </w:p>
    <w:p w14:paraId="0657B51C" w14:textId="77777777" w:rsidR="007E0028" w:rsidRDefault="007E0028" w:rsidP="001D57B4">
      <w:pPr>
        <w:keepNext/>
        <w:spacing w:line="240" w:lineRule="auto"/>
        <w:rPr>
          <w:highlight w:val="lightGray"/>
        </w:rPr>
      </w:pPr>
      <w:r>
        <w:rPr>
          <w:highlight w:val="lightGray"/>
        </w:rPr>
        <w:t>Amgen NV</w:t>
      </w:r>
    </w:p>
    <w:p w14:paraId="6DCBA84B" w14:textId="77777777" w:rsidR="007E0028" w:rsidRDefault="007E0028" w:rsidP="00B61D9D">
      <w:pPr>
        <w:autoSpaceDE w:val="0"/>
        <w:autoSpaceDN w:val="0"/>
        <w:spacing w:line="240" w:lineRule="auto"/>
        <w:rPr>
          <w:highlight w:val="lightGray"/>
        </w:rPr>
      </w:pPr>
      <w:r>
        <w:rPr>
          <w:highlight w:val="lightGray"/>
        </w:rPr>
        <w:t>Telecomlaan 5-7</w:t>
      </w:r>
    </w:p>
    <w:p w14:paraId="39043D22" w14:textId="77777777" w:rsidR="007E0028" w:rsidRDefault="007E0028" w:rsidP="001D57B4">
      <w:pPr>
        <w:spacing w:line="240" w:lineRule="auto"/>
        <w:rPr>
          <w:highlight w:val="lightGray"/>
        </w:rPr>
      </w:pPr>
      <w:r>
        <w:rPr>
          <w:highlight w:val="lightGray"/>
        </w:rPr>
        <w:t>1831 Diegem</w:t>
      </w:r>
    </w:p>
    <w:p w14:paraId="72AA0CCD" w14:textId="77777777" w:rsidR="007E0028" w:rsidRDefault="007E0028" w:rsidP="001D57B4">
      <w:pPr>
        <w:numPr>
          <w:ilvl w:val="12"/>
          <w:numId w:val="0"/>
        </w:numPr>
        <w:tabs>
          <w:tab w:val="clear" w:pos="567"/>
        </w:tabs>
        <w:spacing w:line="240" w:lineRule="auto"/>
        <w:ind w:right="-2"/>
        <w:rPr>
          <w:highlight w:val="lightGray"/>
        </w:rPr>
      </w:pPr>
      <w:r>
        <w:rPr>
          <w:highlight w:val="lightGray"/>
        </w:rPr>
        <w:t>Belgium</w:t>
      </w:r>
    </w:p>
    <w:p w14:paraId="00BA114F" w14:textId="77777777" w:rsidR="007E0028" w:rsidRPr="00F04F82" w:rsidRDefault="007E0028" w:rsidP="001D57B4">
      <w:pPr>
        <w:numPr>
          <w:ilvl w:val="12"/>
          <w:numId w:val="0"/>
        </w:numPr>
        <w:tabs>
          <w:tab w:val="clear" w:pos="567"/>
        </w:tabs>
        <w:spacing w:line="240" w:lineRule="auto"/>
        <w:ind w:right="-2"/>
        <w:rPr>
          <w:b/>
        </w:rPr>
      </w:pPr>
    </w:p>
    <w:p w14:paraId="7D36A87C" w14:textId="77777777" w:rsidR="007E0028" w:rsidRPr="00F04F82" w:rsidRDefault="007E0028" w:rsidP="001D57B4">
      <w:pPr>
        <w:keepNext/>
        <w:numPr>
          <w:ilvl w:val="12"/>
          <w:numId w:val="0"/>
        </w:numPr>
        <w:tabs>
          <w:tab w:val="clear" w:pos="567"/>
        </w:tabs>
        <w:spacing w:line="240" w:lineRule="auto"/>
        <w:rPr>
          <w:szCs w:val="22"/>
        </w:rPr>
      </w:pPr>
      <w:r w:rsidRPr="00F04F82">
        <w:rPr>
          <w:szCs w:val="22"/>
        </w:rPr>
        <w:t>For any information about this medicine, please contact the local representative of the Marketing Authorisation Holder:</w:t>
      </w:r>
    </w:p>
    <w:p w14:paraId="34EAA45F" w14:textId="77777777" w:rsidR="007E0028" w:rsidRPr="00F04F82" w:rsidRDefault="007E0028" w:rsidP="001D57B4">
      <w:pPr>
        <w:keepNext/>
        <w:numPr>
          <w:ilvl w:val="12"/>
          <w:numId w:val="0"/>
        </w:numPr>
        <w:tabs>
          <w:tab w:val="clear" w:pos="567"/>
        </w:tabs>
        <w:spacing w:line="240" w:lineRule="auto"/>
        <w:rPr>
          <w:szCs w:val="22"/>
        </w:rPr>
      </w:pPr>
    </w:p>
    <w:tbl>
      <w:tblPr>
        <w:tblW w:w="9356" w:type="dxa"/>
        <w:tblLook w:val="04A0" w:firstRow="1" w:lastRow="0" w:firstColumn="1" w:lastColumn="0" w:noHBand="0" w:noVBand="1"/>
      </w:tblPr>
      <w:tblGrid>
        <w:gridCol w:w="4677"/>
        <w:gridCol w:w="4679"/>
      </w:tblGrid>
      <w:tr w:rsidR="007E0028" w:rsidRPr="00F04F82" w14:paraId="3D8A8B29" w14:textId="77777777" w:rsidTr="00D47253">
        <w:trPr>
          <w:cantSplit/>
        </w:trPr>
        <w:tc>
          <w:tcPr>
            <w:tcW w:w="4677" w:type="dxa"/>
          </w:tcPr>
          <w:p w14:paraId="28B0912D" w14:textId="77777777" w:rsidR="007E0028" w:rsidRPr="002D13B8" w:rsidRDefault="007E0028" w:rsidP="00D47253">
            <w:pPr>
              <w:pStyle w:val="lbltxt"/>
              <w:rPr>
                <w:noProof w:val="0"/>
                <w:szCs w:val="22"/>
                <w:lang w:val="fr-FR"/>
              </w:rPr>
            </w:pPr>
            <w:r w:rsidRPr="002D13B8">
              <w:rPr>
                <w:b/>
                <w:noProof w:val="0"/>
                <w:szCs w:val="22"/>
                <w:lang w:val="fr-FR"/>
              </w:rPr>
              <w:t>België/Belgique/Belgien</w:t>
            </w:r>
          </w:p>
          <w:p w14:paraId="18BE3BD3" w14:textId="77777777" w:rsidR="007E0028" w:rsidRPr="002D13B8" w:rsidRDefault="007E0028" w:rsidP="00D47253">
            <w:pPr>
              <w:pStyle w:val="lbltxt"/>
              <w:rPr>
                <w:noProof w:val="0"/>
                <w:szCs w:val="22"/>
                <w:lang w:val="fr-FR"/>
              </w:rPr>
            </w:pPr>
            <w:r w:rsidRPr="002D13B8">
              <w:rPr>
                <w:noProof w:val="0"/>
                <w:szCs w:val="22"/>
                <w:lang w:val="fr-FR"/>
              </w:rPr>
              <w:t>s.a. Amgen n.v.</w:t>
            </w:r>
          </w:p>
          <w:p w14:paraId="5509C446" w14:textId="77777777" w:rsidR="007E0028" w:rsidRPr="00F04F82" w:rsidRDefault="007E0028" w:rsidP="00D47253">
            <w:pPr>
              <w:rPr>
                <w:szCs w:val="22"/>
              </w:rPr>
            </w:pPr>
            <w:r w:rsidRPr="00F04F82">
              <w:rPr>
                <w:szCs w:val="22"/>
              </w:rPr>
              <w:t>Tél/Tel: +32 (0)2 7752711</w:t>
            </w:r>
          </w:p>
          <w:p w14:paraId="72BB9B3A" w14:textId="77777777" w:rsidR="007E0028" w:rsidRPr="00F04F82" w:rsidRDefault="007E0028" w:rsidP="00D47253">
            <w:pPr>
              <w:rPr>
                <w:szCs w:val="22"/>
              </w:rPr>
            </w:pPr>
          </w:p>
        </w:tc>
        <w:tc>
          <w:tcPr>
            <w:tcW w:w="4679" w:type="dxa"/>
          </w:tcPr>
          <w:p w14:paraId="223EEC32" w14:textId="77777777" w:rsidR="007E0028" w:rsidRPr="00D55B59" w:rsidRDefault="007E0028" w:rsidP="00D47253">
            <w:pPr>
              <w:pStyle w:val="lbltxt"/>
              <w:rPr>
                <w:b/>
                <w:noProof w:val="0"/>
                <w:szCs w:val="22"/>
                <w:lang w:val="de-DE"/>
                <w:rPrChange w:id="5633" w:author="Author">
                  <w:rPr>
                    <w:b/>
                    <w:noProof w:val="0"/>
                    <w:szCs w:val="22"/>
                    <w:lang w:val="sv-SE"/>
                  </w:rPr>
                </w:rPrChange>
              </w:rPr>
            </w:pPr>
            <w:r w:rsidRPr="00D55B59">
              <w:rPr>
                <w:b/>
                <w:noProof w:val="0"/>
                <w:szCs w:val="22"/>
                <w:lang w:val="de-DE"/>
                <w:rPrChange w:id="5634" w:author="Author">
                  <w:rPr>
                    <w:b/>
                    <w:noProof w:val="0"/>
                    <w:szCs w:val="22"/>
                    <w:lang w:val="sv-SE"/>
                  </w:rPr>
                </w:rPrChange>
              </w:rPr>
              <w:t>Lietuva</w:t>
            </w:r>
          </w:p>
          <w:p w14:paraId="62F7F1D5" w14:textId="77777777" w:rsidR="007E0028" w:rsidRPr="00D55B59" w:rsidRDefault="007E0028" w:rsidP="00D47253">
            <w:pPr>
              <w:pStyle w:val="lbltxt"/>
              <w:rPr>
                <w:bCs/>
                <w:noProof w:val="0"/>
                <w:szCs w:val="22"/>
                <w:lang w:val="de-DE"/>
                <w:rPrChange w:id="5635" w:author="Author">
                  <w:rPr>
                    <w:bCs/>
                    <w:noProof w:val="0"/>
                    <w:szCs w:val="22"/>
                    <w:lang w:val="sv-SE"/>
                  </w:rPr>
                </w:rPrChange>
              </w:rPr>
            </w:pPr>
            <w:r w:rsidRPr="00D55B59">
              <w:rPr>
                <w:noProof w:val="0"/>
                <w:szCs w:val="22"/>
                <w:lang w:val="de-DE"/>
                <w:rPrChange w:id="5636" w:author="Author">
                  <w:rPr>
                    <w:noProof w:val="0"/>
                    <w:szCs w:val="22"/>
                    <w:lang w:val="sv-SE"/>
                  </w:rPr>
                </w:rPrChange>
              </w:rPr>
              <w:t>Amgen Switzerland AG Vilniaus filialas</w:t>
            </w:r>
          </w:p>
          <w:p w14:paraId="5D057702" w14:textId="48BECC48" w:rsidR="007E0028" w:rsidRPr="00D55B59" w:rsidRDefault="007E0028" w:rsidP="00D47253">
            <w:pPr>
              <w:pStyle w:val="lbltxt"/>
              <w:rPr>
                <w:bCs/>
                <w:noProof w:val="0"/>
                <w:szCs w:val="22"/>
                <w:lang w:val="en-GB"/>
                <w:rPrChange w:id="5637" w:author="Author">
                  <w:rPr>
                    <w:bCs/>
                    <w:noProof w:val="0"/>
                    <w:szCs w:val="22"/>
                  </w:rPr>
                </w:rPrChange>
              </w:rPr>
            </w:pPr>
            <w:r w:rsidRPr="00D55B59">
              <w:rPr>
                <w:bCs/>
                <w:noProof w:val="0"/>
                <w:szCs w:val="22"/>
                <w:lang w:val="en-GB"/>
                <w:rPrChange w:id="5638" w:author="Author">
                  <w:rPr>
                    <w:bCs/>
                    <w:noProof w:val="0"/>
                    <w:szCs w:val="22"/>
                  </w:rPr>
                </w:rPrChange>
              </w:rPr>
              <w:t>Tel</w:t>
            </w:r>
            <w:del w:id="5639" w:author="Author">
              <w:r w:rsidRPr="00D55B59" w:rsidDel="00ED5C30">
                <w:rPr>
                  <w:bCs/>
                  <w:noProof w:val="0"/>
                  <w:szCs w:val="22"/>
                  <w:lang w:val="en-GB"/>
                  <w:rPrChange w:id="5640" w:author="Author">
                    <w:rPr>
                      <w:bCs/>
                      <w:noProof w:val="0"/>
                      <w:szCs w:val="22"/>
                    </w:rPr>
                  </w:rPrChange>
                </w:rPr>
                <w:delText xml:space="preserve">: </w:delText>
              </w:r>
            </w:del>
            <w:ins w:id="5641" w:author="Author">
              <w:r w:rsidR="00ED5C30" w:rsidRPr="00D55B59">
                <w:rPr>
                  <w:bCs/>
                  <w:noProof w:val="0"/>
                  <w:szCs w:val="22"/>
                  <w:lang w:val="en-GB"/>
                  <w:rPrChange w:id="5642" w:author="Author">
                    <w:rPr>
                      <w:bCs/>
                      <w:noProof w:val="0"/>
                      <w:szCs w:val="22"/>
                    </w:rPr>
                  </w:rPrChange>
                </w:rPr>
                <w:t xml:space="preserve">. </w:t>
              </w:r>
            </w:ins>
            <w:r w:rsidRPr="00D55B59">
              <w:rPr>
                <w:bCs/>
                <w:noProof w:val="0"/>
                <w:szCs w:val="22"/>
                <w:lang w:val="en-GB"/>
                <w:rPrChange w:id="5643" w:author="Author">
                  <w:rPr>
                    <w:bCs/>
                    <w:noProof w:val="0"/>
                    <w:szCs w:val="22"/>
                  </w:rPr>
                </w:rPrChange>
              </w:rPr>
              <w:t>+370 5 219 7474</w:t>
            </w:r>
          </w:p>
          <w:p w14:paraId="35B36084" w14:textId="77777777" w:rsidR="007E0028" w:rsidRPr="00F04F82" w:rsidRDefault="007E0028" w:rsidP="00D47253">
            <w:pPr>
              <w:rPr>
                <w:szCs w:val="22"/>
              </w:rPr>
            </w:pPr>
          </w:p>
        </w:tc>
      </w:tr>
      <w:tr w:rsidR="007E0028" w:rsidRPr="00F04F82" w14:paraId="6BE1853C" w14:textId="77777777" w:rsidTr="00D47253">
        <w:trPr>
          <w:cantSplit/>
        </w:trPr>
        <w:tc>
          <w:tcPr>
            <w:tcW w:w="4677" w:type="dxa"/>
          </w:tcPr>
          <w:p w14:paraId="07096A42" w14:textId="77777777" w:rsidR="007E0028" w:rsidRPr="00247EF0" w:rsidRDefault="007E0028" w:rsidP="00D47253">
            <w:pPr>
              <w:autoSpaceDE w:val="0"/>
              <w:autoSpaceDN w:val="0"/>
              <w:adjustRightInd w:val="0"/>
              <w:rPr>
                <w:rFonts w:eastAsia="Arial Unicode MS"/>
                <w:b/>
                <w:bCs/>
                <w:szCs w:val="22"/>
                <w:lang w:val="ru-RU"/>
              </w:rPr>
            </w:pPr>
            <w:r w:rsidRPr="00247EF0">
              <w:rPr>
                <w:rFonts w:eastAsia="Arial Unicode MS"/>
                <w:b/>
                <w:bCs/>
                <w:szCs w:val="22"/>
                <w:lang w:val="ru-RU"/>
              </w:rPr>
              <w:t>България</w:t>
            </w:r>
          </w:p>
          <w:p w14:paraId="0F3E0899" w14:textId="77777777" w:rsidR="007E0028" w:rsidRPr="00D55B59" w:rsidRDefault="007E0028" w:rsidP="00D47253">
            <w:pPr>
              <w:pStyle w:val="lbltxt"/>
              <w:rPr>
                <w:rFonts w:eastAsia="Arial Unicode MS"/>
                <w:noProof w:val="0"/>
                <w:szCs w:val="22"/>
                <w:lang w:val="ru-RU" w:eastAsia="en-GB"/>
                <w:rPrChange w:id="5644" w:author="Author">
                  <w:rPr>
                    <w:rFonts w:eastAsia="Arial Unicode MS"/>
                    <w:noProof w:val="0"/>
                    <w:szCs w:val="22"/>
                    <w:lang w:eastAsia="en-GB"/>
                  </w:rPr>
                </w:rPrChange>
              </w:rPr>
            </w:pPr>
            <w:r w:rsidRPr="00D55B59">
              <w:rPr>
                <w:rFonts w:eastAsia="Arial Unicode MS"/>
                <w:noProof w:val="0"/>
                <w:szCs w:val="22"/>
                <w:lang w:val="ru-RU" w:eastAsia="en-GB"/>
                <w:rPrChange w:id="5645" w:author="Author">
                  <w:rPr>
                    <w:rFonts w:eastAsia="Arial Unicode MS"/>
                    <w:noProof w:val="0"/>
                    <w:szCs w:val="22"/>
                    <w:lang w:eastAsia="en-GB"/>
                  </w:rPr>
                </w:rPrChange>
              </w:rPr>
              <w:t>Амджен България ЕООД</w:t>
            </w:r>
          </w:p>
          <w:p w14:paraId="59DC85E9" w14:textId="77777777" w:rsidR="007E0028" w:rsidRPr="00D55B59" w:rsidRDefault="007E0028" w:rsidP="00D47253">
            <w:pPr>
              <w:pStyle w:val="lbltxt"/>
              <w:rPr>
                <w:rFonts w:eastAsia="Arial Unicode MS"/>
                <w:bCs/>
                <w:noProof w:val="0"/>
                <w:szCs w:val="22"/>
                <w:lang w:val="ru-RU"/>
                <w:rPrChange w:id="5646" w:author="Author">
                  <w:rPr>
                    <w:rFonts w:eastAsia="Arial Unicode MS"/>
                    <w:bCs/>
                    <w:noProof w:val="0"/>
                    <w:szCs w:val="22"/>
                  </w:rPr>
                </w:rPrChange>
              </w:rPr>
            </w:pPr>
            <w:r w:rsidRPr="00D55B59">
              <w:rPr>
                <w:rFonts w:eastAsia="Arial Unicode MS"/>
                <w:noProof w:val="0"/>
                <w:szCs w:val="22"/>
                <w:lang w:val="ru-RU" w:eastAsia="en-GB"/>
                <w:rPrChange w:id="5647" w:author="Author">
                  <w:rPr>
                    <w:rFonts w:eastAsia="Arial Unicode MS"/>
                    <w:noProof w:val="0"/>
                    <w:szCs w:val="22"/>
                    <w:lang w:eastAsia="en-GB"/>
                  </w:rPr>
                </w:rPrChange>
              </w:rPr>
              <w:t xml:space="preserve">Тел.: +359 </w:t>
            </w:r>
            <w:r w:rsidRPr="00D55B59">
              <w:rPr>
                <w:rFonts w:eastAsia="Arial Unicode MS"/>
                <w:bCs/>
                <w:noProof w:val="0"/>
                <w:szCs w:val="22"/>
                <w:lang w:val="ru-RU"/>
                <w:rPrChange w:id="5648" w:author="Author">
                  <w:rPr>
                    <w:rFonts w:eastAsia="Arial Unicode MS"/>
                    <w:bCs/>
                    <w:noProof w:val="0"/>
                    <w:szCs w:val="22"/>
                  </w:rPr>
                </w:rPrChange>
              </w:rPr>
              <w:t>(0)2</w:t>
            </w:r>
            <w:r w:rsidRPr="00D55B59">
              <w:rPr>
                <w:rFonts w:eastAsia="Arial Unicode MS"/>
                <w:bCs/>
                <w:noProof w:val="0"/>
                <w:szCs w:val="22"/>
                <w:lang w:val="en-GB"/>
                <w:rPrChange w:id="5649" w:author="Author">
                  <w:rPr>
                    <w:rFonts w:eastAsia="Arial Unicode MS"/>
                    <w:bCs/>
                    <w:noProof w:val="0"/>
                    <w:szCs w:val="22"/>
                  </w:rPr>
                </w:rPrChange>
              </w:rPr>
              <w:t> </w:t>
            </w:r>
            <w:r w:rsidRPr="00D55B59">
              <w:rPr>
                <w:rFonts w:eastAsia="Arial Unicode MS"/>
                <w:bCs/>
                <w:noProof w:val="0"/>
                <w:szCs w:val="22"/>
                <w:lang w:val="ru-RU"/>
                <w:rPrChange w:id="5650" w:author="Author">
                  <w:rPr>
                    <w:rFonts w:eastAsia="Arial Unicode MS"/>
                    <w:bCs/>
                    <w:noProof w:val="0"/>
                    <w:szCs w:val="22"/>
                  </w:rPr>
                </w:rPrChange>
              </w:rPr>
              <w:t>424 7440</w:t>
            </w:r>
          </w:p>
          <w:p w14:paraId="7C0A1B8D" w14:textId="77777777" w:rsidR="007E0028" w:rsidRPr="00247EF0" w:rsidRDefault="007E0028" w:rsidP="00D47253">
            <w:pPr>
              <w:rPr>
                <w:szCs w:val="22"/>
                <w:lang w:val="ru-RU"/>
              </w:rPr>
            </w:pPr>
          </w:p>
        </w:tc>
        <w:tc>
          <w:tcPr>
            <w:tcW w:w="4679" w:type="dxa"/>
          </w:tcPr>
          <w:p w14:paraId="2ACFDD3F" w14:textId="77777777" w:rsidR="007E0028" w:rsidRPr="00D55B59" w:rsidRDefault="007E0028" w:rsidP="00D47253">
            <w:pPr>
              <w:pStyle w:val="lbltxt"/>
              <w:rPr>
                <w:noProof w:val="0"/>
                <w:szCs w:val="22"/>
                <w:lang w:val="de-DE"/>
                <w:rPrChange w:id="5651" w:author="Author">
                  <w:rPr>
                    <w:noProof w:val="0"/>
                    <w:szCs w:val="22"/>
                    <w:lang w:val="fr-FR"/>
                  </w:rPr>
                </w:rPrChange>
              </w:rPr>
            </w:pPr>
            <w:r w:rsidRPr="00D55B59">
              <w:rPr>
                <w:b/>
                <w:noProof w:val="0"/>
                <w:szCs w:val="22"/>
                <w:lang w:val="de-DE"/>
                <w:rPrChange w:id="5652" w:author="Author">
                  <w:rPr>
                    <w:b/>
                    <w:noProof w:val="0"/>
                    <w:szCs w:val="22"/>
                    <w:lang w:val="fr-FR"/>
                  </w:rPr>
                </w:rPrChange>
              </w:rPr>
              <w:t>Luxembourg/Luxemburg</w:t>
            </w:r>
          </w:p>
          <w:p w14:paraId="03677875" w14:textId="77777777" w:rsidR="007E0028" w:rsidRPr="00D55B59" w:rsidRDefault="007E0028" w:rsidP="00D47253">
            <w:pPr>
              <w:pStyle w:val="lbltxt"/>
              <w:rPr>
                <w:noProof w:val="0"/>
                <w:szCs w:val="22"/>
                <w:lang w:val="de-DE"/>
                <w:rPrChange w:id="5653" w:author="Author">
                  <w:rPr>
                    <w:noProof w:val="0"/>
                    <w:szCs w:val="22"/>
                    <w:lang w:val="fr-FR"/>
                  </w:rPr>
                </w:rPrChange>
              </w:rPr>
            </w:pPr>
            <w:r w:rsidRPr="00D55B59">
              <w:rPr>
                <w:noProof w:val="0"/>
                <w:szCs w:val="22"/>
                <w:lang w:val="de-DE"/>
                <w:rPrChange w:id="5654" w:author="Author">
                  <w:rPr>
                    <w:noProof w:val="0"/>
                    <w:szCs w:val="22"/>
                    <w:lang w:val="fr-FR"/>
                  </w:rPr>
                </w:rPrChange>
              </w:rPr>
              <w:t xml:space="preserve">s.a. Amgen </w:t>
            </w:r>
          </w:p>
          <w:p w14:paraId="3384C751" w14:textId="77777777" w:rsidR="007E0028" w:rsidRPr="00D55B59" w:rsidRDefault="007E0028" w:rsidP="00D47253">
            <w:pPr>
              <w:pStyle w:val="lbltxt"/>
              <w:rPr>
                <w:noProof w:val="0"/>
                <w:szCs w:val="22"/>
                <w:lang w:val="de-DE"/>
                <w:rPrChange w:id="5655" w:author="Author">
                  <w:rPr>
                    <w:noProof w:val="0"/>
                    <w:szCs w:val="22"/>
                    <w:lang w:val="fr-FR"/>
                  </w:rPr>
                </w:rPrChange>
              </w:rPr>
            </w:pPr>
            <w:r w:rsidRPr="00D55B59">
              <w:rPr>
                <w:noProof w:val="0"/>
                <w:szCs w:val="22"/>
                <w:lang w:val="de-DE"/>
                <w:rPrChange w:id="5656" w:author="Author">
                  <w:rPr>
                    <w:noProof w:val="0"/>
                    <w:szCs w:val="22"/>
                    <w:lang w:val="fr-FR"/>
                  </w:rPr>
                </w:rPrChange>
              </w:rPr>
              <w:t>Belgique/Belgien</w:t>
            </w:r>
          </w:p>
          <w:p w14:paraId="07DF4BB7" w14:textId="77777777" w:rsidR="007E0028" w:rsidRPr="00D55B59" w:rsidRDefault="007E0028" w:rsidP="00D47253">
            <w:pPr>
              <w:pStyle w:val="lbltxt"/>
              <w:rPr>
                <w:noProof w:val="0"/>
                <w:szCs w:val="22"/>
                <w:lang w:val="en-GB"/>
                <w:rPrChange w:id="5657" w:author="Author">
                  <w:rPr>
                    <w:noProof w:val="0"/>
                    <w:szCs w:val="22"/>
                  </w:rPr>
                </w:rPrChange>
              </w:rPr>
            </w:pPr>
            <w:r w:rsidRPr="00D55B59">
              <w:rPr>
                <w:noProof w:val="0"/>
                <w:szCs w:val="22"/>
                <w:lang w:val="en-GB"/>
                <w:rPrChange w:id="5658" w:author="Author">
                  <w:rPr>
                    <w:szCs w:val="22"/>
                  </w:rPr>
                </w:rPrChange>
              </w:rPr>
              <w:t>Tél/</w:t>
            </w:r>
            <w:r w:rsidRPr="00D55B59">
              <w:rPr>
                <w:noProof w:val="0"/>
                <w:szCs w:val="22"/>
                <w:lang w:val="en-GB"/>
                <w:rPrChange w:id="5659" w:author="Author">
                  <w:rPr>
                    <w:noProof w:val="0"/>
                    <w:szCs w:val="22"/>
                  </w:rPr>
                </w:rPrChange>
              </w:rPr>
              <w:t>Tel: +32 (0)2 7752711</w:t>
            </w:r>
          </w:p>
          <w:p w14:paraId="1C68646E" w14:textId="77777777" w:rsidR="007E0028" w:rsidRPr="00F04F82" w:rsidRDefault="007E0028" w:rsidP="00D47253">
            <w:pPr>
              <w:rPr>
                <w:szCs w:val="22"/>
              </w:rPr>
            </w:pPr>
          </w:p>
        </w:tc>
      </w:tr>
      <w:tr w:rsidR="007E0028" w:rsidRPr="00F04F82" w14:paraId="4C16F182" w14:textId="77777777" w:rsidTr="00D47253">
        <w:trPr>
          <w:cantSplit/>
        </w:trPr>
        <w:tc>
          <w:tcPr>
            <w:tcW w:w="4677" w:type="dxa"/>
          </w:tcPr>
          <w:p w14:paraId="45C12E41" w14:textId="77777777" w:rsidR="007E0028" w:rsidRPr="00D55B59" w:rsidRDefault="007E0028" w:rsidP="00D47253">
            <w:pPr>
              <w:pStyle w:val="lbltxt"/>
              <w:keepNext/>
              <w:rPr>
                <w:b/>
                <w:noProof w:val="0"/>
                <w:szCs w:val="22"/>
                <w:lang w:val="de-DE"/>
                <w:rPrChange w:id="5660" w:author="Author">
                  <w:rPr>
                    <w:b/>
                    <w:noProof w:val="0"/>
                    <w:szCs w:val="22"/>
                    <w:lang w:val="sv-SE"/>
                  </w:rPr>
                </w:rPrChange>
              </w:rPr>
            </w:pPr>
            <w:r w:rsidRPr="00D55B59">
              <w:rPr>
                <w:b/>
                <w:noProof w:val="0"/>
                <w:szCs w:val="22"/>
                <w:lang w:val="de-DE"/>
                <w:rPrChange w:id="5661" w:author="Author">
                  <w:rPr>
                    <w:b/>
                    <w:noProof w:val="0"/>
                    <w:szCs w:val="22"/>
                    <w:lang w:val="sv-SE"/>
                  </w:rPr>
                </w:rPrChange>
              </w:rPr>
              <w:t>Česká republika</w:t>
            </w:r>
          </w:p>
          <w:p w14:paraId="1F185D57" w14:textId="77777777" w:rsidR="007E0028" w:rsidRPr="00D55B59" w:rsidRDefault="007E0028" w:rsidP="00D47253">
            <w:pPr>
              <w:pStyle w:val="lbltxt"/>
              <w:keepNext/>
              <w:rPr>
                <w:bCs/>
                <w:noProof w:val="0"/>
                <w:szCs w:val="22"/>
                <w:lang w:val="de-DE"/>
                <w:rPrChange w:id="5662" w:author="Author">
                  <w:rPr>
                    <w:bCs/>
                    <w:noProof w:val="0"/>
                    <w:szCs w:val="22"/>
                    <w:lang w:val="sv-SE"/>
                  </w:rPr>
                </w:rPrChange>
              </w:rPr>
            </w:pPr>
            <w:r w:rsidRPr="00D55B59">
              <w:rPr>
                <w:bCs/>
                <w:noProof w:val="0"/>
                <w:szCs w:val="22"/>
                <w:lang w:val="de-DE"/>
                <w:rPrChange w:id="5663" w:author="Author">
                  <w:rPr>
                    <w:bCs/>
                    <w:noProof w:val="0"/>
                    <w:szCs w:val="22"/>
                    <w:lang w:val="sv-SE"/>
                  </w:rPr>
                </w:rPrChange>
              </w:rPr>
              <w:t>Amgen s.r.o.</w:t>
            </w:r>
          </w:p>
          <w:p w14:paraId="04C19166" w14:textId="77777777" w:rsidR="007E0028" w:rsidRPr="00D55B59" w:rsidRDefault="007E0028" w:rsidP="00D47253">
            <w:pPr>
              <w:pStyle w:val="lbltxt"/>
              <w:keepNext/>
              <w:rPr>
                <w:bCs/>
                <w:noProof w:val="0"/>
                <w:szCs w:val="22"/>
                <w:lang w:val="en-GB"/>
                <w:rPrChange w:id="5664" w:author="Author">
                  <w:rPr>
                    <w:bCs/>
                    <w:noProof w:val="0"/>
                    <w:szCs w:val="22"/>
                    <w:lang w:val="es-ES"/>
                  </w:rPr>
                </w:rPrChange>
              </w:rPr>
            </w:pPr>
            <w:r w:rsidRPr="00D55B59">
              <w:rPr>
                <w:bCs/>
                <w:noProof w:val="0"/>
                <w:szCs w:val="22"/>
                <w:lang w:val="en-GB"/>
                <w:rPrChange w:id="5665" w:author="Author">
                  <w:rPr>
                    <w:bCs/>
                    <w:noProof w:val="0"/>
                    <w:szCs w:val="22"/>
                    <w:lang w:val="es-ES"/>
                  </w:rPr>
                </w:rPrChange>
              </w:rPr>
              <w:t>Tel: +420 221 773 500</w:t>
            </w:r>
          </w:p>
          <w:p w14:paraId="10F3B1C7" w14:textId="77777777" w:rsidR="007E0028" w:rsidRPr="00D55B59" w:rsidRDefault="007E0028" w:rsidP="00D47253">
            <w:pPr>
              <w:rPr>
                <w:szCs w:val="22"/>
                <w:rPrChange w:id="5666" w:author="Author">
                  <w:rPr>
                    <w:szCs w:val="22"/>
                    <w:lang w:val="es-ES"/>
                  </w:rPr>
                </w:rPrChange>
              </w:rPr>
            </w:pPr>
          </w:p>
        </w:tc>
        <w:tc>
          <w:tcPr>
            <w:tcW w:w="4679" w:type="dxa"/>
          </w:tcPr>
          <w:p w14:paraId="6FF7C9DA" w14:textId="77777777" w:rsidR="007E0028" w:rsidRPr="00D55B59" w:rsidRDefault="007E0028" w:rsidP="00D47253">
            <w:pPr>
              <w:pStyle w:val="lbltxt"/>
              <w:rPr>
                <w:b/>
                <w:noProof w:val="0"/>
                <w:szCs w:val="22"/>
                <w:lang w:val="en-GB"/>
                <w:rPrChange w:id="5667" w:author="Author">
                  <w:rPr>
                    <w:b/>
                    <w:noProof w:val="0"/>
                    <w:szCs w:val="22"/>
                  </w:rPr>
                </w:rPrChange>
              </w:rPr>
            </w:pPr>
            <w:r w:rsidRPr="00D55B59">
              <w:rPr>
                <w:b/>
                <w:noProof w:val="0"/>
                <w:szCs w:val="22"/>
                <w:lang w:val="en-GB"/>
                <w:rPrChange w:id="5668" w:author="Author">
                  <w:rPr>
                    <w:b/>
                    <w:noProof w:val="0"/>
                    <w:szCs w:val="22"/>
                  </w:rPr>
                </w:rPrChange>
              </w:rPr>
              <w:t>Magyarország</w:t>
            </w:r>
          </w:p>
          <w:p w14:paraId="100790A2" w14:textId="77777777" w:rsidR="007E0028" w:rsidRPr="00D55B59" w:rsidRDefault="007E0028" w:rsidP="00D47253">
            <w:pPr>
              <w:pStyle w:val="lbltxt"/>
              <w:rPr>
                <w:bCs/>
                <w:noProof w:val="0"/>
                <w:szCs w:val="22"/>
                <w:lang w:val="en-GB"/>
                <w:rPrChange w:id="5669" w:author="Author">
                  <w:rPr>
                    <w:bCs/>
                    <w:noProof w:val="0"/>
                    <w:szCs w:val="22"/>
                  </w:rPr>
                </w:rPrChange>
              </w:rPr>
            </w:pPr>
            <w:r w:rsidRPr="00D55B59">
              <w:rPr>
                <w:bCs/>
                <w:noProof w:val="0"/>
                <w:szCs w:val="22"/>
                <w:lang w:val="en-GB"/>
                <w:rPrChange w:id="5670" w:author="Author">
                  <w:rPr>
                    <w:bCs/>
                    <w:noProof w:val="0"/>
                    <w:szCs w:val="22"/>
                  </w:rPr>
                </w:rPrChange>
              </w:rPr>
              <w:t>Amgen Kft.</w:t>
            </w:r>
          </w:p>
          <w:p w14:paraId="0D4441A4" w14:textId="77777777" w:rsidR="007E0028" w:rsidRPr="00D55B59" w:rsidRDefault="007E0028" w:rsidP="00D47253">
            <w:pPr>
              <w:pStyle w:val="lbltxt"/>
              <w:rPr>
                <w:bCs/>
                <w:noProof w:val="0"/>
                <w:szCs w:val="22"/>
                <w:lang w:val="en-GB"/>
                <w:rPrChange w:id="5671" w:author="Author">
                  <w:rPr>
                    <w:bCs/>
                    <w:noProof w:val="0"/>
                    <w:szCs w:val="22"/>
                  </w:rPr>
                </w:rPrChange>
              </w:rPr>
            </w:pPr>
            <w:r w:rsidRPr="00D55B59">
              <w:rPr>
                <w:bCs/>
                <w:noProof w:val="0"/>
                <w:szCs w:val="22"/>
                <w:lang w:val="en-GB"/>
                <w:rPrChange w:id="5672" w:author="Author">
                  <w:rPr>
                    <w:bCs/>
                    <w:noProof w:val="0"/>
                    <w:szCs w:val="22"/>
                  </w:rPr>
                </w:rPrChange>
              </w:rPr>
              <w:t>Tel.: +36 1 35 44 700</w:t>
            </w:r>
          </w:p>
          <w:p w14:paraId="0E96D931" w14:textId="77777777" w:rsidR="007E0028" w:rsidRPr="00F04F82" w:rsidRDefault="007E0028" w:rsidP="00D47253">
            <w:pPr>
              <w:rPr>
                <w:szCs w:val="22"/>
              </w:rPr>
            </w:pPr>
          </w:p>
        </w:tc>
      </w:tr>
      <w:tr w:rsidR="007E0028" w:rsidRPr="00F04F82" w14:paraId="6C32A45E" w14:textId="77777777" w:rsidTr="00D47253">
        <w:trPr>
          <w:cantSplit/>
        </w:trPr>
        <w:tc>
          <w:tcPr>
            <w:tcW w:w="4677" w:type="dxa"/>
          </w:tcPr>
          <w:p w14:paraId="273BF7B9" w14:textId="77777777" w:rsidR="007E0028" w:rsidRPr="00D55B59" w:rsidRDefault="007E0028" w:rsidP="00D47253">
            <w:pPr>
              <w:pStyle w:val="lbltxt"/>
              <w:rPr>
                <w:noProof w:val="0"/>
                <w:szCs w:val="22"/>
                <w:lang w:val="da-DK"/>
                <w:rPrChange w:id="5673" w:author="Author">
                  <w:rPr>
                    <w:noProof w:val="0"/>
                    <w:szCs w:val="22"/>
                    <w:lang w:val="sv-SE"/>
                  </w:rPr>
                </w:rPrChange>
              </w:rPr>
            </w:pPr>
            <w:r w:rsidRPr="00D55B59">
              <w:rPr>
                <w:b/>
                <w:noProof w:val="0"/>
                <w:szCs w:val="22"/>
                <w:lang w:val="da-DK"/>
                <w:rPrChange w:id="5674" w:author="Author">
                  <w:rPr>
                    <w:b/>
                    <w:noProof w:val="0"/>
                    <w:szCs w:val="22"/>
                    <w:lang w:val="sv-SE"/>
                  </w:rPr>
                </w:rPrChange>
              </w:rPr>
              <w:t>Danmark</w:t>
            </w:r>
          </w:p>
          <w:p w14:paraId="429B3279" w14:textId="77777777" w:rsidR="007E0028" w:rsidRPr="00D55B59" w:rsidRDefault="007E0028" w:rsidP="00D47253">
            <w:pPr>
              <w:pStyle w:val="lbltxt"/>
              <w:rPr>
                <w:noProof w:val="0"/>
                <w:szCs w:val="22"/>
                <w:lang w:val="da-DK"/>
                <w:rPrChange w:id="5675" w:author="Author">
                  <w:rPr>
                    <w:noProof w:val="0"/>
                    <w:szCs w:val="22"/>
                    <w:lang w:val="sv-SE"/>
                  </w:rPr>
                </w:rPrChange>
              </w:rPr>
            </w:pPr>
            <w:r w:rsidRPr="00D55B59">
              <w:rPr>
                <w:noProof w:val="0"/>
                <w:szCs w:val="22"/>
                <w:lang w:val="da-DK"/>
                <w:rPrChange w:id="5676" w:author="Author">
                  <w:rPr>
                    <w:noProof w:val="0"/>
                    <w:szCs w:val="22"/>
                    <w:lang w:val="sv-SE"/>
                  </w:rPr>
                </w:rPrChange>
              </w:rPr>
              <w:t>Amgen, filial af Amgen AB, Sverige</w:t>
            </w:r>
          </w:p>
          <w:p w14:paraId="56EC239F" w14:textId="20664DD1" w:rsidR="007E0028" w:rsidRPr="00D55B59" w:rsidRDefault="007E0028" w:rsidP="00D47253">
            <w:pPr>
              <w:pStyle w:val="lbltxt"/>
              <w:rPr>
                <w:noProof w:val="0"/>
                <w:szCs w:val="22"/>
                <w:lang w:val="en-GB"/>
                <w:rPrChange w:id="5677" w:author="Author">
                  <w:rPr>
                    <w:noProof w:val="0"/>
                    <w:szCs w:val="22"/>
                  </w:rPr>
                </w:rPrChange>
              </w:rPr>
            </w:pPr>
            <w:r w:rsidRPr="00D55B59">
              <w:rPr>
                <w:noProof w:val="0"/>
                <w:szCs w:val="22"/>
                <w:lang w:val="en-GB"/>
                <w:rPrChange w:id="5678" w:author="Author">
                  <w:rPr>
                    <w:noProof w:val="0"/>
                    <w:szCs w:val="22"/>
                  </w:rPr>
                </w:rPrChange>
              </w:rPr>
              <w:t>Tlf</w:t>
            </w:r>
            <w:ins w:id="5679" w:author="Author">
              <w:r w:rsidR="00ED5C30" w:rsidRPr="00D55B59">
                <w:rPr>
                  <w:noProof w:val="0"/>
                  <w:szCs w:val="22"/>
                  <w:lang w:val="en-GB"/>
                  <w:rPrChange w:id="5680" w:author="Author">
                    <w:rPr>
                      <w:noProof w:val="0"/>
                      <w:szCs w:val="22"/>
                    </w:rPr>
                  </w:rPrChange>
                </w:rPr>
                <w:t>.</w:t>
              </w:r>
            </w:ins>
            <w:r w:rsidRPr="00D55B59">
              <w:rPr>
                <w:noProof w:val="0"/>
                <w:szCs w:val="22"/>
                <w:lang w:val="en-GB"/>
                <w:rPrChange w:id="5681" w:author="Author">
                  <w:rPr>
                    <w:noProof w:val="0"/>
                    <w:szCs w:val="22"/>
                  </w:rPr>
                </w:rPrChange>
              </w:rPr>
              <w:t>: +45 39617500</w:t>
            </w:r>
          </w:p>
          <w:p w14:paraId="3C1F7888" w14:textId="77777777" w:rsidR="007E0028" w:rsidRPr="00F04F82" w:rsidRDefault="007E0028" w:rsidP="00D47253">
            <w:pPr>
              <w:rPr>
                <w:szCs w:val="22"/>
              </w:rPr>
            </w:pPr>
          </w:p>
        </w:tc>
        <w:tc>
          <w:tcPr>
            <w:tcW w:w="4679" w:type="dxa"/>
          </w:tcPr>
          <w:p w14:paraId="1E5FD738" w14:textId="77777777" w:rsidR="007E0028" w:rsidRPr="00D55B59" w:rsidRDefault="007E0028" w:rsidP="00D47253">
            <w:pPr>
              <w:pStyle w:val="lbltxt"/>
              <w:rPr>
                <w:b/>
                <w:noProof w:val="0"/>
                <w:szCs w:val="22"/>
                <w:lang w:val="fi-FI"/>
                <w:rPrChange w:id="5682" w:author="Author">
                  <w:rPr>
                    <w:b/>
                    <w:noProof w:val="0"/>
                    <w:szCs w:val="22"/>
                    <w:lang w:val="sv-SE"/>
                  </w:rPr>
                </w:rPrChange>
              </w:rPr>
            </w:pPr>
            <w:r w:rsidRPr="00D55B59">
              <w:rPr>
                <w:b/>
                <w:noProof w:val="0"/>
                <w:szCs w:val="22"/>
                <w:lang w:val="fi-FI"/>
                <w:rPrChange w:id="5683" w:author="Author">
                  <w:rPr>
                    <w:b/>
                    <w:noProof w:val="0"/>
                    <w:szCs w:val="22"/>
                    <w:lang w:val="sv-SE"/>
                  </w:rPr>
                </w:rPrChange>
              </w:rPr>
              <w:t>Malta</w:t>
            </w:r>
          </w:p>
          <w:p w14:paraId="5DD042B4" w14:textId="77777777" w:rsidR="007E0028" w:rsidRPr="00D55B59" w:rsidRDefault="007E0028" w:rsidP="00D47253">
            <w:pPr>
              <w:pStyle w:val="lbltxt"/>
              <w:rPr>
                <w:noProof w:val="0"/>
                <w:szCs w:val="22"/>
                <w:lang w:val="fi-FI"/>
                <w:rPrChange w:id="5684" w:author="Author">
                  <w:rPr>
                    <w:noProof w:val="0"/>
                    <w:szCs w:val="22"/>
                    <w:lang w:val="sv-SE"/>
                  </w:rPr>
                </w:rPrChange>
              </w:rPr>
            </w:pPr>
            <w:r w:rsidRPr="00D55B59">
              <w:rPr>
                <w:noProof w:val="0"/>
                <w:szCs w:val="22"/>
                <w:lang w:val="fi-FI"/>
                <w:rPrChange w:id="5685" w:author="Author">
                  <w:rPr>
                    <w:noProof w:val="0"/>
                    <w:szCs w:val="22"/>
                    <w:lang w:val="sv-SE"/>
                  </w:rPr>
                </w:rPrChange>
              </w:rPr>
              <w:t>Amgen S.r.l.</w:t>
            </w:r>
          </w:p>
          <w:p w14:paraId="199BD88C" w14:textId="77777777" w:rsidR="007E0028" w:rsidRPr="00D55B59" w:rsidRDefault="007E0028" w:rsidP="00D47253">
            <w:pPr>
              <w:pStyle w:val="lbltxt"/>
              <w:rPr>
                <w:noProof w:val="0"/>
                <w:szCs w:val="22"/>
                <w:lang w:val="en-GB"/>
                <w:rPrChange w:id="5686" w:author="Author">
                  <w:rPr>
                    <w:noProof w:val="0"/>
                    <w:szCs w:val="22"/>
                    <w:lang w:val="sv-SE"/>
                  </w:rPr>
                </w:rPrChange>
              </w:rPr>
            </w:pPr>
            <w:r w:rsidRPr="00D55B59">
              <w:rPr>
                <w:noProof w:val="0"/>
                <w:szCs w:val="22"/>
                <w:lang w:val="en-GB"/>
                <w:rPrChange w:id="5687" w:author="Author">
                  <w:rPr>
                    <w:noProof w:val="0"/>
                    <w:szCs w:val="22"/>
                    <w:lang w:val="sv-SE"/>
                  </w:rPr>
                </w:rPrChange>
              </w:rPr>
              <w:t>Italy</w:t>
            </w:r>
          </w:p>
          <w:p w14:paraId="0ACF2E95" w14:textId="77777777" w:rsidR="007E0028" w:rsidRPr="00D55B59" w:rsidRDefault="007E0028" w:rsidP="00D47253">
            <w:pPr>
              <w:pStyle w:val="lbltxt"/>
              <w:rPr>
                <w:noProof w:val="0"/>
                <w:szCs w:val="22"/>
                <w:lang w:val="en-GB"/>
                <w:rPrChange w:id="5688" w:author="Author">
                  <w:rPr>
                    <w:noProof w:val="0"/>
                    <w:szCs w:val="22"/>
                  </w:rPr>
                </w:rPrChange>
              </w:rPr>
            </w:pPr>
            <w:r w:rsidRPr="00D55B59">
              <w:rPr>
                <w:noProof w:val="0"/>
                <w:szCs w:val="22"/>
                <w:lang w:val="en-GB"/>
                <w:rPrChange w:id="5689" w:author="Author">
                  <w:rPr>
                    <w:noProof w:val="0"/>
                    <w:szCs w:val="22"/>
                  </w:rPr>
                </w:rPrChange>
              </w:rPr>
              <w:t>Tel: +39 02 6241121</w:t>
            </w:r>
          </w:p>
          <w:p w14:paraId="493AB4B0" w14:textId="77777777" w:rsidR="007E0028" w:rsidRPr="00F04F82" w:rsidRDefault="007E0028" w:rsidP="00D47253">
            <w:pPr>
              <w:rPr>
                <w:szCs w:val="22"/>
              </w:rPr>
            </w:pPr>
          </w:p>
        </w:tc>
      </w:tr>
      <w:tr w:rsidR="007E0028" w:rsidRPr="00F04F82" w14:paraId="6E54996B" w14:textId="77777777" w:rsidTr="00D47253">
        <w:trPr>
          <w:cantSplit/>
        </w:trPr>
        <w:tc>
          <w:tcPr>
            <w:tcW w:w="4677" w:type="dxa"/>
          </w:tcPr>
          <w:p w14:paraId="6DD8A195" w14:textId="77777777" w:rsidR="007E0028" w:rsidRPr="00D55B59" w:rsidRDefault="007E0028" w:rsidP="00D47253">
            <w:pPr>
              <w:pStyle w:val="lbltxt"/>
              <w:rPr>
                <w:noProof w:val="0"/>
                <w:szCs w:val="22"/>
                <w:lang w:val="en-GB"/>
                <w:rPrChange w:id="5690" w:author="Author">
                  <w:rPr>
                    <w:noProof w:val="0"/>
                    <w:szCs w:val="22"/>
                  </w:rPr>
                </w:rPrChange>
              </w:rPr>
            </w:pPr>
            <w:r w:rsidRPr="00D55B59">
              <w:rPr>
                <w:b/>
                <w:noProof w:val="0"/>
                <w:szCs w:val="22"/>
                <w:lang w:val="en-GB"/>
                <w:rPrChange w:id="5691" w:author="Author">
                  <w:rPr>
                    <w:b/>
                    <w:noProof w:val="0"/>
                    <w:szCs w:val="22"/>
                  </w:rPr>
                </w:rPrChange>
              </w:rPr>
              <w:t>Deutschland</w:t>
            </w:r>
          </w:p>
          <w:p w14:paraId="2ABBBFA6" w14:textId="77777777" w:rsidR="007E0028" w:rsidRPr="00D55B59" w:rsidRDefault="007E0028" w:rsidP="00D47253">
            <w:pPr>
              <w:pStyle w:val="lbltxt"/>
              <w:rPr>
                <w:noProof w:val="0"/>
                <w:szCs w:val="22"/>
                <w:lang w:val="en-GB"/>
                <w:rPrChange w:id="5692" w:author="Author">
                  <w:rPr>
                    <w:noProof w:val="0"/>
                    <w:szCs w:val="22"/>
                  </w:rPr>
                </w:rPrChange>
              </w:rPr>
            </w:pPr>
            <w:r w:rsidRPr="00D55B59">
              <w:rPr>
                <w:noProof w:val="0"/>
                <w:szCs w:val="22"/>
                <w:lang w:val="en-GB"/>
                <w:rPrChange w:id="5693" w:author="Author">
                  <w:rPr>
                    <w:noProof w:val="0"/>
                    <w:szCs w:val="22"/>
                  </w:rPr>
                </w:rPrChange>
              </w:rPr>
              <w:t>Amgen GmbH</w:t>
            </w:r>
          </w:p>
          <w:p w14:paraId="7FB41A25" w14:textId="77777777" w:rsidR="007E0028" w:rsidRPr="00D55B59" w:rsidRDefault="007E0028" w:rsidP="00D47253">
            <w:pPr>
              <w:pStyle w:val="lbltxt"/>
              <w:rPr>
                <w:noProof w:val="0"/>
                <w:szCs w:val="22"/>
                <w:lang w:val="en-GB"/>
                <w:rPrChange w:id="5694" w:author="Author">
                  <w:rPr>
                    <w:noProof w:val="0"/>
                    <w:szCs w:val="22"/>
                  </w:rPr>
                </w:rPrChange>
              </w:rPr>
            </w:pPr>
            <w:r w:rsidRPr="00D55B59">
              <w:rPr>
                <w:noProof w:val="0"/>
                <w:szCs w:val="22"/>
                <w:lang w:val="en-GB"/>
                <w:rPrChange w:id="5695" w:author="Author">
                  <w:rPr>
                    <w:noProof w:val="0"/>
                    <w:szCs w:val="22"/>
                  </w:rPr>
                </w:rPrChange>
              </w:rPr>
              <w:t>Tel: +49 89 1490960</w:t>
            </w:r>
          </w:p>
          <w:p w14:paraId="3B5BEB49" w14:textId="77777777" w:rsidR="007E0028" w:rsidRPr="00F04F82" w:rsidRDefault="007E0028" w:rsidP="00D47253">
            <w:pPr>
              <w:rPr>
                <w:szCs w:val="22"/>
              </w:rPr>
            </w:pPr>
          </w:p>
        </w:tc>
        <w:tc>
          <w:tcPr>
            <w:tcW w:w="4679" w:type="dxa"/>
          </w:tcPr>
          <w:p w14:paraId="505E3473" w14:textId="77777777" w:rsidR="007E0028" w:rsidRPr="00D55B59" w:rsidRDefault="007E0028" w:rsidP="00D47253">
            <w:pPr>
              <w:pStyle w:val="lbltxt"/>
              <w:rPr>
                <w:noProof w:val="0"/>
                <w:szCs w:val="22"/>
                <w:lang w:val="en-GB"/>
                <w:rPrChange w:id="5696" w:author="Author">
                  <w:rPr>
                    <w:noProof w:val="0"/>
                    <w:szCs w:val="22"/>
                    <w:lang w:val="sv-SE"/>
                  </w:rPr>
                </w:rPrChange>
              </w:rPr>
            </w:pPr>
            <w:r w:rsidRPr="00D55B59">
              <w:rPr>
                <w:b/>
                <w:noProof w:val="0"/>
                <w:szCs w:val="22"/>
                <w:lang w:val="en-GB"/>
                <w:rPrChange w:id="5697" w:author="Author">
                  <w:rPr>
                    <w:b/>
                    <w:noProof w:val="0"/>
                    <w:szCs w:val="22"/>
                    <w:lang w:val="sv-SE"/>
                  </w:rPr>
                </w:rPrChange>
              </w:rPr>
              <w:t>Nederland</w:t>
            </w:r>
          </w:p>
          <w:p w14:paraId="490EECF4" w14:textId="77777777" w:rsidR="007E0028" w:rsidRPr="00D55B59" w:rsidRDefault="007E0028" w:rsidP="00D47253">
            <w:pPr>
              <w:pStyle w:val="lbltxt"/>
              <w:rPr>
                <w:noProof w:val="0"/>
                <w:szCs w:val="22"/>
                <w:lang w:val="en-GB"/>
                <w:rPrChange w:id="5698" w:author="Author">
                  <w:rPr>
                    <w:noProof w:val="0"/>
                    <w:szCs w:val="22"/>
                    <w:lang w:val="sv-SE"/>
                  </w:rPr>
                </w:rPrChange>
              </w:rPr>
            </w:pPr>
            <w:r w:rsidRPr="00D55B59">
              <w:rPr>
                <w:noProof w:val="0"/>
                <w:szCs w:val="22"/>
                <w:lang w:val="en-GB"/>
                <w:rPrChange w:id="5699" w:author="Author">
                  <w:rPr>
                    <w:noProof w:val="0"/>
                    <w:szCs w:val="22"/>
                    <w:lang w:val="sv-SE"/>
                  </w:rPr>
                </w:rPrChange>
              </w:rPr>
              <w:t>Amgen B.V.</w:t>
            </w:r>
          </w:p>
          <w:p w14:paraId="5CA529ED" w14:textId="77777777" w:rsidR="007E0028" w:rsidRPr="00D55B59" w:rsidRDefault="007E0028" w:rsidP="00D47253">
            <w:pPr>
              <w:pStyle w:val="lbltxt"/>
              <w:rPr>
                <w:bCs/>
                <w:noProof w:val="0"/>
                <w:szCs w:val="22"/>
                <w:lang w:val="en-GB"/>
                <w:rPrChange w:id="5700" w:author="Author">
                  <w:rPr>
                    <w:bCs/>
                    <w:noProof w:val="0"/>
                    <w:szCs w:val="22"/>
                    <w:lang w:val="sv-SE"/>
                  </w:rPr>
                </w:rPrChange>
              </w:rPr>
            </w:pPr>
            <w:r w:rsidRPr="00D55B59">
              <w:rPr>
                <w:noProof w:val="0"/>
                <w:szCs w:val="22"/>
                <w:lang w:val="en-GB"/>
                <w:rPrChange w:id="5701" w:author="Author">
                  <w:rPr>
                    <w:noProof w:val="0"/>
                    <w:szCs w:val="22"/>
                    <w:lang w:val="sv-SE"/>
                  </w:rPr>
                </w:rPrChange>
              </w:rPr>
              <w:t>Tel: +31 (0)76 5732500</w:t>
            </w:r>
          </w:p>
          <w:p w14:paraId="47464868" w14:textId="77777777" w:rsidR="007E0028" w:rsidRPr="00D55B59" w:rsidRDefault="007E0028" w:rsidP="00D47253">
            <w:pPr>
              <w:rPr>
                <w:szCs w:val="22"/>
                <w:rPrChange w:id="5702" w:author="Author">
                  <w:rPr>
                    <w:szCs w:val="22"/>
                    <w:lang w:val="sv-SE"/>
                  </w:rPr>
                </w:rPrChange>
              </w:rPr>
            </w:pPr>
          </w:p>
        </w:tc>
      </w:tr>
      <w:tr w:rsidR="007E0028" w:rsidRPr="00F04F82" w14:paraId="6D0ED061" w14:textId="77777777" w:rsidTr="00D47253">
        <w:trPr>
          <w:cantSplit/>
        </w:trPr>
        <w:tc>
          <w:tcPr>
            <w:tcW w:w="4677" w:type="dxa"/>
          </w:tcPr>
          <w:p w14:paraId="3E8E7D55" w14:textId="77777777" w:rsidR="007E0028" w:rsidRPr="00D55B59" w:rsidRDefault="007E0028" w:rsidP="00D47253">
            <w:pPr>
              <w:pStyle w:val="lbltxt"/>
              <w:rPr>
                <w:b/>
                <w:noProof w:val="0"/>
                <w:szCs w:val="22"/>
                <w:lang w:val="en-GB"/>
                <w:rPrChange w:id="5703" w:author="Author">
                  <w:rPr>
                    <w:b/>
                    <w:noProof w:val="0"/>
                    <w:szCs w:val="22"/>
                    <w:lang w:val="sv-SE"/>
                  </w:rPr>
                </w:rPrChange>
              </w:rPr>
            </w:pPr>
            <w:r w:rsidRPr="00D55B59">
              <w:rPr>
                <w:b/>
                <w:noProof w:val="0"/>
                <w:szCs w:val="22"/>
                <w:lang w:val="en-GB"/>
                <w:rPrChange w:id="5704" w:author="Author">
                  <w:rPr>
                    <w:b/>
                    <w:noProof w:val="0"/>
                    <w:szCs w:val="22"/>
                    <w:lang w:val="sv-SE"/>
                  </w:rPr>
                </w:rPrChange>
              </w:rPr>
              <w:t>Eesti</w:t>
            </w:r>
          </w:p>
          <w:p w14:paraId="7B6AE93C" w14:textId="77777777" w:rsidR="007E0028" w:rsidRPr="00D55B59" w:rsidRDefault="007E0028" w:rsidP="00D47253">
            <w:pPr>
              <w:pStyle w:val="lbltxt"/>
              <w:rPr>
                <w:bCs/>
                <w:noProof w:val="0"/>
                <w:szCs w:val="22"/>
                <w:lang w:val="en-GB"/>
                <w:rPrChange w:id="5705" w:author="Author">
                  <w:rPr>
                    <w:bCs/>
                    <w:noProof w:val="0"/>
                    <w:szCs w:val="22"/>
                    <w:lang w:val="sv-SE"/>
                  </w:rPr>
                </w:rPrChange>
              </w:rPr>
            </w:pPr>
            <w:r w:rsidRPr="00D55B59">
              <w:rPr>
                <w:bCs/>
                <w:noProof w:val="0"/>
                <w:szCs w:val="22"/>
                <w:lang w:val="en-GB"/>
                <w:rPrChange w:id="5706" w:author="Author">
                  <w:rPr>
                    <w:bCs/>
                    <w:noProof w:val="0"/>
                    <w:szCs w:val="22"/>
                    <w:lang w:val="sv-SE"/>
                  </w:rPr>
                </w:rPrChange>
              </w:rPr>
              <w:t xml:space="preserve">Amgen Switzerland AG </w:t>
            </w:r>
            <w:r w:rsidRPr="00D55B59">
              <w:rPr>
                <w:noProof w:val="0"/>
                <w:szCs w:val="22"/>
                <w:lang w:val="en-GB"/>
                <w:rPrChange w:id="5707" w:author="Author">
                  <w:rPr>
                    <w:noProof w:val="0"/>
                    <w:szCs w:val="22"/>
                    <w:lang w:val="sv-SE"/>
                  </w:rPr>
                </w:rPrChange>
              </w:rPr>
              <w:t>Vilniaus filialas</w:t>
            </w:r>
          </w:p>
          <w:p w14:paraId="4F82AE50" w14:textId="77777777" w:rsidR="007E0028" w:rsidRPr="00D55B59" w:rsidRDefault="007E0028" w:rsidP="00D47253">
            <w:pPr>
              <w:pStyle w:val="lbltxt"/>
              <w:rPr>
                <w:noProof w:val="0"/>
                <w:szCs w:val="22"/>
                <w:lang w:val="en-GB"/>
                <w:rPrChange w:id="5708" w:author="Author">
                  <w:rPr>
                    <w:noProof w:val="0"/>
                    <w:szCs w:val="22"/>
                  </w:rPr>
                </w:rPrChange>
              </w:rPr>
            </w:pPr>
            <w:r w:rsidRPr="00D55B59">
              <w:rPr>
                <w:bCs/>
                <w:noProof w:val="0"/>
                <w:szCs w:val="22"/>
                <w:lang w:val="en-GB"/>
                <w:rPrChange w:id="5709" w:author="Author">
                  <w:rPr>
                    <w:bCs/>
                    <w:noProof w:val="0"/>
                    <w:szCs w:val="22"/>
                  </w:rPr>
                </w:rPrChange>
              </w:rPr>
              <w:t>Tel: +</w:t>
            </w:r>
            <w:r w:rsidRPr="00D55B59">
              <w:rPr>
                <w:noProof w:val="0"/>
                <w:szCs w:val="22"/>
                <w:lang w:val="en-GB"/>
                <w:rPrChange w:id="5710" w:author="Author">
                  <w:rPr>
                    <w:noProof w:val="0"/>
                    <w:szCs w:val="22"/>
                  </w:rPr>
                </w:rPrChange>
              </w:rPr>
              <w:t>372 586 09553</w:t>
            </w:r>
          </w:p>
          <w:p w14:paraId="6366154B" w14:textId="77777777" w:rsidR="007E0028" w:rsidRPr="00F04F82" w:rsidRDefault="007E0028" w:rsidP="00D47253">
            <w:pPr>
              <w:rPr>
                <w:szCs w:val="22"/>
              </w:rPr>
            </w:pPr>
          </w:p>
        </w:tc>
        <w:tc>
          <w:tcPr>
            <w:tcW w:w="4679" w:type="dxa"/>
          </w:tcPr>
          <w:p w14:paraId="5E4BBD1B" w14:textId="77777777" w:rsidR="007E0028" w:rsidRPr="00D55B59" w:rsidRDefault="007E0028" w:rsidP="00D47253">
            <w:pPr>
              <w:pStyle w:val="lbltxt"/>
              <w:rPr>
                <w:b/>
                <w:bCs/>
                <w:noProof w:val="0"/>
                <w:szCs w:val="22"/>
                <w:lang w:val="en-GB"/>
                <w:rPrChange w:id="5711" w:author="Author">
                  <w:rPr>
                    <w:b/>
                    <w:bCs/>
                    <w:noProof w:val="0"/>
                    <w:szCs w:val="22"/>
                  </w:rPr>
                </w:rPrChange>
              </w:rPr>
            </w:pPr>
            <w:r w:rsidRPr="00D55B59">
              <w:rPr>
                <w:b/>
                <w:bCs/>
                <w:noProof w:val="0"/>
                <w:szCs w:val="22"/>
                <w:lang w:val="en-GB"/>
                <w:rPrChange w:id="5712" w:author="Author">
                  <w:rPr>
                    <w:b/>
                    <w:bCs/>
                    <w:noProof w:val="0"/>
                    <w:szCs w:val="22"/>
                  </w:rPr>
                </w:rPrChange>
              </w:rPr>
              <w:t>Norge</w:t>
            </w:r>
          </w:p>
          <w:p w14:paraId="1AA28D00" w14:textId="77777777" w:rsidR="007E0028" w:rsidRPr="00D55B59" w:rsidRDefault="007E0028" w:rsidP="00D47253">
            <w:pPr>
              <w:pStyle w:val="lbltxt"/>
              <w:rPr>
                <w:rStyle w:val="CommentReference"/>
                <w:noProof w:val="0"/>
                <w:sz w:val="22"/>
                <w:szCs w:val="22"/>
                <w:lang w:val="en-GB"/>
                <w:rPrChange w:id="5713" w:author="Author">
                  <w:rPr>
                    <w:rStyle w:val="CommentReference"/>
                    <w:noProof w:val="0"/>
                    <w:sz w:val="22"/>
                    <w:szCs w:val="22"/>
                  </w:rPr>
                </w:rPrChange>
              </w:rPr>
            </w:pPr>
            <w:r w:rsidRPr="00D55B59">
              <w:rPr>
                <w:rStyle w:val="CommentReference"/>
                <w:noProof w:val="0"/>
                <w:sz w:val="22"/>
                <w:szCs w:val="22"/>
                <w:lang w:val="en-GB"/>
                <w:rPrChange w:id="5714" w:author="Author">
                  <w:rPr>
                    <w:rStyle w:val="CommentReference"/>
                    <w:noProof w:val="0"/>
                    <w:sz w:val="22"/>
                    <w:szCs w:val="22"/>
                  </w:rPr>
                </w:rPrChange>
              </w:rPr>
              <w:t>Amgen AB</w:t>
            </w:r>
          </w:p>
          <w:p w14:paraId="69080AD2" w14:textId="77777777" w:rsidR="007E0028" w:rsidRPr="00D55B59" w:rsidRDefault="007E0028" w:rsidP="00D47253">
            <w:pPr>
              <w:pStyle w:val="lbltxt"/>
              <w:rPr>
                <w:noProof w:val="0"/>
                <w:szCs w:val="22"/>
                <w:lang w:val="en-GB"/>
                <w:rPrChange w:id="5715" w:author="Author">
                  <w:rPr>
                    <w:noProof w:val="0"/>
                    <w:szCs w:val="22"/>
                  </w:rPr>
                </w:rPrChange>
              </w:rPr>
            </w:pPr>
            <w:r w:rsidRPr="00D55B59">
              <w:rPr>
                <w:rStyle w:val="CommentReference"/>
                <w:noProof w:val="0"/>
                <w:sz w:val="22"/>
                <w:szCs w:val="22"/>
                <w:lang w:val="en-GB"/>
                <w:rPrChange w:id="5716" w:author="Author">
                  <w:rPr>
                    <w:rStyle w:val="CommentReference"/>
                    <w:noProof w:val="0"/>
                    <w:sz w:val="22"/>
                    <w:szCs w:val="22"/>
                  </w:rPr>
                </w:rPrChange>
              </w:rPr>
              <w:t>Tl</w:t>
            </w:r>
            <w:r w:rsidRPr="00D55B59">
              <w:rPr>
                <w:rStyle w:val="CommentReference"/>
                <w:noProof w:val="0"/>
                <w:sz w:val="22"/>
                <w:lang w:val="en-GB"/>
                <w:rPrChange w:id="5717" w:author="Author">
                  <w:rPr>
                    <w:rStyle w:val="CommentReference"/>
                    <w:sz w:val="22"/>
                  </w:rPr>
                </w:rPrChange>
              </w:rPr>
              <w:t>f</w:t>
            </w:r>
            <w:r w:rsidRPr="00D55B59">
              <w:rPr>
                <w:rStyle w:val="CommentReference"/>
                <w:noProof w:val="0"/>
                <w:sz w:val="22"/>
                <w:szCs w:val="22"/>
                <w:lang w:val="en-GB"/>
                <w:rPrChange w:id="5718" w:author="Author">
                  <w:rPr>
                    <w:rStyle w:val="CommentReference"/>
                    <w:noProof w:val="0"/>
                    <w:sz w:val="22"/>
                    <w:szCs w:val="22"/>
                  </w:rPr>
                </w:rPrChange>
              </w:rPr>
              <w:t>: +47 23308000</w:t>
            </w:r>
          </w:p>
          <w:p w14:paraId="7494019D" w14:textId="77777777" w:rsidR="007E0028" w:rsidRPr="00F04F82" w:rsidRDefault="007E0028" w:rsidP="00D47253">
            <w:pPr>
              <w:rPr>
                <w:szCs w:val="22"/>
              </w:rPr>
            </w:pPr>
          </w:p>
        </w:tc>
      </w:tr>
      <w:tr w:rsidR="007E0028" w:rsidRPr="00F04F82" w14:paraId="2F9E8D27" w14:textId="77777777" w:rsidTr="00D47253">
        <w:trPr>
          <w:cantSplit/>
        </w:trPr>
        <w:tc>
          <w:tcPr>
            <w:tcW w:w="4677" w:type="dxa"/>
          </w:tcPr>
          <w:p w14:paraId="6C5D0C40" w14:textId="77777777" w:rsidR="007E0028" w:rsidRPr="00247EF0" w:rsidRDefault="007E0028" w:rsidP="00D47253">
            <w:pPr>
              <w:pStyle w:val="lbltxt"/>
              <w:rPr>
                <w:b/>
                <w:bCs/>
                <w:noProof w:val="0"/>
                <w:szCs w:val="22"/>
                <w:lang w:val="el-GR"/>
              </w:rPr>
            </w:pPr>
            <w:r w:rsidRPr="00247EF0">
              <w:rPr>
                <w:b/>
                <w:bCs/>
                <w:noProof w:val="0"/>
                <w:szCs w:val="22"/>
                <w:lang w:val="el-GR"/>
              </w:rPr>
              <w:t>Ελλάδα</w:t>
            </w:r>
          </w:p>
          <w:p w14:paraId="48ABEC8F" w14:textId="77777777" w:rsidR="007E0028" w:rsidRPr="00247EF0" w:rsidRDefault="007E0028" w:rsidP="00D47253">
            <w:pPr>
              <w:pStyle w:val="lbltxt"/>
              <w:rPr>
                <w:noProof w:val="0"/>
                <w:szCs w:val="22"/>
                <w:lang w:val="el-GR"/>
              </w:rPr>
            </w:pPr>
            <w:r w:rsidRPr="00D55B59">
              <w:rPr>
                <w:noProof w:val="0"/>
                <w:szCs w:val="22"/>
                <w:lang w:val="en-GB"/>
                <w:rPrChange w:id="5719" w:author="Author">
                  <w:rPr>
                    <w:noProof w:val="0"/>
                    <w:szCs w:val="22"/>
                  </w:rPr>
                </w:rPrChange>
              </w:rPr>
              <w:t>Amgen</w:t>
            </w:r>
            <w:r w:rsidRPr="00247EF0">
              <w:rPr>
                <w:noProof w:val="0"/>
                <w:szCs w:val="22"/>
                <w:lang w:val="el-GR"/>
              </w:rPr>
              <w:t xml:space="preserve"> Ελλάς Φαρμακευτικά Ε.Π.Ε. </w:t>
            </w:r>
          </w:p>
          <w:p w14:paraId="069F06CA" w14:textId="77777777" w:rsidR="007E0028" w:rsidRPr="00D55B59" w:rsidRDefault="007E0028" w:rsidP="00D47253">
            <w:pPr>
              <w:pStyle w:val="lbltxt"/>
              <w:rPr>
                <w:noProof w:val="0"/>
                <w:szCs w:val="22"/>
                <w:lang w:val="en-GB"/>
                <w:rPrChange w:id="5720" w:author="Author">
                  <w:rPr>
                    <w:noProof w:val="0"/>
                    <w:szCs w:val="22"/>
                  </w:rPr>
                </w:rPrChange>
              </w:rPr>
            </w:pPr>
            <w:r w:rsidRPr="00D55B59">
              <w:rPr>
                <w:noProof w:val="0"/>
                <w:szCs w:val="22"/>
                <w:lang w:val="en-GB"/>
                <w:rPrChange w:id="5721" w:author="Author">
                  <w:rPr>
                    <w:noProof w:val="0"/>
                    <w:szCs w:val="22"/>
                  </w:rPr>
                </w:rPrChange>
              </w:rPr>
              <w:t>Τηλ: +30 210 3447000</w:t>
            </w:r>
          </w:p>
          <w:p w14:paraId="1DD428E2" w14:textId="77777777" w:rsidR="007E0028" w:rsidRPr="00F04F82" w:rsidRDefault="007E0028" w:rsidP="00D47253">
            <w:pPr>
              <w:rPr>
                <w:szCs w:val="22"/>
              </w:rPr>
            </w:pPr>
          </w:p>
        </w:tc>
        <w:tc>
          <w:tcPr>
            <w:tcW w:w="4679" w:type="dxa"/>
          </w:tcPr>
          <w:p w14:paraId="6F313419" w14:textId="77777777" w:rsidR="007E0028" w:rsidRPr="00D55B59" w:rsidRDefault="007E0028" w:rsidP="00D47253">
            <w:pPr>
              <w:pStyle w:val="lbltxt"/>
              <w:rPr>
                <w:noProof w:val="0"/>
                <w:szCs w:val="22"/>
                <w:lang w:val="en-GB"/>
                <w:rPrChange w:id="5722" w:author="Author">
                  <w:rPr>
                    <w:noProof w:val="0"/>
                    <w:szCs w:val="22"/>
                  </w:rPr>
                </w:rPrChange>
              </w:rPr>
            </w:pPr>
            <w:r w:rsidRPr="00D55B59">
              <w:rPr>
                <w:b/>
                <w:noProof w:val="0"/>
                <w:szCs w:val="22"/>
                <w:lang w:val="en-GB"/>
                <w:rPrChange w:id="5723" w:author="Author">
                  <w:rPr>
                    <w:b/>
                    <w:noProof w:val="0"/>
                    <w:szCs w:val="22"/>
                  </w:rPr>
                </w:rPrChange>
              </w:rPr>
              <w:t>Österreich</w:t>
            </w:r>
          </w:p>
          <w:p w14:paraId="4DA8A6A8" w14:textId="77777777" w:rsidR="007E0028" w:rsidRPr="00D55B59" w:rsidRDefault="007E0028" w:rsidP="00D47253">
            <w:pPr>
              <w:pStyle w:val="lbltxt"/>
              <w:rPr>
                <w:noProof w:val="0"/>
                <w:szCs w:val="22"/>
                <w:lang w:val="en-GB"/>
                <w:rPrChange w:id="5724" w:author="Author">
                  <w:rPr>
                    <w:noProof w:val="0"/>
                    <w:szCs w:val="22"/>
                  </w:rPr>
                </w:rPrChange>
              </w:rPr>
            </w:pPr>
            <w:r w:rsidRPr="00D55B59">
              <w:rPr>
                <w:noProof w:val="0"/>
                <w:szCs w:val="22"/>
                <w:lang w:val="en-GB"/>
                <w:rPrChange w:id="5725" w:author="Author">
                  <w:rPr>
                    <w:noProof w:val="0"/>
                    <w:szCs w:val="22"/>
                  </w:rPr>
                </w:rPrChange>
              </w:rPr>
              <w:t xml:space="preserve">Amgen GmbH </w:t>
            </w:r>
          </w:p>
          <w:p w14:paraId="5A0E535F" w14:textId="77777777" w:rsidR="007E0028" w:rsidRPr="00D55B59" w:rsidRDefault="007E0028" w:rsidP="00D47253">
            <w:pPr>
              <w:pStyle w:val="lbltxt"/>
              <w:rPr>
                <w:noProof w:val="0"/>
                <w:szCs w:val="22"/>
                <w:lang w:val="en-GB"/>
                <w:rPrChange w:id="5726" w:author="Author">
                  <w:rPr>
                    <w:noProof w:val="0"/>
                    <w:szCs w:val="22"/>
                  </w:rPr>
                </w:rPrChange>
              </w:rPr>
            </w:pPr>
            <w:r w:rsidRPr="00D55B59">
              <w:rPr>
                <w:noProof w:val="0"/>
                <w:szCs w:val="22"/>
                <w:lang w:val="en-GB"/>
                <w:rPrChange w:id="5727" w:author="Author">
                  <w:rPr>
                    <w:noProof w:val="0"/>
                    <w:szCs w:val="22"/>
                  </w:rPr>
                </w:rPrChange>
              </w:rPr>
              <w:t>Tel: +43 (0)1 50 217</w:t>
            </w:r>
          </w:p>
          <w:p w14:paraId="72A14344" w14:textId="77777777" w:rsidR="007E0028" w:rsidRPr="00F04F82" w:rsidRDefault="007E0028" w:rsidP="00D47253">
            <w:pPr>
              <w:rPr>
                <w:szCs w:val="22"/>
              </w:rPr>
            </w:pPr>
          </w:p>
        </w:tc>
      </w:tr>
      <w:tr w:rsidR="007E0028" w:rsidRPr="00F04F82" w14:paraId="62A74008" w14:textId="77777777" w:rsidTr="00D47253">
        <w:trPr>
          <w:cantSplit/>
        </w:trPr>
        <w:tc>
          <w:tcPr>
            <w:tcW w:w="4677" w:type="dxa"/>
          </w:tcPr>
          <w:p w14:paraId="7099D7F9" w14:textId="77777777" w:rsidR="007E0028" w:rsidRPr="00D55B59" w:rsidRDefault="007E0028" w:rsidP="00E20F17">
            <w:pPr>
              <w:pStyle w:val="lbltxt"/>
              <w:rPr>
                <w:noProof w:val="0"/>
                <w:szCs w:val="22"/>
                <w:lang w:val="es-ES"/>
                <w:rPrChange w:id="5728" w:author="Author">
                  <w:rPr>
                    <w:noProof w:val="0"/>
                    <w:szCs w:val="22"/>
                    <w:lang w:val="sv-SE"/>
                  </w:rPr>
                </w:rPrChange>
              </w:rPr>
            </w:pPr>
            <w:r w:rsidRPr="00D55B59">
              <w:rPr>
                <w:b/>
                <w:noProof w:val="0"/>
                <w:szCs w:val="22"/>
                <w:lang w:val="es-ES"/>
                <w:rPrChange w:id="5729" w:author="Author">
                  <w:rPr>
                    <w:b/>
                    <w:noProof w:val="0"/>
                    <w:szCs w:val="22"/>
                    <w:lang w:val="sv-SE"/>
                  </w:rPr>
                </w:rPrChange>
              </w:rPr>
              <w:t>España</w:t>
            </w:r>
          </w:p>
          <w:p w14:paraId="58FF5E3F" w14:textId="77777777" w:rsidR="007E0028" w:rsidRPr="00D55B59" w:rsidRDefault="007E0028" w:rsidP="00E20F17">
            <w:pPr>
              <w:pStyle w:val="lbltxt"/>
              <w:rPr>
                <w:noProof w:val="0"/>
                <w:spacing w:val="-2"/>
                <w:szCs w:val="22"/>
                <w:lang w:val="es-ES"/>
                <w:rPrChange w:id="5730" w:author="Author">
                  <w:rPr>
                    <w:noProof w:val="0"/>
                    <w:spacing w:val="-2"/>
                    <w:szCs w:val="22"/>
                    <w:lang w:val="sv-SE"/>
                  </w:rPr>
                </w:rPrChange>
              </w:rPr>
            </w:pPr>
            <w:r w:rsidRPr="00D55B59">
              <w:rPr>
                <w:noProof w:val="0"/>
                <w:spacing w:val="-2"/>
                <w:szCs w:val="22"/>
                <w:lang w:val="es-ES"/>
                <w:rPrChange w:id="5731" w:author="Author">
                  <w:rPr>
                    <w:noProof w:val="0"/>
                    <w:spacing w:val="-2"/>
                    <w:szCs w:val="22"/>
                    <w:lang w:val="sv-SE"/>
                  </w:rPr>
                </w:rPrChange>
              </w:rPr>
              <w:t>Amgen S.A.</w:t>
            </w:r>
          </w:p>
          <w:p w14:paraId="57CF7B37" w14:textId="77777777" w:rsidR="007E0028" w:rsidRPr="00D55B59" w:rsidRDefault="007E0028" w:rsidP="00E20F17">
            <w:pPr>
              <w:pStyle w:val="lbltxt"/>
              <w:rPr>
                <w:rStyle w:val="Initial"/>
                <w:szCs w:val="22"/>
                <w:lang w:val="es-ES"/>
                <w:rPrChange w:id="5732" w:author="Author">
                  <w:rPr>
                    <w:rStyle w:val="Initial"/>
                    <w:szCs w:val="22"/>
                    <w:lang w:val="sv-SE"/>
                  </w:rPr>
                </w:rPrChange>
              </w:rPr>
            </w:pPr>
            <w:r w:rsidRPr="00D55B59">
              <w:rPr>
                <w:noProof w:val="0"/>
                <w:szCs w:val="22"/>
                <w:lang w:val="es-ES"/>
                <w:rPrChange w:id="5733" w:author="Author">
                  <w:rPr>
                    <w:rFonts w:ascii="CG Times" w:hAnsi="CG Times"/>
                    <w:noProof w:val="0"/>
                    <w:sz w:val="24"/>
                    <w:szCs w:val="22"/>
                    <w:lang w:val="sv-SE"/>
                  </w:rPr>
                </w:rPrChange>
              </w:rPr>
              <w:t xml:space="preserve">Tel: +34 93 600 18 60 </w:t>
            </w:r>
          </w:p>
          <w:p w14:paraId="4DB6CF23" w14:textId="77777777" w:rsidR="007E0028" w:rsidRPr="00D55B59" w:rsidRDefault="007E0028" w:rsidP="00E20F17">
            <w:pPr>
              <w:rPr>
                <w:szCs w:val="22"/>
                <w:lang w:val="es-ES"/>
                <w:rPrChange w:id="5734" w:author="Author">
                  <w:rPr>
                    <w:szCs w:val="22"/>
                    <w:lang w:val="sv-SE"/>
                  </w:rPr>
                </w:rPrChange>
              </w:rPr>
            </w:pPr>
          </w:p>
        </w:tc>
        <w:tc>
          <w:tcPr>
            <w:tcW w:w="4679" w:type="dxa"/>
          </w:tcPr>
          <w:p w14:paraId="7935499A" w14:textId="77777777" w:rsidR="007E0028" w:rsidRPr="00247EF0" w:rsidRDefault="007E0028" w:rsidP="00E20F17">
            <w:pPr>
              <w:pStyle w:val="lbltxt"/>
              <w:rPr>
                <w:b/>
                <w:noProof w:val="0"/>
                <w:szCs w:val="22"/>
                <w:lang w:val="pl-PL"/>
              </w:rPr>
            </w:pPr>
            <w:r w:rsidRPr="00247EF0">
              <w:rPr>
                <w:b/>
                <w:noProof w:val="0"/>
                <w:szCs w:val="22"/>
                <w:lang w:val="pl-PL"/>
              </w:rPr>
              <w:t>Polska</w:t>
            </w:r>
          </w:p>
          <w:p w14:paraId="0C559BA0" w14:textId="77777777" w:rsidR="007E0028" w:rsidRPr="00247EF0" w:rsidRDefault="007E0028" w:rsidP="00E20F17">
            <w:pPr>
              <w:pStyle w:val="lbltxt"/>
              <w:rPr>
                <w:noProof w:val="0"/>
                <w:szCs w:val="22"/>
                <w:lang w:val="pl-PL"/>
              </w:rPr>
            </w:pPr>
            <w:r w:rsidRPr="00247EF0">
              <w:rPr>
                <w:noProof w:val="0"/>
                <w:szCs w:val="22"/>
                <w:lang w:val="pl-PL"/>
              </w:rPr>
              <w:t xml:space="preserve">Amgen </w:t>
            </w:r>
            <w:r w:rsidRPr="00247EF0">
              <w:rPr>
                <w:noProof w:val="0"/>
                <w:color w:val="000000"/>
                <w:szCs w:val="22"/>
                <w:lang w:val="pl-PL" w:eastAsia="en-GB"/>
              </w:rPr>
              <w:t>Biotechnologia</w:t>
            </w:r>
            <w:r w:rsidRPr="00247EF0">
              <w:rPr>
                <w:noProof w:val="0"/>
                <w:szCs w:val="22"/>
                <w:lang w:val="pl-PL"/>
              </w:rPr>
              <w:t xml:space="preserve"> Sp. z o.o.</w:t>
            </w:r>
          </w:p>
          <w:p w14:paraId="4B3FF435" w14:textId="77777777" w:rsidR="007E0028" w:rsidRPr="00D55B59" w:rsidRDefault="007E0028" w:rsidP="00E20F17">
            <w:pPr>
              <w:pStyle w:val="lbltxt"/>
              <w:rPr>
                <w:bCs/>
                <w:noProof w:val="0"/>
                <w:szCs w:val="22"/>
                <w:lang w:val="en-GB"/>
                <w:rPrChange w:id="5735" w:author="Author">
                  <w:rPr>
                    <w:bCs/>
                    <w:noProof w:val="0"/>
                    <w:szCs w:val="22"/>
                  </w:rPr>
                </w:rPrChange>
              </w:rPr>
            </w:pPr>
            <w:r w:rsidRPr="00D55B59">
              <w:rPr>
                <w:bCs/>
                <w:noProof w:val="0"/>
                <w:szCs w:val="22"/>
                <w:lang w:val="en-GB"/>
                <w:rPrChange w:id="5736" w:author="Author">
                  <w:rPr>
                    <w:bCs/>
                    <w:noProof w:val="0"/>
                    <w:szCs w:val="22"/>
                  </w:rPr>
                </w:rPrChange>
              </w:rPr>
              <w:t>Tel.: +48 22 581 3000</w:t>
            </w:r>
          </w:p>
          <w:p w14:paraId="6F888019" w14:textId="77777777" w:rsidR="007E0028" w:rsidRPr="00F04F82" w:rsidRDefault="007E0028" w:rsidP="00E20F17">
            <w:pPr>
              <w:rPr>
                <w:szCs w:val="22"/>
              </w:rPr>
            </w:pPr>
          </w:p>
        </w:tc>
      </w:tr>
      <w:tr w:rsidR="007E0028" w:rsidRPr="00867B3B" w14:paraId="163175E0" w14:textId="77777777" w:rsidTr="00D47253">
        <w:trPr>
          <w:cantSplit/>
        </w:trPr>
        <w:tc>
          <w:tcPr>
            <w:tcW w:w="4677" w:type="dxa"/>
          </w:tcPr>
          <w:p w14:paraId="455063F9" w14:textId="77777777" w:rsidR="007E0028" w:rsidRPr="00247EF0" w:rsidRDefault="007E0028" w:rsidP="00D47253">
            <w:pPr>
              <w:pStyle w:val="lbltxt"/>
              <w:rPr>
                <w:noProof w:val="0"/>
                <w:szCs w:val="22"/>
                <w:lang w:val="fr-FR"/>
              </w:rPr>
            </w:pPr>
            <w:r w:rsidRPr="00247EF0">
              <w:rPr>
                <w:b/>
                <w:noProof w:val="0"/>
                <w:szCs w:val="22"/>
                <w:lang w:val="fr-FR"/>
              </w:rPr>
              <w:t>France</w:t>
            </w:r>
          </w:p>
          <w:p w14:paraId="381824F8" w14:textId="77777777" w:rsidR="007E0028" w:rsidRPr="00247EF0" w:rsidRDefault="007E0028" w:rsidP="00D47253">
            <w:pPr>
              <w:pStyle w:val="lbltxt"/>
              <w:rPr>
                <w:noProof w:val="0"/>
                <w:szCs w:val="22"/>
                <w:lang w:val="fr-FR"/>
              </w:rPr>
            </w:pPr>
            <w:r w:rsidRPr="00247EF0">
              <w:rPr>
                <w:noProof w:val="0"/>
                <w:szCs w:val="22"/>
                <w:lang w:val="fr-FR"/>
              </w:rPr>
              <w:t>Amgen S.A.S.</w:t>
            </w:r>
          </w:p>
          <w:p w14:paraId="114F0BF3" w14:textId="77777777" w:rsidR="007E0028" w:rsidRPr="00247EF0" w:rsidRDefault="007E0028" w:rsidP="00D47253">
            <w:pPr>
              <w:rPr>
                <w:szCs w:val="22"/>
                <w:lang w:val="fr-FR"/>
              </w:rPr>
            </w:pPr>
            <w:r w:rsidRPr="00247EF0">
              <w:rPr>
                <w:szCs w:val="22"/>
                <w:lang w:val="fr-FR"/>
              </w:rPr>
              <w:t>Tél: +33 (0)9 69 363 363</w:t>
            </w:r>
          </w:p>
          <w:p w14:paraId="208A1231" w14:textId="77777777" w:rsidR="007E0028" w:rsidRPr="00247EF0" w:rsidRDefault="007E0028" w:rsidP="00D47253">
            <w:pPr>
              <w:rPr>
                <w:szCs w:val="22"/>
                <w:lang w:val="fr-FR"/>
              </w:rPr>
            </w:pPr>
          </w:p>
        </w:tc>
        <w:tc>
          <w:tcPr>
            <w:tcW w:w="4679" w:type="dxa"/>
          </w:tcPr>
          <w:p w14:paraId="6BE89C05" w14:textId="77777777" w:rsidR="007E0028" w:rsidRPr="00247EF0" w:rsidRDefault="007E0028" w:rsidP="00D47253">
            <w:pPr>
              <w:pStyle w:val="lbltxt"/>
              <w:rPr>
                <w:noProof w:val="0"/>
                <w:szCs w:val="22"/>
                <w:lang w:val="es-ES"/>
              </w:rPr>
            </w:pPr>
            <w:r w:rsidRPr="00247EF0">
              <w:rPr>
                <w:b/>
                <w:noProof w:val="0"/>
                <w:szCs w:val="22"/>
                <w:lang w:val="es-ES"/>
              </w:rPr>
              <w:t>Portugal</w:t>
            </w:r>
          </w:p>
          <w:p w14:paraId="55B64AD3" w14:textId="77777777" w:rsidR="007E0028" w:rsidRPr="00247EF0" w:rsidRDefault="007E0028" w:rsidP="00D47253">
            <w:pPr>
              <w:pStyle w:val="lbltxt"/>
              <w:rPr>
                <w:noProof w:val="0"/>
                <w:szCs w:val="22"/>
                <w:lang w:val="es-ES"/>
              </w:rPr>
            </w:pPr>
            <w:r w:rsidRPr="00247EF0">
              <w:rPr>
                <w:noProof w:val="0"/>
                <w:szCs w:val="22"/>
                <w:lang w:val="es-ES"/>
              </w:rPr>
              <w:t>Amgen Biofarmacêutica, Lda.</w:t>
            </w:r>
          </w:p>
          <w:p w14:paraId="4D6166C7" w14:textId="77777777" w:rsidR="007E0028" w:rsidRPr="00247EF0" w:rsidRDefault="007E0028" w:rsidP="00D47253">
            <w:pPr>
              <w:pStyle w:val="lbltxt"/>
              <w:rPr>
                <w:noProof w:val="0"/>
                <w:szCs w:val="22"/>
                <w:lang w:val="es-ES"/>
              </w:rPr>
            </w:pPr>
            <w:r w:rsidRPr="00247EF0">
              <w:rPr>
                <w:noProof w:val="0"/>
                <w:szCs w:val="22"/>
                <w:lang w:val="es-ES"/>
              </w:rPr>
              <w:t>Tel: +351 21 4220</w:t>
            </w:r>
            <w:r w:rsidRPr="00D55B59">
              <w:rPr>
                <w:noProof w:val="0"/>
                <w:szCs w:val="22"/>
                <w:lang w:val="es-ES"/>
                <w:rPrChange w:id="5737" w:author="Author">
                  <w:rPr>
                    <w:szCs w:val="22"/>
                    <w:lang w:val="es-ES"/>
                  </w:rPr>
                </w:rPrChange>
              </w:rPr>
              <w:t>606</w:t>
            </w:r>
          </w:p>
          <w:p w14:paraId="2CB0D03D" w14:textId="77777777" w:rsidR="007E0028" w:rsidRPr="00247EF0" w:rsidRDefault="007E0028" w:rsidP="00D47253">
            <w:pPr>
              <w:rPr>
                <w:szCs w:val="22"/>
                <w:lang w:val="es-ES"/>
              </w:rPr>
            </w:pPr>
          </w:p>
        </w:tc>
      </w:tr>
      <w:tr w:rsidR="007E0028" w:rsidRPr="00F04F82" w14:paraId="42CBB5DF" w14:textId="77777777" w:rsidTr="00D47253">
        <w:trPr>
          <w:cantSplit/>
        </w:trPr>
        <w:tc>
          <w:tcPr>
            <w:tcW w:w="4677" w:type="dxa"/>
          </w:tcPr>
          <w:p w14:paraId="0283D152" w14:textId="77777777" w:rsidR="007E0028" w:rsidRPr="00D55B59" w:rsidRDefault="007E0028" w:rsidP="00D47253">
            <w:pPr>
              <w:keepNext/>
              <w:keepLines/>
              <w:rPr>
                <w:szCs w:val="22"/>
                <w:lang w:val="es-ES"/>
                <w:rPrChange w:id="5738" w:author="Author">
                  <w:rPr>
                    <w:szCs w:val="22"/>
                    <w:lang w:val="sv-SE"/>
                  </w:rPr>
                </w:rPrChange>
              </w:rPr>
            </w:pPr>
            <w:r w:rsidRPr="00D55B59">
              <w:rPr>
                <w:b/>
                <w:szCs w:val="22"/>
                <w:lang w:val="es-ES"/>
                <w:rPrChange w:id="5739" w:author="Author">
                  <w:rPr>
                    <w:b/>
                    <w:szCs w:val="22"/>
                    <w:lang w:val="sv-SE"/>
                  </w:rPr>
                </w:rPrChange>
              </w:rPr>
              <w:t>Hrvatska</w:t>
            </w:r>
          </w:p>
          <w:p w14:paraId="1601DA15" w14:textId="77777777" w:rsidR="007E0028" w:rsidRPr="00D55B59" w:rsidRDefault="007E0028" w:rsidP="00D47253">
            <w:pPr>
              <w:keepNext/>
              <w:keepLines/>
              <w:rPr>
                <w:szCs w:val="22"/>
                <w:lang w:val="es-ES"/>
                <w:rPrChange w:id="5740" w:author="Author">
                  <w:rPr>
                    <w:szCs w:val="22"/>
                    <w:lang w:val="sv-SE"/>
                  </w:rPr>
                </w:rPrChange>
              </w:rPr>
            </w:pPr>
            <w:r w:rsidRPr="00D55B59">
              <w:rPr>
                <w:szCs w:val="22"/>
                <w:lang w:val="es-ES"/>
                <w:rPrChange w:id="5741" w:author="Author">
                  <w:rPr>
                    <w:szCs w:val="22"/>
                    <w:lang w:val="sv-SE"/>
                  </w:rPr>
                </w:rPrChange>
              </w:rPr>
              <w:t>Amgen d.o.o.</w:t>
            </w:r>
          </w:p>
          <w:p w14:paraId="6018204F" w14:textId="77777777" w:rsidR="007E0028" w:rsidRPr="00247EF0" w:rsidRDefault="007E0028" w:rsidP="00D47253">
            <w:pPr>
              <w:keepNext/>
              <w:keepLines/>
              <w:rPr>
                <w:szCs w:val="22"/>
                <w:lang w:val="es-ES"/>
              </w:rPr>
            </w:pPr>
            <w:r w:rsidRPr="00247EF0">
              <w:rPr>
                <w:szCs w:val="22"/>
                <w:lang w:val="es-ES"/>
              </w:rPr>
              <w:t>Tel: +385 (0)1 562 57 20</w:t>
            </w:r>
          </w:p>
          <w:p w14:paraId="189C6EE3" w14:textId="77777777" w:rsidR="007E0028" w:rsidRPr="00247EF0" w:rsidRDefault="007E0028" w:rsidP="00D47253">
            <w:pPr>
              <w:keepNext/>
              <w:keepLines/>
              <w:rPr>
                <w:szCs w:val="22"/>
                <w:lang w:val="es-ES"/>
              </w:rPr>
            </w:pPr>
          </w:p>
        </w:tc>
        <w:tc>
          <w:tcPr>
            <w:tcW w:w="4679" w:type="dxa"/>
          </w:tcPr>
          <w:p w14:paraId="4456BB6E" w14:textId="77777777" w:rsidR="007E0028" w:rsidRPr="00D55B59" w:rsidRDefault="007E0028" w:rsidP="00D47253">
            <w:pPr>
              <w:keepNext/>
              <w:keepLines/>
              <w:suppressAutoHyphens/>
              <w:rPr>
                <w:b/>
                <w:szCs w:val="22"/>
                <w:rPrChange w:id="5742" w:author="Author">
                  <w:rPr>
                    <w:b/>
                    <w:szCs w:val="22"/>
                    <w:lang w:val="es-ES"/>
                  </w:rPr>
                </w:rPrChange>
              </w:rPr>
            </w:pPr>
            <w:r w:rsidRPr="00D55B59">
              <w:rPr>
                <w:b/>
                <w:szCs w:val="22"/>
                <w:rPrChange w:id="5743" w:author="Author">
                  <w:rPr>
                    <w:b/>
                    <w:szCs w:val="22"/>
                    <w:lang w:val="es-ES"/>
                  </w:rPr>
                </w:rPrChange>
              </w:rPr>
              <w:t>România</w:t>
            </w:r>
          </w:p>
          <w:p w14:paraId="4E6130F2" w14:textId="77777777" w:rsidR="007E0028" w:rsidRPr="00D55B59" w:rsidRDefault="007E0028" w:rsidP="00D47253">
            <w:pPr>
              <w:keepNext/>
              <w:keepLines/>
              <w:rPr>
                <w:color w:val="000000"/>
                <w:szCs w:val="22"/>
                <w:rPrChange w:id="5744" w:author="Author">
                  <w:rPr>
                    <w:color w:val="000000"/>
                    <w:szCs w:val="22"/>
                    <w:lang w:val="es-ES"/>
                  </w:rPr>
                </w:rPrChange>
              </w:rPr>
            </w:pPr>
            <w:r w:rsidRPr="00D55B59">
              <w:rPr>
                <w:color w:val="000000"/>
                <w:szCs w:val="22"/>
                <w:rPrChange w:id="5745" w:author="Author">
                  <w:rPr>
                    <w:color w:val="000000"/>
                    <w:szCs w:val="22"/>
                    <w:lang w:val="es-ES"/>
                  </w:rPr>
                </w:rPrChange>
              </w:rPr>
              <w:t>Amgen România SRL</w:t>
            </w:r>
          </w:p>
          <w:p w14:paraId="019F806C" w14:textId="77777777" w:rsidR="007E0028" w:rsidRPr="00D55B59" w:rsidRDefault="007E0028" w:rsidP="00D47253">
            <w:pPr>
              <w:pStyle w:val="lbltxt"/>
              <w:keepNext/>
              <w:keepLines/>
              <w:rPr>
                <w:noProof w:val="0"/>
                <w:szCs w:val="22"/>
                <w:lang w:val="en-GB"/>
                <w:rPrChange w:id="5746" w:author="Author">
                  <w:rPr>
                    <w:noProof w:val="0"/>
                    <w:szCs w:val="22"/>
                    <w:lang w:val="es-ES"/>
                  </w:rPr>
                </w:rPrChange>
              </w:rPr>
            </w:pPr>
            <w:r w:rsidRPr="00D55B59">
              <w:rPr>
                <w:noProof w:val="0"/>
                <w:szCs w:val="22"/>
                <w:lang w:val="en-GB"/>
                <w:rPrChange w:id="5747" w:author="Author">
                  <w:rPr>
                    <w:noProof w:val="0"/>
                    <w:szCs w:val="22"/>
                    <w:lang w:val="es-ES"/>
                  </w:rPr>
                </w:rPrChange>
              </w:rPr>
              <w:t>Tel: +4021 527 3000</w:t>
            </w:r>
          </w:p>
          <w:p w14:paraId="5F0E4DCE" w14:textId="77777777" w:rsidR="007E0028" w:rsidRPr="00D55B59" w:rsidRDefault="007E0028" w:rsidP="00D47253">
            <w:pPr>
              <w:keepNext/>
              <w:keepLines/>
              <w:rPr>
                <w:szCs w:val="22"/>
                <w:rPrChange w:id="5748" w:author="Author">
                  <w:rPr>
                    <w:szCs w:val="22"/>
                    <w:lang w:val="es-ES"/>
                  </w:rPr>
                </w:rPrChange>
              </w:rPr>
            </w:pPr>
          </w:p>
        </w:tc>
      </w:tr>
      <w:tr w:rsidR="007E0028" w:rsidRPr="00F04F82" w14:paraId="47270EE0" w14:textId="77777777" w:rsidTr="00D47253">
        <w:trPr>
          <w:cantSplit/>
        </w:trPr>
        <w:tc>
          <w:tcPr>
            <w:tcW w:w="4677" w:type="dxa"/>
          </w:tcPr>
          <w:p w14:paraId="1C0D0FBE" w14:textId="77777777" w:rsidR="007E0028" w:rsidRPr="00D55B59" w:rsidRDefault="007E0028" w:rsidP="00D47253">
            <w:pPr>
              <w:pStyle w:val="lbltxt"/>
              <w:rPr>
                <w:rFonts w:eastAsia="Arial Unicode MS"/>
                <w:b/>
                <w:noProof w:val="0"/>
                <w:szCs w:val="22"/>
                <w:lang w:val="en-GB"/>
                <w:rPrChange w:id="5749" w:author="Author">
                  <w:rPr>
                    <w:rFonts w:eastAsia="Arial Unicode MS"/>
                    <w:b/>
                    <w:noProof w:val="0"/>
                    <w:szCs w:val="22"/>
                  </w:rPr>
                </w:rPrChange>
              </w:rPr>
            </w:pPr>
            <w:r w:rsidRPr="00D55B59">
              <w:rPr>
                <w:rFonts w:eastAsia="Arial Unicode MS"/>
                <w:b/>
                <w:noProof w:val="0"/>
                <w:szCs w:val="22"/>
                <w:lang w:val="en-GB"/>
                <w:rPrChange w:id="5750" w:author="Author">
                  <w:rPr>
                    <w:rFonts w:eastAsia="Arial Unicode MS"/>
                    <w:b/>
                    <w:noProof w:val="0"/>
                    <w:szCs w:val="22"/>
                  </w:rPr>
                </w:rPrChange>
              </w:rPr>
              <w:t>Ireland</w:t>
            </w:r>
          </w:p>
          <w:p w14:paraId="3C21BCCC" w14:textId="77777777" w:rsidR="007E0028" w:rsidRPr="00D55B59" w:rsidRDefault="007E0028" w:rsidP="00D47253">
            <w:pPr>
              <w:pStyle w:val="lbltxt"/>
              <w:rPr>
                <w:rFonts w:eastAsia="Arial Unicode MS"/>
                <w:bCs/>
                <w:noProof w:val="0"/>
                <w:szCs w:val="22"/>
                <w:lang w:val="en-GB"/>
                <w:rPrChange w:id="5751" w:author="Author">
                  <w:rPr>
                    <w:rFonts w:eastAsia="Arial Unicode MS"/>
                    <w:bCs/>
                    <w:noProof w:val="0"/>
                    <w:szCs w:val="22"/>
                  </w:rPr>
                </w:rPrChange>
              </w:rPr>
            </w:pPr>
            <w:r w:rsidRPr="00D55B59">
              <w:rPr>
                <w:rFonts w:eastAsia="Arial Unicode MS"/>
                <w:bCs/>
                <w:noProof w:val="0"/>
                <w:szCs w:val="22"/>
                <w:lang w:val="en-GB"/>
                <w:rPrChange w:id="5752" w:author="Author">
                  <w:rPr>
                    <w:rFonts w:eastAsia="Arial Unicode MS"/>
                    <w:bCs/>
                    <w:noProof w:val="0"/>
                    <w:szCs w:val="22"/>
                  </w:rPr>
                </w:rPrChange>
              </w:rPr>
              <w:t>Amgen Ireland Limited</w:t>
            </w:r>
          </w:p>
          <w:p w14:paraId="7554B09A" w14:textId="77777777" w:rsidR="007E0028" w:rsidRPr="00F04F82" w:rsidRDefault="007E0028" w:rsidP="00D47253">
            <w:pPr>
              <w:pStyle w:val="lbltxt"/>
              <w:rPr>
                <w:rStyle w:val="Initial"/>
                <w:rFonts w:eastAsia="Arial Unicode MS"/>
                <w:bCs/>
                <w:szCs w:val="22"/>
                <w:lang w:val="en-GB"/>
              </w:rPr>
            </w:pPr>
            <w:r w:rsidRPr="00D55B59">
              <w:rPr>
                <w:rFonts w:eastAsia="Arial Unicode MS"/>
                <w:bCs/>
                <w:noProof w:val="0"/>
                <w:szCs w:val="22"/>
                <w:lang w:val="en-GB"/>
                <w:rPrChange w:id="5753" w:author="Author">
                  <w:rPr>
                    <w:rFonts w:eastAsia="Arial Unicode MS"/>
                    <w:bCs/>
                    <w:noProof w:val="0"/>
                    <w:szCs w:val="22"/>
                  </w:rPr>
                </w:rPrChange>
              </w:rPr>
              <w:t xml:space="preserve">Tel: </w:t>
            </w:r>
            <w:r w:rsidRPr="00D55B59">
              <w:rPr>
                <w:rFonts w:eastAsia="Arial Unicode MS"/>
                <w:bCs/>
                <w:noProof w:val="0"/>
                <w:szCs w:val="22"/>
                <w:lang w:val="en-GB"/>
                <w:rPrChange w:id="5754" w:author="Author">
                  <w:rPr>
                    <w:rFonts w:eastAsia="Arial Unicode MS"/>
                    <w:bCs/>
                    <w:szCs w:val="22"/>
                  </w:rPr>
                </w:rPrChange>
              </w:rPr>
              <w:t>+353 1 8527400</w:t>
            </w:r>
          </w:p>
          <w:p w14:paraId="4D08039F" w14:textId="77777777" w:rsidR="007E0028" w:rsidRPr="00D55B59" w:rsidRDefault="007E0028" w:rsidP="00D47253">
            <w:pPr>
              <w:pStyle w:val="lbltxt"/>
              <w:rPr>
                <w:noProof w:val="0"/>
                <w:szCs w:val="22"/>
                <w:lang w:val="en-GB"/>
                <w:rPrChange w:id="5755" w:author="Author">
                  <w:rPr>
                    <w:noProof w:val="0"/>
                    <w:szCs w:val="22"/>
                  </w:rPr>
                </w:rPrChange>
              </w:rPr>
            </w:pPr>
          </w:p>
        </w:tc>
        <w:tc>
          <w:tcPr>
            <w:tcW w:w="4679" w:type="dxa"/>
          </w:tcPr>
          <w:p w14:paraId="477FD862" w14:textId="77777777" w:rsidR="007E0028" w:rsidRPr="00D55B59" w:rsidRDefault="007E0028" w:rsidP="00D47253">
            <w:pPr>
              <w:pStyle w:val="lbltxt"/>
              <w:rPr>
                <w:b/>
                <w:noProof w:val="0"/>
                <w:szCs w:val="22"/>
                <w:lang w:val="en-GB"/>
                <w:rPrChange w:id="5756" w:author="Author">
                  <w:rPr>
                    <w:b/>
                    <w:noProof w:val="0"/>
                    <w:szCs w:val="22"/>
                    <w:lang w:val="nl-NL"/>
                  </w:rPr>
                </w:rPrChange>
              </w:rPr>
            </w:pPr>
            <w:r w:rsidRPr="00D55B59">
              <w:rPr>
                <w:b/>
                <w:noProof w:val="0"/>
                <w:szCs w:val="22"/>
                <w:lang w:val="en-GB"/>
                <w:rPrChange w:id="5757" w:author="Author">
                  <w:rPr>
                    <w:b/>
                    <w:noProof w:val="0"/>
                    <w:szCs w:val="22"/>
                    <w:lang w:val="nl-NL"/>
                  </w:rPr>
                </w:rPrChange>
              </w:rPr>
              <w:t>Slovenija</w:t>
            </w:r>
          </w:p>
          <w:p w14:paraId="0E9CF77A" w14:textId="77777777" w:rsidR="007E0028" w:rsidRPr="00D55B59" w:rsidRDefault="007E0028" w:rsidP="00D47253">
            <w:pPr>
              <w:pStyle w:val="lbltxt"/>
              <w:rPr>
                <w:bCs/>
                <w:noProof w:val="0"/>
                <w:szCs w:val="22"/>
                <w:lang w:val="en-GB"/>
                <w:rPrChange w:id="5758" w:author="Author">
                  <w:rPr>
                    <w:bCs/>
                    <w:noProof w:val="0"/>
                    <w:szCs w:val="22"/>
                    <w:lang w:val="nl-NL"/>
                  </w:rPr>
                </w:rPrChange>
              </w:rPr>
            </w:pPr>
            <w:r w:rsidRPr="00D55B59">
              <w:rPr>
                <w:noProof w:val="0"/>
                <w:szCs w:val="22"/>
                <w:lang w:val="en-GB"/>
                <w:rPrChange w:id="5759" w:author="Author">
                  <w:rPr>
                    <w:noProof w:val="0"/>
                    <w:szCs w:val="22"/>
                    <w:lang w:val="nl-NL"/>
                  </w:rPr>
                </w:rPrChange>
              </w:rPr>
              <w:t>AMGEN zdravila d.o.o.</w:t>
            </w:r>
          </w:p>
          <w:p w14:paraId="36CECEED" w14:textId="77777777" w:rsidR="007E0028" w:rsidRPr="00D55B59" w:rsidRDefault="007E0028" w:rsidP="00D47253">
            <w:pPr>
              <w:pStyle w:val="lbltxt"/>
              <w:rPr>
                <w:bCs/>
                <w:noProof w:val="0"/>
                <w:szCs w:val="22"/>
                <w:lang w:val="en-GB"/>
                <w:rPrChange w:id="5760" w:author="Author">
                  <w:rPr>
                    <w:bCs/>
                    <w:noProof w:val="0"/>
                    <w:szCs w:val="22"/>
                  </w:rPr>
                </w:rPrChange>
              </w:rPr>
            </w:pPr>
            <w:r w:rsidRPr="00D55B59">
              <w:rPr>
                <w:bCs/>
                <w:noProof w:val="0"/>
                <w:szCs w:val="22"/>
                <w:lang w:val="en-GB"/>
                <w:rPrChange w:id="5761" w:author="Author">
                  <w:rPr>
                    <w:bCs/>
                    <w:noProof w:val="0"/>
                    <w:szCs w:val="22"/>
                  </w:rPr>
                </w:rPrChange>
              </w:rPr>
              <w:t>Tel: +386 (0)1 585 1767</w:t>
            </w:r>
          </w:p>
          <w:p w14:paraId="0DDBDFD8" w14:textId="77777777" w:rsidR="007E0028" w:rsidRPr="00F04F82" w:rsidRDefault="007E0028" w:rsidP="00D47253">
            <w:pPr>
              <w:rPr>
                <w:szCs w:val="22"/>
              </w:rPr>
            </w:pPr>
          </w:p>
        </w:tc>
      </w:tr>
      <w:tr w:rsidR="007E0028" w:rsidRPr="00F04F82" w14:paraId="45FD8C55" w14:textId="77777777" w:rsidTr="00D47253">
        <w:trPr>
          <w:cantSplit/>
        </w:trPr>
        <w:tc>
          <w:tcPr>
            <w:tcW w:w="4677" w:type="dxa"/>
          </w:tcPr>
          <w:p w14:paraId="40728410" w14:textId="77777777" w:rsidR="007E0028" w:rsidRPr="00D55B59" w:rsidRDefault="007E0028" w:rsidP="00D47253">
            <w:pPr>
              <w:pStyle w:val="lbltxt"/>
              <w:rPr>
                <w:b/>
                <w:noProof w:val="0"/>
                <w:szCs w:val="22"/>
                <w:lang w:val="en-GB"/>
                <w:rPrChange w:id="5762" w:author="Author">
                  <w:rPr>
                    <w:b/>
                    <w:noProof w:val="0"/>
                    <w:szCs w:val="22"/>
                  </w:rPr>
                </w:rPrChange>
              </w:rPr>
            </w:pPr>
            <w:r w:rsidRPr="00D55B59">
              <w:rPr>
                <w:b/>
                <w:noProof w:val="0"/>
                <w:szCs w:val="22"/>
                <w:lang w:val="en-GB"/>
                <w:rPrChange w:id="5763" w:author="Author">
                  <w:rPr>
                    <w:b/>
                    <w:noProof w:val="0"/>
                    <w:szCs w:val="22"/>
                  </w:rPr>
                </w:rPrChange>
              </w:rPr>
              <w:t>Ísland</w:t>
            </w:r>
          </w:p>
          <w:p w14:paraId="044127BE" w14:textId="5E609236" w:rsidR="007E0028" w:rsidRPr="00D55B59" w:rsidRDefault="007E0028" w:rsidP="00D47253">
            <w:pPr>
              <w:pStyle w:val="lbltxt"/>
              <w:rPr>
                <w:noProof w:val="0"/>
                <w:szCs w:val="22"/>
                <w:lang w:val="en-GB"/>
                <w:rPrChange w:id="5764" w:author="Author">
                  <w:rPr>
                    <w:noProof w:val="0"/>
                    <w:szCs w:val="22"/>
                  </w:rPr>
                </w:rPrChange>
              </w:rPr>
            </w:pPr>
            <w:r w:rsidRPr="00D55B59">
              <w:rPr>
                <w:noProof w:val="0"/>
                <w:szCs w:val="22"/>
                <w:lang w:val="en-GB"/>
                <w:rPrChange w:id="5765" w:author="Author">
                  <w:rPr>
                    <w:noProof w:val="0"/>
                    <w:szCs w:val="22"/>
                  </w:rPr>
                </w:rPrChange>
              </w:rPr>
              <w:t>Vistor</w:t>
            </w:r>
            <w:del w:id="5766" w:author="Author">
              <w:r w:rsidRPr="00D55B59" w:rsidDel="00ED5C30">
                <w:rPr>
                  <w:noProof w:val="0"/>
                  <w:szCs w:val="22"/>
                  <w:lang w:val="en-GB"/>
                  <w:rPrChange w:id="5767" w:author="Author">
                    <w:rPr>
                      <w:noProof w:val="0"/>
                      <w:szCs w:val="22"/>
                    </w:rPr>
                  </w:rPrChange>
                </w:rPr>
                <w:delText xml:space="preserve"> hf.</w:delText>
              </w:r>
            </w:del>
          </w:p>
          <w:p w14:paraId="529E53E7" w14:textId="77777777" w:rsidR="007E0028" w:rsidRPr="00D55B59" w:rsidRDefault="007E0028" w:rsidP="00D47253">
            <w:pPr>
              <w:pStyle w:val="lbltxt"/>
              <w:rPr>
                <w:noProof w:val="0"/>
                <w:szCs w:val="22"/>
                <w:lang w:val="en-GB"/>
                <w:rPrChange w:id="5768" w:author="Author">
                  <w:rPr>
                    <w:noProof w:val="0"/>
                    <w:szCs w:val="22"/>
                  </w:rPr>
                </w:rPrChange>
              </w:rPr>
            </w:pPr>
            <w:r w:rsidRPr="00D55B59">
              <w:rPr>
                <w:noProof w:val="0"/>
                <w:szCs w:val="22"/>
                <w:lang w:val="en-GB"/>
                <w:rPrChange w:id="5769" w:author="Author">
                  <w:rPr>
                    <w:noProof w:val="0"/>
                    <w:szCs w:val="22"/>
                  </w:rPr>
                </w:rPrChange>
              </w:rPr>
              <w:t>Sími: +354 535 7000</w:t>
            </w:r>
          </w:p>
          <w:p w14:paraId="1F05A162" w14:textId="77777777" w:rsidR="007E0028" w:rsidRPr="00F04F82" w:rsidRDefault="007E0028" w:rsidP="00D47253">
            <w:pPr>
              <w:rPr>
                <w:szCs w:val="22"/>
              </w:rPr>
            </w:pPr>
          </w:p>
        </w:tc>
        <w:tc>
          <w:tcPr>
            <w:tcW w:w="4679" w:type="dxa"/>
          </w:tcPr>
          <w:p w14:paraId="360CE59F" w14:textId="77777777" w:rsidR="007E0028" w:rsidRPr="00D55B59" w:rsidRDefault="007E0028" w:rsidP="00D47253">
            <w:pPr>
              <w:pStyle w:val="lbltxt"/>
              <w:rPr>
                <w:b/>
                <w:noProof w:val="0"/>
                <w:szCs w:val="22"/>
                <w:lang w:val="en-GB"/>
                <w:rPrChange w:id="5770" w:author="Author">
                  <w:rPr>
                    <w:b/>
                    <w:noProof w:val="0"/>
                    <w:szCs w:val="22"/>
                    <w:lang w:val="sv-SE"/>
                  </w:rPr>
                </w:rPrChange>
              </w:rPr>
            </w:pPr>
            <w:r w:rsidRPr="00D55B59">
              <w:rPr>
                <w:b/>
                <w:noProof w:val="0"/>
                <w:szCs w:val="22"/>
                <w:lang w:val="en-GB"/>
                <w:rPrChange w:id="5771" w:author="Author">
                  <w:rPr>
                    <w:b/>
                    <w:noProof w:val="0"/>
                    <w:szCs w:val="22"/>
                    <w:lang w:val="sv-SE"/>
                  </w:rPr>
                </w:rPrChange>
              </w:rPr>
              <w:t>Slovenská republika</w:t>
            </w:r>
          </w:p>
          <w:p w14:paraId="27D1E75F" w14:textId="77777777" w:rsidR="007E0028" w:rsidRPr="00D55B59" w:rsidRDefault="007E0028" w:rsidP="00D47253">
            <w:pPr>
              <w:pStyle w:val="lbltxt"/>
              <w:rPr>
                <w:bCs/>
                <w:noProof w:val="0"/>
                <w:szCs w:val="22"/>
                <w:lang w:val="en-GB"/>
                <w:rPrChange w:id="5772" w:author="Author">
                  <w:rPr>
                    <w:bCs/>
                    <w:noProof w:val="0"/>
                    <w:szCs w:val="22"/>
                    <w:lang w:val="sv-SE"/>
                  </w:rPr>
                </w:rPrChange>
              </w:rPr>
            </w:pPr>
            <w:r w:rsidRPr="00D55B59">
              <w:rPr>
                <w:bCs/>
                <w:noProof w:val="0"/>
                <w:szCs w:val="22"/>
                <w:lang w:val="en-GB"/>
                <w:rPrChange w:id="5773" w:author="Author">
                  <w:rPr>
                    <w:bCs/>
                    <w:noProof w:val="0"/>
                    <w:szCs w:val="22"/>
                    <w:lang w:val="sv-SE"/>
                  </w:rPr>
                </w:rPrChange>
              </w:rPr>
              <w:t>Amgen Slovakia s.r.o.</w:t>
            </w:r>
          </w:p>
          <w:p w14:paraId="3AA5DC7D" w14:textId="77777777" w:rsidR="007E0028" w:rsidRPr="00D55B59" w:rsidRDefault="007E0028" w:rsidP="00D47253">
            <w:pPr>
              <w:pStyle w:val="lbltxt"/>
              <w:rPr>
                <w:noProof w:val="0"/>
                <w:lang w:val="en-GB" w:eastAsia="ja-JP"/>
                <w:rPrChange w:id="5774" w:author="Author">
                  <w:rPr>
                    <w:lang w:val="en-US" w:eastAsia="ja-JP"/>
                  </w:rPr>
                </w:rPrChange>
              </w:rPr>
            </w:pPr>
            <w:r w:rsidRPr="00D55B59">
              <w:rPr>
                <w:bCs/>
                <w:noProof w:val="0"/>
                <w:szCs w:val="22"/>
                <w:lang w:val="en-GB"/>
                <w:rPrChange w:id="5775" w:author="Author">
                  <w:rPr>
                    <w:bCs/>
                    <w:noProof w:val="0"/>
                    <w:szCs w:val="22"/>
                  </w:rPr>
                </w:rPrChange>
              </w:rPr>
              <w:t xml:space="preserve">Tel: </w:t>
            </w:r>
            <w:r w:rsidRPr="00D55B59">
              <w:rPr>
                <w:noProof w:val="0"/>
                <w:lang w:val="en-GB" w:eastAsia="ja-JP"/>
                <w:rPrChange w:id="5776" w:author="Author">
                  <w:rPr>
                    <w:lang w:val="en-US" w:eastAsia="ja-JP"/>
                  </w:rPr>
                </w:rPrChange>
              </w:rPr>
              <w:t>+421 2 321 114 49</w:t>
            </w:r>
          </w:p>
          <w:p w14:paraId="08086B00" w14:textId="77777777" w:rsidR="007E0028" w:rsidRPr="00D55B59" w:rsidRDefault="007E0028" w:rsidP="00D47253">
            <w:pPr>
              <w:pStyle w:val="lbltxt"/>
              <w:rPr>
                <w:noProof w:val="0"/>
                <w:szCs w:val="22"/>
                <w:lang w:val="en-GB"/>
                <w:rPrChange w:id="5777" w:author="Author">
                  <w:rPr>
                    <w:szCs w:val="22"/>
                  </w:rPr>
                </w:rPrChange>
              </w:rPr>
            </w:pPr>
          </w:p>
        </w:tc>
      </w:tr>
      <w:tr w:rsidR="007E0028" w:rsidRPr="00F04F82" w14:paraId="3E438B01" w14:textId="77777777" w:rsidTr="00D47253">
        <w:trPr>
          <w:cantSplit/>
        </w:trPr>
        <w:tc>
          <w:tcPr>
            <w:tcW w:w="4677" w:type="dxa"/>
          </w:tcPr>
          <w:p w14:paraId="2AFD6E99" w14:textId="77777777" w:rsidR="007E0028" w:rsidRPr="00D55B59" w:rsidRDefault="007E0028" w:rsidP="00D47253">
            <w:pPr>
              <w:pStyle w:val="lbltxt"/>
              <w:rPr>
                <w:noProof w:val="0"/>
                <w:szCs w:val="22"/>
                <w:lang w:val="es-ES"/>
                <w:rPrChange w:id="5778" w:author="Author">
                  <w:rPr>
                    <w:noProof w:val="0"/>
                    <w:szCs w:val="22"/>
                    <w:lang w:val="pt-PT"/>
                  </w:rPr>
                </w:rPrChange>
              </w:rPr>
            </w:pPr>
            <w:r w:rsidRPr="00D55B59">
              <w:rPr>
                <w:b/>
                <w:noProof w:val="0"/>
                <w:szCs w:val="22"/>
                <w:lang w:val="es-ES"/>
                <w:rPrChange w:id="5779" w:author="Author">
                  <w:rPr>
                    <w:b/>
                    <w:noProof w:val="0"/>
                    <w:szCs w:val="22"/>
                    <w:lang w:val="pt-PT"/>
                  </w:rPr>
                </w:rPrChange>
              </w:rPr>
              <w:t>Italia</w:t>
            </w:r>
          </w:p>
          <w:p w14:paraId="5788B5A1" w14:textId="77777777" w:rsidR="007E0028" w:rsidRPr="00D55B59" w:rsidRDefault="007E0028" w:rsidP="00D47253">
            <w:pPr>
              <w:pStyle w:val="lbltxt"/>
              <w:rPr>
                <w:noProof w:val="0"/>
                <w:szCs w:val="22"/>
                <w:lang w:val="es-ES"/>
                <w:rPrChange w:id="5780" w:author="Author">
                  <w:rPr>
                    <w:noProof w:val="0"/>
                    <w:szCs w:val="22"/>
                    <w:lang w:val="pt-PT"/>
                  </w:rPr>
                </w:rPrChange>
              </w:rPr>
            </w:pPr>
            <w:r w:rsidRPr="00D55B59">
              <w:rPr>
                <w:noProof w:val="0"/>
                <w:szCs w:val="22"/>
                <w:lang w:val="es-ES"/>
                <w:rPrChange w:id="5781" w:author="Author">
                  <w:rPr>
                    <w:noProof w:val="0"/>
                    <w:szCs w:val="22"/>
                    <w:lang w:val="pt-PT"/>
                  </w:rPr>
                </w:rPrChange>
              </w:rPr>
              <w:t>Amgen S.r.l.</w:t>
            </w:r>
          </w:p>
          <w:p w14:paraId="32ACB75B" w14:textId="77777777" w:rsidR="007E0028" w:rsidRPr="00D55B59" w:rsidRDefault="007E0028" w:rsidP="00D47253">
            <w:pPr>
              <w:pStyle w:val="lbltxt"/>
              <w:rPr>
                <w:noProof w:val="0"/>
                <w:szCs w:val="22"/>
                <w:lang w:val="en-GB"/>
                <w:rPrChange w:id="5782" w:author="Author">
                  <w:rPr>
                    <w:noProof w:val="0"/>
                    <w:szCs w:val="22"/>
                    <w:lang w:val="pt-PT"/>
                  </w:rPr>
                </w:rPrChange>
              </w:rPr>
            </w:pPr>
            <w:r w:rsidRPr="00D55B59">
              <w:rPr>
                <w:noProof w:val="0"/>
                <w:szCs w:val="22"/>
                <w:lang w:val="en-GB"/>
                <w:rPrChange w:id="5783" w:author="Author">
                  <w:rPr>
                    <w:noProof w:val="0"/>
                    <w:szCs w:val="22"/>
                    <w:lang w:val="pt-PT"/>
                  </w:rPr>
                </w:rPrChange>
              </w:rPr>
              <w:t>Tel: +39 02 6241121</w:t>
            </w:r>
          </w:p>
          <w:p w14:paraId="2702FE0B" w14:textId="77777777" w:rsidR="007E0028" w:rsidRPr="00D55B59" w:rsidRDefault="007E0028" w:rsidP="00D47253">
            <w:pPr>
              <w:rPr>
                <w:szCs w:val="22"/>
                <w:rPrChange w:id="5784" w:author="Author">
                  <w:rPr>
                    <w:szCs w:val="22"/>
                    <w:lang w:val="pt-PT"/>
                  </w:rPr>
                </w:rPrChange>
              </w:rPr>
            </w:pPr>
          </w:p>
        </w:tc>
        <w:tc>
          <w:tcPr>
            <w:tcW w:w="4679" w:type="dxa"/>
          </w:tcPr>
          <w:p w14:paraId="38D8B99F" w14:textId="77777777" w:rsidR="007E0028" w:rsidRPr="00D55B59" w:rsidRDefault="007E0028" w:rsidP="00D47253">
            <w:pPr>
              <w:pStyle w:val="lbltxt"/>
              <w:rPr>
                <w:noProof w:val="0"/>
                <w:szCs w:val="22"/>
                <w:lang w:val="en-GB"/>
                <w:rPrChange w:id="5785" w:author="Author">
                  <w:rPr>
                    <w:noProof w:val="0"/>
                    <w:szCs w:val="22"/>
                    <w:lang w:val="sv-SE"/>
                  </w:rPr>
                </w:rPrChange>
              </w:rPr>
            </w:pPr>
            <w:r w:rsidRPr="00D55B59">
              <w:rPr>
                <w:b/>
                <w:noProof w:val="0"/>
                <w:szCs w:val="22"/>
                <w:lang w:val="en-GB"/>
                <w:rPrChange w:id="5786" w:author="Author">
                  <w:rPr>
                    <w:b/>
                    <w:noProof w:val="0"/>
                    <w:szCs w:val="22"/>
                    <w:lang w:val="sv-SE"/>
                  </w:rPr>
                </w:rPrChange>
              </w:rPr>
              <w:t>Suomi/Finland</w:t>
            </w:r>
          </w:p>
          <w:p w14:paraId="684FA928" w14:textId="77777777" w:rsidR="009C222E" w:rsidRPr="00D55B59" w:rsidRDefault="009C222E" w:rsidP="009C222E">
            <w:pPr>
              <w:pStyle w:val="lbltxt"/>
              <w:rPr>
                <w:noProof w:val="0"/>
                <w:szCs w:val="22"/>
                <w:lang w:val="en-GB"/>
                <w:rPrChange w:id="5787" w:author="Author">
                  <w:rPr>
                    <w:szCs w:val="22"/>
                    <w:lang w:val="nl-NL"/>
                  </w:rPr>
                </w:rPrChange>
              </w:rPr>
            </w:pPr>
            <w:r w:rsidRPr="00D55B59">
              <w:rPr>
                <w:noProof w:val="0"/>
                <w:szCs w:val="22"/>
                <w:lang w:val="en-GB"/>
                <w:rPrChange w:id="5788" w:author="Author">
                  <w:rPr>
                    <w:szCs w:val="22"/>
                    <w:lang w:val="nl-NL"/>
                  </w:rPr>
                </w:rPrChange>
              </w:rPr>
              <w:t>Amgen AB, sivuliike Suomessa/Amgen AB, filial i Finland</w:t>
            </w:r>
          </w:p>
          <w:p w14:paraId="6E66A6EC" w14:textId="20105CE8" w:rsidR="007E0028" w:rsidRPr="00D55B59" w:rsidRDefault="009C222E" w:rsidP="00D47253">
            <w:pPr>
              <w:rPr>
                <w:szCs w:val="22"/>
                <w:rPrChange w:id="5789" w:author="Author">
                  <w:rPr>
                    <w:szCs w:val="22"/>
                    <w:lang w:val="fr-CH"/>
                  </w:rPr>
                </w:rPrChange>
              </w:rPr>
            </w:pPr>
            <w:r w:rsidRPr="00D55B59">
              <w:rPr>
                <w:szCs w:val="22"/>
                <w:rPrChange w:id="5790" w:author="Author">
                  <w:rPr>
                    <w:szCs w:val="22"/>
                    <w:lang w:val="nl-NL"/>
                  </w:rPr>
                </w:rPrChange>
              </w:rPr>
              <w:t>Puh/Tel: +358 (0)9 54900500</w:t>
            </w:r>
          </w:p>
          <w:p w14:paraId="4AC337E1" w14:textId="77777777" w:rsidR="009C222E" w:rsidRPr="00D55B59" w:rsidRDefault="009C222E" w:rsidP="00D47253">
            <w:pPr>
              <w:rPr>
                <w:szCs w:val="22"/>
                <w:rPrChange w:id="5791" w:author="Author">
                  <w:rPr>
                    <w:szCs w:val="22"/>
                    <w:lang w:val="fr-CH"/>
                  </w:rPr>
                </w:rPrChange>
              </w:rPr>
            </w:pPr>
          </w:p>
        </w:tc>
      </w:tr>
      <w:tr w:rsidR="007E0028" w:rsidRPr="00F04F82" w14:paraId="2CE629F6" w14:textId="77777777" w:rsidTr="00D47253">
        <w:trPr>
          <w:cantSplit/>
        </w:trPr>
        <w:tc>
          <w:tcPr>
            <w:tcW w:w="4677" w:type="dxa"/>
          </w:tcPr>
          <w:p w14:paraId="40387E27" w14:textId="77777777" w:rsidR="007E0028" w:rsidRPr="00D55B59" w:rsidRDefault="007E0028" w:rsidP="00D47253">
            <w:pPr>
              <w:pStyle w:val="lbltxt"/>
              <w:rPr>
                <w:b/>
                <w:noProof w:val="0"/>
                <w:szCs w:val="22"/>
                <w:lang w:val="en-GB"/>
                <w:rPrChange w:id="5792" w:author="Author">
                  <w:rPr>
                    <w:b/>
                    <w:noProof w:val="0"/>
                    <w:szCs w:val="22"/>
                  </w:rPr>
                </w:rPrChange>
              </w:rPr>
            </w:pPr>
            <w:r w:rsidRPr="00D55B59">
              <w:rPr>
                <w:b/>
                <w:noProof w:val="0"/>
                <w:szCs w:val="22"/>
                <w:lang w:val="en-GB"/>
                <w:rPrChange w:id="5793" w:author="Author">
                  <w:rPr>
                    <w:b/>
                    <w:noProof w:val="0"/>
                    <w:szCs w:val="22"/>
                  </w:rPr>
                </w:rPrChange>
              </w:rPr>
              <w:t>Kύπρος</w:t>
            </w:r>
          </w:p>
          <w:p w14:paraId="524C815F" w14:textId="77777777" w:rsidR="007E0028" w:rsidRPr="00F04F82" w:rsidRDefault="007E0028" w:rsidP="00D47253">
            <w:pPr>
              <w:rPr>
                <w:szCs w:val="22"/>
              </w:rPr>
            </w:pPr>
            <w:r w:rsidRPr="00F04F82">
              <w:rPr>
                <w:szCs w:val="22"/>
              </w:rPr>
              <w:t>C.A. Papaellinas Ltd</w:t>
            </w:r>
          </w:p>
          <w:p w14:paraId="5C0C063B" w14:textId="77777777" w:rsidR="007E0028" w:rsidRPr="00D55B59" w:rsidRDefault="007E0028" w:rsidP="00D47253">
            <w:pPr>
              <w:pStyle w:val="lbltxt"/>
              <w:rPr>
                <w:noProof w:val="0"/>
                <w:szCs w:val="22"/>
                <w:lang w:val="en-GB"/>
                <w:rPrChange w:id="5794" w:author="Author">
                  <w:rPr>
                    <w:noProof w:val="0"/>
                    <w:szCs w:val="22"/>
                  </w:rPr>
                </w:rPrChange>
              </w:rPr>
            </w:pPr>
            <w:r w:rsidRPr="00D55B59">
              <w:rPr>
                <w:noProof w:val="0"/>
                <w:szCs w:val="22"/>
                <w:lang w:val="en-GB"/>
                <w:rPrChange w:id="5795" w:author="Author">
                  <w:rPr>
                    <w:noProof w:val="0"/>
                    <w:szCs w:val="22"/>
                  </w:rPr>
                </w:rPrChange>
              </w:rPr>
              <w:t>Τηλ: +357 22741 741</w:t>
            </w:r>
          </w:p>
          <w:p w14:paraId="5457F4C7" w14:textId="77777777" w:rsidR="007E0028" w:rsidRPr="00F04F82" w:rsidRDefault="007E0028" w:rsidP="00D47253">
            <w:pPr>
              <w:rPr>
                <w:szCs w:val="22"/>
              </w:rPr>
            </w:pPr>
          </w:p>
        </w:tc>
        <w:tc>
          <w:tcPr>
            <w:tcW w:w="4679" w:type="dxa"/>
          </w:tcPr>
          <w:p w14:paraId="4D564CFC" w14:textId="77777777" w:rsidR="007E0028" w:rsidRPr="00D55B59" w:rsidRDefault="007E0028" w:rsidP="00D47253">
            <w:pPr>
              <w:pStyle w:val="lbltxt"/>
              <w:rPr>
                <w:noProof w:val="0"/>
                <w:szCs w:val="22"/>
                <w:lang w:val="en-GB"/>
                <w:rPrChange w:id="5796" w:author="Author">
                  <w:rPr>
                    <w:noProof w:val="0"/>
                    <w:szCs w:val="22"/>
                  </w:rPr>
                </w:rPrChange>
              </w:rPr>
            </w:pPr>
            <w:r w:rsidRPr="00D55B59">
              <w:rPr>
                <w:b/>
                <w:noProof w:val="0"/>
                <w:szCs w:val="22"/>
                <w:lang w:val="en-GB"/>
                <w:rPrChange w:id="5797" w:author="Author">
                  <w:rPr>
                    <w:b/>
                    <w:noProof w:val="0"/>
                    <w:szCs w:val="22"/>
                  </w:rPr>
                </w:rPrChange>
              </w:rPr>
              <w:t>Sverige</w:t>
            </w:r>
          </w:p>
          <w:p w14:paraId="02D43F76" w14:textId="77777777" w:rsidR="007E0028" w:rsidRPr="00D55B59" w:rsidRDefault="007E0028" w:rsidP="00D47253">
            <w:pPr>
              <w:pStyle w:val="lbltxt"/>
              <w:rPr>
                <w:noProof w:val="0"/>
                <w:szCs w:val="22"/>
                <w:lang w:val="en-GB"/>
                <w:rPrChange w:id="5798" w:author="Author">
                  <w:rPr>
                    <w:noProof w:val="0"/>
                    <w:szCs w:val="22"/>
                  </w:rPr>
                </w:rPrChange>
              </w:rPr>
            </w:pPr>
            <w:r w:rsidRPr="00D55B59">
              <w:rPr>
                <w:noProof w:val="0"/>
                <w:szCs w:val="22"/>
                <w:lang w:val="en-GB"/>
                <w:rPrChange w:id="5799" w:author="Author">
                  <w:rPr>
                    <w:noProof w:val="0"/>
                    <w:szCs w:val="22"/>
                  </w:rPr>
                </w:rPrChange>
              </w:rPr>
              <w:t xml:space="preserve">Amgen AB </w:t>
            </w:r>
          </w:p>
          <w:p w14:paraId="2393322A" w14:textId="77777777" w:rsidR="007E0028" w:rsidRPr="00D55B59" w:rsidRDefault="007E0028" w:rsidP="00D47253">
            <w:pPr>
              <w:pStyle w:val="lbltxt"/>
              <w:rPr>
                <w:noProof w:val="0"/>
                <w:szCs w:val="22"/>
                <w:lang w:val="en-GB"/>
                <w:rPrChange w:id="5800" w:author="Author">
                  <w:rPr>
                    <w:noProof w:val="0"/>
                    <w:szCs w:val="22"/>
                  </w:rPr>
                </w:rPrChange>
              </w:rPr>
            </w:pPr>
            <w:r w:rsidRPr="00D55B59">
              <w:rPr>
                <w:noProof w:val="0"/>
                <w:szCs w:val="22"/>
                <w:lang w:val="en-GB"/>
                <w:rPrChange w:id="5801" w:author="Author">
                  <w:rPr>
                    <w:noProof w:val="0"/>
                    <w:szCs w:val="22"/>
                  </w:rPr>
                </w:rPrChange>
              </w:rPr>
              <w:t>Tel: +46 (0)8 6951100</w:t>
            </w:r>
          </w:p>
          <w:p w14:paraId="60F833C0" w14:textId="77777777" w:rsidR="007E0028" w:rsidRPr="00F04F82" w:rsidRDefault="007E0028" w:rsidP="00D47253">
            <w:pPr>
              <w:rPr>
                <w:szCs w:val="22"/>
              </w:rPr>
            </w:pPr>
          </w:p>
        </w:tc>
      </w:tr>
      <w:tr w:rsidR="007E0028" w:rsidRPr="00F04F82" w14:paraId="47C8C5CD" w14:textId="77777777" w:rsidTr="00D47253">
        <w:trPr>
          <w:cantSplit/>
        </w:trPr>
        <w:tc>
          <w:tcPr>
            <w:tcW w:w="4677" w:type="dxa"/>
          </w:tcPr>
          <w:p w14:paraId="14E49AB6" w14:textId="77777777" w:rsidR="007E0028" w:rsidRPr="00D55B59" w:rsidRDefault="007E0028" w:rsidP="00D47253">
            <w:pPr>
              <w:pStyle w:val="lbltxt"/>
              <w:rPr>
                <w:b/>
                <w:bCs/>
                <w:noProof w:val="0"/>
                <w:szCs w:val="22"/>
                <w:lang w:val="de-DE"/>
                <w:rPrChange w:id="5802" w:author="Author">
                  <w:rPr>
                    <w:b/>
                    <w:bCs/>
                    <w:noProof w:val="0"/>
                    <w:szCs w:val="22"/>
                    <w:lang w:val="nl-NL"/>
                  </w:rPr>
                </w:rPrChange>
              </w:rPr>
            </w:pPr>
            <w:r w:rsidRPr="00D55B59">
              <w:rPr>
                <w:b/>
                <w:bCs/>
                <w:noProof w:val="0"/>
                <w:szCs w:val="22"/>
                <w:lang w:val="de-DE"/>
                <w:rPrChange w:id="5803" w:author="Author">
                  <w:rPr>
                    <w:b/>
                    <w:bCs/>
                    <w:noProof w:val="0"/>
                    <w:szCs w:val="22"/>
                    <w:lang w:val="nl-NL"/>
                  </w:rPr>
                </w:rPrChange>
              </w:rPr>
              <w:t>Latvija</w:t>
            </w:r>
          </w:p>
          <w:p w14:paraId="210FF184" w14:textId="77777777" w:rsidR="007E0028" w:rsidRPr="00D55B59" w:rsidRDefault="007E0028" w:rsidP="00D47253">
            <w:pPr>
              <w:pStyle w:val="lbltxt"/>
              <w:rPr>
                <w:noProof w:val="0"/>
                <w:szCs w:val="22"/>
                <w:lang w:val="de-DE"/>
                <w:rPrChange w:id="5804" w:author="Author">
                  <w:rPr>
                    <w:noProof w:val="0"/>
                    <w:szCs w:val="22"/>
                    <w:lang w:val="nl-NL"/>
                  </w:rPr>
                </w:rPrChange>
              </w:rPr>
            </w:pPr>
            <w:r w:rsidRPr="00D55B59">
              <w:rPr>
                <w:noProof w:val="0"/>
                <w:szCs w:val="22"/>
                <w:lang w:val="de-DE"/>
                <w:rPrChange w:id="5805" w:author="Author">
                  <w:rPr>
                    <w:noProof w:val="0"/>
                    <w:szCs w:val="22"/>
                    <w:lang w:val="nl-NL"/>
                  </w:rPr>
                </w:rPrChange>
              </w:rPr>
              <w:t>Amgen Switzerland AG Rīgas filiāle</w:t>
            </w:r>
          </w:p>
          <w:p w14:paraId="7BB10DAC" w14:textId="77777777" w:rsidR="007E0028" w:rsidRPr="00D55B59" w:rsidRDefault="007E0028" w:rsidP="00D47253">
            <w:pPr>
              <w:pStyle w:val="lbltxt"/>
              <w:rPr>
                <w:noProof w:val="0"/>
                <w:szCs w:val="22"/>
                <w:lang w:val="en-GB"/>
                <w:rPrChange w:id="5806" w:author="Author">
                  <w:rPr>
                    <w:noProof w:val="0"/>
                    <w:szCs w:val="22"/>
                  </w:rPr>
                </w:rPrChange>
              </w:rPr>
            </w:pPr>
            <w:r w:rsidRPr="00D55B59">
              <w:rPr>
                <w:bCs/>
                <w:noProof w:val="0"/>
                <w:szCs w:val="22"/>
                <w:lang w:val="en-GB"/>
                <w:rPrChange w:id="5807" w:author="Author">
                  <w:rPr>
                    <w:bCs/>
                    <w:noProof w:val="0"/>
                    <w:szCs w:val="22"/>
                  </w:rPr>
                </w:rPrChange>
              </w:rPr>
              <w:t>Tel: +</w:t>
            </w:r>
            <w:r w:rsidRPr="00D55B59">
              <w:rPr>
                <w:noProof w:val="0"/>
                <w:szCs w:val="22"/>
                <w:lang w:val="en-GB"/>
                <w:rPrChange w:id="5808" w:author="Author">
                  <w:rPr>
                    <w:noProof w:val="0"/>
                    <w:szCs w:val="22"/>
                  </w:rPr>
                </w:rPrChange>
              </w:rPr>
              <w:t>371 257 25888</w:t>
            </w:r>
          </w:p>
          <w:p w14:paraId="52666C94" w14:textId="77777777" w:rsidR="007E0028" w:rsidRPr="00F04F82" w:rsidRDefault="007E0028" w:rsidP="00D47253">
            <w:pPr>
              <w:rPr>
                <w:szCs w:val="22"/>
              </w:rPr>
            </w:pPr>
          </w:p>
        </w:tc>
        <w:tc>
          <w:tcPr>
            <w:tcW w:w="4679" w:type="dxa"/>
          </w:tcPr>
          <w:p w14:paraId="572BD64A" w14:textId="77777777" w:rsidR="007E0028" w:rsidRPr="00D55B59" w:rsidRDefault="007E0028" w:rsidP="00452AE6">
            <w:pPr>
              <w:pStyle w:val="lbltxt"/>
              <w:rPr>
                <w:noProof w:val="0"/>
                <w:szCs w:val="22"/>
                <w:lang w:val="en-GB"/>
                <w:rPrChange w:id="5809" w:author="Author">
                  <w:rPr>
                    <w:szCs w:val="22"/>
                  </w:rPr>
                </w:rPrChange>
              </w:rPr>
            </w:pPr>
          </w:p>
        </w:tc>
      </w:tr>
    </w:tbl>
    <w:p w14:paraId="7C59190B" w14:textId="77777777" w:rsidR="007E0028" w:rsidRPr="00F04F82" w:rsidRDefault="007E0028" w:rsidP="00B61D9D">
      <w:pPr>
        <w:spacing w:line="240" w:lineRule="auto"/>
        <w:rPr>
          <w:szCs w:val="22"/>
        </w:rPr>
      </w:pPr>
    </w:p>
    <w:p w14:paraId="0122B775" w14:textId="660DAC29" w:rsidR="007E0028" w:rsidRPr="00F04F82" w:rsidRDefault="007E0028" w:rsidP="001D57B4">
      <w:pPr>
        <w:numPr>
          <w:ilvl w:val="12"/>
          <w:numId w:val="0"/>
        </w:numPr>
        <w:tabs>
          <w:tab w:val="clear" w:pos="567"/>
        </w:tabs>
        <w:spacing w:line="240" w:lineRule="auto"/>
        <w:ind w:right="-2"/>
        <w:outlineLvl w:val="0"/>
        <w:rPr>
          <w:szCs w:val="22"/>
        </w:rPr>
      </w:pPr>
      <w:r w:rsidRPr="00F04F82">
        <w:rPr>
          <w:b/>
          <w:szCs w:val="22"/>
        </w:rPr>
        <w:t xml:space="preserve">This leaflet was last </w:t>
      </w:r>
      <w:r w:rsidRPr="00F04F82">
        <w:rPr>
          <w:b/>
        </w:rPr>
        <w:t>revised in</w:t>
      </w:r>
      <w:r w:rsidR="001C55FB" w:rsidRPr="00F04F82">
        <w:rPr>
          <w:b/>
        </w:rPr>
        <w:fldChar w:fldCharType="begin"/>
      </w:r>
      <w:r w:rsidR="001C55FB" w:rsidRPr="00F04F82">
        <w:rPr>
          <w:b/>
        </w:rPr>
        <w:instrText xml:space="preserve"> DOCVARIABLE vault_nd_844c4718-fe89-4619-8907-78779229921b \* MERGEFORMAT </w:instrText>
      </w:r>
      <w:r w:rsidR="001C55FB" w:rsidRPr="00F04F82">
        <w:rPr>
          <w:b/>
        </w:rPr>
        <w:fldChar w:fldCharType="separate"/>
      </w:r>
      <w:r w:rsidR="001C55FB" w:rsidRPr="00F04F82">
        <w:rPr>
          <w:b/>
        </w:rPr>
        <w:t xml:space="preserve"> </w:t>
      </w:r>
      <w:r w:rsidR="001C55FB" w:rsidRPr="00F04F82">
        <w:rPr>
          <w:b/>
        </w:rPr>
        <w:fldChar w:fldCharType="end"/>
      </w:r>
    </w:p>
    <w:p w14:paraId="2BE4ABBE" w14:textId="77777777" w:rsidR="007E0028" w:rsidRPr="00F04F82" w:rsidRDefault="007E0028" w:rsidP="001D57B4">
      <w:pPr>
        <w:numPr>
          <w:ilvl w:val="12"/>
          <w:numId w:val="0"/>
        </w:numPr>
        <w:spacing w:line="240" w:lineRule="auto"/>
        <w:ind w:right="-2"/>
        <w:rPr>
          <w:szCs w:val="22"/>
        </w:rPr>
      </w:pPr>
    </w:p>
    <w:p w14:paraId="7E9D6041" w14:textId="77777777" w:rsidR="007E0028" w:rsidRPr="00F04F82" w:rsidRDefault="007E0028" w:rsidP="001D57B4">
      <w:pPr>
        <w:numPr>
          <w:ilvl w:val="12"/>
          <w:numId w:val="0"/>
        </w:numPr>
        <w:tabs>
          <w:tab w:val="clear" w:pos="567"/>
        </w:tabs>
        <w:spacing w:line="240" w:lineRule="auto"/>
        <w:ind w:right="-2"/>
        <w:rPr>
          <w:b/>
        </w:rPr>
      </w:pPr>
      <w:r w:rsidRPr="00F04F82">
        <w:rPr>
          <w:b/>
        </w:rPr>
        <w:t>Other sources of information</w:t>
      </w:r>
    </w:p>
    <w:p w14:paraId="768286D9" w14:textId="77777777" w:rsidR="007E0028" w:rsidRPr="00F04F82" w:rsidRDefault="007E0028" w:rsidP="001D57B4">
      <w:pPr>
        <w:numPr>
          <w:ilvl w:val="12"/>
          <w:numId w:val="0"/>
        </w:numPr>
        <w:spacing w:line="240" w:lineRule="auto"/>
        <w:ind w:right="-2"/>
      </w:pPr>
    </w:p>
    <w:p w14:paraId="087C245A" w14:textId="77777777" w:rsidR="007E0028" w:rsidRPr="00F04F82" w:rsidRDefault="007E0028" w:rsidP="001D57B4">
      <w:pPr>
        <w:numPr>
          <w:ilvl w:val="12"/>
          <w:numId w:val="0"/>
        </w:numPr>
        <w:spacing w:line="240" w:lineRule="auto"/>
        <w:ind w:right="-2"/>
        <w:rPr>
          <w:szCs w:val="22"/>
        </w:rPr>
      </w:pPr>
      <w:r w:rsidRPr="00F04F82">
        <w:t xml:space="preserve">Detailed information on this medicine is available on the European Medicines Agency web site: </w:t>
      </w:r>
      <w:hyperlink r:id="rId96" w:history="1">
        <w:r w:rsidRPr="00F04F82">
          <w:rPr>
            <w:rStyle w:val="Hyperlink"/>
            <w:szCs w:val="22"/>
          </w:rPr>
          <w:t>http://www.ema.europa.eu</w:t>
        </w:r>
      </w:hyperlink>
      <w:r w:rsidRPr="00F04F82">
        <w:rPr>
          <w:szCs w:val="22"/>
        </w:rPr>
        <w:t>.</w:t>
      </w:r>
    </w:p>
    <w:p w14:paraId="1D8B4B5E" w14:textId="77777777" w:rsidR="007E0028" w:rsidRPr="00F04F82" w:rsidRDefault="007E0028" w:rsidP="001D57B4">
      <w:pPr>
        <w:numPr>
          <w:ilvl w:val="12"/>
          <w:numId w:val="0"/>
        </w:numPr>
        <w:spacing w:line="240" w:lineRule="auto"/>
        <w:ind w:right="-2"/>
        <w:rPr>
          <w:szCs w:val="22"/>
        </w:rPr>
      </w:pPr>
    </w:p>
    <w:p w14:paraId="5C751E55" w14:textId="381B16AB" w:rsidR="007E0028" w:rsidRDefault="007E0028" w:rsidP="001D57B4">
      <w:pPr>
        <w:tabs>
          <w:tab w:val="clear" w:pos="567"/>
        </w:tabs>
        <w:suppressAutoHyphens/>
        <w:autoSpaceDE w:val="0"/>
        <w:autoSpaceDN w:val="0"/>
        <w:adjustRightInd w:val="0"/>
        <w:spacing w:line="240" w:lineRule="auto"/>
        <w:ind w:left="72"/>
        <w:contextualSpacing/>
        <w:textAlignment w:val="center"/>
        <w:rPr>
          <w:szCs w:val="22"/>
          <w:highlight w:val="lightGray"/>
        </w:rPr>
      </w:pPr>
    </w:p>
    <w:p w14:paraId="02418048" w14:textId="25E2FBB0" w:rsidR="007E0028" w:rsidRDefault="007E0028" w:rsidP="001D57B4">
      <w:pPr>
        <w:tabs>
          <w:tab w:val="clear" w:pos="567"/>
        </w:tabs>
        <w:suppressAutoHyphens/>
        <w:autoSpaceDE w:val="0"/>
        <w:autoSpaceDN w:val="0"/>
        <w:adjustRightInd w:val="0"/>
        <w:spacing w:line="240" w:lineRule="auto"/>
        <w:ind w:left="72"/>
        <w:contextualSpacing/>
        <w:textAlignment w:val="center"/>
        <w:rPr>
          <w:szCs w:val="22"/>
          <w:highlight w:val="lightGray"/>
        </w:rPr>
      </w:pPr>
    </w:p>
    <w:p w14:paraId="0FDE44E4" w14:textId="5D05A0EA" w:rsidR="007E0028" w:rsidRDefault="007E0028" w:rsidP="001D57B4">
      <w:pPr>
        <w:tabs>
          <w:tab w:val="clear" w:pos="567"/>
        </w:tabs>
        <w:suppressAutoHyphens/>
        <w:autoSpaceDE w:val="0"/>
        <w:autoSpaceDN w:val="0"/>
        <w:adjustRightInd w:val="0"/>
        <w:spacing w:line="240" w:lineRule="auto"/>
        <w:ind w:left="72"/>
        <w:contextualSpacing/>
        <w:textAlignment w:val="center"/>
        <w:rPr>
          <w:szCs w:val="22"/>
          <w:highlight w:val="lightGray"/>
        </w:rPr>
      </w:pPr>
    </w:p>
    <w:p w14:paraId="3BFB12CA" w14:textId="77DB6536" w:rsidR="00F73DD2" w:rsidRDefault="00F73DD2">
      <w:pPr>
        <w:tabs>
          <w:tab w:val="clear" w:pos="567"/>
        </w:tabs>
        <w:spacing w:line="240" w:lineRule="auto"/>
        <w:rPr>
          <w:szCs w:val="22"/>
          <w:highlight w:val="lightGray"/>
        </w:rPr>
      </w:pPr>
      <w:r>
        <w:rPr>
          <w:szCs w:val="22"/>
          <w:highlight w:val="lightGray"/>
        </w:rPr>
        <w:br w:type="page"/>
      </w:r>
    </w:p>
    <w:p w14:paraId="36C6B39E" w14:textId="77777777" w:rsidR="007E0028" w:rsidRDefault="007E0028" w:rsidP="001D57B4">
      <w:pPr>
        <w:tabs>
          <w:tab w:val="clear" w:pos="567"/>
        </w:tabs>
        <w:suppressAutoHyphens/>
        <w:autoSpaceDE w:val="0"/>
        <w:autoSpaceDN w:val="0"/>
        <w:adjustRightInd w:val="0"/>
        <w:spacing w:line="240" w:lineRule="auto"/>
        <w:ind w:left="72"/>
        <w:contextualSpacing/>
        <w:textAlignment w:val="center"/>
        <w:rPr>
          <w:szCs w:val="22"/>
          <w:highlight w:val="lightGray"/>
        </w:rPr>
      </w:pP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2616"/>
        <w:gridCol w:w="3051"/>
      </w:tblGrid>
      <w:tr w:rsidR="00400D30" w:rsidRPr="00F04F82" w14:paraId="1C4B7261" w14:textId="77777777" w:rsidTr="00D47253">
        <w:trPr>
          <w:cantSplit/>
          <w:trHeight w:val="57"/>
        </w:trPr>
        <w:tc>
          <w:tcPr>
            <w:tcW w:w="5000" w:type="pct"/>
            <w:gridSpan w:val="3"/>
            <w:tcBorders>
              <w:bottom w:val="single" w:sz="4" w:space="0" w:color="auto"/>
            </w:tcBorders>
          </w:tcPr>
          <w:p w14:paraId="16FDA90F" w14:textId="738E2C7A" w:rsidR="00400D30" w:rsidRPr="00F04F82" w:rsidRDefault="00400D30" w:rsidP="00D47253">
            <w:pPr>
              <w:keepNext/>
              <w:keepLines/>
              <w:spacing w:line="240" w:lineRule="auto"/>
              <w:jc w:val="center"/>
              <w:rPr>
                <w:b/>
                <w:bCs/>
              </w:rPr>
            </w:pPr>
            <w:r w:rsidRPr="00F04F82">
              <w:rPr>
                <w:b/>
                <w:bCs/>
              </w:rPr>
              <w:t xml:space="preserve">INSTRUCTIONS FOR USE </w:t>
            </w:r>
            <w:r w:rsidR="00EB3598" w:rsidRPr="00F04F82">
              <w:rPr>
                <w:b/>
                <w:bCs/>
              </w:rPr>
              <w:t>8</w:t>
            </w:r>
            <w:r w:rsidRPr="00F04F82">
              <w:rPr>
                <w:b/>
                <w:bCs/>
              </w:rPr>
              <w:t>0</w:t>
            </w:r>
            <w:r w:rsidR="0049272D" w:rsidRPr="00F04F82">
              <w:rPr>
                <w:b/>
                <w:bCs/>
              </w:rPr>
              <w:t> </w:t>
            </w:r>
            <w:r w:rsidRPr="00F04F82">
              <w:rPr>
                <w:b/>
                <w:bCs/>
              </w:rPr>
              <w:t>mg / 0.</w:t>
            </w:r>
            <w:r w:rsidR="00EB3598" w:rsidRPr="00F04F82">
              <w:rPr>
                <w:b/>
                <w:bCs/>
              </w:rPr>
              <w:t>8</w:t>
            </w:r>
            <w:r w:rsidR="0049272D" w:rsidRPr="00F04F82">
              <w:rPr>
                <w:b/>
                <w:bCs/>
              </w:rPr>
              <w:t> </w:t>
            </w:r>
            <w:r w:rsidRPr="00F04F82">
              <w:rPr>
                <w:b/>
                <w:bCs/>
              </w:rPr>
              <w:t>mL</w:t>
            </w:r>
          </w:p>
        </w:tc>
      </w:tr>
      <w:tr w:rsidR="00400D30" w:rsidRPr="00F04F82" w14:paraId="76D1925B" w14:textId="77777777" w:rsidTr="00D47253">
        <w:trPr>
          <w:cantSplit/>
          <w:trHeight w:val="57"/>
        </w:trPr>
        <w:tc>
          <w:tcPr>
            <w:tcW w:w="5000" w:type="pct"/>
            <w:gridSpan w:val="3"/>
            <w:tcBorders>
              <w:top w:val="single" w:sz="4" w:space="0" w:color="auto"/>
              <w:left w:val="nil"/>
              <w:bottom w:val="single" w:sz="4" w:space="0" w:color="auto"/>
              <w:right w:val="nil"/>
            </w:tcBorders>
          </w:tcPr>
          <w:p w14:paraId="156FA31F" w14:textId="77777777" w:rsidR="00400D30" w:rsidRPr="00F04F82" w:rsidRDefault="00400D30" w:rsidP="00D47253">
            <w:pPr>
              <w:keepNext/>
              <w:keepLines/>
              <w:jc w:val="center"/>
              <w:rPr>
                <w:bCs/>
              </w:rPr>
            </w:pPr>
          </w:p>
        </w:tc>
      </w:tr>
      <w:tr w:rsidR="00400D30" w:rsidRPr="00F04F82" w14:paraId="5A206B84" w14:textId="77777777" w:rsidTr="00D47253">
        <w:trPr>
          <w:cantSplit/>
          <w:trHeight w:val="57"/>
        </w:trPr>
        <w:tc>
          <w:tcPr>
            <w:tcW w:w="5000" w:type="pct"/>
            <w:gridSpan w:val="3"/>
            <w:tcBorders>
              <w:top w:val="single" w:sz="4" w:space="0" w:color="auto"/>
            </w:tcBorders>
          </w:tcPr>
          <w:p w14:paraId="60E8B2CE" w14:textId="77777777" w:rsidR="00400D30" w:rsidRPr="00F04F82" w:rsidRDefault="00400D30" w:rsidP="00D47253">
            <w:pPr>
              <w:keepNext/>
              <w:keepLines/>
            </w:pPr>
            <w:r w:rsidRPr="00F04F82">
              <w:rPr>
                <w:bCs/>
              </w:rPr>
              <w:t xml:space="preserve">Getting to know your </w:t>
            </w:r>
            <w:r w:rsidRPr="00F04F82">
              <w:rPr>
                <w:rFonts w:eastAsia="Calibri"/>
                <w:szCs w:val="22"/>
              </w:rPr>
              <w:t>SureClick pre-filled pen</w:t>
            </w:r>
          </w:p>
        </w:tc>
      </w:tr>
      <w:tr w:rsidR="00400D30" w:rsidRPr="00F04F82" w14:paraId="7618F661" w14:textId="77777777" w:rsidTr="00D47253">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400D30" w:rsidRPr="00F04F82" w14:paraId="56A38ECE" w14:textId="77777777" w:rsidTr="005D540F">
              <w:trPr>
                <w:trHeight w:val="483"/>
              </w:trPr>
              <w:tc>
                <w:tcPr>
                  <w:tcW w:w="1763" w:type="dxa"/>
                </w:tcPr>
                <w:p w14:paraId="28C98943" w14:textId="77777777" w:rsidR="00400D30" w:rsidRPr="00F04F82" w:rsidRDefault="00400D30" w:rsidP="00D47253">
                  <w:pPr>
                    <w:framePr w:hSpace="141" w:wrap="around" w:vAnchor="text" w:hAnchor="text" w:x="108" w:y="1"/>
                    <w:suppressOverlap/>
                    <w:jc w:val="center"/>
                    <w:rPr>
                      <w:sz w:val="2"/>
                      <w:szCs w:val="2"/>
                    </w:rPr>
                  </w:pPr>
                </w:p>
              </w:tc>
            </w:tr>
            <w:tr w:rsidR="00400D30" w:rsidRPr="00F04F82" w14:paraId="2EBBBE7B" w14:textId="77777777" w:rsidTr="00D47253">
              <w:trPr>
                <w:trHeight w:val="990"/>
              </w:trPr>
              <w:tc>
                <w:tcPr>
                  <w:tcW w:w="1763" w:type="dxa"/>
                </w:tcPr>
                <w:p w14:paraId="5BAA48E7" w14:textId="3C8EA844" w:rsidR="00400D30" w:rsidRPr="00F04F82" w:rsidRDefault="00AD2E57" w:rsidP="00D47253">
                  <w:pPr>
                    <w:framePr w:hSpace="141" w:wrap="around" w:vAnchor="text" w:hAnchor="text" w:x="108" w:y="1"/>
                    <w:suppressOverlap/>
                    <w:jc w:val="right"/>
                  </w:pPr>
                  <w:r w:rsidRPr="00F04F82">
                    <w:t>Expiry</w:t>
                  </w:r>
                  <w:r w:rsidRPr="00F04F82" w:rsidDel="00AD2E57">
                    <w:t xml:space="preserve"> </w:t>
                  </w:r>
                  <w:r w:rsidR="00400D30" w:rsidRPr="00F04F82">
                    <w:t>date</w:t>
                  </w:r>
                </w:p>
              </w:tc>
            </w:tr>
            <w:tr w:rsidR="00400D30" w:rsidRPr="00F04F82" w14:paraId="249ACD5E" w14:textId="77777777" w:rsidTr="005D540F">
              <w:trPr>
                <w:trHeight w:val="580"/>
              </w:trPr>
              <w:tc>
                <w:tcPr>
                  <w:tcW w:w="1763" w:type="dxa"/>
                </w:tcPr>
                <w:p w14:paraId="7387321F" w14:textId="77777777" w:rsidR="00400D30" w:rsidRPr="00F04F82" w:rsidRDefault="00400D30" w:rsidP="00D47253">
                  <w:pPr>
                    <w:framePr w:hSpace="141" w:wrap="around" w:vAnchor="text" w:hAnchor="text" w:x="108" w:y="1"/>
                    <w:suppressOverlap/>
                    <w:jc w:val="right"/>
                  </w:pPr>
                </w:p>
              </w:tc>
            </w:tr>
            <w:tr w:rsidR="00400D30" w:rsidRPr="00F04F82" w14:paraId="6BA4973D" w14:textId="77777777" w:rsidTr="00E20F17">
              <w:trPr>
                <w:trHeight w:val="1255"/>
              </w:trPr>
              <w:tc>
                <w:tcPr>
                  <w:tcW w:w="1763" w:type="dxa"/>
                </w:tcPr>
                <w:p w14:paraId="61C55D99" w14:textId="77777777" w:rsidR="00400D30" w:rsidRPr="00F04F82" w:rsidRDefault="00400D30" w:rsidP="00D47253">
                  <w:pPr>
                    <w:framePr w:hSpace="141" w:wrap="around" w:vAnchor="text" w:hAnchor="text" w:x="108" w:y="1"/>
                    <w:suppressOverlap/>
                    <w:jc w:val="right"/>
                  </w:pPr>
                </w:p>
              </w:tc>
            </w:tr>
            <w:tr w:rsidR="00400D30" w:rsidRPr="00F04F82" w14:paraId="684551CB" w14:textId="77777777" w:rsidTr="00D47253">
              <w:trPr>
                <w:trHeight w:val="972"/>
              </w:trPr>
              <w:tc>
                <w:tcPr>
                  <w:tcW w:w="1763" w:type="dxa"/>
                </w:tcPr>
                <w:p w14:paraId="244AE524" w14:textId="77777777" w:rsidR="00400D30" w:rsidRPr="00F04F82" w:rsidRDefault="00400D30" w:rsidP="00D47253">
                  <w:pPr>
                    <w:framePr w:hSpace="141" w:wrap="around" w:vAnchor="text" w:hAnchor="text" w:x="108" w:y="1"/>
                    <w:suppressOverlap/>
                    <w:jc w:val="right"/>
                  </w:pPr>
                  <w:r w:rsidRPr="00F04F82">
                    <w:t>Window</w:t>
                  </w:r>
                </w:p>
              </w:tc>
            </w:tr>
            <w:tr w:rsidR="00400D30" w:rsidRPr="00F04F82" w14:paraId="33D311AE" w14:textId="77777777" w:rsidTr="00D47253">
              <w:trPr>
                <w:trHeight w:val="1128"/>
              </w:trPr>
              <w:tc>
                <w:tcPr>
                  <w:tcW w:w="1763" w:type="dxa"/>
                </w:tcPr>
                <w:p w14:paraId="465FD008" w14:textId="78506EDB" w:rsidR="00400D30" w:rsidRPr="00F04F82" w:rsidRDefault="00400D30" w:rsidP="00D47253">
                  <w:pPr>
                    <w:framePr w:hSpace="141" w:wrap="around" w:vAnchor="text" w:hAnchor="text" w:x="108" w:y="1"/>
                    <w:suppressOverlap/>
                    <w:jc w:val="right"/>
                  </w:pPr>
                  <w:r w:rsidRPr="00F04F82">
                    <w:t>Cream</w:t>
                  </w:r>
                  <w:r w:rsidR="00FA2540" w:rsidRPr="00F04F82">
                    <w:t>-coloured safety</w:t>
                  </w:r>
                  <w:r w:rsidRPr="00F04F82">
                    <w:t xml:space="preserve"> guard</w:t>
                  </w:r>
                </w:p>
                <w:p w14:paraId="64BCA356" w14:textId="77777777" w:rsidR="00400D30" w:rsidRPr="00F04F82" w:rsidRDefault="00400D30" w:rsidP="00D47253">
                  <w:pPr>
                    <w:framePr w:hSpace="141" w:wrap="around" w:vAnchor="text" w:hAnchor="text" w:x="108" w:y="1"/>
                    <w:suppressOverlap/>
                    <w:jc w:val="right"/>
                  </w:pPr>
                  <w:r w:rsidRPr="00F04F82">
                    <w:t xml:space="preserve"> (needle inside)</w:t>
                  </w:r>
                </w:p>
              </w:tc>
            </w:tr>
          </w:tbl>
          <w:p w14:paraId="435A0838" w14:textId="77777777" w:rsidR="00400D30" w:rsidRPr="00F04F82" w:rsidRDefault="00400D30" w:rsidP="00D47253">
            <w:pPr>
              <w:keepNext/>
              <w:jc w:val="right"/>
            </w:pPr>
          </w:p>
        </w:tc>
        <w:tc>
          <w:tcPr>
            <w:tcW w:w="1447" w:type="pct"/>
            <w:tcBorders>
              <w:top w:val="nil"/>
              <w:left w:val="nil"/>
              <w:bottom w:val="single" w:sz="4" w:space="0" w:color="auto"/>
              <w:right w:val="nil"/>
            </w:tcBorders>
          </w:tcPr>
          <w:p w14:paraId="00792ECD" w14:textId="20F1AABE" w:rsidR="00400D30" w:rsidRPr="00F04F82" w:rsidRDefault="00D96030" w:rsidP="00D47253">
            <w:pPr>
              <w:jc w:val="center"/>
            </w:pPr>
            <w:r>
              <w:pict w14:anchorId="45CA71E9">
                <v:shape id="Picture 219" o:spid="_x0000_s2056" type="#_x0000_t75" style="position:absolute;left:0;text-align:left;margin-left:14.25pt;margin-top:1.3pt;width:91.2pt;height:265.4pt;z-index:30;visibility:visible;mso-wrap-style:square;mso-width-percent:0;mso-height-percent:0;mso-wrap-distance-left:9pt;mso-wrap-distance-top:0;mso-wrap-distance-right:9pt;mso-wrap-distance-bottom:0;mso-position-horizontal-relative:margin;mso-position-vertical-relative:margin;mso-width-percent:0;mso-height-percent:0;mso-width-relative:page;mso-height-relative:page">
                  <v:imagedata r:id="rId97" o:title=""/>
                  <w10:wrap type="square" anchorx="margin" anchory="margin"/>
                </v:shape>
              </w:pict>
            </w:r>
          </w:p>
          <w:p w14:paraId="770620B0" w14:textId="77777777" w:rsidR="00400D30" w:rsidRPr="00F04F82" w:rsidRDefault="00400D30" w:rsidP="00D47253">
            <w:pPr>
              <w:jc w:val="center"/>
            </w:pPr>
          </w:p>
          <w:p w14:paraId="6FFA152C" w14:textId="1EDFA149" w:rsidR="00400D30" w:rsidRPr="00F04F82" w:rsidRDefault="00400D30" w:rsidP="00D47253">
            <w:pPr>
              <w:jc w:val="center"/>
            </w:pPr>
            <w:r w:rsidRPr="00F04F82">
              <w:t>80 mg/0.8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400D30" w:rsidRPr="00F04F82" w14:paraId="0F0E55AD" w14:textId="77777777" w:rsidTr="00D47253">
              <w:trPr>
                <w:trHeight w:val="461"/>
              </w:trPr>
              <w:tc>
                <w:tcPr>
                  <w:tcW w:w="1852" w:type="dxa"/>
                </w:tcPr>
                <w:p w14:paraId="680B281A" w14:textId="77777777" w:rsidR="00400D30" w:rsidRPr="00F04F82" w:rsidRDefault="00400D30" w:rsidP="00D47253">
                  <w:pPr>
                    <w:framePr w:hSpace="141" w:wrap="around" w:vAnchor="text" w:hAnchor="text" w:x="108" w:y="1"/>
                    <w:suppressOverlap/>
                    <w:rPr>
                      <w:szCs w:val="22"/>
                    </w:rPr>
                  </w:pPr>
                  <w:r w:rsidRPr="00F04F82">
                    <w:rPr>
                      <w:szCs w:val="22"/>
                    </w:rPr>
                    <w:t>Light blue start button</w:t>
                  </w:r>
                </w:p>
              </w:tc>
            </w:tr>
            <w:tr w:rsidR="00400D30" w:rsidRPr="00F04F82" w14:paraId="03F1D534" w14:textId="77777777" w:rsidTr="00D47253">
              <w:trPr>
                <w:trHeight w:val="1077"/>
              </w:trPr>
              <w:tc>
                <w:tcPr>
                  <w:tcW w:w="1852" w:type="dxa"/>
                </w:tcPr>
                <w:p w14:paraId="14D357A6" w14:textId="77777777" w:rsidR="00400D30" w:rsidRPr="00F04F82" w:rsidRDefault="00400D30" w:rsidP="00D47253">
                  <w:pPr>
                    <w:framePr w:hSpace="141" w:wrap="around" w:vAnchor="text" w:hAnchor="text" w:x="108" w:y="1"/>
                    <w:suppressOverlap/>
                  </w:pPr>
                </w:p>
                <w:p w14:paraId="361C3126" w14:textId="77777777" w:rsidR="00400D30" w:rsidRPr="00F04F82" w:rsidRDefault="00400D30" w:rsidP="00D47253">
                  <w:pPr>
                    <w:framePr w:hSpace="141" w:wrap="around" w:vAnchor="text" w:hAnchor="text" w:x="108" w:y="1"/>
                    <w:suppressOverlap/>
                  </w:pPr>
                </w:p>
                <w:p w14:paraId="33F9745D" w14:textId="243544DE" w:rsidR="00400D30" w:rsidRPr="00F04F82" w:rsidRDefault="00400D30" w:rsidP="00D47253">
                  <w:pPr>
                    <w:framePr w:hSpace="141" w:wrap="around" w:vAnchor="text" w:hAnchor="text" w:x="108" w:y="1"/>
                    <w:suppressOverlap/>
                  </w:pPr>
                </w:p>
              </w:tc>
            </w:tr>
            <w:tr w:rsidR="00400D30" w:rsidRPr="00F04F82" w14:paraId="07EC6725" w14:textId="77777777" w:rsidTr="00D47253">
              <w:trPr>
                <w:trHeight w:val="725"/>
              </w:trPr>
              <w:tc>
                <w:tcPr>
                  <w:tcW w:w="1852" w:type="dxa"/>
                </w:tcPr>
                <w:p w14:paraId="6F8CCEF4" w14:textId="77777777" w:rsidR="00400D30" w:rsidRPr="00F04F82" w:rsidRDefault="00400D30" w:rsidP="00D47253">
                  <w:pPr>
                    <w:framePr w:hSpace="141" w:wrap="around" w:vAnchor="text" w:hAnchor="text" w:x="108" w:y="1"/>
                    <w:suppressOverlap/>
                  </w:pPr>
                  <w:r w:rsidRPr="00F04F82">
                    <w:t>Plunger (may be visible in the window; location may vary)</w:t>
                  </w:r>
                </w:p>
              </w:tc>
            </w:tr>
            <w:tr w:rsidR="00400D30" w:rsidRPr="00F04F82" w14:paraId="42A34BE7" w14:textId="77777777" w:rsidTr="00D47253">
              <w:trPr>
                <w:trHeight w:val="989"/>
              </w:trPr>
              <w:tc>
                <w:tcPr>
                  <w:tcW w:w="1852" w:type="dxa"/>
                </w:tcPr>
                <w:p w14:paraId="6127B565" w14:textId="77777777" w:rsidR="00400D30" w:rsidRPr="00F04F82" w:rsidRDefault="00400D30" w:rsidP="00D47253">
                  <w:pPr>
                    <w:framePr w:hSpace="141" w:wrap="around" w:vAnchor="text" w:hAnchor="text" w:x="108" w:y="1"/>
                    <w:suppressOverlap/>
                  </w:pPr>
                </w:p>
                <w:p w14:paraId="1679B442" w14:textId="77777777" w:rsidR="00400D30" w:rsidRPr="00F04F82" w:rsidRDefault="00400D30" w:rsidP="00D47253">
                  <w:pPr>
                    <w:framePr w:hSpace="141" w:wrap="around" w:vAnchor="text" w:hAnchor="text" w:x="108" w:y="1"/>
                    <w:suppressOverlap/>
                  </w:pPr>
                </w:p>
                <w:p w14:paraId="133DBDB4" w14:textId="6F547782" w:rsidR="00400D30" w:rsidRPr="00F04F82" w:rsidRDefault="00400D30" w:rsidP="00D47253">
                  <w:pPr>
                    <w:framePr w:hSpace="141" w:wrap="around" w:vAnchor="text" w:hAnchor="text" w:x="108" w:y="1"/>
                    <w:suppressOverlap/>
                  </w:pPr>
                </w:p>
              </w:tc>
            </w:tr>
            <w:tr w:rsidR="00400D30" w:rsidRPr="00F04F82" w14:paraId="5A84DAB8" w14:textId="77777777" w:rsidTr="00D47253">
              <w:trPr>
                <w:trHeight w:val="1077"/>
              </w:trPr>
              <w:tc>
                <w:tcPr>
                  <w:tcW w:w="1852" w:type="dxa"/>
                </w:tcPr>
                <w:p w14:paraId="32F7E09C" w14:textId="77777777" w:rsidR="00400D30" w:rsidRPr="00F04F82" w:rsidRDefault="00400D30" w:rsidP="00D47253">
                  <w:pPr>
                    <w:framePr w:hSpace="141" w:wrap="around" w:vAnchor="text" w:hAnchor="text" w:x="108" w:y="1"/>
                    <w:suppressOverlap/>
                  </w:pPr>
                  <w:r w:rsidRPr="00F04F82">
                    <w:t>Medicine</w:t>
                  </w:r>
                </w:p>
                <w:p w14:paraId="68409EDC" w14:textId="77777777" w:rsidR="00400D30" w:rsidRPr="00F04F82" w:rsidRDefault="00400D30" w:rsidP="00D47253">
                  <w:pPr>
                    <w:framePr w:hSpace="141" w:wrap="around" w:vAnchor="text" w:hAnchor="text" w:x="108" w:y="1"/>
                    <w:suppressOverlap/>
                  </w:pPr>
                </w:p>
                <w:p w14:paraId="6E3C7586" w14:textId="45C2D822" w:rsidR="00400D30" w:rsidRPr="00F04F82" w:rsidRDefault="00400D30" w:rsidP="00D47253">
                  <w:pPr>
                    <w:framePr w:hSpace="141" w:wrap="around" w:vAnchor="text" w:hAnchor="text" w:x="108" w:y="1"/>
                    <w:suppressOverlap/>
                  </w:pPr>
                </w:p>
                <w:p w14:paraId="5EEA7042" w14:textId="77777777" w:rsidR="00400D30" w:rsidRPr="00F04F82" w:rsidRDefault="00400D30" w:rsidP="00D47253">
                  <w:pPr>
                    <w:framePr w:hSpace="141" w:wrap="around" w:vAnchor="text" w:hAnchor="text" w:x="108" w:y="1"/>
                    <w:suppressOverlap/>
                  </w:pPr>
                </w:p>
                <w:p w14:paraId="0DA3A886" w14:textId="11E3E107" w:rsidR="00400D30" w:rsidRPr="00F04F82" w:rsidRDefault="00400D30" w:rsidP="00D47253">
                  <w:pPr>
                    <w:framePr w:hSpace="141" w:wrap="around" w:vAnchor="text" w:hAnchor="text" w:x="108" w:y="1"/>
                    <w:suppressOverlap/>
                  </w:pPr>
                </w:p>
              </w:tc>
            </w:tr>
            <w:tr w:rsidR="00400D30" w:rsidRPr="00F04F82" w14:paraId="4869D6DD" w14:textId="77777777" w:rsidTr="00D47253">
              <w:trPr>
                <w:trHeight w:val="568"/>
              </w:trPr>
              <w:tc>
                <w:tcPr>
                  <w:tcW w:w="1852" w:type="dxa"/>
                </w:tcPr>
                <w:p w14:paraId="35C7ADF8" w14:textId="77777777" w:rsidR="00400D30" w:rsidRPr="00F04F82" w:rsidRDefault="00400D30" w:rsidP="00D47253">
                  <w:pPr>
                    <w:framePr w:hSpace="141" w:wrap="around" w:vAnchor="text" w:hAnchor="text" w:x="108" w:y="1"/>
                    <w:suppressOverlap/>
                  </w:pPr>
                  <w:r w:rsidRPr="00F04F82">
                    <w:t>Yellow cap</w:t>
                  </w:r>
                </w:p>
              </w:tc>
            </w:tr>
          </w:tbl>
          <w:p w14:paraId="1F64B8F9" w14:textId="77777777" w:rsidR="00400D30" w:rsidRPr="00F04F82" w:rsidRDefault="00400D30" w:rsidP="00D47253"/>
        </w:tc>
      </w:tr>
    </w:tbl>
    <w:p w14:paraId="36B0E3D8" w14:textId="77777777" w:rsidR="00400D30" w:rsidRPr="00F04F82" w:rsidRDefault="00400D30" w:rsidP="00400D30">
      <w:pPr>
        <w:spacing w:line="240" w:lineRule="auto"/>
        <w:rPr>
          <w:b/>
          <w:bCs/>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Change w:id="5810" w:author="Author">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PrChange>
      </w:tblPr>
      <w:tblGrid>
        <w:gridCol w:w="473"/>
        <w:gridCol w:w="94"/>
        <w:gridCol w:w="8515"/>
        <w:tblGridChange w:id="5811">
          <w:tblGrid>
            <w:gridCol w:w="473"/>
            <w:gridCol w:w="94"/>
            <w:gridCol w:w="8515"/>
          </w:tblGrid>
        </w:tblGridChange>
      </w:tblGrid>
      <w:tr w:rsidR="00A071E4" w:rsidRPr="00F04F82" w14:paraId="16B6B6B8" w14:textId="7438AE91" w:rsidTr="00D55B59">
        <w:trPr>
          <w:cantSplit/>
          <w:trHeight w:val="57"/>
          <w:trPrChange w:id="5812" w:author="Author">
            <w:trPr>
              <w:cantSplit/>
              <w:trHeight w:val="57"/>
            </w:trPr>
          </w:trPrChange>
        </w:trPr>
        <w:tc>
          <w:tcPr>
            <w:tcW w:w="312" w:type="pct"/>
            <w:gridSpan w:val="2"/>
            <w:tcBorders>
              <w:bottom w:val="single" w:sz="4" w:space="0" w:color="auto"/>
              <w:right w:val="single" w:sz="4" w:space="0" w:color="auto"/>
            </w:tcBorders>
            <w:tcMar>
              <w:top w:w="57" w:type="dxa"/>
              <w:left w:w="57" w:type="dxa"/>
              <w:bottom w:w="57" w:type="dxa"/>
              <w:right w:w="57" w:type="dxa"/>
            </w:tcMar>
            <w:tcPrChange w:id="5813" w:author="Author">
              <w:tcPr>
                <w:tcW w:w="312" w:type="pct"/>
                <w:gridSpan w:val="2"/>
                <w:tcBorders>
                  <w:bottom w:val="single" w:sz="4" w:space="0" w:color="auto"/>
                  <w:right w:val="single" w:sz="4" w:space="0" w:color="auto"/>
                </w:tcBorders>
                <w:tcMar>
                  <w:top w:w="57" w:type="dxa"/>
                  <w:left w:w="57" w:type="dxa"/>
                  <w:bottom w:w="57" w:type="dxa"/>
                  <w:right w:w="57" w:type="dxa"/>
                </w:tcMar>
              </w:tcPr>
            </w:tcPrChange>
          </w:tcPr>
          <w:p w14:paraId="3B21B201" w14:textId="52D5DF33" w:rsidR="00A071E4" w:rsidRPr="00F04F82" w:rsidRDefault="00A071E4" w:rsidP="00B61D9D">
            <w:pPr>
              <w:keepNext/>
              <w:spacing w:line="240" w:lineRule="auto"/>
              <w:rPr>
                <w:b/>
                <w:bCs/>
              </w:rPr>
            </w:pPr>
            <w:r w:rsidRPr="00F04F82">
              <w:rPr>
                <w:b/>
                <w:bCs/>
              </w:rPr>
              <w:t>1</w:t>
            </w:r>
          </w:p>
        </w:tc>
        <w:tc>
          <w:tcPr>
            <w:tcW w:w="4688" w:type="pct"/>
            <w:tcBorders>
              <w:left w:val="single" w:sz="4" w:space="0" w:color="auto"/>
              <w:bottom w:val="nil"/>
            </w:tcBorders>
            <w:tcPrChange w:id="5814" w:author="Author">
              <w:tcPr>
                <w:tcW w:w="4688" w:type="pct"/>
                <w:tcBorders>
                  <w:left w:val="single" w:sz="4" w:space="0" w:color="auto"/>
                  <w:bottom w:val="single" w:sz="4" w:space="0" w:color="auto"/>
                </w:tcBorders>
              </w:tcPr>
            </w:tcPrChange>
          </w:tcPr>
          <w:p w14:paraId="3D8DF719" w14:textId="77777777" w:rsidR="00A071E4" w:rsidRPr="00F04F82" w:rsidRDefault="00A071E4" w:rsidP="00B61D9D">
            <w:pPr>
              <w:keepNext/>
              <w:spacing w:line="240" w:lineRule="auto"/>
              <w:rPr>
                <w:b/>
                <w:bCs/>
              </w:rPr>
            </w:pPr>
            <w:r w:rsidRPr="00F04F82">
              <w:rPr>
                <w:b/>
                <w:bCs/>
              </w:rPr>
              <w:t>Important information you need to know before injecting AMGEVITA</w:t>
            </w:r>
          </w:p>
        </w:tc>
      </w:tr>
      <w:tr w:rsidR="00400D30" w:rsidRPr="00F04F82" w:rsidDel="00260801" w14:paraId="5C5B807A" w14:textId="6D30E39C" w:rsidTr="00A071E4">
        <w:trPr>
          <w:gridBefore w:val="1"/>
          <w:cantSplit/>
          <w:trHeight w:val="57"/>
          <w:del w:id="5815" w:author="Author"/>
        </w:trPr>
        <w:tc>
          <w:tcPr>
            <w:tcW w:w="5000" w:type="pct"/>
            <w:gridSpan w:val="2"/>
            <w:tcBorders>
              <w:bottom w:val="nil"/>
            </w:tcBorders>
            <w:tcMar>
              <w:top w:w="57" w:type="dxa"/>
              <w:left w:w="57" w:type="dxa"/>
              <w:bottom w:w="57" w:type="dxa"/>
              <w:right w:w="57" w:type="dxa"/>
            </w:tcMar>
          </w:tcPr>
          <w:p w14:paraId="77A3A771" w14:textId="2DCB5963" w:rsidR="00400D30" w:rsidRPr="00F04F82" w:rsidDel="00260801" w:rsidRDefault="00400D30" w:rsidP="00B61D9D">
            <w:pPr>
              <w:keepNext/>
              <w:spacing w:line="240" w:lineRule="auto"/>
              <w:rPr>
                <w:del w:id="5816" w:author="Author"/>
                <w:b/>
                <w:bCs/>
              </w:rPr>
            </w:pPr>
            <w:del w:id="5817" w:author="Author">
              <w:r w:rsidRPr="00F04F82" w:rsidDel="00260801">
                <w:rPr>
                  <w:b/>
                  <w:bCs/>
                </w:rPr>
                <w:delText>Using your AMGEVITA SureClick pre-filled pen:</w:delText>
              </w:r>
            </w:del>
          </w:p>
        </w:tc>
      </w:tr>
      <w:tr w:rsidR="00400D30" w:rsidRPr="00F04F82" w14:paraId="63C7AB02" w14:textId="77777777" w:rsidTr="00D55B59">
        <w:trPr>
          <w:cantSplit/>
          <w:trHeight w:val="57"/>
          <w:trPrChange w:id="5818" w:author="Author">
            <w:trPr>
              <w:cantSplit/>
              <w:trHeight w:val="57"/>
            </w:trPr>
          </w:trPrChange>
        </w:trPr>
        <w:tc>
          <w:tcPr>
            <w:tcW w:w="312" w:type="pct"/>
            <w:gridSpan w:val="2"/>
            <w:tcBorders>
              <w:top w:val="single" w:sz="4" w:space="0" w:color="auto"/>
              <w:bottom w:val="nil"/>
              <w:right w:val="nil"/>
            </w:tcBorders>
            <w:tcPrChange w:id="5819" w:author="Author">
              <w:tcPr>
                <w:tcW w:w="312" w:type="pct"/>
                <w:gridSpan w:val="2"/>
                <w:tcBorders>
                  <w:top w:val="nil"/>
                  <w:bottom w:val="nil"/>
                  <w:right w:val="nil"/>
                </w:tcBorders>
              </w:tcPr>
            </w:tcPrChange>
          </w:tcPr>
          <w:p w14:paraId="3D5CADD9" w14:textId="1D9E45FE" w:rsidR="00400D30" w:rsidRPr="00F04F82" w:rsidRDefault="009533DC" w:rsidP="00D47253">
            <w:pPr>
              <w:keepNext/>
              <w:numPr>
                <w:ilvl w:val="0"/>
                <w:numId w:val="46"/>
              </w:numPr>
              <w:tabs>
                <w:tab w:val="clear" w:pos="567"/>
              </w:tabs>
              <w:spacing w:line="240" w:lineRule="auto"/>
              <w:ind w:left="567" w:hanging="567"/>
            </w:pPr>
            <w:ins w:id="5820" w:author="Author">
              <w:r w:rsidRPr="00F04F82">
                <w:tab/>
              </w:r>
            </w:ins>
          </w:p>
        </w:tc>
        <w:tc>
          <w:tcPr>
            <w:tcW w:w="4688" w:type="pct"/>
            <w:tcBorders>
              <w:top w:val="single" w:sz="4" w:space="0" w:color="auto"/>
              <w:left w:val="nil"/>
              <w:bottom w:val="nil"/>
            </w:tcBorders>
            <w:tcMar>
              <w:top w:w="57" w:type="dxa"/>
              <w:left w:w="0" w:type="dxa"/>
              <w:bottom w:w="57" w:type="dxa"/>
              <w:right w:w="57" w:type="dxa"/>
            </w:tcMar>
            <w:tcPrChange w:id="5821" w:author="Author">
              <w:tcPr>
                <w:tcW w:w="4688" w:type="pct"/>
                <w:tcBorders>
                  <w:top w:val="nil"/>
                  <w:left w:val="nil"/>
                  <w:bottom w:val="nil"/>
                </w:tcBorders>
                <w:tcMar>
                  <w:top w:w="57" w:type="dxa"/>
                  <w:left w:w="0" w:type="dxa"/>
                  <w:bottom w:w="57" w:type="dxa"/>
                  <w:right w:w="57" w:type="dxa"/>
                </w:tcMar>
              </w:tcPr>
            </w:tcPrChange>
          </w:tcPr>
          <w:p w14:paraId="27863C65" w14:textId="27E90ABC" w:rsidR="00400D30" w:rsidRPr="00F04F82" w:rsidRDefault="00400D30" w:rsidP="00B61D9D">
            <w:pPr>
              <w:keepNext/>
              <w:spacing w:line="240" w:lineRule="auto"/>
              <w:rPr>
                <w:b/>
                <w:bCs/>
              </w:rPr>
            </w:pPr>
            <w:r w:rsidRPr="00F04F82">
              <w:t>It is important that you do not try to give yourself the injection until you have fully read and understood th</w:t>
            </w:r>
            <w:ins w:id="5822" w:author="Author">
              <w:r w:rsidR="00870CEB" w:rsidRPr="00F04F82">
                <w:t>is</w:t>
              </w:r>
            </w:ins>
            <w:del w:id="5823" w:author="Author">
              <w:r w:rsidRPr="00F04F82" w:rsidDel="00870CEB">
                <w:delText>ese</w:delText>
              </w:r>
            </w:del>
            <w:r w:rsidRPr="00F04F82">
              <w:t xml:space="preserve"> </w:t>
            </w:r>
            <w:ins w:id="5824" w:author="Author">
              <w:r w:rsidR="00870CEB" w:rsidRPr="00F04F82">
                <w:t>I</w:t>
              </w:r>
            </w:ins>
            <w:del w:id="5825" w:author="Author">
              <w:r w:rsidRPr="00F04F82" w:rsidDel="00870CEB">
                <w:delText>i</w:delText>
              </w:r>
            </w:del>
            <w:r w:rsidRPr="00F04F82">
              <w:t xml:space="preserve">nstructions for </w:t>
            </w:r>
            <w:ins w:id="5826" w:author="Author">
              <w:r w:rsidR="00870CEB" w:rsidRPr="00F04F82">
                <w:t>U</w:t>
              </w:r>
            </w:ins>
            <w:del w:id="5827" w:author="Author">
              <w:r w:rsidRPr="00F04F82" w:rsidDel="00870CEB">
                <w:delText>u</w:delText>
              </w:r>
            </w:del>
            <w:r w:rsidRPr="00F04F82">
              <w:t>se and unless you have received training from your doctor or healthcare provider.</w:t>
            </w:r>
          </w:p>
        </w:tc>
      </w:tr>
      <w:tr w:rsidR="00400D30" w:rsidRPr="00F04F82" w14:paraId="7262F670" w14:textId="77777777" w:rsidTr="00A071E4">
        <w:trPr>
          <w:cantSplit/>
          <w:trHeight w:val="57"/>
        </w:trPr>
        <w:tc>
          <w:tcPr>
            <w:tcW w:w="312" w:type="pct"/>
            <w:gridSpan w:val="2"/>
            <w:tcBorders>
              <w:top w:val="nil"/>
              <w:bottom w:val="nil"/>
              <w:right w:val="nil"/>
            </w:tcBorders>
          </w:tcPr>
          <w:p w14:paraId="7DF84E07" w14:textId="6466779E" w:rsidR="00400D30" w:rsidRPr="00F04F82" w:rsidRDefault="009533DC" w:rsidP="00D47253">
            <w:pPr>
              <w:keepNext/>
              <w:numPr>
                <w:ilvl w:val="0"/>
                <w:numId w:val="46"/>
              </w:numPr>
              <w:tabs>
                <w:tab w:val="clear" w:pos="567"/>
              </w:tabs>
              <w:spacing w:line="240" w:lineRule="auto"/>
              <w:ind w:left="567" w:hanging="567"/>
            </w:pPr>
            <w:ins w:id="5828" w:author="Author">
              <w:r w:rsidRPr="00F04F82">
                <w:tab/>
              </w:r>
            </w:ins>
          </w:p>
        </w:tc>
        <w:tc>
          <w:tcPr>
            <w:tcW w:w="4688" w:type="pct"/>
            <w:tcBorders>
              <w:top w:val="nil"/>
              <w:left w:val="nil"/>
              <w:bottom w:val="nil"/>
            </w:tcBorders>
            <w:tcMar>
              <w:top w:w="57" w:type="dxa"/>
              <w:left w:w="0" w:type="dxa"/>
              <w:bottom w:w="57" w:type="dxa"/>
              <w:right w:w="57" w:type="dxa"/>
            </w:tcMar>
          </w:tcPr>
          <w:p w14:paraId="39D66EBC" w14:textId="77777777" w:rsidR="00400D30" w:rsidRPr="00F04F82" w:rsidRDefault="00400D30" w:rsidP="00D47253">
            <w:pPr>
              <w:spacing w:line="240" w:lineRule="auto"/>
              <w:rPr>
                <w:b/>
                <w:bCs/>
              </w:rPr>
            </w:pPr>
            <w:r w:rsidRPr="00F04F82">
              <w:rPr>
                <w:b/>
                <w:bCs/>
              </w:rPr>
              <w:t>Do not</w:t>
            </w:r>
            <w:r w:rsidRPr="00F04F82">
              <w:t xml:space="preserve"> use the pre-filled pen if the carton is damaged or seal is broken.</w:t>
            </w:r>
          </w:p>
        </w:tc>
      </w:tr>
      <w:tr w:rsidR="00400D30" w:rsidRPr="00F04F82" w14:paraId="614E709D" w14:textId="77777777" w:rsidTr="00A071E4">
        <w:trPr>
          <w:cantSplit/>
          <w:trHeight w:val="57"/>
        </w:trPr>
        <w:tc>
          <w:tcPr>
            <w:tcW w:w="312" w:type="pct"/>
            <w:gridSpan w:val="2"/>
            <w:tcBorders>
              <w:top w:val="nil"/>
              <w:bottom w:val="nil"/>
              <w:right w:val="nil"/>
            </w:tcBorders>
          </w:tcPr>
          <w:p w14:paraId="59952637" w14:textId="77777777" w:rsidR="00400D30" w:rsidRPr="00F04F82" w:rsidRDefault="00400D30" w:rsidP="00D47253">
            <w:pPr>
              <w:pStyle w:val="ListParagraph"/>
              <w:keepNext/>
              <w:numPr>
                <w:ilvl w:val="0"/>
                <w:numId w:val="45"/>
              </w:numPr>
              <w:tabs>
                <w:tab w:val="left" w:pos="474"/>
                <w:tab w:val="left" w:pos="529"/>
              </w:tabs>
              <w:ind w:left="567" w:hanging="567"/>
              <w:contextualSpacing w:val="0"/>
            </w:pPr>
          </w:p>
        </w:tc>
        <w:tc>
          <w:tcPr>
            <w:tcW w:w="4688" w:type="pct"/>
            <w:tcBorders>
              <w:top w:val="nil"/>
              <w:left w:val="nil"/>
              <w:bottom w:val="nil"/>
            </w:tcBorders>
            <w:tcMar>
              <w:top w:w="57" w:type="dxa"/>
              <w:left w:w="0" w:type="dxa"/>
              <w:bottom w:w="57" w:type="dxa"/>
              <w:right w:w="57" w:type="dxa"/>
            </w:tcMar>
          </w:tcPr>
          <w:p w14:paraId="49E7EBD0" w14:textId="56176E6C" w:rsidR="00400D30" w:rsidRPr="00F04F82" w:rsidRDefault="00400D30" w:rsidP="00D47253">
            <w:pPr>
              <w:spacing w:line="240" w:lineRule="auto"/>
              <w:rPr>
                <w:b/>
                <w:bCs/>
              </w:rPr>
            </w:pPr>
            <w:r w:rsidRPr="00F04F82">
              <w:rPr>
                <w:b/>
                <w:bCs/>
              </w:rPr>
              <w:t>Do not</w:t>
            </w:r>
            <w:r w:rsidRPr="00F04F82">
              <w:t xml:space="preserve"> use the pre-filled pen after the </w:t>
            </w:r>
            <w:r w:rsidR="00AD2E57" w:rsidRPr="00F04F82">
              <w:t>expiry</w:t>
            </w:r>
            <w:r w:rsidRPr="00F04F82">
              <w:t xml:space="preserve"> date on the label.</w:t>
            </w:r>
          </w:p>
        </w:tc>
      </w:tr>
      <w:tr w:rsidR="00400D30" w:rsidRPr="00F04F82" w14:paraId="29A1BAAA" w14:textId="77777777" w:rsidTr="00A071E4">
        <w:trPr>
          <w:cantSplit/>
          <w:trHeight w:val="57"/>
        </w:trPr>
        <w:tc>
          <w:tcPr>
            <w:tcW w:w="312" w:type="pct"/>
            <w:gridSpan w:val="2"/>
            <w:tcBorders>
              <w:top w:val="nil"/>
              <w:bottom w:val="nil"/>
              <w:right w:val="nil"/>
            </w:tcBorders>
          </w:tcPr>
          <w:p w14:paraId="19432003" w14:textId="77777777" w:rsidR="00400D30" w:rsidRPr="00F04F82" w:rsidRDefault="00400D30" w:rsidP="00D47253">
            <w:pPr>
              <w:pStyle w:val="ListParagraph"/>
              <w:keepNext/>
              <w:numPr>
                <w:ilvl w:val="0"/>
                <w:numId w:val="45"/>
              </w:numPr>
              <w:tabs>
                <w:tab w:val="left" w:pos="567"/>
              </w:tabs>
              <w:ind w:left="567" w:hanging="567"/>
              <w:contextualSpacing w:val="0"/>
            </w:pPr>
          </w:p>
        </w:tc>
        <w:tc>
          <w:tcPr>
            <w:tcW w:w="4688" w:type="pct"/>
            <w:tcBorders>
              <w:top w:val="nil"/>
              <w:left w:val="nil"/>
              <w:bottom w:val="nil"/>
            </w:tcBorders>
            <w:tcMar>
              <w:top w:w="57" w:type="dxa"/>
              <w:left w:w="0" w:type="dxa"/>
              <w:bottom w:w="57" w:type="dxa"/>
              <w:right w:w="57" w:type="dxa"/>
            </w:tcMar>
          </w:tcPr>
          <w:p w14:paraId="3F2FD8EC" w14:textId="77777777" w:rsidR="00400D30" w:rsidRPr="00F04F82" w:rsidRDefault="00400D30" w:rsidP="00D47253">
            <w:pPr>
              <w:spacing w:line="240" w:lineRule="auto"/>
              <w:rPr>
                <w:b/>
                <w:bCs/>
              </w:rPr>
            </w:pPr>
            <w:r w:rsidRPr="00F04F82">
              <w:rPr>
                <w:b/>
                <w:bCs/>
              </w:rPr>
              <w:t>Do not</w:t>
            </w:r>
            <w:r w:rsidRPr="00F04F82">
              <w:t xml:space="preserve"> shake the pre-filled pen.</w:t>
            </w:r>
          </w:p>
        </w:tc>
      </w:tr>
      <w:tr w:rsidR="00400D30" w:rsidRPr="00F04F82" w14:paraId="79C7DF7A" w14:textId="77777777" w:rsidTr="00A071E4">
        <w:trPr>
          <w:cantSplit/>
          <w:trHeight w:val="57"/>
        </w:trPr>
        <w:tc>
          <w:tcPr>
            <w:tcW w:w="312" w:type="pct"/>
            <w:gridSpan w:val="2"/>
            <w:tcBorders>
              <w:top w:val="nil"/>
              <w:bottom w:val="nil"/>
              <w:right w:val="nil"/>
            </w:tcBorders>
          </w:tcPr>
          <w:p w14:paraId="3C82D8EF" w14:textId="77777777" w:rsidR="00400D30" w:rsidRPr="00F04F82" w:rsidRDefault="00400D30" w:rsidP="00D47253">
            <w:pPr>
              <w:pStyle w:val="ListParagraph"/>
              <w:keepNext/>
              <w:numPr>
                <w:ilvl w:val="0"/>
                <w:numId w:val="47"/>
              </w:numPr>
              <w:tabs>
                <w:tab w:val="left" w:pos="567"/>
              </w:tabs>
              <w:ind w:left="567" w:hanging="567"/>
              <w:contextualSpacing w:val="0"/>
            </w:pPr>
          </w:p>
        </w:tc>
        <w:tc>
          <w:tcPr>
            <w:tcW w:w="4688" w:type="pct"/>
            <w:tcBorders>
              <w:top w:val="nil"/>
              <w:left w:val="nil"/>
              <w:bottom w:val="nil"/>
            </w:tcBorders>
            <w:tcMar>
              <w:top w:w="57" w:type="dxa"/>
              <w:left w:w="0" w:type="dxa"/>
              <w:bottom w:w="57" w:type="dxa"/>
              <w:right w:w="57" w:type="dxa"/>
            </w:tcMar>
          </w:tcPr>
          <w:p w14:paraId="02C9261D" w14:textId="77777777" w:rsidR="00400D30" w:rsidRPr="00F04F82" w:rsidRDefault="00400D30" w:rsidP="00D47253">
            <w:pPr>
              <w:spacing w:line="240" w:lineRule="auto"/>
            </w:pPr>
            <w:r w:rsidRPr="00F04F82">
              <w:rPr>
                <w:b/>
                <w:bCs/>
              </w:rPr>
              <w:t>Do not</w:t>
            </w:r>
            <w:r w:rsidRPr="00F04F82">
              <w:t xml:space="preserve"> remove the yellow cap from the pre-filled pen until you are ready to inject.</w:t>
            </w:r>
          </w:p>
        </w:tc>
      </w:tr>
      <w:tr w:rsidR="00400D30" w:rsidRPr="00F04F82" w14:paraId="22152CC3" w14:textId="77777777" w:rsidTr="00A071E4">
        <w:trPr>
          <w:cantSplit/>
          <w:trHeight w:val="57"/>
        </w:trPr>
        <w:tc>
          <w:tcPr>
            <w:tcW w:w="312" w:type="pct"/>
            <w:gridSpan w:val="2"/>
            <w:tcBorders>
              <w:top w:val="nil"/>
              <w:bottom w:val="nil"/>
              <w:right w:val="nil"/>
            </w:tcBorders>
          </w:tcPr>
          <w:p w14:paraId="03D54D54" w14:textId="77777777" w:rsidR="00400D30" w:rsidRPr="00F04F82" w:rsidRDefault="00400D30" w:rsidP="00D47253">
            <w:pPr>
              <w:pStyle w:val="ListParagraph"/>
              <w:keepNext/>
              <w:numPr>
                <w:ilvl w:val="0"/>
                <w:numId w:val="47"/>
              </w:numPr>
              <w:tabs>
                <w:tab w:val="left" w:pos="567"/>
              </w:tabs>
              <w:ind w:left="567" w:hanging="567"/>
              <w:contextualSpacing w:val="0"/>
            </w:pPr>
          </w:p>
        </w:tc>
        <w:tc>
          <w:tcPr>
            <w:tcW w:w="4688" w:type="pct"/>
            <w:tcBorders>
              <w:top w:val="nil"/>
              <w:left w:val="nil"/>
              <w:bottom w:val="nil"/>
            </w:tcBorders>
            <w:tcMar>
              <w:top w:w="57" w:type="dxa"/>
              <w:left w:w="0" w:type="dxa"/>
              <w:bottom w:w="57" w:type="dxa"/>
              <w:right w:w="57" w:type="dxa"/>
            </w:tcMar>
          </w:tcPr>
          <w:p w14:paraId="29043941" w14:textId="77777777" w:rsidR="00400D30" w:rsidRPr="00F04F82" w:rsidRDefault="00400D30" w:rsidP="00D47253">
            <w:pPr>
              <w:spacing w:line="240" w:lineRule="auto"/>
            </w:pPr>
            <w:r w:rsidRPr="00F04F82">
              <w:rPr>
                <w:b/>
                <w:bCs/>
              </w:rPr>
              <w:t>Do not</w:t>
            </w:r>
            <w:r w:rsidRPr="00F04F82">
              <w:t xml:space="preserve"> use the </w:t>
            </w:r>
            <w:r w:rsidRPr="00F04F82">
              <w:rPr>
                <w:color w:val="000000"/>
                <w:szCs w:val="22"/>
              </w:rPr>
              <w:t xml:space="preserve">pre-filled </w:t>
            </w:r>
            <w:r w:rsidRPr="00F04F82">
              <w:t>pen if it has been frozen.</w:t>
            </w:r>
          </w:p>
        </w:tc>
      </w:tr>
      <w:tr w:rsidR="00400D30" w:rsidRPr="00F04F82" w14:paraId="24D5D419" w14:textId="77777777" w:rsidTr="00A071E4">
        <w:trPr>
          <w:cantSplit/>
          <w:trHeight w:val="57"/>
        </w:trPr>
        <w:tc>
          <w:tcPr>
            <w:tcW w:w="312" w:type="pct"/>
            <w:gridSpan w:val="2"/>
            <w:tcBorders>
              <w:top w:val="nil"/>
              <w:bottom w:val="nil"/>
              <w:right w:val="nil"/>
            </w:tcBorders>
          </w:tcPr>
          <w:p w14:paraId="2162E685" w14:textId="77777777" w:rsidR="00400D30" w:rsidRPr="00F04F82" w:rsidRDefault="00400D30" w:rsidP="00D47253">
            <w:pPr>
              <w:pStyle w:val="ListParagraph"/>
              <w:keepNext/>
              <w:numPr>
                <w:ilvl w:val="0"/>
                <w:numId w:val="47"/>
              </w:numPr>
              <w:tabs>
                <w:tab w:val="left" w:pos="567"/>
              </w:tabs>
              <w:ind w:left="567" w:hanging="567"/>
              <w:contextualSpacing w:val="0"/>
            </w:pPr>
          </w:p>
        </w:tc>
        <w:tc>
          <w:tcPr>
            <w:tcW w:w="4688" w:type="pct"/>
            <w:tcBorders>
              <w:top w:val="nil"/>
              <w:left w:val="nil"/>
              <w:bottom w:val="nil"/>
            </w:tcBorders>
            <w:tcMar>
              <w:top w:w="57" w:type="dxa"/>
              <w:left w:w="0" w:type="dxa"/>
              <w:bottom w:w="57" w:type="dxa"/>
              <w:right w:w="57" w:type="dxa"/>
            </w:tcMar>
          </w:tcPr>
          <w:p w14:paraId="6A324033" w14:textId="77777777" w:rsidR="00400D30" w:rsidRPr="00F04F82" w:rsidRDefault="00400D30" w:rsidP="00D47253">
            <w:pPr>
              <w:spacing w:line="240" w:lineRule="auto"/>
            </w:pPr>
            <w:r w:rsidRPr="00F04F82">
              <w:rPr>
                <w:b/>
                <w:color w:val="000000"/>
                <w:szCs w:val="22"/>
              </w:rPr>
              <w:t xml:space="preserve">Do not </w:t>
            </w:r>
            <w:r w:rsidRPr="00F04F82">
              <w:rPr>
                <w:color w:val="000000"/>
                <w:szCs w:val="22"/>
              </w:rPr>
              <w:t>use the pre-filled pen if it has been dropped on a hard surface. Part of the pre-filled pen may be broken even if you cannot see the break. Use a new pre-filled pen and call your doctor or healthcare provider.</w:t>
            </w:r>
          </w:p>
        </w:tc>
      </w:tr>
      <w:tr w:rsidR="00400D30" w:rsidRPr="00F04F82" w14:paraId="59185EF8" w14:textId="77777777" w:rsidTr="00A071E4">
        <w:trPr>
          <w:cantSplit/>
          <w:trHeight w:val="57"/>
        </w:trPr>
        <w:tc>
          <w:tcPr>
            <w:tcW w:w="5000" w:type="pct"/>
            <w:gridSpan w:val="3"/>
            <w:tcBorders>
              <w:top w:val="nil"/>
              <w:bottom w:val="single" w:sz="4" w:space="0" w:color="auto"/>
            </w:tcBorders>
          </w:tcPr>
          <w:p w14:paraId="3A368851" w14:textId="5AE2D161" w:rsidR="00400D30" w:rsidRPr="00F04F82" w:rsidRDefault="00D96030" w:rsidP="00D47253">
            <w:pPr>
              <w:spacing w:line="240" w:lineRule="auto"/>
              <w:rPr>
                <w:b/>
                <w:bCs/>
              </w:rPr>
            </w:pPr>
            <w:r>
              <w:pict w14:anchorId="4F8C9A26">
                <v:shape id="_x0000_s2055" type="#_x0000_t202" style="position:absolute;margin-left:3.45pt;margin-top:5pt;width:439.1pt;height:34pt;z-index:2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" strokecolor="red" strokeweight="1.5pt">
                  <v:textbox style="mso-fit-shape-to-text:t">
                    <w:txbxContent>
                      <w:p w14:paraId="1365FB81" w14:textId="1AB257B2" w:rsidR="00D47253" w:rsidRPr="00F04F82" w:rsidRDefault="00D47253" w:rsidP="00400D30">
                        <w:pPr>
                          <w:spacing w:line="240" w:lineRule="auto"/>
                        </w:pPr>
                        <w:r w:rsidRPr="00F04F82">
                          <w:rPr>
                            <w:b/>
                            <w:bCs/>
                          </w:rPr>
                          <w:t>Important:</w:t>
                        </w:r>
                        <w:r w:rsidRPr="00F04F82">
                          <w:t xml:space="preserve"> </w:t>
                        </w:r>
                        <w:r w:rsidRPr="00F04F82">
                          <w:rPr>
                            <w:szCs w:val="22"/>
                          </w:rPr>
                          <w:t xml:space="preserve">Keep the </w:t>
                        </w:r>
                        <w:r w:rsidRPr="00F04F82">
                          <w:rPr>
                            <w:color w:val="000000"/>
                            <w:szCs w:val="22"/>
                          </w:rPr>
                          <w:t>pre-filled pen</w:t>
                        </w:r>
                        <w:r w:rsidRPr="00F04F82">
                          <w:rPr>
                            <w:szCs w:val="22"/>
                          </w:rPr>
                          <w:t xml:space="preserve"> and sharps disposal container out of the sight and reach of children.</w:t>
                        </w:r>
                      </w:p>
                    </w:txbxContent>
                  </v:textbox>
                  <w10:wrap type="square" anchorx="margin"/>
                </v:shape>
              </w:pict>
            </w:r>
          </w:p>
        </w:tc>
      </w:tr>
    </w:tbl>
    <w:p w14:paraId="7F608472" w14:textId="77777777" w:rsidR="00400D30" w:rsidRPr="00F04F82" w:rsidRDefault="00400D30" w:rsidP="00400D30">
      <w:pPr>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3"/>
        <w:gridCol w:w="8517"/>
      </w:tblGrid>
      <w:tr w:rsidR="00A071E4" w:rsidRPr="00F04F82" w14:paraId="2BB6AC38" w14:textId="34B3D18C" w:rsidTr="00B61D9D">
        <w:trPr>
          <w:cantSplit/>
          <w:trHeight w:val="57"/>
        </w:trPr>
        <w:tc>
          <w:tcPr>
            <w:tcW w:w="305" w:type="pct"/>
            <w:tcBorders>
              <w:top w:val="single" w:sz="4" w:space="0" w:color="auto"/>
            </w:tcBorders>
            <w:tcMar>
              <w:top w:w="28" w:type="dxa"/>
              <w:left w:w="57" w:type="dxa"/>
              <w:bottom w:w="28" w:type="dxa"/>
              <w:right w:w="57" w:type="dxa"/>
            </w:tcMar>
          </w:tcPr>
          <w:p w14:paraId="34C604E6" w14:textId="44123872" w:rsidR="00A071E4" w:rsidRPr="00F04F82" w:rsidRDefault="00A071E4" w:rsidP="00C75BDD">
            <w:pPr>
              <w:keepNext/>
              <w:keepLines/>
              <w:spacing w:line="240" w:lineRule="auto"/>
              <w:rPr>
                <w:szCs w:val="22"/>
              </w:rPr>
            </w:pPr>
            <w:r w:rsidRPr="00F04F82">
              <w:rPr>
                <w:b/>
                <w:bCs/>
                <w:szCs w:val="22"/>
              </w:rPr>
              <w:t>2</w:t>
            </w:r>
          </w:p>
        </w:tc>
        <w:tc>
          <w:tcPr>
            <w:tcW w:w="4695" w:type="pct"/>
            <w:tcBorders>
              <w:top w:val="single" w:sz="4" w:space="0" w:color="auto"/>
            </w:tcBorders>
          </w:tcPr>
          <w:p w14:paraId="717AC059" w14:textId="77777777" w:rsidR="00A071E4" w:rsidRPr="00F04F82" w:rsidRDefault="00A071E4" w:rsidP="00C75BDD">
            <w:pPr>
              <w:keepNext/>
              <w:keepLines/>
              <w:spacing w:line="240" w:lineRule="auto"/>
              <w:rPr>
                <w:szCs w:val="22"/>
              </w:rPr>
            </w:pPr>
            <w:r w:rsidRPr="00F04F82">
              <w:rPr>
                <w:b/>
                <w:bCs/>
                <w:szCs w:val="22"/>
              </w:rPr>
              <w:t>Preparing to inject AMGEVITA</w:t>
            </w:r>
          </w:p>
        </w:tc>
      </w:tr>
    </w:tbl>
    <w:p w14:paraId="19F9B0D2" w14:textId="77777777" w:rsidR="00400D30" w:rsidRPr="00F04F82" w:rsidRDefault="00400D30" w:rsidP="00C75BDD">
      <w:pPr>
        <w:keepNext/>
        <w:keepLines/>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3"/>
        <w:gridCol w:w="89"/>
        <w:gridCol w:w="8428"/>
      </w:tblGrid>
      <w:tr w:rsidR="00A071E4" w:rsidRPr="00F04F82" w14:paraId="150BBA72" w14:textId="572F523B" w:rsidTr="00B61D9D">
        <w:trPr>
          <w:cantSplit/>
          <w:trHeight w:val="57"/>
        </w:trPr>
        <w:tc>
          <w:tcPr>
            <w:tcW w:w="305" w:type="pct"/>
            <w:tcBorders>
              <w:bottom w:val="single" w:sz="4" w:space="0" w:color="auto"/>
            </w:tcBorders>
            <w:tcMar>
              <w:top w:w="28" w:type="dxa"/>
              <w:left w:w="57" w:type="dxa"/>
              <w:bottom w:w="28" w:type="dxa"/>
              <w:right w:w="57" w:type="dxa"/>
            </w:tcMar>
          </w:tcPr>
          <w:p w14:paraId="1B011EEA" w14:textId="53076D2A" w:rsidR="00A071E4" w:rsidRPr="00F04F82" w:rsidRDefault="00A071E4" w:rsidP="00D47253">
            <w:pPr>
              <w:keepNext/>
              <w:rPr>
                <w:szCs w:val="22"/>
              </w:rPr>
            </w:pPr>
            <w:r w:rsidRPr="00F04F82">
              <w:rPr>
                <w:b/>
                <w:bCs/>
                <w:szCs w:val="22"/>
              </w:rPr>
              <w:t>2a</w:t>
            </w:r>
          </w:p>
        </w:tc>
        <w:tc>
          <w:tcPr>
            <w:tcW w:w="4695" w:type="pct"/>
            <w:gridSpan w:val="2"/>
            <w:tcBorders>
              <w:bottom w:val="single" w:sz="4" w:space="0" w:color="auto"/>
            </w:tcBorders>
          </w:tcPr>
          <w:p w14:paraId="4D729652" w14:textId="31D84A60" w:rsidR="00A071E4" w:rsidRPr="00F04F82" w:rsidRDefault="00A071E4" w:rsidP="00D55B59">
            <w:pPr>
              <w:keepNext/>
              <w:rPr>
                <w:szCs w:val="22"/>
              </w:rPr>
              <w:pPrChange w:id="5829" w:author="Author">
                <w:pPr>
                  <w:keepNext/>
                  <w:ind w:left="41"/>
                </w:pPr>
              </w:pPrChange>
            </w:pPr>
            <w:r w:rsidRPr="00F04F82">
              <w:rPr>
                <w:b/>
                <w:bCs/>
                <w:szCs w:val="22"/>
              </w:rPr>
              <w:t>Wait</w:t>
            </w:r>
            <w:ins w:id="5830" w:author="Author">
              <w:r w:rsidR="00646FB2" w:rsidRPr="00F04F82">
                <w:rPr>
                  <w:b/>
                  <w:bCs/>
                  <w:szCs w:val="22"/>
                </w:rPr>
                <w:t xml:space="preserve"> 15 to</w:t>
              </w:r>
            </w:ins>
            <w:r w:rsidRPr="00F04F82">
              <w:rPr>
                <w:b/>
                <w:bCs/>
                <w:szCs w:val="22"/>
              </w:rPr>
              <w:t xml:space="preserve"> 30 minutes for the pre-filled pen to reach room temperature.</w:t>
            </w:r>
          </w:p>
        </w:tc>
      </w:tr>
      <w:tr w:rsidR="00400D30" w:rsidRPr="00F04F82" w14:paraId="05C9AF68" w14:textId="77777777" w:rsidTr="00A071E4">
        <w:trPr>
          <w:cantSplit/>
          <w:trHeight w:val="57"/>
        </w:trPr>
        <w:tc>
          <w:tcPr>
            <w:tcW w:w="5000" w:type="pct"/>
            <w:gridSpan w:val="3"/>
            <w:tcBorders>
              <w:bottom w:val="single" w:sz="4" w:space="0" w:color="auto"/>
            </w:tcBorders>
            <w:tcMar>
              <w:top w:w="28" w:type="dxa"/>
              <w:left w:w="57" w:type="dxa"/>
              <w:bottom w:w="28" w:type="dxa"/>
              <w:right w:w="57" w:type="dxa"/>
            </w:tcMar>
          </w:tcPr>
          <w:p w14:paraId="7DFC6D2B" w14:textId="77777777" w:rsidR="00400D30" w:rsidRPr="00F04F82" w:rsidRDefault="00400D30" w:rsidP="00D47253">
            <w:pPr>
              <w:spacing w:line="240" w:lineRule="auto"/>
              <w:jc w:val="center"/>
              <w:rPr>
                <w:b/>
                <w:bCs/>
                <w:sz w:val="36"/>
                <w:szCs w:val="36"/>
              </w:rPr>
            </w:pPr>
          </w:p>
          <w:p w14:paraId="57F50EF1" w14:textId="77777777" w:rsidR="00400D30" w:rsidRPr="00F04F82" w:rsidRDefault="00400D30" w:rsidP="00D47253">
            <w:pPr>
              <w:spacing w:line="240" w:lineRule="auto"/>
              <w:jc w:val="center"/>
              <w:rPr>
                <w:b/>
                <w:bCs/>
                <w:sz w:val="36"/>
                <w:szCs w:val="36"/>
              </w:rPr>
            </w:pPr>
            <w:r w:rsidRPr="00F04F82">
              <w:rPr>
                <w:b/>
                <w:bCs/>
                <w:sz w:val="36"/>
                <w:szCs w:val="36"/>
              </w:rPr>
              <w:t>WAIT</w:t>
            </w:r>
          </w:p>
          <w:p w14:paraId="6F4B2B5C" w14:textId="3344C9D5" w:rsidR="00400D30" w:rsidRPr="00F04F82" w:rsidRDefault="0064505B" w:rsidP="00D47253">
            <w:pPr>
              <w:spacing w:line="240" w:lineRule="auto"/>
              <w:jc w:val="center"/>
              <w:rPr>
                <w:b/>
                <w:bCs/>
                <w:sz w:val="36"/>
                <w:szCs w:val="36"/>
              </w:rPr>
            </w:pPr>
            <w:ins w:id="5831" w:author="Author">
              <w:r w:rsidRPr="00F04F82">
                <w:rPr>
                  <w:b/>
                  <w:bCs/>
                  <w:sz w:val="36"/>
                  <w:szCs w:val="36"/>
                </w:rPr>
                <w:t xml:space="preserve">15 to </w:t>
              </w:r>
            </w:ins>
            <w:r w:rsidR="00400D30" w:rsidRPr="00F04F82">
              <w:rPr>
                <w:b/>
                <w:bCs/>
                <w:sz w:val="36"/>
                <w:szCs w:val="36"/>
              </w:rPr>
              <w:t>30</w:t>
            </w:r>
          </w:p>
          <w:p w14:paraId="31CB5345" w14:textId="77777777" w:rsidR="00400D30" w:rsidRPr="00F04F82" w:rsidRDefault="00400D30" w:rsidP="00D47253">
            <w:pPr>
              <w:spacing w:line="240" w:lineRule="auto"/>
              <w:jc w:val="center"/>
              <w:rPr>
                <w:b/>
                <w:bCs/>
                <w:sz w:val="36"/>
                <w:szCs w:val="36"/>
              </w:rPr>
            </w:pPr>
            <w:r w:rsidRPr="00F04F82">
              <w:rPr>
                <w:b/>
                <w:bCs/>
                <w:sz w:val="36"/>
                <w:szCs w:val="36"/>
              </w:rPr>
              <w:t>minutes</w:t>
            </w:r>
          </w:p>
          <w:p w14:paraId="604658CE" w14:textId="77777777" w:rsidR="00400D30" w:rsidRPr="00F04F82" w:rsidDel="008F7FF1" w:rsidRDefault="00400D30" w:rsidP="00D47253">
            <w:pPr>
              <w:pStyle w:val="ListParagraph"/>
              <w:ind w:left="567" w:hanging="567"/>
              <w:rPr>
                <w:b/>
                <w:bCs/>
              </w:rPr>
            </w:pPr>
          </w:p>
        </w:tc>
      </w:tr>
      <w:tr w:rsidR="00400D30" w:rsidRPr="00F04F82" w14:paraId="07AA8389" w14:textId="77777777" w:rsidTr="00A071E4">
        <w:trPr>
          <w:cantSplit/>
          <w:trHeight w:val="471"/>
        </w:trPr>
        <w:tc>
          <w:tcPr>
            <w:tcW w:w="354" w:type="pct"/>
            <w:gridSpan w:val="2"/>
            <w:tcBorders>
              <w:top w:val="nil"/>
              <w:bottom w:val="nil"/>
              <w:right w:val="nil"/>
            </w:tcBorders>
            <w:tcMar>
              <w:top w:w="28" w:type="dxa"/>
              <w:left w:w="57" w:type="dxa"/>
              <w:bottom w:w="28" w:type="dxa"/>
              <w:right w:w="57" w:type="dxa"/>
            </w:tcMar>
          </w:tcPr>
          <w:p w14:paraId="255AD0B8" w14:textId="77777777" w:rsidR="00400D30" w:rsidRPr="00F04F82" w:rsidRDefault="00400D30" w:rsidP="00D47253">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2805F591" w14:textId="77777777" w:rsidR="00400D30" w:rsidRPr="00D55B59" w:rsidRDefault="00400D30" w:rsidP="00D47253">
            <w:pPr>
              <w:pStyle w:val="ListBullets"/>
              <w:numPr>
                <w:ilvl w:val="0"/>
                <w:numId w:val="0"/>
              </w:numPr>
              <w:spacing w:after="0"/>
              <w:contextualSpacing w:val="0"/>
              <w:rPr>
                <w:szCs w:val="22"/>
                <w:lang w:val="en-GB"/>
                <w:rPrChange w:id="5832" w:author="Author">
                  <w:rPr>
                    <w:szCs w:val="22"/>
                  </w:rPr>
                </w:rPrChange>
              </w:rPr>
            </w:pPr>
            <w:r w:rsidRPr="00D55B59">
              <w:rPr>
                <w:rFonts w:ascii="Times New Roman" w:hAnsi="Times New Roman" w:cs="Times New Roman"/>
                <w:sz w:val="22"/>
                <w:szCs w:val="22"/>
                <w:lang w:val="en-GB"/>
                <w:rPrChange w:id="5833" w:author="Author">
                  <w:rPr>
                    <w:rFonts w:ascii="Times New Roman" w:hAnsi="Times New Roman" w:cs="Times New Roman"/>
                    <w:sz w:val="22"/>
                    <w:szCs w:val="22"/>
                  </w:rPr>
                </w:rPrChange>
              </w:rPr>
              <w:t>Remove the number of pre-filled pens you need for your injection and put any unused pre-filled pens back into the refrigerator.</w:t>
            </w:r>
          </w:p>
        </w:tc>
      </w:tr>
      <w:tr w:rsidR="00400D30" w:rsidRPr="00F04F82" w14:paraId="15921684" w14:textId="77777777" w:rsidTr="00A071E4">
        <w:trPr>
          <w:cantSplit/>
          <w:trHeight w:val="57"/>
        </w:trPr>
        <w:tc>
          <w:tcPr>
            <w:tcW w:w="354" w:type="pct"/>
            <w:gridSpan w:val="2"/>
            <w:tcBorders>
              <w:top w:val="nil"/>
              <w:bottom w:val="nil"/>
              <w:right w:val="nil"/>
            </w:tcBorders>
            <w:tcMar>
              <w:top w:w="28" w:type="dxa"/>
              <w:left w:w="57" w:type="dxa"/>
              <w:bottom w:w="28" w:type="dxa"/>
              <w:right w:w="57" w:type="dxa"/>
            </w:tcMar>
          </w:tcPr>
          <w:p w14:paraId="3384D9AA" w14:textId="77777777" w:rsidR="00400D30" w:rsidRPr="00F04F82" w:rsidRDefault="00400D30" w:rsidP="00D47253">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0A9F1FC2" w14:textId="77777777" w:rsidR="00400D30" w:rsidRPr="00F04F82" w:rsidRDefault="00400D30" w:rsidP="00D47253">
            <w:pPr>
              <w:spacing w:line="240" w:lineRule="auto"/>
              <w:rPr>
                <w:b/>
                <w:bCs/>
              </w:rPr>
            </w:pPr>
            <w:r w:rsidRPr="00F04F82">
              <w:rPr>
                <w:szCs w:val="22"/>
              </w:rPr>
              <w:t xml:space="preserve">Let the </w:t>
            </w:r>
            <w:r w:rsidRPr="00F04F82">
              <w:rPr>
                <w:color w:val="000000"/>
                <w:szCs w:val="22"/>
              </w:rPr>
              <w:t xml:space="preserve">pre-filled </w:t>
            </w:r>
            <w:r w:rsidRPr="00F04F82">
              <w:rPr>
                <w:szCs w:val="22"/>
              </w:rPr>
              <w:t>pen warm up naturally.</w:t>
            </w:r>
          </w:p>
        </w:tc>
      </w:tr>
      <w:tr w:rsidR="00400D30" w:rsidRPr="00F04F82" w14:paraId="7F16BD10" w14:textId="77777777" w:rsidTr="00A071E4">
        <w:trPr>
          <w:cantSplit/>
          <w:trHeight w:val="57"/>
        </w:trPr>
        <w:tc>
          <w:tcPr>
            <w:tcW w:w="354" w:type="pct"/>
            <w:gridSpan w:val="2"/>
            <w:tcBorders>
              <w:top w:val="nil"/>
              <w:bottom w:val="nil"/>
              <w:right w:val="nil"/>
            </w:tcBorders>
            <w:tcMar>
              <w:top w:w="28" w:type="dxa"/>
              <w:left w:w="57" w:type="dxa"/>
              <w:bottom w:w="28" w:type="dxa"/>
              <w:right w:w="57" w:type="dxa"/>
            </w:tcMar>
          </w:tcPr>
          <w:p w14:paraId="207692E8" w14:textId="77777777" w:rsidR="00400D30" w:rsidRPr="00F04F82" w:rsidRDefault="00400D30" w:rsidP="00D47253">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7FEE96A9" w14:textId="53D752DC" w:rsidR="00400D30" w:rsidRPr="00F04F82" w:rsidRDefault="00400D30" w:rsidP="00D47253">
            <w:pPr>
              <w:spacing w:line="240" w:lineRule="auto"/>
            </w:pPr>
            <w:r w:rsidRPr="00F04F82">
              <w:rPr>
                <w:b/>
                <w:bCs/>
                <w:szCs w:val="22"/>
              </w:rPr>
              <w:t>Do not</w:t>
            </w:r>
            <w:r w:rsidRPr="00F04F82">
              <w:rPr>
                <w:szCs w:val="22"/>
              </w:rPr>
              <w:t xml:space="preserve"> heat</w:t>
            </w:r>
            <w:ins w:id="5834" w:author="Author">
              <w:r w:rsidR="002C1DA0" w:rsidRPr="00F04F82">
                <w:rPr>
                  <w:szCs w:val="22"/>
                </w:rPr>
                <w:t xml:space="preserve"> the pre-filled pen</w:t>
              </w:r>
            </w:ins>
            <w:r w:rsidRPr="00F04F82">
              <w:rPr>
                <w:szCs w:val="22"/>
              </w:rPr>
              <w:t xml:space="preserve"> with hot water, a microwave, or direct sunlight.</w:t>
            </w:r>
          </w:p>
        </w:tc>
      </w:tr>
      <w:tr w:rsidR="00400D30" w:rsidRPr="00F04F82" w14:paraId="79154DCA" w14:textId="77777777" w:rsidTr="00A071E4">
        <w:trPr>
          <w:cantSplit/>
          <w:trHeight w:val="57"/>
        </w:trPr>
        <w:tc>
          <w:tcPr>
            <w:tcW w:w="354" w:type="pct"/>
            <w:gridSpan w:val="2"/>
            <w:tcBorders>
              <w:top w:val="nil"/>
              <w:bottom w:val="nil"/>
              <w:right w:val="nil"/>
            </w:tcBorders>
            <w:tcMar>
              <w:top w:w="28" w:type="dxa"/>
              <w:left w:w="57" w:type="dxa"/>
              <w:bottom w:w="28" w:type="dxa"/>
              <w:right w:w="57" w:type="dxa"/>
            </w:tcMar>
          </w:tcPr>
          <w:p w14:paraId="26600FC4" w14:textId="77777777" w:rsidR="00400D30" w:rsidRPr="00F04F82" w:rsidRDefault="00400D30" w:rsidP="00D47253">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4E499CE8" w14:textId="77777777" w:rsidR="00400D30" w:rsidRPr="00F04F82" w:rsidRDefault="00400D30" w:rsidP="00D47253">
            <w:pPr>
              <w:spacing w:line="240" w:lineRule="auto"/>
            </w:pPr>
            <w:r w:rsidRPr="00F04F82">
              <w:rPr>
                <w:b/>
                <w:bCs/>
                <w:szCs w:val="22"/>
              </w:rPr>
              <w:t>Do not</w:t>
            </w:r>
            <w:r w:rsidRPr="00F04F82">
              <w:rPr>
                <w:szCs w:val="22"/>
              </w:rPr>
              <w:t xml:space="preserve"> shake the </w:t>
            </w:r>
            <w:r w:rsidRPr="00F04F82">
              <w:rPr>
                <w:color w:val="000000"/>
                <w:szCs w:val="22"/>
              </w:rPr>
              <w:t>pre-filled pen</w:t>
            </w:r>
            <w:r w:rsidRPr="00F04F82">
              <w:rPr>
                <w:szCs w:val="22"/>
              </w:rPr>
              <w:t xml:space="preserve"> at any time.</w:t>
            </w:r>
          </w:p>
        </w:tc>
      </w:tr>
      <w:tr w:rsidR="00BB2E06" w:rsidRPr="00F04F82" w14:paraId="5F625BF8" w14:textId="77777777" w:rsidTr="00A071E4">
        <w:trPr>
          <w:cantSplit/>
          <w:trHeight w:val="57"/>
        </w:trPr>
        <w:tc>
          <w:tcPr>
            <w:tcW w:w="354" w:type="pct"/>
            <w:gridSpan w:val="2"/>
            <w:tcBorders>
              <w:top w:val="nil"/>
              <w:bottom w:val="nil"/>
              <w:right w:val="nil"/>
            </w:tcBorders>
            <w:tcMar>
              <w:top w:w="28" w:type="dxa"/>
              <w:left w:w="57" w:type="dxa"/>
              <w:bottom w:w="28" w:type="dxa"/>
              <w:right w:w="57" w:type="dxa"/>
            </w:tcMar>
          </w:tcPr>
          <w:p w14:paraId="0ED26CB1" w14:textId="77777777" w:rsidR="00BB2E06" w:rsidRPr="00F04F82" w:rsidRDefault="00BB2E06" w:rsidP="00BB2E06">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39A08D88" w14:textId="43C20EB1" w:rsidR="00BB2E06" w:rsidRPr="00F04F82" w:rsidRDefault="00BB2E06" w:rsidP="00BB2E06">
            <w:pPr>
              <w:spacing w:line="240" w:lineRule="auto"/>
              <w:rPr>
                <w:b/>
                <w:bCs/>
                <w:szCs w:val="22"/>
              </w:rPr>
            </w:pPr>
            <w:r w:rsidRPr="00F04F82">
              <w:rPr>
                <w:b/>
                <w:bCs/>
                <w:szCs w:val="22"/>
              </w:rPr>
              <w:t xml:space="preserve">Do not </w:t>
            </w:r>
            <w:r w:rsidRPr="00F04F82">
              <w:rPr>
                <w:szCs w:val="22"/>
              </w:rPr>
              <w:t xml:space="preserve">place </w:t>
            </w:r>
            <w:ins w:id="5835" w:author="Author">
              <w:r w:rsidR="003939EA">
                <w:rPr>
                  <w:szCs w:val="22"/>
                </w:rPr>
                <w:t xml:space="preserve">the </w:t>
              </w:r>
            </w:ins>
            <w:r w:rsidRPr="00F04F82">
              <w:rPr>
                <w:szCs w:val="22"/>
              </w:rPr>
              <w:t>pre-filled pen back in refrigerator after it has reached room temperature</w:t>
            </w:r>
            <w:ins w:id="5836" w:author="Author">
              <w:r w:rsidR="00320B9F" w:rsidRPr="00F04F82">
                <w:rPr>
                  <w:szCs w:val="22"/>
                </w:rPr>
                <w:t>.</w:t>
              </w:r>
            </w:ins>
          </w:p>
        </w:tc>
      </w:tr>
      <w:tr w:rsidR="00BB2E06" w:rsidRPr="00F04F82" w14:paraId="79F7EDFA" w14:textId="77777777" w:rsidTr="00A071E4">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41563299" w14:textId="370D9510" w:rsidR="00BB2E06" w:rsidRPr="00F04F82" w:rsidRDefault="00BB2E06" w:rsidP="00BB2E06">
            <w:pPr>
              <w:numPr>
                <w:ilvl w:val="0"/>
                <w:numId w:val="46"/>
              </w:numPr>
              <w:tabs>
                <w:tab w:val="clear" w:pos="567"/>
              </w:tabs>
              <w:spacing w:line="240" w:lineRule="auto"/>
              <w:ind w:left="567" w:hanging="567"/>
            </w:pPr>
          </w:p>
        </w:tc>
        <w:tc>
          <w:tcPr>
            <w:tcW w:w="4646" w:type="pct"/>
            <w:tcBorders>
              <w:top w:val="nil"/>
              <w:left w:val="nil"/>
              <w:bottom w:val="single" w:sz="4" w:space="0" w:color="auto"/>
            </w:tcBorders>
            <w:tcMar>
              <w:left w:w="0" w:type="dxa"/>
            </w:tcMar>
          </w:tcPr>
          <w:p w14:paraId="02AB2004" w14:textId="0CC64F20" w:rsidR="00BB2E06" w:rsidRPr="00F04F82" w:rsidRDefault="00BB2E06" w:rsidP="00B61D9D">
            <w:pPr>
              <w:pStyle w:val="ListParagraph"/>
              <w:ind w:left="0"/>
            </w:pPr>
            <w:r w:rsidRPr="00F04F82">
              <w:rPr>
                <w:sz w:val="22"/>
                <w:szCs w:val="22"/>
              </w:rPr>
              <w:t xml:space="preserve">Using the </w:t>
            </w:r>
            <w:r w:rsidRPr="00F04F82">
              <w:rPr>
                <w:color w:val="000000"/>
                <w:sz w:val="22"/>
                <w:szCs w:val="22"/>
              </w:rPr>
              <w:t>pre-filled pen</w:t>
            </w:r>
            <w:r w:rsidRPr="00F04F82">
              <w:rPr>
                <w:sz w:val="22"/>
                <w:szCs w:val="22"/>
              </w:rPr>
              <w:t xml:space="preserve"> at room temperature</w:t>
            </w:r>
            <w:ins w:id="5837" w:author="Author">
              <w:r w:rsidR="000B154D" w:rsidRPr="00F04F82">
                <w:rPr>
                  <w:sz w:val="22"/>
                  <w:szCs w:val="22"/>
                </w:rPr>
                <w:t xml:space="preserve"> makes sure the full dose is delivered and</w:t>
              </w:r>
            </w:ins>
            <w:r w:rsidRPr="00F04F82">
              <w:rPr>
                <w:sz w:val="22"/>
                <w:szCs w:val="22"/>
              </w:rPr>
              <w:t xml:space="preserve"> allows for a more comfortable injection</w:t>
            </w:r>
            <w:r w:rsidRPr="00D55B59">
              <w:rPr>
                <w:sz w:val="22"/>
                <w:szCs w:val="22"/>
                <w:rPrChange w:id="5838" w:author="Author">
                  <w:rPr>
                    <w:b/>
                    <w:bCs/>
                    <w:sz w:val="22"/>
                    <w:szCs w:val="22"/>
                  </w:rPr>
                </w:rPrChange>
              </w:rPr>
              <w:t>.</w:t>
            </w:r>
            <w:r w:rsidRPr="00F04F82">
              <w:rPr>
                <w:b/>
                <w:bCs/>
                <w:sz w:val="22"/>
                <w:szCs w:val="22"/>
              </w:rPr>
              <w:t xml:space="preserve"> </w:t>
            </w:r>
          </w:p>
        </w:tc>
      </w:tr>
    </w:tbl>
    <w:p w14:paraId="37717653" w14:textId="77777777" w:rsidR="00400D30" w:rsidRPr="00F04F82" w:rsidRDefault="00400D30" w:rsidP="00400D30">
      <w:pPr>
        <w:spacing w:line="240" w:lineRule="auto"/>
        <w:rPr>
          <w:b/>
          <w:bCs/>
        </w:rPr>
      </w:pPr>
    </w:p>
    <w:tbl>
      <w:tblPr>
        <w:tblW w:w="4918"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5839" w:author="Author">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658"/>
        <w:gridCol w:w="4021"/>
        <w:gridCol w:w="4406"/>
        <w:tblGridChange w:id="5840">
          <w:tblGrid>
            <w:gridCol w:w="392"/>
            <w:gridCol w:w="203"/>
            <w:gridCol w:w="63"/>
            <w:gridCol w:w="271"/>
            <w:gridCol w:w="107"/>
            <w:gridCol w:w="203"/>
            <w:gridCol w:w="3817"/>
            <w:gridCol w:w="4029"/>
            <w:gridCol w:w="377"/>
            <w:gridCol w:w="203"/>
          </w:tblGrid>
        </w:tblGridChange>
      </w:tblGrid>
      <w:tr w:rsidR="00A071E4" w:rsidRPr="00F04F82" w14:paraId="6253AC7E" w14:textId="0F114DF7" w:rsidTr="00D55B59">
        <w:trPr>
          <w:cantSplit/>
          <w:trHeight w:val="382"/>
          <w:trPrChange w:id="5841" w:author="Author">
            <w:trPr>
              <w:gridBefore w:val="1"/>
              <w:gridAfter w:val="0"/>
              <w:cantSplit/>
              <w:trHeight w:val="382"/>
            </w:trPr>
          </w:trPrChange>
        </w:trPr>
        <w:tc>
          <w:tcPr>
            <w:tcW w:w="362" w:type="pct"/>
            <w:tcBorders>
              <w:bottom w:val="nil"/>
            </w:tcBorders>
            <w:tcMar>
              <w:top w:w="28" w:type="dxa"/>
              <w:left w:w="57" w:type="dxa"/>
              <w:bottom w:w="28" w:type="dxa"/>
              <w:right w:w="57" w:type="dxa"/>
            </w:tcMar>
            <w:tcPrChange w:id="5842" w:author="Author">
              <w:tcPr>
                <w:tcW w:w="355" w:type="pct"/>
                <w:gridSpan w:val="4"/>
                <w:tcBorders>
                  <w:bottom w:val="nil"/>
                </w:tcBorders>
                <w:tcMar>
                  <w:top w:w="28" w:type="dxa"/>
                  <w:left w:w="57" w:type="dxa"/>
                  <w:bottom w:w="28" w:type="dxa"/>
                  <w:right w:w="57" w:type="dxa"/>
                </w:tcMar>
              </w:tcPr>
            </w:tcPrChange>
          </w:tcPr>
          <w:p w14:paraId="0AEA8742" w14:textId="66D554E8" w:rsidR="00A071E4" w:rsidRPr="00F04F82" w:rsidRDefault="00A071E4" w:rsidP="00B61D9D">
            <w:pPr>
              <w:keepNext/>
            </w:pPr>
            <w:r w:rsidRPr="00F04F82">
              <w:rPr>
                <w:b/>
                <w:bCs/>
              </w:rPr>
              <w:t>2b</w:t>
            </w:r>
          </w:p>
        </w:tc>
        <w:tc>
          <w:tcPr>
            <w:tcW w:w="4638" w:type="pct"/>
            <w:gridSpan w:val="2"/>
            <w:tcBorders>
              <w:bottom w:val="nil"/>
            </w:tcBorders>
            <w:tcPrChange w:id="5843" w:author="Author">
              <w:tcPr>
                <w:tcW w:w="4645" w:type="pct"/>
                <w:gridSpan w:val="4"/>
                <w:tcBorders>
                  <w:bottom w:val="nil"/>
                </w:tcBorders>
              </w:tcPr>
            </w:tcPrChange>
          </w:tcPr>
          <w:p w14:paraId="25E8A5A5" w14:textId="21273E25" w:rsidR="00A071E4" w:rsidRPr="00F04F82" w:rsidRDefault="00A071E4" w:rsidP="00B61D9D">
            <w:pPr>
              <w:keepNext/>
            </w:pPr>
            <w:r w:rsidRPr="00F04F82">
              <w:rPr>
                <w:b/>
                <w:bCs/>
                <w:szCs w:val="22"/>
              </w:rPr>
              <w:t>Inspect the medicine. It should be clear and colourless to slightly yellow.</w:t>
            </w:r>
          </w:p>
        </w:tc>
      </w:tr>
      <w:tr w:rsidR="00400D30" w:rsidRPr="00F04F82" w14:paraId="5BD7B53D" w14:textId="77777777" w:rsidTr="00D55B59">
        <w:trPr>
          <w:cantSplit/>
          <w:trHeight w:val="2460"/>
          <w:trPrChange w:id="5844" w:author="Author">
            <w:trPr>
              <w:gridBefore w:val="1"/>
              <w:gridAfter w:val="0"/>
              <w:cantSplit/>
              <w:trHeight w:val="2460"/>
            </w:trPr>
          </w:trPrChange>
        </w:trPr>
        <w:tc>
          <w:tcPr>
            <w:tcW w:w="362" w:type="pct"/>
            <w:tcBorders>
              <w:bottom w:val="nil"/>
              <w:right w:val="nil"/>
            </w:tcBorders>
            <w:tcMar>
              <w:top w:w="28" w:type="dxa"/>
              <w:left w:w="57" w:type="dxa"/>
              <w:bottom w:w="28" w:type="dxa"/>
              <w:right w:w="57" w:type="dxa"/>
            </w:tcMar>
            <w:tcPrChange w:id="5845" w:author="Author">
              <w:tcPr>
                <w:tcW w:w="355" w:type="pct"/>
                <w:gridSpan w:val="4"/>
                <w:tcBorders>
                  <w:bottom w:val="nil"/>
                  <w:right w:val="nil"/>
                </w:tcBorders>
                <w:tcMar>
                  <w:top w:w="28" w:type="dxa"/>
                  <w:left w:w="57" w:type="dxa"/>
                  <w:bottom w:w="28" w:type="dxa"/>
                  <w:right w:w="57" w:type="dxa"/>
                </w:tcMar>
              </w:tcPr>
            </w:tcPrChange>
          </w:tcPr>
          <w:p w14:paraId="3F0D3C7C" w14:textId="77777777" w:rsidR="00400D30" w:rsidRPr="00F04F82" w:rsidRDefault="00400D30" w:rsidP="00D47253">
            <w:pPr>
              <w:keepNext/>
              <w:rPr>
                <w:b/>
                <w:bCs/>
              </w:rPr>
            </w:pPr>
          </w:p>
        </w:tc>
        <w:tc>
          <w:tcPr>
            <w:tcW w:w="2213" w:type="pct"/>
            <w:tcBorders>
              <w:top w:val="single" w:sz="4" w:space="0" w:color="auto"/>
              <w:left w:val="nil"/>
              <w:bottom w:val="nil"/>
              <w:right w:val="nil"/>
            </w:tcBorders>
            <w:tcMar>
              <w:top w:w="28" w:type="dxa"/>
              <w:left w:w="57" w:type="dxa"/>
              <w:bottom w:w="28" w:type="dxa"/>
              <w:right w:w="57" w:type="dxa"/>
            </w:tcMar>
            <w:tcPrChange w:id="5846" w:author="Author">
              <w:tcPr>
                <w:tcW w:w="2216" w:type="pct"/>
                <w:gridSpan w:val="2"/>
                <w:tcBorders>
                  <w:top w:val="single" w:sz="4" w:space="0" w:color="auto"/>
                  <w:left w:val="nil"/>
                  <w:bottom w:val="nil"/>
                  <w:right w:val="nil"/>
                </w:tcBorders>
                <w:tcMar>
                  <w:top w:w="28" w:type="dxa"/>
                  <w:left w:w="57" w:type="dxa"/>
                  <w:bottom w:w="28" w:type="dxa"/>
                  <w:right w:w="57" w:type="dxa"/>
                </w:tcMar>
              </w:tcPr>
            </w:tcPrChange>
          </w:tcPr>
          <w:p w14:paraId="79D62B4C" w14:textId="258B7E4E" w:rsidR="00400D30" w:rsidRPr="00F04F82" w:rsidRDefault="00D96030" w:rsidP="00D47253">
            <w:pPr>
              <w:pStyle w:val="ListParagraph"/>
              <w:ind w:left="567" w:hanging="567"/>
              <w:rPr>
                <w:b/>
                <w:bCs/>
                <w:sz w:val="22"/>
                <w:szCs w:val="22"/>
              </w:rPr>
            </w:pPr>
            <w:r>
              <w:rPr>
                <w:b/>
                <w:sz w:val="22"/>
                <w:szCs w:val="22"/>
              </w:rPr>
              <w:pict w14:anchorId="7BA9102A">
                <v:shape id="_x0000_i1101" type="#_x0000_t75" style="width:195.5pt;height:113pt;visibility:visible;mso-wrap-style:square">
                  <v:imagedata r:id="rId98" o:title=""/>
                </v:shape>
              </w:pict>
            </w:r>
          </w:p>
        </w:tc>
        <w:tc>
          <w:tcPr>
            <w:tcW w:w="2425" w:type="pct"/>
            <w:tcBorders>
              <w:top w:val="single" w:sz="4" w:space="0" w:color="auto"/>
              <w:left w:val="nil"/>
              <w:bottom w:val="nil"/>
              <w:right w:val="single" w:sz="4" w:space="0" w:color="auto"/>
            </w:tcBorders>
            <w:tcPrChange w:id="5847" w:author="Author">
              <w:tcPr>
                <w:tcW w:w="2429" w:type="pct"/>
                <w:gridSpan w:val="2"/>
                <w:tcBorders>
                  <w:top w:val="single" w:sz="4" w:space="0" w:color="auto"/>
                  <w:left w:val="nil"/>
                  <w:bottom w:val="nil"/>
                  <w:right w:val="single" w:sz="4" w:space="0" w:color="auto"/>
                </w:tcBorders>
              </w:tcPr>
            </w:tcPrChange>
          </w:tcPr>
          <w:p w14:paraId="2848030A" w14:textId="77777777" w:rsidR="00400D30" w:rsidRPr="00F04F82" w:rsidRDefault="00400D30" w:rsidP="00D47253">
            <w:pPr>
              <w:pStyle w:val="ListParagraph"/>
              <w:ind w:left="567" w:hanging="567"/>
              <w:rPr>
                <w:b/>
                <w:bCs/>
                <w:sz w:val="22"/>
                <w:szCs w:val="22"/>
              </w:rPr>
            </w:pPr>
          </w:p>
          <w:p w14:paraId="6DA956FE" w14:textId="77777777" w:rsidR="00400D30" w:rsidRPr="00F04F82" w:rsidRDefault="00400D30" w:rsidP="00D47253">
            <w:pPr>
              <w:pStyle w:val="ListParagraph"/>
              <w:ind w:left="567" w:hanging="567"/>
              <w:rPr>
                <w:b/>
                <w:bCs/>
                <w:sz w:val="22"/>
                <w:szCs w:val="22"/>
              </w:rPr>
            </w:pPr>
          </w:p>
          <w:p w14:paraId="147B4F9A" w14:textId="77777777" w:rsidR="00400D30" w:rsidRPr="00F04F82" w:rsidRDefault="00400D30" w:rsidP="00D47253">
            <w:pPr>
              <w:pStyle w:val="ListParagraph"/>
              <w:ind w:left="567" w:hanging="567"/>
              <w:rPr>
                <w:b/>
                <w:bCs/>
                <w:sz w:val="22"/>
                <w:szCs w:val="22"/>
              </w:rPr>
            </w:pPr>
          </w:p>
          <w:p w14:paraId="59A98E33" w14:textId="77777777" w:rsidR="00400D30" w:rsidRPr="00F04F82" w:rsidRDefault="00400D30" w:rsidP="00D47253">
            <w:pPr>
              <w:pStyle w:val="ListParagraph"/>
              <w:ind w:left="567" w:hanging="567"/>
              <w:rPr>
                <w:b/>
                <w:bCs/>
                <w:sz w:val="22"/>
                <w:szCs w:val="22"/>
              </w:rPr>
            </w:pPr>
          </w:p>
          <w:p w14:paraId="58C130C3" w14:textId="77777777" w:rsidR="00400D30" w:rsidRPr="00F04F82" w:rsidRDefault="00400D30" w:rsidP="00D47253">
            <w:pPr>
              <w:pStyle w:val="ListParagraph"/>
              <w:ind w:left="567" w:hanging="567"/>
              <w:rPr>
                <w:sz w:val="22"/>
                <w:szCs w:val="22"/>
              </w:rPr>
            </w:pPr>
          </w:p>
          <w:p w14:paraId="06789ACF" w14:textId="77777777" w:rsidR="00400D30" w:rsidRPr="00F04F82" w:rsidRDefault="00400D30" w:rsidP="00D47253">
            <w:pPr>
              <w:pStyle w:val="ListParagraph"/>
              <w:ind w:left="567" w:hanging="567"/>
              <w:rPr>
                <w:sz w:val="22"/>
                <w:szCs w:val="22"/>
              </w:rPr>
            </w:pPr>
            <w:r w:rsidRPr="00F04F82">
              <w:rPr>
                <w:sz w:val="22"/>
                <w:szCs w:val="22"/>
              </w:rPr>
              <w:t>Medicine</w:t>
            </w:r>
          </w:p>
        </w:tc>
      </w:tr>
      <w:tr w:rsidR="00400D30" w:rsidRPr="00F04F82" w14:paraId="3859E5B8" w14:textId="77777777" w:rsidTr="00D55B59">
        <w:trPr>
          <w:cantSplit/>
          <w:trHeight w:val="57"/>
          <w:trPrChange w:id="5848" w:author="Author">
            <w:trPr>
              <w:gridBefore w:val="1"/>
              <w:gridAfter w:val="0"/>
              <w:cantSplit/>
              <w:trHeight w:val="57"/>
            </w:trPr>
          </w:trPrChange>
        </w:trPr>
        <w:tc>
          <w:tcPr>
            <w:tcW w:w="362" w:type="pct"/>
            <w:tcBorders>
              <w:top w:val="nil"/>
              <w:bottom w:val="nil"/>
              <w:right w:val="nil"/>
            </w:tcBorders>
            <w:tcMar>
              <w:top w:w="28" w:type="dxa"/>
              <w:left w:w="57" w:type="dxa"/>
              <w:bottom w:w="28" w:type="dxa"/>
              <w:right w:w="57" w:type="dxa"/>
            </w:tcMar>
            <w:tcPrChange w:id="5849" w:author="Author">
              <w:tcPr>
                <w:tcW w:w="355" w:type="pct"/>
                <w:gridSpan w:val="4"/>
                <w:tcBorders>
                  <w:top w:val="nil"/>
                  <w:bottom w:val="nil"/>
                  <w:right w:val="nil"/>
                </w:tcBorders>
                <w:tcMar>
                  <w:top w:w="28" w:type="dxa"/>
                  <w:left w:w="57" w:type="dxa"/>
                  <w:bottom w:w="28" w:type="dxa"/>
                  <w:right w:w="57" w:type="dxa"/>
                </w:tcMar>
              </w:tcPr>
            </w:tcPrChange>
          </w:tcPr>
          <w:p w14:paraId="7D50CE48" w14:textId="77777777" w:rsidR="00400D30" w:rsidRPr="00F04F82" w:rsidRDefault="00400D30" w:rsidP="00D47253">
            <w:pPr>
              <w:numPr>
                <w:ilvl w:val="0"/>
                <w:numId w:val="46"/>
              </w:numPr>
              <w:tabs>
                <w:tab w:val="clear" w:pos="567"/>
              </w:tabs>
              <w:spacing w:line="240" w:lineRule="auto"/>
              <w:ind w:left="567" w:hanging="567"/>
            </w:pPr>
          </w:p>
        </w:tc>
        <w:tc>
          <w:tcPr>
            <w:tcW w:w="4638" w:type="pct"/>
            <w:gridSpan w:val="2"/>
            <w:tcBorders>
              <w:top w:val="nil"/>
              <w:left w:val="nil"/>
              <w:bottom w:val="nil"/>
            </w:tcBorders>
            <w:tcMar>
              <w:left w:w="0" w:type="dxa"/>
            </w:tcMar>
            <w:tcPrChange w:id="5850" w:author="Author">
              <w:tcPr>
                <w:tcW w:w="4645" w:type="pct"/>
                <w:gridSpan w:val="4"/>
                <w:tcBorders>
                  <w:top w:val="nil"/>
                  <w:left w:val="nil"/>
                  <w:bottom w:val="nil"/>
                </w:tcBorders>
                <w:tcMar>
                  <w:left w:w="0" w:type="dxa"/>
                </w:tcMar>
              </w:tcPr>
            </w:tcPrChange>
          </w:tcPr>
          <w:p w14:paraId="20069A4B" w14:textId="2B4CC7C9" w:rsidR="00400D30" w:rsidRPr="00D55B59" w:rsidRDefault="00400D30" w:rsidP="00D47253">
            <w:pPr>
              <w:pStyle w:val="ListBullets"/>
              <w:numPr>
                <w:ilvl w:val="0"/>
                <w:numId w:val="0"/>
              </w:numPr>
              <w:spacing w:after="0"/>
              <w:rPr>
                <w:b/>
                <w:bCs/>
                <w:lang w:val="en-GB"/>
                <w:rPrChange w:id="5851" w:author="Author">
                  <w:rPr>
                    <w:b/>
                    <w:bCs/>
                  </w:rPr>
                </w:rPrChange>
              </w:rPr>
            </w:pPr>
            <w:r w:rsidRPr="00D55B59">
              <w:rPr>
                <w:rFonts w:ascii="Times New Roman" w:hAnsi="Times New Roman" w:cs="Times New Roman"/>
                <w:sz w:val="22"/>
                <w:szCs w:val="22"/>
                <w:lang w:val="en-GB"/>
                <w:rPrChange w:id="5852" w:author="Author">
                  <w:rPr>
                    <w:rFonts w:ascii="Times New Roman" w:hAnsi="Times New Roman" w:cs="Times New Roman"/>
                    <w:sz w:val="22"/>
                    <w:szCs w:val="22"/>
                  </w:rPr>
                </w:rPrChange>
              </w:rPr>
              <w:t>It is okay to see air bubbles</w:t>
            </w:r>
            <w:ins w:id="5853" w:author="Author">
              <w:r w:rsidR="00424B33" w:rsidRPr="00D55B59">
                <w:rPr>
                  <w:rFonts w:ascii="Times New Roman" w:hAnsi="Times New Roman" w:cs="Times New Roman"/>
                  <w:sz w:val="22"/>
                  <w:szCs w:val="22"/>
                  <w:lang w:val="en-GB"/>
                  <w:rPrChange w:id="5854" w:author="Author">
                    <w:rPr>
                      <w:rFonts w:ascii="Times New Roman" w:hAnsi="Times New Roman" w:cs="Times New Roman"/>
                      <w:sz w:val="22"/>
                      <w:szCs w:val="22"/>
                    </w:rPr>
                  </w:rPrChange>
                </w:rPr>
                <w:t xml:space="preserve"> in the pre-filled pen</w:t>
              </w:r>
            </w:ins>
            <w:r w:rsidRPr="00D55B59">
              <w:rPr>
                <w:rFonts w:ascii="Times New Roman" w:hAnsi="Times New Roman" w:cs="Times New Roman"/>
                <w:sz w:val="22"/>
                <w:szCs w:val="22"/>
                <w:lang w:val="en-GB"/>
                <w:rPrChange w:id="5855" w:author="Author">
                  <w:rPr>
                    <w:rFonts w:ascii="Times New Roman" w:hAnsi="Times New Roman" w:cs="Times New Roman"/>
                    <w:sz w:val="22"/>
                    <w:szCs w:val="22"/>
                  </w:rPr>
                </w:rPrChange>
              </w:rPr>
              <w:t>.</w:t>
            </w:r>
          </w:p>
        </w:tc>
      </w:tr>
      <w:tr w:rsidR="00400D30" w:rsidRPr="00F04F82" w14:paraId="3776B966" w14:textId="77777777" w:rsidTr="00D55B59">
        <w:trPr>
          <w:cantSplit/>
          <w:trHeight w:val="57"/>
          <w:trPrChange w:id="5856" w:author="Author">
            <w:trPr>
              <w:gridBefore w:val="2"/>
              <w:cantSplit/>
              <w:trHeight w:val="57"/>
            </w:trPr>
          </w:trPrChange>
        </w:trPr>
        <w:tc>
          <w:tcPr>
            <w:tcW w:w="362" w:type="pct"/>
            <w:tcBorders>
              <w:top w:val="nil"/>
              <w:bottom w:val="nil"/>
              <w:right w:val="nil"/>
            </w:tcBorders>
            <w:tcMar>
              <w:top w:w="28" w:type="dxa"/>
              <w:left w:w="57" w:type="dxa"/>
              <w:bottom w:w="28" w:type="dxa"/>
              <w:right w:w="57" w:type="dxa"/>
            </w:tcMar>
            <w:tcPrChange w:id="5857" w:author="Author">
              <w:tcPr>
                <w:tcW w:w="355" w:type="pct"/>
                <w:gridSpan w:val="4"/>
                <w:tcBorders>
                  <w:top w:val="nil"/>
                  <w:bottom w:val="single" w:sz="4" w:space="0" w:color="auto"/>
                  <w:right w:val="nil"/>
                </w:tcBorders>
                <w:tcMar>
                  <w:top w:w="28" w:type="dxa"/>
                  <w:left w:w="57" w:type="dxa"/>
                  <w:bottom w:w="28" w:type="dxa"/>
                  <w:right w:w="57" w:type="dxa"/>
                </w:tcMar>
              </w:tcPr>
            </w:tcPrChange>
          </w:tcPr>
          <w:p w14:paraId="6BCE9FB4" w14:textId="77777777" w:rsidR="00400D30" w:rsidRPr="00F04F82" w:rsidRDefault="00400D30" w:rsidP="00D47253">
            <w:pPr>
              <w:numPr>
                <w:ilvl w:val="0"/>
                <w:numId w:val="46"/>
              </w:numPr>
              <w:tabs>
                <w:tab w:val="clear" w:pos="567"/>
              </w:tabs>
              <w:spacing w:line="240" w:lineRule="auto"/>
              <w:ind w:left="567" w:hanging="567"/>
            </w:pPr>
          </w:p>
        </w:tc>
        <w:tc>
          <w:tcPr>
            <w:tcW w:w="4638" w:type="pct"/>
            <w:gridSpan w:val="2"/>
            <w:tcBorders>
              <w:top w:val="nil"/>
              <w:left w:val="nil"/>
              <w:bottom w:val="nil"/>
            </w:tcBorders>
            <w:tcMar>
              <w:left w:w="0" w:type="dxa"/>
            </w:tcMar>
            <w:tcPrChange w:id="5858" w:author="Author">
              <w:tcPr>
                <w:tcW w:w="4645" w:type="pct"/>
                <w:gridSpan w:val="4"/>
                <w:tcBorders>
                  <w:top w:val="nil"/>
                  <w:left w:val="nil"/>
                  <w:bottom w:val="single" w:sz="4" w:space="0" w:color="auto"/>
                </w:tcBorders>
                <w:tcMar>
                  <w:left w:w="0" w:type="dxa"/>
                </w:tcMar>
              </w:tcPr>
            </w:tcPrChange>
          </w:tcPr>
          <w:p w14:paraId="70D1B0C0" w14:textId="41047990" w:rsidR="00400D30" w:rsidRPr="00F04F82" w:rsidRDefault="00400D30" w:rsidP="00D47253">
            <w:pPr>
              <w:spacing w:line="240" w:lineRule="auto"/>
            </w:pPr>
            <w:r w:rsidRPr="00F04F82">
              <w:rPr>
                <w:b/>
                <w:bCs/>
              </w:rPr>
              <w:t>Do not</w:t>
            </w:r>
            <w:r w:rsidRPr="00F04F82">
              <w:t xml:space="preserve"> use if the medicine is cloudy, discoloured or has flakes</w:t>
            </w:r>
            <w:ins w:id="5859" w:author="Author">
              <w:r w:rsidR="001D2828" w:rsidRPr="00F04F82">
                <w:t xml:space="preserve"> or particles.</w:t>
              </w:r>
            </w:ins>
            <w:del w:id="5860" w:author="Author">
              <w:r w:rsidRPr="00F04F82" w:rsidDel="001D2828">
                <w:delText>.</w:delText>
              </w:r>
            </w:del>
            <w:r w:rsidRPr="00F04F82">
              <w:t xml:space="preserve">   </w:t>
            </w:r>
          </w:p>
        </w:tc>
      </w:tr>
      <w:tr w:rsidR="005633D2" w:rsidRPr="00F04F82" w14:paraId="6B8E9163" w14:textId="77777777" w:rsidTr="00D55B59">
        <w:trPr>
          <w:cantSplit/>
          <w:trHeight w:val="57"/>
          <w:ins w:id="5861" w:author="Author"/>
          <w:trPrChange w:id="5862" w:author="Author">
            <w:trPr>
              <w:gridBefore w:val="4"/>
              <w:gridAfter w:val="0"/>
              <w:cantSplit/>
              <w:trHeight w:val="57"/>
            </w:trPr>
          </w:trPrChange>
        </w:trPr>
        <w:tc>
          <w:tcPr>
            <w:tcW w:w="5000" w:type="pct"/>
            <w:gridSpan w:val="3"/>
            <w:tcBorders>
              <w:top w:val="nil"/>
              <w:bottom w:val="single" w:sz="4" w:space="0" w:color="auto"/>
            </w:tcBorders>
            <w:tcMar>
              <w:top w:w="28" w:type="dxa"/>
              <w:left w:w="57" w:type="dxa"/>
              <w:bottom w:w="28" w:type="dxa"/>
              <w:right w:w="57" w:type="dxa"/>
            </w:tcMar>
            <w:tcPrChange w:id="5863" w:author="Author">
              <w:tcPr>
                <w:tcW w:w="5000" w:type="pct"/>
                <w:gridSpan w:val="5"/>
                <w:tcBorders>
                  <w:top w:val="nil"/>
                  <w:bottom w:val="single" w:sz="4" w:space="0" w:color="auto"/>
                </w:tcBorders>
                <w:tcMar>
                  <w:top w:w="28" w:type="dxa"/>
                  <w:left w:w="57" w:type="dxa"/>
                  <w:bottom w:w="28" w:type="dxa"/>
                  <w:right w:w="57" w:type="dxa"/>
                </w:tcMar>
              </w:tcPr>
            </w:tcPrChange>
          </w:tcPr>
          <w:p w14:paraId="4F723601" w14:textId="1F1C5B09" w:rsidR="005633D2" w:rsidRPr="00F04F82" w:rsidRDefault="00D96030" w:rsidP="00D47253">
            <w:pPr>
              <w:spacing w:line="240" w:lineRule="auto"/>
              <w:rPr>
                <w:ins w:id="5864" w:author="Author"/>
                <w:b/>
                <w:bCs/>
              </w:rPr>
            </w:pPr>
            <w:ins w:id="5865" w:author="Author">
              <w:r>
                <w:rPr>
                  <w:b/>
                  <w:bCs/>
                </w:rPr>
                <w:pict w14:anchorId="7CDCECAC">
                  <v:shape id="_x0000_s2260" type="#_x0000_t202" style="position:absolute;margin-left:-.95pt;margin-top:3.9pt;width:439.05pt;height:34.7pt;z-index:35;visibility:visible;mso-wrap-style:square;mso-width-percent:0;mso-height-percent:200;mso-wrap-distance-left:9pt;mso-wrap-distance-top:3.6pt;mso-wrap-distance-right:9pt;mso-wrap-distance-bottom:3.6pt;mso-position-horizontal-relative:margin;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" strokecolor="red" strokeweight="1.5pt">
                    <v:textbox style="mso-next-textbox:#_x0000_s2260;mso-fit-shape-to-text:t">
                      <w:txbxContent>
                        <w:p w14:paraId="7924FDCE" w14:textId="75F3BDCF" w:rsidR="001F72BE" w:rsidRPr="00F04F82" w:rsidRDefault="001F72BE" w:rsidP="001F72BE">
                          <w:r w:rsidRPr="00F04F82">
                            <w:rPr>
                              <w:b/>
                              <w:bCs/>
                            </w:rPr>
                            <w:t xml:space="preserve">Important: </w:t>
                          </w:r>
                          <w:r w:rsidRPr="00F04F82">
                            <w:t>If the medicine is cloudy, discoloured, or contains flakes</w:t>
                          </w:r>
                          <w:ins w:id="5866" w:author="Author">
                            <w:r w:rsidRPr="00F04F82">
                              <w:t xml:space="preserve"> or particles</w:t>
                            </w:r>
                          </w:ins>
                          <w:r w:rsidRPr="00F04F82">
                            <w:t>,</w:t>
                          </w:r>
                          <w:r w:rsidRPr="00D55B59">
                            <w:rPr>
                              <w:rPrChange w:id="5867" w:author="Author">
                                <w:rPr>
                                  <w:b/>
                                  <w:bCs/>
                                </w:rPr>
                              </w:rPrChange>
                            </w:rPr>
                            <w:t xml:space="preserve"> </w:t>
                          </w:r>
                          <w:ins w:id="5868" w:author="Author">
                            <w:r w:rsidR="0019536F" w:rsidRPr="00F04F82">
                              <w:t xml:space="preserve">or if the pre-filled pen is damaged or expired, </w:t>
                            </w:r>
                          </w:ins>
                          <w:r w:rsidRPr="00F04F82">
                            <w:t>call your doctor or healthcare provider.</w:t>
                          </w:r>
                        </w:p>
                      </w:txbxContent>
                    </v:textbox>
                    <w10:wrap type="square" anchorx="margin"/>
                  </v:shape>
                </w:pict>
              </w:r>
            </w:ins>
          </w:p>
        </w:tc>
      </w:tr>
    </w:tbl>
    <w:p w14:paraId="5C14744B" w14:textId="77777777" w:rsidR="00400D30" w:rsidRPr="00F04F82" w:rsidRDefault="00400D30" w:rsidP="00C75BDD">
      <w:pPr>
        <w:pageBreakBefore/>
        <w:spacing w:line="240" w:lineRule="auto"/>
        <w:rPr>
          <w:b/>
          <w:bCs/>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466"/>
        <w:gridCol w:w="92"/>
        <w:gridCol w:w="92"/>
        <w:gridCol w:w="3591"/>
        <w:gridCol w:w="4818"/>
        <w:tblGridChange w:id="5869">
          <w:tblGrid>
            <w:gridCol w:w="558"/>
            <w:gridCol w:w="92"/>
            <w:gridCol w:w="336"/>
            <w:gridCol w:w="643"/>
            <w:gridCol w:w="2612"/>
            <w:gridCol w:w="979"/>
            <w:gridCol w:w="3839"/>
            <w:gridCol w:w="986"/>
          </w:tblGrid>
        </w:tblGridChange>
      </w:tblGrid>
      <w:tr w:rsidR="00A071E4" w:rsidRPr="00F04F82" w14:paraId="0CBA74F7" w14:textId="3AFD6511" w:rsidTr="00E20F17">
        <w:trPr>
          <w:cantSplit/>
          <w:trHeight w:val="335"/>
        </w:trPr>
        <w:tc>
          <w:tcPr>
            <w:tcW w:w="360" w:type="pct"/>
            <w:gridSpan w:val="3"/>
            <w:tcBorders>
              <w:bottom w:val="nil"/>
            </w:tcBorders>
            <w:tcMar>
              <w:top w:w="28" w:type="dxa"/>
              <w:left w:w="57" w:type="dxa"/>
              <w:bottom w:w="28" w:type="dxa"/>
              <w:right w:w="57" w:type="dxa"/>
            </w:tcMar>
          </w:tcPr>
          <w:p w14:paraId="78270A13" w14:textId="7987E090" w:rsidR="00A071E4" w:rsidRPr="00F04F82" w:rsidRDefault="00A071E4" w:rsidP="00B61D9D">
            <w:pPr>
              <w:keepNext/>
            </w:pPr>
            <w:r w:rsidRPr="00F04F82">
              <w:rPr>
                <w:b/>
                <w:bCs/>
              </w:rPr>
              <w:t>2c</w:t>
            </w:r>
          </w:p>
        </w:tc>
        <w:tc>
          <w:tcPr>
            <w:tcW w:w="4640" w:type="pct"/>
            <w:gridSpan w:val="2"/>
            <w:tcBorders>
              <w:bottom w:val="nil"/>
            </w:tcBorders>
          </w:tcPr>
          <w:p w14:paraId="261B014A" w14:textId="6CBEED52" w:rsidR="00A071E4" w:rsidRPr="00F04F82" w:rsidRDefault="00A071E4" w:rsidP="00B61D9D">
            <w:pPr>
              <w:keepNext/>
            </w:pPr>
            <w:r w:rsidRPr="00F04F82">
              <w:rPr>
                <w:b/>
                <w:bCs/>
                <w:szCs w:val="22"/>
              </w:rPr>
              <w:t xml:space="preserve">Check the </w:t>
            </w:r>
            <w:r w:rsidR="00AD2E57" w:rsidRPr="00F04F82">
              <w:rPr>
                <w:b/>
                <w:bCs/>
              </w:rPr>
              <w:t>expiry</w:t>
            </w:r>
            <w:r w:rsidRPr="00F04F82">
              <w:rPr>
                <w:b/>
                <w:bCs/>
                <w:szCs w:val="22"/>
              </w:rPr>
              <w:t xml:space="preserve"> date (EXP.) and inspect the pre-filled pen for damage. </w:t>
            </w:r>
          </w:p>
        </w:tc>
      </w:tr>
      <w:tr w:rsidR="00400D30" w:rsidRPr="00F04F82" w14:paraId="5BA2DFAC" w14:textId="77777777" w:rsidTr="00D55B59">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870"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1612"/>
          <w:trPrChange w:id="5871" w:author="Author">
            <w:trPr>
              <w:gridBefore w:val="3"/>
              <w:cantSplit/>
              <w:trHeight w:val="1612"/>
            </w:trPr>
          </w:trPrChange>
        </w:trPr>
        <w:tc>
          <w:tcPr>
            <w:tcW w:w="355" w:type="pct"/>
            <w:gridSpan w:val="2"/>
            <w:tcBorders>
              <w:bottom w:val="nil"/>
              <w:right w:val="nil"/>
            </w:tcBorders>
            <w:tcMar>
              <w:top w:w="28" w:type="dxa"/>
              <w:left w:w="57" w:type="dxa"/>
              <w:bottom w:w="28" w:type="dxa"/>
              <w:right w:w="57" w:type="dxa"/>
            </w:tcMar>
            <w:tcPrChange w:id="5872" w:author="Author">
              <w:tcPr>
                <w:tcW w:w="355" w:type="pct"/>
                <w:tcBorders>
                  <w:bottom w:val="nil"/>
                  <w:right w:val="nil"/>
                </w:tcBorders>
                <w:tcMar>
                  <w:top w:w="28" w:type="dxa"/>
                  <w:left w:w="57" w:type="dxa"/>
                  <w:bottom w:w="28" w:type="dxa"/>
                  <w:right w:w="57" w:type="dxa"/>
                </w:tcMar>
              </w:tcPr>
            </w:tcPrChange>
          </w:tcPr>
          <w:p w14:paraId="6825D728" w14:textId="77777777" w:rsidR="00400D30" w:rsidRPr="00F04F82" w:rsidRDefault="00400D30" w:rsidP="00D47253">
            <w:pPr>
              <w:keepNext/>
              <w:rPr>
                <w:b/>
                <w:bCs/>
              </w:rPr>
            </w:pPr>
          </w:p>
        </w:tc>
        <w:tc>
          <w:tcPr>
            <w:tcW w:w="1982" w:type="pct"/>
            <w:gridSpan w:val="2"/>
            <w:tcBorders>
              <w:top w:val="single" w:sz="4" w:space="0" w:color="auto"/>
              <w:left w:val="nil"/>
              <w:bottom w:val="nil"/>
              <w:right w:val="nil"/>
            </w:tcBorders>
            <w:tcMar>
              <w:top w:w="28" w:type="dxa"/>
              <w:left w:w="57" w:type="dxa"/>
              <w:bottom w:w="28" w:type="dxa"/>
              <w:right w:w="57" w:type="dxa"/>
            </w:tcMar>
            <w:tcPrChange w:id="5873" w:author="Author">
              <w:tcPr>
                <w:tcW w:w="1982" w:type="pct"/>
                <w:gridSpan w:val="2"/>
                <w:tcBorders>
                  <w:top w:val="single" w:sz="4" w:space="0" w:color="auto"/>
                  <w:left w:val="nil"/>
                  <w:bottom w:val="nil"/>
                  <w:right w:val="nil"/>
                </w:tcBorders>
                <w:tcMar>
                  <w:top w:w="28" w:type="dxa"/>
                  <w:left w:w="57" w:type="dxa"/>
                  <w:bottom w:w="28" w:type="dxa"/>
                  <w:right w:w="57" w:type="dxa"/>
                </w:tcMar>
              </w:tcPr>
            </w:tcPrChange>
          </w:tcPr>
          <w:p w14:paraId="0EBC18EA" w14:textId="6D6E4BC3" w:rsidR="00400D30" w:rsidRPr="00F04F82" w:rsidRDefault="00D96030" w:rsidP="00D47253">
            <w:pPr>
              <w:suppressAutoHyphens/>
              <w:autoSpaceDE w:val="0"/>
              <w:autoSpaceDN w:val="0"/>
              <w:adjustRightInd w:val="0"/>
              <w:spacing w:line="250" w:lineRule="atLeast"/>
              <w:textAlignment w:val="center"/>
              <w:rPr>
                <w:b/>
                <w:bCs/>
                <w:szCs w:val="22"/>
              </w:rPr>
            </w:pPr>
            <w:r>
              <w:rPr>
                <w:b/>
                <w:szCs w:val="22"/>
              </w:rPr>
              <w:pict w14:anchorId="717A39D2">
                <v:shape id="Picture 70" o:spid="_x0000_i1102" type="#_x0000_t75" style="width:169.5pt;height:103pt;visibility:visible;mso-wrap-style:square">
                  <v:imagedata r:id="rId99" o:title=""/>
                </v:shape>
              </w:pict>
            </w:r>
          </w:p>
        </w:tc>
        <w:tc>
          <w:tcPr>
            <w:tcW w:w="2663" w:type="pct"/>
            <w:tcBorders>
              <w:top w:val="single" w:sz="4" w:space="0" w:color="auto"/>
              <w:left w:val="nil"/>
              <w:bottom w:val="nil"/>
              <w:right w:val="single" w:sz="4" w:space="0" w:color="auto"/>
            </w:tcBorders>
            <w:tcPrChange w:id="5874" w:author="Author">
              <w:tcPr>
                <w:tcW w:w="2662" w:type="pct"/>
                <w:gridSpan w:val="2"/>
                <w:tcBorders>
                  <w:top w:val="single" w:sz="4" w:space="0" w:color="auto"/>
                  <w:left w:val="nil"/>
                  <w:bottom w:val="nil"/>
                  <w:right w:val="single" w:sz="4" w:space="0" w:color="auto"/>
                </w:tcBorders>
              </w:tcPr>
            </w:tcPrChange>
          </w:tcPr>
          <w:p w14:paraId="61147464" w14:textId="77777777" w:rsidR="00400D30" w:rsidRPr="00F04F82" w:rsidRDefault="00400D30" w:rsidP="00D47253">
            <w:pPr>
              <w:suppressAutoHyphens/>
              <w:autoSpaceDE w:val="0"/>
              <w:autoSpaceDN w:val="0"/>
              <w:adjustRightInd w:val="0"/>
              <w:spacing w:line="250" w:lineRule="atLeast"/>
              <w:textAlignment w:val="center"/>
              <w:rPr>
                <w:b/>
                <w:bCs/>
                <w:szCs w:val="22"/>
              </w:rPr>
            </w:pPr>
          </w:p>
          <w:p w14:paraId="75A12A0A" w14:textId="77777777" w:rsidR="00400D30" w:rsidRPr="00F04F82" w:rsidRDefault="00400D30" w:rsidP="00D47253">
            <w:pPr>
              <w:suppressAutoHyphens/>
              <w:autoSpaceDE w:val="0"/>
              <w:autoSpaceDN w:val="0"/>
              <w:adjustRightInd w:val="0"/>
              <w:spacing w:line="250" w:lineRule="atLeast"/>
              <w:textAlignment w:val="center"/>
              <w:rPr>
                <w:b/>
                <w:bCs/>
                <w:szCs w:val="22"/>
              </w:rPr>
            </w:pPr>
          </w:p>
          <w:p w14:paraId="42D6B420" w14:textId="77777777" w:rsidR="00400D30" w:rsidRPr="00F04F82" w:rsidRDefault="00400D30" w:rsidP="00D47253">
            <w:pPr>
              <w:suppressAutoHyphens/>
              <w:autoSpaceDE w:val="0"/>
              <w:autoSpaceDN w:val="0"/>
              <w:adjustRightInd w:val="0"/>
              <w:spacing w:line="250" w:lineRule="atLeast"/>
              <w:textAlignment w:val="center"/>
              <w:rPr>
                <w:b/>
                <w:bCs/>
                <w:szCs w:val="22"/>
              </w:rPr>
            </w:pPr>
          </w:p>
          <w:p w14:paraId="41C8F815" w14:textId="77777777" w:rsidR="00400D30" w:rsidRPr="00F04F82" w:rsidRDefault="00400D30" w:rsidP="00D47253">
            <w:pPr>
              <w:suppressAutoHyphens/>
              <w:autoSpaceDE w:val="0"/>
              <w:autoSpaceDN w:val="0"/>
              <w:adjustRightInd w:val="0"/>
              <w:spacing w:line="250" w:lineRule="atLeast"/>
              <w:textAlignment w:val="center"/>
              <w:rPr>
                <w:b/>
                <w:bCs/>
                <w:szCs w:val="22"/>
              </w:rPr>
            </w:pPr>
          </w:p>
          <w:p w14:paraId="55E209E8" w14:textId="65197F45" w:rsidR="00400D30" w:rsidRPr="00F04F82" w:rsidRDefault="00AD2E57" w:rsidP="00D47253">
            <w:pPr>
              <w:suppressAutoHyphens/>
              <w:autoSpaceDE w:val="0"/>
              <w:autoSpaceDN w:val="0"/>
              <w:adjustRightInd w:val="0"/>
              <w:spacing w:line="250" w:lineRule="atLeast"/>
              <w:textAlignment w:val="center"/>
              <w:rPr>
                <w:szCs w:val="22"/>
              </w:rPr>
            </w:pPr>
            <w:r w:rsidRPr="00F04F82">
              <w:t>Expiry</w:t>
            </w:r>
            <w:r w:rsidR="00400D30" w:rsidRPr="00F04F82">
              <w:rPr>
                <w:szCs w:val="22"/>
              </w:rPr>
              <w:t xml:space="preserve"> date</w:t>
            </w:r>
          </w:p>
        </w:tc>
      </w:tr>
      <w:tr w:rsidR="00400D30" w:rsidRPr="00F04F82" w14:paraId="70A279E0" w14:textId="77777777" w:rsidTr="00D55B59">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875"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5876" w:author="Author">
            <w:trPr>
              <w:gridBefore w:val="3"/>
              <w:cantSplit/>
              <w:trHeight w:val="57"/>
            </w:trPr>
          </w:trPrChange>
        </w:trPr>
        <w:tc>
          <w:tcPr>
            <w:tcW w:w="355" w:type="pct"/>
            <w:gridSpan w:val="2"/>
            <w:tcBorders>
              <w:top w:val="nil"/>
              <w:bottom w:val="nil"/>
              <w:right w:val="nil"/>
            </w:tcBorders>
            <w:tcMar>
              <w:top w:w="28" w:type="dxa"/>
              <w:left w:w="57" w:type="dxa"/>
              <w:bottom w:w="28" w:type="dxa"/>
              <w:right w:w="57" w:type="dxa"/>
            </w:tcMar>
            <w:tcPrChange w:id="5877" w:author="Author">
              <w:tcPr>
                <w:tcW w:w="355" w:type="pct"/>
                <w:tcBorders>
                  <w:top w:val="nil"/>
                  <w:bottom w:val="nil"/>
                  <w:right w:val="nil"/>
                </w:tcBorders>
                <w:tcMar>
                  <w:top w:w="28" w:type="dxa"/>
                  <w:left w:w="57" w:type="dxa"/>
                  <w:bottom w:w="28" w:type="dxa"/>
                  <w:right w:w="57" w:type="dxa"/>
                </w:tcMar>
              </w:tcPr>
            </w:tcPrChange>
          </w:tcPr>
          <w:p w14:paraId="126BB3E3" w14:textId="77777777" w:rsidR="00400D30" w:rsidRPr="00F04F82" w:rsidRDefault="00400D30" w:rsidP="00D47253">
            <w:pPr>
              <w:numPr>
                <w:ilvl w:val="0"/>
                <w:numId w:val="46"/>
              </w:numPr>
              <w:tabs>
                <w:tab w:val="clear" w:pos="567"/>
              </w:tabs>
              <w:spacing w:line="240" w:lineRule="auto"/>
              <w:ind w:left="567" w:hanging="567"/>
            </w:pPr>
          </w:p>
        </w:tc>
        <w:tc>
          <w:tcPr>
            <w:tcW w:w="4645" w:type="pct"/>
            <w:gridSpan w:val="3"/>
            <w:tcBorders>
              <w:top w:val="nil"/>
              <w:left w:val="nil"/>
              <w:bottom w:val="nil"/>
            </w:tcBorders>
            <w:tcMar>
              <w:left w:w="0" w:type="dxa"/>
            </w:tcMar>
            <w:tcPrChange w:id="5878" w:author="Author">
              <w:tcPr>
                <w:tcW w:w="4643" w:type="pct"/>
                <w:gridSpan w:val="4"/>
                <w:tcBorders>
                  <w:top w:val="nil"/>
                  <w:left w:val="nil"/>
                  <w:bottom w:val="nil"/>
                </w:tcBorders>
                <w:tcMar>
                  <w:left w:w="0" w:type="dxa"/>
                </w:tcMar>
              </w:tcPr>
            </w:tcPrChange>
          </w:tcPr>
          <w:p w14:paraId="48E0BC3E" w14:textId="66FEF792" w:rsidR="00400D30" w:rsidRPr="00F04F82" w:rsidRDefault="00400D30" w:rsidP="00D47253">
            <w:pPr>
              <w:pStyle w:val="ListParagraph"/>
              <w:suppressAutoHyphens/>
              <w:autoSpaceDE w:val="0"/>
              <w:autoSpaceDN w:val="0"/>
              <w:adjustRightInd w:val="0"/>
              <w:spacing w:line="250" w:lineRule="atLeast"/>
              <w:ind w:left="0"/>
              <w:textAlignment w:val="center"/>
              <w:rPr>
                <w:b/>
                <w:bCs/>
              </w:rPr>
            </w:pPr>
            <w:r w:rsidRPr="00F04F82">
              <w:rPr>
                <w:b/>
                <w:bCs/>
                <w:sz w:val="22"/>
                <w:szCs w:val="22"/>
              </w:rPr>
              <w:t>Do not</w:t>
            </w:r>
            <w:r w:rsidRPr="00F04F82">
              <w:rPr>
                <w:sz w:val="22"/>
                <w:szCs w:val="22"/>
              </w:rPr>
              <w:t xml:space="preserve"> use </w:t>
            </w:r>
            <w:ins w:id="5879" w:author="Author">
              <w:r w:rsidR="00B15F5B" w:rsidRPr="00F04F82">
                <w:rPr>
                  <w:sz w:val="22"/>
                  <w:szCs w:val="22"/>
                </w:rPr>
                <w:t xml:space="preserve">the pre-filled pen </w:t>
              </w:r>
            </w:ins>
            <w:r w:rsidRPr="00F04F82">
              <w:rPr>
                <w:sz w:val="22"/>
                <w:szCs w:val="22"/>
              </w:rPr>
              <w:t xml:space="preserve">if the </w:t>
            </w:r>
            <w:r w:rsidR="00AD2E57" w:rsidRPr="00F04F82">
              <w:t>expiry</w:t>
            </w:r>
            <w:r w:rsidRPr="00F04F82">
              <w:rPr>
                <w:sz w:val="22"/>
                <w:szCs w:val="22"/>
              </w:rPr>
              <w:t xml:space="preserve"> date has passed.  </w:t>
            </w:r>
          </w:p>
        </w:tc>
      </w:tr>
      <w:tr w:rsidR="00400D30" w:rsidRPr="00F04F82" w14:paraId="3938BC50" w14:textId="77777777" w:rsidTr="00D55B59">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880"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5881" w:author="Author">
            <w:trPr>
              <w:gridBefore w:val="3"/>
              <w:cantSplit/>
              <w:trHeight w:val="57"/>
            </w:trPr>
          </w:trPrChange>
        </w:trPr>
        <w:tc>
          <w:tcPr>
            <w:tcW w:w="355" w:type="pct"/>
            <w:gridSpan w:val="2"/>
            <w:tcBorders>
              <w:top w:val="nil"/>
              <w:bottom w:val="nil"/>
              <w:right w:val="nil"/>
            </w:tcBorders>
            <w:tcMar>
              <w:top w:w="28" w:type="dxa"/>
              <w:left w:w="57" w:type="dxa"/>
              <w:bottom w:w="28" w:type="dxa"/>
              <w:right w:w="57" w:type="dxa"/>
            </w:tcMar>
            <w:tcPrChange w:id="5882" w:author="Author">
              <w:tcPr>
                <w:tcW w:w="355" w:type="pct"/>
                <w:tcBorders>
                  <w:top w:val="nil"/>
                  <w:bottom w:val="nil"/>
                  <w:right w:val="nil"/>
                </w:tcBorders>
                <w:tcMar>
                  <w:top w:w="28" w:type="dxa"/>
                  <w:left w:w="57" w:type="dxa"/>
                  <w:bottom w:w="28" w:type="dxa"/>
                  <w:right w:w="57" w:type="dxa"/>
                </w:tcMar>
              </w:tcPr>
            </w:tcPrChange>
          </w:tcPr>
          <w:p w14:paraId="242A8109" w14:textId="77777777" w:rsidR="00400D30" w:rsidRPr="00F04F82" w:rsidRDefault="00400D30" w:rsidP="00D47253">
            <w:pPr>
              <w:numPr>
                <w:ilvl w:val="0"/>
                <w:numId w:val="46"/>
              </w:numPr>
              <w:tabs>
                <w:tab w:val="clear" w:pos="567"/>
              </w:tabs>
              <w:spacing w:line="240" w:lineRule="auto"/>
              <w:ind w:left="567" w:hanging="567"/>
            </w:pPr>
          </w:p>
        </w:tc>
        <w:tc>
          <w:tcPr>
            <w:tcW w:w="4645" w:type="pct"/>
            <w:gridSpan w:val="3"/>
            <w:tcBorders>
              <w:top w:val="nil"/>
              <w:left w:val="nil"/>
              <w:bottom w:val="nil"/>
            </w:tcBorders>
            <w:tcMar>
              <w:left w:w="0" w:type="dxa"/>
            </w:tcMar>
            <w:tcPrChange w:id="5883" w:author="Author">
              <w:tcPr>
                <w:tcW w:w="4643" w:type="pct"/>
                <w:gridSpan w:val="4"/>
                <w:tcBorders>
                  <w:top w:val="nil"/>
                  <w:left w:val="nil"/>
                  <w:bottom w:val="nil"/>
                </w:tcBorders>
                <w:tcMar>
                  <w:left w:w="0" w:type="dxa"/>
                </w:tcMar>
              </w:tcPr>
            </w:tcPrChange>
          </w:tcPr>
          <w:p w14:paraId="0DA4F716" w14:textId="77777777" w:rsidR="00400D30" w:rsidRPr="00F04F82" w:rsidRDefault="00400D30" w:rsidP="00D47253">
            <w:pPr>
              <w:pStyle w:val="ListParagraph"/>
              <w:suppressAutoHyphens/>
              <w:autoSpaceDE w:val="0"/>
              <w:autoSpaceDN w:val="0"/>
              <w:adjustRightInd w:val="0"/>
              <w:spacing w:line="250" w:lineRule="atLeast"/>
              <w:ind w:left="0"/>
              <w:textAlignment w:val="center"/>
              <w:rPr>
                <w:sz w:val="22"/>
                <w:szCs w:val="22"/>
              </w:rPr>
            </w:pPr>
            <w:r w:rsidRPr="00F04F82">
              <w:rPr>
                <w:b/>
                <w:bCs/>
                <w:sz w:val="22"/>
                <w:szCs w:val="22"/>
              </w:rPr>
              <w:t>Do not</w:t>
            </w:r>
            <w:r w:rsidRPr="00F04F82">
              <w:rPr>
                <w:sz w:val="22"/>
                <w:szCs w:val="22"/>
              </w:rPr>
              <w:t xml:space="preserve"> use the pre-filled pen if:</w:t>
            </w:r>
          </w:p>
          <w:p w14:paraId="0CA7BF0B" w14:textId="14304E31" w:rsidR="00400D30" w:rsidRPr="00F04F82" w:rsidRDefault="00B15F5B" w:rsidP="009B77A7">
            <w:pPr>
              <w:pStyle w:val="ListParagraph"/>
              <w:numPr>
                <w:ilvl w:val="0"/>
                <w:numId w:val="49"/>
              </w:numPr>
              <w:tabs>
                <w:tab w:val="left" w:pos="1180"/>
              </w:tabs>
              <w:suppressAutoHyphens/>
              <w:autoSpaceDE w:val="0"/>
              <w:autoSpaceDN w:val="0"/>
              <w:adjustRightInd w:val="0"/>
              <w:ind w:left="1134" w:hanging="567"/>
              <w:textAlignment w:val="center"/>
              <w:rPr>
                <w:sz w:val="22"/>
                <w:szCs w:val="22"/>
              </w:rPr>
            </w:pPr>
            <w:ins w:id="5884" w:author="Author">
              <w:r w:rsidRPr="00F04F82">
                <w:rPr>
                  <w:sz w:val="22"/>
                  <w:szCs w:val="22"/>
                </w:rPr>
                <w:t>t</w:t>
              </w:r>
            </w:ins>
            <w:del w:id="5885" w:author="Author">
              <w:r w:rsidR="00400D30" w:rsidRPr="00F04F82" w:rsidDel="00B15F5B">
                <w:rPr>
                  <w:sz w:val="22"/>
                  <w:szCs w:val="22"/>
                </w:rPr>
                <w:delText>T</w:delText>
              </w:r>
            </w:del>
            <w:r w:rsidR="00400D30" w:rsidRPr="00F04F82">
              <w:rPr>
                <w:sz w:val="22"/>
                <w:szCs w:val="22"/>
              </w:rPr>
              <w:t>he yellow cap is missing or loose.</w:t>
            </w:r>
          </w:p>
          <w:p w14:paraId="1A58B761" w14:textId="40105310" w:rsidR="00400D30" w:rsidRPr="00F04F82" w:rsidRDefault="00B15F5B" w:rsidP="009B77A7">
            <w:pPr>
              <w:pStyle w:val="ListParagraph"/>
              <w:numPr>
                <w:ilvl w:val="0"/>
                <w:numId w:val="49"/>
              </w:numPr>
              <w:tabs>
                <w:tab w:val="left" w:pos="1180"/>
              </w:tabs>
              <w:suppressAutoHyphens/>
              <w:autoSpaceDE w:val="0"/>
              <w:autoSpaceDN w:val="0"/>
              <w:adjustRightInd w:val="0"/>
              <w:ind w:left="1134" w:hanging="567"/>
              <w:textAlignment w:val="center"/>
              <w:rPr>
                <w:sz w:val="22"/>
                <w:szCs w:val="22"/>
              </w:rPr>
            </w:pPr>
            <w:ins w:id="5886" w:author="Author">
              <w:r w:rsidRPr="00F04F82">
                <w:rPr>
                  <w:sz w:val="22"/>
                  <w:szCs w:val="22"/>
                </w:rPr>
                <w:t>i</w:t>
              </w:r>
            </w:ins>
            <w:del w:id="5887" w:author="Author">
              <w:r w:rsidR="00400D30" w:rsidRPr="00F04F82" w:rsidDel="00B15F5B">
                <w:rPr>
                  <w:sz w:val="22"/>
                  <w:szCs w:val="22"/>
                </w:rPr>
                <w:delText>I</w:delText>
              </w:r>
            </w:del>
            <w:r w:rsidR="00400D30" w:rsidRPr="00F04F82">
              <w:rPr>
                <w:sz w:val="22"/>
                <w:szCs w:val="22"/>
              </w:rPr>
              <w:t>t has cracks or broken parts.</w:t>
            </w:r>
          </w:p>
          <w:p w14:paraId="587FC86C" w14:textId="2F82C63C" w:rsidR="00400D30" w:rsidRPr="00F04F82" w:rsidRDefault="00B15F5B" w:rsidP="009B77A7">
            <w:pPr>
              <w:pStyle w:val="ListParagraph"/>
              <w:numPr>
                <w:ilvl w:val="0"/>
                <w:numId w:val="49"/>
              </w:numPr>
              <w:tabs>
                <w:tab w:val="left" w:pos="1180"/>
              </w:tabs>
              <w:suppressAutoHyphens/>
              <w:autoSpaceDE w:val="0"/>
              <w:autoSpaceDN w:val="0"/>
              <w:adjustRightInd w:val="0"/>
              <w:ind w:left="1134" w:hanging="567"/>
              <w:textAlignment w:val="center"/>
            </w:pPr>
            <w:ins w:id="5888" w:author="Author">
              <w:r w:rsidRPr="00F04F82">
                <w:rPr>
                  <w:sz w:val="22"/>
                  <w:szCs w:val="22"/>
                </w:rPr>
                <w:t>i</w:t>
              </w:r>
            </w:ins>
            <w:del w:id="5889" w:author="Author">
              <w:r w:rsidR="00400D30" w:rsidRPr="00F04F82" w:rsidDel="00B15F5B">
                <w:rPr>
                  <w:sz w:val="22"/>
                  <w:szCs w:val="22"/>
                </w:rPr>
                <w:delText>I</w:delText>
              </w:r>
            </w:del>
            <w:r w:rsidR="00400D30" w:rsidRPr="00F04F82">
              <w:rPr>
                <w:sz w:val="22"/>
                <w:szCs w:val="22"/>
              </w:rPr>
              <w:t>t has been dropped on a hard surface.</w:t>
            </w:r>
          </w:p>
        </w:tc>
      </w:tr>
      <w:tr w:rsidR="00400D30" w:rsidRPr="00F04F82" w14:paraId="03FF8764" w14:textId="77777777" w:rsidTr="00D55B59">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890"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5891" w:author="Author">
            <w:trPr>
              <w:gridBefore w:val="3"/>
              <w:cantSplit/>
              <w:trHeight w:val="57"/>
            </w:trPr>
          </w:trPrChange>
        </w:trPr>
        <w:tc>
          <w:tcPr>
            <w:tcW w:w="355" w:type="pct"/>
            <w:gridSpan w:val="2"/>
            <w:tcBorders>
              <w:top w:val="nil"/>
              <w:bottom w:val="single" w:sz="4" w:space="0" w:color="auto"/>
              <w:right w:val="nil"/>
            </w:tcBorders>
            <w:tcMar>
              <w:top w:w="28" w:type="dxa"/>
              <w:left w:w="57" w:type="dxa"/>
              <w:bottom w:w="28" w:type="dxa"/>
              <w:right w:w="57" w:type="dxa"/>
            </w:tcMar>
            <w:tcPrChange w:id="5892" w:author="Author">
              <w:tcPr>
                <w:tcW w:w="355" w:type="pct"/>
                <w:tcBorders>
                  <w:top w:val="nil"/>
                  <w:bottom w:val="nil"/>
                  <w:right w:val="nil"/>
                </w:tcBorders>
                <w:tcMar>
                  <w:top w:w="28" w:type="dxa"/>
                  <w:left w:w="57" w:type="dxa"/>
                  <w:bottom w:w="28" w:type="dxa"/>
                  <w:right w:w="57" w:type="dxa"/>
                </w:tcMar>
              </w:tcPr>
            </w:tcPrChange>
          </w:tcPr>
          <w:p w14:paraId="509D242D" w14:textId="77777777" w:rsidR="00400D30" w:rsidRPr="00F04F82" w:rsidRDefault="00400D30" w:rsidP="00D47253">
            <w:pPr>
              <w:numPr>
                <w:ilvl w:val="0"/>
                <w:numId w:val="46"/>
              </w:numPr>
              <w:tabs>
                <w:tab w:val="clear" w:pos="567"/>
              </w:tabs>
              <w:spacing w:line="240" w:lineRule="auto"/>
              <w:ind w:left="567" w:hanging="567"/>
            </w:pPr>
          </w:p>
        </w:tc>
        <w:tc>
          <w:tcPr>
            <w:tcW w:w="4645" w:type="pct"/>
            <w:gridSpan w:val="3"/>
            <w:tcBorders>
              <w:top w:val="nil"/>
              <w:left w:val="nil"/>
              <w:bottom w:val="single" w:sz="4" w:space="0" w:color="auto"/>
            </w:tcBorders>
            <w:tcMar>
              <w:left w:w="0" w:type="dxa"/>
            </w:tcMar>
            <w:tcPrChange w:id="5893" w:author="Author">
              <w:tcPr>
                <w:tcW w:w="4643" w:type="pct"/>
                <w:gridSpan w:val="4"/>
                <w:tcBorders>
                  <w:top w:val="nil"/>
                  <w:left w:val="nil"/>
                  <w:bottom w:val="nil"/>
                </w:tcBorders>
                <w:tcMar>
                  <w:left w:w="0" w:type="dxa"/>
                </w:tcMar>
              </w:tcPr>
            </w:tcPrChange>
          </w:tcPr>
          <w:p w14:paraId="3781A764" w14:textId="4E8DBDC7" w:rsidR="00400D30" w:rsidRPr="00F04F82" w:rsidRDefault="00400D30" w:rsidP="00D47253">
            <w:pPr>
              <w:spacing w:line="240" w:lineRule="auto"/>
            </w:pPr>
            <w:r w:rsidRPr="00F04F82">
              <w:rPr>
                <w:szCs w:val="22"/>
              </w:rPr>
              <w:t>Make sure you have the right medicine and dose.</w:t>
            </w:r>
            <w:del w:id="5894" w:author="Author">
              <w:r w:rsidRPr="00F04F82" w:rsidDel="00B87AD8">
                <w:rPr>
                  <w:szCs w:val="22"/>
                </w:rPr>
                <w:delText xml:space="preserve">                                                               </w:delText>
              </w:r>
              <w:r w:rsidRPr="00F04F82" w:rsidDel="00EB3F32">
                <w:rPr>
                  <w:szCs w:val="22"/>
                </w:rPr>
                <w:delText xml:space="preserve">                            </w:delText>
              </w:r>
            </w:del>
          </w:p>
        </w:tc>
      </w:tr>
      <w:tr w:rsidR="00400D30" w:rsidRPr="00F04F82" w:rsidDel="001F72BE" w14:paraId="12B70B90" w14:textId="1F11EDA1" w:rsidTr="00D55B59">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895"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gridBefore w:val="1"/>
          <w:cantSplit/>
          <w:trHeight w:val="57"/>
          <w:del w:id="5896" w:author="Author"/>
          <w:trPrChange w:id="5897" w:author="Author">
            <w:trPr>
              <w:gridBefore w:val="3"/>
              <w:cantSplit/>
              <w:trHeight w:val="57"/>
            </w:trPr>
          </w:trPrChange>
        </w:trPr>
        <w:tc>
          <w:tcPr>
            <w:tcW w:w="5000" w:type="pct"/>
            <w:gridSpan w:val="4"/>
            <w:tcBorders>
              <w:top w:val="nil"/>
              <w:bottom w:val="single" w:sz="4" w:space="0" w:color="auto"/>
            </w:tcBorders>
            <w:tcMar>
              <w:top w:w="28" w:type="dxa"/>
              <w:left w:w="57" w:type="dxa"/>
              <w:bottom w:w="28" w:type="dxa"/>
              <w:right w:w="57" w:type="dxa"/>
            </w:tcMar>
            <w:tcPrChange w:id="5898" w:author="Author">
              <w:tcPr>
                <w:tcW w:w="4999" w:type="pct"/>
                <w:gridSpan w:val="5"/>
                <w:tcBorders>
                  <w:top w:val="nil"/>
                  <w:bottom w:val="single" w:sz="4" w:space="0" w:color="auto"/>
                </w:tcBorders>
                <w:tcMar>
                  <w:top w:w="28" w:type="dxa"/>
                  <w:left w:w="57" w:type="dxa"/>
                  <w:bottom w:w="28" w:type="dxa"/>
                  <w:right w:w="57" w:type="dxa"/>
                </w:tcMar>
              </w:tcPr>
            </w:tcPrChange>
          </w:tcPr>
          <w:p w14:paraId="7CF9B58E" w14:textId="290E2799" w:rsidR="00400D30" w:rsidRPr="00F04F82" w:rsidDel="001F72BE" w:rsidRDefault="00D96030" w:rsidP="00D47253">
            <w:pPr>
              <w:spacing w:line="240" w:lineRule="auto"/>
              <w:rPr>
                <w:del w:id="5899" w:author="Author"/>
                <w:szCs w:val="22"/>
              </w:rPr>
            </w:pPr>
            <w:del w:id="5900" w:author="Author">
              <w:r>
                <w:pict w14:anchorId="7CDCECAC">
                  <v:shape id="_x0000_s2054" type="#_x0000_t202" style="position:absolute;margin-left:.55pt;margin-top:6.4pt;width:439.05pt;height:34.7pt;z-index: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" strokecolor="red" strokeweight="1.5pt">
                    <v:textbox style="mso-next-textbox:#_x0000_s2054;mso-fit-shape-to-text:t">
                      <w:txbxContent>
                        <w:p w14:paraId="6F5FC2D7" w14:textId="5FFA34CF" w:rsidR="00D47253" w:rsidRPr="00F04F82" w:rsidRDefault="00D47253" w:rsidP="00400D30">
                          <w:del w:id="5901" w:author="Author">
                            <w:r w:rsidRPr="00F04F82" w:rsidDel="001F72BE">
                              <w:rPr>
                                <w:b/>
                                <w:bCs/>
                              </w:rPr>
                              <w:delText xml:space="preserve">Important: </w:delText>
                            </w:r>
                            <w:r w:rsidRPr="00F04F82" w:rsidDel="001F72BE">
                              <w:delText>If the medicine is cloudy, discoloured, or contains flakes</w:delText>
                            </w:r>
                          </w:del>
                          <w:ins w:id="5902" w:author="Author">
                            <w:del w:id="5903" w:author="Author">
                              <w:r w:rsidR="00571F99" w:rsidRPr="00F04F82" w:rsidDel="001F72BE">
                                <w:delText xml:space="preserve"> or particles</w:delText>
                              </w:r>
                            </w:del>
                          </w:ins>
                          <w:del w:id="5904" w:author="Author">
                            <w:r w:rsidRPr="00F04F82" w:rsidDel="001F72BE">
                              <w:delText>,</w:delText>
                            </w:r>
                            <w:r w:rsidRPr="00D55B59" w:rsidDel="001F72BE">
                              <w:rPr>
                                <w:rPrChange w:id="5905" w:author="Author">
                                  <w:rPr>
                                    <w:b/>
                                    <w:bCs/>
                                  </w:rPr>
                                </w:rPrChange>
                              </w:rPr>
                              <w:delText xml:space="preserve"> </w:delText>
                            </w:r>
                            <w:r w:rsidRPr="00F04F82" w:rsidDel="001F72BE">
                              <w:delText>call your doctor or healthcare provider.</w:delText>
                            </w:r>
                          </w:del>
                        </w:p>
                      </w:txbxContent>
                    </v:textbox>
                    <w10:wrap type="square" anchorx="margin"/>
                  </v:shape>
                </w:pict>
              </w:r>
            </w:del>
          </w:p>
        </w:tc>
      </w:tr>
    </w:tbl>
    <w:p w14:paraId="13435A46" w14:textId="77777777" w:rsidR="00400D30" w:rsidRPr="00F04F82" w:rsidRDefault="00400D30" w:rsidP="00400D30">
      <w:pPr>
        <w:spacing w:line="240" w:lineRule="auto"/>
        <w:rPr>
          <w:b/>
          <w:bC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94"/>
        <w:gridCol w:w="285"/>
        <w:gridCol w:w="3686"/>
        <w:gridCol w:w="4404"/>
      </w:tblGrid>
      <w:tr w:rsidR="00400D30" w:rsidRPr="00F04F82" w14:paraId="6FCAE243" w14:textId="77777777" w:rsidTr="00B61D9D">
        <w:trPr>
          <w:cantSplit/>
          <w:trHeight w:val="57"/>
        </w:trPr>
        <w:tc>
          <w:tcPr>
            <w:tcW w:w="383" w:type="pct"/>
            <w:tcBorders>
              <w:bottom w:val="single" w:sz="4" w:space="0" w:color="auto"/>
            </w:tcBorders>
            <w:tcMar>
              <w:top w:w="28" w:type="dxa"/>
              <w:left w:w="57" w:type="dxa"/>
              <w:bottom w:w="28" w:type="dxa"/>
              <w:right w:w="57" w:type="dxa"/>
            </w:tcMar>
          </w:tcPr>
          <w:p w14:paraId="19EAE36F" w14:textId="77777777" w:rsidR="00400D30" w:rsidRPr="00F04F82" w:rsidRDefault="00400D30" w:rsidP="00D47253">
            <w:pPr>
              <w:keepNext/>
              <w:rPr>
                <w:b/>
                <w:bCs/>
              </w:rPr>
            </w:pPr>
            <w:r w:rsidRPr="00F04F82">
              <w:rPr>
                <w:b/>
                <w:bCs/>
              </w:rPr>
              <w:t>3</w:t>
            </w:r>
          </w:p>
        </w:tc>
        <w:tc>
          <w:tcPr>
            <w:tcW w:w="4617" w:type="pct"/>
            <w:gridSpan w:val="3"/>
            <w:tcBorders>
              <w:bottom w:val="single" w:sz="4" w:space="0" w:color="auto"/>
            </w:tcBorders>
            <w:tcMar>
              <w:top w:w="28" w:type="dxa"/>
              <w:left w:w="57" w:type="dxa"/>
              <w:bottom w:w="28" w:type="dxa"/>
              <w:right w:w="57" w:type="dxa"/>
            </w:tcMar>
          </w:tcPr>
          <w:p w14:paraId="6323CF0C" w14:textId="77777777" w:rsidR="00400D30" w:rsidRPr="00F04F82" w:rsidRDefault="00400D30" w:rsidP="00D47253">
            <w:pPr>
              <w:pStyle w:val="ListParagraph"/>
              <w:ind w:left="567" w:hanging="567"/>
              <w:rPr>
                <w:b/>
                <w:bCs/>
                <w:sz w:val="22"/>
                <w:szCs w:val="22"/>
              </w:rPr>
            </w:pPr>
            <w:r w:rsidRPr="00F04F82">
              <w:rPr>
                <w:b/>
                <w:bCs/>
                <w:sz w:val="22"/>
                <w:szCs w:val="22"/>
              </w:rPr>
              <w:t>Getting ready for your injection</w:t>
            </w:r>
          </w:p>
        </w:tc>
      </w:tr>
      <w:tr w:rsidR="00400D30" w:rsidRPr="00F04F82" w14:paraId="76F11A00" w14:textId="77777777" w:rsidTr="00B61D9D">
        <w:trPr>
          <w:cantSplit/>
          <w:trHeight w:val="57"/>
        </w:trPr>
        <w:tc>
          <w:tcPr>
            <w:tcW w:w="383" w:type="pct"/>
            <w:tcBorders>
              <w:bottom w:val="single" w:sz="4" w:space="0" w:color="auto"/>
            </w:tcBorders>
            <w:tcMar>
              <w:top w:w="28" w:type="dxa"/>
              <w:left w:w="57" w:type="dxa"/>
              <w:bottom w:w="28" w:type="dxa"/>
              <w:right w:w="57" w:type="dxa"/>
            </w:tcMar>
          </w:tcPr>
          <w:p w14:paraId="55571B8D" w14:textId="77777777" w:rsidR="00400D30" w:rsidRPr="00F04F82" w:rsidRDefault="00400D30" w:rsidP="00D47253">
            <w:pPr>
              <w:keepNext/>
              <w:rPr>
                <w:b/>
                <w:bCs/>
              </w:rPr>
            </w:pPr>
            <w:r w:rsidRPr="00F04F82">
              <w:rPr>
                <w:b/>
                <w:bCs/>
              </w:rPr>
              <w:t>3a</w:t>
            </w:r>
          </w:p>
        </w:tc>
        <w:tc>
          <w:tcPr>
            <w:tcW w:w="4617" w:type="pct"/>
            <w:gridSpan w:val="3"/>
            <w:tcBorders>
              <w:bottom w:val="single" w:sz="4" w:space="0" w:color="auto"/>
            </w:tcBorders>
            <w:tcMar>
              <w:top w:w="28" w:type="dxa"/>
              <w:left w:w="57" w:type="dxa"/>
              <w:bottom w:w="28" w:type="dxa"/>
              <w:right w:w="57" w:type="dxa"/>
            </w:tcMar>
          </w:tcPr>
          <w:p w14:paraId="09C8C9C4" w14:textId="59F8E5A0" w:rsidR="00400D30" w:rsidRPr="00F04F82" w:rsidRDefault="00400D30" w:rsidP="00D55B59">
            <w:pPr>
              <w:pStyle w:val="ListParagraph"/>
              <w:ind w:left="0"/>
              <w:rPr>
                <w:sz w:val="22"/>
                <w:szCs w:val="22"/>
              </w:rPr>
              <w:pPrChange w:id="5906" w:author="Author">
                <w:pPr>
                  <w:pStyle w:val="ListParagraph"/>
                  <w:ind w:left="567" w:hanging="567"/>
                </w:pPr>
              </w:pPrChange>
            </w:pPr>
            <w:r w:rsidRPr="00F04F82">
              <w:rPr>
                <w:b/>
                <w:bCs/>
                <w:sz w:val="22"/>
                <w:szCs w:val="22"/>
              </w:rPr>
              <w:t xml:space="preserve">Gather and place </w:t>
            </w:r>
            <w:ins w:id="5907" w:author="Author">
              <w:r w:rsidR="005B3A65" w:rsidRPr="00F04F82">
                <w:rPr>
                  <w:b/>
                  <w:bCs/>
                  <w:sz w:val="22"/>
                  <w:szCs w:val="22"/>
                </w:rPr>
                <w:t xml:space="preserve">the following </w:t>
              </w:r>
            </w:ins>
            <w:r w:rsidRPr="00F04F82">
              <w:rPr>
                <w:b/>
                <w:bCs/>
                <w:sz w:val="22"/>
                <w:szCs w:val="22"/>
              </w:rPr>
              <w:t>items for your injection on a clean,</w:t>
            </w:r>
            <w:ins w:id="5908" w:author="Author">
              <w:r w:rsidR="005B3A65" w:rsidRPr="00F04F82">
                <w:rPr>
                  <w:b/>
                  <w:bCs/>
                  <w:sz w:val="22"/>
                  <w:szCs w:val="22"/>
                </w:rPr>
                <w:t xml:space="preserve"> flat a</w:t>
              </w:r>
              <w:r w:rsidR="00B744E0" w:rsidRPr="00F04F82">
                <w:rPr>
                  <w:b/>
                  <w:bCs/>
                  <w:sz w:val="22"/>
                  <w:szCs w:val="22"/>
                </w:rPr>
                <w:t>nd</w:t>
              </w:r>
            </w:ins>
            <w:r w:rsidRPr="00F04F82">
              <w:rPr>
                <w:b/>
                <w:bCs/>
                <w:sz w:val="22"/>
                <w:szCs w:val="22"/>
              </w:rPr>
              <w:t xml:space="preserve"> well</w:t>
            </w:r>
            <w:r w:rsidRPr="00F04F82">
              <w:rPr>
                <w:b/>
                <w:bCs/>
                <w:sz w:val="22"/>
                <w:szCs w:val="22"/>
              </w:rPr>
              <w:noBreakHyphen/>
              <w:t>lit surface.</w:t>
            </w:r>
          </w:p>
        </w:tc>
      </w:tr>
      <w:tr w:rsidR="00400D30" w:rsidRPr="00F04F82" w14:paraId="1193DE2A" w14:textId="77777777" w:rsidTr="00B61D9D">
        <w:trPr>
          <w:cantSplit/>
          <w:trHeight w:val="2070"/>
        </w:trPr>
        <w:tc>
          <w:tcPr>
            <w:tcW w:w="54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1A7F5BE0" w14:textId="77777777" w:rsidR="00400D30" w:rsidRPr="00F04F82" w:rsidRDefault="00400D30" w:rsidP="00B61D9D">
            <w:pPr>
              <w:pStyle w:val="ListParagraph"/>
              <w:keepNext/>
              <w:ind w:left="0"/>
            </w:pPr>
          </w:p>
          <w:p w14:paraId="22F46D2E" w14:textId="77777777" w:rsidR="00400D30" w:rsidRPr="00F04F82" w:rsidRDefault="00400D30" w:rsidP="00B61D9D">
            <w:pPr>
              <w:pStyle w:val="ListParagraph"/>
              <w:keepNext/>
              <w:ind w:left="0"/>
            </w:pPr>
          </w:p>
          <w:p w14:paraId="160D3828" w14:textId="77777777" w:rsidR="00400D30" w:rsidRPr="00F04F82" w:rsidRDefault="00400D30" w:rsidP="00B61D9D">
            <w:pPr>
              <w:pStyle w:val="ListParagraph"/>
              <w:keepNext/>
              <w:ind w:left="0"/>
            </w:pPr>
          </w:p>
          <w:p w14:paraId="14302416" w14:textId="77777777" w:rsidR="00400D30" w:rsidRPr="00F04F82" w:rsidRDefault="00400D30" w:rsidP="00B61D9D">
            <w:pPr>
              <w:pStyle w:val="ListParagraph"/>
              <w:keepNext/>
              <w:ind w:left="0"/>
            </w:pPr>
          </w:p>
          <w:p w14:paraId="15E51365" w14:textId="77777777" w:rsidR="00400D30" w:rsidRPr="00F04F82" w:rsidRDefault="00400D30" w:rsidP="00B61D9D">
            <w:pPr>
              <w:pStyle w:val="ListParagraph"/>
              <w:keepNext/>
              <w:ind w:left="0"/>
            </w:pPr>
          </w:p>
          <w:p w14:paraId="1025D466" w14:textId="77777777" w:rsidR="00400D30" w:rsidRPr="00F04F82" w:rsidRDefault="00400D30" w:rsidP="00B61D9D">
            <w:pPr>
              <w:pStyle w:val="ListParagraph"/>
              <w:keepNext/>
              <w:ind w:left="0"/>
            </w:pPr>
            <w:r w:rsidRPr="00F04F82">
              <w:rPr>
                <w:sz w:val="22"/>
                <w:szCs w:val="22"/>
              </w:rPr>
              <w:t>Sharps disposal container</w:t>
            </w:r>
          </w:p>
        </w:tc>
        <w:tc>
          <w:tcPr>
            <w:tcW w:w="2032" w:type="pct"/>
            <w:tcBorders>
              <w:top w:val="single" w:sz="4" w:space="0" w:color="auto"/>
              <w:left w:val="nil"/>
              <w:bottom w:val="single" w:sz="4" w:space="0" w:color="auto"/>
              <w:right w:val="nil"/>
            </w:tcBorders>
          </w:tcPr>
          <w:p w14:paraId="16520434" w14:textId="402BEF5C" w:rsidR="00400D30" w:rsidRPr="00F04F82" w:rsidRDefault="00D96030" w:rsidP="00D47253">
            <w:pPr>
              <w:pStyle w:val="ListParagraph"/>
              <w:keepNext/>
              <w:ind w:left="567" w:hanging="567"/>
            </w:pPr>
            <w:r>
              <w:pict w14:anchorId="62E82B22">
                <v:shape id="Picture 71" o:spid="_x0000_i1103" type="#_x0000_t75" style="width:2in;height:128pt;visibility:visible;mso-wrap-style:square">
                  <v:imagedata r:id="rId87" o:title=""/>
                </v:shape>
              </w:pict>
            </w:r>
          </w:p>
          <w:p w14:paraId="63780CBD" w14:textId="77777777" w:rsidR="00400D30" w:rsidRPr="00F04F82" w:rsidRDefault="00400D30" w:rsidP="00D47253">
            <w:pPr>
              <w:pStyle w:val="ListParagraph"/>
              <w:keepNext/>
              <w:ind w:left="567" w:hanging="567"/>
            </w:pPr>
          </w:p>
          <w:p w14:paraId="0F8DA44D" w14:textId="77777777" w:rsidR="00400D30" w:rsidRPr="00F04F82" w:rsidRDefault="00400D30" w:rsidP="00D47253">
            <w:pPr>
              <w:pStyle w:val="ListParagraph"/>
              <w:keepNext/>
              <w:ind w:left="567" w:hanging="567"/>
            </w:pPr>
          </w:p>
        </w:tc>
        <w:tc>
          <w:tcPr>
            <w:tcW w:w="2428" w:type="pct"/>
            <w:tcBorders>
              <w:top w:val="single" w:sz="4" w:space="0" w:color="auto"/>
              <w:left w:val="nil"/>
              <w:bottom w:val="single" w:sz="4" w:space="0" w:color="auto"/>
              <w:right w:val="single" w:sz="4" w:space="0" w:color="auto"/>
            </w:tcBorders>
          </w:tcPr>
          <w:p w14:paraId="47E4D831" w14:textId="77777777" w:rsidR="00400D30" w:rsidRPr="00F04F82" w:rsidRDefault="00400D30" w:rsidP="00D47253">
            <w:pPr>
              <w:pStyle w:val="ListParagraph"/>
              <w:ind w:left="567" w:hanging="567"/>
              <w:rPr>
                <w:b/>
                <w:bCs/>
              </w:rPr>
            </w:pPr>
          </w:p>
          <w:p w14:paraId="3146AED0" w14:textId="77777777" w:rsidR="00400D30" w:rsidRPr="00F04F82" w:rsidRDefault="00400D30" w:rsidP="00D47253">
            <w:pPr>
              <w:pStyle w:val="ListParagraph"/>
              <w:ind w:left="567" w:hanging="567"/>
              <w:rPr>
                <w:sz w:val="22"/>
                <w:szCs w:val="22"/>
              </w:rPr>
            </w:pPr>
            <w:r w:rsidRPr="00F04F82">
              <w:rPr>
                <w:sz w:val="22"/>
                <w:szCs w:val="22"/>
              </w:rPr>
              <w:t>Alcohol wipe</w:t>
            </w:r>
          </w:p>
          <w:p w14:paraId="7FAD2153" w14:textId="77777777" w:rsidR="00400D30" w:rsidRPr="00F04F82" w:rsidRDefault="00400D30" w:rsidP="00D47253">
            <w:pPr>
              <w:pStyle w:val="ListParagraph"/>
              <w:ind w:left="567" w:hanging="567"/>
              <w:rPr>
                <w:b/>
                <w:bCs/>
                <w:sz w:val="22"/>
                <w:szCs w:val="22"/>
              </w:rPr>
            </w:pPr>
          </w:p>
          <w:p w14:paraId="2FE45D19" w14:textId="77777777" w:rsidR="00400D30" w:rsidRPr="00F04F82" w:rsidRDefault="00400D30" w:rsidP="00D47253">
            <w:pPr>
              <w:pStyle w:val="ListParagraph"/>
              <w:ind w:left="567" w:hanging="567"/>
              <w:rPr>
                <w:b/>
                <w:bCs/>
                <w:sz w:val="22"/>
                <w:szCs w:val="22"/>
              </w:rPr>
            </w:pPr>
          </w:p>
          <w:p w14:paraId="66D449F1" w14:textId="77777777" w:rsidR="00400D30" w:rsidRPr="00F04F82" w:rsidRDefault="00400D30" w:rsidP="00D47253">
            <w:pPr>
              <w:pStyle w:val="ListParagraph"/>
              <w:ind w:left="567" w:hanging="567"/>
              <w:rPr>
                <w:sz w:val="22"/>
                <w:szCs w:val="22"/>
              </w:rPr>
            </w:pPr>
            <w:r w:rsidRPr="00F04F82">
              <w:rPr>
                <w:sz w:val="22"/>
                <w:szCs w:val="22"/>
              </w:rPr>
              <w:t>Plaster</w:t>
            </w:r>
          </w:p>
          <w:p w14:paraId="792595CA" w14:textId="77777777" w:rsidR="00400D30" w:rsidRPr="00F04F82" w:rsidRDefault="00400D30" w:rsidP="00D47253">
            <w:pPr>
              <w:pStyle w:val="ListParagraph"/>
              <w:ind w:left="567" w:hanging="567"/>
              <w:rPr>
                <w:sz w:val="22"/>
                <w:szCs w:val="22"/>
              </w:rPr>
            </w:pPr>
          </w:p>
          <w:p w14:paraId="31F04E29" w14:textId="77777777" w:rsidR="00400D30" w:rsidRPr="00F04F82" w:rsidRDefault="00400D30" w:rsidP="00D47253">
            <w:pPr>
              <w:pStyle w:val="ListParagraph"/>
              <w:ind w:left="567" w:hanging="567"/>
              <w:rPr>
                <w:sz w:val="22"/>
                <w:szCs w:val="22"/>
              </w:rPr>
            </w:pPr>
          </w:p>
          <w:p w14:paraId="6AF34466" w14:textId="77777777" w:rsidR="00400D30" w:rsidRPr="00F04F82" w:rsidRDefault="00400D30" w:rsidP="00D47253">
            <w:pPr>
              <w:pStyle w:val="ListParagraph"/>
              <w:ind w:left="567" w:hanging="567"/>
              <w:rPr>
                <w:sz w:val="22"/>
                <w:szCs w:val="22"/>
              </w:rPr>
            </w:pPr>
            <w:r w:rsidRPr="00F04F82">
              <w:rPr>
                <w:sz w:val="22"/>
                <w:szCs w:val="22"/>
              </w:rPr>
              <w:t>Cotton ball or gauze pad</w:t>
            </w:r>
          </w:p>
        </w:tc>
      </w:tr>
      <w:tr w:rsidR="00476DC3" w:rsidRPr="00F04F82" w14:paraId="177D5DAE" w14:textId="77777777" w:rsidTr="00B61D9D">
        <w:trPr>
          <w:cantSplit/>
          <w:trHeight w:val="57"/>
        </w:trPr>
        <w:tc>
          <w:tcPr>
            <w:tcW w:w="383" w:type="pct"/>
            <w:tcBorders>
              <w:top w:val="single" w:sz="4" w:space="0" w:color="auto"/>
              <w:bottom w:val="nil"/>
              <w:right w:val="nil"/>
            </w:tcBorders>
            <w:tcMar>
              <w:top w:w="28" w:type="dxa"/>
              <w:left w:w="57" w:type="dxa"/>
              <w:bottom w:w="28" w:type="dxa"/>
              <w:right w:w="57" w:type="dxa"/>
            </w:tcMar>
          </w:tcPr>
          <w:p w14:paraId="4DEE0E27" w14:textId="77777777" w:rsidR="00476DC3" w:rsidRPr="00F04F82" w:rsidRDefault="00476DC3" w:rsidP="00D47253">
            <w:pPr>
              <w:numPr>
                <w:ilvl w:val="0"/>
                <w:numId w:val="46"/>
              </w:numPr>
              <w:tabs>
                <w:tab w:val="clear" w:pos="567"/>
              </w:tabs>
              <w:spacing w:line="240" w:lineRule="auto"/>
              <w:ind w:left="567" w:hanging="567"/>
            </w:pPr>
          </w:p>
        </w:tc>
        <w:tc>
          <w:tcPr>
            <w:tcW w:w="4617" w:type="pct"/>
            <w:gridSpan w:val="3"/>
            <w:tcBorders>
              <w:top w:val="nil"/>
              <w:left w:val="nil"/>
              <w:bottom w:val="nil"/>
            </w:tcBorders>
            <w:tcMar>
              <w:left w:w="0" w:type="dxa"/>
            </w:tcMar>
          </w:tcPr>
          <w:p w14:paraId="40A1BA85" w14:textId="43F6AC2C" w:rsidR="00476DC3" w:rsidRPr="00F04F82" w:rsidRDefault="00476DC3" w:rsidP="00D47253">
            <w:pPr>
              <w:pStyle w:val="ListParagraph"/>
              <w:keepNext/>
              <w:keepLines/>
              <w:suppressAutoHyphens/>
              <w:autoSpaceDE w:val="0"/>
              <w:autoSpaceDN w:val="0"/>
              <w:adjustRightInd w:val="0"/>
              <w:spacing w:line="250" w:lineRule="atLeast"/>
              <w:ind w:left="0"/>
              <w:textAlignment w:val="center"/>
              <w:rPr>
                <w:sz w:val="22"/>
                <w:szCs w:val="20"/>
                <w:lang w:eastAsia="en-US"/>
              </w:rPr>
            </w:pPr>
            <w:r w:rsidRPr="00F04F82">
              <w:rPr>
                <w:sz w:val="22"/>
                <w:szCs w:val="20"/>
                <w:lang w:eastAsia="en-US"/>
              </w:rPr>
              <w:t>AMGEVITA pre-filled pen (room temperature)</w:t>
            </w:r>
          </w:p>
        </w:tc>
      </w:tr>
      <w:tr w:rsidR="00400D30" w:rsidRPr="00F04F82" w14:paraId="489CB9E4" w14:textId="77777777" w:rsidTr="00B61D9D">
        <w:trPr>
          <w:cantSplit/>
          <w:trHeight w:val="57"/>
        </w:trPr>
        <w:tc>
          <w:tcPr>
            <w:tcW w:w="383" w:type="pct"/>
            <w:tcBorders>
              <w:top w:val="nil"/>
              <w:bottom w:val="nil"/>
              <w:right w:val="nil"/>
            </w:tcBorders>
            <w:tcMar>
              <w:top w:w="28" w:type="dxa"/>
              <w:left w:w="57" w:type="dxa"/>
              <w:bottom w:w="28" w:type="dxa"/>
              <w:right w:w="57" w:type="dxa"/>
            </w:tcMar>
          </w:tcPr>
          <w:p w14:paraId="70BEB451" w14:textId="77777777" w:rsidR="00400D30" w:rsidRPr="00F04F82" w:rsidRDefault="00400D30" w:rsidP="00D47253">
            <w:pPr>
              <w:numPr>
                <w:ilvl w:val="0"/>
                <w:numId w:val="46"/>
              </w:numPr>
              <w:tabs>
                <w:tab w:val="clear" w:pos="567"/>
              </w:tabs>
              <w:spacing w:line="240" w:lineRule="auto"/>
              <w:ind w:left="567" w:hanging="567"/>
            </w:pPr>
          </w:p>
        </w:tc>
        <w:tc>
          <w:tcPr>
            <w:tcW w:w="4617" w:type="pct"/>
            <w:gridSpan w:val="3"/>
            <w:tcBorders>
              <w:top w:val="nil"/>
              <w:left w:val="nil"/>
              <w:bottom w:val="nil"/>
            </w:tcBorders>
            <w:tcMar>
              <w:left w:w="0" w:type="dxa"/>
            </w:tcMar>
          </w:tcPr>
          <w:p w14:paraId="5F187711" w14:textId="77777777" w:rsidR="00400D30" w:rsidRPr="00F04F82" w:rsidRDefault="00400D30" w:rsidP="00D47253">
            <w:pPr>
              <w:pStyle w:val="ListParagraph"/>
              <w:keepNext/>
              <w:keepLines/>
              <w:suppressAutoHyphens/>
              <w:autoSpaceDE w:val="0"/>
              <w:autoSpaceDN w:val="0"/>
              <w:adjustRightInd w:val="0"/>
              <w:spacing w:line="250" w:lineRule="atLeast"/>
              <w:ind w:left="0"/>
              <w:textAlignment w:val="center"/>
              <w:rPr>
                <w:sz w:val="22"/>
                <w:szCs w:val="20"/>
                <w:lang w:eastAsia="en-US"/>
              </w:rPr>
            </w:pPr>
            <w:r w:rsidRPr="00F04F82">
              <w:rPr>
                <w:sz w:val="22"/>
                <w:szCs w:val="20"/>
                <w:lang w:eastAsia="en-US"/>
              </w:rPr>
              <w:t xml:space="preserve">Sharps disposal container </w:t>
            </w:r>
          </w:p>
        </w:tc>
      </w:tr>
      <w:tr w:rsidR="00400D30" w:rsidRPr="00F04F82" w14:paraId="4C4B83FF" w14:textId="77777777" w:rsidTr="00B61D9D">
        <w:trPr>
          <w:cantSplit/>
          <w:trHeight w:val="57"/>
        </w:trPr>
        <w:tc>
          <w:tcPr>
            <w:tcW w:w="383" w:type="pct"/>
            <w:tcBorders>
              <w:top w:val="nil"/>
              <w:bottom w:val="nil"/>
              <w:right w:val="nil"/>
            </w:tcBorders>
            <w:tcMar>
              <w:top w:w="28" w:type="dxa"/>
              <w:left w:w="57" w:type="dxa"/>
              <w:bottom w:w="28" w:type="dxa"/>
              <w:right w:w="57" w:type="dxa"/>
            </w:tcMar>
          </w:tcPr>
          <w:p w14:paraId="3F943D30" w14:textId="77777777" w:rsidR="00400D30" w:rsidRPr="00F04F82" w:rsidRDefault="00400D30" w:rsidP="00D47253">
            <w:pPr>
              <w:numPr>
                <w:ilvl w:val="0"/>
                <w:numId w:val="46"/>
              </w:numPr>
              <w:tabs>
                <w:tab w:val="clear" w:pos="567"/>
              </w:tabs>
              <w:spacing w:line="240" w:lineRule="auto"/>
              <w:ind w:left="567" w:hanging="567"/>
            </w:pPr>
          </w:p>
        </w:tc>
        <w:tc>
          <w:tcPr>
            <w:tcW w:w="4617" w:type="pct"/>
            <w:gridSpan w:val="3"/>
            <w:tcBorders>
              <w:top w:val="nil"/>
              <w:left w:val="nil"/>
              <w:bottom w:val="nil"/>
            </w:tcBorders>
            <w:tcMar>
              <w:left w:w="0" w:type="dxa"/>
            </w:tcMar>
          </w:tcPr>
          <w:p w14:paraId="34FC40B7" w14:textId="77777777" w:rsidR="00400D30" w:rsidRPr="00F04F82" w:rsidRDefault="00400D30" w:rsidP="00D47253">
            <w:pPr>
              <w:spacing w:line="240" w:lineRule="auto"/>
            </w:pPr>
            <w:r w:rsidRPr="00F04F82">
              <w:t>Alcohol wipe</w:t>
            </w:r>
          </w:p>
        </w:tc>
      </w:tr>
      <w:tr w:rsidR="00400D30" w:rsidRPr="00F04F82" w14:paraId="7BEF34EA" w14:textId="77777777" w:rsidTr="00B61D9D">
        <w:trPr>
          <w:cantSplit/>
          <w:trHeight w:val="57"/>
        </w:trPr>
        <w:tc>
          <w:tcPr>
            <w:tcW w:w="383" w:type="pct"/>
            <w:tcBorders>
              <w:top w:val="nil"/>
              <w:bottom w:val="nil"/>
              <w:right w:val="nil"/>
            </w:tcBorders>
            <w:tcMar>
              <w:top w:w="28" w:type="dxa"/>
              <w:left w:w="57" w:type="dxa"/>
              <w:bottom w:w="28" w:type="dxa"/>
              <w:right w:w="57" w:type="dxa"/>
            </w:tcMar>
          </w:tcPr>
          <w:p w14:paraId="0813AD79" w14:textId="77777777" w:rsidR="00400D30" w:rsidRPr="00F04F82" w:rsidRDefault="00400D30" w:rsidP="00D47253">
            <w:pPr>
              <w:numPr>
                <w:ilvl w:val="0"/>
                <w:numId w:val="46"/>
              </w:numPr>
              <w:tabs>
                <w:tab w:val="clear" w:pos="567"/>
              </w:tabs>
              <w:spacing w:line="240" w:lineRule="auto"/>
              <w:ind w:left="567" w:hanging="567"/>
            </w:pPr>
          </w:p>
        </w:tc>
        <w:tc>
          <w:tcPr>
            <w:tcW w:w="4617" w:type="pct"/>
            <w:gridSpan w:val="3"/>
            <w:tcBorders>
              <w:top w:val="nil"/>
              <w:left w:val="nil"/>
              <w:bottom w:val="nil"/>
            </w:tcBorders>
            <w:tcMar>
              <w:left w:w="0" w:type="dxa"/>
            </w:tcMar>
          </w:tcPr>
          <w:p w14:paraId="75F2BAA5" w14:textId="77777777" w:rsidR="00400D30" w:rsidRPr="00F04F82" w:rsidRDefault="00400D30" w:rsidP="00D47253">
            <w:pPr>
              <w:spacing w:line="240" w:lineRule="auto"/>
            </w:pPr>
            <w:r w:rsidRPr="00F04F82">
              <w:t>Plaster</w:t>
            </w:r>
          </w:p>
        </w:tc>
      </w:tr>
      <w:tr w:rsidR="00400D30" w:rsidRPr="00F04F82" w14:paraId="23B5CB3B" w14:textId="77777777" w:rsidTr="00B61D9D">
        <w:trPr>
          <w:cantSplit/>
          <w:trHeight w:val="57"/>
        </w:trPr>
        <w:tc>
          <w:tcPr>
            <w:tcW w:w="383" w:type="pct"/>
            <w:tcBorders>
              <w:top w:val="nil"/>
              <w:bottom w:val="single" w:sz="4" w:space="0" w:color="auto"/>
              <w:right w:val="nil"/>
            </w:tcBorders>
            <w:tcMar>
              <w:top w:w="28" w:type="dxa"/>
              <w:left w:w="57" w:type="dxa"/>
              <w:bottom w:w="28" w:type="dxa"/>
              <w:right w:w="57" w:type="dxa"/>
            </w:tcMar>
          </w:tcPr>
          <w:p w14:paraId="22CDE148" w14:textId="77777777" w:rsidR="00400D30" w:rsidRPr="00F04F82" w:rsidRDefault="00400D30" w:rsidP="00D47253">
            <w:pPr>
              <w:numPr>
                <w:ilvl w:val="0"/>
                <w:numId w:val="46"/>
              </w:numPr>
              <w:tabs>
                <w:tab w:val="clear" w:pos="567"/>
              </w:tabs>
              <w:spacing w:line="240" w:lineRule="auto"/>
              <w:ind w:left="567" w:hanging="567"/>
            </w:pPr>
          </w:p>
        </w:tc>
        <w:tc>
          <w:tcPr>
            <w:tcW w:w="4617" w:type="pct"/>
            <w:gridSpan w:val="3"/>
            <w:tcBorders>
              <w:top w:val="nil"/>
              <w:left w:val="nil"/>
              <w:bottom w:val="single" w:sz="4" w:space="0" w:color="auto"/>
            </w:tcBorders>
            <w:tcMar>
              <w:left w:w="0" w:type="dxa"/>
            </w:tcMar>
          </w:tcPr>
          <w:p w14:paraId="4F484CC4" w14:textId="77777777" w:rsidR="00400D30" w:rsidRPr="00F04F82" w:rsidRDefault="00400D30" w:rsidP="00D47253">
            <w:pPr>
              <w:spacing w:line="240" w:lineRule="auto"/>
              <w:rPr>
                <w:b/>
                <w:bCs/>
              </w:rPr>
            </w:pPr>
            <w:r w:rsidRPr="00F04F82">
              <w:t>Cotton ball or gauze pad</w:t>
            </w:r>
          </w:p>
        </w:tc>
      </w:tr>
    </w:tbl>
    <w:p w14:paraId="032EF242" w14:textId="77777777" w:rsidR="00400D30" w:rsidRPr="00F04F82" w:rsidRDefault="00400D30" w:rsidP="00400D30">
      <w:pPr>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42"/>
        <w:gridCol w:w="8427"/>
      </w:tblGrid>
      <w:tr w:rsidR="00400D30" w:rsidRPr="00F04F82" w14:paraId="5CC68916" w14:textId="77777777" w:rsidTr="00D47253">
        <w:trPr>
          <w:cantSplit/>
          <w:trHeight w:val="57"/>
        </w:trPr>
        <w:tc>
          <w:tcPr>
            <w:tcW w:w="354" w:type="pct"/>
            <w:tcBorders>
              <w:bottom w:val="single" w:sz="4" w:space="0" w:color="auto"/>
            </w:tcBorders>
            <w:tcMar>
              <w:top w:w="28" w:type="dxa"/>
              <w:left w:w="57" w:type="dxa"/>
              <w:bottom w:w="28" w:type="dxa"/>
              <w:right w:w="57" w:type="dxa"/>
            </w:tcMar>
          </w:tcPr>
          <w:p w14:paraId="3B107457" w14:textId="77777777" w:rsidR="00400D30" w:rsidRPr="00F04F82" w:rsidRDefault="00400D30" w:rsidP="00D47253">
            <w:pPr>
              <w:keepNext/>
              <w:rPr>
                <w:b/>
                <w:bCs/>
                <w:szCs w:val="22"/>
              </w:rPr>
            </w:pPr>
            <w:r w:rsidRPr="00F04F82">
              <w:rPr>
                <w:b/>
                <w:bCs/>
                <w:szCs w:val="22"/>
              </w:rPr>
              <w:t>3b</w:t>
            </w:r>
          </w:p>
        </w:tc>
        <w:tc>
          <w:tcPr>
            <w:tcW w:w="4646" w:type="pct"/>
            <w:tcBorders>
              <w:bottom w:val="single" w:sz="4" w:space="0" w:color="auto"/>
            </w:tcBorders>
            <w:tcMar>
              <w:top w:w="28" w:type="dxa"/>
              <w:left w:w="57" w:type="dxa"/>
              <w:bottom w:w="28" w:type="dxa"/>
              <w:right w:w="57" w:type="dxa"/>
            </w:tcMar>
          </w:tcPr>
          <w:p w14:paraId="014C0773" w14:textId="7FF8E15A" w:rsidR="00400D30" w:rsidRPr="00F04F82" w:rsidRDefault="00400D30" w:rsidP="00D47253">
            <w:pPr>
              <w:pStyle w:val="ListParagraph"/>
              <w:keepNext/>
              <w:ind w:left="567" w:hanging="567"/>
              <w:rPr>
                <w:sz w:val="22"/>
                <w:szCs w:val="22"/>
              </w:rPr>
            </w:pPr>
            <w:r w:rsidRPr="00F04F82">
              <w:rPr>
                <w:b/>
                <w:bCs/>
                <w:sz w:val="22"/>
                <w:szCs w:val="22"/>
              </w:rPr>
              <w:t>Inject in</w:t>
            </w:r>
            <w:ins w:id="5909" w:author="Author">
              <w:r w:rsidR="00D9618C" w:rsidRPr="00F04F82">
                <w:rPr>
                  <w:b/>
                  <w:bCs/>
                  <w:sz w:val="22"/>
                  <w:szCs w:val="22"/>
                </w:rPr>
                <w:t>to 1</w:t>
              </w:r>
            </w:ins>
            <w:del w:id="5910" w:author="Author">
              <w:r w:rsidRPr="00F04F82" w:rsidDel="00D9618C">
                <w:rPr>
                  <w:b/>
                  <w:bCs/>
                  <w:sz w:val="22"/>
                  <w:szCs w:val="22"/>
                </w:rPr>
                <w:delText xml:space="preserve"> one</w:delText>
              </w:r>
            </w:del>
            <w:r w:rsidRPr="00F04F82">
              <w:rPr>
                <w:b/>
                <w:bCs/>
                <w:sz w:val="22"/>
                <w:szCs w:val="22"/>
              </w:rPr>
              <w:t xml:space="preserve"> of these </w:t>
            </w:r>
            <w:ins w:id="5911" w:author="Author">
              <w:r w:rsidR="00D9618C" w:rsidRPr="00F04F82">
                <w:rPr>
                  <w:b/>
                  <w:bCs/>
                  <w:sz w:val="22"/>
                  <w:szCs w:val="22"/>
                </w:rPr>
                <w:t>sites</w:t>
              </w:r>
            </w:ins>
            <w:del w:id="5912" w:author="Author">
              <w:r w:rsidRPr="00F04F82" w:rsidDel="00D9618C">
                <w:rPr>
                  <w:b/>
                  <w:bCs/>
                  <w:sz w:val="22"/>
                  <w:szCs w:val="22"/>
                </w:rPr>
                <w:delText>locations</w:delText>
              </w:r>
            </w:del>
            <w:r w:rsidRPr="00F04F82">
              <w:rPr>
                <w:b/>
                <w:bCs/>
                <w:sz w:val="22"/>
                <w:szCs w:val="22"/>
              </w:rPr>
              <w:t>.</w:t>
            </w:r>
          </w:p>
        </w:tc>
      </w:tr>
      <w:tr w:rsidR="00400D30" w:rsidRPr="00F04F82" w14:paraId="7BE178B9" w14:textId="77777777" w:rsidTr="00D47253">
        <w:trPr>
          <w:cantSplit/>
          <w:trHeight w:val="57"/>
        </w:trPr>
        <w:tc>
          <w:tcPr>
            <w:tcW w:w="5000" w:type="pct"/>
            <w:gridSpan w:val="2"/>
            <w:tcBorders>
              <w:bottom w:val="single" w:sz="4" w:space="0" w:color="auto"/>
            </w:tcBorders>
            <w:tcMar>
              <w:top w:w="28" w:type="dxa"/>
              <w:left w:w="57" w:type="dxa"/>
              <w:bottom w:w="28" w:type="dxa"/>
              <w:right w:w="57" w:type="dxa"/>
            </w:tcMar>
          </w:tcPr>
          <w:p w14:paraId="478607AE" w14:textId="15B0B6D9" w:rsidR="00400D30" w:rsidRPr="00F04F82" w:rsidDel="008F7FF1" w:rsidRDefault="00D96030" w:rsidP="00D47253">
            <w:pPr>
              <w:pStyle w:val="ListParagraph"/>
              <w:keepNext/>
              <w:ind w:left="567" w:hanging="567"/>
              <w:jc w:val="center"/>
            </w:pPr>
            <w:del w:id="5913" w:author="Author">
              <w:r>
                <w:pict w14:anchorId="201A3A5A">
                  <v:shape id="Picture 72" o:spid="_x0000_i1104" type="#_x0000_t75" style="width:2in;height:149.5pt;visibility:visible;mso-wrap-style:square">
                    <v:imagedata r:id="rId74" o:title="" cropleft="13422f" cropright="13604f"/>
                  </v:shape>
                </w:pict>
              </w:r>
            </w:del>
            <w:ins w:id="5914" w:author="Author">
              <w:r>
                <w:pict w14:anchorId="376351AA">
                  <v:shape id="_x0000_i1105" type="#_x0000_t75" style="width:107.5pt;height:2in">
                    <v:imagedata r:id="rId75" o:title="ILL2439 (1)"/>
                  </v:shape>
                </w:pict>
              </w:r>
            </w:ins>
          </w:p>
        </w:tc>
      </w:tr>
      <w:tr w:rsidR="00400D30" w:rsidRPr="00F04F82" w14:paraId="13C76D8D" w14:textId="77777777" w:rsidTr="00D47253">
        <w:trPr>
          <w:cantSplit/>
          <w:trHeight w:val="57"/>
        </w:trPr>
        <w:tc>
          <w:tcPr>
            <w:tcW w:w="354" w:type="pct"/>
            <w:tcBorders>
              <w:top w:val="nil"/>
              <w:bottom w:val="nil"/>
              <w:right w:val="nil"/>
            </w:tcBorders>
            <w:tcMar>
              <w:top w:w="28" w:type="dxa"/>
              <w:left w:w="57" w:type="dxa"/>
              <w:bottom w:w="28" w:type="dxa"/>
              <w:right w:w="57" w:type="dxa"/>
            </w:tcMar>
          </w:tcPr>
          <w:p w14:paraId="13E13B3C" w14:textId="77777777" w:rsidR="00400D30" w:rsidRPr="00F04F82" w:rsidRDefault="00400D30" w:rsidP="00D47253">
            <w:pPr>
              <w:keepNext/>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42AA212C" w14:textId="655D2E08" w:rsidR="00400D30" w:rsidRPr="00F04F82" w:rsidRDefault="00400D30" w:rsidP="00D47253">
            <w:pPr>
              <w:keepNext/>
              <w:tabs>
                <w:tab w:val="left" w:pos="1134"/>
              </w:tabs>
              <w:spacing w:line="240" w:lineRule="auto"/>
              <w:rPr>
                <w:b/>
                <w:bCs/>
              </w:rPr>
            </w:pPr>
            <w:r w:rsidRPr="00F04F82">
              <w:t>Inject in</w:t>
            </w:r>
            <w:ins w:id="5915" w:author="Author">
              <w:r w:rsidR="006B1E81" w:rsidRPr="00F04F82">
                <w:t>to the front of</w:t>
              </w:r>
            </w:ins>
            <w:r w:rsidRPr="00F04F82">
              <w:t xml:space="preserve"> your thigh or belly (except 5 c</w:t>
            </w:r>
            <w:ins w:id="5916" w:author="Author">
              <w:r w:rsidR="00D9618C" w:rsidRPr="00F04F82">
                <w:t>entimet</w:t>
              </w:r>
              <w:r w:rsidR="00FD6DB6" w:rsidRPr="00F04F82">
                <w:t>r</w:t>
              </w:r>
              <w:r w:rsidR="00A91EB5" w:rsidRPr="00F04F82">
                <w:t>e</w:t>
              </w:r>
              <w:r w:rsidR="00FD6DB6" w:rsidRPr="00F04F82">
                <w:t>s</w:t>
              </w:r>
            </w:ins>
            <w:del w:id="5917" w:author="Author">
              <w:r w:rsidRPr="00F04F82" w:rsidDel="00FD6DB6">
                <w:delText>m</w:delText>
              </w:r>
            </w:del>
            <w:r w:rsidRPr="00F04F82">
              <w:t xml:space="preserve"> around your belly button).</w:t>
            </w:r>
          </w:p>
        </w:tc>
      </w:tr>
      <w:tr w:rsidR="00400D30" w:rsidRPr="00F04F82" w14:paraId="0B7EEA47" w14:textId="77777777" w:rsidTr="00D47253">
        <w:trPr>
          <w:cantSplit/>
          <w:trHeight w:val="57"/>
        </w:trPr>
        <w:tc>
          <w:tcPr>
            <w:tcW w:w="354" w:type="pct"/>
            <w:tcBorders>
              <w:top w:val="nil"/>
              <w:bottom w:val="nil"/>
              <w:right w:val="nil"/>
            </w:tcBorders>
            <w:tcMar>
              <w:top w:w="28" w:type="dxa"/>
              <w:left w:w="57" w:type="dxa"/>
              <w:bottom w:w="28" w:type="dxa"/>
              <w:right w:w="57" w:type="dxa"/>
            </w:tcMar>
          </w:tcPr>
          <w:p w14:paraId="64C28885" w14:textId="77777777" w:rsidR="00400D30" w:rsidRPr="00F04F82" w:rsidRDefault="00400D30" w:rsidP="00D47253">
            <w:pPr>
              <w:keepNext/>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15FC4F67" w14:textId="272D7171" w:rsidR="00400D30" w:rsidRPr="00F04F82" w:rsidRDefault="00400D30" w:rsidP="00D47253">
            <w:pPr>
              <w:keepNext/>
              <w:tabs>
                <w:tab w:val="left" w:pos="1134"/>
              </w:tabs>
              <w:spacing w:line="240" w:lineRule="auto"/>
            </w:pPr>
            <w:r w:rsidRPr="00F04F82">
              <w:t>Choose a different site for each injection</w:t>
            </w:r>
            <w:ins w:id="5918" w:author="Author">
              <w:r w:rsidR="003D4E93" w:rsidRPr="00F04F82">
                <w:t>.</w:t>
              </w:r>
            </w:ins>
          </w:p>
        </w:tc>
      </w:tr>
      <w:tr w:rsidR="00400D30" w:rsidRPr="00F04F82" w14:paraId="2F96883A" w14:textId="77777777" w:rsidTr="00D47253">
        <w:trPr>
          <w:cantSplit/>
          <w:trHeight w:val="57"/>
        </w:trPr>
        <w:tc>
          <w:tcPr>
            <w:tcW w:w="354" w:type="pct"/>
            <w:tcBorders>
              <w:top w:val="nil"/>
              <w:bottom w:val="nil"/>
              <w:right w:val="nil"/>
            </w:tcBorders>
            <w:tcMar>
              <w:top w:w="28" w:type="dxa"/>
              <w:left w:w="57" w:type="dxa"/>
              <w:bottom w:w="28" w:type="dxa"/>
              <w:right w:w="57" w:type="dxa"/>
            </w:tcMar>
          </w:tcPr>
          <w:p w14:paraId="1EEE60B0" w14:textId="77777777" w:rsidR="00400D30" w:rsidRPr="00F04F82" w:rsidRDefault="00400D30" w:rsidP="00D47253">
            <w:pPr>
              <w:keepNext/>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3A0010F0" w14:textId="77777777" w:rsidR="00400D30" w:rsidRPr="00F04F82" w:rsidRDefault="00400D30" w:rsidP="00D47253">
            <w:pPr>
              <w:keepNext/>
              <w:tabs>
                <w:tab w:val="left" w:pos="1134"/>
              </w:tabs>
              <w:spacing w:line="240" w:lineRule="auto"/>
            </w:pPr>
            <w:r w:rsidRPr="00F04F82">
              <w:t>Wash your hands thoroughly with soap and water.</w:t>
            </w:r>
          </w:p>
        </w:tc>
      </w:tr>
      <w:tr w:rsidR="00400D30" w:rsidRPr="00F04F82" w14:paraId="3B05259F" w14:textId="77777777" w:rsidTr="00D47253">
        <w:trPr>
          <w:cantSplit/>
          <w:trHeight w:val="57"/>
        </w:trPr>
        <w:tc>
          <w:tcPr>
            <w:tcW w:w="354" w:type="pct"/>
            <w:tcBorders>
              <w:top w:val="nil"/>
              <w:bottom w:val="nil"/>
              <w:right w:val="nil"/>
            </w:tcBorders>
            <w:tcMar>
              <w:top w:w="28" w:type="dxa"/>
              <w:left w:w="57" w:type="dxa"/>
              <w:bottom w:w="28" w:type="dxa"/>
              <w:right w:w="57" w:type="dxa"/>
            </w:tcMar>
          </w:tcPr>
          <w:p w14:paraId="3CF4E606" w14:textId="77777777" w:rsidR="00400D30" w:rsidRPr="00F04F82" w:rsidRDefault="00400D30" w:rsidP="00D47253">
            <w:pPr>
              <w:keepNext/>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1A293C90" w14:textId="5694E453" w:rsidR="00400D30" w:rsidRPr="00F04F82" w:rsidRDefault="00400D30" w:rsidP="00D47253">
            <w:pPr>
              <w:keepNext/>
              <w:spacing w:line="240" w:lineRule="auto"/>
            </w:pPr>
            <w:r w:rsidRPr="00F04F82">
              <w:t xml:space="preserve">Clean </w:t>
            </w:r>
            <w:ins w:id="5919" w:author="Author">
              <w:r w:rsidR="00D9618C" w:rsidRPr="00F04F82">
                <w:t xml:space="preserve">the </w:t>
              </w:r>
            </w:ins>
            <w:r w:rsidRPr="00F04F82">
              <w:t>injection site with an alcohol wipe.</w:t>
            </w:r>
          </w:p>
        </w:tc>
      </w:tr>
      <w:tr w:rsidR="00400D30" w:rsidRPr="00F04F82" w14:paraId="4D2CFECE" w14:textId="77777777" w:rsidTr="00D47253">
        <w:trPr>
          <w:cantSplit/>
          <w:trHeight w:val="55"/>
        </w:trPr>
        <w:tc>
          <w:tcPr>
            <w:tcW w:w="354" w:type="pct"/>
            <w:tcBorders>
              <w:top w:val="nil"/>
              <w:bottom w:val="nil"/>
              <w:right w:val="nil"/>
            </w:tcBorders>
            <w:tcMar>
              <w:top w:w="28" w:type="dxa"/>
              <w:left w:w="57" w:type="dxa"/>
              <w:bottom w:w="28" w:type="dxa"/>
              <w:right w:w="57" w:type="dxa"/>
            </w:tcMar>
          </w:tcPr>
          <w:p w14:paraId="4F811F46" w14:textId="77777777" w:rsidR="00400D30" w:rsidRPr="00F04F82" w:rsidRDefault="00400D30" w:rsidP="00D47253">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2799AA74" w14:textId="1EB6BFC2" w:rsidR="00400D30" w:rsidRPr="00F04F82" w:rsidRDefault="00400D30" w:rsidP="00D47253">
            <w:pPr>
              <w:tabs>
                <w:tab w:val="left" w:pos="1134"/>
              </w:tabs>
              <w:spacing w:line="240" w:lineRule="auto"/>
            </w:pPr>
            <w:r w:rsidRPr="00F04F82">
              <w:t xml:space="preserve">Let </w:t>
            </w:r>
            <w:del w:id="5920" w:author="Author">
              <w:r w:rsidRPr="00F04F82" w:rsidDel="00D9618C">
                <w:delText>your</w:delText>
              </w:r>
            </w:del>
            <w:ins w:id="5921" w:author="Author">
              <w:r w:rsidR="00D9618C" w:rsidRPr="00F04F82">
                <w:t>the</w:t>
              </w:r>
            </w:ins>
            <w:r w:rsidRPr="00F04F82">
              <w:t xml:space="preserve"> skin dry on its own.</w:t>
            </w:r>
          </w:p>
        </w:tc>
      </w:tr>
      <w:tr w:rsidR="00400D30" w:rsidRPr="00F04F82" w14:paraId="3CA2BBBC" w14:textId="77777777" w:rsidTr="00D47253">
        <w:trPr>
          <w:cantSplit/>
          <w:trHeight w:val="55"/>
        </w:trPr>
        <w:tc>
          <w:tcPr>
            <w:tcW w:w="354" w:type="pct"/>
            <w:tcBorders>
              <w:top w:val="nil"/>
              <w:bottom w:val="nil"/>
              <w:right w:val="nil"/>
            </w:tcBorders>
            <w:tcMar>
              <w:top w:w="28" w:type="dxa"/>
              <w:left w:w="57" w:type="dxa"/>
              <w:bottom w:w="28" w:type="dxa"/>
              <w:right w:w="57" w:type="dxa"/>
            </w:tcMar>
          </w:tcPr>
          <w:p w14:paraId="5237F66F" w14:textId="77777777" w:rsidR="00400D30" w:rsidRPr="00F04F82" w:rsidRDefault="00400D30" w:rsidP="00D47253">
            <w:pPr>
              <w:numPr>
                <w:ilvl w:val="0"/>
                <w:numId w:val="46"/>
              </w:numPr>
              <w:tabs>
                <w:tab w:val="clear" w:pos="567"/>
              </w:tabs>
              <w:spacing w:line="240" w:lineRule="auto"/>
              <w:ind w:left="567" w:hanging="567"/>
            </w:pPr>
          </w:p>
        </w:tc>
        <w:tc>
          <w:tcPr>
            <w:tcW w:w="4646" w:type="pct"/>
            <w:tcBorders>
              <w:top w:val="nil"/>
              <w:left w:val="nil"/>
              <w:bottom w:val="nil"/>
            </w:tcBorders>
            <w:tcMar>
              <w:left w:w="0" w:type="dxa"/>
            </w:tcMar>
          </w:tcPr>
          <w:p w14:paraId="47F5D2BF" w14:textId="77777777" w:rsidR="00400D30" w:rsidRPr="00F04F82" w:rsidRDefault="00400D30" w:rsidP="00D47253">
            <w:pPr>
              <w:tabs>
                <w:tab w:val="left" w:pos="1134"/>
              </w:tabs>
              <w:spacing w:line="240" w:lineRule="auto"/>
            </w:pPr>
            <w:r w:rsidRPr="00F04F82">
              <w:rPr>
                <w:b/>
                <w:bCs/>
              </w:rPr>
              <w:t>Do not</w:t>
            </w:r>
            <w:r w:rsidRPr="00F04F82">
              <w:t xml:space="preserve"> touch this area again before injecting.</w:t>
            </w:r>
          </w:p>
        </w:tc>
      </w:tr>
      <w:tr w:rsidR="00400D30" w:rsidRPr="00F04F82" w14:paraId="52864A59" w14:textId="77777777" w:rsidTr="00D47253">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4A08E6AD" w14:textId="0026B6B8" w:rsidR="00400D30" w:rsidRPr="00F04F82" w:rsidRDefault="00D96030" w:rsidP="00D47253">
            <w:pPr>
              <w:tabs>
                <w:tab w:val="left" w:pos="1134"/>
              </w:tabs>
              <w:spacing w:line="240" w:lineRule="auto"/>
              <w:rPr>
                <w:b/>
                <w:bCs/>
              </w:rPr>
            </w:pPr>
            <w:r>
              <w:pict w14:anchorId="47127740">
                <v:shape id="_x0000_s2053" type="#_x0000_t202" style="position:absolute;margin-left:-.2pt;margin-top:4.65pt;width:441.4pt;height:21.35pt;z-index:2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" strokecolor="red" strokeweight="1.5pt">
                  <v:textbox style="mso-fit-shape-to-text:t">
                    <w:txbxContent>
                      <w:p w14:paraId="42D5B6BE" w14:textId="40609535" w:rsidR="00D47253" w:rsidRPr="00F04F82" w:rsidRDefault="00D47253" w:rsidP="00400D30">
                        <w:pPr>
                          <w:tabs>
                            <w:tab w:val="left" w:pos="1134"/>
                          </w:tabs>
                          <w:spacing w:line="240" w:lineRule="auto"/>
                        </w:pPr>
                        <w:r w:rsidRPr="00F04F82">
                          <w:rPr>
                            <w:b/>
                            <w:bCs/>
                          </w:rPr>
                          <w:t>Important:</w:t>
                        </w:r>
                        <w:r w:rsidRPr="00F04F82">
                          <w:t xml:space="preserve"> Avoid areas with scars, stretch marks, or where</w:t>
                        </w:r>
                        <w:ins w:id="5922" w:author="Author">
                          <w:r w:rsidR="00C04C9C" w:rsidRPr="00F04F82">
                            <w:t xml:space="preserve"> the</w:t>
                          </w:r>
                        </w:ins>
                        <w:r w:rsidRPr="00F04F82">
                          <w:t xml:space="preserve"> skin is tender, bruised, red or hard.</w:t>
                        </w:r>
                      </w:p>
                    </w:txbxContent>
                  </v:textbox>
                  <w10:wrap type="square" anchorx="margin"/>
                </v:shape>
              </w:pict>
            </w:r>
          </w:p>
        </w:tc>
      </w:tr>
    </w:tbl>
    <w:p w14:paraId="04DF0776" w14:textId="77777777" w:rsidR="00400D30" w:rsidRPr="00F04F82" w:rsidRDefault="00400D30" w:rsidP="00400D30">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44"/>
        <w:gridCol w:w="1611"/>
        <w:gridCol w:w="6814"/>
      </w:tblGrid>
      <w:tr w:rsidR="00400D30" w:rsidRPr="00F04F82" w14:paraId="675E299D" w14:textId="77777777" w:rsidTr="00D47253">
        <w:trPr>
          <w:cantSplit/>
          <w:trHeight w:val="57"/>
        </w:trPr>
        <w:tc>
          <w:tcPr>
            <w:tcW w:w="355" w:type="pct"/>
            <w:tcMar>
              <w:top w:w="28" w:type="dxa"/>
              <w:left w:w="57" w:type="dxa"/>
              <w:bottom w:w="28" w:type="dxa"/>
              <w:right w:w="57" w:type="dxa"/>
            </w:tcMar>
          </w:tcPr>
          <w:p w14:paraId="7B2DE626" w14:textId="77777777" w:rsidR="00400D30" w:rsidRPr="00F04F82" w:rsidRDefault="00400D30" w:rsidP="00D47253">
            <w:pPr>
              <w:keepNext/>
              <w:rPr>
                <w:b/>
                <w:bCs/>
                <w:szCs w:val="22"/>
              </w:rPr>
            </w:pPr>
            <w:r w:rsidRPr="00F04F82">
              <w:rPr>
                <w:b/>
                <w:bCs/>
                <w:szCs w:val="22"/>
              </w:rPr>
              <w:t>4</w:t>
            </w:r>
          </w:p>
        </w:tc>
        <w:tc>
          <w:tcPr>
            <w:tcW w:w="4645" w:type="pct"/>
            <w:gridSpan w:val="2"/>
            <w:tcMar>
              <w:top w:w="28" w:type="dxa"/>
              <w:left w:w="57" w:type="dxa"/>
              <w:bottom w:w="28" w:type="dxa"/>
              <w:right w:w="57" w:type="dxa"/>
            </w:tcMar>
          </w:tcPr>
          <w:p w14:paraId="2AE3270F" w14:textId="77777777" w:rsidR="00400D30" w:rsidRPr="00F04F82" w:rsidRDefault="00400D30" w:rsidP="00D47253">
            <w:pPr>
              <w:pStyle w:val="ListParagraph"/>
              <w:ind w:left="567" w:hanging="567"/>
              <w:rPr>
                <w:sz w:val="22"/>
                <w:szCs w:val="22"/>
              </w:rPr>
            </w:pPr>
            <w:r w:rsidRPr="00F04F82">
              <w:rPr>
                <w:b/>
                <w:bCs/>
                <w:sz w:val="22"/>
                <w:szCs w:val="22"/>
              </w:rPr>
              <w:t>Injecting AMGEVITA</w:t>
            </w:r>
          </w:p>
        </w:tc>
      </w:tr>
      <w:tr w:rsidR="00400D30" w:rsidRPr="00F04F82" w14:paraId="228D8BE7" w14:textId="77777777" w:rsidTr="00D47253">
        <w:trPr>
          <w:cantSplit/>
          <w:trHeight w:val="57"/>
        </w:trPr>
        <w:tc>
          <w:tcPr>
            <w:tcW w:w="5000" w:type="pct"/>
            <w:gridSpan w:val="3"/>
            <w:tcBorders>
              <w:bottom w:val="single" w:sz="4" w:space="0" w:color="auto"/>
            </w:tcBorders>
            <w:tcMar>
              <w:top w:w="28" w:type="dxa"/>
              <w:left w:w="57" w:type="dxa"/>
              <w:bottom w:w="28" w:type="dxa"/>
              <w:right w:w="57" w:type="dxa"/>
            </w:tcMar>
          </w:tcPr>
          <w:p w14:paraId="226F4A99" w14:textId="2544EC80" w:rsidR="00400D30" w:rsidRPr="00D55B59" w:rsidRDefault="00D96030" w:rsidP="00D47253">
            <w:pPr>
              <w:pStyle w:val="ListParagraph"/>
              <w:ind w:left="567" w:hanging="567"/>
              <w:rPr>
                <w:rPrChange w:id="5923" w:author="Author">
                  <w:rPr>
                    <w:noProof/>
                  </w:rPr>
                </w:rPrChange>
              </w:rPr>
            </w:pPr>
            <w:r>
              <w:pict w14:anchorId="59A0E792">
                <v:shape id="_x0000_s2052" type="#_x0000_t202" style="position:absolute;left:0;text-align:left;margin-left:-.2pt;margin-top:2pt;width:441.45pt;height:34pt;z-index: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" strokecolor="red" strokeweight="1.5pt">
                  <v:textbox style="mso-fit-shape-to-text:t">
                    <w:txbxContent>
                      <w:p w14:paraId="0B3A5E7F" w14:textId="65369D2B" w:rsidR="00D47253" w:rsidRPr="00F04F82" w:rsidRDefault="00D47253" w:rsidP="00400D30">
                        <w:pPr>
                          <w:tabs>
                            <w:tab w:val="left" w:pos="1134"/>
                          </w:tabs>
                          <w:spacing w:line="240" w:lineRule="auto"/>
                        </w:pPr>
                        <w:r w:rsidRPr="00F04F82">
                          <w:rPr>
                            <w:b/>
                            <w:bCs/>
                          </w:rPr>
                          <w:t>Important:</w:t>
                        </w:r>
                        <w:r w:rsidRPr="00F04F82">
                          <w:t xml:space="preserve"> Only remove the yellow cap when you can inject right away (within 5 minutes) because the medicine can dry out.</w:t>
                        </w:r>
                        <w:ins w:id="5924" w:author="Author">
                          <w:r w:rsidR="00B25934" w:rsidRPr="00F04F82">
                            <w:t xml:space="preserve"> Do not recap.</w:t>
                          </w:r>
                        </w:ins>
                      </w:p>
                    </w:txbxContent>
                  </v:textbox>
                  <w10:wrap type="square" anchorx="margin"/>
                </v:shape>
              </w:pict>
            </w:r>
          </w:p>
        </w:tc>
      </w:tr>
      <w:tr w:rsidR="00400D30" w:rsidRPr="00F04F82" w14:paraId="251A9C7D" w14:textId="77777777" w:rsidTr="00D47253">
        <w:trPr>
          <w:cantSplit/>
          <w:trHeight w:val="57"/>
        </w:trPr>
        <w:tc>
          <w:tcPr>
            <w:tcW w:w="355" w:type="pct"/>
            <w:tcBorders>
              <w:bottom w:val="single" w:sz="4" w:space="0" w:color="auto"/>
            </w:tcBorders>
            <w:tcMar>
              <w:top w:w="28" w:type="dxa"/>
              <w:left w:w="57" w:type="dxa"/>
              <w:bottom w:w="28" w:type="dxa"/>
              <w:right w:w="57" w:type="dxa"/>
            </w:tcMar>
          </w:tcPr>
          <w:p w14:paraId="2B3CD8DD" w14:textId="77777777" w:rsidR="00400D30" w:rsidRPr="00F04F82" w:rsidRDefault="00400D30" w:rsidP="00D47253">
            <w:pPr>
              <w:keepNext/>
              <w:rPr>
                <w:b/>
                <w:bCs/>
                <w:szCs w:val="22"/>
              </w:rPr>
            </w:pPr>
            <w:r w:rsidRPr="00F04F82">
              <w:rPr>
                <w:b/>
                <w:bCs/>
                <w:szCs w:val="22"/>
              </w:rPr>
              <w:t>4a</w:t>
            </w:r>
          </w:p>
        </w:tc>
        <w:tc>
          <w:tcPr>
            <w:tcW w:w="4645" w:type="pct"/>
            <w:gridSpan w:val="2"/>
            <w:tcBorders>
              <w:bottom w:val="single" w:sz="4" w:space="0" w:color="auto"/>
            </w:tcBorders>
            <w:tcMar>
              <w:top w:w="28" w:type="dxa"/>
              <w:left w:w="57" w:type="dxa"/>
              <w:bottom w:w="28" w:type="dxa"/>
              <w:right w:w="57" w:type="dxa"/>
            </w:tcMar>
          </w:tcPr>
          <w:p w14:paraId="585855C0" w14:textId="77777777" w:rsidR="00400D30" w:rsidRPr="00F04F82" w:rsidRDefault="00400D30" w:rsidP="00D47253">
            <w:pPr>
              <w:pStyle w:val="ListParagraph"/>
              <w:ind w:left="567" w:hanging="567"/>
              <w:rPr>
                <w:b/>
                <w:bCs/>
                <w:sz w:val="22"/>
                <w:szCs w:val="22"/>
              </w:rPr>
            </w:pPr>
            <w:r w:rsidRPr="00F04F82">
              <w:rPr>
                <w:b/>
                <w:bCs/>
                <w:sz w:val="22"/>
                <w:szCs w:val="22"/>
              </w:rPr>
              <w:t xml:space="preserve">Hold the pre-filled pen so you can see the window. Pull the yellow cap straight off. </w:t>
            </w:r>
          </w:p>
          <w:p w14:paraId="4FDE7AD2" w14:textId="77777777" w:rsidR="00400D30" w:rsidRPr="00F04F82" w:rsidRDefault="00400D30" w:rsidP="00D47253">
            <w:pPr>
              <w:pStyle w:val="ListParagraph"/>
              <w:ind w:left="567" w:hanging="567"/>
              <w:rPr>
                <w:sz w:val="22"/>
                <w:szCs w:val="22"/>
              </w:rPr>
            </w:pPr>
            <w:r w:rsidRPr="00F04F82">
              <w:rPr>
                <w:b/>
                <w:bCs/>
                <w:sz w:val="22"/>
                <w:szCs w:val="22"/>
              </w:rPr>
              <w:t>You may need to pull hard.</w:t>
            </w:r>
          </w:p>
        </w:tc>
      </w:tr>
      <w:tr w:rsidR="00400D30" w:rsidRPr="00F04F82" w14:paraId="0F06ECF6" w14:textId="77777777" w:rsidTr="00D47253">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08F224DB" w14:textId="77777777" w:rsidR="00400D30" w:rsidRPr="00F04F82" w:rsidRDefault="00400D30" w:rsidP="009B77A7">
            <w:pPr>
              <w:pStyle w:val="ListParagraph"/>
              <w:ind w:left="567" w:hanging="567"/>
              <w:jc w:val="right"/>
              <w:rPr>
                <w:b/>
                <w:bCs/>
              </w:rPr>
            </w:pPr>
          </w:p>
          <w:p w14:paraId="4C7C96F0" w14:textId="77777777" w:rsidR="00400D30" w:rsidRPr="00F04F82" w:rsidRDefault="00400D30" w:rsidP="009B77A7">
            <w:pPr>
              <w:pStyle w:val="ListParagraph"/>
              <w:ind w:left="567" w:hanging="567"/>
              <w:jc w:val="right"/>
              <w:rPr>
                <w:b/>
                <w:bCs/>
              </w:rPr>
            </w:pPr>
          </w:p>
          <w:p w14:paraId="62B74390" w14:textId="77777777" w:rsidR="00400D30" w:rsidRPr="00F04F82" w:rsidRDefault="00400D30" w:rsidP="009B77A7">
            <w:pPr>
              <w:pStyle w:val="ListParagraph"/>
              <w:ind w:left="567" w:hanging="567"/>
              <w:jc w:val="right"/>
              <w:rPr>
                <w:b/>
                <w:bCs/>
              </w:rPr>
            </w:pPr>
          </w:p>
          <w:p w14:paraId="5E3D7B19" w14:textId="77777777" w:rsidR="00400D30" w:rsidRPr="00F04F82" w:rsidRDefault="00400D30" w:rsidP="009B77A7">
            <w:pPr>
              <w:pStyle w:val="ListParagraph"/>
              <w:ind w:left="567" w:hanging="567"/>
              <w:jc w:val="right"/>
            </w:pPr>
            <w:r w:rsidRPr="00F04F82">
              <w:rPr>
                <w:sz w:val="22"/>
                <w:szCs w:val="22"/>
              </w:rPr>
              <w:t>Window should be visible</w:t>
            </w:r>
          </w:p>
        </w:tc>
        <w:tc>
          <w:tcPr>
            <w:tcW w:w="3757" w:type="pct"/>
            <w:tcBorders>
              <w:left w:val="nil"/>
              <w:bottom w:val="single" w:sz="4" w:space="0" w:color="auto"/>
            </w:tcBorders>
          </w:tcPr>
          <w:p w14:paraId="77A84FB6" w14:textId="56D7CA29" w:rsidR="00400D30" w:rsidRPr="00F04F82" w:rsidRDefault="00D96030" w:rsidP="00D47253">
            <w:pPr>
              <w:pStyle w:val="ListParagraph"/>
              <w:ind w:left="567" w:hanging="567"/>
              <w:jc w:val="center"/>
              <w:rPr>
                <w:b/>
                <w:bCs/>
              </w:rPr>
            </w:pPr>
            <w:del w:id="5925" w:author="Author">
              <w:r>
                <w:rPr>
                  <w:b/>
                </w:rPr>
                <w:pict w14:anchorId="1241E096">
                  <v:shape id="Picture 73" o:spid="_x0000_i1106" type="#_x0000_t75" style="width:252.5pt;height:2in;visibility:visible;mso-wrap-style:square">
                    <v:imagedata r:id="rId100" o:title=""/>
                  </v:shape>
                </w:pict>
              </w:r>
            </w:del>
            <w:ins w:id="5926" w:author="Author">
              <w:r>
                <w:rPr>
                  <w:b/>
                </w:rPr>
                <w:pict w14:anchorId="02491CD5">
                  <v:shape id="_x0000_i1107" type="#_x0000_t75" style="width:252pt;height:149.5pt">
                    <v:imagedata r:id="rId101" o:title="ILL2437"/>
                  </v:shape>
                </w:pict>
              </w:r>
            </w:ins>
          </w:p>
        </w:tc>
      </w:tr>
      <w:tr w:rsidR="00400D30" w:rsidRPr="00F04F82" w14:paraId="270B4C87" w14:textId="77777777" w:rsidTr="00D47253">
        <w:trPr>
          <w:cantSplit/>
          <w:trHeight w:val="57"/>
        </w:trPr>
        <w:tc>
          <w:tcPr>
            <w:tcW w:w="355" w:type="pct"/>
            <w:tcBorders>
              <w:top w:val="nil"/>
              <w:bottom w:val="nil"/>
              <w:right w:val="nil"/>
            </w:tcBorders>
            <w:tcMar>
              <w:top w:w="28" w:type="dxa"/>
              <w:left w:w="57" w:type="dxa"/>
              <w:bottom w:w="28" w:type="dxa"/>
              <w:right w:w="57" w:type="dxa"/>
            </w:tcMar>
          </w:tcPr>
          <w:p w14:paraId="17BD45F4" w14:textId="77777777" w:rsidR="00400D30" w:rsidRPr="00F04F82" w:rsidRDefault="00400D30" w:rsidP="00D47253">
            <w:pPr>
              <w:numPr>
                <w:ilvl w:val="0"/>
                <w:numId w:val="46"/>
              </w:numPr>
              <w:tabs>
                <w:tab w:val="clear" w:pos="567"/>
              </w:tabs>
              <w:spacing w:line="240" w:lineRule="auto"/>
              <w:ind w:left="567" w:hanging="567"/>
            </w:pPr>
          </w:p>
        </w:tc>
        <w:tc>
          <w:tcPr>
            <w:tcW w:w="4645" w:type="pct"/>
            <w:gridSpan w:val="2"/>
            <w:tcBorders>
              <w:top w:val="nil"/>
              <w:left w:val="nil"/>
              <w:bottom w:val="nil"/>
            </w:tcBorders>
            <w:tcMar>
              <w:left w:w="0" w:type="dxa"/>
            </w:tcMar>
          </w:tcPr>
          <w:p w14:paraId="5331580A" w14:textId="651B7BAD" w:rsidR="00400D30" w:rsidRPr="00F04F82" w:rsidRDefault="00400D30" w:rsidP="00D47253">
            <w:pPr>
              <w:tabs>
                <w:tab w:val="left" w:pos="1134"/>
              </w:tabs>
              <w:spacing w:line="240" w:lineRule="auto"/>
              <w:rPr>
                <w:b/>
                <w:bCs/>
              </w:rPr>
            </w:pPr>
            <w:r w:rsidRPr="00F04F82">
              <w:rPr>
                <w:b/>
                <w:bCs/>
              </w:rPr>
              <w:t>Do not</w:t>
            </w:r>
            <w:r w:rsidRPr="00F04F82">
              <w:t xml:space="preserve"> twist, bend or wiggle the yellow cap to pull </w:t>
            </w:r>
            <w:ins w:id="5927" w:author="Author">
              <w:r w:rsidR="009459D0" w:rsidRPr="00F04F82">
                <w:t xml:space="preserve">it </w:t>
              </w:r>
            </w:ins>
            <w:r w:rsidRPr="00F04F82">
              <w:t>off.</w:t>
            </w:r>
          </w:p>
        </w:tc>
      </w:tr>
      <w:tr w:rsidR="00400D30" w:rsidRPr="00F04F82" w14:paraId="6A1AADA7" w14:textId="77777777" w:rsidTr="00D47253">
        <w:trPr>
          <w:cantSplit/>
          <w:trHeight w:val="57"/>
        </w:trPr>
        <w:tc>
          <w:tcPr>
            <w:tcW w:w="355" w:type="pct"/>
            <w:tcBorders>
              <w:top w:val="nil"/>
              <w:bottom w:val="nil"/>
              <w:right w:val="nil"/>
            </w:tcBorders>
            <w:tcMar>
              <w:top w:w="28" w:type="dxa"/>
              <w:left w:w="57" w:type="dxa"/>
              <w:bottom w:w="28" w:type="dxa"/>
              <w:right w:w="57" w:type="dxa"/>
            </w:tcMar>
          </w:tcPr>
          <w:p w14:paraId="7783A929" w14:textId="77777777" w:rsidR="00400D30" w:rsidRPr="00F04F82" w:rsidRDefault="00400D30" w:rsidP="00D47253">
            <w:pPr>
              <w:numPr>
                <w:ilvl w:val="0"/>
                <w:numId w:val="46"/>
              </w:numPr>
              <w:tabs>
                <w:tab w:val="clear" w:pos="567"/>
              </w:tabs>
              <w:spacing w:line="240" w:lineRule="auto"/>
              <w:ind w:left="567" w:hanging="567"/>
            </w:pPr>
          </w:p>
        </w:tc>
        <w:tc>
          <w:tcPr>
            <w:tcW w:w="4645" w:type="pct"/>
            <w:gridSpan w:val="2"/>
            <w:tcBorders>
              <w:top w:val="nil"/>
              <w:left w:val="nil"/>
              <w:bottom w:val="nil"/>
            </w:tcBorders>
            <w:tcMar>
              <w:left w:w="0" w:type="dxa"/>
            </w:tcMar>
          </w:tcPr>
          <w:p w14:paraId="10FD8D19" w14:textId="77777777" w:rsidR="00400D30" w:rsidRPr="00F04F82" w:rsidRDefault="00400D30" w:rsidP="00D47253">
            <w:pPr>
              <w:tabs>
                <w:tab w:val="left" w:pos="1134"/>
              </w:tabs>
              <w:spacing w:line="240" w:lineRule="auto"/>
            </w:pPr>
            <w:r w:rsidRPr="00F04F82">
              <w:rPr>
                <w:b/>
                <w:bCs/>
              </w:rPr>
              <w:t>Never</w:t>
            </w:r>
            <w:r w:rsidRPr="00F04F82">
              <w:t xml:space="preserve"> put the needle cap back on. It may damage the needle.</w:t>
            </w:r>
          </w:p>
        </w:tc>
      </w:tr>
      <w:tr w:rsidR="00400D30" w:rsidRPr="00F04F82" w14:paraId="35F01312" w14:textId="77777777" w:rsidTr="00D47253">
        <w:trPr>
          <w:cantSplit/>
          <w:trHeight w:val="57"/>
        </w:trPr>
        <w:tc>
          <w:tcPr>
            <w:tcW w:w="355" w:type="pct"/>
            <w:tcBorders>
              <w:top w:val="nil"/>
              <w:bottom w:val="nil"/>
              <w:right w:val="nil"/>
            </w:tcBorders>
            <w:tcMar>
              <w:top w:w="28" w:type="dxa"/>
              <w:left w:w="57" w:type="dxa"/>
              <w:bottom w:w="28" w:type="dxa"/>
              <w:right w:w="57" w:type="dxa"/>
            </w:tcMar>
          </w:tcPr>
          <w:p w14:paraId="1C84DB01" w14:textId="77777777" w:rsidR="00400D30" w:rsidRPr="00F04F82" w:rsidRDefault="00400D30" w:rsidP="00D47253">
            <w:pPr>
              <w:numPr>
                <w:ilvl w:val="0"/>
                <w:numId w:val="46"/>
              </w:numPr>
              <w:tabs>
                <w:tab w:val="clear" w:pos="567"/>
              </w:tabs>
              <w:spacing w:line="240" w:lineRule="auto"/>
              <w:ind w:left="567" w:hanging="567"/>
            </w:pPr>
          </w:p>
        </w:tc>
        <w:tc>
          <w:tcPr>
            <w:tcW w:w="4645" w:type="pct"/>
            <w:gridSpan w:val="2"/>
            <w:tcBorders>
              <w:top w:val="nil"/>
              <w:left w:val="nil"/>
              <w:bottom w:val="nil"/>
            </w:tcBorders>
            <w:tcMar>
              <w:left w:w="0" w:type="dxa"/>
            </w:tcMar>
          </w:tcPr>
          <w:p w14:paraId="2FD26817" w14:textId="6B8B77F2" w:rsidR="00400D30" w:rsidRPr="00F04F82" w:rsidRDefault="00400D30" w:rsidP="00D47253">
            <w:pPr>
              <w:keepNext/>
              <w:keepLines/>
              <w:tabs>
                <w:tab w:val="clear" w:pos="567"/>
              </w:tabs>
              <w:spacing w:line="240" w:lineRule="auto"/>
              <w:contextualSpacing/>
              <w:rPr>
                <w:b/>
                <w:bCs/>
              </w:rPr>
            </w:pPr>
            <w:r w:rsidRPr="00F04F82">
              <w:rPr>
                <w:b/>
                <w:bCs/>
                <w:color w:val="000000"/>
                <w:szCs w:val="22"/>
              </w:rPr>
              <w:t>Do not</w:t>
            </w:r>
            <w:r w:rsidRPr="00F04F82">
              <w:rPr>
                <w:color w:val="000000"/>
                <w:szCs w:val="22"/>
              </w:rPr>
              <w:t xml:space="preserve"> put your finger inside the cream</w:t>
            </w:r>
            <w:r w:rsidR="003F4DCC" w:rsidRPr="00F04F82">
              <w:rPr>
                <w:color w:val="000000"/>
                <w:szCs w:val="22"/>
              </w:rPr>
              <w:t>-coloured</w:t>
            </w:r>
            <w:r w:rsidRPr="00F04F82">
              <w:rPr>
                <w:color w:val="000000"/>
                <w:szCs w:val="22"/>
              </w:rPr>
              <w:t xml:space="preserve"> safety guard.</w:t>
            </w:r>
          </w:p>
        </w:tc>
      </w:tr>
      <w:tr w:rsidR="00400D30" w:rsidRPr="00F04F82" w14:paraId="3F61FD89" w14:textId="77777777" w:rsidTr="00D47253">
        <w:trPr>
          <w:cantSplit/>
          <w:trHeight w:val="57"/>
        </w:trPr>
        <w:tc>
          <w:tcPr>
            <w:tcW w:w="355" w:type="pct"/>
            <w:tcBorders>
              <w:top w:val="nil"/>
              <w:bottom w:val="single" w:sz="4" w:space="0" w:color="auto"/>
              <w:right w:val="nil"/>
            </w:tcBorders>
            <w:tcMar>
              <w:top w:w="28" w:type="dxa"/>
              <w:left w:w="57" w:type="dxa"/>
              <w:bottom w:w="28" w:type="dxa"/>
              <w:right w:w="57" w:type="dxa"/>
            </w:tcMar>
          </w:tcPr>
          <w:p w14:paraId="561875C6" w14:textId="77777777" w:rsidR="00400D30" w:rsidRPr="00F04F82" w:rsidRDefault="00400D30" w:rsidP="00D47253">
            <w:pPr>
              <w:numPr>
                <w:ilvl w:val="0"/>
                <w:numId w:val="46"/>
              </w:numPr>
              <w:tabs>
                <w:tab w:val="clear" w:pos="567"/>
              </w:tabs>
              <w:spacing w:line="240" w:lineRule="auto"/>
              <w:ind w:left="567" w:hanging="567"/>
            </w:pPr>
          </w:p>
        </w:tc>
        <w:tc>
          <w:tcPr>
            <w:tcW w:w="4645" w:type="pct"/>
            <w:gridSpan w:val="2"/>
            <w:tcBorders>
              <w:top w:val="nil"/>
              <w:left w:val="nil"/>
              <w:bottom w:val="single" w:sz="4" w:space="0" w:color="auto"/>
            </w:tcBorders>
            <w:tcMar>
              <w:left w:w="0" w:type="dxa"/>
            </w:tcMar>
          </w:tcPr>
          <w:p w14:paraId="036B1DC7" w14:textId="2EC49084" w:rsidR="00400D30" w:rsidRPr="00F04F82" w:rsidRDefault="00400D30" w:rsidP="00D47253">
            <w:pPr>
              <w:keepNext/>
              <w:keepLines/>
              <w:tabs>
                <w:tab w:val="clear" w:pos="567"/>
              </w:tabs>
              <w:spacing w:line="240" w:lineRule="auto"/>
              <w:contextualSpacing/>
              <w:rPr>
                <w:b/>
                <w:bCs/>
                <w:color w:val="000000"/>
                <w:szCs w:val="22"/>
              </w:rPr>
            </w:pPr>
            <w:r w:rsidRPr="00F04F82">
              <w:rPr>
                <w:color w:val="000000"/>
                <w:szCs w:val="22"/>
              </w:rPr>
              <w:t>It is normal to see a drop of medicine at the end of the needle or cream</w:t>
            </w:r>
            <w:r w:rsidR="003F4DCC" w:rsidRPr="00F04F82">
              <w:rPr>
                <w:color w:val="000000"/>
                <w:szCs w:val="22"/>
              </w:rPr>
              <w:t>-coloured</w:t>
            </w:r>
            <w:r w:rsidRPr="00F04F82">
              <w:rPr>
                <w:color w:val="000000"/>
                <w:szCs w:val="22"/>
              </w:rPr>
              <w:t xml:space="preserve"> safety guard.</w:t>
            </w:r>
          </w:p>
        </w:tc>
      </w:tr>
    </w:tbl>
    <w:p w14:paraId="2D484AFC" w14:textId="77777777" w:rsidR="00400D30" w:rsidRPr="00F04F82" w:rsidRDefault="00400D30" w:rsidP="00400D30">
      <w:pPr>
        <w:tabs>
          <w:tab w:val="left" w:pos="1134"/>
        </w:tabs>
        <w:spacing w:line="240" w:lineRule="auto"/>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5928" w:author="Author">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614"/>
        <w:gridCol w:w="82"/>
        <w:gridCol w:w="2268"/>
        <w:gridCol w:w="6094"/>
        <w:tblGridChange w:id="5929">
          <w:tblGrid>
            <w:gridCol w:w="58"/>
            <w:gridCol w:w="348"/>
            <w:gridCol w:w="208"/>
            <w:gridCol w:w="82"/>
            <w:gridCol w:w="323"/>
            <w:gridCol w:w="3568"/>
            <w:gridCol w:w="4471"/>
            <w:gridCol w:w="58"/>
            <w:gridCol w:w="348"/>
          </w:tblGrid>
        </w:tblGridChange>
      </w:tblGrid>
      <w:tr w:rsidR="00A66B5F" w:rsidRPr="00F04F82" w14:paraId="11F221AA" w14:textId="77777777" w:rsidTr="00D55B59">
        <w:trPr>
          <w:cantSplit/>
          <w:trHeight w:val="510"/>
          <w:trPrChange w:id="5930" w:author="Author">
            <w:trPr>
              <w:gridAfter w:val="0"/>
              <w:cantSplit/>
              <w:trHeight w:val="825"/>
            </w:trPr>
          </w:trPrChange>
        </w:trPr>
        <w:tc>
          <w:tcPr>
            <w:tcW w:w="339" w:type="pct"/>
            <w:tcMar>
              <w:top w:w="28" w:type="dxa"/>
              <w:left w:w="57" w:type="dxa"/>
              <w:bottom w:w="28" w:type="dxa"/>
              <w:right w:w="57" w:type="dxa"/>
            </w:tcMar>
            <w:tcPrChange w:id="5931" w:author="Author">
              <w:tcPr>
                <w:tcW w:w="339" w:type="pct"/>
                <w:gridSpan w:val="3"/>
                <w:tcMar>
                  <w:top w:w="28" w:type="dxa"/>
                  <w:left w:w="57" w:type="dxa"/>
                  <w:bottom w:w="28" w:type="dxa"/>
                  <w:right w:w="57" w:type="dxa"/>
                </w:tcMar>
              </w:tcPr>
            </w:tcPrChange>
          </w:tcPr>
          <w:p w14:paraId="497173B2" w14:textId="77777777" w:rsidR="00A66B5F" w:rsidRPr="00F04F82" w:rsidRDefault="00A66B5F" w:rsidP="00D47253">
            <w:pPr>
              <w:keepNext/>
              <w:rPr>
                <w:b/>
                <w:bCs/>
                <w:szCs w:val="22"/>
              </w:rPr>
            </w:pPr>
            <w:r w:rsidRPr="00F04F82">
              <w:rPr>
                <w:b/>
                <w:bCs/>
                <w:szCs w:val="22"/>
              </w:rPr>
              <w:t>4b</w:t>
            </w:r>
          </w:p>
        </w:tc>
        <w:tc>
          <w:tcPr>
            <w:tcW w:w="4661" w:type="pct"/>
            <w:gridSpan w:val="3"/>
            <w:tcMar>
              <w:top w:w="28" w:type="dxa"/>
              <w:left w:w="57" w:type="dxa"/>
              <w:bottom w:w="28" w:type="dxa"/>
              <w:right w:w="57" w:type="dxa"/>
            </w:tcMar>
            <w:tcPrChange w:id="5932" w:author="Author">
              <w:tcPr>
                <w:tcW w:w="4661" w:type="pct"/>
                <w:gridSpan w:val="4"/>
                <w:tcMar>
                  <w:top w:w="28" w:type="dxa"/>
                  <w:left w:w="57" w:type="dxa"/>
                  <w:bottom w:w="28" w:type="dxa"/>
                  <w:right w:w="57" w:type="dxa"/>
                </w:tcMar>
              </w:tcPr>
            </w:tcPrChange>
          </w:tcPr>
          <w:p w14:paraId="6B586D93" w14:textId="6B354C80" w:rsidR="00A66B5F" w:rsidRPr="00F04F82" w:rsidDel="00A66B5F" w:rsidRDefault="00A66B5F" w:rsidP="00590677">
            <w:pPr>
              <w:pStyle w:val="ListParagraph"/>
              <w:keepNext/>
              <w:ind w:left="0"/>
              <w:rPr>
                <w:del w:id="5933" w:author="Author"/>
                <w:sz w:val="22"/>
                <w:szCs w:val="22"/>
              </w:rPr>
            </w:pPr>
            <w:r w:rsidRPr="00F04F82">
              <w:rPr>
                <w:b/>
                <w:bCs/>
                <w:sz w:val="22"/>
                <w:szCs w:val="22"/>
              </w:rPr>
              <w:t>Pinch the skin to create a firm surface at the injection site. Place the cream-coloured safety guard straight against the</w:t>
            </w:r>
            <w:ins w:id="5934" w:author="Author">
              <w:r w:rsidRPr="00F04F82">
                <w:rPr>
                  <w:b/>
                  <w:bCs/>
                  <w:sz w:val="22"/>
                  <w:szCs w:val="22"/>
                </w:rPr>
                <w:t xml:space="preserve"> pinched</w:t>
              </w:r>
            </w:ins>
            <w:r w:rsidRPr="00F04F82">
              <w:rPr>
                <w:b/>
                <w:bCs/>
                <w:sz w:val="22"/>
                <w:szCs w:val="22"/>
              </w:rPr>
              <w:t xml:space="preserve"> skin.</w:t>
            </w:r>
            <w:del w:id="5935" w:author="Author">
              <w:r w:rsidRPr="00F04F82" w:rsidDel="00A66B5F">
                <w:rPr>
                  <w:b/>
                  <w:bCs/>
                  <w:sz w:val="22"/>
                  <w:szCs w:val="22"/>
                </w:rPr>
                <w:delText xml:space="preserve">  </w:delText>
              </w:r>
            </w:del>
          </w:p>
          <w:p w14:paraId="20705ED0" w14:textId="31296893" w:rsidR="00A66B5F" w:rsidRPr="00F04F82" w:rsidRDefault="00A66B5F" w:rsidP="00D55B59">
            <w:pPr>
              <w:keepNext/>
              <w:tabs>
                <w:tab w:val="left" w:pos="1134"/>
              </w:tabs>
              <w:spacing w:line="240" w:lineRule="auto"/>
              <w:rPr>
                <w:szCs w:val="22"/>
              </w:rPr>
              <w:pPrChange w:id="5936" w:author="Author">
                <w:pPr>
                  <w:keepNext/>
                  <w:tabs>
                    <w:tab w:val="left" w:pos="1134"/>
                  </w:tabs>
                  <w:spacing w:line="240" w:lineRule="auto"/>
                  <w:jc w:val="center"/>
                </w:pPr>
              </w:pPrChange>
            </w:pPr>
            <w:del w:id="5937" w:author="Author">
              <w:r w:rsidRPr="00F04F82" w:rsidDel="00A66B5F">
                <w:rPr>
                  <w:b/>
                  <w:bCs/>
                </w:rPr>
                <w:delText>PINCH</w:delText>
              </w:r>
            </w:del>
          </w:p>
        </w:tc>
      </w:tr>
      <w:tr w:rsidR="00D62D48" w:rsidRPr="00F04F82" w14:paraId="2132D0D2" w14:textId="77777777" w:rsidTr="00D55B59">
        <w:trPr>
          <w:cantSplit/>
          <w:trHeight w:val="57"/>
          <w:trPrChange w:id="5938" w:author="Author">
            <w:trPr>
              <w:gridBefore w:val="1"/>
              <w:gridAfter w:val="0"/>
              <w:cantSplit/>
              <w:trHeight w:val="57"/>
            </w:trPr>
          </w:trPrChange>
        </w:trPr>
        <w:tc>
          <w:tcPr>
            <w:tcW w:w="1636" w:type="pct"/>
            <w:gridSpan w:val="3"/>
            <w:tcBorders>
              <w:bottom w:val="single" w:sz="4" w:space="0" w:color="auto"/>
              <w:right w:val="nil"/>
            </w:tcBorders>
            <w:tcMar>
              <w:top w:w="28" w:type="dxa"/>
              <w:left w:w="57" w:type="dxa"/>
              <w:bottom w:w="28" w:type="dxa"/>
              <w:right w:w="57" w:type="dxa"/>
            </w:tcMar>
            <w:tcPrChange w:id="5939" w:author="Author">
              <w:tcPr>
                <w:tcW w:w="2500" w:type="pct"/>
                <w:gridSpan w:val="5"/>
                <w:tcBorders>
                  <w:bottom w:val="single" w:sz="4" w:space="0" w:color="auto"/>
                </w:tcBorders>
                <w:tcMar>
                  <w:top w:w="28" w:type="dxa"/>
                  <w:left w:w="57" w:type="dxa"/>
                  <w:bottom w:w="28" w:type="dxa"/>
                  <w:right w:w="57" w:type="dxa"/>
                </w:tcMar>
              </w:tcPr>
            </w:tcPrChange>
          </w:tcPr>
          <w:p w14:paraId="132BBB9E" w14:textId="77777777" w:rsidR="00D62D48" w:rsidRPr="00D55B59" w:rsidRDefault="00D62D48" w:rsidP="00D55B59">
            <w:pPr>
              <w:keepNext/>
              <w:tabs>
                <w:tab w:val="left" w:pos="1134"/>
              </w:tabs>
              <w:spacing w:line="240" w:lineRule="auto"/>
              <w:jc w:val="right"/>
              <w:rPr>
                <w:ins w:id="5940" w:author="Author"/>
                <w:bCs/>
                <w:rPrChange w:id="5941" w:author="Author">
                  <w:rPr>
                    <w:ins w:id="5942" w:author="Author"/>
                    <w:bCs/>
                    <w:noProof/>
                  </w:rPr>
                </w:rPrChange>
              </w:rPr>
              <w:pPrChange w:id="5943" w:author="Author">
                <w:pPr>
                  <w:keepNext/>
                  <w:tabs>
                    <w:tab w:val="left" w:pos="1134"/>
                  </w:tabs>
                  <w:spacing w:line="240" w:lineRule="auto"/>
                  <w:jc w:val="center"/>
                </w:pPr>
              </w:pPrChange>
            </w:pPr>
          </w:p>
          <w:p w14:paraId="1889240C" w14:textId="77777777" w:rsidR="00D62D48" w:rsidRPr="00D55B59" w:rsidRDefault="00D62D48" w:rsidP="00D55B59">
            <w:pPr>
              <w:keepNext/>
              <w:tabs>
                <w:tab w:val="left" w:pos="1134"/>
              </w:tabs>
              <w:spacing w:line="240" w:lineRule="auto"/>
              <w:jc w:val="right"/>
              <w:rPr>
                <w:ins w:id="5944" w:author="Author"/>
                <w:bCs/>
                <w:rPrChange w:id="5945" w:author="Author">
                  <w:rPr>
                    <w:ins w:id="5946" w:author="Author"/>
                    <w:bCs/>
                    <w:noProof/>
                  </w:rPr>
                </w:rPrChange>
              </w:rPr>
              <w:pPrChange w:id="5947" w:author="Author">
                <w:pPr>
                  <w:keepNext/>
                  <w:tabs>
                    <w:tab w:val="left" w:pos="1134"/>
                  </w:tabs>
                  <w:spacing w:line="240" w:lineRule="auto"/>
                  <w:jc w:val="center"/>
                </w:pPr>
              </w:pPrChange>
            </w:pPr>
          </w:p>
          <w:p w14:paraId="089FF5CC" w14:textId="77777777" w:rsidR="00D62D48" w:rsidRPr="00D55B59" w:rsidRDefault="00D62D48" w:rsidP="00D55B59">
            <w:pPr>
              <w:keepNext/>
              <w:tabs>
                <w:tab w:val="left" w:pos="1134"/>
              </w:tabs>
              <w:spacing w:line="240" w:lineRule="auto"/>
              <w:jc w:val="right"/>
              <w:rPr>
                <w:ins w:id="5948" w:author="Author"/>
                <w:bCs/>
                <w:rPrChange w:id="5949" w:author="Author">
                  <w:rPr>
                    <w:ins w:id="5950" w:author="Author"/>
                    <w:bCs/>
                    <w:noProof/>
                  </w:rPr>
                </w:rPrChange>
              </w:rPr>
              <w:pPrChange w:id="5951" w:author="Author">
                <w:pPr>
                  <w:keepNext/>
                  <w:tabs>
                    <w:tab w:val="left" w:pos="1134"/>
                  </w:tabs>
                  <w:spacing w:line="240" w:lineRule="auto"/>
                  <w:jc w:val="center"/>
                </w:pPr>
              </w:pPrChange>
            </w:pPr>
          </w:p>
          <w:p w14:paraId="09181E39" w14:textId="77777777" w:rsidR="00D62D48" w:rsidRPr="00D55B59" w:rsidRDefault="00D62D48" w:rsidP="00C22AF2">
            <w:pPr>
              <w:keepNext/>
              <w:tabs>
                <w:tab w:val="left" w:pos="1134"/>
              </w:tabs>
              <w:spacing w:line="240" w:lineRule="auto"/>
              <w:jc w:val="right"/>
              <w:rPr>
                <w:ins w:id="5952" w:author="Author"/>
                <w:bCs/>
                <w:rPrChange w:id="5953" w:author="Author">
                  <w:rPr>
                    <w:ins w:id="5954" w:author="Author"/>
                    <w:bCs/>
                    <w:noProof/>
                  </w:rPr>
                </w:rPrChange>
              </w:rPr>
            </w:pPr>
          </w:p>
          <w:p w14:paraId="490460CC" w14:textId="554C2F50" w:rsidR="00C22AF2" w:rsidRPr="00D55B59" w:rsidDel="00A66B5F" w:rsidRDefault="00C22AF2" w:rsidP="00D55B59">
            <w:pPr>
              <w:keepNext/>
              <w:tabs>
                <w:tab w:val="left" w:pos="1134"/>
              </w:tabs>
              <w:spacing w:line="240" w:lineRule="auto"/>
              <w:jc w:val="right"/>
              <w:rPr>
                <w:ins w:id="5955" w:author="Author"/>
                <w:del w:id="5956" w:author="Author"/>
                <w:bCs/>
                <w:rPrChange w:id="5957" w:author="Author">
                  <w:rPr>
                    <w:ins w:id="5958" w:author="Author"/>
                    <w:del w:id="5959" w:author="Author"/>
                    <w:bCs/>
                    <w:noProof/>
                  </w:rPr>
                </w:rPrChange>
              </w:rPr>
              <w:pPrChange w:id="5960" w:author="Author">
                <w:pPr>
                  <w:keepNext/>
                  <w:tabs>
                    <w:tab w:val="left" w:pos="1134"/>
                  </w:tabs>
                  <w:spacing w:line="240" w:lineRule="auto"/>
                  <w:jc w:val="center"/>
                </w:pPr>
              </w:pPrChange>
            </w:pPr>
          </w:p>
          <w:p w14:paraId="0A03BABB" w14:textId="77777777" w:rsidR="004F2C26" w:rsidRPr="00D55B59" w:rsidRDefault="004F2C26" w:rsidP="004F2C26">
            <w:pPr>
              <w:keepNext/>
              <w:tabs>
                <w:tab w:val="left" w:pos="1134"/>
              </w:tabs>
              <w:spacing w:line="240" w:lineRule="auto"/>
              <w:jc w:val="right"/>
              <w:rPr>
                <w:ins w:id="5961" w:author="Author"/>
                <w:bCs/>
                <w:rPrChange w:id="5962" w:author="Author">
                  <w:rPr>
                    <w:ins w:id="5963" w:author="Author"/>
                    <w:bCs/>
                    <w:noProof/>
                  </w:rPr>
                </w:rPrChange>
              </w:rPr>
            </w:pPr>
            <w:ins w:id="5964" w:author="Author">
              <w:r w:rsidRPr="00D55B59">
                <w:rPr>
                  <w:bCs/>
                  <w:rPrChange w:id="5965" w:author="Author">
                    <w:rPr>
                      <w:bCs/>
                      <w:noProof/>
                    </w:rPr>
                  </w:rPrChange>
                </w:rPr>
                <w:t xml:space="preserve">PINCH skin at </w:t>
              </w:r>
            </w:ins>
          </w:p>
          <w:p w14:paraId="5FF6AD37" w14:textId="17A8086C" w:rsidR="00D62D48" w:rsidRPr="00D55B59" w:rsidRDefault="004F2C26" w:rsidP="00D55B59">
            <w:pPr>
              <w:keepNext/>
              <w:tabs>
                <w:tab w:val="left" w:pos="1134"/>
              </w:tabs>
              <w:spacing w:line="240" w:lineRule="auto"/>
              <w:jc w:val="right"/>
              <w:rPr>
                <w:bCs/>
                <w:rPrChange w:id="5966" w:author="Author">
                  <w:rPr>
                    <w:b/>
                    <w:bCs/>
                  </w:rPr>
                </w:rPrChange>
              </w:rPr>
              <w:pPrChange w:id="5967" w:author="Author">
                <w:pPr>
                  <w:keepNext/>
                  <w:tabs>
                    <w:tab w:val="left" w:pos="1134"/>
                  </w:tabs>
                  <w:spacing w:line="240" w:lineRule="auto"/>
                  <w:jc w:val="center"/>
                </w:pPr>
              </w:pPrChange>
            </w:pPr>
            <w:ins w:id="5968" w:author="Author">
              <w:r w:rsidRPr="00D55B59">
                <w:rPr>
                  <w:bCs/>
                  <w:rPrChange w:id="5969" w:author="Author">
                    <w:rPr>
                      <w:bCs/>
                      <w:noProof/>
                    </w:rPr>
                  </w:rPrChange>
                </w:rPr>
                <w:t>injection site</w:t>
              </w:r>
              <w:r w:rsidRPr="00D55B59" w:rsidDel="004F2C26">
                <w:rPr>
                  <w:bCs/>
                  <w:rPrChange w:id="5970" w:author="Author">
                    <w:rPr>
                      <w:bCs/>
                      <w:noProof/>
                    </w:rPr>
                  </w:rPrChange>
                </w:rPr>
                <w:t xml:space="preserve"> </w:t>
              </w:r>
            </w:ins>
          </w:p>
        </w:tc>
        <w:tc>
          <w:tcPr>
            <w:tcW w:w="3364" w:type="pct"/>
            <w:tcBorders>
              <w:left w:val="nil"/>
              <w:bottom w:val="single" w:sz="4" w:space="0" w:color="auto"/>
            </w:tcBorders>
            <w:tcPrChange w:id="5971" w:author="Author">
              <w:tcPr>
                <w:tcW w:w="2500" w:type="pct"/>
                <w:gridSpan w:val="2"/>
                <w:tcBorders>
                  <w:bottom w:val="single" w:sz="4" w:space="0" w:color="auto"/>
                </w:tcBorders>
              </w:tcPr>
            </w:tcPrChange>
          </w:tcPr>
          <w:p w14:paraId="4EF4D240" w14:textId="0A815659" w:rsidR="00D62D48" w:rsidRPr="00F04F82" w:rsidRDefault="00D96030" w:rsidP="00D55B59">
            <w:pPr>
              <w:keepNext/>
              <w:tabs>
                <w:tab w:val="left" w:pos="1134"/>
              </w:tabs>
              <w:spacing w:line="240" w:lineRule="auto"/>
              <w:rPr>
                <w:b/>
                <w:bCs/>
              </w:rPr>
              <w:pPrChange w:id="5972" w:author="Author">
                <w:pPr>
                  <w:keepNext/>
                  <w:tabs>
                    <w:tab w:val="left" w:pos="1134"/>
                  </w:tabs>
                  <w:spacing w:line="240" w:lineRule="auto"/>
                  <w:jc w:val="center"/>
                </w:pPr>
              </w:pPrChange>
            </w:pPr>
            <w:del w:id="5973" w:author="Author">
              <w:r>
                <w:rPr>
                  <w:bCs/>
                </w:rPr>
                <w:pict w14:anchorId="685CA285">
                  <v:shape id="_x0000_i1108" type="#_x0000_t75" style="width:252.5pt;height:149.5pt;visibility:visible;mso-wrap-style:square">
                    <v:imagedata r:id="rId102" o:title=""/>
                  </v:shape>
                </w:pict>
              </w:r>
            </w:del>
            <w:ins w:id="5974" w:author="Author">
              <w:r>
                <w:rPr>
                  <w:bCs/>
                </w:rPr>
                <w:pict w14:anchorId="44D3C034">
                  <v:shape id="_x0000_i1109" type="#_x0000_t75" style="width:226.5pt;height:2in">
                    <v:imagedata r:id="rId103" o:title="ILL2436"/>
                  </v:shape>
                </w:pict>
              </w:r>
            </w:ins>
          </w:p>
        </w:tc>
      </w:tr>
      <w:tr w:rsidR="00B57DF2" w:rsidRPr="00F04F82" w14:paraId="22BCB5DB" w14:textId="77777777" w:rsidTr="00D55B59">
        <w:trPr>
          <w:cantSplit/>
          <w:trHeight w:val="57"/>
          <w:trPrChange w:id="5975" w:author="Author">
            <w:trPr>
              <w:gridBefore w:val="2"/>
              <w:cantSplit/>
              <w:trHeight w:val="57"/>
            </w:trPr>
          </w:trPrChange>
        </w:trPr>
        <w:tc>
          <w:tcPr>
            <w:tcW w:w="339" w:type="pct"/>
            <w:tcBorders>
              <w:top w:val="nil"/>
              <w:bottom w:val="nil"/>
              <w:right w:val="nil"/>
            </w:tcBorders>
            <w:tcMar>
              <w:top w:w="28" w:type="dxa"/>
              <w:left w:w="57" w:type="dxa"/>
              <w:bottom w:w="28" w:type="dxa"/>
              <w:right w:w="57" w:type="dxa"/>
            </w:tcMar>
            <w:tcPrChange w:id="5976" w:author="Author">
              <w:tcPr>
                <w:tcW w:w="338" w:type="pct"/>
                <w:gridSpan w:val="3"/>
                <w:tcBorders>
                  <w:top w:val="nil"/>
                  <w:bottom w:val="nil"/>
                  <w:right w:val="nil"/>
                </w:tcBorders>
                <w:tcMar>
                  <w:top w:w="28" w:type="dxa"/>
                  <w:left w:w="57" w:type="dxa"/>
                  <w:bottom w:w="28" w:type="dxa"/>
                  <w:right w:w="57" w:type="dxa"/>
                </w:tcMar>
              </w:tcPr>
            </w:tcPrChange>
          </w:tcPr>
          <w:p w14:paraId="3581CD86" w14:textId="77777777" w:rsidR="00B57DF2" w:rsidRPr="00F04F82" w:rsidRDefault="00B57DF2" w:rsidP="00B57DF2">
            <w:pPr>
              <w:numPr>
                <w:ilvl w:val="0"/>
                <w:numId w:val="46"/>
              </w:numPr>
              <w:tabs>
                <w:tab w:val="clear" w:pos="567"/>
              </w:tabs>
              <w:spacing w:line="240" w:lineRule="auto"/>
              <w:ind w:left="567" w:hanging="567"/>
            </w:pPr>
          </w:p>
        </w:tc>
        <w:tc>
          <w:tcPr>
            <w:tcW w:w="4661" w:type="pct"/>
            <w:gridSpan w:val="3"/>
            <w:tcBorders>
              <w:top w:val="nil"/>
              <w:left w:val="nil"/>
              <w:bottom w:val="nil"/>
            </w:tcBorders>
            <w:tcMar>
              <w:left w:w="0" w:type="dxa"/>
            </w:tcMar>
            <w:tcPrChange w:id="5977" w:author="Author">
              <w:tcPr>
                <w:tcW w:w="4662" w:type="pct"/>
                <w:gridSpan w:val="4"/>
                <w:tcBorders>
                  <w:top w:val="nil"/>
                  <w:left w:val="nil"/>
                  <w:bottom w:val="nil"/>
                </w:tcBorders>
                <w:tcMar>
                  <w:left w:w="0" w:type="dxa"/>
                </w:tcMar>
              </w:tcPr>
            </w:tcPrChange>
          </w:tcPr>
          <w:p w14:paraId="4FB66139" w14:textId="3FA0F8FB" w:rsidR="00B57DF2" w:rsidRPr="00F04F82" w:rsidRDefault="00B57DF2" w:rsidP="00B57DF2">
            <w:pPr>
              <w:tabs>
                <w:tab w:val="left" w:pos="1134"/>
              </w:tabs>
              <w:spacing w:line="240" w:lineRule="auto"/>
              <w:rPr>
                <w:b/>
                <w:bCs/>
              </w:rPr>
            </w:pPr>
            <w:r w:rsidRPr="00F04F82">
              <w:t xml:space="preserve">Keep the skin </w:t>
            </w:r>
            <w:r w:rsidRPr="00F04F82">
              <w:rPr>
                <w:b/>
                <w:bCs/>
              </w:rPr>
              <w:t>pinched</w:t>
            </w:r>
            <w:r w:rsidRPr="00F04F82">
              <w:t xml:space="preserve"> until the injection is finished.</w:t>
            </w:r>
          </w:p>
        </w:tc>
      </w:tr>
      <w:tr w:rsidR="00B57DF2" w:rsidRPr="00F04F82" w14:paraId="163EAA49" w14:textId="77777777" w:rsidTr="00D55B59">
        <w:trPr>
          <w:cantSplit/>
          <w:trHeight w:val="57"/>
          <w:trPrChange w:id="5978" w:author="Author">
            <w:trPr>
              <w:gridBefore w:val="2"/>
              <w:cantSplit/>
              <w:trHeight w:val="57"/>
            </w:trPr>
          </w:trPrChange>
        </w:trPr>
        <w:tc>
          <w:tcPr>
            <w:tcW w:w="339" w:type="pct"/>
            <w:tcBorders>
              <w:top w:val="nil"/>
              <w:left w:val="single" w:sz="4" w:space="0" w:color="auto"/>
              <w:bottom w:val="nil"/>
              <w:right w:val="nil"/>
            </w:tcBorders>
            <w:tcMar>
              <w:top w:w="28" w:type="dxa"/>
              <w:left w:w="57" w:type="dxa"/>
              <w:bottom w:w="28" w:type="dxa"/>
              <w:right w:w="57" w:type="dxa"/>
            </w:tcMar>
            <w:tcPrChange w:id="5979" w:author="Author">
              <w:tcPr>
                <w:tcW w:w="338" w:type="pct"/>
                <w:gridSpan w:val="3"/>
                <w:tcBorders>
                  <w:top w:val="nil"/>
                  <w:bottom w:val="single" w:sz="4" w:space="0" w:color="auto"/>
                  <w:right w:val="nil"/>
                </w:tcBorders>
                <w:tcMar>
                  <w:top w:w="28" w:type="dxa"/>
                  <w:left w:w="57" w:type="dxa"/>
                  <w:bottom w:w="28" w:type="dxa"/>
                  <w:right w:w="57" w:type="dxa"/>
                </w:tcMar>
              </w:tcPr>
            </w:tcPrChange>
          </w:tcPr>
          <w:p w14:paraId="3C99467C" w14:textId="77777777" w:rsidR="00B57DF2" w:rsidRPr="00F04F82" w:rsidRDefault="00B57DF2" w:rsidP="00B57DF2">
            <w:pPr>
              <w:numPr>
                <w:ilvl w:val="0"/>
                <w:numId w:val="46"/>
              </w:numPr>
              <w:tabs>
                <w:tab w:val="clear" w:pos="567"/>
              </w:tabs>
              <w:spacing w:line="240" w:lineRule="auto"/>
              <w:ind w:left="567" w:hanging="567"/>
            </w:pPr>
          </w:p>
        </w:tc>
        <w:tc>
          <w:tcPr>
            <w:tcW w:w="4661" w:type="pct"/>
            <w:gridSpan w:val="3"/>
            <w:tcBorders>
              <w:top w:val="nil"/>
              <w:left w:val="nil"/>
              <w:bottom w:val="nil"/>
              <w:right w:val="single" w:sz="4" w:space="0" w:color="auto"/>
            </w:tcBorders>
            <w:tcMar>
              <w:left w:w="0" w:type="dxa"/>
            </w:tcMar>
            <w:tcPrChange w:id="5980" w:author="Author">
              <w:tcPr>
                <w:tcW w:w="4662" w:type="pct"/>
                <w:gridSpan w:val="4"/>
                <w:tcBorders>
                  <w:top w:val="nil"/>
                  <w:left w:val="nil"/>
                  <w:bottom w:val="single" w:sz="4" w:space="0" w:color="auto"/>
                </w:tcBorders>
                <w:tcMar>
                  <w:left w:w="0" w:type="dxa"/>
                </w:tcMar>
              </w:tcPr>
            </w:tcPrChange>
          </w:tcPr>
          <w:p w14:paraId="5F31D82A" w14:textId="1D7C9DA3" w:rsidR="00B57DF2" w:rsidRPr="00F04F82" w:rsidRDefault="00B57DF2" w:rsidP="00B57DF2">
            <w:pPr>
              <w:tabs>
                <w:tab w:val="left" w:pos="1134"/>
              </w:tabs>
              <w:spacing w:line="240" w:lineRule="auto"/>
            </w:pPr>
            <w:r w:rsidRPr="00F04F82">
              <w:t>Make sure you can see the window.</w:t>
            </w:r>
          </w:p>
        </w:tc>
      </w:tr>
      <w:tr w:rsidR="00B57DF2" w:rsidRPr="00F04F82" w14:paraId="00F2E618" w14:textId="77777777" w:rsidTr="00D55B59">
        <w:trPr>
          <w:cantSplit/>
          <w:trHeight w:val="57"/>
          <w:trPrChange w:id="5981" w:author="Author">
            <w:trPr>
              <w:gridBefore w:val="2"/>
              <w:cantSplit/>
              <w:trHeight w:val="57"/>
            </w:trPr>
          </w:trPrChange>
        </w:trPr>
        <w:tc>
          <w:tcPr>
            <w:tcW w:w="339" w:type="pct"/>
            <w:tcBorders>
              <w:top w:val="nil"/>
              <w:bottom w:val="single" w:sz="4" w:space="0" w:color="auto"/>
              <w:right w:val="nil"/>
            </w:tcBorders>
            <w:tcMar>
              <w:top w:w="28" w:type="dxa"/>
              <w:left w:w="57" w:type="dxa"/>
              <w:bottom w:w="28" w:type="dxa"/>
              <w:right w:w="57" w:type="dxa"/>
            </w:tcMar>
            <w:tcPrChange w:id="5982" w:author="Author">
              <w:tcPr>
                <w:tcW w:w="338" w:type="pct"/>
                <w:gridSpan w:val="3"/>
                <w:tcBorders>
                  <w:top w:val="nil"/>
                  <w:bottom w:val="single" w:sz="4" w:space="0" w:color="auto"/>
                  <w:right w:val="nil"/>
                </w:tcBorders>
                <w:tcMar>
                  <w:top w:w="28" w:type="dxa"/>
                  <w:left w:w="57" w:type="dxa"/>
                  <w:bottom w:w="28" w:type="dxa"/>
                  <w:right w:w="57" w:type="dxa"/>
                </w:tcMar>
              </w:tcPr>
            </w:tcPrChange>
          </w:tcPr>
          <w:p w14:paraId="0F8FBA89" w14:textId="77777777" w:rsidR="00B57DF2" w:rsidRPr="00F04F82" w:rsidRDefault="00B57DF2" w:rsidP="00B57DF2">
            <w:pPr>
              <w:numPr>
                <w:ilvl w:val="0"/>
                <w:numId w:val="46"/>
              </w:numPr>
              <w:tabs>
                <w:tab w:val="clear" w:pos="567"/>
              </w:tabs>
              <w:spacing w:line="240" w:lineRule="auto"/>
              <w:ind w:left="567" w:hanging="567"/>
            </w:pPr>
          </w:p>
        </w:tc>
        <w:tc>
          <w:tcPr>
            <w:tcW w:w="4661" w:type="pct"/>
            <w:gridSpan w:val="3"/>
            <w:tcBorders>
              <w:top w:val="nil"/>
              <w:left w:val="nil"/>
              <w:bottom w:val="single" w:sz="4" w:space="0" w:color="auto"/>
            </w:tcBorders>
            <w:tcMar>
              <w:left w:w="0" w:type="dxa"/>
            </w:tcMar>
            <w:tcPrChange w:id="5983" w:author="Author">
              <w:tcPr>
                <w:tcW w:w="4662" w:type="pct"/>
                <w:gridSpan w:val="4"/>
                <w:tcBorders>
                  <w:top w:val="nil"/>
                  <w:left w:val="nil"/>
                  <w:bottom w:val="single" w:sz="4" w:space="0" w:color="auto"/>
                </w:tcBorders>
                <w:tcMar>
                  <w:left w:w="0" w:type="dxa"/>
                </w:tcMar>
              </w:tcPr>
            </w:tcPrChange>
          </w:tcPr>
          <w:p w14:paraId="17F3D9B0" w14:textId="541AB98F" w:rsidR="00B57DF2" w:rsidRPr="00F04F82" w:rsidRDefault="00B57DF2" w:rsidP="00B57DF2">
            <w:pPr>
              <w:tabs>
                <w:tab w:val="left" w:pos="1134"/>
              </w:tabs>
              <w:spacing w:line="240" w:lineRule="auto"/>
            </w:pPr>
            <w:r w:rsidRPr="00F04F82">
              <w:t xml:space="preserve">Make sure the </w:t>
            </w:r>
            <w:del w:id="5984" w:author="Author">
              <w:r w:rsidRPr="00F04F82" w:rsidDel="00542331">
                <w:delText xml:space="preserve">autoinjector </w:delText>
              </w:r>
            </w:del>
            <w:ins w:id="5985" w:author="Author">
              <w:r w:rsidR="00542331" w:rsidRPr="00F04F82">
                <w:t xml:space="preserve">pre-filled pen </w:t>
              </w:r>
            </w:ins>
            <w:r w:rsidRPr="00F04F82">
              <w:t>is positioned straight on the injection site (at a 90 degree angle).</w:t>
            </w:r>
          </w:p>
        </w:tc>
      </w:tr>
      <w:tr w:rsidR="00400D30" w:rsidRPr="00F04F82" w14:paraId="10DE8FED" w14:textId="77777777" w:rsidTr="00D47253">
        <w:trPr>
          <w:cantSplit/>
          <w:trHeight w:val="57"/>
        </w:trPr>
        <w:tc>
          <w:tcPr>
            <w:tcW w:w="5000" w:type="pct"/>
            <w:gridSpan w:val="4"/>
            <w:tcBorders>
              <w:top w:val="nil"/>
              <w:bottom w:val="nil"/>
            </w:tcBorders>
            <w:tcMar>
              <w:top w:w="28" w:type="dxa"/>
              <w:left w:w="57" w:type="dxa"/>
              <w:bottom w:w="28" w:type="dxa"/>
              <w:right w:w="57" w:type="dxa"/>
            </w:tcMar>
            <w:vAlign w:val="center"/>
          </w:tcPr>
          <w:p w14:paraId="7D1782FD" w14:textId="77777777" w:rsidR="00400D30" w:rsidRPr="00F04F82" w:rsidRDefault="00400D30" w:rsidP="00D47253">
            <w:pPr>
              <w:tabs>
                <w:tab w:val="left" w:pos="1134"/>
              </w:tabs>
              <w:spacing w:line="240" w:lineRule="auto"/>
              <w:jc w:val="center"/>
              <w:rPr>
                <w:b/>
                <w:bCs/>
              </w:rPr>
            </w:pPr>
          </w:p>
          <w:p w14:paraId="0A092743" w14:textId="77777777" w:rsidR="00400D30" w:rsidRPr="00F04F82" w:rsidRDefault="00400D30" w:rsidP="00D47253">
            <w:pPr>
              <w:tabs>
                <w:tab w:val="left" w:pos="1134"/>
              </w:tabs>
              <w:spacing w:line="240" w:lineRule="auto"/>
              <w:jc w:val="center"/>
              <w:rPr>
                <w:b/>
                <w:bCs/>
              </w:rPr>
            </w:pPr>
            <w:r w:rsidRPr="00F04F82">
              <w:rPr>
                <w:b/>
                <w:bCs/>
              </w:rPr>
              <w:t>PUSH</w:t>
            </w:r>
          </w:p>
          <w:p w14:paraId="1C33F8DA" w14:textId="77777777" w:rsidR="00400D30" w:rsidRPr="00F04F82" w:rsidRDefault="00400D30" w:rsidP="00D47253">
            <w:pPr>
              <w:tabs>
                <w:tab w:val="left" w:pos="1134"/>
              </w:tabs>
              <w:spacing w:line="240" w:lineRule="auto"/>
              <w:jc w:val="center"/>
            </w:pPr>
            <w:r w:rsidRPr="00F04F82">
              <w:rPr>
                <w:b/>
                <w:bCs/>
              </w:rPr>
              <w:t>and hold against skin</w:t>
            </w:r>
          </w:p>
        </w:tc>
      </w:tr>
      <w:tr w:rsidR="00400D30" w:rsidRPr="00F04F82" w14:paraId="63221B13" w14:textId="77777777" w:rsidTr="00B61D9D">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45442A93" w14:textId="6079D81B" w:rsidR="00400D30" w:rsidRPr="00F04F82" w:rsidRDefault="00D96030" w:rsidP="00D47253">
            <w:pPr>
              <w:tabs>
                <w:tab w:val="left" w:pos="1134"/>
              </w:tabs>
              <w:spacing w:line="240" w:lineRule="auto"/>
              <w:jc w:val="center"/>
            </w:pPr>
            <w:r>
              <w:pict w14:anchorId="67BECC2D">
                <v:shape id="Picture 75" o:spid="_x0000_i1110" type="#_x0000_t75" style="width:252.5pt;height:149.5pt;visibility:visible;mso-wrap-style:square">
                  <v:imagedata r:id="rId92" o:title=""/>
                </v:shape>
              </w:pict>
            </w:r>
          </w:p>
        </w:tc>
      </w:tr>
      <w:tr w:rsidR="00400D30" w:rsidRPr="00F04F82" w14:paraId="7DFC35B5" w14:textId="77777777" w:rsidTr="00B61D9D">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2E75814B" w14:textId="77777777" w:rsidR="00400D30" w:rsidRPr="00F04F82" w:rsidRDefault="00400D30" w:rsidP="00D47253">
            <w:pPr>
              <w:tabs>
                <w:tab w:val="left" w:pos="1134"/>
              </w:tabs>
              <w:spacing w:line="240" w:lineRule="auto"/>
              <w:rPr>
                <w:b/>
                <w:bCs/>
              </w:rPr>
            </w:pPr>
            <w:r w:rsidRPr="00F04F82">
              <w:rPr>
                <w:b/>
                <w:bCs/>
              </w:rPr>
              <w:t>4c</w:t>
            </w:r>
          </w:p>
        </w:tc>
        <w:tc>
          <w:tcPr>
            <w:tcW w:w="4616" w:type="pct"/>
            <w:gridSpan w:val="2"/>
            <w:tcBorders>
              <w:top w:val="single" w:sz="4" w:space="0" w:color="auto"/>
              <w:bottom w:val="single" w:sz="4" w:space="0" w:color="auto"/>
            </w:tcBorders>
            <w:vAlign w:val="center"/>
          </w:tcPr>
          <w:p w14:paraId="6CEDE878" w14:textId="6D7C2CA1" w:rsidR="00400D30" w:rsidRPr="00F04F82" w:rsidRDefault="00400D30" w:rsidP="000E67AC">
            <w:pPr>
              <w:tabs>
                <w:tab w:val="left" w:pos="1134"/>
              </w:tabs>
              <w:spacing w:line="240" w:lineRule="auto"/>
            </w:pPr>
            <w:r w:rsidRPr="00F04F82">
              <w:rPr>
                <w:b/>
                <w:bCs/>
                <w:szCs w:val="22"/>
              </w:rPr>
              <w:t>Firmly push</w:t>
            </w:r>
            <w:ins w:id="5986" w:author="Author">
              <w:r w:rsidR="0084374D" w:rsidRPr="00F04F82">
                <w:rPr>
                  <w:b/>
                  <w:bCs/>
                  <w:szCs w:val="22"/>
                </w:rPr>
                <w:t xml:space="preserve"> the pre-filled pen</w:t>
              </w:r>
            </w:ins>
            <w:r w:rsidRPr="00F04F82">
              <w:rPr>
                <w:b/>
                <w:bCs/>
                <w:szCs w:val="22"/>
              </w:rPr>
              <w:t xml:space="preserve"> down until the cream</w:t>
            </w:r>
            <w:r w:rsidR="003F4DCC" w:rsidRPr="00F04F82">
              <w:rPr>
                <w:b/>
                <w:bCs/>
                <w:szCs w:val="22"/>
              </w:rPr>
              <w:t>-coloured</w:t>
            </w:r>
            <w:r w:rsidRPr="00F04F82">
              <w:rPr>
                <w:b/>
                <w:bCs/>
                <w:szCs w:val="22"/>
              </w:rPr>
              <w:t xml:space="preserve"> safety guard stops moving. Hold</w:t>
            </w:r>
            <w:ins w:id="5987" w:author="Author">
              <w:r w:rsidR="0084374D" w:rsidRPr="00F04F82">
                <w:rPr>
                  <w:b/>
                  <w:bCs/>
                  <w:szCs w:val="22"/>
                </w:rPr>
                <w:t xml:space="preserve"> the pre-filled pen</w:t>
              </w:r>
            </w:ins>
            <w:r w:rsidRPr="00F04F82">
              <w:rPr>
                <w:b/>
                <w:bCs/>
                <w:szCs w:val="22"/>
              </w:rPr>
              <w:t xml:space="preserve"> down; do not lift.</w:t>
            </w:r>
          </w:p>
        </w:tc>
      </w:tr>
      <w:tr w:rsidR="00400D30" w:rsidRPr="00F04F82" w14:paraId="5474523A" w14:textId="77777777" w:rsidTr="00B61D9D">
        <w:trPr>
          <w:cantSplit/>
          <w:trHeight w:val="57"/>
        </w:trPr>
        <w:tc>
          <w:tcPr>
            <w:tcW w:w="384" w:type="pct"/>
            <w:gridSpan w:val="2"/>
            <w:tcBorders>
              <w:top w:val="single" w:sz="4" w:space="0" w:color="auto"/>
              <w:bottom w:val="single" w:sz="4" w:space="0" w:color="auto"/>
              <w:right w:val="nil"/>
            </w:tcBorders>
            <w:tcMar>
              <w:top w:w="28" w:type="dxa"/>
              <w:left w:w="57" w:type="dxa"/>
              <w:bottom w:w="28" w:type="dxa"/>
              <w:right w:w="57" w:type="dxa"/>
            </w:tcMar>
            <w:vAlign w:val="center"/>
          </w:tcPr>
          <w:p w14:paraId="4FA5532B" w14:textId="77777777" w:rsidR="00400D30" w:rsidRPr="00F04F82" w:rsidRDefault="00400D30" w:rsidP="00D47253">
            <w:pPr>
              <w:numPr>
                <w:ilvl w:val="0"/>
                <w:numId w:val="46"/>
              </w:numPr>
              <w:tabs>
                <w:tab w:val="clear" w:pos="567"/>
                <w:tab w:val="left" w:pos="578"/>
              </w:tabs>
              <w:spacing w:line="240" w:lineRule="auto"/>
              <w:ind w:left="642" w:hanging="642"/>
            </w:pPr>
          </w:p>
        </w:tc>
        <w:tc>
          <w:tcPr>
            <w:tcW w:w="4616" w:type="pct"/>
            <w:gridSpan w:val="2"/>
            <w:tcBorders>
              <w:top w:val="single" w:sz="4" w:space="0" w:color="auto"/>
              <w:left w:val="nil"/>
              <w:bottom w:val="single" w:sz="4" w:space="0" w:color="auto"/>
            </w:tcBorders>
            <w:vAlign w:val="center"/>
          </w:tcPr>
          <w:p w14:paraId="1474808D" w14:textId="2F2B3DAC" w:rsidR="00400D30" w:rsidRPr="00F04F82" w:rsidRDefault="00400D30" w:rsidP="00D47253">
            <w:pPr>
              <w:tabs>
                <w:tab w:val="left" w:pos="1134"/>
              </w:tabs>
              <w:spacing w:line="240" w:lineRule="auto"/>
            </w:pPr>
            <w:r w:rsidRPr="00F04F82">
              <w:rPr>
                <w:szCs w:val="22"/>
              </w:rPr>
              <w:t>The cream</w:t>
            </w:r>
            <w:r w:rsidR="003F4DCC" w:rsidRPr="00F04F82">
              <w:rPr>
                <w:szCs w:val="22"/>
              </w:rPr>
              <w:t>-coloured</w:t>
            </w:r>
            <w:r w:rsidRPr="00F04F82">
              <w:rPr>
                <w:szCs w:val="22"/>
              </w:rPr>
              <w:t xml:space="preserve"> safety guard pushes in and unlocks the light blue start button</w:t>
            </w:r>
            <w:ins w:id="5988" w:author="Author">
              <w:r w:rsidR="00C90B32" w:rsidRPr="00F04F82">
                <w:rPr>
                  <w:szCs w:val="22"/>
                </w:rPr>
                <w:t>.</w:t>
              </w:r>
            </w:ins>
          </w:p>
        </w:tc>
      </w:tr>
    </w:tbl>
    <w:p w14:paraId="0D834CF8" w14:textId="77777777" w:rsidR="00400D30" w:rsidRPr="00F04F82" w:rsidRDefault="00400D30" w:rsidP="00400D30">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95"/>
        <w:gridCol w:w="8374"/>
      </w:tblGrid>
      <w:tr w:rsidR="00400D30" w:rsidRPr="00F04F82" w14:paraId="3E85B6A9" w14:textId="77777777" w:rsidTr="00D47253">
        <w:trPr>
          <w:cantSplit/>
          <w:trHeight w:val="57"/>
        </w:trPr>
        <w:tc>
          <w:tcPr>
            <w:tcW w:w="5000" w:type="pct"/>
            <w:gridSpan w:val="2"/>
            <w:tcBorders>
              <w:bottom w:val="nil"/>
            </w:tcBorders>
            <w:tcMar>
              <w:top w:w="28" w:type="dxa"/>
              <w:left w:w="57" w:type="dxa"/>
              <w:bottom w:w="28" w:type="dxa"/>
              <w:right w:w="57" w:type="dxa"/>
            </w:tcMar>
          </w:tcPr>
          <w:p w14:paraId="012C8E07" w14:textId="77777777" w:rsidR="00400D30" w:rsidRPr="00D55B59" w:rsidRDefault="00400D30" w:rsidP="00B61D9D">
            <w:pPr>
              <w:keepNext/>
              <w:tabs>
                <w:tab w:val="left" w:pos="1134"/>
              </w:tabs>
              <w:spacing w:line="240" w:lineRule="auto"/>
              <w:jc w:val="center"/>
              <w:rPr>
                <w:b/>
                <w:bCs/>
                <w:rPrChange w:id="5989" w:author="Author">
                  <w:rPr>
                    <w:b/>
                    <w:bCs/>
                    <w:noProof/>
                  </w:rPr>
                </w:rPrChange>
              </w:rPr>
            </w:pPr>
            <w:r w:rsidRPr="00D55B59">
              <w:rPr>
                <w:b/>
                <w:bCs/>
                <w:rPrChange w:id="5990" w:author="Author">
                  <w:rPr>
                    <w:b/>
                    <w:bCs/>
                    <w:noProof/>
                  </w:rPr>
                </w:rPrChange>
              </w:rPr>
              <w:t>PRESS</w:t>
            </w:r>
          </w:p>
          <w:p w14:paraId="25516468" w14:textId="77777777" w:rsidR="00400D30" w:rsidRPr="00D55B59" w:rsidRDefault="00400D30" w:rsidP="00B61D9D">
            <w:pPr>
              <w:keepNext/>
              <w:tabs>
                <w:tab w:val="left" w:pos="1134"/>
              </w:tabs>
              <w:spacing w:line="240" w:lineRule="auto"/>
              <w:jc w:val="center"/>
              <w:rPr>
                <w:rPrChange w:id="5991" w:author="Author">
                  <w:rPr>
                    <w:noProof/>
                  </w:rPr>
                </w:rPrChange>
              </w:rPr>
            </w:pPr>
            <w:r w:rsidRPr="00D55B59">
              <w:rPr>
                <w:b/>
                <w:bCs/>
                <w:rPrChange w:id="5992" w:author="Author">
                  <w:rPr>
                    <w:b/>
                    <w:bCs/>
                    <w:noProof/>
                  </w:rPr>
                </w:rPrChange>
              </w:rPr>
              <w:t>light blue start button</w:t>
            </w:r>
          </w:p>
        </w:tc>
      </w:tr>
      <w:tr w:rsidR="00400D30" w:rsidRPr="00F04F82" w14:paraId="390C34D1" w14:textId="77777777" w:rsidTr="00B61D9D">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2ABD3E4F" w14:textId="0D3217FC" w:rsidR="00400D30" w:rsidRPr="00F04F82" w:rsidRDefault="00D96030" w:rsidP="00B61D9D">
            <w:pPr>
              <w:keepNext/>
              <w:tabs>
                <w:tab w:val="left" w:pos="1134"/>
              </w:tabs>
              <w:spacing w:line="240" w:lineRule="auto"/>
              <w:jc w:val="center"/>
              <w:rPr>
                <w:b/>
                <w:bCs/>
              </w:rPr>
            </w:pPr>
            <w:r>
              <w:pict w14:anchorId="24233E03">
                <v:shape id="Picture 76" o:spid="_x0000_i1111" type="#_x0000_t75" style="width:5in;height:221.5pt;visibility:visible;mso-wrap-style:square">
                  <v:imagedata r:id="rId93" o:title=""/>
                </v:shape>
              </w:pict>
            </w:r>
          </w:p>
        </w:tc>
      </w:tr>
      <w:tr w:rsidR="00400D30" w:rsidRPr="00F04F82" w14:paraId="1DE8E7A2" w14:textId="77777777" w:rsidTr="00B61D9D">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245300C8" w14:textId="77777777" w:rsidR="00400D30" w:rsidRPr="00F04F82" w:rsidRDefault="00400D30" w:rsidP="00D47253">
            <w:pPr>
              <w:tabs>
                <w:tab w:val="clear" w:pos="567"/>
              </w:tabs>
              <w:spacing w:line="240" w:lineRule="auto"/>
              <w:ind w:left="217" w:hanging="217"/>
              <w:rPr>
                <w:b/>
                <w:bCs/>
              </w:rPr>
            </w:pPr>
            <w:r w:rsidRPr="00F04F82">
              <w:rPr>
                <w:b/>
                <w:bCs/>
              </w:rPr>
              <w:t>4d</w:t>
            </w:r>
          </w:p>
        </w:tc>
        <w:tc>
          <w:tcPr>
            <w:tcW w:w="4617" w:type="pct"/>
            <w:tcBorders>
              <w:top w:val="single" w:sz="4" w:space="0" w:color="auto"/>
              <w:left w:val="single" w:sz="4" w:space="0" w:color="auto"/>
              <w:bottom w:val="single" w:sz="4" w:space="0" w:color="auto"/>
            </w:tcBorders>
            <w:tcMar>
              <w:left w:w="0" w:type="dxa"/>
            </w:tcMar>
          </w:tcPr>
          <w:p w14:paraId="1F51BDBE" w14:textId="417130A6" w:rsidR="00400D30" w:rsidRPr="00F04F82" w:rsidRDefault="00400D30" w:rsidP="00D47253">
            <w:pPr>
              <w:tabs>
                <w:tab w:val="left" w:pos="1134"/>
              </w:tabs>
              <w:spacing w:line="240" w:lineRule="auto"/>
              <w:rPr>
                <w:b/>
                <w:bCs/>
              </w:rPr>
            </w:pPr>
            <w:r w:rsidRPr="00F04F82">
              <w:rPr>
                <w:b/>
                <w:bCs/>
                <w:szCs w:val="22"/>
              </w:rPr>
              <w:t xml:space="preserve">Keep pushing </w:t>
            </w:r>
            <w:ins w:id="5993" w:author="Author">
              <w:r w:rsidR="00210B92" w:rsidRPr="00F04F82">
                <w:rPr>
                  <w:b/>
                  <w:bCs/>
                  <w:szCs w:val="22"/>
                </w:rPr>
                <w:t>the pre</w:t>
              </w:r>
              <w:r w:rsidR="0084374D" w:rsidRPr="00F04F82">
                <w:rPr>
                  <w:b/>
                  <w:bCs/>
                  <w:szCs w:val="22"/>
                </w:rPr>
                <w:t xml:space="preserve">-filled pen </w:t>
              </w:r>
            </w:ins>
            <w:r w:rsidRPr="00F04F82">
              <w:rPr>
                <w:b/>
                <w:bCs/>
                <w:szCs w:val="22"/>
              </w:rPr>
              <w:t>down</w:t>
            </w:r>
            <w:del w:id="5994" w:author="Author">
              <w:r w:rsidRPr="00F04F82" w:rsidDel="0084374D">
                <w:rPr>
                  <w:b/>
                  <w:bCs/>
                  <w:szCs w:val="22"/>
                </w:rPr>
                <w:delText xml:space="preserve"> firmly</w:delText>
              </w:r>
            </w:del>
            <w:r w:rsidRPr="00F04F82">
              <w:rPr>
                <w:b/>
                <w:bCs/>
                <w:szCs w:val="22"/>
              </w:rPr>
              <w:t xml:space="preserve"> and press the light blue start button to start the injection.</w:t>
            </w:r>
          </w:p>
        </w:tc>
      </w:tr>
      <w:tr w:rsidR="00400D30" w:rsidRPr="00F04F82" w14:paraId="6929382B" w14:textId="77777777" w:rsidTr="00B61D9D">
        <w:trPr>
          <w:cantSplit/>
          <w:trHeight w:val="57"/>
        </w:trPr>
        <w:tc>
          <w:tcPr>
            <w:tcW w:w="383" w:type="pct"/>
            <w:tcBorders>
              <w:top w:val="single" w:sz="4" w:space="0" w:color="auto"/>
              <w:bottom w:val="nil"/>
              <w:right w:val="nil"/>
            </w:tcBorders>
            <w:tcMar>
              <w:top w:w="28" w:type="dxa"/>
              <w:left w:w="57" w:type="dxa"/>
              <w:bottom w:w="28" w:type="dxa"/>
              <w:right w:w="57" w:type="dxa"/>
            </w:tcMar>
          </w:tcPr>
          <w:p w14:paraId="0B0B01E1"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4053C7EA" w14:textId="77777777" w:rsidR="00400D30" w:rsidRPr="00F04F82" w:rsidRDefault="00400D30" w:rsidP="00D47253">
            <w:pPr>
              <w:tabs>
                <w:tab w:val="left" w:pos="1134"/>
              </w:tabs>
              <w:spacing w:line="240" w:lineRule="auto"/>
            </w:pPr>
            <w:r w:rsidRPr="00F04F82">
              <w:t>You may hear or feel a click.</w:t>
            </w:r>
          </w:p>
        </w:tc>
      </w:tr>
      <w:tr w:rsidR="00400D30" w:rsidRPr="00F04F82" w14:paraId="0A258721" w14:textId="77777777" w:rsidTr="00D47253">
        <w:trPr>
          <w:cantSplit/>
          <w:trHeight w:val="57"/>
        </w:trPr>
        <w:tc>
          <w:tcPr>
            <w:tcW w:w="383" w:type="pct"/>
            <w:tcBorders>
              <w:top w:val="nil"/>
              <w:bottom w:val="nil"/>
              <w:right w:val="nil"/>
            </w:tcBorders>
            <w:tcMar>
              <w:top w:w="28" w:type="dxa"/>
              <w:left w:w="57" w:type="dxa"/>
              <w:bottom w:w="28" w:type="dxa"/>
              <w:right w:w="57" w:type="dxa"/>
            </w:tcMar>
          </w:tcPr>
          <w:p w14:paraId="6D5CB37E"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nil"/>
              <w:left w:val="nil"/>
              <w:bottom w:val="nil"/>
            </w:tcBorders>
            <w:tcMar>
              <w:left w:w="0" w:type="dxa"/>
            </w:tcMar>
          </w:tcPr>
          <w:p w14:paraId="185EDBDE" w14:textId="77777777" w:rsidR="00400D30" w:rsidRPr="00F04F82" w:rsidRDefault="00400D30" w:rsidP="00D47253">
            <w:pPr>
              <w:tabs>
                <w:tab w:val="left" w:pos="1134"/>
              </w:tabs>
              <w:spacing w:line="240" w:lineRule="auto"/>
              <w:rPr>
                <w:b/>
                <w:bCs/>
              </w:rPr>
            </w:pPr>
            <w:r w:rsidRPr="00F04F82">
              <w:t>The window starts to turn yellow.</w:t>
            </w:r>
          </w:p>
        </w:tc>
      </w:tr>
      <w:tr w:rsidR="00400D30" w:rsidRPr="00F04F82" w14:paraId="39D9DF3A" w14:textId="77777777" w:rsidTr="00D47253">
        <w:trPr>
          <w:cantSplit/>
          <w:trHeight w:val="57"/>
        </w:trPr>
        <w:tc>
          <w:tcPr>
            <w:tcW w:w="383" w:type="pct"/>
            <w:tcBorders>
              <w:top w:val="nil"/>
              <w:bottom w:val="single" w:sz="4" w:space="0" w:color="auto"/>
              <w:right w:val="nil"/>
            </w:tcBorders>
            <w:tcMar>
              <w:top w:w="28" w:type="dxa"/>
              <w:left w:w="57" w:type="dxa"/>
              <w:bottom w:w="28" w:type="dxa"/>
              <w:right w:w="57" w:type="dxa"/>
            </w:tcMar>
          </w:tcPr>
          <w:p w14:paraId="5CBDA84C"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nil"/>
              <w:left w:val="nil"/>
              <w:bottom w:val="single" w:sz="4" w:space="0" w:color="auto"/>
            </w:tcBorders>
            <w:tcMar>
              <w:left w:w="0" w:type="dxa"/>
            </w:tcMar>
          </w:tcPr>
          <w:p w14:paraId="72EE44FF" w14:textId="0003884D" w:rsidR="00400D30" w:rsidRPr="00F04F82" w:rsidRDefault="00400D30" w:rsidP="00D47253">
            <w:pPr>
              <w:tabs>
                <w:tab w:val="left" w:pos="1134"/>
              </w:tabs>
              <w:spacing w:line="240" w:lineRule="auto"/>
              <w:rPr>
                <w:b/>
                <w:bCs/>
              </w:rPr>
            </w:pPr>
            <w:r w:rsidRPr="00F04F82">
              <w:t xml:space="preserve">It is okay to let go of the light blue </w:t>
            </w:r>
            <w:ins w:id="5995" w:author="Author">
              <w:r w:rsidR="0069553E" w:rsidRPr="00F04F82">
                <w:t xml:space="preserve">start </w:t>
              </w:r>
            </w:ins>
            <w:r w:rsidRPr="00F04F82">
              <w:t>button.</w:t>
            </w:r>
          </w:p>
        </w:tc>
      </w:tr>
    </w:tbl>
    <w:p w14:paraId="76557FD2" w14:textId="77777777" w:rsidR="00400D30" w:rsidRPr="00F04F82" w:rsidRDefault="00400D30" w:rsidP="00400D30">
      <w:pPr>
        <w:tabs>
          <w:tab w:val="left" w:pos="1134"/>
        </w:tabs>
        <w:spacing w:line="240" w:lineRule="auto"/>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95"/>
        <w:gridCol w:w="8374"/>
      </w:tblGrid>
      <w:tr w:rsidR="00400D30" w:rsidRPr="00F04F82" w14:paraId="73BCE2C5" w14:textId="77777777" w:rsidTr="00D47253">
        <w:trPr>
          <w:cantSplit/>
          <w:trHeight w:val="57"/>
        </w:trPr>
        <w:tc>
          <w:tcPr>
            <w:tcW w:w="5000" w:type="pct"/>
            <w:gridSpan w:val="2"/>
            <w:tcBorders>
              <w:bottom w:val="single" w:sz="4" w:space="0" w:color="auto"/>
            </w:tcBorders>
            <w:tcMar>
              <w:top w:w="28" w:type="dxa"/>
              <w:left w:w="57" w:type="dxa"/>
              <w:bottom w:w="28" w:type="dxa"/>
              <w:right w:w="57" w:type="dxa"/>
            </w:tcMar>
          </w:tcPr>
          <w:p w14:paraId="49158DA1" w14:textId="5E920BEF" w:rsidR="00400D30" w:rsidRPr="00F04F82" w:rsidRDefault="00400D30" w:rsidP="00D47253">
            <w:pPr>
              <w:tabs>
                <w:tab w:val="left" w:pos="1134"/>
              </w:tabs>
              <w:spacing w:line="240" w:lineRule="auto"/>
              <w:jc w:val="center"/>
              <w:rPr>
                <w:b/>
                <w:bCs/>
              </w:rPr>
            </w:pPr>
            <w:r w:rsidRPr="00F04F82">
              <w:rPr>
                <w:b/>
                <w:bCs/>
              </w:rPr>
              <w:t xml:space="preserve">WATCH </w:t>
            </w:r>
            <w:ins w:id="5996" w:author="Author">
              <w:r w:rsidR="00210B92" w:rsidRPr="00F04F82">
                <w:rPr>
                  <w:b/>
                  <w:bCs/>
                </w:rPr>
                <w:t xml:space="preserve">and </w:t>
              </w:r>
            </w:ins>
            <w:r w:rsidRPr="00F04F82">
              <w:rPr>
                <w:b/>
                <w:bCs/>
              </w:rPr>
              <w:t>CONFIRM</w:t>
            </w:r>
          </w:p>
          <w:p w14:paraId="5AE73A85" w14:textId="4F05498F" w:rsidR="00400D30" w:rsidRPr="00F04F82" w:rsidRDefault="00210B92" w:rsidP="00D47253">
            <w:pPr>
              <w:tabs>
                <w:tab w:val="left" w:pos="1134"/>
              </w:tabs>
              <w:spacing w:line="240" w:lineRule="auto"/>
              <w:jc w:val="center"/>
              <w:rPr>
                <w:b/>
                <w:bCs/>
              </w:rPr>
            </w:pPr>
            <w:ins w:id="5997" w:author="Author">
              <w:del w:id="5998" w:author="Author">
                <w:r w:rsidRPr="00F04F82" w:rsidDel="00D73388">
                  <w:rPr>
                    <w:b/>
                    <w:bCs/>
                  </w:rPr>
                  <w:delText>T</w:delText>
                </w:r>
              </w:del>
              <w:r w:rsidR="00D73388" w:rsidRPr="00F04F82">
                <w:rPr>
                  <w:b/>
                  <w:bCs/>
                </w:rPr>
                <w:t>t</w:t>
              </w:r>
              <w:r w:rsidRPr="00F04F82">
                <w:rPr>
                  <w:b/>
                  <w:bCs/>
                </w:rPr>
                <w:t xml:space="preserve">hat the </w:t>
              </w:r>
            </w:ins>
            <w:r w:rsidR="00400D30" w:rsidRPr="00F04F82">
              <w:rPr>
                <w:b/>
                <w:bCs/>
              </w:rPr>
              <w:t xml:space="preserve">window </w:t>
            </w:r>
            <w:del w:id="5999" w:author="Author">
              <w:r w:rsidR="00400D30" w:rsidRPr="00F04F82" w:rsidDel="00210B92">
                <w:rPr>
                  <w:b/>
                  <w:bCs/>
                </w:rPr>
                <w:delText>will</w:delText>
              </w:r>
              <w:r w:rsidR="00400D30" w:rsidRPr="00F04F82" w:rsidDel="00E17AB3">
                <w:rPr>
                  <w:b/>
                  <w:bCs/>
                </w:rPr>
                <w:delText xml:space="preserve"> </w:delText>
              </w:r>
            </w:del>
            <w:r w:rsidR="00400D30" w:rsidRPr="00F04F82">
              <w:rPr>
                <w:b/>
                <w:bCs/>
              </w:rPr>
              <w:t>turn</w:t>
            </w:r>
            <w:ins w:id="6000" w:author="Author">
              <w:r w:rsidRPr="00F04F82">
                <w:rPr>
                  <w:b/>
                  <w:bCs/>
                </w:rPr>
                <w:t>s</w:t>
              </w:r>
            </w:ins>
            <w:r w:rsidR="00400D30" w:rsidRPr="00F04F82">
              <w:rPr>
                <w:b/>
                <w:bCs/>
              </w:rPr>
              <w:t xml:space="preserve"> fully yellow</w:t>
            </w:r>
          </w:p>
        </w:tc>
      </w:tr>
      <w:tr w:rsidR="00400D30" w:rsidRPr="00F04F82" w14:paraId="4D8FA592" w14:textId="77777777" w:rsidTr="00B61D9D">
        <w:trPr>
          <w:cantSplit/>
          <w:trHeight w:val="57"/>
        </w:trPr>
        <w:tc>
          <w:tcPr>
            <w:tcW w:w="5000" w:type="pct"/>
            <w:gridSpan w:val="2"/>
            <w:tcBorders>
              <w:bottom w:val="single" w:sz="4" w:space="0" w:color="auto"/>
            </w:tcBorders>
            <w:tcMar>
              <w:top w:w="28" w:type="dxa"/>
              <w:left w:w="57" w:type="dxa"/>
              <w:bottom w:w="28" w:type="dxa"/>
              <w:right w:w="57" w:type="dxa"/>
            </w:tcMar>
          </w:tcPr>
          <w:p w14:paraId="30549355" w14:textId="0E8EDB8F" w:rsidR="00400D30" w:rsidRPr="00F04F82" w:rsidRDefault="00D96030" w:rsidP="00D47253">
            <w:pPr>
              <w:tabs>
                <w:tab w:val="left" w:pos="1134"/>
              </w:tabs>
              <w:spacing w:line="240" w:lineRule="auto"/>
              <w:jc w:val="center"/>
              <w:rPr>
                <w:b/>
                <w:bCs/>
              </w:rPr>
            </w:pPr>
            <w:r>
              <w:rPr>
                <w:b/>
              </w:rPr>
              <w:pict w14:anchorId="5D8A4C84">
                <v:shape id="Picture 77" o:spid="_x0000_i1112" type="#_x0000_t75" style="width:252.5pt;height:149.5pt;visibility:visible;mso-wrap-style:square">
                  <v:imagedata r:id="rId104" o:title=""/>
                </v:shape>
              </w:pict>
            </w:r>
          </w:p>
          <w:p w14:paraId="37A4EFC8" w14:textId="77777777" w:rsidR="00400D30" w:rsidRPr="00F04F82" w:rsidRDefault="00400D30" w:rsidP="00D47253">
            <w:pPr>
              <w:tabs>
                <w:tab w:val="left" w:pos="1134"/>
              </w:tabs>
              <w:spacing w:line="240" w:lineRule="auto"/>
              <w:jc w:val="center"/>
              <w:rPr>
                <w:b/>
                <w:bCs/>
              </w:rPr>
            </w:pPr>
          </w:p>
        </w:tc>
      </w:tr>
      <w:tr w:rsidR="00400D30" w:rsidRPr="00F04F82" w14:paraId="723FFF48" w14:textId="77777777" w:rsidTr="00B61D9D">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1ACFAAAF" w14:textId="77777777" w:rsidR="00400D30" w:rsidRPr="00F04F82" w:rsidRDefault="00400D30" w:rsidP="00D47253">
            <w:pPr>
              <w:tabs>
                <w:tab w:val="clear" w:pos="567"/>
              </w:tabs>
              <w:spacing w:line="240" w:lineRule="auto"/>
              <w:rPr>
                <w:b/>
                <w:bCs/>
              </w:rPr>
            </w:pPr>
            <w:r w:rsidRPr="00F04F82">
              <w:rPr>
                <w:b/>
                <w:bCs/>
              </w:rPr>
              <w:t>4e</w:t>
            </w:r>
          </w:p>
        </w:tc>
        <w:tc>
          <w:tcPr>
            <w:tcW w:w="4617" w:type="pct"/>
            <w:tcBorders>
              <w:top w:val="single" w:sz="4" w:space="0" w:color="auto"/>
              <w:left w:val="single" w:sz="4" w:space="0" w:color="auto"/>
              <w:bottom w:val="single" w:sz="4" w:space="0" w:color="auto"/>
            </w:tcBorders>
            <w:tcMar>
              <w:left w:w="0" w:type="dxa"/>
            </w:tcMar>
          </w:tcPr>
          <w:p w14:paraId="2BD3AA7B" w14:textId="32D7381A" w:rsidR="00400D30" w:rsidRPr="00F04F82" w:rsidRDefault="00400D30" w:rsidP="00B61D9D">
            <w:pPr>
              <w:spacing w:line="240" w:lineRule="auto"/>
            </w:pPr>
            <w:r w:rsidRPr="00F04F82">
              <w:rPr>
                <w:b/>
                <w:bCs/>
                <w:szCs w:val="22"/>
              </w:rPr>
              <w:t>Keep pushing</w:t>
            </w:r>
            <w:ins w:id="6001" w:author="Author">
              <w:r w:rsidR="00C222F2" w:rsidRPr="00F04F82">
                <w:rPr>
                  <w:b/>
                  <w:bCs/>
                  <w:szCs w:val="22"/>
                </w:rPr>
                <w:t xml:space="preserve"> </w:t>
              </w:r>
              <w:r w:rsidR="009E7506" w:rsidRPr="00F04F82">
                <w:rPr>
                  <w:b/>
                  <w:bCs/>
                  <w:szCs w:val="22"/>
                </w:rPr>
                <w:t xml:space="preserve">the </w:t>
              </w:r>
              <w:r w:rsidR="00C222F2" w:rsidRPr="00F04F82">
                <w:rPr>
                  <w:b/>
                  <w:bCs/>
                  <w:szCs w:val="22"/>
                </w:rPr>
                <w:t>pre-filled pen</w:t>
              </w:r>
            </w:ins>
            <w:r w:rsidRPr="00F04F82">
              <w:rPr>
                <w:b/>
                <w:bCs/>
                <w:szCs w:val="22"/>
              </w:rPr>
              <w:t xml:space="preserve"> down. When the window is fully yellow, the injection is complete</w:t>
            </w:r>
            <w:ins w:id="6002" w:author="Author">
              <w:r w:rsidR="0069553E" w:rsidRPr="00F04F82">
                <w:rPr>
                  <w:b/>
                  <w:bCs/>
                  <w:szCs w:val="22"/>
                </w:rPr>
                <w:t>.</w:t>
              </w:r>
            </w:ins>
          </w:p>
        </w:tc>
      </w:tr>
      <w:tr w:rsidR="00400D30" w:rsidRPr="00F04F82" w14:paraId="1F6121CE" w14:textId="77777777" w:rsidTr="00B61D9D">
        <w:trPr>
          <w:cantSplit/>
          <w:trHeight w:val="57"/>
        </w:trPr>
        <w:tc>
          <w:tcPr>
            <w:tcW w:w="383" w:type="pct"/>
            <w:tcBorders>
              <w:top w:val="single" w:sz="4" w:space="0" w:color="auto"/>
              <w:bottom w:val="nil"/>
              <w:right w:val="nil"/>
            </w:tcBorders>
            <w:tcMar>
              <w:top w:w="28" w:type="dxa"/>
              <w:left w:w="57" w:type="dxa"/>
              <w:bottom w:w="28" w:type="dxa"/>
              <w:right w:w="57" w:type="dxa"/>
            </w:tcMar>
          </w:tcPr>
          <w:p w14:paraId="1C315BC1"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2C99B27D" w14:textId="656A42B5" w:rsidR="00400D30" w:rsidRPr="00F04F82" w:rsidRDefault="00400D30" w:rsidP="00B61D9D">
            <w:pPr>
              <w:spacing w:line="240" w:lineRule="auto"/>
              <w:rPr>
                <w:b/>
                <w:bCs/>
              </w:rPr>
            </w:pPr>
            <w:r w:rsidRPr="00F04F82">
              <w:t xml:space="preserve">The injection may take up to </w:t>
            </w:r>
            <w:r w:rsidRPr="00F04F82">
              <w:rPr>
                <w:b/>
                <w:bCs/>
              </w:rPr>
              <w:t>1</w:t>
            </w:r>
            <w:r w:rsidR="00F73DD2" w:rsidRPr="00F04F82">
              <w:rPr>
                <w:b/>
                <w:bCs/>
              </w:rPr>
              <w:t>5</w:t>
            </w:r>
            <w:r w:rsidRPr="00F04F82">
              <w:t xml:space="preserve"> seconds to complete. </w:t>
            </w:r>
          </w:p>
        </w:tc>
      </w:tr>
      <w:tr w:rsidR="00400D30" w:rsidRPr="00F04F82" w14:paraId="7E165829" w14:textId="77777777" w:rsidTr="00D47253">
        <w:trPr>
          <w:cantSplit/>
          <w:trHeight w:val="57"/>
        </w:trPr>
        <w:tc>
          <w:tcPr>
            <w:tcW w:w="383" w:type="pct"/>
            <w:tcBorders>
              <w:top w:val="nil"/>
              <w:bottom w:val="nil"/>
              <w:right w:val="nil"/>
            </w:tcBorders>
            <w:tcMar>
              <w:top w:w="28" w:type="dxa"/>
              <w:left w:w="57" w:type="dxa"/>
              <w:bottom w:w="28" w:type="dxa"/>
              <w:right w:w="57" w:type="dxa"/>
            </w:tcMar>
          </w:tcPr>
          <w:p w14:paraId="6C5A9EBF"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nil"/>
              <w:left w:val="nil"/>
              <w:bottom w:val="nil"/>
            </w:tcBorders>
            <w:tcMar>
              <w:left w:w="0" w:type="dxa"/>
            </w:tcMar>
          </w:tcPr>
          <w:p w14:paraId="6B88E717" w14:textId="77777777" w:rsidR="00400D30" w:rsidRPr="00F04F82" w:rsidRDefault="00400D30" w:rsidP="00B61D9D">
            <w:pPr>
              <w:spacing w:line="240" w:lineRule="auto"/>
              <w:rPr>
                <w:b/>
                <w:bCs/>
              </w:rPr>
            </w:pPr>
            <w:r w:rsidRPr="00F04F82">
              <w:t xml:space="preserve">You may hear or feel a click.  </w:t>
            </w:r>
          </w:p>
        </w:tc>
      </w:tr>
      <w:tr w:rsidR="00400D30" w:rsidRPr="00F04F82" w14:paraId="1764828F" w14:textId="77777777" w:rsidTr="00D47253">
        <w:trPr>
          <w:cantSplit/>
          <w:trHeight w:val="57"/>
        </w:trPr>
        <w:tc>
          <w:tcPr>
            <w:tcW w:w="383" w:type="pct"/>
            <w:tcBorders>
              <w:top w:val="nil"/>
              <w:bottom w:val="nil"/>
              <w:right w:val="nil"/>
            </w:tcBorders>
            <w:tcMar>
              <w:top w:w="28" w:type="dxa"/>
              <w:left w:w="57" w:type="dxa"/>
              <w:bottom w:w="28" w:type="dxa"/>
              <w:right w:w="57" w:type="dxa"/>
            </w:tcMar>
          </w:tcPr>
          <w:p w14:paraId="3A411202"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nil"/>
              <w:left w:val="nil"/>
              <w:bottom w:val="nil"/>
            </w:tcBorders>
            <w:tcMar>
              <w:left w:w="0" w:type="dxa"/>
            </w:tcMar>
          </w:tcPr>
          <w:p w14:paraId="6D5CACF7" w14:textId="77777777" w:rsidR="00400D30" w:rsidRPr="00F04F82" w:rsidRDefault="00400D30" w:rsidP="00B61D9D">
            <w:pPr>
              <w:spacing w:line="240" w:lineRule="auto"/>
              <w:rPr>
                <w:b/>
                <w:bCs/>
              </w:rPr>
            </w:pPr>
            <w:r w:rsidRPr="00F04F82">
              <w:t>Lift the pre-filled pen away from your skin.</w:t>
            </w:r>
          </w:p>
        </w:tc>
      </w:tr>
      <w:tr w:rsidR="00400D30" w:rsidRPr="00F04F82" w14:paraId="450F3E25" w14:textId="77777777" w:rsidTr="00D47253">
        <w:trPr>
          <w:cantSplit/>
          <w:trHeight w:val="57"/>
        </w:trPr>
        <w:tc>
          <w:tcPr>
            <w:tcW w:w="383" w:type="pct"/>
            <w:tcBorders>
              <w:top w:val="nil"/>
              <w:bottom w:val="nil"/>
              <w:right w:val="nil"/>
            </w:tcBorders>
            <w:tcMar>
              <w:top w:w="28" w:type="dxa"/>
              <w:left w:w="57" w:type="dxa"/>
              <w:bottom w:w="28" w:type="dxa"/>
              <w:right w:w="57" w:type="dxa"/>
            </w:tcMar>
          </w:tcPr>
          <w:p w14:paraId="05F16120"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nil"/>
              <w:left w:val="nil"/>
              <w:bottom w:val="nil"/>
            </w:tcBorders>
            <w:tcMar>
              <w:left w:w="0" w:type="dxa"/>
            </w:tcMar>
          </w:tcPr>
          <w:p w14:paraId="1827AC72" w14:textId="28AE52F7" w:rsidR="00400D30" w:rsidRPr="00F04F82" w:rsidRDefault="00400D30" w:rsidP="00F90752">
            <w:pPr>
              <w:tabs>
                <w:tab w:val="left" w:pos="1134"/>
              </w:tabs>
              <w:spacing w:line="240" w:lineRule="auto"/>
            </w:pPr>
            <w:r w:rsidRPr="00F04F82">
              <w:t>The cream</w:t>
            </w:r>
            <w:r w:rsidR="003F4DCC" w:rsidRPr="00F04F82">
              <w:t>-coloured</w:t>
            </w:r>
            <w:r w:rsidRPr="00F04F82">
              <w:t xml:space="preserve"> safety guard locks around the needle.</w:t>
            </w:r>
          </w:p>
        </w:tc>
      </w:tr>
      <w:tr w:rsidR="00400D30" w:rsidRPr="00F04F82" w14:paraId="6A08BDBA" w14:textId="77777777" w:rsidTr="00D47253">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4CFFC23" w14:textId="1C7D6DF4" w:rsidR="00400D30" w:rsidRPr="00F04F82" w:rsidRDefault="00D96030" w:rsidP="00D47253">
            <w:pPr>
              <w:tabs>
                <w:tab w:val="left" w:pos="1134"/>
              </w:tabs>
              <w:spacing w:line="240" w:lineRule="auto"/>
            </w:pPr>
            <w:r>
              <w:pict w14:anchorId="3D4BC2DE">
                <v:shape id="Text Box 3" o:spid="_x0000_s2051" type="#_x0000_t202" style="position:absolute;margin-left:5.85pt;margin-top:3.3pt;width:432.4pt;height:51.65pt;z-index:29;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" strokecolor="red" strokeweight="1.5pt">
                  <v:textbox>
                    <w:txbxContent>
                      <w:p w14:paraId="39A061F6" w14:textId="62F64F1A" w:rsidR="00D47253" w:rsidRPr="00F04F82" w:rsidRDefault="00D47253" w:rsidP="00B61D9D">
                        <w:pPr>
                          <w:spacing w:line="240" w:lineRule="auto"/>
                          <w:rPr>
                            <w:szCs w:val="22"/>
                          </w:rPr>
                        </w:pPr>
                        <w:r w:rsidRPr="00F04F82">
                          <w:rPr>
                            <w:b/>
                            <w:bCs/>
                            <w:szCs w:val="22"/>
                          </w:rPr>
                          <w:t>Important:</w:t>
                        </w:r>
                        <w:r w:rsidRPr="00F04F82">
                          <w:rPr>
                            <w:szCs w:val="22"/>
                          </w:rPr>
                          <w:t xml:space="preserve"> If the window has not turned</w:t>
                        </w:r>
                        <w:ins w:id="6003" w:author="Author">
                          <w:r w:rsidR="00572E99" w:rsidRPr="00F04F82">
                            <w:rPr>
                              <w:szCs w:val="22"/>
                            </w:rPr>
                            <w:t xml:space="preserve"> fully</w:t>
                          </w:r>
                        </w:ins>
                        <w:r w:rsidRPr="00F04F82">
                          <w:rPr>
                            <w:szCs w:val="22"/>
                          </w:rPr>
                          <w:t xml:space="preserve"> yellow, or it looks like the medicine is still coming out, you have not received a full dose. </w:t>
                        </w:r>
                        <w:del w:id="6004" w:author="Author">
                          <w:r w:rsidRPr="00F04F82" w:rsidDel="00E17AB3">
                            <w:rPr>
                              <w:szCs w:val="22"/>
                            </w:rPr>
                            <w:delText xml:space="preserve"> </w:delText>
                          </w:r>
                        </w:del>
                        <w:r w:rsidRPr="00F04F82">
                          <w:rPr>
                            <w:szCs w:val="22"/>
                          </w:rPr>
                          <w:t>Call your doctor or healthcare provider</w:t>
                        </w:r>
                        <w:ins w:id="6005" w:author="Author">
                          <w:r w:rsidR="00C90C12" w:rsidRPr="00F04F82">
                            <w:rPr>
                              <w:szCs w:val="22"/>
                            </w:rPr>
                            <w:t xml:space="preserve"> </w:t>
                          </w:r>
                        </w:ins>
                        <w:del w:id="6006" w:author="Author">
                          <w:r w:rsidRPr="00F04F82" w:rsidDel="00572E99">
                            <w:rPr>
                              <w:szCs w:val="22"/>
                            </w:rPr>
                            <w:delText xml:space="preserve"> </w:delText>
                          </w:r>
                        </w:del>
                        <w:ins w:id="6007" w:author="Author">
                          <w:r w:rsidR="00572E99" w:rsidRPr="00F04F82">
                            <w:rPr>
                              <w:szCs w:val="22"/>
                            </w:rPr>
                            <w:t>right away</w:t>
                          </w:r>
                        </w:ins>
                        <w:del w:id="6008" w:author="Author">
                          <w:r w:rsidRPr="00F04F82" w:rsidDel="00572E99">
                            <w:rPr>
                              <w:szCs w:val="22"/>
                            </w:rPr>
                            <w:delText>immediately</w:delText>
                          </w:r>
                        </w:del>
                        <w:r w:rsidRPr="00F04F82">
                          <w:rPr>
                            <w:szCs w:val="22"/>
                          </w:rPr>
                          <w:t>.</w:t>
                        </w:r>
                      </w:p>
                    </w:txbxContent>
                  </v:textbox>
                  <w10:wrap type="square"/>
                </v:shape>
              </w:pict>
            </w:r>
          </w:p>
        </w:tc>
      </w:tr>
    </w:tbl>
    <w:p w14:paraId="407A7180" w14:textId="77777777" w:rsidR="00400D30" w:rsidRPr="00F04F82" w:rsidRDefault="00400D30" w:rsidP="00400D30">
      <w:pPr>
        <w:tabs>
          <w:tab w:val="left" w:pos="1134"/>
        </w:tabs>
        <w:spacing w:line="240" w:lineRule="auto"/>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6009" w:author="Author">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579"/>
        <w:gridCol w:w="116"/>
        <w:gridCol w:w="8375"/>
        <w:tblGridChange w:id="6010">
          <w:tblGrid>
            <w:gridCol w:w="514"/>
            <w:gridCol w:w="181"/>
            <w:gridCol w:w="8375"/>
          </w:tblGrid>
        </w:tblGridChange>
      </w:tblGrid>
      <w:tr w:rsidR="009D58C6" w:rsidRPr="00F04F82" w14:paraId="0AC4848F" w14:textId="068C9A45" w:rsidTr="00D55B59">
        <w:trPr>
          <w:cantSplit/>
          <w:trHeight w:val="57"/>
          <w:trPrChange w:id="6011" w:author="Author">
            <w:trPr>
              <w:cantSplit/>
              <w:trHeight w:val="57"/>
            </w:trPr>
          </w:trPrChange>
        </w:trPr>
        <w:tc>
          <w:tcPr>
            <w:tcW w:w="383" w:type="pct"/>
            <w:gridSpan w:val="2"/>
            <w:tcBorders>
              <w:bottom w:val="single" w:sz="4" w:space="0" w:color="auto"/>
            </w:tcBorders>
            <w:tcMar>
              <w:top w:w="28" w:type="dxa"/>
              <w:left w:w="57" w:type="dxa"/>
              <w:bottom w:w="28" w:type="dxa"/>
              <w:right w:w="57" w:type="dxa"/>
            </w:tcMar>
            <w:tcPrChange w:id="6012" w:author="Author">
              <w:tcPr>
                <w:tcW w:w="283" w:type="pct"/>
                <w:tcBorders>
                  <w:bottom w:val="single" w:sz="4" w:space="0" w:color="auto"/>
                </w:tcBorders>
                <w:tcMar>
                  <w:top w:w="28" w:type="dxa"/>
                  <w:left w:w="57" w:type="dxa"/>
                  <w:bottom w:w="28" w:type="dxa"/>
                  <w:right w:w="57" w:type="dxa"/>
                </w:tcMar>
              </w:tcPr>
            </w:tcPrChange>
          </w:tcPr>
          <w:p w14:paraId="3461108B" w14:textId="3A83E128" w:rsidR="009D58C6" w:rsidRPr="00F04F82" w:rsidRDefault="009D58C6" w:rsidP="00B61D9D">
            <w:pPr>
              <w:keepNext/>
              <w:tabs>
                <w:tab w:val="left" w:pos="1134"/>
              </w:tabs>
              <w:spacing w:line="240" w:lineRule="auto"/>
            </w:pPr>
            <w:r w:rsidRPr="00F04F82">
              <w:rPr>
                <w:b/>
                <w:bCs/>
              </w:rPr>
              <w:t>5</w:t>
            </w:r>
          </w:p>
        </w:tc>
        <w:tc>
          <w:tcPr>
            <w:tcW w:w="4617" w:type="pct"/>
            <w:tcBorders>
              <w:bottom w:val="single" w:sz="4" w:space="0" w:color="auto"/>
            </w:tcBorders>
            <w:tcPrChange w:id="6013" w:author="Author">
              <w:tcPr>
                <w:tcW w:w="4717" w:type="pct"/>
                <w:gridSpan w:val="2"/>
                <w:tcBorders>
                  <w:bottom w:val="single" w:sz="4" w:space="0" w:color="auto"/>
                </w:tcBorders>
              </w:tcPr>
            </w:tcPrChange>
          </w:tcPr>
          <w:p w14:paraId="5B07036F" w14:textId="77777777" w:rsidR="009D58C6" w:rsidRPr="00F04F82" w:rsidRDefault="009D58C6" w:rsidP="009D58C6">
            <w:pPr>
              <w:keepNext/>
              <w:tabs>
                <w:tab w:val="left" w:pos="1134"/>
              </w:tabs>
              <w:spacing w:line="240" w:lineRule="auto"/>
              <w:ind w:left="32"/>
            </w:pPr>
            <w:r w:rsidRPr="00F04F82">
              <w:rPr>
                <w:b/>
                <w:bCs/>
              </w:rPr>
              <w:t xml:space="preserve">Disposing </w:t>
            </w:r>
            <w:ins w:id="6014" w:author="Author">
              <w:r w:rsidRPr="00F04F82">
                <w:rPr>
                  <w:b/>
                  <w:bCs/>
                </w:rPr>
                <w:t xml:space="preserve">of </w:t>
              </w:r>
            </w:ins>
            <w:del w:id="6015" w:author="Author">
              <w:r w:rsidRPr="00F04F82" w:rsidDel="009804D6">
                <w:rPr>
                  <w:b/>
                  <w:bCs/>
                </w:rPr>
                <w:delText xml:space="preserve">and finishing </w:delText>
              </w:r>
            </w:del>
            <w:r w:rsidRPr="00F04F82">
              <w:rPr>
                <w:b/>
                <w:bCs/>
              </w:rPr>
              <w:t>AMGEVITA</w:t>
            </w:r>
            <w:ins w:id="6016" w:author="Author">
              <w:r w:rsidRPr="00F04F82">
                <w:rPr>
                  <w:b/>
                  <w:bCs/>
                </w:rPr>
                <w:t xml:space="preserve"> and checking the injection site</w:t>
              </w:r>
            </w:ins>
          </w:p>
        </w:tc>
      </w:tr>
      <w:tr w:rsidR="00400D30" w:rsidRPr="00F04F82" w14:paraId="0C5F9153" w14:textId="77777777" w:rsidTr="009D58C6">
        <w:trPr>
          <w:cantSplit/>
          <w:trHeight w:val="57"/>
        </w:trPr>
        <w:tc>
          <w:tcPr>
            <w:tcW w:w="5000" w:type="pct"/>
            <w:gridSpan w:val="3"/>
            <w:tcBorders>
              <w:bottom w:val="single" w:sz="4" w:space="0" w:color="auto"/>
            </w:tcBorders>
            <w:tcMar>
              <w:top w:w="28" w:type="dxa"/>
              <w:left w:w="57" w:type="dxa"/>
              <w:bottom w:w="28" w:type="dxa"/>
              <w:right w:w="57" w:type="dxa"/>
            </w:tcMar>
          </w:tcPr>
          <w:p w14:paraId="301E102E" w14:textId="3298CC2C" w:rsidR="00400D30" w:rsidRPr="00F04F82" w:rsidRDefault="00D96030" w:rsidP="00D47253">
            <w:pPr>
              <w:pStyle w:val="ListParagraph"/>
              <w:tabs>
                <w:tab w:val="left" w:pos="0"/>
              </w:tabs>
              <w:ind w:left="0"/>
              <w:jc w:val="center"/>
              <w:rPr>
                <w:b/>
                <w:bCs/>
              </w:rPr>
            </w:pPr>
            <w:r>
              <w:pict w14:anchorId="44FE959F">
                <v:shape id="_x0000_i1113" type="#_x0000_t75" style="width:3in;height:139pt;visibility:visible;mso-wrap-style:square">
                  <v:imagedata r:id="rId95" o:title=""/>
                </v:shape>
              </w:pict>
            </w:r>
          </w:p>
        </w:tc>
      </w:tr>
      <w:tr w:rsidR="00400D30" w:rsidRPr="00F04F82" w14:paraId="2579E08A" w14:textId="77777777" w:rsidTr="009D58C6">
        <w:trPr>
          <w:cantSplit/>
          <w:trHeight w:val="904"/>
        </w:trPr>
        <w:tc>
          <w:tcPr>
            <w:tcW w:w="5000" w:type="pct"/>
            <w:gridSpan w:val="3"/>
            <w:tcBorders>
              <w:top w:val="nil"/>
              <w:bottom w:val="single" w:sz="4" w:space="0" w:color="auto"/>
            </w:tcBorders>
            <w:tcMar>
              <w:top w:w="28" w:type="dxa"/>
              <w:left w:w="57" w:type="dxa"/>
              <w:bottom w:w="28" w:type="dxa"/>
              <w:right w:w="57" w:type="dxa"/>
            </w:tcMar>
          </w:tcPr>
          <w:p w14:paraId="4956E41C" w14:textId="54097247" w:rsidR="00400D30" w:rsidRPr="00F04F82" w:rsidRDefault="00D96030" w:rsidP="00D47253">
            <w:r>
              <w:pict w14:anchorId="3361BA4D">
                <v:shape id="_x0000_s2050" type="#_x0000_t202" style="position:absolute;margin-left:-.2pt;margin-top:1.45pt;width:438.3pt;height:21.35pt;z-index:2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" strokecolor="red" strokeweight="1.5pt">
                  <v:textbox style="mso-next-textbox:#_x0000_s2050;mso-fit-shape-to-text:t">
                    <w:txbxContent>
                      <w:p w14:paraId="36A1705E" w14:textId="0073D4A7" w:rsidR="00D47253" w:rsidRPr="00F04F82" w:rsidRDefault="00D47253" w:rsidP="00400D30">
                        <w:pPr>
                          <w:tabs>
                            <w:tab w:val="left" w:pos="1134"/>
                          </w:tabs>
                          <w:spacing w:line="240" w:lineRule="auto"/>
                        </w:pPr>
                        <w:r w:rsidRPr="00F04F82">
                          <w:rPr>
                            <w:b/>
                            <w:bCs/>
                          </w:rPr>
                          <w:t xml:space="preserve">Important: </w:t>
                        </w:r>
                        <w:r w:rsidRPr="00F04F82">
                          <w:t xml:space="preserve">Do not throw away the pre-filled pen into your household </w:t>
                        </w:r>
                        <w:del w:id="6017" w:author="Author">
                          <w:r w:rsidRPr="00F04F82" w:rsidDel="00530984">
                            <w:delText>trash</w:delText>
                          </w:r>
                        </w:del>
                        <w:ins w:id="6018" w:author="Author">
                          <w:r w:rsidR="00530984" w:rsidRPr="00F04F82">
                            <w:t>waste</w:t>
                          </w:r>
                        </w:ins>
                        <w:r w:rsidRPr="00F04F82">
                          <w:t>.</w:t>
                        </w:r>
                      </w:p>
                    </w:txbxContent>
                  </v:textbox>
                  <w10:wrap type="square" anchorx="margin"/>
                </v:shape>
              </w:pict>
            </w:r>
          </w:p>
        </w:tc>
      </w:tr>
      <w:tr w:rsidR="00400D30" w:rsidRPr="00F04F82" w14:paraId="26202514" w14:textId="77777777" w:rsidTr="009D58C6">
        <w:trPr>
          <w:cantSplit/>
          <w:trHeight w:val="57"/>
        </w:trPr>
        <w:tc>
          <w:tcPr>
            <w:tcW w:w="383" w:type="pct"/>
            <w:gridSpan w:val="2"/>
            <w:tcBorders>
              <w:top w:val="single" w:sz="4" w:space="0" w:color="auto"/>
              <w:bottom w:val="single" w:sz="4" w:space="0" w:color="auto"/>
              <w:right w:val="single" w:sz="4" w:space="0" w:color="auto"/>
            </w:tcBorders>
            <w:tcMar>
              <w:top w:w="28" w:type="dxa"/>
              <w:left w:w="57" w:type="dxa"/>
              <w:bottom w:w="28" w:type="dxa"/>
              <w:right w:w="57" w:type="dxa"/>
            </w:tcMar>
          </w:tcPr>
          <w:p w14:paraId="4FA7C3DB" w14:textId="77777777" w:rsidR="00400D30" w:rsidRPr="00F04F82" w:rsidRDefault="00400D30" w:rsidP="00D47253">
            <w:pPr>
              <w:tabs>
                <w:tab w:val="clear" w:pos="567"/>
              </w:tabs>
              <w:spacing w:line="240" w:lineRule="auto"/>
              <w:rPr>
                <w:b/>
                <w:bCs/>
              </w:rPr>
            </w:pPr>
            <w:r w:rsidRPr="00F04F82">
              <w:rPr>
                <w:b/>
                <w:bCs/>
              </w:rPr>
              <w:t>5a</w:t>
            </w:r>
          </w:p>
        </w:tc>
        <w:tc>
          <w:tcPr>
            <w:tcW w:w="4617" w:type="pct"/>
            <w:tcBorders>
              <w:top w:val="single" w:sz="4" w:space="0" w:color="auto"/>
              <w:left w:val="single" w:sz="4" w:space="0" w:color="auto"/>
              <w:bottom w:val="single" w:sz="4" w:space="0" w:color="auto"/>
            </w:tcBorders>
            <w:tcMar>
              <w:left w:w="0" w:type="dxa"/>
            </w:tcMar>
          </w:tcPr>
          <w:p w14:paraId="72118B76" w14:textId="4E3CB868" w:rsidR="00400D30" w:rsidRPr="00F04F82" w:rsidRDefault="00400D30" w:rsidP="00B61D9D">
            <w:pPr>
              <w:spacing w:line="240" w:lineRule="auto"/>
              <w:rPr>
                <w:b/>
                <w:bCs/>
              </w:rPr>
            </w:pPr>
            <w:r w:rsidRPr="00F04F82">
              <w:rPr>
                <w:b/>
                <w:bCs/>
              </w:rPr>
              <w:t xml:space="preserve">Place the used pre-filled pen and yellow cap in </w:t>
            </w:r>
            <w:ins w:id="6019" w:author="Author">
              <w:r w:rsidR="0035513C" w:rsidRPr="00F04F82">
                <w:rPr>
                  <w:b/>
                  <w:bCs/>
                </w:rPr>
                <w:t xml:space="preserve">a </w:t>
              </w:r>
            </w:ins>
            <w:del w:id="6020" w:author="Author">
              <w:r w:rsidRPr="00F04F82" w:rsidDel="00C90C12">
                <w:rPr>
                  <w:b/>
                  <w:bCs/>
                </w:rPr>
                <w:delText xml:space="preserve">the </w:delText>
              </w:r>
            </w:del>
            <w:r w:rsidRPr="00F04F82">
              <w:rPr>
                <w:b/>
                <w:bCs/>
              </w:rPr>
              <w:t>sharps</w:t>
            </w:r>
            <w:ins w:id="6021" w:author="Author">
              <w:r w:rsidR="003A2601" w:rsidRPr="00F04F82">
                <w:rPr>
                  <w:b/>
                  <w:bCs/>
                </w:rPr>
                <w:t xml:space="preserve"> disposal</w:t>
              </w:r>
            </w:ins>
            <w:r w:rsidRPr="00F04F82">
              <w:rPr>
                <w:b/>
                <w:bCs/>
              </w:rPr>
              <w:t xml:space="preserve"> container</w:t>
            </w:r>
            <w:ins w:id="6022" w:author="Author">
              <w:r w:rsidR="003A2601" w:rsidRPr="00F04F82">
                <w:rPr>
                  <w:b/>
                  <w:bCs/>
                </w:rPr>
                <w:t xml:space="preserve"> right away after use.</w:t>
              </w:r>
            </w:ins>
          </w:p>
        </w:tc>
      </w:tr>
      <w:tr w:rsidR="00400D30" w:rsidRPr="00F04F82" w14:paraId="6C230382" w14:textId="77777777" w:rsidTr="00D55B59">
        <w:trPr>
          <w:cantSplit/>
          <w:trHeight w:val="57"/>
          <w:trPrChange w:id="6023" w:author="Author">
            <w:trPr>
              <w:cantSplit/>
              <w:trHeight w:val="57"/>
            </w:trPr>
          </w:trPrChange>
        </w:trPr>
        <w:tc>
          <w:tcPr>
            <w:tcW w:w="383" w:type="pct"/>
            <w:gridSpan w:val="2"/>
            <w:tcBorders>
              <w:top w:val="single" w:sz="4" w:space="0" w:color="auto"/>
              <w:bottom w:val="nil"/>
              <w:right w:val="nil"/>
            </w:tcBorders>
            <w:tcMar>
              <w:top w:w="28" w:type="dxa"/>
              <w:left w:w="57" w:type="dxa"/>
              <w:bottom w:w="28" w:type="dxa"/>
              <w:right w:w="57" w:type="dxa"/>
            </w:tcMar>
            <w:tcPrChange w:id="6024" w:author="Author">
              <w:tcPr>
                <w:tcW w:w="383" w:type="pct"/>
                <w:gridSpan w:val="2"/>
                <w:tcBorders>
                  <w:top w:val="single" w:sz="4" w:space="0" w:color="auto"/>
                  <w:bottom w:val="nil"/>
                  <w:right w:val="nil"/>
                </w:tcBorders>
                <w:tcMar>
                  <w:top w:w="28" w:type="dxa"/>
                  <w:left w:w="57" w:type="dxa"/>
                  <w:bottom w:w="28" w:type="dxa"/>
                  <w:right w:w="57" w:type="dxa"/>
                </w:tcMar>
              </w:tcPr>
            </w:tcPrChange>
          </w:tcPr>
          <w:p w14:paraId="3A3B49CE"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single" w:sz="4" w:space="0" w:color="auto"/>
              <w:left w:val="nil"/>
              <w:bottom w:val="nil"/>
            </w:tcBorders>
            <w:tcMar>
              <w:left w:w="0" w:type="dxa"/>
            </w:tcMar>
            <w:tcPrChange w:id="6025" w:author="Author">
              <w:tcPr>
                <w:tcW w:w="4617" w:type="pct"/>
                <w:tcBorders>
                  <w:top w:val="single" w:sz="4" w:space="0" w:color="auto"/>
                  <w:left w:val="nil"/>
                  <w:bottom w:val="nil"/>
                </w:tcBorders>
                <w:tcMar>
                  <w:left w:w="0" w:type="dxa"/>
                </w:tcMar>
              </w:tcPr>
            </w:tcPrChange>
          </w:tcPr>
          <w:p w14:paraId="0F8B4000" w14:textId="4F2E854B" w:rsidR="00400D30" w:rsidRPr="00F04F82" w:rsidRDefault="00400D30" w:rsidP="00B61D9D">
            <w:pPr>
              <w:spacing w:line="240" w:lineRule="auto"/>
              <w:rPr>
                <w:b/>
                <w:bCs/>
              </w:rPr>
            </w:pPr>
            <w:r w:rsidRPr="00F04F82">
              <w:rPr>
                <w:b/>
                <w:bCs/>
              </w:rPr>
              <w:t xml:space="preserve">Do not </w:t>
            </w:r>
            <w:r w:rsidRPr="00F04F82">
              <w:t>re-use the pre-filled pen</w:t>
            </w:r>
            <w:ins w:id="6026" w:author="Author">
              <w:r w:rsidR="00656A77" w:rsidRPr="00F04F82">
                <w:t>.</w:t>
              </w:r>
            </w:ins>
          </w:p>
        </w:tc>
      </w:tr>
      <w:tr w:rsidR="00400D30" w:rsidRPr="00F04F82" w14:paraId="686C585F" w14:textId="77777777" w:rsidTr="00D55B59">
        <w:trPr>
          <w:cantSplit/>
          <w:trHeight w:val="57"/>
          <w:trPrChange w:id="6027" w:author="Author">
            <w:trPr>
              <w:cantSplit/>
              <w:trHeight w:val="57"/>
            </w:trPr>
          </w:trPrChange>
        </w:trPr>
        <w:tc>
          <w:tcPr>
            <w:tcW w:w="383" w:type="pct"/>
            <w:gridSpan w:val="2"/>
            <w:tcBorders>
              <w:top w:val="nil"/>
              <w:bottom w:val="single" w:sz="4" w:space="0" w:color="auto"/>
              <w:right w:val="nil"/>
            </w:tcBorders>
            <w:tcMar>
              <w:top w:w="28" w:type="dxa"/>
              <w:left w:w="57" w:type="dxa"/>
              <w:bottom w:w="28" w:type="dxa"/>
              <w:right w:w="57" w:type="dxa"/>
            </w:tcMar>
            <w:tcPrChange w:id="6028" w:author="Author">
              <w:tcPr>
                <w:tcW w:w="383" w:type="pct"/>
                <w:gridSpan w:val="2"/>
                <w:tcBorders>
                  <w:top w:val="nil"/>
                  <w:bottom w:val="nil"/>
                  <w:right w:val="nil"/>
                </w:tcBorders>
                <w:tcMar>
                  <w:top w:w="28" w:type="dxa"/>
                  <w:left w:w="57" w:type="dxa"/>
                  <w:bottom w:w="28" w:type="dxa"/>
                  <w:right w:w="57" w:type="dxa"/>
                </w:tcMar>
              </w:tcPr>
            </w:tcPrChange>
          </w:tcPr>
          <w:p w14:paraId="164A8552"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nil"/>
              <w:left w:val="nil"/>
              <w:bottom w:val="single" w:sz="4" w:space="0" w:color="auto"/>
            </w:tcBorders>
            <w:tcMar>
              <w:left w:w="0" w:type="dxa"/>
            </w:tcMar>
            <w:tcPrChange w:id="6029" w:author="Author">
              <w:tcPr>
                <w:tcW w:w="4617" w:type="pct"/>
                <w:tcBorders>
                  <w:top w:val="nil"/>
                  <w:left w:val="nil"/>
                  <w:bottom w:val="nil"/>
                </w:tcBorders>
                <w:tcMar>
                  <w:left w:w="0" w:type="dxa"/>
                </w:tcMar>
              </w:tcPr>
            </w:tcPrChange>
          </w:tcPr>
          <w:p w14:paraId="43E94E44" w14:textId="382EA907" w:rsidR="00400D30" w:rsidRPr="00F04F82" w:rsidRDefault="00400D30" w:rsidP="00B61D9D">
            <w:pPr>
              <w:spacing w:line="240" w:lineRule="auto"/>
              <w:rPr>
                <w:b/>
                <w:bCs/>
              </w:rPr>
            </w:pPr>
            <w:r w:rsidRPr="00F04F82">
              <w:rPr>
                <w:b/>
                <w:bCs/>
              </w:rPr>
              <w:t xml:space="preserve">Do not </w:t>
            </w:r>
            <w:r w:rsidRPr="00F04F82">
              <w:t>touch the cream</w:t>
            </w:r>
            <w:r w:rsidR="003F4DCC" w:rsidRPr="00F04F82">
              <w:t>-coloured</w:t>
            </w:r>
            <w:r w:rsidRPr="00F04F82">
              <w:t xml:space="preserve"> safety guard</w:t>
            </w:r>
            <w:ins w:id="6030" w:author="Author">
              <w:r w:rsidR="00656A77" w:rsidRPr="00F04F82">
                <w:t>.</w:t>
              </w:r>
            </w:ins>
          </w:p>
        </w:tc>
      </w:tr>
      <w:tr w:rsidR="00DF6D08" w:rsidRPr="00F04F82" w14:paraId="5B5D0EDF" w14:textId="77777777" w:rsidTr="00D55B59">
        <w:trPr>
          <w:gridBefore w:val="1"/>
          <w:cantSplit/>
          <w:trHeight w:val="57"/>
          <w:ins w:id="6031" w:author="Author"/>
          <w:trPrChange w:id="6032" w:author="Author">
            <w:trPr>
              <w:cantSplit/>
              <w:trHeight w:val="57"/>
            </w:trPr>
          </w:trPrChange>
        </w:trPr>
        <w:tc>
          <w:tcPr>
            <w:tcW w:w="5000" w:type="pct"/>
            <w:gridSpan w:val="2"/>
            <w:tcBorders>
              <w:top w:val="single" w:sz="4" w:space="0" w:color="auto"/>
              <w:left w:val="nil"/>
              <w:bottom w:val="nil"/>
              <w:right w:val="nil"/>
            </w:tcBorders>
            <w:tcMar>
              <w:top w:w="28" w:type="dxa"/>
              <w:left w:w="57" w:type="dxa"/>
              <w:bottom w:w="28" w:type="dxa"/>
              <w:right w:w="57" w:type="dxa"/>
            </w:tcMar>
            <w:tcPrChange w:id="6033" w:author="Author">
              <w:tcPr>
                <w:tcW w:w="5000" w:type="pct"/>
                <w:gridSpan w:val="3"/>
                <w:tcBorders>
                  <w:top w:val="nil"/>
                  <w:bottom w:val="nil"/>
                </w:tcBorders>
                <w:tcMar>
                  <w:top w:w="28" w:type="dxa"/>
                  <w:left w:w="57" w:type="dxa"/>
                  <w:bottom w:w="28" w:type="dxa"/>
                  <w:right w:w="57" w:type="dxa"/>
                </w:tcMar>
              </w:tcPr>
            </w:tcPrChange>
          </w:tcPr>
          <w:p w14:paraId="434579C3" w14:textId="77777777" w:rsidR="00DF6D08" w:rsidRPr="00F04F82" w:rsidRDefault="00DF6D08" w:rsidP="00B61D9D">
            <w:pPr>
              <w:spacing w:line="240" w:lineRule="auto"/>
              <w:rPr>
                <w:ins w:id="6034" w:author="Author"/>
                <w:b/>
                <w:bCs/>
              </w:rPr>
            </w:pPr>
          </w:p>
        </w:tc>
      </w:tr>
      <w:tr w:rsidR="00400D30" w:rsidRPr="00F04F82" w14:paraId="713A94FB" w14:textId="77777777" w:rsidTr="009D58C6">
        <w:trPr>
          <w:cantSplit/>
          <w:trHeight w:val="57"/>
        </w:trPr>
        <w:tc>
          <w:tcPr>
            <w:tcW w:w="383" w:type="pct"/>
            <w:gridSpan w:val="2"/>
            <w:tcBorders>
              <w:top w:val="single" w:sz="4" w:space="0" w:color="auto"/>
              <w:bottom w:val="single" w:sz="4" w:space="0" w:color="auto"/>
              <w:right w:val="single" w:sz="4" w:space="0" w:color="auto"/>
            </w:tcBorders>
            <w:tcMar>
              <w:top w:w="28" w:type="dxa"/>
              <w:left w:w="57" w:type="dxa"/>
              <w:bottom w:w="28" w:type="dxa"/>
              <w:right w:w="57" w:type="dxa"/>
            </w:tcMar>
          </w:tcPr>
          <w:p w14:paraId="080B59F6" w14:textId="77777777" w:rsidR="00400D30" w:rsidRPr="00F04F82" w:rsidRDefault="00400D30" w:rsidP="00D47253">
            <w:pPr>
              <w:tabs>
                <w:tab w:val="clear" w:pos="567"/>
              </w:tabs>
              <w:spacing w:line="240" w:lineRule="auto"/>
            </w:pPr>
            <w:r w:rsidRPr="00F04F82">
              <w:rPr>
                <w:b/>
                <w:bCs/>
              </w:rPr>
              <w:t>5b</w:t>
            </w:r>
          </w:p>
        </w:tc>
        <w:tc>
          <w:tcPr>
            <w:tcW w:w="4617" w:type="pct"/>
            <w:tcBorders>
              <w:top w:val="single" w:sz="4" w:space="0" w:color="auto"/>
              <w:left w:val="single" w:sz="4" w:space="0" w:color="auto"/>
              <w:bottom w:val="single" w:sz="4" w:space="0" w:color="auto"/>
            </w:tcBorders>
            <w:tcMar>
              <w:left w:w="0" w:type="dxa"/>
            </w:tcMar>
          </w:tcPr>
          <w:p w14:paraId="3686ECE3" w14:textId="500BF1C1" w:rsidR="00400D30" w:rsidRPr="00F04F82" w:rsidRDefault="00400D30" w:rsidP="00B61D9D">
            <w:pPr>
              <w:spacing w:line="240" w:lineRule="auto"/>
              <w:rPr>
                <w:b/>
                <w:bCs/>
              </w:rPr>
            </w:pPr>
            <w:r w:rsidRPr="00F04F82">
              <w:rPr>
                <w:b/>
                <w:bCs/>
              </w:rPr>
              <w:t xml:space="preserve">Check </w:t>
            </w:r>
            <w:ins w:id="6035" w:author="Author">
              <w:r w:rsidR="002734BF" w:rsidRPr="00F04F82">
                <w:rPr>
                  <w:b/>
                  <w:bCs/>
                </w:rPr>
                <w:t xml:space="preserve">the </w:t>
              </w:r>
            </w:ins>
            <w:r w:rsidRPr="00F04F82">
              <w:rPr>
                <w:b/>
                <w:bCs/>
              </w:rPr>
              <w:t>injection site.</w:t>
            </w:r>
          </w:p>
        </w:tc>
      </w:tr>
      <w:tr w:rsidR="00400D30" w:rsidRPr="00F04F82" w14:paraId="4101D0AC" w14:textId="77777777" w:rsidTr="009D58C6">
        <w:trPr>
          <w:cantSplit/>
          <w:trHeight w:val="57"/>
        </w:trPr>
        <w:tc>
          <w:tcPr>
            <w:tcW w:w="383" w:type="pct"/>
            <w:gridSpan w:val="2"/>
            <w:tcBorders>
              <w:top w:val="single" w:sz="4" w:space="0" w:color="auto"/>
              <w:bottom w:val="nil"/>
              <w:right w:val="nil"/>
            </w:tcBorders>
            <w:tcMar>
              <w:top w:w="28" w:type="dxa"/>
              <w:left w:w="57" w:type="dxa"/>
              <w:bottom w:w="28" w:type="dxa"/>
              <w:right w:w="57" w:type="dxa"/>
            </w:tcMar>
          </w:tcPr>
          <w:p w14:paraId="6F725D30"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single" w:sz="4" w:space="0" w:color="auto"/>
              <w:left w:val="nil"/>
              <w:bottom w:val="nil"/>
            </w:tcBorders>
            <w:tcMar>
              <w:left w:w="0" w:type="dxa"/>
            </w:tcMar>
          </w:tcPr>
          <w:p w14:paraId="116DEBF5" w14:textId="77777777" w:rsidR="00400D30" w:rsidRPr="00F04F82" w:rsidRDefault="00400D30" w:rsidP="00B61D9D">
            <w:pPr>
              <w:spacing w:line="240" w:lineRule="auto"/>
              <w:rPr>
                <w:b/>
                <w:bCs/>
              </w:rPr>
            </w:pPr>
            <w:r w:rsidRPr="00F04F82">
              <w:rPr>
                <w:b/>
                <w:bCs/>
              </w:rPr>
              <w:t>Do not</w:t>
            </w:r>
            <w:r w:rsidRPr="00F04F82">
              <w:t xml:space="preserve"> rub the injection site. </w:t>
            </w:r>
          </w:p>
        </w:tc>
      </w:tr>
      <w:tr w:rsidR="00400D30" w:rsidRPr="00F04F82" w14:paraId="119D568C" w14:textId="77777777" w:rsidTr="009D58C6">
        <w:trPr>
          <w:cantSplit/>
          <w:trHeight w:val="57"/>
        </w:trPr>
        <w:tc>
          <w:tcPr>
            <w:tcW w:w="383" w:type="pct"/>
            <w:gridSpan w:val="2"/>
            <w:tcBorders>
              <w:top w:val="nil"/>
              <w:bottom w:val="single" w:sz="4" w:space="0" w:color="auto"/>
              <w:right w:val="nil"/>
            </w:tcBorders>
            <w:tcMar>
              <w:top w:w="28" w:type="dxa"/>
              <w:left w:w="57" w:type="dxa"/>
              <w:bottom w:w="28" w:type="dxa"/>
              <w:right w:w="57" w:type="dxa"/>
            </w:tcMar>
          </w:tcPr>
          <w:p w14:paraId="7DAF38F0" w14:textId="77777777" w:rsidR="00400D30" w:rsidRPr="00F04F82" w:rsidRDefault="00400D30" w:rsidP="00D47253">
            <w:pPr>
              <w:numPr>
                <w:ilvl w:val="0"/>
                <w:numId w:val="46"/>
              </w:numPr>
              <w:tabs>
                <w:tab w:val="clear" w:pos="567"/>
              </w:tabs>
              <w:spacing w:line="240" w:lineRule="auto"/>
              <w:ind w:left="567" w:hanging="567"/>
            </w:pPr>
          </w:p>
        </w:tc>
        <w:tc>
          <w:tcPr>
            <w:tcW w:w="4617" w:type="pct"/>
            <w:tcBorders>
              <w:top w:val="nil"/>
              <w:left w:val="nil"/>
              <w:bottom w:val="single" w:sz="4" w:space="0" w:color="auto"/>
            </w:tcBorders>
            <w:tcMar>
              <w:left w:w="0" w:type="dxa"/>
            </w:tcMar>
          </w:tcPr>
          <w:p w14:paraId="462842F4" w14:textId="26D773B9" w:rsidR="00400D30" w:rsidRPr="00F04F82" w:rsidRDefault="00400D30" w:rsidP="00B61D9D">
            <w:pPr>
              <w:spacing w:line="240" w:lineRule="auto"/>
              <w:rPr>
                <w:b/>
                <w:bCs/>
              </w:rPr>
            </w:pPr>
            <w:r w:rsidRPr="00F04F82">
              <w:t>If there is blood, press a cotton ball or gauze pad on your injection site. Apply a</w:t>
            </w:r>
            <w:del w:id="6036" w:author="Author">
              <w:r w:rsidRPr="00F04F82" w:rsidDel="002734BF">
                <w:delText>n</w:delText>
              </w:r>
            </w:del>
            <w:r w:rsidRPr="00F04F82">
              <w:t xml:space="preserve"> plaster if necessary.</w:t>
            </w:r>
          </w:p>
        </w:tc>
      </w:tr>
    </w:tbl>
    <w:p w14:paraId="4DB09844" w14:textId="77777777" w:rsidR="00F67EFB" w:rsidRDefault="00F67EFB" w:rsidP="00FB5458">
      <w:pPr>
        <w:tabs>
          <w:tab w:val="clear" w:pos="567"/>
          <w:tab w:val="left" w:pos="0"/>
        </w:tabs>
        <w:spacing w:line="240" w:lineRule="auto"/>
        <w:rPr>
          <w:szCs w:val="22"/>
          <w:highlight w:val="lightGray"/>
        </w:rPr>
      </w:pPr>
    </w:p>
    <w:sectPr w:rsidR="00F67EFB" w:rsidSect="0065239D">
      <w:headerReference w:type="even" r:id="rId105"/>
      <w:headerReference w:type="default" r:id="rId106"/>
      <w:footerReference w:type="even" r:id="rId107"/>
      <w:footerReference w:type="default" r:id="rId108"/>
      <w:headerReference w:type="first" r:id="rId109"/>
      <w:footerReference w:type="first" r:id="rId110"/>
      <w:endnotePr>
        <w:numFmt w:val="decimal"/>
      </w:endnotePr>
      <w:pgSz w:w="11907" w:h="16840" w:code="9"/>
      <w:pgMar w:top="1134" w:right="1418" w:bottom="1134" w:left="1418" w:header="737" w:footer="73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74ECE4" w14:textId="77777777" w:rsidR="00F82AD5" w:rsidRPr="00F04F82" w:rsidRDefault="00F82AD5">
      <w:r w:rsidRPr="00F04F82">
        <w:separator/>
      </w:r>
    </w:p>
  </w:endnote>
  <w:endnote w:type="continuationSeparator" w:id="0">
    <w:p w14:paraId="0A604056" w14:textId="77777777" w:rsidR="00F82AD5" w:rsidRPr="00F04F82" w:rsidRDefault="00F82AD5">
      <w:r w:rsidRPr="00F04F82">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Wingdings 3">
    <w:panose1 w:val="05040102010807070707"/>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Roman">
    <w:altName w:val="Times New Roman"/>
    <w:charset w:val="4D"/>
    <w:family w:val="auto"/>
    <w:pitch w:val="default"/>
    <w:sig w:usb0="00000000"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Georgia-Bold">
    <w:altName w:val="Georgia"/>
    <w:charset w:val="4D"/>
    <w:family w:val="auto"/>
    <w:pitch w:val="default"/>
    <w:sig w:usb0="00000000"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EUAlbertina">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Bold">
    <w:altName w:val="MS Mincho"/>
    <w:charset w:val="00"/>
    <w:family w:val="auto"/>
    <w:pitch w:val="default"/>
    <w:sig w:usb0="00000000" w:usb1="00000000" w:usb2="00000010" w:usb3="00000000" w:csb0="00020001" w:csb1="00000000"/>
  </w:font>
  <w:font w:name="Arial Unicode MS">
    <w:panose1 w:val="020B0604020202020204"/>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43FE9" w14:textId="77777777" w:rsidR="00D47253" w:rsidRPr="001775D9" w:rsidRDefault="00D47253">
    <w:pPr>
      <w:pStyle w:val="Footer"/>
      <w:tabs>
        <w:tab w:val="clear" w:pos="8930"/>
        <w:tab w:val="right" w:pos="8931"/>
      </w:tabs>
      <w:ind w:right="96"/>
      <w:jc w:val="center"/>
    </w:pPr>
    <w:r w:rsidRPr="001775D9">
      <w:fldChar w:fldCharType="begin"/>
    </w:r>
    <w:r w:rsidRPr="001775D9">
      <w:instrText xml:space="preserve"> EQ </w:instrText>
    </w:r>
    <w:r w:rsidRPr="001775D9">
      <w:fldChar w:fldCharType="end"/>
    </w:r>
    <w:r w:rsidRPr="001775D9">
      <w:rPr>
        <w:rStyle w:val="PageNumber"/>
        <w:rFonts w:ascii="Arial" w:hAnsi="Arial" w:cs="Arial"/>
      </w:rPr>
      <w:fldChar w:fldCharType="begin"/>
    </w:r>
    <w:r w:rsidRPr="001775D9">
      <w:rPr>
        <w:rStyle w:val="PageNumber"/>
        <w:rFonts w:ascii="Arial" w:hAnsi="Arial" w:cs="Arial"/>
      </w:rPr>
      <w:instrText xml:space="preserve">PAGE  </w:instrText>
    </w:r>
    <w:r w:rsidRPr="001775D9">
      <w:rPr>
        <w:rStyle w:val="PageNumber"/>
        <w:rFonts w:ascii="Arial" w:hAnsi="Arial" w:cs="Arial"/>
      </w:rPr>
      <w:fldChar w:fldCharType="separate"/>
    </w:r>
    <w:r w:rsidRPr="00D55B59">
      <w:rPr>
        <w:rStyle w:val="PageNumber"/>
        <w:rFonts w:ascii="Arial" w:hAnsi="Arial" w:cs="Arial"/>
        <w:rPrChange w:id="2155" w:author="Author">
          <w:rPr>
            <w:rStyle w:val="PageNumber"/>
            <w:rFonts w:ascii="Arial" w:hAnsi="Arial" w:cs="Arial"/>
            <w:noProof/>
          </w:rPr>
        </w:rPrChange>
      </w:rPr>
      <w:t>115</w:t>
    </w:r>
    <w:r w:rsidRPr="001775D9">
      <w:rPr>
        <w:rStyle w:val="PageNumber"/>
        <w:rFonts w:ascii="Arial" w:hAnsi="Arial"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73D43" w14:textId="77777777" w:rsidR="00D47253" w:rsidRPr="001775D9" w:rsidRDefault="00D47253">
    <w:pPr>
      <w:pStyle w:val="Footer"/>
      <w:tabs>
        <w:tab w:val="clear" w:pos="8930"/>
        <w:tab w:val="right" w:pos="8931"/>
      </w:tabs>
      <w:ind w:right="96"/>
      <w:jc w:val="center"/>
    </w:pPr>
    <w:r w:rsidRPr="001775D9">
      <w:fldChar w:fldCharType="begin"/>
    </w:r>
    <w:r w:rsidRPr="001775D9">
      <w:instrText xml:space="preserve"> EQ </w:instrText>
    </w:r>
    <w:r w:rsidRPr="001775D9">
      <w:fldChar w:fldCharType="end"/>
    </w:r>
    <w:r w:rsidRPr="001775D9">
      <w:rPr>
        <w:rStyle w:val="PageNumber"/>
        <w:rFonts w:ascii="Arial" w:hAnsi="Arial" w:cs="Arial"/>
      </w:rPr>
      <w:fldChar w:fldCharType="begin"/>
    </w:r>
    <w:r w:rsidRPr="001775D9">
      <w:rPr>
        <w:rStyle w:val="PageNumber"/>
        <w:rFonts w:ascii="Arial" w:hAnsi="Arial" w:cs="Arial"/>
      </w:rPr>
      <w:instrText xml:space="preserve">PAGE  </w:instrText>
    </w:r>
    <w:r w:rsidRPr="001775D9">
      <w:rPr>
        <w:rStyle w:val="PageNumber"/>
        <w:rFonts w:ascii="Arial" w:hAnsi="Arial" w:cs="Arial"/>
      </w:rPr>
      <w:fldChar w:fldCharType="separate"/>
    </w:r>
    <w:r w:rsidRPr="00D55B59">
      <w:rPr>
        <w:rStyle w:val="PageNumber"/>
        <w:rFonts w:ascii="Arial" w:hAnsi="Arial" w:cs="Arial"/>
        <w:rPrChange w:id="2157" w:author="Author">
          <w:rPr>
            <w:rStyle w:val="PageNumber"/>
            <w:rFonts w:ascii="Arial" w:hAnsi="Arial" w:cs="Arial"/>
            <w:noProof/>
          </w:rPr>
        </w:rPrChange>
      </w:rPr>
      <w:t>69</w:t>
    </w:r>
    <w:r w:rsidRPr="001775D9">
      <w:rPr>
        <w:rStyle w:val="PageNumber"/>
        <w:rFonts w:ascii="Arial" w:hAnsi="Arial" w:cs="Aria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8F39E" w14:textId="77777777" w:rsidR="00D47253" w:rsidRPr="00F04F82" w:rsidRDefault="00D4725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F73D6" w14:textId="77777777" w:rsidR="00D47253" w:rsidRPr="001775D9" w:rsidRDefault="00D47253">
    <w:pPr>
      <w:pStyle w:val="Footer"/>
      <w:tabs>
        <w:tab w:val="clear" w:pos="8930"/>
        <w:tab w:val="right" w:pos="8931"/>
      </w:tabs>
      <w:ind w:right="96"/>
      <w:jc w:val="center"/>
    </w:pPr>
    <w:r w:rsidRPr="001775D9">
      <w:fldChar w:fldCharType="begin"/>
    </w:r>
    <w:r w:rsidRPr="001775D9">
      <w:instrText xml:space="preserve"> EQ </w:instrText>
    </w:r>
    <w:r w:rsidRPr="001775D9">
      <w:fldChar w:fldCharType="end"/>
    </w:r>
    <w:r w:rsidRPr="001775D9">
      <w:rPr>
        <w:rStyle w:val="PageNumber"/>
        <w:rFonts w:ascii="Arial" w:hAnsi="Arial" w:cs="Arial"/>
      </w:rPr>
      <w:fldChar w:fldCharType="begin"/>
    </w:r>
    <w:r w:rsidRPr="001775D9">
      <w:rPr>
        <w:rStyle w:val="PageNumber"/>
        <w:rFonts w:ascii="Arial" w:hAnsi="Arial" w:cs="Arial"/>
      </w:rPr>
      <w:instrText xml:space="preserve">PAGE  </w:instrText>
    </w:r>
    <w:r w:rsidRPr="001775D9">
      <w:rPr>
        <w:rStyle w:val="PageNumber"/>
        <w:rFonts w:ascii="Arial" w:hAnsi="Arial" w:cs="Arial"/>
      </w:rPr>
      <w:fldChar w:fldCharType="separate"/>
    </w:r>
    <w:r w:rsidRPr="00D55B59">
      <w:rPr>
        <w:rStyle w:val="PageNumber"/>
        <w:rFonts w:ascii="Arial" w:hAnsi="Arial" w:cs="Arial"/>
        <w:rPrChange w:id="2354" w:author="Author">
          <w:rPr>
            <w:rStyle w:val="PageNumber"/>
            <w:rFonts w:ascii="Arial" w:hAnsi="Arial" w:cs="Arial"/>
            <w:noProof/>
          </w:rPr>
        </w:rPrChange>
      </w:rPr>
      <w:t>115</w:t>
    </w:r>
    <w:r w:rsidRPr="001775D9">
      <w:rPr>
        <w:rStyle w:val="PageNumber"/>
        <w:rFonts w:ascii="Arial" w:hAnsi="Arial" w:cs="Arial"/>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72A3E" w14:textId="77777777" w:rsidR="00D47253" w:rsidRPr="001775D9" w:rsidRDefault="00D47253">
    <w:pPr>
      <w:pStyle w:val="Footer"/>
      <w:tabs>
        <w:tab w:val="clear" w:pos="8930"/>
        <w:tab w:val="right" w:pos="8931"/>
      </w:tabs>
      <w:ind w:right="96"/>
      <w:jc w:val="center"/>
    </w:pPr>
    <w:r w:rsidRPr="001775D9">
      <w:fldChar w:fldCharType="begin"/>
    </w:r>
    <w:r w:rsidRPr="001775D9">
      <w:instrText xml:space="preserve"> EQ </w:instrText>
    </w:r>
    <w:r w:rsidRPr="001775D9">
      <w:fldChar w:fldCharType="end"/>
    </w:r>
    <w:r w:rsidRPr="001775D9">
      <w:rPr>
        <w:rStyle w:val="PageNumber"/>
        <w:rFonts w:ascii="Arial" w:hAnsi="Arial" w:cs="Arial"/>
      </w:rPr>
      <w:fldChar w:fldCharType="begin"/>
    </w:r>
    <w:r w:rsidRPr="001775D9">
      <w:rPr>
        <w:rStyle w:val="PageNumber"/>
        <w:rFonts w:ascii="Arial" w:hAnsi="Arial" w:cs="Arial"/>
      </w:rPr>
      <w:instrText xml:space="preserve">PAGE  </w:instrText>
    </w:r>
    <w:r w:rsidRPr="001775D9">
      <w:rPr>
        <w:rStyle w:val="PageNumber"/>
        <w:rFonts w:ascii="Arial" w:hAnsi="Arial" w:cs="Arial"/>
      </w:rPr>
      <w:fldChar w:fldCharType="separate"/>
    </w:r>
    <w:r w:rsidRPr="00D55B59">
      <w:rPr>
        <w:rStyle w:val="PageNumber"/>
        <w:rFonts w:ascii="Arial" w:hAnsi="Arial" w:cs="Arial"/>
        <w:rPrChange w:id="2356" w:author="Author">
          <w:rPr>
            <w:rStyle w:val="PageNumber"/>
            <w:rFonts w:ascii="Arial" w:hAnsi="Arial" w:cs="Arial"/>
            <w:noProof/>
          </w:rPr>
        </w:rPrChange>
      </w:rPr>
      <w:t>69</w:t>
    </w:r>
    <w:r w:rsidRPr="001775D9">
      <w:rPr>
        <w:rStyle w:val="PageNumber"/>
        <w:rFonts w:ascii="Arial" w:hAnsi="Arial" w:cs="Arial"/>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6B7C2" w14:textId="77777777" w:rsidR="00D47253" w:rsidRPr="00F04F82" w:rsidRDefault="00D4725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58CA5" w14:textId="77777777" w:rsidR="00D47253" w:rsidRPr="001775D9" w:rsidRDefault="00D47253">
    <w:pPr>
      <w:pStyle w:val="Footer"/>
      <w:tabs>
        <w:tab w:val="clear" w:pos="8930"/>
        <w:tab w:val="right" w:pos="8931"/>
      </w:tabs>
      <w:ind w:right="96"/>
      <w:jc w:val="center"/>
    </w:pPr>
    <w:r w:rsidRPr="001775D9">
      <w:fldChar w:fldCharType="begin"/>
    </w:r>
    <w:r w:rsidRPr="001775D9">
      <w:instrText xml:space="preserve"> EQ </w:instrText>
    </w:r>
    <w:r w:rsidRPr="001775D9">
      <w:fldChar w:fldCharType="end"/>
    </w:r>
    <w:r w:rsidRPr="001775D9">
      <w:rPr>
        <w:rStyle w:val="PageNumber"/>
        <w:rFonts w:ascii="Arial" w:hAnsi="Arial" w:cs="Arial"/>
      </w:rPr>
      <w:fldChar w:fldCharType="begin"/>
    </w:r>
    <w:r w:rsidRPr="001775D9">
      <w:rPr>
        <w:rStyle w:val="PageNumber"/>
        <w:rFonts w:ascii="Arial" w:hAnsi="Arial" w:cs="Arial"/>
      </w:rPr>
      <w:instrText xml:space="preserve">PAGE  </w:instrText>
    </w:r>
    <w:r w:rsidRPr="001775D9">
      <w:rPr>
        <w:rStyle w:val="PageNumber"/>
        <w:rFonts w:ascii="Arial" w:hAnsi="Arial" w:cs="Arial"/>
      </w:rPr>
      <w:fldChar w:fldCharType="separate"/>
    </w:r>
    <w:r w:rsidRPr="00D55B59">
      <w:rPr>
        <w:rStyle w:val="PageNumber"/>
        <w:rFonts w:ascii="Arial" w:hAnsi="Arial" w:cs="Arial"/>
        <w:rPrChange w:id="6037" w:author="Author">
          <w:rPr>
            <w:rStyle w:val="PageNumber"/>
            <w:rFonts w:ascii="Arial" w:hAnsi="Arial" w:cs="Arial"/>
            <w:noProof/>
          </w:rPr>
        </w:rPrChange>
      </w:rPr>
      <w:t>115</w:t>
    </w:r>
    <w:r w:rsidRPr="001775D9">
      <w:rPr>
        <w:rStyle w:val="PageNumber"/>
        <w:rFonts w:ascii="Arial" w:hAnsi="Arial" w:cs="Arial"/>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DBD12" w14:textId="77777777" w:rsidR="00D47253" w:rsidRPr="001775D9" w:rsidRDefault="00D47253">
    <w:pPr>
      <w:pStyle w:val="Footer"/>
      <w:tabs>
        <w:tab w:val="clear" w:pos="8930"/>
        <w:tab w:val="right" w:pos="8931"/>
      </w:tabs>
      <w:ind w:right="96"/>
      <w:jc w:val="center"/>
    </w:pPr>
    <w:r w:rsidRPr="001775D9">
      <w:fldChar w:fldCharType="begin"/>
    </w:r>
    <w:r w:rsidRPr="001775D9">
      <w:instrText xml:space="preserve"> EQ </w:instrText>
    </w:r>
    <w:r w:rsidRPr="001775D9">
      <w:fldChar w:fldCharType="end"/>
    </w:r>
    <w:r w:rsidRPr="001775D9">
      <w:rPr>
        <w:rStyle w:val="PageNumber"/>
        <w:rFonts w:ascii="Arial" w:hAnsi="Arial" w:cs="Arial"/>
      </w:rPr>
      <w:fldChar w:fldCharType="begin"/>
    </w:r>
    <w:r w:rsidRPr="001775D9">
      <w:rPr>
        <w:rStyle w:val="PageNumber"/>
        <w:rFonts w:ascii="Arial" w:hAnsi="Arial" w:cs="Arial"/>
      </w:rPr>
      <w:instrText xml:space="preserve">PAGE  </w:instrText>
    </w:r>
    <w:r w:rsidRPr="001775D9">
      <w:rPr>
        <w:rStyle w:val="PageNumber"/>
        <w:rFonts w:ascii="Arial" w:hAnsi="Arial" w:cs="Arial"/>
      </w:rPr>
      <w:fldChar w:fldCharType="separate"/>
    </w:r>
    <w:r w:rsidRPr="00D55B59">
      <w:rPr>
        <w:rStyle w:val="PageNumber"/>
        <w:rFonts w:ascii="Arial" w:hAnsi="Arial" w:cs="Arial"/>
        <w:rPrChange w:id="6039" w:author="Author">
          <w:rPr>
            <w:rStyle w:val="PageNumber"/>
            <w:rFonts w:ascii="Arial" w:hAnsi="Arial" w:cs="Arial"/>
            <w:noProof/>
          </w:rPr>
        </w:rPrChange>
      </w:rPr>
      <w:t>69</w:t>
    </w:r>
    <w:r w:rsidRPr="001775D9">
      <w:rPr>
        <w:rStyle w:val="PageNumber"/>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80DB1F" w14:textId="77777777" w:rsidR="00F82AD5" w:rsidRPr="00F04F82" w:rsidRDefault="00F82AD5">
      <w:r w:rsidRPr="00F04F82">
        <w:separator/>
      </w:r>
    </w:p>
  </w:footnote>
  <w:footnote w:type="continuationSeparator" w:id="0">
    <w:p w14:paraId="7C7F51D3" w14:textId="77777777" w:rsidR="00F82AD5" w:rsidRPr="00F04F82" w:rsidRDefault="00F82AD5">
      <w:r w:rsidRPr="00F04F82">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3D15A" w14:textId="77777777" w:rsidR="00D47253" w:rsidRPr="00D55B59" w:rsidRDefault="00D47253">
    <w:pPr>
      <w:widowControl w:val="0"/>
      <w:tabs>
        <w:tab w:val="clear" w:pos="567"/>
      </w:tabs>
      <w:spacing w:line="240" w:lineRule="auto"/>
      <w:rPr>
        <w:rFonts w:ascii="Arial" w:hAnsi="Arial" w:cs="Arial"/>
        <w:color w:val="000000"/>
        <w:sz w:val="18"/>
        <w:szCs w:val="18"/>
        <w:rPrChange w:id="2156" w:author="Author">
          <w:rPr>
            <w:rFonts w:ascii="Arial" w:hAnsi="Arial" w:cs="Arial"/>
            <w:noProof/>
            <w:color w:val="000000"/>
            <w:sz w:val="18"/>
            <w:szCs w:val="18"/>
          </w:rPr>
        </w:rPrChang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1FC0B" w14:textId="77777777" w:rsidR="00D47253" w:rsidRPr="00F04F82" w:rsidRDefault="00D4725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0A361" w14:textId="77777777" w:rsidR="00D47253" w:rsidRPr="001775D9" w:rsidRDefault="00D4725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C7275" w14:textId="77777777" w:rsidR="00D47253" w:rsidRPr="00D55B59" w:rsidRDefault="00D47253">
    <w:pPr>
      <w:widowControl w:val="0"/>
      <w:tabs>
        <w:tab w:val="clear" w:pos="567"/>
      </w:tabs>
      <w:spacing w:line="240" w:lineRule="auto"/>
      <w:rPr>
        <w:rFonts w:ascii="Arial" w:hAnsi="Arial" w:cs="Arial"/>
        <w:color w:val="000000"/>
        <w:sz w:val="18"/>
        <w:szCs w:val="18"/>
        <w:rPrChange w:id="2355" w:author="Author">
          <w:rPr>
            <w:rFonts w:ascii="Arial" w:hAnsi="Arial" w:cs="Arial"/>
            <w:noProof/>
            <w:color w:val="000000"/>
            <w:sz w:val="18"/>
            <w:szCs w:val="18"/>
          </w:rPr>
        </w:rPrChang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D6CD3" w14:textId="77777777" w:rsidR="00D47253" w:rsidRPr="00F04F82" w:rsidRDefault="00D4725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0A99C" w14:textId="77777777" w:rsidR="00D47253" w:rsidRPr="001775D9" w:rsidRDefault="00D4725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32484" w14:textId="77777777" w:rsidR="00D47253" w:rsidRPr="00D55B59" w:rsidRDefault="00D47253">
    <w:pPr>
      <w:widowControl w:val="0"/>
      <w:tabs>
        <w:tab w:val="clear" w:pos="567"/>
      </w:tabs>
      <w:spacing w:line="240" w:lineRule="auto"/>
      <w:rPr>
        <w:rFonts w:ascii="Arial" w:hAnsi="Arial" w:cs="Arial"/>
        <w:color w:val="000000"/>
        <w:sz w:val="18"/>
        <w:szCs w:val="18"/>
        <w:rPrChange w:id="6038" w:author="Author">
          <w:rPr>
            <w:rFonts w:ascii="Arial" w:hAnsi="Arial" w:cs="Arial"/>
            <w:noProof/>
            <w:color w:val="000000"/>
            <w:sz w:val="18"/>
            <w:szCs w:val="18"/>
          </w:rPr>
        </w:rPrChang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74763E"/>
    <w:multiLevelType w:val="hybridMultilevel"/>
    <w:tmpl w:val="51688E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3911225"/>
    <w:multiLevelType w:val="hybridMultilevel"/>
    <w:tmpl w:val="22BE25FA"/>
    <w:lvl w:ilvl="0" w:tplc="6A1AE462">
      <w:start w:val="1"/>
      <w:numFmt w:val="bullet"/>
      <w:pStyle w:val="ListBullets"/>
      <w:lvlText w:val=""/>
      <w:lvlJc w:val="left"/>
      <w:pPr>
        <w:ind w:left="720" w:hanging="360"/>
      </w:pPr>
      <w:rPr>
        <w:rFonts w:ascii="Symbol" w:hAnsi="Symbol" w:hint="default"/>
        <w:color w:val="auto"/>
      </w:rPr>
    </w:lvl>
    <w:lvl w:ilvl="1" w:tplc="06765F6E">
      <w:start w:val="1"/>
      <w:numFmt w:val="bullet"/>
      <w:pStyle w:val="ListBulletsInden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1F4C4C"/>
    <w:multiLevelType w:val="hybridMultilevel"/>
    <w:tmpl w:val="2CC4BF3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4" w15:restartNumberingAfterBreak="0">
    <w:nsid w:val="06BA3E2E"/>
    <w:multiLevelType w:val="hybridMultilevel"/>
    <w:tmpl w:val="B338EFBC"/>
    <w:lvl w:ilvl="0" w:tplc="4EE416A8">
      <w:start w:val="4"/>
      <w:numFmt w:val="decimal"/>
      <w:lvlText w:val="%1."/>
      <w:lvlJc w:val="left"/>
      <w:pPr>
        <w:ind w:left="930" w:hanging="57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A883E57"/>
    <w:multiLevelType w:val="hybridMultilevel"/>
    <w:tmpl w:val="ADC88608"/>
    <w:lvl w:ilvl="0" w:tplc="F408600E">
      <w:start w:val="1"/>
      <w:numFmt w:val="bullet"/>
      <w:pStyle w:val="BULLETED"/>
      <w:lvlText w:val=""/>
      <w:lvlJc w:val="left"/>
      <w:pPr>
        <w:ind w:left="3366" w:hanging="360"/>
      </w:pPr>
      <w:rPr>
        <w:rFonts w:ascii="Symbol" w:hAnsi="Symbol" w:hint="default"/>
      </w:rPr>
    </w:lvl>
    <w:lvl w:ilvl="1" w:tplc="04090003" w:tentative="1">
      <w:start w:val="1"/>
      <w:numFmt w:val="bullet"/>
      <w:lvlText w:val="o"/>
      <w:lvlJc w:val="left"/>
      <w:pPr>
        <w:ind w:left="4086" w:hanging="360"/>
      </w:pPr>
      <w:rPr>
        <w:rFonts w:ascii="Courier New" w:hAnsi="Courier New" w:hint="default"/>
      </w:rPr>
    </w:lvl>
    <w:lvl w:ilvl="2" w:tplc="04090005" w:tentative="1">
      <w:start w:val="1"/>
      <w:numFmt w:val="bullet"/>
      <w:lvlText w:val=""/>
      <w:lvlJc w:val="left"/>
      <w:pPr>
        <w:ind w:left="4806" w:hanging="360"/>
      </w:pPr>
      <w:rPr>
        <w:rFonts w:ascii="Wingdings" w:hAnsi="Wingdings" w:hint="default"/>
      </w:rPr>
    </w:lvl>
    <w:lvl w:ilvl="3" w:tplc="04090001" w:tentative="1">
      <w:start w:val="1"/>
      <w:numFmt w:val="bullet"/>
      <w:lvlText w:val=""/>
      <w:lvlJc w:val="left"/>
      <w:pPr>
        <w:ind w:left="5526" w:hanging="360"/>
      </w:pPr>
      <w:rPr>
        <w:rFonts w:ascii="Symbol" w:hAnsi="Symbol" w:hint="default"/>
      </w:rPr>
    </w:lvl>
    <w:lvl w:ilvl="4" w:tplc="04090003" w:tentative="1">
      <w:start w:val="1"/>
      <w:numFmt w:val="bullet"/>
      <w:lvlText w:val="o"/>
      <w:lvlJc w:val="left"/>
      <w:pPr>
        <w:ind w:left="6246" w:hanging="360"/>
      </w:pPr>
      <w:rPr>
        <w:rFonts w:ascii="Courier New" w:hAnsi="Courier New" w:hint="default"/>
      </w:rPr>
    </w:lvl>
    <w:lvl w:ilvl="5" w:tplc="04090005" w:tentative="1">
      <w:start w:val="1"/>
      <w:numFmt w:val="bullet"/>
      <w:lvlText w:val=""/>
      <w:lvlJc w:val="left"/>
      <w:pPr>
        <w:ind w:left="6966" w:hanging="360"/>
      </w:pPr>
      <w:rPr>
        <w:rFonts w:ascii="Wingdings" w:hAnsi="Wingdings" w:hint="default"/>
      </w:rPr>
    </w:lvl>
    <w:lvl w:ilvl="6" w:tplc="04090001" w:tentative="1">
      <w:start w:val="1"/>
      <w:numFmt w:val="bullet"/>
      <w:lvlText w:val=""/>
      <w:lvlJc w:val="left"/>
      <w:pPr>
        <w:ind w:left="7686" w:hanging="360"/>
      </w:pPr>
      <w:rPr>
        <w:rFonts w:ascii="Symbol" w:hAnsi="Symbol" w:hint="default"/>
      </w:rPr>
    </w:lvl>
    <w:lvl w:ilvl="7" w:tplc="04090003" w:tentative="1">
      <w:start w:val="1"/>
      <w:numFmt w:val="bullet"/>
      <w:lvlText w:val="o"/>
      <w:lvlJc w:val="left"/>
      <w:pPr>
        <w:ind w:left="8406" w:hanging="360"/>
      </w:pPr>
      <w:rPr>
        <w:rFonts w:ascii="Courier New" w:hAnsi="Courier New" w:hint="default"/>
      </w:rPr>
    </w:lvl>
    <w:lvl w:ilvl="8" w:tplc="04090005" w:tentative="1">
      <w:start w:val="1"/>
      <w:numFmt w:val="bullet"/>
      <w:lvlText w:val=""/>
      <w:lvlJc w:val="left"/>
      <w:pPr>
        <w:ind w:left="9126" w:hanging="360"/>
      </w:pPr>
      <w:rPr>
        <w:rFonts w:ascii="Wingdings" w:hAnsi="Wingdings" w:hint="default"/>
      </w:rPr>
    </w:lvl>
  </w:abstractNum>
  <w:abstractNum w:abstractNumId="6" w15:restartNumberingAfterBreak="0">
    <w:nsid w:val="0AEF18EC"/>
    <w:multiLevelType w:val="hybridMultilevel"/>
    <w:tmpl w:val="32B22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312C9F"/>
    <w:multiLevelType w:val="multilevel"/>
    <w:tmpl w:val="985ED0C2"/>
    <w:lvl w:ilvl="0">
      <w:start w:val="1"/>
      <w:numFmt w:val="bullet"/>
      <w:lvlText w:val=""/>
      <w:lvlJc w:val="left"/>
      <w:pPr>
        <w:ind w:left="720" w:hanging="360"/>
      </w:pPr>
      <w:rPr>
        <w:rFonts w:ascii="Symbol" w:hAnsi="Symbol" w:hint="default"/>
        <w:b w:val="0"/>
        <w:i w:val="0"/>
        <w:color w:val="auto"/>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8" w15:restartNumberingAfterBreak="0">
    <w:nsid w:val="10EC69BF"/>
    <w:multiLevelType w:val="hybridMultilevel"/>
    <w:tmpl w:val="479C8EE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54491B"/>
    <w:multiLevelType w:val="hybridMultilevel"/>
    <w:tmpl w:val="9D4CE516"/>
    <w:lvl w:ilvl="0" w:tplc="EDF8C5F8">
      <w:start w:val="1"/>
      <w:numFmt w:val="decimal"/>
      <w:lvlText w:val="%1."/>
      <w:lvlJc w:val="left"/>
      <w:pPr>
        <w:ind w:left="930" w:hanging="57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177404F1"/>
    <w:multiLevelType w:val="hybridMultilevel"/>
    <w:tmpl w:val="10667438"/>
    <w:lvl w:ilvl="0" w:tplc="976C8E14">
      <w:start w:val="1"/>
      <w:numFmt w:val="bullet"/>
      <w:lvlText w:val="-"/>
      <w:lvlJc w:val="left"/>
      <w:pPr>
        <w:ind w:left="720" w:hanging="360"/>
      </w:pPr>
      <w:rPr>
        <w:rFonts w:ascii="Times New Roman" w:hAnsi="Times New Roman" w:cs="Times New Roman"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35220A"/>
    <w:multiLevelType w:val="hybridMultilevel"/>
    <w:tmpl w:val="40F0B88C"/>
    <w:lvl w:ilvl="0" w:tplc="976C8E14">
      <w:start w:val="1"/>
      <w:numFmt w:val="bullet"/>
      <w:lvlText w:val="-"/>
      <w:lvlJc w:val="left"/>
      <w:pPr>
        <w:ind w:left="720" w:hanging="360"/>
      </w:pPr>
      <w:rPr>
        <w:rFonts w:ascii="Times New Roman" w:hAnsi="Times New Roman" w:cs="Times New Roman"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D4342FA"/>
    <w:multiLevelType w:val="hybridMultilevel"/>
    <w:tmpl w:val="5F1ACF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F280AC3"/>
    <w:multiLevelType w:val="hybridMultilevel"/>
    <w:tmpl w:val="A0A43E38"/>
    <w:lvl w:ilvl="0" w:tplc="976C8E14">
      <w:start w:val="1"/>
      <w:numFmt w:val="bullet"/>
      <w:lvlText w:val="-"/>
      <w:lvlJc w:val="left"/>
      <w:pPr>
        <w:ind w:left="720" w:hanging="360"/>
      </w:pPr>
      <w:rPr>
        <w:rFonts w:ascii="Times New Roman" w:hAnsi="Times New Roman" w:cs="Times New Roman" w:hint="default"/>
        <w:sz w:val="20"/>
        <w:szCs w:val="20"/>
      </w:rPr>
    </w:lvl>
    <w:lvl w:ilvl="1" w:tplc="5C34B1E4">
      <w:numFmt w:val="bullet"/>
      <w:lvlText w:val="•"/>
      <w:lvlJc w:val="left"/>
      <w:pPr>
        <w:ind w:left="1440" w:hanging="360"/>
      </w:pPr>
      <w:rPr>
        <w:rFonts w:ascii="Arial" w:eastAsia="SimSu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2B3A5E"/>
    <w:multiLevelType w:val="multilevel"/>
    <w:tmpl w:val="76263460"/>
    <w:lvl w:ilvl="0">
      <w:start w:val="1"/>
      <w:numFmt w:val="upperRoman"/>
      <w:pStyle w:val="AHeader1"/>
      <w:lvlText w:val="%1"/>
      <w:lvlJc w:val="left"/>
      <w:pPr>
        <w:tabs>
          <w:tab w:val="num" w:pos="720"/>
        </w:tabs>
        <w:ind w:left="284" w:hanging="284"/>
      </w:pPr>
      <w:rPr>
        <w:rFonts w:ascii="Arial" w:hAnsi="Arial" w:cs="Times New Roman" w:hint="default"/>
        <w:b/>
        <w:i w:val="0"/>
        <w:sz w:val="24"/>
      </w:rPr>
    </w:lvl>
    <w:lvl w:ilvl="1">
      <w:start w:val="1"/>
      <w:numFmt w:val="decimal"/>
      <w:pStyle w:val="AHeader2"/>
      <w:lvlText w:val="%1.%2"/>
      <w:lvlJc w:val="left"/>
      <w:pPr>
        <w:tabs>
          <w:tab w:val="num" w:pos="709"/>
        </w:tabs>
        <w:ind w:left="709" w:hanging="425"/>
      </w:pPr>
      <w:rPr>
        <w:rFonts w:ascii="Arial" w:hAnsi="Arial" w:cs="Times New Roman" w:hint="default"/>
        <w:b/>
        <w:i w:val="0"/>
        <w:sz w:val="22"/>
      </w:rPr>
    </w:lvl>
    <w:lvl w:ilvl="2">
      <w:start w:val="1"/>
      <w:numFmt w:val="decimal"/>
      <w:pStyle w:val="AHeader3"/>
      <w:lvlText w:val="%1.%2.%3"/>
      <w:lvlJc w:val="left"/>
      <w:pPr>
        <w:tabs>
          <w:tab w:val="num" w:pos="1276"/>
        </w:tabs>
        <w:ind w:left="1276" w:hanging="567"/>
      </w:pPr>
      <w:rPr>
        <w:rFonts w:ascii="Arial" w:hAnsi="Arial" w:cs="Times New Roman" w:hint="default"/>
        <w:b/>
        <w:i w:val="0"/>
        <w:sz w:val="22"/>
      </w:rPr>
    </w:lvl>
    <w:lvl w:ilvl="3">
      <w:start w:val="1"/>
      <w:numFmt w:val="lowerLetter"/>
      <w:pStyle w:val="AHeader2abc"/>
      <w:lvlText w:val="%4)"/>
      <w:lvlJc w:val="left"/>
      <w:pPr>
        <w:tabs>
          <w:tab w:val="num" w:pos="1276"/>
        </w:tabs>
        <w:ind w:left="1276" w:hanging="567"/>
      </w:pPr>
      <w:rPr>
        <w:rFonts w:ascii="Arial" w:hAnsi="Arial" w:cs="Times New Roman" w:hint="default"/>
        <w:b w:val="0"/>
        <w:i w:val="0"/>
        <w:sz w:val="22"/>
      </w:rPr>
    </w:lvl>
    <w:lvl w:ilvl="4">
      <w:start w:val="1"/>
      <w:numFmt w:val="lowerLetter"/>
      <w:lvlRestart w:val="2"/>
      <w:pStyle w:val="AHeader3abc"/>
      <w:lvlText w:val="%5)"/>
      <w:lvlJc w:val="left"/>
      <w:pPr>
        <w:tabs>
          <w:tab w:val="num" w:pos="1701"/>
        </w:tabs>
        <w:ind w:left="1701" w:hanging="425"/>
      </w:pPr>
      <w:rPr>
        <w:rFonts w:hint="default"/>
      </w:rPr>
    </w:lvl>
    <w:lvl w:ilvl="5">
      <w:start w:val="1"/>
      <w:numFmt w:val="lowerLetter"/>
      <w:lvlText w:val="%6)"/>
      <w:lvlJc w:val="left"/>
      <w:pPr>
        <w:tabs>
          <w:tab w:val="num" w:pos="1663"/>
        </w:tabs>
        <w:ind w:left="1663" w:hanging="432"/>
      </w:pPr>
      <w:rPr>
        <w:rFonts w:hint="default"/>
      </w:rPr>
    </w:lvl>
    <w:lvl w:ilvl="6">
      <w:start w:val="1"/>
      <w:numFmt w:val="lowerRoman"/>
      <w:lvlText w:val="%7)"/>
      <w:lvlJc w:val="right"/>
      <w:pPr>
        <w:tabs>
          <w:tab w:val="num" w:pos="1807"/>
        </w:tabs>
        <w:ind w:left="1807" w:hanging="288"/>
      </w:pPr>
      <w:rPr>
        <w:rFonts w:hint="default"/>
      </w:rPr>
    </w:lvl>
    <w:lvl w:ilvl="7">
      <w:start w:val="1"/>
      <w:numFmt w:val="lowerLetter"/>
      <w:lvlText w:val="%8."/>
      <w:lvlJc w:val="left"/>
      <w:pPr>
        <w:tabs>
          <w:tab w:val="num" w:pos="1951"/>
        </w:tabs>
        <w:ind w:left="1951" w:hanging="432"/>
      </w:pPr>
      <w:rPr>
        <w:rFonts w:hint="default"/>
      </w:rPr>
    </w:lvl>
    <w:lvl w:ilvl="8">
      <w:start w:val="1"/>
      <w:numFmt w:val="lowerRoman"/>
      <w:lvlText w:val="%9."/>
      <w:lvlJc w:val="left"/>
      <w:pPr>
        <w:tabs>
          <w:tab w:val="num" w:pos="2671"/>
        </w:tabs>
        <w:ind w:left="2311" w:hanging="360"/>
      </w:pPr>
      <w:rPr>
        <w:rFonts w:ascii="Arial" w:hAnsi="Arial" w:hint="default"/>
        <w:b w:val="0"/>
        <w:i w:val="0"/>
        <w:sz w:val="22"/>
      </w:rPr>
    </w:lvl>
  </w:abstractNum>
  <w:abstractNum w:abstractNumId="15" w15:restartNumberingAfterBreak="0">
    <w:nsid w:val="24ED5E70"/>
    <w:multiLevelType w:val="hybridMultilevel"/>
    <w:tmpl w:val="6466F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4F75F62"/>
    <w:multiLevelType w:val="hybridMultilevel"/>
    <w:tmpl w:val="FD46F268"/>
    <w:lvl w:ilvl="0" w:tplc="976C8E14">
      <w:start w:val="1"/>
      <w:numFmt w:val="bullet"/>
      <w:lvlText w:val="-"/>
      <w:lvlJc w:val="left"/>
      <w:pPr>
        <w:ind w:left="720" w:hanging="360"/>
      </w:pPr>
      <w:rPr>
        <w:rFonts w:ascii="Times New Roman" w:hAnsi="Times New Roman" w:cs="Times New Roman" w:hint="default"/>
        <w:sz w:val="20"/>
        <w:szCs w:val="20"/>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024B17"/>
    <w:multiLevelType w:val="hybridMultilevel"/>
    <w:tmpl w:val="FC04F3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26C75935"/>
    <w:multiLevelType w:val="hybridMultilevel"/>
    <w:tmpl w:val="51B635B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8521463"/>
    <w:multiLevelType w:val="singleLevel"/>
    <w:tmpl w:val="2C7009F4"/>
    <w:lvl w:ilvl="0">
      <w:start w:val="1"/>
      <w:numFmt w:val="bullet"/>
      <w:pStyle w:val="TextBullet"/>
      <w:lvlText w:val=""/>
      <w:lvlJc w:val="left"/>
      <w:pPr>
        <w:tabs>
          <w:tab w:val="num" w:pos="360"/>
        </w:tabs>
        <w:ind w:left="360" w:hanging="360"/>
      </w:pPr>
      <w:rPr>
        <w:rFonts w:ascii="Symbol" w:hAnsi="Symbol" w:hint="default"/>
      </w:rPr>
    </w:lvl>
  </w:abstractNum>
  <w:abstractNum w:abstractNumId="20" w15:restartNumberingAfterBreak="0">
    <w:nsid w:val="2C4F210F"/>
    <w:multiLevelType w:val="hybridMultilevel"/>
    <w:tmpl w:val="0F185534"/>
    <w:lvl w:ilvl="0" w:tplc="0C0A0001">
      <w:start w:val="1"/>
      <w:numFmt w:val="bullet"/>
      <w:lvlText w:val=""/>
      <w:lvlJc w:val="left"/>
      <w:pPr>
        <w:ind w:left="928"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1" w15:restartNumberingAfterBreak="0">
    <w:nsid w:val="2EAA6918"/>
    <w:multiLevelType w:val="hybridMultilevel"/>
    <w:tmpl w:val="12C2D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F5C2169"/>
    <w:multiLevelType w:val="hybridMultilevel"/>
    <w:tmpl w:val="0770CF62"/>
    <w:lvl w:ilvl="0" w:tplc="976C8E14">
      <w:start w:val="1"/>
      <w:numFmt w:val="bullet"/>
      <w:lvlText w:val="-"/>
      <w:lvlJc w:val="left"/>
      <w:pPr>
        <w:ind w:left="720" w:hanging="360"/>
      </w:pPr>
      <w:rPr>
        <w:rFonts w:ascii="Times New Roman" w:hAnsi="Times New Roman" w:cs="Times New Roman" w:hint="default"/>
        <w:sz w:val="20"/>
        <w:szCs w:val="20"/>
      </w:rPr>
    </w:lvl>
    <w:lvl w:ilvl="1" w:tplc="87845238">
      <w:numFmt w:val="bullet"/>
      <w:lvlText w:val="•"/>
      <w:lvlJc w:val="left"/>
      <w:pPr>
        <w:ind w:left="1440" w:hanging="360"/>
      </w:pPr>
      <w:rPr>
        <w:rFonts w:ascii="Times New Roman" w:eastAsia="SimSu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1A12397"/>
    <w:multiLevelType w:val="hybridMultilevel"/>
    <w:tmpl w:val="FD403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2231348"/>
    <w:multiLevelType w:val="hybridMultilevel"/>
    <w:tmpl w:val="E5685EFE"/>
    <w:lvl w:ilvl="0" w:tplc="F290227E">
      <w:start w:val="1"/>
      <w:numFmt w:val="decimal"/>
      <w:lvlText w:val="%1."/>
      <w:lvlJc w:val="left"/>
      <w:pPr>
        <w:ind w:left="930" w:hanging="57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3B4D2D1C"/>
    <w:multiLevelType w:val="hybridMultilevel"/>
    <w:tmpl w:val="C4244AE2"/>
    <w:lvl w:ilvl="0" w:tplc="36A0F604">
      <w:start w:val="1"/>
      <w:numFmt w:val="bullet"/>
      <w:pStyle w:val="ARROWBULLETED"/>
      <w:lvlText w:val=""/>
      <w:lvlJc w:val="left"/>
      <w:pPr>
        <w:ind w:left="720" w:hanging="360"/>
      </w:pPr>
      <w:rPr>
        <w:rFonts w:ascii="Wingdings 3" w:hAnsi="Wingdings 3"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3BC77894"/>
    <w:multiLevelType w:val="hybridMultilevel"/>
    <w:tmpl w:val="7AAE017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7" w15:restartNumberingAfterBreak="0">
    <w:nsid w:val="3D122D65"/>
    <w:multiLevelType w:val="hybridMultilevel"/>
    <w:tmpl w:val="A1D88B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3F711E55"/>
    <w:multiLevelType w:val="hybridMultilevel"/>
    <w:tmpl w:val="D680642E"/>
    <w:lvl w:ilvl="0" w:tplc="1B32A1E8">
      <w:start w:val="38"/>
      <w:numFmt w:val="bullet"/>
      <w:lvlText w:val="-"/>
      <w:lvlJc w:val="left"/>
      <w:pPr>
        <w:tabs>
          <w:tab w:val="num" w:pos="567"/>
        </w:tabs>
        <w:ind w:left="567" w:hanging="567"/>
      </w:pPr>
      <w:rPr>
        <w:rFonts w:hint="default"/>
      </w:rPr>
    </w:lvl>
    <w:lvl w:ilvl="1" w:tplc="E7240278" w:tentative="1">
      <w:start w:val="1"/>
      <w:numFmt w:val="bullet"/>
      <w:lvlText w:val="o"/>
      <w:lvlJc w:val="left"/>
      <w:pPr>
        <w:tabs>
          <w:tab w:val="num" w:pos="1440"/>
        </w:tabs>
        <w:ind w:left="1440" w:hanging="360"/>
      </w:pPr>
      <w:rPr>
        <w:rFonts w:ascii="Courier New" w:hAnsi="Courier New" w:hint="default"/>
      </w:rPr>
    </w:lvl>
    <w:lvl w:ilvl="2" w:tplc="0E8441C0" w:tentative="1">
      <w:start w:val="1"/>
      <w:numFmt w:val="bullet"/>
      <w:lvlText w:val=""/>
      <w:lvlJc w:val="left"/>
      <w:pPr>
        <w:tabs>
          <w:tab w:val="num" w:pos="2160"/>
        </w:tabs>
        <w:ind w:left="2160" w:hanging="360"/>
      </w:pPr>
      <w:rPr>
        <w:rFonts w:ascii="Wingdings" w:hAnsi="Wingdings" w:hint="default"/>
      </w:rPr>
    </w:lvl>
    <w:lvl w:ilvl="3" w:tplc="B1B0265A" w:tentative="1">
      <w:start w:val="1"/>
      <w:numFmt w:val="bullet"/>
      <w:lvlText w:val=""/>
      <w:lvlJc w:val="left"/>
      <w:pPr>
        <w:tabs>
          <w:tab w:val="num" w:pos="2880"/>
        </w:tabs>
        <w:ind w:left="2880" w:hanging="360"/>
      </w:pPr>
      <w:rPr>
        <w:rFonts w:ascii="Symbol" w:hAnsi="Symbol" w:hint="default"/>
      </w:rPr>
    </w:lvl>
    <w:lvl w:ilvl="4" w:tplc="B82E4966" w:tentative="1">
      <w:start w:val="1"/>
      <w:numFmt w:val="bullet"/>
      <w:lvlText w:val="o"/>
      <w:lvlJc w:val="left"/>
      <w:pPr>
        <w:tabs>
          <w:tab w:val="num" w:pos="3600"/>
        </w:tabs>
        <w:ind w:left="3600" w:hanging="360"/>
      </w:pPr>
      <w:rPr>
        <w:rFonts w:ascii="Courier New" w:hAnsi="Courier New" w:hint="default"/>
      </w:rPr>
    </w:lvl>
    <w:lvl w:ilvl="5" w:tplc="2762662E" w:tentative="1">
      <w:start w:val="1"/>
      <w:numFmt w:val="bullet"/>
      <w:lvlText w:val=""/>
      <w:lvlJc w:val="left"/>
      <w:pPr>
        <w:tabs>
          <w:tab w:val="num" w:pos="4320"/>
        </w:tabs>
        <w:ind w:left="4320" w:hanging="360"/>
      </w:pPr>
      <w:rPr>
        <w:rFonts w:ascii="Wingdings" w:hAnsi="Wingdings" w:hint="default"/>
      </w:rPr>
    </w:lvl>
    <w:lvl w:ilvl="6" w:tplc="8CB231EC" w:tentative="1">
      <w:start w:val="1"/>
      <w:numFmt w:val="bullet"/>
      <w:lvlText w:val=""/>
      <w:lvlJc w:val="left"/>
      <w:pPr>
        <w:tabs>
          <w:tab w:val="num" w:pos="5040"/>
        </w:tabs>
        <w:ind w:left="5040" w:hanging="360"/>
      </w:pPr>
      <w:rPr>
        <w:rFonts w:ascii="Symbol" w:hAnsi="Symbol" w:hint="default"/>
      </w:rPr>
    </w:lvl>
    <w:lvl w:ilvl="7" w:tplc="B12A4BC6" w:tentative="1">
      <w:start w:val="1"/>
      <w:numFmt w:val="bullet"/>
      <w:lvlText w:val="o"/>
      <w:lvlJc w:val="left"/>
      <w:pPr>
        <w:tabs>
          <w:tab w:val="num" w:pos="5760"/>
        </w:tabs>
        <w:ind w:left="5760" w:hanging="360"/>
      </w:pPr>
      <w:rPr>
        <w:rFonts w:ascii="Courier New" w:hAnsi="Courier New" w:hint="default"/>
      </w:rPr>
    </w:lvl>
    <w:lvl w:ilvl="8" w:tplc="593E0AFC"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30D0E95"/>
    <w:multiLevelType w:val="multilevel"/>
    <w:tmpl w:val="A3383FCE"/>
    <w:lvl w:ilvl="0">
      <w:start w:val="1"/>
      <w:numFmt w:val="bullet"/>
      <w:lvlText w:val=""/>
      <w:lvlJc w:val="left"/>
      <w:pPr>
        <w:ind w:left="720" w:hanging="360"/>
      </w:pPr>
      <w:rPr>
        <w:rFonts w:ascii="Symbol" w:hAnsi="Symbol" w:hint="default"/>
        <w:b w:val="0"/>
        <w:i w:val="0"/>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30" w15:restartNumberingAfterBreak="0">
    <w:nsid w:val="51B0007F"/>
    <w:multiLevelType w:val="hybridMultilevel"/>
    <w:tmpl w:val="47B2E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9821AA6"/>
    <w:multiLevelType w:val="hybridMultilevel"/>
    <w:tmpl w:val="EBD26074"/>
    <w:lvl w:ilvl="0" w:tplc="AD82C39A">
      <w:start w:val="1"/>
      <w:numFmt w:val="decimal"/>
      <w:lvlText w:val="%1."/>
      <w:lvlJc w:val="left"/>
      <w:pPr>
        <w:ind w:left="930" w:hanging="57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5AB87D31"/>
    <w:multiLevelType w:val="hybridMultilevel"/>
    <w:tmpl w:val="272C509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3" w15:restartNumberingAfterBreak="0">
    <w:nsid w:val="5E8B3ACF"/>
    <w:multiLevelType w:val="hybridMultilevel"/>
    <w:tmpl w:val="BC0CC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EF515A"/>
    <w:multiLevelType w:val="hybridMultilevel"/>
    <w:tmpl w:val="43BE272C"/>
    <w:lvl w:ilvl="0" w:tplc="976C8E14">
      <w:start w:val="1"/>
      <w:numFmt w:val="bullet"/>
      <w:lvlText w:val="-"/>
      <w:lvlJc w:val="left"/>
      <w:pPr>
        <w:ind w:left="644" w:hanging="360"/>
      </w:pPr>
      <w:rPr>
        <w:rFonts w:ascii="Times New Roman" w:hAnsi="Times New Roman" w:cs="Times New Roman" w:hint="default"/>
        <w:sz w:val="20"/>
        <w:szCs w:val="2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1F8356D"/>
    <w:multiLevelType w:val="hybridMultilevel"/>
    <w:tmpl w:val="9098851E"/>
    <w:lvl w:ilvl="0" w:tplc="FFFFFFFF">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6" w15:restartNumberingAfterBreak="0">
    <w:nsid w:val="64433B52"/>
    <w:multiLevelType w:val="hybridMultilevel"/>
    <w:tmpl w:val="E7AC511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 w15:restartNumberingAfterBreak="0">
    <w:nsid w:val="654F48F1"/>
    <w:multiLevelType w:val="hybridMultilevel"/>
    <w:tmpl w:val="F5E019F4"/>
    <w:lvl w:ilvl="0" w:tplc="A9F23FC6">
      <w:start w:val="4"/>
      <w:numFmt w:val="decimal"/>
      <w:lvlText w:val="%1."/>
      <w:lvlJc w:val="left"/>
      <w:pPr>
        <w:ind w:left="930" w:hanging="57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65DC73B4"/>
    <w:multiLevelType w:val="hybridMultilevel"/>
    <w:tmpl w:val="38E29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AF60D3"/>
    <w:multiLevelType w:val="hybridMultilevel"/>
    <w:tmpl w:val="91D6350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8BF3D05"/>
    <w:multiLevelType w:val="hybridMultilevel"/>
    <w:tmpl w:val="43C20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A4C4673"/>
    <w:multiLevelType w:val="hybridMultilevel"/>
    <w:tmpl w:val="D206C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B5D2CC4"/>
    <w:multiLevelType w:val="hybridMultilevel"/>
    <w:tmpl w:val="1802789E"/>
    <w:lvl w:ilvl="0" w:tplc="08090001">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E963D40"/>
    <w:multiLevelType w:val="hybridMultilevel"/>
    <w:tmpl w:val="E6CA7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F9337D0"/>
    <w:multiLevelType w:val="hybridMultilevel"/>
    <w:tmpl w:val="B6C885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3357CAB"/>
    <w:multiLevelType w:val="hybridMultilevel"/>
    <w:tmpl w:val="1682E7C2"/>
    <w:lvl w:ilvl="0" w:tplc="04090001">
      <w:start w:val="1"/>
      <w:numFmt w:val="bullet"/>
      <w:lvlText w:val=""/>
      <w:lvlJc w:val="left"/>
      <w:pPr>
        <w:ind w:left="870" w:hanging="360"/>
      </w:pPr>
      <w:rPr>
        <w:rFonts w:ascii="Symbol" w:hAnsi="Symbol" w:hint="default"/>
      </w:rPr>
    </w:lvl>
    <w:lvl w:ilvl="1" w:tplc="04090003" w:tentative="1">
      <w:start w:val="1"/>
      <w:numFmt w:val="bullet"/>
      <w:lvlText w:val="o"/>
      <w:lvlJc w:val="left"/>
      <w:pPr>
        <w:ind w:left="1590" w:hanging="360"/>
      </w:pPr>
      <w:rPr>
        <w:rFonts w:ascii="Courier New" w:hAnsi="Courier New" w:cs="Courier New" w:hint="default"/>
      </w:rPr>
    </w:lvl>
    <w:lvl w:ilvl="2" w:tplc="04090005" w:tentative="1">
      <w:start w:val="1"/>
      <w:numFmt w:val="bullet"/>
      <w:lvlText w:val=""/>
      <w:lvlJc w:val="left"/>
      <w:pPr>
        <w:ind w:left="2310" w:hanging="360"/>
      </w:pPr>
      <w:rPr>
        <w:rFonts w:ascii="Wingdings" w:hAnsi="Wingdings" w:hint="default"/>
      </w:rPr>
    </w:lvl>
    <w:lvl w:ilvl="3" w:tplc="04090001" w:tentative="1">
      <w:start w:val="1"/>
      <w:numFmt w:val="bullet"/>
      <w:lvlText w:val=""/>
      <w:lvlJc w:val="left"/>
      <w:pPr>
        <w:ind w:left="3030" w:hanging="360"/>
      </w:pPr>
      <w:rPr>
        <w:rFonts w:ascii="Symbol" w:hAnsi="Symbol" w:hint="default"/>
      </w:rPr>
    </w:lvl>
    <w:lvl w:ilvl="4" w:tplc="04090003" w:tentative="1">
      <w:start w:val="1"/>
      <w:numFmt w:val="bullet"/>
      <w:lvlText w:val="o"/>
      <w:lvlJc w:val="left"/>
      <w:pPr>
        <w:ind w:left="3750" w:hanging="360"/>
      </w:pPr>
      <w:rPr>
        <w:rFonts w:ascii="Courier New" w:hAnsi="Courier New" w:cs="Courier New" w:hint="default"/>
      </w:rPr>
    </w:lvl>
    <w:lvl w:ilvl="5" w:tplc="04090005" w:tentative="1">
      <w:start w:val="1"/>
      <w:numFmt w:val="bullet"/>
      <w:lvlText w:val=""/>
      <w:lvlJc w:val="left"/>
      <w:pPr>
        <w:ind w:left="4470" w:hanging="360"/>
      </w:pPr>
      <w:rPr>
        <w:rFonts w:ascii="Wingdings" w:hAnsi="Wingdings" w:hint="default"/>
      </w:rPr>
    </w:lvl>
    <w:lvl w:ilvl="6" w:tplc="04090001" w:tentative="1">
      <w:start w:val="1"/>
      <w:numFmt w:val="bullet"/>
      <w:lvlText w:val=""/>
      <w:lvlJc w:val="left"/>
      <w:pPr>
        <w:ind w:left="5190" w:hanging="360"/>
      </w:pPr>
      <w:rPr>
        <w:rFonts w:ascii="Symbol" w:hAnsi="Symbol" w:hint="default"/>
      </w:rPr>
    </w:lvl>
    <w:lvl w:ilvl="7" w:tplc="04090003" w:tentative="1">
      <w:start w:val="1"/>
      <w:numFmt w:val="bullet"/>
      <w:lvlText w:val="o"/>
      <w:lvlJc w:val="left"/>
      <w:pPr>
        <w:ind w:left="5910" w:hanging="360"/>
      </w:pPr>
      <w:rPr>
        <w:rFonts w:ascii="Courier New" w:hAnsi="Courier New" w:cs="Courier New" w:hint="default"/>
      </w:rPr>
    </w:lvl>
    <w:lvl w:ilvl="8" w:tplc="04090005" w:tentative="1">
      <w:start w:val="1"/>
      <w:numFmt w:val="bullet"/>
      <w:lvlText w:val=""/>
      <w:lvlJc w:val="left"/>
      <w:pPr>
        <w:ind w:left="6630" w:hanging="360"/>
      </w:pPr>
      <w:rPr>
        <w:rFonts w:ascii="Wingdings" w:hAnsi="Wingdings" w:hint="default"/>
      </w:rPr>
    </w:lvl>
  </w:abstractNum>
  <w:abstractNum w:abstractNumId="46" w15:restartNumberingAfterBreak="0">
    <w:nsid w:val="776D58FA"/>
    <w:multiLevelType w:val="hybridMultilevel"/>
    <w:tmpl w:val="903259B6"/>
    <w:lvl w:ilvl="0" w:tplc="FFFFFFFF">
      <w:start w:val="1"/>
      <w:numFmt w:val="bullet"/>
      <w:lvlText w:val="-"/>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7" w15:restartNumberingAfterBreak="0">
    <w:nsid w:val="7A2C2E7C"/>
    <w:multiLevelType w:val="hybridMultilevel"/>
    <w:tmpl w:val="2AB0FA2A"/>
    <w:lvl w:ilvl="0" w:tplc="0409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C6C1058"/>
    <w:multiLevelType w:val="hybridMultilevel"/>
    <w:tmpl w:val="7CBE1592"/>
    <w:lvl w:ilvl="0" w:tplc="976C8E14">
      <w:start w:val="1"/>
      <w:numFmt w:val="bullet"/>
      <w:lvlText w:val="-"/>
      <w:lvlJc w:val="left"/>
      <w:pPr>
        <w:ind w:left="720" w:hanging="360"/>
      </w:pPr>
      <w:rPr>
        <w:rFonts w:ascii="Times New Roman" w:hAnsi="Times New Roman" w:cs="Times New Roman"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CD71737"/>
    <w:multiLevelType w:val="hybridMultilevel"/>
    <w:tmpl w:val="A5C4E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F471009"/>
    <w:multiLevelType w:val="hybridMultilevel"/>
    <w:tmpl w:val="D17897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485366948">
    <w:abstractNumId w:val="14"/>
  </w:num>
  <w:num w:numId="2" w16cid:durableId="1088186342">
    <w:abstractNumId w:val="19"/>
  </w:num>
  <w:num w:numId="3" w16cid:durableId="2118526952">
    <w:abstractNumId w:val="0"/>
    <w:lvlOverride w:ilvl="0">
      <w:lvl w:ilvl="0">
        <w:start w:val="1"/>
        <w:numFmt w:val="bullet"/>
        <w:lvlText w:val="-"/>
        <w:lvlJc w:val="left"/>
        <w:pPr>
          <w:ind w:left="720" w:hanging="360"/>
        </w:pPr>
      </w:lvl>
    </w:lvlOverride>
  </w:num>
  <w:num w:numId="4" w16cid:durableId="950629396">
    <w:abstractNumId w:val="0"/>
    <w:lvlOverride w:ilvl="0">
      <w:lvl w:ilvl="0">
        <w:start w:val="1"/>
        <w:numFmt w:val="bullet"/>
        <w:lvlText w:val="-"/>
        <w:legacy w:legacy="1" w:legacySpace="0" w:legacyIndent="360"/>
        <w:lvlJc w:val="left"/>
        <w:pPr>
          <w:ind w:left="360" w:hanging="360"/>
        </w:pPr>
      </w:lvl>
    </w:lvlOverride>
  </w:num>
  <w:num w:numId="5" w16cid:durableId="1424254096">
    <w:abstractNumId w:val="5"/>
  </w:num>
  <w:num w:numId="6" w16cid:durableId="872815216">
    <w:abstractNumId w:val="3"/>
  </w:num>
  <w:num w:numId="7" w16cid:durableId="433476314">
    <w:abstractNumId w:val="44"/>
  </w:num>
  <w:num w:numId="8" w16cid:durableId="680544163">
    <w:abstractNumId w:val="48"/>
  </w:num>
  <w:num w:numId="9" w16cid:durableId="1253664678">
    <w:abstractNumId w:val="34"/>
  </w:num>
  <w:num w:numId="10" w16cid:durableId="1412965672">
    <w:abstractNumId w:val="10"/>
  </w:num>
  <w:num w:numId="11" w16cid:durableId="137575421">
    <w:abstractNumId w:val="22"/>
  </w:num>
  <w:num w:numId="12" w16cid:durableId="1448427538">
    <w:abstractNumId w:val="13"/>
  </w:num>
  <w:num w:numId="13" w16cid:durableId="81075636">
    <w:abstractNumId w:val="12"/>
  </w:num>
  <w:num w:numId="14" w16cid:durableId="695546761">
    <w:abstractNumId w:val="15"/>
  </w:num>
  <w:num w:numId="15" w16cid:durableId="1168789759">
    <w:abstractNumId w:val="38"/>
  </w:num>
  <w:num w:numId="16" w16cid:durableId="8217006">
    <w:abstractNumId w:val="42"/>
  </w:num>
  <w:num w:numId="17" w16cid:durableId="1500804914">
    <w:abstractNumId w:val="16"/>
  </w:num>
  <w:num w:numId="18" w16cid:durableId="1520705705">
    <w:abstractNumId w:val="49"/>
  </w:num>
  <w:num w:numId="19" w16cid:durableId="1958901528">
    <w:abstractNumId w:val="43"/>
  </w:num>
  <w:num w:numId="20" w16cid:durableId="1956403375">
    <w:abstractNumId w:val="40"/>
  </w:num>
  <w:num w:numId="21" w16cid:durableId="1121462573">
    <w:abstractNumId w:val="30"/>
  </w:num>
  <w:num w:numId="22" w16cid:durableId="1936816807">
    <w:abstractNumId w:val="21"/>
  </w:num>
  <w:num w:numId="23" w16cid:durableId="2103454442">
    <w:abstractNumId w:val="6"/>
  </w:num>
  <w:num w:numId="24" w16cid:durableId="2147161498">
    <w:abstractNumId w:val="46"/>
  </w:num>
  <w:num w:numId="25" w16cid:durableId="95907301">
    <w:abstractNumId w:val="35"/>
  </w:num>
  <w:num w:numId="26" w16cid:durableId="459081399">
    <w:abstractNumId w:val="11"/>
  </w:num>
  <w:num w:numId="27" w16cid:durableId="72508060">
    <w:abstractNumId w:val="47"/>
  </w:num>
  <w:num w:numId="28" w16cid:durableId="349569778">
    <w:abstractNumId w:val="29"/>
  </w:num>
  <w:num w:numId="29" w16cid:durableId="428745146">
    <w:abstractNumId w:val="26"/>
  </w:num>
  <w:num w:numId="30" w16cid:durableId="1902397100">
    <w:abstractNumId w:val="45"/>
  </w:num>
  <w:num w:numId="31" w16cid:durableId="100296283">
    <w:abstractNumId w:val="7"/>
  </w:num>
  <w:num w:numId="32" w16cid:durableId="180513013">
    <w:abstractNumId w:val="8"/>
  </w:num>
  <w:num w:numId="33" w16cid:durableId="436875433">
    <w:abstractNumId w:val="39"/>
  </w:num>
  <w:num w:numId="34" w16cid:durableId="967512649">
    <w:abstractNumId w:val="33"/>
  </w:num>
  <w:num w:numId="35" w16cid:durableId="978651410">
    <w:abstractNumId w:val="23"/>
  </w:num>
  <w:num w:numId="36" w16cid:durableId="2089577384">
    <w:abstractNumId w:val="41"/>
  </w:num>
  <w:num w:numId="37" w16cid:durableId="1765615830">
    <w:abstractNumId w:val="28"/>
  </w:num>
  <w:num w:numId="38" w16cid:durableId="1223061923">
    <w:abstractNumId w:val="25"/>
  </w:num>
  <w:num w:numId="39" w16cid:durableId="2115005899">
    <w:abstractNumId w:val="36"/>
  </w:num>
  <w:num w:numId="40" w16cid:durableId="1672171531">
    <w:abstractNumId w:val="20"/>
  </w:num>
  <w:num w:numId="41" w16cid:durableId="1155495016">
    <w:abstractNumId w:val="27"/>
  </w:num>
  <w:num w:numId="42" w16cid:durableId="1829784850">
    <w:abstractNumId w:val="50"/>
  </w:num>
  <w:num w:numId="43" w16cid:durableId="2057313360">
    <w:abstractNumId w:val="17"/>
  </w:num>
  <w:num w:numId="44" w16cid:durableId="1046220279">
    <w:abstractNumId w:val="1"/>
  </w:num>
  <w:num w:numId="45" w16cid:durableId="916019704">
    <w:abstractNumId w:val="27"/>
  </w:num>
  <w:num w:numId="46" w16cid:durableId="94374542">
    <w:abstractNumId w:val="20"/>
  </w:num>
  <w:num w:numId="47" w16cid:durableId="869682053">
    <w:abstractNumId w:val="50"/>
  </w:num>
  <w:num w:numId="48" w16cid:durableId="1881700376">
    <w:abstractNumId w:val="2"/>
  </w:num>
  <w:num w:numId="49" w16cid:durableId="2037535325">
    <w:abstractNumId w:val="18"/>
  </w:num>
  <w:num w:numId="50" w16cid:durableId="834495619">
    <w:abstractNumId w:val="32"/>
  </w:num>
  <w:num w:numId="51" w16cid:durableId="791706962">
    <w:abstractNumId w:val="24"/>
  </w:num>
  <w:num w:numId="52" w16cid:durableId="930820413">
    <w:abstractNumId w:val="4"/>
  </w:num>
  <w:num w:numId="53" w16cid:durableId="1901751508">
    <w:abstractNumId w:val="37"/>
  </w:num>
  <w:num w:numId="54" w16cid:durableId="1118793377">
    <w:abstractNumId w:val="31"/>
  </w:num>
  <w:num w:numId="55" w16cid:durableId="804666365">
    <w:abstractNumId w:val="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activeWritingStyle w:appName="MSWord" w:lang="en-GB" w:vendorID="8" w:dllVersion="513" w:checkStyle="1"/>
  <w:activeWritingStyle w:appName="MSWord" w:lang="it-IT" w:vendorID="3" w:dllVersion="512" w:checkStyle="1"/>
  <w:activeWritingStyle w:appName="MSWord" w:lang="en-AU" w:vendorID="8" w:dllVersion="513" w:checkStyle="1"/>
  <w:activeWritingStyle w:appName="MSWord" w:lang="es-ES" w:vendorID="9" w:dllVersion="512" w:checkStyle="1"/>
  <w:activeWritingStyle w:appName="MSWord" w:lang="es-ES_tradnl" w:vendorID="9" w:dllVersion="512" w:checkStyle="1"/>
  <w:activeWritingStyle w:appName="MSWord" w:lang="en-US" w:vendorID="8" w:dllVersion="513" w:checkStyle="1"/>
  <w:activeWritingStyle w:appName="MSWord" w:lang="fr-FR" w:vendorID="9" w:dllVersion="512" w:checkStyle="1"/>
  <w:activeWritingStyle w:appName="MSWord" w:lang="de-DE" w:vendorID="9" w:dllVersion="512" w:checkStyle="1"/>
  <w:activeWritingStyle w:appName="MSWord" w:lang="sv-SE" w:vendorID="0" w:dllVersion="512" w:checkStyle="1"/>
  <w:activeWritingStyle w:appName="MSWord" w:lang="it-IT" w:vendorID="3" w:dllVersion="517" w:checkStyle="1"/>
  <w:activeWritingStyle w:appName="MSWord" w:lang="hu-HU" w:vendorID="7" w:dllVersion="513" w:checkStyle="1"/>
  <w:activeWritingStyle w:appName="MSWord" w:lang="pl-PL" w:vendorID="12" w:dllVersion="512" w:checkStyle="1"/>
  <w:activeWritingStyle w:appName="MSWord" w:lang="nl-NL" w:vendorID="9" w:dllVersion="512" w:checkStyle="1"/>
  <w:activeWritingStyle w:appName="MSWord" w:lang="nb-NO" w:vendorID="666" w:dllVersion="513" w:checkStyle="1"/>
  <w:activeWritingStyle w:appName="MSWord" w:lang="pt-PT" w:vendorID="13" w:dllVersion="513" w:checkStyle="1"/>
  <w:activeWritingStyle w:appName="MSWord" w:lang="fi-FI" w:vendorID="666" w:dllVersion="513" w:checkStyle="1"/>
  <w:activeWritingStyle w:appName="MSWord" w:lang="nl-NL" w:vendorID="1" w:dllVersion="512" w:checkStyle="1"/>
  <w:activeWritingStyle w:appName="MSWord" w:lang="pt-BR" w:vendorID="1" w:dllVersion="513" w:checkStyle="1"/>
  <w:activeWritingStyle w:appName="MSWord" w:lang="da-DK" w:vendorID="666" w:dllVersion="513" w:checkStyle="1"/>
  <w:activeWritingStyle w:appName="MSWord" w:lang="sv-SE" w:vendorID="22" w:dllVersion="513" w:checkStyle="1"/>
  <w:activeWritingStyle w:appName="MSWord" w:lang="da-DK" w:vendorID="22" w:dllVersion="513" w:checkStyle="1"/>
  <w:activeWritingStyle w:appName="MSWord" w:lang="pt-PT" w:vendorID="75" w:dllVersion="513" w:checkStyle="1"/>
  <w:activeWritingStyle w:appName="MSWord" w:lang="nl-BE"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567"/>
  <w:hyphenationZone w:val="425"/>
  <w:doNotHyphenateCaps/>
  <w:displayHorizontalDrawingGridEvery w:val="0"/>
  <w:displayVerticalDrawingGridEvery w:val="0"/>
  <w:doNotUseMarginsForDrawingGridOrigin/>
  <w:noPunctuationKerning/>
  <w:characterSpacingControl w:val="doNotCompress"/>
  <w:hdrShapeDefaults>
    <o:shapedefaults v:ext="edit" spidmax="2351"/>
  </w:hdrShapeDefaults>
  <w:footnotePr>
    <w:footnote w:id="-1"/>
    <w:footnote w:id="0"/>
  </w:footnotePr>
  <w:endnotePr>
    <w:numFmt w:val="decimal"/>
    <w:endnote w:id="-1"/>
    <w:endnote w:id="0"/>
  </w:endnotePr>
  <w:compat>
    <w:doNotUseHTMLParagraphAutoSpacing/>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Registered" w:val="-1"/>
    <w:docVar w:name="VAULT_ND_0070d7fc-7ea3-4846-bac1-ff5db07bf68c" w:val=" "/>
    <w:docVar w:name="VAULT_ND_00a2337d-3faf-43b4-b66e-371a4ba08031" w:val=" "/>
    <w:docVar w:name="vault_nd_00ed9bad-8faa-42aa-8d57-97a01a570a75" w:val=" "/>
    <w:docVar w:name="VAULT_ND_01310e8f-6b05-4d40-83dc-ccae6ded4a6d" w:val=" "/>
    <w:docVar w:name="VAULT_ND_01b299a9-806d-438a-ad4c-5dc4aa1f2fe0" w:val=" "/>
    <w:docVar w:name="VAULT_ND_01f556e1-398d-4030-b0b2-7efa890cb34f" w:val=" "/>
    <w:docVar w:name="VAULT_ND_0321252c-412d-418d-aa03-bf33b8c1b8a2" w:val=" "/>
    <w:docVar w:name="VAULT_ND_032a3393-3994-4c9d-a278-ea7b702c2c55" w:val=" "/>
    <w:docVar w:name="VAULT_ND_0333ec30-0eaa-4d43-b549-fd755474099d" w:val=" "/>
    <w:docVar w:name="VAULT_ND_0451b2a8-79ea-4b0c-8008-76cba1cfada7" w:val=" "/>
    <w:docVar w:name="VAULT_ND_04586f1a-36d5-42ca-a96d-74820cf02c4e" w:val=" "/>
    <w:docVar w:name="VAULT_ND_04c0c030-b7b6-4ccb-ba1a-1905af50f2ed" w:val=" "/>
    <w:docVar w:name="vault_nd_05217927-8104-4813-9453-d034dfb940bd" w:val=" "/>
    <w:docVar w:name="vault_nd_05330502-3513-4e9e-8cd8-7405f60576f4" w:val=" "/>
    <w:docVar w:name="VAULT_ND_0673ee21-4371-4067-a6f3-cd0ea7232048" w:val=" "/>
    <w:docVar w:name="VAULT_ND_076c52a5-4a8e-4093-bdab-e575d7187106" w:val=" "/>
    <w:docVar w:name="VAULT_ND_08764c37-08bc-46d6-a4d9-48439ee5740d" w:val=" "/>
    <w:docVar w:name="VAULT_ND_09820b2b-158f-454f-a711-f0345acd53da" w:val=" "/>
    <w:docVar w:name="VAULT_ND_0b491e6d-bcac-4bdb-99f0-2b75ef21615f" w:val=" "/>
    <w:docVar w:name="VAULT_ND_0b9eaa54-86e9-41c4-adf9-adc8cd717599" w:val=" "/>
    <w:docVar w:name="VAULT_ND_0c15a938-d6da-4bdf-8cb6-1b4109a73762" w:val=" "/>
    <w:docVar w:name="VAULT_ND_0ce5fff0-8491-471f-b4c8-b313c2da3153" w:val=" "/>
    <w:docVar w:name="VAULT_ND_0d879344-8f7c-46b8-8977-ff31a535dbd5" w:val=" "/>
    <w:docVar w:name="VAULT_ND_0e71aa92-51a7-442b-a903-44da12cad213" w:val=" "/>
    <w:docVar w:name="VAULT_ND_0e88acfd-dc29-47d6-9c7c-e3191921c941" w:val=" "/>
    <w:docVar w:name="vault_nd_0e99881f-e0ef-476a-96d0-157002dbf11b" w:val=" "/>
    <w:docVar w:name="VAULT_ND_0ebb3fdc-7fef-4b40-834a-8a8a085ea93b" w:val=" "/>
    <w:docVar w:name="VAULT_ND_0ee91e55-9eda-4ec1-b3a9-cb2cbd5201cf" w:val=" "/>
    <w:docVar w:name="VAULT_ND_115a889a-fcc0-4e3f-9983-53f4eca75540" w:val=" "/>
    <w:docVar w:name="VAULT_ND_11ff6063-008a-4110-a565-abeef6034f23" w:val=" "/>
    <w:docVar w:name="VAULT_ND_1236c8e6-5319-45a7-9034-38ff55a32d71" w:val=" "/>
    <w:docVar w:name="VAULT_ND_1281400d-9e5b-4da0-bd5a-623464e7a081" w:val=" "/>
    <w:docVar w:name="VAULT_ND_12a74805-9a98-470a-836d-4bd9af403dba" w:val=" "/>
    <w:docVar w:name="VAULT_ND_12d0cd96-07f5-418f-b00c-0e0e75d570e2" w:val=" "/>
    <w:docVar w:name="vault_nd_14523895-44cb-4e71-b8f4-098e7ff075cd" w:val=" "/>
    <w:docVar w:name="vault_nd_16310cb1-7f10-49c0-b1e8-a11001e53a54" w:val=" "/>
    <w:docVar w:name="VAULT_ND_16b5ff05-ed5f-4e7f-9106-cc1ef8d0a870" w:val=" "/>
    <w:docVar w:name="VAULT_ND_170f67a1-cf8c-41f3-bbc0-9665099fe1db" w:val=" "/>
    <w:docVar w:name="vault_nd_175d4727-be5d-4936-9fd6-de2143698b44" w:val=" "/>
    <w:docVar w:name="VAULT_ND_1776cdc4-6866-4da8-b39b-8dafe8a7b514" w:val=" "/>
    <w:docVar w:name="VAULT_ND_19cf6900-33ad-48da-b3f5-5659cd6d9948" w:val=" "/>
    <w:docVar w:name="VAULT_ND_1a0e7c90-cea3-4842-bdde-11c621dc893c" w:val=" "/>
    <w:docVar w:name="VAULT_ND_1a4bd716-5fef-4e6b-81ab-7fb83dd1c5c7" w:val=" "/>
    <w:docVar w:name="VAULT_ND_1b12f2da-a905-49b5-9c03-e8379f193c08" w:val=" "/>
    <w:docVar w:name="VAULT_ND_1b1e8f9e-d7d3-4572-9259-ecba938564c4" w:val=" "/>
    <w:docVar w:name="VAULT_ND_1b213391-db1b-4097-baf3-384fb55adbc0" w:val=" "/>
    <w:docVar w:name="VAULT_ND_1b8b09b2-74f5-4cf9-ad30-1d962ba5ac47" w:val=" "/>
    <w:docVar w:name="VAULT_ND_1cae1840-51e0-4eb8-a8b0-9f0d33927617" w:val=" "/>
    <w:docVar w:name="VAULT_ND_1cd5a67c-cc4c-4a56-9795-9c18dfe4fc6b" w:val=" "/>
    <w:docVar w:name="VAULT_ND_1d3fcafb-c455-444a-af7d-425a234e5486" w:val=" "/>
    <w:docVar w:name="VAULT_ND_1e1de26c-b001-4fdf-9513-b2f29cc4d2a6" w:val=" "/>
    <w:docVar w:name="VAULT_ND_1e30e0f7-bb63-4928-b199-0cb39ecffa71" w:val=" "/>
    <w:docVar w:name="VAULT_ND_1eb44df4-6bbd-4b84-969b-b504af7bd7be" w:val=" "/>
    <w:docVar w:name="VAULT_ND_1fbd6bf7-7617-448c-90ef-db802a3f9dd5" w:val=" "/>
    <w:docVar w:name="VAULT_ND_20708953-fa37-42a2-bc42-532ea89478e5" w:val=" "/>
    <w:docVar w:name="VAULT_ND_21d61809-8116-4107-8fb3-d9f63410ac49" w:val=" "/>
    <w:docVar w:name="vault_nd_21fa3fbb-c98e-4463-acde-482139e4a34e" w:val=" "/>
    <w:docVar w:name="vault_nd_228fa952-f3c3-4116-8ce9-fae1ae810166" w:val=" "/>
    <w:docVar w:name="VAULT_ND_22c9d4e8-9e64-48a0-9f61-2da5298a0b33" w:val=" "/>
    <w:docVar w:name="VAULT_ND_22eed4ad-13cb-491c-a595-902f59b756ac" w:val=" "/>
    <w:docVar w:name="VAULT_ND_23c9af2b-c720-4d2f-b6e7-8fe20af96f45" w:val=" "/>
    <w:docVar w:name="VAULT_ND_24fa92e9-e75a-431d-8d3f-7a0124676357" w:val=" "/>
    <w:docVar w:name="VAULT_ND_25291105-0482-4469-bb2e-f9fab5cf0c32" w:val=" "/>
    <w:docVar w:name="VAULT_ND_25837e90-1be6-47a9-9834-c960bc8599ad" w:val=" "/>
    <w:docVar w:name="VAULT_ND_274b2334-455c-41d6-bcbe-6d4417cb569e" w:val=" "/>
    <w:docVar w:name="VAULT_ND_2997d558-cbc6-475f-860f-4c892a85f5ae" w:val=" "/>
    <w:docVar w:name="VAULT_ND_2a1cfc79-ba58-4de7-8f3e-72833c70cc08" w:val=" "/>
    <w:docVar w:name="VAULT_ND_2a3280a1-3477-4314-8bbd-6ff56f184954" w:val=" "/>
    <w:docVar w:name="vault_nd_2b652464-5212-4dde-9240-01726b1f4106" w:val=" "/>
    <w:docVar w:name="vault_nd_2b86d3e2-afce-4700-a038-f20e2869a0c9" w:val=" "/>
    <w:docVar w:name="VAULT_ND_2b9574b5-ecb3-4b1f-a17c-e30b9d505b60" w:val=" "/>
    <w:docVar w:name="VAULT_ND_2bc0665e-dda0-4d29-9b40-a075bc93c3f8" w:val=" "/>
    <w:docVar w:name="VAULT_ND_2bf5b5c6-6b63-4fa0-a374-6d43b70155d4" w:val=" "/>
    <w:docVar w:name="VAULT_ND_2c4db366-4965-4248-9acd-2782af3d3fe2" w:val=" "/>
    <w:docVar w:name="VAULT_ND_2c97ec2b-d79c-40dd-80a7-5083e23faf7a" w:val=" "/>
    <w:docVar w:name="VAULT_ND_2cc469a2-4b07-4edc-918b-3ca4b3f441b3" w:val=" "/>
    <w:docVar w:name="VAULT_ND_2cfca3cf-59e2-46e2-b752-2ac1813c9413" w:val=" "/>
    <w:docVar w:name="VAULT_ND_2d8d041a-e713-42fd-8983-5100d98bbf80" w:val=" "/>
    <w:docVar w:name="VAULT_ND_2e6a4c78-31aa-4f62-a28b-ed55a16c7910" w:val=" "/>
    <w:docVar w:name="vault_nd_2f853c8c-1227-43b4-a3b8-ea6afd0bb09a" w:val=" "/>
    <w:docVar w:name="VAULT_ND_2faa387d-a8c7-463b-999a-c7a439707c09" w:val=" "/>
    <w:docVar w:name="VAULT_ND_3062903f-b08f-4f36-83b4-dc3e0f1d6c2a" w:val=" "/>
    <w:docVar w:name="vault_nd_31147693-58db-43e7-869a-b8576d628e65" w:val=" "/>
    <w:docVar w:name="VAULT_ND_313ab1e2-026e-4117-992a-a0a97aebcbff" w:val=" "/>
    <w:docVar w:name="vault_nd_3276869f-d34d-470f-8bdd-1d371042ce5a" w:val=" "/>
    <w:docVar w:name="VAULT_ND_329fce35-4f2e-47be-8f2f-ead0cba88a47" w:val=" "/>
    <w:docVar w:name="vault_nd_33041f75-063f-49a0-86ce-8dd4aefcc2f8" w:val=" "/>
    <w:docVar w:name="vault_nd_3352aba4-0c6d-4333-b375-bbfb29cd8b09" w:val=" "/>
    <w:docVar w:name="vault_nd_34845182-e857-45e0-9c96-100ba17241f6" w:val=" "/>
    <w:docVar w:name="VAULT_ND_34fb200f-f7be-4dd3-a147-a43282328108" w:val=" "/>
    <w:docVar w:name="VAULT_ND_34ff5a6c-07f5-4948-9628-4659cd0cbfad" w:val=" "/>
    <w:docVar w:name="VAULT_ND_36c54c26-abde-4ccf-a922-4240f4565e5f" w:val=" "/>
    <w:docVar w:name="VAULT_ND_36cc017f-dc5d-42a8-8252-6e43b542787d" w:val=" "/>
    <w:docVar w:name="VAULT_ND_36e504c9-4fea-420b-b535-04b613d5f576" w:val=" "/>
    <w:docVar w:name="VAULT_ND_3747fed7-561a-4b6b-95c1-7938932470a1" w:val=" "/>
    <w:docVar w:name="vault_nd_37706419-3fe1-4e17-8630-ac7dbbe17107" w:val=" "/>
    <w:docVar w:name="vault_nd_382adacf-f218-466e-9152-c8aa5631a5cf" w:val=" "/>
    <w:docVar w:name="vault_nd_38c445c2-8117-4149-b7b5-4ac930473564" w:val=" "/>
    <w:docVar w:name="VAULT_ND_3903848b-dae3-4b59-ad99-39289cfa7d11" w:val=" "/>
    <w:docVar w:name="VAULT_ND_3977a4d1-82a6-4121-9cba-e4d6701e0930" w:val=" "/>
    <w:docVar w:name="VAULT_ND_3a238fad-4c16-4a00-a186-bbbbff243b28" w:val=" "/>
    <w:docVar w:name="VAULT_ND_3b0bbc0a-716a-491e-ad86-7e82e64e2328" w:val=" "/>
    <w:docVar w:name="vault_nd_3b2cb802-cdc4-4cd3-a021-b56610cd41f2" w:val=" "/>
    <w:docVar w:name="VAULT_ND_3b2def58-8000-41a0-96a7-be7d4a698cbd" w:val=" "/>
    <w:docVar w:name="vault_nd_3b9ce478-ea48-4479-87db-c0dfebcd42ea" w:val=" "/>
    <w:docVar w:name="vault_nd_3bba406f-89f2-40c4-b9b7-7d648a455e5c" w:val=" "/>
    <w:docVar w:name="VAULT_ND_3c251233-3e1a-4d79-89d7-6a921bee1bde" w:val=" "/>
    <w:docVar w:name="VAULT_ND_3c638e9f-740a-4005-a3d2-84eda26c9a47" w:val=" "/>
    <w:docVar w:name="VAULT_ND_3c63d7d4-d15b-4708-b076-6d1f794ab026" w:val=" "/>
    <w:docVar w:name="VAULT_ND_3c9b99f1-4d1d-4fd4-9d3b-f3216d8f66d2" w:val=" "/>
    <w:docVar w:name="VAULT_ND_3cc8ff3f-a13f-4e67-8117-bfd88e6940c5" w:val=" "/>
    <w:docVar w:name="vault_nd_3d45bd28-45cf-4abb-9648-3555ade293a8" w:val=" "/>
    <w:docVar w:name="vault_nd_3d7eba98-46bb-4be3-9a02-fe75c3187ac3" w:val=" "/>
    <w:docVar w:name="VAULT_ND_3e08fa4a-a87c-4f25-9d08-312f70205654" w:val=" "/>
    <w:docVar w:name="VAULT_ND_3e5a54ab-b1ee-4cc3-84c8-efcb59994a3a" w:val=" "/>
    <w:docVar w:name="VAULT_ND_3e6ba8bd-6db8-4e76-8849-5d29e1e28f12" w:val=" "/>
    <w:docVar w:name="VAULT_ND_3f9f3acd-46ba-45ca-ae9b-f1fea57da87b" w:val=" "/>
    <w:docVar w:name="vault_nd_3fdf5123-c5ad-4616-b301-a6245891acbc" w:val=" "/>
    <w:docVar w:name="VAULT_ND_3ff27a56-ab39-4d19-b943-827483f9f3b6" w:val=" "/>
    <w:docVar w:name="VAULT_ND_400d3404-a5fe-49ae-bd46-1a3e80d9f3b8" w:val=" "/>
    <w:docVar w:name="VAULT_ND_406fb1f2-c746-4cae-8fa6-cd4f6539a7cc" w:val=" "/>
    <w:docVar w:name="vault_nd_40a19a4a-9bdc-4c59-aec0-92cbc9a1b37e" w:val=" "/>
    <w:docVar w:name="VAULT_ND_41063656-8858-4aa1-86f1-bf3af1fb72fc" w:val=" "/>
    <w:docVar w:name="VAULT_ND_4194af11-b9d5-4782-bf48-8e6b6a4fd27a" w:val=" "/>
    <w:docVar w:name="VAULT_ND_420b0b15-28ff-4721-874f-08fde934a7cd" w:val=" "/>
    <w:docVar w:name="vault_nd_42701e10-9947-4b1a-8e54-4d1da7f6c77d" w:val=" "/>
    <w:docVar w:name="VAULT_ND_42f10ee3-68c6-44e5-982e-db0cba061b3f" w:val=" "/>
    <w:docVar w:name="VAULT_ND_430cbca1-6d2c-4357-95a9-a376cad29c5f" w:val=" "/>
    <w:docVar w:name="VAULT_ND_43f3b856-d50e-4966-8314-96b966e40b2c" w:val=" "/>
    <w:docVar w:name="VAULT_ND_449aa24f-ceec-4a56-a557-2f8e3c6a618f" w:val=" "/>
    <w:docVar w:name="vault_nd_45483f14-88bb-4d83-8b1a-8358d30a8920" w:val=" "/>
    <w:docVar w:name="VAULT_ND_458c2d5d-891c-4cfb-81ef-a5abca671e1d" w:val=" "/>
    <w:docVar w:name="VAULT_ND_46356a66-84b0-4926-a3a0-a1614b91e232" w:val=" "/>
    <w:docVar w:name="vault_nd_4654df56-16de-412c-ad38-26f015a4bd63" w:val=" "/>
    <w:docVar w:name="VAULT_ND_46d34b84-5121-4081-b8cd-6b0b724b5077" w:val=" "/>
    <w:docVar w:name="VAULT_ND_46f1048d-029a-42cd-940b-9763a1e8c8b5" w:val=" "/>
    <w:docVar w:name="VAULT_ND_47a124a1-3d4c-487b-a07a-eecdcef07c7f" w:val=" "/>
    <w:docVar w:name="vault_nd_47c30d58-c3ca-4884-8ab5-28855f12160a" w:val=" "/>
    <w:docVar w:name="VAULT_ND_4856416d-7b5d-4e2d-848e-9fc60a48d20f" w:val=" "/>
    <w:docVar w:name="VAULT_ND_4a33a2ae-3045-4f07-ab08-95def4f428a7" w:val=" "/>
    <w:docVar w:name="VAULT_ND_4a501e34-3de8-43e6-bd82-bbb36d77b478" w:val=" "/>
    <w:docVar w:name="VAULT_ND_4a68eeb4-230f-4dd2-8c2f-0bca03d864a7" w:val=" "/>
    <w:docVar w:name="VAULT_ND_4ab520e1-eb2f-4011-8673-008964b9671c" w:val=" "/>
    <w:docVar w:name="VAULT_ND_4b02cee5-e91d-4e04-97c0-1dc6e9c5ecc9" w:val=" "/>
    <w:docVar w:name="vault_nd_4b2eaf98-5d4e-4c09-bde6-6489bceafc93" w:val=" "/>
    <w:docVar w:name="VAULT_ND_4c4c3592-2ce4-473a-b57a-27b6f7d75f12" w:val=" "/>
    <w:docVar w:name="VAULT_ND_4c59f217-48ff-4b88-834a-385268c967c2" w:val=" "/>
    <w:docVar w:name="vault_nd_4ce4bc6a-ac27-4765-9111-a0ef098f7a1e" w:val=" "/>
    <w:docVar w:name="vault_nd_4d108962-de94-4bcf-abd8-7ec19a18aa12" w:val=" "/>
    <w:docVar w:name="VAULT_ND_4f99a506-5bd8-48fd-89ac-acdfd20d78a9" w:val=" "/>
    <w:docVar w:name="vault_nd_4fcbb246-98fe-4374-a7e9-32c6f3d2fdc0" w:val=" "/>
    <w:docVar w:name="vault_nd_5182555c-0f25-4f47-8b57-6ff03a6fc95e" w:val=" "/>
    <w:docVar w:name="VAULT_ND_531fb90c-6145-4d7f-a87c-20a9f9eb5914" w:val=" "/>
    <w:docVar w:name="VAULT_ND_536f274f-3538-4f28-af05-a85a08553fb6" w:val=" "/>
    <w:docVar w:name="vault_nd_539383bc-d20e-483b-a6e9-6fe2342d9535" w:val=" "/>
    <w:docVar w:name="VAULT_ND_54bfff30-ece5-4d24-9c19-a672f7f8b8d1" w:val=" "/>
    <w:docVar w:name="VAULT_ND_55305d8a-808d-437c-805c-e57f0de2a75a" w:val=" "/>
    <w:docVar w:name="VAULT_ND_55b0edb9-c15f-455e-8c63-ea9e87945754" w:val=" "/>
    <w:docVar w:name="VAULT_ND_55fe9134-fac1-4691-a97e-efccf685d477" w:val=" "/>
    <w:docVar w:name="vault_nd_56dcef3f-851a-49e0-a98b-8833373fde0c" w:val=" "/>
    <w:docVar w:name="vault_nd_57835aa2-8cfa-4da2-8edc-cbe3318cdccb" w:val=" "/>
    <w:docVar w:name="VAULT_ND_57d8c267-6123-45a0-a07b-514957079f22" w:val=" "/>
    <w:docVar w:name="VAULT_ND_57e26c85-bb7e-4681-a30f-1cc5121ba40a" w:val=" "/>
    <w:docVar w:name="VAULT_ND_57ef69b2-91c2-4a5e-b28f-e23d2bdc3092" w:val=" "/>
    <w:docVar w:name="vault_nd_58294c92-1dec-41ab-8e48-323e06127f6a" w:val=" "/>
    <w:docVar w:name="VAULT_ND_582d4720-1d49-489b-9b98-e8e173d2cc88" w:val=" "/>
    <w:docVar w:name="VAULT_ND_58c63cd0-b0ea-42e2-a3f6-d8bea1606fb0" w:val=" "/>
    <w:docVar w:name="VAULT_ND_58f1be65-9b9f-4043-b236-5d7562bbb47c" w:val=" "/>
    <w:docVar w:name="VAULT_ND_591d0389-a9d1-4618-b75f-8926f941a2fe" w:val=" "/>
    <w:docVar w:name="vault_nd_594b619c-c985-41fb-a1fe-a26d3581e22e" w:val=" "/>
    <w:docVar w:name="VAULT_ND_5988680e-e71b-4a97-a814-88209d1c81f0" w:val=" "/>
    <w:docVar w:name="vault_nd_59fc7333-3aac-4d38-8431-cdd846ad07a2" w:val=" "/>
    <w:docVar w:name="VAULT_ND_5c2f23d7-4af6-441e-a8a5-4aab804d86c8" w:val=" "/>
    <w:docVar w:name="vault_nd_5db16596-fa0d-4887-ac7a-e4551cec59d2" w:val=" "/>
    <w:docVar w:name="VAULT_ND_5e518a28-671e-4cec-87f5-9218167322c3" w:val=" "/>
    <w:docVar w:name="VAULT_ND_5e554f1f-6a07-4dcc-9bb8-d849c430a561" w:val=" "/>
    <w:docVar w:name="VAULT_ND_5f0b53e5-8016-4ef2-9979-0bb1e12052eb" w:val=" "/>
    <w:docVar w:name="vault_nd_60437ed6-0495-458e-8a15-8c2f9fca3a2c" w:val=" "/>
    <w:docVar w:name="VAULT_ND_60dd2993-d4be-48e1-98d2-4ab411e175a1" w:val=" "/>
    <w:docVar w:name="vault_nd_60dd2def-a52f-479b-b612-6ba4114d5be8" w:val=" "/>
    <w:docVar w:name="VAULT_ND_60f0102a-ba07-42dd-996d-cbc06e813bbb" w:val=" "/>
    <w:docVar w:name="VAULT_ND_60f21a01-9df1-4e7f-803a-fb41aa7e332b" w:val=" "/>
    <w:docVar w:name="vault_nd_6188a0c9-1ff0-4025-bb18-9a8eb2184efc" w:val=" "/>
    <w:docVar w:name="VAULT_ND_62417958-6645-4e48-be16-8777a7daa066" w:val=" "/>
    <w:docVar w:name="vault_nd_62c91093-b05b-49b5-a084-3038449eef63" w:val=" "/>
    <w:docVar w:name="VAULT_ND_63147ce5-1e47-49a6-8fe2-53a4ccfb2d2a" w:val=" "/>
    <w:docVar w:name="VAULT_ND_64733da6-8ef3-4b2b-943f-a0adfcbe5b98" w:val=" "/>
    <w:docVar w:name="VAULT_ND_64f00587-8dde-4be5-999e-58ec9357488f" w:val=" "/>
    <w:docVar w:name="VAULT_ND_6705ac71-df02-4ba3-8e2c-f61259d7956b" w:val=" "/>
    <w:docVar w:name="VAULT_ND_676f31df-27fc-4332-af24-a7177c5db4da" w:val=" "/>
    <w:docVar w:name="VAULT_ND_67854c4f-49ba-4cd4-b85e-e63c9d9d0eac" w:val=" "/>
    <w:docVar w:name="VAULT_ND_67e16a26-5c19-4fd5-b8de-450212dc4b7d" w:val=" "/>
    <w:docVar w:name="vault_nd_6a016e5e-2e58-4063-8b7c-1ed16f0c7c02" w:val=" "/>
    <w:docVar w:name="VAULT_ND_6a3db2b2-5601-4195-92b1-307c72e72d99" w:val=" "/>
    <w:docVar w:name="VAULT_ND_6a653e60-5b90-4607-aa64-1edf27cf6df5" w:val=" "/>
    <w:docVar w:name="VAULT_ND_6a83a71b-895d-4e87-acca-f69338767e7f" w:val=" "/>
    <w:docVar w:name="VAULT_ND_6ae8c616-4513-4df1-b86f-5a0f060742ce" w:val=" "/>
    <w:docVar w:name="vault_nd_6b20a97b-2362-494f-8bfa-404386cc7a06" w:val=" "/>
    <w:docVar w:name="VAULT_ND_6b225e20-efe1-45e3-ae94-fb75e2b54950" w:val=" "/>
    <w:docVar w:name="VAULT_ND_6b4628a6-8a8d-4668-942a-38830827ec77" w:val=" "/>
    <w:docVar w:name="VAULT_ND_6c0a3617-9125-4d65-93c3-68a293d24eb6" w:val=" "/>
    <w:docVar w:name="vault_nd_6d1298e2-0853-4558-af43-b515f4526283" w:val=" "/>
    <w:docVar w:name="vault_nd_6db9f0b8-9c56-4c23-9091-7d34e0e41a4a" w:val=" "/>
    <w:docVar w:name="VAULT_ND_6e4c005f-922a-42eb-9c8c-99ecbdc9ae0d" w:val=" "/>
    <w:docVar w:name="VAULT_ND_6e9b71f4-e3fb-4b94-b98a-d4d96e19f97c" w:val=" "/>
    <w:docVar w:name="VAULT_ND_6ed9fdda-7d1b-4e11-94dd-4a9d68e51174" w:val=" "/>
    <w:docVar w:name="vault_nd_6f9e9a40-1b59-446c-9143-d822f5f0c35b" w:val=" "/>
    <w:docVar w:name="VAULT_ND_6fcb6217-4679-4da5-9176-48c3de7f3c44" w:val=" "/>
    <w:docVar w:name="vault_nd_71373426-0173-4787-8f66-74414d8408a5" w:val=" "/>
    <w:docVar w:name="VAULT_ND_71f9bf72-71e7-44c4-b97a-f21247f680a5" w:val=" "/>
    <w:docVar w:name="VAULT_ND_739653f9-2b12-4b70-984e-c7cb98a3a40e" w:val=" "/>
    <w:docVar w:name="VAULT_ND_746ea071-8aac-4ae4-bc61-25235f7a810f" w:val=" "/>
    <w:docVar w:name="VAULT_ND_7515ae68-36a5-48ed-a6e0-b313601e07c4" w:val=" "/>
    <w:docVar w:name="VAULT_ND_7524cbc9-3934-4169-9656-56ce9ee5dddf" w:val=" "/>
    <w:docVar w:name="VAULT_ND_757fe35f-f07e-4408-801d-fcabcf579a41" w:val=" "/>
    <w:docVar w:name="VAULT_ND_76346c90-593a-4533-a711-8c64b52d0f4f" w:val=" "/>
    <w:docVar w:name="VAULT_ND_76417059-8a79-4ad5-81f5-e46c5b04de15" w:val=" "/>
    <w:docVar w:name="VAULT_ND_765d0f4d-a3bf-4625-9438-b85db220f7ba" w:val=" "/>
    <w:docVar w:name="VAULT_ND_77549806-bafa-4e2c-85ff-a2262ae9a3f7" w:val=" "/>
    <w:docVar w:name="VAULT_ND_77749291-a8b4-4b9b-b00b-17fa2ea2148c" w:val=" "/>
    <w:docVar w:name="vault_nd_7775971a-bd35-4664-a91d-b7fc8bb7748f" w:val=" "/>
    <w:docVar w:name="VAULT_ND_77d3575e-2073-43c4-b1a0-7ccfe9861209" w:val=" "/>
    <w:docVar w:name="VAULT_ND_77fd5476-c928-40ea-b2ff-d33bbdca1d6d" w:val=" "/>
    <w:docVar w:name="VAULT_ND_782e6258-be09-42d1-92c1-6480be8a35d9" w:val=" "/>
    <w:docVar w:name="VAULT_ND_7a6adb91-de94-4668-a844-a46bea44f5b3" w:val=" "/>
    <w:docVar w:name="VAULT_ND_7ae52bf5-a5a7-4c56-85dd-3898b01a54de" w:val=" "/>
    <w:docVar w:name="VAULT_ND_7b19e5dc-422d-412c-b9cc-60047690368c" w:val=" "/>
    <w:docVar w:name="VAULT_ND_7b84c100-a943-43d5-bf41-e66066c186fa" w:val=" "/>
    <w:docVar w:name="VAULT_ND_7bd94ecf-97bb-4e1c-9f29-4c6cbc43e24d" w:val=" "/>
    <w:docVar w:name="VAULT_ND_7bdf456e-95a3-479b-afd3-d42836405644" w:val=" "/>
    <w:docVar w:name="VAULT_ND_7c0b3d13-772a-4c48-b1e1-8cf0ba39600b" w:val=" "/>
    <w:docVar w:name="vault_nd_7c467091-3033-4109-ba26-e39348cd77c2" w:val=" "/>
    <w:docVar w:name="VAULT_ND_7cb5c0d6-82b6-44a4-bbba-692541ea8554" w:val=" "/>
    <w:docVar w:name="vault_nd_7d79eb55-6feb-4b7c-8e07-8206a1223745" w:val=" "/>
    <w:docVar w:name="VAULT_ND_7dddb736-c6c2-416c-a543-6658b7d4665c" w:val=" "/>
    <w:docVar w:name="VAULT_ND_7df4d044-ffe3-4f05-af95-eb7fdf212761" w:val=" "/>
    <w:docVar w:name="VAULT_ND_7fd3ec93-9ca5-492e-9e95-c24402fa132c" w:val=" "/>
    <w:docVar w:name="VAULT_ND_7fd42064-8a91-4126-9337-3be43e3d2c0e" w:val=" "/>
    <w:docVar w:name="VAULT_ND_803826f0-7f57-4d77-b3d5-84bce07242fc" w:val=" "/>
    <w:docVar w:name="VAULT_ND_80e3f306-41e9-4d00-aa5a-35e0a55a182b" w:val=" "/>
    <w:docVar w:name="vault_nd_80feceb9-87cc-4c73-bae8-b74446e63293" w:val=" "/>
    <w:docVar w:name="VAULT_ND_8165d04f-42c6-4411-824e-4b2fd9828ede" w:val=" "/>
    <w:docVar w:name="VAULT_ND_817756da-b5e1-43b2-b2d5-4f96f6525f9c" w:val=" "/>
    <w:docVar w:name="VAULT_ND_81952fdc-6429-4685-8e51-0f6156dd1b49" w:val=" "/>
    <w:docVar w:name="VAULT_ND_81cd262a-dfed-49ad-96f4-56b4e53ab095" w:val=" "/>
    <w:docVar w:name="VAULT_ND_820cde59-20f6-4d56-8560-ae32218bcf6e" w:val=" "/>
    <w:docVar w:name="VAULT_ND_82515746-b7c8-41b2-80f1-5544d1683403" w:val=" "/>
    <w:docVar w:name="VAULT_ND_83dceb41-853d-4e45-87dd-de03926698d9" w:val=" "/>
    <w:docVar w:name="VAULT_ND_842cf922-637e-48a0-9502-165346011460" w:val=" "/>
    <w:docVar w:name="vault_nd_844c4718-fe89-4619-8907-78779229921b" w:val=" "/>
    <w:docVar w:name="VAULT_ND_84985fbe-5950-4417-ad5c-b907fc77079b" w:val=" "/>
    <w:docVar w:name="VAULT_ND_84ada0f9-611e-4090-ac33-e38cfbca2545" w:val=" "/>
    <w:docVar w:name="VAULT_ND_861f2874-1e38-4b4e-a920-fec89b776bd1" w:val=" "/>
    <w:docVar w:name="VAULT_ND_868020a0-430c-40c7-87ba-6cf86253764d" w:val=" "/>
    <w:docVar w:name="VAULT_ND_86a48fa8-4af1-4d19-9d2f-957cddde4205" w:val=" "/>
    <w:docVar w:name="VAULT_ND_874b4bcc-77e6-42ab-9341-c2ace4bce8ea" w:val=" "/>
    <w:docVar w:name="VAULT_ND_87ca016d-d353-4bef-936a-1c4a7228e3e2" w:val=" "/>
    <w:docVar w:name="VAULT_ND_887fd531-ba8e-41e9-9eba-c1abf00c0b16" w:val=" "/>
    <w:docVar w:name="VAULT_ND_890df2a1-e3a2-4050-9074-da5a7a11a338" w:val=" "/>
    <w:docVar w:name="vault_nd_890fd5a0-7881-41a5-a79b-96e2775a1f58" w:val=" "/>
    <w:docVar w:name="VAULT_ND_89eb4733-50d3-47dc-8ac2-c23a77ef8ec3" w:val=" "/>
    <w:docVar w:name="vault_nd_8a783362-e7e0-4097-9e9d-c8985e1b9980" w:val=" "/>
    <w:docVar w:name="VAULT_ND_8ab68344-9638-4bc4-b77c-c72c060c650d" w:val=" "/>
    <w:docVar w:name="VAULT_ND_8b0f0c59-353a-4df7-8f64-450f5812cf5c" w:val=" "/>
    <w:docVar w:name="VAULT_ND_8b772e56-0a15-4716-828b-e0ad98ebe9b1" w:val=" "/>
    <w:docVar w:name="VAULT_ND_8b89ab83-9144-4b06-a37a-ad39a01c4d0d" w:val=" "/>
    <w:docVar w:name="VAULT_ND_8be6b03c-79f0-42ad-a7ba-fc116c7d7896" w:val=" "/>
    <w:docVar w:name="VAULT_ND_8c14916a-876b-4178-a64a-7acc483cc5a1" w:val=" "/>
    <w:docVar w:name="VAULT_ND_8c72fabf-0251-4fec-835d-1c1d5750b5ba" w:val=" "/>
    <w:docVar w:name="vault_nd_8cf8893e-47c8-44c6-a7fb-75452c907e46" w:val=" "/>
    <w:docVar w:name="VAULT_ND_8d2874f5-4684-4f1d-96fa-33d36fc4a84c" w:val=" "/>
    <w:docVar w:name="vault_nd_8d5d9001-96b0-41cb-b2a4-6aec6af1fc9f" w:val=" "/>
    <w:docVar w:name="VAULT_ND_8df371fd-ff62-4836-9fed-387cc1aaded5" w:val=" "/>
    <w:docVar w:name="VAULT_ND_8e91bc72-44bd-4b29-9f1e-616bed1727aa" w:val=" "/>
    <w:docVar w:name="vault_nd_8ea2bf08-9e83-4c3e-ad01-8d30e74476d6" w:val=" "/>
    <w:docVar w:name="vault_nd_8f2bdbb9-04c3-410c-ac67-e52c53b2f82b" w:val=" "/>
    <w:docVar w:name="VAULT_ND_90072bfe-3dff-4058-b907-81864aa63925" w:val=" "/>
    <w:docVar w:name="vault_nd_904dfde4-b4a6-4a85-9029-d7087706cbed" w:val=" "/>
    <w:docVar w:name="VAULT_ND_907af437-d556-440d-92b7-940d1f4cbf9e" w:val=" "/>
    <w:docVar w:name="vault_nd_91cf4c15-cca6-42f8-b663-ac4b1b6cc0f7" w:val=" "/>
    <w:docVar w:name="VAULT_ND_91e86b04-79ec-4b1a-8294-d7175b1b5088" w:val=" "/>
    <w:docVar w:name="VAULT_ND_91fb51bc-a239-4bb9-9d77-2eda0fbd4e90" w:val=" "/>
    <w:docVar w:name="VAULT_ND_921277a3-8484-4830-b1c3-729d4b2f40f4" w:val=" "/>
    <w:docVar w:name="vault_nd_926b02a7-f7cb-4802-ae2b-01e4958a0ad2" w:val=" "/>
    <w:docVar w:name="VAULT_ND_92f12201-f9bb-4ccf-b87c-665746f5fff2" w:val=" "/>
    <w:docVar w:name="VAULT_ND_9360cf08-b03a-4f40-835d-abd3c4e65c73" w:val=" "/>
    <w:docVar w:name="VAULT_ND_93d48646-5cec-41a2-9555-3f18bca6b5b7" w:val=" "/>
    <w:docVar w:name="VAULT_ND_941f9648-1ff0-4850-890f-c5336b876346" w:val=" "/>
    <w:docVar w:name="vault_nd_943e0176-5602-407c-ae8c-8dcde47a5423" w:val=" "/>
    <w:docVar w:name="VAULT_ND_95334b63-0e2d-4685-a566-a62a91d7daf7" w:val=" "/>
    <w:docVar w:name="vault_nd_95889110-8548-4630-886f-fe1be52c77a8" w:val=" "/>
    <w:docVar w:name="VAULT_ND_95a419b4-ae55-46e5-bea1-34c22031e8a5" w:val=" "/>
    <w:docVar w:name="VAULT_ND_96158399-163b-42e1-a5e4-9bdc4e78dd30" w:val=" "/>
    <w:docVar w:name="VAULT_ND_96543d3d-7153-4475-80a6-4fbd4682be5d" w:val=" "/>
    <w:docVar w:name="vault_nd_965b881c-b370-4a80-a99c-4934075eb49d" w:val=" "/>
    <w:docVar w:name="VAULT_ND_96cba39c-8241-4fcf-9d45-25022dc4e6e3" w:val=" "/>
    <w:docVar w:name="vault_nd_97170c1c-1da6-43d9-abae-65111611cbe0" w:val=" "/>
    <w:docVar w:name="VAULT_ND_97458af2-d0bf-4d27-a896-d7bc441f4b31" w:val=" "/>
    <w:docVar w:name="vault_nd_98898dcd-5a2f-4fc5-8c99-2f445da0639b" w:val=" "/>
    <w:docVar w:name="VAULT_ND_99528b4f-12d8-4e82-950d-65f8bb908dfd" w:val=" "/>
    <w:docVar w:name="VAULT_ND_99bbb760-c44d-422a-ace6-52ac8354abe9" w:val=" "/>
    <w:docVar w:name="VAULT_ND_99ce3365-d72f-4ad9-905d-fb6817a9d86a" w:val=" "/>
    <w:docVar w:name="VAULT_ND_9a34b588-cfb2-4fd9-a7a8-1fa330e659c1" w:val=" "/>
    <w:docVar w:name="VAULT_ND_9aef1089-7e14-44cd-bc78-0439ca6fd8c5" w:val=" "/>
    <w:docVar w:name="VAULT_ND_9b2148f3-adfb-47a8-83ff-4af15bac03c1" w:val=" "/>
    <w:docVar w:name="VAULT_ND_9bb54267-21b3-406a-85ca-f41ac6e40bfb" w:val=" "/>
    <w:docVar w:name="VAULT_ND_9bc01113-3f43-463f-96c8-0b2454bd6cf3" w:val=" "/>
    <w:docVar w:name="VAULT_ND_9c1c2c65-ad77-4d99-a5da-07215653ee8b" w:val=" "/>
    <w:docVar w:name="vault_nd_9c77fcdc-41d2-4ab2-80cc-bba7efaf3429" w:val=" "/>
    <w:docVar w:name="VAULT_ND_9c9454db-7373-42ea-9c93-a6cb66120204" w:val=" "/>
    <w:docVar w:name="VAULT_ND_9caf90f2-9538-4f36-b894-dc6fdc5ba906" w:val=" "/>
    <w:docVar w:name="vault_nd_9d0cb9b7-ace1-4c04-a632-e5673cfcecbb" w:val=" "/>
    <w:docVar w:name="vault_nd_9d38a292-8320-492e-a863-8f12631acb7e" w:val=" "/>
    <w:docVar w:name="vault_nd_9da34410-c33f-4004-aec6-13ebaddce3bc" w:val=" "/>
    <w:docVar w:name="VAULT_ND_9de10635-1954-413a-9cc1-0d055eb7e0d2" w:val=" "/>
    <w:docVar w:name="VAULT_ND_9e0ff239-2987-4c38-876a-56fc4bb75e72" w:val=" "/>
    <w:docVar w:name="VAULT_ND_9e9ecfff-ce60-47f3-abb6-b69857b25804" w:val=" "/>
    <w:docVar w:name="VAULT_ND_9efe1ccb-a347-41e3-96de-482624149b0d" w:val=" "/>
    <w:docVar w:name="VAULT_ND_a0101a7c-2438-48be-a8cb-71c9c7dab161" w:val=" "/>
    <w:docVar w:name="vault_nd_a01927b6-d1c8-4be8-9cb0-7e47d5ca5f27" w:val=" "/>
    <w:docVar w:name="vault_nd_a021d67a-deac-42c8-b08f-71c250e0049d" w:val=" "/>
    <w:docVar w:name="VAULT_ND_a0669f89-d5c4-4c2e-8f40-91de62471cba" w:val=" "/>
    <w:docVar w:name="VAULT_ND_a0ffb341-77fd-4459-8094-fbb9d0e239cf" w:val=" "/>
    <w:docVar w:name="vault_nd_a165015f-2074-4ce8-ae17-cc3a17b138ec" w:val=" "/>
    <w:docVar w:name="VAULT_ND_a1ae20ac-bad0-4c1d-9b6b-e68c5c1927e0" w:val=" "/>
    <w:docVar w:name="VAULT_ND_a25429f4-8c56-4848-8869-b8937a72c7e3" w:val=" "/>
    <w:docVar w:name="VAULT_ND_a31185af-348b-4835-a4c9-c59d884d7d1d" w:val=" "/>
    <w:docVar w:name="VAULT_ND_a3824d06-2bf0-4d19-9b76-789781c324fa" w:val=" "/>
    <w:docVar w:name="vault_nd_a3dfdc29-5095-4d34-ba20-d882f3d8a08e" w:val=" "/>
    <w:docVar w:name="VAULT_ND_a47cdc8c-1c9f-4cf3-85dc-c608c2550bfa" w:val=" "/>
    <w:docVar w:name="vault_nd_a4cb3570-3826-4b32-aa2b-b3f4b6bd215a" w:val=" "/>
    <w:docVar w:name="VAULT_ND_a5d6b352-ea9a-4c40-bf59-e7e30f02642a" w:val=" "/>
    <w:docVar w:name="VAULT_ND_a5d76cda-a7a2-4f85-9341-ce18646d86c8" w:val=" "/>
    <w:docVar w:name="VAULT_ND_a6829dc8-464f-4cae-8d6a-f36706c99dc0" w:val=" "/>
    <w:docVar w:name="VAULT_ND_a7accf0e-e26c-4f74-b09b-c12ea008e570" w:val=" "/>
    <w:docVar w:name="VAULT_ND_a857eaed-cf02-4148-a366-3a90b7a123df" w:val=" "/>
    <w:docVar w:name="vault_nd_a9621803-774c-44ad-8295-714718151819" w:val=" "/>
    <w:docVar w:name="VAULT_ND_a962b2b7-049f-43b9-9257-b7f640e491a2" w:val=" "/>
    <w:docVar w:name="vault_nd_aa5f258b-83c6-44f2-807b-3c5d5d21abb7" w:val=" "/>
    <w:docVar w:name="VAULT_ND_ab98b059-62f4-43c7-ba22-13f2a62ddd28" w:val=" "/>
    <w:docVar w:name="VAULT_ND_ac301156-e790-4af4-9ed2-51024c6c2d07" w:val=" "/>
    <w:docVar w:name="VAULT_ND_ac8eae42-2841-41f4-9b1f-5004e66a82a6" w:val=" "/>
    <w:docVar w:name="vault_nd_ad0682a4-2762-4126-80a1-252fd1e69dd3" w:val=" "/>
    <w:docVar w:name="VAULT_ND_ad0fddd0-e44d-4985-b16c-6e13ce1cdc51" w:val=" "/>
    <w:docVar w:name="VAULT_ND_ad7e5625-4c1e-4a45-9df3-f4f2c056f399" w:val=" "/>
    <w:docVar w:name="vault_nd_ae0544be-d6f0-48d7-aaa6-00d535693aa5" w:val=" "/>
    <w:docVar w:name="VAULT_ND_ae6f26f9-1023-40b6-bca1-0746fdd4a82f" w:val=" "/>
    <w:docVar w:name="VAULT_ND_aef69903-378e-4d73-94fe-c7a5cda7b447" w:val=" "/>
    <w:docVar w:name="VAULT_ND_afd50824-88e3-476c-ba52-bc23a1bbdc14" w:val=" "/>
    <w:docVar w:name="VAULT_ND_b011f82e-72da-40b5-b9a9-44bd14e3589e" w:val=" "/>
    <w:docVar w:name="VAULT_ND_b07fe964-630a-49e0-9450-985b66398fe8" w:val=" "/>
    <w:docVar w:name="VAULT_ND_b0bb92fe-67d5-4f76-b40f-b9d84e83578c" w:val=" "/>
    <w:docVar w:name="VAULT_ND_b0d84243-56ed-4cac-b6d0-07ec1fce75a5" w:val=" "/>
    <w:docVar w:name="VAULT_ND_b17a6e87-4f4c-4ab9-8109-70d70177a2be" w:val=" "/>
    <w:docVar w:name="vault_nd_b1e01657-4df3-40d7-ad36-8d3654409ec6" w:val=" "/>
    <w:docVar w:name="VAULT_ND_b1fa7ec0-81f0-4dff-a5df-9070f8f1b816" w:val=" "/>
    <w:docVar w:name="VAULT_ND_b2edf0d0-c889-4dfb-b081-26ab28ebc0c9" w:val=" "/>
    <w:docVar w:name="vault_nd_b387b999-e784-40c1-9fc2-71487915908b" w:val=" "/>
    <w:docVar w:name="VAULT_ND_b5395136-a026-40fa-a335-843a85de08c2" w:val=" "/>
    <w:docVar w:name="vault_nd_b5786fe4-eaab-4b22-832b-42a4dfaa2c35" w:val=" "/>
    <w:docVar w:name="vault_nd_b5ec9cbd-5c43-405e-b30f-f3dd0c21f791" w:val=" "/>
    <w:docVar w:name="VAULT_ND_b6755a57-9f45-443c-8769-fecda9d3ad8c" w:val=" "/>
    <w:docVar w:name="VAULT_ND_b71b94e7-26fb-490a-926c-582ce4543726" w:val=" "/>
    <w:docVar w:name="VAULT_ND_b7957cb3-43ef-47ce-bbe6-d25b38323ca5" w:val=" "/>
    <w:docVar w:name="VAULT_ND_b88f01b0-dcdd-4199-abfb-1513b2add970" w:val=" "/>
    <w:docVar w:name="VAULT_ND_bad05e2b-53a1-4fc8-b7dc-11002bd0a7a7" w:val=" "/>
    <w:docVar w:name="VAULT_ND_bbfafcf8-28fa-47c1-898d-78ddbbd581df" w:val=" "/>
    <w:docVar w:name="VAULT_ND_bc94204b-a2d2-4431-8bdd-8b0acac899c6" w:val=" "/>
    <w:docVar w:name="vault_nd_bca665a9-9a42-46e8-8bbe-4523abaac2fb" w:val=" "/>
    <w:docVar w:name="VAULT_ND_bcc44812-74d7-4286-95ee-e8fd6d6c543d" w:val=" "/>
    <w:docVar w:name="VAULT_ND_bd1ab294-2ca3-4f1e-aa2f-2f7e8d6056e3" w:val=" "/>
    <w:docVar w:name="vault_nd_bd5b53bb-39ff-4ad2-8f01-2f17e023dfbf" w:val=" "/>
    <w:docVar w:name="VAULT_ND_bd5f0a4e-8877-4ab1-a86c-db191dbbc853" w:val=" "/>
    <w:docVar w:name="vault_nd_bd6af3c9-744d-404b-a4a3-2317f7f8e54d" w:val=" "/>
    <w:docVar w:name="VAULT_ND_bd6e0e6b-b8f3-4c84-bfc9-cb0f85b0f702" w:val=" "/>
    <w:docVar w:name="vault_nd_bddba88b-c51c-4271-b005-9e9692e4dec0" w:val=" "/>
    <w:docVar w:name="VAULT_ND_bdf10428-d3b1-420d-9c14-05f96ff7523f" w:val=" "/>
    <w:docVar w:name="VAULT_ND_be5acddf-fde9-41cd-b639-f32b6beb9229" w:val=" "/>
    <w:docVar w:name="vault_nd_bf7cfcc4-2164-4fa2-9faf-120baaef961a" w:val=" "/>
    <w:docVar w:name="VAULT_ND_c01aec08-2911-4852-b135-6082ccd80792" w:val=" "/>
    <w:docVar w:name="VAULT_ND_c0d0486e-f497-4589-adbb-121bfd8344b1" w:val=" "/>
    <w:docVar w:name="VAULT_ND_c0f8bfdc-2216-4831-9387-697f35d6af3a" w:val=" "/>
    <w:docVar w:name="VAULT_ND_c0fc6406-da38-46d9-bc70-d2eb29ad18d2" w:val=" "/>
    <w:docVar w:name="VAULT_ND_c1ed7c14-90a6-4b36-bc7d-9c9b7ab24798" w:val=" "/>
    <w:docVar w:name="VAULT_ND_c3fe0636-e3b4-4754-8bee-f3f23221e40c" w:val=" "/>
    <w:docVar w:name="VAULT_ND_c549aeeb-0e88-43cf-8093-98ca6756aa61" w:val=" "/>
    <w:docVar w:name="VAULT_ND_c57bde4f-4730-44a6-9e2a-462acdf51461" w:val=" "/>
    <w:docVar w:name="VAULT_ND_c65d36ec-2de1-4c9c-9176-470226b0b997" w:val=" "/>
    <w:docVar w:name="vault_nd_c7137168-7e1a-4411-bb43-b9e50a8a3e66" w:val=" "/>
    <w:docVar w:name="VAULT_ND_c98a3d4f-4ddf-450f-a21a-bc0883bb8866" w:val=" "/>
    <w:docVar w:name="vault_nd_c9b9dc3d-1436-439c-baff-2fde08470d74" w:val=" "/>
    <w:docVar w:name="VAULT_ND_c9c8e58a-ad44-47a7-aa71-f5a9d8fbd1a9" w:val=" "/>
    <w:docVar w:name="vault_nd_ca8f3579-e812-439a-a846-baf08ff50f8b" w:val=" "/>
    <w:docVar w:name="VAULT_ND_cae8790d-3064-4132-8aaa-35a03ee411ac" w:val=" "/>
    <w:docVar w:name="VAULT_ND_cb0395d3-6803-4852-bdcf-db31fe9ec8c6" w:val=" "/>
    <w:docVar w:name="VAULT_ND_cc9f5895-9bc1-4584-ab46-b04865b8a7ac" w:val=" "/>
    <w:docVar w:name="VAULT_ND_cceaba4c-290f-46d0-be1b-7d71f1f323dd" w:val=" "/>
    <w:docVar w:name="VAULT_ND_cd1e26cd-9e41-4e1a-8dca-294ae578c8b4" w:val=" "/>
    <w:docVar w:name="VAULT_ND_ce2c487f-d58e-445c-921d-b9b48437e2f4" w:val=" "/>
    <w:docVar w:name="VAULT_ND_ce68f21f-32ec-461b-9c26-160a2c7c2495" w:val=" "/>
    <w:docVar w:name="VAULT_ND_cf6b9a64-e8e5-4b43-9a11-29c81bfd578a" w:val=" "/>
    <w:docVar w:name="VAULT_ND_cf6ead95-d194-4f07-8815-c5596cdf752c" w:val=" "/>
    <w:docVar w:name="VAULT_ND_cf8d5a3f-60fc-4012-a26a-774f3d63b4dd" w:val=" "/>
    <w:docVar w:name="vault_nd_cfb82762-3820-4f02-b5f6-bcbd6c1032f6" w:val=" "/>
    <w:docVar w:name="VAULT_ND_d058d59c-c40f-4d24-90ff-a32dc26cebaa" w:val=" "/>
    <w:docVar w:name="VAULT_ND_d0f55d39-efe1-43dd-b281-55e1b856102f" w:val=" "/>
    <w:docVar w:name="VAULT_ND_d1417c5d-c29f-47fb-9da2-4b1211b31c41" w:val=" "/>
    <w:docVar w:name="vault_nd_d1ca6125-5427-4ac1-b801-01d0b81b8c7e" w:val=" "/>
    <w:docVar w:name="vault_nd_d1dab25b-b5bc-4422-8e3d-cb517224d8c4" w:val=" "/>
    <w:docVar w:name="VAULT_ND_d20af4fb-f432-478c-a0cc-59875020ad44" w:val=" "/>
    <w:docVar w:name="VAULT_ND_d239181b-e20e-484b-a47e-7ee371b7dece" w:val=" "/>
    <w:docVar w:name="vault_nd_d33b65ea-3bcc-4967-ab5a-96bd57a619b8" w:val=" "/>
    <w:docVar w:name="VAULT_ND_d3685a39-d572-4ae1-89df-6a224eb84b33" w:val=" "/>
    <w:docVar w:name="VAULT_ND_d37e9f8d-f17f-4b3d-8a59-6ca0d2d71a87" w:val=" "/>
    <w:docVar w:name="VAULT_ND_d58c8264-42e2-43e9-ac50-0777f94b2834" w:val=" "/>
    <w:docVar w:name="vault_nd_d5d42582-8ad1-4130-a147-6548b069b397" w:val=" "/>
    <w:docVar w:name="vault_nd_d62ee050-aa41-4e39-b53f-8bdae1cca4b7" w:val=" "/>
    <w:docVar w:name="VAULT_ND_d677d313-057e-4225-8986-6aec21686344" w:val=" "/>
    <w:docVar w:name="VAULT_ND_d7f96e91-9d48-4975-9d66-05983fd203a2" w:val=" "/>
    <w:docVar w:name="VAULT_ND_d9497c48-6737-46c4-8a2f-af71c0f36d52" w:val=" "/>
    <w:docVar w:name="vault_nd_d9fed458-6518-4a2e-8a65-78e4fad5e57c" w:val=" "/>
    <w:docVar w:name="VAULT_ND_dafa7e2d-6fdc-41c2-acc3-a9e4870cccbb" w:val=" "/>
    <w:docVar w:name="VAULT_ND_db1d6957-9819-4018-90b2-94e29c03d438" w:val=" "/>
    <w:docVar w:name="VAULT_ND_db451a0c-cf4a-4c50-bff6-6c7b524ecc01" w:val=" "/>
    <w:docVar w:name="VAULT_ND_db4d38b0-ddae-476c-b644-89c01c794aab" w:val=" "/>
    <w:docVar w:name="VAULT_ND_dbe3f02e-b0ec-4c10-b372-4fe076274868" w:val=" "/>
    <w:docVar w:name="VAULT_ND_dc6ca73b-8365-448d-a09f-e5f679583a02" w:val=" "/>
    <w:docVar w:name="VAULT_ND_dc93e0e2-1fe5-4303-be0a-4eed7a276bb5" w:val=" "/>
    <w:docVar w:name="vault_nd_dcbbd33c-14ea-4ff9-9e4f-cbe3161f8802" w:val=" "/>
    <w:docVar w:name="VAULT_ND_de00deb9-3518-4eda-93fb-6b3bd0005bdf" w:val=" "/>
    <w:docVar w:name="VAULT_ND_de55c08a-268d-4954-9495-7cea74fe2967" w:val=" "/>
    <w:docVar w:name="VAULT_ND_de84e8d5-ba9a-4730-ab9d-3821a24bc419" w:val=" "/>
    <w:docVar w:name="VAULT_ND_df0928c0-3f45-4f14-97bb-45d6f8d2efdc" w:val=" "/>
    <w:docVar w:name="vault_nd_df51425d-fc32-48e4-ad1e-46368ff56e7d" w:val=" "/>
    <w:docVar w:name="vault_nd_dfbe959b-aaa7-41d2-9f5f-cd502682f932" w:val=" "/>
    <w:docVar w:name="vault_nd_e01ebdb7-3de6-4753-bf8a-0014382b8329" w:val=" "/>
    <w:docVar w:name="VAULT_ND_e054b8e4-b837-4e44-8d22-79f11d469c91" w:val=" "/>
    <w:docVar w:name="VAULT_ND_e0c73a89-50d9-4b1c-94e9-ce45f29d0fde" w:val=" "/>
    <w:docVar w:name="vault_nd_e3cb9358-8db8-44ee-b0cb-c68fd5cd19b5" w:val=" "/>
    <w:docVar w:name="VAULT_ND_e4f159f8-e54e-47a0-97b4-debf0d67e8eb" w:val=" "/>
    <w:docVar w:name="vault_nd_e53c85e0-7608-4092-a96e-c1a27d14f7ba" w:val=" "/>
    <w:docVar w:name="vault_nd_e548b996-47e8-4ce7-8cd0-c17b3da2ee6f" w:val=" "/>
    <w:docVar w:name="vault_nd_e56eb407-942c-4ba1-8bee-d67a0626cea4" w:val=" "/>
    <w:docVar w:name="VAULT_ND_e57afc02-4cf7-474f-a83d-95ac12c6b92e" w:val=" "/>
    <w:docVar w:name="vault_nd_e58683cd-0dc3-4e70-b3fb-3388ef2a88bb" w:val=" "/>
    <w:docVar w:name="vault_nd_e6692940-36e1-4a90-8d8c-0bff3a64a687" w:val=" "/>
    <w:docVar w:name="vault_nd_e66eb80e-fca9-4431-8da0-79157680ea82" w:val=" "/>
    <w:docVar w:name="vault_nd_e6a8b84a-ddb9-4ffe-a8a7-0bf8349da45b" w:val=" "/>
    <w:docVar w:name="VAULT_ND_e6ad89d3-2255-4340-849b-9a78c0eb8acc" w:val=" "/>
    <w:docVar w:name="VAULT_ND_e76ed541-8450-4c90-b1e4-2f135907394b" w:val=" "/>
    <w:docVar w:name="VAULT_ND_e8491318-7c70-4718-8af7-6248ac26e127" w:val=" "/>
    <w:docVar w:name="VAULT_ND_e92cd4d8-3e80-4496-813b-0ed1cd14a5c2" w:val=" "/>
    <w:docVar w:name="vault_nd_e95e0f2f-2a66-44bd-a62f-33d36e26610f" w:val=" "/>
    <w:docVar w:name="VAULT_ND_e9b9d826-5979-4f9f-adc6-dc1af931c538" w:val=" "/>
    <w:docVar w:name="VAULT_ND_e9cac690-0fc5-4811-864d-69ff97452beb" w:val=" "/>
    <w:docVar w:name="VAULT_ND_ebacf299-d3ff-4ac6-99c4-1deec4d7fe3e" w:val=" "/>
    <w:docVar w:name="VAULT_ND_ec19ac53-3611-451a-b172-92374bf800cf" w:val=" "/>
    <w:docVar w:name="VAULT_ND_ed803672-a031-45f7-8e91-1753bcf63a7a" w:val=" "/>
    <w:docVar w:name="VAULT_ND_ef778084-b3e7-4d15-9fcd-90afa9bde9bd" w:val=" "/>
    <w:docVar w:name="VAULT_ND_efd6b103-231f-450e-be37-0751ad8e1160" w:val=" "/>
    <w:docVar w:name="VAULT_ND_f0dde8e0-e944-4f4e-9868-a9947c53066d" w:val=" "/>
    <w:docVar w:name="VAULT_ND_f10cf7c5-3b8b-41e9-aa7c-3b5053828782" w:val=" "/>
    <w:docVar w:name="VAULT_ND_f1865bc7-7dfd-4784-b9b5-8507b30da243" w:val=" "/>
    <w:docVar w:name="VAULT_ND_f1c9647a-4a0b-4fdc-8c57-e0e85abb6ac2" w:val=" "/>
    <w:docVar w:name="VAULT_ND_f2420fde-119a-42b4-8fae-6746e02f4220" w:val=" "/>
    <w:docVar w:name="vault_nd_f364cb66-046b-423e-8b8c-1cd79ef92ad1" w:val=" "/>
    <w:docVar w:name="VAULT_ND_f44b2d41-9309-4706-b764-dca7ae8f8417" w:val=" "/>
    <w:docVar w:name="VAULT_ND_f552aab1-4954-4a7a-b410-7f27121e7b0d" w:val=" "/>
    <w:docVar w:name="VAULT_ND_f7c25919-2945-47d0-9e86-7fbb2649ea27" w:val=" "/>
    <w:docVar w:name="vault_nd_f7f31c92-274c-4be9-85f1-043d87b8714e" w:val=" "/>
    <w:docVar w:name="vault_nd_f86641ab-76b1-4b09-8a7a-422981b23950" w:val=" "/>
    <w:docVar w:name="VAULT_ND_f8aa76ad-ecef-4b1e-864f-4fb223aeda63" w:val=" "/>
    <w:docVar w:name="vault_nd_f910b224-ff5b-44bd-8111-9a804ebfc6c2" w:val=" "/>
    <w:docVar w:name="VAULT_ND_f9fc734b-786d-47fb-b714-2ef36053f0e1" w:val=" "/>
    <w:docVar w:name="VAULT_ND_fa3e31da-67d2-4c08-a3ba-eb4d22155bb2" w:val=" "/>
    <w:docVar w:name="VAULT_ND_fb54b422-aa59-4f78-a1a5-cfea210f9a66" w:val=" "/>
    <w:docVar w:name="VAULT_ND_fbfc3897-001f-4406-8dcc-14ef8e90e73b" w:val=" "/>
    <w:docVar w:name="vault_nd_fc0fd703-df8a-4b86-bea1-9de1f4e2e944" w:val=" "/>
    <w:docVar w:name="vault_nd_fde132f6-5135-4ddf-bf88-5fb7ac5a35ab" w:val=" "/>
    <w:docVar w:name="VAULT_ND_fea23bba-54f8-4599-815b-e965371c0177" w:val=" "/>
    <w:docVar w:name="VAULT_ND_ff20cb9c-fd6c-4ebd-abca-a3087af13a39" w:val=" "/>
    <w:docVar w:name="VAULT_ND_ff54e63c-f0f0-42d6-9289-3b2723a19eef" w:val=" "/>
    <w:docVar w:name="VAULT_ND_ff911480-4f72-4cbf-aecb-0eff109f7a8e" w:val=" "/>
    <w:docVar w:name="VAULT_ND_ffbfe66e-9d8b-47b9-9bca-2a1be6f7a734" w:val=" "/>
    <w:docVar w:name="Version" w:val="0"/>
  </w:docVars>
  <w:rsids>
    <w:rsidRoot w:val="00920C0C"/>
    <w:rsid w:val="000000BF"/>
    <w:rsid w:val="000005DC"/>
    <w:rsid w:val="00001089"/>
    <w:rsid w:val="000014D0"/>
    <w:rsid w:val="00001F2C"/>
    <w:rsid w:val="0000238E"/>
    <w:rsid w:val="000023D0"/>
    <w:rsid w:val="00002F14"/>
    <w:rsid w:val="00003A4B"/>
    <w:rsid w:val="00004140"/>
    <w:rsid w:val="00004E19"/>
    <w:rsid w:val="00005587"/>
    <w:rsid w:val="00005AAA"/>
    <w:rsid w:val="0000683E"/>
    <w:rsid w:val="0000796B"/>
    <w:rsid w:val="00007F21"/>
    <w:rsid w:val="0001157D"/>
    <w:rsid w:val="000117B9"/>
    <w:rsid w:val="00011A48"/>
    <w:rsid w:val="00012E3B"/>
    <w:rsid w:val="00013292"/>
    <w:rsid w:val="000139CB"/>
    <w:rsid w:val="00013A1B"/>
    <w:rsid w:val="000148BE"/>
    <w:rsid w:val="000154E5"/>
    <w:rsid w:val="000156E6"/>
    <w:rsid w:val="0001636D"/>
    <w:rsid w:val="000169DD"/>
    <w:rsid w:val="00016ECC"/>
    <w:rsid w:val="000172FF"/>
    <w:rsid w:val="0001763B"/>
    <w:rsid w:val="0001794F"/>
    <w:rsid w:val="000179D4"/>
    <w:rsid w:val="000203AE"/>
    <w:rsid w:val="000203E0"/>
    <w:rsid w:val="00020EC2"/>
    <w:rsid w:val="00020F3A"/>
    <w:rsid w:val="000212A0"/>
    <w:rsid w:val="000224B0"/>
    <w:rsid w:val="00022723"/>
    <w:rsid w:val="00022840"/>
    <w:rsid w:val="000229C2"/>
    <w:rsid w:val="00022A78"/>
    <w:rsid w:val="00022D72"/>
    <w:rsid w:val="0002335E"/>
    <w:rsid w:val="000237BC"/>
    <w:rsid w:val="00023A05"/>
    <w:rsid w:val="00023BE0"/>
    <w:rsid w:val="0002405A"/>
    <w:rsid w:val="000244AA"/>
    <w:rsid w:val="00024B2C"/>
    <w:rsid w:val="00024F31"/>
    <w:rsid w:val="000251BF"/>
    <w:rsid w:val="000267A0"/>
    <w:rsid w:val="000267ED"/>
    <w:rsid w:val="00026ED0"/>
    <w:rsid w:val="0002740D"/>
    <w:rsid w:val="0002766E"/>
    <w:rsid w:val="00027E17"/>
    <w:rsid w:val="000300A5"/>
    <w:rsid w:val="00030168"/>
    <w:rsid w:val="00030502"/>
    <w:rsid w:val="00031271"/>
    <w:rsid w:val="0003165E"/>
    <w:rsid w:val="00031E7D"/>
    <w:rsid w:val="00032E45"/>
    <w:rsid w:val="00033DB2"/>
    <w:rsid w:val="00034BE2"/>
    <w:rsid w:val="00037418"/>
    <w:rsid w:val="000374D1"/>
    <w:rsid w:val="00037E41"/>
    <w:rsid w:val="000404B4"/>
    <w:rsid w:val="0004137F"/>
    <w:rsid w:val="00042193"/>
    <w:rsid w:val="000426A9"/>
    <w:rsid w:val="00042BD4"/>
    <w:rsid w:val="0004305F"/>
    <w:rsid w:val="000435FD"/>
    <w:rsid w:val="00043788"/>
    <w:rsid w:val="00043A89"/>
    <w:rsid w:val="00044BCA"/>
    <w:rsid w:val="00044E53"/>
    <w:rsid w:val="000475B3"/>
    <w:rsid w:val="00047748"/>
    <w:rsid w:val="00047CA0"/>
    <w:rsid w:val="00047DD8"/>
    <w:rsid w:val="00050CD7"/>
    <w:rsid w:val="00051086"/>
    <w:rsid w:val="00051358"/>
    <w:rsid w:val="00051C31"/>
    <w:rsid w:val="00052F01"/>
    <w:rsid w:val="000532D3"/>
    <w:rsid w:val="000534D4"/>
    <w:rsid w:val="00053CE5"/>
    <w:rsid w:val="000547F2"/>
    <w:rsid w:val="00054A57"/>
    <w:rsid w:val="000557BA"/>
    <w:rsid w:val="00055DD8"/>
    <w:rsid w:val="0005683F"/>
    <w:rsid w:val="000575EC"/>
    <w:rsid w:val="0006036D"/>
    <w:rsid w:val="00060C1E"/>
    <w:rsid w:val="00060D16"/>
    <w:rsid w:val="000616C0"/>
    <w:rsid w:val="000617CE"/>
    <w:rsid w:val="00061C4C"/>
    <w:rsid w:val="00062153"/>
    <w:rsid w:val="00062766"/>
    <w:rsid w:val="00062CB9"/>
    <w:rsid w:val="000636A8"/>
    <w:rsid w:val="000642AA"/>
    <w:rsid w:val="000644AA"/>
    <w:rsid w:val="000652D7"/>
    <w:rsid w:val="000655BB"/>
    <w:rsid w:val="00065CC1"/>
    <w:rsid w:val="000671DA"/>
    <w:rsid w:val="000674F0"/>
    <w:rsid w:val="000675CA"/>
    <w:rsid w:val="00067C8C"/>
    <w:rsid w:val="00070091"/>
    <w:rsid w:val="00070505"/>
    <w:rsid w:val="000718B1"/>
    <w:rsid w:val="00071A99"/>
    <w:rsid w:val="00072717"/>
    <w:rsid w:val="00072C59"/>
    <w:rsid w:val="0007354A"/>
    <w:rsid w:val="000735A5"/>
    <w:rsid w:val="000735B2"/>
    <w:rsid w:val="00073BA0"/>
    <w:rsid w:val="00073DE9"/>
    <w:rsid w:val="00073E9E"/>
    <w:rsid w:val="00074BAC"/>
    <w:rsid w:val="0007558A"/>
    <w:rsid w:val="00076424"/>
    <w:rsid w:val="0007656E"/>
    <w:rsid w:val="00076856"/>
    <w:rsid w:val="00076ABE"/>
    <w:rsid w:val="00077175"/>
    <w:rsid w:val="00077333"/>
    <w:rsid w:val="000774AA"/>
    <w:rsid w:val="00077A0E"/>
    <w:rsid w:val="00077AFF"/>
    <w:rsid w:val="00077E43"/>
    <w:rsid w:val="000806DD"/>
    <w:rsid w:val="00080BD3"/>
    <w:rsid w:val="0008158C"/>
    <w:rsid w:val="00081720"/>
    <w:rsid w:val="00081762"/>
    <w:rsid w:val="00081E8F"/>
    <w:rsid w:val="0008241C"/>
    <w:rsid w:val="00083E30"/>
    <w:rsid w:val="00084253"/>
    <w:rsid w:val="0008478A"/>
    <w:rsid w:val="0008478D"/>
    <w:rsid w:val="00085595"/>
    <w:rsid w:val="00085792"/>
    <w:rsid w:val="00085AB4"/>
    <w:rsid w:val="00085ACF"/>
    <w:rsid w:val="000872FD"/>
    <w:rsid w:val="00087479"/>
    <w:rsid w:val="0008763D"/>
    <w:rsid w:val="0009128B"/>
    <w:rsid w:val="00091513"/>
    <w:rsid w:val="00091F60"/>
    <w:rsid w:val="00092B65"/>
    <w:rsid w:val="00092BF6"/>
    <w:rsid w:val="00092E1B"/>
    <w:rsid w:val="000935B6"/>
    <w:rsid w:val="00093ED7"/>
    <w:rsid w:val="000943F0"/>
    <w:rsid w:val="00094B87"/>
    <w:rsid w:val="000956C6"/>
    <w:rsid w:val="000959DF"/>
    <w:rsid w:val="000967DF"/>
    <w:rsid w:val="00096A5C"/>
    <w:rsid w:val="00096B22"/>
    <w:rsid w:val="000974EF"/>
    <w:rsid w:val="00097BCD"/>
    <w:rsid w:val="00097F16"/>
    <w:rsid w:val="000A0249"/>
    <w:rsid w:val="000A0550"/>
    <w:rsid w:val="000A0DC7"/>
    <w:rsid w:val="000A16D6"/>
    <w:rsid w:val="000A196E"/>
    <w:rsid w:val="000A2E12"/>
    <w:rsid w:val="000A2FCE"/>
    <w:rsid w:val="000A409A"/>
    <w:rsid w:val="000A4196"/>
    <w:rsid w:val="000A4458"/>
    <w:rsid w:val="000A4E64"/>
    <w:rsid w:val="000A5C1B"/>
    <w:rsid w:val="000A6157"/>
    <w:rsid w:val="000A6821"/>
    <w:rsid w:val="000A69C5"/>
    <w:rsid w:val="000A7AE9"/>
    <w:rsid w:val="000B033B"/>
    <w:rsid w:val="000B07B9"/>
    <w:rsid w:val="000B0EAE"/>
    <w:rsid w:val="000B154D"/>
    <w:rsid w:val="000B1A7C"/>
    <w:rsid w:val="000B1C0F"/>
    <w:rsid w:val="000B3365"/>
    <w:rsid w:val="000B3581"/>
    <w:rsid w:val="000B38F0"/>
    <w:rsid w:val="000B3D55"/>
    <w:rsid w:val="000B49DA"/>
    <w:rsid w:val="000B4A2A"/>
    <w:rsid w:val="000B6F01"/>
    <w:rsid w:val="000B78A2"/>
    <w:rsid w:val="000B7A44"/>
    <w:rsid w:val="000B7C9E"/>
    <w:rsid w:val="000C07A9"/>
    <w:rsid w:val="000C080E"/>
    <w:rsid w:val="000C19BA"/>
    <w:rsid w:val="000C2FB2"/>
    <w:rsid w:val="000C3162"/>
    <w:rsid w:val="000C348C"/>
    <w:rsid w:val="000C37C2"/>
    <w:rsid w:val="000C4ABA"/>
    <w:rsid w:val="000C5413"/>
    <w:rsid w:val="000C5766"/>
    <w:rsid w:val="000C629F"/>
    <w:rsid w:val="000C6871"/>
    <w:rsid w:val="000C6B17"/>
    <w:rsid w:val="000C7568"/>
    <w:rsid w:val="000C760A"/>
    <w:rsid w:val="000C78F9"/>
    <w:rsid w:val="000D0665"/>
    <w:rsid w:val="000D1179"/>
    <w:rsid w:val="000D121E"/>
    <w:rsid w:val="000D1580"/>
    <w:rsid w:val="000D19EE"/>
    <w:rsid w:val="000D1D2B"/>
    <w:rsid w:val="000D240F"/>
    <w:rsid w:val="000D3F93"/>
    <w:rsid w:val="000D52E3"/>
    <w:rsid w:val="000D5C39"/>
    <w:rsid w:val="000D5F0F"/>
    <w:rsid w:val="000D6DBE"/>
    <w:rsid w:val="000D6E54"/>
    <w:rsid w:val="000D70F9"/>
    <w:rsid w:val="000D7B85"/>
    <w:rsid w:val="000D7C5D"/>
    <w:rsid w:val="000D7DC3"/>
    <w:rsid w:val="000E081B"/>
    <w:rsid w:val="000E1073"/>
    <w:rsid w:val="000E15FA"/>
    <w:rsid w:val="000E27A6"/>
    <w:rsid w:val="000E31BB"/>
    <w:rsid w:val="000E38B8"/>
    <w:rsid w:val="000E4237"/>
    <w:rsid w:val="000E495D"/>
    <w:rsid w:val="000E53BA"/>
    <w:rsid w:val="000E5904"/>
    <w:rsid w:val="000E650D"/>
    <w:rsid w:val="000E67AC"/>
    <w:rsid w:val="000E6888"/>
    <w:rsid w:val="000F000F"/>
    <w:rsid w:val="000F1C09"/>
    <w:rsid w:val="000F21EF"/>
    <w:rsid w:val="000F3430"/>
    <w:rsid w:val="000F3A5B"/>
    <w:rsid w:val="000F4F21"/>
    <w:rsid w:val="000F5A50"/>
    <w:rsid w:val="000F7063"/>
    <w:rsid w:val="000F70BF"/>
    <w:rsid w:val="000F75CB"/>
    <w:rsid w:val="000F7B7C"/>
    <w:rsid w:val="00100168"/>
    <w:rsid w:val="0010051C"/>
    <w:rsid w:val="00100ED4"/>
    <w:rsid w:val="00101611"/>
    <w:rsid w:val="001019D8"/>
    <w:rsid w:val="00101E2E"/>
    <w:rsid w:val="00102908"/>
    <w:rsid w:val="001041EF"/>
    <w:rsid w:val="00104898"/>
    <w:rsid w:val="001059DA"/>
    <w:rsid w:val="00105A2B"/>
    <w:rsid w:val="001065D4"/>
    <w:rsid w:val="0010683E"/>
    <w:rsid w:val="00106C0F"/>
    <w:rsid w:val="00106D38"/>
    <w:rsid w:val="00107043"/>
    <w:rsid w:val="00107C2B"/>
    <w:rsid w:val="00110304"/>
    <w:rsid w:val="0011032D"/>
    <w:rsid w:val="001104D8"/>
    <w:rsid w:val="001109ED"/>
    <w:rsid w:val="00110C8F"/>
    <w:rsid w:val="00110CF9"/>
    <w:rsid w:val="00112495"/>
    <w:rsid w:val="00113193"/>
    <w:rsid w:val="0011387C"/>
    <w:rsid w:val="00114632"/>
    <w:rsid w:val="00115311"/>
    <w:rsid w:val="00116F43"/>
    <w:rsid w:val="00117145"/>
    <w:rsid w:val="00117D40"/>
    <w:rsid w:val="00120B46"/>
    <w:rsid w:val="00121105"/>
    <w:rsid w:val="001222C8"/>
    <w:rsid w:val="0012297F"/>
    <w:rsid w:val="00123D73"/>
    <w:rsid w:val="0012410B"/>
    <w:rsid w:val="001241B6"/>
    <w:rsid w:val="00124F91"/>
    <w:rsid w:val="00125253"/>
    <w:rsid w:val="001260E4"/>
    <w:rsid w:val="001266BC"/>
    <w:rsid w:val="001268F3"/>
    <w:rsid w:val="00126A5B"/>
    <w:rsid w:val="00126D41"/>
    <w:rsid w:val="001272B7"/>
    <w:rsid w:val="00127BED"/>
    <w:rsid w:val="001301CC"/>
    <w:rsid w:val="00130649"/>
    <w:rsid w:val="0013086A"/>
    <w:rsid w:val="00130DA4"/>
    <w:rsid w:val="001311BD"/>
    <w:rsid w:val="00131557"/>
    <w:rsid w:val="00131B3C"/>
    <w:rsid w:val="00132A15"/>
    <w:rsid w:val="00132C66"/>
    <w:rsid w:val="00133065"/>
    <w:rsid w:val="0013310E"/>
    <w:rsid w:val="001335D4"/>
    <w:rsid w:val="001338A3"/>
    <w:rsid w:val="00134024"/>
    <w:rsid w:val="00135818"/>
    <w:rsid w:val="00135999"/>
    <w:rsid w:val="00135DF6"/>
    <w:rsid w:val="001370DD"/>
    <w:rsid w:val="00137F52"/>
    <w:rsid w:val="00140B73"/>
    <w:rsid w:val="00140E92"/>
    <w:rsid w:val="00140FDA"/>
    <w:rsid w:val="001417F0"/>
    <w:rsid w:val="001427A9"/>
    <w:rsid w:val="00142808"/>
    <w:rsid w:val="001431E3"/>
    <w:rsid w:val="00143372"/>
    <w:rsid w:val="001435BF"/>
    <w:rsid w:val="001442B1"/>
    <w:rsid w:val="001442FF"/>
    <w:rsid w:val="001444F9"/>
    <w:rsid w:val="0014469C"/>
    <w:rsid w:val="00146B38"/>
    <w:rsid w:val="00146C79"/>
    <w:rsid w:val="0015016A"/>
    <w:rsid w:val="00151239"/>
    <w:rsid w:val="00151538"/>
    <w:rsid w:val="00151869"/>
    <w:rsid w:val="00151D97"/>
    <w:rsid w:val="00151F0E"/>
    <w:rsid w:val="001528E5"/>
    <w:rsid w:val="00153003"/>
    <w:rsid w:val="001530E2"/>
    <w:rsid w:val="001548E0"/>
    <w:rsid w:val="00154EE2"/>
    <w:rsid w:val="001550AA"/>
    <w:rsid w:val="00155103"/>
    <w:rsid w:val="0015603B"/>
    <w:rsid w:val="001562C8"/>
    <w:rsid w:val="00156A86"/>
    <w:rsid w:val="0015792A"/>
    <w:rsid w:val="00157B1D"/>
    <w:rsid w:val="00157F13"/>
    <w:rsid w:val="00160070"/>
    <w:rsid w:val="00160B53"/>
    <w:rsid w:val="001614B2"/>
    <w:rsid w:val="00161AA8"/>
    <w:rsid w:val="00162B5F"/>
    <w:rsid w:val="00162B96"/>
    <w:rsid w:val="00162CC2"/>
    <w:rsid w:val="00163215"/>
    <w:rsid w:val="00163370"/>
    <w:rsid w:val="001634B8"/>
    <w:rsid w:val="00163550"/>
    <w:rsid w:val="00163A73"/>
    <w:rsid w:val="00165CA4"/>
    <w:rsid w:val="00165F49"/>
    <w:rsid w:val="00165FD6"/>
    <w:rsid w:val="00166594"/>
    <w:rsid w:val="0016694E"/>
    <w:rsid w:val="00166A45"/>
    <w:rsid w:val="0016730D"/>
    <w:rsid w:val="001704E7"/>
    <w:rsid w:val="00170558"/>
    <w:rsid w:val="00170633"/>
    <w:rsid w:val="001708EF"/>
    <w:rsid w:val="00170E76"/>
    <w:rsid w:val="001710BB"/>
    <w:rsid w:val="00171AF6"/>
    <w:rsid w:val="00172B4D"/>
    <w:rsid w:val="001735D8"/>
    <w:rsid w:val="001735EA"/>
    <w:rsid w:val="00173DBD"/>
    <w:rsid w:val="00174470"/>
    <w:rsid w:val="00174ABF"/>
    <w:rsid w:val="00174FAB"/>
    <w:rsid w:val="00176AD3"/>
    <w:rsid w:val="00176CDD"/>
    <w:rsid w:val="00177356"/>
    <w:rsid w:val="001775D9"/>
    <w:rsid w:val="001776E2"/>
    <w:rsid w:val="001778AA"/>
    <w:rsid w:val="00181B3F"/>
    <w:rsid w:val="00182063"/>
    <w:rsid w:val="001820E4"/>
    <w:rsid w:val="0018223A"/>
    <w:rsid w:val="00182A3F"/>
    <w:rsid w:val="001833C5"/>
    <w:rsid w:val="00183690"/>
    <w:rsid w:val="00183A47"/>
    <w:rsid w:val="00183D76"/>
    <w:rsid w:val="00184D7D"/>
    <w:rsid w:val="00186922"/>
    <w:rsid w:val="00186C10"/>
    <w:rsid w:val="00186F21"/>
    <w:rsid w:val="00187375"/>
    <w:rsid w:val="00187513"/>
    <w:rsid w:val="00187810"/>
    <w:rsid w:val="00187ACF"/>
    <w:rsid w:val="00190052"/>
    <w:rsid w:val="00190DCD"/>
    <w:rsid w:val="00191041"/>
    <w:rsid w:val="00191274"/>
    <w:rsid w:val="0019131C"/>
    <w:rsid w:val="00191D04"/>
    <w:rsid w:val="00191E59"/>
    <w:rsid w:val="00192516"/>
    <w:rsid w:val="00193130"/>
    <w:rsid w:val="00193D18"/>
    <w:rsid w:val="00194600"/>
    <w:rsid w:val="00194715"/>
    <w:rsid w:val="00194822"/>
    <w:rsid w:val="00195149"/>
    <w:rsid w:val="0019536F"/>
    <w:rsid w:val="00195DCD"/>
    <w:rsid w:val="00196D63"/>
    <w:rsid w:val="001971CA"/>
    <w:rsid w:val="001973B9"/>
    <w:rsid w:val="00197A03"/>
    <w:rsid w:val="00197F30"/>
    <w:rsid w:val="001A00C8"/>
    <w:rsid w:val="001A06C8"/>
    <w:rsid w:val="001A087C"/>
    <w:rsid w:val="001A0F2A"/>
    <w:rsid w:val="001A10CD"/>
    <w:rsid w:val="001A2108"/>
    <w:rsid w:val="001A25DF"/>
    <w:rsid w:val="001A390B"/>
    <w:rsid w:val="001A41E6"/>
    <w:rsid w:val="001A5018"/>
    <w:rsid w:val="001A5307"/>
    <w:rsid w:val="001A5931"/>
    <w:rsid w:val="001A604D"/>
    <w:rsid w:val="001A69C5"/>
    <w:rsid w:val="001A7728"/>
    <w:rsid w:val="001A7BAE"/>
    <w:rsid w:val="001A7E7A"/>
    <w:rsid w:val="001B1102"/>
    <w:rsid w:val="001B13FC"/>
    <w:rsid w:val="001B1541"/>
    <w:rsid w:val="001B1D09"/>
    <w:rsid w:val="001B23FC"/>
    <w:rsid w:val="001B360E"/>
    <w:rsid w:val="001B39F6"/>
    <w:rsid w:val="001B404F"/>
    <w:rsid w:val="001B54F0"/>
    <w:rsid w:val="001B5E1E"/>
    <w:rsid w:val="001B64DE"/>
    <w:rsid w:val="001B65C1"/>
    <w:rsid w:val="001B6C45"/>
    <w:rsid w:val="001B7390"/>
    <w:rsid w:val="001B7935"/>
    <w:rsid w:val="001B7DD6"/>
    <w:rsid w:val="001C0C40"/>
    <w:rsid w:val="001C1887"/>
    <w:rsid w:val="001C1F50"/>
    <w:rsid w:val="001C200F"/>
    <w:rsid w:val="001C2A6A"/>
    <w:rsid w:val="001C327A"/>
    <w:rsid w:val="001C352F"/>
    <w:rsid w:val="001C3581"/>
    <w:rsid w:val="001C3B92"/>
    <w:rsid w:val="001C4F25"/>
    <w:rsid w:val="001C55FB"/>
    <w:rsid w:val="001C6C34"/>
    <w:rsid w:val="001C70FB"/>
    <w:rsid w:val="001C78B1"/>
    <w:rsid w:val="001C7AD2"/>
    <w:rsid w:val="001D03FE"/>
    <w:rsid w:val="001D053D"/>
    <w:rsid w:val="001D0743"/>
    <w:rsid w:val="001D0B39"/>
    <w:rsid w:val="001D0B3F"/>
    <w:rsid w:val="001D1264"/>
    <w:rsid w:val="001D150E"/>
    <w:rsid w:val="001D2013"/>
    <w:rsid w:val="001D2828"/>
    <w:rsid w:val="001D28A4"/>
    <w:rsid w:val="001D2ACB"/>
    <w:rsid w:val="001D3B0D"/>
    <w:rsid w:val="001D3DDD"/>
    <w:rsid w:val="001D422B"/>
    <w:rsid w:val="001D4581"/>
    <w:rsid w:val="001D4A25"/>
    <w:rsid w:val="001D4E3D"/>
    <w:rsid w:val="001D50FF"/>
    <w:rsid w:val="001D5406"/>
    <w:rsid w:val="001D54DA"/>
    <w:rsid w:val="001D5685"/>
    <w:rsid w:val="001D57B4"/>
    <w:rsid w:val="001D57BF"/>
    <w:rsid w:val="001D5E0A"/>
    <w:rsid w:val="001D7336"/>
    <w:rsid w:val="001D7D39"/>
    <w:rsid w:val="001E0330"/>
    <w:rsid w:val="001E0C77"/>
    <w:rsid w:val="001E1124"/>
    <w:rsid w:val="001E1D64"/>
    <w:rsid w:val="001E1FFC"/>
    <w:rsid w:val="001E246B"/>
    <w:rsid w:val="001E2C48"/>
    <w:rsid w:val="001E393E"/>
    <w:rsid w:val="001E3BF8"/>
    <w:rsid w:val="001E4E2D"/>
    <w:rsid w:val="001E5127"/>
    <w:rsid w:val="001E5279"/>
    <w:rsid w:val="001E5C68"/>
    <w:rsid w:val="001E5EB0"/>
    <w:rsid w:val="001E5F45"/>
    <w:rsid w:val="001E62AD"/>
    <w:rsid w:val="001E662F"/>
    <w:rsid w:val="001E7453"/>
    <w:rsid w:val="001F0606"/>
    <w:rsid w:val="001F0763"/>
    <w:rsid w:val="001F07C1"/>
    <w:rsid w:val="001F0B2E"/>
    <w:rsid w:val="001F1B91"/>
    <w:rsid w:val="001F1C5B"/>
    <w:rsid w:val="001F25C7"/>
    <w:rsid w:val="001F3638"/>
    <w:rsid w:val="001F394A"/>
    <w:rsid w:val="001F3999"/>
    <w:rsid w:val="001F44FF"/>
    <w:rsid w:val="001F45BB"/>
    <w:rsid w:val="001F4B46"/>
    <w:rsid w:val="001F4B95"/>
    <w:rsid w:val="001F585C"/>
    <w:rsid w:val="001F5FB4"/>
    <w:rsid w:val="001F6570"/>
    <w:rsid w:val="001F6CEA"/>
    <w:rsid w:val="001F6F1A"/>
    <w:rsid w:val="001F72BE"/>
    <w:rsid w:val="001F7EB0"/>
    <w:rsid w:val="001F7FA2"/>
    <w:rsid w:val="0020190C"/>
    <w:rsid w:val="00201B32"/>
    <w:rsid w:val="00202D12"/>
    <w:rsid w:val="00202D29"/>
    <w:rsid w:val="002033A6"/>
    <w:rsid w:val="00203CA5"/>
    <w:rsid w:val="00203F69"/>
    <w:rsid w:val="00204623"/>
    <w:rsid w:val="00204DDC"/>
    <w:rsid w:val="0020637F"/>
    <w:rsid w:val="002067FA"/>
    <w:rsid w:val="00206B1A"/>
    <w:rsid w:val="00206FFF"/>
    <w:rsid w:val="0021092A"/>
    <w:rsid w:val="00210B92"/>
    <w:rsid w:val="00210CCE"/>
    <w:rsid w:val="00211618"/>
    <w:rsid w:val="002123F4"/>
    <w:rsid w:val="002153EF"/>
    <w:rsid w:val="002157C3"/>
    <w:rsid w:val="00215D18"/>
    <w:rsid w:val="00216A2F"/>
    <w:rsid w:val="00216E39"/>
    <w:rsid w:val="00216FB9"/>
    <w:rsid w:val="002173B2"/>
    <w:rsid w:val="00217718"/>
    <w:rsid w:val="002177F4"/>
    <w:rsid w:val="0021791A"/>
    <w:rsid w:val="002206FB"/>
    <w:rsid w:val="002207EF"/>
    <w:rsid w:val="00220923"/>
    <w:rsid w:val="00220C3A"/>
    <w:rsid w:val="00221346"/>
    <w:rsid w:val="00221DA5"/>
    <w:rsid w:val="00221E59"/>
    <w:rsid w:val="00222DD6"/>
    <w:rsid w:val="00223631"/>
    <w:rsid w:val="002236A9"/>
    <w:rsid w:val="00223986"/>
    <w:rsid w:val="002244BA"/>
    <w:rsid w:val="0022458F"/>
    <w:rsid w:val="0022587A"/>
    <w:rsid w:val="00225C24"/>
    <w:rsid w:val="0022783B"/>
    <w:rsid w:val="0023025B"/>
    <w:rsid w:val="00231AFC"/>
    <w:rsid w:val="00231B88"/>
    <w:rsid w:val="00231D74"/>
    <w:rsid w:val="00231E7F"/>
    <w:rsid w:val="00232119"/>
    <w:rsid w:val="002323B5"/>
    <w:rsid w:val="00232450"/>
    <w:rsid w:val="0023281B"/>
    <w:rsid w:val="002334FE"/>
    <w:rsid w:val="00233FFD"/>
    <w:rsid w:val="0023403E"/>
    <w:rsid w:val="0023492C"/>
    <w:rsid w:val="00234985"/>
    <w:rsid w:val="00235EA6"/>
    <w:rsid w:val="002368A6"/>
    <w:rsid w:val="00236AA5"/>
    <w:rsid w:val="0023732F"/>
    <w:rsid w:val="00237B97"/>
    <w:rsid w:val="00237C04"/>
    <w:rsid w:val="00240A45"/>
    <w:rsid w:val="00240C69"/>
    <w:rsid w:val="00241372"/>
    <w:rsid w:val="00241564"/>
    <w:rsid w:val="00241577"/>
    <w:rsid w:val="00241A30"/>
    <w:rsid w:val="00241B1A"/>
    <w:rsid w:val="0024203F"/>
    <w:rsid w:val="00243754"/>
    <w:rsid w:val="00243864"/>
    <w:rsid w:val="00243966"/>
    <w:rsid w:val="00243DA1"/>
    <w:rsid w:val="0024455D"/>
    <w:rsid w:val="00244C28"/>
    <w:rsid w:val="00244D42"/>
    <w:rsid w:val="00245121"/>
    <w:rsid w:val="00245C79"/>
    <w:rsid w:val="00246733"/>
    <w:rsid w:val="00246AED"/>
    <w:rsid w:val="00246E71"/>
    <w:rsid w:val="00247EF0"/>
    <w:rsid w:val="0025004F"/>
    <w:rsid w:val="00250A85"/>
    <w:rsid w:val="002511F2"/>
    <w:rsid w:val="002520A7"/>
    <w:rsid w:val="0025222E"/>
    <w:rsid w:val="0025259F"/>
    <w:rsid w:val="00252DE5"/>
    <w:rsid w:val="002532A7"/>
    <w:rsid w:val="002534FB"/>
    <w:rsid w:val="0025350C"/>
    <w:rsid w:val="00253972"/>
    <w:rsid w:val="0025468B"/>
    <w:rsid w:val="002547AB"/>
    <w:rsid w:val="00254B43"/>
    <w:rsid w:val="00254CFD"/>
    <w:rsid w:val="002555C9"/>
    <w:rsid w:val="00256A32"/>
    <w:rsid w:val="00256D12"/>
    <w:rsid w:val="00256F6B"/>
    <w:rsid w:val="0025721B"/>
    <w:rsid w:val="0025753E"/>
    <w:rsid w:val="00260801"/>
    <w:rsid w:val="00260E71"/>
    <w:rsid w:val="00261835"/>
    <w:rsid w:val="00261EB6"/>
    <w:rsid w:val="00262822"/>
    <w:rsid w:val="00262FE8"/>
    <w:rsid w:val="00262FEC"/>
    <w:rsid w:val="002630DD"/>
    <w:rsid w:val="00263E8A"/>
    <w:rsid w:val="0026452B"/>
    <w:rsid w:val="002647EE"/>
    <w:rsid w:val="00264F6D"/>
    <w:rsid w:val="00264FB3"/>
    <w:rsid w:val="00265000"/>
    <w:rsid w:val="00265D8B"/>
    <w:rsid w:val="00265F3A"/>
    <w:rsid w:val="00265F72"/>
    <w:rsid w:val="002668EB"/>
    <w:rsid w:val="00266A33"/>
    <w:rsid w:val="00266A71"/>
    <w:rsid w:val="002671B6"/>
    <w:rsid w:val="002672B3"/>
    <w:rsid w:val="002674D6"/>
    <w:rsid w:val="00267645"/>
    <w:rsid w:val="0027072E"/>
    <w:rsid w:val="00270D68"/>
    <w:rsid w:val="00270F33"/>
    <w:rsid w:val="0027102B"/>
    <w:rsid w:val="0027157C"/>
    <w:rsid w:val="00271BA8"/>
    <w:rsid w:val="00271ECF"/>
    <w:rsid w:val="0027224F"/>
    <w:rsid w:val="002723A8"/>
    <w:rsid w:val="00272B8A"/>
    <w:rsid w:val="00272FBB"/>
    <w:rsid w:val="00272FDF"/>
    <w:rsid w:val="00273202"/>
    <w:rsid w:val="0027326D"/>
    <w:rsid w:val="002734BF"/>
    <w:rsid w:val="00273620"/>
    <w:rsid w:val="002736C8"/>
    <w:rsid w:val="00274625"/>
    <w:rsid w:val="0027481A"/>
    <w:rsid w:val="00274A0F"/>
    <w:rsid w:val="00274BD4"/>
    <w:rsid w:val="00274DBA"/>
    <w:rsid w:val="00274F76"/>
    <w:rsid w:val="00275721"/>
    <w:rsid w:val="00275854"/>
    <w:rsid w:val="00275906"/>
    <w:rsid w:val="002771C8"/>
    <w:rsid w:val="00277851"/>
    <w:rsid w:val="00280231"/>
    <w:rsid w:val="0028045C"/>
    <w:rsid w:val="002805DF"/>
    <w:rsid w:val="0028101C"/>
    <w:rsid w:val="002811B9"/>
    <w:rsid w:val="002820BE"/>
    <w:rsid w:val="00282C7A"/>
    <w:rsid w:val="00283506"/>
    <w:rsid w:val="002840A5"/>
    <w:rsid w:val="00284219"/>
    <w:rsid w:val="00284602"/>
    <w:rsid w:val="00284842"/>
    <w:rsid w:val="002848A0"/>
    <w:rsid w:val="00284E99"/>
    <w:rsid w:val="00286420"/>
    <w:rsid w:val="00286AF8"/>
    <w:rsid w:val="00290041"/>
    <w:rsid w:val="0029059B"/>
    <w:rsid w:val="00290A80"/>
    <w:rsid w:val="002912F4"/>
    <w:rsid w:val="00291C17"/>
    <w:rsid w:val="00292765"/>
    <w:rsid w:val="002954B7"/>
    <w:rsid w:val="00295728"/>
    <w:rsid w:val="002957F7"/>
    <w:rsid w:val="0029617F"/>
    <w:rsid w:val="002965D2"/>
    <w:rsid w:val="00296FF1"/>
    <w:rsid w:val="002970DA"/>
    <w:rsid w:val="00297131"/>
    <w:rsid w:val="002971FF"/>
    <w:rsid w:val="00297452"/>
    <w:rsid w:val="00297905"/>
    <w:rsid w:val="00297B68"/>
    <w:rsid w:val="002A0390"/>
    <w:rsid w:val="002A0672"/>
    <w:rsid w:val="002A0D70"/>
    <w:rsid w:val="002A16AC"/>
    <w:rsid w:val="002A2AEE"/>
    <w:rsid w:val="002A37A7"/>
    <w:rsid w:val="002A3A53"/>
    <w:rsid w:val="002A3BB4"/>
    <w:rsid w:val="002A3C8D"/>
    <w:rsid w:val="002A3F3E"/>
    <w:rsid w:val="002A45B9"/>
    <w:rsid w:val="002A50BB"/>
    <w:rsid w:val="002A50FD"/>
    <w:rsid w:val="002A5F7F"/>
    <w:rsid w:val="002A733F"/>
    <w:rsid w:val="002A747A"/>
    <w:rsid w:val="002B048F"/>
    <w:rsid w:val="002B05A3"/>
    <w:rsid w:val="002B0F19"/>
    <w:rsid w:val="002B1D7E"/>
    <w:rsid w:val="002B24C0"/>
    <w:rsid w:val="002B2DA3"/>
    <w:rsid w:val="002B3A83"/>
    <w:rsid w:val="002B3E3D"/>
    <w:rsid w:val="002B455C"/>
    <w:rsid w:val="002B4B55"/>
    <w:rsid w:val="002B5929"/>
    <w:rsid w:val="002B5A94"/>
    <w:rsid w:val="002B6149"/>
    <w:rsid w:val="002B615C"/>
    <w:rsid w:val="002B75B9"/>
    <w:rsid w:val="002B7A11"/>
    <w:rsid w:val="002C03A5"/>
    <w:rsid w:val="002C0585"/>
    <w:rsid w:val="002C1135"/>
    <w:rsid w:val="002C1D9D"/>
    <w:rsid w:val="002C1DA0"/>
    <w:rsid w:val="002C23CB"/>
    <w:rsid w:val="002C2AC3"/>
    <w:rsid w:val="002C3017"/>
    <w:rsid w:val="002C3129"/>
    <w:rsid w:val="002C31AA"/>
    <w:rsid w:val="002C35CB"/>
    <w:rsid w:val="002C367E"/>
    <w:rsid w:val="002C3D8B"/>
    <w:rsid w:val="002C45C9"/>
    <w:rsid w:val="002C488D"/>
    <w:rsid w:val="002C4DFE"/>
    <w:rsid w:val="002C4E90"/>
    <w:rsid w:val="002C534F"/>
    <w:rsid w:val="002C5B7A"/>
    <w:rsid w:val="002C5C77"/>
    <w:rsid w:val="002C5EC2"/>
    <w:rsid w:val="002C645B"/>
    <w:rsid w:val="002C67D4"/>
    <w:rsid w:val="002C75BD"/>
    <w:rsid w:val="002C7718"/>
    <w:rsid w:val="002C793E"/>
    <w:rsid w:val="002C7C37"/>
    <w:rsid w:val="002D0662"/>
    <w:rsid w:val="002D112A"/>
    <w:rsid w:val="002D1145"/>
    <w:rsid w:val="002D13B8"/>
    <w:rsid w:val="002D231B"/>
    <w:rsid w:val="002D27AA"/>
    <w:rsid w:val="002D2EF3"/>
    <w:rsid w:val="002D319E"/>
    <w:rsid w:val="002D47A8"/>
    <w:rsid w:val="002D5BA6"/>
    <w:rsid w:val="002D5E08"/>
    <w:rsid w:val="002D7F06"/>
    <w:rsid w:val="002E0555"/>
    <w:rsid w:val="002E0766"/>
    <w:rsid w:val="002E094B"/>
    <w:rsid w:val="002E0F74"/>
    <w:rsid w:val="002E2C5D"/>
    <w:rsid w:val="002E3E2D"/>
    <w:rsid w:val="002E4383"/>
    <w:rsid w:val="002E48D9"/>
    <w:rsid w:val="002E49E9"/>
    <w:rsid w:val="002E4D55"/>
    <w:rsid w:val="002E53AB"/>
    <w:rsid w:val="002E5DBA"/>
    <w:rsid w:val="002E6F38"/>
    <w:rsid w:val="002E701D"/>
    <w:rsid w:val="002E7203"/>
    <w:rsid w:val="002E78B0"/>
    <w:rsid w:val="002E7954"/>
    <w:rsid w:val="002E7A30"/>
    <w:rsid w:val="002E7CDB"/>
    <w:rsid w:val="002F067A"/>
    <w:rsid w:val="002F07CA"/>
    <w:rsid w:val="002F204B"/>
    <w:rsid w:val="002F2265"/>
    <w:rsid w:val="002F26FB"/>
    <w:rsid w:val="002F3065"/>
    <w:rsid w:val="002F357A"/>
    <w:rsid w:val="002F463A"/>
    <w:rsid w:val="002F5550"/>
    <w:rsid w:val="002F5A65"/>
    <w:rsid w:val="002F61D8"/>
    <w:rsid w:val="002F65A9"/>
    <w:rsid w:val="002F6637"/>
    <w:rsid w:val="002F704E"/>
    <w:rsid w:val="002F781D"/>
    <w:rsid w:val="00301085"/>
    <w:rsid w:val="00301860"/>
    <w:rsid w:val="00301F6B"/>
    <w:rsid w:val="00302017"/>
    <w:rsid w:val="00302633"/>
    <w:rsid w:val="0030310C"/>
    <w:rsid w:val="003031C0"/>
    <w:rsid w:val="00303FEC"/>
    <w:rsid w:val="003041FF"/>
    <w:rsid w:val="0030467F"/>
    <w:rsid w:val="00305949"/>
    <w:rsid w:val="00305FC5"/>
    <w:rsid w:val="00306039"/>
    <w:rsid w:val="003073D0"/>
    <w:rsid w:val="003101E5"/>
    <w:rsid w:val="00311824"/>
    <w:rsid w:val="00311D15"/>
    <w:rsid w:val="003129EC"/>
    <w:rsid w:val="003134C2"/>
    <w:rsid w:val="00313687"/>
    <w:rsid w:val="00313950"/>
    <w:rsid w:val="00315DC8"/>
    <w:rsid w:val="00316825"/>
    <w:rsid w:val="00316D3D"/>
    <w:rsid w:val="003170C9"/>
    <w:rsid w:val="00317748"/>
    <w:rsid w:val="00317C01"/>
    <w:rsid w:val="00320643"/>
    <w:rsid w:val="003208D6"/>
    <w:rsid w:val="00320B9F"/>
    <w:rsid w:val="00320DB2"/>
    <w:rsid w:val="0032174A"/>
    <w:rsid w:val="00321D4D"/>
    <w:rsid w:val="00322183"/>
    <w:rsid w:val="00322FE6"/>
    <w:rsid w:val="0032302F"/>
    <w:rsid w:val="00323728"/>
    <w:rsid w:val="003239B2"/>
    <w:rsid w:val="00323A98"/>
    <w:rsid w:val="00323B2B"/>
    <w:rsid w:val="00323C96"/>
    <w:rsid w:val="00324108"/>
    <w:rsid w:val="003246BB"/>
    <w:rsid w:val="0032475D"/>
    <w:rsid w:val="0032479A"/>
    <w:rsid w:val="00325054"/>
    <w:rsid w:val="0032537B"/>
    <w:rsid w:val="00325392"/>
    <w:rsid w:val="003254C2"/>
    <w:rsid w:val="00326797"/>
    <w:rsid w:val="00326A4F"/>
    <w:rsid w:val="00326EFA"/>
    <w:rsid w:val="00326F37"/>
    <w:rsid w:val="003277C3"/>
    <w:rsid w:val="00330331"/>
    <w:rsid w:val="003315EE"/>
    <w:rsid w:val="00331C27"/>
    <w:rsid w:val="00331DFE"/>
    <w:rsid w:val="00331EBB"/>
    <w:rsid w:val="00332138"/>
    <w:rsid w:val="00332B5D"/>
    <w:rsid w:val="00332F30"/>
    <w:rsid w:val="00333488"/>
    <w:rsid w:val="00333762"/>
    <w:rsid w:val="00333F56"/>
    <w:rsid w:val="00334320"/>
    <w:rsid w:val="003343C1"/>
    <w:rsid w:val="00334E8B"/>
    <w:rsid w:val="00334F3C"/>
    <w:rsid w:val="00335165"/>
    <w:rsid w:val="003354BB"/>
    <w:rsid w:val="00335E8B"/>
    <w:rsid w:val="00336119"/>
    <w:rsid w:val="00336B1C"/>
    <w:rsid w:val="0033723E"/>
    <w:rsid w:val="003377BD"/>
    <w:rsid w:val="0033792E"/>
    <w:rsid w:val="00337B24"/>
    <w:rsid w:val="00337EE1"/>
    <w:rsid w:val="00341752"/>
    <w:rsid w:val="00341F80"/>
    <w:rsid w:val="0034254A"/>
    <w:rsid w:val="00342F76"/>
    <w:rsid w:val="00343BE6"/>
    <w:rsid w:val="003452A4"/>
    <w:rsid w:val="00345CB9"/>
    <w:rsid w:val="00346014"/>
    <w:rsid w:val="0034653F"/>
    <w:rsid w:val="00347BAC"/>
    <w:rsid w:val="00350868"/>
    <w:rsid w:val="00350AC9"/>
    <w:rsid w:val="00350F2C"/>
    <w:rsid w:val="00351327"/>
    <w:rsid w:val="0035148D"/>
    <w:rsid w:val="00352C3E"/>
    <w:rsid w:val="00352D3C"/>
    <w:rsid w:val="003537B9"/>
    <w:rsid w:val="00353852"/>
    <w:rsid w:val="00353B1B"/>
    <w:rsid w:val="0035414F"/>
    <w:rsid w:val="0035513C"/>
    <w:rsid w:val="00357068"/>
    <w:rsid w:val="00357C9F"/>
    <w:rsid w:val="00360255"/>
    <w:rsid w:val="00360446"/>
    <w:rsid w:val="00360681"/>
    <w:rsid w:val="00360EFA"/>
    <w:rsid w:val="00360F06"/>
    <w:rsid w:val="0036246B"/>
    <w:rsid w:val="00362D35"/>
    <w:rsid w:val="003633CA"/>
    <w:rsid w:val="00363803"/>
    <w:rsid w:val="00365B35"/>
    <w:rsid w:val="00365C9D"/>
    <w:rsid w:val="00365FCF"/>
    <w:rsid w:val="003664C9"/>
    <w:rsid w:val="00366F29"/>
    <w:rsid w:val="003703BB"/>
    <w:rsid w:val="00370A5F"/>
    <w:rsid w:val="00373769"/>
    <w:rsid w:val="00374BB9"/>
    <w:rsid w:val="00375240"/>
    <w:rsid w:val="0037580F"/>
    <w:rsid w:val="00375960"/>
    <w:rsid w:val="0037669D"/>
    <w:rsid w:val="00377826"/>
    <w:rsid w:val="0038020D"/>
    <w:rsid w:val="00380720"/>
    <w:rsid w:val="00380D77"/>
    <w:rsid w:val="0038116D"/>
    <w:rsid w:val="00381BFE"/>
    <w:rsid w:val="003823F2"/>
    <w:rsid w:val="00382BC2"/>
    <w:rsid w:val="00383011"/>
    <w:rsid w:val="0038323A"/>
    <w:rsid w:val="003837A0"/>
    <w:rsid w:val="00383E05"/>
    <w:rsid w:val="0038474F"/>
    <w:rsid w:val="00384B6F"/>
    <w:rsid w:val="00384ED0"/>
    <w:rsid w:val="00384EE9"/>
    <w:rsid w:val="00386A64"/>
    <w:rsid w:val="00386BAD"/>
    <w:rsid w:val="00387294"/>
    <w:rsid w:val="0038750B"/>
    <w:rsid w:val="00390DE5"/>
    <w:rsid w:val="00391410"/>
    <w:rsid w:val="00391BDF"/>
    <w:rsid w:val="00391C65"/>
    <w:rsid w:val="00391CB4"/>
    <w:rsid w:val="00391ECA"/>
    <w:rsid w:val="00392028"/>
    <w:rsid w:val="00392615"/>
    <w:rsid w:val="00392AA4"/>
    <w:rsid w:val="00392ADD"/>
    <w:rsid w:val="003939EA"/>
    <w:rsid w:val="00393F9D"/>
    <w:rsid w:val="003940AF"/>
    <w:rsid w:val="00395165"/>
    <w:rsid w:val="00395824"/>
    <w:rsid w:val="00396189"/>
    <w:rsid w:val="003967F9"/>
    <w:rsid w:val="00397168"/>
    <w:rsid w:val="0039764E"/>
    <w:rsid w:val="00397B8C"/>
    <w:rsid w:val="00397DAF"/>
    <w:rsid w:val="003A02AB"/>
    <w:rsid w:val="003A02BC"/>
    <w:rsid w:val="003A03F1"/>
    <w:rsid w:val="003A0605"/>
    <w:rsid w:val="003A2601"/>
    <w:rsid w:val="003A3695"/>
    <w:rsid w:val="003A459C"/>
    <w:rsid w:val="003A563C"/>
    <w:rsid w:val="003A5ADD"/>
    <w:rsid w:val="003A5EE9"/>
    <w:rsid w:val="003A6156"/>
    <w:rsid w:val="003A6392"/>
    <w:rsid w:val="003B0013"/>
    <w:rsid w:val="003B1257"/>
    <w:rsid w:val="003B1469"/>
    <w:rsid w:val="003B1662"/>
    <w:rsid w:val="003B17AF"/>
    <w:rsid w:val="003B18F4"/>
    <w:rsid w:val="003B1A94"/>
    <w:rsid w:val="003B1E10"/>
    <w:rsid w:val="003B1EDB"/>
    <w:rsid w:val="003B2AAA"/>
    <w:rsid w:val="003B2B8B"/>
    <w:rsid w:val="003B2D72"/>
    <w:rsid w:val="003B3C78"/>
    <w:rsid w:val="003B4131"/>
    <w:rsid w:val="003B46FB"/>
    <w:rsid w:val="003B509C"/>
    <w:rsid w:val="003B5A92"/>
    <w:rsid w:val="003B6B4B"/>
    <w:rsid w:val="003B7217"/>
    <w:rsid w:val="003C0AD5"/>
    <w:rsid w:val="003C0DAF"/>
    <w:rsid w:val="003C1EC4"/>
    <w:rsid w:val="003C2DEF"/>
    <w:rsid w:val="003C3950"/>
    <w:rsid w:val="003C410D"/>
    <w:rsid w:val="003C504B"/>
    <w:rsid w:val="003C508C"/>
    <w:rsid w:val="003C5533"/>
    <w:rsid w:val="003C5B07"/>
    <w:rsid w:val="003C5B91"/>
    <w:rsid w:val="003C604A"/>
    <w:rsid w:val="003C6A1E"/>
    <w:rsid w:val="003C6C78"/>
    <w:rsid w:val="003C74A3"/>
    <w:rsid w:val="003D0066"/>
    <w:rsid w:val="003D167B"/>
    <w:rsid w:val="003D1980"/>
    <w:rsid w:val="003D1B52"/>
    <w:rsid w:val="003D255B"/>
    <w:rsid w:val="003D3795"/>
    <w:rsid w:val="003D3A8D"/>
    <w:rsid w:val="003D437D"/>
    <w:rsid w:val="003D45CD"/>
    <w:rsid w:val="003D4634"/>
    <w:rsid w:val="003D4828"/>
    <w:rsid w:val="003D4841"/>
    <w:rsid w:val="003D49C8"/>
    <w:rsid w:val="003D4E93"/>
    <w:rsid w:val="003D4E96"/>
    <w:rsid w:val="003D5A16"/>
    <w:rsid w:val="003D5A8A"/>
    <w:rsid w:val="003D5F85"/>
    <w:rsid w:val="003D6495"/>
    <w:rsid w:val="003D79DF"/>
    <w:rsid w:val="003E02FB"/>
    <w:rsid w:val="003E0759"/>
    <w:rsid w:val="003E07B0"/>
    <w:rsid w:val="003E0A49"/>
    <w:rsid w:val="003E110C"/>
    <w:rsid w:val="003E1F30"/>
    <w:rsid w:val="003E2360"/>
    <w:rsid w:val="003E2C78"/>
    <w:rsid w:val="003E42DF"/>
    <w:rsid w:val="003E47DA"/>
    <w:rsid w:val="003E4B58"/>
    <w:rsid w:val="003E5183"/>
    <w:rsid w:val="003E55F9"/>
    <w:rsid w:val="003E5913"/>
    <w:rsid w:val="003E6601"/>
    <w:rsid w:val="003E680F"/>
    <w:rsid w:val="003E78D2"/>
    <w:rsid w:val="003E7BE4"/>
    <w:rsid w:val="003F0650"/>
    <w:rsid w:val="003F124A"/>
    <w:rsid w:val="003F1315"/>
    <w:rsid w:val="003F2B91"/>
    <w:rsid w:val="003F3350"/>
    <w:rsid w:val="003F336B"/>
    <w:rsid w:val="003F3476"/>
    <w:rsid w:val="003F373C"/>
    <w:rsid w:val="003F4162"/>
    <w:rsid w:val="003F4804"/>
    <w:rsid w:val="003F489B"/>
    <w:rsid w:val="003F4DCC"/>
    <w:rsid w:val="003F52BD"/>
    <w:rsid w:val="003F5823"/>
    <w:rsid w:val="003F588D"/>
    <w:rsid w:val="003F5E10"/>
    <w:rsid w:val="003F6C69"/>
    <w:rsid w:val="003F6CAB"/>
    <w:rsid w:val="003F70EF"/>
    <w:rsid w:val="003F7869"/>
    <w:rsid w:val="00400441"/>
    <w:rsid w:val="0040073A"/>
    <w:rsid w:val="00400D30"/>
    <w:rsid w:val="00401B51"/>
    <w:rsid w:val="00401C9A"/>
    <w:rsid w:val="00401D6B"/>
    <w:rsid w:val="004020A1"/>
    <w:rsid w:val="00403536"/>
    <w:rsid w:val="004039DB"/>
    <w:rsid w:val="0040450D"/>
    <w:rsid w:val="00404E3B"/>
    <w:rsid w:val="004059B2"/>
    <w:rsid w:val="00407744"/>
    <w:rsid w:val="00407EA8"/>
    <w:rsid w:val="004105C1"/>
    <w:rsid w:val="00411A4F"/>
    <w:rsid w:val="0041226C"/>
    <w:rsid w:val="0041270A"/>
    <w:rsid w:val="0041325C"/>
    <w:rsid w:val="00413E14"/>
    <w:rsid w:val="00413FBC"/>
    <w:rsid w:val="004144B8"/>
    <w:rsid w:val="004148E4"/>
    <w:rsid w:val="00414C74"/>
    <w:rsid w:val="00414F11"/>
    <w:rsid w:val="00415064"/>
    <w:rsid w:val="00415DB2"/>
    <w:rsid w:val="0041613A"/>
    <w:rsid w:val="00416665"/>
    <w:rsid w:val="0041717C"/>
    <w:rsid w:val="00420C90"/>
    <w:rsid w:val="00420CD5"/>
    <w:rsid w:val="004217AF"/>
    <w:rsid w:val="0042269C"/>
    <w:rsid w:val="00422CC1"/>
    <w:rsid w:val="00423501"/>
    <w:rsid w:val="00423C4D"/>
    <w:rsid w:val="00424887"/>
    <w:rsid w:val="00424B33"/>
    <w:rsid w:val="0042586B"/>
    <w:rsid w:val="00425FD5"/>
    <w:rsid w:val="0042632D"/>
    <w:rsid w:val="004267B0"/>
    <w:rsid w:val="00426EDF"/>
    <w:rsid w:val="00426F1E"/>
    <w:rsid w:val="004270C3"/>
    <w:rsid w:val="00427DB4"/>
    <w:rsid w:val="00427FE1"/>
    <w:rsid w:val="00430125"/>
    <w:rsid w:val="004304BA"/>
    <w:rsid w:val="00430918"/>
    <w:rsid w:val="0043092A"/>
    <w:rsid w:val="00431082"/>
    <w:rsid w:val="004310FD"/>
    <w:rsid w:val="004316E8"/>
    <w:rsid w:val="00431C23"/>
    <w:rsid w:val="004322BE"/>
    <w:rsid w:val="00432D44"/>
    <w:rsid w:val="00433D20"/>
    <w:rsid w:val="004341CC"/>
    <w:rsid w:val="0043445C"/>
    <w:rsid w:val="00434571"/>
    <w:rsid w:val="00434EFF"/>
    <w:rsid w:val="00435017"/>
    <w:rsid w:val="0043565D"/>
    <w:rsid w:val="00435D45"/>
    <w:rsid w:val="004362CF"/>
    <w:rsid w:val="004374A9"/>
    <w:rsid w:val="00437AD6"/>
    <w:rsid w:val="00437D11"/>
    <w:rsid w:val="00437E36"/>
    <w:rsid w:val="00440798"/>
    <w:rsid w:val="00441FB0"/>
    <w:rsid w:val="00442A92"/>
    <w:rsid w:val="00443099"/>
    <w:rsid w:val="004435C9"/>
    <w:rsid w:val="00443A0A"/>
    <w:rsid w:val="00443AD3"/>
    <w:rsid w:val="004441B7"/>
    <w:rsid w:val="00444310"/>
    <w:rsid w:val="0044444B"/>
    <w:rsid w:val="00445CF9"/>
    <w:rsid w:val="004466EA"/>
    <w:rsid w:val="00447024"/>
    <w:rsid w:val="0044716F"/>
    <w:rsid w:val="00447241"/>
    <w:rsid w:val="00447269"/>
    <w:rsid w:val="004476C3"/>
    <w:rsid w:val="00447AA7"/>
    <w:rsid w:val="00450860"/>
    <w:rsid w:val="00451CB7"/>
    <w:rsid w:val="00451EA8"/>
    <w:rsid w:val="00451F1A"/>
    <w:rsid w:val="004521AA"/>
    <w:rsid w:val="004529BD"/>
    <w:rsid w:val="00452AE6"/>
    <w:rsid w:val="00452BC6"/>
    <w:rsid w:val="004541BE"/>
    <w:rsid w:val="00454764"/>
    <w:rsid w:val="00455187"/>
    <w:rsid w:val="00455C17"/>
    <w:rsid w:val="00455EE8"/>
    <w:rsid w:val="0045606D"/>
    <w:rsid w:val="0045645D"/>
    <w:rsid w:val="00457D5D"/>
    <w:rsid w:val="00460AC4"/>
    <w:rsid w:val="0046107E"/>
    <w:rsid w:val="0046116E"/>
    <w:rsid w:val="0046166D"/>
    <w:rsid w:val="004626B4"/>
    <w:rsid w:val="004627A1"/>
    <w:rsid w:val="00463323"/>
    <w:rsid w:val="0046348B"/>
    <w:rsid w:val="00464214"/>
    <w:rsid w:val="004650A1"/>
    <w:rsid w:val="004650E6"/>
    <w:rsid w:val="00465635"/>
    <w:rsid w:val="00465E9B"/>
    <w:rsid w:val="00466259"/>
    <w:rsid w:val="00466544"/>
    <w:rsid w:val="00466E70"/>
    <w:rsid w:val="0047019C"/>
    <w:rsid w:val="004705CE"/>
    <w:rsid w:val="00470735"/>
    <w:rsid w:val="00471159"/>
    <w:rsid w:val="00471D36"/>
    <w:rsid w:val="0047281F"/>
    <w:rsid w:val="00472DD9"/>
    <w:rsid w:val="00472FB9"/>
    <w:rsid w:val="00473EF8"/>
    <w:rsid w:val="004748A1"/>
    <w:rsid w:val="00474C20"/>
    <w:rsid w:val="0047644B"/>
    <w:rsid w:val="0047673E"/>
    <w:rsid w:val="00476DC3"/>
    <w:rsid w:val="00477B51"/>
    <w:rsid w:val="00477E3B"/>
    <w:rsid w:val="00480380"/>
    <w:rsid w:val="004807CF"/>
    <w:rsid w:val="004811B8"/>
    <w:rsid w:val="004814AD"/>
    <w:rsid w:val="004815ED"/>
    <w:rsid w:val="004823AC"/>
    <w:rsid w:val="0048296D"/>
    <w:rsid w:val="00482AB4"/>
    <w:rsid w:val="00482B3A"/>
    <w:rsid w:val="0048306E"/>
    <w:rsid w:val="0048367C"/>
    <w:rsid w:val="00483CAC"/>
    <w:rsid w:val="004841D4"/>
    <w:rsid w:val="004843C6"/>
    <w:rsid w:val="004853E1"/>
    <w:rsid w:val="004855BF"/>
    <w:rsid w:val="00485C80"/>
    <w:rsid w:val="00486166"/>
    <w:rsid w:val="00486313"/>
    <w:rsid w:val="00486695"/>
    <w:rsid w:val="00486A05"/>
    <w:rsid w:val="004871B5"/>
    <w:rsid w:val="004871C4"/>
    <w:rsid w:val="004876E7"/>
    <w:rsid w:val="00487B92"/>
    <w:rsid w:val="00487BCB"/>
    <w:rsid w:val="00487E0E"/>
    <w:rsid w:val="004901BC"/>
    <w:rsid w:val="00491A69"/>
    <w:rsid w:val="00491B83"/>
    <w:rsid w:val="00491C44"/>
    <w:rsid w:val="00492131"/>
    <w:rsid w:val="0049272D"/>
    <w:rsid w:val="004931C7"/>
    <w:rsid w:val="00493E61"/>
    <w:rsid w:val="00493F20"/>
    <w:rsid w:val="00494B15"/>
    <w:rsid w:val="004952E5"/>
    <w:rsid w:val="004970E7"/>
    <w:rsid w:val="0049731F"/>
    <w:rsid w:val="004A03C4"/>
    <w:rsid w:val="004A0BDF"/>
    <w:rsid w:val="004A1415"/>
    <w:rsid w:val="004A196F"/>
    <w:rsid w:val="004A23FC"/>
    <w:rsid w:val="004A2A11"/>
    <w:rsid w:val="004A2D84"/>
    <w:rsid w:val="004A3188"/>
    <w:rsid w:val="004A35DA"/>
    <w:rsid w:val="004A39FC"/>
    <w:rsid w:val="004A4446"/>
    <w:rsid w:val="004A4658"/>
    <w:rsid w:val="004A4AC4"/>
    <w:rsid w:val="004A5254"/>
    <w:rsid w:val="004A5512"/>
    <w:rsid w:val="004A5565"/>
    <w:rsid w:val="004A56E7"/>
    <w:rsid w:val="004A6247"/>
    <w:rsid w:val="004A6499"/>
    <w:rsid w:val="004B0067"/>
    <w:rsid w:val="004B0C5C"/>
    <w:rsid w:val="004B1A6B"/>
    <w:rsid w:val="004B2367"/>
    <w:rsid w:val="004B2470"/>
    <w:rsid w:val="004B2864"/>
    <w:rsid w:val="004B2B24"/>
    <w:rsid w:val="004B3571"/>
    <w:rsid w:val="004B364D"/>
    <w:rsid w:val="004B39B8"/>
    <w:rsid w:val="004B39BB"/>
    <w:rsid w:val="004B4C7B"/>
    <w:rsid w:val="004B6D78"/>
    <w:rsid w:val="004B7539"/>
    <w:rsid w:val="004B7C46"/>
    <w:rsid w:val="004C0000"/>
    <w:rsid w:val="004C05C4"/>
    <w:rsid w:val="004C1415"/>
    <w:rsid w:val="004C1DEE"/>
    <w:rsid w:val="004C2348"/>
    <w:rsid w:val="004C269E"/>
    <w:rsid w:val="004C2DEB"/>
    <w:rsid w:val="004C2EC3"/>
    <w:rsid w:val="004C2F27"/>
    <w:rsid w:val="004C2F30"/>
    <w:rsid w:val="004C348A"/>
    <w:rsid w:val="004C3CE1"/>
    <w:rsid w:val="004C3F04"/>
    <w:rsid w:val="004C4044"/>
    <w:rsid w:val="004C5A5A"/>
    <w:rsid w:val="004C5D91"/>
    <w:rsid w:val="004C6630"/>
    <w:rsid w:val="004C6808"/>
    <w:rsid w:val="004C6997"/>
    <w:rsid w:val="004C6E39"/>
    <w:rsid w:val="004C6FE7"/>
    <w:rsid w:val="004C7F06"/>
    <w:rsid w:val="004D0B79"/>
    <w:rsid w:val="004D2BCE"/>
    <w:rsid w:val="004D331C"/>
    <w:rsid w:val="004D3912"/>
    <w:rsid w:val="004D3CCE"/>
    <w:rsid w:val="004D4F7D"/>
    <w:rsid w:val="004D552D"/>
    <w:rsid w:val="004D5F11"/>
    <w:rsid w:val="004D5F75"/>
    <w:rsid w:val="004D6C00"/>
    <w:rsid w:val="004D6E8E"/>
    <w:rsid w:val="004D6EFF"/>
    <w:rsid w:val="004D7817"/>
    <w:rsid w:val="004D7CC1"/>
    <w:rsid w:val="004D7DD4"/>
    <w:rsid w:val="004D7E06"/>
    <w:rsid w:val="004E0079"/>
    <w:rsid w:val="004E0216"/>
    <w:rsid w:val="004E07A1"/>
    <w:rsid w:val="004E0B94"/>
    <w:rsid w:val="004E0D6C"/>
    <w:rsid w:val="004E1C97"/>
    <w:rsid w:val="004E2181"/>
    <w:rsid w:val="004E2736"/>
    <w:rsid w:val="004E29E2"/>
    <w:rsid w:val="004E2B04"/>
    <w:rsid w:val="004E2C81"/>
    <w:rsid w:val="004E38B8"/>
    <w:rsid w:val="004E3CE0"/>
    <w:rsid w:val="004E400B"/>
    <w:rsid w:val="004E4372"/>
    <w:rsid w:val="004E495E"/>
    <w:rsid w:val="004E49A6"/>
    <w:rsid w:val="004E4BAE"/>
    <w:rsid w:val="004E4E88"/>
    <w:rsid w:val="004E5E45"/>
    <w:rsid w:val="004E6F88"/>
    <w:rsid w:val="004E70A8"/>
    <w:rsid w:val="004E735E"/>
    <w:rsid w:val="004E75D2"/>
    <w:rsid w:val="004E7857"/>
    <w:rsid w:val="004E7E55"/>
    <w:rsid w:val="004E7FC7"/>
    <w:rsid w:val="004F08BD"/>
    <w:rsid w:val="004F092C"/>
    <w:rsid w:val="004F0D18"/>
    <w:rsid w:val="004F0D21"/>
    <w:rsid w:val="004F11B3"/>
    <w:rsid w:val="004F17DD"/>
    <w:rsid w:val="004F1AD4"/>
    <w:rsid w:val="004F1F01"/>
    <w:rsid w:val="004F2C26"/>
    <w:rsid w:val="004F2DAD"/>
    <w:rsid w:val="004F3355"/>
    <w:rsid w:val="004F3420"/>
    <w:rsid w:val="004F42B9"/>
    <w:rsid w:val="004F441C"/>
    <w:rsid w:val="004F46CB"/>
    <w:rsid w:val="004F4D2B"/>
    <w:rsid w:val="004F4E9B"/>
    <w:rsid w:val="004F5E28"/>
    <w:rsid w:val="004F62FB"/>
    <w:rsid w:val="004F6A44"/>
    <w:rsid w:val="004F6CB0"/>
    <w:rsid w:val="004F7A40"/>
    <w:rsid w:val="00500EFC"/>
    <w:rsid w:val="00501CD7"/>
    <w:rsid w:val="00501D38"/>
    <w:rsid w:val="00501E1E"/>
    <w:rsid w:val="00502880"/>
    <w:rsid w:val="00502A85"/>
    <w:rsid w:val="00502E68"/>
    <w:rsid w:val="0050334D"/>
    <w:rsid w:val="00503B55"/>
    <w:rsid w:val="005040C6"/>
    <w:rsid w:val="00504411"/>
    <w:rsid w:val="00504D4F"/>
    <w:rsid w:val="0050626B"/>
    <w:rsid w:val="00506D84"/>
    <w:rsid w:val="00507C2D"/>
    <w:rsid w:val="00510C31"/>
    <w:rsid w:val="00511026"/>
    <w:rsid w:val="005113F2"/>
    <w:rsid w:val="00511480"/>
    <w:rsid w:val="0051158D"/>
    <w:rsid w:val="00513485"/>
    <w:rsid w:val="00513AC0"/>
    <w:rsid w:val="005149AA"/>
    <w:rsid w:val="005153CB"/>
    <w:rsid w:val="00515F6B"/>
    <w:rsid w:val="00516C90"/>
    <w:rsid w:val="00516EFE"/>
    <w:rsid w:val="005171F4"/>
    <w:rsid w:val="005175C2"/>
    <w:rsid w:val="00517B41"/>
    <w:rsid w:val="00520123"/>
    <w:rsid w:val="0052098C"/>
    <w:rsid w:val="00520A5F"/>
    <w:rsid w:val="00520BAC"/>
    <w:rsid w:val="0052167B"/>
    <w:rsid w:val="00521F90"/>
    <w:rsid w:val="005221CC"/>
    <w:rsid w:val="005224FE"/>
    <w:rsid w:val="005240DA"/>
    <w:rsid w:val="00524430"/>
    <w:rsid w:val="005246DD"/>
    <w:rsid w:val="00524C9E"/>
    <w:rsid w:val="00524DB2"/>
    <w:rsid w:val="0052536A"/>
    <w:rsid w:val="005268E1"/>
    <w:rsid w:val="00526BA1"/>
    <w:rsid w:val="00527217"/>
    <w:rsid w:val="005275AF"/>
    <w:rsid w:val="00527714"/>
    <w:rsid w:val="00527E7E"/>
    <w:rsid w:val="00530887"/>
    <w:rsid w:val="00530984"/>
    <w:rsid w:val="00530FB7"/>
    <w:rsid w:val="005310E5"/>
    <w:rsid w:val="0053179A"/>
    <w:rsid w:val="00531E6E"/>
    <w:rsid w:val="00531F1C"/>
    <w:rsid w:val="00533259"/>
    <w:rsid w:val="005334BF"/>
    <w:rsid w:val="005334E2"/>
    <w:rsid w:val="0053377A"/>
    <w:rsid w:val="00533832"/>
    <w:rsid w:val="0053394E"/>
    <w:rsid w:val="005342CE"/>
    <w:rsid w:val="005347D3"/>
    <w:rsid w:val="005349B1"/>
    <w:rsid w:val="00534F55"/>
    <w:rsid w:val="00535815"/>
    <w:rsid w:val="00535A5A"/>
    <w:rsid w:val="00536052"/>
    <w:rsid w:val="00536A6F"/>
    <w:rsid w:val="00536ABA"/>
    <w:rsid w:val="005405DA"/>
    <w:rsid w:val="0054063C"/>
    <w:rsid w:val="00540A4A"/>
    <w:rsid w:val="00540CC2"/>
    <w:rsid w:val="00540CD4"/>
    <w:rsid w:val="00540FA8"/>
    <w:rsid w:val="005413B6"/>
    <w:rsid w:val="00541465"/>
    <w:rsid w:val="00541997"/>
    <w:rsid w:val="005420A9"/>
    <w:rsid w:val="00542331"/>
    <w:rsid w:val="00542618"/>
    <w:rsid w:val="00542AC0"/>
    <w:rsid w:val="005435C3"/>
    <w:rsid w:val="0054423D"/>
    <w:rsid w:val="0054514D"/>
    <w:rsid w:val="00545E71"/>
    <w:rsid w:val="005463CC"/>
    <w:rsid w:val="00546C31"/>
    <w:rsid w:val="00547979"/>
    <w:rsid w:val="00550263"/>
    <w:rsid w:val="0055045A"/>
    <w:rsid w:val="00550B10"/>
    <w:rsid w:val="00551116"/>
    <w:rsid w:val="00551331"/>
    <w:rsid w:val="00551636"/>
    <w:rsid w:val="005516F5"/>
    <w:rsid w:val="00551C5A"/>
    <w:rsid w:val="005524F6"/>
    <w:rsid w:val="00553FE8"/>
    <w:rsid w:val="00554017"/>
    <w:rsid w:val="005542A6"/>
    <w:rsid w:val="00555183"/>
    <w:rsid w:val="0055568D"/>
    <w:rsid w:val="00555751"/>
    <w:rsid w:val="00555F34"/>
    <w:rsid w:val="005563A9"/>
    <w:rsid w:val="005566F0"/>
    <w:rsid w:val="005574C5"/>
    <w:rsid w:val="005579C4"/>
    <w:rsid w:val="00557D82"/>
    <w:rsid w:val="00557F6A"/>
    <w:rsid w:val="00560AB5"/>
    <w:rsid w:val="00560BC6"/>
    <w:rsid w:val="00561485"/>
    <w:rsid w:val="0056158C"/>
    <w:rsid w:val="005620AB"/>
    <w:rsid w:val="0056225D"/>
    <w:rsid w:val="0056305F"/>
    <w:rsid w:val="0056327A"/>
    <w:rsid w:val="005633D2"/>
    <w:rsid w:val="00563B81"/>
    <w:rsid w:val="00564AE7"/>
    <w:rsid w:val="00564E45"/>
    <w:rsid w:val="0056565F"/>
    <w:rsid w:val="00566308"/>
    <w:rsid w:val="00566460"/>
    <w:rsid w:val="00566E0C"/>
    <w:rsid w:val="0056780E"/>
    <w:rsid w:val="00567BA8"/>
    <w:rsid w:val="00570C3D"/>
    <w:rsid w:val="00570EC8"/>
    <w:rsid w:val="00571B4B"/>
    <w:rsid w:val="00571D27"/>
    <w:rsid w:val="00571F99"/>
    <w:rsid w:val="00572031"/>
    <w:rsid w:val="00572958"/>
    <w:rsid w:val="00572E6B"/>
    <w:rsid w:val="00572E99"/>
    <w:rsid w:val="00573A7B"/>
    <w:rsid w:val="00573E56"/>
    <w:rsid w:val="00573F79"/>
    <w:rsid w:val="00574670"/>
    <w:rsid w:val="0057485C"/>
    <w:rsid w:val="005748F6"/>
    <w:rsid w:val="00575091"/>
    <w:rsid w:val="005753F3"/>
    <w:rsid w:val="0057578F"/>
    <w:rsid w:val="00575C76"/>
    <w:rsid w:val="005765CB"/>
    <w:rsid w:val="00576627"/>
    <w:rsid w:val="00576776"/>
    <w:rsid w:val="00576E39"/>
    <w:rsid w:val="0057701B"/>
    <w:rsid w:val="00577D3D"/>
    <w:rsid w:val="00580634"/>
    <w:rsid w:val="005806F9"/>
    <w:rsid w:val="0058094E"/>
    <w:rsid w:val="00580F90"/>
    <w:rsid w:val="00581823"/>
    <w:rsid w:val="00581F60"/>
    <w:rsid w:val="00583A16"/>
    <w:rsid w:val="00583D5E"/>
    <w:rsid w:val="00583F4C"/>
    <w:rsid w:val="00584A11"/>
    <w:rsid w:val="0058536D"/>
    <w:rsid w:val="00585AC8"/>
    <w:rsid w:val="005862A3"/>
    <w:rsid w:val="0058639E"/>
    <w:rsid w:val="005863DF"/>
    <w:rsid w:val="00586457"/>
    <w:rsid w:val="00586749"/>
    <w:rsid w:val="00586903"/>
    <w:rsid w:val="00587758"/>
    <w:rsid w:val="005879C0"/>
    <w:rsid w:val="00587ADC"/>
    <w:rsid w:val="00587BBA"/>
    <w:rsid w:val="00590205"/>
    <w:rsid w:val="0059029C"/>
    <w:rsid w:val="00590677"/>
    <w:rsid w:val="0059096F"/>
    <w:rsid w:val="00590B43"/>
    <w:rsid w:val="0059124F"/>
    <w:rsid w:val="0059154F"/>
    <w:rsid w:val="005917D4"/>
    <w:rsid w:val="005918B3"/>
    <w:rsid w:val="00592B22"/>
    <w:rsid w:val="00592B5A"/>
    <w:rsid w:val="00592C84"/>
    <w:rsid w:val="00592F59"/>
    <w:rsid w:val="00593AD7"/>
    <w:rsid w:val="00593B30"/>
    <w:rsid w:val="00594DB9"/>
    <w:rsid w:val="005951BF"/>
    <w:rsid w:val="005959A1"/>
    <w:rsid w:val="00596084"/>
    <w:rsid w:val="00596154"/>
    <w:rsid w:val="00596633"/>
    <w:rsid w:val="00596E45"/>
    <w:rsid w:val="005975B4"/>
    <w:rsid w:val="005A0088"/>
    <w:rsid w:val="005A0251"/>
    <w:rsid w:val="005A0644"/>
    <w:rsid w:val="005A07F5"/>
    <w:rsid w:val="005A09C1"/>
    <w:rsid w:val="005A0E64"/>
    <w:rsid w:val="005A18F1"/>
    <w:rsid w:val="005A1A21"/>
    <w:rsid w:val="005A2B38"/>
    <w:rsid w:val="005A3976"/>
    <w:rsid w:val="005A3D61"/>
    <w:rsid w:val="005A4886"/>
    <w:rsid w:val="005A4F3A"/>
    <w:rsid w:val="005A529D"/>
    <w:rsid w:val="005A5596"/>
    <w:rsid w:val="005A5844"/>
    <w:rsid w:val="005A6313"/>
    <w:rsid w:val="005A6597"/>
    <w:rsid w:val="005A7522"/>
    <w:rsid w:val="005A766C"/>
    <w:rsid w:val="005B0284"/>
    <w:rsid w:val="005B06F4"/>
    <w:rsid w:val="005B0DA8"/>
    <w:rsid w:val="005B0F59"/>
    <w:rsid w:val="005B1077"/>
    <w:rsid w:val="005B1259"/>
    <w:rsid w:val="005B24F5"/>
    <w:rsid w:val="005B3A65"/>
    <w:rsid w:val="005B3C9D"/>
    <w:rsid w:val="005B4B3F"/>
    <w:rsid w:val="005B4C27"/>
    <w:rsid w:val="005B4EA9"/>
    <w:rsid w:val="005B5255"/>
    <w:rsid w:val="005B5A57"/>
    <w:rsid w:val="005B6240"/>
    <w:rsid w:val="005B65CF"/>
    <w:rsid w:val="005B6DC0"/>
    <w:rsid w:val="005B7233"/>
    <w:rsid w:val="005B73CB"/>
    <w:rsid w:val="005B7660"/>
    <w:rsid w:val="005B7D32"/>
    <w:rsid w:val="005B7D63"/>
    <w:rsid w:val="005C00AD"/>
    <w:rsid w:val="005C0B6A"/>
    <w:rsid w:val="005C1B37"/>
    <w:rsid w:val="005C1D0A"/>
    <w:rsid w:val="005C1F2B"/>
    <w:rsid w:val="005C242A"/>
    <w:rsid w:val="005C25D5"/>
    <w:rsid w:val="005C2ED7"/>
    <w:rsid w:val="005C37DF"/>
    <w:rsid w:val="005C41B7"/>
    <w:rsid w:val="005C47A5"/>
    <w:rsid w:val="005C4BD6"/>
    <w:rsid w:val="005C52D5"/>
    <w:rsid w:val="005C545C"/>
    <w:rsid w:val="005C5B30"/>
    <w:rsid w:val="005C5C65"/>
    <w:rsid w:val="005C624F"/>
    <w:rsid w:val="005C65C3"/>
    <w:rsid w:val="005C660C"/>
    <w:rsid w:val="005C6E76"/>
    <w:rsid w:val="005C783B"/>
    <w:rsid w:val="005D0374"/>
    <w:rsid w:val="005D0634"/>
    <w:rsid w:val="005D0F44"/>
    <w:rsid w:val="005D105F"/>
    <w:rsid w:val="005D1775"/>
    <w:rsid w:val="005D1ADC"/>
    <w:rsid w:val="005D22FB"/>
    <w:rsid w:val="005D2478"/>
    <w:rsid w:val="005D286B"/>
    <w:rsid w:val="005D2C7B"/>
    <w:rsid w:val="005D2DCC"/>
    <w:rsid w:val="005D3A23"/>
    <w:rsid w:val="005D4030"/>
    <w:rsid w:val="005D4942"/>
    <w:rsid w:val="005D4E8A"/>
    <w:rsid w:val="005D5068"/>
    <w:rsid w:val="005D540F"/>
    <w:rsid w:val="005D5A71"/>
    <w:rsid w:val="005D6DBE"/>
    <w:rsid w:val="005D71D5"/>
    <w:rsid w:val="005D727C"/>
    <w:rsid w:val="005D7F3A"/>
    <w:rsid w:val="005D7F94"/>
    <w:rsid w:val="005E0C2F"/>
    <w:rsid w:val="005E1216"/>
    <w:rsid w:val="005E2A16"/>
    <w:rsid w:val="005E33B5"/>
    <w:rsid w:val="005E36B5"/>
    <w:rsid w:val="005E375C"/>
    <w:rsid w:val="005E394D"/>
    <w:rsid w:val="005E455C"/>
    <w:rsid w:val="005E5A84"/>
    <w:rsid w:val="005E690C"/>
    <w:rsid w:val="005E6FA6"/>
    <w:rsid w:val="005E7CCA"/>
    <w:rsid w:val="005F024A"/>
    <w:rsid w:val="005F03FE"/>
    <w:rsid w:val="005F0FBA"/>
    <w:rsid w:val="005F15DD"/>
    <w:rsid w:val="005F17AA"/>
    <w:rsid w:val="005F1AA5"/>
    <w:rsid w:val="005F25CD"/>
    <w:rsid w:val="005F326D"/>
    <w:rsid w:val="005F410D"/>
    <w:rsid w:val="005F5109"/>
    <w:rsid w:val="005F6B61"/>
    <w:rsid w:val="005F6F73"/>
    <w:rsid w:val="005F719A"/>
    <w:rsid w:val="005F7D15"/>
    <w:rsid w:val="006007EF"/>
    <w:rsid w:val="0060090D"/>
    <w:rsid w:val="00600A34"/>
    <w:rsid w:val="00600D61"/>
    <w:rsid w:val="00601816"/>
    <w:rsid w:val="00601A61"/>
    <w:rsid w:val="00601D57"/>
    <w:rsid w:val="00602090"/>
    <w:rsid w:val="0060229D"/>
    <w:rsid w:val="006024A8"/>
    <w:rsid w:val="00603171"/>
    <w:rsid w:val="006037F7"/>
    <w:rsid w:val="00603F3D"/>
    <w:rsid w:val="006042CB"/>
    <w:rsid w:val="0060488E"/>
    <w:rsid w:val="00605BEC"/>
    <w:rsid w:val="00605C94"/>
    <w:rsid w:val="00605DBE"/>
    <w:rsid w:val="00605EF8"/>
    <w:rsid w:val="00606135"/>
    <w:rsid w:val="00606F1C"/>
    <w:rsid w:val="00606F68"/>
    <w:rsid w:val="00607144"/>
    <w:rsid w:val="006109DA"/>
    <w:rsid w:val="00610C0B"/>
    <w:rsid w:val="00610DDC"/>
    <w:rsid w:val="00611E0A"/>
    <w:rsid w:val="006126D7"/>
    <w:rsid w:val="00613029"/>
    <w:rsid w:val="00613A9A"/>
    <w:rsid w:val="00613D1D"/>
    <w:rsid w:val="0061401E"/>
    <w:rsid w:val="00615103"/>
    <w:rsid w:val="006151E7"/>
    <w:rsid w:val="00615583"/>
    <w:rsid w:val="006155EB"/>
    <w:rsid w:val="006158D9"/>
    <w:rsid w:val="00616574"/>
    <w:rsid w:val="006165D1"/>
    <w:rsid w:val="006167A2"/>
    <w:rsid w:val="00617E41"/>
    <w:rsid w:val="00620696"/>
    <w:rsid w:val="00620A12"/>
    <w:rsid w:val="00620EB8"/>
    <w:rsid w:val="00620FDD"/>
    <w:rsid w:val="0062159F"/>
    <w:rsid w:val="00621E3C"/>
    <w:rsid w:val="0062207D"/>
    <w:rsid w:val="006228EF"/>
    <w:rsid w:val="00622F08"/>
    <w:rsid w:val="00623D03"/>
    <w:rsid w:val="00623DC0"/>
    <w:rsid w:val="00623DD4"/>
    <w:rsid w:val="00624106"/>
    <w:rsid w:val="0062426D"/>
    <w:rsid w:val="0062436B"/>
    <w:rsid w:val="0062456B"/>
    <w:rsid w:val="006248F2"/>
    <w:rsid w:val="00624DBD"/>
    <w:rsid w:val="00626686"/>
    <w:rsid w:val="00627193"/>
    <w:rsid w:val="00627718"/>
    <w:rsid w:val="00630221"/>
    <w:rsid w:val="00630855"/>
    <w:rsid w:val="00631BA3"/>
    <w:rsid w:val="00632A5F"/>
    <w:rsid w:val="00633B29"/>
    <w:rsid w:val="00633CD0"/>
    <w:rsid w:val="00633CE4"/>
    <w:rsid w:val="006342DC"/>
    <w:rsid w:val="00634A25"/>
    <w:rsid w:val="0063540C"/>
    <w:rsid w:val="006363EC"/>
    <w:rsid w:val="006369FF"/>
    <w:rsid w:val="00636EAA"/>
    <w:rsid w:val="00637869"/>
    <w:rsid w:val="0064003F"/>
    <w:rsid w:val="00640324"/>
    <w:rsid w:val="00640593"/>
    <w:rsid w:val="00641A21"/>
    <w:rsid w:val="00642846"/>
    <w:rsid w:val="006428D1"/>
    <w:rsid w:val="00642998"/>
    <w:rsid w:val="00643191"/>
    <w:rsid w:val="00643719"/>
    <w:rsid w:val="00644669"/>
    <w:rsid w:val="00644BA3"/>
    <w:rsid w:val="0064505B"/>
    <w:rsid w:val="006456EC"/>
    <w:rsid w:val="00645704"/>
    <w:rsid w:val="00646607"/>
    <w:rsid w:val="006466F9"/>
    <w:rsid w:val="00646C3E"/>
    <w:rsid w:val="00646FB2"/>
    <w:rsid w:val="00647181"/>
    <w:rsid w:val="0064770D"/>
    <w:rsid w:val="00647B7B"/>
    <w:rsid w:val="00647F81"/>
    <w:rsid w:val="00650335"/>
    <w:rsid w:val="006511B3"/>
    <w:rsid w:val="006513B6"/>
    <w:rsid w:val="00651B97"/>
    <w:rsid w:val="0065239D"/>
    <w:rsid w:val="00652406"/>
    <w:rsid w:val="00652C42"/>
    <w:rsid w:val="00653E98"/>
    <w:rsid w:val="00654166"/>
    <w:rsid w:val="00654871"/>
    <w:rsid w:val="00654E75"/>
    <w:rsid w:val="0065502A"/>
    <w:rsid w:val="00656A77"/>
    <w:rsid w:val="00656C9C"/>
    <w:rsid w:val="006570E8"/>
    <w:rsid w:val="006606E8"/>
    <w:rsid w:val="0066088E"/>
    <w:rsid w:val="00660D67"/>
    <w:rsid w:val="0066174B"/>
    <w:rsid w:val="00662641"/>
    <w:rsid w:val="00662685"/>
    <w:rsid w:val="006626E0"/>
    <w:rsid w:val="006628A8"/>
    <w:rsid w:val="00662C87"/>
    <w:rsid w:val="00662E02"/>
    <w:rsid w:val="00663A20"/>
    <w:rsid w:val="00664291"/>
    <w:rsid w:val="00664534"/>
    <w:rsid w:val="00664DD6"/>
    <w:rsid w:val="006652BE"/>
    <w:rsid w:val="0066663F"/>
    <w:rsid w:val="00666953"/>
    <w:rsid w:val="00666A36"/>
    <w:rsid w:val="00667517"/>
    <w:rsid w:val="00667DFA"/>
    <w:rsid w:val="0067002D"/>
    <w:rsid w:val="0067087C"/>
    <w:rsid w:val="00670FB0"/>
    <w:rsid w:val="00671060"/>
    <w:rsid w:val="006727BA"/>
    <w:rsid w:val="00673029"/>
    <w:rsid w:val="00673571"/>
    <w:rsid w:val="00673C19"/>
    <w:rsid w:val="00673E00"/>
    <w:rsid w:val="00674C11"/>
    <w:rsid w:val="00675674"/>
    <w:rsid w:val="00675B64"/>
    <w:rsid w:val="00675F55"/>
    <w:rsid w:val="00676640"/>
    <w:rsid w:val="00676E1B"/>
    <w:rsid w:val="00676F07"/>
    <w:rsid w:val="006772F6"/>
    <w:rsid w:val="00677B20"/>
    <w:rsid w:val="00677C6E"/>
    <w:rsid w:val="00680281"/>
    <w:rsid w:val="0068096D"/>
    <w:rsid w:val="00680C71"/>
    <w:rsid w:val="006815A6"/>
    <w:rsid w:val="006815BA"/>
    <w:rsid w:val="00681A6E"/>
    <w:rsid w:val="00681BAC"/>
    <w:rsid w:val="00681E81"/>
    <w:rsid w:val="006825B5"/>
    <w:rsid w:val="00682D3F"/>
    <w:rsid w:val="006834C8"/>
    <w:rsid w:val="00686391"/>
    <w:rsid w:val="006902E2"/>
    <w:rsid w:val="00690C60"/>
    <w:rsid w:val="0069139C"/>
    <w:rsid w:val="00691671"/>
    <w:rsid w:val="00691E73"/>
    <w:rsid w:val="00691F60"/>
    <w:rsid w:val="00692847"/>
    <w:rsid w:val="0069553E"/>
    <w:rsid w:val="00695B4F"/>
    <w:rsid w:val="006962E4"/>
    <w:rsid w:val="0069687D"/>
    <w:rsid w:val="00696955"/>
    <w:rsid w:val="0069755A"/>
    <w:rsid w:val="00697D1B"/>
    <w:rsid w:val="006A049D"/>
    <w:rsid w:val="006A0775"/>
    <w:rsid w:val="006A0AF1"/>
    <w:rsid w:val="006A1BDD"/>
    <w:rsid w:val="006A1D56"/>
    <w:rsid w:val="006A21CD"/>
    <w:rsid w:val="006A2513"/>
    <w:rsid w:val="006A35B1"/>
    <w:rsid w:val="006A3777"/>
    <w:rsid w:val="006A3D9A"/>
    <w:rsid w:val="006A4967"/>
    <w:rsid w:val="006A5AB4"/>
    <w:rsid w:val="006A692C"/>
    <w:rsid w:val="006A69AA"/>
    <w:rsid w:val="006A71EE"/>
    <w:rsid w:val="006A7F3C"/>
    <w:rsid w:val="006B1202"/>
    <w:rsid w:val="006B13CB"/>
    <w:rsid w:val="006B1E81"/>
    <w:rsid w:val="006B2689"/>
    <w:rsid w:val="006B2BC4"/>
    <w:rsid w:val="006B3220"/>
    <w:rsid w:val="006B339B"/>
    <w:rsid w:val="006B42C0"/>
    <w:rsid w:val="006B43A4"/>
    <w:rsid w:val="006B462E"/>
    <w:rsid w:val="006B5BA5"/>
    <w:rsid w:val="006B5CA8"/>
    <w:rsid w:val="006B6141"/>
    <w:rsid w:val="006B6AA8"/>
    <w:rsid w:val="006B71D6"/>
    <w:rsid w:val="006C03DB"/>
    <w:rsid w:val="006C08A1"/>
    <w:rsid w:val="006C0D23"/>
    <w:rsid w:val="006C1973"/>
    <w:rsid w:val="006C1BD9"/>
    <w:rsid w:val="006C2129"/>
    <w:rsid w:val="006C2768"/>
    <w:rsid w:val="006C3476"/>
    <w:rsid w:val="006C3748"/>
    <w:rsid w:val="006C3C10"/>
    <w:rsid w:val="006C3EFF"/>
    <w:rsid w:val="006C41A7"/>
    <w:rsid w:val="006C4A6F"/>
    <w:rsid w:val="006C4C34"/>
    <w:rsid w:val="006C5751"/>
    <w:rsid w:val="006C57AE"/>
    <w:rsid w:val="006C6FD9"/>
    <w:rsid w:val="006C7AE9"/>
    <w:rsid w:val="006C7DF7"/>
    <w:rsid w:val="006C7FDD"/>
    <w:rsid w:val="006D01AA"/>
    <w:rsid w:val="006D0A16"/>
    <w:rsid w:val="006D0DBC"/>
    <w:rsid w:val="006D12D9"/>
    <w:rsid w:val="006D13B2"/>
    <w:rsid w:val="006D1544"/>
    <w:rsid w:val="006D2088"/>
    <w:rsid w:val="006D256E"/>
    <w:rsid w:val="006D4227"/>
    <w:rsid w:val="006D4429"/>
    <w:rsid w:val="006D48E5"/>
    <w:rsid w:val="006D5391"/>
    <w:rsid w:val="006D540F"/>
    <w:rsid w:val="006D581A"/>
    <w:rsid w:val="006D65F8"/>
    <w:rsid w:val="006D66D9"/>
    <w:rsid w:val="006D676B"/>
    <w:rsid w:val="006D7371"/>
    <w:rsid w:val="006D7681"/>
    <w:rsid w:val="006E0284"/>
    <w:rsid w:val="006E0378"/>
    <w:rsid w:val="006E1253"/>
    <w:rsid w:val="006E193B"/>
    <w:rsid w:val="006E277F"/>
    <w:rsid w:val="006E2FC2"/>
    <w:rsid w:val="006E30D3"/>
    <w:rsid w:val="006E32CF"/>
    <w:rsid w:val="006E332A"/>
    <w:rsid w:val="006E3A27"/>
    <w:rsid w:val="006E3F81"/>
    <w:rsid w:val="006E44C8"/>
    <w:rsid w:val="006E4E34"/>
    <w:rsid w:val="006E5110"/>
    <w:rsid w:val="006E658A"/>
    <w:rsid w:val="006E79D6"/>
    <w:rsid w:val="006F045F"/>
    <w:rsid w:val="006F0819"/>
    <w:rsid w:val="006F2BDE"/>
    <w:rsid w:val="006F37A5"/>
    <w:rsid w:val="006F40E0"/>
    <w:rsid w:val="006F5450"/>
    <w:rsid w:val="006F61E9"/>
    <w:rsid w:val="006F6569"/>
    <w:rsid w:val="006F7870"/>
    <w:rsid w:val="0070007A"/>
    <w:rsid w:val="007008F3"/>
    <w:rsid w:val="00700B41"/>
    <w:rsid w:val="00701782"/>
    <w:rsid w:val="00701B19"/>
    <w:rsid w:val="00701B32"/>
    <w:rsid w:val="00702129"/>
    <w:rsid w:val="00702661"/>
    <w:rsid w:val="00702A13"/>
    <w:rsid w:val="00703F59"/>
    <w:rsid w:val="007043BC"/>
    <w:rsid w:val="007051EB"/>
    <w:rsid w:val="0070530D"/>
    <w:rsid w:val="00705C50"/>
    <w:rsid w:val="00705C88"/>
    <w:rsid w:val="00705EF5"/>
    <w:rsid w:val="00706888"/>
    <w:rsid w:val="00710357"/>
    <w:rsid w:val="0071047A"/>
    <w:rsid w:val="007108B4"/>
    <w:rsid w:val="00710CD7"/>
    <w:rsid w:val="00711D94"/>
    <w:rsid w:val="00712F2F"/>
    <w:rsid w:val="007136B0"/>
    <w:rsid w:val="0071482C"/>
    <w:rsid w:val="007161C6"/>
    <w:rsid w:val="00717E2C"/>
    <w:rsid w:val="00720998"/>
    <w:rsid w:val="00720D81"/>
    <w:rsid w:val="00721575"/>
    <w:rsid w:val="00721CB1"/>
    <w:rsid w:val="00721FFE"/>
    <w:rsid w:val="00722170"/>
    <w:rsid w:val="007225FD"/>
    <w:rsid w:val="00722B67"/>
    <w:rsid w:val="00723C51"/>
    <w:rsid w:val="00724319"/>
    <w:rsid w:val="0072435D"/>
    <w:rsid w:val="00724409"/>
    <w:rsid w:val="00724F57"/>
    <w:rsid w:val="007274D8"/>
    <w:rsid w:val="00727591"/>
    <w:rsid w:val="00727683"/>
    <w:rsid w:val="0072781C"/>
    <w:rsid w:val="00727C3E"/>
    <w:rsid w:val="0073045F"/>
    <w:rsid w:val="0073084A"/>
    <w:rsid w:val="00730B5E"/>
    <w:rsid w:val="00731327"/>
    <w:rsid w:val="00731332"/>
    <w:rsid w:val="00731409"/>
    <w:rsid w:val="007316E6"/>
    <w:rsid w:val="00731948"/>
    <w:rsid w:val="00731DCE"/>
    <w:rsid w:val="00731E50"/>
    <w:rsid w:val="00732121"/>
    <w:rsid w:val="0073273C"/>
    <w:rsid w:val="00732B50"/>
    <w:rsid w:val="00732E0D"/>
    <w:rsid w:val="00733B19"/>
    <w:rsid w:val="0073453F"/>
    <w:rsid w:val="00735909"/>
    <w:rsid w:val="00736141"/>
    <w:rsid w:val="00736144"/>
    <w:rsid w:val="00736416"/>
    <w:rsid w:val="00736455"/>
    <w:rsid w:val="00736696"/>
    <w:rsid w:val="00737133"/>
    <w:rsid w:val="0073758C"/>
    <w:rsid w:val="007375D2"/>
    <w:rsid w:val="00737882"/>
    <w:rsid w:val="00737B5F"/>
    <w:rsid w:val="007404BB"/>
    <w:rsid w:val="00740E8F"/>
    <w:rsid w:val="0074235D"/>
    <w:rsid w:val="00742C33"/>
    <w:rsid w:val="00742D9A"/>
    <w:rsid w:val="007436FE"/>
    <w:rsid w:val="0074385E"/>
    <w:rsid w:val="00743C78"/>
    <w:rsid w:val="00743F01"/>
    <w:rsid w:val="00744810"/>
    <w:rsid w:val="00744E47"/>
    <w:rsid w:val="0074522E"/>
    <w:rsid w:val="00745279"/>
    <w:rsid w:val="00745CD1"/>
    <w:rsid w:val="00745FCB"/>
    <w:rsid w:val="0074652E"/>
    <w:rsid w:val="00747B80"/>
    <w:rsid w:val="00750787"/>
    <w:rsid w:val="00751C85"/>
    <w:rsid w:val="007523CD"/>
    <w:rsid w:val="0075285B"/>
    <w:rsid w:val="00752960"/>
    <w:rsid w:val="00753A7E"/>
    <w:rsid w:val="00753B14"/>
    <w:rsid w:val="007549A9"/>
    <w:rsid w:val="0075535E"/>
    <w:rsid w:val="00755CB2"/>
    <w:rsid w:val="00755F7C"/>
    <w:rsid w:val="0075621A"/>
    <w:rsid w:val="0075685E"/>
    <w:rsid w:val="007573C8"/>
    <w:rsid w:val="00757842"/>
    <w:rsid w:val="0076030B"/>
    <w:rsid w:val="007608A7"/>
    <w:rsid w:val="00760E13"/>
    <w:rsid w:val="007618C9"/>
    <w:rsid w:val="007629D5"/>
    <w:rsid w:val="00762AE3"/>
    <w:rsid w:val="00763225"/>
    <w:rsid w:val="00763E93"/>
    <w:rsid w:val="00764A25"/>
    <w:rsid w:val="00764F4D"/>
    <w:rsid w:val="0076509F"/>
    <w:rsid w:val="00765532"/>
    <w:rsid w:val="00765590"/>
    <w:rsid w:val="00765980"/>
    <w:rsid w:val="007661DA"/>
    <w:rsid w:val="00766219"/>
    <w:rsid w:val="00767114"/>
    <w:rsid w:val="007673D1"/>
    <w:rsid w:val="00767E83"/>
    <w:rsid w:val="007703B4"/>
    <w:rsid w:val="007708C8"/>
    <w:rsid w:val="00771809"/>
    <w:rsid w:val="007722C9"/>
    <w:rsid w:val="00772389"/>
    <w:rsid w:val="00772A05"/>
    <w:rsid w:val="0077311B"/>
    <w:rsid w:val="00773817"/>
    <w:rsid w:val="007751E8"/>
    <w:rsid w:val="0077529E"/>
    <w:rsid w:val="007769CA"/>
    <w:rsid w:val="00776E64"/>
    <w:rsid w:val="00777903"/>
    <w:rsid w:val="0078027D"/>
    <w:rsid w:val="00780696"/>
    <w:rsid w:val="0078218C"/>
    <w:rsid w:val="00782470"/>
    <w:rsid w:val="007831CA"/>
    <w:rsid w:val="00784A29"/>
    <w:rsid w:val="0078637A"/>
    <w:rsid w:val="00787060"/>
    <w:rsid w:val="00787EB8"/>
    <w:rsid w:val="0079096B"/>
    <w:rsid w:val="007916B6"/>
    <w:rsid w:val="0079198D"/>
    <w:rsid w:val="00792394"/>
    <w:rsid w:val="00792ACC"/>
    <w:rsid w:val="00792BBE"/>
    <w:rsid w:val="00792CAC"/>
    <w:rsid w:val="00792E78"/>
    <w:rsid w:val="007930BD"/>
    <w:rsid w:val="00793B5C"/>
    <w:rsid w:val="00793E92"/>
    <w:rsid w:val="007945D4"/>
    <w:rsid w:val="007948F4"/>
    <w:rsid w:val="00795AE0"/>
    <w:rsid w:val="007967F0"/>
    <w:rsid w:val="00796AFC"/>
    <w:rsid w:val="00796BE2"/>
    <w:rsid w:val="007974D9"/>
    <w:rsid w:val="007A0B47"/>
    <w:rsid w:val="007A0BA7"/>
    <w:rsid w:val="007A164B"/>
    <w:rsid w:val="007A17C4"/>
    <w:rsid w:val="007A17F5"/>
    <w:rsid w:val="007A3C75"/>
    <w:rsid w:val="007A527A"/>
    <w:rsid w:val="007A578E"/>
    <w:rsid w:val="007A5E31"/>
    <w:rsid w:val="007A5F5D"/>
    <w:rsid w:val="007A5F60"/>
    <w:rsid w:val="007A6528"/>
    <w:rsid w:val="007A6C71"/>
    <w:rsid w:val="007A77D5"/>
    <w:rsid w:val="007A77E9"/>
    <w:rsid w:val="007A783F"/>
    <w:rsid w:val="007A7A84"/>
    <w:rsid w:val="007A7ACF"/>
    <w:rsid w:val="007A7CAC"/>
    <w:rsid w:val="007A7E83"/>
    <w:rsid w:val="007B02CA"/>
    <w:rsid w:val="007B0EB2"/>
    <w:rsid w:val="007B1035"/>
    <w:rsid w:val="007B1044"/>
    <w:rsid w:val="007B153B"/>
    <w:rsid w:val="007B17D7"/>
    <w:rsid w:val="007B20B1"/>
    <w:rsid w:val="007B222F"/>
    <w:rsid w:val="007B223D"/>
    <w:rsid w:val="007B357A"/>
    <w:rsid w:val="007B3FB0"/>
    <w:rsid w:val="007B456B"/>
    <w:rsid w:val="007B4B23"/>
    <w:rsid w:val="007B583A"/>
    <w:rsid w:val="007B592C"/>
    <w:rsid w:val="007B5F05"/>
    <w:rsid w:val="007B62A8"/>
    <w:rsid w:val="007B661B"/>
    <w:rsid w:val="007B6EB2"/>
    <w:rsid w:val="007C1751"/>
    <w:rsid w:val="007C1995"/>
    <w:rsid w:val="007C1AB1"/>
    <w:rsid w:val="007C235F"/>
    <w:rsid w:val="007C2537"/>
    <w:rsid w:val="007C2700"/>
    <w:rsid w:val="007C2940"/>
    <w:rsid w:val="007C3CE3"/>
    <w:rsid w:val="007C3D16"/>
    <w:rsid w:val="007C3D5A"/>
    <w:rsid w:val="007C49C2"/>
    <w:rsid w:val="007C4F37"/>
    <w:rsid w:val="007C5E41"/>
    <w:rsid w:val="007C6852"/>
    <w:rsid w:val="007C6856"/>
    <w:rsid w:val="007C7235"/>
    <w:rsid w:val="007C739A"/>
    <w:rsid w:val="007C7D2A"/>
    <w:rsid w:val="007D1110"/>
    <w:rsid w:val="007D21DE"/>
    <w:rsid w:val="007D2245"/>
    <w:rsid w:val="007D2288"/>
    <w:rsid w:val="007D2403"/>
    <w:rsid w:val="007D27D6"/>
    <w:rsid w:val="007D2F3D"/>
    <w:rsid w:val="007D4855"/>
    <w:rsid w:val="007D50D7"/>
    <w:rsid w:val="007D6E7B"/>
    <w:rsid w:val="007D79F2"/>
    <w:rsid w:val="007D7AF6"/>
    <w:rsid w:val="007E0028"/>
    <w:rsid w:val="007E091B"/>
    <w:rsid w:val="007E156C"/>
    <w:rsid w:val="007E19C6"/>
    <w:rsid w:val="007E262F"/>
    <w:rsid w:val="007E2AE1"/>
    <w:rsid w:val="007E32D5"/>
    <w:rsid w:val="007E3C07"/>
    <w:rsid w:val="007E4130"/>
    <w:rsid w:val="007E449D"/>
    <w:rsid w:val="007E487D"/>
    <w:rsid w:val="007E4E3F"/>
    <w:rsid w:val="007E5BD0"/>
    <w:rsid w:val="007E6874"/>
    <w:rsid w:val="007E6C97"/>
    <w:rsid w:val="007E77C5"/>
    <w:rsid w:val="007E7870"/>
    <w:rsid w:val="007E7B3A"/>
    <w:rsid w:val="007F1037"/>
    <w:rsid w:val="007F13B6"/>
    <w:rsid w:val="007F2863"/>
    <w:rsid w:val="007F2926"/>
    <w:rsid w:val="007F30B3"/>
    <w:rsid w:val="007F3358"/>
    <w:rsid w:val="007F38B1"/>
    <w:rsid w:val="007F47E3"/>
    <w:rsid w:val="007F4C3A"/>
    <w:rsid w:val="007F5B91"/>
    <w:rsid w:val="007F5D89"/>
    <w:rsid w:val="007F5FA0"/>
    <w:rsid w:val="007F615E"/>
    <w:rsid w:val="007F6ED4"/>
    <w:rsid w:val="007F7831"/>
    <w:rsid w:val="00800396"/>
    <w:rsid w:val="00800B03"/>
    <w:rsid w:val="008011D6"/>
    <w:rsid w:val="008017AA"/>
    <w:rsid w:val="00801A71"/>
    <w:rsid w:val="008024E2"/>
    <w:rsid w:val="00802F4B"/>
    <w:rsid w:val="008038D5"/>
    <w:rsid w:val="0080593B"/>
    <w:rsid w:val="00805C5A"/>
    <w:rsid w:val="00807BDC"/>
    <w:rsid w:val="008107BE"/>
    <w:rsid w:val="00810841"/>
    <w:rsid w:val="00810E89"/>
    <w:rsid w:val="0081132A"/>
    <w:rsid w:val="008115E5"/>
    <w:rsid w:val="00811EDD"/>
    <w:rsid w:val="0081262D"/>
    <w:rsid w:val="00812AF4"/>
    <w:rsid w:val="00812FAB"/>
    <w:rsid w:val="008134E5"/>
    <w:rsid w:val="0081405F"/>
    <w:rsid w:val="008143CB"/>
    <w:rsid w:val="00816414"/>
    <w:rsid w:val="00816667"/>
    <w:rsid w:val="00816835"/>
    <w:rsid w:val="00816933"/>
    <w:rsid w:val="00817191"/>
    <w:rsid w:val="00817B17"/>
    <w:rsid w:val="0082029B"/>
    <w:rsid w:val="008203F7"/>
    <w:rsid w:val="008208E4"/>
    <w:rsid w:val="00820B88"/>
    <w:rsid w:val="00820D4E"/>
    <w:rsid w:val="00820F8A"/>
    <w:rsid w:val="008213D1"/>
    <w:rsid w:val="008215B3"/>
    <w:rsid w:val="008215EB"/>
    <w:rsid w:val="00821988"/>
    <w:rsid w:val="00821A88"/>
    <w:rsid w:val="00821F10"/>
    <w:rsid w:val="0082295E"/>
    <w:rsid w:val="00822A10"/>
    <w:rsid w:val="00823481"/>
    <w:rsid w:val="00823887"/>
    <w:rsid w:val="00823982"/>
    <w:rsid w:val="00823C33"/>
    <w:rsid w:val="00823FB6"/>
    <w:rsid w:val="00824587"/>
    <w:rsid w:val="008255B7"/>
    <w:rsid w:val="00825A2F"/>
    <w:rsid w:val="00827037"/>
    <w:rsid w:val="0082710E"/>
    <w:rsid w:val="0082739A"/>
    <w:rsid w:val="008278B8"/>
    <w:rsid w:val="00827AAC"/>
    <w:rsid w:val="00827F89"/>
    <w:rsid w:val="00830BA5"/>
    <w:rsid w:val="00831E1D"/>
    <w:rsid w:val="00831F66"/>
    <w:rsid w:val="008320CE"/>
    <w:rsid w:val="00832289"/>
    <w:rsid w:val="0083258F"/>
    <w:rsid w:val="00832CBF"/>
    <w:rsid w:val="00833A1F"/>
    <w:rsid w:val="00834298"/>
    <w:rsid w:val="00834859"/>
    <w:rsid w:val="00834B99"/>
    <w:rsid w:val="00835F12"/>
    <w:rsid w:val="0083666F"/>
    <w:rsid w:val="00837761"/>
    <w:rsid w:val="00837830"/>
    <w:rsid w:val="00837B77"/>
    <w:rsid w:val="00840A25"/>
    <w:rsid w:val="00841034"/>
    <w:rsid w:val="008413BC"/>
    <w:rsid w:val="008415E1"/>
    <w:rsid w:val="00842B6C"/>
    <w:rsid w:val="00842C98"/>
    <w:rsid w:val="00842D19"/>
    <w:rsid w:val="00842F0F"/>
    <w:rsid w:val="00843393"/>
    <w:rsid w:val="0084374D"/>
    <w:rsid w:val="008447AB"/>
    <w:rsid w:val="00844E6F"/>
    <w:rsid w:val="00845B2A"/>
    <w:rsid w:val="00845EA3"/>
    <w:rsid w:val="0084623C"/>
    <w:rsid w:val="0084668A"/>
    <w:rsid w:val="0084740E"/>
    <w:rsid w:val="008479C4"/>
    <w:rsid w:val="00847B2B"/>
    <w:rsid w:val="00847CDF"/>
    <w:rsid w:val="0085006E"/>
    <w:rsid w:val="00850771"/>
    <w:rsid w:val="008524E5"/>
    <w:rsid w:val="00853213"/>
    <w:rsid w:val="00853494"/>
    <w:rsid w:val="008552CA"/>
    <w:rsid w:val="0085531D"/>
    <w:rsid w:val="00855470"/>
    <w:rsid w:val="00855BDF"/>
    <w:rsid w:val="00856E51"/>
    <w:rsid w:val="00857429"/>
    <w:rsid w:val="008604CE"/>
    <w:rsid w:val="008613A9"/>
    <w:rsid w:val="00862444"/>
    <w:rsid w:val="00863C92"/>
    <w:rsid w:val="0086474B"/>
    <w:rsid w:val="00865A76"/>
    <w:rsid w:val="00865A99"/>
    <w:rsid w:val="00865F08"/>
    <w:rsid w:val="008660D1"/>
    <w:rsid w:val="00866E26"/>
    <w:rsid w:val="0086721B"/>
    <w:rsid w:val="0086776B"/>
    <w:rsid w:val="00867953"/>
    <w:rsid w:val="00867B3B"/>
    <w:rsid w:val="00867BCC"/>
    <w:rsid w:val="00867F36"/>
    <w:rsid w:val="00870635"/>
    <w:rsid w:val="00870CEB"/>
    <w:rsid w:val="00870ECA"/>
    <w:rsid w:val="00872461"/>
    <w:rsid w:val="00872484"/>
    <w:rsid w:val="0087371C"/>
    <w:rsid w:val="00873B12"/>
    <w:rsid w:val="008750EE"/>
    <w:rsid w:val="008755AA"/>
    <w:rsid w:val="008766C5"/>
    <w:rsid w:val="00877780"/>
    <w:rsid w:val="00880D1B"/>
    <w:rsid w:val="00881896"/>
    <w:rsid w:val="00881A1B"/>
    <w:rsid w:val="00882152"/>
    <w:rsid w:val="00882196"/>
    <w:rsid w:val="0088244B"/>
    <w:rsid w:val="00882492"/>
    <w:rsid w:val="008824E9"/>
    <w:rsid w:val="00882555"/>
    <w:rsid w:val="008828A9"/>
    <w:rsid w:val="00882BB0"/>
    <w:rsid w:val="00882DBD"/>
    <w:rsid w:val="00882EB6"/>
    <w:rsid w:val="00883498"/>
    <w:rsid w:val="00883FB7"/>
    <w:rsid w:val="008840C2"/>
    <w:rsid w:val="008842D7"/>
    <w:rsid w:val="0088443E"/>
    <w:rsid w:val="0088464F"/>
    <w:rsid w:val="00885705"/>
    <w:rsid w:val="00885AE6"/>
    <w:rsid w:val="00885E2E"/>
    <w:rsid w:val="00886473"/>
    <w:rsid w:val="008871CD"/>
    <w:rsid w:val="008878DB"/>
    <w:rsid w:val="008904FE"/>
    <w:rsid w:val="0089055C"/>
    <w:rsid w:val="0089072E"/>
    <w:rsid w:val="00891A89"/>
    <w:rsid w:val="0089212B"/>
    <w:rsid w:val="0089213A"/>
    <w:rsid w:val="00893A6A"/>
    <w:rsid w:val="00893A70"/>
    <w:rsid w:val="008943A3"/>
    <w:rsid w:val="00894631"/>
    <w:rsid w:val="00894677"/>
    <w:rsid w:val="008946E2"/>
    <w:rsid w:val="0089517B"/>
    <w:rsid w:val="0089571B"/>
    <w:rsid w:val="00895D9A"/>
    <w:rsid w:val="008A019E"/>
    <w:rsid w:val="008A0C84"/>
    <w:rsid w:val="008A16FA"/>
    <w:rsid w:val="008A1D74"/>
    <w:rsid w:val="008A2149"/>
    <w:rsid w:val="008A227E"/>
    <w:rsid w:val="008A3603"/>
    <w:rsid w:val="008A390A"/>
    <w:rsid w:val="008A3961"/>
    <w:rsid w:val="008A4B00"/>
    <w:rsid w:val="008A5448"/>
    <w:rsid w:val="008A657A"/>
    <w:rsid w:val="008A68FE"/>
    <w:rsid w:val="008A6A25"/>
    <w:rsid w:val="008A72D4"/>
    <w:rsid w:val="008A7DB0"/>
    <w:rsid w:val="008B02FB"/>
    <w:rsid w:val="008B0F80"/>
    <w:rsid w:val="008B1F74"/>
    <w:rsid w:val="008B2129"/>
    <w:rsid w:val="008B294D"/>
    <w:rsid w:val="008B3AAC"/>
    <w:rsid w:val="008B3B2A"/>
    <w:rsid w:val="008B3D58"/>
    <w:rsid w:val="008B431A"/>
    <w:rsid w:val="008B48AD"/>
    <w:rsid w:val="008B4E2C"/>
    <w:rsid w:val="008B5264"/>
    <w:rsid w:val="008B53EB"/>
    <w:rsid w:val="008B64F2"/>
    <w:rsid w:val="008B66B4"/>
    <w:rsid w:val="008B68D7"/>
    <w:rsid w:val="008B6B83"/>
    <w:rsid w:val="008B78B7"/>
    <w:rsid w:val="008C0155"/>
    <w:rsid w:val="008C046F"/>
    <w:rsid w:val="008C0A42"/>
    <w:rsid w:val="008C1194"/>
    <w:rsid w:val="008C198A"/>
    <w:rsid w:val="008C1A34"/>
    <w:rsid w:val="008C230B"/>
    <w:rsid w:val="008C2CE7"/>
    <w:rsid w:val="008C2F35"/>
    <w:rsid w:val="008C33ED"/>
    <w:rsid w:val="008C342F"/>
    <w:rsid w:val="008C3F8F"/>
    <w:rsid w:val="008C430F"/>
    <w:rsid w:val="008C5AB6"/>
    <w:rsid w:val="008C5ACD"/>
    <w:rsid w:val="008C5FF6"/>
    <w:rsid w:val="008C6211"/>
    <w:rsid w:val="008C6452"/>
    <w:rsid w:val="008C6F47"/>
    <w:rsid w:val="008C6FE6"/>
    <w:rsid w:val="008C70D6"/>
    <w:rsid w:val="008C71BB"/>
    <w:rsid w:val="008C7462"/>
    <w:rsid w:val="008D011E"/>
    <w:rsid w:val="008D0EB4"/>
    <w:rsid w:val="008D0F25"/>
    <w:rsid w:val="008D2427"/>
    <w:rsid w:val="008D28D2"/>
    <w:rsid w:val="008D2965"/>
    <w:rsid w:val="008D2CAB"/>
    <w:rsid w:val="008D2CB3"/>
    <w:rsid w:val="008D2D89"/>
    <w:rsid w:val="008D3627"/>
    <w:rsid w:val="008D4132"/>
    <w:rsid w:val="008D4DB6"/>
    <w:rsid w:val="008D5181"/>
    <w:rsid w:val="008D521F"/>
    <w:rsid w:val="008D564B"/>
    <w:rsid w:val="008D62CF"/>
    <w:rsid w:val="008D65D0"/>
    <w:rsid w:val="008D68DF"/>
    <w:rsid w:val="008D6C21"/>
    <w:rsid w:val="008D72D9"/>
    <w:rsid w:val="008D7C75"/>
    <w:rsid w:val="008E0CB8"/>
    <w:rsid w:val="008E0D17"/>
    <w:rsid w:val="008E10F7"/>
    <w:rsid w:val="008E129C"/>
    <w:rsid w:val="008E199E"/>
    <w:rsid w:val="008E1F9D"/>
    <w:rsid w:val="008E240C"/>
    <w:rsid w:val="008E27F6"/>
    <w:rsid w:val="008E33B4"/>
    <w:rsid w:val="008E395C"/>
    <w:rsid w:val="008E3FEF"/>
    <w:rsid w:val="008E4398"/>
    <w:rsid w:val="008E4FC7"/>
    <w:rsid w:val="008E53B7"/>
    <w:rsid w:val="008E5C3A"/>
    <w:rsid w:val="008E5E35"/>
    <w:rsid w:val="008E600C"/>
    <w:rsid w:val="008E601B"/>
    <w:rsid w:val="008E68C3"/>
    <w:rsid w:val="008E6E8B"/>
    <w:rsid w:val="008E788D"/>
    <w:rsid w:val="008E7EFD"/>
    <w:rsid w:val="008F001D"/>
    <w:rsid w:val="008F07C8"/>
    <w:rsid w:val="008F157A"/>
    <w:rsid w:val="008F20C9"/>
    <w:rsid w:val="008F20CD"/>
    <w:rsid w:val="008F22E1"/>
    <w:rsid w:val="008F2598"/>
    <w:rsid w:val="008F27BD"/>
    <w:rsid w:val="008F28F0"/>
    <w:rsid w:val="008F31AC"/>
    <w:rsid w:val="008F352F"/>
    <w:rsid w:val="008F4F96"/>
    <w:rsid w:val="008F500C"/>
    <w:rsid w:val="008F6128"/>
    <w:rsid w:val="008F7C87"/>
    <w:rsid w:val="008F7FD1"/>
    <w:rsid w:val="009008E9"/>
    <w:rsid w:val="00900ABA"/>
    <w:rsid w:val="00900E08"/>
    <w:rsid w:val="00900E66"/>
    <w:rsid w:val="00900FBF"/>
    <w:rsid w:val="00901107"/>
    <w:rsid w:val="0090172F"/>
    <w:rsid w:val="00901BCB"/>
    <w:rsid w:val="009021D9"/>
    <w:rsid w:val="00903858"/>
    <w:rsid w:val="009038BA"/>
    <w:rsid w:val="00903C99"/>
    <w:rsid w:val="00903EAA"/>
    <w:rsid w:val="00904A69"/>
    <w:rsid w:val="00905105"/>
    <w:rsid w:val="009061AF"/>
    <w:rsid w:val="009062B1"/>
    <w:rsid w:val="0090633C"/>
    <w:rsid w:val="00907807"/>
    <w:rsid w:val="00907873"/>
    <w:rsid w:val="00910194"/>
    <w:rsid w:val="00910358"/>
    <w:rsid w:val="009103D7"/>
    <w:rsid w:val="00911CA5"/>
    <w:rsid w:val="00911E2F"/>
    <w:rsid w:val="009125CD"/>
    <w:rsid w:val="009153E0"/>
    <w:rsid w:val="0091673F"/>
    <w:rsid w:val="00916A26"/>
    <w:rsid w:val="00916F3A"/>
    <w:rsid w:val="00917000"/>
    <w:rsid w:val="009174B3"/>
    <w:rsid w:val="00920A0E"/>
    <w:rsid w:val="00920C0C"/>
    <w:rsid w:val="00920C18"/>
    <w:rsid w:val="00920F5D"/>
    <w:rsid w:val="00920FF8"/>
    <w:rsid w:val="009211FB"/>
    <w:rsid w:val="009212EB"/>
    <w:rsid w:val="00921502"/>
    <w:rsid w:val="0092156A"/>
    <w:rsid w:val="00923165"/>
    <w:rsid w:val="00925245"/>
    <w:rsid w:val="00925A36"/>
    <w:rsid w:val="00925D53"/>
    <w:rsid w:val="009266DE"/>
    <w:rsid w:val="00926850"/>
    <w:rsid w:val="00926DA3"/>
    <w:rsid w:val="00927DFC"/>
    <w:rsid w:val="00930DBB"/>
    <w:rsid w:val="00931332"/>
    <w:rsid w:val="0093151B"/>
    <w:rsid w:val="009316D8"/>
    <w:rsid w:val="009318BF"/>
    <w:rsid w:val="00932227"/>
    <w:rsid w:val="009325DF"/>
    <w:rsid w:val="00932907"/>
    <w:rsid w:val="00932B1A"/>
    <w:rsid w:val="0093332A"/>
    <w:rsid w:val="00933699"/>
    <w:rsid w:val="00934DC5"/>
    <w:rsid w:val="009357D4"/>
    <w:rsid w:val="009358BE"/>
    <w:rsid w:val="00935B3D"/>
    <w:rsid w:val="00935D11"/>
    <w:rsid w:val="009361CF"/>
    <w:rsid w:val="009362AB"/>
    <w:rsid w:val="009366D1"/>
    <w:rsid w:val="009373ED"/>
    <w:rsid w:val="009378AC"/>
    <w:rsid w:val="00937BB7"/>
    <w:rsid w:val="0094011D"/>
    <w:rsid w:val="009414C7"/>
    <w:rsid w:val="00941FE8"/>
    <w:rsid w:val="00943404"/>
    <w:rsid w:val="009436EA"/>
    <w:rsid w:val="00943828"/>
    <w:rsid w:val="0094394D"/>
    <w:rsid w:val="00943F00"/>
    <w:rsid w:val="00944DBD"/>
    <w:rsid w:val="009459D0"/>
    <w:rsid w:val="00945BBD"/>
    <w:rsid w:val="00945CC4"/>
    <w:rsid w:val="00945F31"/>
    <w:rsid w:val="00946823"/>
    <w:rsid w:val="00947540"/>
    <w:rsid w:val="0094757D"/>
    <w:rsid w:val="00947941"/>
    <w:rsid w:val="00947BA4"/>
    <w:rsid w:val="00947CF3"/>
    <w:rsid w:val="00950645"/>
    <w:rsid w:val="009508B0"/>
    <w:rsid w:val="009533DC"/>
    <w:rsid w:val="00953B46"/>
    <w:rsid w:val="00953B57"/>
    <w:rsid w:val="00954519"/>
    <w:rsid w:val="00954CA0"/>
    <w:rsid w:val="00955827"/>
    <w:rsid w:val="00956518"/>
    <w:rsid w:val="00957AF8"/>
    <w:rsid w:val="00960173"/>
    <w:rsid w:val="009601F2"/>
    <w:rsid w:val="00962743"/>
    <w:rsid w:val="00962860"/>
    <w:rsid w:val="00962B20"/>
    <w:rsid w:val="00963A15"/>
    <w:rsid w:val="00963FE9"/>
    <w:rsid w:val="009648ED"/>
    <w:rsid w:val="009650BC"/>
    <w:rsid w:val="00965D3D"/>
    <w:rsid w:val="00966452"/>
    <w:rsid w:val="009665C3"/>
    <w:rsid w:val="00966A19"/>
    <w:rsid w:val="00966B8F"/>
    <w:rsid w:val="009674B7"/>
    <w:rsid w:val="00967977"/>
    <w:rsid w:val="00967E28"/>
    <w:rsid w:val="009706F0"/>
    <w:rsid w:val="009709FB"/>
    <w:rsid w:val="00970FD0"/>
    <w:rsid w:val="00971393"/>
    <w:rsid w:val="00971607"/>
    <w:rsid w:val="00971AF1"/>
    <w:rsid w:val="00971B55"/>
    <w:rsid w:val="00971C1D"/>
    <w:rsid w:val="00972AA2"/>
    <w:rsid w:val="00972EC1"/>
    <w:rsid w:val="009732F7"/>
    <w:rsid w:val="009738EC"/>
    <w:rsid w:val="0097481F"/>
    <w:rsid w:val="0097511C"/>
    <w:rsid w:val="0097541A"/>
    <w:rsid w:val="009756EB"/>
    <w:rsid w:val="00975870"/>
    <w:rsid w:val="0097633F"/>
    <w:rsid w:val="009771E4"/>
    <w:rsid w:val="00977500"/>
    <w:rsid w:val="00977CCF"/>
    <w:rsid w:val="00977DC6"/>
    <w:rsid w:val="009802F1"/>
    <w:rsid w:val="009804D6"/>
    <w:rsid w:val="009806F6"/>
    <w:rsid w:val="00981D20"/>
    <w:rsid w:val="00982F1A"/>
    <w:rsid w:val="009835CC"/>
    <w:rsid w:val="009836E0"/>
    <w:rsid w:val="00983B38"/>
    <w:rsid w:val="00983C59"/>
    <w:rsid w:val="00984151"/>
    <w:rsid w:val="0098482D"/>
    <w:rsid w:val="00985029"/>
    <w:rsid w:val="0098520E"/>
    <w:rsid w:val="00985412"/>
    <w:rsid w:val="0098553E"/>
    <w:rsid w:val="009870E3"/>
    <w:rsid w:val="00987358"/>
    <w:rsid w:val="00990881"/>
    <w:rsid w:val="00990C13"/>
    <w:rsid w:val="00990EE5"/>
    <w:rsid w:val="009915AC"/>
    <w:rsid w:val="009919B8"/>
    <w:rsid w:val="00991CC4"/>
    <w:rsid w:val="009921A0"/>
    <w:rsid w:val="009921F2"/>
    <w:rsid w:val="009922E5"/>
    <w:rsid w:val="00992672"/>
    <w:rsid w:val="00992A6A"/>
    <w:rsid w:val="00993064"/>
    <w:rsid w:val="00993126"/>
    <w:rsid w:val="0099329A"/>
    <w:rsid w:val="00993654"/>
    <w:rsid w:val="0099495A"/>
    <w:rsid w:val="00994C36"/>
    <w:rsid w:val="00994D94"/>
    <w:rsid w:val="00994F80"/>
    <w:rsid w:val="0099528D"/>
    <w:rsid w:val="0099564E"/>
    <w:rsid w:val="009957ED"/>
    <w:rsid w:val="00995A3E"/>
    <w:rsid w:val="00995CFE"/>
    <w:rsid w:val="00996092"/>
    <w:rsid w:val="009960C8"/>
    <w:rsid w:val="009966F0"/>
    <w:rsid w:val="00997822"/>
    <w:rsid w:val="009A07A3"/>
    <w:rsid w:val="009A09A7"/>
    <w:rsid w:val="009A1AE0"/>
    <w:rsid w:val="009A3433"/>
    <w:rsid w:val="009A3971"/>
    <w:rsid w:val="009A5AC6"/>
    <w:rsid w:val="009A602E"/>
    <w:rsid w:val="009A6075"/>
    <w:rsid w:val="009A69F2"/>
    <w:rsid w:val="009A7064"/>
    <w:rsid w:val="009A7E3B"/>
    <w:rsid w:val="009A7F76"/>
    <w:rsid w:val="009B0D43"/>
    <w:rsid w:val="009B1E28"/>
    <w:rsid w:val="009B4418"/>
    <w:rsid w:val="009B4A4F"/>
    <w:rsid w:val="009B4AF1"/>
    <w:rsid w:val="009B4C85"/>
    <w:rsid w:val="009B55EC"/>
    <w:rsid w:val="009B66EC"/>
    <w:rsid w:val="009B6DF0"/>
    <w:rsid w:val="009B77A7"/>
    <w:rsid w:val="009B7E6B"/>
    <w:rsid w:val="009C1371"/>
    <w:rsid w:val="009C1803"/>
    <w:rsid w:val="009C1C4D"/>
    <w:rsid w:val="009C216E"/>
    <w:rsid w:val="009C222E"/>
    <w:rsid w:val="009C2A75"/>
    <w:rsid w:val="009C37F0"/>
    <w:rsid w:val="009C3DBF"/>
    <w:rsid w:val="009C5ECC"/>
    <w:rsid w:val="009C5F07"/>
    <w:rsid w:val="009C676A"/>
    <w:rsid w:val="009C697E"/>
    <w:rsid w:val="009C6B5F"/>
    <w:rsid w:val="009C6C95"/>
    <w:rsid w:val="009C6D67"/>
    <w:rsid w:val="009C6F7F"/>
    <w:rsid w:val="009C7190"/>
    <w:rsid w:val="009D02A0"/>
    <w:rsid w:val="009D07AB"/>
    <w:rsid w:val="009D0B0D"/>
    <w:rsid w:val="009D1E82"/>
    <w:rsid w:val="009D2BE6"/>
    <w:rsid w:val="009D3011"/>
    <w:rsid w:val="009D37CE"/>
    <w:rsid w:val="009D3A95"/>
    <w:rsid w:val="009D3CF7"/>
    <w:rsid w:val="009D4546"/>
    <w:rsid w:val="009D477A"/>
    <w:rsid w:val="009D47C9"/>
    <w:rsid w:val="009D49A8"/>
    <w:rsid w:val="009D4D3C"/>
    <w:rsid w:val="009D5723"/>
    <w:rsid w:val="009D58C6"/>
    <w:rsid w:val="009D68C3"/>
    <w:rsid w:val="009D6F2C"/>
    <w:rsid w:val="009D710C"/>
    <w:rsid w:val="009D7132"/>
    <w:rsid w:val="009D7501"/>
    <w:rsid w:val="009D77EE"/>
    <w:rsid w:val="009D79A8"/>
    <w:rsid w:val="009D7EAF"/>
    <w:rsid w:val="009E02C7"/>
    <w:rsid w:val="009E040A"/>
    <w:rsid w:val="009E089E"/>
    <w:rsid w:val="009E1354"/>
    <w:rsid w:val="009E2430"/>
    <w:rsid w:val="009E2A1F"/>
    <w:rsid w:val="009E3533"/>
    <w:rsid w:val="009E3632"/>
    <w:rsid w:val="009E43DD"/>
    <w:rsid w:val="009E44CB"/>
    <w:rsid w:val="009E4883"/>
    <w:rsid w:val="009E4C94"/>
    <w:rsid w:val="009E53AD"/>
    <w:rsid w:val="009E54AA"/>
    <w:rsid w:val="009E54F2"/>
    <w:rsid w:val="009E5C5C"/>
    <w:rsid w:val="009E6A4F"/>
    <w:rsid w:val="009E7506"/>
    <w:rsid w:val="009E78A2"/>
    <w:rsid w:val="009E7BA7"/>
    <w:rsid w:val="009E7BB2"/>
    <w:rsid w:val="009F1B8E"/>
    <w:rsid w:val="009F1D2F"/>
    <w:rsid w:val="009F2FC2"/>
    <w:rsid w:val="009F3094"/>
    <w:rsid w:val="009F3254"/>
    <w:rsid w:val="009F35E5"/>
    <w:rsid w:val="009F3EC6"/>
    <w:rsid w:val="009F4CAE"/>
    <w:rsid w:val="009F4EB8"/>
    <w:rsid w:val="009F6C3C"/>
    <w:rsid w:val="009F71BA"/>
    <w:rsid w:val="009F72DC"/>
    <w:rsid w:val="009F7AE3"/>
    <w:rsid w:val="00A00A1C"/>
    <w:rsid w:val="00A01DAA"/>
    <w:rsid w:val="00A02C22"/>
    <w:rsid w:val="00A02EDB"/>
    <w:rsid w:val="00A03CC7"/>
    <w:rsid w:val="00A04358"/>
    <w:rsid w:val="00A0447F"/>
    <w:rsid w:val="00A04912"/>
    <w:rsid w:val="00A0539D"/>
    <w:rsid w:val="00A05A77"/>
    <w:rsid w:val="00A06846"/>
    <w:rsid w:val="00A06AA7"/>
    <w:rsid w:val="00A071E4"/>
    <w:rsid w:val="00A0728C"/>
    <w:rsid w:val="00A07432"/>
    <w:rsid w:val="00A07AA6"/>
    <w:rsid w:val="00A10281"/>
    <w:rsid w:val="00A10834"/>
    <w:rsid w:val="00A10F2C"/>
    <w:rsid w:val="00A117AB"/>
    <w:rsid w:val="00A1187A"/>
    <w:rsid w:val="00A1208F"/>
    <w:rsid w:val="00A12586"/>
    <w:rsid w:val="00A12C24"/>
    <w:rsid w:val="00A12F4F"/>
    <w:rsid w:val="00A136F3"/>
    <w:rsid w:val="00A1375A"/>
    <w:rsid w:val="00A14749"/>
    <w:rsid w:val="00A15601"/>
    <w:rsid w:val="00A16177"/>
    <w:rsid w:val="00A166A8"/>
    <w:rsid w:val="00A1745E"/>
    <w:rsid w:val="00A2079B"/>
    <w:rsid w:val="00A2178C"/>
    <w:rsid w:val="00A2258A"/>
    <w:rsid w:val="00A22601"/>
    <w:rsid w:val="00A22E7F"/>
    <w:rsid w:val="00A22FF0"/>
    <w:rsid w:val="00A232D3"/>
    <w:rsid w:val="00A240CE"/>
    <w:rsid w:val="00A2493B"/>
    <w:rsid w:val="00A24D4B"/>
    <w:rsid w:val="00A251F8"/>
    <w:rsid w:val="00A25945"/>
    <w:rsid w:val="00A2601B"/>
    <w:rsid w:val="00A26524"/>
    <w:rsid w:val="00A27137"/>
    <w:rsid w:val="00A27446"/>
    <w:rsid w:val="00A27C61"/>
    <w:rsid w:val="00A30696"/>
    <w:rsid w:val="00A306C2"/>
    <w:rsid w:val="00A3163F"/>
    <w:rsid w:val="00A321CA"/>
    <w:rsid w:val="00A32763"/>
    <w:rsid w:val="00A33941"/>
    <w:rsid w:val="00A353B8"/>
    <w:rsid w:val="00A35E96"/>
    <w:rsid w:val="00A36685"/>
    <w:rsid w:val="00A36A6D"/>
    <w:rsid w:val="00A36F67"/>
    <w:rsid w:val="00A3707C"/>
    <w:rsid w:val="00A37723"/>
    <w:rsid w:val="00A402C7"/>
    <w:rsid w:val="00A40746"/>
    <w:rsid w:val="00A40AA9"/>
    <w:rsid w:val="00A41607"/>
    <w:rsid w:val="00A41844"/>
    <w:rsid w:val="00A41AA8"/>
    <w:rsid w:val="00A42278"/>
    <w:rsid w:val="00A42ECD"/>
    <w:rsid w:val="00A42F14"/>
    <w:rsid w:val="00A430D3"/>
    <w:rsid w:val="00A430E6"/>
    <w:rsid w:val="00A4321D"/>
    <w:rsid w:val="00A43D5D"/>
    <w:rsid w:val="00A44186"/>
    <w:rsid w:val="00A44BCB"/>
    <w:rsid w:val="00A44C2B"/>
    <w:rsid w:val="00A45115"/>
    <w:rsid w:val="00A45705"/>
    <w:rsid w:val="00A45E90"/>
    <w:rsid w:val="00A4682B"/>
    <w:rsid w:val="00A47120"/>
    <w:rsid w:val="00A4720E"/>
    <w:rsid w:val="00A515F5"/>
    <w:rsid w:val="00A5173A"/>
    <w:rsid w:val="00A522D4"/>
    <w:rsid w:val="00A5373C"/>
    <w:rsid w:val="00A54876"/>
    <w:rsid w:val="00A54A1A"/>
    <w:rsid w:val="00A54D5A"/>
    <w:rsid w:val="00A55EEB"/>
    <w:rsid w:val="00A56020"/>
    <w:rsid w:val="00A56034"/>
    <w:rsid w:val="00A56DCC"/>
    <w:rsid w:val="00A57C6C"/>
    <w:rsid w:val="00A57E99"/>
    <w:rsid w:val="00A606A7"/>
    <w:rsid w:val="00A60B8B"/>
    <w:rsid w:val="00A60CDB"/>
    <w:rsid w:val="00A60EE8"/>
    <w:rsid w:val="00A612E7"/>
    <w:rsid w:val="00A6155D"/>
    <w:rsid w:val="00A618D4"/>
    <w:rsid w:val="00A61913"/>
    <w:rsid w:val="00A61920"/>
    <w:rsid w:val="00A61B7C"/>
    <w:rsid w:val="00A62947"/>
    <w:rsid w:val="00A62CB6"/>
    <w:rsid w:val="00A63707"/>
    <w:rsid w:val="00A63886"/>
    <w:rsid w:val="00A63AC4"/>
    <w:rsid w:val="00A6458E"/>
    <w:rsid w:val="00A646C5"/>
    <w:rsid w:val="00A64BB6"/>
    <w:rsid w:val="00A64E1A"/>
    <w:rsid w:val="00A66B5F"/>
    <w:rsid w:val="00A66CE9"/>
    <w:rsid w:val="00A67B8F"/>
    <w:rsid w:val="00A71577"/>
    <w:rsid w:val="00A73E0F"/>
    <w:rsid w:val="00A74632"/>
    <w:rsid w:val="00A748AA"/>
    <w:rsid w:val="00A748CC"/>
    <w:rsid w:val="00A7491A"/>
    <w:rsid w:val="00A74EA1"/>
    <w:rsid w:val="00A757C6"/>
    <w:rsid w:val="00A75D72"/>
    <w:rsid w:val="00A769EF"/>
    <w:rsid w:val="00A7747B"/>
    <w:rsid w:val="00A7778B"/>
    <w:rsid w:val="00A77A79"/>
    <w:rsid w:val="00A77E86"/>
    <w:rsid w:val="00A807CA"/>
    <w:rsid w:val="00A80B9C"/>
    <w:rsid w:val="00A81269"/>
    <w:rsid w:val="00A81B0C"/>
    <w:rsid w:val="00A81CE7"/>
    <w:rsid w:val="00A81D5B"/>
    <w:rsid w:val="00A81E20"/>
    <w:rsid w:val="00A8252F"/>
    <w:rsid w:val="00A82627"/>
    <w:rsid w:val="00A829C5"/>
    <w:rsid w:val="00A82B36"/>
    <w:rsid w:val="00A82E3D"/>
    <w:rsid w:val="00A83011"/>
    <w:rsid w:val="00A8324E"/>
    <w:rsid w:val="00A833BC"/>
    <w:rsid w:val="00A8341E"/>
    <w:rsid w:val="00A841A1"/>
    <w:rsid w:val="00A8582B"/>
    <w:rsid w:val="00A85F97"/>
    <w:rsid w:val="00A86DEB"/>
    <w:rsid w:val="00A8715A"/>
    <w:rsid w:val="00A90563"/>
    <w:rsid w:val="00A90989"/>
    <w:rsid w:val="00A90CDF"/>
    <w:rsid w:val="00A90EE5"/>
    <w:rsid w:val="00A91EB5"/>
    <w:rsid w:val="00A92698"/>
    <w:rsid w:val="00A9276F"/>
    <w:rsid w:val="00A948FA"/>
    <w:rsid w:val="00A95330"/>
    <w:rsid w:val="00A96532"/>
    <w:rsid w:val="00AA0340"/>
    <w:rsid w:val="00AA250B"/>
    <w:rsid w:val="00AA38E4"/>
    <w:rsid w:val="00AA4D66"/>
    <w:rsid w:val="00AA54CF"/>
    <w:rsid w:val="00AA54F2"/>
    <w:rsid w:val="00AA57BB"/>
    <w:rsid w:val="00AA5812"/>
    <w:rsid w:val="00AA5A98"/>
    <w:rsid w:val="00AA727F"/>
    <w:rsid w:val="00AB021B"/>
    <w:rsid w:val="00AB0FA3"/>
    <w:rsid w:val="00AB1319"/>
    <w:rsid w:val="00AB1BAE"/>
    <w:rsid w:val="00AB22C7"/>
    <w:rsid w:val="00AB2C3E"/>
    <w:rsid w:val="00AB2D3F"/>
    <w:rsid w:val="00AB31A4"/>
    <w:rsid w:val="00AB372A"/>
    <w:rsid w:val="00AB3754"/>
    <w:rsid w:val="00AB4B4F"/>
    <w:rsid w:val="00AB4D66"/>
    <w:rsid w:val="00AB514E"/>
    <w:rsid w:val="00AB525A"/>
    <w:rsid w:val="00AB53C2"/>
    <w:rsid w:val="00AB57AC"/>
    <w:rsid w:val="00AB5AC4"/>
    <w:rsid w:val="00AB5B5F"/>
    <w:rsid w:val="00AB5C0A"/>
    <w:rsid w:val="00AB6171"/>
    <w:rsid w:val="00AB6350"/>
    <w:rsid w:val="00AC0ACC"/>
    <w:rsid w:val="00AC0EF4"/>
    <w:rsid w:val="00AC16D6"/>
    <w:rsid w:val="00AC1FC3"/>
    <w:rsid w:val="00AC20A5"/>
    <w:rsid w:val="00AC2107"/>
    <w:rsid w:val="00AC24E6"/>
    <w:rsid w:val="00AC2C86"/>
    <w:rsid w:val="00AC43F4"/>
    <w:rsid w:val="00AC4433"/>
    <w:rsid w:val="00AC5169"/>
    <w:rsid w:val="00AC6DA0"/>
    <w:rsid w:val="00AC71A1"/>
    <w:rsid w:val="00AC7B31"/>
    <w:rsid w:val="00AC7E38"/>
    <w:rsid w:val="00AD06CA"/>
    <w:rsid w:val="00AD07C0"/>
    <w:rsid w:val="00AD08D1"/>
    <w:rsid w:val="00AD0D42"/>
    <w:rsid w:val="00AD24DC"/>
    <w:rsid w:val="00AD2E57"/>
    <w:rsid w:val="00AD3CDF"/>
    <w:rsid w:val="00AD4141"/>
    <w:rsid w:val="00AD42F2"/>
    <w:rsid w:val="00AD4464"/>
    <w:rsid w:val="00AD4D1C"/>
    <w:rsid w:val="00AD5DEC"/>
    <w:rsid w:val="00AD71FB"/>
    <w:rsid w:val="00AD793C"/>
    <w:rsid w:val="00AD7A16"/>
    <w:rsid w:val="00AD7B6A"/>
    <w:rsid w:val="00AD7D34"/>
    <w:rsid w:val="00AE026A"/>
    <w:rsid w:val="00AE0E72"/>
    <w:rsid w:val="00AE1252"/>
    <w:rsid w:val="00AE18D6"/>
    <w:rsid w:val="00AE2154"/>
    <w:rsid w:val="00AE25FF"/>
    <w:rsid w:val="00AE3822"/>
    <w:rsid w:val="00AE3CFE"/>
    <w:rsid w:val="00AE4567"/>
    <w:rsid w:val="00AE56E8"/>
    <w:rsid w:val="00AE5CC0"/>
    <w:rsid w:val="00AE5FD6"/>
    <w:rsid w:val="00AE7606"/>
    <w:rsid w:val="00AF062B"/>
    <w:rsid w:val="00AF0734"/>
    <w:rsid w:val="00AF09B6"/>
    <w:rsid w:val="00AF1288"/>
    <w:rsid w:val="00AF18CA"/>
    <w:rsid w:val="00AF22F3"/>
    <w:rsid w:val="00AF2380"/>
    <w:rsid w:val="00AF2655"/>
    <w:rsid w:val="00AF3035"/>
    <w:rsid w:val="00AF35FB"/>
    <w:rsid w:val="00AF3664"/>
    <w:rsid w:val="00AF3F82"/>
    <w:rsid w:val="00AF41BA"/>
    <w:rsid w:val="00AF44FB"/>
    <w:rsid w:val="00AF46E2"/>
    <w:rsid w:val="00AF4850"/>
    <w:rsid w:val="00AF4A3B"/>
    <w:rsid w:val="00AF5698"/>
    <w:rsid w:val="00AF70FD"/>
    <w:rsid w:val="00B004DE"/>
    <w:rsid w:val="00B01206"/>
    <w:rsid w:val="00B015E4"/>
    <w:rsid w:val="00B0319F"/>
    <w:rsid w:val="00B03B17"/>
    <w:rsid w:val="00B03F12"/>
    <w:rsid w:val="00B052BE"/>
    <w:rsid w:val="00B0795F"/>
    <w:rsid w:val="00B07AB8"/>
    <w:rsid w:val="00B07E69"/>
    <w:rsid w:val="00B10CAE"/>
    <w:rsid w:val="00B10FED"/>
    <w:rsid w:val="00B11654"/>
    <w:rsid w:val="00B11EEA"/>
    <w:rsid w:val="00B12810"/>
    <w:rsid w:val="00B12E05"/>
    <w:rsid w:val="00B137DA"/>
    <w:rsid w:val="00B1468E"/>
    <w:rsid w:val="00B14758"/>
    <w:rsid w:val="00B14C64"/>
    <w:rsid w:val="00B14D57"/>
    <w:rsid w:val="00B15F5B"/>
    <w:rsid w:val="00B16069"/>
    <w:rsid w:val="00B16970"/>
    <w:rsid w:val="00B1705C"/>
    <w:rsid w:val="00B170E4"/>
    <w:rsid w:val="00B17805"/>
    <w:rsid w:val="00B17FDC"/>
    <w:rsid w:val="00B20AB2"/>
    <w:rsid w:val="00B21390"/>
    <w:rsid w:val="00B214A5"/>
    <w:rsid w:val="00B227C6"/>
    <w:rsid w:val="00B240CA"/>
    <w:rsid w:val="00B24665"/>
    <w:rsid w:val="00B25934"/>
    <w:rsid w:val="00B2638E"/>
    <w:rsid w:val="00B26480"/>
    <w:rsid w:val="00B2677D"/>
    <w:rsid w:val="00B27040"/>
    <w:rsid w:val="00B27D9B"/>
    <w:rsid w:val="00B31261"/>
    <w:rsid w:val="00B31752"/>
    <w:rsid w:val="00B325BC"/>
    <w:rsid w:val="00B334F7"/>
    <w:rsid w:val="00B340BB"/>
    <w:rsid w:val="00B349E1"/>
    <w:rsid w:val="00B34C76"/>
    <w:rsid w:val="00B35DF8"/>
    <w:rsid w:val="00B36498"/>
    <w:rsid w:val="00B36C8D"/>
    <w:rsid w:val="00B376BE"/>
    <w:rsid w:val="00B37798"/>
    <w:rsid w:val="00B3793C"/>
    <w:rsid w:val="00B37BCB"/>
    <w:rsid w:val="00B40619"/>
    <w:rsid w:val="00B415E5"/>
    <w:rsid w:val="00B41727"/>
    <w:rsid w:val="00B41E04"/>
    <w:rsid w:val="00B421F4"/>
    <w:rsid w:val="00B42615"/>
    <w:rsid w:val="00B43BCC"/>
    <w:rsid w:val="00B43DDF"/>
    <w:rsid w:val="00B44139"/>
    <w:rsid w:val="00B453C1"/>
    <w:rsid w:val="00B45644"/>
    <w:rsid w:val="00B458F5"/>
    <w:rsid w:val="00B45A6D"/>
    <w:rsid w:val="00B45C10"/>
    <w:rsid w:val="00B45C8B"/>
    <w:rsid w:val="00B45EBE"/>
    <w:rsid w:val="00B46D90"/>
    <w:rsid w:val="00B470D9"/>
    <w:rsid w:val="00B47265"/>
    <w:rsid w:val="00B47850"/>
    <w:rsid w:val="00B47BC0"/>
    <w:rsid w:val="00B50D16"/>
    <w:rsid w:val="00B5144E"/>
    <w:rsid w:val="00B51B55"/>
    <w:rsid w:val="00B520D6"/>
    <w:rsid w:val="00B525F1"/>
    <w:rsid w:val="00B52885"/>
    <w:rsid w:val="00B541A5"/>
    <w:rsid w:val="00B564A9"/>
    <w:rsid w:val="00B56672"/>
    <w:rsid w:val="00B5685C"/>
    <w:rsid w:val="00B56935"/>
    <w:rsid w:val="00B56AE9"/>
    <w:rsid w:val="00B56C97"/>
    <w:rsid w:val="00B5748C"/>
    <w:rsid w:val="00B57DF2"/>
    <w:rsid w:val="00B600B7"/>
    <w:rsid w:val="00B60617"/>
    <w:rsid w:val="00B60E1A"/>
    <w:rsid w:val="00B612B2"/>
    <w:rsid w:val="00B61818"/>
    <w:rsid w:val="00B61D9D"/>
    <w:rsid w:val="00B62014"/>
    <w:rsid w:val="00B6329F"/>
    <w:rsid w:val="00B632AE"/>
    <w:rsid w:val="00B63B7D"/>
    <w:rsid w:val="00B63DB1"/>
    <w:rsid w:val="00B63DD4"/>
    <w:rsid w:val="00B642E1"/>
    <w:rsid w:val="00B64392"/>
    <w:rsid w:val="00B659EA"/>
    <w:rsid w:val="00B66362"/>
    <w:rsid w:val="00B66588"/>
    <w:rsid w:val="00B66E17"/>
    <w:rsid w:val="00B66EFA"/>
    <w:rsid w:val="00B674CA"/>
    <w:rsid w:val="00B70C3A"/>
    <w:rsid w:val="00B70F6C"/>
    <w:rsid w:val="00B719A0"/>
    <w:rsid w:val="00B7252D"/>
    <w:rsid w:val="00B727B7"/>
    <w:rsid w:val="00B72876"/>
    <w:rsid w:val="00B72CBD"/>
    <w:rsid w:val="00B7352E"/>
    <w:rsid w:val="00B736ED"/>
    <w:rsid w:val="00B73C21"/>
    <w:rsid w:val="00B744E0"/>
    <w:rsid w:val="00B74648"/>
    <w:rsid w:val="00B74CBF"/>
    <w:rsid w:val="00B751E6"/>
    <w:rsid w:val="00B756EC"/>
    <w:rsid w:val="00B75E25"/>
    <w:rsid w:val="00B76501"/>
    <w:rsid w:val="00B76D1C"/>
    <w:rsid w:val="00B76E13"/>
    <w:rsid w:val="00B77220"/>
    <w:rsid w:val="00B7795B"/>
    <w:rsid w:val="00B80224"/>
    <w:rsid w:val="00B80296"/>
    <w:rsid w:val="00B802EF"/>
    <w:rsid w:val="00B80868"/>
    <w:rsid w:val="00B82093"/>
    <w:rsid w:val="00B82127"/>
    <w:rsid w:val="00B837EB"/>
    <w:rsid w:val="00B83C76"/>
    <w:rsid w:val="00B85029"/>
    <w:rsid w:val="00B85D78"/>
    <w:rsid w:val="00B85F77"/>
    <w:rsid w:val="00B86076"/>
    <w:rsid w:val="00B86402"/>
    <w:rsid w:val="00B87AD8"/>
    <w:rsid w:val="00B9033E"/>
    <w:rsid w:val="00B9052D"/>
    <w:rsid w:val="00B90C7A"/>
    <w:rsid w:val="00B917CE"/>
    <w:rsid w:val="00B92A35"/>
    <w:rsid w:val="00B93B9D"/>
    <w:rsid w:val="00B93C59"/>
    <w:rsid w:val="00B94029"/>
    <w:rsid w:val="00B94707"/>
    <w:rsid w:val="00B95A1A"/>
    <w:rsid w:val="00B95AC9"/>
    <w:rsid w:val="00B95BFE"/>
    <w:rsid w:val="00B9607E"/>
    <w:rsid w:val="00B96306"/>
    <w:rsid w:val="00B96951"/>
    <w:rsid w:val="00B96A37"/>
    <w:rsid w:val="00BA01D6"/>
    <w:rsid w:val="00BA0A1D"/>
    <w:rsid w:val="00BA0B9F"/>
    <w:rsid w:val="00BA196A"/>
    <w:rsid w:val="00BA1C46"/>
    <w:rsid w:val="00BA2518"/>
    <w:rsid w:val="00BA2BCA"/>
    <w:rsid w:val="00BA2D23"/>
    <w:rsid w:val="00BA2E0A"/>
    <w:rsid w:val="00BA347A"/>
    <w:rsid w:val="00BA4720"/>
    <w:rsid w:val="00BA48FF"/>
    <w:rsid w:val="00BA4A0C"/>
    <w:rsid w:val="00BA663C"/>
    <w:rsid w:val="00BA6C5D"/>
    <w:rsid w:val="00BA752C"/>
    <w:rsid w:val="00BA75D7"/>
    <w:rsid w:val="00BA7B59"/>
    <w:rsid w:val="00BA7F1B"/>
    <w:rsid w:val="00BB0876"/>
    <w:rsid w:val="00BB0B84"/>
    <w:rsid w:val="00BB153F"/>
    <w:rsid w:val="00BB232B"/>
    <w:rsid w:val="00BB235D"/>
    <w:rsid w:val="00BB2B17"/>
    <w:rsid w:val="00BB2E06"/>
    <w:rsid w:val="00BB322B"/>
    <w:rsid w:val="00BB3AFA"/>
    <w:rsid w:val="00BB3DC1"/>
    <w:rsid w:val="00BB4314"/>
    <w:rsid w:val="00BB63E0"/>
    <w:rsid w:val="00BB64E9"/>
    <w:rsid w:val="00BB677E"/>
    <w:rsid w:val="00BB7753"/>
    <w:rsid w:val="00BB785C"/>
    <w:rsid w:val="00BC00F7"/>
    <w:rsid w:val="00BC040C"/>
    <w:rsid w:val="00BC0B12"/>
    <w:rsid w:val="00BC0D60"/>
    <w:rsid w:val="00BC0EFC"/>
    <w:rsid w:val="00BC1058"/>
    <w:rsid w:val="00BC10D3"/>
    <w:rsid w:val="00BC1BB6"/>
    <w:rsid w:val="00BC2005"/>
    <w:rsid w:val="00BC27D1"/>
    <w:rsid w:val="00BC29D2"/>
    <w:rsid w:val="00BC2B12"/>
    <w:rsid w:val="00BC30BD"/>
    <w:rsid w:val="00BC3DEE"/>
    <w:rsid w:val="00BC3EC3"/>
    <w:rsid w:val="00BC4286"/>
    <w:rsid w:val="00BC4BDB"/>
    <w:rsid w:val="00BC4D21"/>
    <w:rsid w:val="00BC56A4"/>
    <w:rsid w:val="00BC6833"/>
    <w:rsid w:val="00BC6BEB"/>
    <w:rsid w:val="00BC7181"/>
    <w:rsid w:val="00BC7CF7"/>
    <w:rsid w:val="00BD04BB"/>
    <w:rsid w:val="00BD0965"/>
    <w:rsid w:val="00BD0C98"/>
    <w:rsid w:val="00BD186C"/>
    <w:rsid w:val="00BD1C08"/>
    <w:rsid w:val="00BD227B"/>
    <w:rsid w:val="00BD308F"/>
    <w:rsid w:val="00BD3140"/>
    <w:rsid w:val="00BD3529"/>
    <w:rsid w:val="00BD39C0"/>
    <w:rsid w:val="00BD423D"/>
    <w:rsid w:val="00BD5261"/>
    <w:rsid w:val="00BD562D"/>
    <w:rsid w:val="00BD62C2"/>
    <w:rsid w:val="00BD639E"/>
    <w:rsid w:val="00BD685C"/>
    <w:rsid w:val="00BD6F25"/>
    <w:rsid w:val="00BD78F1"/>
    <w:rsid w:val="00BE0515"/>
    <w:rsid w:val="00BE0DA6"/>
    <w:rsid w:val="00BE0E6D"/>
    <w:rsid w:val="00BE1294"/>
    <w:rsid w:val="00BE2A2E"/>
    <w:rsid w:val="00BE2CD5"/>
    <w:rsid w:val="00BE2E74"/>
    <w:rsid w:val="00BE390E"/>
    <w:rsid w:val="00BE3D26"/>
    <w:rsid w:val="00BE4856"/>
    <w:rsid w:val="00BE4923"/>
    <w:rsid w:val="00BE5BC7"/>
    <w:rsid w:val="00BE5BE8"/>
    <w:rsid w:val="00BE6ABD"/>
    <w:rsid w:val="00BE6BE7"/>
    <w:rsid w:val="00BE7DE1"/>
    <w:rsid w:val="00BF1B65"/>
    <w:rsid w:val="00BF3AF5"/>
    <w:rsid w:val="00BF4692"/>
    <w:rsid w:val="00BF47C8"/>
    <w:rsid w:val="00BF4C7D"/>
    <w:rsid w:val="00BF5B8A"/>
    <w:rsid w:val="00BF64E3"/>
    <w:rsid w:val="00BF64F0"/>
    <w:rsid w:val="00BF665F"/>
    <w:rsid w:val="00BF66EB"/>
    <w:rsid w:val="00BF719C"/>
    <w:rsid w:val="00BF770C"/>
    <w:rsid w:val="00BF77F1"/>
    <w:rsid w:val="00C00823"/>
    <w:rsid w:val="00C00BA3"/>
    <w:rsid w:val="00C010CD"/>
    <w:rsid w:val="00C0218A"/>
    <w:rsid w:val="00C033A3"/>
    <w:rsid w:val="00C035C7"/>
    <w:rsid w:val="00C0411C"/>
    <w:rsid w:val="00C04A5D"/>
    <w:rsid w:val="00C04B22"/>
    <w:rsid w:val="00C04C27"/>
    <w:rsid w:val="00C04C9C"/>
    <w:rsid w:val="00C067A2"/>
    <w:rsid w:val="00C06D9D"/>
    <w:rsid w:val="00C07040"/>
    <w:rsid w:val="00C11780"/>
    <w:rsid w:val="00C11B8D"/>
    <w:rsid w:val="00C1454E"/>
    <w:rsid w:val="00C1558B"/>
    <w:rsid w:val="00C164FC"/>
    <w:rsid w:val="00C16745"/>
    <w:rsid w:val="00C16B7A"/>
    <w:rsid w:val="00C175C5"/>
    <w:rsid w:val="00C1779E"/>
    <w:rsid w:val="00C17ED0"/>
    <w:rsid w:val="00C201A3"/>
    <w:rsid w:val="00C20612"/>
    <w:rsid w:val="00C21074"/>
    <w:rsid w:val="00C212EF"/>
    <w:rsid w:val="00C21640"/>
    <w:rsid w:val="00C21760"/>
    <w:rsid w:val="00C222F2"/>
    <w:rsid w:val="00C228FE"/>
    <w:rsid w:val="00C229AA"/>
    <w:rsid w:val="00C22AF2"/>
    <w:rsid w:val="00C24136"/>
    <w:rsid w:val="00C24B67"/>
    <w:rsid w:val="00C25219"/>
    <w:rsid w:val="00C25843"/>
    <w:rsid w:val="00C2584A"/>
    <w:rsid w:val="00C25855"/>
    <w:rsid w:val="00C25981"/>
    <w:rsid w:val="00C25FA2"/>
    <w:rsid w:val="00C26496"/>
    <w:rsid w:val="00C264E5"/>
    <w:rsid w:val="00C2678F"/>
    <w:rsid w:val="00C26CF7"/>
    <w:rsid w:val="00C27B82"/>
    <w:rsid w:val="00C27EC7"/>
    <w:rsid w:val="00C301EF"/>
    <w:rsid w:val="00C30BA2"/>
    <w:rsid w:val="00C31260"/>
    <w:rsid w:val="00C3168F"/>
    <w:rsid w:val="00C31D7E"/>
    <w:rsid w:val="00C327AA"/>
    <w:rsid w:val="00C32E0C"/>
    <w:rsid w:val="00C32FE2"/>
    <w:rsid w:val="00C33849"/>
    <w:rsid w:val="00C344F7"/>
    <w:rsid w:val="00C34650"/>
    <w:rsid w:val="00C34975"/>
    <w:rsid w:val="00C35686"/>
    <w:rsid w:val="00C360DF"/>
    <w:rsid w:val="00C3620E"/>
    <w:rsid w:val="00C36948"/>
    <w:rsid w:val="00C36B0B"/>
    <w:rsid w:val="00C373C8"/>
    <w:rsid w:val="00C4046B"/>
    <w:rsid w:val="00C42229"/>
    <w:rsid w:val="00C425A8"/>
    <w:rsid w:val="00C428DC"/>
    <w:rsid w:val="00C42B33"/>
    <w:rsid w:val="00C42DC9"/>
    <w:rsid w:val="00C43EAD"/>
    <w:rsid w:val="00C45BDE"/>
    <w:rsid w:val="00C45C7F"/>
    <w:rsid w:val="00C46021"/>
    <w:rsid w:val="00C46797"/>
    <w:rsid w:val="00C467BA"/>
    <w:rsid w:val="00C469F6"/>
    <w:rsid w:val="00C46E90"/>
    <w:rsid w:val="00C50902"/>
    <w:rsid w:val="00C52614"/>
    <w:rsid w:val="00C52BD0"/>
    <w:rsid w:val="00C52E2C"/>
    <w:rsid w:val="00C541B1"/>
    <w:rsid w:val="00C54643"/>
    <w:rsid w:val="00C54740"/>
    <w:rsid w:val="00C547CE"/>
    <w:rsid w:val="00C54B50"/>
    <w:rsid w:val="00C54B97"/>
    <w:rsid w:val="00C54BE7"/>
    <w:rsid w:val="00C55813"/>
    <w:rsid w:val="00C55D09"/>
    <w:rsid w:val="00C55D57"/>
    <w:rsid w:val="00C5606F"/>
    <w:rsid w:val="00C5693D"/>
    <w:rsid w:val="00C5731C"/>
    <w:rsid w:val="00C57D15"/>
    <w:rsid w:val="00C57D69"/>
    <w:rsid w:val="00C60085"/>
    <w:rsid w:val="00C60143"/>
    <w:rsid w:val="00C601F7"/>
    <w:rsid w:val="00C602E0"/>
    <w:rsid w:val="00C602EA"/>
    <w:rsid w:val="00C60392"/>
    <w:rsid w:val="00C6047F"/>
    <w:rsid w:val="00C610C1"/>
    <w:rsid w:val="00C61125"/>
    <w:rsid w:val="00C6189A"/>
    <w:rsid w:val="00C61CF1"/>
    <w:rsid w:val="00C6271F"/>
    <w:rsid w:val="00C630D4"/>
    <w:rsid w:val="00C63365"/>
    <w:rsid w:val="00C646B5"/>
    <w:rsid w:val="00C6540B"/>
    <w:rsid w:val="00C656DE"/>
    <w:rsid w:val="00C65FB9"/>
    <w:rsid w:val="00C66EFA"/>
    <w:rsid w:val="00C67598"/>
    <w:rsid w:val="00C6783F"/>
    <w:rsid w:val="00C67A1C"/>
    <w:rsid w:val="00C67D09"/>
    <w:rsid w:val="00C67D72"/>
    <w:rsid w:val="00C703F5"/>
    <w:rsid w:val="00C717E6"/>
    <w:rsid w:val="00C728EB"/>
    <w:rsid w:val="00C72BBC"/>
    <w:rsid w:val="00C72C41"/>
    <w:rsid w:val="00C7380C"/>
    <w:rsid w:val="00C73E90"/>
    <w:rsid w:val="00C7462A"/>
    <w:rsid w:val="00C75BDD"/>
    <w:rsid w:val="00C761E0"/>
    <w:rsid w:val="00C76382"/>
    <w:rsid w:val="00C806FE"/>
    <w:rsid w:val="00C80F24"/>
    <w:rsid w:val="00C81210"/>
    <w:rsid w:val="00C8133A"/>
    <w:rsid w:val="00C840F5"/>
    <w:rsid w:val="00C85228"/>
    <w:rsid w:val="00C85BDD"/>
    <w:rsid w:val="00C85DB0"/>
    <w:rsid w:val="00C85E89"/>
    <w:rsid w:val="00C85FAA"/>
    <w:rsid w:val="00C8600C"/>
    <w:rsid w:val="00C863D4"/>
    <w:rsid w:val="00C8672A"/>
    <w:rsid w:val="00C86E6D"/>
    <w:rsid w:val="00C86FFA"/>
    <w:rsid w:val="00C8769D"/>
    <w:rsid w:val="00C87B6A"/>
    <w:rsid w:val="00C87D2B"/>
    <w:rsid w:val="00C90246"/>
    <w:rsid w:val="00C90653"/>
    <w:rsid w:val="00C90B32"/>
    <w:rsid w:val="00C90C12"/>
    <w:rsid w:val="00C90CE8"/>
    <w:rsid w:val="00C91858"/>
    <w:rsid w:val="00C9292F"/>
    <w:rsid w:val="00C9342A"/>
    <w:rsid w:val="00C9434A"/>
    <w:rsid w:val="00C94696"/>
    <w:rsid w:val="00C947C5"/>
    <w:rsid w:val="00C94D34"/>
    <w:rsid w:val="00C95DB9"/>
    <w:rsid w:val="00C960D9"/>
    <w:rsid w:val="00C96E1A"/>
    <w:rsid w:val="00C97171"/>
    <w:rsid w:val="00C974DA"/>
    <w:rsid w:val="00C97EEF"/>
    <w:rsid w:val="00CA0D9D"/>
    <w:rsid w:val="00CA1360"/>
    <w:rsid w:val="00CA2B69"/>
    <w:rsid w:val="00CA31CC"/>
    <w:rsid w:val="00CA3E52"/>
    <w:rsid w:val="00CA411D"/>
    <w:rsid w:val="00CA5E19"/>
    <w:rsid w:val="00CA5EFF"/>
    <w:rsid w:val="00CA6015"/>
    <w:rsid w:val="00CA607F"/>
    <w:rsid w:val="00CA691C"/>
    <w:rsid w:val="00CA6B90"/>
    <w:rsid w:val="00CA70B1"/>
    <w:rsid w:val="00CA7FDA"/>
    <w:rsid w:val="00CB050D"/>
    <w:rsid w:val="00CB0607"/>
    <w:rsid w:val="00CB1058"/>
    <w:rsid w:val="00CB152D"/>
    <w:rsid w:val="00CB15BC"/>
    <w:rsid w:val="00CB194A"/>
    <w:rsid w:val="00CB19C8"/>
    <w:rsid w:val="00CB2868"/>
    <w:rsid w:val="00CB3A6D"/>
    <w:rsid w:val="00CB3D10"/>
    <w:rsid w:val="00CB51DB"/>
    <w:rsid w:val="00CB56CD"/>
    <w:rsid w:val="00CB7003"/>
    <w:rsid w:val="00CB7625"/>
    <w:rsid w:val="00CB762E"/>
    <w:rsid w:val="00CB786F"/>
    <w:rsid w:val="00CB7CB6"/>
    <w:rsid w:val="00CC011F"/>
    <w:rsid w:val="00CC01C4"/>
    <w:rsid w:val="00CC0358"/>
    <w:rsid w:val="00CC08C5"/>
    <w:rsid w:val="00CC0DA4"/>
    <w:rsid w:val="00CC1A7C"/>
    <w:rsid w:val="00CC2474"/>
    <w:rsid w:val="00CC2D55"/>
    <w:rsid w:val="00CC3170"/>
    <w:rsid w:val="00CC3251"/>
    <w:rsid w:val="00CC5242"/>
    <w:rsid w:val="00CC5470"/>
    <w:rsid w:val="00CC54A4"/>
    <w:rsid w:val="00CC68E1"/>
    <w:rsid w:val="00CC6A37"/>
    <w:rsid w:val="00CD0319"/>
    <w:rsid w:val="00CD07C6"/>
    <w:rsid w:val="00CD086B"/>
    <w:rsid w:val="00CD1288"/>
    <w:rsid w:val="00CD1ED6"/>
    <w:rsid w:val="00CD2D2D"/>
    <w:rsid w:val="00CD4AAE"/>
    <w:rsid w:val="00CD4E3D"/>
    <w:rsid w:val="00CD5052"/>
    <w:rsid w:val="00CD5385"/>
    <w:rsid w:val="00CD5625"/>
    <w:rsid w:val="00CD5985"/>
    <w:rsid w:val="00CD67E0"/>
    <w:rsid w:val="00CD67E9"/>
    <w:rsid w:val="00CD755D"/>
    <w:rsid w:val="00CD7841"/>
    <w:rsid w:val="00CD7B8E"/>
    <w:rsid w:val="00CD7D42"/>
    <w:rsid w:val="00CE02B2"/>
    <w:rsid w:val="00CE092E"/>
    <w:rsid w:val="00CE145E"/>
    <w:rsid w:val="00CE1A87"/>
    <w:rsid w:val="00CE1BFC"/>
    <w:rsid w:val="00CE2764"/>
    <w:rsid w:val="00CE286F"/>
    <w:rsid w:val="00CE288E"/>
    <w:rsid w:val="00CE2C66"/>
    <w:rsid w:val="00CE36AA"/>
    <w:rsid w:val="00CE3961"/>
    <w:rsid w:val="00CE510C"/>
    <w:rsid w:val="00CE639C"/>
    <w:rsid w:val="00CE693F"/>
    <w:rsid w:val="00CE6E9D"/>
    <w:rsid w:val="00CE6FE6"/>
    <w:rsid w:val="00CE7095"/>
    <w:rsid w:val="00CE7371"/>
    <w:rsid w:val="00CE74EE"/>
    <w:rsid w:val="00CE7AEF"/>
    <w:rsid w:val="00CF057C"/>
    <w:rsid w:val="00CF0EE6"/>
    <w:rsid w:val="00CF1970"/>
    <w:rsid w:val="00CF29A0"/>
    <w:rsid w:val="00CF2F37"/>
    <w:rsid w:val="00CF365D"/>
    <w:rsid w:val="00CF366F"/>
    <w:rsid w:val="00CF413C"/>
    <w:rsid w:val="00CF527B"/>
    <w:rsid w:val="00CF53F7"/>
    <w:rsid w:val="00CF556E"/>
    <w:rsid w:val="00CF5738"/>
    <w:rsid w:val="00CF597D"/>
    <w:rsid w:val="00CF5A21"/>
    <w:rsid w:val="00CF60E9"/>
    <w:rsid w:val="00CF654B"/>
    <w:rsid w:val="00CF66B6"/>
    <w:rsid w:val="00CF6790"/>
    <w:rsid w:val="00CF6A89"/>
    <w:rsid w:val="00CF6BFD"/>
    <w:rsid w:val="00CF6F25"/>
    <w:rsid w:val="00CF7D71"/>
    <w:rsid w:val="00D00118"/>
    <w:rsid w:val="00D00BEF"/>
    <w:rsid w:val="00D01BFE"/>
    <w:rsid w:val="00D01D1C"/>
    <w:rsid w:val="00D02068"/>
    <w:rsid w:val="00D037CA"/>
    <w:rsid w:val="00D03E66"/>
    <w:rsid w:val="00D04259"/>
    <w:rsid w:val="00D044FF"/>
    <w:rsid w:val="00D059C5"/>
    <w:rsid w:val="00D059F0"/>
    <w:rsid w:val="00D06540"/>
    <w:rsid w:val="00D067D5"/>
    <w:rsid w:val="00D067DB"/>
    <w:rsid w:val="00D0692F"/>
    <w:rsid w:val="00D0694A"/>
    <w:rsid w:val="00D104F6"/>
    <w:rsid w:val="00D11302"/>
    <w:rsid w:val="00D12B86"/>
    <w:rsid w:val="00D1338A"/>
    <w:rsid w:val="00D134E7"/>
    <w:rsid w:val="00D14878"/>
    <w:rsid w:val="00D14997"/>
    <w:rsid w:val="00D14F60"/>
    <w:rsid w:val="00D16BC2"/>
    <w:rsid w:val="00D16BE7"/>
    <w:rsid w:val="00D17505"/>
    <w:rsid w:val="00D2001C"/>
    <w:rsid w:val="00D203BE"/>
    <w:rsid w:val="00D22A39"/>
    <w:rsid w:val="00D23FF2"/>
    <w:rsid w:val="00D244A2"/>
    <w:rsid w:val="00D24961"/>
    <w:rsid w:val="00D2500B"/>
    <w:rsid w:val="00D25285"/>
    <w:rsid w:val="00D255EB"/>
    <w:rsid w:val="00D25EC7"/>
    <w:rsid w:val="00D26193"/>
    <w:rsid w:val="00D270FD"/>
    <w:rsid w:val="00D27B0D"/>
    <w:rsid w:val="00D3107A"/>
    <w:rsid w:val="00D319A2"/>
    <w:rsid w:val="00D329DB"/>
    <w:rsid w:val="00D33007"/>
    <w:rsid w:val="00D331FD"/>
    <w:rsid w:val="00D337AB"/>
    <w:rsid w:val="00D33A9A"/>
    <w:rsid w:val="00D33E94"/>
    <w:rsid w:val="00D3400E"/>
    <w:rsid w:val="00D3487F"/>
    <w:rsid w:val="00D34C5D"/>
    <w:rsid w:val="00D35600"/>
    <w:rsid w:val="00D362AA"/>
    <w:rsid w:val="00D3668E"/>
    <w:rsid w:val="00D3679B"/>
    <w:rsid w:val="00D369F3"/>
    <w:rsid w:val="00D36FB5"/>
    <w:rsid w:val="00D37CCD"/>
    <w:rsid w:val="00D37F9F"/>
    <w:rsid w:val="00D40009"/>
    <w:rsid w:val="00D4181A"/>
    <w:rsid w:val="00D42116"/>
    <w:rsid w:val="00D42A00"/>
    <w:rsid w:val="00D43500"/>
    <w:rsid w:val="00D4499C"/>
    <w:rsid w:val="00D44E37"/>
    <w:rsid w:val="00D468B7"/>
    <w:rsid w:val="00D46A77"/>
    <w:rsid w:val="00D47253"/>
    <w:rsid w:val="00D475CF"/>
    <w:rsid w:val="00D506DA"/>
    <w:rsid w:val="00D5087A"/>
    <w:rsid w:val="00D5093F"/>
    <w:rsid w:val="00D510EF"/>
    <w:rsid w:val="00D51116"/>
    <w:rsid w:val="00D5121D"/>
    <w:rsid w:val="00D52B0A"/>
    <w:rsid w:val="00D53780"/>
    <w:rsid w:val="00D53D10"/>
    <w:rsid w:val="00D53F54"/>
    <w:rsid w:val="00D54AC3"/>
    <w:rsid w:val="00D55561"/>
    <w:rsid w:val="00D55B59"/>
    <w:rsid w:val="00D55DAF"/>
    <w:rsid w:val="00D55EB0"/>
    <w:rsid w:val="00D5613E"/>
    <w:rsid w:val="00D56D4E"/>
    <w:rsid w:val="00D57395"/>
    <w:rsid w:val="00D57B6A"/>
    <w:rsid w:val="00D623AD"/>
    <w:rsid w:val="00D62B64"/>
    <w:rsid w:val="00D62D48"/>
    <w:rsid w:val="00D635EA"/>
    <w:rsid w:val="00D63D11"/>
    <w:rsid w:val="00D64F87"/>
    <w:rsid w:val="00D65522"/>
    <w:rsid w:val="00D65C15"/>
    <w:rsid w:val="00D65CA8"/>
    <w:rsid w:val="00D65E3D"/>
    <w:rsid w:val="00D65E44"/>
    <w:rsid w:val="00D65EE1"/>
    <w:rsid w:val="00D66FB1"/>
    <w:rsid w:val="00D67AF3"/>
    <w:rsid w:val="00D67BA3"/>
    <w:rsid w:val="00D67C07"/>
    <w:rsid w:val="00D71628"/>
    <w:rsid w:val="00D7181A"/>
    <w:rsid w:val="00D718AE"/>
    <w:rsid w:val="00D71E93"/>
    <w:rsid w:val="00D720FC"/>
    <w:rsid w:val="00D72B86"/>
    <w:rsid w:val="00D72DE1"/>
    <w:rsid w:val="00D73388"/>
    <w:rsid w:val="00D73C20"/>
    <w:rsid w:val="00D74685"/>
    <w:rsid w:val="00D7482F"/>
    <w:rsid w:val="00D75A1F"/>
    <w:rsid w:val="00D766F8"/>
    <w:rsid w:val="00D77D63"/>
    <w:rsid w:val="00D809BC"/>
    <w:rsid w:val="00D81846"/>
    <w:rsid w:val="00D81885"/>
    <w:rsid w:val="00D821C6"/>
    <w:rsid w:val="00D82646"/>
    <w:rsid w:val="00D82A5B"/>
    <w:rsid w:val="00D82D0A"/>
    <w:rsid w:val="00D82EC0"/>
    <w:rsid w:val="00D839A4"/>
    <w:rsid w:val="00D839DE"/>
    <w:rsid w:val="00D83AB6"/>
    <w:rsid w:val="00D83B0F"/>
    <w:rsid w:val="00D84693"/>
    <w:rsid w:val="00D85974"/>
    <w:rsid w:val="00D86272"/>
    <w:rsid w:val="00D872A6"/>
    <w:rsid w:val="00D87A91"/>
    <w:rsid w:val="00D90643"/>
    <w:rsid w:val="00D90C98"/>
    <w:rsid w:val="00D91447"/>
    <w:rsid w:val="00D9192F"/>
    <w:rsid w:val="00D919A7"/>
    <w:rsid w:val="00D919C4"/>
    <w:rsid w:val="00D91CEC"/>
    <w:rsid w:val="00D927C7"/>
    <w:rsid w:val="00D92823"/>
    <w:rsid w:val="00D93652"/>
    <w:rsid w:val="00D9413A"/>
    <w:rsid w:val="00D94BB7"/>
    <w:rsid w:val="00D94D8E"/>
    <w:rsid w:val="00D95C2B"/>
    <w:rsid w:val="00D96030"/>
    <w:rsid w:val="00D9618C"/>
    <w:rsid w:val="00D96939"/>
    <w:rsid w:val="00D97950"/>
    <w:rsid w:val="00DA015D"/>
    <w:rsid w:val="00DA039A"/>
    <w:rsid w:val="00DA06C2"/>
    <w:rsid w:val="00DA0C0F"/>
    <w:rsid w:val="00DA0D4B"/>
    <w:rsid w:val="00DA126D"/>
    <w:rsid w:val="00DA23EE"/>
    <w:rsid w:val="00DA2871"/>
    <w:rsid w:val="00DA37D9"/>
    <w:rsid w:val="00DA46A4"/>
    <w:rsid w:val="00DA479A"/>
    <w:rsid w:val="00DA4E41"/>
    <w:rsid w:val="00DA4F96"/>
    <w:rsid w:val="00DA5374"/>
    <w:rsid w:val="00DA57C0"/>
    <w:rsid w:val="00DA5EB4"/>
    <w:rsid w:val="00DA62E8"/>
    <w:rsid w:val="00DA67CA"/>
    <w:rsid w:val="00DA6EA2"/>
    <w:rsid w:val="00DA7022"/>
    <w:rsid w:val="00DA7990"/>
    <w:rsid w:val="00DB04A2"/>
    <w:rsid w:val="00DB0962"/>
    <w:rsid w:val="00DB09F5"/>
    <w:rsid w:val="00DB1101"/>
    <w:rsid w:val="00DB2698"/>
    <w:rsid w:val="00DB285F"/>
    <w:rsid w:val="00DB29C5"/>
    <w:rsid w:val="00DB319E"/>
    <w:rsid w:val="00DB34BD"/>
    <w:rsid w:val="00DB3E36"/>
    <w:rsid w:val="00DB4B71"/>
    <w:rsid w:val="00DB6807"/>
    <w:rsid w:val="00DB6B50"/>
    <w:rsid w:val="00DB71EB"/>
    <w:rsid w:val="00DB780B"/>
    <w:rsid w:val="00DB7BB7"/>
    <w:rsid w:val="00DC0ADC"/>
    <w:rsid w:val="00DC0D1D"/>
    <w:rsid w:val="00DC0F8F"/>
    <w:rsid w:val="00DC1EED"/>
    <w:rsid w:val="00DC2064"/>
    <w:rsid w:val="00DC22A6"/>
    <w:rsid w:val="00DC2382"/>
    <w:rsid w:val="00DC2499"/>
    <w:rsid w:val="00DC2A99"/>
    <w:rsid w:val="00DC2CFF"/>
    <w:rsid w:val="00DC2DB4"/>
    <w:rsid w:val="00DC2FD1"/>
    <w:rsid w:val="00DC331C"/>
    <w:rsid w:val="00DC37EB"/>
    <w:rsid w:val="00DC4942"/>
    <w:rsid w:val="00DC4F93"/>
    <w:rsid w:val="00DC541A"/>
    <w:rsid w:val="00DC5C38"/>
    <w:rsid w:val="00DC68AC"/>
    <w:rsid w:val="00DC7DFF"/>
    <w:rsid w:val="00DC7E0F"/>
    <w:rsid w:val="00DD02A9"/>
    <w:rsid w:val="00DD0AE3"/>
    <w:rsid w:val="00DD0B8C"/>
    <w:rsid w:val="00DD144C"/>
    <w:rsid w:val="00DD1FBA"/>
    <w:rsid w:val="00DD2D69"/>
    <w:rsid w:val="00DD3A99"/>
    <w:rsid w:val="00DD4074"/>
    <w:rsid w:val="00DD4B7B"/>
    <w:rsid w:val="00DD5117"/>
    <w:rsid w:val="00DD5232"/>
    <w:rsid w:val="00DD54BD"/>
    <w:rsid w:val="00DD5B76"/>
    <w:rsid w:val="00DD5E31"/>
    <w:rsid w:val="00DD6919"/>
    <w:rsid w:val="00DD6D25"/>
    <w:rsid w:val="00DD6F9A"/>
    <w:rsid w:val="00DD7851"/>
    <w:rsid w:val="00DD7DAA"/>
    <w:rsid w:val="00DE0863"/>
    <w:rsid w:val="00DE0EA8"/>
    <w:rsid w:val="00DE1DE3"/>
    <w:rsid w:val="00DE22A3"/>
    <w:rsid w:val="00DE30FE"/>
    <w:rsid w:val="00DE50D5"/>
    <w:rsid w:val="00DE59BD"/>
    <w:rsid w:val="00DE5A7C"/>
    <w:rsid w:val="00DE5CE1"/>
    <w:rsid w:val="00DE5FB8"/>
    <w:rsid w:val="00DE6710"/>
    <w:rsid w:val="00DE716B"/>
    <w:rsid w:val="00DE7894"/>
    <w:rsid w:val="00DE7D2B"/>
    <w:rsid w:val="00DF07DE"/>
    <w:rsid w:val="00DF0AD1"/>
    <w:rsid w:val="00DF0EE1"/>
    <w:rsid w:val="00DF11C1"/>
    <w:rsid w:val="00DF1F3E"/>
    <w:rsid w:val="00DF23DA"/>
    <w:rsid w:val="00DF2A7C"/>
    <w:rsid w:val="00DF3CA5"/>
    <w:rsid w:val="00DF4F5B"/>
    <w:rsid w:val="00DF534D"/>
    <w:rsid w:val="00DF550D"/>
    <w:rsid w:val="00DF68C1"/>
    <w:rsid w:val="00DF6C6F"/>
    <w:rsid w:val="00DF6D08"/>
    <w:rsid w:val="00DF71E5"/>
    <w:rsid w:val="00DF7605"/>
    <w:rsid w:val="00E004AB"/>
    <w:rsid w:val="00E00D06"/>
    <w:rsid w:val="00E00D91"/>
    <w:rsid w:val="00E015AF"/>
    <w:rsid w:val="00E017E8"/>
    <w:rsid w:val="00E0250B"/>
    <w:rsid w:val="00E0260A"/>
    <w:rsid w:val="00E027CB"/>
    <w:rsid w:val="00E02A0C"/>
    <w:rsid w:val="00E02B39"/>
    <w:rsid w:val="00E02DFC"/>
    <w:rsid w:val="00E03591"/>
    <w:rsid w:val="00E03BB4"/>
    <w:rsid w:val="00E03C85"/>
    <w:rsid w:val="00E041E4"/>
    <w:rsid w:val="00E048F7"/>
    <w:rsid w:val="00E04B67"/>
    <w:rsid w:val="00E059FA"/>
    <w:rsid w:val="00E0740B"/>
    <w:rsid w:val="00E07581"/>
    <w:rsid w:val="00E07B69"/>
    <w:rsid w:val="00E10A6A"/>
    <w:rsid w:val="00E10E90"/>
    <w:rsid w:val="00E11C56"/>
    <w:rsid w:val="00E11C89"/>
    <w:rsid w:val="00E11E60"/>
    <w:rsid w:val="00E11F9B"/>
    <w:rsid w:val="00E127A1"/>
    <w:rsid w:val="00E12973"/>
    <w:rsid w:val="00E13C2B"/>
    <w:rsid w:val="00E13D24"/>
    <w:rsid w:val="00E149A1"/>
    <w:rsid w:val="00E14AC7"/>
    <w:rsid w:val="00E15585"/>
    <w:rsid w:val="00E1653D"/>
    <w:rsid w:val="00E166B3"/>
    <w:rsid w:val="00E16AD0"/>
    <w:rsid w:val="00E173F2"/>
    <w:rsid w:val="00E17552"/>
    <w:rsid w:val="00E179BD"/>
    <w:rsid w:val="00E17AB3"/>
    <w:rsid w:val="00E17BF8"/>
    <w:rsid w:val="00E17E4F"/>
    <w:rsid w:val="00E17F97"/>
    <w:rsid w:val="00E2022E"/>
    <w:rsid w:val="00E20EA2"/>
    <w:rsid w:val="00E20F17"/>
    <w:rsid w:val="00E22666"/>
    <w:rsid w:val="00E2275D"/>
    <w:rsid w:val="00E22803"/>
    <w:rsid w:val="00E23216"/>
    <w:rsid w:val="00E2388D"/>
    <w:rsid w:val="00E23F64"/>
    <w:rsid w:val="00E2453A"/>
    <w:rsid w:val="00E249F2"/>
    <w:rsid w:val="00E24D6F"/>
    <w:rsid w:val="00E250DA"/>
    <w:rsid w:val="00E25F00"/>
    <w:rsid w:val="00E26517"/>
    <w:rsid w:val="00E26D69"/>
    <w:rsid w:val="00E27684"/>
    <w:rsid w:val="00E27EC3"/>
    <w:rsid w:val="00E30675"/>
    <w:rsid w:val="00E3078D"/>
    <w:rsid w:val="00E30E2F"/>
    <w:rsid w:val="00E317CF"/>
    <w:rsid w:val="00E31B75"/>
    <w:rsid w:val="00E32258"/>
    <w:rsid w:val="00E328B1"/>
    <w:rsid w:val="00E32ADD"/>
    <w:rsid w:val="00E334F6"/>
    <w:rsid w:val="00E34F2B"/>
    <w:rsid w:val="00E358AB"/>
    <w:rsid w:val="00E35A1B"/>
    <w:rsid w:val="00E35DF6"/>
    <w:rsid w:val="00E36623"/>
    <w:rsid w:val="00E3669C"/>
    <w:rsid w:val="00E36C00"/>
    <w:rsid w:val="00E36EBA"/>
    <w:rsid w:val="00E37704"/>
    <w:rsid w:val="00E37E38"/>
    <w:rsid w:val="00E4067E"/>
    <w:rsid w:val="00E40D41"/>
    <w:rsid w:val="00E41DB2"/>
    <w:rsid w:val="00E42467"/>
    <w:rsid w:val="00E42DB6"/>
    <w:rsid w:val="00E42EB6"/>
    <w:rsid w:val="00E4310D"/>
    <w:rsid w:val="00E43B56"/>
    <w:rsid w:val="00E43FE2"/>
    <w:rsid w:val="00E44421"/>
    <w:rsid w:val="00E44584"/>
    <w:rsid w:val="00E45CC3"/>
    <w:rsid w:val="00E46175"/>
    <w:rsid w:val="00E463B6"/>
    <w:rsid w:val="00E4666D"/>
    <w:rsid w:val="00E4677F"/>
    <w:rsid w:val="00E46943"/>
    <w:rsid w:val="00E500D1"/>
    <w:rsid w:val="00E5048F"/>
    <w:rsid w:val="00E50730"/>
    <w:rsid w:val="00E50A4B"/>
    <w:rsid w:val="00E50CE8"/>
    <w:rsid w:val="00E51EF2"/>
    <w:rsid w:val="00E52395"/>
    <w:rsid w:val="00E52572"/>
    <w:rsid w:val="00E5298B"/>
    <w:rsid w:val="00E5413E"/>
    <w:rsid w:val="00E54626"/>
    <w:rsid w:val="00E546D3"/>
    <w:rsid w:val="00E551CF"/>
    <w:rsid w:val="00E55249"/>
    <w:rsid w:val="00E556D2"/>
    <w:rsid w:val="00E55760"/>
    <w:rsid w:val="00E559F0"/>
    <w:rsid w:val="00E5603E"/>
    <w:rsid w:val="00E5664E"/>
    <w:rsid w:val="00E60280"/>
    <w:rsid w:val="00E60B93"/>
    <w:rsid w:val="00E618E4"/>
    <w:rsid w:val="00E6272C"/>
    <w:rsid w:val="00E63665"/>
    <w:rsid w:val="00E63AAF"/>
    <w:rsid w:val="00E63B13"/>
    <w:rsid w:val="00E63FE7"/>
    <w:rsid w:val="00E642FA"/>
    <w:rsid w:val="00E6693A"/>
    <w:rsid w:val="00E67A16"/>
    <w:rsid w:val="00E70096"/>
    <w:rsid w:val="00E702AB"/>
    <w:rsid w:val="00E7046A"/>
    <w:rsid w:val="00E71225"/>
    <w:rsid w:val="00E713DF"/>
    <w:rsid w:val="00E7230B"/>
    <w:rsid w:val="00E72FCD"/>
    <w:rsid w:val="00E73FD4"/>
    <w:rsid w:val="00E7406B"/>
    <w:rsid w:val="00E7410D"/>
    <w:rsid w:val="00E74224"/>
    <w:rsid w:val="00E748AF"/>
    <w:rsid w:val="00E7492F"/>
    <w:rsid w:val="00E75188"/>
    <w:rsid w:val="00E75385"/>
    <w:rsid w:val="00E7541F"/>
    <w:rsid w:val="00E75803"/>
    <w:rsid w:val="00E75EA6"/>
    <w:rsid w:val="00E769F8"/>
    <w:rsid w:val="00E76AF9"/>
    <w:rsid w:val="00E771DB"/>
    <w:rsid w:val="00E77F5C"/>
    <w:rsid w:val="00E806A5"/>
    <w:rsid w:val="00E81D1F"/>
    <w:rsid w:val="00E81EC5"/>
    <w:rsid w:val="00E82944"/>
    <w:rsid w:val="00E829CA"/>
    <w:rsid w:val="00E82E39"/>
    <w:rsid w:val="00E82E58"/>
    <w:rsid w:val="00E83730"/>
    <w:rsid w:val="00E83814"/>
    <w:rsid w:val="00E83D19"/>
    <w:rsid w:val="00E84D80"/>
    <w:rsid w:val="00E851EB"/>
    <w:rsid w:val="00E86709"/>
    <w:rsid w:val="00E86AA7"/>
    <w:rsid w:val="00E86E31"/>
    <w:rsid w:val="00E86F15"/>
    <w:rsid w:val="00E876F4"/>
    <w:rsid w:val="00E8779C"/>
    <w:rsid w:val="00E90167"/>
    <w:rsid w:val="00E90970"/>
    <w:rsid w:val="00E90E89"/>
    <w:rsid w:val="00E91736"/>
    <w:rsid w:val="00E9201A"/>
    <w:rsid w:val="00E92671"/>
    <w:rsid w:val="00E935A9"/>
    <w:rsid w:val="00E93E2B"/>
    <w:rsid w:val="00E93F31"/>
    <w:rsid w:val="00E9456E"/>
    <w:rsid w:val="00E953BE"/>
    <w:rsid w:val="00E955EB"/>
    <w:rsid w:val="00E96F10"/>
    <w:rsid w:val="00E97064"/>
    <w:rsid w:val="00E9713B"/>
    <w:rsid w:val="00E976B0"/>
    <w:rsid w:val="00E976DF"/>
    <w:rsid w:val="00E97771"/>
    <w:rsid w:val="00E978C1"/>
    <w:rsid w:val="00E97B0C"/>
    <w:rsid w:val="00EA1337"/>
    <w:rsid w:val="00EA1C23"/>
    <w:rsid w:val="00EA1C76"/>
    <w:rsid w:val="00EA326C"/>
    <w:rsid w:val="00EA423D"/>
    <w:rsid w:val="00EA433F"/>
    <w:rsid w:val="00EA4716"/>
    <w:rsid w:val="00EA4BE5"/>
    <w:rsid w:val="00EA4D5F"/>
    <w:rsid w:val="00EA4EF2"/>
    <w:rsid w:val="00EA59B9"/>
    <w:rsid w:val="00EA5EBF"/>
    <w:rsid w:val="00EA61E8"/>
    <w:rsid w:val="00EA6648"/>
    <w:rsid w:val="00EA6748"/>
    <w:rsid w:val="00EA7706"/>
    <w:rsid w:val="00EA77BA"/>
    <w:rsid w:val="00EA7C73"/>
    <w:rsid w:val="00EB0381"/>
    <w:rsid w:val="00EB092D"/>
    <w:rsid w:val="00EB2702"/>
    <w:rsid w:val="00EB2720"/>
    <w:rsid w:val="00EB3260"/>
    <w:rsid w:val="00EB33B6"/>
    <w:rsid w:val="00EB3598"/>
    <w:rsid w:val="00EB3F32"/>
    <w:rsid w:val="00EB58B8"/>
    <w:rsid w:val="00EB5F16"/>
    <w:rsid w:val="00EB6B3B"/>
    <w:rsid w:val="00EB6D52"/>
    <w:rsid w:val="00EB6FDD"/>
    <w:rsid w:val="00EB70FE"/>
    <w:rsid w:val="00EB74BF"/>
    <w:rsid w:val="00EB787B"/>
    <w:rsid w:val="00EC0853"/>
    <w:rsid w:val="00EC0A23"/>
    <w:rsid w:val="00EC0F7E"/>
    <w:rsid w:val="00EC118F"/>
    <w:rsid w:val="00EC237F"/>
    <w:rsid w:val="00EC2B65"/>
    <w:rsid w:val="00EC3144"/>
    <w:rsid w:val="00EC3521"/>
    <w:rsid w:val="00EC44E9"/>
    <w:rsid w:val="00EC45CC"/>
    <w:rsid w:val="00EC5F92"/>
    <w:rsid w:val="00EC65FA"/>
    <w:rsid w:val="00EC771E"/>
    <w:rsid w:val="00EC7DE3"/>
    <w:rsid w:val="00EC7F1A"/>
    <w:rsid w:val="00ED1210"/>
    <w:rsid w:val="00ED20D9"/>
    <w:rsid w:val="00ED2248"/>
    <w:rsid w:val="00ED23F2"/>
    <w:rsid w:val="00ED47F9"/>
    <w:rsid w:val="00ED4ABD"/>
    <w:rsid w:val="00ED56F9"/>
    <w:rsid w:val="00ED5C30"/>
    <w:rsid w:val="00ED64B5"/>
    <w:rsid w:val="00ED6511"/>
    <w:rsid w:val="00ED66EA"/>
    <w:rsid w:val="00ED6E13"/>
    <w:rsid w:val="00ED72BB"/>
    <w:rsid w:val="00ED7AD0"/>
    <w:rsid w:val="00ED7B05"/>
    <w:rsid w:val="00ED7EF4"/>
    <w:rsid w:val="00EE0461"/>
    <w:rsid w:val="00EE0642"/>
    <w:rsid w:val="00EE1606"/>
    <w:rsid w:val="00EE24A4"/>
    <w:rsid w:val="00EE251A"/>
    <w:rsid w:val="00EE2B50"/>
    <w:rsid w:val="00EE2C00"/>
    <w:rsid w:val="00EE2FDF"/>
    <w:rsid w:val="00EE323F"/>
    <w:rsid w:val="00EE3AB1"/>
    <w:rsid w:val="00EE3C1D"/>
    <w:rsid w:val="00EE3EDD"/>
    <w:rsid w:val="00EE60D5"/>
    <w:rsid w:val="00EE79FA"/>
    <w:rsid w:val="00EE7B95"/>
    <w:rsid w:val="00EF0A7E"/>
    <w:rsid w:val="00EF0BB0"/>
    <w:rsid w:val="00EF0C4E"/>
    <w:rsid w:val="00EF0F15"/>
    <w:rsid w:val="00EF15E3"/>
    <w:rsid w:val="00EF16FD"/>
    <w:rsid w:val="00EF1767"/>
    <w:rsid w:val="00EF24D7"/>
    <w:rsid w:val="00EF2B06"/>
    <w:rsid w:val="00EF343D"/>
    <w:rsid w:val="00EF3DB7"/>
    <w:rsid w:val="00EF40F0"/>
    <w:rsid w:val="00EF414B"/>
    <w:rsid w:val="00EF495C"/>
    <w:rsid w:val="00EF5029"/>
    <w:rsid w:val="00EF552C"/>
    <w:rsid w:val="00EF5536"/>
    <w:rsid w:val="00EF64E6"/>
    <w:rsid w:val="00EF68D7"/>
    <w:rsid w:val="00EF6DB1"/>
    <w:rsid w:val="00F0068A"/>
    <w:rsid w:val="00F0088E"/>
    <w:rsid w:val="00F009A0"/>
    <w:rsid w:val="00F010E3"/>
    <w:rsid w:val="00F0149A"/>
    <w:rsid w:val="00F01F5B"/>
    <w:rsid w:val="00F0273A"/>
    <w:rsid w:val="00F03814"/>
    <w:rsid w:val="00F04C39"/>
    <w:rsid w:val="00F04F82"/>
    <w:rsid w:val="00F05539"/>
    <w:rsid w:val="00F05948"/>
    <w:rsid w:val="00F05BE6"/>
    <w:rsid w:val="00F062F1"/>
    <w:rsid w:val="00F1109D"/>
    <w:rsid w:val="00F113B9"/>
    <w:rsid w:val="00F11625"/>
    <w:rsid w:val="00F12086"/>
    <w:rsid w:val="00F1597E"/>
    <w:rsid w:val="00F169FF"/>
    <w:rsid w:val="00F17287"/>
    <w:rsid w:val="00F17781"/>
    <w:rsid w:val="00F20747"/>
    <w:rsid w:val="00F20DA2"/>
    <w:rsid w:val="00F2140F"/>
    <w:rsid w:val="00F21E83"/>
    <w:rsid w:val="00F2208B"/>
    <w:rsid w:val="00F2222A"/>
    <w:rsid w:val="00F238A3"/>
    <w:rsid w:val="00F24605"/>
    <w:rsid w:val="00F24D90"/>
    <w:rsid w:val="00F250F4"/>
    <w:rsid w:val="00F257C1"/>
    <w:rsid w:val="00F26572"/>
    <w:rsid w:val="00F26CA2"/>
    <w:rsid w:val="00F27168"/>
    <w:rsid w:val="00F271DD"/>
    <w:rsid w:val="00F279F5"/>
    <w:rsid w:val="00F27ECC"/>
    <w:rsid w:val="00F30E7D"/>
    <w:rsid w:val="00F315C8"/>
    <w:rsid w:val="00F318AC"/>
    <w:rsid w:val="00F31952"/>
    <w:rsid w:val="00F31D40"/>
    <w:rsid w:val="00F325F4"/>
    <w:rsid w:val="00F32658"/>
    <w:rsid w:val="00F32ADF"/>
    <w:rsid w:val="00F32FC8"/>
    <w:rsid w:val="00F33051"/>
    <w:rsid w:val="00F334A5"/>
    <w:rsid w:val="00F36222"/>
    <w:rsid w:val="00F366A6"/>
    <w:rsid w:val="00F36A30"/>
    <w:rsid w:val="00F36B6D"/>
    <w:rsid w:val="00F36BD0"/>
    <w:rsid w:val="00F3748B"/>
    <w:rsid w:val="00F374E9"/>
    <w:rsid w:val="00F37815"/>
    <w:rsid w:val="00F401C7"/>
    <w:rsid w:val="00F40CA1"/>
    <w:rsid w:val="00F41C03"/>
    <w:rsid w:val="00F41C50"/>
    <w:rsid w:val="00F42B4A"/>
    <w:rsid w:val="00F42FF7"/>
    <w:rsid w:val="00F43D1E"/>
    <w:rsid w:val="00F44473"/>
    <w:rsid w:val="00F4549C"/>
    <w:rsid w:val="00F457B1"/>
    <w:rsid w:val="00F45C27"/>
    <w:rsid w:val="00F45F72"/>
    <w:rsid w:val="00F46A98"/>
    <w:rsid w:val="00F46E48"/>
    <w:rsid w:val="00F50C00"/>
    <w:rsid w:val="00F51F01"/>
    <w:rsid w:val="00F51FC5"/>
    <w:rsid w:val="00F522CB"/>
    <w:rsid w:val="00F525E7"/>
    <w:rsid w:val="00F530D3"/>
    <w:rsid w:val="00F54EEB"/>
    <w:rsid w:val="00F60889"/>
    <w:rsid w:val="00F60F59"/>
    <w:rsid w:val="00F62574"/>
    <w:rsid w:val="00F629FC"/>
    <w:rsid w:val="00F62ACB"/>
    <w:rsid w:val="00F65039"/>
    <w:rsid w:val="00F664B0"/>
    <w:rsid w:val="00F664E2"/>
    <w:rsid w:val="00F6653D"/>
    <w:rsid w:val="00F670AC"/>
    <w:rsid w:val="00F67B5D"/>
    <w:rsid w:val="00F67EFB"/>
    <w:rsid w:val="00F70539"/>
    <w:rsid w:val="00F70A81"/>
    <w:rsid w:val="00F70F73"/>
    <w:rsid w:val="00F713B0"/>
    <w:rsid w:val="00F71582"/>
    <w:rsid w:val="00F729AD"/>
    <w:rsid w:val="00F73003"/>
    <w:rsid w:val="00F73021"/>
    <w:rsid w:val="00F73036"/>
    <w:rsid w:val="00F73294"/>
    <w:rsid w:val="00F73348"/>
    <w:rsid w:val="00F73575"/>
    <w:rsid w:val="00F73DD2"/>
    <w:rsid w:val="00F7443C"/>
    <w:rsid w:val="00F74873"/>
    <w:rsid w:val="00F759FC"/>
    <w:rsid w:val="00F76232"/>
    <w:rsid w:val="00F764EF"/>
    <w:rsid w:val="00F76C82"/>
    <w:rsid w:val="00F76FF4"/>
    <w:rsid w:val="00F77206"/>
    <w:rsid w:val="00F7726F"/>
    <w:rsid w:val="00F772D6"/>
    <w:rsid w:val="00F776B8"/>
    <w:rsid w:val="00F80CD8"/>
    <w:rsid w:val="00F80DB3"/>
    <w:rsid w:val="00F81001"/>
    <w:rsid w:val="00F8106E"/>
    <w:rsid w:val="00F812BC"/>
    <w:rsid w:val="00F81D76"/>
    <w:rsid w:val="00F823A9"/>
    <w:rsid w:val="00F82AD5"/>
    <w:rsid w:val="00F8385D"/>
    <w:rsid w:val="00F8387E"/>
    <w:rsid w:val="00F83B4F"/>
    <w:rsid w:val="00F84AEE"/>
    <w:rsid w:val="00F86948"/>
    <w:rsid w:val="00F87BC2"/>
    <w:rsid w:val="00F905B7"/>
    <w:rsid w:val="00F9063E"/>
    <w:rsid w:val="00F90752"/>
    <w:rsid w:val="00F90B36"/>
    <w:rsid w:val="00F915F4"/>
    <w:rsid w:val="00F9214E"/>
    <w:rsid w:val="00F925C6"/>
    <w:rsid w:val="00F92754"/>
    <w:rsid w:val="00F92A22"/>
    <w:rsid w:val="00F930B2"/>
    <w:rsid w:val="00F936EA"/>
    <w:rsid w:val="00F95476"/>
    <w:rsid w:val="00F9566A"/>
    <w:rsid w:val="00F95E12"/>
    <w:rsid w:val="00F960B4"/>
    <w:rsid w:val="00F965B6"/>
    <w:rsid w:val="00F9738D"/>
    <w:rsid w:val="00F97FC4"/>
    <w:rsid w:val="00FA0311"/>
    <w:rsid w:val="00FA05A8"/>
    <w:rsid w:val="00FA0B0E"/>
    <w:rsid w:val="00FA13A6"/>
    <w:rsid w:val="00FA1618"/>
    <w:rsid w:val="00FA1904"/>
    <w:rsid w:val="00FA1B55"/>
    <w:rsid w:val="00FA2540"/>
    <w:rsid w:val="00FA2DF4"/>
    <w:rsid w:val="00FA2F76"/>
    <w:rsid w:val="00FA3963"/>
    <w:rsid w:val="00FA3BB9"/>
    <w:rsid w:val="00FA4127"/>
    <w:rsid w:val="00FA4C9A"/>
    <w:rsid w:val="00FA5097"/>
    <w:rsid w:val="00FA60E3"/>
    <w:rsid w:val="00FA6272"/>
    <w:rsid w:val="00FA7F10"/>
    <w:rsid w:val="00FB0048"/>
    <w:rsid w:val="00FB16B4"/>
    <w:rsid w:val="00FB16F5"/>
    <w:rsid w:val="00FB1CE9"/>
    <w:rsid w:val="00FB2A6D"/>
    <w:rsid w:val="00FB3128"/>
    <w:rsid w:val="00FB35A1"/>
    <w:rsid w:val="00FB38EB"/>
    <w:rsid w:val="00FB3B5F"/>
    <w:rsid w:val="00FB3D98"/>
    <w:rsid w:val="00FB4052"/>
    <w:rsid w:val="00FB428B"/>
    <w:rsid w:val="00FB455D"/>
    <w:rsid w:val="00FB4766"/>
    <w:rsid w:val="00FB5458"/>
    <w:rsid w:val="00FB6132"/>
    <w:rsid w:val="00FB6301"/>
    <w:rsid w:val="00FB6698"/>
    <w:rsid w:val="00FB673C"/>
    <w:rsid w:val="00FB6FF3"/>
    <w:rsid w:val="00FB709A"/>
    <w:rsid w:val="00FB7C3B"/>
    <w:rsid w:val="00FB7F84"/>
    <w:rsid w:val="00FC00BA"/>
    <w:rsid w:val="00FC025A"/>
    <w:rsid w:val="00FC0D52"/>
    <w:rsid w:val="00FC38D0"/>
    <w:rsid w:val="00FC456D"/>
    <w:rsid w:val="00FC4856"/>
    <w:rsid w:val="00FC4A5D"/>
    <w:rsid w:val="00FC5FC7"/>
    <w:rsid w:val="00FC65AA"/>
    <w:rsid w:val="00FC7175"/>
    <w:rsid w:val="00FC76A8"/>
    <w:rsid w:val="00FC7789"/>
    <w:rsid w:val="00FC7D55"/>
    <w:rsid w:val="00FD0928"/>
    <w:rsid w:val="00FD0A31"/>
    <w:rsid w:val="00FD1172"/>
    <w:rsid w:val="00FD133C"/>
    <w:rsid w:val="00FD192A"/>
    <w:rsid w:val="00FD1A33"/>
    <w:rsid w:val="00FD1D01"/>
    <w:rsid w:val="00FD1D17"/>
    <w:rsid w:val="00FD2AFF"/>
    <w:rsid w:val="00FD30E7"/>
    <w:rsid w:val="00FD31FB"/>
    <w:rsid w:val="00FD3EBD"/>
    <w:rsid w:val="00FD42B0"/>
    <w:rsid w:val="00FD4593"/>
    <w:rsid w:val="00FD4D1D"/>
    <w:rsid w:val="00FD5D5F"/>
    <w:rsid w:val="00FD5F6D"/>
    <w:rsid w:val="00FD6D91"/>
    <w:rsid w:val="00FD6DB6"/>
    <w:rsid w:val="00FD75A3"/>
    <w:rsid w:val="00FD7CF1"/>
    <w:rsid w:val="00FD7E7A"/>
    <w:rsid w:val="00FE04B8"/>
    <w:rsid w:val="00FE0CA9"/>
    <w:rsid w:val="00FE1308"/>
    <w:rsid w:val="00FE27E7"/>
    <w:rsid w:val="00FE2FE0"/>
    <w:rsid w:val="00FE32DE"/>
    <w:rsid w:val="00FE3F8E"/>
    <w:rsid w:val="00FE41E6"/>
    <w:rsid w:val="00FE4F50"/>
    <w:rsid w:val="00FE52C7"/>
    <w:rsid w:val="00FE5F52"/>
    <w:rsid w:val="00FE6283"/>
    <w:rsid w:val="00FE6ACE"/>
    <w:rsid w:val="00FE70D4"/>
    <w:rsid w:val="00FE720C"/>
    <w:rsid w:val="00FE7929"/>
    <w:rsid w:val="00FF002B"/>
    <w:rsid w:val="00FF004D"/>
    <w:rsid w:val="00FF0F3D"/>
    <w:rsid w:val="00FF169A"/>
    <w:rsid w:val="00FF16D0"/>
    <w:rsid w:val="00FF1B4C"/>
    <w:rsid w:val="00FF2330"/>
    <w:rsid w:val="00FF246E"/>
    <w:rsid w:val="00FF3096"/>
    <w:rsid w:val="00FF328D"/>
    <w:rsid w:val="00FF3650"/>
    <w:rsid w:val="00FF3BDA"/>
    <w:rsid w:val="00FF52D1"/>
    <w:rsid w:val="00FF5E57"/>
    <w:rsid w:val="00FF6244"/>
    <w:rsid w:val="00FF65C4"/>
    <w:rsid w:val="00FF65E5"/>
    <w:rsid w:val="00FF6E19"/>
    <w:rsid w:val="00FF70E5"/>
    <w:rsid w:val="00FF7EC0"/>
  </w:rsids>
  <m:mathPr>
    <m:mathFont m:val="Cambria Math"/>
    <m:brkBin m:val="before"/>
    <m:brkBinSub m:val="--"/>
    <m:smallFrac m:val="0"/>
    <m:dispDef/>
    <m:lMargin m:val="0"/>
    <m:rMargin m:val="0"/>
    <m:defJc m:val="centerGroup"/>
    <m:wrapIndent m:val="1440"/>
    <m:intLim m:val="subSup"/>
    <m:naryLim m:val="undOvr"/>
  </m:mathPr>
  <w:themeFontLang w:val="en-IN"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51"/>
    <o:shapelayout v:ext="edit">
      <o:idmap v:ext="edit" data="2"/>
    </o:shapelayout>
  </w:shapeDefaults>
  <w:decimalSymbol w:val="."/>
  <w:listSeparator w:val=","/>
  <w14:docId w14:val="54F08635"/>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PMingLiU"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Title" w:qFormat="1"/>
    <w:lsdException w:name="Subtitle" w:qFormat="1"/>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annotation subjec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tabs>
        <w:tab w:val="left" w:pos="567"/>
      </w:tabs>
      <w:spacing w:line="260" w:lineRule="exact"/>
    </w:pPr>
    <w:rPr>
      <w:sz w:val="22"/>
      <w:lang w:val="en-GB" w:eastAsia="en-US"/>
    </w:rPr>
  </w:style>
  <w:style w:type="paragraph" w:styleId="Heading1">
    <w:name w:val="heading 1"/>
    <w:basedOn w:val="Normal"/>
    <w:next w:val="Normal"/>
    <w:qFormat/>
    <w:pPr>
      <w:spacing w:before="240" w:after="120"/>
      <w:ind w:left="357" w:hanging="357"/>
      <w:outlineLvl w:val="0"/>
    </w:pPr>
    <w:rPr>
      <w:b/>
      <w:caps/>
      <w:sz w:val="26"/>
      <w:lang w:val="en-US"/>
    </w:rPr>
  </w:style>
  <w:style w:type="paragraph" w:styleId="Heading2">
    <w:name w:val="heading 2"/>
    <w:basedOn w:val="Normal"/>
    <w:next w:val="Normal"/>
    <w:qFormat/>
    <w:pPr>
      <w:keepNext/>
      <w:spacing w:before="240" w:after="60"/>
      <w:outlineLvl w:val="1"/>
    </w:pPr>
    <w:rPr>
      <w:rFonts w:ascii="Helvetica" w:hAnsi="Helvetica"/>
      <w:b/>
      <w:i/>
      <w:sz w:val="24"/>
    </w:rPr>
  </w:style>
  <w:style w:type="paragraph" w:styleId="Heading3">
    <w:name w:val="heading 3"/>
    <w:basedOn w:val="Normal"/>
    <w:next w:val="Normal"/>
    <w:qFormat/>
    <w:pPr>
      <w:keepNext/>
      <w:keepLines/>
      <w:spacing w:before="120" w:after="80"/>
      <w:outlineLvl w:val="2"/>
    </w:pPr>
    <w:rPr>
      <w:b/>
      <w:kern w:val="28"/>
      <w:sz w:val="24"/>
      <w:lang w:val="en-US"/>
    </w:rPr>
  </w:style>
  <w:style w:type="paragraph" w:styleId="Heading4">
    <w:name w:val="heading 4"/>
    <w:basedOn w:val="Normal"/>
    <w:next w:val="Normal"/>
    <w:qFormat/>
    <w:pPr>
      <w:keepNext/>
      <w:jc w:val="both"/>
      <w:outlineLvl w:val="3"/>
    </w:pPr>
    <w:rPr>
      <w:b/>
      <w:noProof/>
    </w:rPr>
  </w:style>
  <w:style w:type="paragraph" w:styleId="Heading5">
    <w:name w:val="heading 5"/>
    <w:basedOn w:val="Normal"/>
    <w:next w:val="Normal"/>
    <w:qFormat/>
    <w:pPr>
      <w:keepNext/>
      <w:jc w:val="both"/>
      <w:outlineLvl w:val="4"/>
    </w:pPr>
    <w:rPr>
      <w:noProof/>
    </w:rPr>
  </w:style>
  <w:style w:type="paragraph" w:styleId="Heading6">
    <w:name w:val="heading 6"/>
    <w:basedOn w:val="Normal"/>
    <w:next w:val="Normal"/>
    <w:qFormat/>
    <w:pPr>
      <w:keepNext/>
      <w:tabs>
        <w:tab w:val="left" w:pos="-720"/>
        <w:tab w:val="left" w:pos="4536"/>
      </w:tabs>
      <w:suppressAutoHyphens/>
      <w:outlineLvl w:val="5"/>
    </w:pPr>
    <w:rPr>
      <w:i/>
    </w:rPr>
  </w:style>
  <w:style w:type="paragraph" w:styleId="Heading7">
    <w:name w:val="heading 7"/>
    <w:basedOn w:val="Normal"/>
    <w:next w:val="Normal"/>
    <w:qFormat/>
    <w:pPr>
      <w:keepNext/>
      <w:tabs>
        <w:tab w:val="left" w:pos="-720"/>
        <w:tab w:val="left" w:pos="4536"/>
      </w:tabs>
      <w:suppressAutoHyphens/>
      <w:jc w:val="both"/>
      <w:outlineLvl w:val="6"/>
    </w:pPr>
    <w:rPr>
      <w:i/>
    </w:rPr>
  </w:style>
  <w:style w:type="paragraph" w:styleId="Heading8">
    <w:name w:val="heading 8"/>
    <w:basedOn w:val="Normal"/>
    <w:next w:val="Normal"/>
    <w:qFormat/>
    <w:pPr>
      <w:keepNext/>
      <w:ind w:left="567" w:hanging="567"/>
      <w:jc w:val="both"/>
      <w:outlineLvl w:val="7"/>
    </w:pPr>
    <w:rPr>
      <w:b/>
      <w:i/>
    </w:rPr>
  </w:style>
  <w:style w:type="paragraph" w:styleId="Heading9">
    <w:name w:val="heading 9"/>
    <w:basedOn w:val="Normal"/>
    <w:next w:val="Normal"/>
    <w:qFormat/>
    <w:pPr>
      <w:keepNext/>
      <w:jc w:val="both"/>
      <w:outlineLvl w:val="8"/>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153"/>
        <w:tab w:val="right" w:pos="8306"/>
      </w:tabs>
      <w:spacing w:line="240" w:lineRule="auto"/>
    </w:pPr>
    <w:rPr>
      <w:rFonts w:ascii="Helvetica" w:hAnsi="Helvetica"/>
      <w:sz w:val="20"/>
    </w:rPr>
  </w:style>
  <w:style w:type="paragraph" w:styleId="Footer">
    <w:name w:val="footer"/>
    <w:basedOn w:val="Normal"/>
    <w:link w:val="FooterChar"/>
    <w:pPr>
      <w:tabs>
        <w:tab w:val="center" w:pos="4536"/>
        <w:tab w:val="center" w:pos="8930"/>
      </w:tabs>
      <w:spacing w:line="240" w:lineRule="auto"/>
    </w:pPr>
    <w:rPr>
      <w:rFonts w:ascii="Helvetica" w:hAnsi="Helvetica"/>
      <w:sz w:val="16"/>
    </w:rPr>
  </w:style>
  <w:style w:type="character" w:styleId="PageNumber">
    <w:name w:val="page number"/>
    <w:basedOn w:val="DefaultParagraphFont"/>
  </w:style>
  <w:style w:type="paragraph" w:styleId="BodyTextIndent">
    <w:name w:val="Body Text Indent"/>
    <w:basedOn w:val="Normal"/>
    <w:pPr>
      <w:tabs>
        <w:tab w:val="clear" w:pos="567"/>
      </w:tabs>
      <w:autoSpaceDE w:val="0"/>
      <w:autoSpaceDN w:val="0"/>
      <w:adjustRightInd w:val="0"/>
      <w:spacing w:line="240" w:lineRule="auto"/>
      <w:ind w:left="720"/>
      <w:jc w:val="both"/>
    </w:pPr>
    <w:rPr>
      <w:szCs w:val="22"/>
      <w:lang w:eastAsia="en-GB"/>
    </w:rPr>
  </w:style>
  <w:style w:type="paragraph" w:styleId="BodyText3">
    <w:name w:val="Body Text 3"/>
    <w:basedOn w:val="Normal"/>
    <w:pPr>
      <w:tabs>
        <w:tab w:val="clear" w:pos="567"/>
      </w:tabs>
      <w:autoSpaceDE w:val="0"/>
      <w:autoSpaceDN w:val="0"/>
      <w:adjustRightInd w:val="0"/>
      <w:spacing w:line="240" w:lineRule="auto"/>
      <w:jc w:val="both"/>
    </w:pPr>
    <w:rPr>
      <w:color w:val="0000FF"/>
      <w:szCs w:val="22"/>
      <w:lang w:eastAsia="en-GB"/>
    </w:rPr>
  </w:style>
  <w:style w:type="paragraph" w:styleId="BodyTextIndent2">
    <w:name w:val="Body Text Indent 2"/>
    <w:basedOn w:val="Normal"/>
    <w:pPr>
      <w:pBdr>
        <w:top w:val="wave" w:sz="6" w:space="0" w:color="auto"/>
        <w:left w:val="wave" w:sz="6" w:space="3" w:color="auto"/>
        <w:bottom w:val="wave" w:sz="6" w:space="1" w:color="auto"/>
        <w:right w:val="wave" w:sz="6" w:space="4" w:color="auto"/>
      </w:pBdr>
      <w:autoSpaceDE w:val="0"/>
      <w:autoSpaceDN w:val="0"/>
      <w:adjustRightInd w:val="0"/>
      <w:ind w:left="1134"/>
      <w:jc w:val="both"/>
    </w:pPr>
    <w:rPr>
      <w:b/>
      <w:bCs/>
      <w:color w:val="0000FF"/>
      <w:szCs w:val="22"/>
    </w:rPr>
  </w:style>
  <w:style w:type="paragraph" w:styleId="BodyText">
    <w:name w:val="Body Text"/>
    <w:basedOn w:val="Normal"/>
    <w:pPr>
      <w:tabs>
        <w:tab w:val="clear" w:pos="567"/>
      </w:tabs>
      <w:spacing w:line="240" w:lineRule="auto"/>
    </w:pPr>
    <w:rPr>
      <w:i/>
      <w:color w:val="008000"/>
    </w:rPr>
  </w:style>
  <w:style w:type="paragraph" w:styleId="BodyText2">
    <w:name w:val="Body Text 2"/>
    <w:basedOn w:val="Normal"/>
    <w:pPr>
      <w:pBdr>
        <w:top w:val="wave" w:sz="6" w:space="0" w:color="auto"/>
        <w:left w:val="wave" w:sz="6" w:space="3" w:color="auto"/>
        <w:bottom w:val="wave" w:sz="6" w:space="1" w:color="auto"/>
        <w:right w:val="wave" w:sz="6" w:space="4" w:color="auto"/>
      </w:pBdr>
      <w:autoSpaceDE w:val="0"/>
      <w:autoSpaceDN w:val="0"/>
      <w:adjustRightInd w:val="0"/>
      <w:jc w:val="both"/>
    </w:pPr>
    <w:rPr>
      <w:b/>
      <w:bCs/>
      <w:color w:val="0000FF"/>
      <w:szCs w:val="22"/>
      <w:u w:val="single"/>
    </w:rPr>
  </w:style>
  <w:style w:type="character" w:styleId="CommentReference">
    <w:name w:val="annotation reference"/>
    <w:uiPriority w:val="99"/>
    <w:rPr>
      <w:sz w:val="16"/>
      <w:szCs w:val="16"/>
    </w:rPr>
  </w:style>
  <w:style w:type="paragraph" w:styleId="CommentText">
    <w:name w:val="annotation text"/>
    <w:aliases w:val="Char1,Char2,Comment Text Char1 Char,Comment Text Char Char Char, Char1"/>
    <w:basedOn w:val="Normal"/>
    <w:link w:val="CommentTextChar"/>
    <w:uiPriority w:val="99"/>
    <w:rPr>
      <w:sz w:val="20"/>
    </w:rPr>
  </w:style>
  <w:style w:type="paragraph" w:customStyle="1" w:styleId="EMEAEnBodyText">
    <w:name w:val="EMEA En Body Text"/>
    <w:basedOn w:val="Normal"/>
    <w:pPr>
      <w:tabs>
        <w:tab w:val="clear" w:pos="567"/>
      </w:tabs>
      <w:spacing w:before="120" w:after="120" w:line="240" w:lineRule="auto"/>
      <w:jc w:val="both"/>
    </w:pPr>
    <w:rPr>
      <w:lang w:val="en-US"/>
    </w:rPr>
  </w:style>
  <w:style w:type="paragraph" w:styleId="DocumentMap">
    <w:name w:val="Document Map"/>
    <w:basedOn w:val="Normal"/>
    <w:semiHidden/>
    <w:pPr>
      <w:shd w:val="clear" w:color="auto" w:fill="000080"/>
    </w:pPr>
    <w:rPr>
      <w:rFonts w:ascii="Tahoma" w:hAnsi="Tahoma" w:cs="Tahoma"/>
    </w:rPr>
  </w:style>
  <w:style w:type="character" w:styleId="Hyperlink">
    <w:name w:val="Hyperlink"/>
    <w:rPr>
      <w:color w:val="0000FF"/>
      <w:u w:val="single"/>
    </w:rPr>
  </w:style>
  <w:style w:type="paragraph" w:customStyle="1" w:styleId="AHeader1">
    <w:name w:val="AHeader 1"/>
    <w:basedOn w:val="Normal"/>
    <w:pPr>
      <w:numPr>
        <w:numId w:val="1"/>
      </w:numPr>
      <w:tabs>
        <w:tab w:val="clear" w:pos="567"/>
      </w:tabs>
      <w:spacing w:after="120" w:line="240" w:lineRule="auto"/>
    </w:pPr>
    <w:rPr>
      <w:rFonts w:ascii="Arial" w:hAnsi="Arial" w:cs="Arial"/>
      <w:b/>
      <w:bCs/>
      <w:sz w:val="24"/>
    </w:rPr>
  </w:style>
  <w:style w:type="paragraph" w:customStyle="1" w:styleId="AHeader2">
    <w:name w:val="AHeader 2"/>
    <w:basedOn w:val="AHeader1"/>
    <w:pPr>
      <w:numPr>
        <w:ilvl w:val="1"/>
      </w:numPr>
      <w:tabs>
        <w:tab w:val="clear" w:pos="709"/>
        <w:tab w:val="num" w:pos="360"/>
      </w:tabs>
    </w:pPr>
    <w:rPr>
      <w:sz w:val="22"/>
    </w:rPr>
  </w:style>
  <w:style w:type="paragraph" w:customStyle="1" w:styleId="AHeader3">
    <w:name w:val="AHeader 3"/>
    <w:basedOn w:val="AHeader2"/>
    <w:pPr>
      <w:numPr>
        <w:ilvl w:val="2"/>
      </w:numPr>
      <w:tabs>
        <w:tab w:val="clear" w:pos="1276"/>
        <w:tab w:val="num" w:pos="360"/>
      </w:tabs>
    </w:pPr>
  </w:style>
  <w:style w:type="paragraph" w:customStyle="1" w:styleId="AHeader2abc">
    <w:name w:val="AHeader 2 abc"/>
    <w:basedOn w:val="AHeader3"/>
    <w:pPr>
      <w:numPr>
        <w:ilvl w:val="3"/>
      </w:numPr>
      <w:tabs>
        <w:tab w:val="clear" w:pos="1276"/>
        <w:tab w:val="num" w:pos="360"/>
      </w:tabs>
      <w:jc w:val="both"/>
    </w:pPr>
    <w:rPr>
      <w:b w:val="0"/>
      <w:bCs w:val="0"/>
    </w:rPr>
  </w:style>
  <w:style w:type="paragraph" w:customStyle="1" w:styleId="AHeader3abc">
    <w:name w:val="AHeader 3 abc"/>
    <w:basedOn w:val="AHeader2abc"/>
    <w:pPr>
      <w:numPr>
        <w:ilvl w:val="4"/>
      </w:numPr>
      <w:tabs>
        <w:tab w:val="clear" w:pos="1701"/>
        <w:tab w:val="num" w:pos="360"/>
      </w:tabs>
    </w:pPr>
  </w:style>
  <w:style w:type="paragraph" w:styleId="BodyTextIndent3">
    <w:name w:val="Body Text Indent 3"/>
    <w:basedOn w:val="Normal"/>
    <w:pPr>
      <w:tabs>
        <w:tab w:val="left" w:pos="1134"/>
      </w:tabs>
      <w:autoSpaceDE w:val="0"/>
      <w:autoSpaceDN w:val="0"/>
      <w:adjustRightInd w:val="0"/>
      <w:ind w:left="633"/>
      <w:jc w:val="both"/>
    </w:pPr>
    <w:rPr>
      <w:szCs w:val="21"/>
    </w:rPr>
  </w:style>
  <w:style w:type="character" w:styleId="FollowedHyperlink">
    <w:name w:val="FollowedHyperlink"/>
    <w:rPr>
      <w:color w:val="800080"/>
      <w:u w:val="single"/>
    </w:rPr>
  </w:style>
  <w:style w:type="paragraph" w:customStyle="1" w:styleId="Ballongtext3">
    <w:name w:val="Ballongtext3"/>
    <w:basedOn w:val="Normal"/>
    <w:semiHidden/>
    <w:rPr>
      <w:rFonts w:ascii="Tahoma" w:hAnsi="Tahoma" w:cs="Tahoma"/>
      <w:sz w:val="16"/>
      <w:szCs w:val="16"/>
    </w:rPr>
  </w:style>
  <w:style w:type="paragraph" w:customStyle="1" w:styleId="Kommentarsmne3">
    <w:name w:val="Kommentarsämne3"/>
    <w:basedOn w:val="CommentText"/>
    <w:next w:val="CommentText"/>
    <w:semiHidden/>
    <w:rPr>
      <w:b/>
      <w:bCs/>
    </w:rPr>
  </w:style>
  <w:style w:type="paragraph" w:customStyle="1" w:styleId="Text">
    <w:name w:val="Text"/>
    <w:basedOn w:val="Normal"/>
    <w:pPr>
      <w:tabs>
        <w:tab w:val="clear" w:pos="567"/>
      </w:tabs>
      <w:overflowPunct w:val="0"/>
      <w:autoSpaceDE w:val="0"/>
      <w:autoSpaceDN w:val="0"/>
      <w:adjustRightInd w:val="0"/>
      <w:spacing w:before="100" w:beforeAutospacing="1" w:after="100" w:afterAutospacing="1" w:line="360" w:lineRule="auto"/>
      <w:ind w:left="56"/>
      <w:textAlignment w:val="baseline"/>
    </w:pPr>
    <w:rPr>
      <w:rFonts w:ascii="Arial" w:hAnsi="Arial" w:cs="Arial"/>
      <w:bCs/>
      <w:color w:val="0000FF"/>
      <w:sz w:val="20"/>
      <w:szCs w:val="14"/>
      <w:lang w:val="en-US"/>
    </w:rPr>
  </w:style>
  <w:style w:type="character" w:customStyle="1" w:styleId="TextChar">
    <w:name w:val="Text Char"/>
    <w:rPr>
      <w:rFonts w:ascii="Arial" w:hAnsi="Arial" w:cs="Arial"/>
      <w:bCs/>
      <w:color w:val="0000FF"/>
      <w:szCs w:val="14"/>
      <w:lang w:val="en-US" w:eastAsia="en-US" w:bidi="ar-SA"/>
    </w:rPr>
  </w:style>
  <w:style w:type="character" w:styleId="Emphasis">
    <w:name w:val="Emphasis"/>
    <w:qFormat/>
    <w:rPr>
      <w:i/>
      <w:iCs/>
    </w:rPr>
  </w:style>
  <w:style w:type="paragraph" w:styleId="NormalWeb">
    <w:name w:val="Normal (Web)"/>
    <w:basedOn w:val="Normal"/>
    <w:uiPriority w:val="99"/>
    <w:pPr>
      <w:tabs>
        <w:tab w:val="clear" w:pos="567"/>
      </w:tabs>
      <w:spacing w:before="100" w:beforeAutospacing="1" w:after="100" w:afterAutospacing="1" w:line="240" w:lineRule="auto"/>
    </w:pPr>
    <w:rPr>
      <w:rFonts w:eastAsia="MS Mincho"/>
      <w:sz w:val="24"/>
      <w:szCs w:val="24"/>
      <w:lang w:eastAsia="ja-JP"/>
    </w:rPr>
  </w:style>
  <w:style w:type="character" w:customStyle="1" w:styleId="PeggyHo">
    <w:name w:val="Peggy Ho"/>
    <w:basedOn w:val="DefaultParagraphFont"/>
    <w:semiHidden/>
  </w:style>
  <w:style w:type="paragraph" w:styleId="BalloonText">
    <w:name w:val="Balloon Text"/>
    <w:basedOn w:val="Normal"/>
    <w:semiHidden/>
    <w:rPr>
      <w:rFonts w:ascii="Tahoma" w:hAnsi="Tahoma" w:cs="Tahoma"/>
      <w:sz w:val="16"/>
      <w:szCs w:val="16"/>
    </w:rPr>
  </w:style>
  <w:style w:type="paragraph" w:customStyle="1" w:styleId="lbltxt">
    <w:name w:val="lbltxt"/>
    <w:pPr>
      <w:tabs>
        <w:tab w:val="left" w:pos="567"/>
      </w:tabs>
    </w:pPr>
    <w:rPr>
      <w:noProof/>
      <w:sz w:val="22"/>
      <w:lang w:val="en-IN" w:eastAsia="en-US"/>
    </w:rPr>
  </w:style>
  <w:style w:type="paragraph" w:customStyle="1" w:styleId="TextBullet">
    <w:name w:val="TextBullet"/>
    <w:basedOn w:val="Normal"/>
    <w:pPr>
      <w:numPr>
        <w:numId w:val="2"/>
      </w:numPr>
      <w:tabs>
        <w:tab w:val="clear" w:pos="567"/>
      </w:tabs>
      <w:suppressAutoHyphens/>
      <w:spacing w:after="100" w:line="340" w:lineRule="atLeast"/>
    </w:pPr>
    <w:rPr>
      <w:rFonts w:ascii="Arial" w:hAnsi="Arial"/>
    </w:rPr>
  </w:style>
  <w:style w:type="character" w:customStyle="1" w:styleId="TextBulletChar">
    <w:name w:val="TextBullet Char"/>
    <w:rPr>
      <w:rFonts w:ascii="Arial" w:hAnsi="Arial"/>
      <w:sz w:val="22"/>
      <w:lang w:val="en-GB" w:eastAsia="en-US"/>
    </w:rPr>
  </w:style>
  <w:style w:type="character" w:customStyle="1" w:styleId="SidhuvudChar1">
    <w:name w:val="Sidhuvud Char1"/>
    <w:rPr>
      <w:rFonts w:ascii="Helvetica" w:hAnsi="Helvetica"/>
      <w:lang w:val="en-GB" w:eastAsia="en-US" w:bidi="ar-SA"/>
    </w:rPr>
  </w:style>
  <w:style w:type="paragraph" w:customStyle="1" w:styleId="Para">
    <w:name w:val="Para"/>
    <w:basedOn w:val="Normal"/>
    <w:next w:val="Normal"/>
    <w:pPr>
      <w:tabs>
        <w:tab w:val="clear" w:pos="567"/>
      </w:tabs>
      <w:autoSpaceDE w:val="0"/>
      <w:autoSpaceDN w:val="0"/>
      <w:adjustRightInd w:val="0"/>
      <w:spacing w:line="240" w:lineRule="auto"/>
    </w:pPr>
    <w:rPr>
      <w:sz w:val="24"/>
      <w:szCs w:val="24"/>
      <w:lang w:val="en-US"/>
    </w:rPr>
  </w:style>
  <w:style w:type="paragraph" w:customStyle="1" w:styleId="SynopsisText">
    <w:name w:val="SynopsisText"/>
    <w:basedOn w:val="Text"/>
    <w:pPr>
      <w:tabs>
        <w:tab w:val="left" w:pos="1794"/>
      </w:tabs>
      <w:overflowPunct/>
      <w:autoSpaceDE/>
      <w:autoSpaceDN/>
      <w:adjustRightInd/>
      <w:spacing w:before="120" w:beforeAutospacing="0" w:after="120" w:afterAutospacing="0" w:line="240" w:lineRule="auto"/>
      <w:ind w:left="0"/>
      <w:textAlignment w:val="auto"/>
    </w:pPr>
    <w:rPr>
      <w:rFonts w:cs="Times New Roman"/>
      <w:bCs w:val="0"/>
      <w:color w:val="000000"/>
      <w:szCs w:val="20"/>
    </w:rPr>
  </w:style>
  <w:style w:type="paragraph" w:customStyle="1" w:styleId="text0">
    <w:name w:val="text"/>
    <w:basedOn w:val="Normal"/>
    <w:pPr>
      <w:tabs>
        <w:tab w:val="clear" w:pos="567"/>
      </w:tabs>
      <w:overflowPunct w:val="0"/>
      <w:autoSpaceDE w:val="0"/>
      <w:autoSpaceDN w:val="0"/>
      <w:spacing w:before="100" w:beforeAutospacing="1" w:after="100" w:afterAutospacing="1" w:line="360" w:lineRule="auto"/>
      <w:ind w:left="56"/>
    </w:pPr>
    <w:rPr>
      <w:rFonts w:ascii="Arial" w:hAnsi="Arial" w:cs="Arial"/>
      <w:color w:val="0000FF"/>
      <w:sz w:val="20"/>
      <w:lang w:val="en-US"/>
    </w:rPr>
  </w:style>
  <w:style w:type="character" w:customStyle="1" w:styleId="emailstyle18">
    <w:name w:val="emailstyle18"/>
    <w:semiHidden/>
    <w:rPr>
      <w:rFonts w:ascii="Arial" w:hAnsi="Arial" w:cs="Arial" w:hint="default"/>
      <w:color w:val="auto"/>
      <w:sz w:val="20"/>
      <w:szCs w:val="20"/>
    </w:rPr>
  </w:style>
  <w:style w:type="paragraph" w:customStyle="1" w:styleId="Default">
    <w:name w:val="Default"/>
    <w:pPr>
      <w:autoSpaceDE w:val="0"/>
      <w:autoSpaceDN w:val="0"/>
      <w:adjustRightInd w:val="0"/>
    </w:pPr>
    <w:rPr>
      <w:rFonts w:eastAsia="MS Mincho"/>
      <w:color w:val="000000"/>
      <w:sz w:val="24"/>
      <w:szCs w:val="24"/>
      <w:lang w:val="en-IN" w:eastAsia="ja-JP"/>
    </w:rPr>
  </w:style>
  <w:style w:type="paragraph" w:customStyle="1" w:styleId="synopsistext0">
    <w:name w:val="synopsistext"/>
    <w:basedOn w:val="Normal"/>
    <w:pPr>
      <w:tabs>
        <w:tab w:val="clear" w:pos="567"/>
      </w:tabs>
      <w:spacing w:before="120" w:after="120" w:line="240" w:lineRule="auto"/>
    </w:pPr>
    <w:rPr>
      <w:rFonts w:ascii="Arial" w:eastAsia="MS Mincho" w:hAnsi="Arial" w:cs="Arial"/>
      <w:color w:val="000000"/>
      <w:sz w:val="20"/>
      <w:lang w:eastAsia="ja-JP"/>
    </w:rPr>
  </w:style>
  <w:style w:type="paragraph" w:customStyle="1" w:styleId="lblhead1">
    <w:name w:val="lblhead1"/>
    <w:basedOn w:val="lbltxt"/>
    <w:pPr>
      <w:keepNext/>
      <w:ind w:left="567" w:hanging="567"/>
    </w:pPr>
    <w:rPr>
      <w:b/>
      <w:caps/>
    </w:rPr>
  </w:style>
  <w:style w:type="character" w:customStyle="1" w:styleId="Initial">
    <w:name w:val="Initial"/>
    <w:rPr>
      <w:rFonts w:ascii="CG Times" w:hAnsi="CG Times"/>
      <w:noProof w:val="0"/>
      <w:sz w:val="24"/>
      <w:lang w:val="da-DK"/>
    </w:rPr>
  </w:style>
  <w:style w:type="paragraph" w:customStyle="1" w:styleId="TableCenterBold">
    <w:name w:val="TableCenterBold"/>
    <w:basedOn w:val="Normal"/>
    <w:pPr>
      <w:tabs>
        <w:tab w:val="clear" w:pos="567"/>
      </w:tabs>
      <w:suppressAutoHyphens/>
      <w:spacing w:before="60" w:line="240" w:lineRule="exact"/>
      <w:jc w:val="center"/>
    </w:pPr>
    <w:rPr>
      <w:b/>
      <w:sz w:val="24"/>
      <w:szCs w:val="24"/>
      <w:lang w:val="en-US"/>
    </w:rPr>
  </w:style>
  <w:style w:type="paragraph" w:customStyle="1" w:styleId="lblbullet">
    <w:name w:val="lblbullet"/>
    <w:basedOn w:val="Normal"/>
    <w:pPr>
      <w:spacing w:line="240" w:lineRule="auto"/>
      <w:ind w:left="567" w:hanging="567"/>
    </w:pPr>
  </w:style>
  <w:style w:type="paragraph" w:customStyle="1" w:styleId="Ballongtext1">
    <w:name w:val="Ballongtext1"/>
    <w:basedOn w:val="Normal"/>
    <w:semiHidden/>
    <w:rPr>
      <w:rFonts w:ascii="Tahoma" w:hAnsi="Tahoma" w:cs="Tahoma"/>
      <w:sz w:val="16"/>
      <w:szCs w:val="16"/>
    </w:rPr>
  </w:style>
  <w:style w:type="paragraph" w:customStyle="1" w:styleId="Kommentarsmne1">
    <w:name w:val="Kommentarsämne1"/>
    <w:basedOn w:val="CommentText"/>
    <w:next w:val="CommentText"/>
    <w:semiHidden/>
    <w:rPr>
      <w:b/>
      <w:bCs/>
    </w:rPr>
  </w:style>
  <w:style w:type="character" w:customStyle="1" w:styleId="SidhuvudChar">
    <w:name w:val="Sidhuvud Char"/>
    <w:rPr>
      <w:rFonts w:ascii="Helvetica" w:hAnsi="Helvetica"/>
      <w:lang w:val="en-GB" w:eastAsia="en-US" w:bidi="ar-SA"/>
    </w:rPr>
  </w:style>
  <w:style w:type="paragraph" w:customStyle="1" w:styleId="TableLeftAlign">
    <w:name w:val="TableLeftAlign"/>
    <w:basedOn w:val="Normal"/>
    <w:uiPriority w:val="99"/>
    <w:pPr>
      <w:tabs>
        <w:tab w:val="clear" w:pos="567"/>
      </w:tabs>
      <w:suppressAutoHyphens/>
      <w:spacing w:before="60" w:after="60" w:line="240" w:lineRule="exact"/>
    </w:pPr>
    <w:rPr>
      <w:rFonts w:ascii="Arial" w:hAnsi="Arial"/>
      <w:sz w:val="20"/>
    </w:rPr>
  </w:style>
  <w:style w:type="paragraph" w:customStyle="1" w:styleId="Liststycke1">
    <w:name w:val="Liststycke1"/>
    <w:basedOn w:val="Normal"/>
    <w:qFormat/>
    <w:pPr>
      <w:ind w:left="1304"/>
    </w:pPr>
  </w:style>
  <w:style w:type="paragraph" w:styleId="Revision">
    <w:name w:val="Revision"/>
    <w:hidden/>
    <w:semiHidden/>
    <w:rPr>
      <w:sz w:val="22"/>
      <w:lang w:val="en-IN" w:eastAsia="en-US"/>
    </w:rPr>
  </w:style>
  <w:style w:type="paragraph" w:customStyle="1" w:styleId="Ballongtext2">
    <w:name w:val="Ballongtext2"/>
    <w:basedOn w:val="Normal"/>
    <w:semiHidden/>
    <w:rPr>
      <w:rFonts w:ascii="Tahoma" w:hAnsi="Tahoma" w:cs="Tahoma"/>
      <w:sz w:val="16"/>
      <w:szCs w:val="16"/>
    </w:rPr>
  </w:style>
  <w:style w:type="paragraph" w:customStyle="1" w:styleId="Kommentarsmne2">
    <w:name w:val="Kommentarsämne2"/>
    <w:basedOn w:val="CommentText"/>
    <w:next w:val="CommentText"/>
    <w:semiHidden/>
    <w:rPr>
      <w:b/>
      <w:bCs/>
    </w:rPr>
  </w:style>
  <w:style w:type="paragraph" w:styleId="Caption">
    <w:name w:val="caption"/>
    <w:basedOn w:val="Normal"/>
    <w:next w:val="Text"/>
    <w:qFormat/>
    <w:pPr>
      <w:keepNext/>
      <w:tabs>
        <w:tab w:val="clear" w:pos="567"/>
      </w:tabs>
      <w:suppressAutoHyphens/>
      <w:spacing w:before="300" w:after="100" w:line="300" w:lineRule="atLeast"/>
      <w:jc w:val="center"/>
    </w:pPr>
    <w:rPr>
      <w:rFonts w:ascii="Arial" w:hAnsi="Arial"/>
      <w:b/>
    </w:rPr>
  </w:style>
  <w:style w:type="character" w:customStyle="1" w:styleId="BeskrivningChar">
    <w:name w:val="Beskrivning Char"/>
    <w:rPr>
      <w:rFonts w:ascii="Arial" w:hAnsi="Arial"/>
      <w:b/>
      <w:sz w:val="22"/>
      <w:lang w:val="en-GB" w:eastAsia="en-US"/>
    </w:rPr>
  </w:style>
  <w:style w:type="character" w:customStyle="1" w:styleId="z3988">
    <w:name w:val="z3988"/>
    <w:basedOn w:val="DefaultParagraphFont"/>
  </w:style>
  <w:style w:type="character" w:customStyle="1" w:styleId="SidhuvudChar2">
    <w:name w:val="Sidhuvud Char2"/>
    <w:rPr>
      <w:rFonts w:ascii="Helvetica" w:hAnsi="Helvetica"/>
      <w:lang w:val="en-GB" w:eastAsia="en-US" w:bidi="ar-SA"/>
    </w:rPr>
  </w:style>
  <w:style w:type="character" w:styleId="Strong">
    <w:name w:val="Strong"/>
    <w:qFormat/>
    <w:rPr>
      <w:b/>
      <w:bCs/>
    </w:rPr>
  </w:style>
  <w:style w:type="paragraph" w:styleId="Date">
    <w:name w:val="Date"/>
    <w:basedOn w:val="Normal"/>
    <w:next w:val="Normal"/>
    <w:pPr>
      <w:tabs>
        <w:tab w:val="clear" w:pos="567"/>
      </w:tabs>
      <w:spacing w:line="240" w:lineRule="auto"/>
    </w:pPr>
  </w:style>
  <w:style w:type="paragraph" w:styleId="CommentSubject">
    <w:name w:val="annotation subject"/>
    <w:basedOn w:val="CommentText"/>
    <w:next w:val="CommentText"/>
    <w:link w:val="CommentSubjectChar"/>
    <w:uiPriority w:val="99"/>
    <w:rPr>
      <w:b/>
      <w:bCs/>
    </w:rPr>
  </w:style>
  <w:style w:type="paragraph" w:customStyle="1" w:styleId="TitleA">
    <w:name w:val="Title A"/>
    <w:basedOn w:val="Normal"/>
    <w:rsid w:val="00023BE0"/>
    <w:pPr>
      <w:spacing w:line="240" w:lineRule="auto"/>
      <w:jc w:val="center"/>
    </w:pPr>
    <w:rPr>
      <w:b/>
      <w:noProof/>
    </w:rPr>
  </w:style>
  <w:style w:type="paragraph" w:customStyle="1" w:styleId="TitleB">
    <w:name w:val="Title B"/>
    <w:basedOn w:val="Normal"/>
    <w:rsid w:val="00023BE0"/>
    <w:pPr>
      <w:ind w:left="1701" w:right="1416" w:hanging="708"/>
    </w:pPr>
    <w:rPr>
      <w:b/>
      <w:noProof/>
    </w:rPr>
  </w:style>
  <w:style w:type="character" w:customStyle="1" w:styleId="CommentTextChar">
    <w:name w:val="Comment Text Char"/>
    <w:aliases w:val="Char1 Char,Char2 Char,Comment Text Char1 Char Char,Comment Text Char Char Char Char, Char1 Char"/>
    <w:link w:val="CommentText"/>
    <w:uiPriority w:val="99"/>
    <w:rsid w:val="006606E8"/>
    <w:rPr>
      <w:lang w:val="en-GB" w:eastAsia="en-US" w:bidi="ar-SA"/>
    </w:rPr>
  </w:style>
  <w:style w:type="paragraph" w:customStyle="1" w:styleId="BodytextAgency">
    <w:name w:val="Body text (Agency)"/>
    <w:basedOn w:val="Default"/>
    <w:next w:val="Default"/>
    <w:link w:val="BodytextAgencyChar"/>
    <w:rsid w:val="00B60617"/>
    <w:rPr>
      <w:rFonts w:eastAsia="Times New Roman"/>
      <w:color w:val="auto"/>
      <w:lang w:val="en-US" w:eastAsia="en-US"/>
    </w:rPr>
  </w:style>
  <w:style w:type="paragraph" w:customStyle="1" w:styleId="TextItalicized">
    <w:name w:val="Text Italicized"/>
    <w:basedOn w:val="Normal"/>
    <w:link w:val="TextItalicizedChar"/>
    <w:rsid w:val="00233FFD"/>
    <w:pPr>
      <w:tabs>
        <w:tab w:val="clear" w:pos="567"/>
      </w:tabs>
      <w:spacing w:line="240" w:lineRule="auto"/>
    </w:pPr>
    <w:rPr>
      <w:rFonts w:eastAsia="MS Mincho"/>
      <w:i/>
      <w:iCs/>
      <w:color w:val="000000"/>
      <w:sz w:val="24"/>
      <w:szCs w:val="24"/>
      <w:lang w:val="x-none" w:eastAsia="ja-JP"/>
    </w:rPr>
  </w:style>
  <w:style w:type="character" w:customStyle="1" w:styleId="TextItalicizedChar">
    <w:name w:val="Text Italicized Char"/>
    <w:link w:val="TextItalicized"/>
    <w:rsid w:val="00233FFD"/>
    <w:rPr>
      <w:rFonts w:eastAsia="MS Mincho"/>
      <w:i/>
      <w:iCs/>
      <w:color w:val="000000"/>
      <w:sz w:val="24"/>
      <w:szCs w:val="24"/>
      <w:lang w:val="x-none" w:eastAsia="ja-JP"/>
    </w:rPr>
  </w:style>
  <w:style w:type="paragraph" w:styleId="ListParagraph">
    <w:name w:val="List Paragraph"/>
    <w:basedOn w:val="Normal"/>
    <w:uiPriority w:val="99"/>
    <w:qFormat/>
    <w:rsid w:val="004B39BB"/>
    <w:pPr>
      <w:tabs>
        <w:tab w:val="clear" w:pos="567"/>
      </w:tabs>
      <w:spacing w:line="240" w:lineRule="auto"/>
      <w:ind w:left="720"/>
      <w:contextualSpacing/>
    </w:pPr>
    <w:rPr>
      <w:sz w:val="24"/>
      <w:szCs w:val="24"/>
      <w:lang w:eastAsia="en-GB"/>
    </w:rPr>
  </w:style>
  <w:style w:type="paragraph" w:customStyle="1" w:styleId="BasicParagraph">
    <w:name w:val="[Basic Paragraph]"/>
    <w:basedOn w:val="Normal"/>
    <w:uiPriority w:val="99"/>
    <w:rsid w:val="004B39BB"/>
    <w:pPr>
      <w:widowControl w:val="0"/>
      <w:tabs>
        <w:tab w:val="clear" w:pos="567"/>
      </w:tabs>
      <w:autoSpaceDE w:val="0"/>
      <w:autoSpaceDN w:val="0"/>
      <w:adjustRightInd w:val="0"/>
      <w:spacing w:line="288" w:lineRule="auto"/>
      <w:textAlignment w:val="center"/>
    </w:pPr>
    <w:rPr>
      <w:rFonts w:ascii="Times-Roman" w:hAnsi="Times-Roman" w:cs="Times-Roman"/>
      <w:color w:val="000000"/>
      <w:szCs w:val="24"/>
      <w:lang w:val="en-US" w:eastAsia="ja-JP"/>
    </w:rPr>
  </w:style>
  <w:style w:type="character" w:customStyle="1" w:styleId="bodybold">
    <w:name w:val="body bold"/>
    <w:uiPriority w:val="99"/>
    <w:rsid w:val="004B39BB"/>
    <w:rPr>
      <w:rFonts w:cs="Times New Roman"/>
      <w:b/>
      <w:bCs/>
    </w:rPr>
  </w:style>
  <w:style w:type="paragraph" w:customStyle="1" w:styleId="BULLETED">
    <w:name w:val="BULLETED"/>
    <w:basedOn w:val="ListParagraph"/>
    <w:rsid w:val="004B39BB"/>
    <w:pPr>
      <w:widowControl w:val="0"/>
      <w:numPr>
        <w:numId w:val="5"/>
      </w:numPr>
      <w:tabs>
        <w:tab w:val="left" w:pos="810"/>
      </w:tabs>
      <w:suppressAutoHyphens/>
      <w:autoSpaceDE w:val="0"/>
      <w:autoSpaceDN w:val="0"/>
      <w:adjustRightInd w:val="0"/>
      <w:spacing w:before="90" w:line="250" w:lineRule="atLeast"/>
      <w:textAlignment w:val="center"/>
    </w:pPr>
    <w:rPr>
      <w:color w:val="000000"/>
      <w:sz w:val="20"/>
      <w:lang w:val="en-US" w:eastAsia="ja-JP"/>
    </w:rPr>
  </w:style>
  <w:style w:type="table" w:styleId="TableGrid">
    <w:name w:val="Table Grid"/>
    <w:basedOn w:val="TableNormal"/>
    <w:uiPriority w:val="59"/>
    <w:rsid w:val="007F10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Page">
    <w:name w:val="CoverPage"/>
    <w:basedOn w:val="Normal"/>
    <w:rsid w:val="00C42229"/>
    <w:pPr>
      <w:keepNext/>
      <w:keepLines/>
      <w:tabs>
        <w:tab w:val="clear" w:pos="567"/>
      </w:tabs>
      <w:suppressAutoHyphens/>
      <w:spacing w:before="400" w:after="400" w:line="240" w:lineRule="auto"/>
      <w:jc w:val="center"/>
    </w:pPr>
    <w:rPr>
      <w:rFonts w:ascii="Arial" w:hAnsi="Arial"/>
      <w:b/>
      <w:sz w:val="24"/>
      <w:lang w:val="en-US"/>
    </w:rPr>
  </w:style>
  <w:style w:type="paragraph" w:customStyle="1" w:styleId="MemoHeaderStyle">
    <w:name w:val="MemoHeaderStyle"/>
    <w:basedOn w:val="Normal"/>
    <w:next w:val="Normal"/>
    <w:rsid w:val="00C42229"/>
    <w:pPr>
      <w:spacing w:line="120" w:lineRule="atLeast"/>
      <w:ind w:left="1418"/>
      <w:jc w:val="both"/>
    </w:pPr>
    <w:rPr>
      <w:rFonts w:ascii="Arial" w:hAnsi="Arial"/>
      <w:b/>
      <w:smallCaps/>
    </w:rPr>
  </w:style>
  <w:style w:type="character" w:customStyle="1" w:styleId="BodytextAgencyChar">
    <w:name w:val="Body text (Agency) Char"/>
    <w:link w:val="BodytextAgency"/>
    <w:rsid w:val="00C42229"/>
    <w:rPr>
      <w:sz w:val="24"/>
      <w:szCs w:val="24"/>
      <w:lang w:val="en-US" w:eastAsia="en-US"/>
    </w:rPr>
  </w:style>
  <w:style w:type="paragraph" w:customStyle="1" w:styleId="DraftingNotesAgency">
    <w:name w:val="Drafting Notes (Agency)"/>
    <w:basedOn w:val="Normal"/>
    <w:next w:val="BodytextAgency"/>
    <w:link w:val="DraftingNotesAgencyChar"/>
    <w:rsid w:val="00C42229"/>
    <w:pPr>
      <w:tabs>
        <w:tab w:val="clear" w:pos="567"/>
      </w:tabs>
      <w:spacing w:after="140" w:line="280" w:lineRule="atLeast"/>
    </w:pPr>
    <w:rPr>
      <w:rFonts w:ascii="Courier New" w:eastAsia="Verdana" w:hAnsi="Courier New"/>
      <w:i/>
      <w:color w:val="339966"/>
      <w:szCs w:val="18"/>
      <w:lang w:eastAsia="en-GB"/>
    </w:rPr>
  </w:style>
  <w:style w:type="character" w:customStyle="1" w:styleId="DraftingNotesAgencyChar">
    <w:name w:val="Drafting Notes (Agency) Char"/>
    <w:link w:val="DraftingNotesAgency"/>
    <w:rsid w:val="00C42229"/>
    <w:rPr>
      <w:rFonts w:ascii="Courier New" w:eastAsia="Verdana" w:hAnsi="Courier New"/>
      <w:i/>
      <w:color w:val="339966"/>
      <w:sz w:val="22"/>
      <w:szCs w:val="18"/>
    </w:rPr>
  </w:style>
  <w:style w:type="paragraph" w:customStyle="1" w:styleId="NormalAgency">
    <w:name w:val="Normal (Agency)"/>
    <w:link w:val="NormalAgencyChar"/>
    <w:rsid w:val="00C42229"/>
    <w:rPr>
      <w:rFonts w:ascii="Verdana" w:eastAsia="Verdana" w:hAnsi="Verdana" w:cs="Verdana"/>
      <w:sz w:val="18"/>
      <w:szCs w:val="18"/>
      <w:lang w:val="en-IN" w:eastAsia="ko-KR"/>
    </w:rPr>
  </w:style>
  <w:style w:type="table" w:customStyle="1" w:styleId="TablegridAgencyblack">
    <w:name w:val="Table grid (Agency) black"/>
    <w:basedOn w:val="TableNormal"/>
    <w:semiHidden/>
    <w:rsid w:val="00C42229"/>
    <w:rPr>
      <w:rFonts w:ascii="Verdana" w:eastAsia="SimSun" w:hAnsi="Verdana"/>
      <w:sz w:val="18"/>
    </w:rPr>
    <w:tblP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cPr>
      <w:shd w:val="clear" w:color="auto" w:fill="auto"/>
    </w:tcPr>
    <w:tblStylePr w:type="firstRow">
      <w:rPr>
        <w:rFonts w:ascii="Palatino Linotype" w:hAnsi="Palatino Linotype"/>
        <w:b/>
        <w:i w:val="0"/>
        <w:color w:val="auto"/>
        <w:sz w:val="18"/>
        <w:szCs w:val="18"/>
      </w:rPr>
      <w:tblPr/>
      <w:trPr>
        <w:tblHeader/>
      </w:trPr>
      <w:tcPr>
        <w:tcBorders>
          <w:top w:val="single" w:sz="4" w:space="0" w:color="auto"/>
          <w:left w:val="single" w:sz="4" w:space="0" w:color="auto"/>
          <w:bottom w:val="single" w:sz="4" w:space="0" w:color="auto"/>
          <w:right w:val="single" w:sz="4" w:space="0" w:color="auto"/>
          <w:insideH w:val="single" w:sz="6" w:space="0" w:color="auto"/>
          <w:insideV w:val="single" w:sz="6" w:space="0" w:color="auto"/>
          <w:tl2br w:val="nil"/>
          <w:tr2bl w:val="nil"/>
        </w:tcBorders>
        <w:shd w:val="clear" w:color="auto" w:fill="auto"/>
      </w:tcPr>
    </w:tblStylePr>
  </w:style>
  <w:style w:type="paragraph" w:customStyle="1" w:styleId="TableheadingrowsAgency">
    <w:name w:val="Table heading rows (Agency)"/>
    <w:basedOn w:val="BodytextAgency"/>
    <w:rsid w:val="00C42229"/>
    <w:pPr>
      <w:keepNext/>
      <w:autoSpaceDE/>
      <w:autoSpaceDN/>
      <w:adjustRightInd/>
      <w:spacing w:after="140" w:line="280" w:lineRule="atLeast"/>
    </w:pPr>
    <w:rPr>
      <w:rFonts w:ascii="Verdana" w:hAnsi="Verdana" w:cs="Verdana"/>
      <w:b/>
      <w:sz w:val="18"/>
      <w:szCs w:val="18"/>
      <w:lang w:val="en-GB" w:eastAsia="en-GB"/>
    </w:rPr>
  </w:style>
  <w:style w:type="paragraph" w:customStyle="1" w:styleId="TabletextrowsAgency">
    <w:name w:val="Table text rows (Agency)"/>
    <w:basedOn w:val="Normal"/>
    <w:rsid w:val="00C42229"/>
    <w:pPr>
      <w:tabs>
        <w:tab w:val="clear" w:pos="567"/>
      </w:tabs>
      <w:spacing w:line="280" w:lineRule="exact"/>
    </w:pPr>
    <w:rPr>
      <w:rFonts w:ascii="Verdana" w:hAnsi="Verdana" w:cs="Verdana"/>
      <w:sz w:val="18"/>
      <w:szCs w:val="18"/>
      <w:lang w:eastAsia="zh-CN"/>
    </w:rPr>
  </w:style>
  <w:style w:type="character" w:customStyle="1" w:styleId="NormalAgencyChar">
    <w:name w:val="Normal (Agency) Char"/>
    <w:link w:val="NormalAgency"/>
    <w:rsid w:val="00C42229"/>
    <w:rPr>
      <w:rFonts w:ascii="Verdana" w:eastAsia="Verdana" w:hAnsi="Verdana" w:cs="Verdana"/>
      <w:sz w:val="18"/>
      <w:szCs w:val="18"/>
    </w:rPr>
  </w:style>
  <w:style w:type="character" w:customStyle="1" w:styleId="CommentSubjectChar">
    <w:name w:val="Comment Subject Char"/>
    <w:link w:val="CommentSubject"/>
    <w:uiPriority w:val="99"/>
    <w:rsid w:val="00C42229"/>
    <w:rPr>
      <w:b/>
      <w:bCs/>
      <w:lang w:eastAsia="en-US"/>
    </w:rPr>
  </w:style>
  <w:style w:type="paragraph" w:customStyle="1" w:styleId="trianglemarkcopy">
    <w:name w:val="triangle mark copy"/>
    <w:basedOn w:val="Normal"/>
    <w:uiPriority w:val="99"/>
    <w:rsid w:val="0098482D"/>
    <w:pPr>
      <w:widowControl w:val="0"/>
      <w:tabs>
        <w:tab w:val="clear" w:pos="567"/>
        <w:tab w:val="left" w:pos="828"/>
      </w:tabs>
      <w:suppressAutoHyphens/>
      <w:autoSpaceDE w:val="0"/>
      <w:autoSpaceDN w:val="0"/>
      <w:adjustRightInd w:val="0"/>
      <w:spacing w:before="90" w:line="250" w:lineRule="atLeast"/>
      <w:ind w:left="810" w:hanging="270"/>
      <w:textAlignment w:val="center"/>
    </w:pPr>
    <w:rPr>
      <w:rFonts w:ascii="Georgia-Bold" w:hAnsi="Georgia-Bold" w:cs="Georgia-Bold"/>
      <w:b/>
      <w:bCs/>
      <w:color w:val="000000"/>
      <w:sz w:val="20"/>
      <w:lang w:val="en-US" w:eastAsia="ja-JP"/>
    </w:rPr>
  </w:style>
  <w:style w:type="paragraph" w:customStyle="1" w:styleId="STEPS">
    <w:name w:val="STEPS"/>
    <w:basedOn w:val="Normal"/>
    <w:rsid w:val="0098482D"/>
    <w:pPr>
      <w:widowControl w:val="0"/>
      <w:tabs>
        <w:tab w:val="clear" w:pos="567"/>
      </w:tabs>
      <w:suppressAutoHyphens/>
      <w:autoSpaceDE w:val="0"/>
      <w:autoSpaceDN w:val="0"/>
      <w:adjustRightInd w:val="0"/>
      <w:spacing w:before="270" w:line="250" w:lineRule="atLeast"/>
      <w:textAlignment w:val="center"/>
    </w:pPr>
    <w:rPr>
      <w:rFonts w:cs="Georgia"/>
      <w:b/>
      <w:color w:val="000000"/>
      <w:sz w:val="24"/>
      <w:lang w:val="en-US" w:eastAsia="ja-JP"/>
    </w:rPr>
  </w:style>
  <w:style w:type="paragraph" w:customStyle="1" w:styleId="SUBSTEP">
    <w:name w:val="SUB STEP"/>
    <w:basedOn w:val="Normal"/>
    <w:rsid w:val="0098482D"/>
    <w:pPr>
      <w:widowControl w:val="0"/>
      <w:tabs>
        <w:tab w:val="clear" w:pos="567"/>
        <w:tab w:val="left" w:pos="240"/>
        <w:tab w:val="left" w:pos="360"/>
        <w:tab w:val="left" w:pos="660"/>
        <w:tab w:val="left" w:pos="780"/>
      </w:tabs>
      <w:suppressAutoHyphens/>
      <w:autoSpaceDE w:val="0"/>
      <w:autoSpaceDN w:val="0"/>
      <w:adjustRightInd w:val="0"/>
      <w:spacing w:before="180" w:line="320" w:lineRule="atLeast"/>
      <w:ind w:left="-90" w:firstLine="90"/>
      <w:textAlignment w:val="center"/>
    </w:pPr>
    <w:rPr>
      <w:b/>
      <w:bCs/>
      <w:color w:val="000000"/>
      <w:szCs w:val="28"/>
      <w:lang w:val="en-US" w:eastAsia="ja-JP"/>
    </w:rPr>
  </w:style>
  <w:style w:type="paragraph" w:customStyle="1" w:styleId="DONOT">
    <w:name w:val="DO NOT!"/>
    <w:basedOn w:val="Normal"/>
    <w:rsid w:val="0098482D"/>
    <w:pPr>
      <w:tabs>
        <w:tab w:val="clear" w:pos="567"/>
      </w:tabs>
      <w:spacing w:line="270" w:lineRule="auto"/>
      <w:ind w:right="-46"/>
    </w:pPr>
    <w:rPr>
      <w:rFonts w:eastAsia="Times New Roman"/>
      <w:color w:val="231F20"/>
      <w:sz w:val="20"/>
      <w:szCs w:val="24"/>
      <w:lang w:val="en-US" w:eastAsia="ja-JP"/>
    </w:rPr>
  </w:style>
  <w:style w:type="paragraph" w:customStyle="1" w:styleId="CM1">
    <w:name w:val="CM1"/>
    <w:basedOn w:val="Default"/>
    <w:next w:val="Default"/>
    <w:uiPriority w:val="99"/>
    <w:rsid w:val="00132C66"/>
    <w:rPr>
      <w:rFonts w:ascii="EUAlbertina" w:eastAsia="PMingLiU" w:hAnsi="EUAlbertina"/>
      <w:color w:val="auto"/>
      <w:lang w:eastAsia="en-GB"/>
    </w:rPr>
  </w:style>
  <w:style w:type="paragraph" w:customStyle="1" w:styleId="CM3">
    <w:name w:val="CM3"/>
    <w:basedOn w:val="Default"/>
    <w:next w:val="Default"/>
    <w:uiPriority w:val="99"/>
    <w:rsid w:val="00132C66"/>
    <w:rPr>
      <w:rFonts w:ascii="EUAlbertina" w:eastAsia="PMingLiU" w:hAnsi="EUAlbertina"/>
      <w:color w:val="auto"/>
      <w:lang w:eastAsia="en-GB"/>
    </w:rPr>
  </w:style>
  <w:style w:type="paragraph" w:customStyle="1" w:styleId="CM4">
    <w:name w:val="CM4"/>
    <w:basedOn w:val="Default"/>
    <w:next w:val="Default"/>
    <w:uiPriority w:val="99"/>
    <w:rsid w:val="00132C66"/>
    <w:rPr>
      <w:rFonts w:ascii="EUAlbertina" w:eastAsia="PMingLiU" w:hAnsi="EUAlbertina"/>
      <w:color w:val="auto"/>
      <w:lang w:eastAsia="en-GB"/>
    </w:rPr>
  </w:style>
  <w:style w:type="character" w:customStyle="1" w:styleId="glossary-term">
    <w:name w:val="glossary-term"/>
    <w:rsid w:val="00132C66"/>
  </w:style>
  <w:style w:type="character" w:customStyle="1" w:styleId="st1">
    <w:name w:val="st1"/>
    <w:rsid w:val="000169DD"/>
  </w:style>
  <w:style w:type="paragraph" w:customStyle="1" w:styleId="In-texttable">
    <w:name w:val="In-text table"/>
    <w:basedOn w:val="Normal"/>
    <w:rsid w:val="007E19C6"/>
    <w:pPr>
      <w:keepNext/>
      <w:tabs>
        <w:tab w:val="clear" w:pos="567"/>
      </w:tabs>
      <w:suppressAutoHyphens/>
      <w:overflowPunct w:val="0"/>
      <w:autoSpaceDE w:val="0"/>
      <w:autoSpaceDN w:val="0"/>
      <w:adjustRightInd w:val="0"/>
      <w:spacing w:line="288" w:lineRule="auto"/>
      <w:textAlignment w:val="baseline"/>
    </w:pPr>
    <w:rPr>
      <w:rFonts w:ascii="Arial" w:eastAsia="Times New Roman" w:hAnsi="Arial"/>
      <w:sz w:val="16"/>
      <w:szCs w:val="24"/>
      <w:lang w:val="en-US"/>
    </w:rPr>
  </w:style>
  <w:style w:type="paragraph" w:customStyle="1" w:styleId="EMEANormal">
    <w:name w:val="EMEA Normal"/>
    <w:link w:val="EMEANormalChar"/>
    <w:rsid w:val="007E19C6"/>
    <w:pPr>
      <w:tabs>
        <w:tab w:val="left" w:pos="562"/>
      </w:tabs>
      <w:suppressAutoHyphens/>
    </w:pPr>
    <w:rPr>
      <w:rFonts w:eastAsia="Times New Roman"/>
      <w:sz w:val="22"/>
      <w:lang w:val="en-US" w:eastAsia="en-US"/>
    </w:rPr>
  </w:style>
  <w:style w:type="character" w:customStyle="1" w:styleId="EMEANormalChar">
    <w:name w:val="EMEA Normal Char"/>
    <w:link w:val="EMEANormal"/>
    <w:locked/>
    <w:rsid w:val="007E19C6"/>
    <w:rPr>
      <w:rFonts w:eastAsia="Times New Roman"/>
      <w:sz w:val="22"/>
      <w:lang w:val="en-US" w:eastAsia="en-US"/>
    </w:rPr>
  </w:style>
  <w:style w:type="paragraph" w:customStyle="1" w:styleId="gtctabletitleotherwise">
    <w:name w:val="gtctabletitleotherwise"/>
    <w:basedOn w:val="Normal"/>
    <w:rsid w:val="007E19C6"/>
    <w:pPr>
      <w:tabs>
        <w:tab w:val="clear" w:pos="567"/>
      </w:tabs>
      <w:spacing w:before="120" w:line="240" w:lineRule="auto"/>
      <w:jc w:val="center"/>
    </w:pPr>
    <w:rPr>
      <w:rFonts w:eastAsia="Times New Roman"/>
      <w:b/>
      <w:bCs/>
      <w:sz w:val="24"/>
      <w:szCs w:val="24"/>
      <w:lang w:val="en-US"/>
    </w:rPr>
  </w:style>
  <w:style w:type="paragraph" w:customStyle="1" w:styleId="gtctablespaceafter">
    <w:name w:val="gtctablespaceafter"/>
    <w:basedOn w:val="Normal"/>
    <w:rsid w:val="007E19C6"/>
    <w:pPr>
      <w:tabs>
        <w:tab w:val="clear" w:pos="567"/>
      </w:tabs>
      <w:spacing w:after="280" w:line="240" w:lineRule="auto"/>
    </w:pPr>
    <w:rPr>
      <w:rFonts w:eastAsia="Times New Roman"/>
      <w:sz w:val="2"/>
      <w:szCs w:val="2"/>
      <w:lang w:val="en-US"/>
    </w:rPr>
  </w:style>
  <w:style w:type="paragraph" w:customStyle="1" w:styleId="EMEAHeadingUnderline">
    <w:name w:val="EMEA Heading Underline"/>
    <w:next w:val="EMEANormal"/>
    <w:rsid w:val="00B9052D"/>
    <w:pPr>
      <w:tabs>
        <w:tab w:val="left" w:pos="562"/>
      </w:tabs>
      <w:suppressAutoHyphens/>
      <w:spacing w:beforeLines="100" w:afterLines="100"/>
    </w:pPr>
    <w:rPr>
      <w:rFonts w:eastAsia="Times New Roman"/>
      <w:sz w:val="22"/>
      <w:u w:val="single"/>
      <w:lang w:val="en-US" w:eastAsia="en-US"/>
    </w:rPr>
  </w:style>
  <w:style w:type="table" w:customStyle="1" w:styleId="TableGrid1">
    <w:name w:val="Table Grid1"/>
    <w:basedOn w:val="TableNormal"/>
    <w:next w:val="TableGrid"/>
    <w:rsid w:val="004C5D91"/>
    <w:pPr>
      <w:tabs>
        <w:tab w:val="left" w:pos="562"/>
      </w:tabs>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tcbodytext">
    <w:name w:val="gtcbodytext"/>
    <w:basedOn w:val="Normal"/>
    <w:rsid w:val="00AA5A98"/>
    <w:pPr>
      <w:tabs>
        <w:tab w:val="clear" w:pos="567"/>
      </w:tabs>
      <w:spacing w:before="240" w:after="240" w:line="300" w:lineRule="auto"/>
    </w:pPr>
    <w:rPr>
      <w:rFonts w:eastAsia="Times New Roman"/>
      <w:sz w:val="24"/>
      <w:szCs w:val="24"/>
      <w:lang w:val="en-US"/>
    </w:rPr>
  </w:style>
  <w:style w:type="paragraph" w:customStyle="1" w:styleId="ARROWBULLETED">
    <w:name w:val="ARROW BULLETED"/>
    <w:basedOn w:val="ListParagraph"/>
    <w:rsid w:val="001F6F1A"/>
    <w:pPr>
      <w:widowControl w:val="0"/>
      <w:numPr>
        <w:numId w:val="38"/>
      </w:numPr>
      <w:tabs>
        <w:tab w:val="left" w:pos="828"/>
      </w:tabs>
      <w:suppressAutoHyphens/>
      <w:autoSpaceDE w:val="0"/>
      <w:autoSpaceDN w:val="0"/>
      <w:adjustRightInd w:val="0"/>
      <w:spacing w:before="90" w:line="250" w:lineRule="atLeast"/>
    </w:pPr>
    <w:rPr>
      <w:rFonts w:eastAsia="Times New Roman"/>
      <w:bCs/>
      <w:color w:val="000000"/>
      <w:spacing w:val="-2"/>
      <w:sz w:val="20"/>
      <w:lang w:val="en-US" w:eastAsia="ja-JP"/>
    </w:rPr>
  </w:style>
  <w:style w:type="paragraph" w:customStyle="1" w:styleId="ListBullets">
    <w:name w:val="List Bullets"/>
    <w:basedOn w:val="Normal"/>
    <w:qFormat/>
    <w:rsid w:val="00F67EFB"/>
    <w:pPr>
      <w:numPr>
        <w:numId w:val="48"/>
      </w:numPr>
      <w:tabs>
        <w:tab w:val="clear" w:pos="567"/>
      </w:tabs>
      <w:autoSpaceDE w:val="0"/>
      <w:autoSpaceDN w:val="0"/>
      <w:adjustRightInd w:val="0"/>
      <w:spacing w:after="120" w:line="240" w:lineRule="auto"/>
      <w:contextualSpacing/>
    </w:pPr>
    <w:rPr>
      <w:rFonts w:ascii="Verdana" w:eastAsia="Cambria" w:hAnsi="Verdana" w:cs="Arial"/>
      <w:sz w:val="20"/>
      <w:szCs w:val="24"/>
      <w:lang w:val="en-US" w:eastAsia="en-GB"/>
    </w:rPr>
  </w:style>
  <w:style w:type="paragraph" w:customStyle="1" w:styleId="ListBulletsIndent">
    <w:name w:val="List Bullets Indent"/>
    <w:basedOn w:val="ListBullets"/>
    <w:rsid w:val="00F67EFB"/>
    <w:pPr>
      <w:numPr>
        <w:ilvl w:val="1"/>
      </w:numPr>
      <w:tabs>
        <w:tab w:val="num" w:pos="360"/>
      </w:tabs>
    </w:pPr>
  </w:style>
  <w:style w:type="character" w:customStyle="1" w:styleId="HeaderChar">
    <w:name w:val="Header Char"/>
    <w:link w:val="Header"/>
    <w:rsid w:val="00966B8F"/>
    <w:rPr>
      <w:rFonts w:ascii="Helvetica" w:hAnsi="Helvetica"/>
      <w:lang w:val="en-GB" w:eastAsia="en-US"/>
    </w:rPr>
  </w:style>
  <w:style w:type="character" w:customStyle="1" w:styleId="FooterChar">
    <w:name w:val="Footer Char"/>
    <w:link w:val="Footer"/>
    <w:rsid w:val="00966B8F"/>
    <w:rPr>
      <w:rFonts w:ascii="Helvetica" w:hAnsi="Helvetica"/>
      <w:sz w:val="16"/>
      <w:lang w:val="en-GB" w:eastAsia="en-US"/>
    </w:rPr>
  </w:style>
  <w:style w:type="paragraph" w:styleId="Title">
    <w:name w:val="Title"/>
    <w:basedOn w:val="Normal"/>
    <w:next w:val="Normal"/>
    <w:link w:val="TitleChar"/>
    <w:qFormat/>
    <w:rsid w:val="001C55FB"/>
    <w:pPr>
      <w:spacing w:line="240" w:lineRule="auto"/>
      <w:contextualSpacing/>
    </w:pPr>
    <w:rPr>
      <w:rFonts w:ascii="Calibri Light" w:eastAsia="Malgun Gothic" w:hAnsi="Calibri Light"/>
      <w:spacing w:val="-10"/>
      <w:kern w:val="28"/>
      <w:sz w:val="56"/>
      <w:szCs w:val="56"/>
    </w:rPr>
  </w:style>
  <w:style w:type="character" w:customStyle="1" w:styleId="TitleChar">
    <w:name w:val="Title Char"/>
    <w:link w:val="Title"/>
    <w:rsid w:val="001C55FB"/>
    <w:rPr>
      <w:rFonts w:ascii="Calibri Light" w:eastAsia="Malgun Gothic" w:hAnsi="Calibri Light" w:cs="Times New Roman"/>
      <w:spacing w:val="-10"/>
      <w:kern w:val="28"/>
      <w:sz w:val="56"/>
      <w:szCs w:val="56"/>
      <w:lang w:val="en-GB" w:eastAsia="en-US"/>
    </w:rPr>
  </w:style>
  <w:style w:type="paragraph" w:customStyle="1" w:styleId="Dnex1">
    <w:name w:val="Dnex1"/>
    <w:basedOn w:val="Normal"/>
    <w:qFormat/>
    <w:rsid w:val="0054063C"/>
    <w:pPr>
      <w:widowControl w:val="0"/>
      <w:pBdr>
        <w:top w:val="single" w:sz="4" w:space="1" w:color="auto"/>
        <w:left w:val="single" w:sz="4" w:space="4" w:color="auto"/>
        <w:bottom w:val="single" w:sz="4" w:space="1" w:color="auto"/>
        <w:right w:val="single" w:sz="4" w:space="4" w:color="auto"/>
      </w:pBdr>
      <w:tabs>
        <w:tab w:val="clear" w:pos="567"/>
      </w:tabs>
      <w:suppressAutoHyphens/>
      <w:spacing w:line="240" w:lineRule="auto"/>
    </w:pPr>
    <w:rPr>
      <w:rFonts w:eastAsia="Times New Roman"/>
      <w:vanish/>
      <w:szCs w:val="24"/>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214043">
      <w:bodyDiv w:val="1"/>
      <w:marLeft w:val="0"/>
      <w:marRight w:val="0"/>
      <w:marTop w:val="0"/>
      <w:marBottom w:val="0"/>
      <w:divBdr>
        <w:top w:val="none" w:sz="0" w:space="0" w:color="auto"/>
        <w:left w:val="none" w:sz="0" w:space="0" w:color="auto"/>
        <w:bottom w:val="none" w:sz="0" w:space="0" w:color="auto"/>
        <w:right w:val="none" w:sz="0" w:space="0" w:color="auto"/>
      </w:divBdr>
    </w:div>
    <w:div w:id="77335069">
      <w:bodyDiv w:val="1"/>
      <w:marLeft w:val="0"/>
      <w:marRight w:val="0"/>
      <w:marTop w:val="0"/>
      <w:marBottom w:val="0"/>
      <w:divBdr>
        <w:top w:val="none" w:sz="0" w:space="0" w:color="auto"/>
        <w:left w:val="none" w:sz="0" w:space="0" w:color="auto"/>
        <w:bottom w:val="none" w:sz="0" w:space="0" w:color="auto"/>
        <w:right w:val="none" w:sz="0" w:space="0" w:color="auto"/>
      </w:divBdr>
    </w:div>
    <w:div w:id="187913261">
      <w:bodyDiv w:val="1"/>
      <w:marLeft w:val="0"/>
      <w:marRight w:val="0"/>
      <w:marTop w:val="0"/>
      <w:marBottom w:val="0"/>
      <w:divBdr>
        <w:top w:val="none" w:sz="0" w:space="0" w:color="auto"/>
        <w:left w:val="none" w:sz="0" w:space="0" w:color="auto"/>
        <w:bottom w:val="none" w:sz="0" w:space="0" w:color="auto"/>
        <w:right w:val="none" w:sz="0" w:space="0" w:color="auto"/>
      </w:divBdr>
    </w:div>
    <w:div w:id="234508824">
      <w:bodyDiv w:val="1"/>
      <w:marLeft w:val="0"/>
      <w:marRight w:val="0"/>
      <w:marTop w:val="0"/>
      <w:marBottom w:val="0"/>
      <w:divBdr>
        <w:top w:val="none" w:sz="0" w:space="0" w:color="auto"/>
        <w:left w:val="none" w:sz="0" w:space="0" w:color="auto"/>
        <w:bottom w:val="none" w:sz="0" w:space="0" w:color="auto"/>
        <w:right w:val="none" w:sz="0" w:space="0" w:color="auto"/>
      </w:divBdr>
    </w:div>
    <w:div w:id="264728818">
      <w:bodyDiv w:val="1"/>
      <w:marLeft w:val="0"/>
      <w:marRight w:val="0"/>
      <w:marTop w:val="0"/>
      <w:marBottom w:val="0"/>
      <w:divBdr>
        <w:top w:val="none" w:sz="0" w:space="0" w:color="auto"/>
        <w:left w:val="none" w:sz="0" w:space="0" w:color="auto"/>
        <w:bottom w:val="none" w:sz="0" w:space="0" w:color="auto"/>
        <w:right w:val="none" w:sz="0" w:space="0" w:color="auto"/>
      </w:divBdr>
    </w:div>
    <w:div w:id="277949638">
      <w:bodyDiv w:val="1"/>
      <w:marLeft w:val="0"/>
      <w:marRight w:val="0"/>
      <w:marTop w:val="0"/>
      <w:marBottom w:val="0"/>
      <w:divBdr>
        <w:top w:val="none" w:sz="0" w:space="0" w:color="auto"/>
        <w:left w:val="none" w:sz="0" w:space="0" w:color="auto"/>
        <w:bottom w:val="none" w:sz="0" w:space="0" w:color="auto"/>
        <w:right w:val="none" w:sz="0" w:space="0" w:color="auto"/>
      </w:divBdr>
      <w:divsChild>
        <w:div w:id="1029532430">
          <w:marLeft w:val="0"/>
          <w:marRight w:val="0"/>
          <w:marTop w:val="0"/>
          <w:marBottom w:val="0"/>
          <w:divBdr>
            <w:top w:val="none" w:sz="0" w:space="0" w:color="auto"/>
            <w:left w:val="none" w:sz="0" w:space="0" w:color="auto"/>
            <w:bottom w:val="none" w:sz="0" w:space="0" w:color="auto"/>
            <w:right w:val="none" w:sz="0" w:space="0" w:color="auto"/>
          </w:divBdr>
        </w:div>
      </w:divsChild>
    </w:div>
    <w:div w:id="289940238">
      <w:bodyDiv w:val="1"/>
      <w:marLeft w:val="0"/>
      <w:marRight w:val="0"/>
      <w:marTop w:val="0"/>
      <w:marBottom w:val="0"/>
      <w:divBdr>
        <w:top w:val="none" w:sz="0" w:space="0" w:color="auto"/>
        <w:left w:val="none" w:sz="0" w:space="0" w:color="auto"/>
        <w:bottom w:val="none" w:sz="0" w:space="0" w:color="auto"/>
        <w:right w:val="none" w:sz="0" w:space="0" w:color="auto"/>
      </w:divBdr>
    </w:div>
    <w:div w:id="308442998">
      <w:bodyDiv w:val="1"/>
      <w:marLeft w:val="0"/>
      <w:marRight w:val="0"/>
      <w:marTop w:val="0"/>
      <w:marBottom w:val="0"/>
      <w:divBdr>
        <w:top w:val="none" w:sz="0" w:space="0" w:color="auto"/>
        <w:left w:val="none" w:sz="0" w:space="0" w:color="auto"/>
        <w:bottom w:val="none" w:sz="0" w:space="0" w:color="auto"/>
        <w:right w:val="none" w:sz="0" w:space="0" w:color="auto"/>
      </w:divBdr>
    </w:div>
    <w:div w:id="381290432">
      <w:bodyDiv w:val="1"/>
      <w:marLeft w:val="0"/>
      <w:marRight w:val="0"/>
      <w:marTop w:val="0"/>
      <w:marBottom w:val="0"/>
      <w:divBdr>
        <w:top w:val="none" w:sz="0" w:space="0" w:color="auto"/>
        <w:left w:val="none" w:sz="0" w:space="0" w:color="auto"/>
        <w:bottom w:val="none" w:sz="0" w:space="0" w:color="auto"/>
        <w:right w:val="none" w:sz="0" w:space="0" w:color="auto"/>
      </w:divBdr>
      <w:divsChild>
        <w:div w:id="791284607">
          <w:marLeft w:val="0"/>
          <w:marRight w:val="0"/>
          <w:marTop w:val="0"/>
          <w:marBottom w:val="0"/>
          <w:divBdr>
            <w:top w:val="none" w:sz="0" w:space="0" w:color="auto"/>
            <w:left w:val="none" w:sz="0" w:space="0" w:color="auto"/>
            <w:bottom w:val="none" w:sz="0" w:space="0" w:color="auto"/>
            <w:right w:val="none" w:sz="0" w:space="0" w:color="auto"/>
          </w:divBdr>
          <w:divsChild>
            <w:div w:id="832994120">
              <w:marLeft w:val="0"/>
              <w:marRight w:val="0"/>
              <w:marTop w:val="0"/>
              <w:marBottom w:val="0"/>
              <w:divBdr>
                <w:top w:val="none" w:sz="0" w:space="0" w:color="auto"/>
                <w:left w:val="none" w:sz="0" w:space="0" w:color="auto"/>
                <w:bottom w:val="none" w:sz="0" w:space="0" w:color="auto"/>
                <w:right w:val="none" w:sz="0" w:space="0" w:color="auto"/>
              </w:divBdr>
              <w:divsChild>
                <w:div w:id="109975518">
                  <w:marLeft w:val="0"/>
                  <w:marRight w:val="0"/>
                  <w:marTop w:val="0"/>
                  <w:marBottom w:val="0"/>
                  <w:divBdr>
                    <w:top w:val="none" w:sz="0" w:space="0" w:color="auto"/>
                    <w:left w:val="none" w:sz="0" w:space="0" w:color="auto"/>
                    <w:bottom w:val="none" w:sz="0" w:space="0" w:color="auto"/>
                    <w:right w:val="none" w:sz="0" w:space="0" w:color="auto"/>
                  </w:divBdr>
                  <w:divsChild>
                    <w:div w:id="898368803">
                      <w:marLeft w:val="0"/>
                      <w:marRight w:val="0"/>
                      <w:marTop w:val="0"/>
                      <w:marBottom w:val="0"/>
                      <w:divBdr>
                        <w:top w:val="none" w:sz="0" w:space="0" w:color="auto"/>
                        <w:left w:val="none" w:sz="0" w:space="0" w:color="auto"/>
                        <w:bottom w:val="none" w:sz="0" w:space="0" w:color="auto"/>
                        <w:right w:val="none" w:sz="0" w:space="0" w:color="auto"/>
                      </w:divBdr>
                      <w:divsChild>
                        <w:div w:id="308485790">
                          <w:marLeft w:val="0"/>
                          <w:marRight w:val="0"/>
                          <w:marTop w:val="0"/>
                          <w:marBottom w:val="0"/>
                          <w:divBdr>
                            <w:top w:val="none" w:sz="0" w:space="0" w:color="auto"/>
                            <w:left w:val="none" w:sz="0" w:space="0" w:color="auto"/>
                            <w:bottom w:val="none" w:sz="0" w:space="0" w:color="auto"/>
                            <w:right w:val="none" w:sz="0" w:space="0" w:color="auto"/>
                          </w:divBdr>
                          <w:divsChild>
                            <w:div w:id="9766542">
                              <w:marLeft w:val="0"/>
                              <w:marRight w:val="0"/>
                              <w:marTop w:val="0"/>
                              <w:marBottom w:val="0"/>
                              <w:divBdr>
                                <w:top w:val="none" w:sz="0" w:space="0" w:color="auto"/>
                                <w:left w:val="none" w:sz="0" w:space="0" w:color="auto"/>
                                <w:bottom w:val="none" w:sz="0" w:space="0" w:color="auto"/>
                                <w:right w:val="none" w:sz="0" w:space="0" w:color="auto"/>
                              </w:divBdr>
                              <w:divsChild>
                                <w:div w:id="316227672">
                                  <w:marLeft w:val="0"/>
                                  <w:marRight w:val="0"/>
                                  <w:marTop w:val="0"/>
                                  <w:marBottom w:val="0"/>
                                  <w:divBdr>
                                    <w:top w:val="none" w:sz="0" w:space="0" w:color="auto"/>
                                    <w:left w:val="none" w:sz="0" w:space="0" w:color="auto"/>
                                    <w:bottom w:val="none" w:sz="0" w:space="0" w:color="auto"/>
                                    <w:right w:val="none" w:sz="0" w:space="0" w:color="auto"/>
                                  </w:divBdr>
                                  <w:divsChild>
                                    <w:div w:id="1501506036">
                                      <w:marLeft w:val="0"/>
                                      <w:marRight w:val="0"/>
                                      <w:marTop w:val="0"/>
                                      <w:marBottom w:val="0"/>
                                      <w:divBdr>
                                        <w:top w:val="none" w:sz="0" w:space="0" w:color="auto"/>
                                        <w:left w:val="none" w:sz="0" w:space="0" w:color="auto"/>
                                        <w:bottom w:val="none" w:sz="0" w:space="0" w:color="auto"/>
                                        <w:right w:val="none" w:sz="0" w:space="0" w:color="auto"/>
                                      </w:divBdr>
                                      <w:divsChild>
                                        <w:div w:id="396631751">
                                          <w:marLeft w:val="0"/>
                                          <w:marRight w:val="0"/>
                                          <w:marTop w:val="0"/>
                                          <w:marBottom w:val="0"/>
                                          <w:divBdr>
                                            <w:top w:val="none" w:sz="0" w:space="0" w:color="auto"/>
                                            <w:left w:val="single" w:sz="6" w:space="0" w:color="999999"/>
                                            <w:bottom w:val="none" w:sz="0" w:space="0" w:color="auto"/>
                                            <w:right w:val="none" w:sz="0" w:space="0" w:color="auto"/>
                                          </w:divBdr>
                                          <w:divsChild>
                                            <w:div w:id="417100498">
                                              <w:marLeft w:val="0"/>
                                              <w:marRight w:val="0"/>
                                              <w:marTop w:val="150"/>
                                              <w:marBottom w:val="150"/>
                                              <w:divBdr>
                                                <w:top w:val="none" w:sz="0" w:space="0" w:color="auto"/>
                                                <w:left w:val="none" w:sz="0" w:space="0" w:color="auto"/>
                                                <w:bottom w:val="none" w:sz="0" w:space="0" w:color="auto"/>
                                                <w:right w:val="none" w:sz="0" w:space="0" w:color="auto"/>
                                              </w:divBdr>
                                              <w:divsChild>
                                                <w:div w:id="372773753">
                                                  <w:marLeft w:val="0"/>
                                                  <w:marRight w:val="0"/>
                                                  <w:marTop w:val="0"/>
                                                  <w:marBottom w:val="0"/>
                                                  <w:divBdr>
                                                    <w:top w:val="none" w:sz="0" w:space="0" w:color="auto"/>
                                                    <w:left w:val="none" w:sz="0" w:space="0" w:color="auto"/>
                                                    <w:bottom w:val="none" w:sz="0" w:space="0" w:color="auto"/>
                                                    <w:right w:val="none" w:sz="0" w:space="0" w:color="auto"/>
                                                  </w:divBdr>
                                                  <w:divsChild>
                                                    <w:div w:id="158186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28240595">
      <w:bodyDiv w:val="1"/>
      <w:marLeft w:val="0"/>
      <w:marRight w:val="0"/>
      <w:marTop w:val="0"/>
      <w:marBottom w:val="0"/>
      <w:divBdr>
        <w:top w:val="none" w:sz="0" w:space="0" w:color="auto"/>
        <w:left w:val="none" w:sz="0" w:space="0" w:color="auto"/>
        <w:bottom w:val="none" w:sz="0" w:space="0" w:color="auto"/>
        <w:right w:val="none" w:sz="0" w:space="0" w:color="auto"/>
      </w:divBdr>
      <w:divsChild>
        <w:div w:id="475727850">
          <w:marLeft w:val="0"/>
          <w:marRight w:val="0"/>
          <w:marTop w:val="0"/>
          <w:marBottom w:val="0"/>
          <w:divBdr>
            <w:top w:val="none" w:sz="0" w:space="0" w:color="auto"/>
            <w:left w:val="none" w:sz="0" w:space="0" w:color="auto"/>
            <w:bottom w:val="none" w:sz="0" w:space="0" w:color="auto"/>
            <w:right w:val="none" w:sz="0" w:space="0" w:color="auto"/>
          </w:divBdr>
          <w:divsChild>
            <w:div w:id="713891262">
              <w:marLeft w:val="0"/>
              <w:marRight w:val="0"/>
              <w:marTop w:val="0"/>
              <w:marBottom w:val="0"/>
              <w:divBdr>
                <w:top w:val="none" w:sz="0" w:space="0" w:color="auto"/>
                <w:left w:val="none" w:sz="0" w:space="0" w:color="auto"/>
                <w:bottom w:val="none" w:sz="0" w:space="0" w:color="auto"/>
                <w:right w:val="none" w:sz="0" w:space="0" w:color="auto"/>
              </w:divBdr>
              <w:divsChild>
                <w:div w:id="1577785794">
                  <w:marLeft w:val="0"/>
                  <w:marRight w:val="0"/>
                  <w:marTop w:val="0"/>
                  <w:marBottom w:val="0"/>
                  <w:divBdr>
                    <w:top w:val="none" w:sz="0" w:space="0" w:color="auto"/>
                    <w:left w:val="none" w:sz="0" w:space="0" w:color="auto"/>
                    <w:bottom w:val="none" w:sz="0" w:space="0" w:color="auto"/>
                    <w:right w:val="none" w:sz="0" w:space="0" w:color="auto"/>
                  </w:divBdr>
                  <w:divsChild>
                    <w:div w:id="792672539">
                      <w:marLeft w:val="0"/>
                      <w:marRight w:val="0"/>
                      <w:marTop w:val="0"/>
                      <w:marBottom w:val="0"/>
                      <w:divBdr>
                        <w:top w:val="none" w:sz="0" w:space="0" w:color="auto"/>
                        <w:left w:val="none" w:sz="0" w:space="0" w:color="auto"/>
                        <w:bottom w:val="none" w:sz="0" w:space="0" w:color="auto"/>
                        <w:right w:val="none" w:sz="0" w:space="0" w:color="auto"/>
                      </w:divBdr>
                      <w:divsChild>
                        <w:div w:id="1621254916">
                          <w:marLeft w:val="0"/>
                          <w:marRight w:val="0"/>
                          <w:marTop w:val="0"/>
                          <w:marBottom w:val="0"/>
                          <w:divBdr>
                            <w:top w:val="none" w:sz="0" w:space="0" w:color="auto"/>
                            <w:left w:val="none" w:sz="0" w:space="0" w:color="auto"/>
                            <w:bottom w:val="none" w:sz="0" w:space="0" w:color="auto"/>
                            <w:right w:val="none" w:sz="0" w:space="0" w:color="auto"/>
                          </w:divBdr>
                          <w:divsChild>
                            <w:div w:id="288049897">
                              <w:marLeft w:val="0"/>
                              <w:marRight w:val="0"/>
                              <w:marTop w:val="0"/>
                              <w:marBottom w:val="0"/>
                              <w:divBdr>
                                <w:top w:val="none" w:sz="0" w:space="0" w:color="auto"/>
                                <w:left w:val="none" w:sz="0" w:space="0" w:color="auto"/>
                                <w:bottom w:val="none" w:sz="0" w:space="0" w:color="auto"/>
                                <w:right w:val="none" w:sz="0" w:space="0" w:color="auto"/>
                              </w:divBdr>
                              <w:divsChild>
                                <w:div w:id="1171143995">
                                  <w:marLeft w:val="0"/>
                                  <w:marRight w:val="0"/>
                                  <w:marTop w:val="0"/>
                                  <w:marBottom w:val="0"/>
                                  <w:divBdr>
                                    <w:top w:val="none" w:sz="0" w:space="0" w:color="auto"/>
                                    <w:left w:val="none" w:sz="0" w:space="0" w:color="auto"/>
                                    <w:bottom w:val="none" w:sz="0" w:space="0" w:color="auto"/>
                                    <w:right w:val="none" w:sz="0" w:space="0" w:color="auto"/>
                                  </w:divBdr>
                                  <w:divsChild>
                                    <w:div w:id="179273252">
                                      <w:marLeft w:val="0"/>
                                      <w:marRight w:val="0"/>
                                      <w:marTop w:val="0"/>
                                      <w:marBottom w:val="0"/>
                                      <w:divBdr>
                                        <w:top w:val="none" w:sz="0" w:space="0" w:color="auto"/>
                                        <w:left w:val="none" w:sz="0" w:space="0" w:color="auto"/>
                                        <w:bottom w:val="none" w:sz="0" w:space="0" w:color="auto"/>
                                        <w:right w:val="none" w:sz="0" w:space="0" w:color="auto"/>
                                      </w:divBdr>
                                      <w:divsChild>
                                        <w:div w:id="1509366229">
                                          <w:marLeft w:val="0"/>
                                          <w:marRight w:val="0"/>
                                          <w:marTop w:val="0"/>
                                          <w:marBottom w:val="0"/>
                                          <w:divBdr>
                                            <w:top w:val="none" w:sz="0" w:space="0" w:color="auto"/>
                                            <w:left w:val="single" w:sz="6" w:space="0" w:color="999999"/>
                                            <w:bottom w:val="none" w:sz="0" w:space="0" w:color="auto"/>
                                            <w:right w:val="none" w:sz="0" w:space="0" w:color="auto"/>
                                          </w:divBdr>
                                          <w:divsChild>
                                            <w:div w:id="930817526">
                                              <w:marLeft w:val="0"/>
                                              <w:marRight w:val="0"/>
                                              <w:marTop w:val="150"/>
                                              <w:marBottom w:val="150"/>
                                              <w:divBdr>
                                                <w:top w:val="none" w:sz="0" w:space="0" w:color="auto"/>
                                                <w:left w:val="none" w:sz="0" w:space="0" w:color="auto"/>
                                                <w:bottom w:val="none" w:sz="0" w:space="0" w:color="auto"/>
                                                <w:right w:val="none" w:sz="0" w:space="0" w:color="auto"/>
                                              </w:divBdr>
                                              <w:divsChild>
                                                <w:div w:id="2012249889">
                                                  <w:marLeft w:val="0"/>
                                                  <w:marRight w:val="0"/>
                                                  <w:marTop w:val="0"/>
                                                  <w:marBottom w:val="0"/>
                                                  <w:divBdr>
                                                    <w:top w:val="none" w:sz="0" w:space="0" w:color="auto"/>
                                                    <w:left w:val="none" w:sz="0" w:space="0" w:color="auto"/>
                                                    <w:bottom w:val="none" w:sz="0" w:space="0" w:color="auto"/>
                                                    <w:right w:val="none" w:sz="0" w:space="0" w:color="auto"/>
                                                  </w:divBdr>
                                                  <w:divsChild>
                                                    <w:div w:id="165341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2365117">
      <w:bodyDiv w:val="1"/>
      <w:marLeft w:val="0"/>
      <w:marRight w:val="0"/>
      <w:marTop w:val="0"/>
      <w:marBottom w:val="0"/>
      <w:divBdr>
        <w:top w:val="none" w:sz="0" w:space="0" w:color="auto"/>
        <w:left w:val="none" w:sz="0" w:space="0" w:color="auto"/>
        <w:bottom w:val="none" w:sz="0" w:space="0" w:color="auto"/>
        <w:right w:val="none" w:sz="0" w:space="0" w:color="auto"/>
      </w:divBdr>
    </w:div>
    <w:div w:id="455099225">
      <w:bodyDiv w:val="1"/>
      <w:marLeft w:val="0"/>
      <w:marRight w:val="0"/>
      <w:marTop w:val="0"/>
      <w:marBottom w:val="0"/>
      <w:divBdr>
        <w:top w:val="none" w:sz="0" w:space="0" w:color="auto"/>
        <w:left w:val="none" w:sz="0" w:space="0" w:color="auto"/>
        <w:bottom w:val="none" w:sz="0" w:space="0" w:color="auto"/>
        <w:right w:val="none" w:sz="0" w:space="0" w:color="auto"/>
      </w:divBdr>
      <w:divsChild>
        <w:div w:id="300306515">
          <w:marLeft w:val="0"/>
          <w:marRight w:val="0"/>
          <w:marTop w:val="0"/>
          <w:marBottom w:val="0"/>
          <w:divBdr>
            <w:top w:val="none" w:sz="0" w:space="0" w:color="auto"/>
            <w:left w:val="none" w:sz="0" w:space="0" w:color="auto"/>
            <w:bottom w:val="none" w:sz="0" w:space="0" w:color="auto"/>
            <w:right w:val="none" w:sz="0" w:space="0" w:color="auto"/>
          </w:divBdr>
          <w:divsChild>
            <w:div w:id="1059088448">
              <w:marLeft w:val="0"/>
              <w:marRight w:val="0"/>
              <w:marTop w:val="0"/>
              <w:marBottom w:val="0"/>
              <w:divBdr>
                <w:top w:val="none" w:sz="0" w:space="0" w:color="auto"/>
                <w:left w:val="none" w:sz="0" w:space="0" w:color="auto"/>
                <w:bottom w:val="none" w:sz="0" w:space="0" w:color="auto"/>
                <w:right w:val="none" w:sz="0" w:space="0" w:color="auto"/>
              </w:divBdr>
              <w:divsChild>
                <w:div w:id="1131903320">
                  <w:marLeft w:val="0"/>
                  <w:marRight w:val="0"/>
                  <w:marTop w:val="0"/>
                  <w:marBottom w:val="0"/>
                  <w:divBdr>
                    <w:top w:val="none" w:sz="0" w:space="0" w:color="auto"/>
                    <w:left w:val="none" w:sz="0" w:space="0" w:color="auto"/>
                    <w:bottom w:val="none" w:sz="0" w:space="0" w:color="auto"/>
                    <w:right w:val="none" w:sz="0" w:space="0" w:color="auto"/>
                  </w:divBdr>
                  <w:divsChild>
                    <w:div w:id="616373161">
                      <w:marLeft w:val="0"/>
                      <w:marRight w:val="0"/>
                      <w:marTop w:val="0"/>
                      <w:marBottom w:val="0"/>
                      <w:divBdr>
                        <w:top w:val="none" w:sz="0" w:space="0" w:color="auto"/>
                        <w:left w:val="none" w:sz="0" w:space="0" w:color="auto"/>
                        <w:bottom w:val="none" w:sz="0" w:space="0" w:color="auto"/>
                        <w:right w:val="none" w:sz="0" w:space="0" w:color="auto"/>
                      </w:divBdr>
                      <w:divsChild>
                        <w:div w:id="1380662410">
                          <w:marLeft w:val="0"/>
                          <w:marRight w:val="0"/>
                          <w:marTop w:val="0"/>
                          <w:marBottom w:val="0"/>
                          <w:divBdr>
                            <w:top w:val="none" w:sz="0" w:space="0" w:color="auto"/>
                            <w:left w:val="none" w:sz="0" w:space="0" w:color="auto"/>
                            <w:bottom w:val="none" w:sz="0" w:space="0" w:color="auto"/>
                            <w:right w:val="none" w:sz="0" w:space="0" w:color="auto"/>
                          </w:divBdr>
                          <w:divsChild>
                            <w:div w:id="155064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6726218">
      <w:bodyDiv w:val="1"/>
      <w:marLeft w:val="0"/>
      <w:marRight w:val="0"/>
      <w:marTop w:val="0"/>
      <w:marBottom w:val="0"/>
      <w:divBdr>
        <w:top w:val="none" w:sz="0" w:space="0" w:color="auto"/>
        <w:left w:val="none" w:sz="0" w:space="0" w:color="auto"/>
        <w:bottom w:val="none" w:sz="0" w:space="0" w:color="auto"/>
        <w:right w:val="none" w:sz="0" w:space="0" w:color="auto"/>
      </w:divBdr>
      <w:divsChild>
        <w:div w:id="1551918384">
          <w:marLeft w:val="0"/>
          <w:marRight w:val="0"/>
          <w:marTop w:val="0"/>
          <w:marBottom w:val="0"/>
          <w:divBdr>
            <w:top w:val="none" w:sz="0" w:space="0" w:color="auto"/>
            <w:left w:val="none" w:sz="0" w:space="0" w:color="auto"/>
            <w:bottom w:val="none" w:sz="0" w:space="0" w:color="auto"/>
            <w:right w:val="none" w:sz="0" w:space="0" w:color="auto"/>
          </w:divBdr>
          <w:divsChild>
            <w:div w:id="1986547993">
              <w:marLeft w:val="0"/>
              <w:marRight w:val="0"/>
              <w:marTop w:val="0"/>
              <w:marBottom w:val="0"/>
              <w:divBdr>
                <w:top w:val="none" w:sz="0" w:space="0" w:color="auto"/>
                <w:left w:val="none" w:sz="0" w:space="0" w:color="auto"/>
                <w:bottom w:val="none" w:sz="0" w:space="0" w:color="auto"/>
                <w:right w:val="none" w:sz="0" w:space="0" w:color="auto"/>
              </w:divBdr>
              <w:divsChild>
                <w:div w:id="1463881305">
                  <w:marLeft w:val="0"/>
                  <w:marRight w:val="0"/>
                  <w:marTop w:val="0"/>
                  <w:marBottom w:val="0"/>
                  <w:divBdr>
                    <w:top w:val="none" w:sz="0" w:space="0" w:color="auto"/>
                    <w:left w:val="none" w:sz="0" w:space="0" w:color="auto"/>
                    <w:bottom w:val="none" w:sz="0" w:space="0" w:color="auto"/>
                    <w:right w:val="none" w:sz="0" w:space="0" w:color="auto"/>
                  </w:divBdr>
                  <w:divsChild>
                    <w:div w:id="1931812214">
                      <w:marLeft w:val="0"/>
                      <w:marRight w:val="0"/>
                      <w:marTop w:val="0"/>
                      <w:marBottom w:val="0"/>
                      <w:divBdr>
                        <w:top w:val="none" w:sz="0" w:space="0" w:color="auto"/>
                        <w:left w:val="none" w:sz="0" w:space="0" w:color="auto"/>
                        <w:bottom w:val="none" w:sz="0" w:space="0" w:color="auto"/>
                        <w:right w:val="none" w:sz="0" w:space="0" w:color="auto"/>
                      </w:divBdr>
                      <w:divsChild>
                        <w:div w:id="1144614626">
                          <w:marLeft w:val="0"/>
                          <w:marRight w:val="0"/>
                          <w:marTop w:val="0"/>
                          <w:marBottom w:val="0"/>
                          <w:divBdr>
                            <w:top w:val="none" w:sz="0" w:space="0" w:color="auto"/>
                            <w:left w:val="none" w:sz="0" w:space="0" w:color="auto"/>
                            <w:bottom w:val="none" w:sz="0" w:space="0" w:color="auto"/>
                            <w:right w:val="none" w:sz="0" w:space="0" w:color="auto"/>
                          </w:divBdr>
                          <w:divsChild>
                            <w:div w:id="1768573625">
                              <w:marLeft w:val="0"/>
                              <w:marRight w:val="0"/>
                              <w:marTop w:val="0"/>
                              <w:marBottom w:val="0"/>
                              <w:divBdr>
                                <w:top w:val="none" w:sz="0" w:space="0" w:color="auto"/>
                                <w:left w:val="none" w:sz="0" w:space="0" w:color="auto"/>
                                <w:bottom w:val="none" w:sz="0" w:space="0" w:color="auto"/>
                                <w:right w:val="none" w:sz="0" w:space="0" w:color="auto"/>
                              </w:divBdr>
                              <w:divsChild>
                                <w:div w:id="432939820">
                                  <w:marLeft w:val="0"/>
                                  <w:marRight w:val="0"/>
                                  <w:marTop w:val="0"/>
                                  <w:marBottom w:val="0"/>
                                  <w:divBdr>
                                    <w:top w:val="none" w:sz="0" w:space="0" w:color="auto"/>
                                    <w:left w:val="none" w:sz="0" w:space="0" w:color="auto"/>
                                    <w:bottom w:val="none" w:sz="0" w:space="0" w:color="auto"/>
                                    <w:right w:val="none" w:sz="0" w:space="0" w:color="auto"/>
                                  </w:divBdr>
                                  <w:divsChild>
                                    <w:div w:id="42170854">
                                      <w:marLeft w:val="0"/>
                                      <w:marRight w:val="0"/>
                                      <w:marTop w:val="0"/>
                                      <w:marBottom w:val="0"/>
                                      <w:divBdr>
                                        <w:top w:val="none" w:sz="0" w:space="0" w:color="auto"/>
                                        <w:left w:val="none" w:sz="0" w:space="0" w:color="auto"/>
                                        <w:bottom w:val="none" w:sz="0" w:space="0" w:color="auto"/>
                                        <w:right w:val="none" w:sz="0" w:space="0" w:color="auto"/>
                                      </w:divBdr>
                                      <w:divsChild>
                                        <w:div w:id="2075198174">
                                          <w:marLeft w:val="0"/>
                                          <w:marRight w:val="0"/>
                                          <w:marTop w:val="0"/>
                                          <w:marBottom w:val="0"/>
                                          <w:divBdr>
                                            <w:top w:val="none" w:sz="0" w:space="0" w:color="auto"/>
                                            <w:left w:val="single" w:sz="6" w:space="0" w:color="999999"/>
                                            <w:bottom w:val="none" w:sz="0" w:space="0" w:color="auto"/>
                                            <w:right w:val="none" w:sz="0" w:space="0" w:color="auto"/>
                                          </w:divBdr>
                                          <w:divsChild>
                                            <w:div w:id="369493739">
                                              <w:marLeft w:val="0"/>
                                              <w:marRight w:val="0"/>
                                              <w:marTop w:val="150"/>
                                              <w:marBottom w:val="150"/>
                                              <w:divBdr>
                                                <w:top w:val="none" w:sz="0" w:space="0" w:color="auto"/>
                                                <w:left w:val="none" w:sz="0" w:space="0" w:color="auto"/>
                                                <w:bottom w:val="none" w:sz="0" w:space="0" w:color="auto"/>
                                                <w:right w:val="none" w:sz="0" w:space="0" w:color="auto"/>
                                              </w:divBdr>
                                              <w:divsChild>
                                                <w:div w:id="1569806803">
                                                  <w:marLeft w:val="0"/>
                                                  <w:marRight w:val="0"/>
                                                  <w:marTop w:val="0"/>
                                                  <w:marBottom w:val="0"/>
                                                  <w:divBdr>
                                                    <w:top w:val="none" w:sz="0" w:space="0" w:color="auto"/>
                                                    <w:left w:val="none" w:sz="0" w:space="0" w:color="auto"/>
                                                    <w:bottom w:val="none" w:sz="0" w:space="0" w:color="auto"/>
                                                    <w:right w:val="none" w:sz="0" w:space="0" w:color="auto"/>
                                                  </w:divBdr>
                                                  <w:divsChild>
                                                    <w:div w:id="173338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66971152">
      <w:bodyDiv w:val="1"/>
      <w:marLeft w:val="0"/>
      <w:marRight w:val="0"/>
      <w:marTop w:val="0"/>
      <w:marBottom w:val="0"/>
      <w:divBdr>
        <w:top w:val="none" w:sz="0" w:space="0" w:color="auto"/>
        <w:left w:val="none" w:sz="0" w:space="0" w:color="auto"/>
        <w:bottom w:val="none" w:sz="0" w:space="0" w:color="auto"/>
        <w:right w:val="none" w:sz="0" w:space="0" w:color="auto"/>
      </w:divBdr>
    </w:div>
    <w:div w:id="471748828">
      <w:bodyDiv w:val="1"/>
      <w:marLeft w:val="0"/>
      <w:marRight w:val="0"/>
      <w:marTop w:val="0"/>
      <w:marBottom w:val="0"/>
      <w:divBdr>
        <w:top w:val="none" w:sz="0" w:space="0" w:color="auto"/>
        <w:left w:val="none" w:sz="0" w:space="0" w:color="auto"/>
        <w:bottom w:val="none" w:sz="0" w:space="0" w:color="auto"/>
        <w:right w:val="none" w:sz="0" w:space="0" w:color="auto"/>
      </w:divBdr>
    </w:div>
    <w:div w:id="540092221">
      <w:bodyDiv w:val="1"/>
      <w:marLeft w:val="0"/>
      <w:marRight w:val="0"/>
      <w:marTop w:val="0"/>
      <w:marBottom w:val="0"/>
      <w:divBdr>
        <w:top w:val="none" w:sz="0" w:space="0" w:color="auto"/>
        <w:left w:val="none" w:sz="0" w:space="0" w:color="auto"/>
        <w:bottom w:val="none" w:sz="0" w:space="0" w:color="auto"/>
        <w:right w:val="none" w:sz="0" w:space="0" w:color="auto"/>
      </w:divBdr>
    </w:div>
    <w:div w:id="568732196">
      <w:bodyDiv w:val="1"/>
      <w:marLeft w:val="0"/>
      <w:marRight w:val="0"/>
      <w:marTop w:val="0"/>
      <w:marBottom w:val="0"/>
      <w:divBdr>
        <w:top w:val="none" w:sz="0" w:space="0" w:color="auto"/>
        <w:left w:val="none" w:sz="0" w:space="0" w:color="auto"/>
        <w:bottom w:val="none" w:sz="0" w:space="0" w:color="auto"/>
        <w:right w:val="none" w:sz="0" w:space="0" w:color="auto"/>
      </w:divBdr>
    </w:div>
    <w:div w:id="611320545">
      <w:bodyDiv w:val="1"/>
      <w:marLeft w:val="0"/>
      <w:marRight w:val="0"/>
      <w:marTop w:val="0"/>
      <w:marBottom w:val="0"/>
      <w:divBdr>
        <w:top w:val="none" w:sz="0" w:space="0" w:color="auto"/>
        <w:left w:val="none" w:sz="0" w:space="0" w:color="auto"/>
        <w:bottom w:val="none" w:sz="0" w:space="0" w:color="auto"/>
        <w:right w:val="none" w:sz="0" w:space="0" w:color="auto"/>
      </w:divBdr>
      <w:divsChild>
        <w:div w:id="1858037978">
          <w:marLeft w:val="0"/>
          <w:marRight w:val="0"/>
          <w:marTop w:val="0"/>
          <w:marBottom w:val="0"/>
          <w:divBdr>
            <w:top w:val="none" w:sz="0" w:space="0" w:color="auto"/>
            <w:left w:val="none" w:sz="0" w:space="0" w:color="auto"/>
            <w:bottom w:val="none" w:sz="0" w:space="0" w:color="auto"/>
            <w:right w:val="none" w:sz="0" w:space="0" w:color="auto"/>
          </w:divBdr>
          <w:divsChild>
            <w:div w:id="1192305342">
              <w:marLeft w:val="0"/>
              <w:marRight w:val="0"/>
              <w:marTop w:val="0"/>
              <w:marBottom w:val="0"/>
              <w:divBdr>
                <w:top w:val="none" w:sz="0" w:space="0" w:color="auto"/>
                <w:left w:val="none" w:sz="0" w:space="0" w:color="auto"/>
                <w:bottom w:val="none" w:sz="0" w:space="0" w:color="auto"/>
                <w:right w:val="none" w:sz="0" w:space="0" w:color="auto"/>
              </w:divBdr>
              <w:divsChild>
                <w:div w:id="18239075">
                  <w:marLeft w:val="0"/>
                  <w:marRight w:val="0"/>
                  <w:marTop w:val="0"/>
                  <w:marBottom w:val="0"/>
                  <w:divBdr>
                    <w:top w:val="none" w:sz="0" w:space="0" w:color="auto"/>
                    <w:left w:val="none" w:sz="0" w:space="0" w:color="auto"/>
                    <w:bottom w:val="none" w:sz="0" w:space="0" w:color="auto"/>
                    <w:right w:val="none" w:sz="0" w:space="0" w:color="auto"/>
                  </w:divBdr>
                  <w:divsChild>
                    <w:div w:id="1069154881">
                      <w:marLeft w:val="0"/>
                      <w:marRight w:val="0"/>
                      <w:marTop w:val="0"/>
                      <w:marBottom w:val="0"/>
                      <w:divBdr>
                        <w:top w:val="none" w:sz="0" w:space="0" w:color="auto"/>
                        <w:left w:val="none" w:sz="0" w:space="0" w:color="auto"/>
                        <w:bottom w:val="none" w:sz="0" w:space="0" w:color="auto"/>
                        <w:right w:val="none" w:sz="0" w:space="0" w:color="auto"/>
                      </w:divBdr>
                      <w:divsChild>
                        <w:div w:id="1613126400">
                          <w:marLeft w:val="0"/>
                          <w:marRight w:val="0"/>
                          <w:marTop w:val="0"/>
                          <w:marBottom w:val="0"/>
                          <w:divBdr>
                            <w:top w:val="none" w:sz="0" w:space="0" w:color="auto"/>
                            <w:left w:val="none" w:sz="0" w:space="0" w:color="auto"/>
                            <w:bottom w:val="none" w:sz="0" w:space="0" w:color="auto"/>
                            <w:right w:val="none" w:sz="0" w:space="0" w:color="auto"/>
                          </w:divBdr>
                          <w:divsChild>
                            <w:div w:id="115707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5213891">
      <w:bodyDiv w:val="1"/>
      <w:marLeft w:val="0"/>
      <w:marRight w:val="0"/>
      <w:marTop w:val="0"/>
      <w:marBottom w:val="0"/>
      <w:divBdr>
        <w:top w:val="none" w:sz="0" w:space="0" w:color="auto"/>
        <w:left w:val="none" w:sz="0" w:space="0" w:color="auto"/>
        <w:bottom w:val="none" w:sz="0" w:space="0" w:color="auto"/>
        <w:right w:val="none" w:sz="0" w:space="0" w:color="auto"/>
      </w:divBdr>
    </w:div>
    <w:div w:id="621233310">
      <w:bodyDiv w:val="1"/>
      <w:marLeft w:val="0"/>
      <w:marRight w:val="0"/>
      <w:marTop w:val="0"/>
      <w:marBottom w:val="0"/>
      <w:divBdr>
        <w:top w:val="none" w:sz="0" w:space="0" w:color="auto"/>
        <w:left w:val="none" w:sz="0" w:space="0" w:color="auto"/>
        <w:bottom w:val="none" w:sz="0" w:space="0" w:color="auto"/>
        <w:right w:val="none" w:sz="0" w:space="0" w:color="auto"/>
      </w:divBdr>
      <w:divsChild>
        <w:div w:id="1420255413">
          <w:marLeft w:val="0"/>
          <w:marRight w:val="0"/>
          <w:marTop w:val="0"/>
          <w:marBottom w:val="0"/>
          <w:divBdr>
            <w:top w:val="none" w:sz="0" w:space="0" w:color="auto"/>
            <w:left w:val="none" w:sz="0" w:space="0" w:color="auto"/>
            <w:bottom w:val="none" w:sz="0" w:space="0" w:color="auto"/>
            <w:right w:val="none" w:sz="0" w:space="0" w:color="auto"/>
          </w:divBdr>
          <w:divsChild>
            <w:div w:id="1475488970">
              <w:marLeft w:val="0"/>
              <w:marRight w:val="0"/>
              <w:marTop w:val="0"/>
              <w:marBottom w:val="0"/>
              <w:divBdr>
                <w:top w:val="none" w:sz="0" w:space="0" w:color="auto"/>
                <w:left w:val="none" w:sz="0" w:space="0" w:color="auto"/>
                <w:bottom w:val="none" w:sz="0" w:space="0" w:color="auto"/>
                <w:right w:val="none" w:sz="0" w:space="0" w:color="auto"/>
              </w:divBdr>
              <w:divsChild>
                <w:div w:id="351151946">
                  <w:marLeft w:val="0"/>
                  <w:marRight w:val="0"/>
                  <w:marTop w:val="0"/>
                  <w:marBottom w:val="0"/>
                  <w:divBdr>
                    <w:top w:val="none" w:sz="0" w:space="0" w:color="auto"/>
                    <w:left w:val="none" w:sz="0" w:space="0" w:color="auto"/>
                    <w:bottom w:val="none" w:sz="0" w:space="0" w:color="auto"/>
                    <w:right w:val="none" w:sz="0" w:space="0" w:color="auto"/>
                  </w:divBdr>
                  <w:divsChild>
                    <w:div w:id="1633056813">
                      <w:marLeft w:val="0"/>
                      <w:marRight w:val="0"/>
                      <w:marTop w:val="0"/>
                      <w:marBottom w:val="0"/>
                      <w:divBdr>
                        <w:top w:val="none" w:sz="0" w:space="0" w:color="auto"/>
                        <w:left w:val="none" w:sz="0" w:space="0" w:color="auto"/>
                        <w:bottom w:val="none" w:sz="0" w:space="0" w:color="auto"/>
                        <w:right w:val="none" w:sz="0" w:space="0" w:color="auto"/>
                      </w:divBdr>
                      <w:divsChild>
                        <w:div w:id="20013686">
                          <w:marLeft w:val="0"/>
                          <w:marRight w:val="0"/>
                          <w:marTop w:val="0"/>
                          <w:marBottom w:val="0"/>
                          <w:divBdr>
                            <w:top w:val="none" w:sz="0" w:space="0" w:color="auto"/>
                            <w:left w:val="none" w:sz="0" w:space="0" w:color="auto"/>
                            <w:bottom w:val="none" w:sz="0" w:space="0" w:color="auto"/>
                            <w:right w:val="none" w:sz="0" w:space="0" w:color="auto"/>
                          </w:divBdr>
                          <w:divsChild>
                            <w:div w:id="1261138558">
                              <w:marLeft w:val="0"/>
                              <w:marRight w:val="0"/>
                              <w:marTop w:val="0"/>
                              <w:marBottom w:val="0"/>
                              <w:divBdr>
                                <w:top w:val="none" w:sz="0" w:space="0" w:color="auto"/>
                                <w:left w:val="none" w:sz="0" w:space="0" w:color="auto"/>
                                <w:bottom w:val="none" w:sz="0" w:space="0" w:color="auto"/>
                                <w:right w:val="none" w:sz="0" w:space="0" w:color="auto"/>
                              </w:divBdr>
                              <w:divsChild>
                                <w:div w:id="1006329511">
                                  <w:marLeft w:val="0"/>
                                  <w:marRight w:val="0"/>
                                  <w:marTop w:val="0"/>
                                  <w:marBottom w:val="0"/>
                                  <w:divBdr>
                                    <w:top w:val="none" w:sz="0" w:space="0" w:color="auto"/>
                                    <w:left w:val="none" w:sz="0" w:space="0" w:color="auto"/>
                                    <w:bottom w:val="none" w:sz="0" w:space="0" w:color="auto"/>
                                    <w:right w:val="none" w:sz="0" w:space="0" w:color="auto"/>
                                  </w:divBdr>
                                  <w:divsChild>
                                    <w:div w:id="212542812">
                                      <w:marLeft w:val="0"/>
                                      <w:marRight w:val="0"/>
                                      <w:marTop w:val="0"/>
                                      <w:marBottom w:val="0"/>
                                      <w:divBdr>
                                        <w:top w:val="none" w:sz="0" w:space="0" w:color="auto"/>
                                        <w:left w:val="none" w:sz="0" w:space="0" w:color="auto"/>
                                        <w:bottom w:val="none" w:sz="0" w:space="0" w:color="auto"/>
                                        <w:right w:val="none" w:sz="0" w:space="0" w:color="auto"/>
                                      </w:divBdr>
                                      <w:divsChild>
                                        <w:div w:id="882791090">
                                          <w:marLeft w:val="0"/>
                                          <w:marRight w:val="0"/>
                                          <w:marTop w:val="0"/>
                                          <w:marBottom w:val="0"/>
                                          <w:divBdr>
                                            <w:top w:val="none" w:sz="0" w:space="0" w:color="auto"/>
                                            <w:left w:val="single" w:sz="6" w:space="0" w:color="999999"/>
                                            <w:bottom w:val="none" w:sz="0" w:space="0" w:color="auto"/>
                                            <w:right w:val="none" w:sz="0" w:space="0" w:color="auto"/>
                                          </w:divBdr>
                                          <w:divsChild>
                                            <w:div w:id="428355845">
                                              <w:marLeft w:val="0"/>
                                              <w:marRight w:val="0"/>
                                              <w:marTop w:val="150"/>
                                              <w:marBottom w:val="150"/>
                                              <w:divBdr>
                                                <w:top w:val="none" w:sz="0" w:space="0" w:color="auto"/>
                                                <w:left w:val="none" w:sz="0" w:space="0" w:color="auto"/>
                                                <w:bottom w:val="none" w:sz="0" w:space="0" w:color="auto"/>
                                                <w:right w:val="none" w:sz="0" w:space="0" w:color="auto"/>
                                              </w:divBdr>
                                              <w:divsChild>
                                                <w:div w:id="1753118595">
                                                  <w:marLeft w:val="0"/>
                                                  <w:marRight w:val="0"/>
                                                  <w:marTop w:val="0"/>
                                                  <w:marBottom w:val="0"/>
                                                  <w:divBdr>
                                                    <w:top w:val="none" w:sz="0" w:space="0" w:color="auto"/>
                                                    <w:left w:val="none" w:sz="0" w:space="0" w:color="auto"/>
                                                    <w:bottom w:val="none" w:sz="0" w:space="0" w:color="auto"/>
                                                    <w:right w:val="none" w:sz="0" w:space="0" w:color="auto"/>
                                                  </w:divBdr>
                                                  <w:divsChild>
                                                    <w:div w:id="60215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64405685">
      <w:bodyDiv w:val="1"/>
      <w:marLeft w:val="0"/>
      <w:marRight w:val="0"/>
      <w:marTop w:val="0"/>
      <w:marBottom w:val="0"/>
      <w:divBdr>
        <w:top w:val="none" w:sz="0" w:space="0" w:color="auto"/>
        <w:left w:val="none" w:sz="0" w:space="0" w:color="auto"/>
        <w:bottom w:val="none" w:sz="0" w:space="0" w:color="auto"/>
        <w:right w:val="none" w:sz="0" w:space="0" w:color="auto"/>
      </w:divBdr>
    </w:div>
    <w:div w:id="674110777">
      <w:bodyDiv w:val="1"/>
      <w:marLeft w:val="0"/>
      <w:marRight w:val="0"/>
      <w:marTop w:val="0"/>
      <w:marBottom w:val="0"/>
      <w:divBdr>
        <w:top w:val="none" w:sz="0" w:space="0" w:color="auto"/>
        <w:left w:val="none" w:sz="0" w:space="0" w:color="auto"/>
        <w:bottom w:val="none" w:sz="0" w:space="0" w:color="auto"/>
        <w:right w:val="none" w:sz="0" w:space="0" w:color="auto"/>
      </w:divBdr>
    </w:div>
    <w:div w:id="682631028">
      <w:bodyDiv w:val="1"/>
      <w:marLeft w:val="0"/>
      <w:marRight w:val="0"/>
      <w:marTop w:val="0"/>
      <w:marBottom w:val="0"/>
      <w:divBdr>
        <w:top w:val="none" w:sz="0" w:space="0" w:color="auto"/>
        <w:left w:val="none" w:sz="0" w:space="0" w:color="auto"/>
        <w:bottom w:val="none" w:sz="0" w:space="0" w:color="auto"/>
        <w:right w:val="none" w:sz="0" w:space="0" w:color="auto"/>
      </w:divBdr>
    </w:div>
    <w:div w:id="691103352">
      <w:bodyDiv w:val="1"/>
      <w:marLeft w:val="0"/>
      <w:marRight w:val="0"/>
      <w:marTop w:val="0"/>
      <w:marBottom w:val="0"/>
      <w:divBdr>
        <w:top w:val="none" w:sz="0" w:space="0" w:color="auto"/>
        <w:left w:val="none" w:sz="0" w:space="0" w:color="auto"/>
        <w:bottom w:val="none" w:sz="0" w:space="0" w:color="auto"/>
        <w:right w:val="none" w:sz="0" w:space="0" w:color="auto"/>
      </w:divBdr>
    </w:div>
    <w:div w:id="714887515">
      <w:bodyDiv w:val="1"/>
      <w:marLeft w:val="0"/>
      <w:marRight w:val="0"/>
      <w:marTop w:val="0"/>
      <w:marBottom w:val="0"/>
      <w:divBdr>
        <w:top w:val="none" w:sz="0" w:space="0" w:color="auto"/>
        <w:left w:val="none" w:sz="0" w:space="0" w:color="auto"/>
        <w:bottom w:val="none" w:sz="0" w:space="0" w:color="auto"/>
        <w:right w:val="none" w:sz="0" w:space="0" w:color="auto"/>
      </w:divBdr>
    </w:div>
    <w:div w:id="738987445">
      <w:bodyDiv w:val="1"/>
      <w:marLeft w:val="0"/>
      <w:marRight w:val="0"/>
      <w:marTop w:val="0"/>
      <w:marBottom w:val="0"/>
      <w:divBdr>
        <w:top w:val="none" w:sz="0" w:space="0" w:color="auto"/>
        <w:left w:val="none" w:sz="0" w:space="0" w:color="auto"/>
        <w:bottom w:val="none" w:sz="0" w:space="0" w:color="auto"/>
        <w:right w:val="none" w:sz="0" w:space="0" w:color="auto"/>
      </w:divBdr>
    </w:div>
    <w:div w:id="839194214">
      <w:bodyDiv w:val="1"/>
      <w:marLeft w:val="0"/>
      <w:marRight w:val="0"/>
      <w:marTop w:val="0"/>
      <w:marBottom w:val="0"/>
      <w:divBdr>
        <w:top w:val="none" w:sz="0" w:space="0" w:color="auto"/>
        <w:left w:val="none" w:sz="0" w:space="0" w:color="auto"/>
        <w:bottom w:val="none" w:sz="0" w:space="0" w:color="auto"/>
        <w:right w:val="none" w:sz="0" w:space="0" w:color="auto"/>
      </w:divBdr>
      <w:divsChild>
        <w:div w:id="989679279">
          <w:marLeft w:val="0"/>
          <w:marRight w:val="0"/>
          <w:marTop w:val="0"/>
          <w:marBottom w:val="0"/>
          <w:divBdr>
            <w:top w:val="none" w:sz="0" w:space="0" w:color="auto"/>
            <w:left w:val="none" w:sz="0" w:space="0" w:color="auto"/>
            <w:bottom w:val="none" w:sz="0" w:space="0" w:color="auto"/>
            <w:right w:val="none" w:sz="0" w:space="0" w:color="auto"/>
          </w:divBdr>
          <w:divsChild>
            <w:div w:id="385223769">
              <w:marLeft w:val="0"/>
              <w:marRight w:val="0"/>
              <w:marTop w:val="0"/>
              <w:marBottom w:val="0"/>
              <w:divBdr>
                <w:top w:val="none" w:sz="0" w:space="0" w:color="auto"/>
                <w:left w:val="none" w:sz="0" w:space="0" w:color="auto"/>
                <w:bottom w:val="none" w:sz="0" w:space="0" w:color="auto"/>
                <w:right w:val="none" w:sz="0" w:space="0" w:color="auto"/>
              </w:divBdr>
              <w:divsChild>
                <w:div w:id="217058966">
                  <w:marLeft w:val="0"/>
                  <w:marRight w:val="0"/>
                  <w:marTop w:val="0"/>
                  <w:marBottom w:val="0"/>
                  <w:divBdr>
                    <w:top w:val="none" w:sz="0" w:space="0" w:color="auto"/>
                    <w:left w:val="none" w:sz="0" w:space="0" w:color="auto"/>
                    <w:bottom w:val="none" w:sz="0" w:space="0" w:color="auto"/>
                    <w:right w:val="none" w:sz="0" w:space="0" w:color="auto"/>
                  </w:divBdr>
                  <w:divsChild>
                    <w:div w:id="1115632010">
                      <w:marLeft w:val="0"/>
                      <w:marRight w:val="0"/>
                      <w:marTop w:val="0"/>
                      <w:marBottom w:val="0"/>
                      <w:divBdr>
                        <w:top w:val="none" w:sz="0" w:space="0" w:color="auto"/>
                        <w:left w:val="none" w:sz="0" w:space="0" w:color="auto"/>
                        <w:bottom w:val="none" w:sz="0" w:space="0" w:color="auto"/>
                        <w:right w:val="none" w:sz="0" w:space="0" w:color="auto"/>
                      </w:divBdr>
                      <w:divsChild>
                        <w:div w:id="619977">
                          <w:marLeft w:val="0"/>
                          <w:marRight w:val="0"/>
                          <w:marTop w:val="0"/>
                          <w:marBottom w:val="0"/>
                          <w:divBdr>
                            <w:top w:val="none" w:sz="0" w:space="0" w:color="auto"/>
                            <w:left w:val="none" w:sz="0" w:space="0" w:color="auto"/>
                            <w:bottom w:val="none" w:sz="0" w:space="0" w:color="auto"/>
                            <w:right w:val="none" w:sz="0" w:space="0" w:color="auto"/>
                          </w:divBdr>
                          <w:divsChild>
                            <w:div w:id="1226794605">
                              <w:marLeft w:val="0"/>
                              <w:marRight w:val="0"/>
                              <w:marTop w:val="0"/>
                              <w:marBottom w:val="0"/>
                              <w:divBdr>
                                <w:top w:val="none" w:sz="0" w:space="0" w:color="auto"/>
                                <w:left w:val="none" w:sz="0" w:space="0" w:color="auto"/>
                                <w:bottom w:val="none" w:sz="0" w:space="0" w:color="auto"/>
                                <w:right w:val="none" w:sz="0" w:space="0" w:color="auto"/>
                              </w:divBdr>
                              <w:divsChild>
                                <w:div w:id="781605666">
                                  <w:marLeft w:val="0"/>
                                  <w:marRight w:val="0"/>
                                  <w:marTop w:val="0"/>
                                  <w:marBottom w:val="0"/>
                                  <w:divBdr>
                                    <w:top w:val="none" w:sz="0" w:space="0" w:color="auto"/>
                                    <w:left w:val="none" w:sz="0" w:space="0" w:color="auto"/>
                                    <w:bottom w:val="none" w:sz="0" w:space="0" w:color="auto"/>
                                    <w:right w:val="none" w:sz="0" w:space="0" w:color="auto"/>
                                  </w:divBdr>
                                  <w:divsChild>
                                    <w:div w:id="1364283389">
                                      <w:marLeft w:val="0"/>
                                      <w:marRight w:val="0"/>
                                      <w:marTop w:val="0"/>
                                      <w:marBottom w:val="0"/>
                                      <w:divBdr>
                                        <w:top w:val="none" w:sz="0" w:space="0" w:color="auto"/>
                                        <w:left w:val="none" w:sz="0" w:space="0" w:color="auto"/>
                                        <w:bottom w:val="none" w:sz="0" w:space="0" w:color="auto"/>
                                        <w:right w:val="none" w:sz="0" w:space="0" w:color="auto"/>
                                      </w:divBdr>
                                      <w:divsChild>
                                        <w:div w:id="484055794">
                                          <w:marLeft w:val="0"/>
                                          <w:marRight w:val="0"/>
                                          <w:marTop w:val="0"/>
                                          <w:marBottom w:val="0"/>
                                          <w:divBdr>
                                            <w:top w:val="none" w:sz="0" w:space="0" w:color="auto"/>
                                            <w:left w:val="single" w:sz="6" w:space="0" w:color="999999"/>
                                            <w:bottom w:val="none" w:sz="0" w:space="0" w:color="auto"/>
                                            <w:right w:val="none" w:sz="0" w:space="0" w:color="auto"/>
                                          </w:divBdr>
                                          <w:divsChild>
                                            <w:div w:id="291601257">
                                              <w:marLeft w:val="0"/>
                                              <w:marRight w:val="0"/>
                                              <w:marTop w:val="150"/>
                                              <w:marBottom w:val="150"/>
                                              <w:divBdr>
                                                <w:top w:val="none" w:sz="0" w:space="0" w:color="auto"/>
                                                <w:left w:val="none" w:sz="0" w:space="0" w:color="auto"/>
                                                <w:bottom w:val="none" w:sz="0" w:space="0" w:color="auto"/>
                                                <w:right w:val="none" w:sz="0" w:space="0" w:color="auto"/>
                                              </w:divBdr>
                                              <w:divsChild>
                                                <w:div w:id="375861355">
                                                  <w:marLeft w:val="0"/>
                                                  <w:marRight w:val="0"/>
                                                  <w:marTop w:val="0"/>
                                                  <w:marBottom w:val="0"/>
                                                  <w:divBdr>
                                                    <w:top w:val="none" w:sz="0" w:space="0" w:color="auto"/>
                                                    <w:left w:val="none" w:sz="0" w:space="0" w:color="auto"/>
                                                    <w:bottom w:val="none" w:sz="0" w:space="0" w:color="auto"/>
                                                    <w:right w:val="none" w:sz="0" w:space="0" w:color="auto"/>
                                                  </w:divBdr>
                                                  <w:divsChild>
                                                    <w:div w:id="208556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16479578">
      <w:bodyDiv w:val="1"/>
      <w:marLeft w:val="0"/>
      <w:marRight w:val="0"/>
      <w:marTop w:val="0"/>
      <w:marBottom w:val="0"/>
      <w:divBdr>
        <w:top w:val="none" w:sz="0" w:space="0" w:color="auto"/>
        <w:left w:val="none" w:sz="0" w:space="0" w:color="auto"/>
        <w:bottom w:val="none" w:sz="0" w:space="0" w:color="auto"/>
        <w:right w:val="none" w:sz="0" w:space="0" w:color="auto"/>
      </w:divBdr>
      <w:divsChild>
        <w:div w:id="2015108510">
          <w:marLeft w:val="0"/>
          <w:marRight w:val="0"/>
          <w:marTop w:val="0"/>
          <w:marBottom w:val="0"/>
          <w:divBdr>
            <w:top w:val="none" w:sz="0" w:space="0" w:color="auto"/>
            <w:left w:val="none" w:sz="0" w:space="0" w:color="auto"/>
            <w:bottom w:val="none" w:sz="0" w:space="0" w:color="auto"/>
            <w:right w:val="none" w:sz="0" w:space="0" w:color="auto"/>
          </w:divBdr>
          <w:divsChild>
            <w:div w:id="459493341">
              <w:marLeft w:val="0"/>
              <w:marRight w:val="0"/>
              <w:marTop w:val="0"/>
              <w:marBottom w:val="0"/>
              <w:divBdr>
                <w:top w:val="none" w:sz="0" w:space="0" w:color="auto"/>
                <w:left w:val="none" w:sz="0" w:space="0" w:color="auto"/>
                <w:bottom w:val="none" w:sz="0" w:space="0" w:color="auto"/>
                <w:right w:val="none" w:sz="0" w:space="0" w:color="auto"/>
              </w:divBdr>
              <w:divsChild>
                <w:div w:id="1259826518">
                  <w:marLeft w:val="0"/>
                  <w:marRight w:val="0"/>
                  <w:marTop w:val="0"/>
                  <w:marBottom w:val="0"/>
                  <w:divBdr>
                    <w:top w:val="none" w:sz="0" w:space="0" w:color="auto"/>
                    <w:left w:val="none" w:sz="0" w:space="0" w:color="auto"/>
                    <w:bottom w:val="none" w:sz="0" w:space="0" w:color="auto"/>
                    <w:right w:val="none" w:sz="0" w:space="0" w:color="auto"/>
                  </w:divBdr>
                  <w:divsChild>
                    <w:div w:id="1687904184">
                      <w:marLeft w:val="0"/>
                      <w:marRight w:val="0"/>
                      <w:marTop w:val="0"/>
                      <w:marBottom w:val="0"/>
                      <w:divBdr>
                        <w:top w:val="none" w:sz="0" w:space="0" w:color="auto"/>
                        <w:left w:val="none" w:sz="0" w:space="0" w:color="auto"/>
                        <w:bottom w:val="none" w:sz="0" w:space="0" w:color="auto"/>
                        <w:right w:val="none" w:sz="0" w:space="0" w:color="auto"/>
                      </w:divBdr>
                      <w:divsChild>
                        <w:div w:id="1058087671">
                          <w:marLeft w:val="0"/>
                          <w:marRight w:val="0"/>
                          <w:marTop w:val="0"/>
                          <w:marBottom w:val="0"/>
                          <w:divBdr>
                            <w:top w:val="none" w:sz="0" w:space="0" w:color="auto"/>
                            <w:left w:val="none" w:sz="0" w:space="0" w:color="auto"/>
                            <w:bottom w:val="none" w:sz="0" w:space="0" w:color="auto"/>
                            <w:right w:val="none" w:sz="0" w:space="0" w:color="auto"/>
                          </w:divBdr>
                          <w:divsChild>
                            <w:div w:id="2009206033">
                              <w:marLeft w:val="0"/>
                              <w:marRight w:val="0"/>
                              <w:marTop w:val="0"/>
                              <w:marBottom w:val="0"/>
                              <w:divBdr>
                                <w:top w:val="none" w:sz="0" w:space="0" w:color="auto"/>
                                <w:left w:val="none" w:sz="0" w:space="0" w:color="auto"/>
                                <w:bottom w:val="none" w:sz="0" w:space="0" w:color="auto"/>
                                <w:right w:val="none" w:sz="0" w:space="0" w:color="auto"/>
                              </w:divBdr>
                              <w:divsChild>
                                <w:div w:id="553850704">
                                  <w:marLeft w:val="0"/>
                                  <w:marRight w:val="0"/>
                                  <w:marTop w:val="0"/>
                                  <w:marBottom w:val="0"/>
                                  <w:divBdr>
                                    <w:top w:val="none" w:sz="0" w:space="0" w:color="auto"/>
                                    <w:left w:val="none" w:sz="0" w:space="0" w:color="auto"/>
                                    <w:bottom w:val="none" w:sz="0" w:space="0" w:color="auto"/>
                                    <w:right w:val="none" w:sz="0" w:space="0" w:color="auto"/>
                                  </w:divBdr>
                                  <w:divsChild>
                                    <w:div w:id="210120021">
                                      <w:marLeft w:val="0"/>
                                      <w:marRight w:val="0"/>
                                      <w:marTop w:val="0"/>
                                      <w:marBottom w:val="0"/>
                                      <w:divBdr>
                                        <w:top w:val="none" w:sz="0" w:space="0" w:color="auto"/>
                                        <w:left w:val="none" w:sz="0" w:space="0" w:color="auto"/>
                                        <w:bottom w:val="none" w:sz="0" w:space="0" w:color="auto"/>
                                        <w:right w:val="none" w:sz="0" w:space="0" w:color="auto"/>
                                      </w:divBdr>
                                      <w:divsChild>
                                        <w:div w:id="918951437">
                                          <w:marLeft w:val="0"/>
                                          <w:marRight w:val="0"/>
                                          <w:marTop w:val="0"/>
                                          <w:marBottom w:val="0"/>
                                          <w:divBdr>
                                            <w:top w:val="none" w:sz="0" w:space="0" w:color="auto"/>
                                            <w:left w:val="single" w:sz="6" w:space="0" w:color="999999"/>
                                            <w:bottom w:val="none" w:sz="0" w:space="0" w:color="auto"/>
                                            <w:right w:val="none" w:sz="0" w:space="0" w:color="auto"/>
                                          </w:divBdr>
                                          <w:divsChild>
                                            <w:div w:id="1609309858">
                                              <w:marLeft w:val="0"/>
                                              <w:marRight w:val="0"/>
                                              <w:marTop w:val="150"/>
                                              <w:marBottom w:val="150"/>
                                              <w:divBdr>
                                                <w:top w:val="none" w:sz="0" w:space="0" w:color="auto"/>
                                                <w:left w:val="none" w:sz="0" w:space="0" w:color="auto"/>
                                                <w:bottom w:val="none" w:sz="0" w:space="0" w:color="auto"/>
                                                <w:right w:val="none" w:sz="0" w:space="0" w:color="auto"/>
                                              </w:divBdr>
                                              <w:divsChild>
                                                <w:div w:id="1003050873">
                                                  <w:marLeft w:val="0"/>
                                                  <w:marRight w:val="0"/>
                                                  <w:marTop w:val="0"/>
                                                  <w:marBottom w:val="0"/>
                                                  <w:divBdr>
                                                    <w:top w:val="none" w:sz="0" w:space="0" w:color="auto"/>
                                                    <w:left w:val="none" w:sz="0" w:space="0" w:color="auto"/>
                                                    <w:bottom w:val="none" w:sz="0" w:space="0" w:color="auto"/>
                                                    <w:right w:val="none" w:sz="0" w:space="0" w:color="auto"/>
                                                  </w:divBdr>
                                                  <w:divsChild>
                                                    <w:div w:id="145151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30892494">
      <w:bodyDiv w:val="1"/>
      <w:marLeft w:val="0"/>
      <w:marRight w:val="0"/>
      <w:marTop w:val="0"/>
      <w:marBottom w:val="0"/>
      <w:divBdr>
        <w:top w:val="none" w:sz="0" w:space="0" w:color="auto"/>
        <w:left w:val="none" w:sz="0" w:space="0" w:color="auto"/>
        <w:bottom w:val="none" w:sz="0" w:space="0" w:color="auto"/>
        <w:right w:val="none" w:sz="0" w:space="0" w:color="auto"/>
      </w:divBdr>
    </w:div>
    <w:div w:id="985935052">
      <w:bodyDiv w:val="1"/>
      <w:marLeft w:val="0"/>
      <w:marRight w:val="0"/>
      <w:marTop w:val="0"/>
      <w:marBottom w:val="0"/>
      <w:divBdr>
        <w:top w:val="none" w:sz="0" w:space="0" w:color="auto"/>
        <w:left w:val="none" w:sz="0" w:space="0" w:color="auto"/>
        <w:bottom w:val="none" w:sz="0" w:space="0" w:color="auto"/>
        <w:right w:val="none" w:sz="0" w:space="0" w:color="auto"/>
      </w:divBdr>
    </w:div>
    <w:div w:id="1026521741">
      <w:bodyDiv w:val="1"/>
      <w:marLeft w:val="0"/>
      <w:marRight w:val="0"/>
      <w:marTop w:val="0"/>
      <w:marBottom w:val="0"/>
      <w:divBdr>
        <w:top w:val="none" w:sz="0" w:space="0" w:color="auto"/>
        <w:left w:val="none" w:sz="0" w:space="0" w:color="auto"/>
        <w:bottom w:val="none" w:sz="0" w:space="0" w:color="auto"/>
        <w:right w:val="none" w:sz="0" w:space="0" w:color="auto"/>
      </w:divBdr>
      <w:divsChild>
        <w:div w:id="812403028">
          <w:marLeft w:val="0"/>
          <w:marRight w:val="0"/>
          <w:marTop w:val="0"/>
          <w:marBottom w:val="0"/>
          <w:divBdr>
            <w:top w:val="none" w:sz="0" w:space="0" w:color="auto"/>
            <w:left w:val="none" w:sz="0" w:space="0" w:color="auto"/>
            <w:bottom w:val="none" w:sz="0" w:space="0" w:color="auto"/>
            <w:right w:val="none" w:sz="0" w:space="0" w:color="auto"/>
          </w:divBdr>
          <w:divsChild>
            <w:div w:id="2138446401">
              <w:marLeft w:val="0"/>
              <w:marRight w:val="0"/>
              <w:marTop w:val="0"/>
              <w:marBottom w:val="0"/>
              <w:divBdr>
                <w:top w:val="none" w:sz="0" w:space="0" w:color="auto"/>
                <w:left w:val="none" w:sz="0" w:space="0" w:color="auto"/>
                <w:bottom w:val="none" w:sz="0" w:space="0" w:color="auto"/>
                <w:right w:val="none" w:sz="0" w:space="0" w:color="auto"/>
              </w:divBdr>
              <w:divsChild>
                <w:div w:id="1363244894">
                  <w:marLeft w:val="0"/>
                  <w:marRight w:val="0"/>
                  <w:marTop w:val="0"/>
                  <w:marBottom w:val="0"/>
                  <w:divBdr>
                    <w:top w:val="none" w:sz="0" w:space="0" w:color="auto"/>
                    <w:left w:val="none" w:sz="0" w:space="0" w:color="auto"/>
                    <w:bottom w:val="none" w:sz="0" w:space="0" w:color="auto"/>
                    <w:right w:val="none" w:sz="0" w:space="0" w:color="auto"/>
                  </w:divBdr>
                  <w:divsChild>
                    <w:div w:id="1084109069">
                      <w:marLeft w:val="0"/>
                      <w:marRight w:val="0"/>
                      <w:marTop w:val="0"/>
                      <w:marBottom w:val="0"/>
                      <w:divBdr>
                        <w:top w:val="none" w:sz="0" w:space="0" w:color="auto"/>
                        <w:left w:val="none" w:sz="0" w:space="0" w:color="auto"/>
                        <w:bottom w:val="none" w:sz="0" w:space="0" w:color="auto"/>
                        <w:right w:val="none" w:sz="0" w:space="0" w:color="auto"/>
                      </w:divBdr>
                      <w:divsChild>
                        <w:div w:id="463622498">
                          <w:marLeft w:val="0"/>
                          <w:marRight w:val="0"/>
                          <w:marTop w:val="0"/>
                          <w:marBottom w:val="0"/>
                          <w:divBdr>
                            <w:top w:val="none" w:sz="0" w:space="0" w:color="auto"/>
                            <w:left w:val="none" w:sz="0" w:space="0" w:color="auto"/>
                            <w:bottom w:val="none" w:sz="0" w:space="0" w:color="auto"/>
                            <w:right w:val="none" w:sz="0" w:space="0" w:color="auto"/>
                          </w:divBdr>
                          <w:divsChild>
                            <w:div w:id="1229878114">
                              <w:marLeft w:val="0"/>
                              <w:marRight w:val="0"/>
                              <w:marTop w:val="0"/>
                              <w:marBottom w:val="0"/>
                              <w:divBdr>
                                <w:top w:val="none" w:sz="0" w:space="0" w:color="auto"/>
                                <w:left w:val="none" w:sz="0" w:space="0" w:color="auto"/>
                                <w:bottom w:val="none" w:sz="0" w:space="0" w:color="auto"/>
                                <w:right w:val="none" w:sz="0" w:space="0" w:color="auto"/>
                              </w:divBdr>
                              <w:divsChild>
                                <w:div w:id="1043287374">
                                  <w:marLeft w:val="0"/>
                                  <w:marRight w:val="0"/>
                                  <w:marTop w:val="0"/>
                                  <w:marBottom w:val="0"/>
                                  <w:divBdr>
                                    <w:top w:val="none" w:sz="0" w:space="0" w:color="auto"/>
                                    <w:left w:val="none" w:sz="0" w:space="0" w:color="auto"/>
                                    <w:bottom w:val="none" w:sz="0" w:space="0" w:color="auto"/>
                                    <w:right w:val="none" w:sz="0" w:space="0" w:color="auto"/>
                                  </w:divBdr>
                                  <w:divsChild>
                                    <w:div w:id="812255688">
                                      <w:marLeft w:val="0"/>
                                      <w:marRight w:val="0"/>
                                      <w:marTop w:val="0"/>
                                      <w:marBottom w:val="0"/>
                                      <w:divBdr>
                                        <w:top w:val="none" w:sz="0" w:space="0" w:color="auto"/>
                                        <w:left w:val="none" w:sz="0" w:space="0" w:color="auto"/>
                                        <w:bottom w:val="none" w:sz="0" w:space="0" w:color="auto"/>
                                        <w:right w:val="none" w:sz="0" w:space="0" w:color="auto"/>
                                      </w:divBdr>
                                      <w:divsChild>
                                        <w:div w:id="124397328">
                                          <w:marLeft w:val="0"/>
                                          <w:marRight w:val="0"/>
                                          <w:marTop w:val="0"/>
                                          <w:marBottom w:val="0"/>
                                          <w:divBdr>
                                            <w:top w:val="none" w:sz="0" w:space="0" w:color="auto"/>
                                            <w:left w:val="single" w:sz="6" w:space="0" w:color="999999"/>
                                            <w:bottom w:val="none" w:sz="0" w:space="0" w:color="auto"/>
                                            <w:right w:val="none" w:sz="0" w:space="0" w:color="auto"/>
                                          </w:divBdr>
                                          <w:divsChild>
                                            <w:div w:id="525871043">
                                              <w:marLeft w:val="0"/>
                                              <w:marRight w:val="0"/>
                                              <w:marTop w:val="150"/>
                                              <w:marBottom w:val="150"/>
                                              <w:divBdr>
                                                <w:top w:val="none" w:sz="0" w:space="0" w:color="auto"/>
                                                <w:left w:val="none" w:sz="0" w:space="0" w:color="auto"/>
                                                <w:bottom w:val="none" w:sz="0" w:space="0" w:color="auto"/>
                                                <w:right w:val="none" w:sz="0" w:space="0" w:color="auto"/>
                                              </w:divBdr>
                                              <w:divsChild>
                                                <w:div w:id="375396508">
                                                  <w:marLeft w:val="0"/>
                                                  <w:marRight w:val="0"/>
                                                  <w:marTop w:val="0"/>
                                                  <w:marBottom w:val="0"/>
                                                  <w:divBdr>
                                                    <w:top w:val="none" w:sz="0" w:space="0" w:color="auto"/>
                                                    <w:left w:val="none" w:sz="0" w:space="0" w:color="auto"/>
                                                    <w:bottom w:val="none" w:sz="0" w:space="0" w:color="auto"/>
                                                    <w:right w:val="none" w:sz="0" w:space="0" w:color="auto"/>
                                                  </w:divBdr>
                                                  <w:divsChild>
                                                    <w:div w:id="818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51271013">
      <w:bodyDiv w:val="1"/>
      <w:marLeft w:val="0"/>
      <w:marRight w:val="0"/>
      <w:marTop w:val="0"/>
      <w:marBottom w:val="0"/>
      <w:divBdr>
        <w:top w:val="none" w:sz="0" w:space="0" w:color="auto"/>
        <w:left w:val="none" w:sz="0" w:space="0" w:color="auto"/>
        <w:bottom w:val="none" w:sz="0" w:space="0" w:color="auto"/>
        <w:right w:val="none" w:sz="0" w:space="0" w:color="auto"/>
      </w:divBdr>
    </w:div>
    <w:div w:id="1105273572">
      <w:bodyDiv w:val="1"/>
      <w:marLeft w:val="0"/>
      <w:marRight w:val="0"/>
      <w:marTop w:val="0"/>
      <w:marBottom w:val="0"/>
      <w:divBdr>
        <w:top w:val="none" w:sz="0" w:space="0" w:color="auto"/>
        <w:left w:val="none" w:sz="0" w:space="0" w:color="auto"/>
        <w:bottom w:val="none" w:sz="0" w:space="0" w:color="auto"/>
        <w:right w:val="none" w:sz="0" w:space="0" w:color="auto"/>
      </w:divBdr>
      <w:divsChild>
        <w:div w:id="327759314">
          <w:marLeft w:val="0"/>
          <w:marRight w:val="0"/>
          <w:marTop w:val="0"/>
          <w:marBottom w:val="0"/>
          <w:divBdr>
            <w:top w:val="none" w:sz="0" w:space="0" w:color="auto"/>
            <w:left w:val="none" w:sz="0" w:space="0" w:color="auto"/>
            <w:bottom w:val="none" w:sz="0" w:space="0" w:color="auto"/>
            <w:right w:val="none" w:sz="0" w:space="0" w:color="auto"/>
          </w:divBdr>
          <w:divsChild>
            <w:div w:id="1448544714">
              <w:marLeft w:val="0"/>
              <w:marRight w:val="0"/>
              <w:marTop w:val="0"/>
              <w:marBottom w:val="0"/>
              <w:divBdr>
                <w:top w:val="none" w:sz="0" w:space="0" w:color="auto"/>
                <w:left w:val="none" w:sz="0" w:space="0" w:color="auto"/>
                <w:bottom w:val="none" w:sz="0" w:space="0" w:color="auto"/>
                <w:right w:val="none" w:sz="0" w:space="0" w:color="auto"/>
              </w:divBdr>
              <w:divsChild>
                <w:div w:id="561867982">
                  <w:marLeft w:val="0"/>
                  <w:marRight w:val="0"/>
                  <w:marTop w:val="0"/>
                  <w:marBottom w:val="0"/>
                  <w:divBdr>
                    <w:top w:val="none" w:sz="0" w:space="0" w:color="auto"/>
                    <w:left w:val="none" w:sz="0" w:space="0" w:color="auto"/>
                    <w:bottom w:val="none" w:sz="0" w:space="0" w:color="auto"/>
                    <w:right w:val="none" w:sz="0" w:space="0" w:color="auto"/>
                  </w:divBdr>
                  <w:divsChild>
                    <w:div w:id="562839457">
                      <w:marLeft w:val="0"/>
                      <w:marRight w:val="0"/>
                      <w:marTop w:val="0"/>
                      <w:marBottom w:val="0"/>
                      <w:divBdr>
                        <w:top w:val="none" w:sz="0" w:space="0" w:color="auto"/>
                        <w:left w:val="none" w:sz="0" w:space="0" w:color="auto"/>
                        <w:bottom w:val="none" w:sz="0" w:space="0" w:color="auto"/>
                        <w:right w:val="none" w:sz="0" w:space="0" w:color="auto"/>
                      </w:divBdr>
                      <w:divsChild>
                        <w:div w:id="748427036">
                          <w:marLeft w:val="0"/>
                          <w:marRight w:val="0"/>
                          <w:marTop w:val="0"/>
                          <w:marBottom w:val="0"/>
                          <w:divBdr>
                            <w:top w:val="none" w:sz="0" w:space="0" w:color="auto"/>
                            <w:left w:val="none" w:sz="0" w:space="0" w:color="auto"/>
                            <w:bottom w:val="none" w:sz="0" w:space="0" w:color="auto"/>
                            <w:right w:val="none" w:sz="0" w:space="0" w:color="auto"/>
                          </w:divBdr>
                          <w:divsChild>
                            <w:div w:id="1898274420">
                              <w:marLeft w:val="0"/>
                              <w:marRight w:val="0"/>
                              <w:marTop w:val="0"/>
                              <w:marBottom w:val="0"/>
                              <w:divBdr>
                                <w:top w:val="none" w:sz="0" w:space="0" w:color="auto"/>
                                <w:left w:val="none" w:sz="0" w:space="0" w:color="auto"/>
                                <w:bottom w:val="none" w:sz="0" w:space="0" w:color="auto"/>
                                <w:right w:val="none" w:sz="0" w:space="0" w:color="auto"/>
                              </w:divBdr>
                              <w:divsChild>
                                <w:div w:id="1757482545">
                                  <w:marLeft w:val="0"/>
                                  <w:marRight w:val="0"/>
                                  <w:marTop w:val="0"/>
                                  <w:marBottom w:val="0"/>
                                  <w:divBdr>
                                    <w:top w:val="none" w:sz="0" w:space="0" w:color="auto"/>
                                    <w:left w:val="none" w:sz="0" w:space="0" w:color="auto"/>
                                    <w:bottom w:val="none" w:sz="0" w:space="0" w:color="auto"/>
                                    <w:right w:val="none" w:sz="0" w:space="0" w:color="auto"/>
                                  </w:divBdr>
                                  <w:divsChild>
                                    <w:div w:id="1911773096">
                                      <w:marLeft w:val="0"/>
                                      <w:marRight w:val="0"/>
                                      <w:marTop w:val="0"/>
                                      <w:marBottom w:val="0"/>
                                      <w:divBdr>
                                        <w:top w:val="none" w:sz="0" w:space="0" w:color="auto"/>
                                        <w:left w:val="none" w:sz="0" w:space="0" w:color="auto"/>
                                        <w:bottom w:val="none" w:sz="0" w:space="0" w:color="auto"/>
                                        <w:right w:val="none" w:sz="0" w:space="0" w:color="auto"/>
                                      </w:divBdr>
                                      <w:divsChild>
                                        <w:div w:id="1289118670">
                                          <w:marLeft w:val="0"/>
                                          <w:marRight w:val="0"/>
                                          <w:marTop w:val="0"/>
                                          <w:marBottom w:val="0"/>
                                          <w:divBdr>
                                            <w:top w:val="none" w:sz="0" w:space="0" w:color="auto"/>
                                            <w:left w:val="single" w:sz="6" w:space="0" w:color="999999"/>
                                            <w:bottom w:val="none" w:sz="0" w:space="0" w:color="auto"/>
                                            <w:right w:val="none" w:sz="0" w:space="0" w:color="auto"/>
                                          </w:divBdr>
                                          <w:divsChild>
                                            <w:div w:id="1142694736">
                                              <w:marLeft w:val="0"/>
                                              <w:marRight w:val="0"/>
                                              <w:marTop w:val="150"/>
                                              <w:marBottom w:val="150"/>
                                              <w:divBdr>
                                                <w:top w:val="none" w:sz="0" w:space="0" w:color="auto"/>
                                                <w:left w:val="none" w:sz="0" w:space="0" w:color="auto"/>
                                                <w:bottom w:val="none" w:sz="0" w:space="0" w:color="auto"/>
                                                <w:right w:val="none" w:sz="0" w:space="0" w:color="auto"/>
                                              </w:divBdr>
                                              <w:divsChild>
                                                <w:div w:id="216867961">
                                                  <w:marLeft w:val="0"/>
                                                  <w:marRight w:val="0"/>
                                                  <w:marTop w:val="0"/>
                                                  <w:marBottom w:val="0"/>
                                                  <w:divBdr>
                                                    <w:top w:val="none" w:sz="0" w:space="0" w:color="auto"/>
                                                    <w:left w:val="none" w:sz="0" w:space="0" w:color="auto"/>
                                                    <w:bottom w:val="none" w:sz="0" w:space="0" w:color="auto"/>
                                                    <w:right w:val="none" w:sz="0" w:space="0" w:color="auto"/>
                                                  </w:divBdr>
                                                  <w:divsChild>
                                                    <w:div w:id="57004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42429595">
      <w:bodyDiv w:val="1"/>
      <w:marLeft w:val="0"/>
      <w:marRight w:val="0"/>
      <w:marTop w:val="0"/>
      <w:marBottom w:val="0"/>
      <w:divBdr>
        <w:top w:val="none" w:sz="0" w:space="0" w:color="auto"/>
        <w:left w:val="none" w:sz="0" w:space="0" w:color="auto"/>
        <w:bottom w:val="none" w:sz="0" w:space="0" w:color="auto"/>
        <w:right w:val="none" w:sz="0" w:space="0" w:color="auto"/>
      </w:divBdr>
      <w:divsChild>
        <w:div w:id="357196628">
          <w:marLeft w:val="0"/>
          <w:marRight w:val="0"/>
          <w:marTop w:val="0"/>
          <w:marBottom w:val="0"/>
          <w:divBdr>
            <w:top w:val="none" w:sz="0" w:space="0" w:color="auto"/>
            <w:left w:val="none" w:sz="0" w:space="0" w:color="auto"/>
            <w:bottom w:val="none" w:sz="0" w:space="0" w:color="auto"/>
            <w:right w:val="none" w:sz="0" w:space="0" w:color="auto"/>
          </w:divBdr>
          <w:divsChild>
            <w:div w:id="412702079">
              <w:marLeft w:val="0"/>
              <w:marRight w:val="0"/>
              <w:marTop w:val="0"/>
              <w:marBottom w:val="0"/>
              <w:divBdr>
                <w:top w:val="none" w:sz="0" w:space="0" w:color="auto"/>
                <w:left w:val="none" w:sz="0" w:space="0" w:color="auto"/>
                <w:bottom w:val="none" w:sz="0" w:space="0" w:color="auto"/>
                <w:right w:val="none" w:sz="0" w:space="0" w:color="auto"/>
              </w:divBdr>
              <w:divsChild>
                <w:div w:id="2006591371">
                  <w:marLeft w:val="0"/>
                  <w:marRight w:val="0"/>
                  <w:marTop w:val="0"/>
                  <w:marBottom w:val="0"/>
                  <w:divBdr>
                    <w:top w:val="none" w:sz="0" w:space="0" w:color="auto"/>
                    <w:left w:val="none" w:sz="0" w:space="0" w:color="auto"/>
                    <w:bottom w:val="none" w:sz="0" w:space="0" w:color="auto"/>
                    <w:right w:val="none" w:sz="0" w:space="0" w:color="auto"/>
                  </w:divBdr>
                  <w:divsChild>
                    <w:div w:id="624779344">
                      <w:marLeft w:val="0"/>
                      <w:marRight w:val="0"/>
                      <w:marTop w:val="0"/>
                      <w:marBottom w:val="0"/>
                      <w:divBdr>
                        <w:top w:val="none" w:sz="0" w:space="0" w:color="auto"/>
                        <w:left w:val="none" w:sz="0" w:space="0" w:color="auto"/>
                        <w:bottom w:val="none" w:sz="0" w:space="0" w:color="auto"/>
                        <w:right w:val="none" w:sz="0" w:space="0" w:color="auto"/>
                      </w:divBdr>
                      <w:divsChild>
                        <w:div w:id="138890757">
                          <w:marLeft w:val="0"/>
                          <w:marRight w:val="0"/>
                          <w:marTop w:val="0"/>
                          <w:marBottom w:val="0"/>
                          <w:divBdr>
                            <w:top w:val="none" w:sz="0" w:space="0" w:color="auto"/>
                            <w:left w:val="none" w:sz="0" w:space="0" w:color="auto"/>
                            <w:bottom w:val="none" w:sz="0" w:space="0" w:color="auto"/>
                            <w:right w:val="none" w:sz="0" w:space="0" w:color="auto"/>
                          </w:divBdr>
                          <w:divsChild>
                            <w:div w:id="1982270054">
                              <w:marLeft w:val="0"/>
                              <w:marRight w:val="0"/>
                              <w:marTop w:val="0"/>
                              <w:marBottom w:val="0"/>
                              <w:divBdr>
                                <w:top w:val="none" w:sz="0" w:space="0" w:color="auto"/>
                                <w:left w:val="none" w:sz="0" w:space="0" w:color="auto"/>
                                <w:bottom w:val="none" w:sz="0" w:space="0" w:color="auto"/>
                                <w:right w:val="none" w:sz="0" w:space="0" w:color="auto"/>
                              </w:divBdr>
                              <w:divsChild>
                                <w:div w:id="1944873297">
                                  <w:marLeft w:val="0"/>
                                  <w:marRight w:val="0"/>
                                  <w:marTop w:val="0"/>
                                  <w:marBottom w:val="0"/>
                                  <w:divBdr>
                                    <w:top w:val="none" w:sz="0" w:space="0" w:color="auto"/>
                                    <w:left w:val="none" w:sz="0" w:space="0" w:color="auto"/>
                                    <w:bottom w:val="none" w:sz="0" w:space="0" w:color="auto"/>
                                    <w:right w:val="none" w:sz="0" w:space="0" w:color="auto"/>
                                  </w:divBdr>
                                  <w:divsChild>
                                    <w:div w:id="468519696">
                                      <w:marLeft w:val="0"/>
                                      <w:marRight w:val="0"/>
                                      <w:marTop w:val="0"/>
                                      <w:marBottom w:val="0"/>
                                      <w:divBdr>
                                        <w:top w:val="none" w:sz="0" w:space="0" w:color="auto"/>
                                        <w:left w:val="none" w:sz="0" w:space="0" w:color="auto"/>
                                        <w:bottom w:val="none" w:sz="0" w:space="0" w:color="auto"/>
                                        <w:right w:val="none" w:sz="0" w:space="0" w:color="auto"/>
                                      </w:divBdr>
                                      <w:divsChild>
                                        <w:div w:id="777722382">
                                          <w:marLeft w:val="0"/>
                                          <w:marRight w:val="0"/>
                                          <w:marTop w:val="0"/>
                                          <w:marBottom w:val="0"/>
                                          <w:divBdr>
                                            <w:top w:val="none" w:sz="0" w:space="0" w:color="auto"/>
                                            <w:left w:val="single" w:sz="6" w:space="0" w:color="999999"/>
                                            <w:bottom w:val="none" w:sz="0" w:space="0" w:color="auto"/>
                                            <w:right w:val="none" w:sz="0" w:space="0" w:color="auto"/>
                                          </w:divBdr>
                                          <w:divsChild>
                                            <w:div w:id="1542135241">
                                              <w:marLeft w:val="0"/>
                                              <w:marRight w:val="0"/>
                                              <w:marTop w:val="150"/>
                                              <w:marBottom w:val="150"/>
                                              <w:divBdr>
                                                <w:top w:val="none" w:sz="0" w:space="0" w:color="auto"/>
                                                <w:left w:val="none" w:sz="0" w:space="0" w:color="auto"/>
                                                <w:bottom w:val="none" w:sz="0" w:space="0" w:color="auto"/>
                                                <w:right w:val="none" w:sz="0" w:space="0" w:color="auto"/>
                                              </w:divBdr>
                                              <w:divsChild>
                                                <w:div w:id="675768740">
                                                  <w:marLeft w:val="0"/>
                                                  <w:marRight w:val="0"/>
                                                  <w:marTop w:val="0"/>
                                                  <w:marBottom w:val="0"/>
                                                  <w:divBdr>
                                                    <w:top w:val="none" w:sz="0" w:space="0" w:color="auto"/>
                                                    <w:left w:val="none" w:sz="0" w:space="0" w:color="auto"/>
                                                    <w:bottom w:val="none" w:sz="0" w:space="0" w:color="auto"/>
                                                    <w:right w:val="none" w:sz="0" w:space="0" w:color="auto"/>
                                                  </w:divBdr>
                                                  <w:divsChild>
                                                    <w:div w:id="151102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34699649">
      <w:bodyDiv w:val="1"/>
      <w:marLeft w:val="0"/>
      <w:marRight w:val="0"/>
      <w:marTop w:val="0"/>
      <w:marBottom w:val="0"/>
      <w:divBdr>
        <w:top w:val="none" w:sz="0" w:space="0" w:color="auto"/>
        <w:left w:val="none" w:sz="0" w:space="0" w:color="auto"/>
        <w:bottom w:val="none" w:sz="0" w:space="0" w:color="auto"/>
        <w:right w:val="none" w:sz="0" w:space="0" w:color="auto"/>
      </w:divBdr>
    </w:div>
    <w:div w:id="1237477302">
      <w:bodyDiv w:val="1"/>
      <w:marLeft w:val="0"/>
      <w:marRight w:val="0"/>
      <w:marTop w:val="0"/>
      <w:marBottom w:val="0"/>
      <w:divBdr>
        <w:top w:val="none" w:sz="0" w:space="0" w:color="auto"/>
        <w:left w:val="none" w:sz="0" w:space="0" w:color="auto"/>
        <w:bottom w:val="none" w:sz="0" w:space="0" w:color="auto"/>
        <w:right w:val="none" w:sz="0" w:space="0" w:color="auto"/>
      </w:divBdr>
    </w:div>
    <w:div w:id="1283658080">
      <w:bodyDiv w:val="1"/>
      <w:marLeft w:val="0"/>
      <w:marRight w:val="0"/>
      <w:marTop w:val="0"/>
      <w:marBottom w:val="0"/>
      <w:divBdr>
        <w:top w:val="none" w:sz="0" w:space="0" w:color="auto"/>
        <w:left w:val="none" w:sz="0" w:space="0" w:color="auto"/>
        <w:bottom w:val="none" w:sz="0" w:space="0" w:color="auto"/>
        <w:right w:val="none" w:sz="0" w:space="0" w:color="auto"/>
      </w:divBdr>
    </w:div>
    <w:div w:id="1300114140">
      <w:bodyDiv w:val="1"/>
      <w:marLeft w:val="0"/>
      <w:marRight w:val="0"/>
      <w:marTop w:val="0"/>
      <w:marBottom w:val="0"/>
      <w:divBdr>
        <w:top w:val="none" w:sz="0" w:space="0" w:color="auto"/>
        <w:left w:val="none" w:sz="0" w:space="0" w:color="auto"/>
        <w:bottom w:val="none" w:sz="0" w:space="0" w:color="auto"/>
        <w:right w:val="none" w:sz="0" w:space="0" w:color="auto"/>
      </w:divBdr>
      <w:divsChild>
        <w:div w:id="184681474">
          <w:marLeft w:val="0"/>
          <w:marRight w:val="0"/>
          <w:marTop w:val="0"/>
          <w:marBottom w:val="0"/>
          <w:divBdr>
            <w:top w:val="none" w:sz="0" w:space="0" w:color="auto"/>
            <w:left w:val="none" w:sz="0" w:space="0" w:color="auto"/>
            <w:bottom w:val="none" w:sz="0" w:space="0" w:color="auto"/>
            <w:right w:val="none" w:sz="0" w:space="0" w:color="auto"/>
          </w:divBdr>
        </w:div>
      </w:divsChild>
    </w:div>
    <w:div w:id="1346205874">
      <w:bodyDiv w:val="1"/>
      <w:marLeft w:val="0"/>
      <w:marRight w:val="0"/>
      <w:marTop w:val="0"/>
      <w:marBottom w:val="0"/>
      <w:divBdr>
        <w:top w:val="none" w:sz="0" w:space="0" w:color="auto"/>
        <w:left w:val="none" w:sz="0" w:space="0" w:color="auto"/>
        <w:bottom w:val="none" w:sz="0" w:space="0" w:color="auto"/>
        <w:right w:val="none" w:sz="0" w:space="0" w:color="auto"/>
      </w:divBdr>
    </w:div>
    <w:div w:id="1381787981">
      <w:bodyDiv w:val="1"/>
      <w:marLeft w:val="0"/>
      <w:marRight w:val="0"/>
      <w:marTop w:val="0"/>
      <w:marBottom w:val="0"/>
      <w:divBdr>
        <w:top w:val="none" w:sz="0" w:space="0" w:color="auto"/>
        <w:left w:val="none" w:sz="0" w:space="0" w:color="auto"/>
        <w:bottom w:val="none" w:sz="0" w:space="0" w:color="auto"/>
        <w:right w:val="none" w:sz="0" w:space="0" w:color="auto"/>
      </w:divBdr>
    </w:div>
    <w:div w:id="1414082126">
      <w:bodyDiv w:val="1"/>
      <w:marLeft w:val="0"/>
      <w:marRight w:val="0"/>
      <w:marTop w:val="0"/>
      <w:marBottom w:val="0"/>
      <w:divBdr>
        <w:top w:val="none" w:sz="0" w:space="0" w:color="auto"/>
        <w:left w:val="none" w:sz="0" w:space="0" w:color="auto"/>
        <w:bottom w:val="none" w:sz="0" w:space="0" w:color="auto"/>
        <w:right w:val="none" w:sz="0" w:space="0" w:color="auto"/>
      </w:divBdr>
    </w:div>
    <w:div w:id="1471898727">
      <w:bodyDiv w:val="1"/>
      <w:marLeft w:val="0"/>
      <w:marRight w:val="0"/>
      <w:marTop w:val="0"/>
      <w:marBottom w:val="0"/>
      <w:divBdr>
        <w:top w:val="none" w:sz="0" w:space="0" w:color="auto"/>
        <w:left w:val="none" w:sz="0" w:space="0" w:color="auto"/>
        <w:bottom w:val="none" w:sz="0" w:space="0" w:color="auto"/>
        <w:right w:val="none" w:sz="0" w:space="0" w:color="auto"/>
      </w:divBdr>
    </w:div>
    <w:div w:id="1474256491">
      <w:bodyDiv w:val="1"/>
      <w:marLeft w:val="0"/>
      <w:marRight w:val="0"/>
      <w:marTop w:val="0"/>
      <w:marBottom w:val="0"/>
      <w:divBdr>
        <w:top w:val="none" w:sz="0" w:space="0" w:color="auto"/>
        <w:left w:val="none" w:sz="0" w:space="0" w:color="auto"/>
        <w:bottom w:val="none" w:sz="0" w:space="0" w:color="auto"/>
        <w:right w:val="none" w:sz="0" w:space="0" w:color="auto"/>
      </w:divBdr>
      <w:divsChild>
        <w:div w:id="1044334376">
          <w:marLeft w:val="0"/>
          <w:marRight w:val="0"/>
          <w:marTop w:val="0"/>
          <w:marBottom w:val="0"/>
          <w:divBdr>
            <w:top w:val="none" w:sz="0" w:space="0" w:color="auto"/>
            <w:left w:val="none" w:sz="0" w:space="0" w:color="auto"/>
            <w:bottom w:val="none" w:sz="0" w:space="0" w:color="auto"/>
            <w:right w:val="none" w:sz="0" w:space="0" w:color="auto"/>
          </w:divBdr>
          <w:divsChild>
            <w:div w:id="1339886114">
              <w:marLeft w:val="0"/>
              <w:marRight w:val="0"/>
              <w:marTop w:val="0"/>
              <w:marBottom w:val="0"/>
              <w:divBdr>
                <w:top w:val="none" w:sz="0" w:space="0" w:color="auto"/>
                <w:left w:val="none" w:sz="0" w:space="0" w:color="auto"/>
                <w:bottom w:val="none" w:sz="0" w:space="0" w:color="auto"/>
                <w:right w:val="none" w:sz="0" w:space="0" w:color="auto"/>
              </w:divBdr>
              <w:divsChild>
                <w:div w:id="2125272511">
                  <w:marLeft w:val="0"/>
                  <w:marRight w:val="0"/>
                  <w:marTop w:val="0"/>
                  <w:marBottom w:val="0"/>
                  <w:divBdr>
                    <w:top w:val="none" w:sz="0" w:space="0" w:color="auto"/>
                    <w:left w:val="none" w:sz="0" w:space="0" w:color="auto"/>
                    <w:bottom w:val="none" w:sz="0" w:space="0" w:color="auto"/>
                    <w:right w:val="none" w:sz="0" w:space="0" w:color="auto"/>
                  </w:divBdr>
                  <w:divsChild>
                    <w:div w:id="118032441">
                      <w:marLeft w:val="0"/>
                      <w:marRight w:val="0"/>
                      <w:marTop w:val="0"/>
                      <w:marBottom w:val="0"/>
                      <w:divBdr>
                        <w:top w:val="none" w:sz="0" w:space="0" w:color="auto"/>
                        <w:left w:val="none" w:sz="0" w:space="0" w:color="auto"/>
                        <w:bottom w:val="none" w:sz="0" w:space="0" w:color="auto"/>
                        <w:right w:val="none" w:sz="0" w:space="0" w:color="auto"/>
                      </w:divBdr>
                      <w:divsChild>
                        <w:div w:id="9452298">
                          <w:marLeft w:val="0"/>
                          <w:marRight w:val="0"/>
                          <w:marTop w:val="0"/>
                          <w:marBottom w:val="0"/>
                          <w:divBdr>
                            <w:top w:val="none" w:sz="0" w:space="0" w:color="auto"/>
                            <w:left w:val="none" w:sz="0" w:space="0" w:color="auto"/>
                            <w:bottom w:val="none" w:sz="0" w:space="0" w:color="auto"/>
                            <w:right w:val="none" w:sz="0" w:space="0" w:color="auto"/>
                          </w:divBdr>
                          <w:divsChild>
                            <w:div w:id="1148060545">
                              <w:marLeft w:val="0"/>
                              <w:marRight w:val="0"/>
                              <w:marTop w:val="0"/>
                              <w:marBottom w:val="0"/>
                              <w:divBdr>
                                <w:top w:val="none" w:sz="0" w:space="0" w:color="auto"/>
                                <w:left w:val="none" w:sz="0" w:space="0" w:color="auto"/>
                                <w:bottom w:val="none" w:sz="0" w:space="0" w:color="auto"/>
                                <w:right w:val="none" w:sz="0" w:space="0" w:color="auto"/>
                              </w:divBdr>
                              <w:divsChild>
                                <w:div w:id="1527057093">
                                  <w:marLeft w:val="0"/>
                                  <w:marRight w:val="0"/>
                                  <w:marTop w:val="0"/>
                                  <w:marBottom w:val="0"/>
                                  <w:divBdr>
                                    <w:top w:val="none" w:sz="0" w:space="0" w:color="auto"/>
                                    <w:left w:val="none" w:sz="0" w:space="0" w:color="auto"/>
                                    <w:bottom w:val="none" w:sz="0" w:space="0" w:color="auto"/>
                                    <w:right w:val="none" w:sz="0" w:space="0" w:color="auto"/>
                                  </w:divBdr>
                                  <w:divsChild>
                                    <w:div w:id="1885437146">
                                      <w:marLeft w:val="0"/>
                                      <w:marRight w:val="0"/>
                                      <w:marTop w:val="0"/>
                                      <w:marBottom w:val="0"/>
                                      <w:divBdr>
                                        <w:top w:val="none" w:sz="0" w:space="0" w:color="auto"/>
                                        <w:left w:val="none" w:sz="0" w:space="0" w:color="auto"/>
                                        <w:bottom w:val="none" w:sz="0" w:space="0" w:color="auto"/>
                                        <w:right w:val="none" w:sz="0" w:space="0" w:color="auto"/>
                                      </w:divBdr>
                                      <w:divsChild>
                                        <w:div w:id="770121826">
                                          <w:marLeft w:val="0"/>
                                          <w:marRight w:val="0"/>
                                          <w:marTop w:val="0"/>
                                          <w:marBottom w:val="0"/>
                                          <w:divBdr>
                                            <w:top w:val="none" w:sz="0" w:space="0" w:color="auto"/>
                                            <w:left w:val="single" w:sz="6" w:space="0" w:color="999999"/>
                                            <w:bottom w:val="none" w:sz="0" w:space="0" w:color="auto"/>
                                            <w:right w:val="none" w:sz="0" w:space="0" w:color="auto"/>
                                          </w:divBdr>
                                          <w:divsChild>
                                            <w:div w:id="1544827682">
                                              <w:marLeft w:val="0"/>
                                              <w:marRight w:val="0"/>
                                              <w:marTop w:val="150"/>
                                              <w:marBottom w:val="150"/>
                                              <w:divBdr>
                                                <w:top w:val="none" w:sz="0" w:space="0" w:color="auto"/>
                                                <w:left w:val="none" w:sz="0" w:space="0" w:color="auto"/>
                                                <w:bottom w:val="none" w:sz="0" w:space="0" w:color="auto"/>
                                                <w:right w:val="none" w:sz="0" w:space="0" w:color="auto"/>
                                              </w:divBdr>
                                              <w:divsChild>
                                                <w:div w:id="130023576">
                                                  <w:marLeft w:val="0"/>
                                                  <w:marRight w:val="0"/>
                                                  <w:marTop w:val="0"/>
                                                  <w:marBottom w:val="0"/>
                                                  <w:divBdr>
                                                    <w:top w:val="none" w:sz="0" w:space="0" w:color="auto"/>
                                                    <w:left w:val="none" w:sz="0" w:space="0" w:color="auto"/>
                                                    <w:bottom w:val="none" w:sz="0" w:space="0" w:color="auto"/>
                                                    <w:right w:val="none" w:sz="0" w:space="0" w:color="auto"/>
                                                  </w:divBdr>
                                                  <w:divsChild>
                                                    <w:div w:id="82663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93791906">
      <w:bodyDiv w:val="1"/>
      <w:marLeft w:val="0"/>
      <w:marRight w:val="0"/>
      <w:marTop w:val="0"/>
      <w:marBottom w:val="0"/>
      <w:divBdr>
        <w:top w:val="none" w:sz="0" w:space="0" w:color="auto"/>
        <w:left w:val="none" w:sz="0" w:space="0" w:color="auto"/>
        <w:bottom w:val="none" w:sz="0" w:space="0" w:color="auto"/>
        <w:right w:val="none" w:sz="0" w:space="0" w:color="auto"/>
      </w:divBdr>
    </w:div>
    <w:div w:id="1500341103">
      <w:bodyDiv w:val="1"/>
      <w:marLeft w:val="0"/>
      <w:marRight w:val="0"/>
      <w:marTop w:val="0"/>
      <w:marBottom w:val="0"/>
      <w:divBdr>
        <w:top w:val="none" w:sz="0" w:space="0" w:color="auto"/>
        <w:left w:val="none" w:sz="0" w:space="0" w:color="auto"/>
        <w:bottom w:val="none" w:sz="0" w:space="0" w:color="auto"/>
        <w:right w:val="none" w:sz="0" w:space="0" w:color="auto"/>
      </w:divBdr>
    </w:div>
    <w:div w:id="1502356912">
      <w:bodyDiv w:val="1"/>
      <w:marLeft w:val="0"/>
      <w:marRight w:val="0"/>
      <w:marTop w:val="0"/>
      <w:marBottom w:val="0"/>
      <w:divBdr>
        <w:top w:val="none" w:sz="0" w:space="0" w:color="auto"/>
        <w:left w:val="none" w:sz="0" w:space="0" w:color="auto"/>
        <w:bottom w:val="none" w:sz="0" w:space="0" w:color="auto"/>
        <w:right w:val="none" w:sz="0" w:space="0" w:color="auto"/>
      </w:divBdr>
    </w:div>
    <w:div w:id="1522890604">
      <w:bodyDiv w:val="1"/>
      <w:marLeft w:val="0"/>
      <w:marRight w:val="0"/>
      <w:marTop w:val="0"/>
      <w:marBottom w:val="0"/>
      <w:divBdr>
        <w:top w:val="none" w:sz="0" w:space="0" w:color="auto"/>
        <w:left w:val="none" w:sz="0" w:space="0" w:color="auto"/>
        <w:bottom w:val="none" w:sz="0" w:space="0" w:color="auto"/>
        <w:right w:val="none" w:sz="0" w:space="0" w:color="auto"/>
      </w:divBdr>
    </w:div>
    <w:div w:id="1524711158">
      <w:bodyDiv w:val="1"/>
      <w:marLeft w:val="0"/>
      <w:marRight w:val="0"/>
      <w:marTop w:val="0"/>
      <w:marBottom w:val="0"/>
      <w:divBdr>
        <w:top w:val="none" w:sz="0" w:space="0" w:color="auto"/>
        <w:left w:val="none" w:sz="0" w:space="0" w:color="auto"/>
        <w:bottom w:val="none" w:sz="0" w:space="0" w:color="auto"/>
        <w:right w:val="none" w:sz="0" w:space="0" w:color="auto"/>
      </w:divBdr>
    </w:div>
    <w:div w:id="1622689266">
      <w:bodyDiv w:val="1"/>
      <w:marLeft w:val="0"/>
      <w:marRight w:val="0"/>
      <w:marTop w:val="0"/>
      <w:marBottom w:val="0"/>
      <w:divBdr>
        <w:top w:val="none" w:sz="0" w:space="0" w:color="auto"/>
        <w:left w:val="none" w:sz="0" w:space="0" w:color="auto"/>
        <w:bottom w:val="none" w:sz="0" w:space="0" w:color="auto"/>
        <w:right w:val="none" w:sz="0" w:space="0" w:color="auto"/>
      </w:divBdr>
    </w:div>
    <w:div w:id="1669601661">
      <w:bodyDiv w:val="1"/>
      <w:marLeft w:val="0"/>
      <w:marRight w:val="0"/>
      <w:marTop w:val="0"/>
      <w:marBottom w:val="0"/>
      <w:divBdr>
        <w:top w:val="none" w:sz="0" w:space="0" w:color="auto"/>
        <w:left w:val="none" w:sz="0" w:space="0" w:color="auto"/>
        <w:bottom w:val="none" w:sz="0" w:space="0" w:color="auto"/>
        <w:right w:val="none" w:sz="0" w:space="0" w:color="auto"/>
      </w:divBdr>
    </w:div>
    <w:div w:id="1671634823">
      <w:bodyDiv w:val="1"/>
      <w:marLeft w:val="0"/>
      <w:marRight w:val="0"/>
      <w:marTop w:val="0"/>
      <w:marBottom w:val="0"/>
      <w:divBdr>
        <w:top w:val="none" w:sz="0" w:space="0" w:color="auto"/>
        <w:left w:val="none" w:sz="0" w:space="0" w:color="auto"/>
        <w:bottom w:val="none" w:sz="0" w:space="0" w:color="auto"/>
        <w:right w:val="none" w:sz="0" w:space="0" w:color="auto"/>
      </w:divBdr>
    </w:div>
    <w:div w:id="1696150008">
      <w:bodyDiv w:val="1"/>
      <w:marLeft w:val="0"/>
      <w:marRight w:val="0"/>
      <w:marTop w:val="0"/>
      <w:marBottom w:val="0"/>
      <w:divBdr>
        <w:top w:val="none" w:sz="0" w:space="0" w:color="auto"/>
        <w:left w:val="none" w:sz="0" w:space="0" w:color="auto"/>
        <w:bottom w:val="none" w:sz="0" w:space="0" w:color="auto"/>
        <w:right w:val="none" w:sz="0" w:space="0" w:color="auto"/>
      </w:divBdr>
    </w:div>
    <w:div w:id="1783184238">
      <w:bodyDiv w:val="1"/>
      <w:marLeft w:val="0"/>
      <w:marRight w:val="0"/>
      <w:marTop w:val="0"/>
      <w:marBottom w:val="0"/>
      <w:divBdr>
        <w:top w:val="none" w:sz="0" w:space="0" w:color="auto"/>
        <w:left w:val="none" w:sz="0" w:space="0" w:color="auto"/>
        <w:bottom w:val="none" w:sz="0" w:space="0" w:color="auto"/>
        <w:right w:val="none" w:sz="0" w:space="0" w:color="auto"/>
      </w:divBdr>
    </w:div>
    <w:div w:id="1787577806">
      <w:bodyDiv w:val="1"/>
      <w:marLeft w:val="0"/>
      <w:marRight w:val="0"/>
      <w:marTop w:val="0"/>
      <w:marBottom w:val="0"/>
      <w:divBdr>
        <w:top w:val="none" w:sz="0" w:space="0" w:color="auto"/>
        <w:left w:val="none" w:sz="0" w:space="0" w:color="auto"/>
        <w:bottom w:val="none" w:sz="0" w:space="0" w:color="auto"/>
        <w:right w:val="none" w:sz="0" w:space="0" w:color="auto"/>
      </w:divBdr>
    </w:div>
    <w:div w:id="1857890302">
      <w:bodyDiv w:val="1"/>
      <w:marLeft w:val="0"/>
      <w:marRight w:val="0"/>
      <w:marTop w:val="0"/>
      <w:marBottom w:val="0"/>
      <w:divBdr>
        <w:top w:val="none" w:sz="0" w:space="0" w:color="auto"/>
        <w:left w:val="none" w:sz="0" w:space="0" w:color="auto"/>
        <w:bottom w:val="none" w:sz="0" w:space="0" w:color="auto"/>
        <w:right w:val="none" w:sz="0" w:space="0" w:color="auto"/>
      </w:divBdr>
    </w:div>
    <w:div w:id="1897665556">
      <w:bodyDiv w:val="1"/>
      <w:marLeft w:val="0"/>
      <w:marRight w:val="0"/>
      <w:marTop w:val="0"/>
      <w:marBottom w:val="0"/>
      <w:divBdr>
        <w:top w:val="none" w:sz="0" w:space="0" w:color="auto"/>
        <w:left w:val="none" w:sz="0" w:space="0" w:color="auto"/>
        <w:bottom w:val="none" w:sz="0" w:space="0" w:color="auto"/>
        <w:right w:val="none" w:sz="0" w:space="0" w:color="auto"/>
      </w:divBdr>
    </w:div>
    <w:div w:id="1924102906">
      <w:bodyDiv w:val="1"/>
      <w:marLeft w:val="0"/>
      <w:marRight w:val="0"/>
      <w:marTop w:val="0"/>
      <w:marBottom w:val="0"/>
      <w:divBdr>
        <w:top w:val="none" w:sz="0" w:space="0" w:color="auto"/>
        <w:left w:val="none" w:sz="0" w:space="0" w:color="auto"/>
        <w:bottom w:val="none" w:sz="0" w:space="0" w:color="auto"/>
        <w:right w:val="none" w:sz="0" w:space="0" w:color="auto"/>
      </w:divBdr>
      <w:divsChild>
        <w:div w:id="1548831505">
          <w:marLeft w:val="0"/>
          <w:marRight w:val="0"/>
          <w:marTop w:val="0"/>
          <w:marBottom w:val="0"/>
          <w:divBdr>
            <w:top w:val="none" w:sz="0" w:space="0" w:color="auto"/>
            <w:left w:val="none" w:sz="0" w:space="0" w:color="auto"/>
            <w:bottom w:val="none" w:sz="0" w:space="0" w:color="auto"/>
            <w:right w:val="none" w:sz="0" w:space="0" w:color="auto"/>
          </w:divBdr>
          <w:divsChild>
            <w:div w:id="1397437703">
              <w:marLeft w:val="0"/>
              <w:marRight w:val="0"/>
              <w:marTop w:val="0"/>
              <w:marBottom w:val="0"/>
              <w:divBdr>
                <w:top w:val="none" w:sz="0" w:space="0" w:color="auto"/>
                <w:left w:val="none" w:sz="0" w:space="0" w:color="auto"/>
                <w:bottom w:val="none" w:sz="0" w:space="0" w:color="auto"/>
                <w:right w:val="none" w:sz="0" w:space="0" w:color="auto"/>
              </w:divBdr>
              <w:divsChild>
                <w:div w:id="1689023501">
                  <w:marLeft w:val="0"/>
                  <w:marRight w:val="0"/>
                  <w:marTop w:val="0"/>
                  <w:marBottom w:val="0"/>
                  <w:divBdr>
                    <w:top w:val="none" w:sz="0" w:space="0" w:color="auto"/>
                    <w:left w:val="none" w:sz="0" w:space="0" w:color="auto"/>
                    <w:bottom w:val="none" w:sz="0" w:space="0" w:color="auto"/>
                    <w:right w:val="none" w:sz="0" w:space="0" w:color="auto"/>
                  </w:divBdr>
                  <w:divsChild>
                    <w:div w:id="1435244605">
                      <w:marLeft w:val="0"/>
                      <w:marRight w:val="0"/>
                      <w:marTop w:val="100"/>
                      <w:marBottom w:val="100"/>
                      <w:divBdr>
                        <w:top w:val="none" w:sz="0" w:space="0" w:color="auto"/>
                        <w:left w:val="none" w:sz="0" w:space="0" w:color="auto"/>
                        <w:bottom w:val="none" w:sz="0" w:space="0" w:color="auto"/>
                        <w:right w:val="none" w:sz="0" w:space="0" w:color="auto"/>
                      </w:divBdr>
                      <w:divsChild>
                        <w:div w:id="1398090006">
                          <w:marLeft w:val="0"/>
                          <w:marRight w:val="0"/>
                          <w:marTop w:val="0"/>
                          <w:marBottom w:val="0"/>
                          <w:divBdr>
                            <w:top w:val="none" w:sz="0" w:space="0" w:color="auto"/>
                            <w:left w:val="none" w:sz="0" w:space="0" w:color="auto"/>
                            <w:bottom w:val="none" w:sz="0" w:space="0" w:color="auto"/>
                            <w:right w:val="none" w:sz="0" w:space="0" w:color="auto"/>
                          </w:divBdr>
                          <w:divsChild>
                            <w:div w:id="1841774278">
                              <w:marLeft w:val="0"/>
                              <w:marRight w:val="0"/>
                              <w:marTop w:val="0"/>
                              <w:marBottom w:val="0"/>
                              <w:divBdr>
                                <w:top w:val="none" w:sz="0" w:space="0" w:color="auto"/>
                                <w:left w:val="none" w:sz="0" w:space="0" w:color="auto"/>
                                <w:bottom w:val="none" w:sz="0" w:space="0" w:color="auto"/>
                                <w:right w:val="none" w:sz="0" w:space="0" w:color="auto"/>
                              </w:divBdr>
                              <w:divsChild>
                                <w:div w:id="931820074">
                                  <w:marLeft w:val="0"/>
                                  <w:marRight w:val="0"/>
                                  <w:marTop w:val="0"/>
                                  <w:marBottom w:val="0"/>
                                  <w:divBdr>
                                    <w:top w:val="none" w:sz="0" w:space="0" w:color="auto"/>
                                    <w:left w:val="none" w:sz="0" w:space="0" w:color="auto"/>
                                    <w:bottom w:val="none" w:sz="0" w:space="0" w:color="auto"/>
                                    <w:right w:val="none" w:sz="0" w:space="0" w:color="auto"/>
                                  </w:divBdr>
                                  <w:divsChild>
                                    <w:div w:id="1798911898">
                                      <w:marLeft w:val="0"/>
                                      <w:marRight w:val="0"/>
                                      <w:marTop w:val="0"/>
                                      <w:marBottom w:val="0"/>
                                      <w:divBdr>
                                        <w:top w:val="none" w:sz="0" w:space="0" w:color="auto"/>
                                        <w:left w:val="none" w:sz="0" w:space="0" w:color="auto"/>
                                        <w:bottom w:val="none" w:sz="0" w:space="0" w:color="auto"/>
                                        <w:right w:val="none" w:sz="0" w:space="0" w:color="auto"/>
                                      </w:divBdr>
                                      <w:divsChild>
                                        <w:div w:id="187186460">
                                          <w:marLeft w:val="0"/>
                                          <w:marRight w:val="0"/>
                                          <w:marTop w:val="0"/>
                                          <w:marBottom w:val="0"/>
                                          <w:divBdr>
                                            <w:top w:val="none" w:sz="0" w:space="0" w:color="auto"/>
                                            <w:left w:val="single" w:sz="6" w:space="0" w:color="999999"/>
                                            <w:bottom w:val="none" w:sz="0" w:space="0" w:color="auto"/>
                                            <w:right w:val="none" w:sz="0" w:space="0" w:color="auto"/>
                                          </w:divBdr>
                                          <w:divsChild>
                                            <w:div w:id="1642032653">
                                              <w:marLeft w:val="0"/>
                                              <w:marRight w:val="0"/>
                                              <w:marTop w:val="150"/>
                                              <w:marBottom w:val="150"/>
                                              <w:divBdr>
                                                <w:top w:val="none" w:sz="0" w:space="0" w:color="auto"/>
                                                <w:left w:val="none" w:sz="0" w:space="0" w:color="auto"/>
                                                <w:bottom w:val="none" w:sz="0" w:space="0" w:color="auto"/>
                                                <w:right w:val="none" w:sz="0" w:space="0" w:color="auto"/>
                                              </w:divBdr>
                                              <w:divsChild>
                                                <w:div w:id="1588344772">
                                                  <w:marLeft w:val="0"/>
                                                  <w:marRight w:val="0"/>
                                                  <w:marTop w:val="0"/>
                                                  <w:marBottom w:val="0"/>
                                                  <w:divBdr>
                                                    <w:top w:val="none" w:sz="0" w:space="0" w:color="auto"/>
                                                    <w:left w:val="none" w:sz="0" w:space="0" w:color="auto"/>
                                                    <w:bottom w:val="none" w:sz="0" w:space="0" w:color="auto"/>
                                                    <w:right w:val="none" w:sz="0" w:space="0" w:color="auto"/>
                                                  </w:divBdr>
                                                  <w:divsChild>
                                                    <w:div w:id="68435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51275624">
      <w:bodyDiv w:val="1"/>
      <w:marLeft w:val="0"/>
      <w:marRight w:val="0"/>
      <w:marTop w:val="0"/>
      <w:marBottom w:val="0"/>
      <w:divBdr>
        <w:top w:val="none" w:sz="0" w:space="0" w:color="auto"/>
        <w:left w:val="none" w:sz="0" w:space="0" w:color="auto"/>
        <w:bottom w:val="none" w:sz="0" w:space="0" w:color="auto"/>
        <w:right w:val="none" w:sz="0" w:space="0" w:color="auto"/>
      </w:divBdr>
    </w:div>
    <w:div w:id="1986278554">
      <w:bodyDiv w:val="1"/>
      <w:marLeft w:val="0"/>
      <w:marRight w:val="0"/>
      <w:marTop w:val="0"/>
      <w:marBottom w:val="0"/>
      <w:divBdr>
        <w:top w:val="none" w:sz="0" w:space="0" w:color="auto"/>
        <w:left w:val="none" w:sz="0" w:space="0" w:color="auto"/>
        <w:bottom w:val="none" w:sz="0" w:space="0" w:color="auto"/>
        <w:right w:val="none" w:sz="0" w:space="0" w:color="auto"/>
      </w:divBdr>
    </w:div>
    <w:div w:id="2109496195">
      <w:bodyDiv w:val="1"/>
      <w:marLeft w:val="0"/>
      <w:marRight w:val="0"/>
      <w:marTop w:val="0"/>
      <w:marBottom w:val="0"/>
      <w:divBdr>
        <w:top w:val="none" w:sz="0" w:space="0" w:color="auto"/>
        <w:left w:val="none" w:sz="0" w:space="0" w:color="auto"/>
        <w:bottom w:val="none" w:sz="0" w:space="0" w:color="auto"/>
        <w:right w:val="none" w:sz="0" w:space="0" w:color="auto"/>
      </w:divBdr>
    </w:div>
    <w:div w:id="2137142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hyperlink" Target="http://www.ema.europa.eu" TargetMode="External"/><Relationship Id="rId42" Type="http://schemas.openxmlformats.org/officeDocument/2006/relationships/image" Target="media/image16.jpeg"/><Relationship Id="rId47" Type="http://schemas.openxmlformats.org/officeDocument/2006/relationships/hyperlink" Target="http://www.ema.europa.eu" TargetMode="External"/><Relationship Id="rId63" Type="http://schemas.openxmlformats.org/officeDocument/2006/relationships/hyperlink" Target="https://www.ema.europa.eu/documents/template-form/qrd-appendix-v-adverse-drug-reaction-reporting-details_en.docx" TargetMode="External"/><Relationship Id="rId68" Type="http://schemas.openxmlformats.org/officeDocument/2006/relationships/image" Target="media/image39.jpeg"/><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footer" Target="footer6.xml"/><Relationship Id="rId11" Type="http://schemas.openxmlformats.org/officeDocument/2006/relationships/hyperlink" Target="http://www.ema.europa.eu" TargetMode="External"/><Relationship Id="rId32" Type="http://schemas.openxmlformats.org/officeDocument/2006/relationships/hyperlink" Target="http://www.ema.europa.eu" TargetMode="External"/><Relationship Id="rId37" Type="http://schemas.openxmlformats.org/officeDocument/2006/relationships/image" Target="media/image11.jpeg"/><Relationship Id="rId53" Type="http://schemas.openxmlformats.org/officeDocument/2006/relationships/image" Target="media/image26.jpeg"/><Relationship Id="rId58" Type="http://schemas.openxmlformats.org/officeDocument/2006/relationships/image" Target="media/image31.jpeg"/><Relationship Id="rId74" Type="http://schemas.openxmlformats.org/officeDocument/2006/relationships/image" Target="media/image45.jpeg"/><Relationship Id="rId79" Type="http://schemas.openxmlformats.org/officeDocument/2006/relationships/image" Target="media/image50.jpeg"/><Relationship Id="rId102" Type="http://schemas.openxmlformats.org/officeDocument/2006/relationships/image" Target="media/image71.jpeg"/><Relationship Id="rId5" Type="http://schemas.openxmlformats.org/officeDocument/2006/relationships/settings" Target="settings.xml"/><Relationship Id="rId90" Type="http://schemas.openxmlformats.org/officeDocument/2006/relationships/image" Target="media/image60.jpeg"/><Relationship Id="rId95" Type="http://schemas.openxmlformats.org/officeDocument/2006/relationships/image" Target="media/image65.jpeg"/><Relationship Id="rId22" Type="http://schemas.openxmlformats.org/officeDocument/2006/relationships/footer" Target="footer1.xml"/><Relationship Id="rId27" Type="http://schemas.openxmlformats.org/officeDocument/2006/relationships/footer" Target="footer3.xml"/><Relationship Id="rId43" Type="http://schemas.openxmlformats.org/officeDocument/2006/relationships/image" Target="media/image17.jpeg"/><Relationship Id="rId48" Type="http://schemas.openxmlformats.org/officeDocument/2006/relationships/image" Target="media/image21.jpeg"/><Relationship Id="rId64" Type="http://schemas.openxmlformats.org/officeDocument/2006/relationships/hyperlink" Target="http://www.ema.europa.eu" TargetMode="External"/><Relationship Id="rId69" Type="http://schemas.openxmlformats.org/officeDocument/2006/relationships/image" Target="media/image40.jpeg"/><Relationship Id="rId113" Type="http://schemas.openxmlformats.org/officeDocument/2006/relationships/customXml" Target="../customXml/item3.xml"/><Relationship Id="rId80" Type="http://schemas.openxmlformats.org/officeDocument/2006/relationships/image" Target="media/image51.jpeg"/><Relationship Id="rId85" Type="http://schemas.openxmlformats.org/officeDocument/2006/relationships/image" Target="media/image55.jpe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7.jpeg"/><Relationship Id="rId38" Type="http://schemas.openxmlformats.org/officeDocument/2006/relationships/image" Target="media/image12.jpeg"/><Relationship Id="rId59" Type="http://schemas.openxmlformats.org/officeDocument/2006/relationships/image" Target="media/image32.jpeg"/><Relationship Id="rId103" Type="http://schemas.openxmlformats.org/officeDocument/2006/relationships/image" Target="media/image72.jpeg"/><Relationship Id="rId108" Type="http://schemas.openxmlformats.org/officeDocument/2006/relationships/footer" Target="footer7.xml"/><Relationship Id="rId54" Type="http://schemas.openxmlformats.org/officeDocument/2006/relationships/image" Target="media/image27.jpeg"/><Relationship Id="rId70" Type="http://schemas.openxmlformats.org/officeDocument/2006/relationships/image" Target="media/image41.jpeg"/><Relationship Id="rId75" Type="http://schemas.openxmlformats.org/officeDocument/2006/relationships/image" Target="media/image46.jpeg"/><Relationship Id="rId91" Type="http://schemas.openxmlformats.org/officeDocument/2006/relationships/image" Target="media/image61.jpeg"/><Relationship Id="rId96" Type="http://schemas.openxmlformats.org/officeDocument/2006/relationships/hyperlink" Target="http://www.ema.europa.e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eader" Target="header1.xml"/><Relationship Id="rId28" Type="http://schemas.openxmlformats.org/officeDocument/2006/relationships/footer" Target="footer4.xml"/><Relationship Id="rId36" Type="http://schemas.openxmlformats.org/officeDocument/2006/relationships/image" Target="media/image10.jpeg"/><Relationship Id="rId49" Type="http://schemas.openxmlformats.org/officeDocument/2006/relationships/image" Target="media/image22.jpeg"/><Relationship Id="rId57" Type="http://schemas.openxmlformats.org/officeDocument/2006/relationships/image" Target="media/image30.jpeg"/><Relationship Id="rId106" Type="http://schemas.openxmlformats.org/officeDocument/2006/relationships/header" Target="header6.xml"/><Relationship Id="rId114" Type="http://schemas.openxmlformats.org/officeDocument/2006/relationships/customXml" Target="../customXml/item4.xml"/><Relationship Id="rId10" Type="http://schemas.openxmlformats.org/officeDocument/2006/relationships/hyperlink" Target="https://www.ema.europa.eu/documents/template-form/qrd-appendix-v-adverse-drug-reaction-reporting-details_en.docx" TargetMode="External"/><Relationship Id="rId31" Type="http://schemas.openxmlformats.org/officeDocument/2006/relationships/hyperlink" Target="https://www.ema.europa.eu/documents/template-form/qrd-appendix-v-adverse-drug-reaction-reporting-details_en.docx" TargetMode="External"/><Relationship Id="rId44" Type="http://schemas.openxmlformats.org/officeDocument/2006/relationships/image" Target="media/image18.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8.jpeg"/><Relationship Id="rId101" Type="http://schemas.openxmlformats.org/officeDocument/2006/relationships/image" Target="media/image70.jpeg"/><Relationship Id="rId4" Type="http://schemas.openxmlformats.org/officeDocument/2006/relationships/styles" Target="styles.xml"/><Relationship Id="rId9" Type="http://schemas.openxmlformats.org/officeDocument/2006/relationships/hyperlink" Target="https://www.ema.europa.eu/en/medicines/human/EPAR/amgevita" TargetMode="External"/><Relationship Id="rId13" Type="http://schemas.openxmlformats.org/officeDocument/2006/relationships/image" Target="media/image2.png"/><Relationship Id="rId18" Type="http://schemas.openxmlformats.org/officeDocument/2006/relationships/hyperlink" Target="http://www.ema.europa.eu" TargetMode="External"/><Relationship Id="rId39" Type="http://schemas.openxmlformats.org/officeDocument/2006/relationships/image" Target="media/image13.jpeg"/><Relationship Id="rId109" Type="http://schemas.openxmlformats.org/officeDocument/2006/relationships/header" Target="header7.xml"/><Relationship Id="rId34" Type="http://schemas.openxmlformats.org/officeDocument/2006/relationships/image" Target="media/image8.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7.jpeg"/><Relationship Id="rId97" Type="http://schemas.openxmlformats.org/officeDocument/2006/relationships/image" Target="media/image66.jpeg"/><Relationship Id="rId104"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62.jpeg"/><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footer" Target="footer2.xm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37.jpeg"/><Relationship Id="rId87" Type="http://schemas.openxmlformats.org/officeDocument/2006/relationships/image" Target="media/image57.jpeg"/><Relationship Id="rId110" Type="http://schemas.openxmlformats.org/officeDocument/2006/relationships/footer" Target="footer8.xml"/><Relationship Id="rId115" Type="http://schemas.openxmlformats.org/officeDocument/2006/relationships/customXml" Target="../customXml/item5.xml"/><Relationship Id="rId61" Type="http://schemas.openxmlformats.org/officeDocument/2006/relationships/image" Target="media/image34.jpeg"/><Relationship Id="rId82" Type="http://schemas.openxmlformats.org/officeDocument/2006/relationships/image" Target="media/image53.jpeg"/><Relationship Id="rId19" Type="http://schemas.openxmlformats.org/officeDocument/2006/relationships/hyperlink" Target="https://www.ema.europa.eu/documents/template-form/qrd-appendix-v-adverse-drug-reaction-reporting-details_en.docx" TargetMode="External"/><Relationship Id="rId14" Type="http://schemas.openxmlformats.org/officeDocument/2006/relationships/image" Target="media/image3.png"/><Relationship Id="rId30" Type="http://schemas.openxmlformats.org/officeDocument/2006/relationships/footer" Target="footer5.xml"/><Relationship Id="rId35" Type="http://schemas.openxmlformats.org/officeDocument/2006/relationships/image" Target="media/image9.jpeg"/><Relationship Id="rId56" Type="http://schemas.openxmlformats.org/officeDocument/2006/relationships/image" Target="media/image29.jpeg"/><Relationship Id="rId77" Type="http://schemas.openxmlformats.org/officeDocument/2006/relationships/image" Target="media/image48.jpeg"/><Relationship Id="rId100" Type="http://schemas.openxmlformats.org/officeDocument/2006/relationships/image" Target="media/image69.jpeg"/><Relationship Id="rId105" Type="http://schemas.openxmlformats.org/officeDocument/2006/relationships/header" Target="header5.xml"/><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3.jpeg"/><Relationship Id="rId93" Type="http://schemas.openxmlformats.org/officeDocument/2006/relationships/image" Target="media/image63.jpeg"/><Relationship Id="rId98" Type="http://schemas.openxmlformats.org/officeDocument/2006/relationships/image" Target="media/image67.jpeg"/><Relationship Id="rId3" Type="http://schemas.openxmlformats.org/officeDocument/2006/relationships/numbering" Target="numbering.xml"/><Relationship Id="rId25" Type="http://schemas.openxmlformats.org/officeDocument/2006/relationships/header" Target="header2.xml"/><Relationship Id="rId46" Type="http://schemas.openxmlformats.org/officeDocument/2006/relationships/image" Target="media/image20.jpeg"/><Relationship Id="rId67" Type="http://schemas.openxmlformats.org/officeDocument/2006/relationships/image" Target="media/image38.jpeg"/><Relationship Id="rId116" Type="http://schemas.openxmlformats.org/officeDocument/2006/relationships/customXml" Target="../customXml/item6.xml"/><Relationship Id="rId20" Type="http://schemas.openxmlformats.org/officeDocument/2006/relationships/hyperlink" Target="http://www.ema.europa.eu" TargetMode="External"/><Relationship Id="rId41" Type="http://schemas.openxmlformats.org/officeDocument/2006/relationships/image" Target="media/image15.jpeg"/><Relationship Id="rId62" Type="http://schemas.openxmlformats.org/officeDocument/2006/relationships/image" Target="media/image35.jpeg"/><Relationship Id="rId83" Type="http://schemas.openxmlformats.org/officeDocument/2006/relationships/hyperlink" Target="http://www.ema.europa.eu" TargetMode="External"/><Relationship Id="rId88" Type="http://schemas.openxmlformats.org/officeDocument/2006/relationships/image" Target="media/image58.jpe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sisl xmlns:xsi="http://www.w3.org/2001/XMLSchema-instance" xmlns:xsd="http://www.w3.org/2001/XMLSchema" xmlns="http://www.boldonjames.com/2008/01/sie/internal/label" sislVersion="0" policy="82ad3a63-90ad-4a46-a3cb-757f4658e205" origin="userSelected">
  <element uid="03e9b10b-a1f9-4a88-9630-476473f62285" value=""/>
  <element uid="7349a702-6462-4442-88eb-c64cd513835c" value=""/>
  <element uid="9036a7a1-5a4f-48d3-b24b-dfdab053dac9" value=""/>
</sisl>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vqsn xmlns="62874b74-7561-4a92-a6e7-f8370cb4455a" xsi:nil="true"/>
    <Sign_x002d_off xmlns="62874b74-7561-4a92-a6e7-f8370cb4455a" xsi:nil="true"/>
    <TaxCatchAll xmlns="a034c160-bfb7-45f5-8632-2eb7e0508071" xsi:nil="true"/>
    <ApplicationID xmlns="a034c160-bfb7-45f5-8632-2eb7e0508071" xsi:nil="true"/>
    <_Flow_SignoffStatus xmlns="62874b74-7561-4a92-a6e7-f8370cb4455a" xsi:nil="true"/>
    <I_AllowRecord xmlns="a034c160-bfb7-45f5-8632-2eb7e0508071">true</I_AllowRecord>
    <I_AgreedConditionMedDRA xmlns="a034c160-bfb7-45f5-8632-2eb7e0508071" xsi:nil="true"/>
    <IconOverlay xmlns="http://schemas.microsoft.com/sharepoint/v4" xsi:nil="true"/>
    <I_LocationID xmlns="a034c160-bfb7-45f5-8632-2eb7e0508071" xsi:nil="true"/>
    <I_Process xmlns="a034c160-bfb7-45f5-8632-2eb7e0508071" xsi:nil="true"/>
    <I_AgreedCondition xmlns="a034c160-bfb7-45f5-8632-2eb7e0508071" xsi:nil="true"/>
    <I_ParentOrganizationID xmlns="a034c160-bfb7-45f5-8632-2eb7e0508071" xsi:nil="true"/>
    <Application_x0020_Status xmlns="62874b74-7561-4a92-a6e7-f8370cb4455a" xsi:nil="true"/>
    <_vti_ItemDeclaredRecord xmlns="62874b74-7561-4a92-a6e7-f8370cb4455a" xsi:nil="true"/>
    <I_RegulatoryEntitlement xmlns="a034c160-bfb7-45f5-8632-2eb7e0508071" xsi:nil="true"/>
    <Information xmlns="62874b74-7561-4a92-a6e7-f8370cb4455a" xsi:nil="true"/>
    <lcf76f155ced4ddcb4097134ff3c332f xmlns="62874b74-7561-4a92-a6e7-f8370cb4455a">
      <Terms xmlns="http://schemas.microsoft.com/office/infopath/2007/PartnerControls"/>
    </lcf76f155ced4ddcb4097134ff3c332f>
    <_dlc_DocId xmlns="a034c160-bfb7-45f5-8632-2eb7e0508071">EMADOC-1700519818-2905906</_dlc_DocId>
    <_dlc_DocIdUrl xmlns="a034c160-bfb7-45f5-8632-2eb7e0508071">
      <Url>https://euema.sharepoint.com/sites/CRM/_layouts/15/DocIdRedir.aspx?ID=EMADOC-1700519818-2905906</Url>
      <Description>EMADOC-1700519818-2905906</Description>
    </_dlc_DocIdUrl>
  </documentManagement>
</p:properties>
</file>

<file path=customXml/itemProps1.xml><?xml version="1.0" encoding="utf-8"?>
<ds:datastoreItem xmlns:ds="http://schemas.openxmlformats.org/officeDocument/2006/customXml" ds:itemID="{BCCFE981-75A1-40EE-B4DC-ED6A974563E5}">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C1F1D194-D01C-4573-8153-F047B9C6455C}">
  <ds:schemaRefs>
    <ds:schemaRef ds:uri="http://schemas.openxmlformats.org/officeDocument/2006/bibliography"/>
  </ds:schemaRefs>
</ds:datastoreItem>
</file>

<file path=customXml/itemProps3.xml><?xml version="1.0" encoding="utf-8"?>
<ds:datastoreItem xmlns:ds="http://schemas.openxmlformats.org/officeDocument/2006/customXml" ds:itemID="{FE924AC1-05A5-4A89-8FAA-DFE546372F7E}"/>
</file>

<file path=customXml/itemProps4.xml><?xml version="1.0" encoding="utf-8"?>
<ds:datastoreItem xmlns:ds="http://schemas.openxmlformats.org/officeDocument/2006/customXml" ds:itemID="{5E4E4019-9368-469E-B6BC-5F5534B2C9B9}"/>
</file>

<file path=customXml/itemProps5.xml><?xml version="1.0" encoding="utf-8"?>
<ds:datastoreItem xmlns:ds="http://schemas.openxmlformats.org/officeDocument/2006/customXml" ds:itemID="{FF4E3FB1-9820-4557-BFC2-4B86A00AADB4}"/>
</file>

<file path=customXml/itemProps6.xml><?xml version="1.0" encoding="utf-8"?>
<ds:datastoreItem xmlns:ds="http://schemas.openxmlformats.org/officeDocument/2006/customXml" ds:itemID="{39FDD620-7EC0-47D9-87F6-A7FB1109CE7D}"/>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278</Pages>
  <Words>88389</Words>
  <Characters>503819</Characters>
  <Application>Microsoft Office Word</Application>
  <DocSecurity>0</DocSecurity>
  <Lines>4198</Lines>
  <Paragraphs>1182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591026</CharactersWithSpaces>
  <SharedDoc>false</SharedDoc>
  <HLinks>
    <vt:vector size="42" baseType="variant">
      <vt:variant>
        <vt:i4>1245197</vt:i4>
      </vt:variant>
      <vt:variant>
        <vt:i4>24</vt:i4>
      </vt:variant>
      <vt:variant>
        <vt:i4>0</vt:i4>
      </vt:variant>
      <vt:variant>
        <vt:i4>5</vt:i4>
      </vt:variant>
      <vt:variant>
        <vt:lpwstr>http://www.ema.europa.eu/</vt:lpwstr>
      </vt:variant>
      <vt:variant>
        <vt:lpwstr/>
      </vt:variant>
      <vt:variant>
        <vt:i4>2359399</vt:i4>
      </vt:variant>
      <vt:variant>
        <vt:i4>21</vt:i4>
      </vt:variant>
      <vt:variant>
        <vt:i4>0</vt:i4>
      </vt:variant>
      <vt:variant>
        <vt:i4>5</vt:i4>
      </vt:variant>
      <vt:variant>
        <vt:lpwstr>http://www.ema.europa.eu/docs/en_GB/document_library/Template_or_form/2013/03/WC500139752.doc</vt:lpwstr>
      </vt:variant>
      <vt:variant>
        <vt:lpwstr/>
      </vt:variant>
      <vt:variant>
        <vt:i4>1245197</vt:i4>
      </vt:variant>
      <vt:variant>
        <vt:i4>18</vt:i4>
      </vt:variant>
      <vt:variant>
        <vt:i4>0</vt:i4>
      </vt:variant>
      <vt:variant>
        <vt:i4>5</vt:i4>
      </vt:variant>
      <vt:variant>
        <vt:lpwstr>http://www.ema.europa.eu/</vt:lpwstr>
      </vt:variant>
      <vt:variant>
        <vt:lpwstr/>
      </vt:variant>
      <vt:variant>
        <vt:i4>2359399</vt:i4>
      </vt:variant>
      <vt:variant>
        <vt:i4>15</vt:i4>
      </vt:variant>
      <vt:variant>
        <vt:i4>0</vt:i4>
      </vt:variant>
      <vt:variant>
        <vt:i4>5</vt:i4>
      </vt:variant>
      <vt:variant>
        <vt:lpwstr>http://www.ema.europa.eu/docs/en_GB/document_library/Template_or_form/2013/03/WC500139752.doc</vt:lpwstr>
      </vt:variant>
      <vt:variant>
        <vt:lpwstr/>
      </vt:variant>
      <vt:variant>
        <vt:i4>1245197</vt:i4>
      </vt:variant>
      <vt:variant>
        <vt:i4>12</vt:i4>
      </vt:variant>
      <vt:variant>
        <vt:i4>0</vt:i4>
      </vt:variant>
      <vt:variant>
        <vt:i4>5</vt:i4>
      </vt:variant>
      <vt:variant>
        <vt:lpwstr>http://www.ema.europa.eu/</vt:lpwstr>
      </vt:variant>
      <vt:variant>
        <vt:lpwstr/>
      </vt:variant>
      <vt:variant>
        <vt:i4>1245197</vt:i4>
      </vt:variant>
      <vt:variant>
        <vt:i4>3</vt:i4>
      </vt:variant>
      <vt:variant>
        <vt:i4>0</vt:i4>
      </vt:variant>
      <vt:variant>
        <vt:i4>5</vt:i4>
      </vt:variant>
      <vt:variant>
        <vt:lpwstr>http://www.ema.europa.eu/</vt:lpwstr>
      </vt:variant>
      <vt:variant>
        <vt:lpwstr/>
      </vt:variant>
      <vt:variant>
        <vt:i4>2359399</vt:i4>
      </vt:variant>
      <vt:variant>
        <vt:i4>0</vt:i4>
      </vt:variant>
      <vt:variant>
        <vt:i4>0</vt:i4>
      </vt:variant>
      <vt:variant>
        <vt:i4>5</vt:i4>
      </vt:variant>
      <vt:variant>
        <vt:lpwstr>http://www.ema.europa.eu/docs/en_GB/document_library/Template_or_form/2013/03/WC500139752.doc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subject/>
  <dc:creator/>
  <cp:keywords/>
  <dc:description/>
  <cp:lastModifiedBy/>
  <cp:revision>1</cp:revision>
  <dcterms:created xsi:type="dcterms:W3CDTF">2026-02-04T08:22:00Z</dcterms:created>
  <dcterms:modified xsi:type="dcterms:W3CDTF">2026-02-04T08:22:00Z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0x0101000DA6AD19014FF648A49316945EE786F90200176DED4FF78CD74995F64A0F46B59E48</vt:lpwstr>
  </property>
  <property fmtid="{D5CDD505-2E9C-101B-9397-08002B2CF9AE}" pid="3" name="_dlc_DocIdItemGuid">
    <vt:lpwstr>03f12e31-bfac-419d-a56a-5ae95008136c</vt:lpwstr>
  </property>
</Properties>
</file>